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1939925" cy="1363345"/>
            <wp:effectExtent l="0" t="0" r="3175" b="8255"/>
            <wp:docPr id="1" name="图片 1" descr="微信图片_2018020514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205141554"/>
                    <pic:cNvPicPr>
                      <a:picLocks noChangeAspect="1"/>
                    </pic:cNvPicPr>
                  </pic:nvPicPr>
                  <pic:blipFill>
                    <a:blip r:embed="rId13"/>
                    <a:stretch>
                      <a:fillRect/>
                    </a:stretch>
                  </pic:blipFill>
                  <pic:spPr>
                    <a:xfrm>
                      <a:off x="0" y="0"/>
                      <a:ext cx="1939925" cy="1363345"/>
                    </a:xfrm>
                    <a:prstGeom prst="rect">
                      <a:avLst/>
                    </a:prstGeom>
                    <a:noFill/>
                    <a:ln w="9525">
                      <a:noFill/>
                    </a:ln>
                  </pic:spPr>
                </pic:pic>
              </a:graphicData>
            </a:graphic>
          </wp:inline>
        </w:drawing>
      </w:r>
    </w:p>
    <w:p>
      <w:pPr>
        <w:spacing w:before="120" w:beforeLines="50"/>
        <w:jc w:val="center"/>
        <w:rPr>
          <w:rFonts w:hint="eastAsia" w:ascii="宋体" w:hAnsi="宋体" w:eastAsia="宋体" w:cs="宋体"/>
          <w:b/>
          <w:color w:val="auto"/>
          <w:spacing w:val="57"/>
          <w:sz w:val="52"/>
          <w:szCs w:val="52"/>
          <w:highlight w:val="none"/>
          <w:u w:val="thick"/>
          <w:lang w:val="en-US" w:eastAsia="zh-CN"/>
        </w:rPr>
      </w:pPr>
      <w:r>
        <w:rPr>
          <w:rFonts w:hint="eastAsia" w:ascii="宋体" w:hAnsi="宋体" w:eastAsia="宋体" w:cs="宋体"/>
          <w:b/>
          <w:color w:val="auto"/>
          <w:spacing w:val="57"/>
          <w:sz w:val="52"/>
          <w:szCs w:val="52"/>
          <w:highlight w:val="none"/>
          <w:u w:val="thick"/>
        </w:rPr>
        <w:t>广西晟通工程咨询有限公司</w:t>
      </w:r>
    </w:p>
    <w:p>
      <w:pPr>
        <w:spacing w:before="120" w:beforeLines="50"/>
        <w:jc w:val="center"/>
        <w:rPr>
          <w:rFonts w:hint="eastAsia" w:ascii="宋体" w:hAnsi="宋体" w:eastAsia="宋体" w:cs="宋体"/>
          <w:b/>
          <w:bCs/>
          <w:color w:val="auto"/>
          <w:spacing w:val="160"/>
          <w:sz w:val="80"/>
          <w:szCs w:val="80"/>
          <w:highlight w:val="none"/>
        </w:rPr>
      </w:pPr>
      <w:r>
        <w:rPr>
          <w:rFonts w:hint="eastAsia" w:ascii="宋体" w:hAnsi="宋体" w:eastAsia="宋体" w:cs="宋体"/>
          <w:b/>
          <w:color w:val="auto"/>
          <w:spacing w:val="57"/>
          <w:sz w:val="52"/>
          <w:szCs w:val="52"/>
          <w:highlight w:val="none"/>
          <w:u w:val="thick"/>
          <w:lang w:val="en-US" w:eastAsia="zh-CN"/>
        </w:rPr>
        <w:t xml:space="preserve">   </w:t>
      </w:r>
    </w:p>
    <w:p>
      <w:pPr>
        <w:pStyle w:val="28"/>
        <w:snapToGrid w:val="0"/>
        <w:spacing w:before="120" w:after="12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pacing w:val="160"/>
          <w:sz w:val="80"/>
          <w:szCs w:val="80"/>
          <w:highlight w:val="none"/>
        </w:rPr>
        <w:t xml:space="preserve"> </w:t>
      </w:r>
      <w:r>
        <w:rPr>
          <w:rFonts w:hint="eastAsia" w:ascii="宋体" w:hAnsi="宋体" w:eastAsia="宋体" w:cs="宋体"/>
          <w:b/>
          <w:bCs/>
          <w:color w:val="auto"/>
          <w:spacing w:val="160"/>
          <w:sz w:val="80"/>
          <w:szCs w:val="80"/>
          <w:highlight w:val="none"/>
        </w:rPr>
        <w:pict>
          <v:shape id="_x0000_i1025" o:spt="136" type="#_x0000_t136" style="height:45.1pt;width:318.05pt;" fillcolor="#000000" filled="t" coordsize="21600,21600">
            <v:path/>
            <v:fill on="t" focussize="0,0"/>
            <v:stroke/>
            <v:imagedata o:title=""/>
            <o:lock v:ext="edit"/>
            <v:textpath on="t" fitshape="t" fitpath="t" trim="t" xscale="f" string="竞争性磋商文件" style="font-family:宋体;font-size:36pt;v-text-align:center;"/>
            <v:shadow on="t" color="#B2B2B2" opacity="52429f" offset="3pt,2pt"/>
            <w10:wrap type="none"/>
            <w10:anchorlock/>
          </v:shape>
        </w:pict>
      </w:r>
    </w:p>
    <w:p>
      <w:pPr>
        <w:pStyle w:val="28"/>
        <w:tabs>
          <w:tab w:val="center" w:pos="4880"/>
          <w:tab w:val="left" w:pos="8389"/>
        </w:tabs>
        <w:snapToGrid w:val="0"/>
        <w:spacing w:before="120" w:after="120" w:line="360" w:lineRule="auto"/>
        <w:rPr>
          <w:rFonts w:hint="eastAsia" w:ascii="宋体" w:hAnsi="宋体" w:eastAsia="宋体" w:cs="宋体"/>
          <w:b/>
          <w:color w:val="auto"/>
          <w:sz w:val="32"/>
          <w:szCs w:val="32"/>
          <w:highlight w:val="none"/>
          <w:lang w:val="en-US" w:eastAsia="zh-CN"/>
        </w:rPr>
      </w:pPr>
    </w:p>
    <w:p>
      <w:pPr>
        <w:pStyle w:val="28"/>
        <w:tabs>
          <w:tab w:val="center" w:pos="4880"/>
          <w:tab w:val="left" w:pos="8389"/>
        </w:tabs>
        <w:snapToGrid w:val="0"/>
        <w:spacing w:before="120" w:after="120" w:line="360" w:lineRule="auto"/>
        <w:ind w:firstLine="1606" w:firstLineChars="500"/>
        <w:jc w:val="both"/>
        <w:rPr>
          <w:rFonts w:hint="default" w:ascii="宋体" w:hAnsi="宋体" w:eastAsia="宋体" w:cs="宋体"/>
          <w:b/>
          <w:color w:val="auto"/>
          <w:sz w:val="32"/>
          <w:szCs w:val="32"/>
          <w:highlight w:val="yellow"/>
          <w:lang w:val="en-US" w:eastAsia="zh-CN"/>
        </w:rPr>
      </w:pPr>
      <w:r>
        <w:rPr>
          <w:rFonts w:hint="eastAsia" w:hAnsi="宋体" w:cs="宋体"/>
          <w:b/>
          <w:color w:val="auto"/>
          <w:sz w:val="32"/>
          <w:szCs w:val="32"/>
          <w:highlight w:val="none"/>
          <w:lang w:val="en-US" w:eastAsia="zh-CN"/>
        </w:rPr>
        <w:t>采购计划</w:t>
      </w:r>
      <w:r>
        <w:rPr>
          <w:rFonts w:hint="eastAsia" w:ascii="宋体" w:hAnsi="宋体" w:eastAsia="宋体" w:cs="宋体"/>
          <w:b/>
          <w:color w:val="auto"/>
          <w:sz w:val="32"/>
          <w:szCs w:val="32"/>
          <w:highlight w:val="none"/>
          <w:lang w:val="en-US" w:eastAsia="zh-CN"/>
        </w:rPr>
        <w:t>编号：</w:t>
      </w:r>
      <w:r>
        <w:rPr>
          <w:rFonts w:hint="eastAsia" w:hAnsi="宋体" w:cs="宋体"/>
          <w:b/>
          <w:color w:val="auto"/>
          <w:sz w:val="32"/>
          <w:szCs w:val="32"/>
          <w:highlight w:val="none"/>
          <w:lang w:val="en-US" w:eastAsia="zh-CN"/>
        </w:rPr>
        <w:t>LZZC2020-C2-00586-001</w:t>
      </w:r>
    </w:p>
    <w:p>
      <w:pPr>
        <w:pStyle w:val="28"/>
        <w:tabs>
          <w:tab w:val="center" w:pos="4880"/>
          <w:tab w:val="left" w:pos="8389"/>
        </w:tabs>
        <w:snapToGrid w:val="0"/>
        <w:spacing w:before="120" w:after="120" w:line="360" w:lineRule="auto"/>
        <w:ind w:firstLine="1606" w:firstLineChars="500"/>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项目编号：</w:t>
      </w:r>
      <w:r>
        <w:rPr>
          <w:rFonts w:hint="eastAsia" w:hAnsi="宋体" w:cs="宋体"/>
          <w:b/>
          <w:color w:val="auto"/>
          <w:sz w:val="32"/>
          <w:szCs w:val="32"/>
          <w:highlight w:val="none"/>
          <w:lang w:val="en-US" w:eastAsia="zh-CN"/>
        </w:rPr>
        <w:t>CZZC2020-C2-60004-GXST</w:t>
      </w:r>
    </w:p>
    <w:p>
      <w:pPr>
        <w:pStyle w:val="28"/>
        <w:tabs>
          <w:tab w:val="center" w:pos="4880"/>
          <w:tab w:val="left" w:pos="8389"/>
        </w:tabs>
        <w:snapToGrid w:val="0"/>
        <w:spacing w:before="120" w:after="12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pacing w:val="-20"/>
          <w:sz w:val="32"/>
          <w:szCs w:val="32"/>
          <w:highlight w:val="none"/>
          <w:lang w:val="en-US" w:eastAsia="zh-CN"/>
        </w:rPr>
        <w:t xml:space="preserve">        </w:t>
      </w:r>
      <w:r>
        <w:rPr>
          <w:rFonts w:hint="eastAsia" w:hAnsi="宋体" w:cs="宋体"/>
          <w:b/>
          <w:color w:val="auto"/>
          <w:spacing w:val="-20"/>
          <w:sz w:val="32"/>
          <w:szCs w:val="32"/>
          <w:highlight w:val="none"/>
          <w:lang w:val="en-US" w:eastAsia="zh-CN"/>
        </w:rPr>
        <w:t xml:space="preserve"> </w:t>
      </w:r>
      <w:r>
        <w:rPr>
          <w:rFonts w:hint="eastAsia" w:ascii="宋体" w:hAnsi="宋体" w:eastAsia="宋体" w:cs="宋体"/>
          <w:b/>
          <w:color w:val="auto"/>
          <w:sz w:val="32"/>
          <w:szCs w:val="32"/>
          <w:highlight w:val="none"/>
          <w:lang w:val="en-US" w:eastAsia="zh-CN"/>
        </w:rPr>
        <w:t>项目名称：</w:t>
      </w:r>
      <w:r>
        <w:rPr>
          <w:rFonts w:hint="eastAsia" w:hAnsi="宋体" w:cs="宋体"/>
          <w:b/>
          <w:color w:val="auto"/>
          <w:spacing w:val="-17"/>
          <w:sz w:val="32"/>
          <w:szCs w:val="32"/>
          <w:highlight w:val="none"/>
          <w:lang w:eastAsia="zh-CN"/>
        </w:rPr>
        <w:t>龙州县下冻镇下冻村党群服务场所建设工程</w:t>
      </w:r>
    </w:p>
    <w:p>
      <w:pPr>
        <w:snapToGrid w:val="0"/>
        <w:spacing w:before="120" w:line="360" w:lineRule="auto"/>
        <w:rPr>
          <w:rFonts w:hint="eastAsia" w:ascii="宋体" w:hAnsi="宋体" w:eastAsia="宋体" w:cs="宋体"/>
          <w:b/>
          <w:color w:val="auto"/>
          <w:sz w:val="32"/>
          <w:szCs w:val="32"/>
          <w:highlight w:val="none"/>
        </w:rPr>
      </w:pPr>
    </w:p>
    <w:p>
      <w:pPr>
        <w:snapToGrid w:val="0"/>
        <w:spacing w:before="120"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rPr>
        <mc:AlternateContent>
          <mc:Choice Requires="wps">
            <w:drawing>
              <wp:anchor distT="0" distB="0" distL="114300" distR="114300" simplePos="0" relativeHeight="251673600" behindDoc="0" locked="0" layoutInCell="1" allowOverlap="1">
                <wp:simplePos x="0" y="0"/>
                <wp:positionH relativeFrom="column">
                  <wp:posOffset>66675</wp:posOffset>
                </wp:positionH>
                <wp:positionV relativeFrom="paragraph">
                  <wp:posOffset>662940</wp:posOffset>
                </wp:positionV>
                <wp:extent cx="6172200" cy="0"/>
                <wp:effectExtent l="33655" t="26670" r="42545" b="68580"/>
                <wp:wrapTopAndBottom/>
                <wp:docPr id="5" name="直接连接符 5"/>
                <wp:cNvGraphicFramePr/>
                <a:graphic xmlns:a="http://schemas.openxmlformats.org/drawingml/2006/main">
                  <a:graphicData uri="http://schemas.microsoft.com/office/word/2010/wordprocessingShape">
                    <wps:wsp>
                      <wps:cNvCnPr/>
                      <wps:spPr>
                        <a:xfrm>
                          <a:off x="0" y="0"/>
                          <a:ext cx="6172200"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5.25pt;margin-top:52.2pt;height:0pt;width:486pt;mso-wrap-distance-bottom:0pt;mso-wrap-distance-top:0pt;z-index:251673600;mso-width-relative:page;mso-height-relative:page;" filled="f" stroked="t" coordsize="21600,21600" o:gfxdata="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G3&#10;XjHZAAAACgEAAA8AAAAAAAAAAQAgAAAAIgAAAGRycy9kb3ducmV2LnhtbFBLAQIUABQAAAAIAIdO&#10;4kDS+xSbIgIAAE0EAAAOAAAAAAAAAAEAIAAAACgBAABkcnMvZTJvRG9jLnhtbFBLBQYAAAAABgAG&#10;AFkBAAC8BQAAAAA=&#10;">
                <v:fill on="f" focussize="0,0"/>
                <v:stroke weight="2pt" color="#000000 [3200]" joinstyle="round"/>
                <v:imagedata o:title=""/>
                <o:lock v:ext="edit" aspectratio="f"/>
                <v:shadow on="t" color="#000000" opacity="24903f" offset="0pt,1.5748031496063pt" origin="0f,32768f" matrix="65536f,0f,0f,65536f"/>
                <w10:wrap type="topAndBottom"/>
              </v:line>
            </w:pict>
          </mc:Fallback>
        </mc:AlternateContent>
      </w:r>
    </w:p>
    <w:p>
      <w:pPr>
        <w:snapToGrid w:val="0"/>
        <w:spacing w:before="120" w:line="360" w:lineRule="auto"/>
        <w:ind w:firstLine="1606" w:firstLineChars="5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 购 单 位：</w:t>
      </w:r>
      <w:r>
        <w:rPr>
          <w:rFonts w:hint="eastAsia" w:hAnsi="宋体" w:cs="宋体"/>
          <w:b/>
          <w:color w:val="auto"/>
          <w:sz w:val="32"/>
          <w:szCs w:val="32"/>
          <w:highlight w:val="none"/>
          <w:lang w:eastAsia="zh-CN"/>
        </w:rPr>
        <w:t>龙州县下冻镇人民政府</w:t>
      </w:r>
    </w:p>
    <w:p>
      <w:pPr>
        <w:pStyle w:val="28"/>
        <w:spacing w:line="4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w:t>
      </w:r>
      <w:r>
        <w:rPr>
          <w:rFonts w:hint="eastAsia" w:ascii="宋体" w:hAnsi="宋体" w:eastAsia="宋体" w:cs="宋体"/>
          <w:b/>
          <w:color w:val="auto"/>
          <w:sz w:val="32"/>
          <w:szCs w:val="32"/>
          <w:highlight w:val="none"/>
          <w:lang w:eastAsia="zh-CN"/>
        </w:rPr>
        <w:t>机构</w:t>
      </w:r>
      <w:r>
        <w:rPr>
          <w:rFonts w:hint="eastAsia" w:ascii="宋体" w:hAnsi="宋体" w:eastAsia="宋体" w:cs="宋体"/>
          <w:b/>
          <w:color w:val="auto"/>
          <w:sz w:val="32"/>
          <w:szCs w:val="32"/>
          <w:highlight w:val="none"/>
        </w:rPr>
        <w:t>：广西晟通工程咨询有限公司</w:t>
      </w:r>
    </w:p>
    <w:p>
      <w:pPr>
        <w:pStyle w:val="28"/>
        <w:spacing w:line="420" w:lineRule="exact"/>
        <w:jc w:val="center"/>
        <w:rPr>
          <w:rFonts w:hint="eastAsia" w:ascii="宋体" w:hAnsi="宋体" w:eastAsia="宋体" w:cs="宋体"/>
          <w:b/>
          <w:color w:val="auto"/>
          <w:sz w:val="32"/>
          <w:szCs w:val="32"/>
          <w:highlight w:val="none"/>
        </w:rPr>
      </w:pPr>
    </w:p>
    <w:p>
      <w:pPr>
        <w:pStyle w:val="28"/>
        <w:spacing w:line="420" w:lineRule="exact"/>
        <w:jc w:val="center"/>
        <w:rPr>
          <w:rFonts w:hAnsi="宋体"/>
          <w:b/>
          <w:color w:val="auto"/>
          <w:sz w:val="32"/>
          <w:szCs w:val="32"/>
          <w:highlight w:val="none"/>
        </w:rPr>
      </w:pPr>
      <w:r>
        <w:rPr>
          <w:rFonts w:hint="eastAsia" w:ascii="宋体" w:hAnsi="宋体" w:eastAsia="宋体" w:cs="宋体"/>
          <w:b/>
          <w:color w:val="auto"/>
          <w:sz w:val="32"/>
          <w:szCs w:val="32"/>
          <w:highlight w:val="none"/>
          <w:lang w:val="en-US" w:eastAsia="zh-CN"/>
        </w:rPr>
        <w:t>2020年0</w:t>
      </w:r>
      <w:r>
        <w:rPr>
          <w:rFonts w:hint="eastAsia" w:hAnsi="宋体" w:cs="宋体"/>
          <w:b/>
          <w:color w:val="auto"/>
          <w:sz w:val="32"/>
          <w:szCs w:val="32"/>
          <w:highlight w:val="none"/>
          <w:lang w:val="en-US" w:eastAsia="zh-CN"/>
        </w:rPr>
        <w:t>9</w:t>
      </w:r>
      <w:r>
        <w:rPr>
          <w:rFonts w:hint="eastAsia" w:ascii="宋体" w:hAnsi="宋体" w:eastAsia="宋体" w:cs="宋体"/>
          <w:b/>
          <w:color w:val="auto"/>
          <w:sz w:val="32"/>
          <w:szCs w:val="32"/>
          <w:highlight w:val="none"/>
          <w:lang w:val="en-US" w:eastAsia="zh-CN"/>
        </w:rPr>
        <w:t>月</w:t>
      </w:r>
    </w:p>
    <w:p>
      <w:pPr>
        <w:pStyle w:val="28"/>
        <w:spacing w:line="600" w:lineRule="auto"/>
        <w:jc w:val="center"/>
        <w:rPr>
          <w:rFonts w:hint="eastAsia" w:ascii="宋体" w:hAnsi="宋体" w:eastAsia="时尚中黑简体" w:cs="宋体"/>
          <w:b/>
          <w:color w:val="auto"/>
          <w:sz w:val="32"/>
          <w:szCs w:val="32"/>
          <w:lang w:eastAsia="zh-CN"/>
        </w:rPr>
      </w:pPr>
    </w:p>
    <w:p>
      <w:pPr>
        <w:pStyle w:val="28"/>
        <w:spacing w:line="420" w:lineRule="exact"/>
        <w:jc w:val="center"/>
        <w:rPr>
          <w:rFonts w:hint="eastAsia" w:ascii="宋体" w:hAnsi="宋体" w:eastAsia="宋体" w:cs="宋体"/>
          <w:b/>
          <w:color w:val="auto"/>
          <w:sz w:val="32"/>
          <w:szCs w:val="32"/>
        </w:rPr>
        <w:sectPr>
          <w:headerReference r:id="rId3" w:type="first"/>
          <w:pgSz w:w="11906" w:h="16838"/>
          <w:pgMar w:top="1304" w:right="1247" w:bottom="1304" w:left="1417" w:header="720" w:footer="720" w:gutter="0"/>
          <w:pgNumType w:start="1"/>
          <w:cols w:space="720" w:num="1"/>
          <w:docGrid w:type="lines" w:linePitch="331" w:charSpace="0"/>
        </w:sectPr>
      </w:pPr>
    </w:p>
    <w:p>
      <w:pPr>
        <w:rPr>
          <w:color w:val="auto"/>
        </w:rPr>
      </w:pPr>
    </w:p>
    <w:p>
      <w:pPr>
        <w:rPr>
          <w:color w:val="auto"/>
          <w:sz w:val="32"/>
          <w:szCs w:val="32"/>
        </w:rPr>
      </w:pPr>
    </w:p>
    <w:sdt>
      <w:sdtPr>
        <w:rPr>
          <w:rFonts w:ascii="宋体" w:hAnsi="宋体" w:eastAsia="宋体" w:cs="Times New Roman"/>
          <w:kern w:val="2"/>
          <w:sz w:val="21"/>
          <w:lang w:val="en-US" w:eastAsia="zh-CN" w:bidi="ar-SA"/>
        </w:rPr>
        <w:id w:val="147454359"/>
        <w15:color w:val="DBDBDB"/>
        <w:docPartObj>
          <w:docPartGallery w:val="Table of Contents"/>
          <w:docPartUnique/>
        </w:docPartObj>
      </w:sdtPr>
      <w:sdtEndPr>
        <w:rPr>
          <w:rFonts w:cs="Times New Roman" w:asciiTheme="minorEastAsia" w:hAnsiTheme="minorEastAsia" w:eastAsiaTheme="minorEastAsia"/>
          <w:color w:val="auto"/>
          <w:kern w:val="2"/>
          <w:sz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8"/>
              <w:szCs w:val="28"/>
            </w:rPr>
          </w:pPr>
          <w:r>
            <w:rPr>
              <w:rFonts w:ascii="宋体" w:hAnsi="宋体" w:eastAsia="宋体"/>
              <w:b/>
              <w:bCs/>
              <w:sz w:val="30"/>
              <w:szCs w:val="30"/>
            </w:rPr>
            <w:t>目</w:t>
          </w:r>
          <w:r>
            <w:rPr>
              <w:rFonts w:hint="eastAsia" w:ascii="宋体" w:hAnsi="宋体" w:eastAsia="宋体"/>
              <w:b/>
              <w:bCs/>
              <w:sz w:val="30"/>
              <w:szCs w:val="30"/>
              <w:lang w:val="en-US" w:eastAsia="zh-CN"/>
            </w:rPr>
            <w:t xml:space="preserve">   </w:t>
          </w:r>
          <w:r>
            <w:rPr>
              <w:rFonts w:ascii="宋体" w:hAnsi="宋体" w:eastAsia="宋体"/>
              <w:b/>
              <w:bCs/>
              <w:sz w:val="30"/>
              <w:szCs w:val="30"/>
            </w:rPr>
            <w:t>录</w:t>
          </w:r>
        </w:p>
        <w:p>
          <w:pPr>
            <w:pStyle w:val="14"/>
            <w:keepNext w:val="0"/>
            <w:keepLines w:val="0"/>
            <w:pageBreakBefore w:val="0"/>
            <w:kinsoku/>
            <w:wordWrap/>
            <w:overflowPunct/>
            <w:topLinePunct w:val="0"/>
            <w:autoSpaceDE/>
            <w:autoSpaceDN/>
            <w:bidi w:val="0"/>
            <w:adjustRightInd/>
            <w:snapToGrid/>
            <w:spacing w:line="440" w:lineRule="exact"/>
          </w:pP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color w:val="auto"/>
            </w:rPr>
            <w:instrText xml:space="preserve">TOC \o "1-1" \h \u </w:instrText>
          </w:r>
          <w:r>
            <w:rPr>
              <w:rFonts w:asciiTheme="minorEastAsia" w:hAnsiTheme="minorEastAsia" w:eastAsiaTheme="minorEastAsia"/>
              <w:color w:val="auto"/>
            </w:rPr>
            <w:fldChar w:fldCharType="separate"/>
          </w: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_Toc13382 </w:instrText>
          </w:r>
          <w:r>
            <w:rPr>
              <w:rFonts w:asciiTheme="minorEastAsia" w:hAnsiTheme="minorEastAsia" w:eastAsiaTheme="minorEastAsia"/>
            </w:rPr>
            <w:fldChar w:fldCharType="separate"/>
          </w:r>
          <w:r>
            <w:rPr>
              <w:rFonts w:hint="eastAsia" w:ascii="宋体" w:hAnsi="宋体" w:eastAsia="宋体" w:cs="宋体"/>
            </w:rPr>
            <w:t>第一章 竞争性磋商公告</w:t>
          </w:r>
          <w:r>
            <w:tab/>
          </w:r>
          <w:r>
            <w:fldChar w:fldCharType="begin"/>
          </w:r>
          <w:r>
            <w:instrText xml:space="preserve"> PAGEREF _Toc13382 </w:instrText>
          </w:r>
          <w:r>
            <w:fldChar w:fldCharType="separate"/>
          </w:r>
          <w:r>
            <w:t>1</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_Toc1824 </w:instrText>
          </w:r>
          <w:r>
            <w:rPr>
              <w:rFonts w:asciiTheme="minorEastAsia" w:hAnsiTheme="minorEastAsia" w:eastAsiaTheme="minorEastAsia"/>
            </w:rPr>
            <w:fldChar w:fldCharType="separate"/>
          </w:r>
          <w:r>
            <w:rPr>
              <w:rFonts w:hint="eastAsia" w:ascii="宋体" w:hAnsi="宋体" w:eastAsia="宋体" w:cs="宋体"/>
              <w:lang w:val="en-US" w:eastAsia="zh-CN"/>
            </w:rPr>
            <w:t>第二章  磋商须知及前附表</w:t>
          </w:r>
          <w:r>
            <w:tab/>
          </w:r>
          <w:r>
            <w:fldChar w:fldCharType="begin"/>
          </w:r>
          <w:r>
            <w:instrText xml:space="preserve"> PAGEREF _Toc1824 </w:instrText>
          </w:r>
          <w:r>
            <w:fldChar w:fldCharType="separate"/>
          </w:r>
          <w:r>
            <w:t>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_Toc19602 </w:instrText>
          </w:r>
          <w:r>
            <w:rPr>
              <w:rFonts w:asciiTheme="minorEastAsia" w:hAnsiTheme="minorEastAsia" w:eastAsiaTheme="minorEastAsia"/>
            </w:rPr>
            <w:fldChar w:fldCharType="separate"/>
          </w:r>
          <w:r>
            <w:rPr>
              <w:rFonts w:hint="eastAsia" w:ascii="宋体" w:hAnsi="宋体" w:eastAsia="宋体" w:cs="宋体"/>
            </w:rPr>
            <w:t>第三章  评审方法</w:t>
          </w:r>
          <w:r>
            <w:tab/>
          </w:r>
          <w:r>
            <w:fldChar w:fldCharType="begin"/>
          </w:r>
          <w:r>
            <w:instrText xml:space="preserve"> PAGEREF _Toc19602 </w:instrText>
          </w:r>
          <w:r>
            <w:fldChar w:fldCharType="separate"/>
          </w:r>
          <w:r>
            <w:t>20</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_Toc29878 </w:instrText>
          </w:r>
          <w:r>
            <w:rPr>
              <w:rFonts w:asciiTheme="minorEastAsia" w:hAnsiTheme="minorEastAsia" w:eastAsiaTheme="minorEastAsia"/>
            </w:rPr>
            <w:fldChar w:fldCharType="separate"/>
          </w:r>
          <w:r>
            <w:rPr>
              <w:rFonts w:hint="eastAsia" w:ascii="宋体" w:hAnsi="宋体" w:eastAsia="宋体" w:cs="宋体"/>
              <w:bCs/>
              <w:kern w:val="2"/>
              <w:szCs w:val="32"/>
              <w:lang w:val="en-US" w:eastAsia="zh-CN" w:bidi="ar-SA"/>
            </w:rPr>
            <w:t>第四</w:t>
          </w:r>
          <w:r>
            <w:rPr>
              <w:rFonts w:hint="eastAsia" w:ascii="宋体" w:hAnsi="宋体" w:eastAsia="宋体" w:cs="宋体"/>
              <w:lang w:val="en-US" w:eastAsia="zh-CN"/>
            </w:rPr>
            <w:t>章  图纸</w:t>
          </w:r>
          <w:r>
            <w:rPr>
              <w:rFonts w:hint="eastAsia" w:ascii="宋体" w:hAnsi="宋体" w:eastAsia="宋体" w:cs="宋体"/>
              <w:bCs/>
              <w:kern w:val="2"/>
              <w:szCs w:val="32"/>
              <w:lang w:val="en-US" w:eastAsia="zh-CN" w:bidi="ar-SA"/>
            </w:rPr>
            <w:t>及工程量清单</w:t>
          </w:r>
          <w:r>
            <w:tab/>
          </w:r>
          <w:r>
            <w:fldChar w:fldCharType="begin"/>
          </w:r>
          <w:r>
            <w:instrText xml:space="preserve"> PAGEREF _Toc29878 </w:instrText>
          </w:r>
          <w:r>
            <w:fldChar w:fldCharType="separate"/>
          </w:r>
          <w:r>
            <w:t>25</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_Toc30632 </w:instrText>
          </w:r>
          <w:r>
            <w:rPr>
              <w:rFonts w:asciiTheme="minorEastAsia" w:hAnsiTheme="minorEastAsia" w:eastAsiaTheme="minorEastAsia"/>
            </w:rPr>
            <w:fldChar w:fldCharType="separate"/>
          </w:r>
          <w:r>
            <w:rPr>
              <w:rFonts w:hint="eastAsia" w:asciiTheme="minorEastAsia" w:hAnsiTheme="minorEastAsia" w:eastAsiaTheme="minorEastAsia"/>
              <w:szCs w:val="32"/>
            </w:rPr>
            <w:t>第</w:t>
          </w:r>
          <w:r>
            <w:rPr>
              <w:rFonts w:hint="eastAsia" w:ascii="宋体" w:hAnsi="宋体" w:eastAsia="宋体" w:cs="宋体"/>
              <w:bCs/>
              <w:kern w:val="2"/>
              <w:szCs w:val="32"/>
              <w:lang w:val="en-US" w:eastAsia="zh-CN" w:bidi="ar-SA"/>
            </w:rPr>
            <w:t>五章  技术标准、规范</w:t>
          </w:r>
          <w:r>
            <w:tab/>
          </w:r>
          <w:r>
            <w:fldChar w:fldCharType="begin"/>
          </w:r>
          <w:r>
            <w:instrText xml:space="preserve"> PAGEREF _Toc30632 </w:instrText>
          </w:r>
          <w:r>
            <w:fldChar w:fldCharType="separate"/>
          </w:r>
          <w:r>
            <w:t>29</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_Toc28819 </w:instrText>
          </w:r>
          <w:r>
            <w:rPr>
              <w:rFonts w:asciiTheme="minorEastAsia" w:hAnsiTheme="minorEastAsia" w:eastAsiaTheme="minorEastAsia"/>
            </w:rPr>
            <w:fldChar w:fldCharType="separate"/>
          </w:r>
          <w:r>
            <w:rPr>
              <w:rFonts w:hint="eastAsia" w:asciiTheme="minorEastAsia" w:hAnsiTheme="minorEastAsia" w:eastAsiaTheme="minorEastAsia"/>
              <w:szCs w:val="32"/>
            </w:rPr>
            <w:t>第六章  合同</w:t>
          </w:r>
          <w:r>
            <w:rPr>
              <w:rFonts w:hint="eastAsia" w:ascii="宋体" w:hAnsi="宋体" w:eastAsia="宋体" w:cs="宋体"/>
            </w:rPr>
            <w:t>条款</w:t>
          </w:r>
          <w:r>
            <w:rPr>
              <w:rFonts w:hint="eastAsia" w:asciiTheme="minorEastAsia" w:hAnsiTheme="minorEastAsia" w:eastAsiaTheme="minorEastAsia"/>
              <w:szCs w:val="32"/>
            </w:rPr>
            <w:t>及格式</w:t>
          </w:r>
          <w:r>
            <w:tab/>
          </w:r>
          <w:r>
            <w:fldChar w:fldCharType="begin"/>
          </w:r>
          <w:r>
            <w:instrText xml:space="preserve"> PAGEREF _Toc28819 </w:instrText>
          </w:r>
          <w:r>
            <w:fldChar w:fldCharType="separate"/>
          </w:r>
          <w:r>
            <w:t>30</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_Toc830 </w:instrText>
          </w:r>
          <w:r>
            <w:rPr>
              <w:rFonts w:asciiTheme="minorEastAsia" w:hAnsiTheme="minorEastAsia" w:eastAsiaTheme="minorEastAsia"/>
            </w:rPr>
            <w:fldChar w:fldCharType="separate"/>
          </w:r>
          <w:r>
            <w:rPr>
              <w:rFonts w:asciiTheme="minorEastAsia" w:hAnsiTheme="minorEastAsia" w:eastAsiaTheme="minorEastAsia"/>
              <w:szCs w:val="24"/>
            </w:rPr>
            <w:t>第一</w:t>
          </w:r>
          <w:r>
            <w:rPr>
              <w:rFonts w:hint="eastAsia" w:asciiTheme="minorEastAsia" w:hAnsiTheme="minorEastAsia" w:eastAsiaTheme="minorEastAsia"/>
              <w:szCs w:val="24"/>
            </w:rPr>
            <w:t>部分</w:t>
          </w:r>
          <w:r>
            <w:rPr>
              <w:rFonts w:asciiTheme="minorEastAsia" w:hAnsiTheme="minorEastAsia" w:eastAsiaTheme="minorEastAsia"/>
              <w:szCs w:val="24"/>
            </w:rPr>
            <w:t xml:space="preserve"> 合同协议书</w:t>
          </w:r>
          <w:r>
            <w:tab/>
          </w:r>
          <w:r>
            <w:fldChar w:fldCharType="begin"/>
          </w:r>
          <w:r>
            <w:instrText xml:space="preserve"> PAGEREF _Toc830 </w:instrText>
          </w:r>
          <w:r>
            <w:fldChar w:fldCharType="separate"/>
          </w:r>
          <w:r>
            <w:t>30</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_Toc2791 </w:instrText>
          </w:r>
          <w:r>
            <w:rPr>
              <w:rFonts w:asciiTheme="minorEastAsia" w:hAnsiTheme="minorEastAsia" w:eastAsiaTheme="minorEastAsia"/>
            </w:rPr>
            <w:fldChar w:fldCharType="separate"/>
          </w:r>
          <w:r>
            <w:rPr>
              <w:rFonts w:hint="eastAsia" w:asciiTheme="minorEastAsia" w:hAnsiTheme="minorEastAsia" w:eastAsiaTheme="minorEastAsia"/>
              <w:szCs w:val="24"/>
            </w:rPr>
            <w:t>第二部分 通用</w:t>
          </w:r>
          <w:r>
            <w:rPr>
              <w:rFonts w:asciiTheme="minorEastAsia" w:hAnsiTheme="minorEastAsia" w:eastAsiaTheme="minorEastAsia"/>
              <w:szCs w:val="24"/>
            </w:rPr>
            <w:t>合同条款</w:t>
          </w:r>
          <w:r>
            <w:tab/>
          </w:r>
          <w:r>
            <w:fldChar w:fldCharType="begin"/>
          </w:r>
          <w:r>
            <w:instrText xml:space="preserve"> PAGEREF _Toc2791 </w:instrText>
          </w:r>
          <w:r>
            <w:fldChar w:fldCharType="separate"/>
          </w:r>
          <w:r>
            <w:t>33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_Toc19746 </w:instrText>
          </w:r>
          <w:r>
            <w:rPr>
              <w:rFonts w:asciiTheme="minorEastAsia" w:hAnsiTheme="minorEastAsia" w:eastAsiaTheme="minorEastAsia"/>
            </w:rPr>
            <w:fldChar w:fldCharType="separate"/>
          </w:r>
          <w:r>
            <w:rPr>
              <w:rFonts w:asciiTheme="minorEastAsia" w:hAnsiTheme="minorEastAsia" w:eastAsiaTheme="minorEastAsia"/>
              <w:szCs w:val="24"/>
            </w:rPr>
            <w:t>第</w:t>
          </w:r>
          <w:r>
            <w:rPr>
              <w:rFonts w:hint="eastAsia" w:asciiTheme="minorEastAsia" w:hAnsiTheme="minorEastAsia" w:eastAsiaTheme="minorEastAsia"/>
              <w:szCs w:val="24"/>
            </w:rPr>
            <w:t>三</w:t>
          </w:r>
          <w:r>
            <w:rPr>
              <w:rFonts w:asciiTheme="minorEastAsia" w:hAnsiTheme="minorEastAsia" w:eastAsiaTheme="minorEastAsia"/>
              <w:szCs w:val="24"/>
            </w:rPr>
            <w:t>部分 专用合同条款</w:t>
          </w:r>
          <w:r>
            <w:tab/>
          </w:r>
          <w:r>
            <w:fldChar w:fldCharType="begin"/>
          </w:r>
          <w:r>
            <w:instrText xml:space="preserve"> PAGEREF _Toc19746 </w:instrText>
          </w:r>
          <w:r>
            <w:fldChar w:fldCharType="separate"/>
          </w:r>
          <w:r>
            <w:t>33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_Toc18845 </w:instrText>
          </w:r>
          <w:r>
            <w:rPr>
              <w:rFonts w:asciiTheme="minorEastAsia" w:hAnsiTheme="minorEastAsia" w:eastAsiaTheme="minorEastAsia"/>
            </w:rPr>
            <w:fldChar w:fldCharType="separate"/>
          </w:r>
          <w:r>
            <w:rPr>
              <w:rFonts w:hint="eastAsia" w:ascii="宋体" w:hAnsi="宋体" w:eastAsia="宋体" w:cs="宋体"/>
            </w:rPr>
            <w:t>第七章  磋商响应文件格式</w:t>
          </w:r>
          <w:r>
            <w:tab/>
          </w:r>
          <w:r>
            <w:fldChar w:fldCharType="begin"/>
          </w:r>
          <w:r>
            <w:instrText xml:space="preserve"> PAGEREF _Toc18845 </w:instrText>
          </w:r>
          <w:r>
            <w:fldChar w:fldCharType="separate"/>
          </w:r>
          <w:r>
            <w:t>66</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_Toc29919 </w:instrText>
          </w:r>
          <w:r>
            <w:rPr>
              <w:rFonts w:asciiTheme="minorEastAsia" w:hAnsiTheme="minorEastAsia" w:eastAsiaTheme="minorEastAsia"/>
            </w:rPr>
            <w:fldChar w:fldCharType="separate"/>
          </w:r>
          <w:r>
            <w:rPr>
              <w:rFonts w:hint="eastAsia" w:asciiTheme="minorEastAsia" w:hAnsiTheme="minorEastAsia" w:eastAsiaTheme="minorEastAsia"/>
              <w:szCs w:val="21"/>
            </w:rPr>
            <w:t>一）</w:t>
          </w:r>
          <w:r>
            <w:rPr>
              <w:rFonts w:hint="eastAsia" w:asciiTheme="minorEastAsia" w:hAnsiTheme="minorEastAsia" w:eastAsiaTheme="minorEastAsia"/>
            </w:rPr>
            <w:t>竞争性磋商响应文件</w:t>
          </w:r>
          <w:r>
            <w:rPr>
              <w:rFonts w:hint="eastAsia" w:asciiTheme="minorEastAsia" w:hAnsiTheme="minorEastAsia" w:eastAsiaTheme="minorEastAsia"/>
              <w:szCs w:val="21"/>
            </w:rPr>
            <w:t>的外包装封面格式</w:t>
          </w:r>
          <w:r>
            <w:tab/>
          </w:r>
          <w:r>
            <w:fldChar w:fldCharType="begin"/>
          </w:r>
          <w:r>
            <w:instrText xml:space="preserve"> PAGEREF _Toc29919 </w:instrText>
          </w:r>
          <w:r>
            <w:fldChar w:fldCharType="separate"/>
          </w:r>
          <w:r>
            <w:t>66</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_Toc28341 </w:instrText>
          </w:r>
          <w:r>
            <w:rPr>
              <w:rFonts w:asciiTheme="minorEastAsia" w:hAnsiTheme="minorEastAsia" w:eastAsiaTheme="minorEastAsia"/>
            </w:rPr>
            <w:fldChar w:fldCharType="separate"/>
          </w:r>
          <w:r>
            <w:rPr>
              <w:rFonts w:hint="eastAsia" w:asciiTheme="minorEastAsia" w:hAnsiTheme="minorEastAsia" w:eastAsiaTheme="minorEastAsia"/>
              <w:szCs w:val="21"/>
            </w:rPr>
            <w:t>二）</w:t>
          </w:r>
          <w:r>
            <w:rPr>
              <w:rFonts w:hint="eastAsia" w:asciiTheme="minorEastAsia" w:hAnsiTheme="minorEastAsia" w:eastAsiaTheme="minorEastAsia"/>
            </w:rPr>
            <w:t xml:space="preserve"> 竞争性磋商响应文件</w:t>
          </w:r>
          <w:r>
            <w:rPr>
              <w:rFonts w:hint="eastAsia" w:asciiTheme="minorEastAsia" w:hAnsiTheme="minorEastAsia" w:eastAsiaTheme="minorEastAsia"/>
              <w:szCs w:val="21"/>
            </w:rPr>
            <w:t>封面格式</w:t>
          </w:r>
          <w:r>
            <w:tab/>
          </w:r>
          <w:r>
            <w:fldChar w:fldCharType="begin"/>
          </w:r>
          <w:r>
            <w:instrText xml:space="preserve"> PAGEREF _Toc28341 </w:instrText>
          </w:r>
          <w:r>
            <w:fldChar w:fldCharType="separate"/>
          </w:r>
          <w:r>
            <w:t>66</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_Toc10958 </w:instrText>
          </w:r>
          <w:r>
            <w:rPr>
              <w:rFonts w:asciiTheme="minorEastAsia" w:hAnsiTheme="minorEastAsia" w:eastAsiaTheme="minorEastAsia"/>
            </w:rPr>
            <w:fldChar w:fldCharType="separate"/>
          </w:r>
          <w:r>
            <w:rPr>
              <w:rFonts w:hint="eastAsia" w:asciiTheme="minorEastAsia" w:hAnsiTheme="minorEastAsia" w:eastAsiaTheme="minorEastAsia"/>
              <w:szCs w:val="21"/>
            </w:rPr>
            <w:t>附件一</w:t>
          </w:r>
          <w:r>
            <w:tab/>
          </w:r>
          <w:r>
            <w:fldChar w:fldCharType="begin"/>
          </w:r>
          <w:r>
            <w:instrText xml:space="preserve"> PAGEREF _Toc10958 </w:instrText>
          </w:r>
          <w:r>
            <w:fldChar w:fldCharType="separate"/>
          </w:r>
          <w:r>
            <w:t>67</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_Toc25698 </w:instrText>
          </w:r>
          <w:r>
            <w:rPr>
              <w:rFonts w:asciiTheme="minorEastAsia" w:hAnsiTheme="minorEastAsia" w:eastAsiaTheme="minorEastAsia"/>
            </w:rPr>
            <w:fldChar w:fldCharType="separate"/>
          </w:r>
          <w:r>
            <w:rPr>
              <w:rFonts w:hint="eastAsia" w:asciiTheme="minorEastAsia" w:hAnsiTheme="minorEastAsia" w:eastAsiaTheme="minorEastAsia"/>
              <w:szCs w:val="21"/>
            </w:rPr>
            <w:t>附件二</w:t>
          </w:r>
          <w:r>
            <w:tab/>
          </w:r>
          <w:r>
            <w:fldChar w:fldCharType="begin"/>
          </w:r>
          <w:r>
            <w:instrText xml:space="preserve"> PAGEREF _Toc25698 </w:instrText>
          </w:r>
          <w:r>
            <w:fldChar w:fldCharType="separate"/>
          </w:r>
          <w:r>
            <w:t>69</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_Toc28153 </w:instrText>
          </w:r>
          <w:r>
            <w:rPr>
              <w:rFonts w:asciiTheme="minorEastAsia" w:hAnsiTheme="minorEastAsia" w:eastAsiaTheme="minorEastAsia"/>
            </w:rPr>
            <w:fldChar w:fldCharType="separate"/>
          </w:r>
          <w:r>
            <w:rPr>
              <w:rFonts w:hint="eastAsia" w:asciiTheme="minorEastAsia" w:hAnsiTheme="minorEastAsia" w:eastAsiaTheme="minorEastAsia"/>
              <w:szCs w:val="21"/>
            </w:rPr>
            <w:t>附件三</w:t>
          </w:r>
          <w:r>
            <w:tab/>
          </w:r>
          <w:r>
            <w:fldChar w:fldCharType="begin"/>
          </w:r>
          <w:r>
            <w:instrText xml:space="preserve"> PAGEREF _Toc28153 </w:instrText>
          </w:r>
          <w:r>
            <w:fldChar w:fldCharType="separate"/>
          </w:r>
          <w:r>
            <w:t>70</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_Toc28271 </w:instrText>
          </w:r>
          <w:r>
            <w:rPr>
              <w:rFonts w:asciiTheme="minorEastAsia" w:hAnsiTheme="minorEastAsia" w:eastAsiaTheme="minorEastAsia"/>
            </w:rPr>
            <w:fldChar w:fldCharType="separate"/>
          </w:r>
          <w:r>
            <w:rPr>
              <w:rFonts w:hint="eastAsia" w:asciiTheme="minorEastAsia" w:hAnsiTheme="minorEastAsia" w:eastAsiaTheme="minorEastAsia"/>
              <w:bCs/>
              <w:szCs w:val="21"/>
            </w:rPr>
            <w:t>附件四</w:t>
          </w:r>
          <w:r>
            <w:tab/>
          </w:r>
          <w:r>
            <w:fldChar w:fldCharType="begin"/>
          </w:r>
          <w:r>
            <w:instrText xml:space="preserve"> PAGEREF _Toc28271 </w:instrText>
          </w:r>
          <w:r>
            <w:fldChar w:fldCharType="separate"/>
          </w:r>
          <w:r>
            <w:t>71</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_Toc5329 </w:instrText>
          </w:r>
          <w:r>
            <w:rPr>
              <w:rFonts w:asciiTheme="minorEastAsia" w:hAnsiTheme="minorEastAsia" w:eastAsiaTheme="minorEastAsia"/>
            </w:rPr>
            <w:fldChar w:fldCharType="separate"/>
          </w:r>
          <w:r>
            <w:rPr>
              <w:rFonts w:hint="eastAsia" w:asciiTheme="minorEastAsia" w:hAnsiTheme="minorEastAsia" w:eastAsiaTheme="minorEastAsia"/>
              <w:bCs/>
              <w:szCs w:val="21"/>
            </w:rPr>
            <w:t>附件五</w:t>
          </w:r>
          <w:r>
            <w:tab/>
          </w:r>
          <w:r>
            <w:fldChar w:fldCharType="begin"/>
          </w:r>
          <w:r>
            <w:instrText xml:space="preserve"> PAGEREF _Toc5329 </w:instrText>
          </w:r>
          <w:r>
            <w:fldChar w:fldCharType="separate"/>
          </w:r>
          <w:r>
            <w:t>72</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_Toc27659 </w:instrText>
          </w:r>
          <w:r>
            <w:rPr>
              <w:rFonts w:asciiTheme="minorEastAsia" w:hAnsiTheme="minorEastAsia" w:eastAsiaTheme="minorEastAsia"/>
            </w:rPr>
            <w:fldChar w:fldCharType="separate"/>
          </w:r>
          <w:r>
            <w:rPr>
              <w:rFonts w:hint="eastAsia" w:asciiTheme="minorEastAsia" w:hAnsiTheme="minorEastAsia" w:eastAsiaTheme="minorEastAsia"/>
              <w:bCs/>
              <w:szCs w:val="21"/>
            </w:rPr>
            <w:t>附件六</w:t>
          </w:r>
          <w:r>
            <w:tab/>
          </w:r>
          <w:r>
            <w:fldChar w:fldCharType="begin"/>
          </w:r>
          <w:r>
            <w:instrText xml:space="preserve"> PAGEREF _Toc27659 </w:instrText>
          </w:r>
          <w:r>
            <w:fldChar w:fldCharType="separate"/>
          </w:r>
          <w:r>
            <w:t>73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_Toc553 </w:instrText>
          </w:r>
          <w:r>
            <w:rPr>
              <w:rFonts w:asciiTheme="minorEastAsia" w:hAnsiTheme="minorEastAsia" w:eastAsiaTheme="minorEastAsia"/>
            </w:rPr>
            <w:fldChar w:fldCharType="separate"/>
          </w:r>
          <w:r>
            <w:rPr>
              <w:rFonts w:hint="eastAsia" w:asciiTheme="minorEastAsia" w:hAnsiTheme="minorEastAsia" w:eastAsiaTheme="minorEastAsia"/>
              <w:szCs w:val="21"/>
            </w:rPr>
            <w:t>附件七</w:t>
          </w:r>
          <w:r>
            <w:tab/>
          </w:r>
          <w:r>
            <w:fldChar w:fldCharType="begin"/>
          </w:r>
          <w:r>
            <w:instrText xml:space="preserve"> PAGEREF _Toc553 </w:instrText>
          </w:r>
          <w:r>
            <w:fldChar w:fldCharType="separate"/>
          </w:r>
          <w:r>
            <w:t>75</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_Toc15265 </w:instrText>
          </w:r>
          <w:r>
            <w:rPr>
              <w:rFonts w:asciiTheme="minorEastAsia" w:hAnsiTheme="minorEastAsia" w:eastAsiaTheme="minorEastAsia"/>
            </w:rPr>
            <w:fldChar w:fldCharType="separate"/>
          </w:r>
          <w:r>
            <w:rPr>
              <w:rFonts w:hint="eastAsia" w:asciiTheme="minorEastAsia" w:hAnsiTheme="minorEastAsia" w:eastAsiaTheme="minorEastAsia"/>
              <w:szCs w:val="21"/>
            </w:rPr>
            <w:t>附件八</w:t>
          </w:r>
          <w:r>
            <w:tab/>
          </w:r>
          <w:r>
            <w:fldChar w:fldCharType="begin"/>
          </w:r>
          <w:r>
            <w:instrText xml:space="preserve"> PAGEREF _Toc15265 </w:instrText>
          </w:r>
          <w:r>
            <w:fldChar w:fldCharType="separate"/>
          </w:r>
          <w:r>
            <w:t>76</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_Toc28210 </w:instrText>
          </w:r>
          <w:r>
            <w:rPr>
              <w:rFonts w:asciiTheme="minorEastAsia" w:hAnsiTheme="minorEastAsia" w:eastAsiaTheme="minorEastAsia"/>
            </w:rPr>
            <w:fldChar w:fldCharType="separate"/>
          </w:r>
          <w:r>
            <w:rPr>
              <w:rFonts w:hint="eastAsia" w:asciiTheme="minorEastAsia" w:hAnsiTheme="minorEastAsia" w:eastAsiaTheme="minorEastAsia"/>
              <w:szCs w:val="21"/>
            </w:rPr>
            <w:t>附件九</w:t>
          </w:r>
          <w:r>
            <w:tab/>
          </w:r>
          <w:r>
            <w:fldChar w:fldCharType="begin"/>
          </w:r>
          <w:r>
            <w:instrText xml:space="preserve"> PAGEREF _Toc28210 </w:instrText>
          </w:r>
          <w:r>
            <w:fldChar w:fldCharType="separate"/>
          </w:r>
          <w:r>
            <w:t>77</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_Toc578 </w:instrText>
          </w:r>
          <w:r>
            <w:rPr>
              <w:rFonts w:asciiTheme="minorEastAsia" w:hAnsiTheme="minorEastAsia" w:eastAsiaTheme="minorEastAsia"/>
            </w:rPr>
            <w:fldChar w:fldCharType="separate"/>
          </w:r>
          <w:r>
            <w:rPr>
              <w:rFonts w:hint="eastAsia" w:cs="Arial" w:asciiTheme="minorEastAsia" w:hAnsiTheme="minorEastAsia" w:eastAsiaTheme="minorEastAsia"/>
              <w:szCs w:val="21"/>
            </w:rPr>
            <w:t>附件十</w:t>
          </w:r>
          <w:r>
            <w:tab/>
          </w:r>
          <w:r>
            <w:fldChar w:fldCharType="begin"/>
          </w:r>
          <w:r>
            <w:instrText xml:space="preserve"> PAGEREF _Toc578 </w:instrText>
          </w:r>
          <w:r>
            <w:fldChar w:fldCharType="separate"/>
          </w:r>
          <w:r>
            <w:t>78</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_Toc10431 </w:instrText>
          </w:r>
          <w:r>
            <w:rPr>
              <w:rFonts w:asciiTheme="minorEastAsia" w:hAnsiTheme="minorEastAsia" w:eastAsiaTheme="minorEastAsia"/>
            </w:rPr>
            <w:fldChar w:fldCharType="separate"/>
          </w:r>
          <w:r>
            <w:rPr>
              <w:rFonts w:hint="eastAsia" w:cs="Arial" w:asciiTheme="minorEastAsia" w:hAnsiTheme="minorEastAsia" w:eastAsiaTheme="minorEastAsia"/>
              <w:szCs w:val="21"/>
            </w:rPr>
            <w:t>附件十一</w:t>
          </w:r>
          <w:r>
            <w:tab/>
          </w:r>
          <w:r>
            <w:fldChar w:fldCharType="begin"/>
          </w:r>
          <w:r>
            <w:instrText xml:space="preserve"> PAGEREF _Toc10431 </w:instrText>
          </w:r>
          <w:r>
            <w:fldChar w:fldCharType="separate"/>
          </w:r>
          <w:r>
            <w:t>79</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_Toc7023 </w:instrText>
          </w:r>
          <w:r>
            <w:rPr>
              <w:rFonts w:asciiTheme="minorEastAsia" w:hAnsiTheme="minorEastAsia" w:eastAsiaTheme="minorEastAsia"/>
            </w:rPr>
            <w:fldChar w:fldCharType="separate"/>
          </w:r>
          <w:r>
            <w:rPr>
              <w:rFonts w:hint="eastAsia" w:cs="Arial" w:asciiTheme="minorEastAsia" w:hAnsiTheme="minorEastAsia" w:eastAsiaTheme="minorEastAsia"/>
              <w:szCs w:val="21"/>
            </w:rPr>
            <w:t>附件十二</w:t>
          </w:r>
          <w:r>
            <w:tab/>
          </w:r>
          <w:r>
            <w:fldChar w:fldCharType="begin"/>
          </w:r>
          <w:r>
            <w:instrText xml:space="preserve"> PAGEREF _Toc7023 </w:instrText>
          </w:r>
          <w:r>
            <w:fldChar w:fldCharType="separate"/>
          </w:r>
          <w:r>
            <w:t>80</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_Toc9818 </w:instrText>
          </w:r>
          <w:r>
            <w:rPr>
              <w:rFonts w:asciiTheme="minorEastAsia" w:hAnsiTheme="minorEastAsia" w:eastAsiaTheme="minorEastAsia"/>
            </w:rPr>
            <w:fldChar w:fldCharType="separate"/>
          </w:r>
          <w:r>
            <w:rPr>
              <w:rFonts w:hint="eastAsia" w:cs="Arial" w:asciiTheme="minorEastAsia" w:hAnsiTheme="minorEastAsia" w:eastAsiaTheme="minorEastAsia"/>
              <w:szCs w:val="21"/>
            </w:rPr>
            <w:t>附件十三</w:t>
          </w:r>
          <w:r>
            <w:tab/>
          </w:r>
          <w:r>
            <w:fldChar w:fldCharType="begin"/>
          </w:r>
          <w:r>
            <w:instrText xml:space="preserve"> PAGEREF _Toc9818 </w:instrText>
          </w:r>
          <w:r>
            <w:fldChar w:fldCharType="separate"/>
          </w:r>
          <w:r>
            <w:t>81</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_Toc23636 </w:instrText>
          </w:r>
          <w:r>
            <w:rPr>
              <w:rFonts w:asciiTheme="minorEastAsia" w:hAnsiTheme="minorEastAsia" w:eastAsiaTheme="minorEastAsia"/>
            </w:rPr>
            <w:fldChar w:fldCharType="separate"/>
          </w:r>
          <w:r>
            <w:rPr>
              <w:rFonts w:hint="eastAsia" w:cs="Arial" w:asciiTheme="minorEastAsia" w:hAnsiTheme="minorEastAsia" w:eastAsiaTheme="minorEastAsia"/>
              <w:szCs w:val="21"/>
            </w:rPr>
            <w:t>附件十四</w:t>
          </w:r>
          <w:r>
            <w:tab/>
          </w:r>
          <w:r>
            <w:fldChar w:fldCharType="begin"/>
          </w:r>
          <w:r>
            <w:instrText xml:space="preserve"> PAGEREF _Toc23636 </w:instrText>
          </w:r>
          <w:r>
            <w:fldChar w:fldCharType="separate"/>
          </w:r>
          <w:r>
            <w:t>83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_Toc30499 </w:instrText>
          </w:r>
          <w:r>
            <w:rPr>
              <w:rFonts w:asciiTheme="minorEastAsia" w:hAnsiTheme="minorEastAsia" w:eastAsiaTheme="minorEastAsia"/>
            </w:rPr>
            <w:fldChar w:fldCharType="separate"/>
          </w:r>
          <w:r>
            <w:rPr>
              <w:rFonts w:asciiTheme="minorEastAsia" w:hAnsiTheme="minorEastAsia" w:eastAsiaTheme="minorEastAsia"/>
              <w:szCs w:val="28"/>
            </w:rPr>
            <w:t>施工组织设计</w:t>
          </w:r>
          <w:r>
            <w:tab/>
          </w:r>
          <w:r>
            <w:fldChar w:fldCharType="begin"/>
          </w:r>
          <w:r>
            <w:instrText xml:space="preserve"> PAGEREF _Toc30499 </w:instrText>
          </w:r>
          <w:r>
            <w:fldChar w:fldCharType="separate"/>
          </w:r>
          <w:r>
            <w:t>83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_Toc28077 </w:instrText>
          </w:r>
          <w:r>
            <w:rPr>
              <w:rFonts w:asciiTheme="minorEastAsia" w:hAnsiTheme="minorEastAsia" w:eastAsiaTheme="minorEastAsia"/>
            </w:rPr>
            <w:fldChar w:fldCharType="separate"/>
          </w:r>
          <w:r>
            <w:rPr>
              <w:rFonts w:asciiTheme="minorEastAsia" w:hAnsiTheme="minorEastAsia" w:eastAsiaTheme="minorEastAsia"/>
              <w:szCs w:val="21"/>
            </w:rPr>
            <w:t>附表一</w:t>
          </w:r>
          <w:r>
            <w:rPr>
              <w:rFonts w:hint="eastAsia" w:asciiTheme="minorEastAsia" w:hAnsiTheme="minorEastAsia" w:eastAsiaTheme="minorEastAsia"/>
              <w:szCs w:val="21"/>
            </w:rPr>
            <w:t xml:space="preserve"> 项目管理机构配备情况表</w:t>
          </w:r>
          <w:r>
            <w:tab/>
          </w:r>
          <w:r>
            <w:fldChar w:fldCharType="begin"/>
          </w:r>
          <w:r>
            <w:instrText xml:space="preserve"> PAGEREF _Toc28077 </w:instrText>
          </w:r>
          <w:r>
            <w:fldChar w:fldCharType="separate"/>
          </w:r>
          <w:r>
            <w:t>83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_Toc32154 </w:instrText>
          </w:r>
          <w:r>
            <w:rPr>
              <w:rFonts w:asciiTheme="minorEastAsia" w:hAnsiTheme="minorEastAsia" w:eastAsiaTheme="minorEastAsia"/>
            </w:rPr>
            <w:fldChar w:fldCharType="separate"/>
          </w:r>
          <w:r>
            <w:rPr>
              <w:rFonts w:asciiTheme="minorEastAsia" w:hAnsiTheme="minorEastAsia" w:eastAsiaTheme="minorEastAsia"/>
              <w:szCs w:val="21"/>
            </w:rPr>
            <w:t>附表二</w:t>
          </w:r>
          <w:r>
            <w:rPr>
              <w:rFonts w:hint="eastAsia" w:asciiTheme="minorEastAsia" w:hAnsiTheme="minorEastAsia" w:eastAsiaTheme="minorEastAsia"/>
              <w:szCs w:val="21"/>
              <w:lang w:val="en-US" w:eastAsia="zh-CN"/>
            </w:rPr>
            <w:t xml:space="preserve"> </w:t>
          </w:r>
          <w:r>
            <w:rPr>
              <w:rFonts w:asciiTheme="minorEastAsia" w:hAnsiTheme="minorEastAsia" w:eastAsiaTheme="minorEastAsia"/>
              <w:szCs w:val="21"/>
            </w:rPr>
            <w:t>拟投入本工程的主要施工设备表</w:t>
          </w:r>
          <w:r>
            <w:tab/>
          </w:r>
          <w:r>
            <w:fldChar w:fldCharType="begin"/>
          </w:r>
          <w:r>
            <w:instrText xml:space="preserve"> PAGEREF _Toc32154 </w:instrText>
          </w:r>
          <w:r>
            <w:fldChar w:fldCharType="separate"/>
          </w:r>
          <w:r>
            <w:t>83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_Toc23013 </w:instrText>
          </w:r>
          <w:r>
            <w:rPr>
              <w:rFonts w:asciiTheme="minorEastAsia" w:hAnsiTheme="minorEastAsia" w:eastAsiaTheme="minorEastAsia"/>
            </w:rPr>
            <w:fldChar w:fldCharType="separate"/>
          </w:r>
          <w:r>
            <w:rPr>
              <w:rFonts w:asciiTheme="minorEastAsia" w:hAnsiTheme="minorEastAsia" w:eastAsiaTheme="minorEastAsia"/>
              <w:szCs w:val="21"/>
            </w:rPr>
            <w:t>附表</w:t>
          </w:r>
          <w:r>
            <w:rPr>
              <w:rFonts w:hint="eastAsia" w:asciiTheme="minorEastAsia" w:hAnsiTheme="minorEastAsia" w:eastAsiaTheme="minorEastAsia"/>
              <w:szCs w:val="21"/>
            </w:rPr>
            <w:t>三</w:t>
          </w:r>
          <w:r>
            <w:rPr>
              <w:rFonts w:asciiTheme="minorEastAsia" w:hAnsiTheme="minorEastAsia" w:eastAsiaTheme="minorEastAsia"/>
              <w:szCs w:val="21"/>
            </w:rPr>
            <w:t xml:space="preserve"> 拟配备本工程的试验和检测仪器设备表</w:t>
          </w:r>
          <w:r>
            <w:tab/>
          </w:r>
          <w:r>
            <w:fldChar w:fldCharType="begin"/>
          </w:r>
          <w:r>
            <w:instrText xml:space="preserve"> PAGEREF _Toc23013 </w:instrText>
          </w:r>
          <w:r>
            <w:fldChar w:fldCharType="separate"/>
          </w:r>
          <w:r>
            <w:t>83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_Toc11453 </w:instrText>
          </w:r>
          <w:r>
            <w:rPr>
              <w:rFonts w:asciiTheme="minorEastAsia" w:hAnsiTheme="minorEastAsia" w:eastAsiaTheme="minorEastAsia"/>
            </w:rPr>
            <w:fldChar w:fldCharType="separate"/>
          </w:r>
          <w:r>
            <w:rPr>
              <w:rFonts w:asciiTheme="minorEastAsia" w:hAnsiTheme="minorEastAsia" w:eastAsiaTheme="minorEastAsia"/>
              <w:szCs w:val="21"/>
            </w:rPr>
            <w:t>附表</w:t>
          </w:r>
          <w:r>
            <w:rPr>
              <w:rFonts w:hint="eastAsia" w:asciiTheme="minorEastAsia" w:hAnsiTheme="minorEastAsia" w:eastAsiaTheme="minorEastAsia"/>
              <w:szCs w:val="21"/>
            </w:rPr>
            <w:t>四</w:t>
          </w:r>
          <w:r>
            <w:rPr>
              <w:rFonts w:asciiTheme="minorEastAsia" w:hAnsiTheme="minorEastAsia" w:eastAsiaTheme="minorEastAsia"/>
              <w:szCs w:val="21"/>
            </w:rPr>
            <w:t xml:space="preserve"> 劳动力计划表</w:t>
          </w:r>
          <w:r>
            <w:tab/>
          </w:r>
          <w:r>
            <w:fldChar w:fldCharType="begin"/>
          </w:r>
          <w:r>
            <w:instrText xml:space="preserve"> PAGEREF _Toc11453 </w:instrText>
          </w:r>
          <w:r>
            <w:fldChar w:fldCharType="separate"/>
          </w:r>
          <w:r>
            <w:t>83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_Toc6458 </w:instrText>
          </w:r>
          <w:r>
            <w:rPr>
              <w:rFonts w:asciiTheme="minorEastAsia" w:hAnsiTheme="minorEastAsia" w:eastAsiaTheme="minorEastAsia"/>
            </w:rPr>
            <w:fldChar w:fldCharType="separate"/>
          </w:r>
          <w:r>
            <w:rPr>
              <w:rFonts w:asciiTheme="minorEastAsia" w:hAnsiTheme="minorEastAsia" w:eastAsiaTheme="minorEastAsia"/>
              <w:szCs w:val="21"/>
            </w:rPr>
            <w:t>附表</w:t>
          </w:r>
          <w:r>
            <w:rPr>
              <w:rFonts w:hint="eastAsia" w:asciiTheme="minorEastAsia" w:hAnsiTheme="minorEastAsia" w:eastAsiaTheme="minorEastAsia"/>
              <w:szCs w:val="21"/>
            </w:rPr>
            <w:t>五</w:t>
          </w:r>
          <w:r>
            <w:rPr>
              <w:rFonts w:asciiTheme="minorEastAsia" w:hAnsiTheme="minorEastAsia" w:eastAsiaTheme="minorEastAsia"/>
              <w:szCs w:val="21"/>
            </w:rPr>
            <w:t xml:space="preserve"> 计划开、竣工日期和施工进度网络图</w:t>
          </w:r>
          <w:r>
            <w:tab/>
          </w:r>
          <w:r>
            <w:fldChar w:fldCharType="begin"/>
          </w:r>
          <w:r>
            <w:instrText xml:space="preserve"> PAGEREF _Toc6458 </w:instrText>
          </w:r>
          <w:r>
            <w:fldChar w:fldCharType="separate"/>
          </w:r>
          <w:r>
            <w:t>83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_Toc4136 </w:instrText>
          </w:r>
          <w:r>
            <w:rPr>
              <w:rFonts w:asciiTheme="minorEastAsia" w:hAnsiTheme="minorEastAsia" w:eastAsiaTheme="minorEastAsia"/>
            </w:rPr>
            <w:fldChar w:fldCharType="separate"/>
          </w:r>
          <w:r>
            <w:rPr>
              <w:rFonts w:asciiTheme="minorEastAsia" w:hAnsiTheme="minorEastAsia" w:eastAsiaTheme="minorEastAsia"/>
              <w:szCs w:val="21"/>
            </w:rPr>
            <w:t>附表</w:t>
          </w:r>
          <w:r>
            <w:rPr>
              <w:rFonts w:hint="eastAsia" w:asciiTheme="minorEastAsia" w:hAnsiTheme="minorEastAsia" w:eastAsiaTheme="minorEastAsia"/>
              <w:szCs w:val="21"/>
            </w:rPr>
            <w:t>六</w:t>
          </w:r>
          <w:r>
            <w:rPr>
              <w:rFonts w:asciiTheme="minorEastAsia" w:hAnsiTheme="minorEastAsia" w:eastAsiaTheme="minorEastAsia"/>
              <w:szCs w:val="21"/>
            </w:rPr>
            <w:t xml:space="preserve"> 施工总平面图</w:t>
          </w:r>
          <w:r>
            <w:tab/>
          </w:r>
          <w:r>
            <w:fldChar w:fldCharType="begin"/>
          </w:r>
          <w:r>
            <w:instrText xml:space="preserve"> PAGEREF _Toc4136 </w:instrText>
          </w:r>
          <w:r>
            <w:fldChar w:fldCharType="separate"/>
          </w:r>
          <w:r>
            <w:t>83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_Toc29667 </w:instrText>
          </w:r>
          <w:r>
            <w:rPr>
              <w:rFonts w:asciiTheme="minorEastAsia" w:hAnsiTheme="minorEastAsia" w:eastAsiaTheme="minorEastAsia"/>
            </w:rPr>
            <w:fldChar w:fldCharType="separate"/>
          </w:r>
          <w:r>
            <w:rPr>
              <w:rFonts w:asciiTheme="minorEastAsia" w:hAnsiTheme="minorEastAsia" w:eastAsiaTheme="minorEastAsia"/>
              <w:szCs w:val="21"/>
            </w:rPr>
            <w:t>附表</w:t>
          </w:r>
          <w:r>
            <w:rPr>
              <w:rFonts w:hint="eastAsia" w:asciiTheme="minorEastAsia" w:hAnsiTheme="minorEastAsia" w:eastAsiaTheme="minorEastAsia"/>
              <w:szCs w:val="21"/>
            </w:rPr>
            <w:t>七</w:t>
          </w:r>
          <w:r>
            <w:rPr>
              <w:rFonts w:asciiTheme="minorEastAsia" w:hAnsiTheme="minorEastAsia" w:eastAsiaTheme="minorEastAsia"/>
              <w:szCs w:val="21"/>
            </w:rPr>
            <w:t xml:space="preserve"> 临时用地表</w:t>
          </w:r>
          <w:r>
            <w:tab/>
          </w:r>
          <w:r>
            <w:fldChar w:fldCharType="begin"/>
          </w:r>
          <w:r>
            <w:instrText xml:space="preserve"> PAGEREF _Toc29667 </w:instrText>
          </w:r>
          <w:r>
            <w:fldChar w:fldCharType="separate"/>
          </w:r>
          <w:r>
            <w:t>83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_Toc13843 </w:instrText>
          </w:r>
          <w:r>
            <w:rPr>
              <w:rFonts w:asciiTheme="minorEastAsia" w:hAnsiTheme="minorEastAsia" w:eastAsiaTheme="minorEastAsia"/>
            </w:rPr>
            <w:fldChar w:fldCharType="separate"/>
          </w:r>
          <w:r>
            <w:rPr>
              <w:rFonts w:hint="eastAsia" w:asciiTheme="minorEastAsia" w:hAnsiTheme="minorEastAsia" w:eastAsiaTheme="minorEastAsia"/>
              <w:szCs w:val="21"/>
            </w:rPr>
            <w:t>附表八 拟分包情况表</w:t>
          </w:r>
          <w:r>
            <w:tab/>
          </w:r>
          <w:r>
            <w:fldChar w:fldCharType="begin"/>
          </w:r>
          <w:r>
            <w:instrText xml:space="preserve"> PAGEREF _Toc13843 </w:instrText>
          </w:r>
          <w:r>
            <w:fldChar w:fldCharType="separate"/>
          </w:r>
          <w:r>
            <w:t>83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_Toc4751 </w:instrText>
          </w:r>
          <w:r>
            <w:rPr>
              <w:rFonts w:asciiTheme="minorEastAsia" w:hAnsiTheme="minorEastAsia" w:eastAsiaTheme="minorEastAsia"/>
            </w:rPr>
            <w:fldChar w:fldCharType="separate"/>
          </w:r>
          <w:r>
            <w:rPr>
              <w:rFonts w:asciiTheme="minorEastAsia" w:hAnsiTheme="minorEastAsia" w:eastAsiaTheme="minorEastAsia"/>
            </w:rPr>
            <w:t>附表一</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szCs w:val="21"/>
            </w:rPr>
            <w:t>项目管理机构配备情况表</w:t>
          </w:r>
          <w:r>
            <w:tab/>
          </w:r>
          <w:r>
            <w:fldChar w:fldCharType="begin"/>
          </w:r>
          <w:r>
            <w:instrText xml:space="preserve"> PAGEREF _Toc4751 </w:instrText>
          </w:r>
          <w:r>
            <w:fldChar w:fldCharType="separate"/>
          </w:r>
          <w:r>
            <w:t>83</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_Toc4708 </w:instrText>
          </w:r>
          <w:r>
            <w:rPr>
              <w:rFonts w:asciiTheme="minorEastAsia" w:hAnsiTheme="minorEastAsia" w:eastAsiaTheme="minorEastAsia"/>
            </w:rPr>
            <w:fldChar w:fldCharType="separate"/>
          </w:r>
          <w:r>
            <w:rPr>
              <w:rFonts w:hint="eastAsia" w:asciiTheme="minorEastAsia" w:hAnsiTheme="minorEastAsia" w:eastAsiaTheme="minorEastAsia"/>
            </w:rPr>
            <w:t>附表二</w:t>
          </w:r>
          <w:r>
            <w:rPr>
              <w:rFonts w:hint="eastAsia" w:asciiTheme="minorEastAsia" w:hAnsiTheme="minorEastAsia" w:eastAsiaTheme="minorEastAsia"/>
              <w:lang w:val="en-US" w:eastAsia="zh-CN"/>
            </w:rPr>
            <w:t xml:space="preserve"> </w:t>
          </w:r>
          <w:r>
            <w:rPr>
              <w:rFonts w:asciiTheme="minorEastAsia" w:hAnsiTheme="minorEastAsia" w:eastAsiaTheme="minorEastAsia"/>
            </w:rPr>
            <w:t>拟投入本</w:t>
          </w:r>
          <w:r>
            <w:rPr>
              <w:rFonts w:asciiTheme="minorEastAsia" w:hAnsiTheme="minorEastAsia" w:eastAsiaTheme="minorEastAsia"/>
              <w:szCs w:val="21"/>
            </w:rPr>
            <w:t>工程</w:t>
          </w:r>
          <w:r>
            <w:rPr>
              <w:rFonts w:asciiTheme="minorEastAsia" w:hAnsiTheme="minorEastAsia" w:eastAsiaTheme="minorEastAsia"/>
            </w:rPr>
            <w:t>的主要施工设备表</w:t>
          </w:r>
          <w:r>
            <w:tab/>
          </w:r>
          <w:r>
            <w:fldChar w:fldCharType="begin"/>
          </w:r>
          <w:r>
            <w:instrText xml:space="preserve"> PAGEREF _Toc4708 </w:instrText>
          </w:r>
          <w:r>
            <w:fldChar w:fldCharType="separate"/>
          </w:r>
          <w:r>
            <w:t>84</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_Toc6072 </w:instrText>
          </w:r>
          <w:r>
            <w:rPr>
              <w:rFonts w:asciiTheme="minorEastAsia" w:hAnsiTheme="minorEastAsia" w:eastAsiaTheme="minorEastAsia"/>
            </w:rPr>
            <w:fldChar w:fldCharType="separate"/>
          </w:r>
          <w:r>
            <w:rPr>
              <w:rFonts w:asciiTheme="minorEastAsia" w:hAnsiTheme="minorEastAsia" w:eastAsiaTheme="minorEastAsia"/>
            </w:rPr>
            <w:t>附表</w:t>
          </w:r>
          <w:r>
            <w:rPr>
              <w:rFonts w:hint="eastAsia" w:asciiTheme="minorEastAsia" w:hAnsiTheme="minorEastAsia" w:eastAsiaTheme="minorEastAsia"/>
            </w:rPr>
            <w:t>三</w:t>
          </w:r>
          <w:r>
            <w:rPr>
              <w:rFonts w:hint="eastAsia" w:asciiTheme="minorEastAsia" w:hAnsiTheme="minorEastAsia" w:eastAsiaTheme="minorEastAsia"/>
              <w:lang w:val="en-US" w:eastAsia="zh-CN"/>
            </w:rPr>
            <w:t xml:space="preserve"> </w:t>
          </w:r>
          <w:r>
            <w:rPr>
              <w:rFonts w:asciiTheme="minorEastAsia" w:hAnsiTheme="minorEastAsia" w:eastAsiaTheme="minorEastAsia"/>
            </w:rPr>
            <w:t>拟配备本工程的试验和检测仪器设备表</w:t>
          </w:r>
          <w:r>
            <w:tab/>
          </w:r>
          <w:r>
            <w:fldChar w:fldCharType="begin"/>
          </w:r>
          <w:r>
            <w:instrText xml:space="preserve"> PAGEREF _Toc6072 </w:instrText>
          </w:r>
          <w:r>
            <w:fldChar w:fldCharType="separate"/>
          </w:r>
          <w:r>
            <w:t>84</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_Toc27441 </w:instrText>
          </w:r>
          <w:r>
            <w:rPr>
              <w:rFonts w:asciiTheme="minorEastAsia" w:hAnsiTheme="minorEastAsia" w:eastAsiaTheme="minorEastAsia"/>
            </w:rPr>
            <w:fldChar w:fldCharType="separate"/>
          </w:r>
          <w:r>
            <w:rPr>
              <w:rFonts w:asciiTheme="minorEastAsia" w:hAnsiTheme="minorEastAsia" w:eastAsiaTheme="minorEastAsia"/>
            </w:rPr>
            <w:t>附表</w:t>
          </w:r>
          <w:r>
            <w:rPr>
              <w:rFonts w:hint="eastAsia" w:asciiTheme="minorEastAsia" w:hAnsiTheme="minorEastAsia" w:eastAsiaTheme="minorEastAsia"/>
            </w:rPr>
            <w:t>四</w:t>
          </w:r>
          <w:r>
            <w:rPr>
              <w:rFonts w:hint="eastAsia" w:asciiTheme="minorEastAsia" w:hAnsiTheme="minorEastAsia" w:eastAsiaTheme="minorEastAsia"/>
              <w:lang w:val="en-US" w:eastAsia="zh-CN"/>
            </w:rPr>
            <w:t xml:space="preserve"> </w:t>
          </w:r>
          <w:r>
            <w:rPr>
              <w:rFonts w:asciiTheme="minorEastAsia" w:hAnsiTheme="minorEastAsia" w:eastAsiaTheme="minorEastAsia"/>
            </w:rPr>
            <w:t>劳动力计划表</w:t>
          </w:r>
          <w:r>
            <w:tab/>
          </w:r>
          <w:r>
            <w:fldChar w:fldCharType="begin"/>
          </w:r>
          <w:r>
            <w:instrText xml:space="preserve"> PAGEREF _Toc27441 </w:instrText>
          </w:r>
          <w:r>
            <w:fldChar w:fldCharType="separate"/>
          </w:r>
          <w:r>
            <w:t>84</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_Toc12439 </w:instrText>
          </w:r>
          <w:r>
            <w:rPr>
              <w:rFonts w:asciiTheme="minorEastAsia" w:hAnsiTheme="minorEastAsia" w:eastAsiaTheme="minorEastAsia"/>
            </w:rPr>
            <w:fldChar w:fldCharType="separate"/>
          </w:r>
          <w:r>
            <w:rPr>
              <w:rFonts w:asciiTheme="minorEastAsia" w:hAnsiTheme="minorEastAsia" w:eastAsiaTheme="minorEastAsia"/>
            </w:rPr>
            <w:t>附表</w:t>
          </w:r>
          <w:r>
            <w:rPr>
              <w:rFonts w:hint="eastAsia" w:asciiTheme="minorEastAsia" w:hAnsiTheme="minorEastAsia" w:eastAsiaTheme="minorEastAsia"/>
            </w:rPr>
            <w:t>五</w:t>
          </w:r>
          <w:r>
            <w:rPr>
              <w:rFonts w:hint="eastAsia" w:asciiTheme="minorEastAsia" w:hAnsiTheme="minorEastAsia" w:eastAsiaTheme="minorEastAsia"/>
              <w:lang w:val="en-US" w:eastAsia="zh-CN"/>
            </w:rPr>
            <w:t xml:space="preserve"> </w:t>
          </w:r>
          <w:r>
            <w:rPr>
              <w:rFonts w:asciiTheme="minorEastAsia" w:hAnsiTheme="minorEastAsia" w:eastAsiaTheme="minorEastAsia"/>
            </w:rPr>
            <w:t>计划开、竣工日期和施工进度</w:t>
          </w:r>
          <w:r>
            <w:rPr>
              <w:rFonts w:hint="eastAsia" w:asciiTheme="minorEastAsia" w:hAnsiTheme="minorEastAsia" w:eastAsiaTheme="minorEastAsia"/>
            </w:rPr>
            <w:t>计划（网络图或横道图）</w:t>
          </w:r>
          <w:r>
            <w:tab/>
          </w:r>
          <w:r>
            <w:fldChar w:fldCharType="begin"/>
          </w:r>
          <w:r>
            <w:instrText xml:space="preserve"> PAGEREF _Toc12439 </w:instrText>
          </w:r>
          <w:r>
            <w:fldChar w:fldCharType="separate"/>
          </w:r>
          <w:r>
            <w:t>85</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_Toc8800 </w:instrText>
          </w:r>
          <w:r>
            <w:rPr>
              <w:rFonts w:asciiTheme="minorEastAsia" w:hAnsiTheme="minorEastAsia" w:eastAsiaTheme="minorEastAsia"/>
            </w:rPr>
            <w:fldChar w:fldCharType="separate"/>
          </w:r>
          <w:r>
            <w:rPr>
              <w:rFonts w:asciiTheme="minorEastAsia" w:hAnsiTheme="minorEastAsia" w:eastAsiaTheme="minorEastAsia"/>
            </w:rPr>
            <w:t>附表</w:t>
          </w:r>
          <w:r>
            <w:rPr>
              <w:rFonts w:hint="eastAsia" w:asciiTheme="minorEastAsia" w:hAnsiTheme="minorEastAsia" w:eastAsiaTheme="minorEastAsia"/>
            </w:rPr>
            <w:t>六</w:t>
          </w:r>
          <w:r>
            <w:rPr>
              <w:rFonts w:hint="eastAsia" w:asciiTheme="minorEastAsia" w:hAnsiTheme="minorEastAsia" w:eastAsiaTheme="minorEastAsia"/>
              <w:lang w:val="en-US" w:eastAsia="zh-CN"/>
            </w:rPr>
            <w:t xml:space="preserve"> </w:t>
          </w:r>
          <w:r>
            <w:rPr>
              <w:rFonts w:asciiTheme="minorEastAsia" w:hAnsiTheme="minorEastAsia" w:eastAsiaTheme="minorEastAsia"/>
            </w:rPr>
            <w:t>施工总平面图</w:t>
          </w:r>
          <w:r>
            <w:tab/>
          </w:r>
          <w:r>
            <w:fldChar w:fldCharType="begin"/>
          </w:r>
          <w:r>
            <w:instrText xml:space="preserve"> PAGEREF _Toc8800 </w:instrText>
          </w:r>
          <w:r>
            <w:fldChar w:fldCharType="separate"/>
          </w:r>
          <w:r>
            <w:t>85</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_Toc17092 </w:instrText>
          </w:r>
          <w:r>
            <w:rPr>
              <w:rFonts w:asciiTheme="minorEastAsia" w:hAnsiTheme="minorEastAsia" w:eastAsiaTheme="minorEastAsia"/>
            </w:rPr>
            <w:fldChar w:fldCharType="separate"/>
          </w:r>
          <w:r>
            <w:rPr>
              <w:rFonts w:asciiTheme="minorEastAsia" w:hAnsiTheme="minorEastAsia" w:eastAsiaTheme="minorEastAsia"/>
            </w:rPr>
            <w:t>附表</w:t>
          </w:r>
          <w:r>
            <w:rPr>
              <w:rFonts w:hint="eastAsia" w:asciiTheme="minorEastAsia" w:hAnsiTheme="minorEastAsia" w:eastAsiaTheme="minorEastAsia"/>
            </w:rPr>
            <w:t>七</w:t>
          </w:r>
          <w:r>
            <w:rPr>
              <w:rFonts w:hint="eastAsia" w:asciiTheme="minorEastAsia" w:hAnsiTheme="minorEastAsia" w:eastAsiaTheme="minorEastAsia"/>
              <w:lang w:val="en-US" w:eastAsia="zh-CN"/>
            </w:rPr>
            <w:t xml:space="preserve"> </w:t>
          </w:r>
          <w:r>
            <w:rPr>
              <w:rFonts w:asciiTheme="minorEastAsia" w:hAnsiTheme="minorEastAsia" w:eastAsiaTheme="minorEastAsia"/>
            </w:rPr>
            <w:t>临时用地表</w:t>
          </w:r>
          <w:r>
            <w:tab/>
          </w:r>
          <w:r>
            <w:fldChar w:fldCharType="begin"/>
          </w:r>
          <w:r>
            <w:instrText xml:space="preserve"> PAGEREF _Toc17092 </w:instrText>
          </w:r>
          <w:r>
            <w:fldChar w:fldCharType="separate"/>
          </w:r>
          <w:r>
            <w:t>85</w:t>
          </w:r>
          <w:r>
            <w:fldChar w:fldCharType="end"/>
          </w:r>
          <w:r>
            <w:rPr>
              <w:rFonts w:asciiTheme="minorEastAsia" w:hAnsiTheme="minorEastAsia" w:eastAsiaTheme="minorEastAsia"/>
              <w:color w:val="auto"/>
            </w:rPr>
            <w:fldChar w:fldCharType="end"/>
          </w:r>
        </w:p>
        <w:p>
          <w:pPr>
            <w:pStyle w:val="36"/>
            <w:keepNext w:val="0"/>
            <w:keepLines w:val="0"/>
            <w:pageBreakBefore w:val="0"/>
            <w:tabs>
              <w:tab w:val="right" w:leader="dot" w:pos="9129"/>
              <w:tab w:val="clear" w:pos="9030"/>
            </w:tabs>
            <w:kinsoku/>
            <w:wordWrap/>
            <w:overflowPunct/>
            <w:topLinePunct w:val="0"/>
            <w:autoSpaceDE/>
            <w:autoSpaceDN/>
            <w:bidi w:val="0"/>
            <w:adjustRightInd/>
            <w:snapToGrid/>
            <w:spacing w:line="440" w:lineRule="exact"/>
          </w:pPr>
          <w:r>
            <w:rPr>
              <w:rFonts w:asciiTheme="minorEastAsia" w:hAnsiTheme="minorEastAsia" w:eastAsiaTheme="minorEastAsia"/>
              <w:color w:val="auto"/>
            </w:rPr>
            <w:fldChar w:fldCharType="begin"/>
          </w:r>
          <w:r>
            <w:rPr>
              <w:rFonts w:asciiTheme="minorEastAsia" w:hAnsiTheme="minorEastAsia" w:eastAsiaTheme="minorEastAsia"/>
            </w:rPr>
            <w:instrText xml:space="preserve"> HYPERLINK \l _Toc3406 </w:instrText>
          </w:r>
          <w:r>
            <w:rPr>
              <w:rFonts w:asciiTheme="minorEastAsia" w:hAnsiTheme="minorEastAsia" w:eastAsiaTheme="minorEastAsia"/>
            </w:rPr>
            <w:fldChar w:fldCharType="separate"/>
          </w:r>
          <w:r>
            <w:rPr>
              <w:rFonts w:hint="eastAsia" w:asciiTheme="minorEastAsia" w:hAnsiTheme="minorEastAsia" w:eastAsiaTheme="minorEastAsia"/>
              <w:szCs w:val="20"/>
            </w:rPr>
            <w:t>附表八</w:t>
          </w:r>
          <w:r>
            <w:rPr>
              <w:rFonts w:hint="eastAsia" w:asciiTheme="minorEastAsia" w:hAnsiTheme="minorEastAsia" w:eastAsiaTheme="minorEastAsia"/>
              <w:szCs w:val="20"/>
              <w:lang w:val="en-US" w:eastAsia="zh-CN"/>
            </w:rPr>
            <w:t xml:space="preserve"> </w:t>
          </w:r>
          <w:r>
            <w:rPr>
              <w:rFonts w:asciiTheme="minorEastAsia" w:hAnsiTheme="minorEastAsia" w:eastAsiaTheme="minorEastAsia"/>
              <w:szCs w:val="20"/>
            </w:rPr>
            <w:t>拟分包计划表</w:t>
          </w:r>
          <w:r>
            <w:tab/>
          </w:r>
          <w:r>
            <w:fldChar w:fldCharType="begin"/>
          </w:r>
          <w:r>
            <w:instrText xml:space="preserve"> PAGEREF _Toc3406 </w:instrText>
          </w:r>
          <w:r>
            <w:fldChar w:fldCharType="separate"/>
          </w:r>
          <w:r>
            <w:t>85</w:t>
          </w:r>
          <w:r>
            <w:fldChar w:fldCharType="end"/>
          </w:r>
          <w:r>
            <w:rPr>
              <w:rFonts w:asciiTheme="minorEastAsia" w:hAnsiTheme="minorEastAsia" w:eastAsiaTheme="minorEastAsia"/>
              <w:color w:val="auto"/>
            </w:rPr>
            <w:fldChar w:fldCharType="end"/>
          </w:r>
        </w:p>
        <w:p>
          <w:pPr>
            <w:keepNext w:val="0"/>
            <w:keepLines w:val="0"/>
            <w:pageBreakBefore w:val="0"/>
            <w:numPr>
              <w:ilvl w:val="0"/>
              <w:numId w:val="0"/>
            </w:numPr>
            <w:kinsoku/>
            <w:wordWrap/>
            <w:overflowPunct/>
            <w:topLinePunct w:val="0"/>
            <w:autoSpaceDE/>
            <w:autoSpaceDN/>
            <w:bidi w:val="0"/>
            <w:adjustRightInd/>
            <w:snapToGrid/>
            <w:spacing w:line="440" w:lineRule="exact"/>
            <w:rPr>
              <w:rFonts w:asciiTheme="minorEastAsia" w:hAnsiTheme="minorEastAsia" w:eastAsiaTheme="minorEastAsia"/>
              <w:color w:val="auto"/>
            </w:rPr>
            <w:sectPr>
              <w:footerReference r:id="rId6" w:type="first"/>
              <w:headerReference r:id="rId4" w:type="default"/>
              <w:footerReference r:id="rId5" w:type="default"/>
              <w:pgSz w:w="11907" w:h="16840"/>
              <w:pgMar w:top="1304" w:right="1304" w:bottom="1304" w:left="1474" w:header="964" w:footer="737" w:gutter="0"/>
              <w:pgNumType w:fmt="upperRoman" w:start="1"/>
              <w:cols w:space="0" w:num="1"/>
              <w:titlePg/>
              <w:rtlGutter w:val="0"/>
              <w:docGrid w:linePitch="312" w:charSpace="0"/>
            </w:sectPr>
          </w:pPr>
          <w:r>
            <w:rPr>
              <w:rFonts w:asciiTheme="minorEastAsia" w:hAnsiTheme="minorEastAsia" w:eastAsiaTheme="minorEastAsia"/>
              <w:color w:val="auto"/>
            </w:rPr>
            <w:fldChar w:fldCharType="end"/>
          </w:r>
        </w:p>
      </w:sdtContent>
    </w:sdt>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rPr>
          <w:rFonts w:hint="eastAsia" w:ascii="宋体" w:hAnsi="宋体" w:eastAsia="宋体" w:cs="宋体"/>
          <w:color w:val="auto"/>
        </w:rPr>
      </w:pPr>
      <w:bookmarkStart w:id="0" w:name="_Toc13382"/>
      <w:bookmarkStart w:id="1" w:name="_Toc453681413"/>
      <w:r>
        <w:rPr>
          <w:rFonts w:hint="eastAsia" w:ascii="宋体" w:hAnsi="宋体" w:eastAsia="宋体" w:cs="宋体"/>
          <w:color w:val="auto"/>
        </w:rPr>
        <w:t>第一章 竞争性磋商公告</w:t>
      </w:r>
      <w:bookmarkEnd w:id="0"/>
      <w:bookmarkEnd w:id="1"/>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hAnsi="宋体" w:cs="宋体"/>
          <w:bCs/>
          <w:color w:val="auto"/>
          <w:sz w:val="21"/>
          <w:szCs w:val="21"/>
          <w:lang w:eastAsia="zh-CN"/>
        </w:rPr>
      </w:pPr>
      <w:r>
        <w:rPr>
          <w:rFonts w:hint="eastAsia" w:hAnsi="宋体" w:cs="宋体"/>
          <w:b/>
          <w:bCs w:val="0"/>
          <w:color w:val="auto"/>
          <w:sz w:val="28"/>
          <w:szCs w:val="28"/>
          <w:lang w:eastAsia="zh-CN"/>
        </w:rPr>
        <w:t>广西晟通工程咨询有限公司</w:t>
      </w:r>
      <w:r>
        <w:rPr>
          <w:rFonts w:hint="eastAsia" w:hAnsi="宋体" w:cs="宋体"/>
          <w:b/>
          <w:bCs w:val="0"/>
          <w:color w:val="auto"/>
          <w:sz w:val="28"/>
          <w:szCs w:val="28"/>
          <w:lang w:val="en-US" w:eastAsia="zh-CN"/>
        </w:rPr>
        <w:t>关于</w:t>
      </w:r>
      <w:r>
        <w:rPr>
          <w:rFonts w:hint="eastAsia" w:hAnsi="宋体" w:cs="宋体"/>
          <w:b/>
          <w:bCs w:val="0"/>
          <w:color w:val="auto"/>
          <w:spacing w:val="-6"/>
          <w:sz w:val="28"/>
          <w:szCs w:val="28"/>
          <w:lang w:eastAsia="zh-CN"/>
        </w:rPr>
        <w:t>龙州县下冻镇下冻村党群服务场所建设工程（</w:t>
      </w:r>
      <w:r>
        <w:rPr>
          <w:rFonts w:hint="eastAsia" w:hAnsi="宋体" w:cs="宋体"/>
          <w:b/>
          <w:bCs w:val="0"/>
          <w:color w:val="auto"/>
          <w:spacing w:val="-6"/>
          <w:sz w:val="28"/>
          <w:szCs w:val="28"/>
          <w:lang w:val="en-US" w:eastAsia="zh-CN"/>
        </w:rPr>
        <w:t>项目编号：</w:t>
      </w:r>
      <w:r>
        <w:rPr>
          <w:rFonts w:hint="eastAsia" w:hAnsi="宋体" w:cs="宋体"/>
          <w:b/>
          <w:bCs w:val="0"/>
          <w:color w:val="auto"/>
          <w:sz w:val="28"/>
          <w:szCs w:val="28"/>
          <w:lang w:eastAsia="zh-CN"/>
        </w:rPr>
        <w:t>CZZC2020-C2-60004-GXST</w:t>
      </w:r>
      <w:r>
        <w:rPr>
          <w:rFonts w:hint="eastAsia" w:hAnsi="宋体" w:cs="宋体"/>
          <w:b/>
          <w:bCs w:val="0"/>
          <w:color w:val="auto"/>
          <w:spacing w:val="-6"/>
          <w:sz w:val="28"/>
          <w:szCs w:val="28"/>
          <w:lang w:eastAsia="zh-CN"/>
        </w:rPr>
        <w:t>）</w:t>
      </w:r>
      <w:r>
        <w:rPr>
          <w:rFonts w:hint="eastAsia" w:hAnsi="宋体" w:cs="宋体"/>
          <w:b/>
          <w:bCs w:val="0"/>
          <w:color w:val="auto"/>
          <w:spacing w:val="-6"/>
          <w:sz w:val="28"/>
          <w:szCs w:val="28"/>
          <w:lang w:val="en-US" w:eastAsia="zh-CN"/>
        </w:rPr>
        <w:t>竞争性磋商公告</w:t>
      </w:r>
    </w:p>
    <w:p>
      <w:pPr>
        <w:keepNext w:val="0"/>
        <w:keepLines w:val="0"/>
        <w:pageBreakBefore w:val="0"/>
        <w:widowControl w:val="0"/>
        <w:kinsoku/>
        <w:wordWrap/>
        <w:overflowPunct/>
        <w:topLinePunct w:val="0"/>
        <w:autoSpaceDE/>
        <w:autoSpaceDN/>
        <w:bidi w:val="0"/>
        <w:adjustRightInd/>
        <w:spacing w:after="0" w:line="380" w:lineRule="exact"/>
        <w:ind w:firstLine="420" w:firstLineChars="200"/>
        <w:textAlignment w:val="auto"/>
        <w:rPr>
          <w:rFonts w:hint="eastAsia" w:hAnsi="宋体" w:cs="宋体"/>
          <w:bCs/>
          <w:color w:val="auto"/>
          <w:sz w:val="21"/>
          <w:szCs w:val="21"/>
          <w:lang w:eastAsia="zh-CN"/>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345" w:type="dxa"/>
          </w:tcPr>
          <w:p>
            <w:pPr>
              <w:keepNext w:val="0"/>
              <w:keepLines w:val="0"/>
              <w:pageBreakBefore w:val="0"/>
              <w:widowControl w:val="0"/>
              <w:kinsoku/>
              <w:wordWrap/>
              <w:overflowPunct/>
              <w:topLinePunct w:val="0"/>
              <w:autoSpaceDE/>
              <w:autoSpaceDN/>
              <w:bidi w:val="0"/>
              <w:adjustRightInd/>
              <w:spacing w:after="0" w:line="360" w:lineRule="exact"/>
              <w:ind w:firstLine="422" w:firstLineChars="200"/>
              <w:textAlignment w:val="auto"/>
              <w:rPr>
                <w:rFonts w:hint="eastAsia" w:hAnsi="宋体" w:cs="宋体"/>
                <w:b/>
                <w:bCs w:val="0"/>
                <w:color w:val="auto"/>
                <w:sz w:val="21"/>
                <w:szCs w:val="21"/>
                <w:lang w:eastAsia="zh-CN"/>
              </w:rPr>
            </w:pPr>
            <w:r>
              <w:rPr>
                <w:rFonts w:hint="eastAsia" w:hAnsi="宋体" w:cs="宋体"/>
                <w:b/>
                <w:bCs w:val="0"/>
                <w:color w:val="auto"/>
                <w:sz w:val="21"/>
                <w:szCs w:val="21"/>
                <w:lang w:eastAsia="zh-CN"/>
              </w:rPr>
              <w:t>项目概况：</w:t>
            </w:r>
          </w:p>
          <w:p>
            <w:pPr>
              <w:keepNext w:val="0"/>
              <w:keepLines w:val="0"/>
              <w:pageBreakBefore w:val="0"/>
              <w:widowControl w:val="0"/>
              <w:kinsoku/>
              <w:wordWrap/>
              <w:overflowPunct/>
              <w:topLinePunct w:val="0"/>
              <w:autoSpaceDE/>
              <w:autoSpaceDN/>
              <w:bidi w:val="0"/>
              <w:adjustRightInd/>
              <w:spacing w:after="0" w:line="360" w:lineRule="exact"/>
              <w:ind w:firstLine="420" w:firstLineChars="200"/>
              <w:textAlignment w:val="auto"/>
              <w:rPr>
                <w:rFonts w:hint="eastAsia"/>
                <w:vertAlign w:val="baseline"/>
                <w:lang w:eastAsia="zh-CN"/>
              </w:rPr>
            </w:pPr>
            <w:r>
              <w:rPr>
                <w:rFonts w:hint="eastAsia" w:hAnsi="宋体" w:cs="宋体"/>
                <w:bCs/>
                <w:color w:val="auto"/>
                <w:sz w:val="21"/>
                <w:szCs w:val="21"/>
                <w:lang w:eastAsia="zh-CN"/>
              </w:rPr>
              <w:t>龙州县下冻镇下冻村党群服务场所建设工程采购项目的潜在供应商应在</w:t>
            </w:r>
            <w:r>
              <w:rPr>
                <w:rFonts w:hint="eastAsia" w:hAnsi="宋体" w:cs="宋体"/>
                <w:bCs/>
                <w:color w:val="auto"/>
                <w:sz w:val="21"/>
                <w:szCs w:val="21"/>
                <w:lang w:val="en-US" w:eastAsia="zh-CN"/>
              </w:rPr>
              <w:t>政采云平台（http://zfcg.gxzf.gov.cn/）</w:t>
            </w:r>
            <w:r>
              <w:rPr>
                <w:rFonts w:hint="eastAsia" w:hAnsi="宋体" w:cs="宋体"/>
                <w:bCs/>
                <w:color w:val="auto"/>
                <w:sz w:val="21"/>
                <w:szCs w:val="21"/>
                <w:lang w:eastAsia="zh-CN"/>
              </w:rPr>
              <w:t>获取采购文件，并于</w:t>
            </w:r>
            <w:r>
              <w:rPr>
                <w:rFonts w:hint="eastAsia" w:hAnsi="宋体" w:cs="宋体"/>
                <w:bCs/>
                <w:color w:val="auto"/>
                <w:sz w:val="21"/>
                <w:szCs w:val="21"/>
                <w:highlight w:val="none"/>
                <w:lang w:eastAsia="zh-CN"/>
              </w:rPr>
              <w:t>2020年9月29日10时00分（</w:t>
            </w:r>
            <w:r>
              <w:rPr>
                <w:rFonts w:hint="eastAsia" w:hAnsi="宋体" w:cs="宋体"/>
                <w:bCs/>
                <w:color w:val="auto"/>
                <w:sz w:val="21"/>
                <w:szCs w:val="21"/>
                <w:lang w:eastAsia="zh-CN"/>
              </w:rPr>
              <w:t>北京时间）前提交响应文件。</w:t>
            </w:r>
          </w:p>
        </w:tc>
      </w:tr>
    </w:tbl>
    <w:p>
      <w:pPr>
        <w:keepNext w:val="0"/>
        <w:keepLines w:val="0"/>
        <w:pageBreakBefore w:val="0"/>
        <w:widowControl w:val="0"/>
        <w:kinsoku/>
        <w:wordWrap/>
        <w:overflowPunct/>
        <w:topLinePunct w:val="0"/>
        <w:autoSpaceDE/>
        <w:autoSpaceDN/>
        <w:bidi w:val="0"/>
        <w:adjustRightInd/>
        <w:spacing w:after="0" w:line="360" w:lineRule="exact"/>
        <w:ind w:firstLine="474" w:firstLineChars="225"/>
        <w:textAlignment w:val="auto"/>
        <w:rPr>
          <w:rFonts w:hint="eastAsia"/>
          <w:b/>
          <w:bCs/>
          <w:sz w:val="21"/>
          <w:szCs w:val="21"/>
          <w:highlight w:val="none"/>
        </w:rPr>
      </w:pPr>
      <w:r>
        <w:rPr>
          <w:rFonts w:hint="eastAsia"/>
          <w:b/>
          <w:bCs/>
          <w:sz w:val="21"/>
          <w:szCs w:val="21"/>
          <w:highlight w:val="none"/>
        </w:rPr>
        <w:t>一、项目基本情况</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ascii="宋体" w:eastAsia="宋体"/>
          <w:sz w:val="21"/>
          <w:szCs w:val="21"/>
          <w:highlight w:val="none"/>
          <w:lang w:eastAsia="zh-CN"/>
        </w:rPr>
      </w:pPr>
      <w:r>
        <w:rPr>
          <w:rFonts w:hint="eastAsia" w:ascii="宋体" w:eastAsia="宋体"/>
          <w:sz w:val="21"/>
          <w:szCs w:val="21"/>
          <w:highlight w:val="none"/>
        </w:rPr>
        <w:t>项目编号：</w:t>
      </w:r>
      <w:r>
        <w:rPr>
          <w:rFonts w:hint="eastAsia"/>
          <w:sz w:val="21"/>
          <w:szCs w:val="21"/>
          <w:highlight w:val="none"/>
          <w:lang w:eastAsia="zh-CN"/>
        </w:rPr>
        <w:t>CZZC2020-C2-60004-GXST</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ascii="宋体" w:eastAsia="宋体"/>
          <w:sz w:val="21"/>
          <w:szCs w:val="21"/>
          <w:highlight w:val="none"/>
          <w:lang w:eastAsia="zh-CN"/>
        </w:rPr>
      </w:pPr>
      <w:r>
        <w:rPr>
          <w:rFonts w:hint="eastAsia" w:ascii="宋体" w:eastAsia="宋体"/>
          <w:sz w:val="21"/>
          <w:szCs w:val="21"/>
          <w:highlight w:val="none"/>
        </w:rPr>
        <w:t>采购计划书编号：</w:t>
      </w:r>
      <w:r>
        <w:rPr>
          <w:rFonts w:hint="eastAsia"/>
          <w:sz w:val="21"/>
          <w:szCs w:val="21"/>
          <w:highlight w:val="none"/>
          <w:lang w:val="en-US" w:eastAsia="zh-CN"/>
        </w:rPr>
        <w:t>LZZC2020-C2-00586-001</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eastAsia="宋体"/>
          <w:sz w:val="21"/>
          <w:szCs w:val="21"/>
          <w:highlight w:val="none"/>
          <w:lang w:eastAsia="zh-CN"/>
        </w:rPr>
      </w:pPr>
      <w:r>
        <w:rPr>
          <w:rFonts w:hint="eastAsia"/>
          <w:sz w:val="21"/>
          <w:szCs w:val="21"/>
          <w:highlight w:val="none"/>
        </w:rPr>
        <w:t>项目名称：</w:t>
      </w:r>
      <w:r>
        <w:rPr>
          <w:rFonts w:hint="eastAsia"/>
          <w:sz w:val="21"/>
          <w:szCs w:val="21"/>
          <w:highlight w:val="none"/>
          <w:lang w:eastAsia="zh-CN"/>
        </w:rPr>
        <w:t>龙州县下冻镇下冻村党群服务场所建设工程</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rPr>
        <w:t>采购方式：竞争性磋商</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rPr>
        <w:t>预算金额：人民币</w:t>
      </w:r>
      <w:r>
        <w:rPr>
          <w:rFonts w:hint="eastAsia"/>
          <w:sz w:val="21"/>
          <w:szCs w:val="21"/>
          <w:highlight w:val="none"/>
          <w:lang w:val="en-US" w:eastAsia="zh-CN"/>
        </w:rPr>
        <w:t>陆拾柒万捌仟陆佰元整</w:t>
      </w:r>
      <w:r>
        <w:rPr>
          <w:rFonts w:hint="eastAsia"/>
          <w:sz w:val="21"/>
          <w:szCs w:val="21"/>
          <w:highlight w:val="none"/>
        </w:rPr>
        <w:t>（￥</w:t>
      </w:r>
      <w:r>
        <w:rPr>
          <w:rFonts w:hint="eastAsia"/>
          <w:sz w:val="21"/>
          <w:szCs w:val="21"/>
          <w:highlight w:val="none"/>
          <w:lang w:val="en-US" w:eastAsia="zh-CN"/>
        </w:rPr>
        <w:t>678600.00元</w:t>
      </w:r>
      <w:r>
        <w:rPr>
          <w:rFonts w:hint="eastAsia"/>
          <w:sz w:val="21"/>
          <w:szCs w:val="21"/>
          <w:highlight w:val="none"/>
        </w:rPr>
        <w:t>）</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rPr>
        <w:t>最高限价：人民币</w:t>
      </w:r>
      <w:r>
        <w:rPr>
          <w:rFonts w:hint="eastAsia"/>
          <w:sz w:val="21"/>
          <w:szCs w:val="21"/>
          <w:highlight w:val="none"/>
          <w:lang w:val="en-US" w:eastAsia="zh-CN"/>
        </w:rPr>
        <w:t>陆拾柒万捌仟陆佰元整</w:t>
      </w:r>
      <w:r>
        <w:rPr>
          <w:rFonts w:hint="eastAsia"/>
          <w:sz w:val="21"/>
          <w:szCs w:val="21"/>
          <w:highlight w:val="none"/>
        </w:rPr>
        <w:t>（￥</w:t>
      </w:r>
      <w:r>
        <w:rPr>
          <w:rFonts w:hint="eastAsia"/>
          <w:sz w:val="21"/>
          <w:szCs w:val="21"/>
          <w:highlight w:val="none"/>
          <w:lang w:val="en-US" w:eastAsia="zh-CN"/>
        </w:rPr>
        <w:t>678600.00元</w:t>
      </w:r>
      <w:r>
        <w:rPr>
          <w:rFonts w:hint="eastAsia"/>
          <w:sz w:val="21"/>
          <w:szCs w:val="21"/>
          <w:highlight w:val="none"/>
        </w:rPr>
        <w:t>）</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color w:val="auto"/>
          <w:sz w:val="21"/>
          <w:szCs w:val="21"/>
          <w:highlight w:val="none"/>
          <w:lang w:eastAsia="zh-CN"/>
        </w:rPr>
      </w:pPr>
      <w:r>
        <w:rPr>
          <w:rFonts w:hint="eastAsia"/>
          <w:sz w:val="21"/>
          <w:szCs w:val="21"/>
          <w:highlight w:val="none"/>
        </w:rPr>
        <w:t>采购需求：</w:t>
      </w:r>
      <w:r>
        <w:rPr>
          <w:rFonts w:hint="eastAsia"/>
          <w:sz w:val="21"/>
          <w:szCs w:val="21"/>
          <w:highlight w:val="none"/>
          <w:lang w:val="en-US" w:eastAsia="zh-CN"/>
        </w:rPr>
        <w:t>采购</w:t>
      </w:r>
      <w:r>
        <w:rPr>
          <w:rFonts w:hint="eastAsia"/>
          <w:sz w:val="21"/>
          <w:szCs w:val="21"/>
          <w:highlight w:val="none"/>
          <w:lang w:eastAsia="zh-CN"/>
        </w:rPr>
        <w:t>龙州县下冻镇下冻村党群服务场所建设工程</w:t>
      </w:r>
      <w:r>
        <w:rPr>
          <w:rFonts w:hint="eastAsia"/>
          <w:sz w:val="21"/>
          <w:szCs w:val="21"/>
          <w:highlight w:val="none"/>
          <w:lang w:val="en-US" w:eastAsia="zh-CN"/>
        </w:rPr>
        <w:t>1项，建筑层数：地上二层，总建筑面积303平方米，建筑基底面积144平方米，建筑高度7.5米；具体详见招标工程量清单。</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default" w:eastAsia="宋体"/>
          <w:sz w:val="21"/>
          <w:szCs w:val="21"/>
          <w:highlight w:val="none"/>
          <w:lang w:val="en-US" w:eastAsia="zh-CN"/>
        </w:rPr>
      </w:pPr>
      <w:r>
        <w:rPr>
          <w:rFonts w:hint="eastAsia"/>
          <w:sz w:val="21"/>
          <w:szCs w:val="21"/>
          <w:highlight w:val="none"/>
        </w:rPr>
        <w:t>合同履行期限：</w:t>
      </w:r>
      <w:r>
        <w:rPr>
          <w:rFonts w:hint="eastAsia"/>
          <w:sz w:val="21"/>
          <w:szCs w:val="21"/>
          <w:highlight w:val="none"/>
          <w:lang w:val="en-US" w:eastAsia="zh-CN"/>
        </w:rPr>
        <w:t>150日历天</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rPr>
        <w:t>本项目不接受联合体。</w:t>
      </w:r>
    </w:p>
    <w:p>
      <w:pPr>
        <w:keepNext w:val="0"/>
        <w:keepLines w:val="0"/>
        <w:pageBreakBefore w:val="0"/>
        <w:widowControl w:val="0"/>
        <w:kinsoku/>
        <w:wordWrap/>
        <w:overflowPunct/>
        <w:topLinePunct w:val="0"/>
        <w:autoSpaceDE/>
        <w:autoSpaceDN/>
        <w:bidi w:val="0"/>
        <w:adjustRightInd/>
        <w:spacing w:after="0" w:line="360" w:lineRule="exact"/>
        <w:ind w:firstLine="474" w:firstLineChars="225"/>
        <w:textAlignment w:val="auto"/>
        <w:rPr>
          <w:rFonts w:hint="eastAsia"/>
          <w:b/>
          <w:bCs/>
          <w:sz w:val="21"/>
          <w:szCs w:val="21"/>
          <w:highlight w:val="none"/>
        </w:rPr>
      </w:pPr>
      <w:r>
        <w:rPr>
          <w:rFonts w:hint="eastAsia"/>
          <w:b/>
          <w:bCs/>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rPr>
      </w:pPr>
      <w:r>
        <w:rPr>
          <w:rFonts w:hint="eastAsia"/>
          <w:sz w:val="21"/>
          <w:szCs w:val="21"/>
          <w:highlight w:val="none"/>
        </w:rPr>
        <w:t>2.落实政府采购政策需满足的资格要求：</w:t>
      </w:r>
      <w:r>
        <w:rPr>
          <w:rFonts w:hint="eastAsia"/>
          <w:sz w:val="21"/>
          <w:szCs w:val="21"/>
          <w:highlight w:val="none"/>
          <w:lang w:val="en-US" w:eastAsia="zh-CN"/>
        </w:rPr>
        <w:t>无要求。</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lang w:val="en-US" w:eastAsia="zh-CN"/>
        </w:rPr>
        <w:t>3</w:t>
      </w:r>
      <w:r>
        <w:rPr>
          <w:rFonts w:hint="eastAsia"/>
          <w:sz w:val="21"/>
          <w:szCs w:val="21"/>
          <w:highlight w:val="none"/>
        </w:rPr>
        <w:t>.本项目的特定资格要求：具有国内独立法人资格且具备</w:t>
      </w:r>
      <w:r>
        <w:rPr>
          <w:rFonts w:hint="eastAsia"/>
          <w:b/>
          <w:bCs/>
          <w:sz w:val="21"/>
          <w:szCs w:val="21"/>
          <w:highlight w:val="none"/>
        </w:rPr>
        <w:t>建筑工程施工总承包叁级（含叁级）</w:t>
      </w:r>
      <w:r>
        <w:rPr>
          <w:rFonts w:hint="eastAsia"/>
          <w:sz w:val="21"/>
          <w:szCs w:val="21"/>
          <w:highlight w:val="none"/>
        </w:rPr>
        <w:t>以上资质，资信良好，实力较强的施工企业，并在人员、设备、资金等方面具备相应的施工能力。拟派驻本项目的项目经理必须具有</w:t>
      </w:r>
      <w:r>
        <w:rPr>
          <w:rFonts w:hint="eastAsia"/>
          <w:b/>
          <w:bCs/>
          <w:sz w:val="21"/>
          <w:szCs w:val="21"/>
          <w:highlight w:val="none"/>
        </w:rPr>
        <w:t>建筑工程专业注册建造师贰级（含贰级）</w:t>
      </w:r>
      <w:r>
        <w:rPr>
          <w:rFonts w:hint="eastAsia"/>
          <w:sz w:val="21"/>
          <w:szCs w:val="21"/>
          <w:highlight w:val="none"/>
        </w:rPr>
        <w:t>以上资质等级，并获得安全生产考核合格证。</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lang w:val="en-US" w:eastAsia="zh-CN"/>
        </w:rPr>
        <w:t>4.</w:t>
      </w:r>
      <w:r>
        <w:rPr>
          <w:rFonts w:hint="eastAsia"/>
          <w:sz w:val="21"/>
          <w:szCs w:val="21"/>
          <w:highlight w:val="none"/>
        </w:rPr>
        <w:t>对在“信用中国”网站</w:t>
      </w:r>
      <w:r>
        <w:rPr>
          <w:rFonts w:hint="default"/>
          <w:sz w:val="21"/>
          <w:szCs w:val="21"/>
          <w:highlight w:val="none"/>
        </w:rPr>
        <w:t>(www.creditchina.gov.cn)</w:t>
      </w:r>
      <w:r>
        <w:rPr>
          <w:rFonts w:hint="eastAsia"/>
          <w:sz w:val="21"/>
          <w:szCs w:val="21"/>
          <w:highlight w:val="none"/>
        </w:rPr>
        <w:t>、中国政府采购网</w:t>
      </w:r>
      <w:r>
        <w:rPr>
          <w:rFonts w:hint="default"/>
          <w:sz w:val="21"/>
          <w:szCs w:val="21"/>
          <w:highlight w:val="none"/>
        </w:rPr>
        <w:t>(www.ccgp.gov.cn)</w:t>
      </w:r>
      <w:r>
        <w:rPr>
          <w:rFonts w:hint="eastAsia"/>
          <w:sz w:val="21"/>
          <w:szCs w:val="21"/>
          <w:highlight w:val="none"/>
        </w:rPr>
        <w:t>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lang w:val="en-US" w:eastAsia="zh-CN"/>
        </w:rPr>
        <w:t>5.</w:t>
      </w:r>
      <w:r>
        <w:rPr>
          <w:rFonts w:hint="eastAsia"/>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pacing w:after="0" w:line="360" w:lineRule="exact"/>
        <w:ind w:firstLine="474" w:firstLineChars="225"/>
        <w:textAlignment w:val="auto"/>
        <w:rPr>
          <w:rFonts w:hint="eastAsia"/>
          <w:b/>
          <w:bCs/>
          <w:sz w:val="21"/>
          <w:szCs w:val="21"/>
          <w:highlight w:val="none"/>
        </w:rPr>
      </w:pPr>
      <w:r>
        <w:rPr>
          <w:rFonts w:hint="eastAsia"/>
          <w:b/>
          <w:bCs/>
          <w:sz w:val="21"/>
          <w:szCs w:val="21"/>
          <w:highlight w:val="none"/>
        </w:rPr>
        <w:t>三、获取采购文件</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eastAsia="宋体"/>
          <w:sz w:val="21"/>
          <w:szCs w:val="21"/>
          <w:highlight w:val="none"/>
          <w:lang w:eastAsia="zh-CN"/>
        </w:rPr>
      </w:pPr>
      <w:r>
        <w:rPr>
          <w:rFonts w:hint="eastAsia"/>
          <w:sz w:val="21"/>
          <w:szCs w:val="21"/>
          <w:highlight w:val="none"/>
        </w:rPr>
        <w:t>时间：2020年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18</w:t>
      </w:r>
      <w:r>
        <w:rPr>
          <w:rFonts w:hint="eastAsia"/>
          <w:sz w:val="21"/>
          <w:szCs w:val="21"/>
          <w:highlight w:val="none"/>
        </w:rPr>
        <w:t>日至2020年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25</w:t>
      </w:r>
      <w:r>
        <w:rPr>
          <w:rFonts w:hint="eastAsia"/>
          <w:sz w:val="21"/>
          <w:szCs w:val="21"/>
          <w:highlight w:val="none"/>
        </w:rPr>
        <w:t>日，每日上午</w:t>
      </w:r>
      <w:r>
        <w:rPr>
          <w:rFonts w:hint="eastAsia"/>
          <w:sz w:val="21"/>
          <w:szCs w:val="21"/>
          <w:highlight w:val="none"/>
          <w:lang w:val="en-US" w:eastAsia="zh-CN"/>
        </w:rPr>
        <w:t>9</w:t>
      </w:r>
      <w:r>
        <w:rPr>
          <w:rFonts w:hint="eastAsia"/>
          <w:sz w:val="21"/>
          <w:szCs w:val="21"/>
          <w:highlight w:val="none"/>
        </w:rPr>
        <w:t>时至</w:t>
      </w:r>
      <w:r>
        <w:rPr>
          <w:rFonts w:hint="default"/>
          <w:sz w:val="21"/>
          <w:szCs w:val="21"/>
          <w:highlight w:val="none"/>
        </w:rPr>
        <w:t>12</w:t>
      </w:r>
      <w:r>
        <w:rPr>
          <w:rFonts w:hint="eastAsia"/>
          <w:sz w:val="21"/>
          <w:szCs w:val="21"/>
          <w:highlight w:val="none"/>
        </w:rPr>
        <w:t>时，下午</w:t>
      </w:r>
      <w:r>
        <w:rPr>
          <w:rFonts w:hint="default"/>
          <w:sz w:val="21"/>
          <w:szCs w:val="21"/>
          <w:highlight w:val="none"/>
        </w:rPr>
        <w:t>15</w:t>
      </w:r>
      <w:r>
        <w:rPr>
          <w:rFonts w:hint="eastAsia"/>
          <w:sz w:val="21"/>
          <w:szCs w:val="21"/>
          <w:highlight w:val="none"/>
        </w:rPr>
        <w:t>时至</w:t>
      </w:r>
      <w:r>
        <w:rPr>
          <w:rFonts w:hint="default"/>
          <w:sz w:val="21"/>
          <w:szCs w:val="21"/>
          <w:highlight w:val="none"/>
        </w:rPr>
        <w:t>17</w:t>
      </w:r>
      <w:r>
        <w:rPr>
          <w:rFonts w:hint="eastAsia"/>
          <w:sz w:val="21"/>
          <w:szCs w:val="21"/>
          <w:highlight w:val="none"/>
        </w:rPr>
        <w:t>时</w:t>
      </w:r>
      <w:r>
        <w:rPr>
          <w:rFonts w:hint="default"/>
          <w:sz w:val="21"/>
          <w:szCs w:val="21"/>
          <w:highlight w:val="none"/>
        </w:rPr>
        <w:t>30</w:t>
      </w:r>
      <w:r>
        <w:rPr>
          <w:rFonts w:hint="eastAsia"/>
          <w:sz w:val="21"/>
          <w:szCs w:val="21"/>
          <w:highlight w:val="none"/>
        </w:rPr>
        <w:t>分（北京时间，法定节假日除外）</w:t>
      </w:r>
      <w:r>
        <w:rPr>
          <w:rFonts w:hint="eastAsia"/>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ascii="宋体" w:hAnsi="Courier New" w:eastAsia="宋体" w:cs="Times New Roman"/>
          <w:bCs w:val="0"/>
          <w:spacing w:val="-6"/>
          <w:kern w:val="2"/>
          <w:sz w:val="21"/>
          <w:szCs w:val="21"/>
          <w:highlight w:val="none"/>
          <w:lang w:val="en-US" w:eastAsia="zh-CN" w:bidi="ar-SA"/>
        </w:rPr>
      </w:pPr>
      <w:r>
        <w:rPr>
          <w:rFonts w:hint="eastAsia"/>
          <w:sz w:val="21"/>
          <w:szCs w:val="21"/>
          <w:highlight w:val="none"/>
        </w:rPr>
        <w:t>地点：</w:t>
      </w:r>
      <w:r>
        <w:rPr>
          <w:rFonts w:hint="eastAsia" w:ascii="宋体" w:hAnsi="Courier New" w:eastAsia="宋体" w:cs="Times New Roman"/>
          <w:bCs w:val="0"/>
          <w:spacing w:val="-6"/>
          <w:kern w:val="2"/>
          <w:sz w:val="21"/>
          <w:szCs w:val="21"/>
          <w:highlight w:val="none"/>
          <w:lang w:val="en-US" w:eastAsia="zh-CN" w:bidi="ar-SA"/>
        </w:rPr>
        <w:t>政采云平台（http://zfcg.gxzf.gov.cn/）</w:t>
      </w:r>
      <w:r>
        <w:rPr>
          <w:rFonts w:hint="eastAsia" w:cs="Times New Roman"/>
          <w:bCs w:val="0"/>
          <w:spacing w:val="-6"/>
          <w:kern w:val="2"/>
          <w:sz w:val="21"/>
          <w:szCs w:val="21"/>
          <w:highlight w:val="none"/>
          <w:lang w:val="en-US" w:eastAsia="zh-CN" w:bidi="ar-SA"/>
        </w:rPr>
        <w:t>获取；</w:t>
      </w:r>
    </w:p>
    <w:p>
      <w:pPr>
        <w:pageBreakBefore w:val="0"/>
        <w:widowControl w:val="0"/>
        <w:kinsoku/>
        <w:wordWrap/>
        <w:overflowPunct/>
        <w:topLinePunct w:val="0"/>
        <w:bidi w:val="0"/>
        <w:adjustRightInd/>
        <w:snapToGrid/>
        <w:spacing w:after="0" w:line="420" w:lineRule="exact"/>
        <w:ind w:firstLine="420" w:firstLineChars="200"/>
        <w:jc w:val="both"/>
        <w:textAlignment w:val="auto"/>
        <w:rPr>
          <w:rFonts w:hint="eastAsia"/>
          <w:sz w:val="21"/>
          <w:szCs w:val="21"/>
          <w:highlight w:val="none"/>
        </w:rPr>
      </w:pPr>
      <w:r>
        <w:rPr>
          <w:rFonts w:hint="eastAsia" w:ascii="宋体" w:eastAsia="宋体"/>
          <w:sz w:val="21"/>
          <w:szCs w:val="21"/>
          <w:highlight w:val="none"/>
        </w:rPr>
        <w:t>方式：请登录政采云平台（网址：http://www.zcygov.cn）进行报名并</w:t>
      </w:r>
      <w:r>
        <w:rPr>
          <w:rFonts w:hint="eastAsia"/>
          <w:sz w:val="21"/>
          <w:szCs w:val="21"/>
          <w:highlight w:val="none"/>
          <w:lang w:val="en-US" w:eastAsia="zh-CN"/>
        </w:rPr>
        <w:t>免费</w:t>
      </w:r>
      <w:r>
        <w:rPr>
          <w:rFonts w:hint="eastAsia" w:ascii="宋体" w:eastAsia="宋体"/>
          <w:sz w:val="21"/>
          <w:szCs w:val="21"/>
          <w:highlight w:val="none"/>
        </w:rPr>
        <w:t>获取竞争性磋商文件；未注册的供应商可在政采云平台完成注册后再行报名下载。如在操作过程中遇到问题或需技术支持，请致电政采云客服热线：400-881-7190。</w:t>
      </w:r>
    </w:p>
    <w:p>
      <w:pPr>
        <w:keepNext w:val="0"/>
        <w:keepLines w:val="0"/>
        <w:pageBreakBefore w:val="0"/>
        <w:widowControl w:val="0"/>
        <w:kinsoku/>
        <w:wordWrap/>
        <w:overflowPunct/>
        <w:topLinePunct w:val="0"/>
        <w:autoSpaceDE/>
        <w:autoSpaceDN/>
        <w:bidi w:val="0"/>
        <w:adjustRightInd/>
        <w:spacing w:after="0" w:line="360" w:lineRule="exact"/>
        <w:ind w:firstLine="474" w:firstLineChars="225"/>
        <w:textAlignment w:val="auto"/>
        <w:rPr>
          <w:rFonts w:hint="eastAsia"/>
          <w:b/>
          <w:bCs/>
          <w:sz w:val="21"/>
          <w:szCs w:val="21"/>
          <w:highlight w:val="none"/>
        </w:rPr>
      </w:pPr>
      <w:r>
        <w:rPr>
          <w:rFonts w:hint="eastAsia"/>
          <w:b/>
          <w:bCs/>
          <w:sz w:val="21"/>
          <w:szCs w:val="21"/>
          <w:highlight w:val="none"/>
        </w:rPr>
        <w:t>四、响应文件提交</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rPr>
        <w:t>供应商应于</w:t>
      </w:r>
      <w:r>
        <w:rPr>
          <w:rFonts w:hint="eastAsia"/>
          <w:sz w:val="21"/>
          <w:szCs w:val="21"/>
          <w:highlight w:val="none"/>
          <w:lang w:eastAsia="zh-CN"/>
        </w:rPr>
        <w:t>2020年9月29日10时00分</w:t>
      </w:r>
      <w:r>
        <w:rPr>
          <w:rFonts w:hint="eastAsia"/>
          <w:sz w:val="21"/>
          <w:szCs w:val="21"/>
          <w:highlight w:val="none"/>
        </w:rPr>
        <w:t>止，将响应文件密封提交到</w:t>
      </w:r>
      <w:r>
        <w:rPr>
          <w:rFonts w:hint="eastAsia"/>
          <w:sz w:val="21"/>
          <w:szCs w:val="21"/>
          <w:highlight w:val="none"/>
          <w:lang w:eastAsia="zh-CN"/>
        </w:rPr>
        <w:t>广西晟通工程咨询有限公司</w:t>
      </w:r>
      <w:r>
        <w:rPr>
          <w:rFonts w:hint="eastAsia"/>
          <w:sz w:val="21"/>
          <w:szCs w:val="21"/>
          <w:highlight w:val="none"/>
        </w:rPr>
        <w:t>开标</w:t>
      </w:r>
      <w:r>
        <w:rPr>
          <w:rFonts w:hint="eastAsia"/>
          <w:sz w:val="21"/>
          <w:szCs w:val="21"/>
          <w:highlight w:val="none"/>
          <w:lang w:val="en-US" w:eastAsia="zh-CN"/>
        </w:rPr>
        <w:t>室</w:t>
      </w:r>
      <w:r>
        <w:rPr>
          <w:rFonts w:hint="eastAsia" w:ascii="宋体" w:eastAsia="宋体"/>
          <w:sz w:val="21"/>
          <w:szCs w:val="21"/>
          <w:highlight w:val="none"/>
          <w:lang w:eastAsia="zh-CN"/>
        </w:rPr>
        <w:t>【崇左市江州区友谊大道龙胤财富广场20栋4单元4楼（崇左国际大酒店正对面）】</w:t>
      </w:r>
      <w:r>
        <w:rPr>
          <w:rFonts w:hint="eastAsia"/>
          <w:sz w:val="21"/>
          <w:szCs w:val="21"/>
          <w:highlight w:val="none"/>
        </w:rPr>
        <w:t>，逾期送达的将予以拒收。</w:t>
      </w:r>
    </w:p>
    <w:p>
      <w:pPr>
        <w:keepNext w:val="0"/>
        <w:keepLines w:val="0"/>
        <w:pageBreakBefore w:val="0"/>
        <w:widowControl w:val="0"/>
        <w:kinsoku/>
        <w:wordWrap/>
        <w:overflowPunct/>
        <w:topLinePunct w:val="0"/>
        <w:autoSpaceDE/>
        <w:autoSpaceDN/>
        <w:bidi w:val="0"/>
        <w:adjustRightInd/>
        <w:spacing w:after="0" w:line="360" w:lineRule="exact"/>
        <w:ind w:firstLine="474" w:firstLineChars="225"/>
        <w:textAlignment w:val="auto"/>
        <w:rPr>
          <w:rFonts w:hint="eastAsia"/>
          <w:b/>
          <w:bCs/>
          <w:sz w:val="21"/>
          <w:szCs w:val="21"/>
          <w:highlight w:val="none"/>
        </w:rPr>
      </w:pPr>
      <w:r>
        <w:rPr>
          <w:rFonts w:hint="eastAsia"/>
          <w:b/>
          <w:bCs/>
          <w:sz w:val="21"/>
          <w:szCs w:val="21"/>
          <w:highlight w:val="none"/>
        </w:rPr>
        <w:t>五、开启</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lang w:eastAsia="zh-CN"/>
        </w:rPr>
        <w:t>2020年9月29日10时00分</w:t>
      </w:r>
      <w:r>
        <w:rPr>
          <w:rFonts w:hint="eastAsia"/>
          <w:sz w:val="21"/>
          <w:szCs w:val="21"/>
          <w:highlight w:val="none"/>
        </w:rPr>
        <w:t>响应文件递交截止时间后，具体磋商时间由代理机构工作人员另行通知。地点：</w:t>
      </w:r>
      <w:r>
        <w:rPr>
          <w:rFonts w:hint="eastAsia"/>
          <w:sz w:val="21"/>
          <w:szCs w:val="21"/>
          <w:highlight w:val="none"/>
          <w:lang w:eastAsia="zh-CN"/>
        </w:rPr>
        <w:t>广西晟通工程咨询有限公司</w:t>
      </w:r>
      <w:bookmarkStart w:id="771" w:name="_GoBack"/>
      <w:bookmarkEnd w:id="771"/>
      <w:r>
        <w:rPr>
          <w:rFonts w:hint="eastAsia"/>
          <w:sz w:val="21"/>
          <w:szCs w:val="21"/>
          <w:highlight w:val="none"/>
        </w:rPr>
        <w:t>评标室</w:t>
      </w:r>
      <w:r>
        <w:rPr>
          <w:rFonts w:hint="eastAsia" w:ascii="宋体" w:eastAsia="宋体"/>
          <w:sz w:val="21"/>
          <w:szCs w:val="21"/>
          <w:highlight w:val="none"/>
          <w:lang w:eastAsia="zh-CN"/>
        </w:rPr>
        <w:t>【崇左市江州区友谊大道龙胤财富广场20栋4单元4楼（崇左国际大酒店正对面）】</w:t>
      </w:r>
      <w:r>
        <w:rPr>
          <w:rFonts w:hint="eastAsia"/>
          <w:sz w:val="21"/>
          <w:szCs w:val="21"/>
          <w:highlight w:val="none"/>
        </w:rPr>
        <w:t>，参加磋商的法定代表人（负责人）或委托代理人必须持有效证件</w:t>
      </w:r>
      <w:r>
        <w:rPr>
          <w:rFonts w:hint="eastAsia"/>
          <w:b/>
          <w:bCs/>
          <w:sz w:val="21"/>
          <w:szCs w:val="21"/>
          <w:highlight w:val="none"/>
        </w:rPr>
        <w:t>[法定代表人（负责人）凭身份证或委托代理人凭法人授权委托书原件和身份证</w:t>
      </w:r>
      <w:r>
        <w:rPr>
          <w:rFonts w:hint="eastAsia"/>
          <w:b/>
          <w:bCs/>
          <w:sz w:val="21"/>
          <w:szCs w:val="21"/>
          <w:highlight w:val="none"/>
          <w:lang w:val="en-US" w:eastAsia="zh-CN"/>
        </w:rPr>
        <w:t>原件</w:t>
      </w:r>
      <w:r>
        <w:rPr>
          <w:rFonts w:hint="default"/>
          <w:b/>
          <w:bCs/>
          <w:sz w:val="21"/>
          <w:szCs w:val="21"/>
          <w:highlight w:val="none"/>
        </w:rPr>
        <w:t>]</w:t>
      </w:r>
      <w:r>
        <w:rPr>
          <w:rFonts w:hint="eastAsia"/>
          <w:sz w:val="21"/>
          <w:szCs w:val="21"/>
          <w:highlight w:val="none"/>
        </w:rPr>
        <w:t>依时到达指定地点等候当面磋商。</w:t>
      </w:r>
    </w:p>
    <w:p>
      <w:pPr>
        <w:keepNext w:val="0"/>
        <w:keepLines w:val="0"/>
        <w:pageBreakBefore w:val="0"/>
        <w:widowControl w:val="0"/>
        <w:kinsoku/>
        <w:wordWrap/>
        <w:overflowPunct/>
        <w:topLinePunct w:val="0"/>
        <w:autoSpaceDE/>
        <w:autoSpaceDN/>
        <w:bidi w:val="0"/>
        <w:adjustRightInd/>
        <w:spacing w:after="0" w:line="360" w:lineRule="exact"/>
        <w:ind w:firstLine="474" w:firstLineChars="225"/>
        <w:textAlignment w:val="auto"/>
        <w:rPr>
          <w:rFonts w:hint="eastAsia"/>
          <w:b/>
          <w:bCs/>
          <w:sz w:val="21"/>
          <w:szCs w:val="21"/>
          <w:highlight w:val="none"/>
        </w:rPr>
      </w:pPr>
      <w:r>
        <w:rPr>
          <w:rFonts w:hint="eastAsia"/>
          <w:b/>
          <w:bCs/>
          <w:sz w:val="21"/>
          <w:szCs w:val="21"/>
          <w:highlight w:val="none"/>
        </w:rPr>
        <w:t>六、公告期限</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rPr>
        <w:t>自本公告发布之日起5个工作日。</w:t>
      </w:r>
    </w:p>
    <w:p>
      <w:pPr>
        <w:keepNext w:val="0"/>
        <w:keepLines w:val="0"/>
        <w:pageBreakBefore w:val="0"/>
        <w:widowControl w:val="0"/>
        <w:numPr>
          <w:ilvl w:val="0"/>
          <w:numId w:val="1"/>
        </w:numPr>
        <w:kinsoku/>
        <w:wordWrap/>
        <w:overflowPunct/>
        <w:topLinePunct w:val="0"/>
        <w:autoSpaceDE/>
        <w:autoSpaceDN/>
        <w:bidi w:val="0"/>
        <w:adjustRightInd/>
        <w:spacing w:after="0" w:line="360" w:lineRule="exact"/>
        <w:ind w:firstLine="474" w:firstLineChars="225"/>
        <w:textAlignment w:val="auto"/>
        <w:rPr>
          <w:rFonts w:hint="eastAsia"/>
          <w:b/>
          <w:bCs/>
          <w:sz w:val="21"/>
          <w:szCs w:val="21"/>
          <w:highlight w:val="none"/>
        </w:rPr>
      </w:pPr>
      <w:r>
        <w:rPr>
          <w:rFonts w:hint="eastAsia"/>
          <w:b/>
          <w:bCs/>
          <w:sz w:val="21"/>
          <w:szCs w:val="21"/>
          <w:highlight w:val="none"/>
        </w:rPr>
        <w:t>其他补充事宜</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lang w:val="en-US" w:eastAsia="zh-CN"/>
        </w:rPr>
        <w:t>1.</w:t>
      </w:r>
      <w:r>
        <w:rPr>
          <w:rFonts w:hint="eastAsia"/>
          <w:sz w:val="21"/>
          <w:szCs w:val="21"/>
          <w:highlight w:val="none"/>
        </w:rPr>
        <w:t>网上查询：本次磋商公告同时在中国政府采购网（</w:t>
      </w:r>
      <w:r>
        <w:rPr>
          <w:rFonts w:hint="default"/>
          <w:sz w:val="21"/>
          <w:szCs w:val="21"/>
          <w:highlight w:val="none"/>
        </w:rPr>
        <w:t>http</w:t>
      </w:r>
      <w:r>
        <w:rPr>
          <w:rFonts w:hint="eastAsia"/>
          <w:sz w:val="21"/>
          <w:szCs w:val="21"/>
          <w:highlight w:val="none"/>
        </w:rPr>
        <w:t>：</w:t>
      </w:r>
      <w:r>
        <w:rPr>
          <w:rFonts w:hint="default"/>
          <w:sz w:val="21"/>
          <w:szCs w:val="21"/>
          <w:highlight w:val="none"/>
        </w:rPr>
        <w:t>//www.ccgp.gov.cn</w:t>
      </w:r>
      <w:r>
        <w:rPr>
          <w:rFonts w:hint="eastAsia"/>
          <w:sz w:val="21"/>
          <w:szCs w:val="21"/>
          <w:highlight w:val="none"/>
        </w:rPr>
        <w:t>）、广西壮族自治区政府采购网（</w:t>
      </w:r>
      <w:r>
        <w:rPr>
          <w:rFonts w:hint="eastAsia"/>
          <w:sz w:val="21"/>
          <w:szCs w:val="21"/>
          <w:highlight w:val="none"/>
        </w:rPr>
        <w:fldChar w:fldCharType="begin"/>
      </w:r>
      <w:r>
        <w:rPr>
          <w:rFonts w:hint="eastAsia"/>
          <w:sz w:val="21"/>
          <w:szCs w:val="21"/>
          <w:highlight w:val="none"/>
        </w:rPr>
        <w:instrText xml:space="preserve"> HYPERLINK "http://zfcg.gxzf.gov.cn/" </w:instrText>
      </w:r>
      <w:r>
        <w:rPr>
          <w:rFonts w:hint="eastAsia"/>
          <w:sz w:val="21"/>
          <w:szCs w:val="21"/>
          <w:highlight w:val="none"/>
        </w:rPr>
        <w:fldChar w:fldCharType="separate"/>
      </w:r>
      <w:r>
        <w:rPr>
          <w:rFonts w:hint="eastAsia"/>
          <w:sz w:val="21"/>
          <w:szCs w:val="21"/>
          <w:highlight w:val="none"/>
        </w:rPr>
        <w:t>http://zfcg.gxzf.gov.cn/</w:t>
      </w:r>
      <w:r>
        <w:rPr>
          <w:rFonts w:hint="eastAsia"/>
          <w:sz w:val="21"/>
          <w:szCs w:val="21"/>
          <w:highlight w:val="none"/>
        </w:rPr>
        <w:fldChar w:fldCharType="end"/>
      </w:r>
      <w:r>
        <w:rPr>
          <w:rFonts w:hint="eastAsia"/>
          <w:sz w:val="21"/>
          <w:szCs w:val="21"/>
          <w:highlight w:val="none"/>
        </w:rPr>
        <w:t>）媒介上发布。</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lang w:eastAsia="zh-CN"/>
        </w:rPr>
      </w:pPr>
      <w:r>
        <w:rPr>
          <w:rFonts w:hint="eastAsia"/>
          <w:sz w:val="21"/>
          <w:szCs w:val="21"/>
          <w:highlight w:val="none"/>
          <w:lang w:eastAsia="zh-CN"/>
        </w:rPr>
        <w:t>2.落实政府采购政策需满足的资格要求：</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lang w:eastAsia="zh-CN"/>
        </w:rPr>
      </w:pPr>
      <w:r>
        <w:rPr>
          <w:rFonts w:hint="eastAsia"/>
          <w:sz w:val="21"/>
          <w:szCs w:val="21"/>
          <w:highlight w:val="none"/>
          <w:lang w:eastAsia="zh-CN"/>
        </w:rPr>
        <w:t>①政府采购促进中小企业发展；</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lang w:eastAsia="zh-CN"/>
        </w:rPr>
      </w:pPr>
      <w:r>
        <w:rPr>
          <w:rFonts w:hint="eastAsia"/>
          <w:sz w:val="21"/>
          <w:szCs w:val="21"/>
          <w:highlight w:val="none"/>
          <w:lang w:eastAsia="zh-CN"/>
        </w:rPr>
        <w:t>②政府采购促进残疾人就业政策；</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lang w:eastAsia="zh-CN"/>
        </w:rPr>
      </w:pPr>
      <w:r>
        <w:rPr>
          <w:rFonts w:hint="eastAsia"/>
          <w:sz w:val="21"/>
          <w:szCs w:val="21"/>
          <w:highlight w:val="none"/>
          <w:lang w:eastAsia="zh-CN"/>
        </w:rPr>
        <w:t>③政府采购支持监狱企业发展；</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sz w:val="21"/>
          <w:szCs w:val="21"/>
          <w:highlight w:val="none"/>
        </w:rPr>
      </w:pPr>
      <w:r>
        <w:rPr>
          <w:rFonts w:hint="eastAsia"/>
          <w:sz w:val="21"/>
          <w:szCs w:val="21"/>
          <w:highlight w:val="none"/>
          <w:lang w:eastAsia="zh-CN"/>
        </w:rPr>
        <w:t>④扶持不发达地区和少数民族地区政策。</w:t>
      </w:r>
    </w:p>
    <w:p>
      <w:pPr>
        <w:keepNext w:val="0"/>
        <w:keepLines w:val="0"/>
        <w:pageBreakBefore w:val="0"/>
        <w:widowControl w:val="0"/>
        <w:kinsoku/>
        <w:wordWrap/>
        <w:overflowPunct/>
        <w:topLinePunct w:val="0"/>
        <w:autoSpaceDE/>
        <w:autoSpaceDN/>
        <w:bidi w:val="0"/>
        <w:adjustRightInd/>
        <w:spacing w:after="0" w:line="360" w:lineRule="exact"/>
        <w:ind w:firstLine="474" w:firstLineChars="225"/>
        <w:textAlignment w:val="auto"/>
        <w:rPr>
          <w:rFonts w:hint="eastAsia"/>
          <w:sz w:val="21"/>
          <w:szCs w:val="21"/>
          <w:highlight w:val="none"/>
        </w:rPr>
      </w:pPr>
      <w:r>
        <w:rPr>
          <w:rFonts w:hint="eastAsia"/>
          <w:b/>
          <w:bCs/>
          <w:sz w:val="21"/>
          <w:szCs w:val="21"/>
          <w:highlight w:val="none"/>
        </w:rPr>
        <w:t>八、凡对本次采购提出询问，请按以下方式联系。</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ascii="宋体" w:eastAsia="宋体"/>
          <w:sz w:val="21"/>
          <w:szCs w:val="21"/>
          <w:highlight w:val="none"/>
          <w:lang w:eastAsia="zh-CN"/>
        </w:rPr>
      </w:pPr>
      <w:bookmarkStart w:id="2" w:name="_Toc17374_WPSOffice_Level2"/>
      <w:r>
        <w:rPr>
          <w:rFonts w:hint="eastAsia" w:ascii="宋体" w:eastAsia="宋体"/>
          <w:sz w:val="21"/>
          <w:szCs w:val="21"/>
          <w:highlight w:val="none"/>
        </w:rPr>
        <w:t>1.采购人：</w:t>
      </w:r>
      <w:bookmarkEnd w:id="2"/>
      <w:r>
        <w:rPr>
          <w:rFonts w:hint="eastAsia"/>
          <w:sz w:val="21"/>
          <w:szCs w:val="21"/>
          <w:highlight w:val="none"/>
          <w:lang w:eastAsia="zh-CN"/>
        </w:rPr>
        <w:t>龙州县下冻镇人民政府</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lang w:eastAsia="zh-CN"/>
        </w:rPr>
      </w:pPr>
      <w:r>
        <w:rPr>
          <w:rFonts w:hint="eastAsia" w:ascii="宋体" w:eastAsia="宋体"/>
          <w:sz w:val="21"/>
          <w:szCs w:val="21"/>
          <w:highlight w:val="none"/>
        </w:rPr>
        <w:t>地址：</w:t>
      </w:r>
      <w:r>
        <w:rPr>
          <w:rFonts w:hint="eastAsia"/>
          <w:sz w:val="21"/>
          <w:szCs w:val="21"/>
          <w:highlight w:val="none"/>
          <w:lang w:eastAsia="zh-CN"/>
        </w:rPr>
        <w:t>龙州县下冻镇善周街001号</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ascii="宋体" w:eastAsia="宋体"/>
          <w:sz w:val="21"/>
          <w:szCs w:val="21"/>
          <w:highlight w:val="none"/>
          <w:lang w:val="en-US" w:eastAsia="zh-CN"/>
        </w:rPr>
      </w:pPr>
      <w:r>
        <w:rPr>
          <w:rFonts w:hint="eastAsia" w:ascii="宋体" w:eastAsia="宋体"/>
          <w:sz w:val="21"/>
          <w:szCs w:val="21"/>
          <w:highlight w:val="none"/>
          <w:lang w:val="en-US" w:eastAsia="zh-CN"/>
        </w:rPr>
        <w:t>联系方式</w:t>
      </w:r>
      <w:r>
        <w:rPr>
          <w:rFonts w:hint="eastAsia" w:ascii="宋体" w:eastAsia="宋体"/>
          <w:sz w:val="21"/>
          <w:szCs w:val="21"/>
          <w:highlight w:val="none"/>
        </w:rPr>
        <w:t>：</w:t>
      </w:r>
      <w:r>
        <w:rPr>
          <w:rFonts w:hint="eastAsia"/>
          <w:sz w:val="21"/>
          <w:szCs w:val="21"/>
          <w:highlight w:val="none"/>
          <w:lang w:val="en-US" w:eastAsia="zh-CN"/>
        </w:rPr>
        <w:t>黄玲</w:t>
      </w:r>
      <w:r>
        <w:rPr>
          <w:rFonts w:hint="eastAsia" w:ascii="宋体" w:eastAsia="宋体"/>
          <w:sz w:val="21"/>
          <w:szCs w:val="21"/>
          <w:highlight w:val="none"/>
          <w:lang w:val="en-US" w:eastAsia="zh-CN"/>
        </w:rPr>
        <w:t>，</w:t>
      </w:r>
      <w:r>
        <w:rPr>
          <w:rFonts w:hint="eastAsia" w:ascii="宋体" w:eastAsia="宋体"/>
          <w:sz w:val="21"/>
          <w:szCs w:val="21"/>
          <w:highlight w:val="none"/>
        </w:rPr>
        <w:t>联系电话：</w:t>
      </w:r>
      <w:r>
        <w:rPr>
          <w:rFonts w:hint="eastAsia"/>
          <w:sz w:val="21"/>
          <w:szCs w:val="21"/>
          <w:highlight w:val="none"/>
          <w:lang w:val="en-US" w:eastAsia="zh-CN"/>
        </w:rPr>
        <w:t>0771-8860036</w:t>
      </w:r>
    </w:p>
    <w:p>
      <w:pPr>
        <w:keepNext w:val="0"/>
        <w:keepLines w:val="0"/>
        <w:pageBreakBefore w:val="0"/>
        <w:widowControl w:val="0"/>
        <w:numPr>
          <w:ilvl w:val="0"/>
          <w:numId w:val="2"/>
        </w:numPr>
        <w:kinsoku/>
        <w:wordWrap/>
        <w:overflowPunct/>
        <w:topLinePunct w:val="0"/>
        <w:autoSpaceDE/>
        <w:autoSpaceDN/>
        <w:bidi w:val="0"/>
        <w:adjustRightInd/>
        <w:spacing w:after="0" w:line="360" w:lineRule="exact"/>
        <w:ind w:firstLine="472" w:firstLineChars="225"/>
        <w:textAlignment w:val="auto"/>
        <w:rPr>
          <w:rFonts w:hint="eastAsia" w:ascii="宋体" w:eastAsia="宋体"/>
          <w:sz w:val="21"/>
          <w:szCs w:val="21"/>
          <w:highlight w:val="none"/>
        </w:rPr>
      </w:pPr>
      <w:bookmarkStart w:id="3" w:name="_Toc8768_WPSOffice_Level2"/>
      <w:r>
        <w:rPr>
          <w:rFonts w:hint="eastAsia" w:ascii="宋体" w:eastAsia="宋体"/>
          <w:sz w:val="21"/>
          <w:szCs w:val="21"/>
          <w:highlight w:val="none"/>
        </w:rPr>
        <w:t>代理机构：广西晟通工程咨询有限公司</w:t>
      </w:r>
      <w:bookmarkEnd w:id="3"/>
    </w:p>
    <w:p>
      <w:pPr>
        <w:pStyle w:val="14"/>
        <w:numPr>
          <w:ilvl w:val="0"/>
          <w:numId w:val="0"/>
        </w:numPr>
        <w:ind w:firstLine="420" w:firstLineChars="200"/>
        <w:rPr>
          <w:rFonts w:hint="eastAsia"/>
        </w:rPr>
      </w:pPr>
      <w:r>
        <w:rPr>
          <w:rFonts w:hint="eastAsia" w:ascii="宋体" w:eastAsia="宋体"/>
          <w:sz w:val="21"/>
          <w:szCs w:val="21"/>
          <w:highlight w:val="none"/>
        </w:rPr>
        <w:t>地址：南宁市东葛路29-1号荣和中央公园1号楼13A（第14层）13室</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ascii="宋体" w:eastAsia="宋体"/>
          <w:sz w:val="21"/>
          <w:szCs w:val="21"/>
          <w:highlight w:val="none"/>
        </w:rPr>
      </w:pPr>
      <w:r>
        <w:rPr>
          <w:rFonts w:hint="eastAsia" w:ascii="宋体" w:eastAsia="宋体"/>
          <w:sz w:val="21"/>
          <w:szCs w:val="21"/>
          <w:highlight w:val="none"/>
          <w:lang w:val="en-US" w:eastAsia="zh-CN"/>
        </w:rPr>
        <w:t>联系方式</w:t>
      </w:r>
      <w:r>
        <w:rPr>
          <w:rFonts w:hint="eastAsia" w:ascii="宋体" w:eastAsia="宋体"/>
          <w:sz w:val="21"/>
          <w:szCs w:val="21"/>
          <w:highlight w:val="none"/>
        </w:rPr>
        <w:t>：</w:t>
      </w:r>
      <w:r>
        <w:rPr>
          <w:rFonts w:hint="eastAsia" w:ascii="宋体" w:eastAsia="宋体"/>
          <w:sz w:val="21"/>
          <w:szCs w:val="21"/>
          <w:highlight w:val="none"/>
          <w:lang w:eastAsia="zh-CN"/>
        </w:rPr>
        <w:t>覃胜才，</w:t>
      </w:r>
      <w:r>
        <w:rPr>
          <w:rFonts w:hint="eastAsia"/>
          <w:sz w:val="21"/>
          <w:szCs w:val="21"/>
          <w:highlight w:val="none"/>
          <w:lang w:val="en-US" w:eastAsia="zh-CN"/>
        </w:rPr>
        <w:t>联系电话：</w:t>
      </w:r>
      <w:r>
        <w:rPr>
          <w:rFonts w:hint="eastAsia" w:ascii="宋体" w:eastAsia="宋体"/>
          <w:sz w:val="21"/>
          <w:szCs w:val="21"/>
          <w:highlight w:val="none"/>
        </w:rPr>
        <w:t>0771-5345852</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ascii="宋体" w:eastAsia="宋体"/>
          <w:sz w:val="21"/>
          <w:szCs w:val="21"/>
          <w:highlight w:val="none"/>
        </w:rPr>
      </w:pPr>
      <w:r>
        <w:rPr>
          <w:rFonts w:hint="eastAsia" w:ascii="宋体" w:eastAsia="宋体"/>
          <w:sz w:val="21"/>
          <w:szCs w:val="21"/>
          <w:highlight w:val="none"/>
        </w:rPr>
        <w:t>3.监督部门：龙州县财政局政府采购监督管理</w:t>
      </w:r>
      <w:r>
        <w:rPr>
          <w:rFonts w:hint="eastAsia"/>
          <w:sz w:val="21"/>
          <w:szCs w:val="21"/>
          <w:highlight w:val="none"/>
          <w:lang w:val="en-US" w:eastAsia="zh-CN"/>
        </w:rPr>
        <w:t>股</w:t>
      </w:r>
      <w:r>
        <w:rPr>
          <w:rFonts w:hint="eastAsia" w:ascii="宋体" w:eastAsia="宋体"/>
          <w:sz w:val="21"/>
          <w:szCs w:val="21"/>
          <w:highlight w:val="none"/>
        </w:rPr>
        <w:t>   电话：0771-8812665</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ascii="宋体" w:eastAsia="宋体"/>
          <w:sz w:val="21"/>
          <w:szCs w:val="21"/>
          <w:highlight w:val="none"/>
        </w:rPr>
      </w:pPr>
      <w:r>
        <w:rPr>
          <w:rFonts w:hint="eastAsia" w:ascii="宋体" w:eastAsia="宋体"/>
          <w:sz w:val="21"/>
          <w:szCs w:val="21"/>
          <w:highlight w:val="none"/>
        </w:rPr>
        <w:t>4.项目联系方式</w:t>
      </w:r>
    </w:p>
    <w:p>
      <w:pPr>
        <w:keepNext w:val="0"/>
        <w:keepLines w:val="0"/>
        <w:pageBreakBefore w:val="0"/>
        <w:widowControl w:val="0"/>
        <w:kinsoku/>
        <w:wordWrap/>
        <w:overflowPunct/>
        <w:topLinePunct w:val="0"/>
        <w:autoSpaceDE/>
        <w:autoSpaceDN/>
        <w:bidi w:val="0"/>
        <w:adjustRightInd/>
        <w:spacing w:after="0" w:line="360" w:lineRule="exact"/>
        <w:ind w:firstLine="472" w:firstLineChars="225"/>
        <w:textAlignment w:val="auto"/>
        <w:rPr>
          <w:rFonts w:hint="eastAsia" w:ascii="宋体" w:eastAsia="宋体"/>
          <w:sz w:val="21"/>
          <w:szCs w:val="21"/>
          <w:highlight w:val="none"/>
        </w:rPr>
      </w:pPr>
      <w:r>
        <w:rPr>
          <w:rFonts w:hint="eastAsia"/>
          <w:sz w:val="21"/>
          <w:szCs w:val="21"/>
          <w:highlight w:val="none"/>
        </w:rPr>
        <w:t>项目联系人：</w:t>
      </w:r>
      <w:r>
        <w:rPr>
          <w:rFonts w:hint="eastAsia"/>
          <w:sz w:val="21"/>
          <w:szCs w:val="21"/>
          <w:highlight w:val="none"/>
          <w:lang w:val="en-US" w:eastAsia="zh-CN"/>
        </w:rPr>
        <w:t>覃胜才</w:t>
      </w:r>
      <w:r>
        <w:rPr>
          <w:rFonts w:hint="eastAsia"/>
          <w:sz w:val="21"/>
          <w:szCs w:val="21"/>
          <w:highlight w:val="none"/>
        </w:rPr>
        <w:t>，电话：</w:t>
      </w:r>
      <w:r>
        <w:rPr>
          <w:rFonts w:hint="eastAsia" w:ascii="宋体" w:eastAsia="宋体"/>
          <w:sz w:val="21"/>
          <w:szCs w:val="21"/>
          <w:highlight w:val="none"/>
        </w:rPr>
        <w:t>0771-5345852</w:t>
      </w:r>
    </w:p>
    <w:p>
      <w:pPr>
        <w:pStyle w:val="14"/>
        <w:rPr>
          <w:rFonts w:hint="eastAsia" w:ascii="宋体" w:eastAsia="宋体"/>
          <w:sz w:val="21"/>
          <w:szCs w:val="21"/>
          <w:highlight w:val="none"/>
        </w:rPr>
      </w:pPr>
    </w:p>
    <w:p>
      <w:pPr>
        <w:pStyle w:val="14"/>
        <w:rPr>
          <w:rFonts w:hint="eastAsia" w:ascii="宋体" w:eastAsia="宋体"/>
          <w:sz w:val="21"/>
          <w:szCs w:val="21"/>
          <w:highlight w:val="none"/>
        </w:rPr>
      </w:pPr>
    </w:p>
    <w:p>
      <w:pPr>
        <w:keepNext w:val="0"/>
        <w:keepLines w:val="0"/>
        <w:pageBreakBefore w:val="0"/>
        <w:widowControl w:val="0"/>
        <w:kinsoku/>
        <w:wordWrap/>
        <w:overflowPunct/>
        <w:topLinePunct w:val="0"/>
        <w:autoSpaceDE/>
        <w:autoSpaceDN/>
        <w:bidi w:val="0"/>
        <w:adjustRightInd/>
        <w:spacing w:after="0" w:line="360" w:lineRule="exact"/>
        <w:ind w:firstLine="472" w:firstLineChars="225"/>
        <w:jc w:val="right"/>
        <w:textAlignment w:val="auto"/>
        <w:rPr>
          <w:rFonts w:hint="eastAsia" w:eastAsia="宋体"/>
          <w:sz w:val="21"/>
          <w:szCs w:val="21"/>
          <w:highlight w:val="none"/>
          <w:lang w:eastAsia="zh-CN"/>
        </w:rPr>
      </w:pPr>
      <w:r>
        <w:rPr>
          <w:rFonts w:hint="eastAsia"/>
          <w:sz w:val="21"/>
          <w:szCs w:val="21"/>
          <w:highlight w:val="none"/>
          <w:lang w:eastAsia="zh-CN"/>
        </w:rPr>
        <w:t>广西晟通工程咨询有限公司</w:t>
      </w:r>
    </w:p>
    <w:p>
      <w:pPr>
        <w:keepNext w:val="0"/>
        <w:keepLines w:val="0"/>
        <w:pageBreakBefore w:val="0"/>
        <w:widowControl w:val="0"/>
        <w:kinsoku/>
        <w:wordWrap/>
        <w:overflowPunct/>
        <w:topLinePunct w:val="0"/>
        <w:autoSpaceDE/>
        <w:autoSpaceDN/>
        <w:bidi w:val="0"/>
        <w:adjustRightInd/>
        <w:spacing w:after="0" w:line="360" w:lineRule="exact"/>
        <w:ind w:firstLine="6930" w:firstLineChars="3300"/>
        <w:textAlignment w:val="auto"/>
        <w:rPr>
          <w:rFonts w:hint="eastAsia"/>
          <w:sz w:val="21"/>
          <w:szCs w:val="21"/>
          <w:highlight w:val="yellow"/>
        </w:rPr>
      </w:pPr>
      <w:r>
        <w:rPr>
          <w:rFonts w:hint="eastAsia"/>
          <w:sz w:val="21"/>
          <w:szCs w:val="21"/>
          <w:highlight w:val="none"/>
        </w:rPr>
        <w:t>2020年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18</w:t>
      </w:r>
      <w:r>
        <w:rPr>
          <w:rFonts w:hint="eastAsia"/>
          <w:sz w:val="21"/>
          <w:szCs w:val="21"/>
          <w:highlight w:val="none"/>
        </w:rPr>
        <w:t>日</w:t>
      </w:r>
    </w:p>
    <w:p>
      <w:pPr>
        <w:keepNext w:val="0"/>
        <w:keepLines w:val="0"/>
        <w:pageBreakBefore w:val="0"/>
        <w:widowControl w:val="0"/>
        <w:kinsoku/>
        <w:wordWrap/>
        <w:overflowPunct/>
        <w:topLinePunct w:val="0"/>
        <w:autoSpaceDE/>
        <w:autoSpaceDN/>
        <w:bidi w:val="0"/>
        <w:adjustRightInd/>
        <w:spacing w:after="0" w:line="360" w:lineRule="exact"/>
        <w:ind w:firstLine="420" w:firstLineChars="200"/>
        <w:textAlignment w:val="auto"/>
        <w:rPr>
          <w:rFonts w:hint="eastAsia" w:hAnsi="宋体" w:cs="宋体"/>
          <w:bCs/>
          <w:color w:val="auto"/>
          <w:sz w:val="21"/>
          <w:szCs w:val="21"/>
          <w:lang w:eastAsia="zh-CN"/>
        </w:rPr>
      </w:pPr>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rPr>
          <w:rFonts w:hint="eastAsia" w:ascii="宋体" w:hAnsi="宋体" w:eastAsia="宋体" w:cs="宋体"/>
          <w:color w:val="auto"/>
        </w:rPr>
      </w:pPr>
      <w:bookmarkStart w:id="4" w:name="_Toc1824"/>
      <w:bookmarkStart w:id="5" w:name="_Toc108835633"/>
      <w:bookmarkStart w:id="6" w:name="_Toc108836044"/>
      <w:bookmarkStart w:id="7" w:name="_Toc453681414"/>
      <w:r>
        <w:rPr>
          <w:rFonts w:hint="eastAsia" w:ascii="宋体" w:hAnsi="宋体" w:eastAsia="宋体" w:cs="宋体"/>
          <w:color w:val="auto"/>
          <w:lang w:val="en-US" w:eastAsia="zh-CN"/>
        </w:rPr>
        <w:t>第二章  磋商须知及前附表</w:t>
      </w:r>
      <w:bookmarkEnd w:id="4"/>
    </w:p>
    <w:p>
      <w:pPr>
        <w:spacing w:line="360" w:lineRule="auto"/>
        <w:jc w:val="center"/>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磋商须知前附表</w:t>
      </w:r>
    </w:p>
    <w:tbl>
      <w:tblPr>
        <w:tblStyle w:val="54"/>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726" w:type="dxa"/>
            <w:vAlign w:val="center"/>
          </w:tcPr>
          <w:p>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序号</w:t>
            </w:r>
          </w:p>
        </w:tc>
        <w:tc>
          <w:tcPr>
            <w:tcW w:w="945" w:type="dxa"/>
            <w:vAlign w:val="center"/>
          </w:tcPr>
          <w:p>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条款号</w:t>
            </w:r>
          </w:p>
        </w:tc>
        <w:tc>
          <w:tcPr>
            <w:tcW w:w="7757" w:type="dxa"/>
            <w:vAlign w:val="center"/>
          </w:tcPr>
          <w:p>
            <w:pPr>
              <w:jc w:val="center"/>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726"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945"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7757" w:type="dxa"/>
            <w:vAlign w:val="center"/>
          </w:tcPr>
          <w:p>
            <w:pPr>
              <w:spacing w:line="400" w:lineRule="exact"/>
              <w:rPr>
                <w:rFonts w:hint="eastAsia"/>
                <w:color w:val="auto"/>
                <w:lang w:eastAsia="zh-CN"/>
              </w:rPr>
            </w:pPr>
            <w:r>
              <w:rPr>
                <w:rFonts w:hint="eastAsia"/>
                <w:color w:val="auto"/>
              </w:rPr>
              <w:t>项目名称：</w:t>
            </w:r>
            <w:r>
              <w:rPr>
                <w:rFonts w:hint="eastAsia"/>
                <w:color w:val="auto"/>
                <w:lang w:eastAsia="zh-CN"/>
              </w:rPr>
              <w:t>龙州县下冻镇下冻村党群服务场所建设工程</w:t>
            </w:r>
          </w:p>
          <w:p>
            <w:pPr>
              <w:spacing w:line="400" w:lineRule="exact"/>
              <w:rPr>
                <w:rFonts w:hint="eastAsia"/>
                <w:color w:val="auto"/>
                <w:lang w:eastAsia="zh-CN"/>
              </w:rPr>
            </w:pPr>
            <w:r>
              <w:rPr>
                <w:rFonts w:hint="eastAsia"/>
                <w:color w:val="auto"/>
              </w:rPr>
              <w:t>项目编号：</w:t>
            </w:r>
            <w:r>
              <w:rPr>
                <w:rFonts w:hint="eastAsia"/>
                <w:color w:val="auto"/>
                <w:lang w:eastAsia="zh-CN"/>
              </w:rPr>
              <w:t>CZZC2020-C2-60004-GXST</w:t>
            </w:r>
          </w:p>
          <w:p>
            <w:pPr>
              <w:spacing w:line="400" w:lineRule="exact"/>
              <w:rPr>
                <w:rFonts w:hint="default" w:ascii="宋体" w:eastAsia="宋体"/>
                <w:color w:val="auto"/>
                <w:szCs w:val="22"/>
                <w:lang w:val="en-US" w:eastAsia="zh-CN"/>
              </w:rPr>
            </w:pPr>
            <w:r>
              <w:rPr>
                <w:rFonts w:hint="eastAsia" w:ascii="宋体" w:eastAsia="宋体"/>
                <w:color w:val="auto"/>
                <w:szCs w:val="22"/>
                <w:lang w:eastAsia="zh-CN"/>
              </w:rPr>
              <w:t>建设地点：</w:t>
            </w:r>
            <w:r>
              <w:rPr>
                <w:rFonts w:hint="eastAsia"/>
                <w:color w:val="auto"/>
                <w:szCs w:val="22"/>
                <w:lang w:eastAsia="zh-CN"/>
              </w:rPr>
              <w:t>龙州县下冻镇下冻村</w:t>
            </w:r>
          </w:p>
          <w:p>
            <w:pPr>
              <w:pStyle w:val="14"/>
              <w:ind w:left="0" w:leftChars="0" w:firstLine="0" w:firstLineChars="0"/>
              <w:rPr>
                <w:rFonts w:hint="eastAsia" w:ascii="宋体" w:eastAsia="宋体"/>
                <w:color w:val="auto"/>
                <w:szCs w:val="22"/>
                <w:lang w:val="en-US" w:eastAsia="zh-CN"/>
              </w:rPr>
            </w:pPr>
            <w:r>
              <w:rPr>
                <w:rFonts w:hint="eastAsia" w:ascii="宋体" w:eastAsia="宋体"/>
                <w:color w:val="auto"/>
                <w:szCs w:val="22"/>
                <w:lang w:eastAsia="zh-CN"/>
              </w:rPr>
              <w:t>项目规模：</w:t>
            </w:r>
            <w:r>
              <w:rPr>
                <w:rFonts w:hint="eastAsia" w:ascii="宋体" w:eastAsia="宋体"/>
                <w:color w:val="auto"/>
                <w:szCs w:val="22"/>
                <w:lang w:val="en-US" w:eastAsia="zh-CN"/>
              </w:rPr>
              <w:t>采购</w:t>
            </w:r>
            <w:r>
              <w:rPr>
                <w:rFonts w:hint="eastAsia" w:ascii="宋体" w:eastAsia="宋体"/>
                <w:color w:val="auto"/>
                <w:szCs w:val="22"/>
                <w:lang w:eastAsia="zh-CN"/>
              </w:rPr>
              <w:t>龙州县下冻镇下冻村党群服务场所建设工程</w:t>
            </w:r>
            <w:r>
              <w:rPr>
                <w:rFonts w:hint="eastAsia" w:ascii="宋体" w:eastAsia="宋体"/>
                <w:color w:val="auto"/>
                <w:szCs w:val="22"/>
                <w:lang w:val="en-US" w:eastAsia="zh-CN"/>
              </w:rPr>
              <w:t>1项，建筑层数：地上二层，总建筑面积303平方米，建筑基底面积144平方米，建筑高度7.5米；具体详见招标工程量清单。</w:t>
            </w:r>
          </w:p>
          <w:p>
            <w:pPr>
              <w:pStyle w:val="14"/>
              <w:ind w:left="0" w:leftChars="0" w:firstLine="0" w:firstLineChars="0"/>
              <w:rPr>
                <w:rFonts w:hint="default"/>
                <w:highlight w:val="none"/>
                <w:lang w:val="en-US" w:eastAsia="zh-CN"/>
              </w:rPr>
            </w:pPr>
            <w:r>
              <w:rPr>
                <w:rFonts w:hint="eastAsia" w:ascii="宋体" w:eastAsia="宋体"/>
                <w:color w:val="auto"/>
                <w:szCs w:val="22"/>
                <w:lang w:val="en-US" w:eastAsia="zh-CN"/>
              </w:rPr>
              <w:t>采购内容：</w:t>
            </w:r>
            <w:r>
              <w:rPr>
                <w:rFonts w:hint="eastAsia"/>
                <w:color w:val="auto"/>
                <w:sz w:val="21"/>
                <w:szCs w:val="21"/>
                <w:highlight w:val="none"/>
                <w:lang w:val="en-US" w:eastAsia="zh-CN"/>
              </w:rPr>
              <w:t>建筑工程、室外建设、安装工程等（详见工程量清单所包含的内容）。</w:t>
            </w:r>
          </w:p>
          <w:p>
            <w:pPr>
              <w:spacing w:line="400" w:lineRule="exact"/>
              <w:rPr>
                <w:rFonts w:hint="default" w:ascii="宋体" w:eastAsia="宋体"/>
                <w:color w:val="auto"/>
                <w:szCs w:val="22"/>
                <w:lang w:val="en-US" w:eastAsia="zh-CN"/>
              </w:rPr>
            </w:pPr>
            <w:r>
              <w:rPr>
                <w:rFonts w:hint="eastAsia" w:ascii="宋体" w:eastAsia="宋体"/>
                <w:color w:val="auto"/>
                <w:szCs w:val="22"/>
                <w:lang w:eastAsia="zh-CN"/>
              </w:rPr>
              <w:t>要求工期：</w:t>
            </w:r>
            <w:r>
              <w:rPr>
                <w:rFonts w:hint="eastAsia"/>
                <w:color w:val="auto"/>
                <w:szCs w:val="22"/>
                <w:lang w:val="en-US" w:eastAsia="zh-CN"/>
              </w:rPr>
              <w:t>150日历天</w:t>
            </w:r>
            <w:r>
              <w:rPr>
                <w:rFonts w:hint="eastAsia" w:ascii="宋体" w:eastAsia="宋体"/>
                <w:color w:val="auto"/>
                <w:szCs w:val="22"/>
                <w:lang w:val="en-US" w:eastAsia="zh-CN"/>
              </w:rPr>
              <w:t>。</w:t>
            </w:r>
          </w:p>
          <w:p>
            <w:pPr>
              <w:pStyle w:val="14"/>
              <w:ind w:left="0" w:leftChars="0" w:firstLine="0" w:firstLineChars="0"/>
              <w:rPr>
                <w:rFonts w:hint="eastAsia"/>
                <w:color w:val="auto"/>
                <w:lang w:eastAsia="zh-CN"/>
              </w:rPr>
            </w:pPr>
            <w:r>
              <w:rPr>
                <w:rFonts w:hint="eastAsia"/>
                <w:color w:val="auto"/>
                <w:lang w:eastAsia="zh-CN"/>
              </w:rPr>
              <w:t>质量标准：达到国家施工验收规范合格标准。</w:t>
            </w:r>
          </w:p>
          <w:p>
            <w:pPr>
              <w:pStyle w:val="14"/>
              <w:ind w:left="0" w:leftChars="0" w:firstLine="0" w:firstLineChars="0"/>
              <w:rPr>
                <w:rFonts w:hint="eastAsia"/>
                <w:color w:val="auto"/>
                <w:lang w:val="en-US" w:eastAsia="zh-CN"/>
              </w:rPr>
            </w:pPr>
            <w:r>
              <w:rPr>
                <w:rFonts w:hint="eastAsia"/>
                <w:color w:val="auto"/>
                <w:lang w:eastAsia="zh-CN"/>
              </w:rPr>
              <w:t>资金来源：</w:t>
            </w:r>
            <w:r>
              <w:rPr>
                <w:rFonts w:hint="eastAsia"/>
                <w:color w:val="auto"/>
                <w:highlight w:val="none"/>
                <w:lang w:val="en-US" w:eastAsia="zh-CN"/>
              </w:rPr>
              <w:t>上级专项资金。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6"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945"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3.1</w:t>
            </w:r>
          </w:p>
        </w:tc>
        <w:tc>
          <w:tcPr>
            <w:tcW w:w="7757" w:type="dxa"/>
            <w:vAlign w:val="center"/>
          </w:tcPr>
          <w:p>
            <w:pPr>
              <w:snapToGrid w:val="0"/>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申请人的</w:t>
            </w:r>
            <w:r>
              <w:rPr>
                <w:rFonts w:hint="eastAsia" w:asciiTheme="minorEastAsia" w:hAnsiTheme="minorEastAsia" w:eastAsiaTheme="minorEastAsia"/>
                <w:color w:val="auto"/>
                <w:szCs w:val="21"/>
              </w:rPr>
              <w:t>资格要求：</w:t>
            </w:r>
          </w:p>
          <w:p>
            <w:pPr>
              <w:pStyle w:val="14"/>
              <w:ind w:left="0" w:leftChars="0" w:firstLine="0" w:firstLineChars="0"/>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1.满足《中华人民共和国政府采购法》第二十二条规定；</w:t>
            </w:r>
          </w:p>
          <w:p>
            <w:pPr>
              <w:pStyle w:val="14"/>
              <w:ind w:left="0" w:leftChars="0" w:firstLine="0" w:firstLineChars="0"/>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2.落实政府采购政策需满足的资格要求：</w:t>
            </w:r>
            <w:r>
              <w:rPr>
                <w:rFonts w:hint="eastAsia" w:cs="Arial" w:asciiTheme="minorEastAsia" w:hAnsiTheme="minorEastAsia" w:eastAsiaTheme="minorEastAsia"/>
                <w:color w:val="auto"/>
                <w:szCs w:val="21"/>
                <w:lang w:val="en-US" w:eastAsia="zh-CN"/>
              </w:rPr>
              <w:t>无要求。</w:t>
            </w:r>
          </w:p>
          <w:p>
            <w:pPr>
              <w:pStyle w:val="14"/>
              <w:ind w:left="0" w:leftChars="0" w:firstLine="0" w:firstLineChars="0"/>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lang w:val="en-US" w:eastAsia="zh-CN"/>
              </w:rPr>
              <w:t>3</w:t>
            </w:r>
            <w:r>
              <w:rPr>
                <w:rFonts w:hint="eastAsia" w:cs="Arial" w:asciiTheme="minorEastAsia" w:hAnsiTheme="minorEastAsia" w:eastAsiaTheme="minorEastAsia"/>
                <w:color w:val="auto"/>
                <w:szCs w:val="21"/>
              </w:rPr>
              <w:t>.本项目的特定资格要求：具有国内独立法人资格且具备建筑工程施工总承包叁级（含叁级）以上资质，资信良好，实力较强的施工企业，并在人员、设备、资金等方面具备相应的施工能力。拟派驻本项目的项目经理必须具有建筑工程专业注册建造师贰级（含贰级）以上资质等级，并获得安全生产考核合格证。</w:t>
            </w:r>
          </w:p>
          <w:p>
            <w:pPr>
              <w:pStyle w:val="14"/>
              <w:ind w:left="0" w:leftChars="0" w:firstLine="0" w:firstLineChars="0"/>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lang w:val="en-US" w:eastAsia="zh-CN"/>
              </w:rPr>
              <w:t>4.</w:t>
            </w:r>
            <w:r>
              <w:rPr>
                <w:rFonts w:hint="eastAsia" w:cs="Arial" w:asciiTheme="minorEastAsia" w:hAnsiTheme="minorEastAsia" w:eastAsiaTheme="minorEastAsia"/>
                <w:color w:val="auto"/>
                <w:szCs w:val="21"/>
              </w:rPr>
              <w:t>对在“信用中国”网站</w:t>
            </w:r>
            <w:r>
              <w:rPr>
                <w:rFonts w:hint="default" w:cs="Arial" w:asciiTheme="minorEastAsia" w:hAnsiTheme="minorEastAsia" w:eastAsiaTheme="minorEastAsia"/>
                <w:color w:val="auto"/>
                <w:szCs w:val="21"/>
              </w:rPr>
              <w:t>(www.creditchina.gov.cn)</w:t>
            </w:r>
            <w:r>
              <w:rPr>
                <w:rFonts w:hint="eastAsia" w:cs="Arial" w:asciiTheme="minorEastAsia" w:hAnsiTheme="minorEastAsia" w:eastAsiaTheme="minorEastAsia"/>
                <w:color w:val="auto"/>
                <w:szCs w:val="21"/>
              </w:rPr>
              <w:t>、中国政府采购网</w:t>
            </w:r>
            <w:r>
              <w:rPr>
                <w:rFonts w:hint="default" w:cs="Arial" w:asciiTheme="minorEastAsia" w:hAnsiTheme="minorEastAsia" w:eastAsiaTheme="minorEastAsia"/>
                <w:color w:val="auto"/>
                <w:szCs w:val="21"/>
              </w:rPr>
              <w:t>(www.ccgp.gov.cn)</w:t>
            </w:r>
            <w:r>
              <w:rPr>
                <w:rFonts w:hint="eastAsia" w:cs="Arial" w:asciiTheme="minorEastAsia" w:hAnsiTheme="minorEastAsia" w:eastAsiaTheme="minorEastAsia"/>
                <w:color w:val="auto"/>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pStyle w:val="14"/>
              <w:ind w:left="0" w:leftChars="0" w:firstLine="0" w:firstLineChars="0"/>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lang w:val="en-US" w:eastAsia="zh-CN"/>
              </w:rPr>
              <w:t>5.</w:t>
            </w:r>
            <w:r>
              <w:rPr>
                <w:rFonts w:hint="eastAsia" w:cs="Arial" w:asciiTheme="minorEastAsia" w:hAnsiTheme="minorEastAsia" w:eastAsiaTheme="minorEastAsia"/>
                <w:color w:val="auto"/>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26"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945"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10.1</w:t>
            </w:r>
          </w:p>
        </w:tc>
        <w:tc>
          <w:tcPr>
            <w:tcW w:w="7757"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响应文件有效期：响应文件递交截止日起60天。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6"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945"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11.4</w:t>
            </w:r>
          </w:p>
        </w:tc>
        <w:tc>
          <w:tcPr>
            <w:tcW w:w="7757" w:type="dxa"/>
            <w:vAlign w:val="center"/>
          </w:tcPr>
          <w:p>
            <w:pPr>
              <w:spacing w:line="400" w:lineRule="exac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首次响应文件份数：</w:t>
            </w:r>
            <w:r>
              <w:rPr>
                <w:rFonts w:hint="eastAsia" w:asciiTheme="minorEastAsia" w:hAnsiTheme="minorEastAsia" w:eastAsiaTheme="minorEastAsia"/>
                <w:color w:val="auto"/>
                <w:szCs w:val="21"/>
                <w:lang w:eastAsia="zh-CN"/>
              </w:rPr>
              <w:t>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6"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p>
        </w:tc>
        <w:tc>
          <w:tcPr>
            <w:tcW w:w="945"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12.1</w:t>
            </w:r>
          </w:p>
        </w:tc>
        <w:tc>
          <w:tcPr>
            <w:tcW w:w="7757" w:type="dxa"/>
            <w:vAlign w:val="center"/>
          </w:tcPr>
          <w:p>
            <w:pPr>
              <w:pStyle w:val="14"/>
              <w:keepNext w:val="0"/>
              <w:keepLines w:val="0"/>
              <w:pageBreakBefore w:val="0"/>
              <w:kinsoku/>
              <w:wordWrap/>
              <w:overflowPunct/>
              <w:topLinePunct w:val="0"/>
              <w:bidi w:val="0"/>
              <w:adjustRightInd/>
              <w:spacing w:line="440" w:lineRule="exact"/>
              <w:ind w:left="0" w:leftChars="0" w:firstLine="0" w:firstLineChars="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highlight w:val="none"/>
                <w:lang w:eastAsia="zh-CN"/>
              </w:rPr>
              <w:t>磋商保证金（人民币）：</w:t>
            </w:r>
            <w:r>
              <w:rPr>
                <w:rFonts w:hint="eastAsia" w:asciiTheme="minorEastAsia" w:hAnsiTheme="minorEastAsia" w:eastAsiaTheme="minorEastAsia"/>
                <w:color w:val="auto"/>
                <w:szCs w:val="21"/>
                <w:highlight w:val="none"/>
                <w:lang w:val="en-US"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13.4</w:t>
            </w:r>
          </w:p>
        </w:tc>
        <w:tc>
          <w:tcPr>
            <w:tcW w:w="77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asciiTheme="minorEastAsia" w:hAnsiTheme="minorEastAsia" w:eastAsiaTheme="minorEastAsia"/>
                <w:color w:val="auto"/>
              </w:rPr>
            </w:pPr>
            <w:r>
              <w:rPr>
                <w:rFonts w:hint="eastAsia" w:asciiTheme="minorEastAsia" w:hAnsiTheme="minorEastAsia" w:eastAsiaTheme="minorEastAsia"/>
                <w:color w:val="auto"/>
                <w:szCs w:val="21"/>
              </w:rPr>
              <w:t>1、磋商报价：供应商</w:t>
            </w:r>
            <w:r>
              <w:rPr>
                <w:rFonts w:asciiTheme="minorEastAsia" w:hAnsiTheme="minorEastAsia" w:eastAsiaTheme="minorEastAsia"/>
                <w:color w:val="auto"/>
                <w:szCs w:val="21"/>
              </w:rPr>
              <w:t>应按第</w:t>
            </w:r>
            <w:r>
              <w:rPr>
                <w:rFonts w:hint="eastAsia" w:asciiTheme="minorEastAsia" w:hAnsiTheme="minorEastAsia" w:eastAsiaTheme="minorEastAsia"/>
                <w:color w:val="auto"/>
                <w:szCs w:val="21"/>
              </w:rPr>
              <w:t>四</w:t>
            </w:r>
            <w:r>
              <w:rPr>
                <w:rFonts w:asciiTheme="minorEastAsia" w:hAnsiTheme="minorEastAsia" w:eastAsiaTheme="minorEastAsia"/>
                <w:color w:val="auto"/>
                <w:szCs w:val="21"/>
              </w:rPr>
              <w:t>章“工程量清单”的要求填写相应表格。</w:t>
            </w:r>
            <w:r>
              <w:rPr>
                <w:rFonts w:hint="eastAsia" w:asciiTheme="minorEastAsia" w:hAnsiTheme="minorEastAsia" w:eastAsiaTheme="minorEastAsia"/>
                <w:color w:val="auto"/>
                <w:szCs w:val="21"/>
              </w:rPr>
              <w:t>供应商不得</w:t>
            </w:r>
            <w:r>
              <w:rPr>
                <w:rFonts w:hint="eastAsia" w:asciiTheme="minorEastAsia" w:hAnsiTheme="minorEastAsia" w:eastAsiaTheme="minorEastAsia"/>
                <w:color w:val="auto"/>
              </w:rPr>
              <w:t>修改工程量清单的</w:t>
            </w:r>
            <w:r>
              <w:rPr>
                <w:rFonts w:asciiTheme="minorEastAsia" w:hAnsiTheme="minorEastAsia" w:eastAsiaTheme="minorEastAsia"/>
                <w:color w:val="auto"/>
                <w:szCs w:val="21"/>
              </w:rPr>
              <w:t>项目编码、项目名称、项目特征、计量单位、工程量必须与</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工程量清单一致，</w:t>
            </w:r>
            <w:r>
              <w:rPr>
                <w:rFonts w:hint="eastAsia" w:asciiTheme="minorEastAsia" w:hAnsiTheme="minorEastAsia" w:eastAsiaTheme="minorEastAsia"/>
                <w:color w:val="auto"/>
                <w:szCs w:val="21"/>
              </w:rPr>
              <w:t>磋商供应商</w:t>
            </w:r>
            <w:r>
              <w:rPr>
                <w:rFonts w:asciiTheme="minorEastAsia" w:hAnsiTheme="minorEastAsia" w:eastAsiaTheme="minorEastAsia"/>
                <w:color w:val="auto"/>
                <w:szCs w:val="21"/>
              </w:rPr>
              <w:t>不得对工程量清单项目进行增减调整。</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rPr>
              <w:t>2、本项目的计税方式：</w:t>
            </w:r>
            <w:r>
              <w:rPr>
                <w:rFonts w:hint="eastAsia" w:asciiTheme="minorEastAsia" w:hAnsiTheme="minorEastAsia" w:eastAsiaTheme="minorEastAsia"/>
                <w:color w:val="auto"/>
                <w:lang w:val="en-US" w:eastAsia="zh-CN"/>
              </w:rPr>
              <w:t>一般</w:t>
            </w:r>
            <w:r>
              <w:rPr>
                <w:rFonts w:hint="eastAsia" w:asciiTheme="minorEastAsia" w:hAnsiTheme="minorEastAsia" w:eastAsiaTheme="minorEastAsia"/>
                <w:color w:val="auto"/>
              </w:rPr>
              <w:t>计税法</w:t>
            </w:r>
          </w:p>
          <w:p>
            <w:pPr>
              <w:pStyle w:val="28"/>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bCs/>
                <w:color w:val="auto"/>
                <w:szCs w:val="21"/>
                <w:u w:val="single"/>
              </w:rPr>
            </w:pPr>
            <w:r>
              <w:rPr>
                <w:rFonts w:hint="eastAsia" w:ascii="宋体" w:hAnsi="宋体" w:eastAsia="宋体" w:cs="宋体"/>
                <w:b/>
                <w:bCs/>
                <w:color w:val="auto"/>
                <w:szCs w:val="21"/>
                <w:u w:val="single"/>
              </w:rPr>
              <w:t>本项目采取二次报价（二次报价时如报价改变的需要提前准备好一份新的已标价工程量清单，报价不变的不需提供）。</w:t>
            </w:r>
          </w:p>
          <w:p>
            <w:pPr>
              <w:pStyle w:val="28"/>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b/>
                <w:bCs/>
                <w:color w:val="auto"/>
                <w:szCs w:val="21"/>
                <w:u w:val="single"/>
              </w:rPr>
            </w:pPr>
            <w:r>
              <w:rPr>
                <w:rFonts w:hint="eastAsia" w:ascii="宋体" w:hAnsi="宋体" w:eastAsia="宋体" w:cs="宋体"/>
                <w:b/>
                <w:bCs/>
                <w:color w:val="auto"/>
                <w:szCs w:val="21"/>
                <w:u w:val="none"/>
                <w:lang w:eastAsia="zh-CN"/>
              </w:rPr>
              <w:t>采购预算控制价为：</w:t>
            </w:r>
            <w:r>
              <w:rPr>
                <w:rFonts w:hint="eastAsia" w:ascii="宋体" w:hAnsi="宋体" w:eastAsia="宋体" w:cs="宋体"/>
                <w:b/>
                <w:bCs/>
                <w:color w:val="auto"/>
                <w:szCs w:val="21"/>
                <w:u w:val="none"/>
                <w:lang w:val="en-US" w:eastAsia="zh-CN"/>
              </w:rPr>
              <w:t>人民币</w:t>
            </w:r>
            <w:r>
              <w:rPr>
                <w:rFonts w:hint="eastAsia" w:hAnsi="宋体" w:cs="宋体"/>
                <w:b/>
                <w:bCs/>
                <w:color w:val="auto"/>
                <w:szCs w:val="21"/>
                <w:u w:val="none"/>
                <w:lang w:val="en-US" w:eastAsia="zh-CN"/>
              </w:rPr>
              <w:t>陆拾柒万捌仟陆佰元整</w:t>
            </w:r>
            <w:r>
              <w:rPr>
                <w:rFonts w:hint="eastAsia" w:ascii="宋体" w:hAnsi="宋体" w:eastAsia="宋体" w:cs="宋体"/>
                <w:b/>
                <w:bCs/>
                <w:color w:val="auto"/>
                <w:szCs w:val="21"/>
                <w:u w:val="none"/>
                <w:lang w:val="en-US" w:eastAsia="zh-CN"/>
              </w:rPr>
              <w:t>（￥</w:t>
            </w:r>
            <w:r>
              <w:rPr>
                <w:rFonts w:hint="eastAsia" w:hAnsi="宋体" w:cs="宋体"/>
                <w:b/>
                <w:bCs/>
                <w:color w:val="auto"/>
                <w:szCs w:val="21"/>
                <w:u w:val="none"/>
                <w:lang w:val="en-US" w:eastAsia="zh-CN"/>
              </w:rPr>
              <w:t>678600.00</w:t>
            </w:r>
            <w:r>
              <w:rPr>
                <w:rFonts w:hint="eastAsia" w:ascii="宋体" w:hAnsi="宋体" w:eastAsia="宋体" w:cs="宋体"/>
                <w:b/>
                <w:bCs/>
                <w:color w:val="auto"/>
                <w:szCs w:val="21"/>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17.1</w:t>
            </w:r>
          </w:p>
        </w:tc>
        <w:tc>
          <w:tcPr>
            <w:tcW w:w="7757" w:type="dxa"/>
            <w:vAlign w:val="center"/>
          </w:tcPr>
          <w:p>
            <w:pPr>
              <w:pStyle w:val="2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首次响应文件递交截止时间：</w:t>
            </w:r>
            <w:r>
              <w:rPr>
                <w:rFonts w:hint="eastAsia" w:asciiTheme="minorEastAsia" w:hAnsiTheme="minorEastAsia" w:eastAsiaTheme="minorEastAsia"/>
                <w:color w:val="auto"/>
                <w:szCs w:val="21"/>
                <w:highlight w:val="none"/>
                <w:u w:val="none"/>
                <w:lang w:eastAsia="zh-CN"/>
              </w:rPr>
              <w:t>2020年9月29日10时00分。</w:t>
            </w:r>
          </w:p>
          <w:p>
            <w:pPr>
              <w:pStyle w:val="2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olor w:val="auto"/>
                <w:szCs w:val="21"/>
                <w:highlight w:val="none"/>
                <w:lang w:eastAsia="zh-CN"/>
              </w:rPr>
            </w:pPr>
            <w:r>
              <w:rPr>
                <w:rFonts w:hint="eastAsia" w:cs="Times New Roman" w:asciiTheme="minorEastAsia" w:hAnsiTheme="minorEastAsia" w:eastAsiaTheme="minorEastAsia"/>
                <w:color w:val="auto"/>
                <w:kern w:val="2"/>
                <w:sz w:val="21"/>
                <w:szCs w:val="21"/>
                <w:highlight w:val="none"/>
                <w:u w:val="none"/>
                <w:lang w:val="en-US" w:eastAsia="zh-CN" w:bidi="ar-SA"/>
              </w:rPr>
              <w:t>地址：广西晟通工程咨询有限公司开标室【崇左市江州区友谊大道龙胤财富广场20栋4单元4楼（崇左国际大酒店正对面）】。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8</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19.1</w:t>
            </w:r>
          </w:p>
        </w:tc>
        <w:tc>
          <w:tcPr>
            <w:tcW w:w="775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磋商时间：</w:t>
            </w:r>
            <w:r>
              <w:rPr>
                <w:rFonts w:hint="eastAsia" w:asciiTheme="minorEastAsia" w:hAnsiTheme="minorEastAsia" w:eastAsiaTheme="minorEastAsia"/>
                <w:color w:val="auto"/>
                <w:szCs w:val="21"/>
                <w:highlight w:val="none"/>
                <w:u w:val="none"/>
                <w:lang w:eastAsia="zh-CN"/>
              </w:rPr>
              <w:t>2020年9月29日10时00分</w:t>
            </w:r>
            <w:r>
              <w:rPr>
                <w:rFonts w:hint="eastAsia" w:asciiTheme="minorEastAsia" w:hAnsiTheme="minorEastAsia" w:eastAsiaTheme="minorEastAsia"/>
                <w:color w:val="auto"/>
                <w:szCs w:val="21"/>
                <w:highlight w:val="none"/>
              </w:rPr>
              <w:t>截标后（具体时间由采购代理机构另行通知）</w:t>
            </w:r>
            <w:r>
              <w:rPr>
                <w:rFonts w:hint="eastAsia" w:asciiTheme="minorEastAsia" w:hAnsiTheme="minorEastAsia" w:eastAsiaTheme="minor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u w:val="none"/>
                <w:lang w:eastAsia="zh-CN"/>
              </w:rPr>
              <w:t>磋商地点：广西晟通工程咨询有限公司</w:t>
            </w:r>
            <w:r>
              <w:rPr>
                <w:rFonts w:hint="eastAsia" w:asciiTheme="minorEastAsia" w:hAnsiTheme="minorEastAsia" w:eastAsiaTheme="minorEastAsia"/>
                <w:color w:val="auto"/>
                <w:szCs w:val="21"/>
                <w:highlight w:val="none"/>
                <w:u w:val="none"/>
                <w:lang w:val="en-US" w:eastAsia="zh-CN"/>
              </w:rPr>
              <w:t>评</w:t>
            </w:r>
            <w:r>
              <w:rPr>
                <w:rFonts w:hint="eastAsia" w:asciiTheme="minorEastAsia" w:hAnsiTheme="minorEastAsia" w:eastAsiaTheme="minorEastAsia"/>
                <w:color w:val="auto"/>
                <w:szCs w:val="21"/>
                <w:highlight w:val="none"/>
                <w:u w:val="none"/>
                <w:lang w:eastAsia="zh-CN"/>
              </w:rPr>
              <w:t>标室【崇左市江州区友谊大道龙胤财富广场20栋4单元4楼（崇左国际大酒店正对面）】。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9</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25</w:t>
            </w:r>
          </w:p>
        </w:tc>
        <w:tc>
          <w:tcPr>
            <w:tcW w:w="775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rPr>
            </w:pPr>
            <w:r>
              <w:rPr>
                <w:rFonts w:asciiTheme="minorEastAsia" w:hAnsiTheme="minorEastAsia" w:eastAsiaTheme="minorEastAsia"/>
                <w:color w:val="auto"/>
              </w:rPr>
              <w:t>履约</w:t>
            </w:r>
            <w:r>
              <w:rPr>
                <w:rFonts w:hint="eastAsia" w:asciiTheme="minorEastAsia" w:hAnsiTheme="minorEastAsia" w:eastAsiaTheme="minorEastAsia"/>
                <w:color w:val="auto"/>
              </w:rPr>
              <w:t>保证金</w:t>
            </w:r>
            <w:r>
              <w:rPr>
                <w:rFonts w:asciiTheme="minorEastAsia" w:hAnsiTheme="minorEastAsia" w:eastAsiaTheme="minorEastAsia"/>
                <w:color w:val="auto"/>
              </w:rPr>
              <w:t>金额</w:t>
            </w:r>
            <w:r>
              <w:rPr>
                <w:rFonts w:hint="eastAsia" w:asciiTheme="minorEastAsia" w:hAnsiTheme="minorEastAsia" w:eastAsiaTheme="minorEastAsia"/>
                <w:color w:val="auto"/>
              </w:rPr>
              <w:t>及</w:t>
            </w:r>
            <w:r>
              <w:rPr>
                <w:rFonts w:asciiTheme="minorEastAsia" w:hAnsiTheme="minorEastAsia" w:eastAsiaTheme="minorEastAsia"/>
                <w:color w:val="auto"/>
              </w:rPr>
              <w:t>形式：</w:t>
            </w:r>
            <w:r>
              <w:rPr>
                <w:rFonts w:hint="eastAsia" w:asciiTheme="minorEastAsia" w:hAnsiTheme="minorEastAsia" w:eastAsiaTheme="minorEastAsia"/>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.1</w:t>
            </w:r>
          </w:p>
        </w:tc>
        <w:tc>
          <w:tcPr>
            <w:tcW w:w="7757"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sz w:val="21"/>
                <w:szCs w:val="21"/>
                <w:highlight w:val="none"/>
              </w:rPr>
            </w:pPr>
            <w:r>
              <w:rPr>
                <w:rFonts w:hint="eastAsia"/>
                <w:b/>
                <w:sz w:val="21"/>
                <w:highlight w:val="none"/>
              </w:rPr>
              <w:t>代理服务费</w:t>
            </w:r>
            <w:r>
              <w:rPr>
                <w:rFonts w:hint="eastAsia"/>
                <w:b/>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宋体"/>
                <w:color w:val="000000" w:themeColor="text1"/>
                <w:sz w:val="21"/>
                <w:szCs w:val="21"/>
                <w:highlight w:val="none"/>
                <w:lang w:val="en-US" w:eastAsia="zh-CN"/>
                <w14:textFill>
                  <w14:solidFill>
                    <w14:schemeClr w14:val="tx1"/>
                  </w14:solidFill>
                </w14:textFill>
              </w:rPr>
            </w:pPr>
            <w:r>
              <w:rPr>
                <w:rFonts w:hint="eastAsia"/>
                <w:sz w:val="21"/>
                <w:szCs w:val="21"/>
                <w:highlight w:val="none"/>
                <w:lang w:val="en-US"/>
              </w:rPr>
              <w:t>1、</w:t>
            </w:r>
            <w:r>
              <w:rPr>
                <w:rFonts w:hint="eastAsia"/>
                <w:sz w:val="21"/>
                <w:szCs w:val="21"/>
                <w:highlight w:val="none"/>
              </w:rPr>
              <w:t>按国家发展计划委员会计价格[2002]1980号《招标代理服务费管理暂行办法》收费标准及</w:t>
            </w:r>
            <w:r>
              <w:rPr>
                <w:rFonts w:hint="eastAsia"/>
                <w:sz w:val="21"/>
                <w:szCs w:val="21"/>
                <w:highlight w:val="none"/>
                <w:lang w:eastAsia="zh-CN"/>
              </w:rPr>
              <w:t>桂价费[2011]55号</w:t>
            </w:r>
            <w:r>
              <w:rPr>
                <w:rFonts w:hint="eastAsia"/>
                <w:sz w:val="21"/>
                <w:szCs w:val="21"/>
                <w:highlight w:val="none"/>
              </w:rPr>
              <w:t>文的规定</w:t>
            </w:r>
            <w:r>
              <w:rPr>
                <w:rFonts w:hint="eastAsia"/>
                <w:b/>
                <w:bCs/>
                <w:sz w:val="21"/>
                <w:szCs w:val="21"/>
                <w:highlight w:val="none"/>
                <w:u w:val="single"/>
              </w:rPr>
              <w:t>工程</w:t>
            </w:r>
            <w:r>
              <w:rPr>
                <w:rFonts w:hint="eastAsia"/>
                <w:b/>
                <w:sz w:val="21"/>
                <w:szCs w:val="21"/>
                <w:highlight w:val="none"/>
                <w:u w:val="single"/>
              </w:rPr>
              <w:t>类</w:t>
            </w:r>
            <w:r>
              <w:rPr>
                <w:rFonts w:hint="eastAsia"/>
                <w:sz w:val="21"/>
                <w:szCs w:val="21"/>
                <w:highlight w:val="none"/>
              </w:rPr>
              <w:t>收费标准</w:t>
            </w:r>
            <w:r>
              <w:rPr>
                <w:rFonts w:hint="eastAsia"/>
                <w:sz w:val="21"/>
                <w:szCs w:val="21"/>
                <w:highlight w:val="none"/>
                <w:lang w:eastAsia="zh-CN"/>
              </w:rPr>
              <w:t>，</w:t>
            </w:r>
            <w:r>
              <w:rPr>
                <w:rFonts w:hint="eastAsia"/>
                <w:color w:val="000000" w:themeColor="text1"/>
                <w:sz w:val="21"/>
                <w:szCs w:val="21"/>
                <w:highlight w:val="none"/>
                <w14:textFill>
                  <w14:solidFill>
                    <w14:schemeClr w14:val="tx1"/>
                  </w14:solidFill>
                </w14:textFill>
              </w:rPr>
              <w:t>向</w:t>
            </w:r>
            <w:r>
              <w:rPr>
                <w:rFonts w:hint="eastAsia" w:cs="宋体"/>
                <w:b/>
                <w:bCs/>
                <w:sz w:val="21"/>
                <w:szCs w:val="21"/>
                <w:highlight w:val="none"/>
                <w:u w:val="single"/>
                <w:lang w:val="en-US" w:eastAsia="zh-CN"/>
              </w:rPr>
              <w:t>成交</w:t>
            </w:r>
            <w:r>
              <w:rPr>
                <w:rFonts w:hint="eastAsia" w:ascii="宋体" w:hAnsi="宋体" w:eastAsia="宋体" w:cs="宋体"/>
                <w:b/>
                <w:bCs/>
                <w:sz w:val="21"/>
                <w:szCs w:val="21"/>
                <w:highlight w:val="none"/>
                <w:u w:val="single"/>
              </w:rPr>
              <w:t>人</w:t>
            </w:r>
            <w:r>
              <w:rPr>
                <w:rFonts w:hint="eastAsia"/>
                <w:color w:val="000000" w:themeColor="text1"/>
                <w:sz w:val="21"/>
                <w:szCs w:val="21"/>
                <w:highlight w:val="none"/>
                <w14:textFill>
                  <w14:solidFill>
                    <w14:schemeClr w14:val="tx1"/>
                  </w14:solidFill>
                </w14:textFill>
              </w:rPr>
              <w:t>收取</w:t>
            </w:r>
            <w:r>
              <w:rPr>
                <w:rFonts w:hint="eastAsia"/>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1"/>
                <w:szCs w:val="21"/>
                <w:highlight w:val="none"/>
              </w:rPr>
            </w:pPr>
            <w:r>
              <w:rPr>
                <w:rFonts w:hint="eastAsia"/>
                <w:sz w:val="21"/>
                <w:szCs w:val="21"/>
                <w:highlight w:val="none"/>
                <w:lang w:val="en-US"/>
              </w:rPr>
              <w:t>2、</w:t>
            </w:r>
            <w:r>
              <w:rPr>
                <w:rFonts w:hint="eastAsia"/>
                <w:sz w:val="21"/>
                <w:szCs w:val="21"/>
                <w:highlight w:val="none"/>
              </w:rPr>
              <w:t>上述款项，请转账或电汇转入下列银行帐户，否则不予签订合同。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1"/>
                <w:szCs w:val="21"/>
                <w:highlight w:val="none"/>
              </w:rPr>
            </w:pPr>
            <w:r>
              <w:rPr>
                <w:rFonts w:hint="eastAsia"/>
                <w:sz w:val="21"/>
                <w:szCs w:val="21"/>
                <w:highlight w:val="none"/>
              </w:rPr>
              <w:t>开户名称：广西晟通工程咨询有限公司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sz w:val="21"/>
                <w:szCs w:val="21"/>
                <w:highlight w:val="none"/>
              </w:rPr>
            </w:pPr>
            <w:r>
              <w:rPr>
                <w:rFonts w:hint="eastAsia"/>
                <w:sz w:val="21"/>
                <w:szCs w:val="21"/>
                <w:highlight w:val="none"/>
              </w:rPr>
              <w:t>开户银行：中国建设银行股份有限公司南宁新城支行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eastAsiaTheme="minorEastAsia"/>
                <w:color w:val="auto"/>
                <w:szCs w:val="21"/>
              </w:rPr>
            </w:pPr>
            <w:r>
              <w:rPr>
                <w:rFonts w:hint="eastAsia"/>
                <w:sz w:val="21"/>
                <w:szCs w:val="21"/>
                <w:highlight w:val="none"/>
              </w:rPr>
              <w:t>银行账号：4500 1604 2550 5071 9437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11</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Cs w:val="21"/>
              </w:rPr>
            </w:pPr>
          </w:p>
        </w:tc>
        <w:tc>
          <w:tcPr>
            <w:tcW w:w="7757" w:type="dxa"/>
            <w:vAlign w:val="center"/>
          </w:tcPr>
          <w:p>
            <w:pPr>
              <w:pStyle w:val="22"/>
              <w:keepNext w:val="0"/>
              <w:keepLines w:val="0"/>
              <w:pageBreakBefore w:val="0"/>
              <w:widowControl w:val="0"/>
              <w:kinsoku/>
              <w:wordWrap/>
              <w:overflowPunct/>
              <w:topLinePunct w:val="0"/>
              <w:autoSpaceDE/>
              <w:autoSpaceDN/>
              <w:bidi w:val="0"/>
              <w:adjustRightInd/>
              <w:snapToGrid/>
              <w:spacing w:after="0" w:line="400" w:lineRule="exact"/>
              <w:ind w:left="-4" w:leftChars="-2" w:firstLine="4" w:firstLineChars="2"/>
              <w:textAlignment w:val="auto"/>
              <w:rPr>
                <w:rFonts w:hint="eastAsia" w:asciiTheme="minorEastAsia" w:hAnsiTheme="minorEastAsia" w:eastAsiaTheme="minorEastAsia"/>
                <w:color w:val="auto"/>
                <w:szCs w:val="21"/>
              </w:rPr>
            </w:pPr>
            <w:r>
              <w:rPr>
                <w:rFonts w:hint="eastAsia" w:ascii="宋体" w:hAnsi="宋体" w:eastAsia="宋体" w:cs="宋体"/>
                <w:b/>
                <w:bCs/>
                <w:color w:val="auto"/>
                <w:sz w:val="21"/>
                <w:szCs w:val="21"/>
                <w:lang w:eastAsia="zh-CN"/>
              </w:rPr>
              <w:t>组织现场踏勘</w:t>
            </w:r>
            <w:r>
              <w:rPr>
                <w:rFonts w:hint="eastAsia" w:ascii="宋体" w:hAnsi="宋体" w:eastAsia="宋体" w:cs="宋体"/>
                <w:color w:val="auto"/>
                <w:sz w:val="21"/>
                <w:szCs w:val="21"/>
                <w:lang w:eastAsia="zh-CN"/>
              </w:rPr>
              <w:t>：</w:t>
            </w:r>
            <w:r>
              <w:rPr>
                <w:rFonts w:hint="eastAsia" w:hAnsi="宋体" w:cs="宋体"/>
                <w:color w:val="auto"/>
                <w:sz w:val="21"/>
                <w:szCs w:val="21"/>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12</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Cs w:val="21"/>
              </w:rPr>
            </w:pPr>
          </w:p>
        </w:tc>
        <w:tc>
          <w:tcPr>
            <w:tcW w:w="775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b/>
                <w:bCs/>
                <w:color w:val="auto"/>
                <w:szCs w:val="21"/>
                <w:lang w:val="en-US" w:eastAsia="zh-CN"/>
              </w:rPr>
              <w:t>供应商资格证明审查：</w:t>
            </w:r>
            <w:r>
              <w:rPr>
                <w:rFonts w:hint="eastAsia" w:asciiTheme="minorEastAsia" w:hAnsiTheme="minorEastAsia" w:eastAsiaTheme="minorEastAsia"/>
                <w:color w:val="auto"/>
                <w:szCs w:val="21"/>
                <w:lang w:val="en-US" w:eastAsia="zh-CN"/>
              </w:rPr>
              <w:t>由采购人或招标代理机构在查询网站中直接打印查询记录，并作为评审资料保存。查询起止时间为截标后至资格审查评审时间时。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查 询 渠 道 ： “ 信 用 中 国 ” 网 站 (www.creditchina.gov.cn) 、 中 国 政 府 采 购 网(www.ccgp.gov.cn)；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采购人或招标代理机构将对供应商信用记录进行甄别，对列入失信被执行人、重大税收违法案件当事人名单、政府采购严重违法失信行为记录名单及其他不符合《中华人民共和国政府采购法》第二十二条规定条件的供应商，资格审查不通过，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1</w:t>
            </w:r>
            <w:r>
              <w:rPr>
                <w:rFonts w:hint="eastAsia" w:asciiTheme="minorEastAsia" w:hAnsiTheme="minorEastAsia" w:eastAsiaTheme="minorEastAsia"/>
                <w:color w:val="auto"/>
                <w:szCs w:val="21"/>
                <w:lang w:val="en-US" w:eastAsia="zh-CN"/>
              </w:rPr>
              <w:t>3</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rPr>
            </w:pPr>
          </w:p>
        </w:tc>
        <w:tc>
          <w:tcPr>
            <w:tcW w:w="775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本磋商文件中描述供应商的“公章”是指根据我国对公章的管理规定，用供应商法定主体行为名称制作的印章，除本磋商文件有特殊规定外，供应商的财务章、部门章、分公司章、工会章、合同章、投标专用章、业务专用章等其它形式印章均不能代替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2、本磋商文件中描述供应商的“签字”是指供应商的法定代表人或被授权人亲自在磋商文件规定签署处亲笔写上个人的名字的行为，私章、签字章、印鉴、影印等其它形式均不能代替亲笔签字。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7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14</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rPr>
            </w:pPr>
          </w:p>
        </w:tc>
        <w:tc>
          <w:tcPr>
            <w:tcW w:w="775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b w:val="0"/>
                <w:bCs/>
                <w:color w:val="auto"/>
                <w:szCs w:val="21"/>
                <w:highlight w:val="none"/>
                <w:lang w:val="en-US" w:eastAsia="zh-CN"/>
              </w:rPr>
            </w:pPr>
            <w:r>
              <w:rPr>
                <w:rFonts w:hint="eastAsia" w:hAnsi="宋体"/>
                <w:b w:val="0"/>
                <w:bCs/>
                <w:color w:val="auto"/>
                <w:szCs w:val="21"/>
                <w:highlight w:val="none"/>
                <w:lang w:val="en-US" w:eastAsia="zh-CN"/>
              </w:rPr>
              <w:t>政府采购合同审核、备案：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b w:val="0"/>
                <w:bCs/>
                <w:color w:val="auto"/>
                <w:szCs w:val="21"/>
                <w:highlight w:val="none"/>
                <w:lang w:val="en-US" w:eastAsia="zh-CN"/>
              </w:rPr>
            </w:pPr>
            <w:r>
              <w:rPr>
                <w:rFonts w:hint="eastAsia" w:hAnsi="宋体"/>
                <w:b w:val="0"/>
                <w:bCs/>
                <w:color w:val="auto"/>
                <w:szCs w:val="21"/>
                <w:highlight w:val="none"/>
                <w:lang w:val="en-US" w:eastAsia="zh-CN"/>
              </w:rPr>
              <w:t>l、采购合同自签订之日起2个工作日内，成交单位必须将采购合同送达本招标代理机构，由招标代理机构上传广西政府采购网备案。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olor w:val="auto"/>
                <w:szCs w:val="21"/>
              </w:rPr>
            </w:pPr>
            <w:r>
              <w:rPr>
                <w:rFonts w:hint="eastAsia" w:hAnsi="宋体"/>
                <w:b w:val="0"/>
                <w:bCs/>
                <w:color w:val="auto"/>
                <w:szCs w:val="21"/>
                <w:highlight w:val="none"/>
                <w:lang w:val="en-US" w:eastAsia="zh-CN"/>
              </w:rPr>
              <w:t>2、采购合同自签订之日起7个工作日内，采购单位必须将采购合同报送龙州县财政局政府采购监督管理股备案。</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color w:val="auto"/>
          <w:sz w:val="30"/>
          <w:szCs w:val="30"/>
        </w:rPr>
      </w:pPr>
      <w:r>
        <w:rPr>
          <w:rFonts w:asciiTheme="minorEastAsia" w:hAnsiTheme="minorEastAsia" w:eastAsiaTheme="minorEastAsia"/>
          <w:b/>
          <w:color w:val="auto"/>
          <w:sz w:val="30"/>
          <w:szCs w:val="30"/>
        </w:rPr>
        <w:br w:type="page"/>
      </w:r>
    </w:p>
    <w:p>
      <w:pPr>
        <w:spacing w:line="400" w:lineRule="exact"/>
        <w:jc w:val="center"/>
        <w:rPr>
          <w:rFonts w:hint="eastAsia"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磋商须知</w:t>
      </w:r>
    </w:p>
    <w:p>
      <w:pPr>
        <w:numPr>
          <w:ilvl w:val="0"/>
          <w:numId w:val="4"/>
        </w:numPr>
        <w:spacing w:line="400" w:lineRule="exact"/>
        <w:ind w:firstLine="4006" w:firstLineChars="1900"/>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总　则</w:t>
      </w:r>
    </w:p>
    <w:p>
      <w:pPr>
        <w:pStyle w:val="14"/>
        <w:numPr>
          <w:ilvl w:val="0"/>
          <w:numId w:val="0"/>
        </w:numPr>
      </w:pP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1.项目概况</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1.1</w:t>
      </w:r>
      <w:r>
        <w:rPr>
          <w:rFonts w:asciiTheme="minorEastAsia" w:hAnsiTheme="minorEastAsia" w:eastAsiaTheme="minorEastAsia"/>
          <w:color w:val="auto"/>
          <w:szCs w:val="21"/>
        </w:rPr>
        <w:t>本项目名称</w:t>
      </w:r>
      <w:r>
        <w:rPr>
          <w:rFonts w:hint="eastAsia" w:asciiTheme="minorEastAsia" w:hAnsiTheme="minorEastAsia" w:eastAsiaTheme="minorEastAsia"/>
          <w:color w:val="auto"/>
          <w:szCs w:val="21"/>
        </w:rPr>
        <w:t>及项目编号</w:t>
      </w:r>
      <w:r>
        <w:rPr>
          <w:rFonts w:asciiTheme="minorEastAsia" w:hAnsiTheme="minorEastAsia" w:eastAsiaTheme="minorEastAsia"/>
          <w:color w:val="auto"/>
          <w:szCs w:val="21"/>
        </w:rPr>
        <w:t>：见“</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须知前附表”。</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1.2</w:t>
      </w:r>
      <w:r>
        <w:rPr>
          <w:rFonts w:asciiTheme="minorEastAsia" w:hAnsiTheme="minorEastAsia" w:eastAsiaTheme="minorEastAsia"/>
          <w:color w:val="auto"/>
          <w:szCs w:val="21"/>
        </w:rPr>
        <w:t>本项目建设地点：见“</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须知前附表”。</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1.3 本项目</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范围：见“</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须知前附表”。</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 xml:space="preserve"> 本项目的</w:t>
      </w:r>
      <w:r>
        <w:rPr>
          <w:rFonts w:hint="eastAsia" w:asciiTheme="minorEastAsia" w:hAnsiTheme="minorEastAsia" w:eastAsiaTheme="minorEastAsia"/>
          <w:color w:val="auto"/>
          <w:szCs w:val="21"/>
        </w:rPr>
        <w:t>要求</w:t>
      </w:r>
      <w:r>
        <w:rPr>
          <w:rFonts w:asciiTheme="minorEastAsia" w:hAnsiTheme="minorEastAsia" w:eastAsiaTheme="minorEastAsia"/>
          <w:color w:val="auto"/>
          <w:szCs w:val="21"/>
        </w:rPr>
        <w:t>工期：见“</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须知前附表”。</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 xml:space="preserve"> 本项目的质量要求：见“</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须知前附表”。</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2.定义</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2.1“采购人”是指：依法进行政府采购的国家机关、事业单位、团体组织。</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2.2“采购代理机构”是指：根据采购人的委托办理采购事宜的机构，本项目的采购代理机构为</w:t>
      </w:r>
      <w:r>
        <w:rPr>
          <w:rFonts w:hint="eastAsia" w:asciiTheme="minorEastAsia" w:hAnsiTheme="minorEastAsia" w:eastAsiaTheme="minorEastAsia"/>
          <w:color w:val="auto"/>
          <w:szCs w:val="21"/>
          <w:lang w:eastAsia="zh-CN"/>
        </w:rPr>
        <w:t>广西晟通工程咨询有限公司</w:t>
      </w:r>
      <w:r>
        <w:rPr>
          <w:rFonts w:hint="eastAsia" w:asciiTheme="minorEastAsia" w:hAnsiTheme="minorEastAsia" w:eastAsiaTheme="minorEastAsia"/>
          <w:color w:val="auto"/>
          <w:szCs w:val="21"/>
        </w:rPr>
        <w:t>。</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2.3“供应商”是指购买了竞争性磋商文件，响应本文件要求，参加磋商的法人、其他组织或者自然人。如果该供应商在本次磋商中成交，即成为“成交供应商”。</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2.4“工程”是指建设工程，包括建筑物和构筑物的新建、改建、扩建及其相关的装修、拆除、修缮等。</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2.5“响应文件”是指：供应商根据本文件要求，编制包含报价、技术和服务等所有内容的文件。</w:t>
      </w:r>
    </w:p>
    <w:p>
      <w:pPr>
        <w:keepNext w:val="0"/>
        <w:keepLines w:val="0"/>
        <w:pageBreakBefore w:val="0"/>
        <w:numPr>
          <w:ilvl w:val="0"/>
          <w:numId w:val="2"/>
        </w:numPr>
        <w:kinsoku/>
        <w:wordWrap/>
        <w:overflowPunct/>
        <w:topLinePunct w:val="0"/>
        <w:autoSpaceDE/>
        <w:autoSpaceDN/>
        <w:bidi w:val="0"/>
        <w:adjustRightInd/>
        <w:spacing w:line="360" w:lineRule="auto"/>
        <w:ind w:left="0" w:leftChars="0" w:firstLine="474" w:firstLineChars="225"/>
        <w:textAlignment w:val="auto"/>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供应商的资格条件</w:t>
      </w:r>
    </w:p>
    <w:p>
      <w:pPr>
        <w:pageBreakBefore w:val="0"/>
        <w:kinsoku/>
        <w:wordWrap/>
        <w:overflowPunct/>
        <w:topLinePunct w:val="0"/>
        <w:bidi w:val="0"/>
        <w:spacing w:line="288" w:lineRule="auto"/>
        <w:ind w:firstLine="409" w:firstLineChars="195"/>
        <w:rPr>
          <w:rFonts w:hint="eastAsia" w:asciiTheme="minorEastAsia" w:hAnsiTheme="minorEastAsia" w:eastAsiaTheme="minorEastAsia"/>
          <w:b/>
          <w:color w:val="auto"/>
          <w:szCs w:val="21"/>
        </w:rPr>
      </w:pPr>
      <w:r>
        <w:rPr>
          <w:rFonts w:hint="eastAsia" w:cs="Times New Roman" w:asciiTheme="minorEastAsia" w:hAnsiTheme="minorEastAsia" w:eastAsiaTheme="minorEastAsia"/>
          <w:color w:val="auto"/>
          <w:szCs w:val="21"/>
        </w:rPr>
        <w:t>3.1 有资格获得本合同的</w:t>
      </w:r>
      <w:r>
        <w:rPr>
          <w:rFonts w:hint="eastAsia" w:cs="Times New Roman" w:asciiTheme="minorEastAsia" w:hAnsiTheme="minorEastAsia" w:eastAsiaTheme="minorEastAsia"/>
          <w:color w:val="auto"/>
          <w:szCs w:val="21"/>
          <w:lang w:val="en-US" w:eastAsia="zh-CN"/>
        </w:rPr>
        <w:t>供应商</w:t>
      </w:r>
      <w:r>
        <w:rPr>
          <w:rFonts w:hint="eastAsia" w:cs="Times New Roman" w:asciiTheme="minorEastAsia" w:hAnsiTheme="minorEastAsia" w:eastAsiaTheme="minorEastAsia"/>
          <w:color w:val="auto"/>
          <w:szCs w:val="21"/>
        </w:rPr>
        <w:t>，至少应满足本须知前附表第</w:t>
      </w:r>
      <w:r>
        <w:rPr>
          <w:rFonts w:hint="eastAsia" w:cs="Times New Roman" w:asciiTheme="minorEastAsia" w:hAnsiTheme="minorEastAsia" w:eastAsiaTheme="minorEastAsia"/>
          <w:color w:val="auto"/>
          <w:szCs w:val="21"/>
          <w:lang w:val="en-US" w:eastAsia="zh-CN"/>
        </w:rPr>
        <w:t>2</w:t>
      </w:r>
      <w:r>
        <w:rPr>
          <w:rFonts w:hint="eastAsia" w:cs="Times New Roman" w:asciiTheme="minorEastAsia" w:hAnsiTheme="minorEastAsia" w:eastAsiaTheme="minorEastAsia"/>
          <w:color w:val="auto"/>
          <w:szCs w:val="21"/>
        </w:rPr>
        <w:t>项所列得最低资格标准。</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 磋商费用</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4.1 </w:t>
      </w:r>
      <w:r>
        <w:rPr>
          <w:rFonts w:hint="eastAsia" w:cs="Arial" w:asciiTheme="minorEastAsia" w:hAnsiTheme="minorEastAsia" w:eastAsiaTheme="minorEastAsia"/>
          <w:color w:val="auto"/>
          <w:szCs w:val="21"/>
        </w:rPr>
        <w:t>供应商</w:t>
      </w:r>
      <w:r>
        <w:rPr>
          <w:rFonts w:hint="eastAsia" w:asciiTheme="minorEastAsia" w:hAnsiTheme="minorEastAsia" w:eastAsiaTheme="minorEastAsia"/>
          <w:color w:val="auto"/>
          <w:szCs w:val="21"/>
        </w:rPr>
        <w:t>应自行承担所有与编写和提交响应文件有关的费用，不论磋商结果如何，采购人和采购代理机构在任何情况下无义务和责任承担此类费用。</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二、竞争性磋商文件</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5.竞争性磋商文件的组成</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5.1 本竞争性磋商文件包括七个章节，各章的内容如下：</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第一章  竞争性磋商公告</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第二章  磋商须知及前附表</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第三章  评审方法</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第四章  工程量清单及图纸</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第五章  </w:t>
      </w:r>
      <w:r>
        <w:rPr>
          <w:rFonts w:hint="eastAsia" w:asciiTheme="minorEastAsia" w:hAnsiTheme="minorEastAsia" w:eastAsiaTheme="minorEastAsia"/>
          <w:color w:val="auto"/>
        </w:rPr>
        <w:t>技术标准、规范</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第六章  合同条款及格式</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第七章  响应文件基本格式</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5.2  根据本章第6.1项的规定对竞争性磋商文件所做的澄清、修改，构成竞争性磋商文件的组成部分。当竞争性磋商文件与竞争性磋商文件的澄清和修改就同一内容的表述不一致时，以最后发出的书面文件为准。</w:t>
      </w:r>
    </w:p>
    <w:p>
      <w:pPr>
        <w:pStyle w:val="28"/>
        <w:keepNext w:val="0"/>
        <w:keepLines w:val="0"/>
        <w:pageBreakBefore w:val="0"/>
        <w:kinsoku/>
        <w:wordWrap/>
        <w:overflowPunct/>
        <w:topLinePunct w:val="0"/>
        <w:autoSpaceDE/>
        <w:autoSpaceDN/>
        <w:bidi w:val="0"/>
        <w:adjustRightInd/>
        <w:spacing w:line="360" w:lineRule="auto"/>
        <w:ind w:firstLine="466" w:firstLineChars="221"/>
        <w:textAlignment w:val="auto"/>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6. 竞争性磋商文件的澄清和修改</w:t>
      </w:r>
    </w:p>
    <w:p>
      <w:pPr>
        <w:pStyle w:val="28"/>
        <w:keepNext w:val="0"/>
        <w:keepLines w:val="0"/>
        <w:pageBreakBefore w:val="0"/>
        <w:kinsoku/>
        <w:wordWrap/>
        <w:overflowPunct/>
        <w:topLinePunct w:val="0"/>
        <w:autoSpaceDE/>
        <w:autoSpaceDN/>
        <w:bidi w:val="0"/>
        <w:adjustRightInd/>
        <w:spacing w:line="360" w:lineRule="auto"/>
        <w:ind w:left="2" w:leftChars="1" w:firstLine="470" w:firstLineChars="224"/>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6.1 采购人或采购代理机构对已发出的竞争性磋商文件进行必要澄清或修改的，应当在提交首次响应文件截止之日5日前，以书面形式通知所有竞争性磋商文件收受人，不足5日的，应当顺延提交响应文件截止之日；同时，采购代理机构在竞争性磋商公告的发布媒体上发布更正公告。</w:t>
      </w:r>
    </w:p>
    <w:p>
      <w:pPr>
        <w:pStyle w:val="28"/>
        <w:keepNext w:val="0"/>
        <w:keepLines w:val="0"/>
        <w:pageBreakBefore w:val="0"/>
        <w:kinsoku/>
        <w:wordWrap/>
        <w:overflowPunct/>
        <w:topLinePunct w:val="0"/>
        <w:autoSpaceDE/>
        <w:autoSpaceDN/>
        <w:bidi w:val="0"/>
        <w:adjustRightInd/>
        <w:spacing w:line="360" w:lineRule="auto"/>
        <w:ind w:left="2" w:leftChars="1" w:firstLine="470" w:firstLineChars="224"/>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6.2  采购人和采购代理机构可以视采购具体情况，延长首次响应文件递交截止时间，但应当在递交首次响应文件截止之日5日前，将变更时间书面通知所有竞争性磋商文件收受人，不足5日的，应当顺延递交首次响应文件截止之日。同时，采购代理机构在竞争性磋商公告的发布媒体上发布更正公告。</w:t>
      </w:r>
    </w:p>
    <w:p>
      <w:pPr>
        <w:pStyle w:val="28"/>
        <w:keepNext w:val="0"/>
        <w:keepLines w:val="0"/>
        <w:pageBreakBefore w:val="0"/>
        <w:kinsoku/>
        <w:wordWrap/>
        <w:overflowPunct/>
        <w:topLinePunct w:val="0"/>
        <w:autoSpaceDE/>
        <w:autoSpaceDN/>
        <w:bidi w:val="0"/>
        <w:adjustRightInd/>
        <w:spacing w:line="360" w:lineRule="auto"/>
        <w:ind w:left="2" w:leftChars="1" w:firstLine="470" w:firstLineChars="224"/>
        <w:textAlignment w:val="auto"/>
        <w:rPr>
          <w:rFonts w:asciiTheme="minorEastAsia" w:hAnsiTheme="minorEastAsia" w:eastAsiaTheme="minorEastAsia"/>
          <w:b/>
          <w:color w:val="auto"/>
          <w:szCs w:val="21"/>
        </w:rPr>
      </w:pPr>
      <w:r>
        <w:rPr>
          <w:rFonts w:hint="eastAsia" w:asciiTheme="minorEastAsia" w:hAnsiTheme="minorEastAsia" w:eastAsiaTheme="minorEastAsia"/>
          <w:color w:val="auto"/>
          <w:szCs w:val="21"/>
        </w:rPr>
        <w:t>三、</w:t>
      </w:r>
      <w:r>
        <w:rPr>
          <w:rFonts w:hint="eastAsia" w:asciiTheme="minorEastAsia" w:hAnsiTheme="minorEastAsia" w:eastAsiaTheme="minorEastAsia"/>
          <w:b/>
          <w:color w:val="auto"/>
          <w:szCs w:val="21"/>
        </w:rPr>
        <w:t>首次响应文件</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7. 首次响应文件编制基本要求</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7.1  </w:t>
      </w:r>
      <w:r>
        <w:rPr>
          <w:rFonts w:hint="eastAsia" w:cs="Arial" w:asciiTheme="minorEastAsia" w:hAnsiTheme="minorEastAsia" w:eastAsiaTheme="minorEastAsia"/>
          <w:color w:val="auto"/>
          <w:szCs w:val="21"/>
        </w:rPr>
        <w:t>供应商</w:t>
      </w:r>
      <w:r>
        <w:rPr>
          <w:rFonts w:hint="eastAsia" w:asciiTheme="minorEastAsia" w:hAnsiTheme="minorEastAsia" w:eastAsiaTheme="minorEastAsia"/>
          <w:color w:val="auto"/>
          <w:szCs w:val="21"/>
        </w:rPr>
        <w:t>应仔细阅读竞争性磋商文件，在充分了解采购的内容、服务要求和合同条款后，编写首次响应文件。</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7.2  </w:t>
      </w:r>
      <w:r>
        <w:rPr>
          <w:rFonts w:hint="eastAsia" w:cs="Arial" w:asciiTheme="minorEastAsia" w:hAnsiTheme="minorEastAsia" w:eastAsiaTheme="minorEastAsia"/>
          <w:color w:val="auto"/>
          <w:szCs w:val="21"/>
        </w:rPr>
        <w:t>供应商</w:t>
      </w:r>
      <w:r>
        <w:rPr>
          <w:rFonts w:hint="eastAsia" w:asciiTheme="minorEastAsia" w:hAnsiTheme="minorEastAsia" w:eastAsiaTheme="minorEastAsia"/>
          <w:color w:val="auto"/>
          <w:szCs w:val="21"/>
        </w:rPr>
        <w:t>提交的首次响应文件以及</w:t>
      </w:r>
      <w:r>
        <w:rPr>
          <w:rFonts w:hint="eastAsia" w:cs="Arial" w:asciiTheme="minorEastAsia" w:hAnsiTheme="minorEastAsia" w:eastAsiaTheme="minorEastAsia"/>
          <w:color w:val="auto"/>
          <w:szCs w:val="21"/>
        </w:rPr>
        <w:t>供应商</w:t>
      </w:r>
      <w:r>
        <w:rPr>
          <w:rFonts w:hint="eastAsia" w:asciiTheme="minorEastAsia" w:hAnsiTheme="minorEastAsia" w:eastAsiaTheme="minorEastAsia"/>
          <w:color w:val="auto"/>
          <w:szCs w:val="21"/>
        </w:rPr>
        <w:t>与采购代理机构和采购人就有关磋商的所有来往函电均应使用中文。</w:t>
      </w:r>
      <w:r>
        <w:rPr>
          <w:rFonts w:hint="eastAsia" w:cs="Arial" w:asciiTheme="minorEastAsia" w:hAnsiTheme="minorEastAsia" w:eastAsiaTheme="minorEastAsia"/>
          <w:color w:val="auto"/>
          <w:szCs w:val="21"/>
        </w:rPr>
        <w:t>供应商</w:t>
      </w:r>
      <w:r>
        <w:rPr>
          <w:rFonts w:hint="eastAsia" w:asciiTheme="minorEastAsia" w:hAnsiTheme="minorEastAsia" w:eastAsiaTheme="minorEastAsia"/>
          <w:color w:val="auto"/>
          <w:szCs w:val="21"/>
        </w:rPr>
        <w:t>提交的支持文件和印刷的文献可以使用别的语言，但其相应内容必须附有中文翻译文本，在解释响应文件时以翻译文本为主。</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7.3第七章“响应文件基本格式”中规定了响应文件格式的，应按相应格式要求编写。</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7.4响应文件应编制目录，且页码清晰准确。响应文件装订应牢固、不易拆散和换页，不得采用活页装订。 </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8. 首次响应文件的组成</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8.1首次响应文件应分为</w:t>
      </w:r>
      <w:r>
        <w:rPr>
          <w:rFonts w:hint="eastAsia" w:asciiTheme="minorEastAsia" w:hAnsiTheme="minorEastAsia" w:eastAsiaTheme="minorEastAsia"/>
          <w:b/>
          <w:bCs/>
          <w:color w:val="auto"/>
          <w:szCs w:val="21"/>
          <w:u w:val="single"/>
        </w:rPr>
        <w:t>价格文件、资格和商务、技术文件</w:t>
      </w:r>
      <w:r>
        <w:rPr>
          <w:rFonts w:hint="eastAsia" w:asciiTheme="minorEastAsia" w:hAnsiTheme="minorEastAsia" w:eastAsiaTheme="minorEastAsia"/>
          <w:color w:val="auto"/>
          <w:szCs w:val="21"/>
        </w:rPr>
        <w:t>三个部分。</w:t>
      </w:r>
      <w:r>
        <w:rPr>
          <w:rFonts w:hint="eastAsia" w:asciiTheme="minorEastAsia" w:hAnsiTheme="minorEastAsia" w:eastAsiaTheme="minorEastAsia"/>
          <w:b/>
          <w:color w:val="auto"/>
          <w:szCs w:val="21"/>
        </w:rPr>
        <w:t>属于必须提供的文件，如未提供或提供的文件无效，其响应文件按无效处理。</w:t>
      </w:r>
      <w:r>
        <w:rPr>
          <w:rFonts w:hint="eastAsia" w:asciiTheme="minorEastAsia" w:hAnsiTheme="minorEastAsia" w:eastAsiaTheme="minorEastAsia"/>
          <w:color w:val="auto"/>
          <w:szCs w:val="21"/>
        </w:rPr>
        <w:t>应递交的有关文件如未特别注明为原件的，可提交复印件。</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bCs/>
          <w:color w:val="auto"/>
          <w:szCs w:val="21"/>
        </w:rPr>
      </w:pPr>
      <w:r>
        <w:rPr>
          <w:rFonts w:hint="eastAsia" w:asciiTheme="minorEastAsia" w:hAnsiTheme="minorEastAsia" w:eastAsiaTheme="minorEastAsia"/>
          <w:b/>
          <w:bCs/>
          <w:color w:val="auto"/>
          <w:szCs w:val="21"/>
        </w:rPr>
        <w:t>8.1.1价格文件</w:t>
      </w:r>
    </w:p>
    <w:p>
      <w:pPr>
        <w:keepNext w:val="0"/>
        <w:keepLines w:val="0"/>
        <w:pageBreakBefore w:val="0"/>
        <w:kinsoku/>
        <w:wordWrap/>
        <w:overflowPunct/>
        <w:topLinePunct w:val="0"/>
        <w:autoSpaceDE/>
        <w:autoSpaceDN/>
        <w:bidi w:val="0"/>
        <w:adjustRightInd/>
        <w:spacing w:line="360" w:lineRule="auto"/>
        <w:ind w:firstLine="317" w:firstLineChars="151"/>
        <w:textAlignment w:val="auto"/>
        <w:rPr>
          <w:rFonts w:asciiTheme="minorEastAsia" w:hAnsiTheme="minorEastAsia" w:eastAsiaTheme="minorEastAsia"/>
          <w:b/>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磋商函及磋商函附录（格式见第七章）；</w:t>
      </w:r>
      <w:r>
        <w:rPr>
          <w:rFonts w:hint="eastAsia" w:asciiTheme="minorEastAsia" w:hAnsiTheme="minorEastAsia" w:eastAsiaTheme="minorEastAsia"/>
          <w:b/>
          <w:color w:val="auto"/>
          <w:szCs w:val="21"/>
        </w:rPr>
        <w:t>（必须提供，否则磋商无效）</w:t>
      </w:r>
    </w:p>
    <w:p>
      <w:pPr>
        <w:keepNext w:val="0"/>
        <w:keepLines w:val="0"/>
        <w:pageBreakBefore w:val="0"/>
        <w:kinsoku/>
        <w:wordWrap/>
        <w:overflowPunct/>
        <w:topLinePunct w:val="0"/>
        <w:autoSpaceDE/>
        <w:autoSpaceDN/>
        <w:bidi w:val="0"/>
        <w:adjustRightInd/>
        <w:spacing w:line="360" w:lineRule="auto"/>
        <w:ind w:firstLine="317" w:firstLineChars="151"/>
        <w:textAlignment w:val="auto"/>
        <w:rPr>
          <w:rFonts w:asciiTheme="minorEastAsia" w:hAnsiTheme="minorEastAsia" w:eastAsiaTheme="minorEastAsia"/>
          <w:b/>
          <w:color w:val="auto"/>
          <w:szCs w:val="21"/>
        </w:rPr>
      </w:pPr>
      <w:r>
        <w:rPr>
          <w:rFonts w:hint="eastAsia" w:asciiTheme="minorEastAsia" w:hAnsiTheme="minorEastAsia" w:eastAsiaTheme="minorEastAsia"/>
          <w:color w:val="auto"/>
          <w:szCs w:val="21"/>
        </w:rPr>
        <w:t>（2)</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rPr>
        <w:t>磋商报价表</w:t>
      </w:r>
      <w:r>
        <w:rPr>
          <w:rFonts w:hint="eastAsia" w:asciiTheme="minorEastAsia" w:hAnsiTheme="minorEastAsia" w:eastAsiaTheme="minorEastAsia"/>
          <w:color w:val="auto"/>
          <w:szCs w:val="21"/>
        </w:rPr>
        <w:t>（格式见第七章）；</w:t>
      </w:r>
      <w:r>
        <w:rPr>
          <w:rFonts w:hint="eastAsia" w:asciiTheme="minorEastAsia" w:hAnsiTheme="minorEastAsia" w:eastAsiaTheme="minorEastAsia"/>
          <w:b/>
          <w:color w:val="auto"/>
          <w:szCs w:val="21"/>
        </w:rPr>
        <w:t>（必须提供，否则磋商无效）</w:t>
      </w:r>
    </w:p>
    <w:p>
      <w:pPr>
        <w:keepNext w:val="0"/>
        <w:keepLines w:val="0"/>
        <w:pageBreakBefore w:val="0"/>
        <w:kinsoku/>
        <w:wordWrap/>
        <w:overflowPunct/>
        <w:topLinePunct w:val="0"/>
        <w:autoSpaceDE/>
        <w:autoSpaceDN/>
        <w:bidi w:val="0"/>
        <w:adjustRightInd/>
        <w:spacing w:line="360" w:lineRule="auto"/>
        <w:ind w:firstLine="317" w:firstLineChars="15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（3) </w:t>
      </w:r>
      <w:r>
        <w:rPr>
          <w:rFonts w:asciiTheme="minorEastAsia" w:hAnsiTheme="minorEastAsia" w:eastAsiaTheme="minorEastAsia"/>
          <w:color w:val="auto"/>
        </w:rPr>
        <w:t>已标价工程量清单</w:t>
      </w:r>
      <w:r>
        <w:rPr>
          <w:rFonts w:hint="eastAsia" w:asciiTheme="minorEastAsia" w:hAnsiTheme="minorEastAsia" w:eastAsiaTheme="minorEastAsia"/>
          <w:color w:val="auto"/>
          <w:szCs w:val="21"/>
        </w:rPr>
        <w:t>（格式见第七章）；</w:t>
      </w:r>
      <w:r>
        <w:rPr>
          <w:rFonts w:hint="eastAsia" w:asciiTheme="minorEastAsia" w:hAnsiTheme="minorEastAsia" w:eastAsiaTheme="minorEastAsia"/>
          <w:b/>
          <w:color w:val="auto"/>
          <w:szCs w:val="21"/>
        </w:rPr>
        <w:t>（必须提供，否则磋商无效）</w:t>
      </w:r>
    </w:p>
    <w:p>
      <w:pPr>
        <w:keepNext w:val="0"/>
        <w:keepLines w:val="0"/>
        <w:pageBreakBefore w:val="0"/>
        <w:kinsoku/>
        <w:wordWrap/>
        <w:overflowPunct/>
        <w:topLinePunct w:val="0"/>
        <w:autoSpaceDE/>
        <w:autoSpaceDN/>
        <w:bidi w:val="0"/>
        <w:adjustRightInd/>
        <w:spacing w:line="360" w:lineRule="auto"/>
        <w:ind w:firstLine="317" w:firstLineChars="151"/>
        <w:textAlignment w:val="auto"/>
        <w:rPr>
          <w:rFonts w:asciiTheme="minorEastAsia" w:hAnsiTheme="minorEastAsia" w:eastAsiaTheme="minorEastAsia"/>
          <w:b/>
          <w:color w:val="auto"/>
          <w:szCs w:val="21"/>
        </w:rPr>
      </w:pPr>
      <w:r>
        <w:rPr>
          <w:rFonts w:hint="eastAsia" w:asciiTheme="minorEastAsia" w:hAnsiTheme="minorEastAsia" w:eastAsiaTheme="minorEastAsia"/>
          <w:color w:val="auto"/>
          <w:szCs w:val="21"/>
        </w:rPr>
        <w:t>（4) 供应商符合中小企业划型标准的，按《政府采购促进中小企业发展暂行办法》（财库〔2011〕181号）要求（格式见第七章）；</w:t>
      </w:r>
    </w:p>
    <w:p>
      <w:pPr>
        <w:keepNext w:val="0"/>
        <w:keepLines w:val="0"/>
        <w:pageBreakBefore w:val="0"/>
        <w:kinsoku/>
        <w:wordWrap/>
        <w:overflowPunct/>
        <w:topLinePunct w:val="0"/>
        <w:autoSpaceDE/>
        <w:autoSpaceDN/>
        <w:bidi w:val="0"/>
        <w:adjustRightInd/>
        <w:spacing w:line="360" w:lineRule="auto"/>
        <w:ind w:firstLine="317" w:firstLineChars="15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（5）供应商属于残疾人福利性单位，按《三部门联合发布关于促进残疾人就业政府采购政策的通知》（财库〔2017〕141号）要求，提供《残疾人福利性单位声明函》（格式见第七章）；</w:t>
      </w:r>
    </w:p>
    <w:p>
      <w:pPr>
        <w:keepNext w:val="0"/>
        <w:keepLines w:val="0"/>
        <w:pageBreakBefore w:val="0"/>
        <w:kinsoku/>
        <w:wordWrap/>
        <w:overflowPunct/>
        <w:topLinePunct w:val="0"/>
        <w:autoSpaceDE/>
        <w:autoSpaceDN/>
        <w:bidi w:val="0"/>
        <w:adjustRightInd/>
        <w:spacing w:line="360" w:lineRule="auto"/>
        <w:ind w:firstLine="317" w:firstLineChars="15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r>
        <w:rPr>
          <w:rFonts w:hint="eastAsia" w:hAnsi="宋体"/>
          <w:color w:val="auto"/>
          <w:szCs w:val="21"/>
        </w:rPr>
        <w:t>供应商属于</w:t>
      </w:r>
      <w:r>
        <w:rPr>
          <w:rFonts w:hint="eastAsia" w:hAnsi="宋体" w:cs="宋体"/>
          <w:color w:val="auto"/>
          <w:szCs w:val="21"/>
        </w:rPr>
        <w:t>监</w:t>
      </w:r>
      <w:r>
        <w:rPr>
          <w:rFonts w:hint="eastAsia" w:hAnsi="宋体"/>
          <w:color w:val="auto"/>
          <w:szCs w:val="21"/>
        </w:rPr>
        <w:t>狱企业的，应提供由省级以上监狱管理局、戒毒管理局（含新疆生产建设兵团）出具的属于监狱企业的证明文件；</w:t>
      </w:r>
    </w:p>
    <w:p>
      <w:pPr>
        <w:keepNext w:val="0"/>
        <w:keepLines w:val="0"/>
        <w:pageBreakBefore w:val="0"/>
        <w:kinsoku/>
        <w:wordWrap/>
        <w:overflowPunct/>
        <w:topLinePunct w:val="0"/>
        <w:autoSpaceDE/>
        <w:autoSpaceDN/>
        <w:bidi w:val="0"/>
        <w:adjustRightInd/>
        <w:spacing w:line="360" w:lineRule="auto"/>
        <w:ind w:firstLine="317" w:firstLineChars="151"/>
        <w:textAlignment w:val="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（7）供应商针对报价需要说明的其他文件和说明</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（格式自拟）</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Theme="minorEastAsia" w:hAnsiTheme="minorEastAsia" w:eastAsiaTheme="minorEastAsia"/>
          <w:b/>
          <w:bCs/>
          <w:color w:val="auto"/>
          <w:szCs w:val="21"/>
        </w:rPr>
      </w:pPr>
      <w:r>
        <w:rPr>
          <w:rFonts w:hint="eastAsia" w:asciiTheme="minorEastAsia" w:hAnsiTheme="minorEastAsia" w:eastAsiaTheme="minorEastAsia"/>
          <w:b/>
          <w:bCs/>
          <w:color w:val="auto"/>
          <w:szCs w:val="21"/>
        </w:rPr>
        <w:t>8.1.2 资格和商务文件</w:t>
      </w:r>
    </w:p>
    <w:p>
      <w:pPr>
        <w:keepNext w:val="0"/>
        <w:keepLines w:val="0"/>
        <w:pageBreakBefore w:val="0"/>
        <w:kinsoku/>
        <w:wordWrap/>
        <w:overflowPunct/>
        <w:topLinePunct w:val="0"/>
        <w:autoSpaceDE/>
        <w:autoSpaceDN/>
        <w:bidi w:val="0"/>
        <w:adjustRightInd/>
        <w:spacing w:line="360" w:lineRule="auto"/>
        <w:ind w:left="-27" w:leftChars="-13" w:firstLine="317" w:firstLineChars="151"/>
        <w:textAlignment w:val="auto"/>
        <w:rPr>
          <w:rFonts w:hint="eastAsia" w:asciiTheme="minorEastAsia" w:hAnsiTheme="minorEastAsia" w:eastAsiaTheme="minorEastAsia"/>
          <w:b/>
          <w:bCs/>
          <w:color w:val="auto"/>
          <w:szCs w:val="21"/>
        </w:rPr>
      </w:pPr>
      <w:r>
        <w:rPr>
          <w:rFonts w:hint="eastAsia" w:asciiTheme="minorEastAsia" w:hAnsiTheme="minorEastAsia" w:eastAsiaTheme="minorEastAsia"/>
          <w:color w:val="auto"/>
          <w:szCs w:val="21"/>
        </w:rPr>
        <w:t>（1）供应商有效的营业执照副本复印件及供应商在“国家企业信用信息公示系统”查询其企业信用信息，并打印企业“基础信息”材料；</w:t>
      </w:r>
      <w:r>
        <w:rPr>
          <w:rFonts w:hint="eastAsia" w:asciiTheme="minorEastAsia" w:hAnsiTheme="minorEastAsia" w:eastAsiaTheme="minorEastAsia"/>
          <w:b/>
          <w:bCs/>
          <w:color w:val="auto"/>
          <w:szCs w:val="21"/>
        </w:rPr>
        <w:t>（必须提供，否则磋商无效）</w:t>
      </w:r>
    </w:p>
    <w:p>
      <w:pPr>
        <w:keepNext w:val="0"/>
        <w:keepLines w:val="0"/>
        <w:pageBreakBefore w:val="0"/>
        <w:kinsoku/>
        <w:wordWrap/>
        <w:overflowPunct/>
        <w:topLinePunct w:val="0"/>
        <w:autoSpaceDE/>
        <w:autoSpaceDN/>
        <w:bidi w:val="0"/>
        <w:adjustRightInd/>
        <w:spacing w:line="360" w:lineRule="auto"/>
        <w:ind w:left="-27" w:leftChars="-13" w:firstLine="317" w:firstLineChars="151"/>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（2）供应商有效的资质证书副本复印件、</w:t>
      </w:r>
      <w:r>
        <w:rPr>
          <w:rFonts w:hint="eastAsia" w:asciiTheme="minorEastAsia" w:hAnsiTheme="minorEastAsia" w:eastAsiaTheme="minorEastAsia"/>
          <w:color w:val="auto"/>
          <w:szCs w:val="21"/>
          <w:lang w:eastAsia="zh-CN"/>
        </w:rPr>
        <w:t>安全生产许可证副本或加载二维码的安全生产许可证（符合应急〔2020〕6号有关规定）复印件、</w:t>
      </w:r>
      <w:r>
        <w:rPr>
          <w:rFonts w:hint="eastAsia" w:asciiTheme="minorEastAsia" w:hAnsiTheme="minorEastAsia" w:eastAsiaTheme="minorEastAsia"/>
          <w:color w:val="auto"/>
          <w:szCs w:val="21"/>
        </w:rPr>
        <w:t>项目经理注册建造师证复印件、安全生产考核合格B证复印件；</w:t>
      </w:r>
      <w:r>
        <w:rPr>
          <w:rFonts w:hint="eastAsia" w:asciiTheme="minorEastAsia" w:hAnsiTheme="minorEastAsia" w:eastAsiaTheme="minorEastAsia"/>
          <w:b/>
          <w:bCs/>
          <w:color w:val="auto"/>
          <w:szCs w:val="21"/>
        </w:rPr>
        <w:t>（必须提供，否则磋商无效）</w:t>
      </w:r>
    </w:p>
    <w:p>
      <w:pPr>
        <w:keepNext w:val="0"/>
        <w:keepLines w:val="0"/>
        <w:pageBreakBefore w:val="0"/>
        <w:kinsoku/>
        <w:wordWrap/>
        <w:overflowPunct/>
        <w:topLinePunct w:val="0"/>
        <w:autoSpaceDE/>
        <w:autoSpaceDN/>
        <w:bidi w:val="0"/>
        <w:adjustRightInd/>
        <w:spacing w:line="360" w:lineRule="auto"/>
        <w:ind w:left="-27" w:leftChars="-13" w:firstLine="317" w:firstLineChars="151"/>
        <w:textAlignment w:val="auto"/>
        <w:rPr>
          <w:rFonts w:hint="eastAsia" w:hAnsi="宋体"/>
          <w:b/>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法定代表人身份证明原件及身份证复印件（法定代表人签署响应文件时提供）”或者“法定代表人授权书原件（格式见第七章）和委托代理人身份证复印件及法定代表人身份证复印件（委托代理人签署响应文件时提供）”；</w:t>
      </w:r>
      <w:r>
        <w:rPr>
          <w:rFonts w:hint="eastAsia" w:hAnsi="宋体"/>
          <w:b/>
          <w:color w:val="auto"/>
          <w:szCs w:val="21"/>
        </w:rPr>
        <w:t>（必须提供，否则磋商无效）</w:t>
      </w:r>
    </w:p>
    <w:p>
      <w:pPr>
        <w:keepNext w:val="0"/>
        <w:keepLines w:val="0"/>
        <w:pageBreakBefore w:val="0"/>
        <w:kinsoku/>
        <w:wordWrap/>
        <w:overflowPunct/>
        <w:topLinePunct w:val="0"/>
        <w:autoSpaceDE/>
        <w:autoSpaceDN/>
        <w:bidi w:val="0"/>
        <w:adjustRightInd/>
        <w:spacing w:line="360" w:lineRule="auto"/>
        <w:ind w:left="-27" w:leftChars="-13" w:firstLine="317" w:firstLineChars="15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）首次响应文件递交截止之日前半年内供应商连续三个月</w:t>
      </w:r>
      <w:r>
        <w:rPr>
          <w:rFonts w:hint="eastAsia" w:asciiTheme="minorEastAsia" w:hAnsiTheme="minorEastAsia" w:eastAsiaTheme="minorEastAsia"/>
          <w:color w:val="auto"/>
        </w:rPr>
        <w:t>为拟投入本项目的主要管理人员</w:t>
      </w:r>
      <w:r>
        <w:rPr>
          <w:rFonts w:hint="eastAsia" w:asciiTheme="minorEastAsia" w:hAnsiTheme="minorEastAsia" w:eastAsiaTheme="minorEastAsia"/>
          <w:color w:val="auto"/>
          <w:szCs w:val="21"/>
        </w:rPr>
        <w:t>依法缴纳社保费的缴费证明（复印件，原件备查，格式自拟）；无缴费记录的，应提供由供应商所在地社保部门出具的《依法缴纳或依法免缴社保费证明》。</w:t>
      </w:r>
      <w:r>
        <w:rPr>
          <w:rFonts w:hint="eastAsia" w:asciiTheme="minorEastAsia" w:hAnsiTheme="minorEastAsia" w:eastAsiaTheme="minorEastAsia"/>
          <w:color w:val="auto"/>
          <w:szCs w:val="21"/>
          <w:lang w:eastAsia="zh-CN"/>
        </w:rPr>
        <w:t>【</w:t>
      </w:r>
      <w:r>
        <w:rPr>
          <w:rFonts w:hint="eastAsia" w:hAnsi="宋体"/>
          <w:color w:val="auto"/>
          <w:szCs w:val="21"/>
        </w:rPr>
        <w:t>（社保证明要求列明的缴纳社保人员名单应包含</w:t>
      </w:r>
      <w:r>
        <w:rPr>
          <w:rFonts w:hint="eastAsia" w:cs="Arial" w:asciiTheme="minorEastAsia" w:hAnsiTheme="minorEastAsia" w:eastAsiaTheme="minorEastAsia"/>
          <w:color w:val="auto"/>
          <w:szCs w:val="21"/>
        </w:rPr>
        <w:t>主要施工管理人员</w:t>
      </w:r>
      <w:r>
        <w:rPr>
          <w:rFonts w:hint="eastAsia" w:hAnsi="宋体"/>
          <w:color w:val="auto"/>
          <w:szCs w:val="21"/>
        </w:rPr>
        <w:t>名单）</w:t>
      </w:r>
      <w:r>
        <w:rPr>
          <w:rFonts w:hint="eastAsia" w:hAnsi="宋体"/>
          <w:color w:val="auto"/>
          <w:szCs w:val="21"/>
          <w:lang w:eastAsia="zh-CN"/>
        </w:rPr>
        <w:t>。</w:t>
      </w:r>
      <w:r>
        <w:rPr>
          <w:rFonts w:hint="eastAsia" w:hAnsi="宋体"/>
          <w:b/>
          <w:color w:val="auto"/>
          <w:szCs w:val="21"/>
        </w:rPr>
        <w:t>（必须提供，否则磋商无效</w:t>
      </w:r>
      <w:r>
        <w:rPr>
          <w:rFonts w:hint="eastAsia" w:asciiTheme="minorEastAsia" w:hAnsiTheme="minorEastAsia" w:eastAsiaTheme="minorEastAsia"/>
          <w:b/>
          <w:bCs w:val="0"/>
          <w:color w:val="auto"/>
          <w:szCs w:val="21"/>
          <w:lang w:eastAsia="zh-CN"/>
        </w:rPr>
        <w:t>）</w:t>
      </w:r>
      <w:r>
        <w:rPr>
          <w:rFonts w:hint="eastAsia" w:asciiTheme="minorEastAsia" w:hAnsiTheme="minorEastAsia" w:eastAsiaTheme="minorEastAsia"/>
          <w:color w:val="auto"/>
          <w:szCs w:val="21"/>
          <w:lang w:eastAsia="zh-CN"/>
        </w:rPr>
        <w:t>】</w:t>
      </w:r>
    </w:p>
    <w:p>
      <w:pPr>
        <w:keepNext w:val="0"/>
        <w:keepLines w:val="0"/>
        <w:pageBreakBefore w:val="0"/>
        <w:kinsoku/>
        <w:wordWrap/>
        <w:overflowPunct/>
        <w:topLinePunct w:val="0"/>
        <w:autoSpaceDE/>
        <w:autoSpaceDN/>
        <w:bidi w:val="0"/>
        <w:adjustRightInd/>
        <w:spacing w:line="360" w:lineRule="auto"/>
        <w:ind w:left="-27" w:leftChars="-13" w:firstLine="317" w:firstLineChars="15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rPr>
        <w:t>）首次响应文件递交截止之日前半年内供应商连续三个月依法缴纳税费或依法免缴税费的证明</w:t>
      </w:r>
      <w:r>
        <w:rPr>
          <w:rFonts w:hint="eastAsia" w:hAnsi="宋体"/>
          <w:b/>
          <w:color w:val="auto"/>
          <w:szCs w:val="21"/>
        </w:rPr>
        <w:t>（必须提供，否则磋商无</w:t>
      </w:r>
      <w:r>
        <w:rPr>
          <w:rFonts w:hint="eastAsia" w:hAnsi="宋体"/>
          <w:b/>
          <w:bCs w:val="0"/>
          <w:color w:val="auto"/>
          <w:szCs w:val="21"/>
        </w:rPr>
        <w:t>效</w:t>
      </w:r>
      <w:r>
        <w:rPr>
          <w:rFonts w:hint="eastAsia" w:asciiTheme="minorEastAsia" w:hAnsiTheme="minorEastAsia" w:eastAsiaTheme="minorEastAsia"/>
          <w:b/>
          <w:bCs w:val="0"/>
          <w:color w:val="auto"/>
          <w:szCs w:val="21"/>
        </w:rPr>
        <w:t>）</w:t>
      </w:r>
      <w:r>
        <w:rPr>
          <w:rFonts w:hint="eastAsia" w:asciiTheme="minorEastAsia" w:hAnsiTheme="minorEastAsia" w:eastAsiaTheme="minorEastAsia"/>
          <w:color w:val="auto"/>
          <w:szCs w:val="21"/>
        </w:rPr>
        <w:t>；无纳税记录的，应提供由供应商所在地主管国税、地税部门出具的《依法纳税或依法免税证明》</w:t>
      </w:r>
      <w:r>
        <w:rPr>
          <w:rFonts w:hint="eastAsia" w:hAnsi="宋体"/>
          <w:color w:val="auto"/>
          <w:szCs w:val="21"/>
        </w:rPr>
        <w:t>）</w:t>
      </w:r>
      <w:r>
        <w:rPr>
          <w:rFonts w:hint="eastAsia" w:hAnsi="宋体"/>
          <w:color w:val="auto"/>
          <w:szCs w:val="21"/>
          <w:lang w:eastAsia="zh-CN"/>
        </w:rPr>
        <w:t>；</w:t>
      </w:r>
      <w:r>
        <w:rPr>
          <w:rFonts w:hint="eastAsia" w:hAnsi="宋体"/>
          <w:b/>
          <w:color w:val="auto"/>
          <w:szCs w:val="21"/>
        </w:rPr>
        <w:t>（必须提供，否则磋商无</w:t>
      </w:r>
      <w:r>
        <w:rPr>
          <w:rFonts w:hint="eastAsia" w:hAnsi="宋体"/>
          <w:b/>
          <w:bCs w:val="0"/>
          <w:color w:val="auto"/>
          <w:szCs w:val="21"/>
        </w:rPr>
        <w:t>效</w:t>
      </w:r>
      <w:r>
        <w:rPr>
          <w:rFonts w:hint="eastAsia" w:asciiTheme="minorEastAsia" w:hAnsiTheme="minorEastAsia" w:eastAsiaTheme="minorEastAsia"/>
          <w:b/>
          <w:bCs w:val="0"/>
          <w:color w:val="auto"/>
          <w:szCs w:val="21"/>
        </w:rPr>
        <w:t>）</w:t>
      </w:r>
    </w:p>
    <w:p>
      <w:pPr>
        <w:keepNext w:val="0"/>
        <w:keepLines w:val="0"/>
        <w:pageBreakBefore w:val="0"/>
        <w:kinsoku/>
        <w:wordWrap/>
        <w:overflowPunct/>
        <w:topLinePunct w:val="0"/>
        <w:autoSpaceDE/>
        <w:autoSpaceDN/>
        <w:bidi w:val="0"/>
        <w:adjustRightInd/>
        <w:spacing w:line="360" w:lineRule="auto"/>
        <w:ind w:left="-27" w:leftChars="-13" w:firstLine="317" w:firstLineChars="151"/>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）参加政府采购活动前</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年内在经营活动中没有重大违法记录的书面声明（格式见第七章）；</w:t>
      </w:r>
      <w:r>
        <w:rPr>
          <w:rFonts w:hint="eastAsia" w:hAnsi="宋体"/>
          <w:b/>
          <w:color w:val="auto"/>
          <w:szCs w:val="21"/>
        </w:rPr>
        <w:t>（必须提供，否则磋商无效）</w:t>
      </w:r>
    </w:p>
    <w:p>
      <w:pPr>
        <w:keepNext w:val="0"/>
        <w:keepLines w:val="0"/>
        <w:pageBreakBefore w:val="0"/>
        <w:kinsoku/>
        <w:wordWrap/>
        <w:overflowPunct/>
        <w:topLinePunct w:val="0"/>
        <w:autoSpaceDE/>
        <w:autoSpaceDN/>
        <w:bidi w:val="0"/>
        <w:adjustRightInd/>
        <w:spacing w:line="360" w:lineRule="auto"/>
        <w:ind w:left="-27" w:leftChars="-13" w:firstLine="317" w:firstLineChars="151"/>
        <w:textAlignment w:val="auto"/>
        <w:rPr>
          <w:rFonts w:hint="eastAsia"/>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7</w:t>
      </w:r>
      <w:r>
        <w:rPr>
          <w:rFonts w:hint="eastAsia" w:asciiTheme="minorEastAsia" w:hAnsiTheme="minorEastAsia" w:eastAsiaTheme="minorEastAsia"/>
          <w:color w:val="auto"/>
          <w:szCs w:val="21"/>
          <w:lang w:eastAsia="zh-CN"/>
        </w:rPr>
        <w:t>）磋商供应商201</w:t>
      </w:r>
      <w:r>
        <w:rPr>
          <w:rFonts w:hint="eastAsia" w:asciiTheme="minorEastAsia" w:hAnsiTheme="minorEastAsia" w:eastAsiaTheme="minorEastAsia"/>
          <w:color w:val="auto"/>
          <w:szCs w:val="21"/>
          <w:lang w:val="en-US" w:eastAsia="zh-CN"/>
        </w:rPr>
        <w:t>9</w:t>
      </w:r>
      <w:r>
        <w:rPr>
          <w:rFonts w:hint="eastAsia" w:asciiTheme="minorEastAsia" w:hAnsiTheme="minorEastAsia" w:eastAsiaTheme="minorEastAsia"/>
          <w:color w:val="auto"/>
          <w:szCs w:val="21"/>
          <w:lang w:eastAsia="zh-CN"/>
        </w:rPr>
        <w:t>年度经审计的财务报表（对于从取得营业执照时间起到提交磋商响应文件截止时间为止不足要求年数的企业，只需提交企业取得营业执照年份至所要求最近年份</w:t>
      </w:r>
      <w:r>
        <w:rPr>
          <w:rFonts w:hint="eastAsia" w:asciiTheme="minorEastAsia" w:hAnsiTheme="minorEastAsia" w:eastAsiaTheme="minorEastAsia"/>
          <w:color w:val="auto"/>
          <w:szCs w:val="21"/>
          <w:lang w:val="en-US" w:eastAsia="zh-CN"/>
        </w:rPr>
        <w:t>审计</w:t>
      </w:r>
      <w:r>
        <w:rPr>
          <w:rFonts w:hint="eastAsia" w:asciiTheme="minorEastAsia" w:hAnsiTheme="minorEastAsia" w:eastAsiaTheme="minorEastAsia"/>
          <w:color w:val="auto"/>
          <w:szCs w:val="21"/>
          <w:lang w:eastAsia="zh-CN"/>
        </w:rPr>
        <w:t>的财务报表）；</w:t>
      </w:r>
      <w:r>
        <w:rPr>
          <w:rFonts w:hint="eastAsia" w:asciiTheme="minorEastAsia" w:hAnsiTheme="minorEastAsia" w:eastAsiaTheme="minorEastAsia"/>
          <w:b/>
          <w:bCs/>
          <w:color w:val="auto"/>
          <w:szCs w:val="21"/>
        </w:rPr>
        <w:t>（必须提供，否则磋商无效）</w:t>
      </w:r>
    </w:p>
    <w:p>
      <w:pPr>
        <w:keepNext w:val="0"/>
        <w:keepLines w:val="0"/>
        <w:pageBreakBefore w:val="0"/>
        <w:kinsoku/>
        <w:wordWrap/>
        <w:overflowPunct/>
        <w:topLinePunct w:val="0"/>
        <w:autoSpaceDE/>
        <w:autoSpaceDN/>
        <w:bidi w:val="0"/>
        <w:adjustRightInd/>
        <w:spacing w:line="360" w:lineRule="auto"/>
        <w:ind w:left="-27" w:leftChars="-13" w:firstLine="317" w:firstLineChars="151"/>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8</w:t>
      </w:r>
      <w:r>
        <w:rPr>
          <w:rFonts w:hint="eastAsia" w:asciiTheme="minorEastAsia" w:hAnsiTheme="minorEastAsia" w:eastAsiaTheme="minorEastAsia"/>
          <w:color w:val="auto"/>
          <w:szCs w:val="21"/>
        </w:rPr>
        <w:t>）农民工工资保证金的交纳与使用承诺书（格式见第七章）；</w:t>
      </w:r>
      <w:r>
        <w:rPr>
          <w:rFonts w:hint="eastAsia" w:asciiTheme="minorEastAsia" w:hAnsiTheme="minorEastAsia" w:eastAsiaTheme="minorEastAsia"/>
          <w:b/>
          <w:bCs/>
          <w:color w:val="auto"/>
          <w:szCs w:val="21"/>
        </w:rPr>
        <w:t>（必须提供，否则磋商无效）</w:t>
      </w:r>
    </w:p>
    <w:p>
      <w:pPr>
        <w:keepNext w:val="0"/>
        <w:keepLines w:val="0"/>
        <w:pageBreakBefore w:val="0"/>
        <w:widowControl w:val="0"/>
        <w:kinsoku/>
        <w:wordWrap/>
        <w:overflowPunct/>
        <w:topLinePunct w:val="0"/>
        <w:autoSpaceDE/>
        <w:autoSpaceDN/>
        <w:bidi w:val="0"/>
        <w:adjustRightInd/>
        <w:snapToGrid/>
        <w:spacing w:line="360" w:lineRule="auto"/>
        <w:ind w:left="-27" w:leftChars="-13" w:firstLine="317" w:firstLineChars="151"/>
        <w:textAlignment w:val="auto"/>
        <w:rPr>
          <w:rFonts w:hint="eastAsia" w:cs="Arial" w:asciiTheme="minorEastAsia" w:hAnsiTheme="minorEastAsia" w:eastAsiaTheme="minorEastAsia"/>
          <w:b/>
          <w:bCs/>
          <w:color w:val="auto"/>
          <w:szCs w:val="21"/>
        </w:rPr>
      </w:pPr>
      <w:r>
        <w:rPr>
          <w:rFonts w:hint="eastAsia" w:cs="Arial" w:asciiTheme="minorEastAsia" w:hAnsiTheme="minorEastAsia" w:eastAsiaTheme="minorEastAsia"/>
          <w:color w:val="auto"/>
          <w:szCs w:val="21"/>
        </w:rPr>
        <w:t>（</w:t>
      </w:r>
      <w:r>
        <w:rPr>
          <w:rFonts w:hint="eastAsia" w:cs="Arial" w:asciiTheme="minorEastAsia" w:hAnsiTheme="minorEastAsia" w:eastAsiaTheme="minorEastAsia"/>
          <w:color w:val="auto"/>
          <w:szCs w:val="21"/>
          <w:lang w:val="en-US" w:eastAsia="zh-CN"/>
        </w:rPr>
        <w:t>9</w:t>
      </w:r>
      <w:r>
        <w:rPr>
          <w:rFonts w:hint="eastAsia" w:cs="Arial" w:asciiTheme="minorEastAsia" w:hAnsiTheme="minorEastAsia" w:eastAsiaTheme="minorEastAsia"/>
          <w:color w:val="auto"/>
          <w:szCs w:val="21"/>
        </w:rPr>
        <w:t>）建设工程项目管理承诺书（格式见第七章）；</w:t>
      </w:r>
      <w:r>
        <w:rPr>
          <w:rFonts w:hint="eastAsia" w:cs="Arial" w:asciiTheme="minorEastAsia" w:hAnsiTheme="minorEastAsia" w:eastAsiaTheme="minorEastAsia"/>
          <w:b/>
          <w:bCs/>
          <w:color w:val="auto"/>
          <w:szCs w:val="21"/>
        </w:rPr>
        <w:t>（必须提供，否则磋商无效）</w:t>
      </w:r>
    </w:p>
    <w:p>
      <w:pPr>
        <w:keepNext w:val="0"/>
        <w:keepLines w:val="0"/>
        <w:pageBreakBefore w:val="0"/>
        <w:widowControl w:val="0"/>
        <w:kinsoku/>
        <w:wordWrap/>
        <w:overflowPunct/>
        <w:topLinePunct w:val="0"/>
        <w:autoSpaceDE/>
        <w:autoSpaceDN/>
        <w:bidi w:val="0"/>
        <w:adjustRightInd/>
        <w:snapToGrid/>
        <w:spacing w:line="360" w:lineRule="auto"/>
        <w:ind w:left="-27" w:leftChars="-13" w:firstLine="317" w:firstLineChars="151"/>
        <w:textAlignment w:val="auto"/>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w:t>
      </w:r>
      <w:r>
        <w:rPr>
          <w:rFonts w:hint="eastAsia" w:cs="Arial" w:asciiTheme="minorEastAsia" w:hAnsiTheme="minorEastAsia" w:eastAsiaTheme="minorEastAsia"/>
          <w:color w:val="auto"/>
          <w:szCs w:val="21"/>
          <w:lang w:val="en-US" w:eastAsia="zh-CN"/>
        </w:rPr>
        <w:t>10</w:t>
      </w:r>
      <w:r>
        <w:rPr>
          <w:rFonts w:hint="eastAsia" w:cs="Arial" w:asciiTheme="minorEastAsia" w:hAnsiTheme="minorEastAsia" w:eastAsiaTheme="minorEastAsia"/>
          <w:color w:val="auto"/>
          <w:szCs w:val="21"/>
        </w:rPr>
        <w:t>）项目经理简历表（格式见第七章）；</w:t>
      </w:r>
      <w:r>
        <w:rPr>
          <w:rFonts w:hint="eastAsia" w:cs="Arial" w:asciiTheme="minorEastAsia" w:hAnsiTheme="minorEastAsia" w:eastAsiaTheme="minorEastAsia"/>
          <w:b/>
          <w:bCs/>
          <w:color w:val="auto"/>
          <w:szCs w:val="21"/>
        </w:rPr>
        <w:t>（必须提供，否则磋商无效）</w:t>
      </w:r>
    </w:p>
    <w:p>
      <w:pPr>
        <w:keepNext w:val="0"/>
        <w:keepLines w:val="0"/>
        <w:pageBreakBefore w:val="0"/>
        <w:widowControl w:val="0"/>
        <w:kinsoku/>
        <w:wordWrap/>
        <w:overflowPunct/>
        <w:topLinePunct w:val="0"/>
        <w:autoSpaceDE/>
        <w:autoSpaceDN/>
        <w:bidi w:val="0"/>
        <w:adjustRightInd/>
        <w:snapToGrid/>
        <w:spacing w:line="360" w:lineRule="auto"/>
        <w:ind w:left="-27" w:leftChars="-13" w:firstLine="317" w:firstLineChars="151"/>
        <w:textAlignment w:val="auto"/>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hint="eastAsia" w:cs="Arial" w:asciiTheme="minorEastAsia" w:hAnsiTheme="minorEastAsia" w:eastAsiaTheme="minorEastAsia"/>
          <w:color w:val="auto"/>
          <w:szCs w:val="21"/>
          <w:lang w:val="en-US" w:eastAsia="zh-CN"/>
        </w:rPr>
        <w:t>1</w:t>
      </w:r>
      <w:r>
        <w:rPr>
          <w:rFonts w:hint="eastAsia" w:cs="Arial" w:asciiTheme="minorEastAsia" w:hAnsiTheme="minorEastAsia" w:eastAsiaTheme="minorEastAsia"/>
          <w:color w:val="auto"/>
          <w:szCs w:val="21"/>
        </w:rPr>
        <w:t>）项目技术负责人简历表（格式见第七章）；</w:t>
      </w:r>
      <w:r>
        <w:rPr>
          <w:rFonts w:hint="eastAsia" w:cs="Arial" w:asciiTheme="minorEastAsia" w:hAnsiTheme="minorEastAsia" w:eastAsiaTheme="minorEastAsia"/>
          <w:b/>
          <w:bCs/>
          <w:color w:val="auto"/>
          <w:szCs w:val="21"/>
        </w:rPr>
        <w:t>（必须提供，否则磋商无效）</w:t>
      </w:r>
    </w:p>
    <w:p>
      <w:pPr>
        <w:keepNext w:val="0"/>
        <w:keepLines w:val="0"/>
        <w:pageBreakBefore w:val="0"/>
        <w:widowControl w:val="0"/>
        <w:kinsoku/>
        <w:wordWrap/>
        <w:overflowPunct/>
        <w:topLinePunct w:val="0"/>
        <w:autoSpaceDE/>
        <w:autoSpaceDN/>
        <w:bidi w:val="0"/>
        <w:adjustRightInd/>
        <w:snapToGrid/>
        <w:spacing w:line="360" w:lineRule="auto"/>
        <w:ind w:left="-27" w:leftChars="-13" w:firstLine="317" w:firstLineChars="151"/>
        <w:textAlignment w:val="auto"/>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hint="eastAsia" w:cs="Arial" w:asciiTheme="minorEastAsia" w:hAnsiTheme="minorEastAsia" w:eastAsiaTheme="minorEastAsia"/>
          <w:color w:val="auto"/>
          <w:szCs w:val="21"/>
          <w:lang w:val="en-US" w:eastAsia="zh-CN"/>
        </w:rPr>
        <w:t>2</w:t>
      </w:r>
      <w:r>
        <w:rPr>
          <w:rFonts w:hint="eastAsia" w:cs="Arial" w:asciiTheme="minorEastAsia" w:hAnsiTheme="minorEastAsia" w:eastAsiaTheme="minorEastAsia"/>
          <w:color w:val="auto"/>
          <w:szCs w:val="21"/>
        </w:rPr>
        <w:t>）主要施工管理人员表（格式见第七章）；</w:t>
      </w:r>
      <w:r>
        <w:rPr>
          <w:rFonts w:hint="eastAsia" w:cs="Arial" w:asciiTheme="minorEastAsia" w:hAnsiTheme="minorEastAsia" w:eastAsiaTheme="minorEastAsia"/>
          <w:b/>
          <w:bCs/>
          <w:color w:val="auto"/>
          <w:szCs w:val="21"/>
        </w:rPr>
        <w:t>（必须提供，否则磋商无效）</w:t>
      </w:r>
    </w:p>
    <w:p>
      <w:pPr>
        <w:keepNext w:val="0"/>
        <w:keepLines w:val="0"/>
        <w:pageBreakBefore w:val="0"/>
        <w:widowControl w:val="0"/>
        <w:kinsoku/>
        <w:wordWrap/>
        <w:overflowPunct/>
        <w:topLinePunct w:val="0"/>
        <w:autoSpaceDE/>
        <w:autoSpaceDN/>
        <w:bidi w:val="0"/>
        <w:adjustRightInd/>
        <w:snapToGrid/>
        <w:spacing w:line="360" w:lineRule="auto"/>
        <w:ind w:left="-27" w:leftChars="-13" w:firstLine="317" w:firstLineChars="151"/>
        <w:textAlignment w:val="auto"/>
        <w:rPr>
          <w:rFonts w:hint="eastAsia"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hint="eastAsia" w:cs="Arial" w:asciiTheme="minorEastAsia" w:hAnsiTheme="minorEastAsia" w:eastAsiaTheme="minorEastAsia"/>
          <w:color w:val="auto"/>
          <w:szCs w:val="21"/>
          <w:lang w:val="en-US" w:eastAsia="zh-CN"/>
        </w:rPr>
        <w:t>3</w:t>
      </w:r>
      <w:r>
        <w:rPr>
          <w:rFonts w:hint="eastAsia" w:cs="Arial" w:asciiTheme="minorEastAsia" w:hAnsiTheme="minorEastAsia" w:eastAsiaTheme="minorEastAsia"/>
          <w:color w:val="auto"/>
          <w:szCs w:val="21"/>
        </w:rPr>
        <w:t>）供应商认为必要提供的其他资格或商务文件。</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Theme="minorEastAsia" w:hAnsiTheme="minorEastAsia" w:eastAsiaTheme="minorEastAsia"/>
          <w:b/>
          <w:bCs/>
          <w:color w:val="auto"/>
          <w:szCs w:val="21"/>
        </w:rPr>
      </w:pPr>
      <w:r>
        <w:rPr>
          <w:rFonts w:hint="eastAsia" w:asciiTheme="minorEastAsia" w:hAnsiTheme="minorEastAsia" w:eastAsiaTheme="minorEastAsia"/>
          <w:b/>
          <w:bCs/>
          <w:color w:val="auto"/>
          <w:szCs w:val="21"/>
        </w:rPr>
        <w:t>8.1.3 技术文件</w:t>
      </w:r>
    </w:p>
    <w:p>
      <w:pPr>
        <w:keepNext w:val="0"/>
        <w:keepLines w:val="0"/>
        <w:pageBreakBefore w:val="0"/>
        <w:kinsoku/>
        <w:wordWrap/>
        <w:overflowPunct/>
        <w:topLinePunct w:val="0"/>
        <w:autoSpaceDE/>
        <w:autoSpaceDN/>
        <w:bidi w:val="0"/>
        <w:adjustRightInd/>
        <w:spacing w:line="360" w:lineRule="auto"/>
        <w:ind w:firstLine="342" w:firstLineChars="163"/>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hint="eastAsia" w:asciiTheme="minorEastAsia" w:hAnsiTheme="minorEastAsia" w:eastAsiaTheme="minorEastAsia"/>
          <w:color w:val="auto"/>
        </w:rPr>
        <w:t>施工组织设计</w:t>
      </w:r>
      <w:r>
        <w:rPr>
          <w:rFonts w:hint="eastAsia" w:cs="Arial" w:asciiTheme="minorEastAsia" w:hAnsiTheme="minorEastAsia" w:eastAsiaTheme="minorEastAsia"/>
          <w:color w:val="auto"/>
          <w:szCs w:val="21"/>
        </w:rPr>
        <w:t>（格式见第</w:t>
      </w:r>
      <w:r>
        <w:rPr>
          <w:rFonts w:hint="eastAsia" w:asciiTheme="minorEastAsia" w:hAnsiTheme="minorEastAsia" w:eastAsiaTheme="minorEastAsia"/>
          <w:color w:val="auto"/>
          <w:szCs w:val="21"/>
        </w:rPr>
        <w:t>七</w:t>
      </w:r>
      <w:r>
        <w:rPr>
          <w:rFonts w:hint="eastAsia" w:cs="Arial" w:asciiTheme="minorEastAsia" w:hAnsiTheme="minorEastAsia" w:eastAsiaTheme="minorEastAsia"/>
          <w:color w:val="auto"/>
          <w:szCs w:val="21"/>
        </w:rPr>
        <w:t>章）</w:t>
      </w:r>
      <w:r>
        <w:rPr>
          <w:rFonts w:hint="eastAsia" w:asciiTheme="minorEastAsia" w:hAnsiTheme="minorEastAsia" w:eastAsiaTheme="minorEastAsia"/>
          <w:color w:val="auto"/>
        </w:rPr>
        <w:t>；</w:t>
      </w:r>
      <w:r>
        <w:rPr>
          <w:rFonts w:hint="eastAsia" w:asciiTheme="minorEastAsia" w:hAnsiTheme="minorEastAsia" w:eastAsiaTheme="minorEastAsia"/>
          <w:b/>
          <w:color w:val="auto"/>
          <w:szCs w:val="21"/>
        </w:rPr>
        <w:t>（必须提供，否则磋商无效）</w:t>
      </w:r>
    </w:p>
    <w:p>
      <w:pPr>
        <w:keepNext w:val="0"/>
        <w:keepLines w:val="0"/>
        <w:pageBreakBefore w:val="0"/>
        <w:kinsoku/>
        <w:wordWrap/>
        <w:overflowPunct/>
        <w:topLinePunct w:val="0"/>
        <w:autoSpaceDE/>
        <w:autoSpaceDN/>
        <w:bidi w:val="0"/>
        <w:adjustRightInd/>
        <w:spacing w:line="360" w:lineRule="auto"/>
        <w:ind w:firstLine="342" w:firstLineChars="163"/>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（2）供应商认为需要提供的有关资料。</w:t>
      </w:r>
    </w:p>
    <w:p>
      <w:pPr>
        <w:keepNext w:val="0"/>
        <w:keepLines w:val="0"/>
        <w:pageBreakBefore w:val="0"/>
        <w:kinsoku/>
        <w:wordWrap/>
        <w:overflowPunct/>
        <w:topLinePunct w:val="0"/>
        <w:autoSpaceDE/>
        <w:autoSpaceDN/>
        <w:bidi w:val="0"/>
        <w:adjustRightInd/>
        <w:spacing w:line="360" w:lineRule="auto"/>
        <w:ind w:firstLine="344" w:firstLineChars="163"/>
        <w:textAlignment w:val="auto"/>
        <w:rPr>
          <w:rFonts w:hAnsi="宋体"/>
          <w:color w:val="auto"/>
          <w:szCs w:val="21"/>
        </w:rPr>
      </w:pPr>
      <w:r>
        <w:rPr>
          <w:rFonts w:hint="eastAsia" w:hAnsi="宋体"/>
          <w:b/>
          <w:bCs/>
          <w:color w:val="auto"/>
          <w:szCs w:val="21"/>
        </w:rPr>
        <w:t>注：以上文件材料均需加盖单位公章并按响应文件格式在规定的地方由法定代表人或授权代理人签字。</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8.2供应商应仔细阅读磋商文件的所有内容，按照磋商文件的要求提交响应文件，并对所提供的全部资料的真实性承担法律责任。</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8.3供应商在磋商活动中提供任何虚假材料，其磋商无效，并报监管部门查处；成交后发现的，成交人须依照《中华人民共和国消费者权益保护法》第49条之规定双倍赔偿采购人，且民事赔偿并不免除违法供应商的行政与刑事责任。</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9. 计量单位</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9.1除技术要求中另有规定外，本文件所要求使用的计量单位均应采用国家法定计量单位。</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10.响应文件的有效期</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10.1响应文件从递交首次响应文件截止日后60天内有效。</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10.2在特殊情况下，采购代理机构可酌情延长有效期。供应商可同意或不同意延长响应文件的有效期，不同意延长响应文件有效期的供应商，其保证金将在原响应文件的有效期满后5个工作日内予以退还，不计利息；同意延长响应文件有效期的供应商不能要求对原响应文件（经供应商与磋商小组磋商后确定的内容作为原响应文件的组成部分）作任何改变，并同意在延长的磋商有效期内遵循本响应文件，在延长的有效期满之前继续具有约束力。</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11.响应文件书写及签名、盖章、份数要求</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11.1响应文件正本须用不褪色的墨水工整书写或打印，修改处应由法定代表人或委托代理人签名和盖公章，否则其磋商无效。</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11.2字迹潦草、表达不清或未按要求填写的响应文件可能将被认定为无效的磋商。</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11.3响应文件应由法定代表人或委托代理人在凡规定签章处逐一签名和盖公章，否则其磋商无效。</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11.4响应文件的份数：见供应商须知前附表。并在每份文件右上角注明“正本”、“副本”字样，一旦正本和副本不符，以正本为准。</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11.5</w:t>
      </w:r>
      <w:r>
        <w:rPr>
          <w:rFonts w:hint="eastAsia" w:asciiTheme="minorEastAsia" w:hAnsiTheme="minorEastAsia" w:eastAsiaTheme="minorEastAsia"/>
          <w:color w:val="auto"/>
          <w:szCs w:val="21"/>
          <w:lang w:eastAsia="zh-CN"/>
        </w:rPr>
        <w:t>响应文件的装订要求：分册装订，共分</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lang w:eastAsia="zh-CN"/>
        </w:rPr>
        <w:t>册，分别为：</w:t>
      </w:r>
      <w:r>
        <w:rPr>
          <w:rFonts w:hint="eastAsia" w:asciiTheme="minorEastAsia" w:hAnsiTheme="minorEastAsia" w:eastAsiaTheme="minorEastAsia"/>
          <w:color w:val="auto"/>
          <w:szCs w:val="21"/>
          <w:lang w:val="en-US" w:eastAsia="zh-CN"/>
        </w:rPr>
        <w:t>价格文件、</w:t>
      </w:r>
      <w:r>
        <w:rPr>
          <w:rFonts w:hint="eastAsia" w:asciiTheme="minorEastAsia" w:hAnsiTheme="minorEastAsia" w:eastAsiaTheme="minorEastAsia"/>
          <w:color w:val="auto"/>
          <w:szCs w:val="21"/>
          <w:lang w:eastAsia="zh-CN"/>
        </w:rPr>
        <w:t>资格和</w:t>
      </w:r>
      <w:r>
        <w:rPr>
          <w:rFonts w:hint="eastAsia" w:asciiTheme="minorEastAsia" w:hAnsiTheme="minorEastAsia" w:eastAsiaTheme="minorEastAsia"/>
          <w:color w:val="auto"/>
          <w:szCs w:val="21"/>
          <w:lang w:val="en-US" w:eastAsia="zh-CN"/>
        </w:rPr>
        <w:t>商务</w:t>
      </w:r>
      <w:r>
        <w:rPr>
          <w:rFonts w:hint="eastAsia" w:asciiTheme="minorEastAsia" w:hAnsiTheme="minorEastAsia" w:eastAsiaTheme="minorEastAsia"/>
          <w:color w:val="auto"/>
          <w:szCs w:val="21"/>
          <w:lang w:eastAsia="zh-CN"/>
        </w:rPr>
        <w:t>文件、技术文件，响应文件每册装订应牢固、不易拆散和换页，不得采用活页装订。</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11.6</w:t>
      </w:r>
      <w:r>
        <w:rPr>
          <w:rFonts w:hint="eastAsia" w:asciiTheme="minorEastAsia" w:hAnsiTheme="minorEastAsia" w:eastAsiaTheme="minorEastAsia"/>
          <w:color w:val="auto"/>
          <w:szCs w:val="21"/>
        </w:rPr>
        <w:t>磋商供应商必须按磋商文件第</w:t>
      </w:r>
      <w:r>
        <w:rPr>
          <w:rFonts w:hint="eastAsia" w:asciiTheme="minorEastAsia" w:hAnsiTheme="minorEastAsia" w:eastAsiaTheme="minorEastAsia"/>
          <w:color w:val="auto"/>
          <w:szCs w:val="21"/>
          <w:lang w:val="en-US" w:eastAsia="zh-CN"/>
        </w:rPr>
        <w:t>七</w:t>
      </w:r>
      <w:r>
        <w:rPr>
          <w:rFonts w:hint="eastAsia" w:asciiTheme="minorEastAsia" w:hAnsiTheme="minorEastAsia" w:eastAsiaTheme="minorEastAsia"/>
          <w:color w:val="auto"/>
          <w:szCs w:val="21"/>
        </w:rPr>
        <w:t>章《磋商响应文件格式》要求顺序自编目录及页码装订成册，响应文件装订位置必须胶装封边,不允许使用活页夹、拉杆夹、夹条等可能导致响应文件散落或脱页的装订方式，否则将视为无效响应文件。</w:t>
      </w:r>
    </w:p>
    <w:p>
      <w:pPr>
        <w:keepNext w:val="0"/>
        <w:keepLines w:val="0"/>
        <w:pageBreakBefore w:val="0"/>
        <w:numPr>
          <w:ilvl w:val="0"/>
          <w:numId w:val="5"/>
        </w:numPr>
        <w:kinsoku/>
        <w:wordWrap/>
        <w:overflowPunct/>
        <w:topLinePunct w:val="0"/>
        <w:autoSpaceDE/>
        <w:autoSpaceDN/>
        <w:bidi w:val="0"/>
        <w:adjustRightInd/>
        <w:spacing w:line="360" w:lineRule="auto"/>
        <w:ind w:firstLine="422" w:firstLineChars="200"/>
        <w:textAlignment w:val="auto"/>
      </w:pPr>
      <w:r>
        <w:rPr>
          <w:rFonts w:hint="eastAsia" w:asciiTheme="minorEastAsia" w:hAnsiTheme="minorEastAsia" w:eastAsiaTheme="minorEastAsia"/>
          <w:b/>
          <w:color w:val="auto"/>
          <w:szCs w:val="21"/>
        </w:rPr>
        <w:t>保证金</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12.1</w:t>
      </w:r>
      <w:r>
        <w:rPr>
          <w:rFonts w:hint="eastAsia" w:asciiTheme="minorEastAsia" w:hAnsiTheme="minorEastAsia" w:eastAsiaTheme="minorEastAsia"/>
          <w:color w:val="auto"/>
          <w:szCs w:val="21"/>
          <w:lang w:val="en-US" w:eastAsia="zh-CN"/>
        </w:rPr>
        <w:t>磋商</w:t>
      </w:r>
      <w:r>
        <w:rPr>
          <w:rFonts w:hint="eastAsia" w:asciiTheme="minorEastAsia" w:hAnsiTheme="minorEastAsia" w:eastAsiaTheme="minorEastAsia"/>
          <w:color w:val="auto"/>
          <w:szCs w:val="21"/>
        </w:rPr>
        <w:t>保证金</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本项目无需缴纳</w:t>
      </w:r>
      <w:r>
        <w:rPr>
          <w:rFonts w:hint="eastAsia" w:asciiTheme="minorEastAsia" w:hAnsiTheme="minorEastAsia" w:eastAsiaTheme="minorEastAsia"/>
          <w:color w:val="auto"/>
          <w:szCs w:val="21"/>
          <w:lang w:val="en-US" w:eastAsia="zh-CN"/>
        </w:rPr>
        <w:t>磋商</w:t>
      </w:r>
      <w:r>
        <w:rPr>
          <w:rFonts w:hint="eastAsia" w:asciiTheme="minorEastAsia" w:hAnsiTheme="minorEastAsia" w:eastAsiaTheme="minorEastAsia"/>
          <w:color w:val="auto"/>
          <w:szCs w:val="21"/>
        </w:rPr>
        <w:t>保证金</w:t>
      </w:r>
      <w:r>
        <w:rPr>
          <w:rFonts w:hint="eastAsia" w:asciiTheme="minorEastAsia" w:hAnsiTheme="minorEastAsia" w:eastAsiaTheme="minorEastAsia"/>
          <w:color w:val="auto"/>
          <w:szCs w:val="21"/>
          <w:lang w:eastAsia="zh-CN"/>
        </w:rPr>
        <w:t>。</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四、磋商报价要求</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13.磋商报价</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13.1供应商应以人民币报价。</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13.2磋商报价：供应商应按第四章“工程量清单”的要求填写相应表格。供应商不得修改工程量清单的项目结构、标段名称、单项工程名称、单位工程名称、项目编码、项目名称、项目特征、计量单位、工程量、清单顺序和序号。不得对工程量清单项目进行增减调整。</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13.3供应商应在磋商报价表上标明报价。磋商报价表内容与响应文件中相应内容不一致的，以磋商报价表为准；大写金额和小写金额不一致的，以大写金额为准；单价金额小数点或者百分比有明显错位的，以磋商报价表的总价为准，并修改单价；总价金额与按单价汇总金额不一致的，以单价金额计算结果为准。同时出现两种以上不一致的，按照以上规定的顺序修正。修正后的报价经供应商确认后产生约束力，供应商不确认的，其磋商无效。对不同文字文本响应文件的解释发生异议的，以中文文本为准。除上述原因以外，如果因供应商原因引起的报价失误，并在磋商时被接受，其后果由供应商自负。</w:t>
      </w:r>
    </w:p>
    <w:p>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13.4磋商报价：按须知前附表中要求。</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五、响应文件的封装和递交</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14.响应文件的封装、密封与标志</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14.1</w:t>
      </w:r>
      <w:r>
        <w:rPr>
          <w:rFonts w:hint="eastAsia" w:asciiTheme="minorEastAsia" w:hAnsiTheme="minorEastAsia" w:eastAsiaTheme="minorEastAsia"/>
          <w:color w:val="auto"/>
          <w:szCs w:val="21"/>
        </w:rPr>
        <w:t xml:space="preserve"> 磋商供应商应将</w:t>
      </w:r>
      <w:r>
        <w:rPr>
          <w:rFonts w:hint="eastAsia" w:asciiTheme="minorEastAsia" w:hAnsiTheme="minorEastAsia" w:eastAsiaTheme="minorEastAsia"/>
          <w:color w:val="auto"/>
          <w:szCs w:val="21"/>
          <w:lang w:val="en-US" w:eastAsia="zh-CN"/>
        </w:rPr>
        <w:t>三</w:t>
      </w:r>
      <w:r>
        <w:rPr>
          <w:rFonts w:hint="eastAsia" w:asciiTheme="minorEastAsia" w:hAnsiTheme="minorEastAsia" w:eastAsiaTheme="minorEastAsia"/>
          <w:color w:val="auto"/>
          <w:szCs w:val="21"/>
          <w:lang w:eastAsia="zh-CN"/>
        </w:rPr>
        <w:t>个密封袋的</w:t>
      </w:r>
      <w:r>
        <w:rPr>
          <w:rFonts w:hint="eastAsia" w:asciiTheme="minorEastAsia" w:hAnsiTheme="minorEastAsia" w:eastAsiaTheme="minorEastAsia"/>
          <w:color w:val="auto"/>
          <w:szCs w:val="21"/>
        </w:rPr>
        <w:t>响应文件一并装入</w:t>
      </w:r>
      <w:r>
        <w:rPr>
          <w:rFonts w:hint="eastAsia" w:asciiTheme="minorEastAsia" w:hAnsiTheme="minorEastAsia" w:eastAsiaTheme="minorEastAsia"/>
          <w:color w:val="auto"/>
          <w:szCs w:val="21"/>
          <w:lang w:eastAsia="zh-CN"/>
        </w:rPr>
        <w:t>同一个</w:t>
      </w:r>
      <w:r>
        <w:rPr>
          <w:rFonts w:hint="eastAsia" w:asciiTheme="minorEastAsia" w:hAnsiTheme="minorEastAsia" w:eastAsiaTheme="minorEastAsia"/>
          <w:color w:val="auto"/>
          <w:szCs w:val="21"/>
        </w:rPr>
        <w:t>响应文件袋中加以密封; 并在封口处密封签章(公章、密封章、法定代表人或其委托代理人签字均可)。</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14.2</w:t>
      </w:r>
      <w:r>
        <w:rPr>
          <w:rFonts w:hint="eastAsia" w:asciiTheme="minorEastAsia" w:hAnsiTheme="minorEastAsia" w:eastAsiaTheme="minorEastAsia"/>
          <w:color w:val="auto"/>
          <w:szCs w:val="21"/>
        </w:rPr>
        <w:t>响应文件</w:t>
      </w:r>
      <w:r>
        <w:rPr>
          <w:rFonts w:hint="eastAsia" w:asciiTheme="minorEastAsia" w:hAnsiTheme="minorEastAsia" w:eastAsiaTheme="minorEastAsia"/>
          <w:color w:val="auto"/>
          <w:szCs w:val="21"/>
          <w:lang w:val="en-US" w:eastAsia="zh-CN"/>
        </w:rPr>
        <w:t>外层包装</w:t>
      </w:r>
      <w:r>
        <w:rPr>
          <w:rFonts w:hint="eastAsia" w:asciiTheme="minorEastAsia" w:hAnsiTheme="minorEastAsia" w:eastAsiaTheme="minorEastAsia"/>
          <w:color w:val="auto"/>
          <w:szCs w:val="21"/>
        </w:rPr>
        <w:t>袋上应写明：</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采购代理机构：</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 xml:space="preserve">项目名称：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 xml:space="preserve">项目编号：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 xml:space="preserve">磋商单位：                             </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5</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注    明“</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u w:val="none"/>
        </w:rPr>
        <w:t>___</w:t>
      </w:r>
      <w:r>
        <w:rPr>
          <w:rFonts w:hint="eastAsia" w:asciiTheme="minorEastAsia" w:hAnsiTheme="minorEastAsia" w:eastAsiaTheme="minorEastAsia"/>
          <w:color w:val="auto"/>
          <w:szCs w:val="21"/>
        </w:rPr>
        <w:t>月__ 日_</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时____分 前 不 得 拆 封”</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14.3</w:t>
      </w:r>
      <w:r>
        <w:rPr>
          <w:rFonts w:hint="eastAsia" w:asciiTheme="minorEastAsia" w:hAnsiTheme="minorEastAsia" w:eastAsiaTheme="minorEastAsia"/>
          <w:color w:val="auto"/>
          <w:szCs w:val="21"/>
        </w:rPr>
        <w:t>响应文件的密封以响应文件袋无明显缝隙露出袋内文件且封口处有签宇或盖章为合格。</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14.4</w:t>
      </w:r>
      <w:r>
        <w:rPr>
          <w:rFonts w:hint="eastAsia" w:asciiTheme="minorEastAsia" w:hAnsiTheme="minorEastAsia" w:eastAsiaTheme="minorEastAsia"/>
          <w:color w:val="auto"/>
          <w:szCs w:val="21"/>
        </w:rPr>
        <w:t>磋商供应商在提交响应文件时，未按本须知要求密封、标记的，采购代理机构有权拒收，拒收所产生的后果由磋商供应商自负。</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15.响应文件的递交</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15.1所有响应文件应按“磋商须知前附表”中规定的时间前递交到规定地点。</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16.迟交的响应文件</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按《中华人民共和国政府采购法》的规定，采购代理机构将拒绝或原封退回在其规定的递交响应文件截止时间之后收到的任何响应文件。</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17．递交响应文件截止时间、地点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17.1响应文件的递交不得迟于本须知前附表规定的截止时间。</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17.2供应商必须在规定时间内将响应文件送到本须知前附表规定地点，超过截止时间送达的响应文件为无效文件，采购代理机构将拒收。</w:t>
      </w:r>
    </w:p>
    <w:p>
      <w:pPr>
        <w:keepNext w:val="0"/>
        <w:keepLines w:val="0"/>
        <w:pageBreakBefore w:val="0"/>
        <w:kinsoku/>
        <w:wordWrap/>
        <w:overflowPunct/>
        <w:topLinePunct w:val="0"/>
        <w:autoSpaceDE/>
        <w:autoSpaceDN/>
        <w:bidi w:val="0"/>
        <w:adjustRightInd/>
        <w:spacing w:before="120" w:beforeLines="50" w:line="360" w:lineRule="auto"/>
        <w:ind w:right="168" w:rightChars="80" w:firstLine="432" w:firstLineChars="205"/>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18. 响应文件的修改与撤回</w:t>
      </w:r>
    </w:p>
    <w:p>
      <w:pPr>
        <w:keepNext w:val="0"/>
        <w:keepLines w:val="0"/>
        <w:pageBreakBefore w:val="0"/>
        <w:kinsoku/>
        <w:wordWrap/>
        <w:overflowPunct/>
        <w:topLinePunct w:val="0"/>
        <w:autoSpaceDE/>
        <w:autoSpaceDN/>
        <w:bidi w:val="0"/>
        <w:adjustRightInd/>
        <w:spacing w:line="360" w:lineRule="auto"/>
        <w:ind w:right="168" w:rightChars="80" w:firstLine="430" w:firstLineChars="205"/>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18.1 在提交响应文件以后，于规定的提交响应文件截止时间前，供应商可以书面形式向采购代理机构提交其修改或撤回其响应文件的通知，修改通知作为响应文件的组成部分，对供应商起约束作用。</w:t>
      </w:r>
    </w:p>
    <w:p>
      <w:pPr>
        <w:keepNext w:val="0"/>
        <w:keepLines w:val="0"/>
        <w:pageBreakBefore w:val="0"/>
        <w:kinsoku/>
        <w:wordWrap/>
        <w:overflowPunct/>
        <w:topLinePunct w:val="0"/>
        <w:autoSpaceDE/>
        <w:autoSpaceDN/>
        <w:bidi w:val="0"/>
        <w:adjustRightInd/>
        <w:spacing w:line="360" w:lineRule="auto"/>
        <w:ind w:right="168" w:rightChars="80" w:firstLine="430" w:firstLineChars="205"/>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18.2 供应商的修改或撤回通知，应按本须知的规定密封、标志和提交（在内层密封袋上标明“修改”或“撤回”字样）。</w:t>
      </w:r>
    </w:p>
    <w:p>
      <w:pPr>
        <w:keepNext w:val="0"/>
        <w:keepLines w:val="0"/>
        <w:pageBreakBefore w:val="0"/>
        <w:kinsoku/>
        <w:wordWrap/>
        <w:overflowPunct/>
        <w:topLinePunct w:val="0"/>
        <w:autoSpaceDE/>
        <w:autoSpaceDN/>
        <w:bidi w:val="0"/>
        <w:adjustRightInd/>
        <w:spacing w:line="360" w:lineRule="auto"/>
        <w:ind w:right="168" w:rightChars="80" w:firstLine="430" w:firstLineChars="205"/>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18.3 在提交响应文件截止时间以后，供应商不得修改响应文件。</w:t>
      </w:r>
    </w:p>
    <w:p>
      <w:pPr>
        <w:keepNext w:val="0"/>
        <w:keepLines w:val="0"/>
        <w:pageBreakBefore w:val="0"/>
        <w:kinsoku/>
        <w:wordWrap/>
        <w:overflowPunct/>
        <w:topLinePunct w:val="0"/>
        <w:autoSpaceDE/>
        <w:autoSpaceDN/>
        <w:bidi w:val="0"/>
        <w:adjustRightInd/>
        <w:spacing w:line="360" w:lineRule="auto"/>
        <w:ind w:right="168" w:rightChars="80" w:firstLine="430" w:firstLineChars="205"/>
        <w:textAlignment w:val="auto"/>
      </w:pPr>
      <w:r>
        <w:rPr>
          <w:rFonts w:hint="eastAsia" w:asciiTheme="minorEastAsia" w:hAnsiTheme="minorEastAsia" w:eastAsiaTheme="minorEastAsia"/>
          <w:color w:val="auto"/>
          <w:szCs w:val="21"/>
        </w:rPr>
        <w:t>18.4 在磋商有效期内，供应商不能撤回其响应文件，否则其保证金将被没收。</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bookmarkStart w:id="8" w:name="_Toc254970673"/>
      <w:bookmarkStart w:id="9" w:name="_Toc254970532"/>
      <w:r>
        <w:rPr>
          <w:rFonts w:hint="eastAsia" w:asciiTheme="minorEastAsia" w:hAnsiTheme="minorEastAsia" w:eastAsiaTheme="minorEastAsia"/>
          <w:b/>
          <w:color w:val="auto"/>
          <w:szCs w:val="21"/>
        </w:rPr>
        <w:t>六、磋商与评审</w:t>
      </w:r>
    </w:p>
    <w:p>
      <w:pPr>
        <w:pStyle w:val="28"/>
        <w:keepNext w:val="0"/>
        <w:keepLines w:val="0"/>
        <w:pageBreakBefore w:val="0"/>
        <w:kinsoku/>
        <w:wordWrap/>
        <w:overflowPunct/>
        <w:topLinePunct w:val="0"/>
        <w:autoSpaceDE/>
        <w:autoSpaceDN/>
        <w:bidi w:val="0"/>
        <w:adjustRightInd/>
        <w:spacing w:line="360" w:lineRule="auto"/>
        <w:ind w:firstLine="466" w:firstLineChars="221"/>
        <w:textAlignment w:val="auto"/>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19. 磋商</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19.1  磋商小组确认磋商文件，并将在磋商须知前附表规定的地点与各供应商进行磋商。磋商内容包括：磋商报价、工期、施工组织方案等，供应商资格条件不列为磋商内容。</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19.2  磋商小组对资格条件及响应文件进行评审，并从符合磋商文件规定的相应资格条件的供应商名单中确定不少于3家的供应商参加磋商。资格条件不符合的供应商或未实质性响应磋商文件的响应文件按无效处理，磋商小组应当告知有关供应商。</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19.3  第一轮磋商</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磋商小组按已确定的磋商顺序，磋商小组所有成员应当集中与单一供应商分别进行磋商，并给予所有参加磋商的供应商平等的磋商机会。</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在磋商过程中，磋商小组可以根据磋商文件和磋商情况实质性变动采购需求中的要求以及合同草案条款。实质性变动的内容，须经采购人代表确认。</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对磋商文件作出的实质性变动是磋商文件的有效组成部分，磋商小组应当及时以书面形式同时通知所有参加磋商的供应商。</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供应商应当按照磋商文件的变动情况和磋商小组的要求提交磋商应答响应文件，并由其法定代表人或授权代表签字或者加盖公章。由授权代表签字的，应当附法定代表人授权书。</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磋商中，磋商的任何一方不得透露与磋商有关的其他供应商的技术资料、价格和其他信息。</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采购代理机构对磋商过程和重要磋商内容进行记录，磋商双方在记录上签字确认。</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磋商小组一致确定响应供应商符合磋商文件要求的，按磋商文件设定的方法和标准确定成交候选人。第一轮磋商小组未能确定成交候选人的，对磋商文件修正后进行第二轮磋商。</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19.4  磋商文件修正</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（1）第一轮磋商结束后，各响应供应商退场等候，磋商小组进行合议。根据第一轮磋商掌握的情况，可以对磋商文件进行修改，确定采购内容的具体要求，优化采购方案。</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（2）采购代理机构通知响应供应商集中，磋商小组强调调整后的采购要求，将磋商文件的修改结果以书面形式通知响应供应商，向响应供应商提供较充分的修正时间。</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3）响应供应商根据第一轮磋商情况和磋商文件修改书面通知内容，进行磋商应答响应，并将磋商应答响应文件签字（或盖公章）后密封送交磋商小组。逾时不交的，视同放弃磋商。磋商应答响应文件与首次响应文件同具法律效应。</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19.5  第二轮磋商</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磋商小组就修正后的磋商文件与响应供应商分别进行磋商。采购代理机构对磋商过程和重要磋商内容进行记录，磋商双方在记录上签字确认。</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19.6  最后报价</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（1）磋商结束后，磋商小组应当要求所有实质性响应的供应商在规定时间内提交最后报价， 提交最后报价的供应商不得少于 3 家。最后报价是磋商响应文件的有效组成部分。符合《政府采购竞争性磋商采购方式管理暂行办法》第三条第一、四项情形的，提交最后报价的供应商可以为 2 家。</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color w:val="auto"/>
          <w:highlight w:val="none"/>
        </w:rPr>
        <w:t>供应商的澄清、说明或者更正、重新提交磋商应答文件、最后报价等均为供应商磋商响应文件的有效组成部分，与磋商响应文件同具法律效力。供应商应在规定时间内将上述文件密封递交至磋商小组， 逾时不交的，视同放弃磋商，磋商响应无效。</w:t>
      </w:r>
    </w:p>
    <w:p>
      <w:pPr>
        <w:keepNext w:val="0"/>
        <w:keepLines w:val="0"/>
        <w:pageBreakBefore w:val="0"/>
        <w:widowControl/>
        <w:tabs>
          <w:tab w:val="left" w:pos="540"/>
        </w:tabs>
        <w:kinsoku/>
        <w:wordWrap/>
        <w:overflowPunct/>
        <w:topLinePunct w:val="0"/>
        <w:autoSpaceDE/>
        <w:autoSpaceDN/>
        <w:bidi w:val="0"/>
        <w:adjustRightInd/>
        <w:spacing w:line="360" w:lineRule="auto"/>
        <w:ind w:firstLine="420" w:firstLineChars="200"/>
        <w:jc w:val="left"/>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）已经提交响应文件的供应商，在提交最后报价之前，可以根据磋商情况退出磋商。采购人、采购代理机构将退还退出磋商的供应商的保证金。最终磋商结束后，磋商小组不得再与供应商进行任何形式的商谈。</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4</w:t>
      </w:r>
      <w:r>
        <w:rPr>
          <w:rFonts w:hint="eastAsia" w:asciiTheme="minorEastAsia" w:hAnsiTheme="minorEastAsia" w:eastAsiaTheme="minorEastAsia"/>
          <w:color w:val="auto"/>
          <w:szCs w:val="21"/>
        </w:rPr>
        <w:t>）经磋商确定最终采购需求和提交最后报价的供应商后，由磋商小组采用综合评分法对提交最后报价的供应商的磋商响应文件和最后报价进行综合评分。</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19.7响应供应商的报价均超过了政府采购预算，采购人不能支付的，磋商活动终止。</w:t>
      </w:r>
    </w:p>
    <w:p>
      <w:pPr>
        <w:pStyle w:val="28"/>
        <w:keepNext w:val="0"/>
        <w:keepLines w:val="0"/>
        <w:pageBreakBefore w:val="0"/>
        <w:kinsoku/>
        <w:wordWrap/>
        <w:overflowPunct/>
        <w:topLinePunct w:val="0"/>
        <w:autoSpaceDE/>
        <w:autoSpaceDN/>
        <w:bidi w:val="0"/>
        <w:adjustRightInd/>
        <w:spacing w:line="360" w:lineRule="auto"/>
        <w:ind w:firstLine="466" w:firstLineChars="221"/>
        <w:textAlignment w:val="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20. 评审方法</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20.1  成立磋商小组：本采购项目的磋商小组分别由依法组成的评审专家、采购人代表等三人</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含</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或以上单数</w:t>
      </w:r>
      <w:r>
        <w:rPr>
          <w:rFonts w:hint="eastAsia" w:asciiTheme="minorEastAsia" w:hAnsiTheme="minorEastAsia" w:eastAsiaTheme="minorEastAsia"/>
          <w:color w:val="auto"/>
          <w:szCs w:val="21"/>
        </w:rPr>
        <w:t>组成，其中专家人数不少于成员总数的三分之二。磋商与评审活动由依法组建的磋商小组负责。</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20.2  评审原则：评审活动遵循公平、公正、科学和择优的原则。在评审过程中出现法律法规和磋商文件均没有明确规定的情形时，由磋商小组现场协商解决，协商不一致的，由全体磋商小组投票表决，以得票率二分之一以上专家的意见为准。</w:t>
      </w:r>
    </w:p>
    <w:p>
      <w:pPr>
        <w:pStyle w:val="28"/>
        <w:keepNext w:val="0"/>
        <w:keepLines w:val="0"/>
        <w:pageBreakBefore w:val="0"/>
        <w:kinsoku/>
        <w:wordWrap/>
        <w:overflowPunct/>
        <w:topLinePunct w:val="0"/>
        <w:autoSpaceDE/>
        <w:autoSpaceDN/>
        <w:bidi w:val="0"/>
        <w:adjustRightInd/>
        <w:spacing w:line="360" w:lineRule="auto"/>
        <w:ind w:firstLine="464" w:firstLineChars="221"/>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20.3  评审方法及</w:t>
      </w:r>
      <w:r>
        <w:rPr>
          <w:rFonts w:hint="eastAsia" w:asciiTheme="minorEastAsia" w:hAnsiTheme="minorEastAsia" w:eastAsiaTheme="minorEastAsia"/>
          <w:bCs/>
          <w:color w:val="auto"/>
          <w:szCs w:val="21"/>
        </w:rPr>
        <w:t>评审程序</w:t>
      </w:r>
      <w:r>
        <w:rPr>
          <w:rFonts w:hint="eastAsia" w:asciiTheme="minorEastAsia" w:hAnsiTheme="minorEastAsia" w:eastAsiaTheme="minorEastAsia"/>
          <w:color w:val="auto"/>
          <w:szCs w:val="21"/>
        </w:rPr>
        <w:t>：磋商小组按照磋商须知前附表和第三章“评审方法”规定的方法、程序、评审因素和标准对响应文件进行评审。在评审中，不得改变第三章“评审办法”规定的方法、评审因素和标准；第三章“评审办法”没有规定的方法、评审因素和标准，不作为评审依据。</w:t>
      </w:r>
    </w:p>
    <w:p>
      <w:pPr>
        <w:keepNext w:val="0"/>
        <w:keepLines w:val="0"/>
        <w:pageBreakBefore w:val="0"/>
        <w:kinsoku/>
        <w:wordWrap/>
        <w:overflowPunct/>
        <w:topLinePunct w:val="0"/>
        <w:autoSpaceDE/>
        <w:autoSpaceDN/>
        <w:bidi w:val="0"/>
        <w:adjustRightInd/>
        <w:snapToGrid w:val="0"/>
        <w:spacing w:line="360" w:lineRule="auto"/>
        <w:ind w:firstLine="502" w:firstLineChars="238"/>
        <w:textAlignment w:val="auto"/>
        <w:rPr>
          <w:rFonts w:hAnsi="宋体"/>
          <w:color w:val="auto"/>
          <w:szCs w:val="21"/>
        </w:rPr>
      </w:pPr>
      <w:r>
        <w:rPr>
          <w:rFonts w:hint="eastAsia" w:asciiTheme="minorEastAsia" w:hAnsiTheme="minorEastAsia" w:eastAsiaTheme="minorEastAsia"/>
          <w:b/>
          <w:bCs/>
          <w:color w:val="auto"/>
          <w:szCs w:val="21"/>
        </w:rPr>
        <w:t>20.4 磋商小组可以要求供应商对响应文件中含义不明确、</w:t>
      </w:r>
      <w:r>
        <w:rPr>
          <w:rFonts w:hint="eastAsia" w:hAnsi="宋体"/>
          <w:b/>
          <w:bCs/>
          <w:color w:val="auto"/>
          <w:szCs w:val="21"/>
        </w:rPr>
        <w:t>同类问题表述不一致或者有明显文字和计算错误的内容作出必要的澄清、说明或者补正。</w:t>
      </w:r>
    </w:p>
    <w:p>
      <w:pPr>
        <w:keepNext w:val="0"/>
        <w:keepLines w:val="0"/>
        <w:pageBreakBefore w:val="0"/>
        <w:kinsoku/>
        <w:wordWrap/>
        <w:overflowPunct/>
        <w:topLinePunct w:val="0"/>
        <w:autoSpaceDE/>
        <w:autoSpaceDN/>
        <w:bidi w:val="0"/>
        <w:adjustRightInd/>
        <w:snapToGrid w:val="0"/>
        <w:spacing w:line="360" w:lineRule="auto"/>
        <w:ind w:firstLine="499" w:firstLineChars="238"/>
        <w:textAlignment w:val="auto"/>
        <w:rPr>
          <w:rFonts w:hAnsi="宋体"/>
          <w:color w:val="auto"/>
          <w:szCs w:val="21"/>
        </w:rPr>
      </w:pPr>
      <w:r>
        <w:rPr>
          <w:rFonts w:hint="eastAsia" w:hAnsi="宋体"/>
          <w:color w:val="auto"/>
          <w:szCs w:val="21"/>
        </w:rPr>
        <w:t>供应商的澄清、说明或者补正应当采用书面形式，并加盖公章，或者由法定代表人或其授权的代表签字。供应商的澄清、说明或者补正不得超出响应文件的范围或者改变响应文件的实质性内容。供应商代表未到场或者拒绝澄清或者澄清的内容改变了响应文件的实质性内容的，磋商小组有权视该响应文件无效。</w:t>
      </w:r>
    </w:p>
    <w:p>
      <w:pPr>
        <w:pStyle w:val="22"/>
        <w:keepNext w:val="0"/>
        <w:keepLines w:val="0"/>
        <w:pageBreakBefore w:val="0"/>
        <w:kinsoku/>
        <w:wordWrap/>
        <w:overflowPunct/>
        <w:topLinePunct w:val="0"/>
        <w:autoSpaceDE/>
        <w:autoSpaceDN/>
        <w:bidi w:val="0"/>
        <w:adjustRightInd/>
        <w:snapToGrid w:val="0"/>
        <w:spacing w:line="360" w:lineRule="auto"/>
        <w:ind w:firstLine="441" w:firstLineChars="210"/>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20.5在评审中，供应商提交的响应文件或磋商应答文件出现下列情形之一的，磋商无效：</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asciiTheme="minorEastAsia" w:hAnsiTheme="minorEastAsia" w:eastAsiaTheme="minorEastAsia"/>
          <w:color w:val="auto"/>
          <w:szCs w:val="21"/>
        </w:rPr>
        <w:t>（1）</w:t>
      </w:r>
      <w:r>
        <w:rPr>
          <w:rFonts w:hint="eastAsia" w:hAnsi="宋体" w:cs="宋体"/>
          <w:color w:val="auto"/>
          <w:szCs w:val="21"/>
        </w:rPr>
        <w:t>不具备磋商文件中规定的资格要求的或未在规定时间内购买磋商文件的；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（2）超越了按照法律法规规定必须获得行政许可或者行政审批的经营范围的；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（3）首次提交的资格证明文件不全或模糊、辩认不清，不合格的；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（4）响应文件或磋商应答文件无法定代表人或其授权委托代理人签字，或未提供法定代表人授权委托书；</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（5）未按照采购文件的规定提交磋商保证金的</w:t>
      </w:r>
      <w:r>
        <w:rPr>
          <w:rFonts w:hint="eastAsia" w:hAnsi="宋体" w:cs="宋体"/>
          <w:color w:val="auto"/>
          <w:szCs w:val="21"/>
          <w:lang w:eastAsia="zh-CN"/>
        </w:rPr>
        <w:t>（</w:t>
      </w:r>
      <w:r>
        <w:rPr>
          <w:rFonts w:hint="eastAsia" w:hAnsi="宋体" w:cs="宋体"/>
          <w:color w:val="auto"/>
          <w:szCs w:val="21"/>
          <w:lang w:val="en-US" w:eastAsia="zh-CN"/>
        </w:rPr>
        <w:t>如有</w:t>
      </w:r>
      <w:r>
        <w:rPr>
          <w:rFonts w:hint="eastAsia" w:hAnsi="宋体" w:cs="宋体"/>
          <w:color w:val="auto"/>
          <w:szCs w:val="21"/>
          <w:lang w:eastAsia="zh-CN"/>
        </w:rPr>
        <w:t>）</w:t>
      </w:r>
      <w:r>
        <w:rPr>
          <w:rFonts w:hint="eastAsia" w:hAnsi="宋体" w:cs="宋体"/>
          <w:color w:val="auto"/>
          <w:szCs w:val="21"/>
        </w:rPr>
        <w:t>；</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（6）响应文件未按磋商文件要求签署、盖章的；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（7）响应文件</w:t>
      </w:r>
      <w:r>
        <w:rPr>
          <w:color w:val="auto"/>
        </w:rPr>
        <w:t>格式不符合第</w:t>
      </w:r>
      <w:r>
        <w:rPr>
          <w:rFonts w:hint="eastAsia"/>
          <w:color w:val="auto"/>
        </w:rPr>
        <w:t>七</w:t>
      </w:r>
      <w:r>
        <w:rPr>
          <w:color w:val="auto"/>
        </w:rPr>
        <w:t>章</w:t>
      </w:r>
      <w:r>
        <w:rPr>
          <w:rFonts w:hint="eastAsia"/>
          <w:color w:val="auto"/>
          <w:lang w:eastAsia="zh-CN"/>
        </w:rPr>
        <w:t>“</w:t>
      </w:r>
      <w:r>
        <w:rPr>
          <w:rFonts w:hint="eastAsia"/>
          <w:color w:val="auto"/>
        </w:rPr>
        <w:t>响应</w:t>
      </w:r>
      <w:r>
        <w:rPr>
          <w:color w:val="auto"/>
        </w:rPr>
        <w:t>文件</w:t>
      </w:r>
      <w:r>
        <w:rPr>
          <w:rFonts w:hint="eastAsia"/>
          <w:color w:val="auto"/>
        </w:rPr>
        <w:t>基本</w:t>
      </w:r>
      <w:r>
        <w:rPr>
          <w:color w:val="auto"/>
        </w:rPr>
        <w:t>格式</w:t>
      </w:r>
      <w:r>
        <w:rPr>
          <w:rFonts w:hint="eastAsia"/>
          <w:color w:val="auto"/>
          <w:lang w:eastAsia="zh-CN"/>
        </w:rPr>
        <w:t>”</w:t>
      </w:r>
      <w:r>
        <w:rPr>
          <w:color w:val="auto"/>
        </w:rPr>
        <w:t>的要求</w:t>
      </w:r>
      <w:r>
        <w:rPr>
          <w:rFonts w:hint="eastAsia"/>
          <w:color w:val="auto"/>
        </w:rPr>
        <w:t>，响应文件份数不符合磋商文件要求的；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（8）磋商有效期、工期、工程质量等不能满足磋商文件要求的；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（9）未采用人民币报价或者未按照磋商文件标明的币种、计价规则报价的；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（10）</w:t>
      </w:r>
      <w:r>
        <w:rPr>
          <w:rFonts w:hint="eastAsia"/>
          <w:color w:val="auto"/>
        </w:rPr>
        <w:t>最终报价不是唯一报价，具有选择性。</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（11）最终报价超出最高限价，或者超出采购预算金额，采购人不能支付的；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（10）磋商小组会认为供应商的最终报价明显低于其他通过符合性审查供应商的最终报价，有可能影响工程质量或者不能诚信履约，供应商不能证明其报价合理性的；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（11）</w:t>
      </w:r>
      <w:r>
        <w:rPr>
          <w:rFonts w:hint="eastAsia" w:hAnsi="宋体" w:cs="宋体"/>
          <w:snapToGrid w:val="0"/>
          <w:color w:val="auto"/>
          <w:szCs w:val="21"/>
        </w:rPr>
        <w:t>供应商</w:t>
      </w:r>
      <w:r>
        <w:rPr>
          <w:rFonts w:hint="eastAsia" w:hAnsi="宋体"/>
          <w:color w:val="auto"/>
          <w:szCs w:val="21"/>
        </w:rPr>
        <w:t>代表未到场或者拒绝磋商小组提出的响应文件澄清要求或者澄清的内容改变了响应文件的实质性内容的。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（12）响应文件或磋商应答文件附有采购人</w:t>
      </w:r>
      <w:r>
        <w:rPr>
          <w:rFonts w:hint="eastAsia" w:ascii="Times New Roman"/>
          <w:color w:val="auto"/>
          <w:szCs w:val="24"/>
        </w:rPr>
        <w:t>不能接受的附加条件的；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（13）供应商存在如下串通行为：</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int="eastAsia" w:hAnsi="宋体" w:cs="宋体"/>
          <w:snapToGrid w:val="0"/>
          <w:color w:val="auto"/>
          <w:szCs w:val="21"/>
        </w:rPr>
      </w:pPr>
      <w:r>
        <w:rPr>
          <w:rFonts w:hint="eastAsia" w:hAnsi="宋体" w:cs="宋体"/>
          <w:snapToGrid w:val="0"/>
          <w:color w:val="auto"/>
          <w:szCs w:val="21"/>
        </w:rPr>
        <w:t>A、不同供应商的响应文件由同一单位或者个人编制；或不同供应商报名的IP地址一致的。</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int="eastAsia" w:hAnsi="宋体" w:cs="宋体"/>
          <w:snapToGrid w:val="0"/>
          <w:color w:val="auto"/>
          <w:szCs w:val="21"/>
        </w:rPr>
      </w:pPr>
      <w:r>
        <w:rPr>
          <w:rFonts w:hint="eastAsia" w:hAnsi="宋体" w:cs="宋体"/>
          <w:snapToGrid w:val="0"/>
          <w:color w:val="auto"/>
          <w:szCs w:val="21"/>
        </w:rPr>
        <w:t>B、不同供应商委托同一单位或者个人办理磋商事宜。</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int="eastAsia" w:hAnsi="宋体" w:cs="宋体"/>
          <w:snapToGrid w:val="0"/>
          <w:color w:val="auto"/>
          <w:szCs w:val="21"/>
        </w:rPr>
      </w:pPr>
      <w:r>
        <w:rPr>
          <w:rFonts w:hint="eastAsia" w:hAnsi="宋体" w:cs="宋体"/>
          <w:snapToGrid w:val="0"/>
          <w:color w:val="auto"/>
          <w:szCs w:val="21"/>
        </w:rPr>
        <w:t>C、不同的供应商的响应文件载明的项目管理员为同一个人。</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int="eastAsia" w:hAnsi="宋体" w:cs="宋体"/>
          <w:snapToGrid w:val="0"/>
          <w:color w:val="auto"/>
          <w:szCs w:val="21"/>
        </w:rPr>
      </w:pPr>
      <w:r>
        <w:rPr>
          <w:rFonts w:hint="eastAsia" w:hAnsi="宋体" w:cs="宋体"/>
          <w:snapToGrid w:val="0"/>
          <w:color w:val="auto"/>
          <w:szCs w:val="21"/>
        </w:rPr>
        <w:t>D、不同供应商的响应文件异常一致或磋商报价呈规律性差异。</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int="eastAsia" w:hAnsi="宋体" w:cs="宋体"/>
          <w:snapToGrid w:val="0"/>
          <w:color w:val="auto"/>
          <w:szCs w:val="21"/>
        </w:rPr>
      </w:pPr>
      <w:r>
        <w:rPr>
          <w:rFonts w:hint="eastAsia" w:hAnsi="宋体" w:cs="宋体"/>
          <w:snapToGrid w:val="0"/>
          <w:color w:val="auto"/>
          <w:szCs w:val="21"/>
        </w:rPr>
        <w:t>E、不同供应商的响应文件相互混装。</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snapToGrid w:val="0"/>
          <w:color w:val="auto"/>
          <w:szCs w:val="21"/>
        </w:rPr>
        <w:t>F、不同供应商的保证金从同一单位或者个人账户转出。</w:t>
      </w:r>
    </w:p>
    <w:p>
      <w:pPr>
        <w:keepNext w:val="0"/>
        <w:keepLines w:val="0"/>
        <w:pageBreakBefore w:val="0"/>
        <w:kinsoku/>
        <w:wordWrap/>
        <w:overflowPunct/>
        <w:topLinePunct w:val="0"/>
        <w:autoSpaceDE/>
        <w:autoSpaceDN/>
        <w:bidi w:val="0"/>
        <w:adjustRightInd/>
        <w:snapToGrid w:val="0"/>
        <w:spacing w:line="360" w:lineRule="auto"/>
        <w:ind w:firstLine="411" w:firstLineChars="196"/>
        <w:textAlignment w:val="auto"/>
        <w:rPr>
          <w:rFonts w:hAnsi="宋体" w:cs="宋体"/>
          <w:color w:val="auto"/>
          <w:szCs w:val="21"/>
        </w:rPr>
      </w:pPr>
      <w:r>
        <w:rPr>
          <w:rFonts w:hint="eastAsia" w:hAnsi="宋体" w:cs="宋体"/>
          <w:color w:val="auto"/>
          <w:szCs w:val="21"/>
        </w:rPr>
        <w:t>（14）法律、法规和磋商文件规定的其他无效情形。</w:t>
      </w:r>
    </w:p>
    <w:p>
      <w:pPr>
        <w:pStyle w:val="22"/>
        <w:keepNext w:val="0"/>
        <w:keepLines w:val="0"/>
        <w:pageBreakBefore w:val="0"/>
        <w:kinsoku/>
        <w:wordWrap/>
        <w:overflowPunct/>
        <w:topLinePunct w:val="0"/>
        <w:autoSpaceDE/>
        <w:autoSpaceDN/>
        <w:bidi w:val="0"/>
        <w:adjustRightInd/>
        <w:snapToGrid w:val="0"/>
        <w:spacing w:line="360" w:lineRule="auto"/>
        <w:ind w:firstLine="443" w:firstLineChars="210"/>
        <w:textAlignment w:val="auto"/>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20.6在磋商采购中，出现下列情形之一的，采购项目予以废标：</w:t>
      </w:r>
    </w:p>
    <w:p>
      <w:pPr>
        <w:pStyle w:val="22"/>
        <w:keepNext w:val="0"/>
        <w:keepLines w:val="0"/>
        <w:pageBreakBefore w:val="0"/>
        <w:kinsoku/>
        <w:wordWrap/>
        <w:overflowPunct/>
        <w:topLinePunct w:val="0"/>
        <w:autoSpaceDE/>
        <w:autoSpaceDN/>
        <w:bidi w:val="0"/>
        <w:adjustRightInd/>
        <w:snapToGrid w:val="0"/>
        <w:spacing w:line="360" w:lineRule="auto"/>
        <w:ind w:firstLine="380" w:firstLineChars="181"/>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（1）因情况变化，不再符合规定的竞争性磋商采购方式适用情形的。</w:t>
      </w:r>
    </w:p>
    <w:p>
      <w:pPr>
        <w:pStyle w:val="22"/>
        <w:keepNext w:val="0"/>
        <w:keepLines w:val="0"/>
        <w:pageBreakBefore w:val="0"/>
        <w:kinsoku/>
        <w:wordWrap/>
        <w:overflowPunct/>
        <w:topLinePunct w:val="0"/>
        <w:autoSpaceDE/>
        <w:autoSpaceDN/>
        <w:bidi w:val="0"/>
        <w:adjustRightInd/>
        <w:snapToGrid w:val="0"/>
        <w:spacing w:line="360" w:lineRule="auto"/>
        <w:ind w:firstLine="352" w:firstLineChars="168"/>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（2）出现影响采购公正的违法、违规行为的。</w:t>
      </w:r>
    </w:p>
    <w:p>
      <w:pPr>
        <w:pStyle w:val="22"/>
        <w:keepNext w:val="0"/>
        <w:keepLines w:val="0"/>
        <w:pageBreakBefore w:val="0"/>
        <w:kinsoku/>
        <w:wordWrap/>
        <w:overflowPunct/>
        <w:topLinePunct w:val="0"/>
        <w:autoSpaceDE/>
        <w:autoSpaceDN/>
        <w:bidi w:val="0"/>
        <w:adjustRightInd/>
        <w:snapToGrid w:val="0"/>
        <w:spacing w:line="360" w:lineRule="auto"/>
        <w:ind w:firstLine="392" w:firstLineChars="187"/>
        <w:textAlignment w:val="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（3）在采购过程中符合竞争要求的供应商或者报价未超过采购预算的供应商不足3家的，但本须知第19.6（6）款规定的情形除外。</w:t>
      </w:r>
    </w:p>
    <w:p>
      <w:pPr>
        <w:keepNext w:val="0"/>
        <w:keepLines w:val="0"/>
        <w:pageBreakBefore w:val="0"/>
        <w:widowControl/>
        <w:kinsoku/>
        <w:wordWrap/>
        <w:overflowPunct/>
        <w:topLinePunct w:val="0"/>
        <w:autoSpaceDE/>
        <w:autoSpaceDN/>
        <w:bidi w:val="0"/>
        <w:adjustRightInd/>
        <w:spacing w:line="360" w:lineRule="auto"/>
        <w:ind w:firstLine="378" w:firstLineChars="180"/>
        <w:jc w:val="left"/>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（4）因重大变故，采购任务取消的。</w:t>
      </w:r>
    </w:p>
    <w:bookmarkEnd w:id="8"/>
    <w:bookmarkEnd w:id="9"/>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color w:val="auto"/>
          <w:szCs w:val="21"/>
        </w:rPr>
      </w:pPr>
      <w:bookmarkStart w:id="10" w:name="_Toc254970674"/>
      <w:bookmarkStart w:id="11" w:name="_Toc254970533"/>
      <w:r>
        <w:rPr>
          <w:rFonts w:hint="eastAsia" w:asciiTheme="minorEastAsia" w:hAnsiTheme="minorEastAsia" w:eastAsiaTheme="minorEastAsia"/>
          <w:b/>
          <w:bCs/>
          <w:color w:val="auto"/>
          <w:szCs w:val="21"/>
        </w:rPr>
        <w:t>七、</w:t>
      </w:r>
      <w:r>
        <w:rPr>
          <w:rFonts w:hint="eastAsia" w:asciiTheme="minorEastAsia" w:hAnsiTheme="minorEastAsia" w:eastAsiaTheme="minorEastAsia"/>
          <w:b/>
          <w:color w:val="auto"/>
          <w:szCs w:val="21"/>
        </w:rPr>
        <w:t>确定成交供应商办法</w:t>
      </w:r>
    </w:p>
    <w:p>
      <w:pPr>
        <w:keepNext w:val="0"/>
        <w:keepLines w:val="0"/>
        <w:pageBreakBefore w:val="0"/>
        <w:widowControl/>
        <w:tabs>
          <w:tab w:val="left" w:pos="540"/>
        </w:tabs>
        <w:kinsoku/>
        <w:wordWrap/>
        <w:overflowPunct/>
        <w:topLinePunct w:val="0"/>
        <w:autoSpaceDE/>
        <w:autoSpaceDN/>
        <w:bidi w:val="0"/>
        <w:adjustRightInd/>
        <w:spacing w:line="360" w:lineRule="auto"/>
        <w:ind w:firstLine="420" w:firstLineChars="200"/>
        <w:jc w:val="left"/>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21.磋商小组应当从质量和服务均能满足磋商文件实质性响应要求的供应商中，按照</w:t>
      </w:r>
      <w:r>
        <w:rPr>
          <w:rFonts w:hint="eastAsia" w:asciiTheme="minorEastAsia" w:hAnsiTheme="minorEastAsia" w:eastAsiaTheme="minorEastAsia"/>
          <w:color w:val="auto"/>
          <w:szCs w:val="21"/>
          <w:lang w:val="en-US" w:eastAsia="zh-CN"/>
        </w:rPr>
        <w:t>得分</w:t>
      </w:r>
      <w:r>
        <w:rPr>
          <w:rFonts w:hint="eastAsia" w:asciiTheme="minorEastAsia" w:hAnsiTheme="minorEastAsia" w:eastAsiaTheme="minorEastAsia"/>
          <w:color w:val="auto"/>
          <w:szCs w:val="21"/>
        </w:rPr>
        <w:t>由</w:t>
      </w:r>
      <w:r>
        <w:rPr>
          <w:rFonts w:hint="eastAsia" w:asciiTheme="minorEastAsia" w:hAnsiTheme="minorEastAsia" w:eastAsiaTheme="minorEastAsia"/>
          <w:color w:val="auto"/>
          <w:szCs w:val="21"/>
          <w:lang w:val="en-US" w:eastAsia="zh-CN"/>
        </w:rPr>
        <w:t>高</w:t>
      </w:r>
      <w:r>
        <w:rPr>
          <w:rFonts w:hint="eastAsia" w:asciiTheme="minorEastAsia" w:hAnsiTheme="minorEastAsia" w:eastAsiaTheme="minorEastAsia"/>
          <w:color w:val="auto"/>
          <w:szCs w:val="21"/>
        </w:rPr>
        <w:t>到</w:t>
      </w:r>
      <w:r>
        <w:rPr>
          <w:rFonts w:hint="eastAsia" w:asciiTheme="minorEastAsia" w:hAnsiTheme="minorEastAsia" w:eastAsiaTheme="minorEastAsia"/>
          <w:color w:val="auto"/>
          <w:szCs w:val="21"/>
          <w:lang w:val="en-US" w:eastAsia="zh-CN"/>
        </w:rPr>
        <w:t>底</w:t>
      </w:r>
      <w:r>
        <w:rPr>
          <w:rFonts w:hint="eastAsia" w:asciiTheme="minorEastAsia" w:hAnsiTheme="minorEastAsia" w:eastAsiaTheme="minorEastAsia"/>
          <w:color w:val="auto"/>
          <w:szCs w:val="21"/>
        </w:rPr>
        <w:t>的顺序提出成交候选供应商（见第三章评审方法）。</w:t>
      </w:r>
    </w:p>
    <w:p>
      <w:pPr>
        <w:keepNext w:val="0"/>
        <w:keepLines w:val="0"/>
        <w:pageBreakBefore w:val="0"/>
        <w:widowControl/>
        <w:tabs>
          <w:tab w:val="left" w:pos="540"/>
        </w:tabs>
        <w:kinsoku/>
        <w:wordWrap/>
        <w:overflowPunct/>
        <w:topLinePunct w:val="0"/>
        <w:autoSpaceDE/>
        <w:autoSpaceDN/>
        <w:bidi w:val="0"/>
        <w:adjustRightInd/>
        <w:spacing w:line="360" w:lineRule="auto"/>
        <w:ind w:firstLine="420" w:firstLineChars="200"/>
        <w:jc w:val="left"/>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22.采购代理机构应当在评审结束后2个工作日内将评审报告送采购人确认。采购人应当在收到评审报告后</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个工作日，从评审报告提出的成交候选人中，按照</w:t>
      </w:r>
      <w:r>
        <w:rPr>
          <w:rFonts w:hint="eastAsia" w:asciiTheme="minorEastAsia" w:hAnsiTheme="minorEastAsia" w:eastAsiaTheme="minorEastAsia"/>
          <w:color w:val="auto"/>
          <w:szCs w:val="21"/>
          <w:lang w:val="en-US" w:eastAsia="zh-CN"/>
        </w:rPr>
        <w:t>得分</w:t>
      </w:r>
      <w:r>
        <w:rPr>
          <w:rFonts w:hint="eastAsia" w:asciiTheme="minorEastAsia" w:hAnsiTheme="minorEastAsia" w:eastAsiaTheme="minorEastAsia"/>
          <w:color w:val="auto"/>
          <w:szCs w:val="21"/>
        </w:rPr>
        <w:t>排序由高到低的原则确定成交人，也可以书面授权磋商小组直接确定成交人。采购人逾期未确定成交人且不提出异议的，视为确定评审报告提出的排序第一的</w:t>
      </w:r>
      <w:r>
        <w:rPr>
          <w:rFonts w:hint="eastAsia" w:asciiTheme="minorEastAsia" w:hAnsiTheme="minorEastAsia" w:eastAsiaTheme="minorEastAsia"/>
          <w:color w:val="auto"/>
          <w:szCs w:val="21"/>
          <w:lang w:val="en-US" w:eastAsia="zh-CN"/>
        </w:rPr>
        <w:t>候选</w:t>
      </w:r>
      <w:r>
        <w:rPr>
          <w:rFonts w:hint="eastAsia" w:asciiTheme="minorEastAsia" w:hAnsiTheme="minorEastAsia" w:eastAsiaTheme="minorEastAsia"/>
          <w:color w:val="auto"/>
          <w:szCs w:val="21"/>
        </w:rPr>
        <w:t>人为成交人。</w:t>
      </w:r>
    </w:p>
    <w:p>
      <w:pPr>
        <w:keepNext w:val="0"/>
        <w:keepLines w:val="0"/>
        <w:pageBreakBefore w:val="0"/>
        <w:kinsoku/>
        <w:wordWrap/>
        <w:overflowPunct/>
        <w:topLinePunct w:val="0"/>
        <w:autoSpaceDE/>
        <w:autoSpaceDN/>
        <w:bidi w:val="0"/>
        <w:adjustRightInd/>
        <w:spacing w:line="360" w:lineRule="auto"/>
        <w:ind w:firstLine="422" w:firstLineChars="200"/>
        <w:textAlignment w:val="auto"/>
        <w:rPr>
          <w:rFonts w:asciiTheme="minorEastAsia" w:hAnsiTheme="minorEastAsia" w:eastAsiaTheme="minorEastAsia"/>
          <w:b/>
          <w:bCs/>
          <w:color w:val="auto"/>
          <w:szCs w:val="21"/>
        </w:rPr>
      </w:pPr>
      <w:r>
        <w:rPr>
          <w:rFonts w:hint="eastAsia" w:asciiTheme="minorEastAsia" w:hAnsiTheme="minorEastAsia" w:eastAsiaTheme="minorEastAsia"/>
          <w:b/>
          <w:color w:val="auto"/>
          <w:szCs w:val="21"/>
        </w:rPr>
        <w:t>八、</w:t>
      </w:r>
      <w:r>
        <w:rPr>
          <w:rFonts w:hint="eastAsia" w:asciiTheme="minorEastAsia" w:hAnsiTheme="minorEastAsia" w:eastAsiaTheme="minorEastAsia"/>
          <w:b/>
          <w:bCs/>
          <w:color w:val="auto"/>
          <w:szCs w:val="21"/>
        </w:rPr>
        <w:t>质疑和投诉</w:t>
      </w:r>
      <w:bookmarkEnd w:id="10"/>
      <w:bookmarkEnd w:id="11"/>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Theme="minorEastAsia" w:hAnsiTheme="minorEastAsia" w:eastAsiaTheme="minorEastAsia"/>
          <w:bCs/>
          <w:color w:val="auto"/>
          <w:szCs w:val="21"/>
          <w:lang w:val="en-US" w:eastAsia="zh-CN"/>
        </w:rPr>
      </w:pPr>
      <w:r>
        <w:rPr>
          <w:rFonts w:hint="eastAsia" w:asciiTheme="minorEastAsia" w:hAnsiTheme="minorEastAsia" w:eastAsiaTheme="minorEastAsia"/>
          <w:bCs/>
          <w:color w:val="auto"/>
          <w:szCs w:val="21"/>
          <w:lang w:val="en-US" w:eastAsia="zh-CN"/>
        </w:rPr>
        <w:t>23.质疑</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23.1</w:t>
      </w:r>
      <w:r>
        <w:rPr>
          <w:rFonts w:hint="eastAsia" w:asciiTheme="minorEastAsia" w:hAnsiTheme="minorEastAsia" w:eastAsiaTheme="minorEastAsia"/>
          <w:bCs/>
          <w:color w:val="auto"/>
          <w:szCs w:val="21"/>
        </w:rPr>
        <w:t>供应商认为磋商文件、磋商过程或成交结果使自己的合法权益受到损害的，应当在知道或者应知其权益受到损害之日起七个工作日内，以书面形式向采购人、采购代理机构一次性提出针对同一采购程序的质疑。本条</w:t>
      </w:r>
      <w:r>
        <w:rPr>
          <w:rFonts w:hint="eastAsia" w:asciiTheme="minorEastAsia" w:hAnsiTheme="minorEastAsia" w:eastAsiaTheme="minorEastAsia"/>
          <w:bCs/>
          <w:color w:val="auto"/>
          <w:szCs w:val="21"/>
          <w:lang w:val="en-US" w:eastAsia="zh-CN"/>
        </w:rPr>
        <w:t>供应商</w:t>
      </w:r>
      <w:r>
        <w:rPr>
          <w:rFonts w:hint="eastAsia" w:asciiTheme="minorEastAsia" w:hAnsiTheme="minorEastAsia" w:eastAsiaTheme="minorEastAsia"/>
          <w:bCs/>
          <w:color w:val="auto"/>
          <w:szCs w:val="21"/>
        </w:rPr>
        <w:t>应知其权益受到损害之日，是指：</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（1）对可以质疑的</w:t>
      </w:r>
      <w:r>
        <w:rPr>
          <w:rFonts w:hint="eastAsia" w:asciiTheme="minorEastAsia" w:hAnsiTheme="minorEastAsia" w:eastAsiaTheme="minorEastAsia"/>
          <w:bCs/>
          <w:color w:val="auto"/>
          <w:szCs w:val="21"/>
          <w:lang w:val="en-US" w:eastAsia="zh-CN"/>
        </w:rPr>
        <w:t>采购</w:t>
      </w:r>
      <w:r>
        <w:rPr>
          <w:rFonts w:hint="eastAsia" w:asciiTheme="minorEastAsia" w:hAnsiTheme="minorEastAsia" w:eastAsiaTheme="minorEastAsia"/>
          <w:bCs/>
          <w:color w:val="auto"/>
          <w:szCs w:val="21"/>
        </w:rPr>
        <w:t>文件提出质疑的，为收到</w:t>
      </w:r>
      <w:r>
        <w:rPr>
          <w:rFonts w:hint="eastAsia" w:asciiTheme="minorEastAsia" w:hAnsiTheme="minorEastAsia" w:eastAsiaTheme="minorEastAsia"/>
          <w:bCs/>
          <w:color w:val="auto"/>
          <w:szCs w:val="21"/>
          <w:lang w:val="en-US" w:eastAsia="zh-CN"/>
        </w:rPr>
        <w:t>采购</w:t>
      </w:r>
      <w:r>
        <w:rPr>
          <w:rFonts w:hint="eastAsia" w:asciiTheme="minorEastAsia" w:hAnsiTheme="minorEastAsia" w:eastAsiaTheme="minorEastAsia"/>
          <w:bCs/>
          <w:color w:val="auto"/>
          <w:szCs w:val="21"/>
        </w:rPr>
        <w:t>文件之日或者</w:t>
      </w:r>
      <w:r>
        <w:rPr>
          <w:rFonts w:hint="eastAsia" w:asciiTheme="minorEastAsia" w:hAnsiTheme="minorEastAsia" w:eastAsiaTheme="minorEastAsia"/>
          <w:bCs/>
          <w:color w:val="auto"/>
          <w:szCs w:val="21"/>
          <w:lang w:val="en-US" w:eastAsia="zh-CN"/>
        </w:rPr>
        <w:t>竞争性磋商</w:t>
      </w:r>
      <w:r>
        <w:rPr>
          <w:rFonts w:hint="eastAsia" w:asciiTheme="minorEastAsia" w:hAnsiTheme="minorEastAsia" w:eastAsiaTheme="minorEastAsia"/>
          <w:bCs/>
          <w:color w:val="auto"/>
          <w:szCs w:val="21"/>
        </w:rPr>
        <w:t>公告期限届满之日；</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（2）对采购过程提出质疑的，为各采购程序环节结束之日；</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（3）对</w:t>
      </w:r>
      <w:r>
        <w:rPr>
          <w:rFonts w:hint="eastAsia" w:asciiTheme="minorEastAsia" w:hAnsiTheme="minorEastAsia" w:eastAsiaTheme="minorEastAsia"/>
          <w:bCs/>
          <w:color w:val="auto"/>
          <w:szCs w:val="21"/>
          <w:lang w:val="en-US" w:eastAsia="zh-CN"/>
        </w:rPr>
        <w:t>成交</w:t>
      </w:r>
      <w:r>
        <w:rPr>
          <w:rFonts w:hint="eastAsia" w:asciiTheme="minorEastAsia" w:hAnsiTheme="minorEastAsia" w:eastAsiaTheme="minorEastAsia"/>
          <w:bCs/>
          <w:color w:val="auto"/>
          <w:szCs w:val="21"/>
        </w:rPr>
        <w:t>结果提出质疑的，为</w:t>
      </w:r>
      <w:r>
        <w:rPr>
          <w:rFonts w:hint="eastAsia" w:asciiTheme="minorEastAsia" w:hAnsiTheme="minorEastAsia" w:eastAsiaTheme="minorEastAsia"/>
          <w:bCs/>
          <w:color w:val="auto"/>
          <w:szCs w:val="21"/>
          <w:lang w:val="en-US" w:eastAsia="zh-CN"/>
        </w:rPr>
        <w:t>成交</w:t>
      </w:r>
      <w:r>
        <w:rPr>
          <w:rFonts w:hint="eastAsia" w:asciiTheme="minorEastAsia" w:hAnsiTheme="minorEastAsia" w:eastAsiaTheme="minorEastAsia"/>
          <w:bCs/>
          <w:color w:val="auto"/>
          <w:szCs w:val="21"/>
        </w:rPr>
        <w:t>公告期限届满之日。</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23.2</w:t>
      </w:r>
      <w:r>
        <w:rPr>
          <w:rFonts w:hint="eastAsia" w:asciiTheme="minorEastAsia" w:hAnsiTheme="minorEastAsia" w:eastAsiaTheme="minorEastAsia"/>
          <w:bCs/>
          <w:color w:val="auto"/>
          <w:szCs w:val="21"/>
        </w:rPr>
        <w:t>供应商质疑实行实名制，其质疑应当有具体的质疑事项及事实根据，不得进行虚假、恶意质疑。</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23.3</w:t>
      </w:r>
      <w:r>
        <w:rPr>
          <w:rFonts w:hint="eastAsia" w:asciiTheme="minorEastAsia" w:hAnsiTheme="minorEastAsia" w:eastAsiaTheme="minorEastAsia"/>
          <w:bCs/>
          <w:color w:val="auto"/>
          <w:szCs w:val="21"/>
        </w:rPr>
        <w:t>供应商质疑时，应当提交质疑书原件，质疑书应当包括下列主要内容：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（1）质疑供应商和被质疑的采购人或采购人委托的采购代理机构名称、地址、电话、邮编等；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（2）质疑项目的名称、编号；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（3）权益受到损害的事实和理由；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（4）相关证明材料；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（5）提起质疑的日期。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（6）附件材料：营业执照副本内页复印件（要求证件有效并清晰反映企业法人经营范围）；</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质疑书应当署名。质疑供应商为法人或者其他组织的，应当由法定代表人或者主要负责人签字并加盖公章。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23.4</w:t>
      </w:r>
      <w:r>
        <w:rPr>
          <w:rFonts w:hint="eastAsia" w:asciiTheme="minorEastAsia" w:hAnsiTheme="minorEastAsia" w:eastAsiaTheme="minorEastAsia"/>
          <w:bCs/>
          <w:color w:val="auto"/>
          <w:szCs w:val="21"/>
        </w:rPr>
        <w:t>质疑供应商可以委托代理人办理质疑事务。代理人办理质疑事务时，除提交质疑书外，还应当提交质疑供应商的授权委托书，授权委托书应当载明委托代理的具体权限和事项。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23.5</w:t>
      </w:r>
      <w:r>
        <w:rPr>
          <w:rFonts w:hint="eastAsia" w:asciiTheme="minorEastAsia" w:hAnsiTheme="minorEastAsia" w:eastAsiaTheme="minorEastAsia"/>
          <w:bCs/>
          <w:color w:val="auto"/>
          <w:szCs w:val="21"/>
        </w:rPr>
        <w:t>质疑供应商提起质疑应当符合下列条件：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（1）质疑供应商是参与所质疑政府采购活动的供应商；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（2）质疑书内容符合本章第</w:t>
      </w:r>
      <w:r>
        <w:rPr>
          <w:rFonts w:hint="eastAsia" w:asciiTheme="minorEastAsia" w:hAnsiTheme="minorEastAsia" w:eastAsiaTheme="minorEastAsia"/>
          <w:bCs/>
          <w:color w:val="auto"/>
          <w:szCs w:val="21"/>
          <w:lang w:val="en-US" w:eastAsia="zh-CN"/>
        </w:rPr>
        <w:t>23.3</w:t>
      </w:r>
      <w:r>
        <w:rPr>
          <w:rFonts w:hint="eastAsia" w:asciiTheme="minorEastAsia" w:hAnsiTheme="minorEastAsia" w:eastAsiaTheme="minorEastAsia"/>
          <w:bCs/>
          <w:color w:val="auto"/>
          <w:szCs w:val="21"/>
        </w:rPr>
        <w:t>项的规定；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（3）在质疑有效期限内提起质疑；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（4）属于所质疑的采购人或采购人委托的采购代理机构组织的采购活动；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（5）同一质疑事项未经采购人或采购人委托的采购代理机构质疑处理；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（6）财政部门规定的其他条件。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23.6</w:t>
      </w:r>
      <w:r>
        <w:rPr>
          <w:rFonts w:hint="eastAsia" w:asciiTheme="minorEastAsia" w:hAnsiTheme="minorEastAsia" w:eastAsiaTheme="minorEastAsia"/>
          <w:bCs/>
          <w:color w:val="auto"/>
          <w:szCs w:val="21"/>
        </w:rPr>
        <w:t>采购人或采购人委托的采购代理机构自受理质疑之日起七个工作日内，对质疑事项作出答复，并以书面形式通知质疑供应商及其他有关供应商。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24.</w:t>
      </w:r>
      <w:r>
        <w:rPr>
          <w:rFonts w:hint="eastAsia" w:asciiTheme="minorEastAsia" w:hAnsiTheme="minorEastAsia" w:eastAsiaTheme="minorEastAsia"/>
          <w:bCs/>
          <w:color w:val="auto"/>
          <w:szCs w:val="21"/>
        </w:rPr>
        <w:t>投诉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24.1</w:t>
      </w:r>
      <w:r>
        <w:rPr>
          <w:rFonts w:hint="eastAsia" w:asciiTheme="minorEastAsia" w:hAnsiTheme="minorEastAsia" w:eastAsiaTheme="minorEastAsia"/>
          <w:bCs/>
          <w:color w:val="auto"/>
          <w:szCs w:val="21"/>
        </w:rPr>
        <w:t>供应商认为采购文件、采购过程、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采购人的监督管理部门提起投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24.2</w:t>
      </w:r>
      <w:r>
        <w:rPr>
          <w:rFonts w:hint="eastAsia" w:asciiTheme="minorEastAsia" w:hAnsiTheme="minorEastAsia" w:eastAsiaTheme="minorEastAsia"/>
          <w:bCs/>
          <w:color w:val="auto"/>
          <w:szCs w:val="21"/>
        </w:rPr>
        <w:t>投诉人投诉时，应当提交投诉书，并按照被投诉采购人、采购代理机构和与投诉事项有关的供应商数量提供投诉书的副本。投诉书应当包括下列主要内容（如材料中有外文资料应同时附上对应的中文译本）：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（1）投诉人和被投诉人的名称、地址、电话等；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（2）具体的投诉事项及事实依据；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（3）质疑和质疑答复情况及相关证明材料；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（4）提起投诉的日期。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（5）附件材料：营业执照副本内页复印件（要求证件有效并清晰反映企业法人经营范围）；投诉书应当署名。投诉人为法人或者其他组织的，应当由法定代表人或者主要负责人签字盖章并加盖公章。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24.3</w:t>
      </w:r>
      <w:r>
        <w:rPr>
          <w:rFonts w:hint="eastAsia" w:asciiTheme="minorEastAsia" w:hAnsiTheme="minorEastAsia" w:eastAsiaTheme="minorEastAsia"/>
          <w:bCs/>
          <w:color w:val="auto"/>
          <w:szCs w:val="21"/>
        </w:rPr>
        <w:t>投诉人可以委托代理人办理投诉事务。代理人办理投诉事务时，除提交投诉书外，还应当提交投诉人的授权委托书，授权委托书应当载明委托代理的具体权限和事项。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24.4</w:t>
      </w:r>
      <w:r>
        <w:rPr>
          <w:rFonts w:hint="eastAsia" w:asciiTheme="minorEastAsia" w:hAnsiTheme="minorEastAsia" w:eastAsiaTheme="minorEastAsia"/>
          <w:bCs/>
          <w:color w:val="auto"/>
          <w:szCs w:val="21"/>
        </w:rPr>
        <w:t>投诉人提起投诉应当符合下列条件：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（1）投诉人是参与所投诉政府采购活动的供应商；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（2）提起投诉前已依法进行质疑；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（3）投诉书内容符合本章第</w:t>
      </w:r>
      <w:r>
        <w:rPr>
          <w:rFonts w:hint="eastAsia" w:asciiTheme="minorEastAsia" w:hAnsiTheme="minorEastAsia" w:eastAsiaTheme="minorEastAsia"/>
          <w:bCs/>
          <w:color w:val="auto"/>
          <w:szCs w:val="21"/>
          <w:lang w:val="en-US" w:eastAsia="zh-CN"/>
        </w:rPr>
        <w:t>24.2</w:t>
      </w:r>
      <w:r>
        <w:rPr>
          <w:rFonts w:hint="eastAsia" w:asciiTheme="minorEastAsia" w:hAnsiTheme="minorEastAsia" w:eastAsiaTheme="minorEastAsia"/>
          <w:bCs/>
          <w:color w:val="auto"/>
          <w:szCs w:val="21"/>
        </w:rPr>
        <w:t>项的规定；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（4）在投诉有效期限内提起投诉；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（5）同一投诉事项未经政府采购监督管理部门投诉处理；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（6）国务院财政部门规定的其他条件。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24.5</w:t>
      </w:r>
      <w:r>
        <w:rPr>
          <w:rFonts w:hint="eastAsia" w:asciiTheme="minorEastAsia" w:hAnsiTheme="minorEastAsia" w:eastAsiaTheme="minorEastAsia"/>
          <w:bCs/>
          <w:color w:val="auto"/>
          <w:szCs w:val="21"/>
        </w:rPr>
        <w:t>政府采购监督管理部门自受理投诉之日起三十个工作日内，对投诉事项作出处理决定，并以书面形式通知投诉人、被投诉人及其他与投诉处理结果有利害关系的政府采购当事人。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lang w:val="en-US" w:eastAsia="zh-CN"/>
        </w:rPr>
        <w:t>24.6</w:t>
      </w:r>
      <w:r>
        <w:rPr>
          <w:rFonts w:hint="eastAsia" w:asciiTheme="minorEastAsia" w:hAnsiTheme="minorEastAsia" w:eastAsiaTheme="minorEastAsia"/>
          <w:bCs/>
          <w:color w:val="auto"/>
          <w:szCs w:val="21"/>
        </w:rPr>
        <w:t>政府采购监督管理部门在处理投诉事项期间，可以视具体情况暂停采购活动。</w:t>
      </w:r>
    </w:p>
    <w:p>
      <w:pPr>
        <w:spacing w:line="400" w:lineRule="exact"/>
        <w:ind w:left="420" w:leftChars="200" w:firstLine="105" w:firstLineChars="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九、履约保证金</w:t>
      </w:r>
    </w:p>
    <w:p>
      <w:pPr>
        <w:pStyle w:val="28"/>
        <w:spacing w:line="420" w:lineRule="exact"/>
        <w:ind w:firstLine="434"/>
        <w:rPr>
          <w:rFonts w:hAnsi="宋体"/>
          <w:color w:val="auto"/>
        </w:rPr>
      </w:pPr>
      <w:r>
        <w:rPr>
          <w:rFonts w:hint="eastAsia" w:asciiTheme="minorEastAsia" w:hAnsiTheme="minorEastAsia" w:eastAsiaTheme="minorEastAsia"/>
          <w:color w:val="auto"/>
          <w:szCs w:val="21"/>
        </w:rPr>
        <w:t>25.</w:t>
      </w:r>
      <w:r>
        <w:rPr>
          <w:rFonts w:asciiTheme="minorEastAsia" w:hAnsiTheme="minorEastAsia" w:eastAsiaTheme="minorEastAsia"/>
          <w:color w:val="auto"/>
          <w:szCs w:val="21"/>
        </w:rPr>
        <w:t>在签订合同前，</w:t>
      </w:r>
      <w:r>
        <w:rPr>
          <w:rFonts w:hint="eastAsia" w:asciiTheme="minorEastAsia" w:hAnsiTheme="minorEastAsia" w:eastAsiaTheme="minorEastAsia"/>
          <w:color w:val="auto"/>
          <w:szCs w:val="21"/>
        </w:rPr>
        <w:t>成交供应商</w:t>
      </w:r>
      <w:r>
        <w:rPr>
          <w:rFonts w:asciiTheme="minorEastAsia" w:hAnsiTheme="minorEastAsia" w:eastAsiaTheme="minorEastAsia"/>
          <w:color w:val="auto"/>
          <w:szCs w:val="21"/>
        </w:rPr>
        <w:t>应按“</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须知前附表”规定的金额、</w:t>
      </w:r>
      <w:r>
        <w:rPr>
          <w:rFonts w:hint="eastAsia" w:asciiTheme="minorEastAsia" w:hAnsiTheme="minorEastAsia" w:eastAsiaTheme="minorEastAsia"/>
          <w:color w:val="auto"/>
          <w:szCs w:val="21"/>
        </w:rPr>
        <w:t>缴纳</w:t>
      </w:r>
      <w:r>
        <w:rPr>
          <w:rFonts w:asciiTheme="minorEastAsia" w:hAnsiTheme="minorEastAsia" w:eastAsiaTheme="minorEastAsia"/>
          <w:color w:val="auto"/>
          <w:szCs w:val="21"/>
        </w:rPr>
        <w:t>形式</w:t>
      </w:r>
      <w:r>
        <w:rPr>
          <w:rFonts w:hint="eastAsia" w:asciiTheme="minorEastAsia" w:hAnsiTheme="minorEastAsia" w:eastAsiaTheme="minorEastAsia"/>
          <w:color w:val="auto"/>
          <w:szCs w:val="21"/>
        </w:rPr>
        <w:t>、指定帐户</w:t>
      </w:r>
      <w:r>
        <w:rPr>
          <w:rFonts w:asciiTheme="minorEastAsia" w:hAnsiTheme="minorEastAsia" w:eastAsiaTheme="minorEastAsia"/>
          <w:color w:val="auto"/>
          <w:szCs w:val="21"/>
        </w:rPr>
        <w:t>提交履约</w:t>
      </w:r>
      <w:r>
        <w:rPr>
          <w:rFonts w:hint="eastAsia" w:asciiTheme="minorEastAsia" w:hAnsiTheme="minorEastAsia" w:eastAsiaTheme="minorEastAsia"/>
          <w:color w:val="auto"/>
          <w:szCs w:val="21"/>
        </w:rPr>
        <w:t>保证金</w:t>
      </w:r>
      <w:r>
        <w:rPr>
          <w:rFonts w:asciiTheme="minorEastAsia" w:hAnsiTheme="minorEastAsia" w:eastAsiaTheme="minorEastAsia"/>
          <w:color w:val="auto"/>
          <w:szCs w:val="21"/>
        </w:rPr>
        <w:t>。联合体</w:t>
      </w:r>
      <w:r>
        <w:rPr>
          <w:rFonts w:hint="eastAsia" w:asciiTheme="minorEastAsia" w:hAnsiTheme="minorEastAsia" w:eastAsiaTheme="minorEastAsia"/>
          <w:color w:val="auto"/>
          <w:szCs w:val="21"/>
        </w:rPr>
        <w:t>成交</w:t>
      </w:r>
      <w:r>
        <w:rPr>
          <w:rFonts w:asciiTheme="minorEastAsia" w:hAnsiTheme="minorEastAsia" w:eastAsiaTheme="minorEastAsia"/>
          <w:color w:val="auto"/>
          <w:szCs w:val="21"/>
        </w:rPr>
        <w:t>的，其履约</w:t>
      </w:r>
      <w:r>
        <w:rPr>
          <w:rFonts w:hint="eastAsia" w:asciiTheme="minorEastAsia" w:hAnsiTheme="minorEastAsia" w:eastAsiaTheme="minorEastAsia"/>
          <w:color w:val="auto"/>
          <w:szCs w:val="21"/>
        </w:rPr>
        <w:t>保证金</w:t>
      </w:r>
      <w:r>
        <w:rPr>
          <w:rFonts w:asciiTheme="minorEastAsia" w:hAnsiTheme="minorEastAsia" w:eastAsiaTheme="minorEastAsia"/>
          <w:color w:val="auto"/>
          <w:szCs w:val="21"/>
        </w:rPr>
        <w:t>由牵头人递交，并应符合“</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须知前附表”规定的金额、</w:t>
      </w:r>
      <w:r>
        <w:rPr>
          <w:rFonts w:hint="eastAsia" w:asciiTheme="minorEastAsia" w:hAnsiTheme="minorEastAsia" w:eastAsiaTheme="minorEastAsia"/>
          <w:color w:val="auto"/>
          <w:szCs w:val="21"/>
        </w:rPr>
        <w:t>缴纳</w:t>
      </w:r>
      <w:r>
        <w:rPr>
          <w:rFonts w:asciiTheme="minorEastAsia" w:hAnsiTheme="minorEastAsia" w:eastAsiaTheme="minorEastAsia"/>
          <w:color w:val="auto"/>
          <w:szCs w:val="21"/>
        </w:rPr>
        <w:t>形式要求。</w:t>
      </w:r>
      <w:r>
        <w:rPr>
          <w:rFonts w:hint="eastAsia" w:hAnsi="宋体"/>
          <w:color w:val="auto"/>
        </w:rPr>
        <w:t>成交供应商</w:t>
      </w:r>
      <w:r>
        <w:rPr>
          <w:rFonts w:hAnsi="宋体"/>
          <w:color w:val="auto"/>
        </w:rPr>
        <w:t>不能按要求提交履约</w:t>
      </w:r>
      <w:r>
        <w:rPr>
          <w:rFonts w:hint="eastAsia" w:hAnsi="宋体"/>
          <w:color w:val="auto"/>
        </w:rPr>
        <w:t>保证金</w:t>
      </w:r>
      <w:r>
        <w:rPr>
          <w:rFonts w:hAnsi="宋体"/>
          <w:color w:val="auto"/>
        </w:rPr>
        <w:t>的，视为放弃</w:t>
      </w:r>
      <w:r>
        <w:rPr>
          <w:rFonts w:hint="eastAsia" w:hAnsi="宋体"/>
          <w:color w:val="auto"/>
        </w:rPr>
        <w:t>成交</w:t>
      </w:r>
      <w:r>
        <w:rPr>
          <w:rFonts w:hAnsi="宋体"/>
          <w:color w:val="auto"/>
        </w:rPr>
        <w:t>，</w:t>
      </w:r>
      <w:r>
        <w:rPr>
          <w:rFonts w:hint="eastAsia" w:hAnsi="宋体"/>
          <w:color w:val="auto"/>
        </w:rPr>
        <w:t>采购人有权没收</w:t>
      </w:r>
      <w:r>
        <w:rPr>
          <w:rFonts w:hAnsi="宋体"/>
          <w:color w:val="auto"/>
        </w:rPr>
        <w:t>其保证金，给</w:t>
      </w:r>
      <w:r>
        <w:rPr>
          <w:rFonts w:hint="eastAsia" w:hAnsi="宋体"/>
          <w:color w:val="auto"/>
        </w:rPr>
        <w:t>采购人</w:t>
      </w:r>
      <w:r>
        <w:rPr>
          <w:rFonts w:hAnsi="宋体"/>
          <w:color w:val="auto"/>
        </w:rPr>
        <w:t>造成的损失超过保证金数额的，</w:t>
      </w:r>
      <w:r>
        <w:rPr>
          <w:rFonts w:hint="eastAsia" w:hAnsi="宋体"/>
          <w:color w:val="auto"/>
        </w:rPr>
        <w:t>成交供应商</w:t>
      </w:r>
      <w:r>
        <w:rPr>
          <w:rFonts w:hAnsi="宋体"/>
          <w:color w:val="auto"/>
        </w:rPr>
        <w:t>还应当对超过部分予以赔偿。</w:t>
      </w:r>
    </w:p>
    <w:p>
      <w:pPr>
        <w:pStyle w:val="28"/>
        <w:spacing w:line="420" w:lineRule="exact"/>
        <w:ind w:firstLine="434"/>
        <w:rPr>
          <w:rFonts w:hAnsi="宋体"/>
          <w:color w:val="auto"/>
        </w:rPr>
      </w:pPr>
      <w:r>
        <w:rPr>
          <w:rFonts w:hint="eastAsia" w:hAnsi="宋体"/>
          <w:color w:val="auto"/>
        </w:rPr>
        <w:t>26. 签订合同后，如成交供应商不按双方签订的合同规定履约，则其全部履约保证金不予退还，履约保证金不足以赔偿损失的，按实际损失赔偿。</w:t>
      </w:r>
    </w:p>
    <w:p>
      <w:pPr>
        <w:pStyle w:val="28"/>
        <w:spacing w:line="420" w:lineRule="exact"/>
        <w:ind w:firstLine="434"/>
        <w:rPr>
          <w:rFonts w:hAnsi="宋体"/>
          <w:color w:val="auto"/>
        </w:rPr>
      </w:pPr>
      <w:r>
        <w:rPr>
          <w:rFonts w:hint="eastAsia" w:hAnsi="宋体"/>
          <w:color w:val="auto"/>
        </w:rPr>
        <w:t>27.成交供应商按合同约定交货验收合格后，提交政府采购项目合同验收报告（格式见附件1），填写履约保证金退付意见书（格式见附件2）并经采购人确认后，履约保证金由招标采购单位以银行转帐方式按履约保证金退付意见书上双方明确的金额退还（不计利息）。履约保证金也可以转为项目质保金。在履约保证金退还日期前，若成交供应商的开户名称、开户银行、帐号有变动的，请以书面形式通知采购代理机构，否则由此产生的后果由成交供应商自负。</w:t>
      </w:r>
    </w:p>
    <w:p>
      <w:pPr>
        <w:spacing w:line="400" w:lineRule="exact"/>
        <w:ind w:left="420" w:leftChars="200" w:firstLine="105" w:firstLineChars="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十、签订合同</w:t>
      </w:r>
    </w:p>
    <w:p>
      <w:pPr>
        <w:pStyle w:val="28"/>
        <w:spacing w:line="420" w:lineRule="exact"/>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28.</w:t>
      </w:r>
      <w:r>
        <w:rPr>
          <w:rFonts w:hint="eastAsia" w:asciiTheme="minorEastAsia" w:hAnsiTheme="minorEastAsia" w:eastAsiaTheme="minorEastAsia"/>
          <w:color w:val="auto"/>
          <w:szCs w:val="21"/>
          <w:lang w:val="en-US" w:eastAsia="zh-CN"/>
        </w:rPr>
        <w:t>采购单位对中标（成交）结果公告无异议的项目在中标、成交通知书发出之日起15日内和中标、成交供应商签订政府采购合同。</w:t>
      </w:r>
      <w:r>
        <w:rPr>
          <w:rFonts w:hint="eastAsia" w:asciiTheme="minorEastAsia" w:hAnsiTheme="minorEastAsia" w:eastAsiaTheme="minorEastAsia"/>
          <w:color w:val="auto"/>
          <w:szCs w:val="21"/>
        </w:rPr>
        <w:t>成交供应商接到成交通知书后，应按成交通知书规定的时间、地点与采购人签订合同</w:t>
      </w:r>
      <w:r>
        <w:rPr>
          <w:rFonts w:hint="eastAsia" w:asciiTheme="minorEastAsia" w:hAnsiTheme="minorEastAsia" w:eastAsiaTheme="minorEastAsia"/>
          <w:color w:val="auto"/>
          <w:szCs w:val="21"/>
          <w:lang w:eastAsia="zh-CN"/>
        </w:rPr>
        <w:t>。</w:t>
      </w:r>
    </w:p>
    <w:p>
      <w:pPr>
        <w:pStyle w:val="28"/>
        <w:spacing w:line="420" w:lineRule="exact"/>
        <w:ind w:firstLine="403" w:firstLineChars="192"/>
        <w:rPr>
          <w:rFonts w:asciiTheme="minorEastAsia" w:hAnsiTheme="minorEastAsia" w:eastAsiaTheme="minorEastAsia"/>
          <w:color w:val="auto"/>
          <w:szCs w:val="21"/>
        </w:rPr>
      </w:pPr>
      <w:r>
        <w:rPr>
          <w:rFonts w:hint="eastAsia" w:asciiTheme="minorEastAsia" w:hAnsiTheme="minorEastAsia" w:eastAsiaTheme="minorEastAsia"/>
          <w:color w:val="auto"/>
          <w:szCs w:val="21"/>
        </w:rPr>
        <w:t>29.如成交供应商不按成交通知书的规定签订合同，则按成交供应商违约处理，采购代理机构将没收成交供应商磋商的全部保证金并上缴同级财政国库。</w:t>
      </w:r>
    </w:p>
    <w:p>
      <w:pPr>
        <w:pStyle w:val="28"/>
        <w:spacing w:line="420" w:lineRule="exact"/>
        <w:ind w:firstLine="420" w:firstLineChars="200"/>
        <w:outlineLvl w:val="0"/>
        <w:rPr>
          <w:rFonts w:asciiTheme="minorEastAsia" w:hAnsiTheme="minorEastAsia" w:eastAsiaTheme="minorEastAsia"/>
          <w:color w:val="auto"/>
          <w:szCs w:val="21"/>
        </w:rPr>
      </w:pPr>
      <w:bookmarkStart w:id="12" w:name="_Toc16583"/>
      <w:bookmarkStart w:id="13" w:name="_Toc26546"/>
      <w:r>
        <w:rPr>
          <w:rFonts w:hint="eastAsia" w:asciiTheme="minorEastAsia" w:hAnsiTheme="minorEastAsia" w:eastAsiaTheme="minorEastAsia"/>
          <w:color w:val="auto"/>
          <w:szCs w:val="21"/>
        </w:rPr>
        <w:t>30.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bookmarkEnd w:id="12"/>
      <w:bookmarkEnd w:id="13"/>
    </w:p>
    <w:p>
      <w:pPr>
        <w:pStyle w:val="28"/>
        <w:spacing w:line="420" w:lineRule="exact"/>
        <w:ind w:firstLine="420" w:firstLineChars="200"/>
        <w:outlineLvl w:val="0"/>
        <w:rPr>
          <w:rFonts w:asciiTheme="minorEastAsia" w:hAnsiTheme="minorEastAsia" w:eastAsiaTheme="minorEastAsia"/>
          <w:color w:val="auto"/>
          <w:szCs w:val="21"/>
        </w:rPr>
      </w:pPr>
      <w:bookmarkStart w:id="14" w:name="_Toc7075"/>
      <w:bookmarkStart w:id="15" w:name="_Toc15039"/>
      <w:r>
        <w:rPr>
          <w:rFonts w:hint="eastAsia" w:asciiTheme="minorEastAsia" w:hAnsiTheme="minorEastAsia" w:eastAsiaTheme="minorEastAsia"/>
          <w:color w:val="auto"/>
          <w:szCs w:val="21"/>
        </w:rPr>
        <w:t>31.政府采购合同公告</w:t>
      </w:r>
      <w:bookmarkEnd w:id="14"/>
      <w:bookmarkEnd w:id="15"/>
    </w:p>
    <w:p>
      <w:pPr>
        <w:pStyle w:val="28"/>
        <w:spacing w:line="420" w:lineRule="exact"/>
        <w:ind w:firstLine="420" w:firstLineChars="200"/>
        <w:outlineLvl w:val="0"/>
        <w:rPr>
          <w:rFonts w:hint="eastAsia" w:asciiTheme="minorEastAsia" w:hAnsiTheme="minorEastAsia" w:eastAsiaTheme="minorEastAsia"/>
          <w:color w:val="auto"/>
          <w:szCs w:val="21"/>
        </w:rPr>
      </w:pPr>
      <w:bookmarkStart w:id="16" w:name="_Toc22602"/>
      <w:bookmarkStart w:id="17" w:name="_Toc21532"/>
      <w:r>
        <w:rPr>
          <w:rFonts w:hint="eastAsia" w:asciiTheme="minorEastAsia" w:hAnsiTheme="minorEastAsia" w:eastAsiaTheme="minorEastAsia"/>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bookmarkEnd w:id="16"/>
      <w:bookmarkEnd w:id="17"/>
    </w:p>
    <w:p>
      <w:pPr>
        <w:spacing w:line="400" w:lineRule="exact"/>
        <w:ind w:left="420" w:leftChars="200" w:firstLine="105" w:firstLineChars="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十一、其他事项</w:t>
      </w:r>
    </w:p>
    <w:p>
      <w:pPr>
        <w:pStyle w:val="28"/>
        <w:spacing w:line="420" w:lineRule="exact"/>
        <w:ind w:firstLine="411" w:firstLineChars="196"/>
        <w:rPr>
          <w:rFonts w:asciiTheme="minorEastAsia" w:hAnsiTheme="minorEastAsia" w:eastAsiaTheme="minorEastAsia"/>
          <w:b/>
          <w:color w:val="auto"/>
          <w:szCs w:val="21"/>
        </w:rPr>
      </w:pPr>
      <w:r>
        <w:rPr>
          <w:rFonts w:hint="eastAsia" w:asciiTheme="minorEastAsia" w:hAnsiTheme="minorEastAsia" w:eastAsiaTheme="minorEastAsia"/>
          <w:color w:val="auto"/>
          <w:szCs w:val="21"/>
        </w:rPr>
        <w:t>32.</w:t>
      </w:r>
      <w:r>
        <w:rPr>
          <w:rFonts w:hint="eastAsia" w:asciiTheme="minorEastAsia" w:hAnsiTheme="minorEastAsia" w:eastAsiaTheme="minorEastAsia"/>
          <w:b/>
          <w:color w:val="auto"/>
          <w:szCs w:val="21"/>
        </w:rPr>
        <w:t xml:space="preserve"> 代理服务费</w:t>
      </w:r>
    </w:p>
    <w:p>
      <w:pPr>
        <w:pStyle w:val="28"/>
        <w:shd w:val="clear"/>
        <w:spacing w:line="4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32.1代理服</w:t>
      </w:r>
      <w:r>
        <w:rPr>
          <w:rFonts w:hint="eastAsia" w:asciiTheme="minorEastAsia" w:hAnsiTheme="minorEastAsia" w:eastAsiaTheme="minorEastAsia"/>
          <w:color w:val="auto"/>
          <w:szCs w:val="21"/>
          <w:highlight w:val="none"/>
        </w:rPr>
        <w:t>务费由</w:t>
      </w:r>
      <w:r>
        <w:rPr>
          <w:rFonts w:hint="eastAsia" w:asciiTheme="minorEastAsia" w:hAnsiTheme="minorEastAsia" w:eastAsiaTheme="minorEastAsia"/>
          <w:b/>
          <w:bCs/>
          <w:color w:val="auto"/>
          <w:szCs w:val="21"/>
          <w:highlight w:val="none"/>
          <w:u w:val="single"/>
          <w:lang w:val="en-US" w:eastAsia="zh-CN"/>
        </w:rPr>
        <w:t>成交人</w:t>
      </w:r>
      <w:r>
        <w:rPr>
          <w:rFonts w:hint="eastAsia" w:asciiTheme="minorEastAsia" w:hAnsiTheme="minorEastAsia" w:eastAsiaTheme="minorEastAsia"/>
          <w:color w:val="auto"/>
          <w:szCs w:val="21"/>
          <w:highlight w:val="none"/>
        </w:rPr>
        <w:t>向采购</w:t>
      </w:r>
      <w:r>
        <w:rPr>
          <w:rFonts w:hint="eastAsia" w:asciiTheme="minorEastAsia" w:hAnsiTheme="minorEastAsia" w:eastAsiaTheme="minorEastAsia"/>
          <w:color w:val="auto"/>
          <w:szCs w:val="21"/>
        </w:rPr>
        <w:t>代理机构支付。按</w:t>
      </w:r>
      <w:r>
        <w:rPr>
          <w:rFonts w:hint="eastAsia" w:asciiTheme="minorEastAsia" w:hAnsiTheme="minorEastAsia" w:eastAsiaTheme="minorEastAsia"/>
          <w:color w:val="000000" w:themeColor="text1"/>
          <w:szCs w:val="21"/>
          <w:highlight w:val="none"/>
          <w14:textFill>
            <w14:solidFill>
              <w14:schemeClr w14:val="tx1"/>
            </w14:solidFill>
          </w14:textFill>
        </w:rPr>
        <w:t>国</w:t>
      </w:r>
      <w:r>
        <w:rPr>
          <w:rFonts w:hint="eastAsia" w:asciiTheme="minorEastAsia" w:hAnsiTheme="minorEastAsia" w:eastAsiaTheme="minorEastAsia"/>
          <w:color w:val="auto"/>
          <w:szCs w:val="21"/>
        </w:rPr>
        <w:t>家发展计划委员会文件计价格【2002】1980号《招标代理服务收费管理暂行办法》标准及</w:t>
      </w:r>
      <w:bookmarkStart w:id="18" w:name="OLE_LINK11"/>
      <w:r>
        <w:rPr>
          <w:rFonts w:hint="eastAsia" w:asciiTheme="minorEastAsia" w:hAnsiTheme="minorEastAsia" w:eastAsiaTheme="minorEastAsia"/>
          <w:color w:val="auto"/>
          <w:szCs w:val="21"/>
        </w:rPr>
        <w:t>桂价费[2011]55号</w:t>
      </w:r>
      <w:bookmarkEnd w:id="18"/>
      <w:r>
        <w:rPr>
          <w:rFonts w:hint="eastAsia" w:asciiTheme="minorEastAsia" w:hAnsiTheme="minorEastAsia" w:eastAsiaTheme="minorEastAsia"/>
          <w:color w:val="auto"/>
          <w:szCs w:val="21"/>
        </w:rPr>
        <w:t>《广西壮族自治区物价局所规定的工程招标类基准价格乘以相应系数计取。</w:t>
      </w:r>
    </w:p>
    <w:p>
      <w:pPr>
        <w:pStyle w:val="28"/>
        <w:spacing w:line="4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32.2代理服务收费标准(按工程招标类)：</w:t>
      </w:r>
    </w:p>
    <w:tbl>
      <w:tblPr>
        <w:tblStyle w:val="54"/>
        <w:tblW w:w="852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2011"/>
        <w:gridCol w:w="170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3092" w:type="dxa"/>
          </w:tcPr>
          <w:p>
            <w:pPr>
              <w:spacing w:line="420" w:lineRule="exact"/>
              <w:rPr>
                <w:rFonts w:asciiTheme="minorEastAsia" w:hAnsiTheme="minorEastAsia" w:eastAsiaTheme="minorEastAsia"/>
                <w:color w:val="auto"/>
                <w:szCs w:val="21"/>
              </w:rPr>
            </w:pPr>
            <w:r>
              <w:rPr>
                <w:rFonts w:asciiTheme="minorEastAsia" w:hAnsiTheme="minorEastAsia" w:eastAsiaTheme="minorEastAsia"/>
                <w:color w:val="auto"/>
                <w:szCs w:val="21"/>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-6350</wp:posOffset>
                      </wp:positionV>
                      <wp:extent cx="1951990" cy="592455"/>
                      <wp:effectExtent l="1270" t="4445" r="2540" b="12700"/>
                      <wp:wrapNone/>
                      <wp:docPr id="3" name="Line 17071"/>
                      <wp:cNvGraphicFramePr/>
                      <a:graphic xmlns:a="http://schemas.openxmlformats.org/drawingml/2006/main">
                        <a:graphicData uri="http://schemas.microsoft.com/office/word/2010/wordprocessingShape">
                          <wps:wsp>
                            <wps:cNvCnPr/>
                            <wps:spPr bwMode="auto">
                              <a:xfrm>
                                <a:off x="0" y="0"/>
                                <a:ext cx="1951990" cy="592455"/>
                              </a:xfrm>
                              <a:prstGeom prst="line">
                                <a:avLst/>
                              </a:prstGeom>
                              <a:noFill/>
                              <a:ln w="9525">
                                <a:solidFill>
                                  <a:srgbClr val="000000"/>
                                </a:solidFill>
                                <a:round/>
                              </a:ln>
                            </wps:spPr>
                            <wps:bodyPr/>
                          </wps:wsp>
                        </a:graphicData>
                      </a:graphic>
                    </wp:anchor>
                  </w:drawing>
                </mc:Choice>
                <mc:Fallback>
                  <w:pict>
                    <v:line id="Line 17071" o:spid="_x0000_s1026" o:spt="20" style="position:absolute;left:0pt;margin-left:-5.4pt;margin-top:-0.5pt;height:46.65pt;width:153.7pt;z-index:251667456;mso-width-relative:page;mso-height-relative:page;" filled="f" stroked="t" coordsize="21600,21600" o:gfxdata="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fth/9cAAAAJAQAADwAAAAAAAAABACAA&#10;AAAiAAAAZHJzL2Rvd25yZXYueG1sUEsBAhQAFAAAAAgAh07iQISN6VqcAQAAKAMAAA4AAAAAAAAA&#10;AQAgAAAAJgEAAGRycy9lMm9Eb2MueG1sUEsFBgAAAAAGAAYAWQEAADQFAAAAAA==&#10;">
                      <v:fill on="f" focussize="0,0"/>
                      <v:stroke color="#000000" joinstyle="round"/>
                      <v:imagedata o:title=""/>
                      <o:lock v:ext="edit" aspectratio="f"/>
                    </v:line>
                  </w:pict>
                </mc:Fallback>
              </mc:AlternateContent>
            </w:r>
            <w:r>
              <w:rPr>
                <w:rFonts w:hint="eastAsia" w:asciiTheme="minorEastAsia" w:hAnsiTheme="minorEastAsia" w:eastAsiaTheme="minorEastAsia"/>
                <w:color w:val="auto"/>
                <w:szCs w:val="21"/>
              </w:rPr>
              <w:t xml:space="preserve">          费率</w:t>
            </w:r>
          </w:p>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中标金额</w:t>
            </w:r>
          </w:p>
        </w:tc>
        <w:tc>
          <w:tcPr>
            <w:tcW w:w="2011" w:type="dxa"/>
            <w:vAlign w:val="center"/>
          </w:tcPr>
          <w:p>
            <w:pPr>
              <w:spacing w:line="420" w:lineRule="exact"/>
              <w:ind w:firstLine="105" w:firstLineChars="5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货物招标</w:t>
            </w:r>
          </w:p>
        </w:tc>
        <w:tc>
          <w:tcPr>
            <w:tcW w:w="1701" w:type="dxa"/>
            <w:vAlign w:val="center"/>
          </w:tcPr>
          <w:p>
            <w:pPr>
              <w:spacing w:line="4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服务招标</w:t>
            </w:r>
          </w:p>
        </w:tc>
        <w:tc>
          <w:tcPr>
            <w:tcW w:w="1721" w:type="dxa"/>
            <w:vAlign w:val="center"/>
          </w:tcPr>
          <w:p>
            <w:pPr>
              <w:spacing w:line="42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092"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100万元以下</w:t>
            </w:r>
          </w:p>
        </w:tc>
        <w:tc>
          <w:tcPr>
            <w:tcW w:w="2011" w:type="dxa"/>
          </w:tcPr>
          <w:p>
            <w:pPr>
              <w:spacing w:line="4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 xml:space="preserve">  1.5%                </w:t>
            </w:r>
          </w:p>
        </w:tc>
        <w:tc>
          <w:tcPr>
            <w:tcW w:w="170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1.5%</w:t>
            </w:r>
          </w:p>
        </w:tc>
        <w:tc>
          <w:tcPr>
            <w:tcW w:w="172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92"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100～500万元</w:t>
            </w:r>
          </w:p>
        </w:tc>
        <w:tc>
          <w:tcPr>
            <w:tcW w:w="201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 xml:space="preserve">1.1%                 </w:t>
            </w:r>
          </w:p>
        </w:tc>
        <w:tc>
          <w:tcPr>
            <w:tcW w:w="170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0.8%</w:t>
            </w:r>
          </w:p>
        </w:tc>
        <w:tc>
          <w:tcPr>
            <w:tcW w:w="172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092"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500～1000万元</w:t>
            </w:r>
          </w:p>
        </w:tc>
        <w:tc>
          <w:tcPr>
            <w:tcW w:w="2011" w:type="dxa"/>
          </w:tcPr>
          <w:p>
            <w:pPr>
              <w:spacing w:line="42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 xml:space="preserve">  0.8%                </w:t>
            </w:r>
          </w:p>
        </w:tc>
        <w:tc>
          <w:tcPr>
            <w:tcW w:w="170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0.45%</w:t>
            </w:r>
          </w:p>
        </w:tc>
        <w:tc>
          <w:tcPr>
            <w:tcW w:w="172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92"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1000～5000万元</w:t>
            </w:r>
          </w:p>
        </w:tc>
        <w:tc>
          <w:tcPr>
            <w:tcW w:w="201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 xml:space="preserve">0.5%                </w:t>
            </w:r>
          </w:p>
        </w:tc>
        <w:tc>
          <w:tcPr>
            <w:tcW w:w="170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0.25%</w:t>
            </w:r>
          </w:p>
        </w:tc>
        <w:tc>
          <w:tcPr>
            <w:tcW w:w="172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092"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5000万元～1亿元</w:t>
            </w:r>
          </w:p>
        </w:tc>
        <w:tc>
          <w:tcPr>
            <w:tcW w:w="201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 xml:space="preserve">0.25%                 </w:t>
            </w:r>
          </w:p>
        </w:tc>
        <w:tc>
          <w:tcPr>
            <w:tcW w:w="170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0.1%</w:t>
            </w:r>
          </w:p>
        </w:tc>
        <w:tc>
          <w:tcPr>
            <w:tcW w:w="1721" w:type="dxa"/>
          </w:tcPr>
          <w:p>
            <w:pPr>
              <w:spacing w:line="420" w:lineRule="exact"/>
              <w:ind w:firstLine="210" w:firstLineChars="1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92"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1～5亿元</w:t>
            </w:r>
          </w:p>
        </w:tc>
        <w:tc>
          <w:tcPr>
            <w:tcW w:w="2011" w:type="dxa"/>
          </w:tcPr>
          <w:p>
            <w:pPr>
              <w:spacing w:line="420" w:lineRule="exact"/>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0.05%</w:t>
            </w:r>
          </w:p>
        </w:tc>
        <w:tc>
          <w:tcPr>
            <w:tcW w:w="1701"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0.05%</w:t>
            </w:r>
          </w:p>
        </w:tc>
        <w:tc>
          <w:tcPr>
            <w:tcW w:w="1721"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092"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5～10亿元</w:t>
            </w:r>
          </w:p>
        </w:tc>
        <w:tc>
          <w:tcPr>
            <w:tcW w:w="2011" w:type="dxa"/>
          </w:tcPr>
          <w:p>
            <w:pPr>
              <w:spacing w:line="420" w:lineRule="exact"/>
              <w:ind w:firstLine="105" w:firstLineChars="50"/>
              <w:rPr>
                <w:rFonts w:asciiTheme="minorEastAsia" w:hAnsiTheme="minorEastAsia" w:eastAsiaTheme="minorEastAsia"/>
                <w:color w:val="auto"/>
                <w:szCs w:val="21"/>
              </w:rPr>
            </w:pPr>
            <w:r>
              <w:rPr>
                <w:rFonts w:hint="eastAsia" w:asciiTheme="minorEastAsia" w:hAnsiTheme="minorEastAsia" w:eastAsiaTheme="minorEastAsia"/>
                <w:color w:val="auto"/>
                <w:szCs w:val="21"/>
              </w:rPr>
              <w:t>0.035%</w:t>
            </w:r>
          </w:p>
        </w:tc>
        <w:tc>
          <w:tcPr>
            <w:tcW w:w="1701"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0.035%</w:t>
            </w:r>
          </w:p>
        </w:tc>
        <w:tc>
          <w:tcPr>
            <w:tcW w:w="1721" w:type="dxa"/>
          </w:tcPr>
          <w:p>
            <w:pPr>
              <w:spacing w:line="420" w:lineRule="exact"/>
              <w:ind w:firstLine="105" w:firstLineChars="50"/>
              <w:rPr>
                <w:rFonts w:asciiTheme="minorEastAsia" w:hAnsiTheme="minorEastAsia" w:eastAsiaTheme="minorEastAsia"/>
                <w:color w:val="auto"/>
                <w:szCs w:val="21"/>
              </w:rPr>
            </w:pPr>
            <w:r>
              <w:rPr>
                <w:rFonts w:hint="eastAsia" w:asciiTheme="minorEastAsia" w:hAnsiTheme="minorEastAsia" w:eastAsiaTheme="minorEastAsia"/>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92"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10～50亿元</w:t>
            </w:r>
          </w:p>
        </w:tc>
        <w:tc>
          <w:tcPr>
            <w:tcW w:w="2011" w:type="dxa"/>
          </w:tcPr>
          <w:p>
            <w:pPr>
              <w:spacing w:line="420" w:lineRule="exact"/>
              <w:ind w:firstLine="105" w:firstLineChars="50"/>
              <w:rPr>
                <w:rFonts w:asciiTheme="minorEastAsia" w:hAnsiTheme="minorEastAsia" w:eastAsiaTheme="minorEastAsia"/>
                <w:color w:val="auto"/>
                <w:szCs w:val="21"/>
              </w:rPr>
            </w:pPr>
            <w:r>
              <w:rPr>
                <w:rFonts w:hint="eastAsia" w:asciiTheme="minorEastAsia" w:hAnsiTheme="minorEastAsia" w:eastAsiaTheme="minorEastAsia"/>
                <w:color w:val="auto"/>
                <w:szCs w:val="21"/>
              </w:rPr>
              <w:t>0.008%</w:t>
            </w:r>
          </w:p>
        </w:tc>
        <w:tc>
          <w:tcPr>
            <w:tcW w:w="1701" w:type="dxa"/>
          </w:tcPr>
          <w:p>
            <w:pPr>
              <w:spacing w:line="420" w:lineRule="exact"/>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0.008%</w:t>
            </w:r>
          </w:p>
        </w:tc>
        <w:tc>
          <w:tcPr>
            <w:tcW w:w="1721" w:type="dxa"/>
          </w:tcPr>
          <w:p>
            <w:pPr>
              <w:spacing w:line="420" w:lineRule="exact"/>
              <w:ind w:firstLine="105" w:firstLineChars="50"/>
              <w:rPr>
                <w:rFonts w:asciiTheme="minorEastAsia" w:hAnsiTheme="minorEastAsia" w:eastAsiaTheme="minorEastAsia"/>
                <w:color w:val="auto"/>
                <w:szCs w:val="21"/>
              </w:rPr>
            </w:pPr>
            <w:r>
              <w:rPr>
                <w:rFonts w:hint="eastAsia" w:asciiTheme="minorEastAsia" w:hAnsiTheme="minorEastAsia" w:eastAsiaTheme="minorEastAsia"/>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092"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50～100亿元</w:t>
            </w:r>
          </w:p>
        </w:tc>
        <w:tc>
          <w:tcPr>
            <w:tcW w:w="2011"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0.006%</w:t>
            </w:r>
          </w:p>
        </w:tc>
        <w:tc>
          <w:tcPr>
            <w:tcW w:w="1701" w:type="dxa"/>
          </w:tcPr>
          <w:p>
            <w:pPr>
              <w:spacing w:line="420" w:lineRule="exact"/>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0.006%</w:t>
            </w:r>
          </w:p>
        </w:tc>
        <w:tc>
          <w:tcPr>
            <w:tcW w:w="1721" w:type="dxa"/>
          </w:tcPr>
          <w:p>
            <w:pPr>
              <w:spacing w:line="420" w:lineRule="exact"/>
              <w:ind w:firstLine="105" w:firstLineChars="50"/>
              <w:rPr>
                <w:rFonts w:asciiTheme="minorEastAsia" w:hAnsiTheme="minorEastAsia" w:eastAsiaTheme="minorEastAsia"/>
                <w:color w:val="auto"/>
                <w:szCs w:val="21"/>
              </w:rPr>
            </w:pPr>
            <w:r>
              <w:rPr>
                <w:rFonts w:hint="eastAsia" w:asciiTheme="minorEastAsia" w:hAnsiTheme="minorEastAsia" w:eastAsiaTheme="minorEastAsia"/>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92"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100亿以上</w:t>
            </w:r>
          </w:p>
        </w:tc>
        <w:tc>
          <w:tcPr>
            <w:tcW w:w="2011" w:type="dxa"/>
          </w:tcPr>
          <w:p>
            <w:pPr>
              <w:spacing w:line="4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0.004%</w:t>
            </w:r>
          </w:p>
        </w:tc>
        <w:tc>
          <w:tcPr>
            <w:tcW w:w="1701" w:type="dxa"/>
          </w:tcPr>
          <w:p>
            <w:pPr>
              <w:spacing w:line="420" w:lineRule="exact"/>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rPr>
              <w:t>0.004%</w:t>
            </w:r>
          </w:p>
        </w:tc>
        <w:tc>
          <w:tcPr>
            <w:tcW w:w="1721" w:type="dxa"/>
          </w:tcPr>
          <w:p>
            <w:pPr>
              <w:spacing w:line="420" w:lineRule="exact"/>
              <w:ind w:firstLine="105" w:firstLineChars="50"/>
              <w:rPr>
                <w:rFonts w:asciiTheme="minorEastAsia" w:hAnsiTheme="minorEastAsia" w:eastAsiaTheme="minorEastAsia"/>
                <w:color w:val="auto"/>
                <w:szCs w:val="21"/>
              </w:rPr>
            </w:pPr>
            <w:r>
              <w:rPr>
                <w:rFonts w:hint="eastAsia" w:asciiTheme="minorEastAsia" w:hAnsiTheme="minorEastAsia" w:eastAsiaTheme="minorEastAsia"/>
                <w:color w:val="auto"/>
                <w:szCs w:val="21"/>
              </w:rPr>
              <w:t>0.004%</w:t>
            </w:r>
          </w:p>
        </w:tc>
      </w:tr>
    </w:tbl>
    <w:p>
      <w:pPr>
        <w:pStyle w:val="28"/>
        <w:spacing w:line="420" w:lineRule="exact"/>
        <w:ind w:firstLine="420" w:firstLineChars="200"/>
        <w:rPr>
          <w:rFonts w:asciiTheme="minorEastAsia" w:hAnsiTheme="minorEastAsia" w:eastAsiaTheme="minorEastAsia"/>
          <w:b/>
          <w:color w:val="auto"/>
          <w:szCs w:val="21"/>
        </w:rPr>
      </w:pPr>
      <w:r>
        <w:rPr>
          <w:rFonts w:hint="eastAsia" w:asciiTheme="minorEastAsia" w:hAnsiTheme="minorEastAsia" w:eastAsiaTheme="minorEastAsia"/>
          <w:color w:val="auto"/>
          <w:szCs w:val="21"/>
        </w:rPr>
        <w:t>注：招标代理服务收费按差额定率累进法计算。</w:t>
      </w:r>
    </w:p>
    <w:p>
      <w:pPr>
        <w:widowControl/>
        <w:tabs>
          <w:tab w:val="left" w:pos="540"/>
        </w:tabs>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33.采购当事人的一切活动均适用于《中华人民共和国政府采购法》、《中华人民共和国政府采购法实施条例》及相关规定。</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color w:val="auto"/>
          <w:lang w:val="en-US" w:eastAsia="zh-CN"/>
        </w:rPr>
        <w:t>3</w:t>
      </w:r>
      <w:r>
        <w:rPr>
          <w:rFonts w:hint="eastAsia" w:hAnsi="宋体" w:cs="宋体"/>
          <w:b w:val="0"/>
          <w:bCs/>
          <w:color w:val="auto"/>
          <w:lang w:val="en-US" w:eastAsia="zh-CN"/>
        </w:rPr>
        <w:t>4</w:t>
      </w:r>
      <w:r>
        <w:rPr>
          <w:rFonts w:hint="eastAsia" w:ascii="宋体" w:hAnsi="宋体" w:eastAsia="宋体" w:cs="宋体"/>
          <w:b w:val="0"/>
          <w:bCs/>
          <w:color w:val="auto"/>
          <w:lang w:val="en-US" w:eastAsia="zh-CN"/>
        </w:rPr>
        <w:t>、</w:t>
      </w:r>
      <w:r>
        <w:rPr>
          <w:rFonts w:hint="eastAsia" w:ascii="宋体" w:hAnsi="宋体" w:eastAsia="宋体" w:cs="宋体"/>
          <w:b w:val="0"/>
          <w:bCs/>
          <w:color w:val="auto"/>
        </w:rPr>
        <w:t>解释权：</w:t>
      </w:r>
      <w:r>
        <w:rPr>
          <w:rFonts w:hint="eastAsia" w:ascii="宋体" w:hAnsi="宋体" w:eastAsia="宋体" w:cs="宋体"/>
          <w:color w:val="auto"/>
        </w:rPr>
        <w:t>本竞争性磋商文件是根据《中华人民共和国政府采购法》、《中华人民共和国政府采购法实施条例》、《政府采购竞争性磋商采购方式管理暂行办法》和政府采购管理有关规定编</w:t>
      </w:r>
      <w:r>
        <w:rPr>
          <w:rFonts w:hint="eastAsia" w:ascii="宋体" w:hAnsi="宋体" w:eastAsia="宋体" w:cs="宋体"/>
          <w:color w:val="auto"/>
          <w:sz w:val="21"/>
          <w:szCs w:val="21"/>
        </w:rPr>
        <w:t>制，本竞争性磋商文件的解释权属于采购代理机构。</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有关事宜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hAnsi="宋体" w:cs="宋体"/>
          <w:color w:val="auto"/>
          <w:sz w:val="21"/>
          <w:szCs w:val="21"/>
          <w:lang w:val="en-US" w:eastAsia="zh-CN"/>
        </w:rPr>
        <w:t>5</w:t>
      </w:r>
      <w:r>
        <w:rPr>
          <w:rFonts w:hint="eastAsia" w:ascii="宋体" w:hAnsi="宋体" w:eastAsia="宋体" w:cs="宋体"/>
          <w:color w:val="auto"/>
          <w:sz w:val="21"/>
          <w:szCs w:val="21"/>
        </w:rPr>
        <w:t>.1所有与本招标文件有关的函电请按下列通讯地址联系：</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2"/>
        </w:rPr>
      </w:pPr>
      <w:r>
        <w:rPr>
          <w:rFonts w:hint="eastAsia" w:ascii="宋体" w:hAnsi="宋体" w:eastAsia="宋体" w:cs="宋体"/>
          <w:color w:val="auto"/>
          <w:szCs w:val="22"/>
        </w:rPr>
        <w:t>单位全称：</w:t>
      </w:r>
      <w:r>
        <w:rPr>
          <w:rFonts w:hint="eastAsia" w:hAnsi="宋体" w:cs="宋体"/>
          <w:color w:val="auto"/>
          <w:szCs w:val="22"/>
          <w:lang w:eastAsia="zh-CN"/>
        </w:rPr>
        <w:t>广西晟通工程咨询有限公司</w:t>
      </w:r>
      <w:r>
        <w:rPr>
          <w:rFonts w:hint="eastAsia" w:ascii="宋体" w:hAnsi="宋体" w:eastAsia="宋体" w:cs="宋体"/>
          <w:color w:val="auto"/>
          <w:szCs w:val="22"/>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hAnsi="宋体" w:cs="宋体"/>
          <w:color w:val="auto"/>
          <w:szCs w:val="22"/>
          <w:lang w:val="en-US" w:eastAsia="zh-CN"/>
        </w:rPr>
      </w:pPr>
      <w:r>
        <w:rPr>
          <w:rFonts w:hint="eastAsia" w:ascii="宋体" w:hAnsi="宋体" w:eastAsia="宋体" w:cs="宋体"/>
          <w:color w:val="auto"/>
          <w:szCs w:val="22"/>
        </w:rPr>
        <w:t>邮政编码：</w:t>
      </w:r>
      <w:r>
        <w:rPr>
          <w:rFonts w:hint="eastAsia" w:hAnsi="宋体" w:cs="宋体"/>
          <w:color w:val="auto"/>
          <w:szCs w:val="22"/>
          <w:lang w:eastAsia="zh-CN"/>
        </w:rPr>
        <w:t>535522</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Cs w:val="22"/>
          <w:lang w:eastAsia="zh-CN"/>
        </w:rPr>
      </w:pPr>
      <w:r>
        <w:rPr>
          <w:rFonts w:hint="eastAsia" w:ascii="宋体" w:hAnsi="宋体" w:eastAsia="宋体" w:cs="宋体"/>
          <w:color w:val="auto"/>
          <w:szCs w:val="22"/>
        </w:rPr>
        <w:t>通讯地址：</w:t>
      </w:r>
      <w:r>
        <w:rPr>
          <w:rFonts w:hint="eastAsia" w:hAnsi="宋体" w:cs="宋体"/>
          <w:color w:val="auto"/>
          <w:szCs w:val="22"/>
          <w:lang w:eastAsia="zh-CN"/>
        </w:rPr>
        <w:t>南宁市东葛路29-1荣和中央公用1号楼13A13室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话：0771-5345852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    真：0771-5345852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.2招标代理机构招标代理服务费交纳的账户信息：</w:t>
      </w:r>
    </w:p>
    <w:bookmarkEnd w:id="5"/>
    <w:bookmarkEnd w:id="6"/>
    <w:bookmarkEnd w:id="7"/>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开户名称：广西晟通工程咨询有限公司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开户银行：中国建设银行股份有限公司南宁新城支行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银行账号：4500 1604 2550 5071 9437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财务部联系人及电话：</w:t>
      </w:r>
      <w:r>
        <w:rPr>
          <w:rFonts w:hint="eastAsia" w:ascii="宋体" w:hAnsi="宋体" w:eastAsia="宋体" w:cs="宋体"/>
          <w:color w:val="auto"/>
          <w:sz w:val="21"/>
          <w:szCs w:val="21"/>
          <w:lang w:eastAsia="zh-CN"/>
        </w:rPr>
        <w:t>梁媛</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0771-5345852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sectPr>
          <w:footerReference r:id="rId8" w:type="first"/>
          <w:footerReference r:id="rId7" w:type="default"/>
          <w:pgSz w:w="11907" w:h="16840"/>
          <w:pgMar w:top="1304" w:right="1304" w:bottom="1304" w:left="1474" w:header="964" w:footer="737" w:gutter="0"/>
          <w:pgNumType w:fmt="decimal" w:start="1"/>
          <w:cols w:space="0" w:num="1"/>
          <w:titlePg/>
          <w:rtlGutter w:val="0"/>
          <w:docGrid w:linePitch="312" w:charSpace="0"/>
        </w:sectPr>
      </w:pPr>
    </w:p>
    <w:p>
      <w:pPr>
        <w:rPr>
          <w:rFonts w:hint="eastAsia"/>
          <w:color w:val="auto"/>
          <w:lang w:eastAsia="zh-CN"/>
        </w:rPr>
      </w:pPr>
      <w:bookmarkStart w:id="19" w:name="_Toc453681440"/>
      <w:bookmarkStart w:id="20" w:name="_Toc108835675"/>
      <w:bookmarkStart w:id="21" w:name="_Toc108836086"/>
      <w:r>
        <w:rPr>
          <w:rFonts w:hint="eastAsia"/>
          <w:color w:val="auto"/>
        </w:rPr>
        <w:t>附件1</w:t>
      </w:r>
      <w:r>
        <w:rPr>
          <w:rFonts w:hint="eastAsia"/>
          <w:color w:val="auto"/>
          <w:lang w:eastAsia="zh-CN"/>
        </w:rPr>
        <w:tab/>
      </w:r>
    </w:p>
    <w:p>
      <w:pPr>
        <w:widowControl/>
        <w:shd w:val="clear" w:color="auto"/>
        <w:spacing w:line="480" w:lineRule="atLeast"/>
        <w:jc w:val="center"/>
        <w:rPr>
          <w:rFonts w:cs="宋体" w:asciiTheme="minorEastAsia" w:hAnsiTheme="minorEastAsia" w:eastAsiaTheme="minorEastAsia"/>
          <w:color w:val="auto"/>
          <w:kern w:val="0"/>
          <w:sz w:val="32"/>
          <w:szCs w:val="32"/>
        </w:rPr>
      </w:pPr>
      <w:r>
        <w:rPr>
          <w:rFonts w:hint="eastAsia" w:cs="黑体" w:asciiTheme="minorEastAsia" w:hAnsiTheme="minorEastAsia" w:eastAsiaTheme="minorEastAsia"/>
          <w:color w:val="auto"/>
          <w:kern w:val="0"/>
          <w:sz w:val="32"/>
          <w:szCs w:val="32"/>
        </w:rPr>
        <w:t>广西壮族自治区政府采购项目合同验收书</w:t>
      </w:r>
      <w:r>
        <w:rPr>
          <w:rFonts w:hint="eastAsia" w:cs="宋体" w:asciiTheme="minorEastAsia" w:hAnsiTheme="minorEastAsia" w:eastAsiaTheme="minorEastAsia"/>
          <w:color w:val="auto"/>
          <w:kern w:val="0"/>
          <w:sz w:val="32"/>
          <w:szCs w:val="32"/>
        </w:rPr>
        <w:t>（格式）</w:t>
      </w:r>
    </w:p>
    <w:p>
      <w:pPr>
        <w:widowControl/>
        <w:shd w:val="clear" w:color="auto"/>
        <w:spacing w:line="480" w:lineRule="atLeast"/>
        <w:jc w:val="center"/>
        <w:rPr>
          <w:rFonts w:ascii="仿宋" w:hAnsi="仿宋" w:eastAsia="仿宋" w:cs="宋体"/>
          <w:color w:val="auto"/>
          <w:kern w:val="0"/>
          <w:sz w:val="32"/>
          <w:szCs w:val="32"/>
        </w:rPr>
      </w:pPr>
    </w:p>
    <w:p>
      <w:pPr>
        <w:widowControl/>
        <w:shd w:val="clear" w:color="auto"/>
        <w:snapToGrid w:val="0"/>
        <w:spacing w:line="320" w:lineRule="atLeast"/>
        <w:ind w:firstLine="48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根据政府采购项目（</w:t>
      </w:r>
      <w:r>
        <w:rPr>
          <w:rFonts w:hint="eastAsia" w:cs="宋体" w:asciiTheme="minorEastAsia" w:hAnsiTheme="minorEastAsia" w:eastAsiaTheme="minorEastAsia"/>
          <w:color w:val="auto"/>
          <w:kern w:val="0"/>
          <w:szCs w:val="21"/>
          <w:u w:val="single"/>
        </w:rPr>
        <w:t>采购合同编号：</w:t>
      </w:r>
      <w:r>
        <w:rPr>
          <w:rFonts w:hint="eastAsia" w:cs="宋体" w:asciiTheme="minorEastAsia" w:hAnsiTheme="minorEastAsia" w:eastAsiaTheme="minorEastAsia"/>
          <w:color w:val="auto"/>
          <w:kern w:val="0"/>
          <w:szCs w:val="21"/>
          <w:u w:val="single"/>
        </w:rPr>
        <w:softHyphen/>
      </w:r>
      <w:r>
        <w:rPr>
          <w:rFonts w:hint="eastAsia" w:cs="宋体" w:asciiTheme="minorEastAsia" w:hAnsiTheme="minorEastAsia" w:eastAsiaTheme="minorEastAsia"/>
          <w:color w:val="auto"/>
          <w:kern w:val="0"/>
          <w:szCs w:val="21"/>
        </w:rPr>
        <w:t>）的约定，我单位对（</w:t>
      </w:r>
      <w:r>
        <w:rPr>
          <w:rFonts w:hint="eastAsia" w:cs="宋体" w:asciiTheme="minorEastAsia" w:hAnsiTheme="minorEastAsia" w:eastAsiaTheme="minorEastAsia"/>
          <w:color w:val="auto"/>
          <w:kern w:val="0"/>
          <w:szCs w:val="21"/>
          <w:u w:val="single"/>
        </w:rPr>
        <w:t xml:space="preserve"> 项目名称 </w:t>
      </w:r>
      <w:r>
        <w:rPr>
          <w:rFonts w:hint="eastAsia" w:cs="宋体" w:asciiTheme="minorEastAsia" w:hAnsiTheme="minorEastAsia" w:eastAsiaTheme="minorEastAsia"/>
          <w:color w:val="auto"/>
          <w:kern w:val="0"/>
          <w:szCs w:val="21"/>
        </w:rPr>
        <w:t>） 政府采购项目中标（或成交）供应商（</w:t>
      </w:r>
      <w:r>
        <w:rPr>
          <w:rFonts w:hint="eastAsia" w:cs="宋体" w:asciiTheme="minorEastAsia" w:hAnsiTheme="minorEastAsia" w:eastAsiaTheme="minorEastAsia"/>
          <w:color w:val="auto"/>
          <w:kern w:val="0"/>
          <w:szCs w:val="21"/>
          <w:u w:val="single"/>
        </w:rPr>
        <w:t xml:space="preserve"> 公司名称 </w:t>
      </w:r>
      <w:r>
        <w:rPr>
          <w:rFonts w:hint="eastAsia" w:cs="宋体" w:asciiTheme="minorEastAsia" w:hAnsiTheme="minorEastAsia" w:eastAsiaTheme="minorEastAsia"/>
          <w:color w:val="auto"/>
          <w:kern w:val="0"/>
          <w:szCs w:val="21"/>
        </w:rPr>
        <w:t>） 提供的货物（或工程、服务）进行了验收，验收情况如下：</w:t>
      </w:r>
    </w:p>
    <w:tbl>
      <w:tblPr>
        <w:tblStyle w:val="54"/>
        <w:tblW w:w="8930"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913"/>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验收方式：</w:t>
            </w:r>
          </w:p>
        </w:tc>
        <w:tc>
          <w:tcPr>
            <w:tcW w:w="5678"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80"/>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名 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数量</w:t>
            </w:r>
          </w:p>
        </w:tc>
        <w:tc>
          <w:tcPr>
            <w:tcW w:w="1913"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1913"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r>
      <w:tr>
        <w:tblPrEx>
          <w:tblCellMar>
            <w:top w:w="0" w:type="dxa"/>
            <w:left w:w="0" w:type="dxa"/>
            <w:bottom w:w="0" w:type="dxa"/>
            <w:right w:w="0" w:type="dxa"/>
          </w:tblCellMar>
        </w:tblPrEx>
        <w:trPr>
          <w:trHeight w:val="641" w:hRule="atLeast"/>
          <w:jc w:val="center"/>
        </w:trPr>
        <w:tc>
          <w:tcPr>
            <w:tcW w:w="8930"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合同交货验收日期</w:t>
            </w:r>
          </w:p>
        </w:tc>
        <w:tc>
          <w:tcPr>
            <w:tcW w:w="259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c>
          <w:tcPr>
            <w:tcW w:w="259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cs="宋体" w:asciiTheme="minorEastAsia" w:hAnsiTheme="minorEastAsia" w:eastAsiaTheme="minorEastAsia"/>
                <w:color w:val="auto"/>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验收具体内容</w:t>
            </w:r>
          </w:p>
        </w:tc>
        <w:tc>
          <w:tcPr>
            <w:tcW w:w="759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验收小组意见</w:t>
            </w:r>
          </w:p>
        </w:tc>
        <w:tc>
          <w:tcPr>
            <w:tcW w:w="7599"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color w:val="auto"/>
                <w:kern w:val="0"/>
                <w:szCs w:val="21"/>
              </w:rPr>
            </w:pPr>
          </w:p>
        </w:tc>
        <w:tc>
          <w:tcPr>
            <w:tcW w:w="7599"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96"/>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有异议的意见和说明理由：</w:t>
            </w:r>
          </w:p>
          <w:p>
            <w:pPr>
              <w:widowControl/>
              <w:spacing w:before="100" w:beforeAutospacing="1" w:after="100" w:afterAutospacing="1" w:line="320" w:lineRule="atLeast"/>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签字：</w:t>
            </w:r>
          </w:p>
        </w:tc>
      </w:tr>
      <w:tr>
        <w:tblPrEx>
          <w:tblCellMar>
            <w:top w:w="0" w:type="dxa"/>
            <w:left w:w="0" w:type="dxa"/>
            <w:bottom w:w="0" w:type="dxa"/>
            <w:right w:w="0" w:type="dxa"/>
          </w:tblCellMar>
        </w:tblPrEx>
        <w:trPr>
          <w:trHeight w:val="507"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验收小组成员签字：</w:t>
            </w:r>
          </w:p>
        </w:tc>
      </w:tr>
      <w:tr>
        <w:tblPrEx>
          <w:tblCellMar>
            <w:top w:w="0" w:type="dxa"/>
            <w:left w:w="0" w:type="dxa"/>
            <w:bottom w:w="0" w:type="dxa"/>
            <w:right w:w="0" w:type="dxa"/>
          </w:tblCellMar>
        </w:tblPrEx>
        <w:trPr>
          <w:trHeight w:val="736"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监督人员或其他相关人员签字：</w:t>
            </w:r>
          </w:p>
          <w:p>
            <w:pPr>
              <w:widowControl/>
              <w:spacing w:before="100" w:beforeAutospacing="1" w:after="100" w:afterAutospacing="1" w:line="320" w:lineRule="atLeast"/>
              <w:ind w:firstLine="74"/>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或受邀机构的意见（盖章）：</w:t>
            </w:r>
          </w:p>
        </w:tc>
      </w:tr>
      <w:tr>
        <w:tblPrEx>
          <w:tblCellMar>
            <w:top w:w="0" w:type="dxa"/>
            <w:left w:w="0" w:type="dxa"/>
            <w:bottom w:w="0" w:type="dxa"/>
            <w:right w:w="0" w:type="dxa"/>
          </w:tblCellMar>
        </w:tblPrEx>
        <w:trPr>
          <w:trHeight w:val="1879"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ind w:firstLine="74"/>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中标或者成交供应商负责人签字或盖章：</w:t>
            </w:r>
          </w:p>
          <w:p>
            <w:pPr>
              <w:widowControl/>
              <w:spacing w:before="100" w:beforeAutospacing="1" w:after="100" w:afterAutospacing="1" w:line="320" w:lineRule="atLeast"/>
              <w:jc w:val="left"/>
              <w:rPr>
                <w:rFonts w:cs="宋体" w:asciiTheme="minorEastAsia" w:hAnsiTheme="minorEastAsia" w:eastAsiaTheme="minorEastAsia"/>
                <w:color w:val="auto"/>
                <w:kern w:val="0"/>
                <w:szCs w:val="21"/>
              </w:rPr>
            </w:pPr>
          </w:p>
          <w:p>
            <w:pPr>
              <w:widowControl/>
              <w:spacing w:before="100" w:beforeAutospacing="1" w:after="100" w:afterAutospacing="1" w:line="320" w:lineRule="atLeast"/>
              <w:ind w:firstLine="315" w:firstLineChars="15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联系电话： 年 月 日</w:t>
            </w:r>
          </w:p>
        </w:tc>
        <w:tc>
          <w:tcPr>
            <w:tcW w:w="4778"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315" w:firstLineChars="15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采购人或受托机构的意见（盖章）：</w:t>
            </w:r>
          </w:p>
          <w:p>
            <w:pPr>
              <w:widowControl/>
              <w:spacing w:before="100" w:beforeAutospacing="1" w:after="100" w:afterAutospacing="1" w:line="320" w:lineRule="atLeast"/>
              <w:ind w:firstLine="315" w:firstLineChars="150"/>
              <w:jc w:val="left"/>
              <w:rPr>
                <w:rFonts w:cs="宋体" w:asciiTheme="minorEastAsia" w:hAnsiTheme="minorEastAsia" w:eastAsiaTheme="minorEastAsia"/>
                <w:color w:val="auto"/>
                <w:kern w:val="0"/>
                <w:szCs w:val="21"/>
              </w:rPr>
            </w:pPr>
          </w:p>
          <w:p>
            <w:pPr>
              <w:widowControl/>
              <w:spacing w:before="100" w:beforeAutospacing="1" w:after="100" w:afterAutospacing="1" w:line="320" w:lineRule="atLeast"/>
              <w:ind w:firstLine="525" w:firstLineChars="25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联系电话： 年 月 日</w:t>
            </w:r>
          </w:p>
        </w:tc>
      </w:tr>
    </w:tbl>
    <w:p>
      <w:pPr>
        <w:pStyle w:val="28"/>
        <w:snapToGrid w:val="0"/>
        <w:rPr>
          <w:rFonts w:hAnsi="宋体" w:cs="宋体"/>
          <w:b/>
          <w:color w:val="auto"/>
        </w:rPr>
      </w:pPr>
    </w:p>
    <w:p>
      <w:pPr>
        <w:pStyle w:val="28"/>
        <w:snapToGrid w:val="0"/>
        <w:rPr>
          <w:rFonts w:hAnsi="宋体" w:cs="宋体"/>
          <w:b/>
          <w:color w:val="auto"/>
        </w:rPr>
      </w:pPr>
    </w:p>
    <w:p>
      <w:pPr>
        <w:pStyle w:val="28"/>
        <w:snapToGrid w:val="0"/>
        <w:rPr>
          <w:rFonts w:hAnsi="宋体" w:cs="宋体"/>
          <w:color w:val="auto"/>
        </w:rPr>
      </w:pPr>
      <w:r>
        <w:rPr>
          <w:rFonts w:hint="eastAsia" w:hAnsi="宋体" w:cs="宋体"/>
          <w:b/>
          <w:color w:val="auto"/>
        </w:rPr>
        <w:t>附件2：</w:t>
      </w:r>
    </w:p>
    <w:p>
      <w:pPr>
        <w:jc w:val="center"/>
        <w:rPr>
          <w:rFonts w:hAnsi="宋体" w:cs="宋体"/>
          <w:color w:val="auto"/>
          <w:sz w:val="28"/>
          <w:szCs w:val="28"/>
        </w:rPr>
      </w:pPr>
      <w:r>
        <w:rPr>
          <w:rFonts w:hint="eastAsia" w:hAnsi="宋体" w:cs="宋体"/>
          <w:b/>
          <w:bCs/>
          <w:color w:val="auto"/>
          <w:kern w:val="0"/>
          <w:sz w:val="28"/>
          <w:szCs w:val="28"/>
        </w:rPr>
        <w:t>政府采购项目履约保证金退付意见书（格式）</w:t>
      </w:r>
    </w:p>
    <w:p>
      <w:pPr>
        <w:jc w:val="center"/>
        <w:rPr>
          <w:rFonts w:hAnsi="宋体" w:cs="宋体"/>
          <w:color w:val="auto"/>
          <w:szCs w:val="21"/>
        </w:rPr>
      </w:pPr>
    </w:p>
    <w:tbl>
      <w:tblPr>
        <w:tblStyle w:val="5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60" w:type="dxa"/>
            <w:vMerge w:val="restart"/>
            <w:vAlign w:val="center"/>
          </w:tcPr>
          <w:p>
            <w:pPr>
              <w:jc w:val="center"/>
              <w:rPr>
                <w:rFonts w:hAnsi="宋体" w:cs="宋体"/>
                <w:color w:val="auto"/>
                <w:szCs w:val="21"/>
              </w:rPr>
            </w:pPr>
            <w:r>
              <w:rPr>
                <w:rFonts w:hint="eastAsia" w:hAnsi="宋体" w:cs="宋体"/>
                <w:color w:val="auto"/>
                <w:szCs w:val="21"/>
              </w:rPr>
              <w:t>供</w:t>
            </w:r>
          </w:p>
          <w:p>
            <w:pPr>
              <w:jc w:val="center"/>
              <w:rPr>
                <w:rFonts w:hAnsi="宋体" w:cs="宋体"/>
                <w:color w:val="auto"/>
                <w:szCs w:val="21"/>
              </w:rPr>
            </w:pPr>
            <w:r>
              <w:rPr>
                <w:rFonts w:hint="eastAsia" w:hAnsi="宋体" w:cs="宋体"/>
                <w:color w:val="auto"/>
                <w:szCs w:val="21"/>
              </w:rPr>
              <w:t>应</w:t>
            </w:r>
          </w:p>
          <w:p>
            <w:pPr>
              <w:jc w:val="center"/>
              <w:rPr>
                <w:rFonts w:hAnsi="宋体" w:cs="宋体"/>
                <w:color w:val="auto"/>
                <w:szCs w:val="21"/>
              </w:rPr>
            </w:pPr>
            <w:r>
              <w:rPr>
                <w:rFonts w:hint="eastAsia" w:hAnsi="宋体" w:cs="宋体"/>
                <w:color w:val="auto"/>
                <w:szCs w:val="21"/>
              </w:rPr>
              <w:t>商</w:t>
            </w:r>
          </w:p>
          <w:p>
            <w:pPr>
              <w:jc w:val="center"/>
              <w:rPr>
                <w:rFonts w:hAnsi="宋体" w:cs="宋体"/>
                <w:color w:val="auto"/>
                <w:szCs w:val="21"/>
              </w:rPr>
            </w:pPr>
            <w:r>
              <w:rPr>
                <w:rFonts w:hint="eastAsia" w:hAnsi="宋体" w:cs="宋体"/>
                <w:color w:val="auto"/>
                <w:szCs w:val="21"/>
              </w:rPr>
              <w:t>申</w:t>
            </w:r>
          </w:p>
          <w:p>
            <w:pPr>
              <w:jc w:val="center"/>
              <w:rPr>
                <w:rFonts w:hAnsi="宋体" w:cs="宋体"/>
                <w:color w:val="auto"/>
                <w:szCs w:val="21"/>
              </w:rPr>
            </w:pPr>
            <w:r>
              <w:rPr>
                <w:rFonts w:hint="eastAsia" w:hAnsi="宋体" w:cs="宋体"/>
                <w:color w:val="auto"/>
                <w:szCs w:val="21"/>
              </w:rPr>
              <w:t>请</w:t>
            </w:r>
          </w:p>
        </w:tc>
        <w:tc>
          <w:tcPr>
            <w:tcW w:w="8404" w:type="dxa"/>
            <w:vAlign w:val="center"/>
          </w:tcPr>
          <w:p>
            <w:pPr>
              <w:rPr>
                <w:rFonts w:hAnsi="宋体" w:cs="宋体"/>
                <w:color w:val="auto"/>
                <w:szCs w:val="21"/>
              </w:rPr>
            </w:pPr>
            <w:r>
              <w:rPr>
                <w:rFonts w:hint="eastAsia" w:hAnsi="宋体" w:cs="宋体"/>
                <w:color w:val="auto"/>
                <w:szCs w:val="21"/>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60" w:type="dxa"/>
            <w:vMerge w:val="continue"/>
          </w:tcPr>
          <w:p>
            <w:pPr>
              <w:rPr>
                <w:rFonts w:hAnsi="宋体" w:cs="宋体"/>
                <w:color w:val="auto"/>
                <w:szCs w:val="21"/>
              </w:rPr>
            </w:pPr>
          </w:p>
        </w:tc>
        <w:tc>
          <w:tcPr>
            <w:tcW w:w="8404" w:type="dxa"/>
            <w:vAlign w:val="center"/>
          </w:tcPr>
          <w:p>
            <w:pPr>
              <w:rPr>
                <w:rFonts w:hAnsi="宋体" w:cs="宋体"/>
                <w:color w:val="auto"/>
                <w:szCs w:val="21"/>
              </w:rPr>
            </w:pPr>
            <w:r>
              <w:rPr>
                <w:rFonts w:hint="eastAsia" w:hAnsi="宋体" w:cs="宋体"/>
                <w:color w:val="auto"/>
                <w:szCs w:val="21"/>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1060" w:type="dxa"/>
            <w:vMerge w:val="continue"/>
          </w:tcPr>
          <w:p>
            <w:pPr>
              <w:rPr>
                <w:rFonts w:hAnsi="宋体" w:cs="宋体"/>
                <w:color w:val="auto"/>
                <w:szCs w:val="21"/>
              </w:rPr>
            </w:pPr>
          </w:p>
        </w:tc>
        <w:tc>
          <w:tcPr>
            <w:tcW w:w="8404" w:type="dxa"/>
          </w:tcPr>
          <w:p>
            <w:pPr>
              <w:rPr>
                <w:rFonts w:hAnsi="宋体" w:cs="宋体"/>
                <w:color w:val="auto"/>
                <w:szCs w:val="21"/>
              </w:rPr>
            </w:pPr>
          </w:p>
          <w:p>
            <w:pPr>
              <w:ind w:firstLine="525" w:firstLineChars="250"/>
              <w:rPr>
                <w:rFonts w:hAnsi="宋体" w:cs="宋体"/>
                <w:color w:val="auto"/>
                <w:szCs w:val="21"/>
              </w:rPr>
            </w:pPr>
            <w:r>
              <w:rPr>
                <w:rFonts w:hint="eastAsia" w:hAnsi="宋体" w:cs="宋体"/>
                <w:color w:val="auto"/>
                <w:szCs w:val="21"/>
              </w:rPr>
              <w:t xml:space="preserve">该项目已于 </w:t>
            </w:r>
            <w:r>
              <w:rPr>
                <w:rFonts w:hint="eastAsia" w:hAnsi="宋体" w:cs="宋体"/>
                <w:color w:val="auto"/>
                <w:szCs w:val="21"/>
                <w:lang w:val="en-US" w:eastAsia="zh-CN"/>
              </w:rPr>
              <w:t xml:space="preserve">  </w:t>
            </w:r>
            <w:r>
              <w:rPr>
                <w:rFonts w:hint="eastAsia" w:hAnsi="宋体" w:cs="宋体"/>
                <w:color w:val="auto"/>
                <w:szCs w:val="21"/>
              </w:rPr>
              <w:t>年</w:t>
            </w:r>
            <w:r>
              <w:rPr>
                <w:rFonts w:hint="eastAsia" w:hAnsi="宋体" w:cs="宋体"/>
                <w:color w:val="auto"/>
                <w:szCs w:val="21"/>
                <w:lang w:val="en-US" w:eastAsia="zh-CN"/>
              </w:rPr>
              <w:t xml:space="preserve"> </w:t>
            </w:r>
            <w:r>
              <w:rPr>
                <w:rFonts w:hint="eastAsia" w:hAnsi="宋体" w:cs="宋体"/>
                <w:color w:val="auto"/>
                <w:szCs w:val="21"/>
              </w:rPr>
              <w:t xml:space="preserve"> 月</w:t>
            </w:r>
            <w:r>
              <w:rPr>
                <w:rFonts w:hint="eastAsia" w:hAnsi="宋体" w:cs="宋体"/>
                <w:color w:val="auto"/>
                <w:szCs w:val="21"/>
                <w:lang w:val="en-US" w:eastAsia="zh-CN"/>
              </w:rPr>
              <w:t xml:space="preserve"> </w:t>
            </w:r>
            <w:r>
              <w:rPr>
                <w:rFonts w:hint="eastAsia" w:hAnsi="宋体" w:cs="宋体"/>
                <w:color w:val="auto"/>
                <w:szCs w:val="21"/>
              </w:rPr>
              <w:t xml:space="preserve"> 日验收并交付使用。根据合同规定，可将履约保证金（大写）人民币 元（小写）￥ 元退付到达以下帐户：</w:t>
            </w:r>
          </w:p>
          <w:p>
            <w:pPr>
              <w:rPr>
                <w:rFonts w:hAnsi="宋体" w:cs="宋体"/>
                <w:color w:val="auto"/>
                <w:szCs w:val="21"/>
              </w:rPr>
            </w:pPr>
          </w:p>
          <w:p>
            <w:pPr>
              <w:spacing w:line="420" w:lineRule="exact"/>
              <w:rPr>
                <w:rFonts w:hAnsi="宋体" w:cs="宋体"/>
                <w:color w:val="auto"/>
                <w:szCs w:val="21"/>
              </w:rPr>
            </w:pPr>
            <w:r>
              <w:rPr>
                <w:rFonts w:hint="eastAsia" w:hAnsi="宋体" w:cs="宋体"/>
                <w:color w:val="auto"/>
                <w:szCs w:val="21"/>
              </w:rPr>
              <w:t>单位名称：</w:t>
            </w:r>
          </w:p>
          <w:p>
            <w:pPr>
              <w:spacing w:line="420" w:lineRule="exact"/>
              <w:rPr>
                <w:rFonts w:hAnsi="宋体" w:cs="宋体"/>
                <w:color w:val="auto"/>
                <w:szCs w:val="21"/>
              </w:rPr>
            </w:pPr>
            <w:r>
              <w:rPr>
                <w:rFonts w:hint="eastAsia" w:hAnsi="宋体" w:cs="宋体"/>
                <w:color w:val="auto"/>
                <w:szCs w:val="21"/>
              </w:rPr>
              <w:t>开户银行：</w:t>
            </w:r>
          </w:p>
          <w:p>
            <w:pPr>
              <w:spacing w:line="420" w:lineRule="exact"/>
              <w:rPr>
                <w:rFonts w:hAnsi="宋体" w:cs="宋体"/>
                <w:color w:val="auto"/>
                <w:szCs w:val="21"/>
              </w:rPr>
            </w:pPr>
            <w:r>
              <w:rPr>
                <w:rFonts w:hint="eastAsia" w:hAnsi="宋体" w:cs="宋体"/>
                <w:color w:val="auto"/>
                <w:szCs w:val="21"/>
              </w:rPr>
              <w:t>银行帐号：</w:t>
            </w:r>
          </w:p>
          <w:p>
            <w:pPr>
              <w:rPr>
                <w:rFonts w:hAnsi="宋体" w:cs="宋体"/>
                <w:color w:val="auto"/>
                <w:szCs w:val="21"/>
              </w:rPr>
            </w:pPr>
          </w:p>
          <w:p>
            <w:pPr>
              <w:rPr>
                <w:rFonts w:hAnsi="宋体" w:cs="宋体"/>
                <w:color w:val="auto"/>
                <w:szCs w:val="21"/>
              </w:rPr>
            </w:pPr>
          </w:p>
          <w:p>
            <w:pPr>
              <w:spacing w:line="420" w:lineRule="exact"/>
              <w:rPr>
                <w:rFonts w:hAnsi="宋体" w:cs="宋体"/>
                <w:color w:val="auto"/>
                <w:szCs w:val="21"/>
              </w:rPr>
            </w:pPr>
            <w:r>
              <w:rPr>
                <w:rFonts w:hint="eastAsia" w:hAnsi="宋体" w:cs="宋体"/>
                <w:color w:val="auto"/>
                <w:szCs w:val="21"/>
              </w:rPr>
              <w:t>联系人：</w:t>
            </w:r>
          </w:p>
          <w:p>
            <w:pPr>
              <w:spacing w:line="420" w:lineRule="exact"/>
              <w:rPr>
                <w:rFonts w:hAnsi="宋体" w:cs="宋体"/>
                <w:color w:val="auto"/>
                <w:szCs w:val="21"/>
              </w:rPr>
            </w:pPr>
            <w:r>
              <w:rPr>
                <w:rFonts w:hint="eastAsia" w:hAnsi="宋体" w:cs="宋体"/>
                <w:color w:val="auto"/>
                <w:szCs w:val="21"/>
              </w:rPr>
              <w:t>联系电话：</w:t>
            </w:r>
          </w:p>
          <w:p>
            <w:pPr>
              <w:rPr>
                <w:rFonts w:hAnsi="宋体" w:cs="宋体"/>
                <w:color w:val="auto"/>
                <w:szCs w:val="21"/>
              </w:rPr>
            </w:pPr>
          </w:p>
          <w:p>
            <w:pPr>
              <w:spacing w:line="420" w:lineRule="exact"/>
              <w:rPr>
                <w:rFonts w:hAnsi="宋体" w:cs="宋体"/>
                <w:color w:val="auto"/>
                <w:szCs w:val="21"/>
              </w:rPr>
            </w:pPr>
            <w:r>
              <w:rPr>
                <w:rFonts w:hint="eastAsia" w:hAnsi="宋体" w:cs="宋体"/>
                <w:color w:val="auto"/>
                <w:szCs w:val="21"/>
              </w:rPr>
              <w:t xml:space="preserve">                                       供应商签章</w:t>
            </w:r>
          </w:p>
          <w:p>
            <w:pPr>
              <w:spacing w:line="420" w:lineRule="exact"/>
              <w:rPr>
                <w:rFonts w:hAnsi="宋体" w:cs="宋体"/>
                <w:color w:val="auto"/>
                <w:szCs w:val="21"/>
              </w:rPr>
            </w:pPr>
            <w:r>
              <w:rPr>
                <w:rFonts w:hint="eastAsia" w:hAnsi="宋体" w:cs="宋体"/>
                <w:color w:val="auto"/>
                <w:szCs w:val="21"/>
              </w:rPr>
              <w:t xml:space="preserve">                                     年     月    日</w:t>
            </w:r>
          </w:p>
          <w:p>
            <w:pPr>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trPr>
        <w:tc>
          <w:tcPr>
            <w:tcW w:w="1060" w:type="dxa"/>
            <w:vAlign w:val="center"/>
          </w:tcPr>
          <w:p>
            <w:pPr>
              <w:jc w:val="center"/>
              <w:rPr>
                <w:rFonts w:hAnsi="宋体" w:cs="宋体"/>
                <w:color w:val="auto"/>
                <w:szCs w:val="21"/>
              </w:rPr>
            </w:pPr>
            <w:r>
              <w:rPr>
                <w:rFonts w:hint="eastAsia" w:hAnsi="宋体" w:cs="宋体"/>
                <w:color w:val="auto"/>
                <w:szCs w:val="21"/>
              </w:rPr>
              <w:t>采</w:t>
            </w:r>
          </w:p>
          <w:p>
            <w:pPr>
              <w:jc w:val="center"/>
              <w:rPr>
                <w:rFonts w:hAnsi="宋体" w:cs="宋体"/>
                <w:color w:val="auto"/>
                <w:szCs w:val="21"/>
              </w:rPr>
            </w:pPr>
            <w:r>
              <w:rPr>
                <w:rFonts w:hint="eastAsia" w:hAnsi="宋体" w:cs="宋体"/>
                <w:color w:val="auto"/>
                <w:szCs w:val="21"/>
              </w:rPr>
              <w:t>购</w:t>
            </w:r>
          </w:p>
          <w:p>
            <w:pPr>
              <w:jc w:val="center"/>
              <w:rPr>
                <w:rFonts w:hAnsi="宋体" w:cs="宋体"/>
                <w:color w:val="auto"/>
                <w:szCs w:val="21"/>
              </w:rPr>
            </w:pPr>
            <w:r>
              <w:rPr>
                <w:rFonts w:hint="eastAsia" w:hAnsi="宋体" w:cs="宋体"/>
                <w:color w:val="auto"/>
                <w:szCs w:val="21"/>
              </w:rPr>
              <w:t>单</w:t>
            </w:r>
          </w:p>
          <w:p>
            <w:pPr>
              <w:jc w:val="center"/>
              <w:rPr>
                <w:rFonts w:hAnsi="宋体" w:cs="宋体"/>
                <w:color w:val="auto"/>
                <w:szCs w:val="21"/>
              </w:rPr>
            </w:pPr>
            <w:r>
              <w:rPr>
                <w:rFonts w:hint="eastAsia" w:hAnsi="宋体" w:cs="宋体"/>
                <w:color w:val="auto"/>
                <w:szCs w:val="21"/>
              </w:rPr>
              <w:t>位</w:t>
            </w:r>
          </w:p>
          <w:p>
            <w:pPr>
              <w:jc w:val="center"/>
              <w:rPr>
                <w:rFonts w:hAnsi="宋体" w:cs="宋体"/>
                <w:color w:val="auto"/>
                <w:szCs w:val="21"/>
              </w:rPr>
            </w:pPr>
            <w:r>
              <w:rPr>
                <w:rFonts w:hint="eastAsia" w:hAnsi="宋体" w:cs="宋体"/>
                <w:color w:val="auto"/>
                <w:szCs w:val="21"/>
              </w:rPr>
              <w:t>意</w:t>
            </w:r>
          </w:p>
          <w:p>
            <w:pPr>
              <w:jc w:val="center"/>
              <w:rPr>
                <w:rFonts w:hAnsi="宋体" w:cs="宋体"/>
                <w:color w:val="auto"/>
                <w:szCs w:val="21"/>
              </w:rPr>
            </w:pPr>
            <w:r>
              <w:rPr>
                <w:rFonts w:hint="eastAsia" w:hAnsi="宋体" w:cs="宋体"/>
                <w:color w:val="auto"/>
                <w:szCs w:val="21"/>
              </w:rPr>
              <w:t>见</w:t>
            </w:r>
          </w:p>
        </w:tc>
        <w:tc>
          <w:tcPr>
            <w:tcW w:w="8404" w:type="dxa"/>
          </w:tcPr>
          <w:p>
            <w:pPr>
              <w:rPr>
                <w:rFonts w:hAnsi="宋体" w:cs="宋体"/>
                <w:color w:val="auto"/>
                <w:szCs w:val="21"/>
              </w:rPr>
            </w:pPr>
          </w:p>
          <w:p>
            <w:pPr>
              <w:rPr>
                <w:rFonts w:hAnsi="宋体" w:cs="宋体"/>
                <w:color w:val="auto"/>
                <w:szCs w:val="21"/>
              </w:rPr>
            </w:pPr>
            <w:r>
              <w:rPr>
                <w:rFonts w:hint="eastAsia" w:hAnsi="宋体" w:cs="宋体"/>
                <w:color w:val="auto"/>
                <w:szCs w:val="21"/>
              </w:rPr>
              <w:t>退付意见：是否同意退付履约保证金及退付金额：</w:t>
            </w:r>
          </w:p>
          <w:p>
            <w:pPr>
              <w:rPr>
                <w:rFonts w:hAnsi="宋体" w:cs="宋体"/>
                <w:color w:val="auto"/>
                <w:szCs w:val="21"/>
              </w:rPr>
            </w:pPr>
          </w:p>
          <w:p>
            <w:pPr>
              <w:rPr>
                <w:rFonts w:hAnsi="宋体" w:cs="宋体"/>
                <w:color w:val="auto"/>
                <w:szCs w:val="21"/>
              </w:rPr>
            </w:pPr>
          </w:p>
          <w:p>
            <w:pPr>
              <w:rPr>
                <w:rFonts w:hAnsi="宋体" w:cs="宋体"/>
                <w:color w:val="auto"/>
                <w:szCs w:val="21"/>
              </w:rPr>
            </w:pPr>
          </w:p>
          <w:p>
            <w:pPr>
              <w:rPr>
                <w:rFonts w:hAnsi="宋体" w:cs="宋体"/>
                <w:color w:val="auto"/>
                <w:szCs w:val="21"/>
              </w:rPr>
            </w:pPr>
          </w:p>
          <w:p>
            <w:pPr>
              <w:spacing w:line="420" w:lineRule="exact"/>
              <w:rPr>
                <w:rFonts w:hAnsi="宋体" w:cs="宋体"/>
                <w:color w:val="auto"/>
                <w:szCs w:val="21"/>
              </w:rPr>
            </w:pPr>
            <w:r>
              <w:rPr>
                <w:rFonts w:hint="eastAsia" w:hAnsi="宋体" w:cs="宋体"/>
                <w:color w:val="auto"/>
                <w:szCs w:val="21"/>
              </w:rPr>
              <w:t>联系人：</w:t>
            </w:r>
          </w:p>
          <w:p>
            <w:pPr>
              <w:spacing w:line="420" w:lineRule="exact"/>
              <w:rPr>
                <w:rFonts w:hAnsi="宋体" w:cs="宋体"/>
                <w:color w:val="auto"/>
                <w:szCs w:val="21"/>
              </w:rPr>
            </w:pPr>
            <w:r>
              <w:rPr>
                <w:rFonts w:hint="eastAsia" w:hAnsi="宋体" w:cs="宋体"/>
                <w:color w:val="auto"/>
                <w:szCs w:val="21"/>
              </w:rPr>
              <w:t>联系电话：</w:t>
            </w:r>
          </w:p>
          <w:p>
            <w:pPr>
              <w:rPr>
                <w:rFonts w:hAnsi="宋体" w:cs="宋体"/>
                <w:color w:val="auto"/>
                <w:szCs w:val="21"/>
              </w:rPr>
            </w:pPr>
          </w:p>
          <w:p>
            <w:pPr>
              <w:rPr>
                <w:rFonts w:hAnsi="宋体" w:cs="宋体"/>
                <w:color w:val="auto"/>
                <w:szCs w:val="21"/>
              </w:rPr>
            </w:pPr>
          </w:p>
          <w:p>
            <w:pPr>
              <w:rPr>
                <w:rFonts w:hAnsi="宋体" w:cs="宋体"/>
                <w:color w:val="auto"/>
                <w:szCs w:val="21"/>
              </w:rPr>
            </w:pPr>
          </w:p>
          <w:p>
            <w:pPr>
              <w:rPr>
                <w:rFonts w:hAnsi="宋体" w:cs="宋体"/>
                <w:color w:val="auto"/>
                <w:szCs w:val="21"/>
              </w:rPr>
            </w:pPr>
          </w:p>
          <w:p>
            <w:pPr>
              <w:rPr>
                <w:rFonts w:hAnsi="宋体" w:cs="宋体"/>
                <w:color w:val="auto"/>
                <w:szCs w:val="21"/>
              </w:rPr>
            </w:pPr>
            <w:r>
              <w:rPr>
                <w:rFonts w:hint="eastAsia" w:hAnsi="宋体" w:cs="宋体"/>
                <w:color w:val="auto"/>
                <w:szCs w:val="21"/>
              </w:rPr>
              <w:t xml:space="preserve">                                        采购单位签章</w:t>
            </w:r>
          </w:p>
          <w:p>
            <w:pPr>
              <w:spacing w:line="420" w:lineRule="exact"/>
              <w:rPr>
                <w:rFonts w:hAnsi="宋体" w:cs="宋体"/>
                <w:color w:val="auto"/>
                <w:szCs w:val="21"/>
              </w:rPr>
            </w:pPr>
            <w:r>
              <w:rPr>
                <w:rFonts w:hint="eastAsia" w:hAnsi="宋体" w:cs="宋体"/>
                <w:color w:val="auto"/>
                <w:szCs w:val="21"/>
              </w:rPr>
              <w:t xml:space="preserve">                                      </w:t>
            </w:r>
            <w:r>
              <w:rPr>
                <w:rFonts w:hint="eastAsia" w:hAnsi="宋体" w:cs="宋体"/>
                <w:color w:val="auto"/>
                <w:szCs w:val="21"/>
                <w:lang w:val="en-US" w:eastAsia="zh-CN"/>
              </w:rPr>
              <w:t xml:space="preserve">  </w:t>
            </w:r>
            <w:r>
              <w:rPr>
                <w:rFonts w:hint="eastAsia" w:hAnsi="宋体" w:cs="宋体"/>
                <w:color w:val="auto"/>
                <w:szCs w:val="21"/>
              </w:rPr>
              <w:t>年     月    日</w:t>
            </w:r>
          </w:p>
        </w:tc>
      </w:tr>
    </w:tbl>
    <w:p>
      <w:pPr>
        <w:rPr>
          <w:color w:val="auto"/>
        </w:rPr>
      </w:pPr>
    </w:p>
    <w:p>
      <w:pPr>
        <w:rPr>
          <w:color w:val="auto"/>
        </w:rPr>
      </w:pPr>
    </w:p>
    <w:p>
      <w:pPr>
        <w:pStyle w:val="14"/>
      </w:pPr>
    </w:p>
    <w:p>
      <w:pPr>
        <w:pStyle w:val="52"/>
        <w:keepNext w:val="0"/>
        <w:keepLines w:val="0"/>
        <w:pageBreakBefore w:val="0"/>
        <w:widowControl w:val="0"/>
        <w:kinsoku/>
        <w:wordWrap/>
        <w:overflowPunct/>
        <w:topLinePunct w:val="0"/>
        <w:autoSpaceDE/>
        <w:autoSpaceDN/>
        <w:bidi w:val="0"/>
        <w:adjustRightInd/>
        <w:snapToGrid/>
        <w:spacing w:before="360" w:after="300" w:line="380" w:lineRule="exact"/>
        <w:textAlignment w:val="auto"/>
        <w:rPr>
          <w:rFonts w:hint="eastAsia" w:ascii="宋体" w:hAnsi="宋体" w:eastAsia="宋体" w:cs="宋体"/>
          <w:color w:val="auto"/>
        </w:rPr>
      </w:pPr>
      <w:bookmarkStart w:id="22" w:name="_Toc19602"/>
      <w:r>
        <w:rPr>
          <w:rFonts w:hint="eastAsia" w:ascii="宋体" w:hAnsi="宋体" w:eastAsia="宋体" w:cs="宋体"/>
          <w:color w:val="auto"/>
        </w:rPr>
        <w:t>第三章  评审方法</w:t>
      </w:r>
      <w:bookmarkEnd w:id="19"/>
      <w:bookmarkEnd w:id="22"/>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Ansi="宋体"/>
          <w:b/>
          <w:color w:val="auto"/>
          <w:szCs w:val="21"/>
        </w:rPr>
      </w:pPr>
      <w:r>
        <w:rPr>
          <w:rFonts w:hint="eastAsia" w:hAnsi="宋体"/>
          <w:b/>
          <w:color w:val="auto"/>
          <w:szCs w:val="21"/>
        </w:rPr>
        <w:t>一、评审原则：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olor w:val="auto"/>
          <w:szCs w:val="21"/>
        </w:rPr>
      </w:pPr>
      <w:r>
        <w:rPr>
          <w:rFonts w:hint="eastAsia" w:hAnsi="宋体"/>
          <w:color w:val="auto"/>
          <w:szCs w:val="21"/>
        </w:rPr>
        <w:t>（一）磋商小组的构成：本采购项目的磋商小组分别由依法组成的评审专家、采购人代表等</w:t>
      </w:r>
      <w:r>
        <w:rPr>
          <w:rFonts w:hint="eastAsia" w:asciiTheme="minorEastAsia" w:hAnsiTheme="minorEastAsia" w:eastAsiaTheme="minorEastAsia"/>
          <w:color w:val="auto"/>
          <w:szCs w:val="21"/>
        </w:rPr>
        <w:t>三人</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含</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lang w:val="en-US" w:eastAsia="zh-CN"/>
        </w:rPr>
        <w:t>或以上单数</w:t>
      </w:r>
      <w:r>
        <w:rPr>
          <w:rFonts w:hint="eastAsia" w:asciiTheme="minorEastAsia" w:hAnsiTheme="minorEastAsia" w:eastAsiaTheme="minorEastAsia"/>
          <w:color w:val="auto"/>
          <w:szCs w:val="21"/>
        </w:rPr>
        <w:t>组成</w:t>
      </w:r>
      <w:r>
        <w:rPr>
          <w:rFonts w:hint="eastAsia" w:hAnsi="宋体"/>
          <w:color w:val="auto"/>
          <w:szCs w:val="21"/>
        </w:rPr>
        <w:t>，其中专家人数不少于成员总数的三分之二。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olor w:val="auto"/>
          <w:szCs w:val="21"/>
        </w:rPr>
      </w:pPr>
      <w:r>
        <w:rPr>
          <w:rFonts w:hint="eastAsia" w:hAnsi="宋体"/>
          <w:color w:val="auto"/>
          <w:szCs w:val="21"/>
        </w:rPr>
        <w:t>（二）评标依据：以磋商文件、响应文件为评定依据。</w:t>
      </w:r>
    </w:p>
    <w:p>
      <w:pPr>
        <w:pStyle w:val="28"/>
        <w:keepNext w:val="0"/>
        <w:keepLines w:val="0"/>
        <w:pageBreakBefore w:val="0"/>
        <w:widowControl w:val="0"/>
        <w:kinsoku/>
        <w:wordWrap/>
        <w:overflowPunct/>
        <w:topLinePunct w:val="0"/>
        <w:autoSpaceDE/>
        <w:autoSpaceDN/>
        <w:bidi w:val="0"/>
        <w:adjustRightInd/>
        <w:snapToGrid/>
        <w:spacing w:line="380" w:lineRule="exact"/>
        <w:ind w:firstLine="432" w:firstLineChars="206"/>
        <w:jc w:val="left"/>
        <w:textAlignment w:val="auto"/>
        <w:rPr>
          <w:rFonts w:hAnsi="宋体"/>
          <w:color w:val="auto"/>
        </w:rPr>
      </w:pPr>
      <w:r>
        <w:rPr>
          <w:rFonts w:hint="eastAsia" w:hAnsi="宋体"/>
          <w:color w:val="auto"/>
          <w:szCs w:val="21"/>
        </w:rPr>
        <w:t>（三）</w:t>
      </w:r>
      <w:r>
        <w:rPr>
          <w:rFonts w:hint="eastAsia" w:hAnsi="宋体"/>
          <w:color w:val="auto"/>
        </w:rPr>
        <w:t>按照《政府采购促进中小企业发展暂行办法》（财库[2011]181号），</w:t>
      </w:r>
      <w:r>
        <w:rPr>
          <w:rFonts w:hint="eastAsia" w:hAnsi="宋体" w:cs="Arial"/>
          <w:color w:val="auto"/>
          <w:szCs w:val="21"/>
        </w:rPr>
        <w:t>供应商</w:t>
      </w:r>
      <w:r>
        <w:rPr>
          <w:rFonts w:hint="eastAsia" w:hAnsi="宋体"/>
          <w:color w:val="auto"/>
        </w:rPr>
        <w:t>认定为小型和微型企业的，对最后磋商报价给予</w:t>
      </w:r>
      <w:r>
        <w:rPr>
          <w:rFonts w:hint="eastAsia" w:hAnsi="宋体"/>
          <w:color w:val="auto"/>
          <w:lang w:val="en-US" w:eastAsia="zh-CN"/>
        </w:rPr>
        <w:t>10</w:t>
      </w:r>
      <w:r>
        <w:rPr>
          <w:rFonts w:hint="eastAsia" w:hAnsi="宋体"/>
          <w:color w:val="auto"/>
        </w:rPr>
        <w:t>%的扣除，扣除后的价格为最后磋商评审报价，即最后磋商评审报价=最后磋商报价×（1-</w:t>
      </w:r>
      <w:r>
        <w:rPr>
          <w:rFonts w:hint="eastAsia" w:hAnsi="宋体"/>
          <w:color w:val="auto"/>
          <w:lang w:val="en-US" w:eastAsia="zh-CN"/>
        </w:rPr>
        <w:t>10</w:t>
      </w:r>
      <w:r>
        <w:rPr>
          <w:rFonts w:hint="eastAsia" w:hAnsi="宋体"/>
          <w:color w:val="auto"/>
        </w:rPr>
        <w:t>%）；大中型企业与小型、微型企业组成联合体</w:t>
      </w:r>
      <w:r>
        <w:rPr>
          <w:rFonts w:hint="eastAsia" w:hAnsi="宋体" w:cs="Arial"/>
          <w:color w:val="auto"/>
          <w:szCs w:val="21"/>
        </w:rPr>
        <w:t>磋商</w:t>
      </w:r>
      <w:r>
        <w:rPr>
          <w:rFonts w:hint="eastAsia" w:hAnsi="宋体"/>
          <w:color w:val="auto"/>
        </w:rPr>
        <w:t>，其中小型、微型企业的协议合同金额占到联合体协议合同总金额30%以上的，联合体最后磋商报价给予2%的扣除，扣除后的价格为最后磋商评审报价，即最后磋商评审报价=最后磋商报价×（1-2%）；除上述情况外，最后磋商评审报价=最后磋商报价。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三部门联合发布关于促进残疾人就业政府采购政策的通知》（财库〔2017〕141号）之规定，残疾人福利性单位视同小型、微型企业。符合条件的残疾人福利性单位在参加政府采购活动时，应当提供本通知规定的《残疾人福利性单位声明函》，并对声明的真实性负责。</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olor w:val="auto"/>
          <w:szCs w:val="21"/>
        </w:rPr>
      </w:pPr>
      <w:r>
        <w:rPr>
          <w:rFonts w:hint="eastAsia" w:hAnsi="宋体"/>
          <w:color w:val="auto"/>
          <w:szCs w:val="21"/>
        </w:rPr>
        <w:t>（四）响应文件的报价如果出现计算或表达上的错误，修正错误的原则如下：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olor w:val="auto"/>
          <w:szCs w:val="21"/>
        </w:rPr>
      </w:pPr>
      <w:r>
        <w:rPr>
          <w:rFonts w:hint="eastAsia" w:hAnsi="宋体"/>
          <w:color w:val="auto"/>
          <w:szCs w:val="21"/>
        </w:rPr>
        <w:t>（1）最终报价表内容与响应文件中相应内容不一致的，以最终报价表为准；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olor w:val="auto"/>
          <w:szCs w:val="21"/>
        </w:rPr>
      </w:pPr>
      <w:r>
        <w:rPr>
          <w:rFonts w:hint="eastAsia" w:hAnsi="宋体"/>
          <w:color w:val="auto"/>
          <w:szCs w:val="21"/>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olor w:val="auto"/>
          <w:szCs w:val="21"/>
        </w:rPr>
      </w:pPr>
      <w:r>
        <w:rPr>
          <w:rFonts w:hint="eastAsia" w:hAnsi="宋体"/>
          <w:color w:val="auto"/>
          <w:szCs w:val="21"/>
        </w:rPr>
        <w:t>（3）单价金额小数点或者百分比有明显错位的，以最终报价表的总价为准，并修改单价；</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olor w:val="auto"/>
          <w:szCs w:val="21"/>
        </w:rPr>
      </w:pPr>
      <w:r>
        <w:rPr>
          <w:rFonts w:hint="eastAsia" w:hAnsi="宋体"/>
          <w:color w:val="auto"/>
          <w:szCs w:val="21"/>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olor w:val="auto"/>
          <w:szCs w:val="21"/>
        </w:rPr>
      </w:pPr>
      <w:r>
        <w:rPr>
          <w:rFonts w:hint="eastAsia" w:hAnsi="宋体"/>
          <w:color w:val="auto"/>
          <w:szCs w:val="21"/>
        </w:rPr>
        <w:t>同时出现两种以上不一致的，按照前款规定的顺序修正。修正后的报价经供应商确认后产生约束力，供应商不确认的，其磋商无效。</w:t>
      </w:r>
    </w:p>
    <w:p>
      <w:pPr>
        <w:pStyle w:val="28"/>
        <w:keepNext w:val="0"/>
        <w:keepLines w:val="0"/>
        <w:pageBreakBefore w:val="0"/>
        <w:widowControl w:val="0"/>
        <w:kinsoku/>
        <w:wordWrap/>
        <w:overflowPunct/>
        <w:topLinePunct w:val="0"/>
        <w:autoSpaceDE/>
        <w:autoSpaceDN/>
        <w:bidi w:val="0"/>
        <w:adjustRightInd/>
        <w:snapToGrid/>
        <w:spacing w:line="380" w:lineRule="exact"/>
        <w:ind w:firstLine="525" w:firstLineChars="250"/>
        <w:textAlignment w:val="auto"/>
        <w:outlineLvl w:val="0"/>
        <w:rPr>
          <w:rFonts w:hAnsi="宋体"/>
          <w:b/>
          <w:color w:val="auto"/>
          <w:szCs w:val="21"/>
        </w:rPr>
      </w:pPr>
      <w:bookmarkStart w:id="23" w:name="_Toc19067"/>
      <w:bookmarkStart w:id="24" w:name="_Toc31540"/>
      <w:r>
        <w:rPr>
          <w:rFonts w:hint="eastAsia" w:hAnsi="宋体"/>
          <w:color w:val="auto"/>
          <w:szCs w:val="21"/>
        </w:rPr>
        <w:t>二、</w:t>
      </w:r>
      <w:r>
        <w:rPr>
          <w:rFonts w:hint="eastAsia" w:hAnsi="宋体"/>
          <w:b/>
          <w:color w:val="auto"/>
          <w:szCs w:val="21"/>
        </w:rPr>
        <w:t>评分标准：</w:t>
      </w:r>
      <w:bookmarkEnd w:id="23"/>
      <w:bookmarkEnd w:id="24"/>
    </w:p>
    <w:p>
      <w:pPr>
        <w:pStyle w:val="28"/>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0"/>
        <w:rPr>
          <w:rFonts w:hAnsi="宋体"/>
          <w:color w:val="auto"/>
        </w:rPr>
      </w:pPr>
      <w:bookmarkStart w:id="25" w:name="_Toc2247"/>
      <w:bookmarkStart w:id="26" w:name="_Toc28242"/>
      <w:r>
        <w:rPr>
          <w:rFonts w:hint="eastAsia" w:hAnsi="宋体"/>
          <w:color w:val="auto"/>
        </w:rPr>
        <w:t>（一）对通过资格</w:t>
      </w:r>
      <w:r>
        <w:rPr>
          <w:rFonts w:hint="eastAsia" w:hAnsi="宋体"/>
          <w:color w:val="auto"/>
          <w:lang w:val="en-US" w:eastAsia="zh-CN"/>
        </w:rPr>
        <w:t>性</w:t>
      </w:r>
      <w:r>
        <w:rPr>
          <w:rFonts w:hint="eastAsia" w:hAnsi="宋体"/>
          <w:color w:val="auto"/>
        </w:rPr>
        <w:t>审查经磋商确定的供应商进行详细评分，采用百分制综合评分法。</w:t>
      </w:r>
      <w:bookmarkEnd w:id="25"/>
      <w:bookmarkEnd w:id="26"/>
    </w:p>
    <w:p>
      <w:pPr>
        <w:pStyle w:val="28"/>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rFonts w:hAnsi="宋体"/>
          <w:color w:val="auto"/>
        </w:rPr>
      </w:pPr>
      <w:r>
        <w:rPr>
          <w:rFonts w:hint="eastAsia" w:hAnsi="宋体"/>
          <w:color w:val="auto"/>
        </w:rPr>
        <w:t>（二）计分办法（按四舍五入取至百分位）：</w:t>
      </w:r>
    </w:p>
    <w:p>
      <w:pPr>
        <w:pStyle w:val="28"/>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0"/>
        <w:rPr>
          <w:rFonts w:hAnsi="宋体"/>
          <w:b/>
          <w:color w:val="auto"/>
          <w:szCs w:val="21"/>
        </w:rPr>
      </w:pPr>
      <w:bookmarkStart w:id="27" w:name="_Toc29598"/>
      <w:bookmarkStart w:id="28" w:name="_Toc7189"/>
      <w:r>
        <w:rPr>
          <w:rFonts w:hint="eastAsia" w:hAnsi="宋体"/>
          <w:b/>
          <w:color w:val="auto"/>
          <w:szCs w:val="21"/>
        </w:rPr>
        <w:t>1、价格分……………………………………………………………………………………满分</w:t>
      </w:r>
      <w:r>
        <w:rPr>
          <w:rFonts w:hAnsi="宋体"/>
          <w:b/>
          <w:color w:val="auto"/>
          <w:szCs w:val="21"/>
        </w:rPr>
        <w:t>3</w:t>
      </w:r>
      <w:r>
        <w:rPr>
          <w:rFonts w:hint="eastAsia" w:hAnsi="宋体"/>
          <w:b/>
          <w:color w:val="auto"/>
          <w:szCs w:val="21"/>
        </w:rPr>
        <w:t>0分</w:t>
      </w:r>
      <w:bookmarkEnd w:id="27"/>
      <w:bookmarkEnd w:id="28"/>
    </w:p>
    <w:p>
      <w:pPr>
        <w:pStyle w:val="28"/>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color w:val="auto"/>
        </w:rPr>
      </w:pPr>
      <w:r>
        <w:rPr>
          <w:rFonts w:hint="eastAsia" w:hAnsi="宋体"/>
          <w:color w:val="auto"/>
          <w:szCs w:val="21"/>
        </w:rPr>
        <w:t>磋商小组</w:t>
      </w:r>
      <w:r>
        <w:rPr>
          <w:rFonts w:hint="eastAsia"/>
          <w:color w:val="auto"/>
        </w:rPr>
        <w:t>认为</w:t>
      </w:r>
      <w:r>
        <w:rPr>
          <w:rFonts w:hint="eastAsia" w:hAnsi="宋体"/>
          <w:color w:val="auto"/>
        </w:rPr>
        <w:t>供应商</w:t>
      </w:r>
      <w:r>
        <w:rPr>
          <w:rFonts w:hint="eastAsia"/>
          <w:color w:val="auto"/>
        </w:rPr>
        <w:t>的报价明显低于其他通过</w:t>
      </w:r>
      <w:r>
        <w:rPr>
          <w:rFonts w:hint="eastAsia"/>
          <w:color w:val="auto"/>
          <w:lang w:val="en-US" w:eastAsia="zh-CN"/>
        </w:rPr>
        <w:t>资格</w:t>
      </w:r>
      <w:r>
        <w:rPr>
          <w:rFonts w:hint="eastAsia"/>
          <w:color w:val="auto"/>
        </w:rPr>
        <w:t>性审查</w:t>
      </w:r>
      <w:r>
        <w:rPr>
          <w:rFonts w:hint="eastAsia"/>
          <w:color w:val="auto"/>
          <w:lang w:val="en-US" w:eastAsia="zh-CN"/>
        </w:rPr>
        <w:t>的</w:t>
      </w:r>
      <w:r>
        <w:rPr>
          <w:rFonts w:hint="eastAsia" w:hAnsi="宋体"/>
          <w:color w:val="auto"/>
        </w:rPr>
        <w:t>供应商</w:t>
      </w:r>
      <w:r>
        <w:rPr>
          <w:rFonts w:hint="eastAsia" w:hAnsi="宋体"/>
          <w:color w:val="auto"/>
          <w:lang w:val="en-US" w:eastAsia="zh-CN"/>
        </w:rPr>
        <w:t>有效</w:t>
      </w:r>
      <w:r>
        <w:rPr>
          <w:rFonts w:hint="eastAsia"/>
          <w:color w:val="auto"/>
        </w:rPr>
        <w:t>的报价，有可能影响工程质量或者不能诚信履约的，应当要求其在评审现场合理的时间内提供书面说明，必要时提交相关证明材料；</w:t>
      </w:r>
      <w:r>
        <w:rPr>
          <w:rFonts w:hint="eastAsia" w:hAnsi="宋体"/>
          <w:color w:val="auto"/>
        </w:rPr>
        <w:t>供应商</w:t>
      </w:r>
      <w:r>
        <w:rPr>
          <w:rFonts w:hint="eastAsia"/>
          <w:color w:val="auto"/>
        </w:rPr>
        <w:t>不能证明其报价合理性的，</w:t>
      </w:r>
      <w:r>
        <w:rPr>
          <w:rFonts w:hint="eastAsia" w:hAnsi="宋体"/>
          <w:color w:val="auto"/>
          <w:szCs w:val="21"/>
        </w:rPr>
        <w:t>磋商小组</w:t>
      </w:r>
      <w:r>
        <w:rPr>
          <w:rFonts w:hint="eastAsia"/>
          <w:color w:val="auto"/>
        </w:rPr>
        <w:t>应当将其作为无效磋商处理。</w:t>
      </w:r>
    </w:p>
    <w:p>
      <w:pPr>
        <w:pStyle w:val="28"/>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rPr>
          <w:color w:val="auto"/>
        </w:rPr>
      </w:pPr>
      <w:r>
        <w:rPr>
          <w:rFonts w:hint="eastAsia"/>
          <w:color w:val="auto"/>
        </w:rPr>
        <w:t>价格分采用低价优先法计算，满足</w:t>
      </w:r>
      <w:r>
        <w:rPr>
          <w:rFonts w:hint="eastAsia"/>
          <w:color w:val="auto"/>
          <w:lang w:eastAsia="zh-CN"/>
        </w:rPr>
        <w:t>磋商</w:t>
      </w:r>
      <w:r>
        <w:rPr>
          <w:rFonts w:hint="eastAsia"/>
          <w:color w:val="auto"/>
        </w:rPr>
        <w:t>文件、</w:t>
      </w:r>
      <w:r>
        <w:rPr>
          <w:rFonts w:hint="eastAsia"/>
          <w:color w:val="auto"/>
          <w:lang w:eastAsia="zh-CN"/>
        </w:rPr>
        <w:t>磋商</w:t>
      </w:r>
      <w:r>
        <w:rPr>
          <w:rFonts w:hint="eastAsia"/>
          <w:color w:val="auto"/>
        </w:rPr>
        <w:t>内容要求且</w:t>
      </w:r>
      <w:r>
        <w:rPr>
          <w:rFonts w:hint="eastAsia" w:hAnsi="宋体"/>
          <w:color w:val="auto"/>
        </w:rPr>
        <w:t>最后磋商评审报价</w:t>
      </w:r>
      <w:r>
        <w:rPr>
          <w:rFonts w:hint="eastAsia"/>
          <w:color w:val="auto"/>
        </w:rPr>
        <w:t>最低的为磋商基准价，其价格分为满分</w:t>
      </w:r>
      <w:r>
        <w:rPr>
          <w:color w:val="auto"/>
        </w:rPr>
        <w:t>3</w:t>
      </w:r>
      <w:r>
        <w:rPr>
          <w:rFonts w:hint="eastAsia"/>
          <w:color w:val="auto"/>
        </w:rPr>
        <w:t>0分。其他供应商的价格分统一按照下列公式计算：</w:t>
      </w:r>
    </w:p>
    <w:p>
      <w:pPr>
        <w:pStyle w:val="28"/>
        <w:keepNext w:val="0"/>
        <w:keepLines w:val="0"/>
        <w:pageBreakBefore w:val="0"/>
        <w:widowControl w:val="0"/>
        <w:kinsoku/>
        <w:wordWrap/>
        <w:overflowPunct/>
        <w:topLinePunct w:val="0"/>
        <w:autoSpaceDE/>
        <w:autoSpaceDN/>
        <w:bidi w:val="0"/>
        <w:adjustRightInd/>
        <w:snapToGrid/>
        <w:spacing w:before="625" w:beforeLines="200" w:after="625" w:afterLines="200" w:line="380" w:lineRule="exact"/>
        <w:ind w:firstLine="420"/>
        <w:jc w:val="center"/>
        <w:textAlignment w:val="auto"/>
        <w:rPr>
          <w:color w:val="auto"/>
        </w:rPr>
      </w:pPr>
      <w:r>
        <w:rPr>
          <w:rFonts w:hint="eastAsia"/>
          <w:color w:val="auto"/>
        </w:rPr>
        <w:t>磋商报价得分=（磋商基准价/供应商</w:t>
      </w:r>
      <w:r>
        <w:rPr>
          <w:rFonts w:hint="eastAsia" w:hAnsi="宋体"/>
          <w:color w:val="auto"/>
        </w:rPr>
        <w:t>最后磋商评审报价</w:t>
      </w:r>
      <w:r>
        <w:rPr>
          <w:rFonts w:hint="eastAsia"/>
          <w:color w:val="auto"/>
        </w:rPr>
        <w:t>）×</w:t>
      </w:r>
      <w:r>
        <w:rPr>
          <w:color w:val="auto"/>
        </w:rPr>
        <w:t>3</w:t>
      </w:r>
      <w:r>
        <w:rPr>
          <w:rFonts w:hint="eastAsia"/>
          <w:color w:val="auto"/>
        </w:rPr>
        <w:t>0</w:t>
      </w:r>
    </w:p>
    <w:p>
      <w:pPr>
        <w:pStyle w:val="28"/>
        <w:keepNext w:val="0"/>
        <w:keepLines w:val="0"/>
        <w:pageBreakBefore w:val="0"/>
        <w:kinsoku/>
        <w:wordWrap/>
        <w:overflowPunct/>
        <w:topLinePunct w:val="0"/>
        <w:autoSpaceDE/>
        <w:autoSpaceDN/>
        <w:bidi w:val="0"/>
        <w:adjustRightInd/>
        <w:snapToGrid/>
        <w:spacing w:line="420" w:lineRule="exact"/>
        <w:ind w:firstLine="422" w:firstLineChars="200"/>
        <w:rPr>
          <w:rFonts w:hint="eastAsia" w:hAnsi="宋体"/>
          <w:b/>
          <w:color w:val="auto"/>
          <w:szCs w:val="21"/>
        </w:rPr>
      </w:pPr>
      <w:r>
        <w:rPr>
          <w:rFonts w:hint="eastAsia" w:hAnsi="宋体"/>
          <w:b/>
          <w:color w:val="auto"/>
          <w:szCs w:val="21"/>
        </w:rPr>
        <w:t>2、技术分………………………………………………………………………………满分</w:t>
      </w:r>
      <w:r>
        <w:rPr>
          <w:rFonts w:hAnsi="宋体"/>
          <w:b/>
          <w:color w:val="auto"/>
          <w:szCs w:val="21"/>
        </w:rPr>
        <w:t>7</w:t>
      </w:r>
      <w:r>
        <w:rPr>
          <w:rFonts w:hint="eastAsia" w:hAnsi="宋体"/>
          <w:b/>
          <w:color w:val="auto"/>
          <w:szCs w:val="21"/>
        </w:rPr>
        <w:t>0分</w:t>
      </w:r>
    </w:p>
    <w:p>
      <w:pPr>
        <w:keepNext w:val="0"/>
        <w:keepLines w:val="0"/>
        <w:pageBreakBefore w:val="0"/>
        <w:kinsoku/>
        <w:wordWrap/>
        <w:overflowPunct/>
        <w:topLinePunct w:val="0"/>
        <w:autoSpaceDE/>
        <w:autoSpaceDN/>
        <w:bidi w:val="0"/>
        <w:adjustRightInd/>
        <w:snapToGrid/>
        <w:spacing w:line="420" w:lineRule="exact"/>
        <w:ind w:firstLine="527" w:firstLineChars="250"/>
        <w:rPr>
          <w:rFonts w:hAnsi="宋体"/>
          <w:b/>
          <w:color w:val="auto"/>
          <w:szCs w:val="21"/>
        </w:rPr>
      </w:pPr>
      <w:r>
        <w:rPr>
          <w:rFonts w:hint="eastAsia" w:hAnsi="宋体"/>
          <w:b/>
          <w:color w:val="auto"/>
          <w:szCs w:val="21"/>
        </w:rPr>
        <w:t>（1）</w:t>
      </w:r>
      <w:r>
        <w:rPr>
          <w:b/>
          <w:color w:val="auto"/>
          <w:szCs w:val="21"/>
        </w:rPr>
        <w:t>项目管理机构</w:t>
      </w:r>
      <w:r>
        <w:rPr>
          <w:rFonts w:hint="eastAsia"/>
          <w:b/>
          <w:color w:val="auto"/>
          <w:szCs w:val="21"/>
        </w:rPr>
        <w:t>（10分）</w:t>
      </w:r>
    </w:p>
    <w:p>
      <w:pPr>
        <w:keepNext w:val="0"/>
        <w:keepLines w:val="0"/>
        <w:pageBreakBefore w:val="0"/>
        <w:kinsoku/>
        <w:wordWrap/>
        <w:overflowPunct/>
        <w:topLinePunct w:val="0"/>
        <w:autoSpaceDE/>
        <w:autoSpaceDN/>
        <w:bidi w:val="0"/>
        <w:adjustRightInd/>
        <w:snapToGrid/>
        <w:spacing w:line="420" w:lineRule="exact"/>
        <w:ind w:firstLine="517" w:firstLineChars="245"/>
        <w:rPr>
          <w:rFonts w:hint="eastAsia" w:hAnsi="宋体"/>
          <w:color w:val="auto"/>
          <w:szCs w:val="21"/>
        </w:rPr>
      </w:pPr>
      <w:r>
        <w:rPr>
          <w:rFonts w:hint="eastAsia"/>
          <w:b/>
          <w:color w:val="auto"/>
          <w:szCs w:val="21"/>
          <w:lang w:val="en-US" w:eastAsia="zh-CN"/>
        </w:rPr>
        <w:t>1）</w:t>
      </w:r>
      <w:r>
        <w:rPr>
          <w:rFonts w:hint="eastAsia"/>
          <w:b/>
          <w:color w:val="auto"/>
          <w:szCs w:val="21"/>
        </w:rPr>
        <w:t>项目经理任职资格与业绩、工作经历等（5分）</w:t>
      </w:r>
      <w:r>
        <w:rPr>
          <w:rFonts w:hint="eastAsia" w:hAnsi="宋体"/>
          <w:color w:val="auto"/>
          <w:szCs w:val="21"/>
        </w:rPr>
        <w:tab/>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①项目经理注册资格：具有</w:t>
      </w:r>
      <w:r>
        <w:rPr>
          <w:rFonts w:hint="eastAsia" w:hAnsi="宋体"/>
          <w:color w:val="auto"/>
          <w:szCs w:val="21"/>
          <w:lang w:val="en-US" w:eastAsia="zh-CN"/>
        </w:rPr>
        <w:t>建筑</w:t>
      </w:r>
      <w:r>
        <w:rPr>
          <w:rFonts w:hint="eastAsia" w:hAnsi="宋体"/>
          <w:color w:val="auto"/>
          <w:szCs w:val="21"/>
        </w:rPr>
        <w:t>工程专业二级注册建造师</w:t>
      </w:r>
      <w:r>
        <w:rPr>
          <w:rFonts w:hint="eastAsia" w:hAnsi="宋体"/>
          <w:color w:val="auto"/>
          <w:szCs w:val="21"/>
          <w:lang w:val="en-US" w:eastAsia="zh-CN"/>
        </w:rPr>
        <w:t>或以上</w:t>
      </w:r>
      <w:r>
        <w:rPr>
          <w:rFonts w:hint="eastAsia" w:hAnsi="宋体"/>
          <w:color w:val="auto"/>
          <w:szCs w:val="21"/>
        </w:rPr>
        <w:t>资格</w:t>
      </w:r>
      <w:r>
        <w:rPr>
          <w:rFonts w:hint="eastAsia" w:hAnsi="宋体"/>
          <w:color w:val="auto"/>
          <w:szCs w:val="21"/>
          <w:lang w:val="en-US" w:eastAsia="zh-CN"/>
        </w:rPr>
        <w:t>及有效的</w:t>
      </w:r>
      <w:r>
        <w:rPr>
          <w:rFonts w:hint="eastAsia" w:hAnsi="宋体"/>
          <w:color w:val="auto"/>
          <w:szCs w:val="21"/>
        </w:rPr>
        <w:t>安全生产考核合格证（B证）</w:t>
      </w:r>
      <w:r>
        <w:rPr>
          <w:rFonts w:hint="eastAsia" w:hAnsi="宋体"/>
          <w:color w:val="auto"/>
          <w:szCs w:val="21"/>
          <w:lang w:val="en-US" w:eastAsia="zh-CN"/>
        </w:rPr>
        <w:t>的得3</w:t>
      </w:r>
      <w:r>
        <w:rPr>
          <w:rFonts w:hint="eastAsia" w:hAnsi="宋体"/>
          <w:color w:val="auto"/>
          <w:szCs w:val="21"/>
        </w:rPr>
        <w:t>分</w:t>
      </w:r>
      <w:r>
        <w:rPr>
          <w:rFonts w:hint="eastAsia" w:hAnsi="宋体"/>
          <w:color w:val="auto"/>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②项目经理职称：具有</w:t>
      </w:r>
      <w:r>
        <w:rPr>
          <w:rFonts w:hint="eastAsia" w:hAnsi="宋体"/>
          <w:color w:val="auto"/>
          <w:szCs w:val="21"/>
          <w:lang w:val="en-US" w:eastAsia="zh-CN"/>
        </w:rPr>
        <w:t>建筑</w:t>
      </w:r>
      <w:r>
        <w:rPr>
          <w:rFonts w:hint="eastAsia" w:hAnsi="宋体"/>
          <w:color w:val="auto"/>
          <w:szCs w:val="21"/>
        </w:rPr>
        <w:t>工程类专业中级</w:t>
      </w:r>
      <w:r>
        <w:rPr>
          <w:rFonts w:hint="eastAsia" w:hAnsi="宋体"/>
          <w:color w:val="auto"/>
          <w:szCs w:val="21"/>
          <w:lang w:val="en-US" w:eastAsia="zh-CN"/>
        </w:rPr>
        <w:t>或</w:t>
      </w:r>
      <w:r>
        <w:rPr>
          <w:rFonts w:hint="eastAsia" w:hAnsi="宋体"/>
          <w:color w:val="auto"/>
          <w:szCs w:val="21"/>
        </w:rPr>
        <w:t>以上职称得 2分，具有</w:t>
      </w:r>
      <w:r>
        <w:rPr>
          <w:rFonts w:hint="eastAsia" w:hAnsi="宋体"/>
          <w:color w:val="auto"/>
          <w:szCs w:val="21"/>
          <w:lang w:val="en-US" w:eastAsia="zh-CN"/>
        </w:rPr>
        <w:t>建筑</w:t>
      </w:r>
      <w:r>
        <w:rPr>
          <w:rFonts w:hint="eastAsia" w:hAnsi="宋体"/>
          <w:color w:val="auto"/>
          <w:szCs w:val="21"/>
        </w:rPr>
        <w:t>工程类专业初级职称得 1分。</w:t>
      </w:r>
    </w:p>
    <w:p>
      <w:pPr>
        <w:keepNext w:val="0"/>
        <w:keepLines w:val="0"/>
        <w:pageBreakBefore w:val="0"/>
        <w:numPr>
          <w:ilvl w:val="0"/>
          <w:numId w:val="6"/>
        </w:numPr>
        <w:kinsoku/>
        <w:wordWrap/>
        <w:overflowPunct/>
        <w:topLinePunct w:val="0"/>
        <w:autoSpaceDE/>
        <w:autoSpaceDN/>
        <w:bidi w:val="0"/>
        <w:adjustRightInd/>
        <w:snapToGrid/>
        <w:spacing w:line="420" w:lineRule="exact"/>
        <w:ind w:firstLine="517" w:firstLineChars="245"/>
        <w:rPr>
          <w:rFonts w:hint="eastAsia" w:hAnsi="宋体"/>
          <w:b/>
          <w:color w:val="auto"/>
          <w:szCs w:val="21"/>
        </w:rPr>
      </w:pPr>
      <w:r>
        <w:rPr>
          <w:rFonts w:hint="eastAsia" w:hAnsi="宋体"/>
          <w:b/>
          <w:color w:val="auto"/>
          <w:szCs w:val="21"/>
        </w:rPr>
        <w:t>其他主要人员（5分）</w:t>
      </w:r>
      <w:r>
        <w:rPr>
          <w:rFonts w:hint="eastAsia" w:hAnsi="宋体"/>
          <w:b/>
          <w:color w:val="auto"/>
          <w:szCs w:val="21"/>
        </w:rPr>
        <w:tab/>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 xml:space="preserve">人员齐备、专业配套应与资格审查提供的人员配备相一致，且具备相关施工现场专业人员岗位证书（拟派驻本项目的技术负责人应具有中级及以上职称证件，安全员、施工员、质量员、材料员应具有相应岗位证书，且拟投入的项目管理人员符合国家及广西壮族自治区的规定） </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优（5分）：拟投入本项目的技术负责人具有高级技术职称，安全员、施工员、质量员、材料员均具有相应岗位资格证书，且拟投入的项目管理人员符合国家及广西壮族自治区的规定，能较好满足项目施工管理要求。</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中（3分）：拟投入本项目的技术负责人具有中级技术职称，安全员、施工员、质量员、材料员基本具有相应岗位资格证书，且拟投入的项目管理人员基本符合国家及广西壮族自治区的规定，能满足项目施工管理要求。</w:t>
      </w:r>
    </w:p>
    <w:p>
      <w:pPr>
        <w:keepNext w:val="0"/>
        <w:keepLines w:val="0"/>
        <w:pageBreakBefore w:val="0"/>
        <w:kinsoku/>
        <w:wordWrap/>
        <w:overflowPunct/>
        <w:topLinePunct w:val="0"/>
        <w:autoSpaceDE/>
        <w:autoSpaceDN/>
        <w:bidi w:val="0"/>
        <w:adjustRightInd/>
        <w:snapToGrid/>
        <w:spacing w:line="420" w:lineRule="exact"/>
        <w:ind w:firstLine="514" w:firstLineChars="245"/>
      </w:pPr>
      <w:r>
        <w:rPr>
          <w:rFonts w:hint="eastAsia" w:hAnsi="宋体"/>
          <w:color w:val="auto"/>
          <w:szCs w:val="21"/>
        </w:rPr>
        <w:t>差（1分）：拟投入本项目的技术负责人具有中级技术职称，安全员、施工员、质量员、材料员相应岗位资格证书不齐全，不能满足项目施工管理要求。</w:t>
      </w:r>
    </w:p>
    <w:p>
      <w:pPr>
        <w:keepNext w:val="0"/>
        <w:keepLines w:val="0"/>
        <w:pageBreakBefore w:val="0"/>
        <w:kinsoku/>
        <w:wordWrap/>
        <w:overflowPunct/>
        <w:topLinePunct w:val="0"/>
        <w:autoSpaceDE/>
        <w:autoSpaceDN/>
        <w:bidi w:val="0"/>
        <w:adjustRightInd/>
        <w:snapToGrid/>
        <w:spacing w:line="420" w:lineRule="exact"/>
        <w:ind w:firstLine="517" w:firstLineChars="245"/>
        <w:rPr>
          <w:rFonts w:hAnsi="宋体"/>
          <w:b/>
          <w:color w:val="auto"/>
          <w:szCs w:val="21"/>
        </w:rPr>
      </w:pPr>
      <w:r>
        <w:rPr>
          <w:rFonts w:hint="eastAsia" w:hAnsi="宋体"/>
          <w:b/>
          <w:color w:val="auto"/>
          <w:szCs w:val="21"/>
        </w:rPr>
        <w:t>（2）</w:t>
      </w:r>
      <w:r>
        <w:rPr>
          <w:b/>
          <w:color w:val="auto"/>
          <w:szCs w:val="21"/>
        </w:rPr>
        <w:t>施工组织设计</w:t>
      </w:r>
      <w:r>
        <w:rPr>
          <w:rFonts w:hint="eastAsia"/>
          <w:b/>
          <w:color w:val="auto"/>
          <w:szCs w:val="21"/>
        </w:rPr>
        <w:t>（</w:t>
      </w:r>
      <w:r>
        <w:rPr>
          <w:b/>
          <w:color w:val="auto"/>
          <w:szCs w:val="21"/>
        </w:rPr>
        <w:t>6</w:t>
      </w:r>
      <w:r>
        <w:rPr>
          <w:rFonts w:hint="eastAsia"/>
          <w:b/>
          <w:color w:val="auto"/>
          <w:szCs w:val="21"/>
        </w:rPr>
        <w:t>0分）</w:t>
      </w:r>
    </w:p>
    <w:p>
      <w:pPr>
        <w:keepNext w:val="0"/>
        <w:keepLines w:val="0"/>
        <w:pageBreakBefore w:val="0"/>
        <w:kinsoku/>
        <w:wordWrap/>
        <w:overflowPunct/>
        <w:topLinePunct w:val="0"/>
        <w:autoSpaceDE/>
        <w:autoSpaceDN/>
        <w:bidi w:val="0"/>
        <w:adjustRightInd/>
        <w:snapToGrid/>
        <w:spacing w:line="420" w:lineRule="exact"/>
        <w:ind w:firstLine="517" w:firstLineChars="245"/>
        <w:rPr>
          <w:rFonts w:hint="eastAsia"/>
          <w:color w:val="auto"/>
          <w:kern w:val="0"/>
          <w:szCs w:val="21"/>
        </w:rPr>
      </w:pPr>
      <w:r>
        <w:rPr>
          <w:rFonts w:hint="eastAsia"/>
          <w:b/>
          <w:color w:val="auto"/>
          <w:kern w:val="0"/>
          <w:szCs w:val="21"/>
          <w:lang w:val="en-US" w:eastAsia="zh-CN"/>
        </w:rPr>
        <w:t>1）</w:t>
      </w:r>
      <w:r>
        <w:rPr>
          <w:b/>
          <w:color w:val="auto"/>
          <w:kern w:val="0"/>
          <w:szCs w:val="21"/>
        </w:rPr>
        <w:t>主要施工方法</w:t>
      </w:r>
      <w:r>
        <w:rPr>
          <w:rFonts w:hint="eastAsia"/>
          <w:b/>
          <w:color w:val="auto"/>
          <w:kern w:val="0"/>
          <w:szCs w:val="21"/>
        </w:rPr>
        <w:t>（</w:t>
      </w:r>
      <w:r>
        <w:rPr>
          <w:rFonts w:hint="eastAsia"/>
          <w:b/>
          <w:color w:val="auto"/>
          <w:kern w:val="0"/>
          <w:szCs w:val="21"/>
          <w:lang w:val="en-US" w:eastAsia="zh-CN"/>
        </w:rPr>
        <w:t>9</w:t>
      </w:r>
      <w:r>
        <w:rPr>
          <w:rFonts w:hint="eastAsia"/>
          <w:b/>
          <w:color w:val="auto"/>
          <w:kern w:val="0"/>
          <w:szCs w:val="21"/>
        </w:rPr>
        <w:t>分）</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 xml:space="preserve">各主要分部施工方法符合项目实际，须有详尽的施工技术方案，工艺先进、方法科学合理、可行，能指导具体施工并确保安全。 </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优（</w:t>
      </w:r>
      <w:r>
        <w:rPr>
          <w:rFonts w:hint="eastAsia"/>
          <w:color w:val="auto"/>
          <w:kern w:val="0"/>
          <w:szCs w:val="21"/>
          <w:lang w:val="en-US" w:eastAsia="zh-CN"/>
        </w:rPr>
        <w:t>9</w:t>
      </w:r>
      <w:r>
        <w:rPr>
          <w:rFonts w:hint="eastAsia"/>
          <w:color w:val="auto"/>
          <w:kern w:val="0"/>
          <w:szCs w:val="21"/>
        </w:rPr>
        <w:t xml:space="preserve"> 分）：各主要分部施工方法符合项目实际，须有详尽的施工技术方案，工艺先进、方法科学合理、可行，能指导具体施工并确保安全。</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良（</w:t>
      </w:r>
      <w:r>
        <w:rPr>
          <w:rFonts w:hint="eastAsia"/>
          <w:color w:val="auto"/>
          <w:kern w:val="0"/>
          <w:szCs w:val="21"/>
          <w:lang w:val="en-US" w:eastAsia="zh-CN"/>
        </w:rPr>
        <w:t>6</w:t>
      </w:r>
      <w:r>
        <w:rPr>
          <w:rFonts w:hint="eastAsia"/>
          <w:color w:val="auto"/>
          <w:kern w:val="0"/>
          <w:szCs w:val="21"/>
        </w:rPr>
        <w:t xml:space="preserve"> 分）：各主要分部施工方法符合项目实际，须有详尽的施工技术方案，工艺一般、方法可行，能指导具体施工并确保安全。 </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中（</w:t>
      </w:r>
      <w:r>
        <w:rPr>
          <w:rFonts w:hint="eastAsia"/>
          <w:color w:val="auto"/>
          <w:kern w:val="0"/>
          <w:szCs w:val="21"/>
          <w:lang w:val="en-US" w:eastAsia="zh-CN"/>
        </w:rPr>
        <w:t>3</w:t>
      </w:r>
      <w:r>
        <w:rPr>
          <w:rFonts w:hint="eastAsia"/>
          <w:color w:val="auto"/>
          <w:kern w:val="0"/>
          <w:szCs w:val="21"/>
        </w:rPr>
        <w:t xml:space="preserve"> 分）：各主要分部施工方法符合项目实际，须有详尽的施工技术方案，工艺一般、方法基本可行，能指导具体施工并确保安全。 </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差（</w:t>
      </w:r>
      <w:r>
        <w:rPr>
          <w:rFonts w:hint="eastAsia"/>
          <w:color w:val="auto"/>
          <w:kern w:val="0"/>
          <w:szCs w:val="21"/>
          <w:lang w:val="en-US" w:eastAsia="zh-CN"/>
        </w:rPr>
        <w:t>1</w:t>
      </w:r>
      <w:r>
        <w:rPr>
          <w:rFonts w:hint="eastAsia"/>
          <w:color w:val="auto"/>
          <w:kern w:val="0"/>
          <w:szCs w:val="21"/>
        </w:rPr>
        <w:t xml:space="preserve"> 分）：各主要分部施工方法不符合项目实际，无详尽的施工技术方案，不能指导具体施工并确保安全。</w:t>
      </w:r>
    </w:p>
    <w:p>
      <w:pPr>
        <w:keepNext w:val="0"/>
        <w:keepLines w:val="0"/>
        <w:pageBreakBefore w:val="0"/>
        <w:widowControl/>
        <w:kinsoku/>
        <w:wordWrap/>
        <w:overflowPunct/>
        <w:topLinePunct w:val="0"/>
        <w:autoSpaceDE/>
        <w:autoSpaceDN/>
        <w:bidi w:val="0"/>
        <w:adjustRightInd/>
        <w:snapToGrid/>
        <w:spacing w:line="420" w:lineRule="exact"/>
        <w:ind w:firstLine="517" w:firstLineChars="245"/>
        <w:rPr>
          <w:b/>
          <w:color w:val="auto"/>
          <w:kern w:val="0"/>
          <w:szCs w:val="21"/>
        </w:rPr>
      </w:pPr>
      <w:r>
        <w:rPr>
          <w:rFonts w:hint="eastAsia"/>
          <w:b/>
          <w:color w:val="auto"/>
          <w:kern w:val="0"/>
          <w:szCs w:val="21"/>
          <w:lang w:val="en-US" w:eastAsia="zh-CN"/>
        </w:rPr>
        <w:t>2）</w:t>
      </w:r>
      <w:r>
        <w:rPr>
          <w:rFonts w:hint="eastAsia"/>
          <w:b/>
          <w:color w:val="auto"/>
          <w:kern w:val="0"/>
          <w:szCs w:val="21"/>
        </w:rPr>
        <w:t>确保工程质量的技术组织措施（</w:t>
      </w:r>
      <w:r>
        <w:rPr>
          <w:rFonts w:hint="eastAsia"/>
          <w:b/>
          <w:color w:val="auto"/>
          <w:kern w:val="0"/>
          <w:szCs w:val="21"/>
          <w:lang w:val="en-US" w:eastAsia="zh-CN"/>
        </w:rPr>
        <w:t>9</w:t>
      </w:r>
      <w:r>
        <w:rPr>
          <w:rFonts w:hint="eastAsia"/>
          <w:b/>
          <w:color w:val="auto"/>
          <w:kern w:val="0"/>
          <w:szCs w:val="21"/>
        </w:rPr>
        <w:t>分）</w:t>
      </w:r>
      <w:r>
        <w:rPr>
          <w:rFonts w:hint="eastAsia"/>
          <w:b/>
          <w:color w:val="auto"/>
          <w:kern w:val="0"/>
          <w:szCs w:val="21"/>
        </w:rPr>
        <w:tab/>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 xml:space="preserve">应有专门的质量技术管理班子和制度，且人员配备合理，制度健全。主要工序应有质量技术保证措施和手段，自控体系完整，能有效保证技术质量，达到承诺的质量标准。 </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优（</w:t>
      </w:r>
      <w:r>
        <w:rPr>
          <w:rFonts w:hint="eastAsia"/>
          <w:color w:val="auto"/>
          <w:kern w:val="0"/>
          <w:szCs w:val="21"/>
          <w:lang w:val="en-US" w:eastAsia="zh-CN"/>
        </w:rPr>
        <w:t>9</w:t>
      </w:r>
      <w:r>
        <w:rPr>
          <w:rFonts w:hint="eastAsia"/>
          <w:color w:val="auto"/>
          <w:kern w:val="0"/>
          <w:szCs w:val="21"/>
        </w:rPr>
        <w:t>分）：有专门的质量技术管理班子和制度，且人员配备合理，制度健全。主要工序质量技术保证措施和手段科学合理，自控体系完整，能有效保证技术质量，达到承诺的质量标准。</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良（</w:t>
      </w:r>
      <w:r>
        <w:rPr>
          <w:rFonts w:hint="eastAsia"/>
          <w:color w:val="auto"/>
          <w:kern w:val="0"/>
          <w:szCs w:val="21"/>
          <w:lang w:val="en-US" w:eastAsia="zh-CN"/>
        </w:rPr>
        <w:t>6</w:t>
      </w:r>
      <w:r>
        <w:rPr>
          <w:rFonts w:hint="eastAsia"/>
          <w:color w:val="auto"/>
          <w:kern w:val="0"/>
          <w:szCs w:val="21"/>
        </w:rPr>
        <w:t xml:space="preserve"> 分）：有专门的质量技术管理班子和制度，且人员配备合理，制度健全。主要工序质量技术保证措施和手段一般，自控体系一般，能有效保证技术质量，达到承诺的质量标准。 </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中（</w:t>
      </w:r>
      <w:r>
        <w:rPr>
          <w:rFonts w:hint="eastAsia"/>
          <w:color w:val="auto"/>
          <w:kern w:val="0"/>
          <w:szCs w:val="21"/>
          <w:lang w:val="en-US" w:eastAsia="zh-CN"/>
        </w:rPr>
        <w:t>3</w:t>
      </w:r>
      <w:r>
        <w:rPr>
          <w:rFonts w:hint="eastAsia"/>
          <w:color w:val="auto"/>
          <w:kern w:val="0"/>
          <w:szCs w:val="21"/>
        </w:rPr>
        <w:t xml:space="preserve"> 分）：有专门的质量技术管理班子和制度，且人员配备合理，制度健全。主要工序质量技术保证措施和手段一般，自控体系一般，能基本保证技术质量，基本达到承诺的质量标准。 </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差（</w:t>
      </w:r>
      <w:r>
        <w:rPr>
          <w:rFonts w:hint="eastAsia"/>
          <w:color w:val="auto"/>
          <w:kern w:val="0"/>
          <w:szCs w:val="21"/>
          <w:lang w:val="en-US" w:eastAsia="zh-CN"/>
        </w:rPr>
        <w:t>1</w:t>
      </w:r>
      <w:r>
        <w:rPr>
          <w:rFonts w:hint="eastAsia"/>
          <w:color w:val="auto"/>
          <w:kern w:val="0"/>
          <w:szCs w:val="21"/>
        </w:rPr>
        <w:t xml:space="preserve"> 分）：有专门的质量技术管理班子和制度，人员配备不合理，制度不健全。主要工序无质量技术保证措施和手段，自控体系不完整，不能有效保证技术质量，达不到承诺的质量标准。</w:t>
      </w:r>
    </w:p>
    <w:p>
      <w:pPr>
        <w:keepNext w:val="0"/>
        <w:keepLines w:val="0"/>
        <w:pageBreakBefore w:val="0"/>
        <w:widowControl/>
        <w:kinsoku/>
        <w:wordWrap/>
        <w:overflowPunct/>
        <w:topLinePunct w:val="0"/>
        <w:autoSpaceDE/>
        <w:autoSpaceDN/>
        <w:bidi w:val="0"/>
        <w:adjustRightInd/>
        <w:snapToGrid/>
        <w:spacing w:line="420" w:lineRule="exact"/>
        <w:ind w:firstLine="413" w:firstLineChars="196"/>
        <w:rPr>
          <w:b/>
          <w:color w:val="auto"/>
          <w:kern w:val="0"/>
          <w:szCs w:val="21"/>
        </w:rPr>
      </w:pPr>
      <w:r>
        <w:rPr>
          <w:rFonts w:hint="eastAsia"/>
          <w:b/>
          <w:color w:val="auto"/>
          <w:kern w:val="0"/>
          <w:szCs w:val="21"/>
        </w:rPr>
        <w:t xml:space="preserve"> </w:t>
      </w:r>
      <w:r>
        <w:rPr>
          <w:rFonts w:hint="eastAsia"/>
          <w:b/>
          <w:color w:val="auto"/>
          <w:kern w:val="0"/>
          <w:szCs w:val="21"/>
          <w:lang w:val="en-US" w:eastAsia="zh-CN"/>
        </w:rPr>
        <w:t>3）</w:t>
      </w:r>
      <w:r>
        <w:rPr>
          <w:b/>
          <w:color w:val="auto"/>
          <w:kern w:val="0"/>
          <w:szCs w:val="21"/>
        </w:rPr>
        <w:t>拟投入的主要施工机械、设备计划</w:t>
      </w:r>
      <w:r>
        <w:rPr>
          <w:rFonts w:hint="eastAsia"/>
          <w:b/>
          <w:color w:val="auto"/>
          <w:kern w:val="0"/>
          <w:szCs w:val="21"/>
        </w:rPr>
        <w:t>（</w:t>
      </w:r>
      <w:r>
        <w:rPr>
          <w:rFonts w:hint="eastAsia"/>
          <w:b/>
          <w:color w:val="auto"/>
          <w:kern w:val="0"/>
          <w:szCs w:val="21"/>
          <w:lang w:val="en-US" w:eastAsia="zh-CN"/>
        </w:rPr>
        <w:t>9</w:t>
      </w:r>
      <w:r>
        <w:rPr>
          <w:rFonts w:hint="eastAsia"/>
          <w:b/>
          <w:color w:val="auto"/>
          <w:kern w:val="0"/>
          <w:szCs w:val="21"/>
        </w:rPr>
        <w:t>分）</w:t>
      </w:r>
    </w:p>
    <w:p>
      <w:pPr>
        <w:keepNext w:val="0"/>
        <w:keepLines w:val="0"/>
        <w:pageBreakBefore w:val="0"/>
        <w:widowControl/>
        <w:kinsoku/>
        <w:wordWrap/>
        <w:overflowPunct/>
        <w:topLinePunct w:val="0"/>
        <w:autoSpaceDE/>
        <w:autoSpaceDN/>
        <w:bidi w:val="0"/>
        <w:adjustRightInd/>
        <w:snapToGrid/>
        <w:spacing w:line="420" w:lineRule="exact"/>
        <w:ind w:firstLine="411" w:firstLineChars="196"/>
        <w:rPr>
          <w:rFonts w:hint="eastAsia"/>
          <w:color w:val="auto"/>
          <w:kern w:val="0"/>
          <w:szCs w:val="21"/>
        </w:rPr>
      </w:pPr>
      <w:r>
        <w:rPr>
          <w:rFonts w:hint="eastAsia"/>
          <w:color w:val="auto"/>
          <w:kern w:val="0"/>
          <w:szCs w:val="21"/>
        </w:rPr>
        <w:t xml:space="preserve">投入的施工机械、设备、机具有详细的组织计划且计划周密，设备数量、选型配置、进场时间安排合理，满足施工需要。 </w:t>
      </w:r>
    </w:p>
    <w:p>
      <w:pPr>
        <w:keepNext w:val="0"/>
        <w:keepLines w:val="0"/>
        <w:pageBreakBefore w:val="0"/>
        <w:widowControl/>
        <w:kinsoku/>
        <w:wordWrap/>
        <w:overflowPunct/>
        <w:topLinePunct w:val="0"/>
        <w:autoSpaceDE/>
        <w:autoSpaceDN/>
        <w:bidi w:val="0"/>
        <w:adjustRightInd/>
        <w:snapToGrid/>
        <w:spacing w:line="420" w:lineRule="exact"/>
        <w:ind w:firstLine="411" w:firstLineChars="196"/>
        <w:rPr>
          <w:rFonts w:hint="eastAsia"/>
          <w:color w:val="auto"/>
          <w:kern w:val="0"/>
          <w:szCs w:val="21"/>
        </w:rPr>
      </w:pPr>
      <w:r>
        <w:rPr>
          <w:rFonts w:hint="eastAsia"/>
          <w:color w:val="auto"/>
          <w:kern w:val="0"/>
          <w:szCs w:val="21"/>
        </w:rPr>
        <w:t>优（</w:t>
      </w:r>
      <w:r>
        <w:rPr>
          <w:rFonts w:hint="eastAsia"/>
          <w:color w:val="auto"/>
          <w:kern w:val="0"/>
          <w:szCs w:val="21"/>
          <w:lang w:val="en-US" w:eastAsia="zh-CN"/>
        </w:rPr>
        <w:t>9</w:t>
      </w:r>
      <w:r>
        <w:rPr>
          <w:rFonts w:hint="eastAsia"/>
          <w:color w:val="auto"/>
          <w:kern w:val="0"/>
          <w:szCs w:val="21"/>
        </w:rPr>
        <w:t xml:space="preserve"> 分）：投入的施工机械、设备、机具有详细的组织计划且计划周密，设备数量、选型配置、进场时间安排合理，满足施工需要。 </w:t>
      </w:r>
    </w:p>
    <w:p>
      <w:pPr>
        <w:keepNext w:val="0"/>
        <w:keepLines w:val="0"/>
        <w:pageBreakBefore w:val="0"/>
        <w:widowControl/>
        <w:kinsoku/>
        <w:wordWrap/>
        <w:overflowPunct/>
        <w:topLinePunct w:val="0"/>
        <w:autoSpaceDE/>
        <w:autoSpaceDN/>
        <w:bidi w:val="0"/>
        <w:adjustRightInd/>
        <w:snapToGrid/>
        <w:spacing w:line="420" w:lineRule="exact"/>
        <w:ind w:firstLine="411" w:firstLineChars="196"/>
        <w:rPr>
          <w:rFonts w:hint="eastAsia"/>
          <w:color w:val="auto"/>
          <w:kern w:val="0"/>
          <w:szCs w:val="21"/>
        </w:rPr>
      </w:pPr>
      <w:r>
        <w:rPr>
          <w:rFonts w:hint="eastAsia"/>
          <w:color w:val="auto"/>
          <w:kern w:val="0"/>
          <w:szCs w:val="21"/>
        </w:rPr>
        <w:t>良（</w:t>
      </w:r>
      <w:r>
        <w:rPr>
          <w:rFonts w:hint="eastAsia"/>
          <w:color w:val="auto"/>
          <w:kern w:val="0"/>
          <w:szCs w:val="21"/>
          <w:lang w:val="en-US" w:eastAsia="zh-CN"/>
        </w:rPr>
        <w:t>6</w:t>
      </w:r>
      <w:r>
        <w:rPr>
          <w:rFonts w:hint="eastAsia"/>
          <w:color w:val="auto"/>
          <w:kern w:val="0"/>
          <w:szCs w:val="21"/>
        </w:rPr>
        <w:t xml:space="preserve">分）：投入的施工机械、设备、机具有详细的组织计划且计划一般，设备数量、选型配置、进场时间安排合理，满足施工需要。 </w:t>
      </w:r>
    </w:p>
    <w:p>
      <w:pPr>
        <w:keepNext w:val="0"/>
        <w:keepLines w:val="0"/>
        <w:pageBreakBefore w:val="0"/>
        <w:widowControl/>
        <w:kinsoku/>
        <w:wordWrap/>
        <w:overflowPunct/>
        <w:topLinePunct w:val="0"/>
        <w:autoSpaceDE/>
        <w:autoSpaceDN/>
        <w:bidi w:val="0"/>
        <w:adjustRightInd/>
        <w:snapToGrid/>
        <w:spacing w:line="420" w:lineRule="exact"/>
        <w:ind w:firstLine="411" w:firstLineChars="196"/>
        <w:rPr>
          <w:rFonts w:hint="eastAsia"/>
          <w:color w:val="auto"/>
          <w:kern w:val="0"/>
          <w:szCs w:val="21"/>
        </w:rPr>
      </w:pPr>
      <w:r>
        <w:rPr>
          <w:rFonts w:hint="eastAsia"/>
          <w:color w:val="auto"/>
          <w:kern w:val="0"/>
          <w:szCs w:val="21"/>
        </w:rPr>
        <w:t>中（</w:t>
      </w:r>
      <w:r>
        <w:rPr>
          <w:rFonts w:hint="eastAsia"/>
          <w:color w:val="auto"/>
          <w:kern w:val="0"/>
          <w:szCs w:val="21"/>
          <w:lang w:val="en-US" w:eastAsia="zh-CN"/>
        </w:rPr>
        <w:t>3</w:t>
      </w:r>
      <w:r>
        <w:rPr>
          <w:rFonts w:hint="eastAsia"/>
          <w:color w:val="auto"/>
          <w:kern w:val="0"/>
          <w:szCs w:val="21"/>
        </w:rPr>
        <w:t xml:space="preserve">分）：投入的施工机械、设备、机具有详细的组织计划且计划一般，设备数量、选型配置、进场时间安排合理，基本满足施工需要。 </w:t>
      </w:r>
    </w:p>
    <w:p>
      <w:pPr>
        <w:keepNext w:val="0"/>
        <w:keepLines w:val="0"/>
        <w:pageBreakBefore w:val="0"/>
        <w:widowControl/>
        <w:kinsoku/>
        <w:wordWrap/>
        <w:overflowPunct/>
        <w:topLinePunct w:val="0"/>
        <w:autoSpaceDE/>
        <w:autoSpaceDN/>
        <w:bidi w:val="0"/>
        <w:adjustRightInd/>
        <w:snapToGrid/>
        <w:spacing w:line="420" w:lineRule="exact"/>
        <w:ind w:firstLine="411" w:firstLineChars="196"/>
        <w:rPr>
          <w:rFonts w:hint="eastAsia"/>
          <w:color w:val="auto"/>
          <w:kern w:val="0"/>
          <w:szCs w:val="21"/>
        </w:rPr>
      </w:pPr>
      <w:r>
        <w:rPr>
          <w:rFonts w:hint="eastAsia"/>
          <w:color w:val="auto"/>
          <w:kern w:val="0"/>
          <w:szCs w:val="21"/>
        </w:rPr>
        <w:t>差（</w:t>
      </w:r>
      <w:r>
        <w:rPr>
          <w:rFonts w:hint="eastAsia"/>
          <w:color w:val="auto"/>
          <w:kern w:val="0"/>
          <w:szCs w:val="21"/>
          <w:lang w:val="en-US" w:eastAsia="zh-CN"/>
        </w:rPr>
        <w:t>1</w:t>
      </w:r>
      <w:r>
        <w:rPr>
          <w:rFonts w:hint="eastAsia"/>
          <w:color w:val="auto"/>
          <w:kern w:val="0"/>
          <w:szCs w:val="21"/>
        </w:rPr>
        <w:t xml:space="preserve"> 分）：投入的施工机械、设备、机具无详细的组织计划，设备数量、选型配置、进场时间安排不合理，不能满足施工需要。</w:t>
      </w:r>
    </w:p>
    <w:p>
      <w:pPr>
        <w:keepNext w:val="0"/>
        <w:keepLines w:val="0"/>
        <w:pageBreakBefore w:val="0"/>
        <w:widowControl/>
        <w:kinsoku/>
        <w:wordWrap/>
        <w:overflowPunct/>
        <w:topLinePunct w:val="0"/>
        <w:autoSpaceDE/>
        <w:autoSpaceDN/>
        <w:bidi w:val="0"/>
        <w:adjustRightInd/>
        <w:snapToGrid/>
        <w:spacing w:line="420" w:lineRule="exact"/>
        <w:ind w:firstLine="517" w:firstLineChars="245"/>
        <w:rPr>
          <w:rFonts w:hAnsi="宋体"/>
          <w:b/>
          <w:bCs/>
          <w:color w:val="auto"/>
          <w:szCs w:val="21"/>
        </w:rPr>
      </w:pPr>
      <w:r>
        <w:rPr>
          <w:rFonts w:hint="eastAsia"/>
          <w:b/>
          <w:bCs/>
          <w:color w:val="auto"/>
          <w:kern w:val="0"/>
          <w:szCs w:val="21"/>
          <w:lang w:val="en-US" w:eastAsia="zh-CN"/>
        </w:rPr>
        <w:t>4）</w:t>
      </w:r>
      <w:r>
        <w:rPr>
          <w:rFonts w:hint="eastAsia" w:hAnsi="宋体"/>
          <w:b/>
          <w:bCs/>
          <w:color w:val="auto"/>
          <w:szCs w:val="21"/>
        </w:rPr>
        <w:t>劳动力安排计划（</w:t>
      </w:r>
      <w:r>
        <w:rPr>
          <w:rFonts w:hint="eastAsia" w:hAnsi="宋体"/>
          <w:b/>
          <w:bCs/>
          <w:color w:val="auto"/>
          <w:szCs w:val="21"/>
          <w:lang w:val="en-US" w:eastAsia="zh-CN"/>
        </w:rPr>
        <w:t>5</w:t>
      </w:r>
      <w:r>
        <w:rPr>
          <w:rFonts w:hint="eastAsia" w:hAnsi="宋体"/>
          <w:b/>
          <w:bCs/>
          <w:color w:val="auto"/>
          <w:szCs w:val="21"/>
        </w:rPr>
        <w:t>分）</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 xml:space="preserve">各主要施工工序应有详细周密的劳动力安排计划，有各工种劳动力安排计划，劳动力投入合理，满足施工需要。 </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 xml:space="preserve">优（5 分）：各主要施工工序有详细周密的劳动力安排计划，有各工种劳动力安排计划，劳动力投入合理， 满足施工需要。 </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 xml:space="preserve">良（3 分）：各主要施工工序有劳动力安排计划，有各工种劳动力安排计划，劳动力投入合理，满足施工需要。 </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 xml:space="preserve">中（2 分）：各主要施工工序有劳动力安排计划， 有各工种劳动力安排计划，劳动力投入合理，基本满足施工需要。 </w:t>
      </w:r>
    </w:p>
    <w:p>
      <w:pPr>
        <w:keepNext w:val="0"/>
        <w:keepLines w:val="0"/>
        <w:pageBreakBefore w:val="0"/>
        <w:kinsoku/>
        <w:wordWrap/>
        <w:overflowPunct/>
        <w:topLinePunct w:val="0"/>
        <w:autoSpaceDE/>
        <w:autoSpaceDN/>
        <w:bidi w:val="0"/>
        <w:adjustRightInd/>
        <w:snapToGrid/>
        <w:spacing w:line="420" w:lineRule="exact"/>
        <w:ind w:firstLine="514" w:firstLineChars="245"/>
        <w:rPr>
          <w:rFonts w:hint="eastAsia"/>
          <w:color w:val="auto"/>
          <w:kern w:val="0"/>
          <w:szCs w:val="21"/>
        </w:rPr>
      </w:pPr>
      <w:r>
        <w:rPr>
          <w:rFonts w:hint="eastAsia"/>
          <w:color w:val="auto"/>
          <w:kern w:val="0"/>
          <w:szCs w:val="21"/>
        </w:rPr>
        <w:t>差（</w:t>
      </w:r>
      <w:r>
        <w:rPr>
          <w:rFonts w:hint="eastAsia"/>
          <w:color w:val="auto"/>
          <w:kern w:val="0"/>
          <w:szCs w:val="21"/>
          <w:lang w:val="en-US" w:eastAsia="zh-CN"/>
        </w:rPr>
        <w:t>1</w:t>
      </w:r>
      <w:r>
        <w:rPr>
          <w:rFonts w:hint="eastAsia"/>
          <w:color w:val="auto"/>
          <w:kern w:val="0"/>
          <w:szCs w:val="21"/>
        </w:rPr>
        <w:t xml:space="preserve"> 分）：各主要施工工序无详细周密的劳动力安排计划，无各工种劳动力安排计划，劳动力投入不合理，不能满足施工需要。</w:t>
      </w:r>
    </w:p>
    <w:p>
      <w:pPr>
        <w:keepNext w:val="0"/>
        <w:keepLines w:val="0"/>
        <w:pageBreakBefore w:val="0"/>
        <w:widowControl/>
        <w:kinsoku/>
        <w:wordWrap/>
        <w:overflowPunct/>
        <w:topLinePunct w:val="0"/>
        <w:autoSpaceDE/>
        <w:autoSpaceDN/>
        <w:bidi w:val="0"/>
        <w:adjustRightInd/>
        <w:snapToGrid/>
        <w:spacing w:line="420" w:lineRule="exact"/>
        <w:ind w:firstLine="517" w:firstLineChars="245"/>
        <w:rPr>
          <w:rFonts w:hAnsi="宋体"/>
          <w:b/>
          <w:color w:val="auto"/>
          <w:szCs w:val="21"/>
        </w:rPr>
      </w:pPr>
      <w:r>
        <w:rPr>
          <w:rFonts w:hint="eastAsia"/>
          <w:b/>
          <w:color w:val="auto"/>
          <w:kern w:val="0"/>
          <w:szCs w:val="21"/>
          <w:lang w:val="en-US" w:eastAsia="zh-CN"/>
        </w:rPr>
        <w:t>5）</w:t>
      </w:r>
      <w:r>
        <w:rPr>
          <w:rFonts w:hint="eastAsia" w:hAnsi="宋体"/>
          <w:b/>
          <w:color w:val="auto"/>
          <w:szCs w:val="21"/>
        </w:rPr>
        <w:t>确保安全生产的技术组织措施（</w:t>
      </w:r>
      <w:r>
        <w:rPr>
          <w:rFonts w:hint="eastAsia" w:hAnsi="宋体"/>
          <w:b/>
          <w:color w:val="auto"/>
          <w:szCs w:val="21"/>
          <w:lang w:val="en-US" w:eastAsia="zh-CN"/>
        </w:rPr>
        <w:t>5</w:t>
      </w:r>
      <w:r>
        <w:rPr>
          <w:rFonts w:hint="eastAsia" w:hAnsi="宋体"/>
          <w:b/>
          <w:color w:val="auto"/>
          <w:szCs w:val="21"/>
        </w:rPr>
        <w:t>分）</w:t>
      </w:r>
      <w:r>
        <w:rPr>
          <w:rFonts w:hint="eastAsia" w:hAnsi="宋体"/>
          <w:b/>
          <w:color w:val="auto"/>
          <w:szCs w:val="21"/>
        </w:rPr>
        <w:tab/>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 xml:space="preserve">应有专门的安全管理人员和制度，且人员配备合理，制度健全，各道工序安全技术措施针对性强，符合实际且满足有关安全技术标准要求。现场防火、应急救援、社会治安安全措施得力。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 xml:space="preserve">优（5 分）：有专门的安全管理人员和制度，且人员配备合理，制度健全，各道工序安全技术措施针对性强，符合实际且满足有关安全技术标准要求。现场防火、应急救援、社会治安安全措施得力。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 xml:space="preserve">良（3分）：有专门的安全管理人员和制度，且人员配备合理，制度健全，各道工序安全技术措施有针对性，符合实际且满足有关安全技术标准要求。现场防火、应急救援、社会治安安全措施一般。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中（2 分）：有专门的安全管理人员和制度，且人员配备合理，制度健全，各道工序安全技术措施针对性一般，符合实际且满足有关安全技术标准要求。现场防火、应急救援、社会治安安全措施一般。</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差（</w:t>
      </w:r>
      <w:r>
        <w:rPr>
          <w:rFonts w:hint="eastAsia" w:hAnsi="宋体"/>
          <w:color w:val="auto"/>
          <w:szCs w:val="21"/>
          <w:lang w:val="en-US" w:eastAsia="zh-CN"/>
        </w:rPr>
        <w:t>1</w:t>
      </w:r>
      <w:r>
        <w:rPr>
          <w:rFonts w:hint="eastAsia" w:hAnsi="宋体"/>
          <w:color w:val="auto"/>
          <w:szCs w:val="21"/>
        </w:rPr>
        <w:t xml:space="preserve"> 分）：有专门的安全管理人员和制度，人员配备不合理，制度不健全，各道工序安全技术措施无针对性，不满足有关安全技术标准要求。现场防火、应急救援、社会治安安全措施不得力。</w:t>
      </w:r>
    </w:p>
    <w:p>
      <w:pPr>
        <w:keepNext w:val="0"/>
        <w:keepLines w:val="0"/>
        <w:pageBreakBefore w:val="0"/>
        <w:widowControl/>
        <w:kinsoku/>
        <w:wordWrap/>
        <w:overflowPunct/>
        <w:topLinePunct w:val="0"/>
        <w:autoSpaceDE/>
        <w:autoSpaceDN/>
        <w:bidi w:val="0"/>
        <w:adjustRightInd/>
        <w:snapToGrid/>
        <w:spacing w:line="420" w:lineRule="exact"/>
        <w:ind w:firstLine="517" w:firstLineChars="245"/>
        <w:rPr>
          <w:rFonts w:hAnsi="宋体"/>
          <w:b/>
          <w:color w:val="auto"/>
          <w:szCs w:val="21"/>
        </w:rPr>
      </w:pPr>
      <w:r>
        <w:rPr>
          <w:rFonts w:hint="eastAsia" w:hAnsi="宋体"/>
          <w:b/>
          <w:color w:val="auto"/>
          <w:szCs w:val="21"/>
          <w:lang w:val="en-US" w:eastAsia="zh-CN"/>
        </w:rPr>
        <w:t>6）</w:t>
      </w:r>
      <w:r>
        <w:rPr>
          <w:rFonts w:hint="eastAsia" w:hAnsi="宋体"/>
          <w:b/>
          <w:color w:val="auto"/>
          <w:szCs w:val="21"/>
        </w:rPr>
        <w:t>确保工期的技术组织措施（</w:t>
      </w:r>
      <w:r>
        <w:rPr>
          <w:rFonts w:hint="eastAsia" w:hAnsi="宋体"/>
          <w:b/>
          <w:color w:val="auto"/>
          <w:szCs w:val="21"/>
          <w:lang w:val="en-US" w:eastAsia="zh-CN"/>
        </w:rPr>
        <w:t>9</w:t>
      </w:r>
      <w:r>
        <w:rPr>
          <w:rFonts w:hint="eastAsia" w:hAnsi="宋体"/>
          <w:b/>
          <w:color w:val="auto"/>
          <w:szCs w:val="21"/>
        </w:rPr>
        <w:t>分）</w:t>
      </w:r>
      <w:r>
        <w:rPr>
          <w:rFonts w:hint="eastAsia" w:hAnsi="宋体"/>
          <w:b/>
          <w:color w:val="auto"/>
          <w:szCs w:val="21"/>
        </w:rPr>
        <w:tab/>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在施工工艺、施工方法、材料选用、劳动力安排、技术等方面有保证工期的具体措施且</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 xml:space="preserve">措施得当。有控制工期的施工进度计划。应有施工总进度表或施工网络图，各项计划图表编制完善，安排科学合理，符合本项目施工实际要求。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优（</w:t>
      </w:r>
      <w:r>
        <w:rPr>
          <w:rFonts w:hint="eastAsia" w:hAnsi="宋体"/>
          <w:color w:val="auto"/>
          <w:szCs w:val="21"/>
          <w:lang w:val="en-US" w:eastAsia="zh-CN"/>
        </w:rPr>
        <w:t>9</w:t>
      </w:r>
      <w:r>
        <w:rPr>
          <w:rFonts w:hint="eastAsia" w:hAnsi="宋体"/>
          <w:color w:val="auto"/>
          <w:szCs w:val="21"/>
        </w:rPr>
        <w:t xml:space="preserve"> 分）：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良（</w:t>
      </w:r>
      <w:r>
        <w:rPr>
          <w:rFonts w:hint="eastAsia" w:hAnsi="宋体"/>
          <w:color w:val="auto"/>
          <w:szCs w:val="21"/>
          <w:lang w:val="en-US" w:eastAsia="zh-CN"/>
        </w:rPr>
        <w:t>6</w:t>
      </w:r>
      <w:r>
        <w:rPr>
          <w:rFonts w:hint="eastAsia" w:hAnsi="宋体"/>
          <w:color w:val="auto"/>
          <w:szCs w:val="21"/>
        </w:rPr>
        <w:t xml:space="preserve">分）：在施工工艺、施工方法、材料选用、劳动力安排、技术等方面有保证工期的具体措施但措施一般。有控制工期的施工进度计划。有施工总进度表或施工网络图，各项计划图表编制一般，安排合理，符合本项目施工实际要求。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中（</w:t>
      </w:r>
      <w:r>
        <w:rPr>
          <w:rFonts w:hint="eastAsia" w:hAnsi="宋体"/>
          <w:color w:val="auto"/>
          <w:szCs w:val="21"/>
          <w:lang w:val="en-US" w:eastAsia="zh-CN"/>
        </w:rPr>
        <w:t>3</w:t>
      </w:r>
      <w:r>
        <w:rPr>
          <w:rFonts w:hint="eastAsia" w:hAnsi="宋体"/>
          <w:color w:val="auto"/>
          <w:szCs w:val="21"/>
        </w:rPr>
        <w:t xml:space="preserve"> 分）：在施工工艺、施工方法、材料选用、劳动力安排、技术等方面有保证工期的具体措施但措施一般。有控制工期的施工进度计划。有施工总进度表或施工网络图，各项计划图表编制一般，安排基本合理，基本符合本项目施工实际要求。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差（</w:t>
      </w:r>
      <w:r>
        <w:rPr>
          <w:rFonts w:hint="eastAsia" w:hAnsi="宋体"/>
          <w:color w:val="auto"/>
          <w:szCs w:val="21"/>
          <w:lang w:val="en-US" w:eastAsia="zh-CN"/>
        </w:rPr>
        <w:t>1</w:t>
      </w:r>
      <w:r>
        <w:rPr>
          <w:rFonts w:hint="eastAsia" w:hAnsi="宋体"/>
          <w:color w:val="auto"/>
          <w:szCs w:val="21"/>
        </w:rPr>
        <w:t xml:space="preserve"> 分）：在施工工艺、施工方法、材料选用、劳动力安排、技术等方面有保证工期的具体措施但措施较差。有控制工期的施工进度计划。无施工总进度表或施工网络图，不符合本项目施工实际要求。</w:t>
      </w:r>
    </w:p>
    <w:p>
      <w:pPr>
        <w:keepNext w:val="0"/>
        <w:keepLines w:val="0"/>
        <w:pageBreakBefore w:val="0"/>
        <w:widowControl/>
        <w:numPr>
          <w:ilvl w:val="0"/>
          <w:numId w:val="7"/>
        </w:numPr>
        <w:kinsoku/>
        <w:wordWrap/>
        <w:overflowPunct/>
        <w:topLinePunct w:val="0"/>
        <w:autoSpaceDE/>
        <w:autoSpaceDN/>
        <w:bidi w:val="0"/>
        <w:adjustRightInd/>
        <w:snapToGrid/>
        <w:spacing w:line="420" w:lineRule="exact"/>
        <w:ind w:firstLine="517" w:firstLineChars="245"/>
        <w:rPr>
          <w:rFonts w:hint="eastAsia" w:hAnsi="宋体"/>
          <w:color w:val="auto"/>
          <w:szCs w:val="21"/>
        </w:rPr>
      </w:pPr>
      <w:r>
        <w:rPr>
          <w:rFonts w:hint="eastAsia" w:hAnsi="宋体"/>
          <w:b/>
          <w:color w:val="auto"/>
          <w:szCs w:val="21"/>
        </w:rPr>
        <w:t>确保文明施工的技术组织措施（</w:t>
      </w:r>
      <w:r>
        <w:rPr>
          <w:rFonts w:hint="eastAsia" w:hAnsi="宋体"/>
          <w:b/>
          <w:color w:val="auto"/>
          <w:szCs w:val="21"/>
          <w:lang w:val="en-US" w:eastAsia="zh-CN"/>
        </w:rPr>
        <w:t>9</w:t>
      </w:r>
      <w:r>
        <w:rPr>
          <w:rFonts w:hint="eastAsia" w:hAnsi="宋体"/>
          <w:b/>
          <w:color w:val="auto"/>
          <w:szCs w:val="21"/>
        </w:rPr>
        <w:t>分）</w:t>
      </w:r>
      <w:r>
        <w:rPr>
          <w:rFonts w:hint="eastAsia" w:hAnsi="宋体"/>
          <w:b/>
          <w:color w:val="auto"/>
          <w:szCs w:val="21"/>
        </w:rPr>
        <w:tab/>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20" w:firstLineChars="200"/>
        <w:rPr>
          <w:rFonts w:hint="eastAsia" w:hAnsi="宋体"/>
          <w:color w:val="auto"/>
          <w:szCs w:val="21"/>
        </w:rPr>
      </w:pPr>
      <w:r>
        <w:rPr>
          <w:rFonts w:hint="eastAsia" w:hAnsi="宋体"/>
          <w:color w:val="auto"/>
          <w:szCs w:val="21"/>
        </w:rPr>
        <w:t xml:space="preserve">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优（</w:t>
      </w:r>
      <w:r>
        <w:rPr>
          <w:rFonts w:hint="eastAsia" w:hAnsi="宋体"/>
          <w:color w:val="auto"/>
          <w:szCs w:val="21"/>
          <w:lang w:val="en-US" w:eastAsia="zh-CN"/>
        </w:rPr>
        <w:t>9</w:t>
      </w:r>
      <w:r>
        <w:rPr>
          <w:rFonts w:hint="eastAsia" w:hAnsi="宋体"/>
          <w:color w:val="auto"/>
          <w:szCs w:val="21"/>
        </w:rPr>
        <w:t xml:space="preserve"> 分）：针对本工程项目特点，有现场文明施工、环境保护措施，且措施内容应达到《建筑施工安全生产检查标准》（JGJ59-2011）合格标准并符合《广西壮族自治区建筑工程文明施工导则》要求。各项措施周全、具体、有效。有具体实现现场文明施工目标的承诺。</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良（</w:t>
      </w:r>
      <w:r>
        <w:rPr>
          <w:rFonts w:hint="eastAsia" w:hAnsi="宋体"/>
          <w:color w:val="auto"/>
          <w:szCs w:val="21"/>
          <w:lang w:val="en-US" w:eastAsia="zh-CN"/>
        </w:rPr>
        <w:t>6</w:t>
      </w:r>
      <w:r>
        <w:rPr>
          <w:rFonts w:hint="eastAsia" w:hAnsi="宋体"/>
          <w:color w:val="auto"/>
          <w:szCs w:val="21"/>
        </w:rPr>
        <w:t xml:space="preserve"> 分）：针对本工程项目特点，有现场文明施工、环境保护措施，且措施内容应达到《建筑施工安全生产检查标准》（JGJ59-2011）合格标准并符合《广西壮族自治区建筑工程文明施工导则》要求。各项措施具体、有效。有具体实现现场文明施工目标的承诺。</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中（</w:t>
      </w:r>
      <w:r>
        <w:rPr>
          <w:rFonts w:hint="eastAsia" w:hAnsi="宋体"/>
          <w:color w:val="auto"/>
          <w:szCs w:val="21"/>
          <w:lang w:val="en-US" w:eastAsia="zh-CN"/>
        </w:rPr>
        <w:t>3</w:t>
      </w:r>
      <w:r>
        <w:rPr>
          <w:rFonts w:hint="eastAsia" w:hAnsi="宋体"/>
          <w:color w:val="auto"/>
          <w:szCs w:val="21"/>
        </w:rPr>
        <w:t xml:space="preserve">分）：针对本工程项目特点，有现场文明施工、环境保护措施，且措施内容应达到《建筑施工安全生产检查标准》（JGJ59-2011）合格标准并符合《广西壮族自治区建筑工程文明施工导则》要求。各项措施一般。有具体实现现场文明施工目标的承诺。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Ansi="宋体"/>
          <w:color w:val="auto"/>
          <w:szCs w:val="21"/>
        </w:rPr>
      </w:pPr>
      <w:r>
        <w:rPr>
          <w:rFonts w:hint="eastAsia" w:hAnsi="宋体"/>
          <w:color w:val="auto"/>
          <w:szCs w:val="21"/>
        </w:rPr>
        <w:t>差（</w:t>
      </w:r>
      <w:r>
        <w:rPr>
          <w:rFonts w:hint="eastAsia" w:hAnsi="宋体"/>
          <w:color w:val="auto"/>
          <w:szCs w:val="21"/>
          <w:lang w:val="en-US" w:eastAsia="zh-CN"/>
        </w:rPr>
        <w:t>1</w:t>
      </w:r>
      <w:r>
        <w:rPr>
          <w:rFonts w:hint="eastAsia" w:hAnsi="宋体"/>
          <w:color w:val="auto"/>
          <w:szCs w:val="21"/>
        </w:rPr>
        <w:t xml:space="preserve"> 分）：针对本工程项目特点，有现场文明施工、环境保护措施，且措施内容应达到《建筑施工安全生产检查标准》（JGJ59-2011）合格标准并符合《广西壮族自治区建筑工程文明施工导则》要求。各项措施不合理。无具体实现现场文明施工目标的承诺。</w:t>
      </w:r>
    </w:p>
    <w:p>
      <w:pPr>
        <w:keepNext w:val="0"/>
        <w:keepLines w:val="0"/>
        <w:pageBreakBefore w:val="0"/>
        <w:widowControl/>
        <w:kinsoku/>
        <w:wordWrap/>
        <w:overflowPunct/>
        <w:topLinePunct w:val="0"/>
        <w:autoSpaceDE/>
        <w:autoSpaceDN/>
        <w:bidi w:val="0"/>
        <w:adjustRightInd/>
        <w:snapToGrid/>
        <w:spacing w:line="420" w:lineRule="exact"/>
        <w:ind w:firstLine="517" w:firstLineChars="245"/>
        <w:rPr>
          <w:rFonts w:hAnsi="宋体"/>
          <w:b/>
          <w:color w:val="auto"/>
          <w:szCs w:val="21"/>
        </w:rPr>
      </w:pPr>
      <w:r>
        <w:rPr>
          <w:rFonts w:hint="eastAsia" w:hAnsi="宋体"/>
          <w:b/>
          <w:color w:val="auto"/>
          <w:szCs w:val="21"/>
          <w:lang w:val="en-US" w:eastAsia="zh-CN"/>
        </w:rPr>
        <w:t>8）</w:t>
      </w:r>
      <w:r>
        <w:rPr>
          <w:rFonts w:hint="eastAsia" w:hAnsi="宋体"/>
          <w:b/>
          <w:color w:val="auto"/>
          <w:szCs w:val="21"/>
        </w:rPr>
        <w:t>施工总平面布置图（</w:t>
      </w:r>
      <w:r>
        <w:rPr>
          <w:rFonts w:hint="eastAsia" w:hAnsi="宋体"/>
          <w:b/>
          <w:color w:val="auto"/>
          <w:szCs w:val="21"/>
          <w:lang w:val="en-US" w:eastAsia="zh-CN"/>
        </w:rPr>
        <w:t>5</w:t>
      </w:r>
      <w:r>
        <w:rPr>
          <w:rFonts w:hint="eastAsia" w:hAnsi="宋体"/>
          <w:b/>
          <w:color w:val="auto"/>
          <w:szCs w:val="21"/>
        </w:rPr>
        <w:t>分）</w:t>
      </w:r>
      <w:r>
        <w:rPr>
          <w:rFonts w:hint="eastAsia" w:hAnsi="宋体"/>
          <w:b/>
          <w:color w:val="auto"/>
          <w:szCs w:val="21"/>
        </w:rPr>
        <w:tab/>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 xml:space="preserve">应有施工总平面布置图，安排科学合理，符合本项目施工实际要求。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优（</w:t>
      </w:r>
      <w:r>
        <w:rPr>
          <w:rFonts w:hint="eastAsia" w:hAnsi="宋体"/>
          <w:color w:val="auto"/>
          <w:szCs w:val="21"/>
          <w:lang w:val="en-US" w:eastAsia="zh-CN"/>
        </w:rPr>
        <w:t>5</w:t>
      </w:r>
      <w:r>
        <w:rPr>
          <w:rFonts w:hint="eastAsia" w:hAnsi="宋体"/>
          <w:color w:val="auto"/>
          <w:szCs w:val="21"/>
        </w:rPr>
        <w:t xml:space="preserve"> 分）：有施工总平面布置图，安排科学合理，完全符合本项目施工实际要求。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良（</w:t>
      </w:r>
      <w:r>
        <w:rPr>
          <w:rFonts w:hint="eastAsia" w:hAnsi="宋体"/>
          <w:color w:val="auto"/>
          <w:szCs w:val="21"/>
          <w:lang w:val="en-US" w:eastAsia="zh-CN"/>
        </w:rPr>
        <w:t>3</w:t>
      </w:r>
      <w:r>
        <w:rPr>
          <w:rFonts w:hint="eastAsia" w:hAnsi="宋体"/>
          <w:color w:val="auto"/>
          <w:szCs w:val="21"/>
        </w:rPr>
        <w:t xml:space="preserve"> 分）：有施工 总平面布置图，安排合理，符合本项目施工实际要求。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hAnsi="宋体"/>
          <w:color w:val="auto"/>
          <w:szCs w:val="21"/>
        </w:rPr>
      </w:pPr>
      <w:r>
        <w:rPr>
          <w:rFonts w:hint="eastAsia" w:hAnsi="宋体"/>
          <w:color w:val="auto"/>
          <w:szCs w:val="21"/>
        </w:rPr>
        <w:t>中（</w:t>
      </w:r>
      <w:r>
        <w:rPr>
          <w:rFonts w:hint="eastAsia" w:hAnsi="宋体"/>
          <w:color w:val="auto"/>
          <w:szCs w:val="21"/>
          <w:lang w:val="en-US" w:eastAsia="zh-CN"/>
        </w:rPr>
        <w:t>2</w:t>
      </w:r>
      <w:r>
        <w:rPr>
          <w:rFonts w:hint="eastAsia" w:hAnsi="宋体"/>
          <w:color w:val="auto"/>
          <w:szCs w:val="21"/>
        </w:rPr>
        <w:t xml:space="preserve"> 分）：有施工总平面布置图，安排基本合理，基本符合本项目施工实际要求。 </w:t>
      </w:r>
    </w:p>
    <w:p>
      <w:pPr>
        <w:keepNext w:val="0"/>
        <w:keepLines w:val="0"/>
        <w:pageBreakBefore w:val="0"/>
        <w:widowControl/>
        <w:kinsoku/>
        <w:wordWrap/>
        <w:overflowPunct/>
        <w:topLinePunct w:val="0"/>
        <w:autoSpaceDE/>
        <w:autoSpaceDN/>
        <w:bidi w:val="0"/>
        <w:adjustRightInd/>
        <w:snapToGrid/>
        <w:spacing w:line="420" w:lineRule="exact"/>
        <w:ind w:firstLine="514" w:firstLineChars="245"/>
        <w:rPr>
          <w:rFonts w:hint="eastAsia"/>
        </w:rPr>
      </w:pPr>
      <w:r>
        <w:rPr>
          <w:rFonts w:hint="eastAsia" w:hAnsi="宋体"/>
          <w:color w:val="auto"/>
          <w:szCs w:val="21"/>
        </w:rPr>
        <w:t>差（</w:t>
      </w:r>
      <w:r>
        <w:rPr>
          <w:rFonts w:hint="eastAsia" w:hAnsi="宋体"/>
          <w:color w:val="auto"/>
          <w:szCs w:val="21"/>
          <w:lang w:val="en-US" w:eastAsia="zh-CN"/>
        </w:rPr>
        <w:t>1</w:t>
      </w:r>
      <w:r>
        <w:rPr>
          <w:rFonts w:hint="eastAsia" w:hAnsi="宋体"/>
          <w:color w:val="auto"/>
          <w:szCs w:val="21"/>
        </w:rPr>
        <w:t xml:space="preserve"> 分）：有施工总平面布置图，安排不合理，不符合本项目施工实际要求。</w:t>
      </w:r>
    </w:p>
    <w:p>
      <w:pPr>
        <w:pStyle w:val="28"/>
        <w:keepNext w:val="0"/>
        <w:keepLines w:val="0"/>
        <w:pageBreakBefore w:val="0"/>
        <w:numPr>
          <w:ilvl w:val="0"/>
          <w:numId w:val="8"/>
        </w:numPr>
        <w:kinsoku/>
        <w:wordWrap/>
        <w:overflowPunct/>
        <w:topLinePunct w:val="0"/>
        <w:autoSpaceDE/>
        <w:autoSpaceDN/>
        <w:bidi w:val="0"/>
        <w:adjustRightInd/>
        <w:snapToGrid/>
        <w:spacing w:line="420" w:lineRule="exact"/>
        <w:ind w:left="-134" w:leftChars="-64" w:firstLine="527" w:firstLineChars="250"/>
        <w:rPr>
          <w:rFonts w:hint="eastAsia" w:hAnsi="宋体"/>
          <w:b/>
          <w:color w:val="auto"/>
          <w:szCs w:val="21"/>
        </w:rPr>
      </w:pPr>
      <w:r>
        <w:rPr>
          <w:rFonts w:hint="eastAsia" w:hAnsi="宋体"/>
          <w:b/>
          <w:color w:val="auto"/>
          <w:szCs w:val="21"/>
        </w:rPr>
        <w:t>总得分=价格分+技术分</w:t>
      </w:r>
    </w:p>
    <w:p>
      <w:pPr>
        <w:keepNext w:val="0"/>
        <w:keepLines w:val="0"/>
        <w:pageBreakBefore w:val="0"/>
        <w:kinsoku/>
        <w:wordWrap/>
        <w:overflowPunct/>
        <w:topLinePunct w:val="0"/>
        <w:autoSpaceDE/>
        <w:autoSpaceDN/>
        <w:bidi w:val="0"/>
        <w:adjustRightInd/>
        <w:snapToGrid/>
        <w:spacing w:line="420" w:lineRule="exact"/>
        <w:ind w:firstLine="527" w:firstLineChars="250"/>
        <w:rPr>
          <w:rFonts w:hAnsi="宋体"/>
          <w:b/>
          <w:color w:val="auto"/>
          <w:szCs w:val="21"/>
        </w:rPr>
      </w:pPr>
      <w:r>
        <w:rPr>
          <w:rFonts w:hint="eastAsia" w:hAnsi="宋体"/>
          <w:b/>
          <w:color w:val="auto"/>
          <w:szCs w:val="21"/>
        </w:rPr>
        <w:t>二、成交候选供应商推荐原则：</w:t>
      </w:r>
    </w:p>
    <w:p>
      <w:pPr>
        <w:keepNext w:val="0"/>
        <w:keepLines w:val="0"/>
        <w:pageBreakBefore w:val="0"/>
        <w:widowControl/>
        <w:kinsoku/>
        <w:wordWrap/>
        <w:overflowPunct/>
        <w:topLinePunct w:val="0"/>
        <w:autoSpaceDE/>
        <w:autoSpaceDN/>
        <w:bidi w:val="0"/>
        <w:adjustRightInd/>
        <w:snapToGrid/>
        <w:spacing w:line="420" w:lineRule="exact"/>
        <w:ind w:firstLine="514" w:firstLineChars="245"/>
        <w:textAlignment w:val="auto"/>
        <w:rPr>
          <w:rFonts w:hint="eastAsia" w:hAnsi="宋体"/>
          <w:color w:val="auto"/>
          <w:szCs w:val="21"/>
        </w:rPr>
      </w:pPr>
      <w:r>
        <w:rPr>
          <w:rFonts w:hint="eastAsia" w:hAnsi="宋体"/>
          <w:color w:val="auto"/>
          <w:szCs w:val="21"/>
        </w:rPr>
        <w:t>在响应文件通过资格</w:t>
      </w:r>
      <w:r>
        <w:rPr>
          <w:rFonts w:hint="eastAsia" w:hAnsi="宋体"/>
          <w:color w:val="auto"/>
          <w:szCs w:val="21"/>
          <w:lang w:val="en-US" w:eastAsia="zh-CN"/>
        </w:rPr>
        <w:t>性审查及有效的磋商报价</w:t>
      </w:r>
      <w:r>
        <w:rPr>
          <w:rFonts w:hint="eastAsia" w:hAnsi="宋体"/>
          <w:color w:val="auto"/>
          <w:szCs w:val="21"/>
        </w:rPr>
        <w:t>评审的前提下，磋商小组将根据总得分由高到低排列次序顺序推荐3名以上成交候选供应商。总得分相同的，按照最后报价由低到高的顺序推荐；总得分且最后报价相同的，按照技术得分由高到低的顺序推荐。采购单位应当确定磋商小组推荐排名第一的成交候选供应商为成交供应商。排名第一的成交候选供应商放弃成交、因不可抗力提出不能履行合同，或者</w:t>
      </w:r>
      <w:r>
        <w:rPr>
          <w:rFonts w:hint="eastAsia" w:hAnsi="宋体"/>
          <w:color w:val="auto"/>
          <w:szCs w:val="21"/>
          <w:lang w:eastAsia="zh-CN"/>
        </w:rPr>
        <w:t>磋商</w:t>
      </w:r>
      <w:r>
        <w:rPr>
          <w:rFonts w:hint="eastAsia" w:hAnsi="宋体"/>
          <w:color w:val="auto"/>
          <w:szCs w:val="21"/>
        </w:rPr>
        <w:t>文件规定应当提交履约保证金而在规定的期限内未能提交的，采购单位可以确定排名第二的成交候选供应商为成交供应商。排名第二的成交候选供应商因前款规定的同样原因不能签订合同的，采购单位可以确定排名第三的成交候选供应商为成交供应商，其余以此类推。采购单位也可以重新进行政府采购活动。</w:t>
      </w:r>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rPr>
          <w:rFonts w:hint="eastAsia" w:ascii="宋体" w:hAnsi="宋体" w:eastAsia="宋体" w:cs="宋体"/>
          <w:b/>
          <w:bCs/>
          <w:color w:val="auto"/>
          <w:kern w:val="2"/>
          <w:sz w:val="32"/>
          <w:szCs w:val="32"/>
          <w:lang w:val="en-US" w:eastAsia="zh-CN" w:bidi="ar-SA"/>
        </w:rPr>
      </w:pPr>
      <w:r>
        <w:rPr>
          <w:rFonts w:asciiTheme="minorEastAsia" w:hAnsiTheme="minorEastAsia" w:eastAsiaTheme="minorEastAsia"/>
          <w:color w:val="auto"/>
          <w:sz w:val="32"/>
          <w:szCs w:val="32"/>
        </w:rPr>
        <w:br w:type="page"/>
      </w:r>
      <w:bookmarkStart w:id="29" w:name="_Toc29878"/>
      <w:bookmarkStart w:id="30" w:name="_Toc453681441"/>
      <w:r>
        <w:rPr>
          <w:rFonts w:hint="eastAsia" w:ascii="宋体" w:hAnsi="宋体" w:eastAsia="宋体" w:cs="宋体"/>
          <w:b/>
          <w:bCs/>
          <w:color w:val="auto"/>
          <w:kern w:val="2"/>
          <w:sz w:val="32"/>
          <w:szCs w:val="32"/>
          <w:lang w:val="en-US" w:eastAsia="zh-CN" w:bidi="ar-SA"/>
        </w:rPr>
        <w:t>第四</w:t>
      </w:r>
      <w:r>
        <w:rPr>
          <w:rFonts w:hint="eastAsia" w:ascii="宋体" w:hAnsi="宋体" w:eastAsia="宋体" w:cs="宋体"/>
          <w:color w:val="auto"/>
          <w:lang w:val="en-US" w:eastAsia="zh-CN"/>
        </w:rPr>
        <w:t>章  图纸</w:t>
      </w:r>
      <w:r>
        <w:rPr>
          <w:rFonts w:hint="eastAsia" w:ascii="宋体" w:hAnsi="宋体" w:eastAsia="宋体" w:cs="宋体"/>
          <w:b/>
          <w:bCs/>
          <w:color w:val="auto"/>
          <w:kern w:val="2"/>
          <w:sz w:val="32"/>
          <w:szCs w:val="32"/>
          <w:lang w:val="en-US" w:eastAsia="zh-CN" w:bidi="ar-SA"/>
        </w:rPr>
        <w:t>及工程量清单</w:t>
      </w:r>
      <w:bookmarkEnd w:id="29"/>
      <w:bookmarkEnd w:id="30"/>
    </w:p>
    <w:p>
      <w:pPr>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一、图纸（</w:t>
      </w:r>
      <w:r>
        <w:rPr>
          <w:rFonts w:hint="eastAsia" w:asciiTheme="minorEastAsia" w:hAnsiTheme="minorEastAsia" w:eastAsiaTheme="minorEastAsia"/>
          <w:b/>
          <w:color w:val="auto"/>
          <w:sz w:val="24"/>
          <w:szCs w:val="24"/>
          <w:lang w:val="en-US" w:eastAsia="zh-CN"/>
        </w:rPr>
        <w:t>另册</w:t>
      </w:r>
      <w:r>
        <w:rPr>
          <w:rFonts w:hint="eastAsia" w:asciiTheme="minorEastAsia" w:hAnsiTheme="minorEastAsia" w:eastAsiaTheme="minorEastAsia"/>
          <w:b/>
          <w:color w:val="auto"/>
          <w:sz w:val="24"/>
          <w:szCs w:val="24"/>
        </w:rPr>
        <w:t>）</w:t>
      </w:r>
    </w:p>
    <w:p>
      <w:pPr>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二、工程量清单（另册</w:t>
      </w:r>
      <w:r>
        <w:rPr>
          <w:rFonts w:asciiTheme="minorEastAsia" w:hAnsiTheme="minorEastAsia" w:eastAsiaTheme="minorEastAsia"/>
          <w:b/>
          <w:color w:val="auto"/>
          <w:sz w:val="24"/>
          <w:szCs w:val="24"/>
        </w:rPr>
        <w:t>发放</w:t>
      </w:r>
      <w:r>
        <w:rPr>
          <w:rFonts w:hint="eastAsia" w:asciiTheme="minorEastAsia" w:hAnsiTheme="minorEastAsia" w:eastAsiaTheme="minorEastAsia"/>
          <w:b/>
          <w:color w:val="auto"/>
          <w:sz w:val="24"/>
          <w:szCs w:val="24"/>
        </w:rPr>
        <w:t>）</w:t>
      </w:r>
    </w:p>
    <w:p>
      <w:pPr>
        <w:pStyle w:val="4"/>
        <w:rPr>
          <w:rFonts w:asciiTheme="minorEastAsia" w:hAnsiTheme="minorEastAsia" w:eastAsiaTheme="minorEastAsia"/>
          <w:color w:val="auto"/>
          <w:kern w:val="44"/>
          <w:sz w:val="21"/>
          <w:szCs w:val="21"/>
        </w:rPr>
      </w:pPr>
      <w:bookmarkStart w:id="31" w:name="_Toc453680970"/>
      <w:bookmarkStart w:id="32" w:name="_Toc453681442"/>
      <w:r>
        <w:rPr>
          <w:rFonts w:hint="eastAsia" w:asciiTheme="minorEastAsia" w:hAnsiTheme="minorEastAsia" w:eastAsiaTheme="minorEastAsia"/>
          <w:b w:val="0"/>
          <w:color w:val="auto"/>
          <w:sz w:val="21"/>
          <w:szCs w:val="21"/>
        </w:rPr>
        <w:t>1</w:t>
      </w:r>
      <w:bookmarkStart w:id="33" w:name="_Toc395382584"/>
      <w:r>
        <w:rPr>
          <w:rFonts w:hint="eastAsia" w:asciiTheme="minorEastAsia" w:hAnsiTheme="minorEastAsia" w:eastAsiaTheme="minorEastAsia"/>
          <w:b w:val="0"/>
          <w:color w:val="auto"/>
          <w:sz w:val="21"/>
          <w:szCs w:val="21"/>
        </w:rPr>
        <w:t>.</w:t>
      </w:r>
      <w:r>
        <w:rPr>
          <w:rFonts w:asciiTheme="minorEastAsia" w:hAnsiTheme="minorEastAsia" w:eastAsiaTheme="minorEastAsia"/>
          <w:color w:val="auto"/>
          <w:sz w:val="21"/>
          <w:szCs w:val="21"/>
        </w:rPr>
        <w:t>工程量清单编制说明</w:t>
      </w:r>
      <w:bookmarkEnd w:id="31"/>
      <w:bookmarkEnd w:id="32"/>
      <w:bookmarkEnd w:id="33"/>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1.1本工程量清单依据</w:t>
      </w:r>
      <w:r>
        <w:rPr>
          <w:rFonts w:hint="eastAsia" w:asciiTheme="minorEastAsia" w:hAnsiTheme="minorEastAsia" w:eastAsiaTheme="minorEastAsia"/>
          <w:color w:val="auto"/>
          <w:szCs w:val="21"/>
        </w:rPr>
        <w:t>中国建设工程造价管理协会中价协[2002]第016号《工程造价咨询业务操作指导规程》</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《建设工程工程量清单计价规范》（GB50500-2013）</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《建设工程工程量清单计算规范》 （GB50854～50862-2013）</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《建设工程工程量清单计价规范》（GB50500-2013）广西壮族自治区实施细则</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《建设工程工程量清单计算规范》  （GB50854～50862-2013）广西壮族自治区实施细则（修订本）、采购</w:t>
      </w:r>
      <w:r>
        <w:rPr>
          <w:rFonts w:asciiTheme="minorEastAsia" w:hAnsiTheme="minorEastAsia" w:eastAsiaTheme="minorEastAsia"/>
          <w:color w:val="auto"/>
          <w:szCs w:val="21"/>
        </w:rPr>
        <w:t>文件、施工图等编制。计算规范中没有的清单项目，应在本章第1.4款约定。</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1.2 工程量清单应与</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须知、合同协议条款、合同的通用条款、合同专用条款、技术规范及图纸等文件一起结合使用。</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1.3 工程量清单是</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文件的组成部分，是工程量清单计价的基础，作为编制</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控制价、</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报价、计算或调整工程量、索赔等的依据之一。</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1.4 补充清单项目的特征、计量单位、工程量计算规则及工作内容说明如下</w:t>
      </w:r>
      <w:r>
        <w:rPr>
          <w:rFonts w:asciiTheme="minorEastAsia" w:hAnsiTheme="minorEastAsia" w:eastAsiaTheme="minorEastAsia"/>
          <w:color w:val="auto"/>
          <w:szCs w:val="21"/>
          <w:u w:val="single"/>
        </w:rPr>
        <w:t>：</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w:t>
      </w:r>
    </w:p>
    <w:p>
      <w:pPr>
        <w:pStyle w:val="28"/>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1.5《承包人提供的主要材料和设备一览表》（表-22，表格编号为计价规范相应表格编号，下同）作为项目实施过程中材料和设备价格风险调整依据。</w:t>
      </w:r>
    </w:p>
    <w:p>
      <w:pPr>
        <w:pStyle w:val="28"/>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1.6本工程暂列金额约按合同造价%计算，共元，作为合同签订时尚未确定或者不可预见但施工中可能发生的费用。</w:t>
      </w:r>
    </w:p>
    <w:p>
      <w:pPr>
        <w:pStyle w:val="28"/>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1.7本工程发包人提供的材料和设备详见《发包人提供的主要材料和工程设备一览表》（表-21）。</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1.8本工程部分材料和设备在</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时作为暂估价计列，结算按实调整，具体内容详见《材料（工程设备）暂估单价及调整表》（表12-2）。</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1.9</w:t>
      </w:r>
      <w:r>
        <w:rPr>
          <w:rFonts w:hint="eastAsia" w:asciiTheme="minorEastAsia" w:hAnsiTheme="minorEastAsia" w:eastAsiaTheme="minorEastAsia"/>
          <w:color w:val="auto"/>
          <w:szCs w:val="21"/>
        </w:rPr>
        <w:t xml:space="preserve"> 采购</w:t>
      </w:r>
      <w:r>
        <w:rPr>
          <w:rFonts w:asciiTheme="minorEastAsia" w:hAnsiTheme="minorEastAsia" w:eastAsiaTheme="minorEastAsia"/>
          <w:color w:val="auto"/>
          <w:szCs w:val="21"/>
        </w:rPr>
        <w:t>时暂估专业工程的价款属于暂估价，结算按实调整，具体内容详见《专业工程暂估价及结算价表》（表12-3）。</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1.10 本工程量清单编码处标注“*”号的清单项目作为主要清单项目，需要</w:t>
      </w:r>
      <w:r>
        <w:rPr>
          <w:rFonts w:hint="eastAsia" w:asciiTheme="minorEastAsia" w:hAnsiTheme="minorEastAsia" w:eastAsiaTheme="minorEastAsia"/>
          <w:color w:val="auto"/>
          <w:szCs w:val="21"/>
        </w:rPr>
        <w:t>磋商供应商</w:t>
      </w:r>
      <w:r>
        <w:rPr>
          <w:rFonts w:asciiTheme="minorEastAsia" w:hAnsiTheme="minorEastAsia" w:eastAsiaTheme="minorEastAsia"/>
          <w:color w:val="auto"/>
          <w:szCs w:val="21"/>
        </w:rPr>
        <w:t>提供《主要清单项目工料机分析表》（表-10）。</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1.11其它需要说明的问题</w:t>
      </w:r>
      <w:r>
        <w:rPr>
          <w:rFonts w:asciiTheme="minorEastAsia" w:hAnsiTheme="minorEastAsia" w:eastAsiaTheme="minorEastAsia"/>
          <w:color w:val="auto"/>
          <w:szCs w:val="21"/>
          <w:u w:val="single"/>
        </w:rPr>
        <w:t>：</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1.12 工程量清单另册发放。</w:t>
      </w:r>
      <w:r>
        <w:rPr>
          <w:rFonts w:hint="eastAsia" w:asciiTheme="minorEastAsia" w:hAnsiTheme="minorEastAsia" w:eastAsiaTheme="minorEastAsia"/>
          <w:color w:val="auto"/>
          <w:szCs w:val="21"/>
        </w:rPr>
        <w:t>一般计税法建设工程的</w:t>
      </w:r>
      <w:r>
        <w:rPr>
          <w:rFonts w:asciiTheme="minorEastAsia" w:hAnsiTheme="minorEastAsia" w:eastAsiaTheme="minorEastAsia"/>
          <w:color w:val="auto"/>
          <w:szCs w:val="21"/>
        </w:rPr>
        <w:t>工程量清单表格按</w:t>
      </w:r>
      <w:r>
        <w:rPr>
          <w:rFonts w:hint="eastAsia" w:asciiTheme="minorEastAsia" w:hAnsiTheme="minorEastAsia" w:eastAsiaTheme="minorEastAsia"/>
          <w:color w:val="auto"/>
          <w:kern w:val="0"/>
          <w:szCs w:val="21"/>
        </w:rPr>
        <w:t>《关于建筑业实施营业税改征增值税后广西壮族自治区建设工程计价依据调整的通知》（桂建标〔2016〕17号）</w:t>
      </w:r>
      <w:r>
        <w:rPr>
          <w:rFonts w:hint="eastAsia" w:asciiTheme="minorEastAsia" w:hAnsiTheme="minorEastAsia" w:eastAsiaTheme="minorEastAsia"/>
          <w:color w:val="auto"/>
          <w:szCs w:val="21"/>
        </w:rPr>
        <w:t>附件“增值税一般计税方法工程计价表”要求提供；简易计税法建设工程按照《计价规范》要求的</w:t>
      </w:r>
      <w:r>
        <w:rPr>
          <w:rFonts w:asciiTheme="minorEastAsia" w:hAnsiTheme="minorEastAsia" w:eastAsiaTheme="minorEastAsia"/>
          <w:color w:val="auto"/>
          <w:szCs w:val="21"/>
        </w:rPr>
        <w:t>表格提供，</w:t>
      </w:r>
      <w:r>
        <w:rPr>
          <w:rFonts w:hint="eastAsia" w:asciiTheme="minorEastAsia" w:hAnsiTheme="minorEastAsia" w:eastAsiaTheme="minorEastAsia"/>
          <w:color w:val="auto"/>
          <w:szCs w:val="21"/>
        </w:rPr>
        <w:t>但规费和税费要按照《关于建筑业实施营业税改征增值税后广西壮族自治区建设工程计价依据调整的通知》（桂建标〔2016〕17号）要求调整，具体</w:t>
      </w:r>
      <w:r>
        <w:rPr>
          <w:rFonts w:asciiTheme="minorEastAsia" w:hAnsiTheme="minorEastAsia" w:eastAsiaTheme="minorEastAsia"/>
          <w:color w:val="auto"/>
          <w:szCs w:val="21"/>
        </w:rPr>
        <w:t>包括：</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1.1投标总价（封-3）</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1.2投标总价（扉-3）</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1.3总说明（表-01）</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1.4建设项目投标报价汇总表（表-02）</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1.5单项工程投标报价汇总表（表-03）</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1.6单位工程投标报价汇总表（表-04）</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1.7分部分项工程和单价措施项目清单与计价表（表-08）</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1.8总价措施项目清单与计价表（表-11）</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1.9其他项目清单与计价汇总表（表-12）</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1.10暂列金额明细表（表12-1）</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1.11材料（工程设备）暂估价格及调整表（表12-2）</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1.12专业工程暂估价表（表12-3）</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1.13计日工表（表12-4）</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1.14总承包服务费计价表（表12-5）</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1.15税前项目清单与计价表（表-14）</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1.16规费、</w:t>
      </w:r>
      <w:r>
        <w:rPr>
          <w:rFonts w:hint="eastAsia" w:asciiTheme="minorEastAsia" w:hAnsiTheme="minorEastAsia" w:eastAsiaTheme="minorEastAsia"/>
          <w:color w:val="auto"/>
          <w:szCs w:val="21"/>
        </w:rPr>
        <w:t>增值税</w:t>
      </w:r>
      <w:r>
        <w:rPr>
          <w:rFonts w:asciiTheme="minorEastAsia" w:hAnsiTheme="minorEastAsia" w:eastAsiaTheme="minorEastAsia"/>
          <w:color w:val="auto"/>
          <w:szCs w:val="21"/>
        </w:rPr>
        <w:t>计价表（表-15）</w:t>
      </w:r>
    </w:p>
    <w:p>
      <w:pPr>
        <w:spacing w:line="360" w:lineRule="auto"/>
        <w:ind w:firstLine="630" w:firstLineChars="300"/>
        <w:jc w:val="left"/>
        <w:rPr>
          <w:rFonts w:asciiTheme="minorEastAsia" w:hAnsiTheme="minorEastAsia" w:eastAsiaTheme="minorEastAsia"/>
          <w:color w:val="auto"/>
          <w:szCs w:val="21"/>
        </w:rPr>
      </w:pPr>
      <w:r>
        <w:rPr>
          <w:rFonts w:asciiTheme="minorEastAsia" w:hAnsiTheme="minorEastAsia" w:eastAsiaTheme="minorEastAsia"/>
          <w:color w:val="auto"/>
          <w:szCs w:val="21"/>
        </w:rPr>
        <w:t>1.17发包人提供主要材料和工程设备一览表（表-21）</w:t>
      </w:r>
    </w:p>
    <w:p>
      <w:pPr>
        <w:spacing w:line="360" w:lineRule="auto"/>
        <w:ind w:firstLine="630" w:firstLineChars="300"/>
        <w:jc w:val="left"/>
        <w:rPr>
          <w:rFonts w:asciiTheme="minorEastAsia" w:hAnsiTheme="minorEastAsia" w:eastAsiaTheme="minorEastAsia"/>
          <w:color w:val="auto"/>
        </w:rPr>
      </w:pPr>
      <w:r>
        <w:rPr>
          <w:rFonts w:asciiTheme="minorEastAsia" w:hAnsiTheme="minorEastAsia" w:eastAsiaTheme="minorEastAsia"/>
          <w:color w:val="auto"/>
        </w:rPr>
        <w:t>1.18承包人提供主要材料和工程设备一览表（适用于造价信息差额调整法）（表-22）</w:t>
      </w:r>
    </w:p>
    <w:p>
      <w:pPr>
        <w:spacing w:line="360" w:lineRule="auto"/>
        <w:ind w:firstLine="630" w:firstLineChars="300"/>
        <w:jc w:val="left"/>
        <w:rPr>
          <w:rFonts w:asciiTheme="minorEastAsia" w:hAnsiTheme="minorEastAsia" w:eastAsiaTheme="minorEastAsia"/>
          <w:color w:val="auto"/>
        </w:rPr>
      </w:pPr>
      <w:r>
        <w:rPr>
          <w:rFonts w:asciiTheme="minorEastAsia" w:hAnsiTheme="minorEastAsia" w:eastAsiaTheme="minorEastAsia"/>
          <w:color w:val="auto"/>
        </w:rPr>
        <w:t>1.19承包人提供主要材料和工程设备一览表（适用于价格指数差额调整法）（表-23）</w:t>
      </w:r>
    </w:p>
    <w:p>
      <w:pPr>
        <w:spacing w:line="360" w:lineRule="auto"/>
        <w:ind w:firstLine="630" w:firstLineChars="3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注：以下表格视工程实际需要选用，如该工程不发生如下表格相关项目和费用，所编制工程量清单则不需列入相应表格：</w:t>
      </w:r>
    </w:p>
    <w:p>
      <w:pPr>
        <w:spacing w:line="360" w:lineRule="auto"/>
        <w:ind w:firstLine="630" w:firstLineChars="300"/>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①</w:t>
      </w:r>
      <w:r>
        <w:rPr>
          <w:rFonts w:asciiTheme="minorEastAsia" w:hAnsiTheme="minorEastAsia" w:eastAsiaTheme="minorEastAsia"/>
          <w:color w:val="auto"/>
          <w:szCs w:val="21"/>
        </w:rPr>
        <w:t>建设项目投标报价汇总表（表-02）</w:t>
      </w:r>
    </w:p>
    <w:p>
      <w:pPr>
        <w:spacing w:line="360" w:lineRule="auto"/>
        <w:ind w:firstLine="630" w:firstLineChars="3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②暂列金额明细表</w:t>
      </w:r>
      <w:r>
        <w:rPr>
          <w:rFonts w:asciiTheme="minorEastAsia" w:hAnsiTheme="minorEastAsia" w:eastAsiaTheme="minorEastAsia"/>
          <w:color w:val="auto"/>
          <w:szCs w:val="21"/>
        </w:rPr>
        <w:t>（表12-1）</w:t>
      </w:r>
    </w:p>
    <w:p>
      <w:pPr>
        <w:spacing w:line="360" w:lineRule="auto"/>
        <w:ind w:firstLine="630" w:firstLineChars="3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③</w:t>
      </w:r>
      <w:r>
        <w:rPr>
          <w:rFonts w:asciiTheme="minorEastAsia" w:hAnsiTheme="minorEastAsia" w:eastAsiaTheme="minorEastAsia"/>
          <w:color w:val="auto"/>
          <w:szCs w:val="21"/>
        </w:rPr>
        <w:t>材料（工程设备）暂估单位及调整表（表12-2）</w:t>
      </w:r>
    </w:p>
    <w:p>
      <w:pPr>
        <w:spacing w:line="360" w:lineRule="auto"/>
        <w:ind w:firstLine="630" w:firstLineChars="3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④</w:t>
      </w:r>
      <w:r>
        <w:rPr>
          <w:rFonts w:asciiTheme="minorEastAsia" w:hAnsiTheme="minorEastAsia" w:eastAsiaTheme="minorEastAsia"/>
          <w:color w:val="auto"/>
          <w:szCs w:val="21"/>
        </w:rPr>
        <w:t>专业工程暂估价表（表12-3）</w:t>
      </w:r>
    </w:p>
    <w:p>
      <w:pPr>
        <w:spacing w:line="360" w:lineRule="auto"/>
        <w:ind w:firstLine="630" w:firstLineChars="3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⑤</w:t>
      </w:r>
      <w:r>
        <w:rPr>
          <w:rFonts w:asciiTheme="minorEastAsia" w:hAnsiTheme="minorEastAsia" w:eastAsiaTheme="minorEastAsia"/>
          <w:color w:val="auto"/>
          <w:szCs w:val="21"/>
        </w:rPr>
        <w:t>计日工表表12-4）</w:t>
      </w:r>
    </w:p>
    <w:p>
      <w:pPr>
        <w:spacing w:line="360" w:lineRule="auto"/>
        <w:ind w:firstLine="630" w:firstLineChars="3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⑥</w:t>
      </w:r>
      <w:r>
        <w:rPr>
          <w:rFonts w:asciiTheme="minorEastAsia" w:hAnsiTheme="minorEastAsia" w:eastAsiaTheme="minorEastAsia"/>
          <w:color w:val="auto"/>
          <w:szCs w:val="21"/>
        </w:rPr>
        <w:t>总承包服务费计价表（表12-5）</w:t>
      </w:r>
    </w:p>
    <w:p>
      <w:pPr>
        <w:spacing w:line="360" w:lineRule="auto"/>
        <w:ind w:firstLine="630" w:firstLineChars="300"/>
        <w:jc w:val="left"/>
        <w:rPr>
          <w:rFonts w:asciiTheme="minorEastAsia" w:hAnsiTheme="minorEastAsia" w:eastAsiaTheme="minorEastAsia"/>
          <w:color w:val="auto"/>
        </w:rPr>
      </w:pPr>
      <w:r>
        <w:rPr>
          <w:rFonts w:hint="eastAsia" w:asciiTheme="minorEastAsia" w:hAnsiTheme="minorEastAsia" w:eastAsiaTheme="minorEastAsia"/>
          <w:color w:val="auto"/>
          <w:szCs w:val="21"/>
        </w:rPr>
        <w:t>⑦</w:t>
      </w:r>
      <w:r>
        <w:rPr>
          <w:rFonts w:asciiTheme="minorEastAsia" w:hAnsiTheme="minorEastAsia" w:eastAsiaTheme="minorEastAsia"/>
          <w:color w:val="auto"/>
          <w:szCs w:val="21"/>
        </w:rPr>
        <w:t>税前项目清单与计价表（表-14）</w:t>
      </w:r>
    </w:p>
    <w:p>
      <w:pPr>
        <w:pStyle w:val="4"/>
        <w:spacing w:line="240" w:lineRule="auto"/>
        <w:rPr>
          <w:rFonts w:asciiTheme="minorEastAsia" w:hAnsiTheme="minorEastAsia" w:eastAsiaTheme="minorEastAsia"/>
          <w:color w:val="auto"/>
          <w:sz w:val="21"/>
          <w:szCs w:val="21"/>
        </w:rPr>
      </w:pPr>
      <w:bookmarkStart w:id="34" w:name="_Toc453680971"/>
      <w:bookmarkStart w:id="35" w:name="_Toc395382585"/>
      <w:bookmarkStart w:id="36" w:name="_Toc453681443"/>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 采购预算</w:t>
      </w:r>
      <w:r>
        <w:rPr>
          <w:rFonts w:asciiTheme="minorEastAsia" w:hAnsiTheme="minorEastAsia" w:eastAsiaTheme="minorEastAsia"/>
          <w:color w:val="auto"/>
          <w:sz w:val="21"/>
          <w:szCs w:val="21"/>
        </w:rPr>
        <w:t>控制价编制说明</w:t>
      </w:r>
      <w:bookmarkEnd w:id="34"/>
      <w:bookmarkEnd w:id="35"/>
      <w:bookmarkEnd w:id="36"/>
    </w:p>
    <w:p>
      <w:pPr>
        <w:spacing w:line="360" w:lineRule="auto"/>
        <w:ind w:firstLine="420" w:firstLineChars="200"/>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lang w:eastAsia="zh-CN"/>
        </w:rPr>
        <w:t>2.1 采购预算控制价编制依据：</w:t>
      </w:r>
    </w:p>
    <w:p>
      <w:pPr>
        <w:spacing w:line="360" w:lineRule="auto"/>
        <w:ind w:firstLine="420" w:firstLineChars="200"/>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lang w:eastAsia="zh-CN"/>
        </w:rPr>
        <w:t>1、《建设工程工程量清单计价规范》广西壮族自治区实施细则（GB50500-2013）、《&lt;建设工程工程量清单计价规范&gt;（GB50500-2013）广西壮族自治区实施细则》。</w:t>
      </w:r>
    </w:p>
    <w:p>
      <w:pPr>
        <w:spacing w:line="360" w:lineRule="auto"/>
        <w:ind w:firstLine="420" w:firstLineChars="200"/>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lang w:eastAsia="zh-CN"/>
        </w:rPr>
        <w:t xml:space="preserve"> 2、《建设工程工程量计算规范（GB50854~50862-2013）广西壮族自治区实施细则（修订本）》。</w:t>
      </w:r>
    </w:p>
    <w:p>
      <w:pPr>
        <w:spacing w:line="360" w:lineRule="auto"/>
        <w:ind w:firstLine="420" w:firstLineChars="200"/>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lang w:eastAsia="zh-CN"/>
        </w:rPr>
        <w:t xml:space="preserve"> 3、2013《广西壮族自治区建筑装饰装修工程消耗量定额》。</w:t>
      </w:r>
    </w:p>
    <w:p>
      <w:pPr>
        <w:spacing w:line="360" w:lineRule="auto"/>
        <w:ind w:firstLine="420" w:firstLineChars="200"/>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lang w:eastAsia="zh-CN"/>
        </w:rPr>
        <w:t xml:space="preserve"> 4、2015《广西壮族自治区安装工程消耗量定额》。</w:t>
      </w:r>
    </w:p>
    <w:p>
      <w:pPr>
        <w:spacing w:line="360" w:lineRule="auto"/>
        <w:ind w:firstLine="420" w:firstLineChars="200"/>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lang w:eastAsia="zh-CN"/>
        </w:rPr>
        <w:t xml:space="preserve"> 5、《关于调整建设工程定额人工工资单价的通知》（桂建标字[2015]5号）    </w:t>
      </w:r>
    </w:p>
    <w:p>
      <w:pPr>
        <w:spacing w:line="360" w:lineRule="auto"/>
        <w:ind w:firstLine="420" w:firstLineChars="200"/>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lang w:eastAsia="zh-CN"/>
        </w:rPr>
        <w:t xml:space="preserve"> 6、《自治区住房城乡建设厅关于建筑业实施营业税改征增值税后广西壮族自治区建设工程计价依据调整的通知》（桂建标〔2016〕17号）；</w:t>
      </w:r>
    </w:p>
    <w:p>
      <w:pPr>
        <w:spacing w:line="360" w:lineRule="auto"/>
        <w:ind w:firstLine="420" w:firstLineChars="200"/>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lang w:eastAsia="zh-CN"/>
        </w:rPr>
        <w:t xml:space="preserve"> 7、《广西壮族自治区住房和城乡建设厅关于调整建设工程定额人工费及有关费用的通知》(桂建标〔2018〕19号)；</w:t>
      </w:r>
    </w:p>
    <w:p>
      <w:pPr>
        <w:spacing w:line="360" w:lineRule="auto"/>
        <w:ind w:firstLine="420" w:firstLineChars="200"/>
        <w:rPr>
          <w:rFonts w:hint="eastAsia" w:cs="Times New Roman" w:asciiTheme="minorEastAsia" w:hAnsiTheme="minorEastAsia" w:eastAsiaTheme="minorEastAsia"/>
          <w:color w:val="auto"/>
          <w:szCs w:val="21"/>
          <w:lang w:eastAsia="zh-CN"/>
        </w:rPr>
      </w:pPr>
      <w:r>
        <w:rPr>
          <w:rFonts w:hint="eastAsia" w:cs="Times New Roman" w:asciiTheme="minorEastAsia" w:hAnsiTheme="minorEastAsia" w:eastAsiaTheme="minorEastAsia"/>
          <w:color w:val="auto"/>
          <w:szCs w:val="21"/>
          <w:lang w:eastAsia="zh-CN"/>
        </w:rPr>
        <w:t xml:space="preserve"> 8、建筑材料价格：参照2020年第5期《崇左市建设工程造价信息》龙州县信息价（除税），缺项部分按本工程碎石、块石运输运距为16.6km,扣除5公里的基本运距，本工程材料运输按11.6km计算每公里超运距费用按：钢筋1元/t，水泥1元/t运输运距为15.2km,扣除5公里的基本运距，商品砼增加运距5.2公里，商品砼运输距离按信息价的说明计取。</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2.2 分部分项及单价措施项目综合单价应包括</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文件中</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人要求</w:t>
      </w:r>
      <w:r>
        <w:rPr>
          <w:rFonts w:hint="eastAsia" w:asciiTheme="minorEastAsia" w:hAnsiTheme="minorEastAsia" w:eastAsiaTheme="minorEastAsia"/>
          <w:color w:val="auto"/>
          <w:szCs w:val="21"/>
        </w:rPr>
        <w:t>供应商</w:t>
      </w:r>
      <w:r>
        <w:rPr>
          <w:rFonts w:asciiTheme="minorEastAsia" w:hAnsiTheme="minorEastAsia" w:eastAsiaTheme="minorEastAsia"/>
          <w:color w:val="auto"/>
          <w:szCs w:val="21"/>
        </w:rPr>
        <w:t>人所承担的风险内容及其范围（幅度）产生的风险费用。</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rPr>
        <w:t>2.3</w:t>
      </w:r>
      <w:r>
        <w:rPr>
          <w:rFonts w:asciiTheme="minorEastAsia" w:hAnsiTheme="minorEastAsia" w:eastAsiaTheme="minorEastAsia"/>
          <w:color w:val="auto"/>
          <w:szCs w:val="21"/>
        </w:rPr>
        <w:t>总价措施项目应根据拟定的</w:t>
      </w:r>
      <w:r>
        <w:rPr>
          <w:rFonts w:hint="eastAsia" w:asciiTheme="minorEastAsia" w:hAnsiTheme="minorEastAsia" w:eastAsiaTheme="minorEastAsia"/>
          <w:color w:val="auto"/>
        </w:rPr>
        <w:t>采购</w:t>
      </w:r>
      <w:r>
        <w:rPr>
          <w:rFonts w:asciiTheme="minorEastAsia" w:hAnsiTheme="minorEastAsia" w:eastAsiaTheme="minorEastAsia"/>
          <w:color w:val="auto"/>
          <w:szCs w:val="21"/>
        </w:rPr>
        <w:t>文件和常规施工方案按《计价规范》和《计算规范》规定编制。</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2.4 其他项目费应按下列规定报价：</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（1）暂列金额应按工程量清单中列出的金额填写；</w:t>
      </w:r>
    </w:p>
    <w:p>
      <w:pPr>
        <w:pStyle w:val="124"/>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（2）材料、工程设备暂估价应按工程量清单中列出的单价计入综合单价；</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（3）专业工程暂估价应按工程量清单中列出的金额填写；</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（4）计日工应按工程量清单中列出的项目和数量，</w:t>
      </w:r>
      <w:r>
        <w:rPr>
          <w:rFonts w:hint="eastAsia" w:asciiTheme="minorEastAsia" w:hAnsiTheme="minorEastAsia" w:eastAsiaTheme="minorEastAsia"/>
          <w:color w:val="auto"/>
          <w:szCs w:val="21"/>
        </w:rPr>
        <w:t>根据工程特点和有关计价依据确定的综合单价计算</w:t>
      </w:r>
      <w:r>
        <w:rPr>
          <w:rFonts w:asciiTheme="minorEastAsia" w:hAnsiTheme="minorEastAsia" w:eastAsiaTheme="minorEastAsia"/>
          <w:color w:val="auto"/>
          <w:szCs w:val="21"/>
        </w:rPr>
        <w:t>；</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（5）总承包服务费应根据工程量清单列出的内容和</w:t>
      </w:r>
      <w:r>
        <w:rPr>
          <w:rFonts w:hint="eastAsia" w:asciiTheme="minorEastAsia" w:hAnsiTheme="minorEastAsia" w:eastAsiaTheme="minorEastAsia"/>
          <w:color w:val="auto"/>
          <w:szCs w:val="21"/>
        </w:rPr>
        <w:t>要求</w:t>
      </w:r>
      <w:r>
        <w:rPr>
          <w:rFonts w:asciiTheme="minorEastAsia" w:hAnsiTheme="minorEastAsia" w:eastAsiaTheme="minorEastAsia"/>
          <w:color w:val="auto"/>
          <w:szCs w:val="21"/>
        </w:rPr>
        <w:t>，按</w:t>
      </w:r>
      <w:r>
        <w:rPr>
          <w:rFonts w:hint="eastAsia" w:asciiTheme="minorEastAsia" w:hAnsiTheme="minorEastAsia" w:eastAsiaTheme="minorEastAsia"/>
          <w:color w:val="auto"/>
          <w:szCs w:val="21"/>
        </w:rPr>
        <w:t>自治区住房城乡建设行政主管部门颁发的计价定额及有关规定计算</w:t>
      </w:r>
      <w:r>
        <w:rPr>
          <w:rFonts w:asciiTheme="minorEastAsia" w:hAnsiTheme="minorEastAsia" w:eastAsiaTheme="minorEastAsia"/>
          <w:color w:val="auto"/>
          <w:szCs w:val="21"/>
        </w:rPr>
        <w:t>。</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2.5 规费和</w:t>
      </w:r>
      <w:r>
        <w:rPr>
          <w:rFonts w:hint="eastAsia" w:asciiTheme="minorEastAsia" w:hAnsiTheme="minorEastAsia" w:eastAsiaTheme="minorEastAsia"/>
          <w:color w:val="auto"/>
          <w:szCs w:val="21"/>
        </w:rPr>
        <w:t>增值税</w:t>
      </w:r>
      <w:r>
        <w:rPr>
          <w:rFonts w:asciiTheme="minorEastAsia" w:hAnsiTheme="minorEastAsia" w:eastAsiaTheme="minorEastAsia"/>
          <w:color w:val="auto"/>
          <w:szCs w:val="21"/>
        </w:rPr>
        <w:t>应按规定确定，作为不可竞争费用。</w:t>
      </w:r>
    </w:p>
    <w:p>
      <w:pPr>
        <w:spacing w:line="360" w:lineRule="auto"/>
        <w:ind w:firstLine="420"/>
        <w:rPr>
          <w:rFonts w:asciiTheme="minorEastAsia" w:hAnsiTheme="minorEastAsia" w:eastAsiaTheme="minorEastAsia"/>
          <w:color w:val="auto"/>
        </w:rPr>
      </w:pPr>
      <w:r>
        <w:rPr>
          <w:rFonts w:asciiTheme="minorEastAsia" w:hAnsiTheme="minorEastAsia" w:eastAsiaTheme="minorEastAsia"/>
          <w:color w:val="auto"/>
          <w:szCs w:val="21"/>
        </w:rPr>
        <w:t>2.6其它需要说明的问题</w:t>
      </w:r>
      <w:r>
        <w:rPr>
          <w:rFonts w:asciiTheme="minorEastAsia" w:hAnsiTheme="minorEastAsia" w:eastAsiaTheme="minorEastAsia"/>
          <w:color w:val="auto"/>
          <w:szCs w:val="21"/>
          <w:u w:val="single"/>
        </w:rPr>
        <w:t>：</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rPr>
        <w:t>。</w:t>
      </w:r>
    </w:p>
    <w:p>
      <w:pPr>
        <w:pStyle w:val="4"/>
        <w:rPr>
          <w:rFonts w:asciiTheme="minorEastAsia" w:hAnsiTheme="minorEastAsia" w:eastAsiaTheme="minorEastAsia"/>
          <w:color w:val="auto"/>
          <w:sz w:val="24"/>
          <w:szCs w:val="24"/>
        </w:rPr>
      </w:pPr>
      <w:bookmarkStart w:id="37" w:name="_Toc453681444"/>
      <w:bookmarkStart w:id="38" w:name="_Toc453680972"/>
      <w:bookmarkStart w:id="39" w:name="_Toc395382586"/>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 xml:space="preserve"> .磋商</w:t>
      </w:r>
      <w:r>
        <w:rPr>
          <w:rFonts w:asciiTheme="minorEastAsia" w:hAnsiTheme="minorEastAsia" w:eastAsiaTheme="minorEastAsia"/>
          <w:color w:val="auto"/>
          <w:sz w:val="24"/>
          <w:szCs w:val="24"/>
        </w:rPr>
        <w:t>报价（已标价工程量清单）编制说明</w:t>
      </w:r>
      <w:bookmarkEnd w:id="37"/>
      <w:bookmarkEnd w:id="38"/>
      <w:bookmarkEnd w:id="39"/>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3.1</w:t>
      </w:r>
      <w:r>
        <w:rPr>
          <w:rFonts w:hint="eastAsia" w:asciiTheme="minorEastAsia" w:hAnsiTheme="minorEastAsia" w:eastAsiaTheme="minorEastAsia"/>
          <w:color w:val="auto"/>
          <w:szCs w:val="21"/>
        </w:rPr>
        <w:t xml:space="preserve"> 磋商供应商</w:t>
      </w:r>
      <w:r>
        <w:rPr>
          <w:rFonts w:asciiTheme="minorEastAsia" w:hAnsiTheme="minorEastAsia" w:eastAsiaTheme="minorEastAsia"/>
          <w:color w:val="auto"/>
          <w:szCs w:val="21"/>
        </w:rPr>
        <w:t>应依据</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文件、工程量清单以及《计价规范》、《计算规范》自主报价，自主报价不得违反计价规范强制性条文规定。</w:t>
      </w:r>
      <w:r>
        <w:rPr>
          <w:rFonts w:hint="eastAsia" w:asciiTheme="minorEastAsia" w:hAnsiTheme="minorEastAsia" w:eastAsiaTheme="minorEastAsia"/>
          <w:color w:val="auto"/>
          <w:szCs w:val="21"/>
        </w:rPr>
        <w:t>磋商供应商</w:t>
      </w:r>
      <w:r>
        <w:rPr>
          <w:rFonts w:asciiTheme="minorEastAsia" w:hAnsiTheme="minorEastAsia" w:eastAsiaTheme="minorEastAsia"/>
          <w:color w:val="auto"/>
          <w:szCs w:val="21"/>
        </w:rPr>
        <w:t>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3.2</w:t>
      </w:r>
      <w:r>
        <w:rPr>
          <w:rFonts w:hint="eastAsia" w:asciiTheme="minorEastAsia" w:hAnsiTheme="minorEastAsia" w:eastAsiaTheme="minorEastAsia"/>
          <w:color w:val="auto"/>
          <w:szCs w:val="21"/>
        </w:rPr>
        <w:t xml:space="preserve"> 磋商供应商</w:t>
      </w:r>
      <w:r>
        <w:rPr>
          <w:rFonts w:asciiTheme="minorEastAsia" w:hAnsiTheme="minorEastAsia" w:eastAsiaTheme="minorEastAsia"/>
          <w:color w:val="auto"/>
          <w:szCs w:val="21"/>
        </w:rPr>
        <w:t>应按工程量清单填报价格。项目编码、项目名称、项目特征、计量单位、工程量必须与</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工程量清单一致，</w:t>
      </w:r>
      <w:r>
        <w:rPr>
          <w:rFonts w:hint="eastAsia" w:asciiTheme="minorEastAsia" w:hAnsiTheme="minorEastAsia" w:eastAsiaTheme="minorEastAsia"/>
          <w:color w:val="auto"/>
          <w:szCs w:val="21"/>
        </w:rPr>
        <w:t>磋商供应商</w:t>
      </w:r>
      <w:r>
        <w:rPr>
          <w:rFonts w:asciiTheme="minorEastAsia" w:hAnsiTheme="minorEastAsia" w:eastAsiaTheme="minorEastAsia"/>
          <w:color w:val="auto"/>
          <w:szCs w:val="21"/>
        </w:rPr>
        <w:t>不得对工程量清单项目进行增减调整。</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3.3综合单价中应包含</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文件中划分的应有</w:t>
      </w:r>
      <w:r>
        <w:rPr>
          <w:rFonts w:hint="eastAsia" w:asciiTheme="minorEastAsia" w:hAnsiTheme="minorEastAsia" w:eastAsiaTheme="minorEastAsia"/>
          <w:color w:val="auto"/>
          <w:szCs w:val="21"/>
        </w:rPr>
        <w:t>磋商供应商</w:t>
      </w:r>
      <w:r>
        <w:rPr>
          <w:rFonts w:asciiTheme="minorEastAsia" w:hAnsiTheme="minorEastAsia" w:eastAsiaTheme="minorEastAsia"/>
          <w:color w:val="auto"/>
          <w:szCs w:val="21"/>
        </w:rPr>
        <w:t>承担的风险范围及其费用。</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3.4分部分项工程项目和单价措施项目，应根据</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文件和工程量清单项目中的特征描述确定综合单价计算。如出现工程量清单特征描述与设计图纸不符时，</w:t>
      </w:r>
      <w:r>
        <w:rPr>
          <w:rFonts w:hint="eastAsia" w:asciiTheme="minorEastAsia" w:hAnsiTheme="minorEastAsia" w:eastAsiaTheme="minorEastAsia"/>
          <w:color w:val="auto"/>
          <w:szCs w:val="21"/>
        </w:rPr>
        <w:t>磋商供应商</w:t>
      </w:r>
      <w:r>
        <w:rPr>
          <w:rFonts w:asciiTheme="minorEastAsia" w:hAnsiTheme="minorEastAsia" w:eastAsiaTheme="minorEastAsia"/>
          <w:color w:val="auto"/>
          <w:szCs w:val="21"/>
        </w:rPr>
        <w:t>应以工程量清单的项目特征描述为准，确定</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报价的综合单价。</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3.5 总价措施项目的金额应根据</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文件及</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时拟定的施工组织设计或施工方案，按计价规范的规定自主确定。但安全文明施工费按有关规定执行，作为不竞争费用单列。</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3.6 其他项目费应按下列规定报价：</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（1）暂列金额应按工程量清单中列出的金额填写；</w:t>
      </w:r>
    </w:p>
    <w:p>
      <w:pPr>
        <w:pStyle w:val="124"/>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（2）材料、工程设备暂估价应按工程量清单中列出的单价计入综合单价；</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（3）专业工程暂估价应按工程量清单中列出的金额填写；</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（4）计日工应按工程量清单中列出的项目和数量，自主确定综合单价并计算计日工总额；</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（5）总承包服务费应根据工程量清单中列出的内容和供应材料、设备情况，按照</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人提出的协调、配合与服务要求和施工现场管理需要自主确定。</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3.7 规费和</w:t>
      </w:r>
      <w:r>
        <w:rPr>
          <w:rFonts w:hint="eastAsia" w:asciiTheme="minorEastAsia" w:hAnsiTheme="minorEastAsia" w:eastAsiaTheme="minorEastAsia"/>
          <w:color w:val="auto"/>
          <w:szCs w:val="21"/>
        </w:rPr>
        <w:t>增值税</w:t>
      </w:r>
      <w:r>
        <w:rPr>
          <w:rFonts w:asciiTheme="minorEastAsia" w:hAnsiTheme="minorEastAsia" w:eastAsiaTheme="minorEastAsia"/>
          <w:color w:val="auto"/>
          <w:szCs w:val="21"/>
        </w:rPr>
        <w:t>应按规定确定，作为不可竞争费用。</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3.8 工程量清单与计价表中列明的所有需要填写的单价和合价的项目，</w:t>
      </w:r>
      <w:r>
        <w:rPr>
          <w:rFonts w:hint="eastAsia" w:asciiTheme="minorEastAsia" w:hAnsiTheme="minorEastAsia" w:eastAsiaTheme="minorEastAsia"/>
          <w:color w:val="auto"/>
          <w:szCs w:val="21"/>
        </w:rPr>
        <w:t>磋商供应商</w:t>
      </w:r>
      <w:r>
        <w:rPr>
          <w:rFonts w:asciiTheme="minorEastAsia" w:hAnsiTheme="minorEastAsia" w:eastAsiaTheme="minorEastAsia"/>
          <w:color w:val="auto"/>
          <w:szCs w:val="21"/>
        </w:rPr>
        <w:t>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396" w:firstLineChars="200"/>
        <w:rPr>
          <w:rFonts w:asciiTheme="minorEastAsia" w:hAnsiTheme="minorEastAsia" w:eastAsiaTheme="minorEastAsia"/>
          <w:color w:val="auto"/>
          <w:spacing w:val="-6"/>
        </w:rPr>
      </w:pPr>
      <w:r>
        <w:rPr>
          <w:rFonts w:asciiTheme="minorEastAsia" w:hAnsiTheme="minorEastAsia" w:eastAsiaTheme="minorEastAsia"/>
          <w:color w:val="auto"/>
          <w:spacing w:val="-6"/>
        </w:rPr>
        <w:t xml:space="preserve">3.9 </w:t>
      </w:r>
      <w:r>
        <w:rPr>
          <w:rFonts w:hint="eastAsia" w:asciiTheme="minorEastAsia" w:hAnsiTheme="minorEastAsia" w:eastAsiaTheme="minorEastAsia"/>
          <w:color w:val="auto"/>
          <w:spacing w:val="-6"/>
        </w:rPr>
        <w:t>磋商</w:t>
      </w:r>
      <w:r>
        <w:rPr>
          <w:rFonts w:asciiTheme="minorEastAsia" w:hAnsiTheme="minorEastAsia" w:eastAsiaTheme="minorEastAsia"/>
          <w:color w:val="auto"/>
          <w:spacing w:val="-6"/>
        </w:rPr>
        <w:t>总价应当与分部分项工程费、措施项目费、其他项目费和规费、</w:t>
      </w:r>
      <w:r>
        <w:rPr>
          <w:rFonts w:hint="eastAsia" w:asciiTheme="minorEastAsia" w:hAnsiTheme="minorEastAsia" w:eastAsiaTheme="minorEastAsia"/>
          <w:color w:val="auto"/>
          <w:spacing w:val="-6"/>
        </w:rPr>
        <w:t>增值税</w:t>
      </w:r>
      <w:r>
        <w:rPr>
          <w:rFonts w:asciiTheme="minorEastAsia" w:hAnsiTheme="minorEastAsia" w:eastAsiaTheme="minorEastAsia"/>
          <w:color w:val="auto"/>
          <w:spacing w:val="-6"/>
        </w:rPr>
        <w:t>的合计金额一致。</w:t>
      </w:r>
    </w:p>
    <w:p>
      <w:pPr>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rPr>
        <w:t>3.10 因分部分项工程量清单漏项、设计变更、相关签证引起工程项目、工程量任何变化的，变更合同价款按专用合同条款中变更估价原则处理。</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3.11</w:t>
      </w:r>
      <w:r>
        <w:rPr>
          <w:rFonts w:hint="eastAsia" w:asciiTheme="minorEastAsia" w:hAnsiTheme="minorEastAsia" w:eastAsiaTheme="minorEastAsia"/>
          <w:color w:val="auto"/>
          <w:szCs w:val="21"/>
        </w:rPr>
        <w:t xml:space="preserve"> 磋商供应商</w:t>
      </w:r>
      <w:r>
        <w:rPr>
          <w:rFonts w:asciiTheme="minorEastAsia" w:hAnsiTheme="minorEastAsia" w:eastAsiaTheme="minorEastAsia"/>
          <w:color w:val="auto"/>
          <w:szCs w:val="21"/>
        </w:rPr>
        <w:t>应按《承包人提供的主要材料和设备一览表》的内容填报，不得擅自调整材料和设备名称型号规格、单位、风险系数、基准单价。</w:t>
      </w:r>
    </w:p>
    <w:p>
      <w:pPr>
        <w:spacing w:line="360" w:lineRule="auto"/>
        <w:ind w:firstLine="420" w:firstLineChars="200"/>
        <w:rPr>
          <w:rFonts w:asciiTheme="minorEastAsia" w:hAnsiTheme="minorEastAsia" w:eastAsiaTheme="minorEastAsia"/>
          <w:color w:val="auto"/>
        </w:rPr>
      </w:pPr>
      <w:r>
        <w:rPr>
          <w:rFonts w:asciiTheme="minorEastAsia" w:hAnsiTheme="minorEastAsia" w:eastAsiaTheme="minorEastAsia"/>
          <w:color w:val="auto"/>
          <w:szCs w:val="21"/>
        </w:rPr>
        <w:t>3.12</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报价表格按本工程工程量清单表格要求填写，并</w:t>
      </w:r>
      <w:r>
        <w:rPr>
          <w:rFonts w:asciiTheme="minorEastAsia" w:hAnsiTheme="minorEastAsia" w:eastAsiaTheme="minorEastAsia"/>
          <w:color w:val="auto"/>
        </w:rPr>
        <w:t>应按</w:t>
      </w:r>
      <w:r>
        <w:rPr>
          <w:rFonts w:hint="eastAsia" w:asciiTheme="minorEastAsia" w:hAnsiTheme="minorEastAsia" w:eastAsiaTheme="minorEastAsia"/>
          <w:color w:val="auto"/>
        </w:rPr>
        <w:t>采购</w:t>
      </w:r>
      <w:r>
        <w:rPr>
          <w:rFonts w:asciiTheme="minorEastAsia" w:hAnsiTheme="minorEastAsia" w:eastAsiaTheme="minorEastAsia"/>
          <w:color w:val="auto"/>
        </w:rPr>
        <w:t>文件的要求，附上《工程量清单综合单价分析表》（表-09）和《主要清单项目工料机分析表》（表-10）。</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未尽事宜详见本工程工程量清单、</w:t>
      </w:r>
      <w:r>
        <w:rPr>
          <w:rFonts w:hint="eastAsia" w:asciiTheme="minorEastAsia" w:hAnsiTheme="minorEastAsia" w:eastAsiaTheme="minorEastAsia"/>
          <w:color w:val="auto"/>
          <w:szCs w:val="21"/>
        </w:rPr>
        <w:t>采购预算</w:t>
      </w:r>
      <w:r>
        <w:rPr>
          <w:rFonts w:asciiTheme="minorEastAsia" w:hAnsiTheme="minorEastAsia" w:eastAsiaTheme="minorEastAsia"/>
          <w:color w:val="auto"/>
          <w:szCs w:val="21"/>
        </w:rPr>
        <w:t>控制价编制说明以及现行《计价规范》等有关规定执行。</w:t>
      </w:r>
    </w:p>
    <w:p>
      <w:pPr>
        <w:pStyle w:val="14"/>
        <w:rPr>
          <w:rFonts w:asciiTheme="minorEastAsia" w:hAnsiTheme="minorEastAsia" w:eastAsiaTheme="minorEastAsia"/>
          <w:color w:val="auto"/>
          <w:szCs w:val="21"/>
        </w:rPr>
      </w:pPr>
    </w:p>
    <w:p>
      <w:pPr>
        <w:pStyle w:val="14"/>
        <w:rPr>
          <w:rFonts w:asciiTheme="minorEastAsia" w:hAnsiTheme="minorEastAsia" w:eastAsiaTheme="minorEastAsia"/>
          <w:color w:val="auto"/>
          <w:szCs w:val="21"/>
        </w:rPr>
      </w:pPr>
    </w:p>
    <w:p>
      <w:pPr>
        <w:rPr>
          <w:color w:val="auto"/>
        </w:rPr>
      </w:pPr>
    </w:p>
    <w:p>
      <w:pPr>
        <w:pStyle w:val="2"/>
        <w:rPr>
          <w:rFonts w:hint="eastAsia" w:asciiTheme="minorEastAsia" w:hAnsiTheme="minorEastAsia" w:eastAsiaTheme="minorEastAsia"/>
          <w:color w:val="auto"/>
          <w:sz w:val="32"/>
          <w:szCs w:val="32"/>
        </w:rPr>
      </w:pPr>
      <w:bookmarkStart w:id="40" w:name="_Toc453681445"/>
    </w:p>
    <w:p>
      <w:pPr>
        <w:pStyle w:val="2"/>
        <w:rPr>
          <w:rFonts w:hint="eastAsia" w:asciiTheme="minorEastAsia" w:hAnsiTheme="minorEastAsia" w:eastAsiaTheme="minorEastAsia"/>
          <w:color w:val="auto"/>
          <w:sz w:val="32"/>
          <w:szCs w:val="32"/>
        </w:rPr>
      </w:pPr>
    </w:p>
    <w:p>
      <w:pPr>
        <w:pStyle w:val="2"/>
        <w:rPr>
          <w:rFonts w:hint="eastAsia" w:asciiTheme="minorEastAsia" w:hAnsiTheme="minorEastAsia" w:eastAsiaTheme="minorEastAsia"/>
          <w:color w:val="auto"/>
          <w:sz w:val="32"/>
          <w:szCs w:val="32"/>
        </w:rPr>
      </w:pPr>
    </w:p>
    <w:p>
      <w:pPr>
        <w:pStyle w:val="2"/>
        <w:rPr>
          <w:rFonts w:hint="eastAsia" w:asciiTheme="minorEastAsia" w:hAnsiTheme="minorEastAsia" w:eastAsiaTheme="minorEastAsia"/>
          <w:color w:val="auto"/>
          <w:sz w:val="32"/>
          <w:szCs w:val="32"/>
        </w:rPr>
      </w:pPr>
    </w:p>
    <w:p>
      <w:pPr>
        <w:pStyle w:val="2"/>
        <w:rPr>
          <w:rFonts w:hint="eastAsia" w:asciiTheme="minorEastAsia" w:hAnsiTheme="minorEastAsia" w:eastAsiaTheme="minorEastAsia"/>
          <w:color w:val="auto"/>
          <w:sz w:val="32"/>
          <w:szCs w:val="32"/>
        </w:rPr>
      </w:pPr>
    </w:p>
    <w:p>
      <w:pPr>
        <w:pStyle w:val="2"/>
        <w:rPr>
          <w:rFonts w:hint="eastAsia" w:asciiTheme="minorEastAsia" w:hAnsiTheme="minorEastAsia" w:eastAsiaTheme="minorEastAsia"/>
          <w:color w:val="auto"/>
          <w:sz w:val="32"/>
          <w:szCs w:val="32"/>
        </w:rPr>
      </w:pPr>
    </w:p>
    <w:p>
      <w:pPr>
        <w:pStyle w:val="2"/>
        <w:rPr>
          <w:rFonts w:hint="eastAsia" w:asciiTheme="minorEastAsia" w:hAnsiTheme="minorEastAsia" w:eastAsiaTheme="minorEastAsia"/>
          <w:color w:val="auto"/>
          <w:sz w:val="32"/>
          <w:szCs w:val="32"/>
        </w:rPr>
      </w:pPr>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rPr>
          <w:rFonts w:hint="eastAsia" w:ascii="宋体" w:hAnsi="宋体" w:eastAsia="宋体" w:cs="宋体"/>
          <w:b/>
          <w:bCs/>
          <w:color w:val="auto"/>
          <w:kern w:val="2"/>
          <w:sz w:val="32"/>
          <w:szCs w:val="32"/>
          <w:lang w:val="en-US" w:eastAsia="zh-CN" w:bidi="ar-SA"/>
        </w:rPr>
      </w:pPr>
      <w:bookmarkStart w:id="41" w:name="_Toc30632"/>
      <w:r>
        <w:rPr>
          <w:rFonts w:hint="eastAsia" w:asciiTheme="minorEastAsia" w:hAnsiTheme="minorEastAsia" w:eastAsiaTheme="minorEastAsia"/>
          <w:color w:val="auto"/>
          <w:sz w:val="32"/>
          <w:szCs w:val="32"/>
        </w:rPr>
        <w:t>第</w:t>
      </w:r>
      <w:r>
        <w:rPr>
          <w:rFonts w:hint="eastAsia" w:ascii="宋体" w:hAnsi="宋体" w:eastAsia="宋体" w:cs="宋体"/>
          <w:b/>
          <w:bCs/>
          <w:color w:val="auto"/>
          <w:kern w:val="2"/>
          <w:sz w:val="32"/>
          <w:szCs w:val="32"/>
          <w:lang w:val="en-US" w:eastAsia="zh-CN" w:bidi="ar-SA"/>
        </w:rPr>
        <w:t>五章  技术标准、规范</w:t>
      </w:r>
      <w:bookmarkEnd w:id="40"/>
      <w:bookmarkEnd w:id="41"/>
    </w:p>
    <w:p>
      <w:pPr>
        <w:pStyle w:val="28"/>
        <w:spacing w:line="360" w:lineRule="auto"/>
        <w:ind w:right="384" w:rightChars="183" w:firstLine="420" w:firstLineChars="200"/>
        <w:rPr>
          <w:rFonts w:asciiTheme="minorEastAsia" w:hAnsiTheme="minorEastAsia" w:eastAsiaTheme="minorEastAsia"/>
          <w:color w:val="auto"/>
        </w:rPr>
      </w:pPr>
      <w:r>
        <w:rPr>
          <w:rFonts w:hint="eastAsia" w:asciiTheme="minorEastAsia" w:hAnsiTheme="minorEastAsia" w:eastAsiaTheme="minorEastAsia"/>
          <w:color w:val="auto"/>
        </w:rPr>
        <w:t>本采购工程，应该认真按施工图纸要求进行施工；同时也要严格执行建筑工程各专业有关的现行标准和技术规范。</w:t>
      </w:r>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outlineLvl w:val="9"/>
        <w:rPr>
          <w:rFonts w:hint="eastAsia" w:asciiTheme="minorEastAsia" w:hAnsiTheme="minorEastAsia" w:eastAsiaTheme="minorEastAsia"/>
          <w:color w:val="auto"/>
          <w:sz w:val="32"/>
          <w:szCs w:val="32"/>
        </w:rPr>
      </w:pPr>
      <w:bookmarkStart w:id="42" w:name="_Toc453681446"/>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outlineLvl w:val="9"/>
        <w:rPr>
          <w:rFonts w:hint="eastAsia" w:asciiTheme="minorEastAsia" w:hAnsiTheme="minorEastAsia" w:eastAsiaTheme="minorEastAsia"/>
          <w:color w:val="auto"/>
          <w:sz w:val="32"/>
          <w:szCs w:val="32"/>
        </w:rPr>
      </w:pPr>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outlineLvl w:val="9"/>
        <w:rPr>
          <w:rFonts w:hint="eastAsia" w:asciiTheme="minorEastAsia" w:hAnsiTheme="minorEastAsia" w:eastAsiaTheme="minorEastAsia"/>
          <w:color w:val="auto"/>
          <w:sz w:val="32"/>
          <w:szCs w:val="32"/>
        </w:rPr>
      </w:pPr>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outlineLvl w:val="9"/>
        <w:rPr>
          <w:rFonts w:hint="eastAsia" w:asciiTheme="minorEastAsia" w:hAnsiTheme="minorEastAsia" w:eastAsiaTheme="minorEastAsia"/>
          <w:color w:val="auto"/>
          <w:sz w:val="32"/>
          <w:szCs w:val="32"/>
        </w:rPr>
      </w:pPr>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outlineLvl w:val="9"/>
        <w:rPr>
          <w:rFonts w:hint="eastAsia" w:asciiTheme="minorEastAsia" w:hAnsiTheme="minorEastAsia" w:eastAsiaTheme="minorEastAsia"/>
          <w:color w:val="auto"/>
          <w:sz w:val="32"/>
          <w:szCs w:val="32"/>
        </w:rPr>
      </w:pPr>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outlineLvl w:val="9"/>
        <w:rPr>
          <w:rFonts w:hint="eastAsia" w:asciiTheme="minorEastAsia" w:hAnsiTheme="minorEastAsia" w:eastAsiaTheme="minorEastAsia"/>
          <w:color w:val="auto"/>
          <w:sz w:val="32"/>
          <w:szCs w:val="32"/>
        </w:rPr>
      </w:pPr>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outlineLvl w:val="9"/>
        <w:rPr>
          <w:rFonts w:hint="eastAsia" w:asciiTheme="minorEastAsia" w:hAnsiTheme="minorEastAsia" w:eastAsiaTheme="minorEastAsia"/>
          <w:color w:val="auto"/>
          <w:sz w:val="32"/>
          <w:szCs w:val="32"/>
        </w:rPr>
      </w:pPr>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outlineLvl w:val="9"/>
        <w:rPr>
          <w:rFonts w:hint="eastAsia" w:asciiTheme="minorEastAsia" w:hAnsiTheme="minorEastAsia" w:eastAsiaTheme="minorEastAsia"/>
          <w:color w:val="auto"/>
          <w:sz w:val="32"/>
          <w:szCs w:val="32"/>
        </w:rPr>
      </w:pPr>
    </w:p>
    <w:p>
      <w:pPr>
        <w:rPr>
          <w:rFonts w:hint="eastAsia" w:asciiTheme="minorEastAsia" w:hAnsiTheme="minorEastAsia" w:eastAsiaTheme="minorEastAsia"/>
          <w:color w:val="auto"/>
          <w:sz w:val="32"/>
          <w:szCs w:val="32"/>
        </w:rPr>
      </w:pPr>
    </w:p>
    <w:p>
      <w:pPr>
        <w:pStyle w:val="66"/>
        <w:rPr>
          <w:rFonts w:hint="eastAsia" w:asciiTheme="minorEastAsia" w:hAnsiTheme="minorEastAsia" w:eastAsiaTheme="minorEastAsia"/>
          <w:color w:val="auto"/>
          <w:sz w:val="32"/>
          <w:szCs w:val="32"/>
        </w:rPr>
      </w:pPr>
    </w:p>
    <w:p>
      <w:pPr>
        <w:pStyle w:val="66"/>
        <w:rPr>
          <w:rFonts w:hint="eastAsia" w:asciiTheme="minorEastAsia" w:hAnsiTheme="minorEastAsia" w:eastAsiaTheme="minorEastAsia"/>
          <w:color w:val="auto"/>
          <w:sz w:val="32"/>
          <w:szCs w:val="32"/>
        </w:rPr>
      </w:pPr>
    </w:p>
    <w:p>
      <w:pPr>
        <w:pStyle w:val="66"/>
        <w:rPr>
          <w:rFonts w:hint="eastAsia" w:asciiTheme="minorEastAsia" w:hAnsiTheme="minorEastAsia" w:eastAsiaTheme="minorEastAsia"/>
          <w:color w:val="auto"/>
          <w:sz w:val="32"/>
          <w:szCs w:val="32"/>
        </w:rPr>
      </w:pPr>
    </w:p>
    <w:p>
      <w:pPr>
        <w:pStyle w:val="66"/>
        <w:rPr>
          <w:rFonts w:hint="eastAsia" w:asciiTheme="minorEastAsia" w:hAnsiTheme="minorEastAsia" w:eastAsiaTheme="minorEastAsia"/>
          <w:color w:val="auto"/>
          <w:sz w:val="32"/>
          <w:szCs w:val="32"/>
        </w:rPr>
      </w:pPr>
    </w:p>
    <w:p>
      <w:pPr>
        <w:pStyle w:val="66"/>
        <w:rPr>
          <w:rFonts w:hint="eastAsia" w:asciiTheme="minorEastAsia" w:hAnsiTheme="minorEastAsia" w:eastAsiaTheme="minorEastAsia"/>
          <w:color w:val="auto"/>
          <w:sz w:val="32"/>
          <w:szCs w:val="32"/>
        </w:rPr>
      </w:pPr>
    </w:p>
    <w:p>
      <w:pPr>
        <w:pStyle w:val="66"/>
        <w:rPr>
          <w:rFonts w:hint="eastAsia" w:asciiTheme="minorEastAsia" w:hAnsiTheme="minorEastAsia" w:eastAsiaTheme="minorEastAsia"/>
          <w:color w:val="auto"/>
          <w:sz w:val="32"/>
          <w:szCs w:val="32"/>
        </w:rPr>
      </w:pPr>
    </w:p>
    <w:p>
      <w:pPr>
        <w:pStyle w:val="66"/>
        <w:rPr>
          <w:rFonts w:hint="eastAsia" w:asciiTheme="minorEastAsia" w:hAnsiTheme="minorEastAsia" w:eastAsiaTheme="minorEastAsia"/>
          <w:color w:val="auto"/>
          <w:sz w:val="32"/>
          <w:szCs w:val="32"/>
        </w:rPr>
      </w:pPr>
    </w:p>
    <w:p>
      <w:pPr>
        <w:pStyle w:val="66"/>
        <w:rPr>
          <w:rFonts w:hint="eastAsia" w:asciiTheme="minorEastAsia" w:hAnsiTheme="minorEastAsia" w:eastAsiaTheme="minorEastAsia"/>
          <w:color w:val="auto"/>
          <w:sz w:val="32"/>
          <w:szCs w:val="32"/>
        </w:rPr>
      </w:pPr>
    </w:p>
    <w:p>
      <w:pPr>
        <w:pStyle w:val="66"/>
        <w:rPr>
          <w:rFonts w:hint="eastAsia" w:asciiTheme="minorEastAsia" w:hAnsiTheme="minorEastAsia" w:eastAsiaTheme="minorEastAsia"/>
          <w:color w:val="auto"/>
          <w:sz w:val="32"/>
          <w:szCs w:val="32"/>
        </w:rPr>
      </w:pPr>
    </w:p>
    <w:p>
      <w:pPr>
        <w:pStyle w:val="52"/>
        <w:keepNext w:val="0"/>
        <w:keepLines w:val="0"/>
        <w:pageBreakBefore w:val="0"/>
        <w:widowControl w:val="0"/>
        <w:kinsoku/>
        <w:wordWrap/>
        <w:overflowPunct/>
        <w:topLinePunct w:val="0"/>
        <w:autoSpaceDE/>
        <w:autoSpaceDN/>
        <w:bidi w:val="0"/>
        <w:adjustRightInd/>
        <w:snapToGrid/>
        <w:spacing w:before="360" w:after="300" w:line="400" w:lineRule="exact"/>
        <w:textAlignment w:val="auto"/>
        <w:rPr>
          <w:rFonts w:asciiTheme="minorEastAsia" w:hAnsiTheme="minorEastAsia" w:eastAsiaTheme="minorEastAsia"/>
          <w:color w:val="auto"/>
          <w:sz w:val="32"/>
          <w:szCs w:val="32"/>
        </w:rPr>
      </w:pPr>
      <w:bookmarkStart w:id="43" w:name="_Toc28819"/>
      <w:r>
        <w:rPr>
          <w:rFonts w:hint="eastAsia" w:asciiTheme="minorEastAsia" w:hAnsiTheme="minorEastAsia" w:eastAsiaTheme="minorEastAsia"/>
          <w:color w:val="auto"/>
          <w:sz w:val="32"/>
          <w:szCs w:val="32"/>
        </w:rPr>
        <w:t>第六章  合同</w:t>
      </w:r>
      <w:r>
        <w:rPr>
          <w:rFonts w:hint="eastAsia" w:ascii="宋体" w:hAnsi="宋体" w:eastAsia="宋体" w:cs="宋体"/>
          <w:color w:val="auto"/>
        </w:rPr>
        <w:t>条款</w:t>
      </w:r>
      <w:r>
        <w:rPr>
          <w:rFonts w:hint="eastAsia" w:asciiTheme="minorEastAsia" w:hAnsiTheme="minorEastAsia" w:eastAsiaTheme="minorEastAsia"/>
          <w:color w:val="auto"/>
          <w:sz w:val="32"/>
          <w:szCs w:val="32"/>
        </w:rPr>
        <w:t>及格式</w:t>
      </w:r>
      <w:bookmarkEnd w:id="42"/>
      <w:bookmarkEnd w:id="43"/>
    </w:p>
    <w:bookmarkEnd w:id="20"/>
    <w:bookmarkEnd w:id="21"/>
    <w:p>
      <w:pPr>
        <w:pStyle w:val="3"/>
        <w:jc w:val="center"/>
        <w:rPr>
          <w:rFonts w:asciiTheme="minorEastAsia" w:hAnsiTheme="minorEastAsia" w:eastAsiaTheme="minorEastAsia"/>
          <w:color w:val="auto"/>
          <w:sz w:val="24"/>
          <w:szCs w:val="24"/>
        </w:rPr>
      </w:pPr>
      <w:bookmarkStart w:id="44" w:name="_Toc373478199"/>
      <w:bookmarkStart w:id="45" w:name="_Toc373227552"/>
      <w:bookmarkStart w:id="46" w:name="_Toc389065255"/>
      <w:bookmarkStart w:id="47" w:name="_Toc296890982"/>
      <w:bookmarkStart w:id="48" w:name="_Toc830"/>
      <w:bookmarkStart w:id="49" w:name="_Toc395382491"/>
      <w:bookmarkStart w:id="50" w:name="_Toc351203480"/>
      <w:bookmarkStart w:id="51" w:name="_Toc453681447"/>
      <w:bookmarkStart w:id="52" w:name="_Toc296503025"/>
      <w:bookmarkStart w:id="53" w:name="_Toc453680974"/>
      <w:bookmarkStart w:id="54" w:name="_Toc108836088"/>
      <w:bookmarkStart w:id="55" w:name="_Toc108835677"/>
      <w:r>
        <w:rPr>
          <w:rFonts w:asciiTheme="minorEastAsia" w:hAnsiTheme="minorEastAsia" w:eastAsiaTheme="minorEastAsia"/>
          <w:color w:val="auto"/>
          <w:sz w:val="24"/>
          <w:szCs w:val="24"/>
        </w:rPr>
        <w:t>第一</w:t>
      </w:r>
      <w:r>
        <w:rPr>
          <w:rFonts w:hint="eastAsia" w:asciiTheme="minorEastAsia" w:hAnsiTheme="minorEastAsia" w:eastAsiaTheme="minorEastAsia"/>
          <w:color w:val="auto"/>
          <w:sz w:val="24"/>
          <w:szCs w:val="24"/>
        </w:rPr>
        <w:t>部分</w:t>
      </w:r>
      <w:r>
        <w:rPr>
          <w:rFonts w:asciiTheme="minorEastAsia" w:hAnsiTheme="minorEastAsia" w:eastAsiaTheme="minorEastAsia"/>
          <w:color w:val="auto"/>
          <w:sz w:val="24"/>
          <w:szCs w:val="24"/>
        </w:rPr>
        <w:t xml:space="preserve"> 合同协议书</w:t>
      </w:r>
      <w:bookmarkEnd w:id="44"/>
      <w:bookmarkEnd w:id="45"/>
      <w:bookmarkEnd w:id="46"/>
      <w:bookmarkEnd w:id="47"/>
      <w:bookmarkEnd w:id="48"/>
      <w:bookmarkEnd w:id="49"/>
      <w:bookmarkEnd w:id="50"/>
      <w:bookmarkEnd w:id="51"/>
      <w:bookmarkEnd w:id="52"/>
      <w:bookmarkEnd w:id="53"/>
    </w:p>
    <w:p>
      <w:pPr>
        <w:pageBreakBefore w:val="0"/>
        <w:kinsoku/>
        <w:wordWrap/>
        <w:overflowPunct/>
        <w:topLinePunct w:val="0"/>
        <w:bidi w:val="0"/>
        <w:spacing w:line="360" w:lineRule="auto"/>
        <w:textAlignment w:val="auto"/>
        <w:rPr>
          <w:rFonts w:asciiTheme="minorEastAsia" w:hAnsiTheme="minorEastAsia" w:eastAsiaTheme="minorEastAsia"/>
          <w:color w:val="auto"/>
          <w:szCs w:val="21"/>
          <w:u w:val="single"/>
        </w:rPr>
      </w:pPr>
      <w:r>
        <w:rPr>
          <w:rFonts w:asciiTheme="minorEastAsia" w:hAnsiTheme="minorEastAsia" w:eastAsiaTheme="minorEastAsia"/>
          <w:color w:val="auto"/>
          <w:szCs w:val="21"/>
        </w:rPr>
        <w:t>发包人（全称）：</w:t>
      </w:r>
    </w:p>
    <w:p>
      <w:pPr>
        <w:pageBreakBefore w:val="0"/>
        <w:kinsoku/>
        <w:wordWrap/>
        <w:overflowPunct/>
        <w:topLinePunct w:val="0"/>
        <w:bidi w:val="0"/>
        <w:spacing w:line="360" w:lineRule="auto"/>
        <w:textAlignment w:val="auto"/>
        <w:rPr>
          <w:rFonts w:asciiTheme="minorEastAsia" w:hAnsiTheme="minorEastAsia" w:eastAsiaTheme="minorEastAsia"/>
          <w:color w:val="auto"/>
          <w:szCs w:val="21"/>
          <w:u w:val="single"/>
        </w:rPr>
      </w:pPr>
      <w:r>
        <w:rPr>
          <w:rFonts w:asciiTheme="minorEastAsia" w:hAnsiTheme="minorEastAsia" w:eastAsiaTheme="minorEastAsia"/>
          <w:color w:val="auto"/>
          <w:szCs w:val="21"/>
        </w:rPr>
        <w:t>承包人（全称）：</w:t>
      </w:r>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根据《中华人民共和国合同法》、《中华人民共和国建筑法》及有关法律规定，遵循平等、自愿、公平和诚实信用的原则，双方就</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工程施工及有关事项协商一致，共同达成如下协议：</w:t>
      </w:r>
      <w:bookmarkStart w:id="56" w:name="_Toc351203481"/>
    </w:p>
    <w:p>
      <w:pPr>
        <w:pageBreakBefore w:val="0"/>
        <w:kinsoku/>
        <w:wordWrap/>
        <w:overflowPunct/>
        <w:topLinePunct w:val="0"/>
        <w:bidi w:val="0"/>
        <w:spacing w:line="360" w:lineRule="auto"/>
        <w:ind w:firstLine="422" w:firstLineChars="200"/>
        <w:textAlignment w:val="auto"/>
        <w:rPr>
          <w:rFonts w:asciiTheme="minorEastAsia" w:hAnsiTheme="minorEastAsia" w:eastAsiaTheme="minorEastAsia"/>
          <w:b/>
          <w:bCs/>
          <w:color w:val="auto"/>
          <w:szCs w:val="21"/>
        </w:rPr>
      </w:pPr>
      <w:r>
        <w:rPr>
          <w:rFonts w:asciiTheme="minorEastAsia" w:hAnsiTheme="minorEastAsia" w:eastAsiaTheme="minorEastAsia"/>
          <w:b/>
          <w:bCs/>
          <w:color w:val="auto"/>
          <w:szCs w:val="21"/>
        </w:rPr>
        <w:t>一、工程概况</w:t>
      </w:r>
      <w:bookmarkEnd w:id="56"/>
    </w:p>
    <w:p>
      <w:pPr>
        <w:pageBreakBefore w:val="0"/>
        <w:kinsoku/>
        <w:wordWrap/>
        <w:overflowPunct/>
        <w:topLinePunct w:val="0"/>
        <w:bidi w:val="0"/>
        <w:spacing w:line="360" w:lineRule="auto"/>
        <w:ind w:firstLine="411" w:firstLineChars="196"/>
        <w:textAlignment w:val="auto"/>
        <w:rPr>
          <w:rFonts w:asciiTheme="minorEastAsia" w:hAnsiTheme="minorEastAsia" w:eastAsiaTheme="minorEastAsia"/>
          <w:color w:val="auto"/>
          <w:szCs w:val="21"/>
          <w:u w:val="single"/>
        </w:rPr>
      </w:pPr>
      <w:r>
        <w:rPr>
          <w:rFonts w:asciiTheme="minorEastAsia" w:hAnsiTheme="minorEastAsia" w:eastAsiaTheme="minorEastAsia"/>
          <w:bCs/>
          <w:color w:val="auto"/>
          <w:szCs w:val="21"/>
        </w:rPr>
        <w:t>1.工程名称</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w:t>
      </w:r>
    </w:p>
    <w:p>
      <w:pPr>
        <w:pageBreakBefore w:val="0"/>
        <w:kinsoku/>
        <w:wordWrap/>
        <w:overflowPunct/>
        <w:topLinePunct w:val="0"/>
        <w:bidi w:val="0"/>
        <w:spacing w:line="360" w:lineRule="auto"/>
        <w:ind w:firstLine="411" w:firstLineChars="196"/>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2.工程地点：</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color w:val="auto"/>
          <w:szCs w:val="21"/>
        </w:rPr>
        <w:t>。</w:t>
      </w:r>
    </w:p>
    <w:p>
      <w:pPr>
        <w:pageBreakBefore w:val="0"/>
        <w:kinsoku/>
        <w:wordWrap/>
        <w:overflowPunct/>
        <w:topLinePunct w:val="0"/>
        <w:bidi w:val="0"/>
        <w:spacing w:line="360" w:lineRule="auto"/>
        <w:ind w:firstLine="411" w:firstLineChars="196"/>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3.工程立项批准文号：</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bCs/>
          <w:color w:val="auto"/>
          <w:szCs w:val="21"/>
        </w:rPr>
        <w:t>。</w:t>
      </w:r>
    </w:p>
    <w:p>
      <w:pPr>
        <w:pageBreakBefore w:val="0"/>
        <w:kinsoku/>
        <w:wordWrap/>
        <w:overflowPunct/>
        <w:topLinePunct w:val="0"/>
        <w:bidi w:val="0"/>
        <w:spacing w:line="360" w:lineRule="auto"/>
        <w:ind w:firstLine="411" w:firstLineChars="196"/>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4.资金来源：</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bCs/>
          <w:color w:val="auto"/>
          <w:szCs w:val="21"/>
        </w:rPr>
        <w:t>。</w:t>
      </w:r>
    </w:p>
    <w:p>
      <w:pPr>
        <w:pageBreakBefore w:val="0"/>
        <w:kinsoku/>
        <w:wordWrap/>
        <w:overflowPunct/>
        <w:topLinePunct w:val="0"/>
        <w:bidi w:val="0"/>
        <w:spacing w:line="360" w:lineRule="auto"/>
        <w:ind w:firstLine="411" w:firstLineChars="196"/>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5.工程内容：</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bCs/>
          <w:color w:val="auto"/>
          <w:szCs w:val="21"/>
        </w:rPr>
        <w:t>。</w:t>
      </w:r>
    </w:p>
    <w:p>
      <w:pPr>
        <w:pageBreakBefore w:val="0"/>
        <w:kinsoku/>
        <w:wordWrap/>
        <w:overflowPunct/>
        <w:topLinePunct w:val="0"/>
        <w:bidi w:val="0"/>
        <w:spacing w:line="360" w:lineRule="auto"/>
        <w:ind w:firstLine="411" w:firstLineChars="196"/>
        <w:textAlignment w:val="auto"/>
        <w:rPr>
          <w:rFonts w:asciiTheme="minorEastAsia" w:hAnsiTheme="minorEastAsia" w:eastAsiaTheme="minorEastAsia"/>
          <w:bCs/>
          <w:color w:val="auto"/>
          <w:szCs w:val="21"/>
        </w:rPr>
      </w:pPr>
      <w:r>
        <w:rPr>
          <w:rFonts w:asciiTheme="minorEastAsia" w:hAnsiTheme="minorEastAsia" w:eastAsiaTheme="minorEastAsia"/>
          <w:color w:val="auto"/>
          <w:szCs w:val="21"/>
        </w:rPr>
        <w:t>群体工程应附《承包人承揽工程项目一览表》（附件1）。</w:t>
      </w:r>
    </w:p>
    <w:p>
      <w:pPr>
        <w:pageBreakBefore w:val="0"/>
        <w:kinsoku/>
        <w:wordWrap/>
        <w:overflowPunct/>
        <w:topLinePunct w:val="0"/>
        <w:bidi w:val="0"/>
        <w:spacing w:line="360" w:lineRule="auto"/>
        <w:ind w:firstLine="411" w:firstLineChars="196"/>
        <w:textAlignment w:val="auto"/>
        <w:rPr>
          <w:rFonts w:asciiTheme="minorEastAsia" w:hAnsiTheme="minorEastAsia" w:eastAsiaTheme="minorEastAsia"/>
          <w:color w:val="auto"/>
          <w:szCs w:val="21"/>
        </w:rPr>
      </w:pPr>
      <w:r>
        <w:rPr>
          <w:rFonts w:asciiTheme="minorEastAsia" w:hAnsiTheme="minorEastAsia" w:eastAsiaTheme="minorEastAsia"/>
          <w:bCs/>
          <w:color w:val="auto"/>
          <w:szCs w:val="21"/>
        </w:rPr>
        <w:t>6.工程承包范围：</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color w:val="auto"/>
          <w:szCs w:val="21"/>
        </w:rPr>
        <w:t>。</w:t>
      </w:r>
    </w:p>
    <w:p>
      <w:pPr>
        <w:pageBreakBefore w:val="0"/>
        <w:kinsoku/>
        <w:wordWrap/>
        <w:overflowPunct/>
        <w:topLinePunct w:val="0"/>
        <w:bidi w:val="0"/>
        <w:spacing w:line="360" w:lineRule="auto"/>
        <w:ind w:firstLine="407" w:firstLineChars="193"/>
        <w:textAlignment w:val="auto"/>
        <w:rPr>
          <w:rFonts w:asciiTheme="minorEastAsia" w:hAnsiTheme="minorEastAsia" w:eastAsiaTheme="minorEastAsia"/>
          <w:b/>
          <w:bCs/>
          <w:color w:val="auto"/>
          <w:szCs w:val="21"/>
        </w:rPr>
      </w:pPr>
      <w:bookmarkStart w:id="57" w:name="_Toc351203482"/>
      <w:r>
        <w:rPr>
          <w:rFonts w:asciiTheme="minorEastAsia" w:hAnsiTheme="minorEastAsia" w:eastAsiaTheme="minorEastAsia"/>
          <w:b/>
          <w:bCs/>
          <w:color w:val="auto"/>
          <w:szCs w:val="21"/>
        </w:rPr>
        <w:t>二、合同工期</w:t>
      </w:r>
      <w:bookmarkEnd w:id="57"/>
    </w:p>
    <w:p>
      <w:pPr>
        <w:pageBreakBefore w:val="0"/>
        <w:kinsoku/>
        <w:wordWrap/>
        <w:overflowPunct/>
        <w:topLinePunct w:val="0"/>
        <w:bidi w:val="0"/>
        <w:spacing w:line="360" w:lineRule="auto"/>
        <w:ind w:firstLine="459"/>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计划开工日期：</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日。</w:t>
      </w:r>
    </w:p>
    <w:p>
      <w:pPr>
        <w:pageBreakBefore w:val="0"/>
        <w:kinsoku/>
        <w:wordWrap/>
        <w:overflowPunct/>
        <w:topLinePunct w:val="0"/>
        <w:bidi w:val="0"/>
        <w:spacing w:line="360" w:lineRule="auto"/>
        <w:ind w:firstLine="459"/>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计划竣工日期：</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日。</w:t>
      </w:r>
    </w:p>
    <w:p>
      <w:pPr>
        <w:pageBreakBefore w:val="0"/>
        <w:kinsoku/>
        <w:wordWrap/>
        <w:overflowPunct/>
        <w:topLinePunct w:val="0"/>
        <w:bidi w:val="0"/>
        <w:spacing w:line="360" w:lineRule="auto"/>
        <w:ind w:firstLine="459"/>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工期总日历天数：</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天。工期总日历天数与根据前述计划开竣工日期计算的工期天数不一致的，以工期总日历天数为准。</w:t>
      </w:r>
    </w:p>
    <w:p>
      <w:pPr>
        <w:pageBreakBefore w:val="0"/>
        <w:kinsoku/>
        <w:wordWrap/>
        <w:overflowPunct/>
        <w:topLinePunct w:val="0"/>
        <w:bidi w:val="0"/>
        <w:spacing w:line="360" w:lineRule="auto"/>
        <w:ind w:firstLine="459"/>
        <w:textAlignment w:val="auto"/>
        <w:rPr>
          <w:rFonts w:asciiTheme="minorEastAsia" w:hAnsiTheme="minorEastAsia" w:eastAsiaTheme="minorEastAsia"/>
          <w:b/>
          <w:bCs/>
          <w:color w:val="auto"/>
          <w:szCs w:val="21"/>
        </w:rPr>
      </w:pPr>
      <w:bookmarkStart w:id="58" w:name="_Toc351203483"/>
      <w:r>
        <w:rPr>
          <w:rFonts w:asciiTheme="minorEastAsia" w:hAnsiTheme="minorEastAsia" w:eastAsiaTheme="minorEastAsia"/>
          <w:b/>
          <w:bCs/>
          <w:color w:val="auto"/>
          <w:szCs w:val="21"/>
        </w:rPr>
        <w:t>三、质量标准</w:t>
      </w:r>
      <w:bookmarkEnd w:id="58"/>
    </w:p>
    <w:p>
      <w:pPr>
        <w:pageBreakBefore w:val="0"/>
        <w:kinsoku/>
        <w:wordWrap/>
        <w:overflowPunct/>
        <w:topLinePunct w:val="0"/>
        <w:bidi w:val="0"/>
        <w:spacing w:line="360" w:lineRule="auto"/>
        <w:ind w:firstLine="459"/>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工程质量符合</w:t>
      </w:r>
      <w:r>
        <w:rPr>
          <w:rFonts w:hint="eastAsia" w:asciiTheme="minorEastAsia" w:hAnsiTheme="minorEastAsia" w:eastAsiaTheme="minorEastAsia"/>
          <w:color w:val="auto"/>
          <w:szCs w:val="21"/>
          <w:u w:val="single"/>
          <w:lang w:val="en-US" w:eastAsia="zh-CN"/>
        </w:rPr>
        <w:t>国家合格</w:t>
      </w:r>
      <w:r>
        <w:rPr>
          <w:rFonts w:asciiTheme="minorEastAsia" w:hAnsiTheme="minorEastAsia" w:eastAsiaTheme="minorEastAsia"/>
          <w:color w:val="auto"/>
          <w:szCs w:val="21"/>
        </w:rPr>
        <w:t>标准。</w:t>
      </w:r>
    </w:p>
    <w:p>
      <w:pPr>
        <w:pageBreakBefore w:val="0"/>
        <w:kinsoku/>
        <w:wordWrap/>
        <w:overflowPunct/>
        <w:topLinePunct w:val="0"/>
        <w:bidi w:val="0"/>
        <w:spacing w:line="360" w:lineRule="auto"/>
        <w:ind w:firstLine="459"/>
        <w:textAlignment w:val="auto"/>
        <w:rPr>
          <w:rFonts w:asciiTheme="minorEastAsia" w:hAnsiTheme="minorEastAsia" w:eastAsiaTheme="minorEastAsia"/>
          <w:b/>
          <w:bCs/>
          <w:color w:val="auto"/>
          <w:szCs w:val="21"/>
        </w:rPr>
      </w:pPr>
      <w:bookmarkStart w:id="59" w:name="_Toc351203484"/>
      <w:r>
        <w:rPr>
          <w:rFonts w:asciiTheme="minorEastAsia" w:hAnsiTheme="minorEastAsia" w:eastAsiaTheme="minorEastAsia"/>
          <w:b/>
          <w:bCs/>
          <w:color w:val="auto"/>
          <w:szCs w:val="21"/>
        </w:rPr>
        <w:t>四、签约合同价与合同价格形式</w:t>
      </w:r>
      <w:bookmarkEnd w:id="59"/>
    </w:p>
    <w:p>
      <w:pPr>
        <w:spacing w:line="360" w:lineRule="auto"/>
        <w:ind w:firstLine="422" w:firstLineChars="200"/>
        <w:rPr>
          <w:rFonts w:hint="eastAsia"/>
          <w:b/>
          <w:bCs/>
          <w:color w:val="auto"/>
          <w:szCs w:val="21"/>
        </w:rPr>
      </w:pPr>
      <w:bookmarkStart w:id="60" w:name="_Toc351203485"/>
      <w:r>
        <w:rPr>
          <w:rFonts w:hint="eastAsia"/>
          <w:b/>
          <w:bCs/>
          <w:color w:val="auto"/>
          <w:szCs w:val="21"/>
        </w:rPr>
        <w:t>1. 签约合同</w:t>
      </w:r>
      <w:r>
        <w:rPr>
          <w:rFonts w:hint="eastAsia"/>
          <w:b/>
          <w:bCs/>
          <w:color w:val="auto"/>
          <w:szCs w:val="21"/>
          <w:lang w:val="en-US" w:eastAsia="zh-CN"/>
        </w:rPr>
        <w:t>总</w:t>
      </w:r>
      <w:r>
        <w:rPr>
          <w:rFonts w:hint="eastAsia"/>
          <w:b/>
          <w:bCs/>
          <w:color w:val="auto"/>
          <w:szCs w:val="21"/>
        </w:rPr>
        <w:t>价为：</w:t>
      </w:r>
    </w:p>
    <w:p>
      <w:pPr>
        <w:spacing w:line="360" w:lineRule="auto"/>
        <w:ind w:firstLine="420" w:firstLineChars="200"/>
        <w:rPr>
          <w:rFonts w:hint="eastAsia"/>
          <w:color w:val="auto"/>
          <w:szCs w:val="21"/>
        </w:rPr>
      </w:pPr>
      <w:r>
        <w:rPr>
          <w:rFonts w:hint="eastAsia"/>
          <w:color w:val="auto"/>
          <w:szCs w:val="21"/>
        </w:rPr>
        <w:t>人民币（大写）</w:t>
      </w:r>
      <w:r>
        <w:rPr>
          <w:rFonts w:hint="eastAsia"/>
          <w:color w:val="auto"/>
          <w:szCs w:val="21"/>
          <w:u w:val="single"/>
        </w:rPr>
        <w:t xml:space="preserve">                 </w:t>
      </w:r>
      <w:r>
        <w:rPr>
          <w:rFonts w:hint="eastAsia"/>
          <w:color w:val="auto"/>
          <w:szCs w:val="21"/>
        </w:rPr>
        <w:t>（¥</w:t>
      </w:r>
      <w:r>
        <w:rPr>
          <w:rFonts w:hint="eastAsia"/>
          <w:color w:val="auto"/>
          <w:szCs w:val="21"/>
          <w:u w:val="single"/>
        </w:rPr>
        <w:t xml:space="preserve">            </w:t>
      </w:r>
      <w:r>
        <w:rPr>
          <w:rFonts w:hint="eastAsia"/>
          <w:color w:val="auto"/>
          <w:szCs w:val="21"/>
        </w:rPr>
        <w:t>元）；</w:t>
      </w:r>
    </w:p>
    <w:p>
      <w:pPr>
        <w:spacing w:line="360" w:lineRule="auto"/>
        <w:ind w:firstLine="420" w:firstLineChars="200"/>
        <w:rPr>
          <w:rFonts w:hint="eastAsia"/>
          <w:color w:val="auto"/>
          <w:szCs w:val="21"/>
        </w:rPr>
      </w:pPr>
      <w:r>
        <w:rPr>
          <w:rFonts w:hint="eastAsia"/>
          <w:color w:val="auto"/>
          <w:szCs w:val="21"/>
        </w:rPr>
        <w:t>（1）安全文明施工费：</w:t>
      </w:r>
    </w:p>
    <w:p>
      <w:pPr>
        <w:spacing w:line="360" w:lineRule="auto"/>
        <w:ind w:firstLine="420" w:firstLineChars="200"/>
        <w:rPr>
          <w:rFonts w:hint="eastAsia"/>
          <w:color w:val="auto"/>
          <w:szCs w:val="21"/>
        </w:rPr>
      </w:pPr>
      <w:r>
        <w:rPr>
          <w:rFonts w:hint="eastAsia"/>
          <w:color w:val="auto"/>
          <w:szCs w:val="21"/>
        </w:rPr>
        <w:t>人民币（大写）</w:t>
      </w:r>
      <w:r>
        <w:rPr>
          <w:rFonts w:hint="eastAsia"/>
          <w:color w:val="auto"/>
          <w:szCs w:val="21"/>
          <w:u w:val="single"/>
        </w:rPr>
        <w:t xml:space="preserve">               </w:t>
      </w:r>
      <w:r>
        <w:rPr>
          <w:rFonts w:hint="eastAsia"/>
          <w:color w:val="auto"/>
          <w:szCs w:val="21"/>
        </w:rPr>
        <w:t>（¥</w:t>
      </w:r>
      <w:r>
        <w:rPr>
          <w:rFonts w:hint="eastAsia"/>
          <w:color w:val="auto"/>
          <w:szCs w:val="21"/>
          <w:u w:val="single"/>
        </w:rPr>
        <w:t xml:space="preserve">          </w:t>
      </w:r>
      <w:r>
        <w:rPr>
          <w:rFonts w:hint="eastAsia"/>
          <w:color w:val="auto"/>
          <w:szCs w:val="21"/>
        </w:rPr>
        <w:t>元）；</w:t>
      </w:r>
    </w:p>
    <w:p>
      <w:pPr>
        <w:spacing w:line="360" w:lineRule="auto"/>
        <w:ind w:firstLine="420" w:firstLineChars="200"/>
        <w:rPr>
          <w:rFonts w:hint="eastAsia"/>
          <w:color w:val="auto"/>
          <w:szCs w:val="21"/>
        </w:rPr>
      </w:pPr>
      <w:r>
        <w:rPr>
          <w:rFonts w:hint="eastAsia"/>
          <w:color w:val="auto"/>
          <w:szCs w:val="21"/>
        </w:rPr>
        <w:t>（</w:t>
      </w:r>
      <w:r>
        <w:rPr>
          <w:rFonts w:hint="eastAsia"/>
          <w:color w:val="auto"/>
          <w:szCs w:val="21"/>
          <w:lang w:val="en-US" w:eastAsia="zh-CN"/>
        </w:rPr>
        <w:t>2</w:t>
      </w:r>
      <w:r>
        <w:rPr>
          <w:rFonts w:hint="eastAsia"/>
          <w:color w:val="auto"/>
          <w:szCs w:val="21"/>
        </w:rPr>
        <w:t>）材料和工程设备暂估价金额：</w:t>
      </w:r>
    </w:p>
    <w:p>
      <w:pPr>
        <w:spacing w:line="360" w:lineRule="auto"/>
        <w:ind w:firstLine="420" w:firstLineChars="200"/>
        <w:rPr>
          <w:rFonts w:hint="eastAsia"/>
          <w:color w:val="auto"/>
          <w:szCs w:val="21"/>
        </w:rPr>
      </w:pPr>
      <w:r>
        <w:rPr>
          <w:rFonts w:hint="eastAsia"/>
          <w:color w:val="auto"/>
          <w:szCs w:val="21"/>
        </w:rPr>
        <w:t>人民币（大写）</w:t>
      </w:r>
      <w:r>
        <w:rPr>
          <w:rFonts w:hint="eastAsia"/>
          <w:color w:val="auto"/>
          <w:szCs w:val="21"/>
          <w:u w:val="single"/>
        </w:rPr>
        <w:t xml:space="preserve">               </w:t>
      </w:r>
      <w:r>
        <w:rPr>
          <w:rFonts w:hint="eastAsia"/>
          <w:color w:val="auto"/>
          <w:szCs w:val="21"/>
        </w:rPr>
        <w:t>（¥</w:t>
      </w:r>
      <w:r>
        <w:rPr>
          <w:rFonts w:hint="eastAsia"/>
          <w:color w:val="auto"/>
          <w:szCs w:val="21"/>
          <w:u w:val="single"/>
        </w:rPr>
        <w:t xml:space="preserve">          </w:t>
      </w:r>
      <w:r>
        <w:rPr>
          <w:rFonts w:hint="eastAsia"/>
          <w:color w:val="auto"/>
          <w:szCs w:val="21"/>
        </w:rPr>
        <w:t>元）；</w:t>
      </w:r>
    </w:p>
    <w:p>
      <w:pPr>
        <w:spacing w:line="360" w:lineRule="auto"/>
        <w:ind w:firstLine="420" w:firstLineChars="200"/>
        <w:rPr>
          <w:rFonts w:hint="eastAsia"/>
          <w:color w:val="auto"/>
          <w:szCs w:val="21"/>
        </w:rPr>
      </w:pPr>
      <w:r>
        <w:rPr>
          <w:rFonts w:hint="eastAsia"/>
          <w:color w:val="auto"/>
          <w:szCs w:val="21"/>
        </w:rPr>
        <w:t>（</w:t>
      </w:r>
      <w:r>
        <w:rPr>
          <w:rFonts w:hint="eastAsia"/>
          <w:color w:val="auto"/>
          <w:szCs w:val="21"/>
          <w:lang w:val="en-US" w:eastAsia="zh-CN"/>
        </w:rPr>
        <w:t>3</w:t>
      </w:r>
      <w:r>
        <w:rPr>
          <w:rFonts w:hint="eastAsia"/>
          <w:color w:val="auto"/>
          <w:szCs w:val="21"/>
        </w:rPr>
        <w:t>）专业工程暂估价金额：</w:t>
      </w:r>
    </w:p>
    <w:p>
      <w:pPr>
        <w:spacing w:line="360" w:lineRule="auto"/>
        <w:ind w:firstLine="420" w:firstLineChars="200"/>
        <w:rPr>
          <w:rFonts w:hint="eastAsia"/>
          <w:color w:val="auto"/>
          <w:szCs w:val="21"/>
        </w:rPr>
      </w:pPr>
      <w:r>
        <w:rPr>
          <w:rFonts w:hint="eastAsia"/>
          <w:color w:val="auto"/>
          <w:szCs w:val="21"/>
        </w:rPr>
        <w:t>人民币（大写）</w:t>
      </w:r>
      <w:r>
        <w:rPr>
          <w:rFonts w:hint="eastAsia"/>
          <w:color w:val="auto"/>
          <w:szCs w:val="21"/>
          <w:u w:val="single"/>
        </w:rPr>
        <w:t xml:space="preserve">               </w:t>
      </w:r>
      <w:r>
        <w:rPr>
          <w:rFonts w:hint="eastAsia"/>
          <w:color w:val="auto"/>
          <w:szCs w:val="21"/>
        </w:rPr>
        <w:t>（¥</w:t>
      </w:r>
      <w:r>
        <w:rPr>
          <w:rFonts w:hint="eastAsia"/>
          <w:color w:val="auto"/>
          <w:szCs w:val="21"/>
          <w:u w:val="single"/>
        </w:rPr>
        <w:t xml:space="preserve">          </w:t>
      </w:r>
      <w:r>
        <w:rPr>
          <w:rFonts w:hint="eastAsia"/>
          <w:color w:val="auto"/>
          <w:szCs w:val="21"/>
        </w:rPr>
        <w:t>元）；</w:t>
      </w:r>
    </w:p>
    <w:p>
      <w:pPr>
        <w:spacing w:line="360" w:lineRule="auto"/>
        <w:ind w:firstLine="420" w:firstLineChars="200"/>
        <w:rPr>
          <w:rFonts w:hint="eastAsia"/>
          <w:color w:val="auto"/>
          <w:szCs w:val="21"/>
        </w:rPr>
      </w:pPr>
      <w:r>
        <w:rPr>
          <w:rFonts w:hint="eastAsia"/>
          <w:color w:val="auto"/>
          <w:szCs w:val="21"/>
        </w:rPr>
        <w:t>（</w:t>
      </w:r>
      <w:r>
        <w:rPr>
          <w:rFonts w:hint="eastAsia"/>
          <w:color w:val="auto"/>
          <w:szCs w:val="21"/>
          <w:lang w:val="en-US" w:eastAsia="zh-CN"/>
        </w:rPr>
        <w:t>4</w:t>
      </w:r>
      <w:r>
        <w:rPr>
          <w:rFonts w:hint="eastAsia"/>
          <w:color w:val="auto"/>
          <w:szCs w:val="21"/>
        </w:rPr>
        <w:t>）暂列金额：</w:t>
      </w:r>
    </w:p>
    <w:p>
      <w:pPr>
        <w:spacing w:line="360" w:lineRule="auto"/>
        <w:ind w:firstLine="420" w:firstLineChars="200"/>
        <w:rPr>
          <w:rFonts w:hint="eastAsia"/>
          <w:color w:val="auto"/>
          <w:szCs w:val="21"/>
        </w:rPr>
      </w:pPr>
      <w:r>
        <w:rPr>
          <w:rFonts w:hint="eastAsia"/>
          <w:color w:val="auto"/>
          <w:szCs w:val="21"/>
        </w:rPr>
        <w:t>人民币（大写）</w:t>
      </w:r>
      <w:r>
        <w:rPr>
          <w:rFonts w:hint="eastAsia"/>
          <w:color w:val="auto"/>
          <w:szCs w:val="21"/>
          <w:u w:val="single"/>
        </w:rPr>
        <w:t xml:space="preserve">               </w:t>
      </w:r>
      <w:r>
        <w:rPr>
          <w:rFonts w:hint="eastAsia"/>
          <w:color w:val="auto"/>
          <w:szCs w:val="21"/>
        </w:rPr>
        <w:t>（¥</w:t>
      </w:r>
      <w:r>
        <w:rPr>
          <w:rFonts w:hint="eastAsia"/>
          <w:color w:val="auto"/>
          <w:szCs w:val="21"/>
          <w:u w:val="single"/>
        </w:rPr>
        <w:t xml:space="preserve">          </w:t>
      </w:r>
      <w:r>
        <w:rPr>
          <w:rFonts w:hint="eastAsia"/>
          <w:color w:val="auto"/>
          <w:szCs w:val="21"/>
        </w:rPr>
        <w:t>元）。</w:t>
      </w:r>
    </w:p>
    <w:p>
      <w:pPr>
        <w:spacing w:line="360" w:lineRule="auto"/>
        <w:ind w:firstLine="420" w:firstLineChars="200"/>
        <w:rPr>
          <w:rFonts w:hint="eastAsia"/>
          <w:color w:val="auto"/>
          <w:szCs w:val="21"/>
        </w:rPr>
      </w:pPr>
      <w:r>
        <w:rPr>
          <w:rFonts w:hint="eastAsia"/>
          <w:color w:val="auto"/>
          <w:szCs w:val="21"/>
        </w:rPr>
        <w:t>（</w:t>
      </w:r>
      <w:r>
        <w:rPr>
          <w:rFonts w:hint="eastAsia"/>
          <w:color w:val="auto"/>
          <w:szCs w:val="21"/>
          <w:lang w:val="en-US" w:eastAsia="zh-CN"/>
        </w:rPr>
        <w:t>5</w:t>
      </w:r>
      <w:r>
        <w:rPr>
          <w:rFonts w:hint="eastAsia"/>
          <w:color w:val="auto"/>
          <w:szCs w:val="21"/>
        </w:rPr>
        <w:t>）增值税额：</w:t>
      </w:r>
    </w:p>
    <w:p>
      <w:pPr>
        <w:spacing w:line="360" w:lineRule="auto"/>
        <w:ind w:firstLine="420" w:firstLineChars="200"/>
        <w:rPr>
          <w:rFonts w:hint="eastAsia"/>
          <w:color w:val="auto"/>
          <w:szCs w:val="21"/>
        </w:rPr>
      </w:pPr>
      <w:r>
        <w:rPr>
          <w:rFonts w:hint="eastAsia"/>
          <w:color w:val="auto"/>
          <w:szCs w:val="21"/>
        </w:rPr>
        <w:t>人民币（大写）</w:t>
      </w:r>
      <w:r>
        <w:rPr>
          <w:rFonts w:hint="eastAsia"/>
          <w:color w:val="auto"/>
          <w:szCs w:val="21"/>
          <w:u w:val="single"/>
        </w:rPr>
        <w:t xml:space="preserve">               </w:t>
      </w:r>
      <w:r>
        <w:rPr>
          <w:rFonts w:hint="eastAsia"/>
          <w:color w:val="auto"/>
          <w:szCs w:val="21"/>
        </w:rPr>
        <w:t>（¥</w:t>
      </w:r>
      <w:r>
        <w:rPr>
          <w:rFonts w:hint="eastAsia"/>
          <w:color w:val="auto"/>
          <w:szCs w:val="21"/>
          <w:u w:val="single"/>
        </w:rPr>
        <w:t xml:space="preserve">          </w:t>
      </w:r>
      <w:r>
        <w:rPr>
          <w:rFonts w:hint="eastAsia"/>
          <w:color w:val="auto"/>
          <w:szCs w:val="21"/>
        </w:rPr>
        <w:t>元）。</w:t>
      </w:r>
    </w:p>
    <w:p>
      <w:pPr>
        <w:spacing w:line="360" w:lineRule="auto"/>
        <w:ind w:firstLine="420" w:firstLineChars="200"/>
        <w:rPr>
          <w:rFonts w:hint="eastAsia"/>
          <w:color w:val="auto"/>
          <w:szCs w:val="21"/>
          <w:u w:val="single"/>
        </w:rPr>
      </w:pPr>
      <w:r>
        <w:rPr>
          <w:rFonts w:hint="eastAsia"/>
          <w:color w:val="auto"/>
          <w:szCs w:val="21"/>
        </w:rPr>
        <w:t>增值税率：</w:t>
      </w:r>
      <w:r>
        <w:rPr>
          <w:rFonts w:hint="eastAsia"/>
          <w:color w:val="auto"/>
          <w:szCs w:val="21"/>
          <w:u w:val="single"/>
        </w:rPr>
        <w:t xml:space="preserve">  　　　　　　</w:t>
      </w:r>
    </w:p>
    <w:p>
      <w:pPr>
        <w:spacing w:line="360" w:lineRule="auto"/>
        <w:ind w:firstLine="420" w:firstLineChars="200"/>
        <w:rPr>
          <w:rFonts w:hAnsi="宋体"/>
          <w:color w:val="auto"/>
          <w:szCs w:val="21"/>
        </w:rPr>
      </w:pPr>
      <w:r>
        <w:rPr>
          <w:color w:val="auto"/>
          <w:szCs w:val="21"/>
        </w:rPr>
        <w:t>2.</w:t>
      </w:r>
      <w:r>
        <w:rPr>
          <w:rFonts w:hint="eastAsia"/>
          <w:color w:val="auto"/>
          <w:szCs w:val="21"/>
        </w:rPr>
        <w:t xml:space="preserve"> </w:t>
      </w:r>
      <w:r>
        <w:rPr>
          <w:rFonts w:hAnsi="宋体"/>
          <w:color w:val="auto"/>
          <w:szCs w:val="21"/>
        </w:rPr>
        <w:t>合同价格形式：</w:t>
      </w:r>
      <w:r>
        <w:rPr>
          <w:color w:val="auto"/>
          <w:szCs w:val="21"/>
        </w:rPr>
        <w:t xml:space="preserve">   </w:t>
      </w:r>
      <w:r>
        <w:rPr>
          <w:rFonts w:hint="eastAsia" w:ascii="宋体" w:hAnsi="宋体"/>
          <w:color w:val="auto"/>
          <w:szCs w:val="21"/>
          <w:u w:val="single"/>
        </w:rPr>
        <w:t>固定综合单价</w:t>
      </w:r>
      <w:r>
        <w:rPr>
          <w:rFonts w:hint="eastAsia" w:hAnsi="宋体"/>
          <w:color w:val="auto"/>
          <w:szCs w:val="21"/>
          <w:u w:val="single"/>
          <w:lang w:val="en-US" w:eastAsia="zh-CN"/>
        </w:rPr>
        <w:t>合同</w:t>
      </w:r>
      <w:r>
        <w:rPr>
          <w:rFonts w:hint="eastAsia"/>
          <w:color w:val="auto"/>
          <w:szCs w:val="21"/>
          <w:u w:val="single"/>
        </w:rPr>
        <w:t>承包</w:t>
      </w:r>
      <w:r>
        <w:rPr>
          <w:color w:val="auto"/>
          <w:szCs w:val="21"/>
          <w:u w:val="single"/>
        </w:rPr>
        <w:t xml:space="preserve">   </w:t>
      </w:r>
      <w:r>
        <w:rPr>
          <w:rFonts w:hAnsi="宋体"/>
          <w:color w:val="auto"/>
          <w:szCs w:val="21"/>
        </w:rPr>
        <w:t>。</w:t>
      </w:r>
    </w:p>
    <w:p>
      <w:pPr>
        <w:pageBreakBefore w:val="0"/>
        <w:kinsoku/>
        <w:wordWrap/>
        <w:overflowPunct/>
        <w:topLinePunct w:val="0"/>
        <w:bidi w:val="0"/>
        <w:spacing w:line="360" w:lineRule="auto"/>
        <w:ind w:firstLine="422" w:firstLineChars="200"/>
        <w:textAlignment w:val="auto"/>
        <w:rPr>
          <w:rFonts w:asciiTheme="minorEastAsia" w:hAnsiTheme="minorEastAsia" w:eastAsiaTheme="minorEastAsia"/>
          <w:b/>
          <w:bCs/>
          <w:color w:val="auto"/>
          <w:szCs w:val="21"/>
        </w:rPr>
      </w:pPr>
      <w:r>
        <w:rPr>
          <w:rFonts w:asciiTheme="minorEastAsia" w:hAnsiTheme="minorEastAsia" w:eastAsiaTheme="minorEastAsia"/>
          <w:b/>
          <w:bCs/>
          <w:color w:val="auto"/>
          <w:szCs w:val="21"/>
        </w:rPr>
        <w:t>五、</w:t>
      </w:r>
      <w:bookmarkEnd w:id="60"/>
      <w:r>
        <w:rPr>
          <w:rFonts w:asciiTheme="minorEastAsia" w:hAnsiTheme="minorEastAsia" w:eastAsiaTheme="minorEastAsia"/>
          <w:b/>
          <w:bCs/>
          <w:color w:val="auto"/>
          <w:szCs w:val="21"/>
        </w:rPr>
        <w:t>项目经理</w:t>
      </w:r>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承包人项目经理：</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w:t>
      </w:r>
    </w:p>
    <w:p>
      <w:pPr>
        <w:pageBreakBefore w:val="0"/>
        <w:kinsoku/>
        <w:wordWrap/>
        <w:overflowPunct/>
        <w:topLinePunct w:val="0"/>
        <w:bidi w:val="0"/>
        <w:spacing w:line="360" w:lineRule="auto"/>
        <w:ind w:firstLine="422" w:firstLineChars="200"/>
        <w:textAlignment w:val="auto"/>
        <w:rPr>
          <w:rFonts w:asciiTheme="minorEastAsia" w:hAnsiTheme="minorEastAsia" w:eastAsiaTheme="minorEastAsia"/>
          <w:b/>
          <w:bCs/>
          <w:color w:val="auto"/>
          <w:szCs w:val="21"/>
        </w:rPr>
      </w:pPr>
      <w:bookmarkStart w:id="61" w:name="_Toc351203486"/>
      <w:r>
        <w:rPr>
          <w:rFonts w:asciiTheme="minorEastAsia" w:hAnsiTheme="minorEastAsia" w:eastAsiaTheme="minorEastAsia"/>
          <w:b/>
          <w:bCs/>
          <w:color w:val="auto"/>
          <w:szCs w:val="21"/>
        </w:rPr>
        <w:t>六、合同文件构成</w:t>
      </w:r>
      <w:bookmarkEnd w:id="61"/>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本协议书与下列文件一起构成合同文件：</w:t>
      </w:r>
    </w:p>
    <w:p>
      <w:pPr>
        <w:pageBreakBefore w:val="0"/>
        <w:kinsoku/>
        <w:wordWrap/>
        <w:overflowPunct/>
        <w:topLinePunct w:val="0"/>
        <w:autoSpaceDE w:val="0"/>
        <w:autoSpaceDN w:val="0"/>
        <w:bidi w:val="0"/>
        <w:adjustRightInd w:val="0"/>
        <w:spacing w:line="360" w:lineRule="auto"/>
        <w:ind w:firstLine="420" w:firstLineChars="200"/>
        <w:jc w:val="left"/>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成交</w:t>
      </w:r>
      <w:r>
        <w:rPr>
          <w:rFonts w:asciiTheme="minorEastAsia" w:hAnsiTheme="minorEastAsia" w:eastAsiaTheme="minorEastAsia"/>
          <w:color w:val="auto"/>
          <w:szCs w:val="21"/>
        </w:rPr>
        <w:t>通知书（如果有）；</w:t>
      </w:r>
    </w:p>
    <w:p>
      <w:pPr>
        <w:pageBreakBefore w:val="0"/>
        <w:kinsoku/>
        <w:wordWrap/>
        <w:overflowPunct/>
        <w:topLinePunct w:val="0"/>
        <w:autoSpaceDE w:val="0"/>
        <w:autoSpaceDN w:val="0"/>
        <w:bidi w:val="0"/>
        <w:adjustRightInd w:val="0"/>
        <w:spacing w:line="360" w:lineRule="auto"/>
        <w:ind w:firstLine="420" w:firstLineChars="200"/>
        <w:jc w:val="left"/>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磋商</w:t>
      </w:r>
      <w:r>
        <w:rPr>
          <w:rFonts w:asciiTheme="minorEastAsia" w:hAnsiTheme="minorEastAsia" w:eastAsiaTheme="minorEastAsia"/>
          <w:color w:val="auto"/>
          <w:szCs w:val="21"/>
        </w:rPr>
        <w:t xml:space="preserve">函及其附录（如果有）； </w:t>
      </w:r>
    </w:p>
    <w:p>
      <w:pPr>
        <w:pageBreakBefore w:val="0"/>
        <w:kinsoku/>
        <w:wordWrap/>
        <w:overflowPunct/>
        <w:topLinePunct w:val="0"/>
        <w:autoSpaceDE w:val="0"/>
        <w:autoSpaceDN w:val="0"/>
        <w:bidi w:val="0"/>
        <w:adjustRightInd w:val="0"/>
        <w:spacing w:line="360" w:lineRule="auto"/>
        <w:ind w:firstLine="420" w:firstLineChars="200"/>
        <w:jc w:val="left"/>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（3）专用合同条款及其附件；</w:t>
      </w:r>
    </w:p>
    <w:p>
      <w:pPr>
        <w:pageBreakBefore w:val="0"/>
        <w:kinsoku/>
        <w:wordWrap/>
        <w:overflowPunct/>
        <w:topLinePunct w:val="0"/>
        <w:autoSpaceDE w:val="0"/>
        <w:autoSpaceDN w:val="0"/>
        <w:bidi w:val="0"/>
        <w:adjustRightInd w:val="0"/>
        <w:spacing w:line="360" w:lineRule="auto"/>
        <w:ind w:firstLine="420" w:firstLineChars="200"/>
        <w:jc w:val="left"/>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（4）通用合同条款；</w:t>
      </w:r>
    </w:p>
    <w:p>
      <w:pPr>
        <w:pageBreakBefore w:val="0"/>
        <w:kinsoku/>
        <w:wordWrap/>
        <w:overflowPunct/>
        <w:topLinePunct w:val="0"/>
        <w:autoSpaceDE w:val="0"/>
        <w:autoSpaceDN w:val="0"/>
        <w:bidi w:val="0"/>
        <w:adjustRightInd w:val="0"/>
        <w:spacing w:line="360" w:lineRule="auto"/>
        <w:ind w:firstLine="420" w:firstLineChars="200"/>
        <w:jc w:val="left"/>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（5）技术标准和要求；</w:t>
      </w:r>
    </w:p>
    <w:p>
      <w:pPr>
        <w:pageBreakBefore w:val="0"/>
        <w:kinsoku/>
        <w:wordWrap/>
        <w:overflowPunct/>
        <w:topLinePunct w:val="0"/>
        <w:autoSpaceDE w:val="0"/>
        <w:autoSpaceDN w:val="0"/>
        <w:bidi w:val="0"/>
        <w:adjustRightInd w:val="0"/>
        <w:spacing w:line="360" w:lineRule="auto"/>
        <w:ind w:firstLine="420" w:firstLineChars="200"/>
        <w:jc w:val="left"/>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 xml:space="preserve">（6）已标价工程量清单或预算书； </w:t>
      </w:r>
    </w:p>
    <w:p>
      <w:pPr>
        <w:pageBreakBefore w:val="0"/>
        <w:kinsoku/>
        <w:wordWrap/>
        <w:overflowPunct/>
        <w:topLinePunct w:val="0"/>
        <w:autoSpaceDE w:val="0"/>
        <w:autoSpaceDN w:val="0"/>
        <w:bidi w:val="0"/>
        <w:adjustRightInd w:val="0"/>
        <w:spacing w:line="360" w:lineRule="auto"/>
        <w:ind w:firstLine="420" w:firstLineChars="200"/>
        <w:jc w:val="left"/>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（7）图纸；</w:t>
      </w:r>
    </w:p>
    <w:p>
      <w:pPr>
        <w:pageBreakBefore w:val="0"/>
        <w:kinsoku/>
        <w:wordWrap/>
        <w:overflowPunct/>
        <w:topLinePunct w:val="0"/>
        <w:autoSpaceDE w:val="0"/>
        <w:autoSpaceDN w:val="0"/>
        <w:bidi w:val="0"/>
        <w:adjustRightInd w:val="0"/>
        <w:spacing w:line="360" w:lineRule="auto"/>
        <w:ind w:firstLine="420" w:firstLineChars="200"/>
        <w:jc w:val="left"/>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（8）其他合同文件。</w:t>
      </w:r>
    </w:p>
    <w:p>
      <w:pPr>
        <w:pageBreakBefore w:val="0"/>
        <w:kinsoku/>
        <w:wordWrap/>
        <w:overflowPunct/>
        <w:topLinePunct w:val="0"/>
        <w:autoSpaceDE w:val="0"/>
        <w:autoSpaceDN w:val="0"/>
        <w:bidi w:val="0"/>
        <w:adjustRightInd w:val="0"/>
        <w:spacing w:line="360" w:lineRule="auto"/>
        <w:ind w:firstLine="420" w:firstLineChars="200"/>
        <w:jc w:val="left"/>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在合同订立及履行过程中形成的与合同有关的文件均构成合同文件组成部分。</w:t>
      </w:r>
    </w:p>
    <w:p>
      <w:pPr>
        <w:pageBreakBefore w:val="0"/>
        <w:kinsoku/>
        <w:wordWrap/>
        <w:overflowPunct/>
        <w:topLinePunct w:val="0"/>
        <w:autoSpaceDE w:val="0"/>
        <w:autoSpaceDN w:val="0"/>
        <w:bidi w:val="0"/>
        <w:adjustRightInd w:val="0"/>
        <w:spacing w:line="360" w:lineRule="auto"/>
        <w:ind w:firstLine="420" w:firstLineChars="200"/>
        <w:jc w:val="left"/>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上述各项合同文件包括合同当事人就该项合同文件所作出的补充和修改，属于同一类内容的文件，应以最新签署的为准。专用合同条款及其附件须经合同当事人签字或盖章。</w:t>
      </w:r>
    </w:p>
    <w:p>
      <w:pPr>
        <w:pageBreakBefore w:val="0"/>
        <w:kinsoku/>
        <w:wordWrap/>
        <w:overflowPunct/>
        <w:topLinePunct w:val="0"/>
        <w:autoSpaceDE w:val="0"/>
        <w:autoSpaceDN w:val="0"/>
        <w:bidi w:val="0"/>
        <w:adjustRightInd w:val="0"/>
        <w:spacing w:line="360" w:lineRule="auto"/>
        <w:ind w:firstLine="422" w:firstLineChars="200"/>
        <w:jc w:val="left"/>
        <w:textAlignment w:val="auto"/>
        <w:rPr>
          <w:rFonts w:asciiTheme="minorEastAsia" w:hAnsiTheme="minorEastAsia" w:eastAsiaTheme="minorEastAsia"/>
          <w:b/>
          <w:bCs/>
          <w:color w:val="auto"/>
          <w:szCs w:val="21"/>
        </w:rPr>
      </w:pPr>
      <w:bookmarkStart w:id="62" w:name="_Toc351203487"/>
      <w:r>
        <w:rPr>
          <w:rFonts w:asciiTheme="minorEastAsia" w:hAnsiTheme="minorEastAsia" w:eastAsiaTheme="minorEastAsia"/>
          <w:b/>
          <w:bCs/>
          <w:color w:val="auto"/>
          <w:szCs w:val="21"/>
        </w:rPr>
        <w:t>七、承诺</w:t>
      </w:r>
      <w:bookmarkEnd w:id="62"/>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1.发包人承诺按照法律规定履行项目审批手续、筹集工程建设资金并按照合同约定的期限和方式支付合同价款。</w:t>
      </w:r>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2.承包人承诺按照法律规定及合同约定组织完成工程施工，确保工程质量和安全，不进行转包及违法分包，并在缺陷责任期及保修期内承担相应的工程维修责任。</w:t>
      </w:r>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3.发包人和承包人通过招投标形式签订合同的，双方理解并承诺不再就同一工程另行签订与合同实质性内容相背离的协议。</w:t>
      </w:r>
      <w:bookmarkStart w:id="63" w:name="_Toc351203488"/>
    </w:p>
    <w:p>
      <w:pPr>
        <w:pageBreakBefore w:val="0"/>
        <w:kinsoku/>
        <w:wordWrap/>
        <w:overflowPunct/>
        <w:topLinePunct w:val="0"/>
        <w:bidi w:val="0"/>
        <w:spacing w:line="360" w:lineRule="auto"/>
        <w:ind w:firstLine="422" w:firstLineChars="200"/>
        <w:textAlignment w:val="auto"/>
        <w:rPr>
          <w:rFonts w:asciiTheme="minorEastAsia" w:hAnsiTheme="minorEastAsia" w:eastAsiaTheme="minorEastAsia"/>
          <w:b/>
          <w:bCs/>
          <w:color w:val="auto"/>
          <w:szCs w:val="21"/>
        </w:rPr>
      </w:pPr>
      <w:r>
        <w:rPr>
          <w:rFonts w:asciiTheme="minorEastAsia" w:hAnsiTheme="minorEastAsia" w:eastAsiaTheme="minorEastAsia"/>
          <w:b/>
          <w:bCs/>
          <w:color w:val="auto"/>
          <w:szCs w:val="21"/>
        </w:rPr>
        <w:t>八、词语含义</w:t>
      </w:r>
      <w:bookmarkEnd w:id="63"/>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本协议书中词语含义与第二部分通用合同条款中赋予的含义相同。</w:t>
      </w:r>
    </w:p>
    <w:p>
      <w:pPr>
        <w:pageBreakBefore w:val="0"/>
        <w:kinsoku/>
        <w:wordWrap/>
        <w:overflowPunct/>
        <w:topLinePunct w:val="0"/>
        <w:bidi w:val="0"/>
        <w:spacing w:line="360" w:lineRule="auto"/>
        <w:ind w:firstLine="422" w:firstLineChars="200"/>
        <w:textAlignment w:val="auto"/>
        <w:rPr>
          <w:rFonts w:asciiTheme="minorEastAsia" w:hAnsiTheme="minorEastAsia" w:eastAsiaTheme="minorEastAsia"/>
          <w:b/>
          <w:bCs/>
          <w:color w:val="auto"/>
          <w:szCs w:val="21"/>
        </w:rPr>
      </w:pPr>
      <w:bookmarkStart w:id="64" w:name="_Toc351203489"/>
      <w:r>
        <w:rPr>
          <w:rFonts w:asciiTheme="minorEastAsia" w:hAnsiTheme="minorEastAsia" w:eastAsiaTheme="minorEastAsia"/>
          <w:b/>
          <w:bCs/>
          <w:color w:val="auto"/>
          <w:szCs w:val="21"/>
        </w:rPr>
        <w:t>九、签订时间</w:t>
      </w:r>
      <w:bookmarkEnd w:id="64"/>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本合同于</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bCs/>
          <w:color w:val="auto"/>
          <w:szCs w:val="21"/>
          <w:u w:val="single"/>
        </w:rPr>
        <w:t>年</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bCs/>
          <w:color w:val="auto"/>
          <w:szCs w:val="21"/>
          <w:u w:val="single"/>
        </w:rPr>
        <w:t>月</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bCs/>
          <w:color w:val="auto"/>
          <w:szCs w:val="21"/>
          <w:u w:val="single"/>
        </w:rPr>
        <w:t>日</w:t>
      </w:r>
      <w:r>
        <w:rPr>
          <w:rFonts w:asciiTheme="minorEastAsia" w:hAnsiTheme="minorEastAsia" w:eastAsiaTheme="minorEastAsia"/>
          <w:bCs/>
          <w:color w:val="auto"/>
          <w:szCs w:val="21"/>
        </w:rPr>
        <w:t>签订。</w:t>
      </w:r>
    </w:p>
    <w:p>
      <w:pPr>
        <w:pageBreakBefore w:val="0"/>
        <w:kinsoku/>
        <w:wordWrap/>
        <w:overflowPunct/>
        <w:topLinePunct w:val="0"/>
        <w:bidi w:val="0"/>
        <w:spacing w:line="360" w:lineRule="auto"/>
        <w:ind w:firstLine="422" w:firstLineChars="200"/>
        <w:textAlignment w:val="auto"/>
        <w:rPr>
          <w:rFonts w:asciiTheme="minorEastAsia" w:hAnsiTheme="minorEastAsia" w:eastAsiaTheme="minorEastAsia"/>
          <w:b/>
          <w:bCs/>
          <w:color w:val="auto"/>
          <w:szCs w:val="21"/>
        </w:rPr>
      </w:pPr>
      <w:bookmarkStart w:id="65" w:name="_Toc351203490"/>
      <w:r>
        <w:rPr>
          <w:rFonts w:asciiTheme="minorEastAsia" w:hAnsiTheme="minorEastAsia" w:eastAsiaTheme="minorEastAsia"/>
          <w:b/>
          <w:bCs/>
          <w:color w:val="auto"/>
          <w:szCs w:val="21"/>
        </w:rPr>
        <w:t>十、签订地点</w:t>
      </w:r>
      <w:bookmarkEnd w:id="65"/>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本合同在</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bCs/>
          <w:color w:val="auto"/>
          <w:szCs w:val="21"/>
        </w:rPr>
        <w:t>签订。</w:t>
      </w:r>
    </w:p>
    <w:p>
      <w:pPr>
        <w:pageBreakBefore w:val="0"/>
        <w:kinsoku/>
        <w:wordWrap/>
        <w:overflowPunct/>
        <w:topLinePunct w:val="0"/>
        <w:bidi w:val="0"/>
        <w:spacing w:line="360" w:lineRule="auto"/>
        <w:ind w:firstLine="422" w:firstLineChars="200"/>
        <w:textAlignment w:val="auto"/>
        <w:rPr>
          <w:rFonts w:asciiTheme="minorEastAsia" w:hAnsiTheme="minorEastAsia" w:eastAsiaTheme="minorEastAsia"/>
          <w:b/>
          <w:bCs/>
          <w:color w:val="auto"/>
          <w:szCs w:val="21"/>
        </w:rPr>
      </w:pPr>
      <w:bookmarkStart w:id="66" w:name="_Toc351203491"/>
      <w:r>
        <w:rPr>
          <w:rFonts w:asciiTheme="minorEastAsia" w:hAnsiTheme="minorEastAsia" w:eastAsiaTheme="minorEastAsia"/>
          <w:b/>
          <w:bCs/>
          <w:color w:val="auto"/>
          <w:szCs w:val="21"/>
        </w:rPr>
        <w:t>十一、补充协议</w:t>
      </w:r>
      <w:bookmarkEnd w:id="66"/>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合同未尽事宜，合同当事人另行签订补充协议，补充协议是合同的组成部分。</w:t>
      </w:r>
    </w:p>
    <w:p>
      <w:pPr>
        <w:pageBreakBefore w:val="0"/>
        <w:kinsoku/>
        <w:wordWrap/>
        <w:overflowPunct/>
        <w:topLinePunct w:val="0"/>
        <w:bidi w:val="0"/>
        <w:spacing w:line="360" w:lineRule="auto"/>
        <w:ind w:firstLine="422" w:firstLineChars="200"/>
        <w:textAlignment w:val="auto"/>
        <w:rPr>
          <w:rFonts w:asciiTheme="minorEastAsia" w:hAnsiTheme="minorEastAsia" w:eastAsiaTheme="minorEastAsia"/>
          <w:b/>
          <w:bCs/>
          <w:color w:val="auto"/>
          <w:szCs w:val="21"/>
        </w:rPr>
      </w:pPr>
      <w:bookmarkStart w:id="67" w:name="_Toc351203492"/>
      <w:r>
        <w:rPr>
          <w:rFonts w:asciiTheme="minorEastAsia" w:hAnsiTheme="minorEastAsia" w:eastAsiaTheme="minorEastAsia"/>
          <w:b/>
          <w:bCs/>
          <w:color w:val="auto"/>
          <w:szCs w:val="21"/>
        </w:rPr>
        <w:t>十二、合同生效</w:t>
      </w:r>
      <w:bookmarkEnd w:id="67"/>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本合同自生效。</w:t>
      </w:r>
    </w:p>
    <w:p>
      <w:pPr>
        <w:pageBreakBefore w:val="0"/>
        <w:kinsoku/>
        <w:wordWrap/>
        <w:overflowPunct/>
        <w:topLinePunct w:val="0"/>
        <w:bidi w:val="0"/>
        <w:spacing w:line="360" w:lineRule="auto"/>
        <w:ind w:firstLine="422" w:firstLineChars="200"/>
        <w:textAlignment w:val="auto"/>
        <w:rPr>
          <w:rFonts w:asciiTheme="minorEastAsia" w:hAnsiTheme="minorEastAsia" w:eastAsiaTheme="minorEastAsia"/>
          <w:b/>
          <w:bCs/>
          <w:color w:val="auto"/>
          <w:szCs w:val="21"/>
        </w:rPr>
      </w:pPr>
      <w:bookmarkStart w:id="68" w:name="_Toc351203493"/>
      <w:r>
        <w:rPr>
          <w:rFonts w:asciiTheme="minorEastAsia" w:hAnsiTheme="minorEastAsia" w:eastAsiaTheme="minorEastAsia"/>
          <w:b/>
          <w:bCs/>
          <w:color w:val="auto"/>
          <w:szCs w:val="21"/>
        </w:rPr>
        <w:t>十三、合同份数</w:t>
      </w:r>
      <w:bookmarkEnd w:id="68"/>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bCs/>
          <w:color w:val="auto"/>
          <w:szCs w:val="21"/>
        </w:rPr>
      </w:pPr>
      <w:r>
        <w:rPr>
          <w:rFonts w:asciiTheme="minorEastAsia" w:hAnsiTheme="minorEastAsia" w:eastAsiaTheme="minorEastAsia"/>
          <w:bCs/>
          <w:color w:val="auto"/>
          <w:szCs w:val="21"/>
        </w:rPr>
        <w:t>本合同一式</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bCs/>
          <w:color w:val="auto"/>
          <w:szCs w:val="21"/>
        </w:rPr>
        <w:t>份，均具有同等法律效力，发包人执</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bCs/>
          <w:color w:val="auto"/>
          <w:szCs w:val="21"/>
        </w:rPr>
        <w:t>份，承包人执</w:t>
      </w:r>
      <w:r>
        <w:rPr>
          <w:rFonts w:hint="eastAsia" w:asciiTheme="minorEastAsia" w:hAnsiTheme="minorEastAsia" w:eastAsiaTheme="minorEastAsia"/>
          <w:bCs/>
          <w:color w:val="auto"/>
          <w:szCs w:val="21"/>
          <w:u w:val="single"/>
          <w:lang w:val="en-US" w:eastAsia="zh-CN"/>
        </w:rPr>
        <w:t xml:space="preserve">           </w:t>
      </w:r>
      <w:r>
        <w:rPr>
          <w:rFonts w:asciiTheme="minorEastAsia" w:hAnsiTheme="minorEastAsia" w:eastAsiaTheme="minorEastAsia"/>
          <w:bCs/>
          <w:color w:val="auto"/>
          <w:szCs w:val="21"/>
        </w:rPr>
        <w:t>份。</w:t>
      </w:r>
    </w:p>
    <w:p>
      <w:pPr>
        <w:pageBreakBefore w:val="0"/>
        <w:kinsoku/>
        <w:wordWrap/>
        <w:overflowPunct/>
        <w:topLinePunct w:val="0"/>
        <w:bidi w:val="0"/>
        <w:spacing w:line="360" w:lineRule="auto"/>
        <w:textAlignment w:val="auto"/>
        <w:rPr>
          <w:rFonts w:asciiTheme="minorEastAsia" w:hAnsiTheme="minorEastAsia" w:eastAsiaTheme="minorEastAsia"/>
          <w:bCs/>
          <w:color w:val="auto"/>
          <w:szCs w:val="21"/>
        </w:rPr>
      </w:pPr>
    </w:p>
    <w:p>
      <w:pPr>
        <w:pageBreakBefore w:val="0"/>
        <w:kinsoku/>
        <w:wordWrap/>
        <w:overflowPunct/>
        <w:topLinePunct w:val="0"/>
        <w:bidi w:val="0"/>
        <w:spacing w:line="360" w:lineRule="auto"/>
        <w:textAlignment w:val="auto"/>
        <w:rPr>
          <w:rFonts w:asciiTheme="minorEastAsia" w:hAnsiTheme="minorEastAsia" w:eastAsiaTheme="minorEastAsia"/>
          <w:color w:val="auto"/>
          <w:szCs w:val="21"/>
        </w:rPr>
      </w:pPr>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color w:val="auto"/>
          <w:szCs w:val="21"/>
          <w:u w:val="single"/>
        </w:rPr>
      </w:pPr>
      <w:r>
        <w:rPr>
          <w:rFonts w:asciiTheme="minorEastAsia" w:hAnsiTheme="minorEastAsia" w:eastAsiaTheme="minorEastAsia"/>
          <w:color w:val="auto"/>
          <w:szCs w:val="21"/>
        </w:rPr>
        <w:t xml:space="preserve">发包人：  </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公章</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 xml:space="preserve">                            承包人：  </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公章</w:t>
      </w:r>
      <w:r>
        <w:rPr>
          <w:rFonts w:hint="eastAsia" w:asciiTheme="minorEastAsia" w:hAnsiTheme="minorEastAsia" w:eastAsiaTheme="minorEastAsia"/>
          <w:color w:val="auto"/>
          <w:szCs w:val="21"/>
        </w:rPr>
        <w:t>）</w:t>
      </w:r>
    </w:p>
    <w:p>
      <w:pPr>
        <w:pageBreakBefore w:val="0"/>
        <w:kinsoku/>
        <w:wordWrap/>
        <w:overflowPunct/>
        <w:topLinePunct w:val="0"/>
        <w:bidi w:val="0"/>
        <w:spacing w:line="360" w:lineRule="auto"/>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 xml:space="preserve">法定代表人或其委托代理人：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 xml:space="preserve">   法定代表人或其委托代理人：</w:t>
      </w:r>
    </w:p>
    <w:p>
      <w:pPr>
        <w:pageBreakBefore w:val="0"/>
        <w:kinsoku/>
        <w:wordWrap/>
        <w:overflowPunct/>
        <w:topLinePunct w:val="0"/>
        <w:bidi w:val="0"/>
        <w:spacing w:line="360" w:lineRule="auto"/>
        <w:ind w:firstLine="630" w:firstLineChars="300"/>
        <w:textAlignment w:val="auto"/>
        <w:rPr>
          <w:rFonts w:asciiTheme="minorEastAsia" w:hAnsiTheme="minorEastAsia" w:eastAsiaTheme="minorEastAsia"/>
          <w:color w:val="auto"/>
          <w:szCs w:val="21"/>
          <w:u w:val="single"/>
        </w:rPr>
      </w:pPr>
      <w:r>
        <w:rPr>
          <w:rFonts w:asciiTheme="minorEastAsia" w:hAnsiTheme="minorEastAsia" w:eastAsiaTheme="minorEastAsia"/>
          <w:color w:val="auto"/>
          <w:szCs w:val="21"/>
        </w:rPr>
        <w:t>（签字）                                     （签字）</w:t>
      </w:r>
    </w:p>
    <w:p>
      <w:pPr>
        <w:pageBreakBefore w:val="0"/>
        <w:tabs>
          <w:tab w:val="left" w:pos="4410"/>
        </w:tabs>
        <w:kinsoku/>
        <w:wordWrap/>
        <w:overflowPunct/>
        <w:topLinePunct w:val="0"/>
        <w:bidi w:val="0"/>
        <w:spacing w:line="360" w:lineRule="auto"/>
        <w:ind w:firstLine="315" w:firstLineChars="15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组织机构代码：</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 xml:space="preserve"> 组织机构代码：</w:t>
      </w:r>
    </w:p>
    <w:p>
      <w:pPr>
        <w:pageBreakBefore w:val="0"/>
        <w:kinsoku/>
        <w:wordWrap/>
        <w:overflowPunct/>
        <w:topLinePunct w:val="0"/>
        <w:bidi w:val="0"/>
        <w:spacing w:line="360" w:lineRule="auto"/>
        <w:ind w:firstLine="315" w:firstLineChars="15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 xml:space="preserve">地  址：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地  址：</w:t>
      </w:r>
    </w:p>
    <w:p>
      <w:pPr>
        <w:pageBreakBefore w:val="0"/>
        <w:kinsoku/>
        <w:wordWrap/>
        <w:overflowPunct/>
        <w:topLinePunct w:val="0"/>
        <w:bidi w:val="0"/>
        <w:spacing w:line="360" w:lineRule="auto"/>
        <w:ind w:firstLine="315" w:firstLineChars="15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邮政编码：</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 xml:space="preserve"> 邮政编码：</w:t>
      </w:r>
    </w:p>
    <w:p>
      <w:pPr>
        <w:pageBreakBefore w:val="0"/>
        <w:kinsoku/>
        <w:wordWrap/>
        <w:overflowPunct/>
        <w:topLinePunct w:val="0"/>
        <w:bidi w:val="0"/>
        <w:spacing w:line="360" w:lineRule="auto"/>
        <w:ind w:firstLine="315" w:firstLineChars="15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 xml:space="preserve">法定代表人：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法定代表人：</w:t>
      </w:r>
    </w:p>
    <w:p>
      <w:pPr>
        <w:pageBreakBefore w:val="0"/>
        <w:kinsoku/>
        <w:wordWrap/>
        <w:overflowPunct/>
        <w:topLinePunct w:val="0"/>
        <w:bidi w:val="0"/>
        <w:spacing w:line="360" w:lineRule="auto"/>
        <w:ind w:firstLine="315" w:firstLineChars="15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 xml:space="preserve">委托代理人：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委托代理人：</w:t>
      </w:r>
    </w:p>
    <w:p>
      <w:pPr>
        <w:pageBreakBefore w:val="0"/>
        <w:kinsoku/>
        <w:wordWrap/>
        <w:overflowPunct/>
        <w:topLinePunct w:val="0"/>
        <w:bidi w:val="0"/>
        <w:spacing w:line="360" w:lineRule="auto"/>
        <w:ind w:firstLine="315" w:firstLineChars="15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 xml:space="preserve">电  话：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电  话：</w:t>
      </w:r>
    </w:p>
    <w:p>
      <w:pPr>
        <w:pageBreakBefore w:val="0"/>
        <w:kinsoku/>
        <w:wordWrap/>
        <w:overflowPunct/>
        <w:topLinePunct w:val="0"/>
        <w:bidi w:val="0"/>
        <w:spacing w:line="360" w:lineRule="auto"/>
        <w:ind w:firstLine="315" w:firstLineChars="15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 xml:space="preserve">传  真：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传  真：</w:t>
      </w:r>
    </w:p>
    <w:p>
      <w:pPr>
        <w:pageBreakBefore w:val="0"/>
        <w:kinsoku/>
        <w:wordWrap/>
        <w:overflowPunct/>
        <w:topLinePunct w:val="0"/>
        <w:bidi w:val="0"/>
        <w:spacing w:line="360" w:lineRule="auto"/>
        <w:ind w:firstLine="315" w:firstLineChars="15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 xml:space="preserve">电子信箱：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电子信箱：</w:t>
      </w:r>
    </w:p>
    <w:p>
      <w:pPr>
        <w:pageBreakBefore w:val="0"/>
        <w:kinsoku/>
        <w:wordWrap/>
        <w:overflowPunct/>
        <w:topLinePunct w:val="0"/>
        <w:bidi w:val="0"/>
        <w:spacing w:line="360" w:lineRule="auto"/>
        <w:ind w:firstLine="315" w:firstLineChars="150"/>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 xml:space="preserve">开户银行：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开户银行：</w:t>
      </w:r>
    </w:p>
    <w:p>
      <w:pPr>
        <w:pageBreakBefore w:val="0"/>
        <w:kinsoku/>
        <w:wordWrap/>
        <w:overflowPunct/>
        <w:topLinePunct w:val="0"/>
        <w:bidi w:val="0"/>
        <w:spacing w:line="360" w:lineRule="auto"/>
        <w:ind w:firstLine="315" w:firstLineChars="150"/>
        <w:textAlignment w:val="auto"/>
        <w:rPr>
          <w:rFonts w:asciiTheme="minorEastAsia" w:hAnsiTheme="minorEastAsia" w:eastAsiaTheme="minorEastAsia"/>
          <w:color w:val="auto"/>
          <w:szCs w:val="21"/>
          <w:u w:val="single"/>
        </w:rPr>
      </w:pPr>
      <w:r>
        <w:rPr>
          <w:rFonts w:asciiTheme="minorEastAsia" w:hAnsiTheme="minorEastAsia" w:eastAsiaTheme="minorEastAsia"/>
          <w:color w:val="auto"/>
          <w:szCs w:val="21"/>
        </w:rPr>
        <w:t xml:space="preserve">账  号：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账  号：</w:t>
      </w:r>
    </w:p>
    <w:p>
      <w:pPr>
        <w:pageBreakBefore w:val="0"/>
        <w:widowControl/>
        <w:kinsoku/>
        <w:wordWrap/>
        <w:overflowPunct/>
        <w:topLinePunct w:val="0"/>
        <w:bidi w:val="0"/>
        <w:spacing w:line="360" w:lineRule="auto"/>
        <w:jc w:val="left"/>
        <w:textAlignment w:val="auto"/>
        <w:rPr>
          <w:rFonts w:asciiTheme="minorEastAsia" w:hAnsiTheme="minorEastAsia" w:eastAsiaTheme="minorEastAsia"/>
          <w:color w:val="auto"/>
          <w:szCs w:val="21"/>
          <w:u w:val="single"/>
        </w:rPr>
      </w:pPr>
      <w:r>
        <w:rPr>
          <w:rFonts w:asciiTheme="minorEastAsia" w:hAnsiTheme="minorEastAsia" w:eastAsiaTheme="minorEastAsia"/>
          <w:color w:val="auto"/>
          <w:szCs w:val="21"/>
        </w:rPr>
        <w:br w:type="page"/>
      </w:r>
    </w:p>
    <w:p>
      <w:pPr>
        <w:pStyle w:val="3"/>
        <w:pageBreakBefore w:val="0"/>
        <w:kinsoku/>
        <w:wordWrap/>
        <w:overflowPunct/>
        <w:topLinePunct w:val="0"/>
        <w:bidi w:val="0"/>
        <w:spacing w:line="360" w:lineRule="auto"/>
        <w:jc w:val="center"/>
        <w:textAlignment w:val="auto"/>
        <w:rPr>
          <w:rFonts w:asciiTheme="minorEastAsia" w:hAnsiTheme="minorEastAsia" w:eastAsiaTheme="minorEastAsia"/>
          <w:color w:val="auto"/>
          <w:sz w:val="24"/>
          <w:szCs w:val="24"/>
        </w:rPr>
      </w:pPr>
      <w:bookmarkStart w:id="69" w:name="_Toc389065256"/>
      <w:bookmarkStart w:id="70" w:name="_Toc395382492"/>
      <w:bookmarkStart w:id="71" w:name="_Toc2791"/>
      <w:bookmarkStart w:id="72" w:name="_Toc453681448"/>
      <w:bookmarkStart w:id="73" w:name="_Toc453680975"/>
      <w:bookmarkStart w:id="74" w:name="_Toc351203632"/>
      <w:bookmarkStart w:id="75" w:name="_Toc373227691"/>
      <w:bookmarkStart w:id="76" w:name="_Toc373478338"/>
      <w:r>
        <w:rPr>
          <w:rFonts w:hint="eastAsia" w:asciiTheme="minorEastAsia" w:hAnsiTheme="minorEastAsia" w:eastAsiaTheme="minorEastAsia"/>
          <w:color w:val="auto"/>
          <w:sz w:val="24"/>
          <w:szCs w:val="24"/>
        </w:rPr>
        <w:t>第二部分 通用</w:t>
      </w:r>
      <w:r>
        <w:rPr>
          <w:rFonts w:asciiTheme="minorEastAsia" w:hAnsiTheme="minorEastAsia" w:eastAsiaTheme="minorEastAsia"/>
          <w:color w:val="auto"/>
          <w:sz w:val="24"/>
          <w:szCs w:val="24"/>
        </w:rPr>
        <w:t>合同条款</w:t>
      </w:r>
      <w:bookmarkEnd w:id="69"/>
      <w:bookmarkEnd w:id="70"/>
      <w:bookmarkEnd w:id="71"/>
      <w:bookmarkEnd w:id="72"/>
      <w:bookmarkEnd w:id="73"/>
    </w:p>
    <w:p>
      <w:pPr>
        <w:pageBreakBefore w:val="0"/>
        <w:kinsoku/>
        <w:wordWrap/>
        <w:overflowPunct/>
        <w:topLinePunct w:val="0"/>
        <w:bidi w:val="0"/>
        <w:spacing w:line="360" w:lineRule="auto"/>
        <w:ind w:firstLine="422" w:firstLineChars="200"/>
        <w:jc w:val="center"/>
        <w:textAlignment w:val="auto"/>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采用《</w:t>
      </w:r>
      <w:r>
        <w:rPr>
          <w:rFonts w:asciiTheme="minorEastAsia" w:hAnsiTheme="minorEastAsia" w:eastAsiaTheme="minorEastAsia"/>
          <w:b/>
          <w:color w:val="auto"/>
          <w:kern w:val="0"/>
          <w:szCs w:val="21"/>
        </w:rPr>
        <w:t>建设工程施工合同（示范文本）</w:t>
      </w:r>
      <w:r>
        <w:rPr>
          <w:rFonts w:hint="eastAsia" w:asciiTheme="minorEastAsia" w:hAnsiTheme="minorEastAsia" w:eastAsiaTheme="minorEastAsia"/>
          <w:b/>
          <w:color w:val="auto"/>
          <w:kern w:val="0"/>
          <w:szCs w:val="21"/>
        </w:rPr>
        <w:t>》</w:t>
      </w:r>
      <w:r>
        <w:rPr>
          <w:rFonts w:asciiTheme="minorEastAsia" w:hAnsiTheme="minorEastAsia" w:eastAsiaTheme="minorEastAsia"/>
          <w:b/>
          <w:color w:val="auto"/>
          <w:kern w:val="0"/>
          <w:szCs w:val="21"/>
        </w:rPr>
        <w:t>（GF—201</w:t>
      </w:r>
      <w:r>
        <w:rPr>
          <w:rFonts w:hint="eastAsia" w:asciiTheme="minorEastAsia" w:hAnsiTheme="minorEastAsia" w:eastAsiaTheme="minorEastAsia"/>
          <w:b/>
          <w:color w:val="auto"/>
          <w:kern w:val="0"/>
          <w:szCs w:val="21"/>
          <w:lang w:val="en-US" w:eastAsia="zh-CN"/>
        </w:rPr>
        <w:t>7</w:t>
      </w:r>
      <w:r>
        <w:rPr>
          <w:rFonts w:asciiTheme="minorEastAsia" w:hAnsiTheme="minorEastAsia" w:eastAsiaTheme="minorEastAsia"/>
          <w:b/>
          <w:color w:val="auto"/>
          <w:kern w:val="0"/>
          <w:szCs w:val="21"/>
        </w:rPr>
        <w:t>—</w:t>
      </w:r>
      <w:r>
        <w:rPr>
          <w:rFonts w:hint="eastAsia" w:asciiTheme="minorEastAsia" w:hAnsiTheme="minorEastAsia" w:eastAsiaTheme="minorEastAsia"/>
          <w:b/>
          <w:color w:val="auto"/>
          <w:kern w:val="0"/>
          <w:szCs w:val="21"/>
        </w:rPr>
        <w:t>0201）。</w:t>
      </w:r>
    </w:p>
    <w:p>
      <w:pPr>
        <w:pStyle w:val="3"/>
        <w:keepNext w:val="0"/>
        <w:keepLines w:val="0"/>
        <w:pageBreakBefore w:val="0"/>
        <w:kinsoku/>
        <w:wordWrap/>
        <w:overflowPunct/>
        <w:topLinePunct w:val="0"/>
        <w:bidi w:val="0"/>
        <w:spacing w:line="360" w:lineRule="auto"/>
        <w:jc w:val="center"/>
        <w:textAlignment w:val="auto"/>
        <w:rPr>
          <w:rFonts w:asciiTheme="minorEastAsia" w:hAnsiTheme="minorEastAsia" w:eastAsiaTheme="minorEastAsia"/>
          <w:color w:val="auto"/>
          <w:sz w:val="24"/>
          <w:szCs w:val="24"/>
        </w:rPr>
      </w:pPr>
      <w:bookmarkStart w:id="77" w:name="_Toc19746"/>
      <w:bookmarkStart w:id="78" w:name="_Toc453681449"/>
      <w:bookmarkStart w:id="79" w:name="_Toc395382493"/>
      <w:bookmarkStart w:id="80" w:name="_Toc389065257"/>
      <w:bookmarkStart w:id="81" w:name="_Toc453680976"/>
      <w:r>
        <w:rPr>
          <w:rFonts w:asciiTheme="minorEastAsia" w:hAnsiTheme="minorEastAsia" w:eastAsiaTheme="minorEastAsia"/>
          <w:color w:val="auto"/>
          <w:sz w:val="24"/>
          <w:szCs w:val="24"/>
        </w:rPr>
        <w:t>第</w:t>
      </w:r>
      <w:r>
        <w:rPr>
          <w:rFonts w:hint="eastAsia" w:asciiTheme="minorEastAsia" w:hAnsiTheme="minorEastAsia" w:eastAsiaTheme="minorEastAsia"/>
          <w:color w:val="auto"/>
          <w:sz w:val="24"/>
          <w:szCs w:val="24"/>
        </w:rPr>
        <w:t>三</w:t>
      </w:r>
      <w:r>
        <w:rPr>
          <w:rFonts w:asciiTheme="minorEastAsia" w:hAnsiTheme="minorEastAsia" w:eastAsiaTheme="minorEastAsia"/>
          <w:color w:val="auto"/>
          <w:sz w:val="24"/>
          <w:szCs w:val="24"/>
        </w:rPr>
        <w:t>部分 专用合同条款</w:t>
      </w:r>
      <w:bookmarkEnd w:id="74"/>
      <w:bookmarkEnd w:id="75"/>
      <w:bookmarkEnd w:id="76"/>
      <w:bookmarkEnd w:id="77"/>
      <w:bookmarkEnd w:id="78"/>
      <w:bookmarkEnd w:id="79"/>
      <w:bookmarkEnd w:id="80"/>
      <w:bookmarkEnd w:id="81"/>
    </w:p>
    <w:p>
      <w:pPr>
        <w:keepNext/>
        <w:keepLines/>
        <w:pageBreakBefore w:val="0"/>
        <w:kinsoku/>
        <w:wordWrap/>
        <w:overflowPunct/>
        <w:topLinePunct w:val="0"/>
        <w:bidi w:val="0"/>
        <w:spacing w:line="360" w:lineRule="auto"/>
        <w:ind w:firstLine="105" w:firstLineChars="50"/>
        <w:textAlignment w:val="auto"/>
        <w:outlineLvl w:val="0"/>
        <w:rPr>
          <w:rFonts w:hAnsi="宋体" w:eastAsia="黑体"/>
          <w:color w:val="auto"/>
          <w:kern w:val="44"/>
          <w:szCs w:val="21"/>
        </w:rPr>
      </w:pPr>
      <w:bookmarkStart w:id="82" w:name="_Toc29243"/>
      <w:bookmarkStart w:id="83" w:name="_Toc15980"/>
      <w:bookmarkStart w:id="84" w:name="_Toc1837"/>
      <w:r>
        <w:rPr>
          <w:rFonts w:hAnsi="宋体" w:eastAsia="黑体"/>
          <w:color w:val="auto"/>
          <w:kern w:val="44"/>
          <w:szCs w:val="21"/>
        </w:rPr>
        <w:t>1. 一般约定</w:t>
      </w:r>
      <w:bookmarkEnd w:id="82"/>
      <w:bookmarkEnd w:id="83"/>
      <w:bookmarkEnd w:id="84"/>
    </w:p>
    <w:p>
      <w:pPr>
        <w:keepNext/>
        <w:keepLines/>
        <w:pageBreakBefore w:val="0"/>
        <w:kinsoku/>
        <w:wordWrap/>
        <w:overflowPunct/>
        <w:topLinePunct w:val="0"/>
        <w:bidi w:val="0"/>
        <w:spacing w:line="360" w:lineRule="auto"/>
        <w:textAlignment w:val="auto"/>
        <w:outlineLvl w:val="0"/>
        <w:rPr>
          <w:rFonts w:hAnsi="宋体" w:eastAsia="黑体"/>
          <w:color w:val="auto"/>
          <w:kern w:val="44"/>
          <w:szCs w:val="21"/>
        </w:rPr>
      </w:pPr>
      <w:bookmarkStart w:id="85" w:name="_Toc24786"/>
      <w:bookmarkStart w:id="86" w:name="_Toc31934"/>
      <w:bookmarkStart w:id="87" w:name="_Toc6464"/>
      <w:r>
        <w:rPr>
          <w:rFonts w:hAnsi="宋体" w:eastAsia="黑体"/>
          <w:color w:val="auto"/>
          <w:kern w:val="44"/>
          <w:szCs w:val="21"/>
        </w:rPr>
        <w:t>1.1 词语定义</w:t>
      </w:r>
      <w:bookmarkEnd w:id="85"/>
      <w:bookmarkEnd w:id="86"/>
      <w:bookmarkEnd w:id="87"/>
    </w:p>
    <w:p>
      <w:pPr>
        <w:pageBreakBefore w:val="0"/>
        <w:kinsoku/>
        <w:wordWrap/>
        <w:overflowPunct/>
        <w:topLinePunct w:val="0"/>
        <w:bidi w:val="0"/>
        <w:spacing w:line="360" w:lineRule="auto"/>
        <w:ind w:firstLine="420" w:firstLineChars="200"/>
        <w:textAlignment w:val="auto"/>
        <w:rPr>
          <w:rFonts w:hAnsi="宋体"/>
          <w:color w:val="auto"/>
          <w:szCs w:val="21"/>
        </w:rPr>
      </w:pPr>
      <w:r>
        <w:rPr>
          <w:rFonts w:hAnsi="宋体"/>
          <w:color w:val="auto"/>
          <w:szCs w:val="21"/>
        </w:rPr>
        <w:t>1.1.1合</w:t>
      </w:r>
      <w:bookmarkStart w:id="88" w:name="_Toc412544261"/>
      <w:bookmarkStart w:id="89" w:name="_Toc406360295"/>
      <w:bookmarkStart w:id="90" w:name="_Toc373743610"/>
      <w:r>
        <w:rPr>
          <w:rFonts w:hAnsi="宋体"/>
          <w:color w:val="auto"/>
          <w:szCs w:val="21"/>
        </w:rPr>
        <w:t>同</w:t>
      </w:r>
    </w:p>
    <w:p>
      <w:pPr>
        <w:pageBreakBefore w:val="0"/>
        <w:kinsoku/>
        <w:wordWrap/>
        <w:overflowPunct/>
        <w:topLinePunct w:val="0"/>
        <w:bidi w:val="0"/>
        <w:spacing w:line="360" w:lineRule="auto"/>
        <w:ind w:firstLine="420" w:firstLineChars="200"/>
        <w:textAlignment w:val="auto"/>
        <w:rPr>
          <w:rFonts w:hAnsi="宋体"/>
          <w:color w:val="auto"/>
          <w:szCs w:val="21"/>
        </w:rPr>
      </w:pPr>
      <w:r>
        <w:rPr>
          <w:rFonts w:hAnsi="宋体"/>
          <w:color w:val="auto"/>
          <w:szCs w:val="21"/>
        </w:rPr>
        <w:t>1.1.1.</w:t>
      </w:r>
      <w:bookmarkEnd w:id="88"/>
      <w:bookmarkEnd w:id="89"/>
      <w:bookmarkEnd w:id="90"/>
      <w:r>
        <w:rPr>
          <w:rFonts w:hAnsi="宋体"/>
          <w:color w:val="auto"/>
          <w:szCs w:val="21"/>
        </w:rPr>
        <w:t>10其他合同文件包括：</w:t>
      </w:r>
      <w:r>
        <w:rPr>
          <w:rFonts w:hint="eastAsia" w:hAnsi="宋体" w:cs="宋体"/>
          <w:color w:val="auto"/>
          <w:szCs w:val="21"/>
          <w:u w:val="single"/>
        </w:rPr>
        <w:t>在合同订立及</w:t>
      </w:r>
      <w:r>
        <w:rPr>
          <w:rFonts w:hint="eastAsia" w:hAnsi="宋体"/>
          <w:color w:val="auto"/>
          <w:szCs w:val="21"/>
          <w:u w:val="single"/>
        </w:rPr>
        <w:t>履行过程中，发包人、承包人有关工程的洽商、变更等书面协议或文件视为合同的组成部分</w:t>
      </w:r>
      <w:r>
        <w:rPr>
          <w:rFonts w:hAnsi="宋体"/>
          <w:color w:val="auto"/>
          <w:szCs w:val="21"/>
        </w:rPr>
        <w:t>。</w:t>
      </w:r>
    </w:p>
    <w:p>
      <w:pPr>
        <w:pageBreakBefore w:val="0"/>
        <w:kinsoku/>
        <w:wordWrap/>
        <w:overflowPunct/>
        <w:topLinePunct w:val="0"/>
        <w:bidi w:val="0"/>
        <w:spacing w:line="360" w:lineRule="auto"/>
        <w:ind w:firstLine="420" w:firstLineChars="200"/>
        <w:textAlignment w:val="auto"/>
        <w:rPr>
          <w:rFonts w:hAnsi="宋体"/>
          <w:color w:val="auto"/>
          <w:szCs w:val="21"/>
        </w:rPr>
      </w:pPr>
      <w:r>
        <w:rPr>
          <w:rFonts w:hAnsi="宋体"/>
          <w:color w:val="auto"/>
          <w:szCs w:val="21"/>
        </w:rPr>
        <w:t>1.1.2 合同当事人及其他相关方</w:t>
      </w:r>
    </w:p>
    <w:p>
      <w:pPr>
        <w:pageBreakBefore w:val="0"/>
        <w:kinsoku/>
        <w:wordWrap/>
        <w:overflowPunct/>
        <w:topLinePunct w:val="0"/>
        <w:bidi w:val="0"/>
        <w:spacing w:line="360" w:lineRule="auto"/>
        <w:ind w:firstLine="420" w:firstLineChars="200"/>
        <w:textAlignment w:val="auto"/>
        <w:rPr>
          <w:rFonts w:hAnsi="宋体"/>
          <w:color w:val="auto"/>
          <w:szCs w:val="21"/>
        </w:rPr>
      </w:pPr>
      <w:r>
        <w:rPr>
          <w:rFonts w:hAnsi="宋体"/>
          <w:color w:val="auto"/>
          <w:szCs w:val="21"/>
        </w:rPr>
        <w:t>1.1.2.4监理人：</w:t>
      </w:r>
    </w:p>
    <w:p>
      <w:pPr>
        <w:pageBreakBefore w:val="0"/>
        <w:kinsoku/>
        <w:wordWrap/>
        <w:overflowPunct/>
        <w:topLinePunct w:val="0"/>
        <w:bidi w:val="0"/>
        <w:spacing w:line="360" w:lineRule="auto"/>
        <w:ind w:firstLine="420" w:firstLineChars="200"/>
        <w:textAlignment w:val="auto"/>
        <w:rPr>
          <w:rFonts w:hAnsi="宋体"/>
          <w:color w:val="auto"/>
          <w:szCs w:val="21"/>
        </w:rPr>
      </w:pPr>
      <w:r>
        <w:rPr>
          <w:rFonts w:hAnsi="宋体"/>
          <w:color w:val="auto"/>
          <w:szCs w:val="21"/>
        </w:rPr>
        <w:t>名    称：</w:t>
      </w:r>
      <w:r>
        <w:rPr>
          <w:rFonts w:hAnsi="宋体"/>
          <w:color w:val="auto"/>
          <w:szCs w:val="21"/>
          <w:u w:val="single"/>
        </w:rPr>
        <w:t>  </w:t>
      </w:r>
      <w:r>
        <w:rPr>
          <w:rFonts w:hAnsi="宋体"/>
          <w:color w:val="auto"/>
          <w:szCs w:val="21"/>
        </w:rPr>
        <w:t>；</w:t>
      </w:r>
    </w:p>
    <w:p>
      <w:pPr>
        <w:pageBreakBefore w:val="0"/>
        <w:kinsoku/>
        <w:wordWrap/>
        <w:overflowPunct/>
        <w:topLinePunct w:val="0"/>
        <w:bidi w:val="0"/>
        <w:spacing w:line="360" w:lineRule="auto"/>
        <w:ind w:firstLine="420" w:firstLineChars="200"/>
        <w:textAlignment w:val="auto"/>
        <w:rPr>
          <w:rFonts w:hAnsi="宋体"/>
          <w:color w:val="auto"/>
          <w:szCs w:val="21"/>
        </w:rPr>
      </w:pPr>
      <w:r>
        <w:rPr>
          <w:rFonts w:hAnsi="宋体"/>
          <w:color w:val="auto"/>
          <w:szCs w:val="21"/>
        </w:rPr>
        <w:t>1.1.2.5 设计人：</w:t>
      </w:r>
    </w:p>
    <w:p>
      <w:pPr>
        <w:pageBreakBefore w:val="0"/>
        <w:kinsoku/>
        <w:wordWrap/>
        <w:overflowPunct/>
        <w:topLinePunct w:val="0"/>
        <w:bidi w:val="0"/>
        <w:spacing w:line="360" w:lineRule="auto"/>
        <w:ind w:firstLine="420" w:firstLineChars="200"/>
        <w:textAlignment w:val="auto"/>
        <w:rPr>
          <w:rFonts w:hAnsi="宋体"/>
          <w:color w:val="auto"/>
          <w:szCs w:val="21"/>
        </w:rPr>
      </w:pPr>
      <w:r>
        <w:rPr>
          <w:rFonts w:hAnsi="宋体"/>
          <w:color w:val="auto"/>
          <w:szCs w:val="21"/>
        </w:rPr>
        <w:t>名    称：</w:t>
      </w:r>
      <w:r>
        <w:rPr>
          <w:rFonts w:hAnsi="宋体"/>
          <w:color w:val="auto"/>
          <w:szCs w:val="21"/>
          <w:u w:val="single"/>
        </w:rPr>
        <w:t></w:t>
      </w:r>
      <w:r>
        <w:rPr>
          <w:rFonts w:hint="eastAsia" w:hAnsi="宋体"/>
          <w:color w:val="auto"/>
          <w:szCs w:val="21"/>
          <w:u w:val="single"/>
        </w:rPr>
        <w:t xml:space="preserve">                            </w:t>
      </w:r>
      <w:r>
        <w:rPr>
          <w:rFonts w:hAnsi="宋体"/>
          <w:color w:val="auto"/>
          <w:szCs w:val="21"/>
        </w:rPr>
        <w:t>；</w:t>
      </w:r>
    </w:p>
    <w:p>
      <w:pPr>
        <w:pageBreakBefore w:val="0"/>
        <w:kinsoku/>
        <w:wordWrap/>
        <w:overflowPunct/>
        <w:topLinePunct w:val="0"/>
        <w:bidi w:val="0"/>
        <w:spacing w:line="360" w:lineRule="auto"/>
        <w:ind w:firstLine="420" w:firstLineChars="200"/>
        <w:textAlignment w:val="auto"/>
        <w:rPr>
          <w:rFonts w:hAnsi="宋体"/>
          <w:color w:val="auto"/>
          <w:szCs w:val="21"/>
        </w:rPr>
      </w:pPr>
      <w:r>
        <w:rPr>
          <w:rFonts w:hAnsi="宋体"/>
          <w:color w:val="auto"/>
          <w:szCs w:val="21"/>
        </w:rPr>
        <w:t>1.1.3 工程和设备</w:t>
      </w:r>
    </w:p>
    <w:p>
      <w:pPr>
        <w:pageBreakBefore w:val="0"/>
        <w:kinsoku/>
        <w:wordWrap/>
        <w:overflowPunct/>
        <w:topLinePunct w:val="0"/>
        <w:bidi w:val="0"/>
        <w:spacing w:line="360" w:lineRule="auto"/>
        <w:ind w:firstLine="420" w:firstLineChars="200"/>
        <w:textAlignment w:val="auto"/>
        <w:rPr>
          <w:rFonts w:hAnsi="宋体"/>
          <w:color w:val="auto"/>
          <w:szCs w:val="21"/>
          <w:u w:val="single"/>
        </w:rPr>
      </w:pPr>
      <w:r>
        <w:rPr>
          <w:rFonts w:hAnsi="宋体"/>
          <w:color w:val="auto"/>
          <w:szCs w:val="21"/>
        </w:rPr>
        <w:t>1.1.3.7 作为施工现场组成部分的其他场所包括：</w:t>
      </w:r>
      <w:r>
        <w:rPr>
          <w:rFonts w:hint="eastAsia" w:hAnsi="宋体" w:cs="宋体"/>
          <w:color w:val="auto"/>
          <w:szCs w:val="21"/>
          <w:u w:val="single"/>
        </w:rPr>
        <w:t xml:space="preserve">    /   </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rFonts w:hAnsi="宋体"/>
          <w:color w:val="auto"/>
          <w:szCs w:val="21"/>
        </w:rPr>
      </w:pPr>
      <w:r>
        <w:rPr>
          <w:rFonts w:hAnsi="宋体"/>
          <w:color w:val="auto"/>
          <w:szCs w:val="21"/>
        </w:rPr>
        <w:t>1.1.3.9 永久占地包括：</w:t>
      </w:r>
      <w:r>
        <w:rPr>
          <w:rFonts w:hint="eastAsia" w:hAnsi="宋体" w:cs="宋体"/>
          <w:color w:val="auto"/>
          <w:szCs w:val="21"/>
          <w:u w:val="single"/>
        </w:rPr>
        <w:t>通用条款</w:t>
      </w:r>
      <w:r>
        <w:rPr>
          <w:rFonts w:hAnsi="宋体" w:cs="宋体"/>
          <w:color w:val="auto"/>
          <w:szCs w:val="21"/>
          <w:u w:val="single"/>
        </w:rPr>
        <w:t>1.1.3.9执行</w:t>
      </w:r>
      <w:r>
        <w:rPr>
          <w:rFonts w:hAnsi="宋体"/>
          <w:color w:val="auto"/>
          <w:szCs w:val="21"/>
          <w:u w:val="single"/>
        </w:rPr>
        <w:t></w:t>
      </w:r>
      <w:r>
        <w:rPr>
          <w:rFonts w:hAnsi="宋体"/>
          <w:color w:val="auto"/>
          <w:szCs w:val="21"/>
        </w:rPr>
        <w:t>。</w:t>
      </w:r>
    </w:p>
    <w:p>
      <w:pPr>
        <w:pageBreakBefore w:val="0"/>
        <w:kinsoku/>
        <w:wordWrap/>
        <w:overflowPunct/>
        <w:topLinePunct w:val="0"/>
        <w:bidi w:val="0"/>
        <w:spacing w:line="360" w:lineRule="auto"/>
        <w:ind w:firstLine="420" w:firstLineChars="200"/>
        <w:jc w:val="left"/>
        <w:textAlignment w:val="auto"/>
        <w:rPr>
          <w:rFonts w:hAnsi="宋体"/>
          <w:color w:val="auto"/>
          <w:szCs w:val="21"/>
        </w:rPr>
      </w:pPr>
      <w:r>
        <w:rPr>
          <w:rFonts w:hAnsi="宋体"/>
          <w:color w:val="auto"/>
          <w:szCs w:val="21"/>
        </w:rPr>
        <w:t>1.1.3.10 临时占地包括：</w:t>
      </w:r>
      <w:r>
        <w:rPr>
          <w:rFonts w:hint="eastAsia" w:hAnsi="宋体" w:cs="宋体"/>
          <w:color w:val="auto"/>
          <w:szCs w:val="21"/>
          <w:u w:val="single"/>
        </w:rPr>
        <w:t>通用条款</w:t>
      </w:r>
      <w:r>
        <w:rPr>
          <w:rFonts w:hAnsi="宋体" w:cs="宋体"/>
          <w:color w:val="auto"/>
          <w:szCs w:val="21"/>
          <w:u w:val="single"/>
        </w:rPr>
        <w:t xml:space="preserve">1.1.3.10执行 </w:t>
      </w:r>
      <w:r>
        <w:rPr>
          <w:rFonts w:hAnsi="宋体"/>
          <w:color w:val="auto"/>
          <w:szCs w:val="21"/>
          <w:u w:val="single"/>
        </w:rPr>
        <w:t xml:space="preserve"> </w:t>
      </w:r>
      <w:r>
        <w:rPr>
          <w:rFonts w:hAnsi="宋体"/>
          <w:color w:val="auto"/>
          <w:szCs w:val="21"/>
        </w:rPr>
        <w:t>。</w:t>
      </w:r>
    </w:p>
    <w:p>
      <w:pPr>
        <w:keepNext/>
        <w:keepLines/>
        <w:pageBreakBefore w:val="0"/>
        <w:kinsoku/>
        <w:wordWrap/>
        <w:overflowPunct/>
        <w:topLinePunct w:val="0"/>
        <w:bidi w:val="0"/>
        <w:spacing w:line="360" w:lineRule="auto"/>
        <w:textAlignment w:val="auto"/>
        <w:outlineLvl w:val="0"/>
        <w:rPr>
          <w:rFonts w:hAnsi="宋体" w:eastAsia="黑体"/>
          <w:color w:val="auto"/>
          <w:kern w:val="44"/>
          <w:szCs w:val="21"/>
        </w:rPr>
      </w:pPr>
      <w:bookmarkStart w:id="91" w:name="_Toc21658"/>
      <w:bookmarkStart w:id="92" w:name="_Toc5169"/>
      <w:bookmarkStart w:id="93" w:name="_Toc14157"/>
      <w:r>
        <w:rPr>
          <w:rFonts w:hAnsi="宋体" w:eastAsia="黑体"/>
          <w:color w:val="auto"/>
          <w:kern w:val="44"/>
          <w:szCs w:val="21"/>
        </w:rPr>
        <w:t>1.3</w:t>
      </w:r>
      <w:r>
        <w:rPr>
          <w:rFonts w:hint="eastAsia" w:hAnsi="宋体" w:eastAsia="黑体"/>
          <w:color w:val="auto"/>
          <w:kern w:val="44"/>
          <w:szCs w:val="21"/>
        </w:rPr>
        <w:t>法律</w:t>
      </w:r>
      <w:bookmarkEnd w:id="91"/>
      <w:bookmarkEnd w:id="92"/>
      <w:bookmarkEnd w:id="93"/>
    </w:p>
    <w:p>
      <w:pPr>
        <w:pageBreakBefore w:val="0"/>
        <w:kinsoku/>
        <w:wordWrap/>
        <w:overflowPunct/>
        <w:topLinePunct w:val="0"/>
        <w:autoSpaceDE w:val="0"/>
        <w:autoSpaceDN w:val="0"/>
        <w:bidi w:val="0"/>
        <w:spacing w:line="360" w:lineRule="auto"/>
        <w:ind w:left="596" w:leftChars="284"/>
        <w:jc w:val="left"/>
        <w:textAlignment w:val="auto"/>
        <w:rPr>
          <w:color w:val="auto"/>
          <w:szCs w:val="21"/>
        </w:rPr>
      </w:pPr>
      <w:r>
        <w:rPr>
          <w:rFonts w:hint="eastAsia" w:hAnsi="宋体"/>
          <w:color w:val="auto"/>
          <w:szCs w:val="21"/>
        </w:rPr>
        <w:t>适用于合同的其他</w:t>
      </w:r>
      <w:bookmarkStart w:id="94" w:name="_Toc406360296"/>
      <w:bookmarkStart w:id="95" w:name="_Toc412544262"/>
      <w:bookmarkStart w:id="96" w:name="_Toc373743611"/>
      <w:r>
        <w:rPr>
          <w:rFonts w:hint="eastAsia" w:hAnsi="宋体"/>
          <w:color w:val="auto"/>
          <w:szCs w:val="21"/>
        </w:rPr>
        <w:t>规范性文件</w:t>
      </w:r>
      <w:bookmarkEnd w:id="94"/>
      <w:bookmarkEnd w:id="95"/>
      <w:bookmarkEnd w:id="96"/>
      <w:r>
        <w:rPr>
          <w:rFonts w:hint="eastAsia" w:hAnsi="宋体"/>
          <w:color w:val="auto"/>
          <w:szCs w:val="21"/>
        </w:rPr>
        <w:t>：</w:t>
      </w:r>
      <w:r>
        <w:rPr>
          <w:rFonts w:hint="eastAsia" w:hAnsi="宋体"/>
          <w:color w:val="auto"/>
          <w:szCs w:val="21"/>
          <w:u w:val="single"/>
        </w:rPr>
        <w:t>《中华人民共和国合同法》、《中华人民共和国建筑法》及现行的国家法律和行政法规和部门规章，工程所在地政府的有关法规和规章及规范性文件</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97" w:name="_Toc14139"/>
      <w:bookmarkStart w:id="98" w:name="_Toc31374"/>
      <w:bookmarkStart w:id="99" w:name="_Toc13581"/>
      <w:r>
        <w:rPr>
          <w:rFonts w:hAnsi="宋体" w:eastAsia="黑体"/>
          <w:color w:val="auto"/>
          <w:kern w:val="44"/>
          <w:szCs w:val="21"/>
        </w:rPr>
        <w:t xml:space="preserve">1.4 </w:t>
      </w:r>
      <w:r>
        <w:rPr>
          <w:rFonts w:hint="eastAsia" w:hAnsi="宋体" w:eastAsia="黑体"/>
          <w:color w:val="auto"/>
          <w:kern w:val="44"/>
          <w:szCs w:val="21"/>
        </w:rPr>
        <w:t>标准和规范</w:t>
      </w:r>
      <w:bookmarkEnd w:id="97"/>
      <w:bookmarkEnd w:id="98"/>
      <w:bookmarkEnd w:id="99"/>
    </w:p>
    <w:p>
      <w:pPr>
        <w:pageBreakBefore w:val="0"/>
        <w:kinsoku/>
        <w:wordWrap/>
        <w:overflowPunct/>
        <w:topLinePunct w:val="0"/>
        <w:bidi w:val="0"/>
        <w:spacing w:line="360" w:lineRule="auto"/>
        <w:ind w:left="596" w:leftChars="284"/>
        <w:textAlignment w:val="auto"/>
        <w:rPr>
          <w:color w:val="auto"/>
          <w:szCs w:val="21"/>
        </w:rPr>
      </w:pPr>
      <w:r>
        <w:rPr>
          <w:rFonts w:hAnsi="宋体"/>
          <w:color w:val="auto"/>
          <w:szCs w:val="21"/>
        </w:rPr>
        <w:t>1.4.1</w:t>
      </w:r>
      <w:bookmarkStart w:id="100" w:name="_Toc412544263"/>
      <w:bookmarkStart w:id="101" w:name="_Toc373743612"/>
      <w:bookmarkStart w:id="102" w:name="_Toc406360297"/>
      <w:r>
        <w:rPr>
          <w:rFonts w:hint="eastAsia" w:hAnsi="宋体"/>
          <w:color w:val="auto"/>
          <w:szCs w:val="21"/>
        </w:rPr>
        <w:t>适用于工程的标准规</w:t>
      </w:r>
      <w:bookmarkEnd w:id="100"/>
      <w:bookmarkEnd w:id="101"/>
      <w:bookmarkEnd w:id="102"/>
      <w:r>
        <w:rPr>
          <w:rFonts w:hint="eastAsia" w:hAnsi="宋体"/>
          <w:color w:val="auto"/>
          <w:szCs w:val="21"/>
        </w:rPr>
        <w:t>范包括：</w:t>
      </w:r>
      <w:r>
        <w:rPr>
          <w:rFonts w:hint="eastAsia" w:hAnsi="宋体" w:cs="宋体"/>
          <w:color w:val="auto"/>
          <w:szCs w:val="21"/>
          <w:u w:val="single"/>
        </w:rPr>
        <w:t>现行</w:t>
      </w:r>
      <w:r>
        <w:rPr>
          <w:rFonts w:hint="eastAsia" w:hAnsi="宋体"/>
          <w:color w:val="auto"/>
          <w:szCs w:val="21"/>
          <w:u w:val="single"/>
        </w:rPr>
        <w:t>市政工程及相关行业中与工程有关的施工规范、验收规范和质量检验评定标准</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1.4.2 </w:t>
      </w:r>
      <w:r>
        <w:rPr>
          <w:rFonts w:hint="eastAsia" w:hAnsi="宋体"/>
          <w:color w:val="auto"/>
          <w:szCs w:val="21"/>
        </w:rPr>
        <w:t>发包人提供国外标准、规范的名称：</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发包人提供国外标准、规范的份数：</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发包人提供国外标准、规范的名称：</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ind w:left="596" w:leftChars="284"/>
        <w:textAlignment w:val="auto"/>
        <w:rPr>
          <w:color w:val="auto"/>
          <w:szCs w:val="21"/>
        </w:rPr>
      </w:pPr>
      <w:r>
        <w:rPr>
          <w:rFonts w:hAnsi="宋体"/>
          <w:color w:val="auto"/>
          <w:szCs w:val="21"/>
        </w:rPr>
        <w:t>1.4.3</w:t>
      </w:r>
      <w:r>
        <w:rPr>
          <w:rFonts w:hint="eastAsia" w:hAnsi="宋体"/>
          <w:color w:val="auto"/>
          <w:szCs w:val="21"/>
        </w:rPr>
        <w:t>发包人对工程的技术标准和功能要求的特殊要求：</w:t>
      </w:r>
      <w:r>
        <w:rPr>
          <w:rFonts w:hint="eastAsia" w:hAnsi="宋体"/>
          <w:color w:val="auto"/>
          <w:szCs w:val="21"/>
          <w:u w:val="single"/>
        </w:rPr>
        <w:t>现行的国家标准、规范，行业标准</w:t>
      </w:r>
      <w:r>
        <w:rPr>
          <w:rFonts w:hint="eastAsia" w:hAnsi="宋体"/>
          <w:color w:val="auto"/>
          <w:szCs w:val="21"/>
        </w:rPr>
        <w:t>。上述标准、规范由承包人自行收集，费用已包含在投标报价中。</w:t>
      </w:r>
    </w:p>
    <w:p>
      <w:pPr>
        <w:keepNext/>
        <w:keepLines/>
        <w:pageBreakBefore w:val="0"/>
        <w:kinsoku/>
        <w:wordWrap/>
        <w:overflowPunct/>
        <w:topLinePunct w:val="0"/>
        <w:bidi w:val="0"/>
        <w:spacing w:line="360" w:lineRule="auto"/>
        <w:textAlignment w:val="auto"/>
        <w:outlineLvl w:val="0"/>
        <w:rPr>
          <w:color w:val="auto"/>
          <w:kern w:val="44"/>
          <w:szCs w:val="21"/>
        </w:rPr>
      </w:pPr>
      <w:bookmarkStart w:id="103" w:name="_Toc14346"/>
      <w:bookmarkStart w:id="104" w:name="_Toc3160"/>
      <w:bookmarkStart w:id="105" w:name="_Toc26239"/>
      <w:r>
        <w:rPr>
          <w:rFonts w:hAnsi="宋体" w:eastAsia="黑体"/>
          <w:color w:val="auto"/>
          <w:kern w:val="44"/>
          <w:szCs w:val="21"/>
        </w:rPr>
        <w:t xml:space="preserve">1.5 </w:t>
      </w:r>
      <w:r>
        <w:rPr>
          <w:rFonts w:hint="eastAsia" w:hAnsi="宋体" w:eastAsia="黑体"/>
          <w:color w:val="auto"/>
          <w:kern w:val="44"/>
          <w:szCs w:val="21"/>
        </w:rPr>
        <w:t>合同文件的优先顺序</w:t>
      </w:r>
      <w:bookmarkEnd w:id="103"/>
      <w:bookmarkEnd w:id="104"/>
      <w:bookmarkEnd w:id="105"/>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合同文件组成及优先顺序为：</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（1）合同协议书；</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（2）中标通知书（如有）；</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（3）投标函及其附录（如有）；</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（4）专用合同条款及其附件；</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（5）通用合同条款；</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lang w:eastAsia="zh-CN"/>
        </w:rPr>
        <w:t>（</w:t>
      </w:r>
      <w:r>
        <w:rPr>
          <w:rFonts w:hint="eastAsia" w:hAnsi="宋体"/>
          <w:color w:val="auto"/>
          <w:szCs w:val="21"/>
          <w:lang w:val="en-US" w:eastAsia="zh-CN"/>
        </w:rPr>
        <w:t>6</w:t>
      </w:r>
      <w:r>
        <w:rPr>
          <w:rFonts w:hint="eastAsia" w:hAnsi="宋体"/>
          <w:color w:val="auto"/>
          <w:szCs w:val="21"/>
          <w:lang w:eastAsia="zh-CN"/>
        </w:rPr>
        <w:t>）</w:t>
      </w:r>
      <w:r>
        <w:rPr>
          <w:rFonts w:hint="eastAsia" w:hAnsi="宋体"/>
          <w:color w:val="auto"/>
          <w:szCs w:val="21"/>
        </w:rPr>
        <w:t>技术标准和要求 ；</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lang w:eastAsia="zh-CN"/>
        </w:rPr>
        <w:t>（</w:t>
      </w:r>
      <w:r>
        <w:rPr>
          <w:rFonts w:hint="eastAsia" w:hAnsi="宋体"/>
          <w:color w:val="auto"/>
          <w:szCs w:val="21"/>
          <w:lang w:val="en-US" w:eastAsia="zh-CN"/>
        </w:rPr>
        <w:t>7</w:t>
      </w:r>
      <w:r>
        <w:rPr>
          <w:rFonts w:hint="eastAsia" w:hAnsi="宋体"/>
          <w:color w:val="auto"/>
          <w:szCs w:val="21"/>
          <w:lang w:eastAsia="zh-CN"/>
        </w:rPr>
        <w:t>）</w:t>
      </w:r>
      <w:r>
        <w:rPr>
          <w:rFonts w:hint="eastAsia" w:hAnsi="宋体"/>
          <w:color w:val="auto"/>
          <w:szCs w:val="21"/>
        </w:rPr>
        <w:t>已标价工程量清单或预算书 ；</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lang w:eastAsia="zh-CN"/>
        </w:rPr>
        <w:t>（</w:t>
      </w:r>
      <w:r>
        <w:rPr>
          <w:rFonts w:hint="eastAsia" w:hAnsi="宋体"/>
          <w:color w:val="auto"/>
          <w:szCs w:val="21"/>
          <w:lang w:val="en-US" w:eastAsia="zh-CN"/>
        </w:rPr>
        <w:t>8</w:t>
      </w:r>
      <w:r>
        <w:rPr>
          <w:rFonts w:hint="eastAsia" w:hAnsi="宋体"/>
          <w:color w:val="auto"/>
          <w:szCs w:val="21"/>
          <w:lang w:eastAsia="zh-CN"/>
        </w:rPr>
        <w:t>）</w:t>
      </w:r>
      <w:r>
        <w:rPr>
          <w:rFonts w:hint="eastAsia" w:hAnsi="宋体"/>
          <w:color w:val="auto"/>
          <w:szCs w:val="21"/>
        </w:rPr>
        <w:t>图纸 ；</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（9）《建设工程工程量清单计价规范（GB5050-2013）》及其广西实施细则及《关于建筑业实施营业税改征增值税后广西壮族自治区建设工程计价依据调整的通知》（桂建标〔2016〕17 号）、《建设工程工程量清单计算规范（GB5854~50862-2013）》及其广西实施细则（修订本） (适用于实行工程量清单计价的项目) ；</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(10)其他合同文件：</w:t>
      </w:r>
      <w:r>
        <w:rPr>
          <w:rFonts w:hint="eastAsia" w:hAnsi="宋体"/>
          <w:color w:val="auto"/>
          <w:szCs w:val="21"/>
          <w:u w:val="single"/>
        </w:rPr>
        <w:tab/>
      </w:r>
      <w:r>
        <w:rPr>
          <w:rFonts w:hint="eastAsia" w:hAnsi="宋体"/>
          <w:color w:val="auto"/>
          <w:szCs w:val="21"/>
          <w:u w:val="single"/>
          <w:lang w:val="en-US" w:eastAsia="zh-CN"/>
        </w:rPr>
        <w:t xml:space="preserve">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说明：（6）、（7）、（8）、（10）填空内容分别限于技术标准和要求、图纸、已标价工程量清单或预算书、其他合同文件四者之一，其优先顺序可根据采取的不同合同方式由双方约定。</w:t>
      </w:r>
    </w:p>
    <w:p>
      <w:pPr>
        <w:pStyle w:val="2"/>
      </w:pPr>
    </w:p>
    <w:p>
      <w:pPr>
        <w:keepNext/>
        <w:keepLines/>
        <w:pageBreakBefore w:val="0"/>
        <w:kinsoku/>
        <w:wordWrap/>
        <w:overflowPunct/>
        <w:topLinePunct w:val="0"/>
        <w:bidi w:val="0"/>
        <w:spacing w:line="360" w:lineRule="auto"/>
        <w:textAlignment w:val="auto"/>
        <w:outlineLvl w:val="0"/>
        <w:rPr>
          <w:color w:val="auto"/>
          <w:kern w:val="44"/>
          <w:szCs w:val="21"/>
        </w:rPr>
      </w:pPr>
      <w:bookmarkStart w:id="106" w:name="_Toc17797"/>
      <w:bookmarkStart w:id="107" w:name="_Toc26890"/>
      <w:bookmarkStart w:id="108" w:name="_Toc1845"/>
      <w:r>
        <w:rPr>
          <w:rFonts w:hAnsi="宋体" w:eastAsia="黑体"/>
          <w:color w:val="auto"/>
          <w:kern w:val="44"/>
          <w:szCs w:val="21"/>
        </w:rPr>
        <w:t xml:space="preserve">1.6 </w:t>
      </w:r>
      <w:r>
        <w:rPr>
          <w:rFonts w:hint="eastAsia" w:hAnsi="宋体" w:eastAsia="黑体"/>
          <w:color w:val="auto"/>
          <w:kern w:val="44"/>
          <w:szCs w:val="21"/>
        </w:rPr>
        <w:t>图纸和承包人文件</w:t>
      </w:r>
      <w:bookmarkEnd w:id="106"/>
      <w:bookmarkEnd w:id="107"/>
      <w:bookmarkEnd w:id="108"/>
      <w:r>
        <w:rPr>
          <w:color w:val="auto"/>
          <w:kern w:val="44"/>
          <w:szCs w:val="21"/>
        </w:rPr>
        <w:tab/>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1</w:t>
      </w:r>
      <w:bookmarkStart w:id="109" w:name="_Toc406360299"/>
      <w:bookmarkStart w:id="110" w:name="_Toc412544265"/>
      <w:bookmarkStart w:id="111" w:name="_Toc373743614"/>
      <w:r>
        <w:rPr>
          <w:rFonts w:hAnsi="宋体"/>
          <w:color w:val="auto"/>
          <w:szCs w:val="21"/>
        </w:rPr>
        <w:t xml:space="preserve">.6.1 </w:t>
      </w:r>
      <w:r>
        <w:rPr>
          <w:rFonts w:hint="eastAsia" w:hAnsi="宋体"/>
          <w:color w:val="auto"/>
          <w:szCs w:val="21"/>
        </w:rPr>
        <w:t>图纸的提供</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发</w:t>
      </w:r>
      <w:bookmarkEnd w:id="109"/>
      <w:bookmarkEnd w:id="110"/>
      <w:bookmarkEnd w:id="111"/>
      <w:r>
        <w:rPr>
          <w:rFonts w:hint="eastAsia" w:hAnsi="宋体"/>
          <w:color w:val="auto"/>
          <w:szCs w:val="21"/>
        </w:rPr>
        <w:t>包人向承包人提供图纸的期限：</w:t>
      </w:r>
      <w:r>
        <w:rPr>
          <w:rFonts w:hint="eastAsia" w:hAnsi="宋体" w:cs="宋体"/>
          <w:color w:val="auto"/>
          <w:szCs w:val="21"/>
          <w:u w:val="single"/>
        </w:rPr>
        <w:t></w:t>
      </w:r>
      <w:r>
        <w:rPr>
          <w:rFonts w:hint="eastAsia" w:hAnsi="宋体"/>
          <w:color w:val="auto"/>
          <w:szCs w:val="21"/>
          <w:u w:val="single"/>
        </w:rPr>
        <w:t>开工前</w:t>
      </w:r>
      <w:r>
        <w:rPr>
          <w:rFonts w:hint="eastAsia" w:hAnsi="宋体"/>
          <w:color w:val="auto"/>
          <w:szCs w:val="21"/>
          <w:u w:val="single"/>
          <w:lang w:val="en-US" w:eastAsia="zh-CN"/>
        </w:rPr>
        <w:t>七</w:t>
      </w:r>
      <w:r>
        <w:rPr>
          <w:rFonts w:hint="eastAsia" w:hAnsi="宋体"/>
          <w:color w:val="auto"/>
          <w:szCs w:val="21"/>
          <w:u w:val="single"/>
        </w:rPr>
        <w:t>天</w:t>
      </w:r>
      <w:r>
        <w:rPr>
          <w:rFonts w:hint="eastAsia" w:hAnsi="宋体" w:cs="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发包人向承包人提供图纸的数量：</w:t>
      </w:r>
      <w:r>
        <w:rPr>
          <w:rFonts w:hint="eastAsia" w:hAnsi="宋体" w:cs="宋体"/>
          <w:color w:val="auto"/>
          <w:szCs w:val="21"/>
          <w:u w:val="single"/>
        </w:rPr>
        <w:t>免费提供贰套完整的施工图纸及相关技术资料</w:t>
      </w:r>
      <w:r>
        <w:rPr>
          <w:rFonts w:hint="eastAsia" w:hAnsi="宋体"/>
          <w:color w:val="auto"/>
          <w:szCs w:val="21"/>
          <w:u w:val="single"/>
        </w:rPr>
        <w:t>，承包人需要增加图纸套数的，发包人应代为复制，复制费用由承包人承担</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发包人向承包人提供图纸的内容：</w:t>
      </w:r>
      <w:r>
        <w:rPr>
          <w:rFonts w:hint="eastAsia" w:hAnsi="宋体" w:cs="宋体"/>
          <w:color w:val="auto"/>
          <w:szCs w:val="21"/>
          <w:u w:val="single"/>
        </w:rPr>
        <w:t>承包人承包范围内的所有图纸和有关技术资料</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1.6.4 </w:t>
      </w:r>
      <w:r>
        <w:rPr>
          <w:rFonts w:hint="eastAsia" w:hAnsi="宋体"/>
          <w:color w:val="auto"/>
          <w:szCs w:val="21"/>
        </w:rPr>
        <w:t>承包人文件</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需要由承包人提供的文件，包括：</w:t>
      </w:r>
      <w:r>
        <w:rPr>
          <w:rFonts w:hint="eastAsia"/>
          <w:color w:val="auto"/>
          <w:szCs w:val="21"/>
          <w:u w:val="single"/>
        </w:rPr>
        <w:t>建设项目竣工验收前，承包人应根据合同工作内容要求，分别整理竣工验收资料（含竣工图），汇总为完整的建设项目竣工资料报发包人（费用由承包人负责）</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承包人提供的文件的期限为：</w:t>
      </w:r>
      <w:r>
        <w:rPr>
          <w:rFonts w:hint="eastAsia" w:hAnsi="宋体" w:cs="宋体"/>
          <w:color w:val="auto"/>
          <w:szCs w:val="21"/>
          <w:u w:val="single"/>
        </w:rPr>
        <w:t></w:t>
      </w:r>
      <w:r>
        <w:rPr>
          <w:rFonts w:hint="eastAsia"/>
          <w:color w:val="auto"/>
          <w:szCs w:val="21"/>
          <w:u w:val="single"/>
        </w:rPr>
        <w:t>竣工验收正式通过后</w:t>
      </w:r>
      <w:r>
        <w:rPr>
          <w:color w:val="auto"/>
          <w:szCs w:val="21"/>
          <w:u w:val="single"/>
        </w:rPr>
        <w:t>5</w:t>
      </w:r>
      <w:r>
        <w:rPr>
          <w:rFonts w:hint="eastAsia"/>
          <w:color w:val="auto"/>
          <w:szCs w:val="21"/>
          <w:u w:val="single"/>
        </w:rPr>
        <w:t>天（工程造价在</w:t>
      </w:r>
      <w:r>
        <w:rPr>
          <w:color w:val="auto"/>
          <w:szCs w:val="21"/>
          <w:u w:val="single"/>
        </w:rPr>
        <w:t>500</w:t>
      </w:r>
      <w:r>
        <w:rPr>
          <w:rFonts w:hint="eastAsia"/>
          <w:color w:val="auto"/>
          <w:szCs w:val="21"/>
          <w:u w:val="single"/>
        </w:rPr>
        <w:t>万元以下含</w:t>
      </w:r>
      <w:r>
        <w:rPr>
          <w:color w:val="auto"/>
          <w:szCs w:val="21"/>
          <w:u w:val="single"/>
        </w:rPr>
        <w:t>500</w:t>
      </w:r>
      <w:r>
        <w:rPr>
          <w:rFonts w:hint="eastAsia"/>
          <w:color w:val="auto"/>
          <w:szCs w:val="21"/>
          <w:u w:val="single"/>
        </w:rPr>
        <w:t>万元）、</w:t>
      </w:r>
      <w:r>
        <w:rPr>
          <w:color w:val="auto"/>
          <w:szCs w:val="21"/>
          <w:u w:val="single"/>
        </w:rPr>
        <w:t>10</w:t>
      </w:r>
      <w:r>
        <w:rPr>
          <w:rFonts w:hint="eastAsia"/>
          <w:color w:val="auto"/>
          <w:szCs w:val="21"/>
          <w:u w:val="single"/>
        </w:rPr>
        <w:t>天（工程造价在</w:t>
      </w:r>
      <w:r>
        <w:rPr>
          <w:color w:val="auto"/>
          <w:szCs w:val="21"/>
          <w:u w:val="single"/>
        </w:rPr>
        <w:t>500</w:t>
      </w:r>
      <w:r>
        <w:rPr>
          <w:rFonts w:hint="eastAsia"/>
          <w:color w:val="auto"/>
          <w:szCs w:val="21"/>
          <w:u w:val="single"/>
        </w:rPr>
        <w:t>万元至</w:t>
      </w:r>
      <w:r>
        <w:rPr>
          <w:color w:val="auto"/>
          <w:szCs w:val="21"/>
          <w:u w:val="single"/>
        </w:rPr>
        <w:t>1000</w:t>
      </w:r>
      <w:r>
        <w:rPr>
          <w:rFonts w:hint="eastAsia"/>
          <w:color w:val="auto"/>
          <w:szCs w:val="21"/>
          <w:u w:val="single"/>
        </w:rPr>
        <w:t>万元之间含</w:t>
      </w:r>
      <w:r>
        <w:rPr>
          <w:color w:val="auto"/>
          <w:szCs w:val="21"/>
          <w:u w:val="single"/>
        </w:rPr>
        <w:t>1000</w:t>
      </w:r>
      <w:r>
        <w:rPr>
          <w:rFonts w:hint="eastAsia"/>
          <w:color w:val="auto"/>
          <w:szCs w:val="21"/>
          <w:u w:val="single"/>
        </w:rPr>
        <w:t>万元）、</w:t>
      </w:r>
      <w:r>
        <w:rPr>
          <w:color w:val="auto"/>
          <w:szCs w:val="21"/>
          <w:u w:val="single"/>
        </w:rPr>
        <w:t>15</w:t>
      </w:r>
      <w:r>
        <w:rPr>
          <w:rFonts w:hint="eastAsia"/>
          <w:color w:val="auto"/>
          <w:szCs w:val="21"/>
          <w:u w:val="single"/>
        </w:rPr>
        <w:t>天（工程造价在</w:t>
      </w:r>
      <w:r>
        <w:rPr>
          <w:color w:val="auto"/>
          <w:szCs w:val="21"/>
          <w:u w:val="single"/>
        </w:rPr>
        <w:t>1000</w:t>
      </w:r>
      <w:r>
        <w:rPr>
          <w:rFonts w:hint="eastAsia"/>
          <w:color w:val="auto"/>
          <w:szCs w:val="21"/>
          <w:u w:val="single"/>
        </w:rPr>
        <w:t>万元以上）</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承包人提供的文件的数量为：</w:t>
      </w:r>
      <w:r>
        <w:rPr>
          <w:rFonts w:hint="eastAsia" w:hAnsi="宋体" w:cs="宋体"/>
          <w:color w:val="auto"/>
          <w:szCs w:val="21"/>
          <w:u w:val="single"/>
        </w:rPr>
        <w:t></w:t>
      </w:r>
      <w:r>
        <w:rPr>
          <w:rFonts w:hint="eastAsia"/>
          <w:color w:val="auto"/>
          <w:szCs w:val="21"/>
          <w:u w:val="single"/>
        </w:rPr>
        <w:t>提供竣工图的数量为陆套</w:t>
      </w:r>
      <w:r>
        <w:rPr>
          <w:rFonts w:hint="eastAsia" w:hAnsi="宋体" w:cs="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承包人提供的文件的形式为：</w:t>
      </w:r>
      <w:r>
        <w:rPr>
          <w:rFonts w:hint="eastAsia" w:hAnsi="宋体" w:cs="宋体"/>
          <w:color w:val="auto"/>
          <w:szCs w:val="21"/>
          <w:u w:val="single"/>
        </w:rPr>
        <w:t>书面送达</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发包人审批承包人文件的期限：</w:t>
      </w:r>
      <w:r>
        <w:rPr>
          <w:rFonts w:hint="eastAsia" w:hAnsi="宋体" w:cs="宋体"/>
          <w:color w:val="auto"/>
          <w:szCs w:val="21"/>
          <w:u w:val="single"/>
        </w:rPr>
        <w:t></w:t>
      </w:r>
      <w:r>
        <w:rPr>
          <w:rFonts w:hint="eastAsia" w:hAnsi="宋体"/>
          <w:color w:val="auto"/>
          <w:szCs w:val="21"/>
          <w:u w:val="single"/>
        </w:rPr>
        <w:t>收到承包人报送的相关文件之日起</w:t>
      </w:r>
      <w:r>
        <w:rPr>
          <w:rFonts w:hAnsi="宋体"/>
          <w:color w:val="auto"/>
          <w:szCs w:val="21"/>
          <w:u w:val="single"/>
        </w:rPr>
        <w:t>7</w:t>
      </w:r>
      <w:r>
        <w:rPr>
          <w:rFonts w:hint="eastAsia" w:hAnsi="宋体"/>
          <w:color w:val="auto"/>
          <w:szCs w:val="21"/>
          <w:u w:val="single"/>
        </w:rPr>
        <w:t>日内</w:t>
      </w:r>
      <w:r>
        <w:rPr>
          <w:rFonts w:hint="eastAsia" w:hAnsi="宋体" w:cs="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1.6.5 </w:t>
      </w:r>
      <w:r>
        <w:rPr>
          <w:rFonts w:hint="eastAsia" w:hAnsi="宋体"/>
          <w:color w:val="auto"/>
          <w:szCs w:val="21"/>
        </w:rPr>
        <w:t>现场图纸准备</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关于现场图纸准备的约定：</w:t>
      </w:r>
      <w:r>
        <w:rPr>
          <w:rFonts w:hint="eastAsia" w:hAnsi="宋体" w:cs="宋体"/>
          <w:color w:val="auto"/>
          <w:szCs w:val="21"/>
          <w:u w:val="single"/>
        </w:rPr>
        <w:t></w:t>
      </w:r>
      <w:r>
        <w:rPr>
          <w:rFonts w:hint="eastAsia" w:hAnsi="宋体"/>
          <w:color w:val="auto"/>
          <w:szCs w:val="21"/>
          <w:u w:val="single"/>
        </w:rPr>
        <w:t>承包人应在施工现场保留一套完整的施工图纸，供工程师及有关人员进行工程检查时使用，未经发包人同意不许将图纸泄露和转让给第三方</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112" w:name="_Toc15781"/>
      <w:bookmarkStart w:id="113" w:name="_Toc30802"/>
      <w:bookmarkStart w:id="114" w:name="_Toc15030"/>
      <w:r>
        <w:rPr>
          <w:rFonts w:hAnsi="宋体" w:eastAsia="黑体"/>
          <w:color w:val="auto"/>
          <w:kern w:val="44"/>
          <w:szCs w:val="21"/>
        </w:rPr>
        <w:t xml:space="preserve">1.7 </w:t>
      </w:r>
      <w:r>
        <w:rPr>
          <w:rFonts w:hint="eastAsia" w:hAnsi="宋体" w:eastAsia="黑体"/>
          <w:color w:val="auto"/>
          <w:kern w:val="44"/>
          <w:szCs w:val="21"/>
        </w:rPr>
        <w:t>联络</w:t>
      </w:r>
      <w:bookmarkEnd w:id="112"/>
      <w:bookmarkEnd w:id="113"/>
      <w:bookmarkEnd w:id="114"/>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1.7.1</w:t>
      </w:r>
      <w:r>
        <w:rPr>
          <w:rFonts w:hint="eastAsia" w:hAnsi="宋体"/>
          <w:color w:val="auto"/>
          <w:szCs w:val="21"/>
        </w:rPr>
        <w:t>发包人</w:t>
      </w:r>
      <w:bookmarkStart w:id="115" w:name="_Toc412544266"/>
      <w:bookmarkStart w:id="116" w:name="_Toc406360300"/>
      <w:bookmarkStart w:id="117" w:name="_Toc373743615"/>
      <w:r>
        <w:rPr>
          <w:rFonts w:hint="eastAsia" w:hAnsi="宋体"/>
          <w:color w:val="auto"/>
          <w:szCs w:val="21"/>
        </w:rPr>
        <w:t>和承包人应当</w:t>
      </w:r>
      <w:bookmarkEnd w:id="115"/>
      <w:bookmarkEnd w:id="116"/>
      <w:bookmarkEnd w:id="117"/>
      <w:r>
        <w:rPr>
          <w:rFonts w:hint="eastAsia" w:hAnsi="宋体"/>
          <w:color w:val="auto"/>
          <w:szCs w:val="21"/>
        </w:rPr>
        <w:t>在</w:t>
      </w:r>
      <w:r>
        <w:rPr>
          <w:rFonts w:hint="eastAsia" w:hAnsi="宋体" w:cs="宋体"/>
          <w:color w:val="auto"/>
          <w:szCs w:val="21"/>
          <w:u w:val="single"/>
        </w:rPr>
        <w:t></w:t>
      </w:r>
      <w:r>
        <w:rPr>
          <w:rFonts w:hint="eastAsia" w:hAnsi="宋体"/>
          <w:color w:val="auto"/>
          <w:szCs w:val="21"/>
          <w:u w:val="single"/>
        </w:rPr>
        <w:t>七</w:t>
      </w:r>
      <w:r>
        <w:rPr>
          <w:rFonts w:hint="eastAsia" w:hAnsi="宋体"/>
          <w:color w:val="auto"/>
          <w:szCs w:val="21"/>
        </w:rPr>
        <w:t>天内将与合同有关的通知、批准、证明、证书、指示、指令、要求、请求、同意、意见、确定和决定等书面函件送达对方当事人。</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1.7.2 </w:t>
      </w:r>
      <w:r>
        <w:rPr>
          <w:rFonts w:hint="eastAsia" w:hAnsi="宋体"/>
          <w:color w:val="auto"/>
          <w:szCs w:val="21"/>
        </w:rPr>
        <w:t>发包人接收文件的地点：</w:t>
      </w:r>
      <w:r>
        <w:rPr>
          <w:rFonts w:hint="eastAsia" w:hAnsi="宋体" w:cs="宋体"/>
          <w:color w:val="auto"/>
          <w:szCs w:val="21"/>
          <w:u w:val="single"/>
        </w:rPr>
        <w:t></w:t>
      </w:r>
      <w:r>
        <w:rPr>
          <w:rFonts w:hint="eastAsia" w:hAnsi="宋体"/>
          <w:color w:val="auto"/>
          <w:szCs w:val="24"/>
          <w:u w:val="single"/>
        </w:rPr>
        <w:t>施工现场发包人办公室</w:t>
      </w:r>
      <w:r>
        <w:rPr>
          <w:rFonts w:hint="eastAsia" w:hAnsi="宋体" w:cs="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发包人指定的接收人为：</w:t>
      </w:r>
      <w:r>
        <w:rPr>
          <w:rFonts w:hint="eastAsia" w:hAnsi="宋体" w:cs="宋体"/>
          <w:color w:val="auto"/>
          <w:szCs w:val="21"/>
          <w:u w:val="single"/>
        </w:rPr>
        <w:t></w:t>
      </w:r>
      <w:r>
        <w:rPr>
          <w:rFonts w:hint="eastAsia" w:hAnsi="宋体"/>
          <w:color w:val="auto"/>
          <w:szCs w:val="24"/>
          <w:u w:val="single"/>
        </w:rPr>
        <w:t>业主代表（现场）</w:t>
      </w:r>
      <w:r>
        <w:rPr>
          <w:rFonts w:hint="eastAsia" w:hAnsi="宋体" w:cs="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承包人接收文件的地点：</w:t>
      </w:r>
      <w:r>
        <w:rPr>
          <w:rFonts w:hint="eastAsia" w:hAnsi="宋体" w:cs="宋体"/>
          <w:color w:val="auto"/>
          <w:szCs w:val="21"/>
          <w:u w:val="single"/>
        </w:rPr>
        <w:t></w:t>
      </w:r>
      <w:r>
        <w:rPr>
          <w:rFonts w:hint="eastAsia" w:hAnsi="宋体"/>
          <w:color w:val="auto"/>
          <w:szCs w:val="24"/>
          <w:u w:val="single"/>
        </w:rPr>
        <w:t>施工现场承包人办公室</w:t>
      </w:r>
      <w:r>
        <w:rPr>
          <w:rFonts w:hint="eastAsia" w:hAnsi="宋体" w:cs="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承包人指定的接收人为：</w:t>
      </w:r>
      <w:r>
        <w:rPr>
          <w:rFonts w:hint="eastAsia" w:hAnsi="宋体" w:cs="宋体"/>
          <w:color w:val="auto"/>
          <w:szCs w:val="21"/>
          <w:u w:val="single"/>
        </w:rPr>
        <w:t></w:t>
      </w:r>
      <w:r>
        <w:rPr>
          <w:rFonts w:hint="eastAsia" w:hAnsi="宋体"/>
          <w:color w:val="auto"/>
          <w:szCs w:val="24"/>
          <w:u w:val="single"/>
        </w:rPr>
        <w:t>项目经理或技术（现场）负责人</w:t>
      </w:r>
      <w:r>
        <w:rPr>
          <w:rFonts w:hint="eastAsia" w:hAnsi="宋体" w:cs="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监理人接收文件的地点：</w:t>
      </w:r>
      <w:r>
        <w:rPr>
          <w:rFonts w:hint="eastAsia" w:hAnsi="宋体" w:cs="宋体"/>
          <w:color w:val="auto"/>
          <w:szCs w:val="21"/>
          <w:u w:val="single"/>
        </w:rPr>
        <w:t></w:t>
      </w:r>
      <w:r>
        <w:rPr>
          <w:rFonts w:hint="eastAsia" w:hAnsi="宋体"/>
          <w:color w:val="auto"/>
          <w:szCs w:val="24"/>
          <w:u w:val="single"/>
        </w:rPr>
        <w:t>施工现场监理人办公室</w:t>
      </w:r>
      <w:r>
        <w:rPr>
          <w:rFonts w:hint="eastAsia" w:hAnsi="宋体" w:cs="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监理人指定的接收人为：</w:t>
      </w:r>
      <w:r>
        <w:rPr>
          <w:rFonts w:hint="eastAsia" w:hAnsi="宋体" w:cs="宋体"/>
          <w:color w:val="auto"/>
          <w:szCs w:val="21"/>
          <w:u w:val="single"/>
        </w:rPr>
        <w:t></w:t>
      </w:r>
      <w:r>
        <w:rPr>
          <w:rFonts w:hint="eastAsia" w:hAnsi="宋体"/>
          <w:color w:val="auto"/>
          <w:szCs w:val="21"/>
          <w:u w:val="single"/>
        </w:rPr>
        <w:t>现场项目监理部监理人员</w:t>
      </w:r>
      <w:r>
        <w:rPr>
          <w:rFonts w:hint="eastAsia" w:hAnsi="宋体" w:cs="宋体"/>
          <w:color w:val="auto"/>
          <w:szCs w:val="21"/>
          <w:u w:val="single"/>
        </w:rPr>
        <w:t></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118" w:name="_Toc29847"/>
      <w:bookmarkStart w:id="119" w:name="_Toc27999"/>
      <w:bookmarkStart w:id="120" w:name="_Toc27023"/>
      <w:r>
        <w:rPr>
          <w:rFonts w:hAnsi="宋体" w:eastAsia="黑体"/>
          <w:color w:val="auto"/>
          <w:kern w:val="44"/>
          <w:szCs w:val="21"/>
        </w:rPr>
        <w:t xml:space="preserve">1.10 </w:t>
      </w:r>
      <w:r>
        <w:rPr>
          <w:rFonts w:hint="eastAsia" w:hAnsi="宋体" w:eastAsia="黑体"/>
          <w:color w:val="auto"/>
          <w:kern w:val="44"/>
          <w:szCs w:val="21"/>
        </w:rPr>
        <w:t>交通运输</w:t>
      </w:r>
      <w:bookmarkEnd w:id="118"/>
      <w:bookmarkEnd w:id="119"/>
      <w:bookmarkEnd w:id="120"/>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1.10.</w:t>
      </w:r>
      <w:bookmarkStart w:id="121" w:name="_Toc412544267"/>
      <w:bookmarkStart w:id="122" w:name="_Toc373743616"/>
      <w:bookmarkStart w:id="123" w:name="_Toc406360301"/>
      <w:r>
        <w:rPr>
          <w:rFonts w:hAnsi="宋体"/>
          <w:color w:val="auto"/>
          <w:szCs w:val="21"/>
        </w:rPr>
        <w:t xml:space="preserve">1 </w:t>
      </w:r>
      <w:r>
        <w:rPr>
          <w:rFonts w:hint="eastAsia" w:hAnsi="宋体"/>
          <w:color w:val="auto"/>
          <w:szCs w:val="21"/>
        </w:rPr>
        <w:t>出入现场的权利</w:t>
      </w:r>
      <w:bookmarkEnd w:id="121"/>
      <w:bookmarkEnd w:id="122"/>
      <w:bookmarkEnd w:id="123"/>
    </w:p>
    <w:p>
      <w:pPr>
        <w:pageBreakBefore w:val="0"/>
        <w:kinsoku/>
        <w:wordWrap/>
        <w:overflowPunct/>
        <w:topLinePunct w:val="0"/>
        <w:bidi w:val="0"/>
        <w:spacing w:line="360" w:lineRule="auto"/>
        <w:ind w:left="596" w:leftChars="284"/>
        <w:textAlignment w:val="auto"/>
        <w:rPr>
          <w:color w:val="auto"/>
          <w:szCs w:val="21"/>
          <w:u w:val="single"/>
        </w:rPr>
      </w:pPr>
      <w:r>
        <w:rPr>
          <w:rFonts w:hint="eastAsia" w:hAnsi="宋体"/>
          <w:color w:val="auto"/>
          <w:szCs w:val="21"/>
        </w:rPr>
        <w:t>关于出入现场的权利的约定：</w:t>
      </w:r>
      <w:r>
        <w:rPr>
          <w:rFonts w:hint="eastAsia" w:hAnsi="宋体"/>
          <w:color w:val="auto"/>
          <w:szCs w:val="21"/>
          <w:u w:val="single"/>
        </w:rPr>
        <w:t>按本合同通用条款执行</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1.10.3 </w:t>
      </w:r>
      <w:r>
        <w:rPr>
          <w:rFonts w:hint="eastAsia" w:hAnsi="宋体"/>
          <w:color w:val="auto"/>
          <w:szCs w:val="21"/>
        </w:rPr>
        <w:t>场内交通</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关于场外交通和场内交通的边界的约定：</w:t>
      </w:r>
      <w:r>
        <w:rPr>
          <w:rFonts w:hint="eastAsia" w:hAnsi="宋体"/>
          <w:color w:val="auto"/>
          <w:szCs w:val="21"/>
          <w:u w:val="single"/>
        </w:rPr>
        <w:t>以工程用地红线界定</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rFonts w:hAnsi="宋体"/>
          <w:color w:val="auto"/>
          <w:szCs w:val="21"/>
        </w:rPr>
      </w:pPr>
      <w:r>
        <w:rPr>
          <w:rFonts w:hint="eastAsia" w:hAnsi="宋体"/>
          <w:color w:val="auto"/>
          <w:szCs w:val="21"/>
        </w:rPr>
        <w:t>关于发包人向承包人免费提供满足工程施工需要的场内道路和交通设施的约定：</w:t>
      </w:r>
      <w:r>
        <w:rPr>
          <w:rFonts w:hint="eastAsia" w:hAnsi="宋体"/>
          <w:color w:val="auto"/>
          <w:szCs w:val="21"/>
          <w:u w:val="single"/>
        </w:rPr>
        <w:t>由承包人根据现场实际情况自行考虑，费用自理</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1.10.4</w:t>
      </w:r>
      <w:r>
        <w:rPr>
          <w:rFonts w:hint="eastAsia" w:hAnsi="宋体"/>
          <w:color w:val="auto"/>
          <w:szCs w:val="21"/>
        </w:rPr>
        <w:t>超大件和超重件的运输</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运输超大件或超重件所需的道路和桥梁临时加固改造费用和其他有关费用由</w:t>
      </w:r>
      <w:r>
        <w:rPr>
          <w:rFonts w:hint="eastAsia" w:hAnsi="宋体"/>
          <w:color w:val="auto"/>
          <w:szCs w:val="21"/>
          <w:u w:val="single"/>
        </w:rPr>
        <w:t>承包人</w:t>
      </w:r>
      <w:r>
        <w:rPr>
          <w:rFonts w:hint="eastAsia" w:hAnsi="宋体"/>
          <w:color w:val="auto"/>
          <w:szCs w:val="21"/>
        </w:rPr>
        <w:t>承担。</w:t>
      </w:r>
    </w:p>
    <w:p>
      <w:pPr>
        <w:keepNext/>
        <w:keepLines/>
        <w:pageBreakBefore w:val="0"/>
        <w:kinsoku/>
        <w:wordWrap/>
        <w:overflowPunct/>
        <w:topLinePunct w:val="0"/>
        <w:bidi w:val="0"/>
        <w:spacing w:line="360" w:lineRule="auto"/>
        <w:textAlignment w:val="auto"/>
        <w:outlineLvl w:val="0"/>
        <w:rPr>
          <w:color w:val="auto"/>
          <w:kern w:val="44"/>
          <w:szCs w:val="21"/>
        </w:rPr>
      </w:pPr>
      <w:bookmarkStart w:id="124" w:name="_Toc27983"/>
      <w:bookmarkStart w:id="125" w:name="_Toc18358"/>
      <w:bookmarkStart w:id="126" w:name="_Toc18504"/>
      <w:r>
        <w:rPr>
          <w:rFonts w:hAnsi="宋体" w:eastAsia="黑体"/>
          <w:color w:val="auto"/>
          <w:kern w:val="44"/>
          <w:szCs w:val="21"/>
        </w:rPr>
        <w:t xml:space="preserve">1.11 </w:t>
      </w:r>
      <w:r>
        <w:rPr>
          <w:rFonts w:hint="eastAsia" w:hAnsi="宋体" w:eastAsia="黑体"/>
          <w:color w:val="auto"/>
          <w:kern w:val="44"/>
          <w:szCs w:val="21"/>
        </w:rPr>
        <w:t>知识产权</w:t>
      </w:r>
      <w:bookmarkEnd w:id="124"/>
      <w:bookmarkEnd w:id="125"/>
      <w:bookmarkEnd w:id="126"/>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1.11.</w:t>
      </w:r>
      <w:bookmarkStart w:id="127" w:name="_Toc412544268"/>
      <w:bookmarkStart w:id="128" w:name="_Toc406360302"/>
      <w:bookmarkStart w:id="129" w:name="_Toc373743617"/>
      <w:r>
        <w:rPr>
          <w:rFonts w:hAnsi="宋体"/>
          <w:color w:val="auto"/>
          <w:szCs w:val="21"/>
        </w:rPr>
        <w:t>1</w:t>
      </w:r>
      <w:r>
        <w:rPr>
          <w:rFonts w:hint="eastAsia" w:hAnsi="宋体"/>
          <w:color w:val="auto"/>
          <w:szCs w:val="21"/>
        </w:rPr>
        <w:t>关于发包人提供给</w:t>
      </w:r>
      <w:bookmarkEnd w:id="127"/>
      <w:bookmarkEnd w:id="128"/>
      <w:bookmarkEnd w:id="129"/>
      <w:r>
        <w:rPr>
          <w:rFonts w:hint="eastAsia" w:hAnsi="宋体"/>
          <w:color w:val="auto"/>
          <w:szCs w:val="21"/>
        </w:rPr>
        <w:t>承包人的图纸、发包人为实施工程自行编制或委托编制的技术规范以及反映发包人关于合同要求或其他类似性质的文件的著作权的归属：</w:t>
      </w:r>
      <w:r>
        <w:rPr>
          <w:rFonts w:hint="eastAsia" w:hAnsi="宋体" w:cs="宋体"/>
          <w:color w:val="auto"/>
          <w:szCs w:val="21"/>
          <w:u w:val="single"/>
        </w:rPr>
        <w:t></w:t>
      </w:r>
      <w:r>
        <w:rPr>
          <w:rFonts w:hint="eastAsia" w:hAnsi="宋体"/>
          <w:color w:val="auto"/>
          <w:szCs w:val="21"/>
          <w:u w:val="single"/>
        </w:rPr>
        <w:t>发包人</w:t>
      </w:r>
      <w:r>
        <w:rPr>
          <w:rFonts w:hint="eastAsia" w:hAnsi="宋体"/>
          <w:color w:val="auto"/>
          <w:szCs w:val="21"/>
        </w:rPr>
        <w:t>。</w:t>
      </w:r>
    </w:p>
    <w:p>
      <w:pPr>
        <w:pageBreakBefore w:val="0"/>
        <w:kinsoku/>
        <w:wordWrap/>
        <w:overflowPunct/>
        <w:topLinePunct w:val="0"/>
        <w:bidi w:val="0"/>
        <w:spacing w:line="360" w:lineRule="auto"/>
        <w:ind w:left="596" w:leftChars="284"/>
        <w:textAlignment w:val="auto"/>
        <w:rPr>
          <w:color w:val="auto"/>
          <w:szCs w:val="21"/>
        </w:rPr>
      </w:pPr>
      <w:r>
        <w:rPr>
          <w:rFonts w:hint="eastAsia" w:hAnsi="宋体"/>
          <w:color w:val="auto"/>
          <w:szCs w:val="21"/>
        </w:rPr>
        <w:t>关于发包人提供的上述文件的使用限制的要求：</w:t>
      </w:r>
      <w:r>
        <w:rPr>
          <w:rFonts w:hint="eastAsia" w:hAnsi="宋体" w:cs="宋体"/>
          <w:color w:val="auto"/>
          <w:szCs w:val="21"/>
          <w:u w:val="single"/>
        </w:rPr>
        <w:t></w:t>
      </w:r>
      <w:r>
        <w:rPr>
          <w:rFonts w:hint="eastAsia" w:hAnsi="宋体"/>
          <w:color w:val="auto"/>
          <w:szCs w:val="21"/>
          <w:u w:val="single"/>
        </w:rPr>
        <w:t>按本合同通用条款执行</w:t>
      </w:r>
      <w:r>
        <w:rPr>
          <w:rFonts w:hint="eastAsia" w:hAnsi="宋体"/>
          <w:color w:val="auto"/>
          <w:szCs w:val="21"/>
        </w:rPr>
        <w:t>。</w:t>
      </w:r>
    </w:p>
    <w:p>
      <w:pPr>
        <w:pageBreakBefore w:val="0"/>
        <w:kinsoku/>
        <w:wordWrap/>
        <w:overflowPunct/>
        <w:topLinePunct w:val="0"/>
        <w:bidi w:val="0"/>
        <w:spacing w:line="360" w:lineRule="auto"/>
        <w:ind w:left="596" w:leftChars="284"/>
        <w:textAlignment w:val="auto"/>
        <w:rPr>
          <w:color w:val="auto"/>
          <w:szCs w:val="21"/>
        </w:rPr>
      </w:pPr>
      <w:r>
        <w:rPr>
          <w:rFonts w:hAnsi="宋体"/>
          <w:color w:val="auto"/>
          <w:szCs w:val="21"/>
        </w:rPr>
        <w:t xml:space="preserve">1.11.2 </w:t>
      </w:r>
      <w:r>
        <w:rPr>
          <w:rFonts w:hint="eastAsia" w:hAnsi="宋体"/>
          <w:color w:val="auto"/>
          <w:szCs w:val="21"/>
        </w:rPr>
        <w:t>关于承包人为实施工程所编制文件的著作权的归属：</w:t>
      </w:r>
      <w:r>
        <w:rPr>
          <w:rFonts w:hint="eastAsia" w:hAnsi="宋体"/>
          <w:color w:val="auto"/>
          <w:szCs w:val="21"/>
          <w:u w:val="single"/>
        </w:rPr>
        <w:t>发包人</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u w:val="single"/>
        </w:rPr>
      </w:pPr>
      <w:r>
        <w:rPr>
          <w:rFonts w:hint="eastAsia" w:hAnsi="宋体"/>
          <w:color w:val="auto"/>
          <w:szCs w:val="21"/>
        </w:rPr>
        <w:t>关于承包人提供的上述文件的使用限制的要求：</w:t>
      </w:r>
      <w:r>
        <w:rPr>
          <w:rFonts w:hint="eastAsia" w:hAnsi="宋体" w:cs="宋体"/>
          <w:color w:val="auto"/>
          <w:szCs w:val="21"/>
          <w:u w:val="single"/>
        </w:rPr>
        <w:t></w:t>
      </w:r>
      <w:r>
        <w:rPr>
          <w:rFonts w:hint="eastAsia" w:hAnsi="宋体"/>
          <w:color w:val="auto"/>
          <w:szCs w:val="21"/>
          <w:u w:val="single"/>
        </w:rPr>
        <w:t>按本合同通用条款执行</w:t>
      </w:r>
      <w:r>
        <w:rPr>
          <w:rFonts w:hint="eastAsia" w:hAnsi="宋体" w:cs="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1.11.4 </w:t>
      </w:r>
      <w:r>
        <w:rPr>
          <w:rFonts w:hint="eastAsia" w:hAnsi="宋体"/>
          <w:color w:val="auto"/>
          <w:szCs w:val="21"/>
        </w:rPr>
        <w:t>承包人在施工过程中所采用的专利、专有技术、技术秘密的使用费的承担方式：</w:t>
      </w:r>
      <w:r>
        <w:rPr>
          <w:rFonts w:hint="eastAsia" w:hAnsi="宋体" w:cs="宋体"/>
          <w:color w:val="auto"/>
          <w:szCs w:val="21"/>
          <w:u w:val="single"/>
        </w:rPr>
        <w:t></w:t>
      </w:r>
      <w:r>
        <w:rPr>
          <w:rFonts w:hint="eastAsia" w:hAnsi="宋体"/>
          <w:color w:val="auto"/>
          <w:szCs w:val="21"/>
          <w:u w:val="single"/>
        </w:rPr>
        <w:t>按本合同通用条款执行</w:t>
      </w:r>
      <w:r>
        <w:rPr>
          <w:rFonts w:hint="eastAsia" w:hAnsi="宋体" w:cs="宋体"/>
          <w:color w:val="auto"/>
          <w:szCs w:val="21"/>
          <w:u w:val="single"/>
        </w:rPr>
        <w:t></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130" w:name="_Toc11270"/>
      <w:bookmarkStart w:id="131" w:name="_Toc25539"/>
      <w:bookmarkStart w:id="132" w:name="_Toc8722"/>
      <w:r>
        <w:rPr>
          <w:rFonts w:hAnsi="宋体" w:eastAsia="黑体"/>
          <w:color w:val="auto"/>
          <w:kern w:val="44"/>
          <w:szCs w:val="21"/>
        </w:rPr>
        <w:t>1.13</w:t>
      </w:r>
      <w:r>
        <w:rPr>
          <w:rFonts w:hint="eastAsia" w:hAnsi="宋体" w:eastAsia="黑体"/>
          <w:color w:val="auto"/>
          <w:kern w:val="44"/>
          <w:szCs w:val="21"/>
        </w:rPr>
        <w:t>工程量清单错误的修正</w:t>
      </w:r>
      <w:bookmarkEnd w:id="130"/>
      <w:bookmarkEnd w:id="131"/>
      <w:bookmarkEnd w:id="132"/>
    </w:p>
    <w:p>
      <w:pPr>
        <w:pageBreakBefore w:val="0"/>
        <w:kinsoku/>
        <w:wordWrap/>
        <w:overflowPunct/>
        <w:topLinePunct w:val="0"/>
        <w:bidi w:val="0"/>
        <w:spacing w:line="360" w:lineRule="auto"/>
        <w:ind w:firstLine="420" w:firstLineChars="200"/>
        <w:textAlignment w:val="auto"/>
        <w:rPr>
          <w:color w:val="auto"/>
          <w:szCs w:val="21"/>
        </w:rPr>
      </w:pPr>
      <w:bookmarkStart w:id="133" w:name="_Toc406360303"/>
      <w:bookmarkStart w:id="134" w:name="_Toc412544269"/>
      <w:bookmarkStart w:id="135" w:name="_Toc373743618"/>
      <w:r>
        <w:rPr>
          <w:rFonts w:hint="eastAsia" w:hAnsi="宋体"/>
          <w:color w:val="auto"/>
          <w:szCs w:val="21"/>
        </w:rPr>
        <w:t>出现工程量清单错误时，是否调</w:t>
      </w:r>
      <w:bookmarkEnd w:id="133"/>
      <w:bookmarkEnd w:id="134"/>
      <w:bookmarkEnd w:id="135"/>
      <w:r>
        <w:rPr>
          <w:rFonts w:hint="eastAsia" w:hAnsi="宋体"/>
          <w:color w:val="auto"/>
          <w:szCs w:val="21"/>
        </w:rPr>
        <w:t>整合同价格：</w:t>
      </w:r>
      <w:r>
        <w:rPr>
          <w:rFonts w:hint="eastAsia" w:hAnsi="宋体"/>
          <w:color w:val="auto"/>
          <w:szCs w:val="21"/>
          <w:u w:val="single"/>
        </w:rPr>
        <w:t>　按专用条款</w:t>
      </w:r>
      <w:r>
        <w:rPr>
          <w:rFonts w:hAnsi="宋体"/>
          <w:color w:val="auto"/>
          <w:szCs w:val="21"/>
          <w:u w:val="single"/>
        </w:rPr>
        <w:t>12.1</w:t>
      </w:r>
      <w:r>
        <w:rPr>
          <w:rFonts w:hint="eastAsia" w:hAnsi="宋体"/>
          <w:color w:val="auto"/>
          <w:szCs w:val="21"/>
          <w:u w:val="single"/>
        </w:rPr>
        <w:t>执行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u w:val="single"/>
        </w:rPr>
      </w:pPr>
      <w:r>
        <w:rPr>
          <w:rFonts w:hint="eastAsia" w:hAnsi="宋体"/>
          <w:color w:val="auto"/>
          <w:szCs w:val="21"/>
        </w:rPr>
        <w:t>允许调整合同价格的工程量偏差范围：</w:t>
      </w:r>
      <w:r>
        <w:rPr>
          <w:rFonts w:hint="eastAsia" w:hAnsi="宋体" w:cs="宋体"/>
          <w:color w:val="auto"/>
          <w:szCs w:val="21"/>
          <w:u w:val="single"/>
        </w:rPr>
        <w:t></w:t>
      </w:r>
      <w:r>
        <w:rPr>
          <w:rFonts w:hint="eastAsia" w:hAnsi="宋体"/>
          <w:color w:val="auto"/>
          <w:szCs w:val="21"/>
          <w:u w:val="single"/>
        </w:rPr>
        <w:t>按专用条款</w:t>
      </w:r>
      <w:r>
        <w:rPr>
          <w:rFonts w:hAnsi="宋体"/>
          <w:color w:val="auto"/>
          <w:szCs w:val="21"/>
          <w:u w:val="single"/>
        </w:rPr>
        <w:t>12.1</w:t>
      </w:r>
      <w:r>
        <w:rPr>
          <w:rFonts w:hint="eastAsia" w:hAnsi="宋体"/>
          <w:color w:val="auto"/>
          <w:szCs w:val="21"/>
          <w:u w:val="single"/>
        </w:rPr>
        <w:t>执行</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136" w:name="_Toc19222"/>
      <w:bookmarkStart w:id="137" w:name="_Toc18512"/>
      <w:bookmarkStart w:id="138" w:name="_Toc12458"/>
      <w:r>
        <w:rPr>
          <w:rFonts w:hAnsi="宋体" w:eastAsia="黑体"/>
          <w:color w:val="auto"/>
          <w:kern w:val="44"/>
          <w:szCs w:val="21"/>
        </w:rPr>
        <w:t xml:space="preserve">2. </w:t>
      </w:r>
      <w:r>
        <w:rPr>
          <w:rFonts w:hint="eastAsia" w:hAnsi="宋体" w:eastAsia="黑体"/>
          <w:color w:val="auto"/>
          <w:kern w:val="44"/>
          <w:szCs w:val="21"/>
        </w:rPr>
        <w:t>发包人</w:t>
      </w:r>
      <w:bookmarkEnd w:id="136"/>
      <w:bookmarkEnd w:id="137"/>
      <w:bookmarkEnd w:id="138"/>
    </w:p>
    <w:p>
      <w:pPr>
        <w:keepNext/>
        <w:keepLines/>
        <w:pageBreakBefore w:val="0"/>
        <w:kinsoku/>
        <w:wordWrap/>
        <w:overflowPunct/>
        <w:topLinePunct w:val="0"/>
        <w:bidi w:val="0"/>
        <w:spacing w:line="360" w:lineRule="auto"/>
        <w:textAlignment w:val="auto"/>
        <w:outlineLvl w:val="0"/>
        <w:rPr>
          <w:color w:val="auto"/>
          <w:kern w:val="44"/>
          <w:szCs w:val="21"/>
        </w:rPr>
      </w:pPr>
      <w:bookmarkStart w:id="139" w:name="_Toc17493"/>
      <w:bookmarkStart w:id="140" w:name="_Toc2835"/>
      <w:bookmarkStart w:id="141" w:name="_Toc17853"/>
      <w:r>
        <w:rPr>
          <w:rFonts w:hAnsi="宋体" w:eastAsia="黑体"/>
          <w:color w:val="auto"/>
          <w:kern w:val="44"/>
          <w:szCs w:val="21"/>
        </w:rPr>
        <w:t xml:space="preserve">2.2 </w:t>
      </w:r>
      <w:r>
        <w:rPr>
          <w:rFonts w:hint="eastAsia" w:hAnsi="宋体" w:eastAsia="黑体"/>
          <w:color w:val="auto"/>
          <w:kern w:val="44"/>
          <w:szCs w:val="21"/>
        </w:rPr>
        <w:t>发包人代</w:t>
      </w:r>
      <w:bookmarkStart w:id="142" w:name="_Toc373743619"/>
      <w:bookmarkStart w:id="143" w:name="_Toc412544270"/>
      <w:bookmarkStart w:id="144" w:name="_Toc406360304"/>
      <w:r>
        <w:rPr>
          <w:rFonts w:hint="eastAsia" w:hAnsi="宋体" w:eastAsia="黑体"/>
          <w:color w:val="auto"/>
          <w:kern w:val="44"/>
          <w:szCs w:val="21"/>
        </w:rPr>
        <w:t>表</w:t>
      </w:r>
      <w:bookmarkEnd w:id="139"/>
      <w:bookmarkEnd w:id="140"/>
      <w:bookmarkEnd w:id="141"/>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发包人代</w:t>
      </w:r>
      <w:bookmarkEnd w:id="142"/>
      <w:bookmarkEnd w:id="143"/>
      <w:bookmarkEnd w:id="144"/>
      <w:r>
        <w:rPr>
          <w:rFonts w:hint="eastAsia" w:hAnsi="宋体"/>
          <w:color w:val="auto"/>
          <w:szCs w:val="21"/>
        </w:rPr>
        <w:t>表</w:t>
      </w:r>
      <w:bookmarkStart w:id="145" w:name="_Toc412544271"/>
      <w:bookmarkStart w:id="146" w:name="_Toc406360305"/>
      <w:bookmarkStart w:id="147" w:name="_Toc373743620"/>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姓名：</w:t>
      </w:r>
      <w:bookmarkEnd w:id="145"/>
      <w:bookmarkEnd w:id="146"/>
      <w:bookmarkEnd w:id="147"/>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职务：</w:t>
      </w:r>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u w:val="single"/>
        </w:rPr>
      </w:pPr>
      <w:r>
        <w:rPr>
          <w:rFonts w:hint="eastAsia" w:hAnsi="宋体"/>
          <w:color w:val="auto"/>
          <w:szCs w:val="21"/>
        </w:rPr>
        <w:t>发包人对发包人代表的授权范围如下：</w:t>
      </w:r>
      <w:r>
        <w:rPr>
          <w:rFonts w:hint="eastAsia" w:hAnsi="宋体" w:cs="宋体"/>
          <w:color w:val="auto"/>
          <w:szCs w:val="21"/>
          <w:u w:val="single"/>
        </w:rPr>
        <w:t>督促指导监理工程师行使职权，协调施工现场各方面的关系，协调工程质量、进度和安全文明施工中存在的问题，解决有关设计和技术签证，办理、签认现场经济技术签证，审核工程进度报表。</w:t>
      </w:r>
    </w:p>
    <w:p>
      <w:pPr>
        <w:keepNext/>
        <w:keepLines/>
        <w:pageBreakBefore w:val="0"/>
        <w:kinsoku/>
        <w:wordWrap/>
        <w:overflowPunct/>
        <w:topLinePunct w:val="0"/>
        <w:bidi w:val="0"/>
        <w:spacing w:line="360" w:lineRule="auto"/>
        <w:textAlignment w:val="auto"/>
        <w:outlineLvl w:val="0"/>
        <w:rPr>
          <w:color w:val="auto"/>
          <w:kern w:val="44"/>
          <w:szCs w:val="21"/>
        </w:rPr>
      </w:pPr>
      <w:bookmarkStart w:id="148" w:name="_Toc16237"/>
      <w:bookmarkStart w:id="149" w:name="_Toc14526"/>
      <w:bookmarkStart w:id="150" w:name="_Toc3240"/>
      <w:r>
        <w:rPr>
          <w:rFonts w:hAnsi="宋体" w:eastAsia="黑体"/>
          <w:color w:val="auto"/>
          <w:kern w:val="44"/>
          <w:szCs w:val="21"/>
        </w:rPr>
        <w:t xml:space="preserve">2.4 </w:t>
      </w:r>
      <w:r>
        <w:rPr>
          <w:rFonts w:hint="eastAsia" w:hAnsi="宋体" w:eastAsia="黑体"/>
          <w:color w:val="auto"/>
          <w:kern w:val="44"/>
          <w:szCs w:val="21"/>
        </w:rPr>
        <w:t>施工现场、施工条件和基</w:t>
      </w:r>
      <w:bookmarkStart w:id="151" w:name="_Toc406360306"/>
      <w:bookmarkStart w:id="152" w:name="_Toc412544272"/>
      <w:bookmarkStart w:id="153" w:name="_Toc373743621"/>
      <w:r>
        <w:rPr>
          <w:rFonts w:hint="eastAsia" w:hAnsi="宋体" w:eastAsia="黑体"/>
          <w:color w:val="auto"/>
          <w:kern w:val="44"/>
          <w:szCs w:val="21"/>
        </w:rPr>
        <w:t>础资料的提供</w:t>
      </w:r>
      <w:bookmarkEnd w:id="148"/>
      <w:bookmarkEnd w:id="149"/>
      <w:bookmarkEnd w:id="150"/>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2.4.1 </w:t>
      </w:r>
      <w:r>
        <w:rPr>
          <w:rFonts w:hint="eastAsia" w:hAnsi="宋体"/>
          <w:color w:val="auto"/>
          <w:szCs w:val="21"/>
        </w:rPr>
        <w:t>提供施工现场</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w:t>
      </w:r>
      <w:bookmarkEnd w:id="151"/>
      <w:bookmarkEnd w:id="152"/>
      <w:bookmarkEnd w:id="153"/>
      <w:r>
        <w:rPr>
          <w:rFonts w:hint="eastAsia" w:hAnsi="宋体"/>
          <w:color w:val="auto"/>
          <w:szCs w:val="21"/>
        </w:rPr>
        <w:t>于发包人移交施工现场的期限要求：</w:t>
      </w:r>
      <w:r>
        <w:rPr>
          <w:rFonts w:hint="eastAsia" w:hAnsi="宋体"/>
          <w:color w:val="auto"/>
          <w:szCs w:val="21"/>
          <w:u w:val="single"/>
        </w:rPr>
        <w:t>施工场地应当在监理人发出的开工通知中载明的开工日期前七天具备施工条件并移交给承包人，具体施工条件在按以下条款约定。发包人最迟应当在移交施工场地的同时向承包人提供施工场地内地下管线和地下设施等有关资料，并保证资料的真实、准确和完整。对于这些资料的判断、推论和决策后果完全由承包人承担</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2.4.2 </w:t>
      </w:r>
      <w:r>
        <w:rPr>
          <w:rFonts w:hint="eastAsia" w:hAnsi="宋体"/>
          <w:color w:val="auto"/>
          <w:szCs w:val="21"/>
        </w:rPr>
        <w:t>提供施工条件</w:t>
      </w:r>
    </w:p>
    <w:p>
      <w:pPr>
        <w:pageBreakBefore w:val="0"/>
        <w:kinsoku/>
        <w:wordWrap/>
        <w:overflowPunct/>
        <w:topLinePunct w:val="0"/>
        <w:bidi w:val="0"/>
        <w:spacing w:line="360" w:lineRule="auto"/>
        <w:ind w:firstLine="420" w:firstLineChars="200"/>
        <w:textAlignment w:val="auto"/>
        <w:rPr>
          <w:color w:val="auto"/>
          <w:szCs w:val="21"/>
          <w:u w:val="single"/>
        </w:rPr>
      </w:pPr>
      <w:r>
        <w:rPr>
          <w:rFonts w:hint="eastAsia" w:hAnsi="宋体"/>
          <w:color w:val="auto"/>
          <w:szCs w:val="21"/>
        </w:rPr>
        <w:t>关于发包人应负责提供施工所需要的条件，包括：</w:t>
      </w:r>
      <w:r>
        <w:rPr>
          <w:rFonts w:hint="eastAsia" w:hAnsi="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87" w:firstLineChars="232"/>
        <w:textAlignment w:val="auto"/>
        <w:rPr>
          <w:rFonts w:cs="宋体"/>
          <w:color w:val="auto"/>
          <w:szCs w:val="21"/>
          <w:u w:val="single"/>
        </w:rPr>
      </w:pPr>
      <w:r>
        <w:rPr>
          <w:rFonts w:hAnsi="宋体" w:cs="宋体"/>
          <w:color w:val="auto"/>
          <w:szCs w:val="21"/>
        </w:rPr>
        <w:t xml:space="preserve">* </w:t>
      </w:r>
      <w:r>
        <w:rPr>
          <w:rFonts w:hint="eastAsia" w:hAnsi="宋体" w:cs="宋体"/>
          <w:color w:val="auto"/>
          <w:szCs w:val="21"/>
        </w:rPr>
        <w:t>将施工所需的水、电、电讯线路接至施工场地的时间、地点和供应要求：建筑物沿边向外</w:t>
      </w:r>
      <w:r>
        <w:rPr>
          <w:rFonts w:hAnsi="宋体" w:cs="宋体"/>
          <w:color w:val="auto"/>
          <w:szCs w:val="21"/>
        </w:rPr>
        <w:t>500</w:t>
      </w:r>
      <w:r>
        <w:rPr>
          <w:rFonts w:hint="eastAsia" w:hAnsi="宋体" w:cs="宋体"/>
          <w:color w:val="auto"/>
          <w:szCs w:val="21"/>
        </w:rPr>
        <w:t>米以内道路、</w:t>
      </w:r>
      <w:r>
        <w:rPr>
          <w:rFonts w:hAnsi="宋体" w:cs="宋体"/>
          <w:color w:val="auto"/>
          <w:szCs w:val="21"/>
        </w:rPr>
        <w:t>1000</w:t>
      </w:r>
      <w:r>
        <w:rPr>
          <w:rFonts w:hint="eastAsia" w:hAnsi="宋体" w:cs="宋体"/>
          <w:color w:val="auto"/>
          <w:szCs w:val="21"/>
        </w:rPr>
        <w:t>米以内的水、电、管线等临时设施费用由投标人在其投标报价中考虑。超此范围以外的由招标人负责。</w:t>
      </w:r>
      <w:r>
        <w:rPr>
          <w:rFonts w:hint="eastAsia" w:hAnsi="宋体" w:cs="宋体"/>
          <w:color w:val="auto"/>
          <w:szCs w:val="21"/>
          <w:u w:val="single"/>
        </w:rPr>
        <w:t>若供电部门的原因造成停电，承包人必须自行解决施工用电，费用自理。</w:t>
      </w:r>
    </w:p>
    <w:p>
      <w:pPr>
        <w:pageBreakBefore w:val="0"/>
        <w:kinsoku/>
        <w:wordWrap/>
        <w:overflowPunct/>
        <w:topLinePunct w:val="0"/>
        <w:bidi w:val="0"/>
        <w:spacing w:line="360" w:lineRule="auto"/>
        <w:ind w:firstLine="487" w:firstLineChars="232"/>
        <w:textAlignment w:val="auto"/>
        <w:rPr>
          <w:rFonts w:hAnsi="宋体"/>
          <w:color w:val="auto"/>
          <w:szCs w:val="21"/>
          <w:u w:val="single"/>
        </w:rPr>
      </w:pPr>
      <w:r>
        <w:rPr>
          <w:rFonts w:hint="eastAsia" w:hAnsi="宋体"/>
          <w:color w:val="auto"/>
          <w:szCs w:val="21"/>
        </w:rPr>
        <w:t>施工场地与公共道路的通道开通时间和要求：</w:t>
      </w:r>
      <w:r>
        <w:rPr>
          <w:rFonts w:hint="eastAsia" w:hAnsi="宋体"/>
          <w:color w:val="auto"/>
          <w:szCs w:val="21"/>
          <w:u w:val="single"/>
        </w:rPr>
        <w:t>已开通。</w:t>
      </w:r>
    </w:p>
    <w:p>
      <w:pPr>
        <w:pageBreakBefore w:val="0"/>
        <w:kinsoku/>
        <w:wordWrap/>
        <w:overflowPunct/>
        <w:topLinePunct w:val="0"/>
        <w:bidi w:val="0"/>
        <w:spacing w:line="360" w:lineRule="auto"/>
        <w:ind w:firstLine="487" w:firstLineChars="232"/>
        <w:textAlignment w:val="auto"/>
        <w:rPr>
          <w:rFonts w:hAnsi="宋体"/>
          <w:color w:val="auto"/>
          <w:szCs w:val="21"/>
          <w:u w:val="single"/>
        </w:rPr>
      </w:pPr>
      <w:r>
        <w:rPr>
          <w:rFonts w:hAnsi="宋体"/>
          <w:color w:val="auto"/>
          <w:szCs w:val="21"/>
        </w:rPr>
        <w:t>*</w:t>
      </w:r>
      <w:r>
        <w:rPr>
          <w:rFonts w:hint="eastAsia" w:hAnsi="宋体"/>
          <w:color w:val="auto"/>
          <w:szCs w:val="21"/>
        </w:rPr>
        <w:t>工程地质和地下管线资料的提供</w:t>
      </w:r>
      <w:bookmarkStart w:id="154" w:name="_Toc251051694"/>
      <w:r>
        <w:rPr>
          <w:rFonts w:hint="eastAsia" w:hAnsi="宋体"/>
          <w:color w:val="auto"/>
          <w:szCs w:val="21"/>
        </w:rPr>
        <w:t>时间：</w:t>
      </w:r>
      <w:r>
        <w:rPr>
          <w:rFonts w:hint="eastAsia" w:hAnsi="宋体"/>
          <w:color w:val="auto"/>
          <w:szCs w:val="21"/>
          <w:u w:val="single"/>
        </w:rPr>
        <w:t>由发包人在开工前</w:t>
      </w:r>
      <w:r>
        <w:rPr>
          <w:rFonts w:hAnsi="宋体"/>
          <w:color w:val="auto"/>
          <w:szCs w:val="21"/>
          <w:u w:val="single"/>
        </w:rPr>
        <w:t>7</w:t>
      </w:r>
      <w:r>
        <w:rPr>
          <w:rFonts w:hint="eastAsia" w:hAnsi="宋体"/>
          <w:color w:val="auto"/>
          <w:szCs w:val="21"/>
          <w:u w:val="single"/>
        </w:rPr>
        <w:t>天提供。</w:t>
      </w:r>
    </w:p>
    <w:p>
      <w:pPr>
        <w:pageBreakBefore w:val="0"/>
        <w:kinsoku/>
        <w:wordWrap/>
        <w:overflowPunct/>
        <w:topLinePunct w:val="0"/>
        <w:bidi w:val="0"/>
        <w:spacing w:line="360" w:lineRule="auto"/>
        <w:ind w:firstLine="487" w:firstLineChars="232"/>
        <w:textAlignment w:val="auto"/>
        <w:rPr>
          <w:rFonts w:hAnsi="宋体"/>
          <w:color w:val="auto"/>
          <w:szCs w:val="21"/>
          <w:u w:val="single"/>
        </w:rPr>
      </w:pPr>
      <w:r>
        <w:rPr>
          <w:rFonts w:hint="eastAsia"/>
          <w:color w:val="auto"/>
          <w:szCs w:val="21"/>
        </w:rPr>
        <w:t>水</w:t>
      </w:r>
      <w:bookmarkEnd w:id="154"/>
      <w:r>
        <w:rPr>
          <w:rFonts w:hint="eastAsia"/>
          <w:color w:val="auto"/>
          <w:szCs w:val="21"/>
        </w:rPr>
        <w:t>准点与座标控制点交验要求：</w:t>
      </w:r>
      <w:bookmarkStart w:id="155" w:name="_Toc251051696"/>
      <w:r>
        <w:rPr>
          <w:rFonts w:hint="eastAsia"/>
          <w:color w:val="auto"/>
          <w:szCs w:val="21"/>
          <w:u w:val="single"/>
        </w:rPr>
        <w:t>于开工前</w:t>
      </w:r>
      <w:r>
        <w:rPr>
          <w:color w:val="auto"/>
          <w:szCs w:val="21"/>
          <w:u w:val="single"/>
        </w:rPr>
        <w:t>3</w:t>
      </w:r>
      <w:r>
        <w:rPr>
          <w:rFonts w:hint="eastAsia"/>
          <w:color w:val="auto"/>
          <w:szCs w:val="21"/>
          <w:u w:val="single"/>
        </w:rPr>
        <w:t>日内现场交验，双方做好签认工作</w:t>
      </w:r>
      <w:r>
        <w:rPr>
          <w:rFonts w:hint="eastAsia"/>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156" w:name="_Toc20662"/>
      <w:bookmarkStart w:id="157" w:name="_Toc30983"/>
      <w:bookmarkStart w:id="158" w:name="_Toc5406"/>
      <w:r>
        <w:rPr>
          <w:rFonts w:hAnsi="宋体" w:eastAsia="黑体"/>
          <w:color w:val="auto"/>
          <w:kern w:val="44"/>
          <w:szCs w:val="21"/>
        </w:rPr>
        <w:t xml:space="preserve">2.5 </w:t>
      </w:r>
      <w:r>
        <w:rPr>
          <w:rFonts w:hint="eastAsia" w:hAnsi="宋体" w:eastAsia="黑体"/>
          <w:color w:val="auto"/>
          <w:kern w:val="44"/>
          <w:szCs w:val="21"/>
        </w:rPr>
        <w:t>资金来源证明及支付</w:t>
      </w:r>
      <w:bookmarkEnd w:id="155"/>
      <w:r>
        <w:rPr>
          <w:rFonts w:hint="eastAsia" w:hAnsi="宋体" w:eastAsia="黑体"/>
          <w:color w:val="auto"/>
          <w:kern w:val="44"/>
          <w:szCs w:val="21"/>
        </w:rPr>
        <w:t>担保</w:t>
      </w:r>
      <w:bookmarkEnd w:id="156"/>
      <w:bookmarkEnd w:id="157"/>
      <w:bookmarkEnd w:id="158"/>
      <w:bookmarkStart w:id="159" w:name="_Toc373743622"/>
      <w:bookmarkStart w:id="160" w:name="_Toc406360307"/>
      <w:bookmarkStart w:id="161" w:name="_Toc412544273"/>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发包人提供资金来源证明的期限</w:t>
      </w:r>
      <w:bookmarkEnd w:id="159"/>
      <w:bookmarkEnd w:id="160"/>
      <w:bookmarkEnd w:id="161"/>
      <w:r>
        <w:rPr>
          <w:rFonts w:hint="eastAsia" w:hAnsi="宋体"/>
          <w:color w:val="auto"/>
          <w:szCs w:val="21"/>
        </w:rPr>
        <w:t>要求：</w:t>
      </w:r>
      <w:r>
        <w:rPr>
          <w:rFonts w:hint="eastAsia" w:hAnsi="宋体" w:cs="宋体"/>
          <w:color w:val="auto"/>
          <w:szCs w:val="21"/>
          <w:u w:val="single"/>
        </w:rPr>
        <w:t></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发包人是否提供支付担保：</w:t>
      </w:r>
      <w:r>
        <w:rPr>
          <w:rFonts w:hint="eastAsia" w:hAnsi="宋体" w:cs="宋体"/>
          <w:color w:val="auto"/>
          <w:szCs w:val="21"/>
          <w:u w:val="single"/>
        </w:rPr>
        <w:t></w:t>
      </w:r>
      <w:r>
        <w:rPr>
          <w:rFonts w:hint="eastAsia" w:hAnsi="宋体"/>
          <w:color w:val="auto"/>
          <w:szCs w:val="21"/>
          <w:u w:val="single"/>
        </w:rPr>
        <w:t>无</w:t>
      </w:r>
      <w:r>
        <w:rPr>
          <w:rFonts w:hint="eastAsia" w:hAnsi="宋体" w:cs="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u w:val="single"/>
        </w:rPr>
      </w:pPr>
      <w:r>
        <w:rPr>
          <w:rFonts w:hint="eastAsia" w:hAnsi="宋体"/>
          <w:color w:val="auto"/>
          <w:szCs w:val="21"/>
        </w:rPr>
        <w:t>发包人提供支付担保的形式：</w:t>
      </w:r>
      <w:r>
        <w:rPr>
          <w:rFonts w:hint="eastAsia" w:hAnsi="宋体" w:cs="宋体"/>
          <w:color w:val="auto"/>
          <w:szCs w:val="21"/>
          <w:u w:val="single"/>
        </w:rPr>
        <w:t></w:t>
      </w:r>
      <w:r>
        <w:rPr>
          <w:rFonts w:hint="eastAsia" w:hAnsi="宋体"/>
          <w:color w:val="auto"/>
          <w:szCs w:val="21"/>
          <w:u w:val="single"/>
        </w:rPr>
        <w:t>无</w:t>
      </w:r>
      <w:r>
        <w:rPr>
          <w:rFonts w:hint="eastAsia" w:hAnsi="宋体" w:cs="宋体"/>
          <w:color w:val="auto"/>
          <w:szCs w:val="21"/>
          <w:u w:val="single"/>
        </w:rPr>
        <w:t></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162" w:name="_Toc24296"/>
      <w:bookmarkStart w:id="163" w:name="_Toc3262"/>
      <w:bookmarkStart w:id="164" w:name="_Toc13432"/>
      <w:r>
        <w:rPr>
          <w:rFonts w:hAnsi="宋体" w:eastAsia="黑体"/>
          <w:color w:val="auto"/>
          <w:kern w:val="44"/>
          <w:szCs w:val="21"/>
        </w:rPr>
        <w:t xml:space="preserve">3. </w:t>
      </w:r>
      <w:r>
        <w:rPr>
          <w:rFonts w:hint="eastAsia" w:hAnsi="宋体" w:eastAsia="黑体"/>
          <w:color w:val="auto"/>
          <w:kern w:val="44"/>
          <w:szCs w:val="21"/>
        </w:rPr>
        <w:t>承包人</w:t>
      </w:r>
      <w:bookmarkEnd w:id="162"/>
      <w:bookmarkEnd w:id="163"/>
      <w:bookmarkEnd w:id="164"/>
    </w:p>
    <w:p>
      <w:pPr>
        <w:keepNext/>
        <w:keepLines/>
        <w:pageBreakBefore w:val="0"/>
        <w:kinsoku/>
        <w:wordWrap/>
        <w:overflowPunct/>
        <w:topLinePunct w:val="0"/>
        <w:bidi w:val="0"/>
        <w:spacing w:line="360" w:lineRule="auto"/>
        <w:textAlignment w:val="auto"/>
        <w:outlineLvl w:val="0"/>
        <w:rPr>
          <w:color w:val="auto"/>
          <w:kern w:val="44"/>
          <w:szCs w:val="21"/>
        </w:rPr>
      </w:pPr>
      <w:bookmarkStart w:id="165" w:name="_Toc2297"/>
      <w:bookmarkStart w:id="166" w:name="_Toc20722"/>
      <w:bookmarkStart w:id="167" w:name="_Toc29863"/>
      <w:r>
        <w:rPr>
          <w:rFonts w:hAnsi="宋体" w:eastAsia="黑体"/>
          <w:color w:val="auto"/>
          <w:kern w:val="44"/>
          <w:szCs w:val="21"/>
        </w:rPr>
        <w:t xml:space="preserve">3.1 </w:t>
      </w:r>
      <w:r>
        <w:rPr>
          <w:rFonts w:hint="eastAsia" w:hAnsi="宋体" w:eastAsia="黑体"/>
          <w:color w:val="auto"/>
          <w:kern w:val="44"/>
          <w:szCs w:val="21"/>
        </w:rPr>
        <w:t>承包人的</w:t>
      </w:r>
      <w:bookmarkStart w:id="168" w:name="_Toc412544274"/>
      <w:bookmarkStart w:id="169" w:name="_Toc406360308"/>
      <w:bookmarkStart w:id="170" w:name="_Toc373743623"/>
      <w:r>
        <w:rPr>
          <w:rFonts w:hint="eastAsia" w:hAnsi="宋体" w:eastAsia="黑体"/>
          <w:color w:val="auto"/>
          <w:kern w:val="44"/>
          <w:szCs w:val="21"/>
        </w:rPr>
        <w:t>一般义务</w:t>
      </w:r>
      <w:bookmarkEnd w:id="165"/>
      <w:bookmarkEnd w:id="166"/>
      <w:bookmarkEnd w:id="167"/>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w:t>
      </w:r>
      <w:bookmarkEnd w:id="168"/>
      <w:bookmarkEnd w:id="169"/>
      <w:bookmarkEnd w:id="170"/>
      <w:bookmarkStart w:id="171" w:name="_Toc373743624"/>
      <w:bookmarkStart w:id="172" w:name="_Toc406360309"/>
      <w:bookmarkStart w:id="173" w:name="_Toc412544275"/>
      <w:r>
        <w:rPr>
          <w:rFonts w:hint="eastAsia" w:hAnsi="宋体"/>
          <w:color w:val="auto"/>
          <w:szCs w:val="21"/>
          <w:lang w:val="en-US" w:eastAsia="zh-CN"/>
        </w:rPr>
        <w:t>9</w:t>
      </w:r>
      <w:r>
        <w:rPr>
          <w:rFonts w:hint="eastAsia" w:hAnsi="宋体"/>
          <w:color w:val="auto"/>
          <w:szCs w:val="21"/>
        </w:rPr>
        <w:t>）承包人提交的竣工资料的</w:t>
      </w:r>
      <w:bookmarkEnd w:id="171"/>
      <w:bookmarkEnd w:id="172"/>
      <w:bookmarkEnd w:id="173"/>
      <w:r>
        <w:rPr>
          <w:rFonts w:hint="eastAsia" w:hAnsi="宋体"/>
          <w:color w:val="auto"/>
          <w:szCs w:val="21"/>
        </w:rPr>
        <w:t>内容：</w:t>
      </w:r>
      <w:r>
        <w:rPr>
          <w:rFonts w:hint="eastAsia" w:hAnsi="宋体"/>
          <w:color w:val="auto"/>
          <w:szCs w:val="21"/>
          <w:u w:val="single"/>
        </w:rPr>
        <w:t>按照法律规定和合同约定编制的竣工资料，符合工程所在地建设行政主管部门和(或)城市建设档案管理机构有关施工资料的要求，并立卷及归档。</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承包人需要提交的竣工资料套数：</w:t>
      </w:r>
      <w:r>
        <w:rPr>
          <w:rFonts w:hint="eastAsia" w:hAnsi="宋体"/>
          <w:color w:val="auto"/>
          <w:szCs w:val="21"/>
          <w:u w:val="single"/>
          <w:lang w:val="en-US" w:eastAsia="zh-CN"/>
        </w:rPr>
        <w:t>肆</w:t>
      </w:r>
      <w:r>
        <w:rPr>
          <w:rFonts w:hint="eastAsia" w:hAnsi="宋体"/>
          <w:color w:val="auto"/>
          <w:szCs w:val="21"/>
          <w:u w:val="single"/>
        </w:rPr>
        <w:t>套</w:t>
      </w:r>
      <w:r>
        <w:rPr>
          <w:rFonts w:hint="eastAsia" w:hAnsi="宋体"/>
          <w:color w:val="auto"/>
          <w:szCs w:val="21"/>
        </w:rPr>
        <w:t>。</w:t>
      </w:r>
    </w:p>
    <w:p>
      <w:pPr>
        <w:pageBreakBefore w:val="0"/>
        <w:kinsoku/>
        <w:wordWrap/>
        <w:overflowPunct/>
        <w:topLinePunct w:val="0"/>
        <w:bidi w:val="0"/>
        <w:spacing w:line="360" w:lineRule="auto"/>
        <w:ind w:left="424" w:leftChars="202"/>
        <w:jc w:val="left"/>
        <w:textAlignment w:val="auto"/>
        <w:rPr>
          <w:color w:val="auto"/>
          <w:szCs w:val="21"/>
        </w:rPr>
      </w:pPr>
      <w:r>
        <w:rPr>
          <w:rFonts w:hint="eastAsia" w:hAnsi="宋体"/>
          <w:color w:val="auto"/>
          <w:szCs w:val="21"/>
        </w:rPr>
        <w:t>承包人提交的竣工资料的费用承担：</w:t>
      </w:r>
      <w:r>
        <w:rPr>
          <w:rFonts w:hint="eastAsia" w:hAnsi="宋体"/>
          <w:color w:val="auto"/>
          <w:szCs w:val="21"/>
          <w:u w:val="single"/>
        </w:rPr>
        <w:t>承包人</w:t>
      </w:r>
      <w:r>
        <w:rPr>
          <w:rFonts w:hint="eastAsia" w:hAnsi="宋体"/>
          <w:color w:val="auto"/>
          <w:szCs w:val="21"/>
          <w:u w:val="single"/>
          <w:lang w:val="en-US" w:eastAsia="zh-CN"/>
        </w:rPr>
        <w:t>自行</w:t>
      </w:r>
      <w:r>
        <w:rPr>
          <w:rFonts w:hint="eastAsia" w:hAnsi="宋体"/>
          <w:color w:val="auto"/>
          <w:szCs w:val="21"/>
          <w:u w:val="single"/>
        </w:rPr>
        <w:t>承担</w:t>
      </w:r>
      <w:r>
        <w:rPr>
          <w:rFonts w:hint="eastAsia" w:hAnsi="宋体"/>
          <w:color w:val="auto"/>
          <w:szCs w:val="21"/>
        </w:rPr>
        <w:t>。</w:t>
      </w:r>
    </w:p>
    <w:p>
      <w:pPr>
        <w:pageBreakBefore w:val="0"/>
        <w:kinsoku/>
        <w:wordWrap/>
        <w:overflowPunct/>
        <w:topLinePunct w:val="0"/>
        <w:bidi w:val="0"/>
        <w:spacing w:line="360" w:lineRule="auto"/>
        <w:ind w:left="424" w:leftChars="202"/>
        <w:jc w:val="left"/>
        <w:textAlignment w:val="auto"/>
        <w:rPr>
          <w:color w:val="auto"/>
          <w:szCs w:val="21"/>
        </w:rPr>
      </w:pPr>
      <w:r>
        <w:rPr>
          <w:rFonts w:hint="eastAsia" w:hAnsi="宋体"/>
          <w:color w:val="auto"/>
          <w:szCs w:val="21"/>
        </w:rPr>
        <w:t>承包人提交的竣工资料移交时间：</w:t>
      </w:r>
      <w:r>
        <w:rPr>
          <w:rFonts w:hint="eastAsia" w:hAnsi="宋体"/>
          <w:color w:val="auto"/>
          <w:szCs w:val="21"/>
          <w:u w:val="single"/>
          <w:lang w:val="en-US" w:eastAsia="zh-CN"/>
        </w:rPr>
        <w:t xml:space="preserve">工程正式竣工验收工作完成后 30 日历天内 </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承包人提交的竣工资料形式要求：</w:t>
      </w:r>
      <w:r>
        <w:rPr>
          <w:u w:val="single"/>
        </w:rPr>
        <w:t>纸质及电子文档，并装订成册</w:t>
      </w:r>
      <w:r>
        <w:rPr>
          <w:rFonts w:hint="eastAsia" w:hAnsi="宋体"/>
          <w:color w:val="auto"/>
          <w:szCs w:val="21"/>
        </w:rPr>
        <w:t>。</w:t>
      </w:r>
    </w:p>
    <w:p>
      <w:pPr>
        <w:pageBreakBefore w:val="0"/>
        <w:numPr>
          <w:ilvl w:val="0"/>
          <w:numId w:val="9"/>
        </w:numPr>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承包人应履行的其他义务：</w:t>
      </w:r>
    </w:p>
    <w:p>
      <w:pPr>
        <w:pageBreakBefore w:val="0"/>
        <w:kinsoku/>
        <w:wordWrap/>
        <w:overflowPunct/>
        <w:topLinePunct w:val="0"/>
        <w:bidi w:val="0"/>
        <w:spacing w:line="360" w:lineRule="auto"/>
        <w:ind w:firstLine="420" w:firstLineChars="200"/>
        <w:textAlignment w:val="auto"/>
      </w:pPr>
      <w:r>
        <w:rPr>
          <w:rFonts w:hint="eastAsia" w:hAnsi="宋体"/>
          <w:color w:val="auto"/>
          <w:szCs w:val="21"/>
        </w:rPr>
        <w:t>按照《中华人民共和国工会法》、《国务院关于进一步做好为农民工服务工作的意见》（国发〔2014〕40 号）、《中华全国总工会关于深入贯彻落实&lt;国务院关于进一步做好为农民工服务工作的意见&gt;的实施意见》（总工发〔2015〕14 号）有关要求，深入开展“农民工入会集中行动”。</w:t>
      </w:r>
    </w:p>
    <w:p>
      <w:pPr>
        <w:keepNext/>
        <w:keepLines/>
        <w:pageBreakBefore w:val="0"/>
        <w:kinsoku/>
        <w:wordWrap/>
        <w:overflowPunct/>
        <w:topLinePunct w:val="0"/>
        <w:bidi w:val="0"/>
        <w:spacing w:line="360" w:lineRule="auto"/>
        <w:textAlignment w:val="auto"/>
        <w:outlineLvl w:val="0"/>
        <w:rPr>
          <w:color w:val="auto"/>
          <w:kern w:val="44"/>
          <w:szCs w:val="21"/>
        </w:rPr>
      </w:pPr>
      <w:bookmarkStart w:id="174" w:name="_Toc2086"/>
      <w:bookmarkStart w:id="175" w:name="_Toc16388"/>
      <w:bookmarkStart w:id="176" w:name="_Toc17253"/>
      <w:r>
        <w:rPr>
          <w:rFonts w:hAnsi="宋体" w:eastAsia="黑体"/>
          <w:color w:val="auto"/>
          <w:kern w:val="44"/>
          <w:szCs w:val="21"/>
        </w:rPr>
        <w:t xml:space="preserve">3.2 </w:t>
      </w:r>
      <w:r>
        <w:rPr>
          <w:rFonts w:hint="eastAsia" w:hAnsi="宋体" w:eastAsia="黑体"/>
          <w:color w:val="auto"/>
          <w:kern w:val="44"/>
          <w:szCs w:val="21"/>
        </w:rPr>
        <w:t>项目经理</w:t>
      </w:r>
      <w:bookmarkEnd w:id="174"/>
      <w:bookmarkEnd w:id="175"/>
      <w:bookmarkEnd w:id="176"/>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3.2.1 </w:t>
      </w:r>
      <w:bookmarkStart w:id="177" w:name="_Toc412544276"/>
      <w:bookmarkStart w:id="178" w:name="_Toc373743625"/>
      <w:bookmarkStart w:id="179" w:name="_Toc406360310"/>
      <w:r>
        <w:rPr>
          <w:rFonts w:hint="eastAsia" w:hAnsi="宋体"/>
          <w:color w:val="auto"/>
          <w:szCs w:val="21"/>
        </w:rPr>
        <w:t>项目经理：</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姓</w:t>
      </w:r>
      <w:bookmarkEnd w:id="177"/>
      <w:bookmarkEnd w:id="178"/>
      <w:bookmarkEnd w:id="179"/>
      <w:r>
        <w:rPr>
          <w:rFonts w:hint="eastAsia" w:hAnsi="宋体"/>
          <w:color w:val="auto"/>
          <w:szCs w:val="21"/>
        </w:rPr>
        <w:t>名：</w:t>
      </w:r>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身份证号：</w:t>
      </w:r>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建造师执业资格等级：</w:t>
      </w:r>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建造师注册证书号：</w:t>
      </w:r>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建造师执业印章号：</w:t>
      </w:r>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安全生产考核合格证书号：</w:t>
      </w:r>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联系电话：</w:t>
      </w:r>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电子信箱：</w:t>
      </w:r>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通信地址：</w:t>
      </w:r>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承包人对项目经理的授权范围如下：</w:t>
      </w:r>
      <w:r>
        <w:rPr>
          <w:rFonts w:hint="eastAsia" w:hAnsi="宋体"/>
          <w:color w:val="auto"/>
          <w:szCs w:val="21"/>
          <w:u w:val="single"/>
        </w:rPr>
        <w:t>项目经理仅限于本工程的现场施工管理，但未经承包人盖章同意，不得以承包人名义向外采购材料设备、租用建筑周转材料、雇佣劳动力、签订分包合同等从事一切为承包人设立义务或责任的行为</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关于施工期间项目经理每月在施工现场的时间要求：</w:t>
      </w:r>
      <w:r>
        <w:rPr>
          <w:rFonts w:hint="eastAsia" w:hAnsi="宋体"/>
          <w:color w:val="auto"/>
          <w:szCs w:val="21"/>
          <w:u w:val="single"/>
        </w:rPr>
        <w:t>项目经理无正当理由不得请假，到施工现场的时间每月不少于</w:t>
      </w:r>
      <w:r>
        <w:rPr>
          <w:rFonts w:hAnsi="宋体"/>
          <w:color w:val="auto"/>
          <w:szCs w:val="21"/>
          <w:u w:val="single"/>
        </w:rPr>
        <w:t>25</w:t>
      </w:r>
      <w:r>
        <w:rPr>
          <w:rFonts w:hint="eastAsia" w:hAnsi="宋体"/>
          <w:color w:val="auto"/>
          <w:szCs w:val="21"/>
          <w:u w:val="single"/>
        </w:rPr>
        <w:t>天，每少到一天支付违约金1</w:t>
      </w:r>
      <w:r>
        <w:rPr>
          <w:rFonts w:hAnsi="宋体"/>
          <w:color w:val="auto"/>
          <w:szCs w:val="21"/>
          <w:u w:val="single"/>
        </w:rPr>
        <w:t>000</w:t>
      </w:r>
      <w:r>
        <w:rPr>
          <w:rFonts w:hint="eastAsia" w:hAnsi="宋体"/>
          <w:color w:val="auto"/>
          <w:szCs w:val="21"/>
          <w:u w:val="single"/>
        </w:rPr>
        <w:t>元，违约金须当月向甲方缴清，否则甲方有权延期支付当月工程进度款（由监理人员或甲方派驻代表确认项目经理到场天数）。项目经理无故连续七天不到的，甲方将本项目视为挂靠工程</w:t>
      </w:r>
      <w:r>
        <w:rPr>
          <w:color w:val="auto"/>
          <w:szCs w:val="21"/>
          <w:u w:val="single"/>
        </w:rPr>
        <w:t>,</w:t>
      </w:r>
      <w:r>
        <w:rPr>
          <w:rFonts w:hint="eastAsia" w:hAnsi="宋体"/>
          <w:color w:val="auto"/>
          <w:szCs w:val="21"/>
          <w:u w:val="single"/>
        </w:rPr>
        <w:t>有权解除合同并没收履约保证金</w:t>
      </w:r>
      <w:r>
        <w:rPr>
          <w:rFonts w:hint="eastAsia" w:hAnsi="宋体" w:cs="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承包人未提交劳动合同，以及没有为项目经理缴纳社会保险证明的违约责任：</w:t>
      </w:r>
      <w:r>
        <w:rPr>
          <w:rFonts w:hint="eastAsia" w:hAnsi="宋体" w:cs="宋体"/>
          <w:color w:val="auto"/>
          <w:szCs w:val="21"/>
          <w:u w:val="single"/>
        </w:rPr>
        <w:t>承包人向发包人交纳10</w:t>
      </w:r>
      <w:r>
        <w:rPr>
          <w:rFonts w:hAnsi="宋体" w:cs="宋体"/>
          <w:color w:val="auto"/>
          <w:szCs w:val="21"/>
          <w:u w:val="single"/>
        </w:rPr>
        <w:t>000</w:t>
      </w:r>
      <w:r>
        <w:rPr>
          <w:rFonts w:hint="eastAsia" w:hAnsi="宋体" w:cs="宋体"/>
          <w:color w:val="auto"/>
          <w:szCs w:val="21"/>
          <w:u w:val="single"/>
        </w:rPr>
        <w:t>元违约金，责令限期提交劳动合同并补缴社会保险</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u w:val="single"/>
        </w:rPr>
      </w:pPr>
      <w:r>
        <w:rPr>
          <w:rFonts w:hint="eastAsia" w:hAnsi="宋体"/>
          <w:color w:val="auto"/>
          <w:szCs w:val="21"/>
        </w:rPr>
        <w:t>项目经理未经批准，擅自离开施工现场的违约责任：</w:t>
      </w:r>
      <w:r>
        <w:rPr>
          <w:rFonts w:hint="eastAsia" w:hAnsi="宋体"/>
          <w:color w:val="auto"/>
          <w:szCs w:val="21"/>
          <w:u w:val="single"/>
        </w:rPr>
        <w:t>未经发包人同意，项目经理擅自离岗的，视为承包人违约，发包人有权处违约金5</w:t>
      </w:r>
      <w:r>
        <w:rPr>
          <w:rFonts w:hAnsi="宋体"/>
          <w:color w:val="auto"/>
          <w:szCs w:val="21"/>
          <w:u w:val="single"/>
        </w:rPr>
        <w:t>000</w:t>
      </w:r>
      <w:r>
        <w:rPr>
          <w:rFonts w:hint="eastAsia" w:hAnsi="宋体"/>
          <w:color w:val="auto"/>
          <w:szCs w:val="21"/>
          <w:u w:val="single"/>
        </w:rPr>
        <w:t>元</w:t>
      </w:r>
      <w:r>
        <w:rPr>
          <w:rFonts w:hAnsi="宋体"/>
          <w:color w:val="auto"/>
          <w:szCs w:val="21"/>
          <w:u w:val="single"/>
        </w:rPr>
        <w:t>/</w:t>
      </w:r>
      <w:r>
        <w:rPr>
          <w:rFonts w:hint="eastAsia" w:hAnsi="宋体"/>
          <w:color w:val="auto"/>
          <w:szCs w:val="21"/>
          <w:u w:val="single"/>
        </w:rPr>
        <w:t>人</w:t>
      </w:r>
      <w:r>
        <w:rPr>
          <w:color w:val="auto"/>
          <w:szCs w:val="21"/>
          <w:u w:val="single"/>
        </w:rPr>
        <w:t>•</w:t>
      </w:r>
      <w:r>
        <w:rPr>
          <w:rFonts w:hint="eastAsia" w:hAnsi="宋体"/>
          <w:color w:val="auto"/>
          <w:szCs w:val="21"/>
          <w:u w:val="single"/>
        </w:rPr>
        <w:t>次</w:t>
      </w:r>
      <w:r>
        <w:rPr>
          <w:rFonts w:hAnsi="宋体"/>
          <w:color w:val="auto"/>
          <w:szCs w:val="21"/>
          <w:u w:val="single"/>
        </w:rPr>
        <w:t>(</w:t>
      </w:r>
      <w:r>
        <w:rPr>
          <w:rFonts w:hint="eastAsia" w:hAnsi="宋体"/>
          <w:color w:val="auto"/>
          <w:szCs w:val="21"/>
          <w:u w:val="single"/>
        </w:rPr>
        <w:t>人民币</w:t>
      </w:r>
      <w:r>
        <w:rPr>
          <w:rFonts w:hAnsi="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u w:val="single"/>
        </w:rPr>
      </w:pPr>
      <w:r>
        <w:rPr>
          <w:rFonts w:hAnsi="宋体"/>
          <w:color w:val="auto"/>
          <w:szCs w:val="21"/>
        </w:rPr>
        <w:t xml:space="preserve">3.2.3 </w:t>
      </w:r>
      <w:r>
        <w:rPr>
          <w:rFonts w:hint="eastAsia" w:hAnsi="宋体"/>
          <w:color w:val="auto"/>
          <w:szCs w:val="21"/>
        </w:rPr>
        <w:t>承包人擅自更换项目经理的违约责任：</w:t>
      </w:r>
      <w:r>
        <w:rPr>
          <w:rFonts w:hint="eastAsia" w:hAnsi="宋体"/>
          <w:color w:val="auto"/>
          <w:szCs w:val="21"/>
          <w:u w:val="single"/>
        </w:rPr>
        <w:t>承包人项目经理必须与承包人投标时所承诺的人员一致，并在（开工日期）前到任。在监理人向承包人颁发（竣工证明材料名称）前，项目经理不得同时兼任其他任何项目的项目经理。未经发包人书面同意，承包人擅自更换项目经理的视为违约、处违约金2</w:t>
      </w:r>
      <w:r>
        <w:rPr>
          <w:rFonts w:hAnsi="宋体"/>
          <w:color w:val="auto"/>
          <w:szCs w:val="21"/>
          <w:u w:val="single"/>
        </w:rPr>
        <w:t>0000</w:t>
      </w:r>
      <w:r>
        <w:rPr>
          <w:rFonts w:hint="eastAsia" w:hAnsi="宋体"/>
          <w:color w:val="auto"/>
          <w:szCs w:val="21"/>
          <w:u w:val="single"/>
        </w:rPr>
        <w:t>元</w:t>
      </w:r>
      <w:r>
        <w:rPr>
          <w:rFonts w:hAnsi="宋体"/>
          <w:color w:val="auto"/>
          <w:szCs w:val="21"/>
          <w:u w:val="single"/>
        </w:rPr>
        <w:t>/</w:t>
      </w:r>
      <w:r>
        <w:rPr>
          <w:rFonts w:hint="eastAsia" w:hAnsi="宋体"/>
          <w:color w:val="auto"/>
          <w:szCs w:val="21"/>
          <w:u w:val="single"/>
        </w:rPr>
        <w:t>人</w:t>
      </w:r>
      <w:r>
        <w:rPr>
          <w:color w:val="auto"/>
          <w:szCs w:val="21"/>
          <w:u w:val="single"/>
        </w:rPr>
        <w:t>•</w:t>
      </w:r>
      <w:r>
        <w:rPr>
          <w:rFonts w:hint="eastAsia" w:hAnsi="宋体"/>
          <w:color w:val="auto"/>
          <w:szCs w:val="21"/>
          <w:u w:val="single"/>
        </w:rPr>
        <w:t>次</w:t>
      </w:r>
      <w:r>
        <w:rPr>
          <w:rFonts w:hAnsi="宋体"/>
          <w:color w:val="auto"/>
          <w:szCs w:val="21"/>
          <w:u w:val="single"/>
        </w:rPr>
        <w:t>(</w:t>
      </w:r>
      <w:r>
        <w:rPr>
          <w:rFonts w:hint="eastAsia" w:hAnsi="宋体"/>
          <w:color w:val="auto"/>
          <w:szCs w:val="21"/>
          <w:u w:val="single"/>
        </w:rPr>
        <w:t>人民币</w:t>
      </w:r>
      <w:r>
        <w:rPr>
          <w:rFonts w:hAnsi="宋体"/>
          <w:color w:val="auto"/>
          <w:szCs w:val="21"/>
          <w:u w:val="single"/>
        </w:rPr>
        <w:t>)</w:t>
      </w:r>
      <w:r>
        <w:rPr>
          <w:rFonts w:hint="eastAsia" w:hAnsi="宋体"/>
          <w:color w:val="auto"/>
          <w:szCs w:val="21"/>
          <w:u w:val="single"/>
        </w:rPr>
        <w:t>。</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3.2.4 </w:t>
      </w:r>
      <w:r>
        <w:rPr>
          <w:rFonts w:hint="eastAsia" w:hAnsi="宋体"/>
          <w:color w:val="auto"/>
          <w:szCs w:val="21"/>
        </w:rPr>
        <w:t>承包人无正当理由拒绝更换项目经理的违约责任：</w:t>
      </w:r>
      <w:r>
        <w:rPr>
          <w:rFonts w:hint="eastAsia" w:hAnsi="宋体"/>
          <w:color w:val="auto"/>
          <w:szCs w:val="21"/>
          <w:u w:val="single"/>
        </w:rPr>
        <w:t>承包人项目经理因不称职，发包人要求调换而未及时调换的，视为承包人违约，必须向发包人交纳处罚金20</w:t>
      </w:r>
      <w:r>
        <w:rPr>
          <w:rFonts w:hAnsi="宋体"/>
          <w:color w:val="auto"/>
          <w:szCs w:val="21"/>
          <w:u w:val="single"/>
        </w:rPr>
        <w:t>000</w:t>
      </w:r>
      <w:r>
        <w:rPr>
          <w:rFonts w:hint="eastAsia" w:hAnsi="宋体"/>
          <w:color w:val="auto"/>
          <w:szCs w:val="21"/>
          <w:u w:val="single"/>
        </w:rPr>
        <w:t>元</w:t>
      </w:r>
      <w:r>
        <w:rPr>
          <w:rFonts w:hAnsi="宋体"/>
          <w:color w:val="auto"/>
          <w:szCs w:val="21"/>
          <w:u w:val="single"/>
        </w:rPr>
        <w:t>/</w:t>
      </w:r>
      <w:r>
        <w:rPr>
          <w:rFonts w:hint="eastAsia" w:hAnsi="宋体"/>
          <w:color w:val="auto"/>
          <w:szCs w:val="21"/>
          <w:u w:val="single"/>
        </w:rPr>
        <w:t>人</w:t>
      </w:r>
      <w:r>
        <w:rPr>
          <w:color w:val="auto"/>
          <w:szCs w:val="21"/>
          <w:u w:val="single"/>
        </w:rPr>
        <w:t>•</w:t>
      </w:r>
      <w:r>
        <w:rPr>
          <w:rFonts w:hint="eastAsia" w:hAnsi="宋体"/>
          <w:color w:val="auto"/>
          <w:szCs w:val="21"/>
          <w:u w:val="single"/>
        </w:rPr>
        <w:t>次</w:t>
      </w:r>
      <w:r>
        <w:rPr>
          <w:rFonts w:hAnsi="宋体"/>
          <w:color w:val="auto"/>
          <w:szCs w:val="21"/>
          <w:u w:val="single"/>
        </w:rPr>
        <w:t>(</w:t>
      </w:r>
      <w:r>
        <w:rPr>
          <w:rFonts w:hint="eastAsia" w:hAnsi="宋体"/>
          <w:color w:val="auto"/>
          <w:szCs w:val="21"/>
          <w:u w:val="single"/>
        </w:rPr>
        <w:t>人民币</w:t>
      </w:r>
      <w:r>
        <w:rPr>
          <w:rFonts w:hAnsi="宋体"/>
          <w:color w:val="auto"/>
          <w:szCs w:val="21"/>
          <w:u w:val="single"/>
        </w:rPr>
        <w:t>)</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180" w:name="_Toc20736"/>
      <w:bookmarkStart w:id="181" w:name="_Toc20447"/>
      <w:bookmarkStart w:id="182" w:name="_Toc15736"/>
      <w:r>
        <w:rPr>
          <w:rFonts w:hAnsi="宋体" w:eastAsia="黑体"/>
          <w:color w:val="auto"/>
          <w:kern w:val="44"/>
          <w:szCs w:val="21"/>
        </w:rPr>
        <w:t xml:space="preserve">3.3 </w:t>
      </w:r>
      <w:r>
        <w:rPr>
          <w:rFonts w:hint="eastAsia" w:hAnsi="宋体" w:eastAsia="黑体"/>
          <w:color w:val="auto"/>
          <w:kern w:val="44"/>
          <w:szCs w:val="21"/>
        </w:rPr>
        <w:t>承包人人员</w:t>
      </w:r>
      <w:bookmarkEnd w:id="180"/>
      <w:bookmarkEnd w:id="181"/>
      <w:bookmarkEnd w:id="182"/>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3.3.1</w:t>
      </w:r>
      <w:bookmarkStart w:id="183" w:name="_Toc406360311"/>
      <w:bookmarkStart w:id="184" w:name="_Toc373743626"/>
      <w:bookmarkStart w:id="185" w:name="_Toc412544277"/>
      <w:r>
        <w:rPr>
          <w:rFonts w:hint="eastAsia" w:hAnsi="宋体"/>
          <w:color w:val="auto"/>
          <w:szCs w:val="21"/>
        </w:rPr>
        <w:t>承包人提交项目管</w:t>
      </w:r>
      <w:bookmarkEnd w:id="183"/>
      <w:bookmarkEnd w:id="184"/>
      <w:bookmarkEnd w:id="185"/>
      <w:r>
        <w:rPr>
          <w:rFonts w:hint="eastAsia" w:hAnsi="宋体"/>
          <w:color w:val="auto"/>
          <w:szCs w:val="21"/>
        </w:rPr>
        <w:t>理机构及施工现场管理人员安排报告的期限：</w:t>
      </w:r>
      <w:r>
        <w:rPr>
          <w:rFonts w:hint="eastAsia" w:hAnsi="宋体" w:cs="宋体"/>
          <w:color w:val="auto"/>
          <w:szCs w:val="21"/>
          <w:u w:val="single"/>
        </w:rPr>
        <w:t>开工前</w:t>
      </w:r>
      <w:r>
        <w:rPr>
          <w:rFonts w:hAnsi="宋体" w:cs="宋体"/>
          <w:color w:val="auto"/>
          <w:szCs w:val="21"/>
          <w:u w:val="single"/>
        </w:rPr>
        <w:t>7</w:t>
      </w:r>
      <w:r>
        <w:rPr>
          <w:rFonts w:hint="eastAsia" w:hAnsi="宋体" w:cs="宋体"/>
          <w:color w:val="auto"/>
          <w:szCs w:val="21"/>
          <w:u w:val="single"/>
        </w:rPr>
        <w:t>天</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3.3.3 </w:t>
      </w:r>
      <w:r>
        <w:rPr>
          <w:rFonts w:hint="eastAsia" w:hAnsi="宋体"/>
          <w:color w:val="auto"/>
          <w:szCs w:val="21"/>
        </w:rPr>
        <w:t>承包人无正当理由拒绝撤换主要施工管理人员的违约责任：</w:t>
      </w:r>
      <w:r>
        <w:rPr>
          <w:rFonts w:hint="eastAsia" w:hAnsi="宋体"/>
          <w:color w:val="auto"/>
          <w:szCs w:val="21"/>
          <w:u w:val="single"/>
        </w:rPr>
        <w:t>承包人主要施工管理人员因不称职，发包人要求调换而无正当理由拒绝撤换或未及时调换的，视为承包人违约，必须向发包人交纳处罚金，处罚标准：技术负责人</w:t>
      </w:r>
      <w:r>
        <w:rPr>
          <w:rFonts w:hAnsi="宋体"/>
          <w:color w:val="auto"/>
          <w:szCs w:val="21"/>
          <w:u w:val="single"/>
        </w:rPr>
        <w:t>10000</w:t>
      </w:r>
      <w:r>
        <w:rPr>
          <w:rFonts w:hint="eastAsia" w:hAnsi="宋体"/>
          <w:color w:val="auto"/>
          <w:szCs w:val="21"/>
          <w:u w:val="single"/>
        </w:rPr>
        <w:t>元</w:t>
      </w:r>
      <w:r>
        <w:rPr>
          <w:rFonts w:hAnsi="宋体"/>
          <w:color w:val="auto"/>
          <w:szCs w:val="21"/>
          <w:u w:val="single"/>
        </w:rPr>
        <w:t>/</w:t>
      </w:r>
      <w:r>
        <w:rPr>
          <w:rFonts w:hint="eastAsia" w:hAnsi="宋体"/>
          <w:color w:val="auto"/>
          <w:szCs w:val="21"/>
          <w:u w:val="single"/>
        </w:rPr>
        <w:t>人</w:t>
      </w:r>
      <w:r>
        <w:rPr>
          <w:color w:val="auto"/>
          <w:szCs w:val="21"/>
          <w:u w:val="single"/>
        </w:rPr>
        <w:t>•</w:t>
      </w:r>
      <w:r>
        <w:rPr>
          <w:rFonts w:hint="eastAsia" w:hAnsi="宋体"/>
          <w:color w:val="auto"/>
          <w:szCs w:val="21"/>
          <w:u w:val="single"/>
        </w:rPr>
        <w:t>次</w:t>
      </w:r>
      <w:r>
        <w:rPr>
          <w:rFonts w:hAnsi="宋体"/>
          <w:color w:val="auto"/>
          <w:szCs w:val="21"/>
          <w:u w:val="single"/>
        </w:rPr>
        <w:t>(</w:t>
      </w:r>
      <w:r>
        <w:rPr>
          <w:rFonts w:hint="eastAsia" w:hAnsi="宋体"/>
          <w:color w:val="auto"/>
          <w:szCs w:val="21"/>
          <w:u w:val="single"/>
        </w:rPr>
        <w:t>人民币</w:t>
      </w:r>
      <w:r>
        <w:rPr>
          <w:rFonts w:hAnsi="宋体"/>
          <w:color w:val="auto"/>
          <w:szCs w:val="21"/>
          <w:u w:val="single"/>
        </w:rPr>
        <w:t>)</w:t>
      </w:r>
      <w:r>
        <w:rPr>
          <w:rFonts w:hint="eastAsia" w:hAnsi="宋体"/>
          <w:color w:val="auto"/>
          <w:szCs w:val="21"/>
          <w:u w:val="single"/>
        </w:rPr>
        <w:t>；专业工程师</w:t>
      </w:r>
      <w:r>
        <w:rPr>
          <w:rFonts w:hAnsi="宋体"/>
          <w:color w:val="auto"/>
          <w:szCs w:val="21"/>
          <w:u w:val="single"/>
        </w:rPr>
        <w:t xml:space="preserve"> 5000</w:t>
      </w:r>
      <w:r>
        <w:rPr>
          <w:rFonts w:hint="eastAsia" w:hAnsi="宋体"/>
          <w:color w:val="auto"/>
          <w:szCs w:val="21"/>
          <w:u w:val="single"/>
        </w:rPr>
        <w:t>元</w:t>
      </w:r>
      <w:r>
        <w:rPr>
          <w:rFonts w:hAnsi="宋体"/>
          <w:color w:val="auto"/>
          <w:szCs w:val="21"/>
          <w:u w:val="single"/>
        </w:rPr>
        <w:t>/</w:t>
      </w:r>
      <w:r>
        <w:rPr>
          <w:rFonts w:hint="eastAsia" w:hAnsi="宋体"/>
          <w:color w:val="auto"/>
          <w:szCs w:val="21"/>
          <w:u w:val="single"/>
        </w:rPr>
        <w:t>人</w:t>
      </w:r>
      <w:r>
        <w:rPr>
          <w:color w:val="auto"/>
          <w:szCs w:val="21"/>
          <w:u w:val="single"/>
        </w:rPr>
        <w:t>•</w:t>
      </w:r>
      <w:r>
        <w:rPr>
          <w:rFonts w:hint="eastAsia" w:hAnsi="宋体"/>
          <w:color w:val="auto"/>
          <w:szCs w:val="21"/>
          <w:u w:val="single"/>
        </w:rPr>
        <w:t>次</w:t>
      </w:r>
      <w:r>
        <w:rPr>
          <w:rFonts w:hAnsi="宋体"/>
          <w:color w:val="auto"/>
          <w:szCs w:val="21"/>
          <w:u w:val="single"/>
        </w:rPr>
        <w:t>(</w:t>
      </w:r>
      <w:r>
        <w:rPr>
          <w:rFonts w:hint="eastAsia" w:hAnsi="宋体"/>
          <w:color w:val="auto"/>
          <w:szCs w:val="21"/>
          <w:u w:val="single"/>
        </w:rPr>
        <w:t>人民币</w:t>
      </w:r>
      <w:r>
        <w:rPr>
          <w:rFonts w:hAnsi="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u w:val="single"/>
        </w:rPr>
      </w:pPr>
      <w:r>
        <w:rPr>
          <w:rFonts w:hAnsi="宋体"/>
          <w:color w:val="auto"/>
          <w:szCs w:val="21"/>
        </w:rPr>
        <w:t xml:space="preserve">3.3.4 </w:t>
      </w:r>
      <w:r>
        <w:rPr>
          <w:rFonts w:hint="eastAsia" w:hAnsi="宋体"/>
          <w:color w:val="auto"/>
          <w:szCs w:val="21"/>
        </w:rPr>
        <w:t>施工期间承包人主要施工管理人员离开施工现场的批准要求：</w:t>
      </w:r>
      <w:r>
        <w:rPr>
          <w:rFonts w:hint="eastAsia" w:hAnsi="宋体" w:cs="宋体"/>
          <w:color w:val="auto"/>
          <w:szCs w:val="21"/>
          <w:u w:val="single"/>
        </w:rPr>
        <w:t>须经发包人或监理人书面同意</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3.3.5</w:t>
      </w:r>
      <w:r>
        <w:rPr>
          <w:rFonts w:hint="eastAsia" w:hAnsi="宋体"/>
          <w:color w:val="auto"/>
          <w:szCs w:val="21"/>
        </w:rPr>
        <w:t>承包人擅自更换主要施工管理人员的违约责任：</w:t>
      </w:r>
      <w:r>
        <w:rPr>
          <w:rFonts w:hint="eastAsia" w:hAnsi="宋体"/>
          <w:color w:val="auto"/>
          <w:szCs w:val="21"/>
          <w:u w:val="single"/>
        </w:rPr>
        <w:t>技术负责人、专业工程师未经发包人书面同意不准擅自更换，擅自更换技术负责人处</w:t>
      </w:r>
      <w:r>
        <w:rPr>
          <w:rFonts w:hAnsi="宋体"/>
          <w:color w:val="auto"/>
          <w:szCs w:val="21"/>
          <w:u w:val="single"/>
        </w:rPr>
        <w:t xml:space="preserve">  20000  </w:t>
      </w:r>
      <w:r>
        <w:rPr>
          <w:rFonts w:hint="eastAsia" w:hAnsi="宋体"/>
          <w:color w:val="auto"/>
          <w:szCs w:val="21"/>
          <w:u w:val="single"/>
        </w:rPr>
        <w:t>元</w:t>
      </w:r>
      <w:r>
        <w:rPr>
          <w:rFonts w:hAnsi="宋体"/>
          <w:color w:val="auto"/>
          <w:szCs w:val="21"/>
          <w:u w:val="single"/>
        </w:rPr>
        <w:t>/</w:t>
      </w:r>
      <w:r>
        <w:rPr>
          <w:rFonts w:hint="eastAsia" w:hAnsi="宋体"/>
          <w:color w:val="auto"/>
          <w:szCs w:val="21"/>
          <w:u w:val="single"/>
        </w:rPr>
        <w:t>人</w:t>
      </w:r>
      <w:r>
        <w:rPr>
          <w:color w:val="auto"/>
          <w:szCs w:val="21"/>
          <w:u w:val="single"/>
        </w:rPr>
        <w:t>•</w:t>
      </w:r>
      <w:r>
        <w:rPr>
          <w:rFonts w:hint="eastAsia" w:hAnsi="宋体"/>
          <w:color w:val="auto"/>
          <w:szCs w:val="21"/>
          <w:u w:val="single"/>
        </w:rPr>
        <w:t>次</w:t>
      </w:r>
      <w:r>
        <w:rPr>
          <w:rFonts w:hAnsi="宋体"/>
          <w:color w:val="auto"/>
          <w:szCs w:val="21"/>
          <w:u w:val="single"/>
        </w:rPr>
        <w:t>(</w:t>
      </w:r>
      <w:r>
        <w:rPr>
          <w:rFonts w:hint="eastAsia" w:hAnsi="宋体"/>
          <w:color w:val="auto"/>
          <w:szCs w:val="21"/>
          <w:u w:val="single"/>
        </w:rPr>
        <w:t>人民币</w:t>
      </w:r>
      <w:r>
        <w:rPr>
          <w:rFonts w:hAnsi="宋体"/>
          <w:color w:val="auto"/>
          <w:szCs w:val="21"/>
          <w:u w:val="single"/>
        </w:rPr>
        <w:t>)</w:t>
      </w:r>
      <w:r>
        <w:rPr>
          <w:rFonts w:hint="eastAsia" w:hAnsi="宋体"/>
          <w:color w:val="auto"/>
          <w:szCs w:val="21"/>
          <w:u w:val="single"/>
        </w:rPr>
        <w:t>违约金；擅自更换专业工程师处</w:t>
      </w:r>
      <w:r>
        <w:rPr>
          <w:rFonts w:hAnsi="宋体"/>
          <w:color w:val="auto"/>
          <w:szCs w:val="21"/>
          <w:u w:val="single"/>
        </w:rPr>
        <w:t xml:space="preserve">  10000  </w:t>
      </w:r>
      <w:r>
        <w:rPr>
          <w:rFonts w:hint="eastAsia" w:hAnsi="宋体"/>
          <w:color w:val="auto"/>
          <w:szCs w:val="21"/>
          <w:u w:val="single"/>
        </w:rPr>
        <w:t>元</w:t>
      </w:r>
      <w:r>
        <w:rPr>
          <w:rFonts w:hAnsi="宋体"/>
          <w:color w:val="auto"/>
          <w:szCs w:val="21"/>
          <w:u w:val="single"/>
        </w:rPr>
        <w:t>/</w:t>
      </w:r>
      <w:r>
        <w:rPr>
          <w:rFonts w:hint="eastAsia" w:hAnsi="宋体"/>
          <w:color w:val="auto"/>
          <w:szCs w:val="21"/>
          <w:u w:val="single"/>
        </w:rPr>
        <w:t>人</w:t>
      </w:r>
      <w:r>
        <w:rPr>
          <w:color w:val="auto"/>
          <w:szCs w:val="21"/>
          <w:u w:val="single"/>
        </w:rPr>
        <w:t>•</w:t>
      </w:r>
      <w:r>
        <w:rPr>
          <w:rFonts w:hint="eastAsia" w:hAnsi="宋体"/>
          <w:color w:val="auto"/>
          <w:szCs w:val="21"/>
          <w:u w:val="single"/>
        </w:rPr>
        <w:t>次</w:t>
      </w:r>
      <w:r>
        <w:rPr>
          <w:rFonts w:hAnsi="宋体"/>
          <w:color w:val="auto"/>
          <w:szCs w:val="21"/>
          <w:u w:val="single"/>
        </w:rPr>
        <w:t>(</w:t>
      </w:r>
      <w:r>
        <w:rPr>
          <w:rFonts w:hint="eastAsia" w:hAnsi="宋体"/>
          <w:color w:val="auto"/>
          <w:szCs w:val="21"/>
          <w:u w:val="single"/>
        </w:rPr>
        <w:t>人民币</w:t>
      </w:r>
      <w:r>
        <w:rPr>
          <w:rFonts w:hAnsi="宋体"/>
          <w:color w:val="auto"/>
          <w:szCs w:val="21"/>
          <w:u w:val="single"/>
        </w:rPr>
        <w:t>)</w:t>
      </w:r>
      <w:r>
        <w:rPr>
          <w:rFonts w:hint="eastAsia" w:hAnsi="宋体"/>
          <w:color w:val="auto"/>
          <w:szCs w:val="21"/>
          <w:u w:val="single"/>
        </w:rPr>
        <w:t>违约金</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施工期间承包人主要施工管理人员擅自离开施工现场的违约责任：</w:t>
      </w:r>
      <w:r>
        <w:rPr>
          <w:rFonts w:hint="eastAsia" w:hAnsi="宋体"/>
          <w:color w:val="auto"/>
          <w:szCs w:val="21"/>
          <w:u w:val="single"/>
        </w:rPr>
        <w:t>未经发包人同意，技术负责人擅自离岗的，视为承包人违约，发包人有权处违约金</w:t>
      </w:r>
      <w:r>
        <w:rPr>
          <w:rFonts w:hAnsi="宋体"/>
          <w:color w:val="auto"/>
          <w:szCs w:val="21"/>
          <w:u w:val="single"/>
        </w:rPr>
        <w:t xml:space="preserve">  2000  </w:t>
      </w:r>
      <w:r>
        <w:rPr>
          <w:rFonts w:hint="eastAsia" w:hAnsi="宋体"/>
          <w:color w:val="auto"/>
          <w:szCs w:val="21"/>
          <w:u w:val="single"/>
        </w:rPr>
        <w:t>元</w:t>
      </w:r>
      <w:r>
        <w:rPr>
          <w:rFonts w:hAnsi="宋体"/>
          <w:color w:val="auto"/>
          <w:szCs w:val="21"/>
          <w:u w:val="single"/>
        </w:rPr>
        <w:t>/</w:t>
      </w:r>
      <w:r>
        <w:rPr>
          <w:rFonts w:hint="eastAsia" w:hAnsi="宋体"/>
          <w:color w:val="auto"/>
          <w:szCs w:val="21"/>
          <w:u w:val="single"/>
        </w:rPr>
        <w:t>人</w:t>
      </w:r>
      <w:r>
        <w:rPr>
          <w:color w:val="auto"/>
          <w:szCs w:val="21"/>
          <w:u w:val="single"/>
        </w:rPr>
        <w:t>•</w:t>
      </w:r>
      <w:r>
        <w:rPr>
          <w:rFonts w:hint="eastAsia" w:hAnsi="宋体"/>
          <w:color w:val="auto"/>
          <w:szCs w:val="21"/>
          <w:u w:val="single"/>
        </w:rPr>
        <w:t>次</w:t>
      </w:r>
      <w:r>
        <w:rPr>
          <w:rFonts w:hAnsi="宋体"/>
          <w:color w:val="auto"/>
          <w:szCs w:val="21"/>
          <w:u w:val="single"/>
        </w:rPr>
        <w:t>(</w:t>
      </w:r>
      <w:r>
        <w:rPr>
          <w:rFonts w:hint="eastAsia" w:hAnsi="宋体"/>
          <w:color w:val="auto"/>
          <w:szCs w:val="21"/>
          <w:u w:val="single"/>
        </w:rPr>
        <w:t>人民币</w:t>
      </w:r>
      <w:r>
        <w:rPr>
          <w:rFonts w:hAnsi="宋体"/>
          <w:color w:val="auto"/>
          <w:szCs w:val="21"/>
          <w:u w:val="single"/>
        </w:rPr>
        <w:t>)</w:t>
      </w:r>
      <w:r>
        <w:rPr>
          <w:rFonts w:hint="eastAsia" w:hAnsi="宋体"/>
          <w:color w:val="auto"/>
          <w:szCs w:val="21"/>
          <w:u w:val="single"/>
        </w:rPr>
        <w:t>；未经发包人同意，专业工程师擅自离岗的，视为承包人违约，发包人有权处违约金</w:t>
      </w:r>
      <w:r>
        <w:rPr>
          <w:rFonts w:hAnsi="宋体"/>
          <w:color w:val="auto"/>
          <w:szCs w:val="21"/>
          <w:u w:val="single"/>
        </w:rPr>
        <w:t xml:space="preserve">  1000  </w:t>
      </w:r>
      <w:r>
        <w:rPr>
          <w:rFonts w:hint="eastAsia" w:hAnsi="宋体"/>
          <w:color w:val="auto"/>
          <w:szCs w:val="21"/>
          <w:u w:val="single"/>
        </w:rPr>
        <w:t>元</w:t>
      </w:r>
      <w:r>
        <w:rPr>
          <w:rFonts w:hAnsi="宋体"/>
          <w:color w:val="auto"/>
          <w:szCs w:val="21"/>
          <w:u w:val="single"/>
        </w:rPr>
        <w:t>/</w:t>
      </w:r>
      <w:r>
        <w:rPr>
          <w:rFonts w:hint="eastAsia" w:hAnsi="宋体"/>
          <w:color w:val="auto"/>
          <w:szCs w:val="21"/>
          <w:u w:val="single"/>
        </w:rPr>
        <w:t>人</w:t>
      </w:r>
      <w:r>
        <w:rPr>
          <w:color w:val="auto"/>
          <w:szCs w:val="21"/>
          <w:u w:val="single"/>
        </w:rPr>
        <w:t>•</w:t>
      </w:r>
      <w:r>
        <w:rPr>
          <w:rFonts w:hint="eastAsia" w:hAnsi="宋体"/>
          <w:color w:val="auto"/>
          <w:szCs w:val="21"/>
          <w:u w:val="single"/>
        </w:rPr>
        <w:t>次</w:t>
      </w:r>
      <w:r>
        <w:rPr>
          <w:rFonts w:hAnsi="宋体"/>
          <w:color w:val="auto"/>
          <w:szCs w:val="21"/>
          <w:u w:val="single"/>
        </w:rPr>
        <w:t>(</w:t>
      </w:r>
      <w:r>
        <w:rPr>
          <w:rFonts w:hint="eastAsia" w:hAnsi="宋体"/>
          <w:color w:val="auto"/>
          <w:szCs w:val="21"/>
          <w:u w:val="single"/>
        </w:rPr>
        <w:t>人民币</w:t>
      </w:r>
      <w:r>
        <w:rPr>
          <w:rFonts w:hAnsi="宋体"/>
          <w:color w:val="auto"/>
          <w:szCs w:val="21"/>
          <w:u w:val="single"/>
        </w:rPr>
        <w:t>)</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186" w:name="_Toc10172"/>
      <w:bookmarkStart w:id="187" w:name="_Toc28459"/>
      <w:bookmarkStart w:id="188" w:name="_Toc18791"/>
      <w:r>
        <w:rPr>
          <w:rFonts w:hAnsi="宋体" w:eastAsia="黑体"/>
          <w:color w:val="auto"/>
          <w:kern w:val="44"/>
          <w:szCs w:val="21"/>
        </w:rPr>
        <w:t xml:space="preserve">3.5 </w:t>
      </w:r>
      <w:r>
        <w:rPr>
          <w:rFonts w:hint="eastAsia" w:hAnsi="宋体" w:eastAsia="黑体"/>
          <w:color w:val="auto"/>
          <w:kern w:val="44"/>
          <w:szCs w:val="21"/>
        </w:rPr>
        <w:t>分包</w:t>
      </w:r>
      <w:bookmarkEnd w:id="186"/>
      <w:bookmarkEnd w:id="187"/>
      <w:bookmarkEnd w:id="188"/>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3.5.1 </w:t>
      </w:r>
      <w:r>
        <w:rPr>
          <w:rFonts w:hint="eastAsia" w:hAnsi="宋体"/>
          <w:color w:val="auto"/>
          <w:szCs w:val="21"/>
        </w:rPr>
        <w:t>分包</w:t>
      </w:r>
      <w:bookmarkStart w:id="189" w:name="_Toc412544278"/>
      <w:bookmarkStart w:id="190" w:name="_Toc373743627"/>
      <w:bookmarkStart w:id="191" w:name="_Toc406360312"/>
      <w:r>
        <w:rPr>
          <w:rFonts w:hint="eastAsia" w:hAnsi="宋体"/>
          <w:color w:val="auto"/>
          <w:szCs w:val="21"/>
        </w:rPr>
        <w:t>的一般约定</w:t>
      </w:r>
    </w:p>
    <w:bookmarkEnd w:id="189"/>
    <w:bookmarkEnd w:id="190"/>
    <w:bookmarkEnd w:id="191"/>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禁止分包的工程包括：</w:t>
      </w:r>
      <w:r>
        <w:rPr>
          <w:rFonts w:hint="eastAsia" w:hAnsi="宋体" w:cs="宋体"/>
          <w:color w:val="auto"/>
          <w:szCs w:val="21"/>
          <w:u w:val="single"/>
        </w:rPr>
        <w:t></w:t>
      </w:r>
      <w:r>
        <w:rPr>
          <w:rFonts w:hint="eastAsia" w:hAnsi="宋体"/>
          <w:color w:val="auto"/>
          <w:szCs w:val="21"/>
          <w:u w:val="single"/>
        </w:rPr>
        <w:t>本工程不允许分包</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主体结构、关键性工作的范围：</w:t>
      </w:r>
      <w:r>
        <w:rPr>
          <w:rFonts w:hint="eastAsia" w:hAnsi="宋体" w:cs="宋体"/>
          <w:color w:val="auto"/>
          <w:szCs w:val="21"/>
          <w:u w:val="single"/>
        </w:rPr>
        <w:t></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textAlignment w:val="auto"/>
        <w:rPr>
          <w:color w:val="auto"/>
          <w:szCs w:val="21"/>
        </w:rPr>
      </w:pPr>
      <w:r>
        <w:rPr>
          <w:rFonts w:hAnsi="宋体"/>
          <w:color w:val="auto"/>
          <w:szCs w:val="21"/>
        </w:rPr>
        <w:t xml:space="preserve">    3.5.2</w:t>
      </w:r>
      <w:r>
        <w:rPr>
          <w:rFonts w:hint="eastAsia" w:hAnsi="宋体"/>
          <w:color w:val="auto"/>
          <w:szCs w:val="21"/>
        </w:rPr>
        <w:t>分包的确定</w:t>
      </w:r>
    </w:p>
    <w:p>
      <w:pPr>
        <w:pageBreakBefore w:val="0"/>
        <w:kinsoku/>
        <w:wordWrap/>
        <w:overflowPunct/>
        <w:topLinePunct w:val="0"/>
        <w:bidi w:val="0"/>
        <w:spacing w:line="360" w:lineRule="auto"/>
        <w:ind w:firstLine="420" w:firstLineChars="200"/>
        <w:textAlignment w:val="auto"/>
        <w:rPr>
          <w:color w:val="auto"/>
          <w:szCs w:val="21"/>
          <w:u w:val="single"/>
        </w:rPr>
      </w:pPr>
      <w:r>
        <w:rPr>
          <w:rFonts w:hint="eastAsia" w:hAnsi="宋体"/>
          <w:color w:val="auto"/>
          <w:szCs w:val="21"/>
        </w:rPr>
        <w:t>允许分包的专业工程包括：</w:t>
      </w:r>
      <w:r>
        <w:rPr>
          <w:rFonts w:hint="eastAsia" w:hAnsi="宋体" w:cs="宋体"/>
          <w:color w:val="auto"/>
          <w:szCs w:val="21"/>
          <w:u w:val="single"/>
        </w:rPr>
        <w:t></w:t>
      </w:r>
      <w:r>
        <w:rPr>
          <w:rFonts w:hint="eastAsia" w:hAnsi="宋体"/>
          <w:color w:val="auto"/>
          <w:szCs w:val="21"/>
          <w:u w:val="single"/>
        </w:rPr>
        <w:t>无</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192" w:name="_Toc26236"/>
      <w:bookmarkStart w:id="193" w:name="_Toc9402"/>
      <w:bookmarkStart w:id="194" w:name="_Toc22939"/>
      <w:r>
        <w:rPr>
          <w:rFonts w:hAnsi="宋体" w:eastAsia="黑体"/>
          <w:color w:val="auto"/>
          <w:kern w:val="44"/>
          <w:szCs w:val="21"/>
        </w:rPr>
        <w:t xml:space="preserve">3.6 </w:t>
      </w:r>
      <w:r>
        <w:rPr>
          <w:rFonts w:hint="eastAsia" w:hAnsi="宋体" w:eastAsia="黑体"/>
          <w:color w:val="auto"/>
          <w:kern w:val="44"/>
          <w:szCs w:val="21"/>
        </w:rPr>
        <w:t>工程照管与成品、半成品</w:t>
      </w:r>
      <w:bookmarkStart w:id="195" w:name="_Toc406360313"/>
      <w:bookmarkStart w:id="196" w:name="_Toc412544279"/>
      <w:bookmarkStart w:id="197" w:name="_Toc373743628"/>
      <w:r>
        <w:rPr>
          <w:rFonts w:hint="eastAsia" w:hAnsi="宋体" w:eastAsia="黑体"/>
          <w:color w:val="auto"/>
          <w:kern w:val="44"/>
          <w:szCs w:val="21"/>
        </w:rPr>
        <w:t>保护</w:t>
      </w:r>
      <w:bookmarkEnd w:id="192"/>
      <w:bookmarkEnd w:id="193"/>
      <w:bookmarkEnd w:id="194"/>
    </w:p>
    <w:p>
      <w:pPr>
        <w:pageBreakBefore w:val="0"/>
        <w:kinsoku/>
        <w:wordWrap/>
        <w:overflowPunct/>
        <w:topLinePunct w:val="0"/>
        <w:bidi w:val="0"/>
        <w:spacing w:before="120" w:after="120" w:line="360" w:lineRule="auto"/>
        <w:ind w:firstLine="420" w:firstLineChars="200"/>
        <w:textAlignment w:val="auto"/>
        <w:rPr>
          <w:color w:val="auto"/>
          <w:szCs w:val="21"/>
          <w:u w:val="single"/>
        </w:rPr>
      </w:pPr>
      <w:r>
        <w:rPr>
          <w:rFonts w:hint="eastAsia" w:hAnsi="宋体"/>
          <w:color w:val="auto"/>
          <w:szCs w:val="21"/>
        </w:rPr>
        <w:t>承包人负责照管工程及工程相关</w:t>
      </w:r>
      <w:bookmarkEnd w:id="195"/>
      <w:bookmarkEnd w:id="196"/>
      <w:bookmarkEnd w:id="197"/>
      <w:r>
        <w:rPr>
          <w:rFonts w:hint="eastAsia" w:hAnsi="宋体"/>
          <w:color w:val="auto"/>
          <w:szCs w:val="21"/>
        </w:rPr>
        <w:t>的材料、工程设备的起始时间：</w:t>
      </w:r>
      <w:r>
        <w:rPr>
          <w:rFonts w:hint="eastAsia" w:hAnsi="宋体" w:cs="宋体"/>
          <w:color w:val="auto"/>
          <w:szCs w:val="21"/>
          <w:u w:val="single"/>
        </w:rPr>
        <w:t>　</w:t>
      </w:r>
      <w:r>
        <w:rPr>
          <w:rFonts w:hint="eastAsia" w:hAnsi="宋体"/>
          <w:color w:val="auto"/>
          <w:szCs w:val="21"/>
          <w:u w:val="single"/>
        </w:rPr>
        <w:t>从开工之日起至工程接收证书颁发前，由承包人负责照管和维护工作。工程接收证书颁发时尚有部分未竣工工程的，承包人还应负责竣工工程的照看和维护工作，直至竣工后移交给发包人为止</w:t>
      </w:r>
      <w:r>
        <w:rPr>
          <w:rFonts w:hint="eastAsia" w:hAnsi="宋体" w:cs="宋体"/>
          <w:color w:val="auto"/>
          <w:szCs w:val="21"/>
          <w:u w:val="single"/>
        </w:rPr>
        <w:t>　</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198" w:name="_Toc22209"/>
      <w:bookmarkStart w:id="199" w:name="_Toc12656"/>
      <w:bookmarkStart w:id="200" w:name="_Toc1014"/>
      <w:r>
        <w:rPr>
          <w:rFonts w:hAnsi="宋体" w:eastAsia="黑体"/>
          <w:color w:val="auto"/>
          <w:kern w:val="44"/>
          <w:szCs w:val="21"/>
        </w:rPr>
        <w:t xml:space="preserve">3.7 </w:t>
      </w:r>
      <w:r>
        <w:rPr>
          <w:rFonts w:hint="eastAsia" w:hAnsi="宋体" w:eastAsia="黑体"/>
          <w:color w:val="auto"/>
          <w:kern w:val="44"/>
          <w:szCs w:val="21"/>
        </w:rPr>
        <w:t>履约担保</w:t>
      </w:r>
      <w:bookmarkEnd w:id="198"/>
      <w:bookmarkEnd w:id="199"/>
      <w:bookmarkEnd w:id="200"/>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承包人是否提</w:t>
      </w:r>
      <w:bookmarkStart w:id="201" w:name="_Toc406360314"/>
      <w:bookmarkStart w:id="202" w:name="_Toc373743629"/>
      <w:bookmarkStart w:id="203" w:name="_Toc412544280"/>
      <w:r>
        <w:rPr>
          <w:rFonts w:hint="eastAsia" w:hAnsi="宋体"/>
          <w:color w:val="auto"/>
          <w:szCs w:val="21"/>
        </w:rPr>
        <w:t>供履约担保：</w:t>
      </w:r>
      <w:bookmarkEnd w:id="201"/>
      <w:bookmarkEnd w:id="202"/>
      <w:bookmarkEnd w:id="203"/>
      <w:r>
        <w:rPr>
          <w:rFonts w:hint="eastAsia" w:hAnsi="宋体"/>
          <w:color w:val="auto"/>
          <w:szCs w:val="21"/>
          <w:u w:val="single"/>
        </w:rPr>
        <w:t>无。</w:t>
      </w:r>
    </w:p>
    <w:p>
      <w:pPr>
        <w:pageBreakBefore w:val="0"/>
        <w:kinsoku/>
        <w:wordWrap/>
        <w:overflowPunct/>
        <w:topLinePunct w:val="0"/>
        <w:bidi w:val="0"/>
        <w:spacing w:line="360" w:lineRule="auto"/>
        <w:ind w:firstLine="420" w:firstLineChars="200"/>
        <w:textAlignment w:val="auto"/>
        <w:rPr>
          <w:rFonts w:hAnsi="宋体"/>
          <w:color w:val="auto"/>
          <w:szCs w:val="21"/>
        </w:rPr>
      </w:pPr>
      <w:r>
        <w:rPr>
          <w:rFonts w:hint="eastAsia" w:hAnsi="宋体"/>
          <w:color w:val="auto"/>
          <w:szCs w:val="21"/>
        </w:rPr>
        <w:t>承包人提供履约担保的形式、金额及期限的：</w:t>
      </w:r>
      <w:r>
        <w:rPr>
          <w:rFonts w:hint="eastAsia"/>
          <w:color w:val="auto"/>
          <w:szCs w:val="24"/>
          <w:u w:val="single"/>
        </w:rPr>
        <w:t>无</w:t>
      </w:r>
    </w:p>
    <w:p>
      <w:pPr>
        <w:keepNext/>
        <w:keepLines/>
        <w:pageBreakBefore w:val="0"/>
        <w:kinsoku/>
        <w:wordWrap/>
        <w:overflowPunct/>
        <w:topLinePunct w:val="0"/>
        <w:bidi w:val="0"/>
        <w:spacing w:line="360" w:lineRule="auto"/>
        <w:textAlignment w:val="auto"/>
        <w:outlineLvl w:val="0"/>
        <w:rPr>
          <w:color w:val="auto"/>
          <w:kern w:val="44"/>
          <w:szCs w:val="21"/>
        </w:rPr>
      </w:pPr>
      <w:bookmarkStart w:id="204" w:name="_Toc24175"/>
      <w:bookmarkStart w:id="205" w:name="_Toc3056"/>
      <w:bookmarkStart w:id="206" w:name="_Toc20731"/>
      <w:r>
        <w:rPr>
          <w:rFonts w:hAnsi="宋体" w:eastAsia="黑体"/>
          <w:color w:val="auto"/>
          <w:kern w:val="44"/>
          <w:szCs w:val="21"/>
        </w:rPr>
        <w:t xml:space="preserve">4. </w:t>
      </w:r>
      <w:r>
        <w:rPr>
          <w:rFonts w:hint="eastAsia" w:hAnsi="宋体" w:eastAsia="黑体"/>
          <w:color w:val="auto"/>
          <w:kern w:val="44"/>
          <w:szCs w:val="21"/>
        </w:rPr>
        <w:t>监理人</w:t>
      </w:r>
      <w:bookmarkEnd w:id="204"/>
      <w:bookmarkEnd w:id="205"/>
      <w:bookmarkEnd w:id="206"/>
    </w:p>
    <w:p>
      <w:pPr>
        <w:keepNext/>
        <w:keepLines/>
        <w:pageBreakBefore w:val="0"/>
        <w:kinsoku/>
        <w:wordWrap/>
        <w:overflowPunct/>
        <w:topLinePunct w:val="0"/>
        <w:bidi w:val="0"/>
        <w:spacing w:line="360" w:lineRule="auto"/>
        <w:textAlignment w:val="auto"/>
        <w:outlineLvl w:val="0"/>
        <w:rPr>
          <w:color w:val="auto"/>
          <w:kern w:val="44"/>
          <w:szCs w:val="21"/>
        </w:rPr>
      </w:pPr>
      <w:bookmarkStart w:id="207" w:name="_Toc13848"/>
      <w:bookmarkStart w:id="208" w:name="_Toc9338"/>
      <w:bookmarkStart w:id="209" w:name="_Toc22561"/>
      <w:r>
        <w:rPr>
          <w:rFonts w:hAnsi="宋体" w:eastAsia="黑体"/>
          <w:color w:val="auto"/>
          <w:kern w:val="44"/>
          <w:szCs w:val="21"/>
        </w:rPr>
        <w:t>4.1</w:t>
      </w:r>
      <w:r>
        <w:rPr>
          <w:rFonts w:hint="eastAsia" w:hAnsi="宋体" w:eastAsia="黑体"/>
          <w:color w:val="auto"/>
          <w:kern w:val="44"/>
          <w:szCs w:val="21"/>
        </w:rPr>
        <w:t>监理人的一</w:t>
      </w:r>
      <w:bookmarkStart w:id="210" w:name="_Toc373743630"/>
      <w:bookmarkStart w:id="211" w:name="_Toc412544281"/>
      <w:bookmarkStart w:id="212" w:name="_Toc406360315"/>
      <w:r>
        <w:rPr>
          <w:rFonts w:hint="eastAsia" w:hAnsi="宋体" w:eastAsia="黑体"/>
          <w:color w:val="auto"/>
          <w:kern w:val="44"/>
          <w:szCs w:val="21"/>
        </w:rPr>
        <w:t>般规定</w:t>
      </w:r>
      <w:bookmarkEnd w:id="207"/>
      <w:bookmarkEnd w:id="208"/>
      <w:bookmarkEnd w:id="209"/>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关于监理人的监理内容：</w:t>
      </w:r>
      <w:r>
        <w:rPr>
          <w:rFonts w:hint="eastAsia" w:hAnsi="宋体"/>
          <w:color w:val="auto"/>
          <w:szCs w:val="21"/>
          <w:u w:val="single"/>
        </w:rPr>
        <w:t>详见监理合同</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rFonts w:hAnsi="宋体"/>
          <w:color w:val="auto"/>
          <w:szCs w:val="21"/>
        </w:rPr>
      </w:pPr>
      <w:r>
        <w:rPr>
          <w:rFonts w:hint="eastAsia" w:hAnsi="宋体"/>
          <w:color w:val="auto"/>
          <w:szCs w:val="21"/>
        </w:rPr>
        <w:t>关于监理人的监理权限：</w:t>
      </w:r>
      <w:r>
        <w:rPr>
          <w:rFonts w:hint="eastAsia" w:hAnsi="宋体"/>
          <w:color w:val="auto"/>
          <w:szCs w:val="21"/>
          <w:u w:val="single"/>
        </w:rPr>
        <w:t>详见监理合同</w:t>
      </w:r>
      <w:r>
        <w:rPr>
          <w:rFonts w:hint="eastAsia" w:hAnsi="宋体"/>
          <w:color w:val="auto"/>
          <w:szCs w:val="21"/>
        </w:rPr>
        <w:t>。</w:t>
      </w:r>
    </w:p>
    <w:p>
      <w:pPr>
        <w:pageBreakBefore w:val="0"/>
        <w:kinsoku/>
        <w:wordWrap/>
        <w:overflowPunct/>
        <w:topLinePunct w:val="0"/>
        <w:bidi w:val="0"/>
        <w:spacing w:line="360" w:lineRule="auto"/>
        <w:textAlignment w:val="auto"/>
        <w:rPr>
          <w:color w:val="auto"/>
          <w:szCs w:val="21"/>
        </w:rPr>
      </w:pPr>
      <w:r>
        <w:rPr>
          <w:rFonts w:hint="eastAsia" w:hAnsi="宋体"/>
          <w:color w:val="auto"/>
          <w:szCs w:val="21"/>
        </w:rPr>
        <w:t>关于监理人在施工现场的办公场所、生活场所的提供和费用承担的约定：</w:t>
      </w:r>
      <w:r>
        <w:rPr>
          <w:rFonts w:hint="eastAsia" w:hAnsi="宋体"/>
          <w:color w:val="auto"/>
          <w:szCs w:val="21"/>
          <w:u w:val="single"/>
        </w:rPr>
        <w:t>由承包人提供并承担相关费用</w:t>
      </w:r>
      <w:bookmarkEnd w:id="210"/>
      <w:bookmarkEnd w:id="211"/>
      <w:bookmarkEnd w:id="212"/>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213" w:name="_Toc9450"/>
      <w:bookmarkStart w:id="214" w:name="_Toc24273"/>
      <w:bookmarkStart w:id="215" w:name="_Toc7265"/>
      <w:r>
        <w:rPr>
          <w:rFonts w:hAnsi="宋体" w:eastAsia="黑体"/>
          <w:color w:val="auto"/>
          <w:kern w:val="44"/>
          <w:szCs w:val="21"/>
        </w:rPr>
        <w:t xml:space="preserve">4.2 </w:t>
      </w:r>
      <w:r>
        <w:rPr>
          <w:rFonts w:hint="eastAsia" w:hAnsi="宋体" w:eastAsia="黑体"/>
          <w:color w:val="auto"/>
          <w:kern w:val="44"/>
          <w:szCs w:val="21"/>
        </w:rPr>
        <w:t>监理人员</w:t>
      </w:r>
      <w:bookmarkEnd w:id="213"/>
      <w:bookmarkEnd w:id="214"/>
      <w:bookmarkEnd w:id="215"/>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总监理工程师</w:t>
      </w:r>
      <w:bookmarkStart w:id="216" w:name="_Toc406360317"/>
      <w:bookmarkStart w:id="217" w:name="_Toc412544283"/>
      <w:bookmarkStart w:id="218" w:name="_Toc373743632"/>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姓名</w:t>
      </w:r>
      <w:bookmarkEnd w:id="216"/>
      <w:bookmarkEnd w:id="217"/>
      <w:bookmarkEnd w:id="218"/>
      <w:r>
        <w:rPr>
          <w:rFonts w:hint="eastAsia" w:hAnsi="宋体"/>
          <w:color w:val="auto"/>
          <w:szCs w:val="21"/>
        </w:rPr>
        <w:t>：</w:t>
      </w:r>
      <w:r>
        <w:rPr>
          <w:rFonts w:hint="eastAsia" w:hAnsi="宋体" w:cs="宋体"/>
          <w:color w:val="auto"/>
          <w:szCs w:val="21"/>
          <w:u w:val="single"/>
        </w:rPr>
        <w:t> </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职务：</w:t>
      </w:r>
      <w:r>
        <w:rPr>
          <w:rFonts w:hint="eastAsia" w:hAnsi="宋体" w:cs="宋体"/>
          <w:color w:val="auto"/>
          <w:szCs w:val="21"/>
          <w:u w:val="single"/>
        </w:rPr>
        <w:t>总监理工程师</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关于监理人的其他约定：</w:t>
      </w:r>
      <w:r>
        <w:rPr>
          <w:rFonts w:hint="eastAsia" w:hAnsi="宋体" w:cs="宋体"/>
          <w:color w:val="auto"/>
          <w:szCs w:val="21"/>
          <w:u w:val="single"/>
        </w:rPr>
        <w:t></w:t>
      </w:r>
      <w:r>
        <w:rPr>
          <w:rFonts w:hint="eastAsia" w:hAnsi="宋体"/>
          <w:color w:val="auto"/>
          <w:szCs w:val="21"/>
          <w:u w:val="single"/>
        </w:rPr>
        <w:t>详见监理合同</w:t>
      </w:r>
      <w:r>
        <w:rPr>
          <w:rFonts w:hint="eastAsia" w:hAnsi="宋体" w:cs="宋体"/>
          <w:color w:val="auto"/>
          <w:szCs w:val="21"/>
          <w:u w:val="single"/>
        </w:rPr>
        <w:t></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219" w:name="_Toc16092"/>
      <w:bookmarkStart w:id="220" w:name="_Toc20734"/>
      <w:bookmarkStart w:id="221" w:name="_Toc26301"/>
      <w:r>
        <w:rPr>
          <w:rFonts w:hAnsi="宋体" w:eastAsia="黑体"/>
          <w:color w:val="auto"/>
          <w:kern w:val="44"/>
          <w:szCs w:val="21"/>
        </w:rPr>
        <w:t xml:space="preserve">4.4 </w:t>
      </w:r>
      <w:r>
        <w:rPr>
          <w:rFonts w:hint="eastAsia" w:hAnsi="宋体" w:eastAsia="黑体"/>
          <w:color w:val="auto"/>
          <w:kern w:val="44"/>
          <w:szCs w:val="21"/>
        </w:rPr>
        <w:t>商定或确定</w:t>
      </w:r>
      <w:bookmarkEnd w:id="219"/>
      <w:bookmarkEnd w:id="220"/>
      <w:bookmarkEnd w:id="221"/>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在发包人和</w:t>
      </w:r>
      <w:bookmarkStart w:id="222" w:name="_Toc412544284"/>
      <w:bookmarkStart w:id="223" w:name="_Toc406360318"/>
      <w:bookmarkStart w:id="224" w:name="_Toc373743633"/>
      <w:r>
        <w:rPr>
          <w:rFonts w:hint="eastAsia" w:hAnsi="宋体"/>
          <w:color w:val="auto"/>
          <w:szCs w:val="21"/>
        </w:rPr>
        <w:t>承包人不能通过协商</w:t>
      </w:r>
      <w:bookmarkEnd w:id="222"/>
      <w:bookmarkEnd w:id="223"/>
      <w:bookmarkEnd w:id="224"/>
      <w:r>
        <w:rPr>
          <w:rFonts w:hint="eastAsia" w:hAnsi="宋体"/>
          <w:color w:val="auto"/>
          <w:szCs w:val="21"/>
        </w:rPr>
        <w:t>达成一致意见时，发包人授权监理人对以下事项进行确定：</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1</w:t>
      </w:r>
      <w:r>
        <w:rPr>
          <w:rFonts w:hint="eastAsia" w:hAnsi="宋体"/>
          <w:color w:val="auto"/>
          <w:szCs w:val="21"/>
        </w:rPr>
        <w:t>）</w:t>
      </w:r>
      <w:r>
        <w:rPr>
          <w:rFonts w:hint="eastAsia" w:hAnsi="宋体"/>
          <w:color w:val="auto"/>
          <w:szCs w:val="21"/>
          <w:u w:val="single"/>
        </w:rPr>
        <w:t>按本合同通用相关条款执行</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225" w:name="_Toc17342"/>
      <w:bookmarkStart w:id="226" w:name="_Toc21793"/>
      <w:bookmarkStart w:id="227" w:name="_Toc29426"/>
      <w:r>
        <w:rPr>
          <w:rFonts w:hAnsi="宋体" w:eastAsia="黑体"/>
          <w:color w:val="auto"/>
          <w:kern w:val="44"/>
          <w:szCs w:val="21"/>
        </w:rPr>
        <w:t xml:space="preserve">5. </w:t>
      </w:r>
      <w:r>
        <w:rPr>
          <w:rFonts w:hint="eastAsia" w:hAnsi="宋体" w:eastAsia="黑体"/>
          <w:color w:val="auto"/>
          <w:kern w:val="44"/>
          <w:szCs w:val="21"/>
        </w:rPr>
        <w:t>工程质量</w:t>
      </w:r>
      <w:bookmarkEnd w:id="225"/>
      <w:bookmarkEnd w:id="226"/>
      <w:bookmarkEnd w:id="227"/>
    </w:p>
    <w:p>
      <w:pPr>
        <w:keepNext/>
        <w:keepLines/>
        <w:pageBreakBefore w:val="0"/>
        <w:kinsoku/>
        <w:wordWrap/>
        <w:overflowPunct/>
        <w:topLinePunct w:val="0"/>
        <w:bidi w:val="0"/>
        <w:spacing w:line="360" w:lineRule="auto"/>
        <w:textAlignment w:val="auto"/>
        <w:outlineLvl w:val="0"/>
        <w:rPr>
          <w:color w:val="auto"/>
          <w:kern w:val="44"/>
          <w:szCs w:val="21"/>
        </w:rPr>
      </w:pPr>
      <w:bookmarkStart w:id="228" w:name="_Toc15272"/>
      <w:bookmarkStart w:id="229" w:name="_Toc5595"/>
      <w:bookmarkStart w:id="230" w:name="_Toc4656"/>
      <w:r>
        <w:rPr>
          <w:rFonts w:hAnsi="宋体" w:eastAsia="黑体"/>
          <w:color w:val="auto"/>
          <w:kern w:val="44"/>
          <w:szCs w:val="21"/>
        </w:rPr>
        <w:t xml:space="preserve">5.1 </w:t>
      </w:r>
      <w:r>
        <w:rPr>
          <w:rFonts w:hint="eastAsia" w:hAnsi="宋体" w:eastAsia="黑体"/>
          <w:color w:val="auto"/>
          <w:kern w:val="44"/>
          <w:szCs w:val="21"/>
        </w:rPr>
        <w:t>质量要</w:t>
      </w:r>
      <w:bookmarkStart w:id="231" w:name="_Toc373743634"/>
      <w:bookmarkStart w:id="232" w:name="_Toc412544285"/>
      <w:bookmarkStart w:id="233" w:name="_Toc406360319"/>
      <w:r>
        <w:rPr>
          <w:rFonts w:hint="eastAsia" w:hAnsi="宋体" w:eastAsia="黑体"/>
          <w:color w:val="auto"/>
          <w:kern w:val="44"/>
          <w:szCs w:val="21"/>
        </w:rPr>
        <w:t>求</w:t>
      </w:r>
      <w:bookmarkEnd w:id="228"/>
      <w:bookmarkEnd w:id="229"/>
      <w:bookmarkEnd w:id="230"/>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Ansi="宋体"/>
          <w:color w:val="auto"/>
          <w:szCs w:val="21"/>
        </w:rPr>
        <w:t>5.1.1</w:t>
      </w:r>
      <w:bookmarkEnd w:id="231"/>
      <w:bookmarkEnd w:id="232"/>
      <w:bookmarkEnd w:id="233"/>
      <w:bookmarkStart w:id="234" w:name="_Toc412544286"/>
      <w:bookmarkStart w:id="235" w:name="_Toc373743635"/>
      <w:bookmarkStart w:id="236" w:name="_Toc406360320"/>
      <w:r>
        <w:rPr>
          <w:rFonts w:hint="eastAsia" w:hAnsi="宋体"/>
          <w:color w:val="auto"/>
          <w:szCs w:val="21"/>
        </w:rPr>
        <w:t>特殊质量标准和要</w:t>
      </w:r>
      <w:bookmarkEnd w:id="234"/>
      <w:bookmarkEnd w:id="235"/>
      <w:bookmarkEnd w:id="236"/>
      <w:r>
        <w:rPr>
          <w:rFonts w:hint="eastAsia" w:hAnsi="宋体"/>
          <w:color w:val="auto"/>
          <w:szCs w:val="21"/>
        </w:rPr>
        <w:t>求：</w:t>
      </w:r>
      <w:r>
        <w:rPr>
          <w:rFonts w:hint="eastAsia" w:hAnsi="宋体"/>
          <w:color w:val="auto"/>
          <w:szCs w:val="21"/>
          <w:u w:val="single"/>
        </w:rPr>
        <w:t>特殊要求：严格执行广西住房和城乡自治区住建厅《关于严格实行房屋建筑和市政基础设施工程质量终身责任承诺、永久性质量责任标牌、终身责任信息档案等制度的通知》（桂建管【</w:t>
      </w:r>
      <w:r>
        <w:rPr>
          <w:rFonts w:hAnsi="宋体"/>
          <w:color w:val="auto"/>
          <w:szCs w:val="21"/>
          <w:u w:val="single"/>
        </w:rPr>
        <w:t>2014</w:t>
      </w:r>
      <w:r>
        <w:rPr>
          <w:rFonts w:hint="eastAsia" w:hAnsi="宋体"/>
          <w:color w:val="auto"/>
          <w:szCs w:val="21"/>
          <w:u w:val="single"/>
        </w:rPr>
        <w:t>】</w:t>
      </w:r>
      <w:r>
        <w:rPr>
          <w:rFonts w:hAnsi="宋体"/>
          <w:color w:val="auto"/>
          <w:szCs w:val="21"/>
          <w:u w:val="single"/>
        </w:rPr>
        <w:t>96</w:t>
      </w:r>
      <w:r>
        <w:rPr>
          <w:rFonts w:hint="eastAsia" w:hAnsi="宋体"/>
          <w:color w:val="auto"/>
          <w:szCs w:val="21"/>
          <w:u w:val="single"/>
        </w:rPr>
        <w:t>号）要求，落实建设工程质量终身责任</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关于工程奖项的约定：</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5.3 </w:t>
      </w:r>
      <w:r>
        <w:rPr>
          <w:rFonts w:hint="eastAsia" w:hAnsi="宋体"/>
          <w:color w:val="auto"/>
          <w:szCs w:val="21"/>
        </w:rPr>
        <w:t>隐蔽工程检查</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Ansi="宋体"/>
          <w:color w:val="auto"/>
          <w:szCs w:val="21"/>
        </w:rPr>
        <w:t>5.3.2</w:t>
      </w:r>
      <w:r>
        <w:rPr>
          <w:rFonts w:hint="eastAsia" w:hAnsi="宋体"/>
          <w:color w:val="auto"/>
          <w:szCs w:val="21"/>
        </w:rPr>
        <w:t>承包人提前通知监理人隐蔽工程检查的期限的约定：工程隐蔽或中间验收前</w:t>
      </w:r>
      <w:r>
        <w:rPr>
          <w:rFonts w:hAnsi="宋体"/>
          <w:color w:val="auto"/>
          <w:szCs w:val="21"/>
        </w:rPr>
        <w:t>12</w:t>
      </w:r>
      <w:r>
        <w:rPr>
          <w:rFonts w:hint="eastAsia" w:hAnsi="宋体"/>
          <w:color w:val="auto"/>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监理人不能按时进行检查时，应提前</w:t>
      </w:r>
      <w:r>
        <w:rPr>
          <w:rFonts w:hAnsi="宋体"/>
          <w:color w:val="auto"/>
          <w:szCs w:val="21"/>
          <w:u w:val="single"/>
        </w:rPr>
        <w:t xml:space="preserve">  24  </w:t>
      </w:r>
      <w:r>
        <w:rPr>
          <w:rFonts w:hint="eastAsia" w:hAnsi="宋体"/>
          <w:color w:val="auto"/>
          <w:szCs w:val="21"/>
        </w:rPr>
        <w:t>小时提交书面延期要求。</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关于延期最长不得超过：</w:t>
      </w:r>
      <w:r>
        <w:rPr>
          <w:rFonts w:hAnsi="宋体"/>
          <w:color w:val="auto"/>
          <w:szCs w:val="21"/>
          <w:u w:val="single"/>
        </w:rPr>
        <w:t xml:space="preserve">  </w:t>
      </w:r>
      <w:r>
        <w:rPr>
          <w:rFonts w:hint="eastAsia" w:hAnsi="宋体"/>
          <w:color w:val="auto"/>
          <w:szCs w:val="21"/>
          <w:u w:val="single"/>
          <w:lang w:val="en-US" w:eastAsia="zh-CN"/>
        </w:rPr>
        <w:t>48</w:t>
      </w:r>
      <w:r>
        <w:rPr>
          <w:rFonts w:hAnsi="宋体"/>
          <w:color w:val="auto"/>
          <w:szCs w:val="21"/>
          <w:u w:val="single"/>
        </w:rPr>
        <w:t xml:space="preserve">   </w:t>
      </w:r>
      <w:r>
        <w:rPr>
          <w:rFonts w:hint="eastAsia" w:hAnsi="宋体"/>
          <w:color w:val="auto"/>
          <w:szCs w:val="21"/>
        </w:rPr>
        <w:t>小时。</w:t>
      </w:r>
    </w:p>
    <w:p>
      <w:pPr>
        <w:keepNext/>
        <w:keepLines/>
        <w:pageBreakBefore w:val="0"/>
        <w:kinsoku/>
        <w:wordWrap/>
        <w:overflowPunct/>
        <w:topLinePunct w:val="0"/>
        <w:bidi w:val="0"/>
        <w:spacing w:line="360" w:lineRule="auto"/>
        <w:textAlignment w:val="auto"/>
        <w:outlineLvl w:val="0"/>
        <w:rPr>
          <w:color w:val="auto"/>
          <w:kern w:val="44"/>
          <w:szCs w:val="21"/>
        </w:rPr>
      </w:pPr>
      <w:bookmarkStart w:id="237" w:name="_Toc12865"/>
      <w:bookmarkStart w:id="238" w:name="_Toc7582"/>
      <w:bookmarkStart w:id="239" w:name="_Toc24784"/>
      <w:r>
        <w:rPr>
          <w:rFonts w:hAnsi="宋体" w:eastAsia="黑体"/>
          <w:color w:val="auto"/>
          <w:kern w:val="44"/>
          <w:szCs w:val="21"/>
        </w:rPr>
        <w:t xml:space="preserve">6. </w:t>
      </w:r>
      <w:r>
        <w:rPr>
          <w:rFonts w:hint="eastAsia" w:hAnsi="宋体" w:eastAsia="黑体"/>
          <w:color w:val="auto"/>
          <w:kern w:val="44"/>
          <w:szCs w:val="21"/>
        </w:rPr>
        <w:t>安全文明施工与环境保护</w:t>
      </w:r>
      <w:bookmarkEnd w:id="237"/>
      <w:bookmarkEnd w:id="238"/>
      <w:bookmarkEnd w:id="239"/>
    </w:p>
    <w:p>
      <w:pPr>
        <w:keepNext/>
        <w:keepLines/>
        <w:pageBreakBefore w:val="0"/>
        <w:kinsoku/>
        <w:wordWrap/>
        <w:overflowPunct/>
        <w:topLinePunct w:val="0"/>
        <w:bidi w:val="0"/>
        <w:spacing w:line="360" w:lineRule="auto"/>
        <w:textAlignment w:val="auto"/>
        <w:outlineLvl w:val="0"/>
        <w:rPr>
          <w:color w:val="auto"/>
          <w:kern w:val="44"/>
          <w:szCs w:val="21"/>
        </w:rPr>
      </w:pPr>
      <w:bookmarkStart w:id="240" w:name="_Toc11274"/>
      <w:bookmarkStart w:id="241" w:name="_Toc20816"/>
      <w:bookmarkStart w:id="242" w:name="_Toc15492"/>
      <w:bookmarkStart w:id="243" w:name="_Toc412544287"/>
      <w:bookmarkStart w:id="244" w:name="_Toc373743636"/>
      <w:bookmarkStart w:id="245" w:name="_Toc406360321"/>
      <w:r>
        <w:rPr>
          <w:rFonts w:hAnsi="宋体" w:eastAsia="黑体"/>
          <w:color w:val="auto"/>
          <w:kern w:val="44"/>
          <w:szCs w:val="21"/>
        </w:rPr>
        <w:t>6.1</w:t>
      </w:r>
      <w:r>
        <w:rPr>
          <w:rFonts w:hint="eastAsia" w:hAnsi="宋体" w:eastAsia="黑体"/>
          <w:color w:val="auto"/>
          <w:kern w:val="44"/>
          <w:szCs w:val="21"/>
        </w:rPr>
        <w:t>安全文明施工</w:t>
      </w:r>
      <w:bookmarkEnd w:id="240"/>
      <w:bookmarkEnd w:id="241"/>
      <w:bookmarkEnd w:id="242"/>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Ansi="宋体"/>
          <w:color w:val="auto"/>
          <w:szCs w:val="21"/>
        </w:rPr>
        <w:t>6.1.</w:t>
      </w:r>
      <w:bookmarkEnd w:id="243"/>
      <w:bookmarkEnd w:id="244"/>
      <w:bookmarkEnd w:id="245"/>
      <w:r>
        <w:rPr>
          <w:rFonts w:hAnsi="宋体"/>
          <w:color w:val="auto"/>
          <w:szCs w:val="21"/>
        </w:rPr>
        <w:t>1</w:t>
      </w:r>
      <w:bookmarkStart w:id="246" w:name="_Toc412544288"/>
      <w:bookmarkStart w:id="247" w:name="_Toc373743637"/>
      <w:bookmarkStart w:id="248" w:name="_Toc406360322"/>
      <w:r>
        <w:rPr>
          <w:rFonts w:hint="eastAsia" w:hAnsi="宋体"/>
          <w:color w:val="auto"/>
          <w:szCs w:val="21"/>
        </w:rPr>
        <w:t>项目安全生产的达</w:t>
      </w:r>
      <w:bookmarkEnd w:id="246"/>
      <w:bookmarkEnd w:id="247"/>
      <w:bookmarkEnd w:id="248"/>
      <w:r>
        <w:rPr>
          <w:rFonts w:hint="eastAsia" w:hAnsi="宋体"/>
          <w:color w:val="auto"/>
          <w:szCs w:val="21"/>
        </w:rPr>
        <w:t>标目标及相应事项的约定：</w:t>
      </w:r>
      <w:r>
        <w:rPr>
          <w:rFonts w:hint="eastAsia" w:hAnsi="宋体"/>
          <w:color w:val="auto"/>
          <w:szCs w:val="21"/>
          <w:u w:val="single"/>
        </w:rPr>
        <w:t>　按现行标准规范和当地建设主管部门有关规定执行　</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Ansi="宋体"/>
          <w:color w:val="auto"/>
          <w:szCs w:val="21"/>
        </w:rPr>
        <w:t xml:space="preserve">6.1.4 </w:t>
      </w:r>
      <w:r>
        <w:rPr>
          <w:rFonts w:hint="eastAsia" w:hAnsi="宋体"/>
          <w:color w:val="auto"/>
          <w:szCs w:val="21"/>
        </w:rPr>
        <w:t>关于治安保卫的特别约定：</w:t>
      </w:r>
      <w:r>
        <w:rPr>
          <w:rFonts w:hint="eastAsia" w:hAnsi="宋体"/>
          <w:color w:val="auto"/>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关于编制施工场地治安管理计划的约定：</w:t>
      </w:r>
      <w:r>
        <w:rPr>
          <w:rFonts w:hint="eastAsia" w:hAnsi="宋体"/>
          <w:color w:val="auto"/>
          <w:szCs w:val="21"/>
          <w:u w:val="single"/>
        </w:rPr>
        <w:t>承包人编制报发包人审批</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6.1.5 </w:t>
      </w:r>
      <w:r>
        <w:rPr>
          <w:rFonts w:hint="eastAsia" w:hAnsi="宋体"/>
          <w:color w:val="auto"/>
          <w:szCs w:val="21"/>
        </w:rPr>
        <w:t>文明施工</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合同当事人对文明施工的要求：</w:t>
      </w:r>
      <w:r>
        <w:rPr>
          <w:rFonts w:hint="eastAsia" w:hAnsi="宋体"/>
          <w:color w:val="auto"/>
          <w:szCs w:val="21"/>
          <w:u w:val="single"/>
        </w:rPr>
        <w:t>按相关规定及要求执行。</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Ansi="宋体"/>
          <w:color w:val="auto"/>
          <w:szCs w:val="21"/>
        </w:rPr>
        <w:t xml:space="preserve">6.1.6 </w:t>
      </w:r>
      <w:r>
        <w:rPr>
          <w:rFonts w:hint="eastAsia" w:hAnsi="宋体"/>
          <w:color w:val="auto"/>
          <w:szCs w:val="21"/>
        </w:rPr>
        <w:t>关于安全文明施工费支付比例和支付期限的约定：</w:t>
      </w:r>
      <w:r>
        <w:rPr>
          <w:rFonts w:hint="eastAsia" w:hAnsi="宋体"/>
          <w:color w:val="auto"/>
          <w:szCs w:val="21"/>
          <w:u w:val="single"/>
        </w:rPr>
        <w:t>按相关规定及要求执行。</w:t>
      </w:r>
    </w:p>
    <w:p>
      <w:pPr>
        <w:keepNext/>
        <w:keepLines/>
        <w:pageBreakBefore w:val="0"/>
        <w:kinsoku/>
        <w:wordWrap/>
        <w:overflowPunct/>
        <w:topLinePunct w:val="0"/>
        <w:bidi w:val="0"/>
        <w:spacing w:line="360" w:lineRule="auto"/>
        <w:textAlignment w:val="auto"/>
        <w:outlineLvl w:val="0"/>
        <w:rPr>
          <w:color w:val="auto"/>
          <w:kern w:val="44"/>
          <w:szCs w:val="21"/>
        </w:rPr>
      </w:pPr>
      <w:bookmarkStart w:id="249" w:name="_Toc1636"/>
      <w:bookmarkStart w:id="250" w:name="_Toc28554"/>
      <w:bookmarkStart w:id="251" w:name="_Toc19914"/>
      <w:r>
        <w:rPr>
          <w:rFonts w:hAnsi="宋体" w:eastAsia="黑体"/>
          <w:color w:val="auto"/>
          <w:kern w:val="44"/>
          <w:szCs w:val="21"/>
        </w:rPr>
        <w:t>6.3</w:t>
      </w:r>
      <w:r>
        <w:rPr>
          <w:rFonts w:hint="eastAsia" w:hAnsi="宋体" w:eastAsia="黑体"/>
          <w:color w:val="auto"/>
          <w:kern w:val="44"/>
          <w:szCs w:val="21"/>
        </w:rPr>
        <w:t>环境保护</w:t>
      </w:r>
      <w:bookmarkEnd w:id="249"/>
      <w:bookmarkEnd w:id="250"/>
      <w:bookmarkEnd w:id="251"/>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6.3.1</w:t>
      </w:r>
      <w:r>
        <w:rPr>
          <w:rFonts w:hint="eastAsia" w:hAnsi="宋体"/>
          <w:color w:val="auto"/>
          <w:szCs w:val="21"/>
        </w:rPr>
        <w:t>因施工需要，经发包人批准，由承包人办理有关施工场地交通、环卫和施工噪音管理等手续，费用由承包人负责。</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6.3.2</w:t>
      </w:r>
      <w:r>
        <w:rPr>
          <w:rFonts w:hint="eastAsia" w:hAnsi="宋体"/>
          <w:color w:val="auto"/>
          <w:szCs w:val="21"/>
        </w:rPr>
        <w:t>经过城市道路的施工车辆，必须按交警、城管、运输等部门相关规定执行。由于施工车辆造成的道路、环境等污染，其责任和费用均由承包人承担。</w:t>
      </w:r>
    </w:p>
    <w:p>
      <w:pPr>
        <w:pageBreakBefore w:val="0"/>
        <w:kinsoku/>
        <w:wordWrap/>
        <w:overflowPunct/>
        <w:topLinePunct w:val="0"/>
        <w:bidi w:val="0"/>
        <w:snapToGrid w:val="0"/>
        <w:spacing w:line="360" w:lineRule="auto"/>
        <w:textAlignment w:val="auto"/>
        <w:rPr>
          <w:color w:val="auto"/>
          <w:szCs w:val="21"/>
        </w:rPr>
      </w:pPr>
      <w:r>
        <w:rPr>
          <w:rFonts w:hAnsi="宋体"/>
          <w:color w:val="auto"/>
          <w:szCs w:val="21"/>
        </w:rPr>
        <w:t xml:space="preserve">    6.3.3</w:t>
      </w:r>
      <w:r>
        <w:rPr>
          <w:rFonts w:hint="eastAsia" w:hAnsi="宋体"/>
          <w:color w:val="auto"/>
          <w:szCs w:val="21"/>
        </w:rPr>
        <w:t>必须按照建设工程中有关的文明施工要求进行施工；</w:t>
      </w:r>
    </w:p>
    <w:p>
      <w:pPr>
        <w:pageBreakBefore w:val="0"/>
        <w:kinsoku/>
        <w:wordWrap/>
        <w:overflowPunct/>
        <w:topLinePunct w:val="0"/>
        <w:bidi w:val="0"/>
        <w:snapToGrid w:val="0"/>
        <w:spacing w:line="360" w:lineRule="auto"/>
        <w:ind w:firstLine="420"/>
        <w:textAlignment w:val="auto"/>
        <w:rPr>
          <w:color w:val="auto"/>
          <w:szCs w:val="21"/>
        </w:rPr>
      </w:pPr>
      <w:r>
        <w:rPr>
          <w:rFonts w:hAnsi="宋体"/>
          <w:color w:val="auto"/>
          <w:szCs w:val="21"/>
        </w:rPr>
        <w:t>6.3.4</w:t>
      </w:r>
      <w:r>
        <w:rPr>
          <w:rFonts w:hint="eastAsia" w:hAnsi="宋体"/>
          <w:color w:val="auto"/>
          <w:szCs w:val="21"/>
        </w:rPr>
        <w:t>必须严格执行开发区识别出的重大环境因素的控制措施；</w:t>
      </w:r>
    </w:p>
    <w:p>
      <w:pPr>
        <w:pageBreakBefore w:val="0"/>
        <w:kinsoku/>
        <w:wordWrap/>
        <w:overflowPunct/>
        <w:topLinePunct w:val="0"/>
        <w:bidi w:val="0"/>
        <w:snapToGrid w:val="0"/>
        <w:spacing w:line="360" w:lineRule="auto"/>
        <w:textAlignment w:val="auto"/>
        <w:rPr>
          <w:color w:val="auto"/>
          <w:szCs w:val="21"/>
        </w:rPr>
      </w:pPr>
      <w:r>
        <w:rPr>
          <w:rFonts w:hAnsi="宋体"/>
          <w:color w:val="auto"/>
          <w:szCs w:val="21"/>
        </w:rPr>
        <w:t xml:space="preserve">    6.3.5</w:t>
      </w:r>
      <w:r>
        <w:rPr>
          <w:rFonts w:hint="eastAsia" w:hAnsi="宋体"/>
          <w:color w:val="auto"/>
          <w:szCs w:val="21"/>
        </w:rPr>
        <w:t>所有人员需要接受环境保护方面的培训，并严格执行环保法规的有关要求；</w:t>
      </w:r>
    </w:p>
    <w:p>
      <w:pPr>
        <w:pageBreakBefore w:val="0"/>
        <w:kinsoku/>
        <w:wordWrap/>
        <w:overflowPunct/>
        <w:topLinePunct w:val="0"/>
        <w:bidi w:val="0"/>
        <w:snapToGrid w:val="0"/>
        <w:spacing w:line="360" w:lineRule="auto"/>
        <w:ind w:firstLine="420"/>
        <w:textAlignment w:val="auto"/>
        <w:rPr>
          <w:color w:val="auto"/>
          <w:szCs w:val="21"/>
        </w:rPr>
      </w:pPr>
      <w:r>
        <w:rPr>
          <w:rFonts w:hAnsi="宋体"/>
          <w:color w:val="auto"/>
          <w:szCs w:val="21"/>
        </w:rPr>
        <w:t>6.3.6</w:t>
      </w:r>
      <w:r>
        <w:rPr>
          <w:rFonts w:hint="eastAsia" w:hAnsi="宋体"/>
          <w:color w:val="auto"/>
          <w:szCs w:val="21"/>
        </w:rPr>
        <w:t>对废水、废气、噪音、固体废弃物要求严格管理，保证排放符合国家标准，没有相关方的投诉；</w:t>
      </w:r>
    </w:p>
    <w:p>
      <w:pPr>
        <w:pageBreakBefore w:val="0"/>
        <w:kinsoku/>
        <w:wordWrap/>
        <w:overflowPunct/>
        <w:topLinePunct w:val="0"/>
        <w:bidi w:val="0"/>
        <w:snapToGrid w:val="0"/>
        <w:spacing w:line="360" w:lineRule="auto"/>
        <w:textAlignment w:val="auto"/>
        <w:rPr>
          <w:color w:val="auto"/>
          <w:szCs w:val="21"/>
        </w:rPr>
      </w:pPr>
      <w:r>
        <w:rPr>
          <w:rFonts w:hAnsi="宋体"/>
          <w:color w:val="auto"/>
          <w:szCs w:val="21"/>
        </w:rPr>
        <w:t xml:space="preserve">    6.3.7</w:t>
      </w:r>
      <w:r>
        <w:rPr>
          <w:rFonts w:hint="eastAsia" w:hAnsi="宋体"/>
          <w:color w:val="auto"/>
          <w:szCs w:val="21"/>
        </w:rPr>
        <w:t>对于特殊时期，如高考、节假日等需要配合市政府有关的规定，不得做违反规定的事宜；</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6.3.8</w:t>
      </w:r>
      <w:r>
        <w:rPr>
          <w:rFonts w:hint="eastAsia" w:hAnsi="宋体"/>
          <w:color w:val="auto"/>
          <w:szCs w:val="21"/>
        </w:rPr>
        <w:t>使用的建筑材料必须保证符合环保要求；</w:t>
      </w:r>
    </w:p>
    <w:p>
      <w:pPr>
        <w:pageBreakBefore w:val="0"/>
        <w:kinsoku/>
        <w:wordWrap/>
        <w:overflowPunct/>
        <w:topLinePunct w:val="0"/>
        <w:bidi w:val="0"/>
        <w:spacing w:line="360" w:lineRule="auto"/>
        <w:ind w:firstLine="315" w:firstLineChars="150"/>
        <w:textAlignment w:val="auto"/>
        <w:rPr>
          <w:color w:val="auto"/>
          <w:szCs w:val="21"/>
        </w:rPr>
      </w:pPr>
      <w:r>
        <w:rPr>
          <w:rFonts w:hAnsi="宋体"/>
          <w:color w:val="auto"/>
          <w:szCs w:val="21"/>
        </w:rPr>
        <w:t xml:space="preserve"> 6.3.9</w:t>
      </w:r>
      <w:r>
        <w:rPr>
          <w:rFonts w:hint="eastAsia" w:hAnsi="宋体"/>
          <w:color w:val="auto"/>
          <w:szCs w:val="21"/>
        </w:rPr>
        <w:t>建筑碴土、垃圾及时清运至城市管理部门指定点倒放，不乱堆乱倒，不影响城市环境卫生，费用有承包人承担；</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6.3.10</w:t>
      </w:r>
      <w:r>
        <w:rPr>
          <w:rFonts w:hint="eastAsia" w:hAnsi="宋体"/>
          <w:color w:val="auto"/>
          <w:szCs w:val="21"/>
        </w:rPr>
        <w:t>建筑施工的方案需要考虑节约资源、安全可靠，保护环境、安全施工；</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 xml:space="preserve">6.3.11 </w:t>
      </w:r>
      <w:r>
        <w:rPr>
          <w:rFonts w:hint="eastAsia" w:hAnsi="宋体"/>
          <w:color w:val="auto"/>
          <w:szCs w:val="21"/>
        </w:rPr>
        <w:t>施工的整个过程都必须接受开发区的监控和管理，保护环境。</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6.3.12</w:t>
      </w:r>
      <w:r>
        <w:rPr>
          <w:rFonts w:hint="eastAsia" w:hAnsi="宋体"/>
          <w:color w:val="auto"/>
          <w:szCs w:val="21"/>
        </w:rPr>
        <w:t>工程竣工验收前，承包人应当委托经甲方认可的，并且具备室内空气质量检测资质的机构，对室内进行空气检测；并将检测结果报送发包人。</w:t>
      </w:r>
    </w:p>
    <w:p>
      <w:pPr>
        <w:pageBreakBefore w:val="0"/>
        <w:kinsoku/>
        <w:wordWrap/>
        <w:overflowPunct/>
        <w:topLinePunct w:val="0"/>
        <w:bidi w:val="0"/>
        <w:spacing w:line="360" w:lineRule="auto"/>
        <w:textAlignment w:val="auto"/>
        <w:rPr>
          <w:color w:val="auto"/>
          <w:szCs w:val="24"/>
        </w:rPr>
      </w:pPr>
    </w:p>
    <w:p>
      <w:pPr>
        <w:keepNext/>
        <w:keepLines/>
        <w:pageBreakBefore w:val="0"/>
        <w:kinsoku/>
        <w:wordWrap/>
        <w:overflowPunct/>
        <w:topLinePunct w:val="0"/>
        <w:bidi w:val="0"/>
        <w:spacing w:line="360" w:lineRule="auto"/>
        <w:textAlignment w:val="auto"/>
        <w:outlineLvl w:val="0"/>
        <w:rPr>
          <w:color w:val="auto"/>
          <w:kern w:val="44"/>
          <w:szCs w:val="21"/>
        </w:rPr>
      </w:pPr>
      <w:bookmarkStart w:id="252" w:name="_Toc9054"/>
      <w:bookmarkStart w:id="253" w:name="_Toc30130"/>
      <w:bookmarkStart w:id="254" w:name="_Toc31606"/>
      <w:r>
        <w:rPr>
          <w:rFonts w:hAnsi="宋体" w:eastAsia="黑体"/>
          <w:color w:val="auto"/>
          <w:kern w:val="44"/>
          <w:szCs w:val="21"/>
        </w:rPr>
        <w:t xml:space="preserve">7. </w:t>
      </w:r>
      <w:r>
        <w:rPr>
          <w:rFonts w:hint="eastAsia" w:hAnsi="宋体" w:eastAsia="黑体"/>
          <w:color w:val="auto"/>
          <w:kern w:val="44"/>
          <w:szCs w:val="21"/>
        </w:rPr>
        <w:t>工期和进度</w:t>
      </w:r>
      <w:bookmarkEnd w:id="252"/>
      <w:bookmarkEnd w:id="253"/>
      <w:bookmarkEnd w:id="254"/>
    </w:p>
    <w:p>
      <w:pPr>
        <w:keepNext/>
        <w:keepLines/>
        <w:pageBreakBefore w:val="0"/>
        <w:kinsoku/>
        <w:wordWrap/>
        <w:overflowPunct/>
        <w:topLinePunct w:val="0"/>
        <w:bidi w:val="0"/>
        <w:spacing w:line="360" w:lineRule="auto"/>
        <w:textAlignment w:val="auto"/>
        <w:outlineLvl w:val="0"/>
        <w:rPr>
          <w:color w:val="auto"/>
          <w:kern w:val="44"/>
          <w:szCs w:val="21"/>
        </w:rPr>
      </w:pPr>
      <w:bookmarkStart w:id="255" w:name="_Toc14568"/>
      <w:bookmarkStart w:id="256" w:name="_Toc26621"/>
      <w:bookmarkStart w:id="257" w:name="_Toc23152"/>
      <w:r>
        <w:rPr>
          <w:rFonts w:hAnsi="宋体" w:eastAsia="黑体"/>
          <w:color w:val="auto"/>
          <w:kern w:val="44"/>
          <w:szCs w:val="21"/>
        </w:rPr>
        <w:t xml:space="preserve">7.1 </w:t>
      </w:r>
      <w:r>
        <w:rPr>
          <w:rFonts w:hint="eastAsia" w:hAnsi="宋体" w:eastAsia="黑体"/>
          <w:color w:val="auto"/>
          <w:kern w:val="44"/>
          <w:szCs w:val="21"/>
        </w:rPr>
        <w:t>施工</w:t>
      </w:r>
      <w:bookmarkStart w:id="258" w:name="_Toc373743639"/>
      <w:bookmarkStart w:id="259" w:name="_Toc406360324"/>
      <w:bookmarkStart w:id="260" w:name="_Toc412544290"/>
      <w:r>
        <w:rPr>
          <w:rFonts w:hint="eastAsia" w:hAnsi="宋体" w:eastAsia="黑体"/>
          <w:color w:val="auto"/>
          <w:kern w:val="44"/>
          <w:szCs w:val="21"/>
        </w:rPr>
        <w:t>组织设计</w:t>
      </w:r>
      <w:bookmarkEnd w:id="255"/>
      <w:bookmarkEnd w:id="256"/>
      <w:bookmarkEnd w:id="257"/>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u w:val="single"/>
        </w:rPr>
      </w:pPr>
      <w:r>
        <w:rPr>
          <w:rFonts w:hAnsi="宋体"/>
          <w:color w:val="auto"/>
          <w:szCs w:val="21"/>
        </w:rPr>
        <w:t>7.1</w:t>
      </w:r>
      <w:bookmarkEnd w:id="258"/>
      <w:bookmarkEnd w:id="259"/>
      <w:bookmarkEnd w:id="260"/>
      <w:r>
        <w:rPr>
          <w:rFonts w:hAnsi="宋体"/>
          <w:color w:val="auto"/>
          <w:szCs w:val="21"/>
        </w:rPr>
        <w:t>.</w:t>
      </w:r>
      <w:bookmarkStart w:id="261" w:name="_Toc406360325"/>
      <w:bookmarkStart w:id="262" w:name="_Toc373743640"/>
      <w:bookmarkStart w:id="263" w:name="_Toc412544291"/>
      <w:r>
        <w:rPr>
          <w:rFonts w:hAnsi="宋体"/>
          <w:color w:val="auto"/>
          <w:szCs w:val="21"/>
        </w:rPr>
        <w:t xml:space="preserve">1 </w:t>
      </w:r>
      <w:r>
        <w:rPr>
          <w:rFonts w:hint="eastAsia" w:hAnsi="宋体"/>
          <w:color w:val="auto"/>
          <w:szCs w:val="21"/>
        </w:rPr>
        <w:t>合同当事人约定的</w:t>
      </w:r>
      <w:bookmarkEnd w:id="261"/>
      <w:bookmarkEnd w:id="262"/>
      <w:bookmarkEnd w:id="263"/>
      <w:r>
        <w:rPr>
          <w:rFonts w:hint="eastAsia" w:hAnsi="宋体"/>
          <w:color w:val="auto"/>
          <w:szCs w:val="21"/>
        </w:rPr>
        <w:t>施工组织设计应包括的其他内：</w:t>
      </w:r>
      <w:r>
        <w:rPr>
          <w:rFonts w:hint="eastAsia" w:hAnsi="宋体"/>
          <w:color w:val="auto"/>
          <w:szCs w:val="21"/>
          <w:u w:val="single"/>
        </w:rPr>
        <w:t>按通用条款</w:t>
      </w:r>
      <w:r>
        <w:rPr>
          <w:rFonts w:hint="eastAsia" w:hAnsi="宋体"/>
          <w:color w:val="auto"/>
          <w:szCs w:val="21"/>
        </w:rPr>
        <w:t>。</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Ansi="宋体"/>
          <w:color w:val="auto"/>
          <w:szCs w:val="21"/>
        </w:rPr>
        <w:t xml:space="preserve">7.1.2 </w:t>
      </w:r>
      <w:r>
        <w:rPr>
          <w:rFonts w:hint="eastAsia" w:hAnsi="宋体"/>
          <w:color w:val="auto"/>
          <w:szCs w:val="21"/>
        </w:rPr>
        <w:t>施工组织设计的提交和修改</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u w:val="single"/>
        </w:rPr>
      </w:pPr>
      <w:r>
        <w:rPr>
          <w:rFonts w:hint="eastAsia" w:hAnsi="宋体"/>
          <w:color w:val="auto"/>
          <w:szCs w:val="21"/>
        </w:rPr>
        <w:t>承包人提交详细施工组织设计的期限的约定：</w:t>
      </w:r>
      <w:r>
        <w:rPr>
          <w:rFonts w:hint="eastAsia" w:hAnsi="宋体"/>
          <w:color w:val="auto"/>
          <w:szCs w:val="21"/>
          <w:u w:val="single"/>
        </w:rPr>
        <w:t>合同签订后</w:t>
      </w:r>
      <w:r>
        <w:rPr>
          <w:rFonts w:hAnsi="宋体"/>
          <w:color w:val="auto"/>
          <w:szCs w:val="21"/>
          <w:u w:val="single"/>
        </w:rPr>
        <w:t>7</w:t>
      </w:r>
      <w:r>
        <w:rPr>
          <w:rFonts w:hint="eastAsia" w:hAnsi="宋体"/>
          <w:color w:val="auto"/>
          <w:szCs w:val="21"/>
          <w:u w:val="single"/>
        </w:rPr>
        <w:t>天内</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rFonts w:hAnsi="宋体"/>
          <w:color w:val="auto"/>
          <w:szCs w:val="21"/>
        </w:rPr>
      </w:pPr>
      <w:r>
        <w:rPr>
          <w:rFonts w:hint="eastAsia" w:hAnsi="宋体"/>
          <w:color w:val="auto"/>
          <w:szCs w:val="21"/>
        </w:rPr>
        <w:t>发包人和监理人在收到详细的施工组织设计后确认或提出修改意见的期：</w:t>
      </w:r>
      <w:r>
        <w:rPr>
          <w:rFonts w:hint="eastAsia" w:hAnsi="宋体"/>
          <w:color w:val="auto"/>
          <w:szCs w:val="21"/>
          <w:u w:val="single"/>
        </w:rPr>
        <w:t>于收到之日起</w:t>
      </w:r>
      <w:r>
        <w:rPr>
          <w:rFonts w:hAnsi="宋体"/>
          <w:color w:val="auto"/>
          <w:szCs w:val="21"/>
          <w:u w:val="single"/>
        </w:rPr>
        <w:t>7</w:t>
      </w:r>
      <w:r>
        <w:rPr>
          <w:rFonts w:hint="eastAsia" w:hAnsi="宋体"/>
          <w:color w:val="auto"/>
          <w:szCs w:val="21"/>
          <w:u w:val="single"/>
        </w:rPr>
        <w:t>日内批复</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rFonts w:hAnsi="宋体"/>
          <w:color w:val="auto"/>
          <w:szCs w:val="21"/>
        </w:rPr>
      </w:pPr>
      <w:r>
        <w:rPr>
          <w:rFonts w:hint="eastAsia" w:hAnsi="宋体"/>
          <w:color w:val="auto"/>
          <w:szCs w:val="21"/>
        </w:rPr>
        <w:t>7.1.3经批准的施工组织设计作为发包人、监理人检查的依据，检查中承包人未按照施工组织设计进行施工，发包人有权处以500元-5000元/次的违约处罚。承包人须于每月的25日前上报下月工程进度计划及当月完成的工程量及投资，未按时提报的，处于500元-1000元/次处罚。承包人须按经批准的总体进度计划、月度计划组织施工，当实际进度滞后于计划进度，必须采取一切合理的措施追赶进度，所增加费用由承包人自己承担。若实际进度滞后于计划进度30天以上，发包人书面通知承包人采取措施加快进度后，进度仍然严重滞后的，发包人有权处于5000元-20000元/次的违约处罚。实际进度严重滞后，经发包人2次约谈承包人公司法人，仍未有明显改进的，发包人有权直接对工程进行分割，费用按承包人投标报价进行分割支付。同时发包人有权单方解除合同，一切经济和法律责任由承包人承担。</w:t>
      </w:r>
    </w:p>
    <w:p>
      <w:pPr>
        <w:keepNext/>
        <w:keepLines/>
        <w:pageBreakBefore w:val="0"/>
        <w:kinsoku/>
        <w:wordWrap/>
        <w:overflowPunct/>
        <w:topLinePunct w:val="0"/>
        <w:bidi w:val="0"/>
        <w:spacing w:line="360" w:lineRule="auto"/>
        <w:textAlignment w:val="auto"/>
        <w:outlineLvl w:val="0"/>
        <w:rPr>
          <w:color w:val="auto"/>
          <w:kern w:val="44"/>
          <w:szCs w:val="21"/>
        </w:rPr>
      </w:pPr>
      <w:bookmarkStart w:id="264" w:name="_Toc19204"/>
      <w:bookmarkStart w:id="265" w:name="_Toc11361"/>
      <w:bookmarkStart w:id="266" w:name="_Toc5864"/>
      <w:r>
        <w:rPr>
          <w:rFonts w:hAnsi="宋体" w:eastAsia="黑体"/>
          <w:color w:val="auto"/>
          <w:kern w:val="44"/>
          <w:szCs w:val="21"/>
        </w:rPr>
        <w:t xml:space="preserve">7.2 </w:t>
      </w:r>
      <w:r>
        <w:rPr>
          <w:rFonts w:hint="eastAsia" w:hAnsi="宋体" w:eastAsia="黑体"/>
          <w:color w:val="auto"/>
          <w:kern w:val="44"/>
          <w:szCs w:val="21"/>
        </w:rPr>
        <w:t>施工进度计划</w:t>
      </w:r>
      <w:bookmarkEnd w:id="264"/>
      <w:bookmarkEnd w:id="265"/>
      <w:bookmarkEnd w:id="266"/>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7.2.</w:t>
      </w:r>
      <w:bookmarkStart w:id="267" w:name="_Toc406360326"/>
      <w:bookmarkStart w:id="268" w:name="_Toc373743641"/>
      <w:bookmarkStart w:id="269" w:name="_Toc412544292"/>
      <w:r>
        <w:rPr>
          <w:rFonts w:hAnsi="宋体"/>
          <w:color w:val="auto"/>
          <w:szCs w:val="21"/>
        </w:rPr>
        <w:t xml:space="preserve">2 </w:t>
      </w:r>
      <w:r>
        <w:rPr>
          <w:rFonts w:hint="eastAsia" w:hAnsi="宋体"/>
          <w:color w:val="auto"/>
          <w:szCs w:val="21"/>
        </w:rPr>
        <w:t>施工进度计划的修</w:t>
      </w:r>
      <w:bookmarkEnd w:id="267"/>
      <w:bookmarkEnd w:id="268"/>
      <w:bookmarkEnd w:id="269"/>
      <w:r>
        <w:rPr>
          <w:rFonts w:hint="eastAsia" w:hAnsi="宋体"/>
          <w:color w:val="auto"/>
          <w:szCs w:val="21"/>
        </w:rPr>
        <w:t>订</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发包人和监理人在收到修订的施工进度计划后确认或提出修改意见的期：</w:t>
      </w:r>
      <w:r>
        <w:rPr>
          <w:rFonts w:hint="eastAsia" w:hAnsi="宋体"/>
          <w:color w:val="auto"/>
          <w:szCs w:val="21"/>
          <w:u w:val="single"/>
        </w:rPr>
        <w:t>　于收到之日起</w:t>
      </w:r>
      <w:r>
        <w:rPr>
          <w:rFonts w:hAnsi="宋体"/>
          <w:color w:val="auto"/>
          <w:szCs w:val="21"/>
          <w:u w:val="single"/>
        </w:rPr>
        <w:t>7</w:t>
      </w:r>
      <w:r>
        <w:rPr>
          <w:rFonts w:hint="eastAsia" w:hAnsi="宋体"/>
          <w:color w:val="auto"/>
          <w:szCs w:val="21"/>
          <w:u w:val="single"/>
        </w:rPr>
        <w:t>日内批复　</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270" w:name="_Toc25982"/>
      <w:bookmarkStart w:id="271" w:name="_Toc4347"/>
      <w:bookmarkStart w:id="272" w:name="_Toc20369"/>
      <w:r>
        <w:rPr>
          <w:rFonts w:hAnsi="宋体" w:eastAsia="黑体"/>
          <w:color w:val="auto"/>
          <w:kern w:val="44"/>
          <w:szCs w:val="21"/>
        </w:rPr>
        <w:t xml:space="preserve">7.3 </w:t>
      </w:r>
      <w:r>
        <w:rPr>
          <w:rFonts w:hint="eastAsia" w:hAnsi="宋体" w:eastAsia="黑体"/>
          <w:color w:val="auto"/>
          <w:kern w:val="44"/>
          <w:szCs w:val="21"/>
        </w:rPr>
        <w:t>开工</w:t>
      </w:r>
      <w:bookmarkEnd w:id="270"/>
      <w:bookmarkEnd w:id="271"/>
      <w:bookmarkEnd w:id="272"/>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7.3.1 </w:t>
      </w:r>
      <w:r>
        <w:rPr>
          <w:rFonts w:hint="eastAsia" w:hAnsi="宋体"/>
          <w:color w:val="auto"/>
          <w:szCs w:val="21"/>
        </w:rPr>
        <w:t>开工</w:t>
      </w:r>
      <w:bookmarkStart w:id="273" w:name="_Toc373743642"/>
      <w:bookmarkStart w:id="274" w:name="_Toc412544293"/>
      <w:bookmarkStart w:id="275" w:name="_Toc406360327"/>
      <w:r>
        <w:rPr>
          <w:rFonts w:hint="eastAsia" w:hAnsi="宋体"/>
          <w:color w:val="auto"/>
          <w:szCs w:val="21"/>
        </w:rPr>
        <w:t>准备</w:t>
      </w:r>
    </w:p>
    <w:p>
      <w:pPr>
        <w:pageBreakBefore w:val="0"/>
        <w:kinsoku/>
        <w:wordWrap/>
        <w:overflowPunct/>
        <w:topLinePunct w:val="0"/>
        <w:bidi w:val="0"/>
        <w:spacing w:line="360" w:lineRule="auto"/>
        <w:ind w:firstLine="426"/>
        <w:jc w:val="left"/>
        <w:textAlignment w:val="auto"/>
        <w:rPr>
          <w:color w:val="auto"/>
          <w:szCs w:val="21"/>
          <w:u w:val="single"/>
        </w:rPr>
      </w:pPr>
      <w:r>
        <w:rPr>
          <w:rFonts w:hint="eastAsia" w:hAnsi="宋体"/>
          <w:color w:val="auto"/>
          <w:szCs w:val="21"/>
        </w:rPr>
        <w:t>关于承</w:t>
      </w:r>
      <w:bookmarkEnd w:id="273"/>
      <w:bookmarkEnd w:id="274"/>
      <w:bookmarkEnd w:id="275"/>
      <w:r>
        <w:rPr>
          <w:rFonts w:hint="eastAsia" w:hAnsi="宋体"/>
          <w:color w:val="auto"/>
          <w:szCs w:val="21"/>
        </w:rPr>
        <w:t>包人提交工程开工报审表的期限：</w:t>
      </w:r>
      <w:r>
        <w:rPr>
          <w:rFonts w:hint="eastAsia" w:hAnsi="宋体"/>
          <w:color w:val="auto"/>
          <w:szCs w:val="21"/>
          <w:u w:val="single"/>
        </w:rPr>
        <w:t>开工前</w:t>
      </w:r>
      <w:r>
        <w:rPr>
          <w:rFonts w:hAnsi="宋体"/>
          <w:color w:val="auto"/>
          <w:szCs w:val="21"/>
          <w:u w:val="single"/>
        </w:rPr>
        <w:t>7</w:t>
      </w:r>
      <w:r>
        <w:rPr>
          <w:rFonts w:hint="eastAsia" w:hAnsi="宋体"/>
          <w:color w:val="auto"/>
          <w:szCs w:val="21"/>
          <w:u w:val="single"/>
        </w:rPr>
        <w:t>日</w:t>
      </w:r>
      <w:r>
        <w:rPr>
          <w:rFonts w:hint="eastAsia" w:hAnsi="宋体"/>
          <w:color w:val="auto"/>
          <w:szCs w:val="21"/>
        </w:rPr>
        <w:t>。</w:t>
      </w:r>
    </w:p>
    <w:p>
      <w:pPr>
        <w:pageBreakBefore w:val="0"/>
        <w:kinsoku/>
        <w:wordWrap/>
        <w:overflowPunct/>
        <w:topLinePunct w:val="0"/>
        <w:bidi w:val="0"/>
        <w:spacing w:line="360" w:lineRule="auto"/>
        <w:ind w:firstLine="426"/>
        <w:jc w:val="left"/>
        <w:textAlignment w:val="auto"/>
        <w:rPr>
          <w:color w:val="auto"/>
          <w:szCs w:val="21"/>
          <w:u w:val="single"/>
        </w:rPr>
      </w:pPr>
      <w:r>
        <w:rPr>
          <w:rFonts w:hint="eastAsia" w:hAnsi="宋体"/>
          <w:color w:val="auto"/>
          <w:szCs w:val="21"/>
        </w:rPr>
        <w:t>关于发包人应完成的其他开工准备工作及期限：</w:t>
      </w:r>
      <w:r>
        <w:rPr>
          <w:rFonts w:hint="eastAsia" w:hAnsi="宋体"/>
          <w:color w:val="auto"/>
          <w:szCs w:val="21"/>
          <w:u w:val="single"/>
        </w:rPr>
        <w:t>开工前</w:t>
      </w:r>
      <w:r>
        <w:rPr>
          <w:rFonts w:hAnsi="宋体"/>
          <w:color w:val="auto"/>
          <w:szCs w:val="21"/>
          <w:u w:val="single"/>
        </w:rPr>
        <w:t>7</w:t>
      </w:r>
      <w:r>
        <w:rPr>
          <w:rFonts w:hint="eastAsia" w:hAnsi="宋体"/>
          <w:color w:val="auto"/>
          <w:szCs w:val="21"/>
          <w:u w:val="single"/>
        </w:rPr>
        <w:t>日</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关于承包人应完成的其他开工准备工作及期限：</w:t>
      </w:r>
      <w:r>
        <w:rPr>
          <w:rFonts w:hint="eastAsia" w:hAnsi="宋体"/>
          <w:color w:val="auto"/>
          <w:szCs w:val="21"/>
          <w:u w:val="single"/>
        </w:rPr>
        <w:t>开工前</w:t>
      </w:r>
      <w:r>
        <w:rPr>
          <w:rFonts w:hAnsi="宋体"/>
          <w:color w:val="auto"/>
          <w:szCs w:val="21"/>
          <w:u w:val="single"/>
        </w:rPr>
        <w:t>7</w:t>
      </w:r>
      <w:r>
        <w:rPr>
          <w:rFonts w:hint="eastAsia" w:hAnsi="宋体"/>
          <w:color w:val="auto"/>
          <w:szCs w:val="21"/>
          <w:u w:val="single"/>
        </w:rPr>
        <w:t>日</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7.3.2</w:t>
      </w:r>
      <w:r>
        <w:rPr>
          <w:rFonts w:hint="eastAsia" w:hAnsi="宋体"/>
          <w:color w:val="auto"/>
          <w:szCs w:val="21"/>
        </w:rPr>
        <w:t>开工通知</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因发包人原因造成监理人未能在计划开工日期之日起</w:t>
      </w:r>
      <w:r>
        <w:rPr>
          <w:rFonts w:hAnsi="宋体"/>
          <w:color w:val="auto"/>
          <w:szCs w:val="21"/>
          <w:u w:val="single"/>
        </w:rPr>
        <w:t xml:space="preserve">  /   </w:t>
      </w:r>
      <w:r>
        <w:rPr>
          <w:rFonts w:hint="eastAsia" w:hAnsi="宋体"/>
          <w:color w:val="auto"/>
          <w:szCs w:val="21"/>
        </w:rPr>
        <w:t>天内发出开工通知的，承包人有权提出价格调整要求，或者解除合同。</w:t>
      </w:r>
    </w:p>
    <w:p>
      <w:pPr>
        <w:keepNext/>
        <w:keepLines/>
        <w:pageBreakBefore w:val="0"/>
        <w:kinsoku/>
        <w:wordWrap/>
        <w:overflowPunct/>
        <w:topLinePunct w:val="0"/>
        <w:bidi w:val="0"/>
        <w:spacing w:line="360" w:lineRule="auto"/>
        <w:textAlignment w:val="auto"/>
        <w:outlineLvl w:val="0"/>
        <w:rPr>
          <w:color w:val="auto"/>
          <w:kern w:val="44"/>
          <w:szCs w:val="21"/>
        </w:rPr>
      </w:pPr>
      <w:bookmarkStart w:id="276" w:name="_Toc26367"/>
      <w:bookmarkStart w:id="277" w:name="_Toc7881"/>
      <w:bookmarkStart w:id="278" w:name="_Toc12969"/>
      <w:r>
        <w:rPr>
          <w:rFonts w:hAnsi="宋体" w:eastAsia="黑体"/>
          <w:color w:val="auto"/>
          <w:kern w:val="44"/>
          <w:szCs w:val="21"/>
        </w:rPr>
        <w:t xml:space="preserve">7.4 </w:t>
      </w:r>
      <w:r>
        <w:rPr>
          <w:rFonts w:hint="eastAsia" w:hAnsi="宋体" w:eastAsia="黑体"/>
          <w:color w:val="auto"/>
          <w:kern w:val="44"/>
          <w:szCs w:val="21"/>
        </w:rPr>
        <w:t>测量放线</w:t>
      </w:r>
      <w:bookmarkEnd w:id="276"/>
      <w:bookmarkEnd w:id="277"/>
      <w:bookmarkEnd w:id="278"/>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Ansi="宋体"/>
          <w:color w:val="auto"/>
          <w:szCs w:val="21"/>
        </w:rPr>
        <w:t>7.4.1</w:t>
      </w:r>
      <w:r>
        <w:rPr>
          <w:rFonts w:hint="eastAsia" w:hAnsi="宋体"/>
          <w:color w:val="auto"/>
          <w:szCs w:val="21"/>
        </w:rPr>
        <w:t>发</w:t>
      </w:r>
      <w:bookmarkStart w:id="279" w:name="_Toc412544294"/>
      <w:bookmarkStart w:id="280" w:name="_Toc373743643"/>
      <w:bookmarkStart w:id="281" w:name="_Toc406360328"/>
      <w:r>
        <w:rPr>
          <w:rFonts w:hint="eastAsia" w:hAnsi="宋体"/>
          <w:color w:val="auto"/>
          <w:szCs w:val="21"/>
        </w:rPr>
        <w:t>包人通过监理人向</w:t>
      </w:r>
      <w:bookmarkEnd w:id="279"/>
      <w:bookmarkEnd w:id="280"/>
      <w:bookmarkEnd w:id="281"/>
      <w:r>
        <w:rPr>
          <w:rFonts w:hint="eastAsia" w:hAnsi="宋体"/>
          <w:color w:val="auto"/>
          <w:szCs w:val="21"/>
        </w:rPr>
        <w:t>承包人提供测量基准点、基准线和水准点及其书面资料的期：</w:t>
      </w:r>
      <w:r>
        <w:rPr>
          <w:rFonts w:hint="eastAsia" w:hAnsi="宋体"/>
          <w:color w:val="auto"/>
          <w:szCs w:val="21"/>
          <w:u w:val="single"/>
        </w:rPr>
        <w:t>　开工前</w:t>
      </w:r>
      <w:r>
        <w:rPr>
          <w:rFonts w:hAnsi="宋体"/>
          <w:color w:val="auto"/>
          <w:szCs w:val="21"/>
          <w:u w:val="single"/>
        </w:rPr>
        <w:t>3</w:t>
      </w:r>
      <w:r>
        <w:rPr>
          <w:rFonts w:hint="eastAsia" w:hAnsi="宋体"/>
          <w:color w:val="auto"/>
          <w:szCs w:val="21"/>
          <w:u w:val="single"/>
        </w:rPr>
        <w:t>个工作日在工地现场以书面形式向承包人交验（如有）</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282" w:name="_Toc32655"/>
      <w:bookmarkStart w:id="283" w:name="_Toc6266"/>
      <w:bookmarkStart w:id="284" w:name="_Toc31144"/>
      <w:r>
        <w:rPr>
          <w:rFonts w:hAnsi="宋体" w:eastAsia="黑体"/>
          <w:color w:val="auto"/>
          <w:kern w:val="44"/>
          <w:szCs w:val="21"/>
        </w:rPr>
        <w:t xml:space="preserve">7.5 </w:t>
      </w:r>
      <w:r>
        <w:rPr>
          <w:rFonts w:hint="eastAsia" w:hAnsi="宋体" w:eastAsia="黑体"/>
          <w:color w:val="auto"/>
          <w:kern w:val="44"/>
          <w:szCs w:val="21"/>
        </w:rPr>
        <w:t>工期延误</w:t>
      </w:r>
      <w:bookmarkEnd w:id="282"/>
      <w:bookmarkEnd w:id="283"/>
      <w:bookmarkEnd w:id="284"/>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7.5.1 </w:t>
      </w:r>
      <w:bookmarkStart w:id="285" w:name="_Toc406360329"/>
      <w:bookmarkStart w:id="286" w:name="_Toc412544295"/>
      <w:bookmarkStart w:id="287" w:name="_Toc373743644"/>
      <w:r>
        <w:rPr>
          <w:rFonts w:hint="eastAsia" w:hAnsi="宋体"/>
          <w:color w:val="auto"/>
          <w:szCs w:val="21"/>
        </w:rPr>
        <w:t>因发包人原因导致</w:t>
      </w:r>
      <w:bookmarkEnd w:id="285"/>
      <w:bookmarkEnd w:id="286"/>
      <w:bookmarkEnd w:id="287"/>
      <w:r>
        <w:rPr>
          <w:rFonts w:hint="eastAsia" w:hAnsi="宋体"/>
          <w:color w:val="auto"/>
          <w:szCs w:val="21"/>
        </w:rPr>
        <w:t>工期延误</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因发包人原因导致工期延误的其他情形：</w:t>
      </w:r>
      <w:r>
        <w:rPr>
          <w:rFonts w:hint="eastAsia" w:hAnsi="宋体"/>
          <w:color w:val="auto"/>
          <w:szCs w:val="21"/>
          <w:u w:val="single"/>
        </w:rPr>
        <w:t>施工图纸设计变更等。</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7.5.2 </w:t>
      </w:r>
      <w:r>
        <w:rPr>
          <w:rFonts w:hint="eastAsia" w:hAnsi="宋体"/>
          <w:color w:val="auto"/>
          <w:szCs w:val="21"/>
        </w:rPr>
        <w:t>因承包人原因导致工期延误</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双方约定经监理工程师确认，工期相应顺延的情况：</w:t>
      </w:r>
      <w:r>
        <w:rPr>
          <w:rFonts w:hint="eastAsia" w:hAnsi="宋体"/>
          <w:color w:val="auto"/>
          <w:szCs w:val="21"/>
          <w:u w:val="single"/>
        </w:rPr>
        <w:t>非承包人的责任造成的工期延误；或承包人有证据证明的可顺延工期的其他情况</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rFonts w:hAnsi="宋体"/>
          <w:color w:val="auto"/>
          <w:szCs w:val="21"/>
          <w:u w:val="single"/>
        </w:rPr>
      </w:pPr>
      <w:r>
        <w:rPr>
          <w:rFonts w:hint="eastAsia" w:hAnsi="宋体"/>
          <w:color w:val="auto"/>
          <w:szCs w:val="21"/>
        </w:rPr>
        <w:t>因承包人原因造成工期延误，逾期竣工违约金的计算方法为：</w:t>
      </w:r>
      <w:r>
        <w:rPr>
          <w:rFonts w:hint="eastAsia" w:hAnsi="宋体"/>
          <w:color w:val="auto"/>
          <w:szCs w:val="21"/>
          <w:u w:val="single"/>
        </w:rPr>
        <w:t>非上述原因，承包人不能按合同约定的时间竣工，承包人应承担违约责任。应向发包人支付误期赔偿费（每天赔偿金额为合同价款的万分之二），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因承包人原因造成工期延误，逾期竣工违约金的上限：</w:t>
      </w:r>
      <w:r>
        <w:rPr>
          <w:rFonts w:hint="eastAsia" w:hAnsi="宋体"/>
          <w:color w:val="auto"/>
          <w:szCs w:val="21"/>
          <w:u w:val="single"/>
        </w:rPr>
        <w:t>合同价的2</w:t>
      </w:r>
      <w:r>
        <w:rPr>
          <w:rFonts w:hAnsi="宋体"/>
          <w:color w:val="auto"/>
          <w:szCs w:val="21"/>
          <w:u w:val="single"/>
        </w:rPr>
        <w:t xml:space="preserve"> %</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288" w:name="_Toc7747"/>
      <w:bookmarkStart w:id="289" w:name="_Toc73"/>
      <w:bookmarkStart w:id="290" w:name="_Toc7709"/>
      <w:r>
        <w:rPr>
          <w:rFonts w:hAnsi="宋体" w:eastAsia="黑体"/>
          <w:color w:val="auto"/>
          <w:kern w:val="44"/>
          <w:szCs w:val="21"/>
        </w:rPr>
        <w:t xml:space="preserve">7.6 </w:t>
      </w:r>
      <w:r>
        <w:rPr>
          <w:rFonts w:hint="eastAsia" w:hAnsi="宋体" w:eastAsia="黑体"/>
          <w:color w:val="auto"/>
          <w:kern w:val="44"/>
          <w:szCs w:val="21"/>
        </w:rPr>
        <w:t>不利物质条件</w:t>
      </w:r>
      <w:bookmarkEnd w:id="288"/>
      <w:bookmarkEnd w:id="289"/>
      <w:bookmarkEnd w:id="290"/>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不利物质</w:t>
      </w:r>
      <w:bookmarkStart w:id="291" w:name="_Toc406360330"/>
      <w:bookmarkStart w:id="292" w:name="_Toc373743645"/>
      <w:bookmarkStart w:id="293" w:name="_Toc412544296"/>
      <w:r>
        <w:rPr>
          <w:rFonts w:hint="eastAsia" w:hAnsi="宋体"/>
          <w:color w:val="auto"/>
          <w:szCs w:val="21"/>
        </w:rPr>
        <w:t>条件的其他情形和有关</w:t>
      </w:r>
      <w:bookmarkEnd w:id="291"/>
      <w:bookmarkEnd w:id="292"/>
      <w:bookmarkEnd w:id="293"/>
      <w:r>
        <w:rPr>
          <w:rFonts w:hint="eastAsia" w:hAnsi="宋体"/>
          <w:color w:val="auto"/>
          <w:szCs w:val="21"/>
        </w:rPr>
        <w:t>约定：</w:t>
      </w:r>
      <w:r>
        <w:rPr>
          <w:rFonts w:hint="eastAsia"/>
          <w:color w:val="auto"/>
          <w:szCs w:val="24"/>
          <w:u w:val="single"/>
        </w:rPr>
        <w:t>以有关部门发布的文告或文件为准</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294" w:name="_Toc20389"/>
      <w:bookmarkStart w:id="295" w:name="_Toc9308"/>
      <w:bookmarkStart w:id="296" w:name="_Toc2920"/>
      <w:r>
        <w:rPr>
          <w:rFonts w:hAnsi="宋体" w:eastAsia="黑体"/>
          <w:color w:val="auto"/>
          <w:kern w:val="44"/>
          <w:szCs w:val="21"/>
        </w:rPr>
        <w:t>7.7</w:t>
      </w:r>
      <w:r>
        <w:rPr>
          <w:rFonts w:hint="eastAsia" w:hAnsi="宋体" w:eastAsia="黑体"/>
          <w:color w:val="auto"/>
          <w:kern w:val="44"/>
          <w:szCs w:val="21"/>
        </w:rPr>
        <w:t>异常恶劣的气候条件</w:t>
      </w:r>
      <w:bookmarkEnd w:id="294"/>
      <w:bookmarkEnd w:id="295"/>
      <w:bookmarkEnd w:id="296"/>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发包</w:t>
      </w:r>
      <w:bookmarkStart w:id="297" w:name="_Toc406360331"/>
      <w:bookmarkStart w:id="298" w:name="_Toc373743646"/>
      <w:bookmarkStart w:id="299" w:name="_Toc412544297"/>
      <w:r>
        <w:rPr>
          <w:rFonts w:hint="eastAsia" w:hAnsi="宋体"/>
          <w:color w:val="auto"/>
          <w:szCs w:val="21"/>
        </w:rPr>
        <w:t>人和承包人同意以下情形视</w:t>
      </w:r>
      <w:bookmarkEnd w:id="297"/>
      <w:bookmarkEnd w:id="298"/>
      <w:bookmarkEnd w:id="299"/>
      <w:r>
        <w:rPr>
          <w:rFonts w:hint="eastAsia" w:hAnsi="宋体"/>
          <w:color w:val="auto"/>
          <w:szCs w:val="21"/>
        </w:rPr>
        <w:t>为异常恶劣的气候条件：</w:t>
      </w:r>
    </w:p>
    <w:p>
      <w:pPr>
        <w:pageBreakBefore w:val="0"/>
        <w:widowControl/>
        <w:kinsoku/>
        <w:wordWrap/>
        <w:overflowPunct/>
        <w:topLinePunct w:val="0"/>
        <w:bidi w:val="0"/>
        <w:spacing w:line="360" w:lineRule="auto"/>
        <w:ind w:firstLine="420"/>
        <w:jc w:val="left"/>
        <w:textAlignment w:val="auto"/>
        <w:rPr>
          <w:color w:val="auto"/>
          <w:szCs w:val="21"/>
          <w:u w:val="single"/>
        </w:rPr>
      </w:pPr>
      <w:r>
        <w:rPr>
          <w:rFonts w:hint="eastAsia" w:hAnsi="宋体"/>
          <w:color w:val="auto"/>
          <w:szCs w:val="21"/>
          <w:u w:val="single"/>
        </w:rPr>
        <w:t>（</w:t>
      </w:r>
      <w:r>
        <w:rPr>
          <w:rFonts w:hAnsi="宋体"/>
          <w:color w:val="auto"/>
          <w:szCs w:val="21"/>
          <w:u w:val="single"/>
        </w:rPr>
        <w:t>1</w:t>
      </w:r>
      <w:r>
        <w:rPr>
          <w:rFonts w:hint="eastAsia" w:hAnsi="宋体"/>
          <w:color w:val="auto"/>
          <w:szCs w:val="21"/>
          <w:u w:val="single"/>
        </w:rPr>
        <w:t>）</w:t>
      </w:r>
      <w:r>
        <w:rPr>
          <w:rFonts w:hAnsi="宋体"/>
          <w:color w:val="auto"/>
          <w:szCs w:val="21"/>
          <w:u w:val="single"/>
        </w:rPr>
        <w:t>6</w:t>
      </w:r>
      <w:r>
        <w:rPr>
          <w:rFonts w:hint="eastAsia" w:hAnsi="宋体"/>
          <w:color w:val="auto"/>
          <w:szCs w:val="21"/>
          <w:u w:val="single"/>
        </w:rPr>
        <w:t>级以上地震；</w:t>
      </w:r>
    </w:p>
    <w:p>
      <w:pPr>
        <w:pageBreakBefore w:val="0"/>
        <w:widowControl/>
        <w:kinsoku/>
        <w:wordWrap/>
        <w:overflowPunct/>
        <w:topLinePunct w:val="0"/>
        <w:bidi w:val="0"/>
        <w:spacing w:line="360" w:lineRule="auto"/>
        <w:ind w:firstLine="420"/>
        <w:jc w:val="left"/>
        <w:textAlignment w:val="auto"/>
        <w:rPr>
          <w:color w:val="auto"/>
          <w:szCs w:val="21"/>
          <w:u w:val="single"/>
        </w:rPr>
      </w:pPr>
      <w:r>
        <w:rPr>
          <w:rFonts w:hint="eastAsia" w:hAnsi="宋体"/>
          <w:color w:val="auto"/>
          <w:szCs w:val="21"/>
          <w:u w:val="single"/>
        </w:rPr>
        <w:t>（</w:t>
      </w:r>
      <w:r>
        <w:rPr>
          <w:rFonts w:hAnsi="宋体"/>
          <w:color w:val="auto"/>
          <w:szCs w:val="21"/>
          <w:u w:val="single"/>
        </w:rPr>
        <w:t>2</w:t>
      </w:r>
      <w:r>
        <w:rPr>
          <w:rFonts w:hint="eastAsia" w:hAnsi="宋体"/>
          <w:color w:val="auto"/>
          <w:szCs w:val="21"/>
          <w:u w:val="single"/>
        </w:rPr>
        <w:t>）</w:t>
      </w:r>
      <w:r>
        <w:rPr>
          <w:rFonts w:hAnsi="宋体"/>
          <w:color w:val="auto"/>
          <w:szCs w:val="21"/>
          <w:u w:val="single"/>
        </w:rPr>
        <w:t>10</w:t>
      </w:r>
      <w:r>
        <w:rPr>
          <w:rFonts w:hint="eastAsia" w:hAnsi="宋体"/>
          <w:color w:val="auto"/>
          <w:szCs w:val="21"/>
          <w:u w:val="single"/>
        </w:rPr>
        <w:t>级以上持续</w:t>
      </w:r>
      <w:r>
        <w:rPr>
          <w:rFonts w:hAnsi="宋体"/>
          <w:color w:val="auto"/>
          <w:szCs w:val="21"/>
          <w:u w:val="single"/>
        </w:rPr>
        <w:t>1</w:t>
      </w:r>
      <w:r>
        <w:rPr>
          <w:rFonts w:hint="eastAsia" w:hAnsi="宋体"/>
          <w:color w:val="auto"/>
          <w:szCs w:val="21"/>
          <w:u w:val="single"/>
        </w:rPr>
        <w:t>天的大风；</w:t>
      </w:r>
    </w:p>
    <w:p>
      <w:pPr>
        <w:pageBreakBefore w:val="0"/>
        <w:widowControl/>
        <w:kinsoku/>
        <w:wordWrap/>
        <w:overflowPunct/>
        <w:topLinePunct w:val="0"/>
        <w:bidi w:val="0"/>
        <w:spacing w:line="360" w:lineRule="auto"/>
        <w:ind w:firstLine="420"/>
        <w:jc w:val="left"/>
        <w:textAlignment w:val="auto"/>
        <w:rPr>
          <w:color w:val="auto"/>
          <w:szCs w:val="21"/>
          <w:u w:val="single"/>
        </w:rPr>
      </w:pPr>
      <w:r>
        <w:rPr>
          <w:rFonts w:hint="eastAsia" w:hAnsi="宋体"/>
          <w:color w:val="auto"/>
          <w:szCs w:val="21"/>
          <w:u w:val="single"/>
        </w:rPr>
        <w:t>（</w:t>
      </w:r>
      <w:r>
        <w:rPr>
          <w:rFonts w:hAnsi="宋体"/>
          <w:color w:val="auto"/>
          <w:szCs w:val="21"/>
          <w:u w:val="single"/>
        </w:rPr>
        <w:t>3</w:t>
      </w:r>
      <w:r>
        <w:rPr>
          <w:rFonts w:hint="eastAsia" w:hAnsi="宋体"/>
          <w:color w:val="auto"/>
          <w:szCs w:val="21"/>
          <w:u w:val="single"/>
        </w:rPr>
        <w:t>）台风及暴雨级以上持续</w:t>
      </w:r>
      <w:r>
        <w:rPr>
          <w:rFonts w:hAnsi="宋体"/>
          <w:color w:val="auto"/>
          <w:szCs w:val="21"/>
          <w:u w:val="single"/>
        </w:rPr>
        <w:t>1</w:t>
      </w:r>
      <w:r>
        <w:rPr>
          <w:rFonts w:hint="eastAsia" w:hAnsi="宋体"/>
          <w:color w:val="auto"/>
          <w:szCs w:val="21"/>
          <w:u w:val="single"/>
        </w:rPr>
        <w:t>天的大雨；</w:t>
      </w:r>
    </w:p>
    <w:p>
      <w:pPr>
        <w:pageBreakBefore w:val="0"/>
        <w:widowControl/>
        <w:kinsoku/>
        <w:wordWrap/>
        <w:overflowPunct/>
        <w:topLinePunct w:val="0"/>
        <w:bidi w:val="0"/>
        <w:spacing w:line="360" w:lineRule="auto"/>
        <w:ind w:firstLine="420"/>
        <w:jc w:val="left"/>
        <w:textAlignment w:val="auto"/>
        <w:rPr>
          <w:color w:val="auto"/>
          <w:szCs w:val="21"/>
          <w:u w:val="single"/>
        </w:rPr>
      </w:pPr>
      <w:r>
        <w:rPr>
          <w:rFonts w:hint="eastAsia" w:hAnsi="宋体"/>
          <w:color w:val="auto"/>
          <w:szCs w:val="21"/>
          <w:u w:val="single"/>
        </w:rPr>
        <w:t>（</w:t>
      </w:r>
      <w:r>
        <w:rPr>
          <w:rFonts w:hAnsi="宋体"/>
          <w:color w:val="auto"/>
          <w:szCs w:val="21"/>
          <w:u w:val="single"/>
        </w:rPr>
        <w:t>4</w:t>
      </w:r>
      <w:r>
        <w:rPr>
          <w:rFonts w:hint="eastAsia" w:hAnsi="宋体"/>
          <w:color w:val="auto"/>
          <w:szCs w:val="21"/>
          <w:u w:val="single"/>
        </w:rPr>
        <w:t>）</w:t>
      </w:r>
      <w:r>
        <w:rPr>
          <w:rFonts w:hAnsi="宋体"/>
          <w:color w:val="auto"/>
          <w:szCs w:val="21"/>
          <w:u w:val="single"/>
        </w:rPr>
        <w:t>50</w:t>
      </w:r>
      <w:r>
        <w:rPr>
          <w:rFonts w:hint="eastAsia" w:hAnsi="宋体"/>
          <w:color w:val="auto"/>
          <w:szCs w:val="21"/>
          <w:u w:val="single"/>
        </w:rPr>
        <w:t>年以上未发生过，持续</w:t>
      </w:r>
      <w:r>
        <w:rPr>
          <w:rFonts w:hAnsi="宋体"/>
          <w:color w:val="auto"/>
          <w:szCs w:val="21"/>
          <w:u w:val="single"/>
        </w:rPr>
        <w:t>2</w:t>
      </w:r>
      <w:r>
        <w:rPr>
          <w:rFonts w:hint="eastAsia" w:hAnsi="宋体"/>
          <w:color w:val="auto"/>
          <w:szCs w:val="21"/>
          <w:u w:val="single"/>
        </w:rPr>
        <w:t>天的高温天气；</w:t>
      </w:r>
    </w:p>
    <w:p>
      <w:pPr>
        <w:pageBreakBefore w:val="0"/>
        <w:widowControl/>
        <w:kinsoku/>
        <w:wordWrap/>
        <w:overflowPunct/>
        <w:topLinePunct w:val="0"/>
        <w:bidi w:val="0"/>
        <w:spacing w:line="360" w:lineRule="auto"/>
        <w:ind w:firstLine="420"/>
        <w:jc w:val="left"/>
        <w:textAlignment w:val="auto"/>
        <w:rPr>
          <w:color w:val="auto"/>
          <w:szCs w:val="21"/>
          <w:u w:val="single"/>
        </w:rPr>
      </w:pPr>
      <w:r>
        <w:rPr>
          <w:rFonts w:hint="eastAsia" w:hAnsi="宋体"/>
          <w:color w:val="auto"/>
          <w:szCs w:val="21"/>
          <w:u w:val="single"/>
        </w:rPr>
        <w:t>（</w:t>
      </w:r>
      <w:r>
        <w:rPr>
          <w:rFonts w:hAnsi="宋体"/>
          <w:color w:val="auto"/>
          <w:szCs w:val="21"/>
          <w:u w:val="single"/>
        </w:rPr>
        <w:t>5</w:t>
      </w:r>
      <w:r>
        <w:rPr>
          <w:rFonts w:hint="eastAsia" w:hAnsi="宋体"/>
          <w:color w:val="auto"/>
          <w:szCs w:val="21"/>
          <w:u w:val="single"/>
        </w:rPr>
        <w:t>）</w:t>
      </w:r>
      <w:r>
        <w:rPr>
          <w:rFonts w:hAnsi="宋体"/>
          <w:color w:val="auto"/>
          <w:szCs w:val="21"/>
          <w:u w:val="single"/>
        </w:rPr>
        <w:t>50</w:t>
      </w:r>
      <w:r>
        <w:rPr>
          <w:rFonts w:hint="eastAsia" w:hAnsi="宋体"/>
          <w:color w:val="auto"/>
          <w:szCs w:val="21"/>
          <w:u w:val="single"/>
        </w:rPr>
        <w:t>年以上未发生过，持续</w:t>
      </w:r>
      <w:r>
        <w:rPr>
          <w:rFonts w:hAnsi="宋体"/>
          <w:color w:val="auto"/>
          <w:szCs w:val="21"/>
          <w:u w:val="single"/>
        </w:rPr>
        <w:t>2</w:t>
      </w:r>
      <w:r>
        <w:rPr>
          <w:rFonts w:hint="eastAsia" w:hAnsi="宋体"/>
          <w:color w:val="auto"/>
          <w:szCs w:val="21"/>
          <w:u w:val="single"/>
        </w:rPr>
        <w:t>天的低温天气；</w:t>
      </w:r>
    </w:p>
    <w:p>
      <w:pPr>
        <w:pageBreakBefore w:val="0"/>
        <w:widowControl/>
        <w:kinsoku/>
        <w:wordWrap/>
        <w:overflowPunct/>
        <w:topLinePunct w:val="0"/>
        <w:bidi w:val="0"/>
        <w:spacing w:line="360" w:lineRule="auto"/>
        <w:ind w:firstLine="420"/>
        <w:jc w:val="left"/>
        <w:textAlignment w:val="auto"/>
        <w:rPr>
          <w:color w:val="auto"/>
          <w:szCs w:val="21"/>
          <w:u w:val="single"/>
        </w:rPr>
      </w:pPr>
      <w:r>
        <w:rPr>
          <w:rFonts w:hint="eastAsia" w:hAnsi="宋体"/>
          <w:color w:val="auto"/>
          <w:szCs w:val="21"/>
          <w:u w:val="single"/>
        </w:rPr>
        <w:t>（</w:t>
      </w:r>
      <w:r>
        <w:rPr>
          <w:rFonts w:hAnsi="宋体"/>
          <w:color w:val="auto"/>
          <w:szCs w:val="21"/>
          <w:u w:val="single"/>
        </w:rPr>
        <w:t>6</w:t>
      </w:r>
      <w:r>
        <w:rPr>
          <w:rFonts w:hint="eastAsia" w:hAnsi="宋体"/>
          <w:color w:val="auto"/>
          <w:szCs w:val="21"/>
          <w:u w:val="single"/>
        </w:rPr>
        <w:t>）</w:t>
      </w:r>
      <w:r>
        <w:rPr>
          <w:rFonts w:hAnsi="宋体"/>
          <w:color w:val="auto"/>
          <w:szCs w:val="21"/>
          <w:u w:val="single"/>
        </w:rPr>
        <w:t>50</w:t>
      </w:r>
      <w:r>
        <w:rPr>
          <w:rFonts w:hint="eastAsia" w:hAnsi="宋体"/>
          <w:color w:val="auto"/>
          <w:szCs w:val="21"/>
          <w:u w:val="single"/>
        </w:rPr>
        <w:t>年以上未发生过的洪水。</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其余按通用条款执行。</w:t>
      </w:r>
    </w:p>
    <w:p>
      <w:pPr>
        <w:keepNext/>
        <w:keepLines/>
        <w:pageBreakBefore w:val="0"/>
        <w:kinsoku/>
        <w:wordWrap/>
        <w:overflowPunct/>
        <w:topLinePunct w:val="0"/>
        <w:bidi w:val="0"/>
        <w:spacing w:line="360" w:lineRule="auto"/>
        <w:textAlignment w:val="auto"/>
        <w:outlineLvl w:val="0"/>
        <w:rPr>
          <w:color w:val="auto"/>
          <w:kern w:val="44"/>
          <w:szCs w:val="21"/>
        </w:rPr>
      </w:pPr>
      <w:bookmarkStart w:id="300" w:name="_Toc31977"/>
      <w:bookmarkStart w:id="301" w:name="_Toc7832"/>
      <w:bookmarkStart w:id="302" w:name="_Toc22846"/>
      <w:r>
        <w:rPr>
          <w:rFonts w:hAnsi="宋体" w:eastAsia="黑体"/>
          <w:color w:val="auto"/>
          <w:kern w:val="44"/>
          <w:szCs w:val="21"/>
        </w:rPr>
        <w:t xml:space="preserve">7.9 </w:t>
      </w:r>
      <w:r>
        <w:rPr>
          <w:rFonts w:hint="eastAsia" w:hAnsi="宋体" w:eastAsia="黑体"/>
          <w:color w:val="auto"/>
          <w:kern w:val="44"/>
          <w:szCs w:val="21"/>
        </w:rPr>
        <w:t>提前竣工的奖励</w:t>
      </w:r>
      <w:bookmarkEnd w:id="300"/>
      <w:bookmarkEnd w:id="301"/>
      <w:bookmarkEnd w:id="302"/>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7.9</w:t>
      </w:r>
      <w:bookmarkStart w:id="303" w:name="_Toc406360332"/>
      <w:bookmarkStart w:id="304" w:name="_Toc412544298"/>
      <w:bookmarkStart w:id="305" w:name="_Toc373743647"/>
      <w:r>
        <w:rPr>
          <w:rFonts w:hAnsi="宋体"/>
          <w:color w:val="auto"/>
          <w:szCs w:val="21"/>
        </w:rPr>
        <w:t>.2</w:t>
      </w:r>
      <w:r>
        <w:rPr>
          <w:rFonts w:hint="eastAsia" w:hAnsi="宋体"/>
          <w:color w:val="auto"/>
          <w:szCs w:val="21"/>
        </w:rPr>
        <w:t>提前竣工的奖励：</w:t>
      </w:r>
      <w:bookmarkEnd w:id="303"/>
      <w:bookmarkEnd w:id="304"/>
      <w:bookmarkEnd w:id="305"/>
      <w:r>
        <w:rPr>
          <w:rFonts w:hint="eastAsia" w:hAnsi="宋体"/>
          <w:color w:val="auto"/>
          <w:szCs w:val="21"/>
          <w:u w:val="single"/>
        </w:rPr>
        <w:t>无</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306" w:name="_Toc15429"/>
      <w:bookmarkStart w:id="307" w:name="_Toc21509"/>
      <w:bookmarkStart w:id="308" w:name="_Toc29186"/>
      <w:r>
        <w:rPr>
          <w:rFonts w:hAnsi="宋体" w:eastAsia="黑体"/>
          <w:color w:val="auto"/>
          <w:kern w:val="44"/>
          <w:szCs w:val="21"/>
        </w:rPr>
        <w:t xml:space="preserve">8. </w:t>
      </w:r>
      <w:r>
        <w:rPr>
          <w:rFonts w:hint="eastAsia" w:hAnsi="宋体" w:eastAsia="黑体"/>
          <w:color w:val="auto"/>
          <w:kern w:val="44"/>
          <w:szCs w:val="21"/>
        </w:rPr>
        <w:t>材料与设备</w:t>
      </w:r>
      <w:bookmarkEnd w:id="306"/>
      <w:bookmarkEnd w:id="307"/>
      <w:bookmarkEnd w:id="308"/>
    </w:p>
    <w:p>
      <w:pPr>
        <w:keepNext/>
        <w:keepLines/>
        <w:pageBreakBefore w:val="0"/>
        <w:kinsoku/>
        <w:wordWrap/>
        <w:overflowPunct/>
        <w:topLinePunct w:val="0"/>
        <w:bidi w:val="0"/>
        <w:spacing w:line="360" w:lineRule="auto"/>
        <w:textAlignment w:val="auto"/>
        <w:outlineLvl w:val="0"/>
        <w:rPr>
          <w:color w:val="auto"/>
          <w:kern w:val="44"/>
          <w:szCs w:val="21"/>
        </w:rPr>
      </w:pPr>
      <w:bookmarkStart w:id="309" w:name="_Toc24358"/>
      <w:bookmarkStart w:id="310" w:name="_Toc13893"/>
      <w:bookmarkStart w:id="311" w:name="_Toc18587"/>
      <w:r>
        <w:rPr>
          <w:rFonts w:hAnsi="宋体" w:eastAsia="黑体"/>
          <w:color w:val="auto"/>
          <w:kern w:val="44"/>
          <w:szCs w:val="21"/>
        </w:rPr>
        <w:t>8.2</w:t>
      </w:r>
      <w:r>
        <w:rPr>
          <w:rFonts w:hint="eastAsia" w:hAnsi="宋体" w:eastAsia="黑体"/>
          <w:color w:val="auto"/>
          <w:kern w:val="44"/>
          <w:szCs w:val="21"/>
        </w:rPr>
        <w:t>承包人</w:t>
      </w:r>
      <w:bookmarkStart w:id="312" w:name="_Toc373743648"/>
      <w:bookmarkStart w:id="313" w:name="_Toc406360333"/>
      <w:bookmarkStart w:id="314" w:name="_Toc412544299"/>
      <w:r>
        <w:rPr>
          <w:rFonts w:hint="eastAsia" w:hAnsi="宋体" w:eastAsia="黑体"/>
          <w:color w:val="auto"/>
          <w:kern w:val="44"/>
          <w:szCs w:val="21"/>
        </w:rPr>
        <w:t>采购材料与工程设</w:t>
      </w:r>
      <w:bookmarkEnd w:id="312"/>
      <w:bookmarkEnd w:id="313"/>
      <w:bookmarkEnd w:id="314"/>
      <w:r>
        <w:rPr>
          <w:rFonts w:hint="eastAsia" w:hAnsi="宋体" w:eastAsia="黑体"/>
          <w:color w:val="auto"/>
          <w:kern w:val="44"/>
          <w:szCs w:val="21"/>
        </w:rPr>
        <w:t>备</w:t>
      </w:r>
      <w:bookmarkEnd w:id="309"/>
      <w:bookmarkEnd w:id="310"/>
      <w:bookmarkEnd w:id="311"/>
      <w:bookmarkStart w:id="315" w:name="_Toc406360334"/>
      <w:bookmarkStart w:id="316" w:name="_Toc412544300"/>
      <w:bookmarkStart w:id="317" w:name="_Toc373743649"/>
    </w:p>
    <w:p>
      <w:pPr>
        <w:pageBreakBefore w:val="0"/>
        <w:widowControl/>
        <w:shd w:val="clear" w:color="auto"/>
        <w:kinsoku/>
        <w:wordWrap/>
        <w:overflowPunct/>
        <w:topLinePunct w:val="0"/>
        <w:bidi w:val="0"/>
        <w:spacing w:line="360" w:lineRule="auto"/>
        <w:ind w:firstLine="420"/>
        <w:jc w:val="left"/>
        <w:textAlignment w:val="auto"/>
        <w:rPr>
          <w:rFonts w:hAnsi="宋体" w:cs="宋体"/>
          <w:color w:val="auto"/>
          <w:szCs w:val="21"/>
        </w:rPr>
      </w:pPr>
      <w:r>
        <w:rPr>
          <w:rFonts w:hint="eastAsia" w:hAnsi="宋体" w:cs="宋体"/>
          <w:color w:val="auto"/>
          <w:szCs w:val="21"/>
        </w:rPr>
        <w:t>除专用合同条款的附件《发包人</w:t>
      </w:r>
      <w:bookmarkEnd w:id="315"/>
      <w:bookmarkEnd w:id="316"/>
      <w:bookmarkEnd w:id="317"/>
      <w:r>
        <w:rPr>
          <w:rFonts w:hint="eastAsia" w:hAnsi="宋体" w:cs="宋体"/>
          <w:color w:val="auto"/>
          <w:szCs w:val="21"/>
        </w:rPr>
        <w:t>供应材料设备一览表》中明确的材料、工程设备外，由承包人负责材料和工程设备的采购、运输和保管。</w:t>
      </w:r>
    </w:p>
    <w:p>
      <w:pPr>
        <w:pageBreakBefore w:val="0"/>
        <w:widowControl/>
        <w:shd w:val="clear" w:color="auto"/>
        <w:kinsoku/>
        <w:wordWrap/>
        <w:overflowPunct/>
        <w:topLinePunct w:val="0"/>
        <w:bidi w:val="0"/>
        <w:spacing w:line="360" w:lineRule="auto"/>
        <w:ind w:firstLine="420"/>
        <w:jc w:val="left"/>
        <w:textAlignment w:val="auto"/>
        <w:rPr>
          <w:rFonts w:hAnsi="宋体" w:cs="宋体"/>
          <w:color w:val="auto"/>
          <w:szCs w:val="21"/>
        </w:rPr>
      </w:pPr>
      <w:r>
        <w:rPr>
          <w:rFonts w:hint="eastAsia" w:hAnsi="宋体" w:cs="宋体"/>
          <w:color w:val="auto"/>
          <w:szCs w:val="21"/>
        </w:rPr>
        <w:t>承包人采购的材料必须符合现行国家、行业相关标准，必须使用合格、环保的建筑材料。承包人使用无合格证或不符合行业标准的材料，发包人有权扣除该部分材料款。</w:t>
      </w:r>
    </w:p>
    <w:p>
      <w:pPr>
        <w:keepNext/>
        <w:keepLines/>
        <w:pageBreakBefore w:val="0"/>
        <w:kinsoku/>
        <w:wordWrap/>
        <w:overflowPunct/>
        <w:topLinePunct w:val="0"/>
        <w:bidi w:val="0"/>
        <w:spacing w:line="360" w:lineRule="auto"/>
        <w:textAlignment w:val="auto"/>
        <w:outlineLvl w:val="0"/>
        <w:rPr>
          <w:color w:val="auto"/>
          <w:kern w:val="44"/>
          <w:szCs w:val="21"/>
        </w:rPr>
      </w:pPr>
      <w:bookmarkStart w:id="318" w:name="_Toc15785"/>
      <w:bookmarkStart w:id="319" w:name="_Toc5126"/>
      <w:bookmarkStart w:id="320" w:name="_Toc17625"/>
      <w:r>
        <w:rPr>
          <w:rFonts w:hAnsi="宋体" w:eastAsia="黑体"/>
          <w:color w:val="auto"/>
          <w:kern w:val="44"/>
          <w:szCs w:val="21"/>
        </w:rPr>
        <w:t>8.4</w:t>
      </w:r>
      <w:r>
        <w:rPr>
          <w:rFonts w:hint="eastAsia" w:hAnsi="宋体" w:eastAsia="黑体"/>
          <w:color w:val="auto"/>
          <w:kern w:val="44"/>
          <w:szCs w:val="21"/>
        </w:rPr>
        <w:t>材料与工程设备的保管与使</w:t>
      </w:r>
      <w:bookmarkStart w:id="321" w:name="_Toc412544301"/>
      <w:bookmarkStart w:id="322" w:name="_Toc373743650"/>
      <w:bookmarkStart w:id="323" w:name="_Toc406360335"/>
      <w:r>
        <w:rPr>
          <w:rFonts w:hint="eastAsia" w:hAnsi="宋体" w:eastAsia="黑体"/>
          <w:color w:val="auto"/>
          <w:kern w:val="44"/>
          <w:szCs w:val="21"/>
        </w:rPr>
        <w:t>用</w:t>
      </w:r>
      <w:bookmarkEnd w:id="318"/>
      <w:bookmarkEnd w:id="319"/>
      <w:bookmarkEnd w:id="320"/>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Ansi="宋体"/>
          <w:color w:val="auto"/>
          <w:szCs w:val="21"/>
        </w:rPr>
        <w:t>8.4.1</w:t>
      </w:r>
      <w:r>
        <w:rPr>
          <w:rFonts w:hint="eastAsia" w:hAnsi="宋体"/>
          <w:color w:val="auto"/>
          <w:szCs w:val="21"/>
        </w:rPr>
        <w:t>发包人供应的材料设</w:t>
      </w:r>
      <w:bookmarkEnd w:id="321"/>
      <w:bookmarkEnd w:id="322"/>
      <w:bookmarkEnd w:id="323"/>
      <w:r>
        <w:rPr>
          <w:rFonts w:hint="eastAsia" w:hAnsi="宋体"/>
          <w:color w:val="auto"/>
          <w:szCs w:val="21"/>
        </w:rPr>
        <w:t>备的保管费用的承担：</w:t>
      </w:r>
      <w:r>
        <w:rPr>
          <w:rFonts w:hint="eastAsia" w:hAnsi="宋体"/>
          <w:color w:val="auto"/>
          <w:szCs w:val="21"/>
          <w:u w:val="single"/>
        </w:rPr>
        <w:t>发包人供应的材料和工程设备，如须承包人代为保管的，承包人清点后由承包人妥善保管，保管期间产生的费用由发包人承担。监理人未通知承包人清点的，承包人不负责材料和工程设备的保管，由此导致丢失毁损的由发包人负责。发包人供应的材料和工程设备使用前，由承包人负责检验，检验费用由发包人承担，不合格的不得使用</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324" w:name="_Toc28277"/>
      <w:bookmarkStart w:id="325" w:name="_Toc15328"/>
      <w:bookmarkStart w:id="326" w:name="_Toc5423"/>
      <w:r>
        <w:rPr>
          <w:rFonts w:hAnsi="宋体" w:eastAsia="黑体"/>
          <w:color w:val="auto"/>
          <w:kern w:val="44"/>
          <w:szCs w:val="21"/>
        </w:rPr>
        <w:t xml:space="preserve">8.6 </w:t>
      </w:r>
      <w:r>
        <w:rPr>
          <w:rFonts w:hint="eastAsia" w:hAnsi="宋体" w:eastAsia="黑体"/>
          <w:color w:val="auto"/>
          <w:kern w:val="44"/>
          <w:szCs w:val="21"/>
        </w:rPr>
        <w:t>样品</w:t>
      </w:r>
      <w:bookmarkEnd w:id="324"/>
      <w:bookmarkEnd w:id="325"/>
      <w:bookmarkEnd w:id="326"/>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Ansi="宋体"/>
          <w:color w:val="auto"/>
          <w:szCs w:val="21"/>
        </w:rPr>
        <w:t>8.6.1</w:t>
      </w:r>
      <w:r>
        <w:rPr>
          <w:rFonts w:hAnsi="宋体"/>
          <w:color w:val="auto"/>
          <w:szCs w:val="21"/>
        </w:rPr>
        <w:tab/>
      </w:r>
      <w:r>
        <w:rPr>
          <w:rFonts w:hint="eastAsia" w:hAnsi="宋体"/>
          <w:color w:val="auto"/>
          <w:szCs w:val="21"/>
        </w:rPr>
        <w:t>样品</w:t>
      </w:r>
      <w:bookmarkStart w:id="327" w:name="_Toc373743651"/>
      <w:bookmarkStart w:id="328" w:name="_Toc406360336"/>
      <w:bookmarkStart w:id="329" w:name="_Toc412544302"/>
      <w:r>
        <w:rPr>
          <w:rFonts w:hint="eastAsia" w:hAnsi="宋体"/>
          <w:color w:val="auto"/>
          <w:szCs w:val="21"/>
        </w:rPr>
        <w:t>的报送与封存</w:t>
      </w:r>
      <w:bookmarkEnd w:id="327"/>
      <w:bookmarkEnd w:id="328"/>
      <w:bookmarkEnd w:id="329"/>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u w:val="single"/>
        </w:rPr>
      </w:pPr>
      <w:r>
        <w:rPr>
          <w:rFonts w:hint="eastAsia" w:hAnsi="宋体"/>
          <w:color w:val="auto"/>
          <w:szCs w:val="21"/>
        </w:rPr>
        <w:t>需要承包人报送样品的材料或工程设备，样品的种类、名称、规格、数量要求：</w:t>
      </w:r>
      <w:r>
        <w:rPr>
          <w:rFonts w:hint="eastAsia" w:hAnsi="宋体"/>
          <w:color w:val="auto"/>
          <w:szCs w:val="21"/>
          <w:u w:val="single"/>
        </w:rPr>
        <w:t>主要材料涉及品种、款式、颜色等方面内容的，承包人应提交准备合格的材料样品送发包人选定。</w:t>
      </w:r>
    </w:p>
    <w:p>
      <w:pPr>
        <w:keepNext/>
        <w:keepLines/>
        <w:pageBreakBefore w:val="0"/>
        <w:kinsoku/>
        <w:wordWrap/>
        <w:overflowPunct/>
        <w:topLinePunct w:val="0"/>
        <w:bidi w:val="0"/>
        <w:spacing w:line="360" w:lineRule="auto"/>
        <w:textAlignment w:val="auto"/>
        <w:outlineLvl w:val="0"/>
        <w:rPr>
          <w:color w:val="auto"/>
          <w:kern w:val="44"/>
          <w:szCs w:val="21"/>
        </w:rPr>
      </w:pPr>
      <w:bookmarkStart w:id="330" w:name="_Toc4424"/>
      <w:bookmarkStart w:id="331" w:name="_Toc16200"/>
      <w:bookmarkStart w:id="332" w:name="_Toc7121"/>
      <w:r>
        <w:rPr>
          <w:rFonts w:hAnsi="宋体" w:eastAsia="黑体"/>
          <w:color w:val="auto"/>
          <w:kern w:val="44"/>
          <w:szCs w:val="21"/>
        </w:rPr>
        <w:t xml:space="preserve">8.8 </w:t>
      </w:r>
      <w:r>
        <w:rPr>
          <w:rFonts w:hint="eastAsia" w:hAnsi="宋体" w:eastAsia="黑体"/>
          <w:color w:val="auto"/>
          <w:kern w:val="44"/>
          <w:szCs w:val="21"/>
        </w:rPr>
        <w:t>施工设备和临时设施</w:t>
      </w:r>
      <w:bookmarkEnd w:id="330"/>
      <w:bookmarkEnd w:id="331"/>
      <w:bookmarkEnd w:id="332"/>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Ansi="宋体"/>
          <w:color w:val="auto"/>
          <w:szCs w:val="21"/>
        </w:rPr>
        <w:t>8</w:t>
      </w:r>
      <w:bookmarkStart w:id="333" w:name="_Toc406360337"/>
      <w:bookmarkStart w:id="334" w:name="_Toc412544303"/>
      <w:bookmarkStart w:id="335" w:name="_Toc373743652"/>
      <w:r>
        <w:rPr>
          <w:rFonts w:hAnsi="宋体"/>
          <w:color w:val="auto"/>
          <w:szCs w:val="21"/>
        </w:rPr>
        <w:t xml:space="preserve">.8.1 </w:t>
      </w:r>
      <w:r>
        <w:rPr>
          <w:rFonts w:hint="eastAsia" w:hAnsi="宋体"/>
          <w:color w:val="auto"/>
          <w:szCs w:val="21"/>
        </w:rPr>
        <w:t>承包人提供的施工</w:t>
      </w:r>
      <w:bookmarkEnd w:id="333"/>
      <w:bookmarkEnd w:id="334"/>
      <w:bookmarkEnd w:id="335"/>
      <w:r>
        <w:rPr>
          <w:rFonts w:hint="eastAsia" w:hAnsi="宋体"/>
          <w:color w:val="auto"/>
          <w:szCs w:val="21"/>
        </w:rPr>
        <w:t>设备和临时设施</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int="eastAsia" w:hAnsi="宋体"/>
          <w:color w:val="auto"/>
          <w:szCs w:val="21"/>
        </w:rPr>
        <w:t>除专用合同条款另有约定的其他独立承包人和监理人指示的他人提供条件外，承包人运入施工场地的所有施工设备以及在施工场地建设的临时设施仅限于用于合同工程。</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int="eastAsia" w:hAnsi="宋体"/>
          <w:color w:val="auto"/>
          <w:szCs w:val="21"/>
        </w:rPr>
        <w:t>关于修建临时设施费用承担的约定：</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u w:val="single"/>
        </w:rPr>
      </w:pPr>
      <w:r>
        <w:rPr>
          <w:rFonts w:hint="eastAsia" w:hAnsi="宋体"/>
          <w:color w:val="auto"/>
          <w:szCs w:val="21"/>
          <w:u w:val="single"/>
        </w:rPr>
        <w:t>①承包人的临时用地（含项目部驻地等）租用费（含拆迁补偿）、临时用地的环保、恢复、临时用地的青苗补偿及地面附着物拆除等费用均由承包人负责，以上费用在投标报价中综合考虑。</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u w:val="single"/>
        </w:rPr>
      </w:pPr>
      <w:r>
        <w:rPr>
          <w:rFonts w:hint="eastAsia" w:hAnsi="宋体"/>
          <w:color w:val="auto"/>
          <w:szCs w:val="21"/>
          <w:u w:val="single"/>
        </w:rPr>
        <w:t>②承包人负责合同实施期间其合同段内临时交通道路（含场内外连接公共交通道路）和交通设施的修建、维修、养护和交通管理工作，并承担一切费用（如有）。</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u w:val="single"/>
        </w:rPr>
      </w:pPr>
      <w:r>
        <w:rPr>
          <w:rFonts w:hint="eastAsia" w:hAnsi="宋体"/>
          <w:color w:val="auto"/>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Ansi="宋体"/>
          <w:color w:val="auto"/>
          <w:szCs w:val="21"/>
        </w:rPr>
        <w:t xml:space="preserve">8.8.2 </w:t>
      </w:r>
      <w:r>
        <w:rPr>
          <w:rFonts w:hint="eastAsia" w:hAnsi="宋体"/>
          <w:color w:val="auto"/>
          <w:szCs w:val="21"/>
        </w:rPr>
        <w:t>发包人提供的施工设备和临时设施</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int="eastAsia" w:hAnsi="宋体"/>
          <w:color w:val="auto"/>
          <w:szCs w:val="21"/>
        </w:rPr>
        <w:t>发包人提供的施工设备和临时设施：</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int="eastAsia" w:hAnsi="宋体"/>
          <w:color w:val="auto"/>
          <w:szCs w:val="21"/>
        </w:rPr>
        <w:t>发包人提供的施工设备和临时设施的运行、维护、拆除、清运费用的承担人：</w:t>
      </w:r>
      <w:r>
        <w:rPr>
          <w:rFonts w:hint="eastAsia" w:hAnsi="宋体"/>
          <w:color w:val="auto"/>
          <w:szCs w:val="21"/>
          <w:u w:val="single"/>
        </w:rPr>
        <w:t>无</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336" w:name="_Toc27945"/>
      <w:bookmarkStart w:id="337" w:name="_Toc10715"/>
      <w:bookmarkStart w:id="338" w:name="_Toc14685"/>
      <w:r>
        <w:rPr>
          <w:rFonts w:hAnsi="宋体" w:eastAsia="黑体"/>
          <w:color w:val="auto"/>
          <w:kern w:val="44"/>
          <w:szCs w:val="21"/>
        </w:rPr>
        <w:t xml:space="preserve">9. </w:t>
      </w:r>
      <w:r>
        <w:rPr>
          <w:rFonts w:hint="eastAsia" w:hAnsi="宋体" w:eastAsia="黑体"/>
          <w:color w:val="auto"/>
          <w:kern w:val="44"/>
          <w:szCs w:val="21"/>
        </w:rPr>
        <w:t>试验与检验</w:t>
      </w:r>
      <w:bookmarkEnd w:id="336"/>
      <w:bookmarkEnd w:id="337"/>
      <w:bookmarkEnd w:id="338"/>
    </w:p>
    <w:p>
      <w:pPr>
        <w:keepNext/>
        <w:keepLines/>
        <w:pageBreakBefore w:val="0"/>
        <w:kinsoku/>
        <w:wordWrap/>
        <w:overflowPunct/>
        <w:topLinePunct w:val="0"/>
        <w:bidi w:val="0"/>
        <w:spacing w:line="360" w:lineRule="auto"/>
        <w:textAlignment w:val="auto"/>
        <w:outlineLvl w:val="0"/>
        <w:rPr>
          <w:color w:val="auto"/>
          <w:kern w:val="44"/>
          <w:szCs w:val="21"/>
        </w:rPr>
      </w:pPr>
      <w:bookmarkStart w:id="339" w:name="_Toc9425"/>
      <w:bookmarkStart w:id="340" w:name="_Toc16098"/>
      <w:bookmarkStart w:id="341" w:name="_Toc6824"/>
      <w:r>
        <w:rPr>
          <w:rFonts w:hAnsi="宋体" w:eastAsia="黑体"/>
          <w:color w:val="auto"/>
          <w:kern w:val="44"/>
          <w:szCs w:val="21"/>
        </w:rPr>
        <w:t>9.1</w:t>
      </w:r>
      <w:r>
        <w:rPr>
          <w:rFonts w:hint="eastAsia" w:hAnsi="宋体" w:eastAsia="黑体"/>
          <w:color w:val="auto"/>
          <w:kern w:val="44"/>
          <w:szCs w:val="21"/>
        </w:rPr>
        <w:t>试验设</w:t>
      </w:r>
      <w:bookmarkStart w:id="342" w:name="_Toc412544304"/>
      <w:bookmarkStart w:id="343" w:name="_Toc406360338"/>
      <w:bookmarkStart w:id="344" w:name="_Toc373743653"/>
      <w:r>
        <w:rPr>
          <w:rFonts w:hint="eastAsia" w:hAnsi="宋体" w:eastAsia="黑体"/>
          <w:color w:val="auto"/>
          <w:kern w:val="44"/>
          <w:szCs w:val="21"/>
        </w:rPr>
        <w:t>备与试验人员</w:t>
      </w:r>
      <w:bookmarkEnd w:id="339"/>
      <w:bookmarkEnd w:id="340"/>
      <w:bookmarkEnd w:id="341"/>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9</w:t>
      </w:r>
      <w:bookmarkEnd w:id="342"/>
      <w:bookmarkEnd w:id="343"/>
      <w:bookmarkEnd w:id="344"/>
      <w:r>
        <w:rPr>
          <w:rFonts w:hAnsi="宋体"/>
          <w:color w:val="auto"/>
          <w:szCs w:val="21"/>
        </w:rPr>
        <w:t>.</w:t>
      </w:r>
      <w:bookmarkStart w:id="345" w:name="_Toc373743654"/>
      <w:bookmarkStart w:id="346" w:name="_Toc412544305"/>
      <w:bookmarkStart w:id="347" w:name="_Toc406360339"/>
      <w:r>
        <w:rPr>
          <w:rFonts w:hAnsi="宋体"/>
          <w:color w:val="auto"/>
          <w:szCs w:val="21"/>
        </w:rPr>
        <w:t xml:space="preserve">1.2 </w:t>
      </w:r>
      <w:r>
        <w:rPr>
          <w:rFonts w:hint="eastAsia" w:hAnsi="宋体"/>
          <w:color w:val="auto"/>
          <w:szCs w:val="21"/>
        </w:rPr>
        <w:t>试验设备</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施工现场需要配置的试验场所：</w:t>
      </w:r>
      <w:r>
        <w:rPr>
          <w:rFonts w:hint="eastAsia" w:hAnsi="宋体"/>
          <w:color w:val="auto"/>
          <w:szCs w:val="21"/>
          <w:u w:val="single"/>
        </w:rPr>
        <w:t>承包人根据施工需要自行确定</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施工现场需要配备的试验设备：</w:t>
      </w:r>
      <w:r>
        <w:rPr>
          <w:rFonts w:hint="eastAsia" w:hAnsi="宋体"/>
          <w:color w:val="auto"/>
          <w:szCs w:val="21"/>
          <w:u w:val="single"/>
        </w:rPr>
        <w:t>承包人根据施工需要自行确定</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施工现场需要具备的其他试验条件：</w:t>
      </w:r>
      <w:r>
        <w:rPr>
          <w:rFonts w:hint="eastAsia" w:hAnsi="宋体"/>
          <w:color w:val="auto"/>
          <w:szCs w:val="21"/>
          <w:u w:val="single"/>
        </w:rPr>
        <w:t>承包人根据施工需要自行确定</w:t>
      </w:r>
      <w:bookmarkEnd w:id="345"/>
      <w:bookmarkEnd w:id="346"/>
      <w:bookmarkEnd w:id="347"/>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rFonts w:hAnsi="宋体" w:eastAsia="黑体"/>
          <w:color w:val="auto"/>
          <w:kern w:val="44"/>
          <w:szCs w:val="21"/>
        </w:rPr>
      </w:pPr>
      <w:bookmarkStart w:id="348" w:name="_Toc10363"/>
      <w:bookmarkStart w:id="349" w:name="_Toc8098"/>
      <w:bookmarkStart w:id="350" w:name="_Toc4338"/>
      <w:r>
        <w:rPr>
          <w:rFonts w:hAnsi="宋体" w:eastAsia="黑体"/>
          <w:color w:val="auto"/>
          <w:kern w:val="44"/>
          <w:szCs w:val="21"/>
        </w:rPr>
        <w:t xml:space="preserve">9.4 </w:t>
      </w:r>
      <w:r>
        <w:rPr>
          <w:rFonts w:hint="eastAsia" w:hAnsi="宋体" w:eastAsia="黑体"/>
          <w:color w:val="auto"/>
          <w:kern w:val="44"/>
          <w:szCs w:val="21"/>
        </w:rPr>
        <w:t>现场工艺试验</w:t>
      </w:r>
      <w:bookmarkEnd w:id="348"/>
      <w:bookmarkEnd w:id="349"/>
      <w:bookmarkEnd w:id="350"/>
    </w:p>
    <w:p>
      <w:pPr>
        <w:pageBreakBefore w:val="0"/>
        <w:kinsoku/>
        <w:wordWrap/>
        <w:overflowPunct/>
        <w:topLinePunct w:val="0"/>
        <w:bidi w:val="0"/>
        <w:spacing w:line="360" w:lineRule="auto"/>
        <w:ind w:firstLine="420" w:firstLineChars="200"/>
        <w:jc w:val="left"/>
        <w:textAlignment w:val="auto"/>
        <w:rPr>
          <w:rFonts w:hint="eastAsia" w:hAnsi="宋体"/>
          <w:color w:val="auto"/>
          <w:szCs w:val="21"/>
        </w:rPr>
      </w:pPr>
      <w:r>
        <w:rPr>
          <w:rFonts w:hint="eastAsia" w:hAnsi="宋体"/>
          <w:color w:val="auto"/>
          <w:szCs w:val="21"/>
        </w:rPr>
        <w:t>现场工</w:t>
      </w:r>
      <w:bookmarkStart w:id="351" w:name="_Toc406360340"/>
      <w:bookmarkStart w:id="352" w:name="_Toc412544306"/>
      <w:bookmarkStart w:id="353" w:name="_Toc373743655"/>
      <w:r>
        <w:rPr>
          <w:rFonts w:hint="eastAsia" w:hAnsi="宋体"/>
          <w:color w:val="auto"/>
          <w:szCs w:val="21"/>
        </w:rPr>
        <w:t>艺试验的有关约定：</w:t>
      </w:r>
      <w:bookmarkEnd w:id="351"/>
      <w:bookmarkEnd w:id="352"/>
      <w:bookmarkEnd w:id="353"/>
      <w:r>
        <w:rPr>
          <w:rFonts w:hint="eastAsia" w:hAnsi="宋体"/>
          <w:color w:val="auto"/>
          <w:szCs w:val="21"/>
          <w:u w:val="single"/>
        </w:rPr>
        <w:t>承包人根据施工需要自行确定</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rFonts w:hint="eastAsia" w:hAnsi="宋体" w:eastAsia="黑体"/>
          <w:color w:val="auto"/>
          <w:kern w:val="44"/>
          <w:szCs w:val="21"/>
          <w:lang w:val="en-US" w:eastAsia="zh-CN"/>
        </w:rPr>
      </w:pPr>
      <w:bookmarkStart w:id="354" w:name="_Toc4036"/>
      <w:bookmarkStart w:id="355" w:name="_Toc7963"/>
      <w:r>
        <w:rPr>
          <w:rFonts w:hint="eastAsia" w:hAnsi="宋体" w:eastAsia="黑体"/>
          <w:color w:val="auto"/>
          <w:kern w:val="44"/>
          <w:szCs w:val="21"/>
          <w:lang w:val="en-US" w:eastAsia="zh-CN"/>
        </w:rPr>
        <w:t>9.5检验费用</w:t>
      </w:r>
      <w:bookmarkEnd w:id="354"/>
      <w:bookmarkEnd w:id="355"/>
    </w:p>
    <w:p>
      <w:pPr>
        <w:pageBreakBefore w:val="0"/>
        <w:kinsoku/>
        <w:wordWrap/>
        <w:overflowPunct/>
        <w:topLinePunct w:val="0"/>
        <w:bidi w:val="0"/>
        <w:spacing w:line="360" w:lineRule="auto"/>
        <w:ind w:firstLine="420" w:firstLineChars="200"/>
        <w:jc w:val="left"/>
        <w:textAlignment w:val="auto"/>
        <w:rPr>
          <w:rFonts w:hint="eastAsia" w:hAnsi="宋体"/>
          <w:color w:val="auto"/>
          <w:szCs w:val="21"/>
        </w:rPr>
      </w:pPr>
      <w:r>
        <w:rPr>
          <w:rFonts w:hint="eastAsia" w:hAnsi="宋体"/>
          <w:color w:val="auto"/>
          <w:szCs w:val="21"/>
        </w:rPr>
        <w:t>根据《建设工程质量检测管理办法》（建设部令第 141 号）以及《广西壮族自治区建设工程质量检测管理规定》（桂建管〔2013〕11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pPr>
        <w:keepNext/>
        <w:keepLines/>
        <w:pageBreakBefore w:val="0"/>
        <w:kinsoku/>
        <w:wordWrap/>
        <w:overflowPunct/>
        <w:topLinePunct w:val="0"/>
        <w:bidi w:val="0"/>
        <w:spacing w:line="360" w:lineRule="auto"/>
        <w:textAlignment w:val="auto"/>
        <w:outlineLvl w:val="0"/>
        <w:rPr>
          <w:color w:val="auto"/>
          <w:kern w:val="44"/>
          <w:szCs w:val="21"/>
        </w:rPr>
      </w:pPr>
      <w:bookmarkStart w:id="356" w:name="_Toc8967"/>
      <w:bookmarkStart w:id="357" w:name="_Toc21644"/>
      <w:bookmarkStart w:id="358" w:name="_Toc29338"/>
      <w:r>
        <w:rPr>
          <w:rFonts w:hAnsi="宋体" w:eastAsia="黑体"/>
          <w:color w:val="auto"/>
          <w:kern w:val="44"/>
          <w:szCs w:val="21"/>
        </w:rPr>
        <w:t xml:space="preserve">10. </w:t>
      </w:r>
      <w:r>
        <w:rPr>
          <w:rFonts w:hint="eastAsia" w:hAnsi="宋体" w:eastAsia="黑体"/>
          <w:color w:val="auto"/>
          <w:kern w:val="44"/>
          <w:szCs w:val="21"/>
        </w:rPr>
        <w:t>变更</w:t>
      </w:r>
      <w:bookmarkEnd w:id="356"/>
      <w:bookmarkEnd w:id="357"/>
      <w:bookmarkEnd w:id="358"/>
    </w:p>
    <w:p>
      <w:pPr>
        <w:keepNext/>
        <w:keepLines/>
        <w:pageBreakBefore w:val="0"/>
        <w:kinsoku/>
        <w:wordWrap/>
        <w:overflowPunct/>
        <w:topLinePunct w:val="0"/>
        <w:bidi w:val="0"/>
        <w:spacing w:line="360" w:lineRule="auto"/>
        <w:textAlignment w:val="auto"/>
        <w:outlineLvl w:val="0"/>
        <w:rPr>
          <w:color w:val="auto"/>
          <w:kern w:val="44"/>
          <w:szCs w:val="21"/>
        </w:rPr>
      </w:pPr>
      <w:bookmarkStart w:id="359" w:name="_Toc18018"/>
      <w:bookmarkStart w:id="360" w:name="_Toc24340"/>
      <w:bookmarkStart w:id="361" w:name="_Toc6588"/>
      <w:r>
        <w:rPr>
          <w:rFonts w:hAnsi="宋体" w:eastAsia="黑体"/>
          <w:color w:val="auto"/>
          <w:kern w:val="44"/>
          <w:szCs w:val="21"/>
        </w:rPr>
        <w:t>10.1</w:t>
      </w:r>
      <w:r>
        <w:rPr>
          <w:rFonts w:hint="eastAsia" w:hAnsi="宋体" w:eastAsia="黑体"/>
          <w:color w:val="auto"/>
          <w:kern w:val="44"/>
          <w:szCs w:val="21"/>
        </w:rPr>
        <w:t>变更的范</w:t>
      </w:r>
      <w:bookmarkStart w:id="362" w:name="_Toc412544307"/>
      <w:bookmarkStart w:id="363" w:name="_Toc406360341"/>
      <w:bookmarkStart w:id="364" w:name="_Toc373743656"/>
      <w:r>
        <w:rPr>
          <w:rFonts w:hint="eastAsia" w:hAnsi="宋体" w:eastAsia="黑体"/>
          <w:color w:val="auto"/>
          <w:kern w:val="44"/>
          <w:szCs w:val="21"/>
        </w:rPr>
        <w:t>围</w:t>
      </w:r>
      <w:bookmarkEnd w:id="359"/>
      <w:bookmarkEnd w:id="360"/>
      <w:bookmarkEnd w:id="361"/>
    </w:p>
    <w:p>
      <w:pPr>
        <w:pageBreakBefore w:val="0"/>
        <w:kinsoku/>
        <w:wordWrap/>
        <w:overflowPunct/>
        <w:topLinePunct w:val="0"/>
        <w:bidi w:val="0"/>
        <w:spacing w:line="360" w:lineRule="auto"/>
        <w:ind w:firstLine="426"/>
        <w:jc w:val="left"/>
        <w:textAlignment w:val="auto"/>
        <w:rPr>
          <w:color w:val="auto"/>
          <w:szCs w:val="21"/>
        </w:rPr>
      </w:pPr>
      <w:r>
        <w:rPr>
          <w:rFonts w:hint="eastAsia" w:hAnsi="宋体"/>
          <w:color w:val="auto"/>
          <w:szCs w:val="21"/>
        </w:rPr>
        <w:t>关于变更</w:t>
      </w:r>
      <w:bookmarkEnd w:id="362"/>
      <w:bookmarkEnd w:id="363"/>
      <w:bookmarkEnd w:id="364"/>
      <w:r>
        <w:rPr>
          <w:rFonts w:hint="eastAsia" w:hAnsi="宋体"/>
          <w:color w:val="auto"/>
          <w:szCs w:val="21"/>
        </w:rPr>
        <w:t>的</w:t>
      </w:r>
      <w:bookmarkStart w:id="365" w:name="_Toc412544308"/>
      <w:bookmarkStart w:id="366" w:name="_Toc406360342"/>
      <w:bookmarkStart w:id="367" w:name="_Toc373743657"/>
      <w:r>
        <w:rPr>
          <w:rFonts w:hint="eastAsia" w:hAnsi="宋体"/>
          <w:color w:val="auto"/>
          <w:szCs w:val="21"/>
        </w:rPr>
        <w:t>范围的约定：</w:t>
      </w:r>
      <w:r>
        <w:rPr>
          <w:rFonts w:hint="eastAsia" w:hAnsi="宋体"/>
          <w:color w:val="auto"/>
          <w:szCs w:val="21"/>
          <w:u w:val="single"/>
        </w:rPr>
        <w:t>按通用合同条款</w:t>
      </w:r>
      <w:r>
        <w:rPr>
          <w:rFonts w:hAnsi="宋体"/>
          <w:color w:val="auto"/>
          <w:szCs w:val="21"/>
          <w:u w:val="single"/>
        </w:rPr>
        <w:t>10.1</w:t>
      </w:r>
      <w:r>
        <w:rPr>
          <w:rFonts w:hint="eastAsia" w:hAnsi="宋体"/>
          <w:color w:val="auto"/>
          <w:szCs w:val="21"/>
          <w:u w:val="single"/>
        </w:rPr>
        <w:t>款并经发包人批准</w:t>
      </w:r>
      <w:bookmarkEnd w:id="365"/>
      <w:bookmarkEnd w:id="366"/>
      <w:bookmarkEnd w:id="367"/>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368" w:name="_Toc3747"/>
      <w:bookmarkStart w:id="369" w:name="_Toc17698"/>
      <w:bookmarkStart w:id="370" w:name="_Toc32052"/>
      <w:r>
        <w:rPr>
          <w:rFonts w:hAnsi="宋体" w:eastAsia="黑体"/>
          <w:color w:val="auto"/>
          <w:kern w:val="44"/>
          <w:szCs w:val="21"/>
        </w:rPr>
        <w:t xml:space="preserve">10.3 </w:t>
      </w:r>
      <w:r>
        <w:rPr>
          <w:rFonts w:hint="eastAsia" w:hAnsi="宋体" w:eastAsia="黑体"/>
          <w:color w:val="auto"/>
          <w:kern w:val="44"/>
          <w:szCs w:val="21"/>
        </w:rPr>
        <w:t>变更程序</w:t>
      </w:r>
      <w:bookmarkEnd w:id="368"/>
      <w:bookmarkEnd w:id="369"/>
      <w:bookmarkEnd w:id="370"/>
    </w:p>
    <w:p>
      <w:pPr>
        <w:pageBreakBefore w:val="0"/>
        <w:kinsoku/>
        <w:wordWrap/>
        <w:overflowPunct/>
        <w:topLinePunct w:val="0"/>
        <w:bidi w:val="0"/>
        <w:spacing w:line="360" w:lineRule="auto"/>
        <w:ind w:firstLine="420" w:firstLineChars="200"/>
        <w:textAlignment w:val="auto"/>
        <w:rPr>
          <w:rFonts w:cs="宋体"/>
          <w:color w:val="auto"/>
          <w:szCs w:val="21"/>
        </w:rPr>
      </w:pPr>
      <w:r>
        <w:rPr>
          <w:rFonts w:hint="eastAsia" w:hAnsi="宋体" w:cs="宋体"/>
          <w:color w:val="auto"/>
          <w:szCs w:val="21"/>
        </w:rPr>
        <w:t>⑴设计变更和工程签证，</w:t>
      </w:r>
      <w:r>
        <w:rPr>
          <w:rFonts w:hint="eastAsia" w:hAnsi="宋体" w:cs="宋体"/>
          <w:color w:val="auto"/>
          <w:szCs w:val="21"/>
          <w:u w:val="single"/>
        </w:rPr>
        <w:t>按发包方相关规定办理</w:t>
      </w:r>
      <w:r>
        <w:rPr>
          <w:rFonts w:hint="eastAsia" w:hAnsi="宋体" w:cs="宋体"/>
          <w:color w:val="auto"/>
          <w:szCs w:val="21"/>
        </w:rPr>
        <w:t>。</w:t>
      </w:r>
    </w:p>
    <w:p>
      <w:pPr>
        <w:pageBreakBefore w:val="0"/>
        <w:kinsoku/>
        <w:wordWrap/>
        <w:overflowPunct/>
        <w:topLinePunct w:val="0"/>
        <w:bidi w:val="0"/>
        <w:spacing w:line="360" w:lineRule="auto"/>
        <w:textAlignment w:val="auto"/>
        <w:rPr>
          <w:rFonts w:cs="宋体"/>
          <w:color w:val="auto"/>
          <w:szCs w:val="21"/>
        </w:rPr>
      </w:pPr>
      <w:r>
        <w:rPr>
          <w:rFonts w:hint="eastAsia" w:hAnsi="宋体" w:cs="宋体"/>
          <w:color w:val="auto"/>
          <w:szCs w:val="21"/>
        </w:rPr>
        <w:t>⑵工程设计变更和签证工程发生后</w:t>
      </w:r>
      <w:r>
        <w:rPr>
          <w:rFonts w:hAnsi="宋体" w:cs="宋体"/>
          <w:color w:val="auto"/>
          <w:szCs w:val="21"/>
        </w:rPr>
        <w:t>10</w:t>
      </w:r>
      <w:r>
        <w:rPr>
          <w:rFonts w:hint="eastAsia" w:hAnsi="宋体" w:cs="宋体"/>
          <w:color w:val="auto"/>
          <w:szCs w:val="21"/>
        </w:rPr>
        <w:t>个工作日内，由</w:t>
      </w:r>
      <w:r>
        <w:rPr>
          <w:rFonts w:hint="eastAsia" w:hAnsi="宋体" w:cs="宋体"/>
          <w:color w:val="auto"/>
          <w:szCs w:val="21"/>
          <w:u w:val="single"/>
        </w:rPr>
        <w:t>承包人</w:t>
      </w:r>
      <w:r>
        <w:rPr>
          <w:rFonts w:hint="eastAsia" w:hAnsi="宋体" w:cs="宋体"/>
          <w:color w:val="auto"/>
          <w:szCs w:val="21"/>
        </w:rPr>
        <w:t>将有关变更文件、签证单审批件、工程联系单、预算书等工程资料送</w:t>
      </w:r>
      <w:r>
        <w:rPr>
          <w:rFonts w:hint="eastAsia" w:hAnsi="宋体" w:cs="宋体"/>
          <w:color w:val="auto"/>
          <w:szCs w:val="21"/>
          <w:u w:val="single"/>
        </w:rPr>
        <w:t>发包人</w:t>
      </w:r>
      <w:r>
        <w:rPr>
          <w:rFonts w:hint="eastAsia" w:hAnsi="宋体" w:cs="宋体"/>
          <w:color w:val="auto"/>
          <w:szCs w:val="21"/>
        </w:rPr>
        <w:t>备案，并作为进度款支付、事后抽查和工程结算的主要依据。</w:t>
      </w:r>
    </w:p>
    <w:p>
      <w:pPr>
        <w:pageBreakBefore w:val="0"/>
        <w:kinsoku/>
        <w:wordWrap/>
        <w:overflowPunct/>
        <w:topLinePunct w:val="0"/>
        <w:bidi w:val="0"/>
        <w:spacing w:line="360" w:lineRule="auto"/>
        <w:ind w:firstLine="441" w:firstLineChars="210"/>
        <w:textAlignment w:val="auto"/>
        <w:rPr>
          <w:rFonts w:cs="宋体"/>
          <w:color w:val="auto"/>
          <w:szCs w:val="21"/>
        </w:rPr>
      </w:pPr>
      <w:r>
        <w:rPr>
          <w:rFonts w:hint="eastAsia" w:hAnsi="宋体" w:cs="宋体"/>
          <w:color w:val="auto"/>
          <w:szCs w:val="21"/>
        </w:rPr>
        <w:t>⑶在实施项目过程中，若发生单价变动，按专用合同条款10.4.1款执行。</w:t>
      </w:r>
    </w:p>
    <w:p>
      <w:pPr>
        <w:pageBreakBefore w:val="0"/>
        <w:kinsoku/>
        <w:wordWrap/>
        <w:overflowPunct/>
        <w:topLinePunct w:val="0"/>
        <w:bidi w:val="0"/>
        <w:spacing w:line="360" w:lineRule="auto"/>
        <w:ind w:firstLine="441" w:firstLineChars="210"/>
        <w:textAlignment w:val="auto"/>
        <w:rPr>
          <w:rFonts w:cs="宋体"/>
          <w:color w:val="auto"/>
          <w:szCs w:val="21"/>
        </w:rPr>
      </w:pPr>
      <w:r>
        <w:rPr>
          <w:rFonts w:hint="eastAsia" w:hAnsi="宋体" w:cs="宋体"/>
          <w:color w:val="auto"/>
          <w:szCs w:val="21"/>
        </w:rPr>
        <w:t>⑷承包人应当在合同规定的调整情况发生后</w:t>
      </w:r>
      <w:r>
        <w:rPr>
          <w:rFonts w:hAnsi="宋体" w:cs="宋体"/>
          <w:color w:val="auto"/>
          <w:szCs w:val="21"/>
        </w:rPr>
        <w:t>14</w:t>
      </w:r>
      <w:r>
        <w:rPr>
          <w:rFonts w:hint="eastAsia" w:hAnsi="宋体" w:cs="宋体"/>
          <w:color w:val="auto"/>
          <w:szCs w:val="21"/>
        </w:rPr>
        <w:t>天内，将调整原因，金额以书面形式通知发包人，发包人按第⑴、⑵、⑶条款的要求初步确认调整金额后将其作为追加合同价款，按不高于</w:t>
      </w:r>
      <w:r>
        <w:rPr>
          <w:rFonts w:hAnsi="宋体" w:cs="宋体"/>
          <w:color w:val="auto"/>
          <w:szCs w:val="21"/>
        </w:rPr>
        <w:t>60%</w:t>
      </w:r>
      <w:r>
        <w:rPr>
          <w:rFonts w:hint="eastAsia" w:hAnsi="宋体" w:cs="宋体"/>
          <w:color w:val="auto"/>
          <w:szCs w:val="21"/>
        </w:rPr>
        <w:t>的比例与工程进度款同期支付，调整金额待工程单项结算或结算时，由发包方最终审定。</w:t>
      </w:r>
    </w:p>
    <w:p>
      <w:pPr>
        <w:pageBreakBefore w:val="0"/>
        <w:kinsoku/>
        <w:wordWrap/>
        <w:overflowPunct/>
        <w:topLinePunct w:val="0"/>
        <w:bidi w:val="0"/>
        <w:spacing w:line="360" w:lineRule="auto"/>
        <w:ind w:firstLine="441" w:firstLineChars="210"/>
        <w:textAlignment w:val="auto"/>
        <w:rPr>
          <w:color w:val="auto"/>
          <w:szCs w:val="21"/>
        </w:rPr>
      </w:pPr>
      <w:r>
        <w:rPr>
          <w:rFonts w:hint="eastAsia" w:hAnsi="宋体" w:cs="宋体"/>
          <w:color w:val="auto"/>
          <w:szCs w:val="21"/>
        </w:rPr>
        <w:t>⑸当合同规定的调整合同价款的调整情况发生后，承包人未在规定时间内通知发包人，或者未在规定时间内提出调整报告，发包人可以根据有关资料，决定是否调整和调整的金额，并书面通知承包人。</w:t>
      </w:r>
    </w:p>
    <w:p>
      <w:pPr>
        <w:pageBreakBefore w:val="0"/>
        <w:kinsoku/>
        <w:wordWrap/>
        <w:overflowPunct/>
        <w:topLinePunct w:val="0"/>
        <w:bidi w:val="0"/>
        <w:spacing w:line="360" w:lineRule="auto"/>
        <w:ind w:firstLine="420"/>
        <w:textAlignment w:val="auto"/>
        <w:rPr>
          <w:rFonts w:hAnsi="宋体"/>
          <w:color w:val="auto"/>
          <w:szCs w:val="21"/>
        </w:rPr>
      </w:pPr>
      <w:r>
        <w:rPr>
          <w:rFonts w:hint="eastAsia" w:hAnsi="宋体"/>
          <w:color w:val="auto"/>
          <w:szCs w:val="21"/>
        </w:rPr>
        <w:t>（</w:t>
      </w:r>
      <w:r>
        <w:rPr>
          <w:color w:val="auto"/>
          <w:szCs w:val="21"/>
        </w:rPr>
        <w:t>6</w:t>
      </w:r>
      <w:r>
        <w:rPr>
          <w:rFonts w:hint="eastAsia" w:hAnsi="宋体"/>
          <w:color w:val="auto"/>
          <w:szCs w:val="21"/>
        </w:rPr>
        <w:t>）</w:t>
      </w:r>
      <w:r>
        <w:rPr>
          <w:rFonts w:hint="eastAsia" w:hAnsi="宋体"/>
          <w:color w:val="auto"/>
          <w:szCs w:val="21"/>
          <w:u w:val="single"/>
        </w:rPr>
        <w:t>对于双方在价格上有争议的材料或设备，发包方有权采取甲供材的方式进行材料或设备采购；承包方必须无条件执行且继续履行安装任务。在发包人书面通知承包人继续施工，承包人拒不执行的，发包人有权立即组织第三方进场施工，所发生费用由承包人承担（发包人仅需书面告知），且承包人不能因此免除保修责任。</w:t>
      </w:r>
    </w:p>
    <w:p>
      <w:pPr>
        <w:keepNext/>
        <w:keepLines/>
        <w:pageBreakBefore w:val="0"/>
        <w:kinsoku/>
        <w:wordWrap/>
        <w:overflowPunct/>
        <w:topLinePunct w:val="0"/>
        <w:bidi w:val="0"/>
        <w:spacing w:line="360" w:lineRule="auto"/>
        <w:textAlignment w:val="auto"/>
        <w:outlineLvl w:val="0"/>
        <w:rPr>
          <w:color w:val="auto"/>
          <w:kern w:val="44"/>
          <w:szCs w:val="21"/>
        </w:rPr>
      </w:pPr>
      <w:bookmarkStart w:id="371" w:name="_Toc3986"/>
      <w:bookmarkStart w:id="372" w:name="_Toc17717"/>
      <w:bookmarkStart w:id="373" w:name="_Toc10349"/>
      <w:r>
        <w:rPr>
          <w:rFonts w:hAnsi="宋体" w:eastAsia="黑体"/>
          <w:color w:val="auto"/>
          <w:kern w:val="44"/>
          <w:szCs w:val="21"/>
        </w:rPr>
        <w:t xml:space="preserve">10.4 </w:t>
      </w:r>
      <w:r>
        <w:rPr>
          <w:rFonts w:hint="eastAsia" w:hAnsi="宋体" w:eastAsia="黑体"/>
          <w:color w:val="auto"/>
          <w:kern w:val="44"/>
          <w:szCs w:val="21"/>
        </w:rPr>
        <w:t>变更估价</w:t>
      </w:r>
      <w:bookmarkEnd w:id="371"/>
      <w:bookmarkEnd w:id="372"/>
      <w:bookmarkEnd w:id="373"/>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10.4.</w:t>
      </w:r>
      <w:bookmarkStart w:id="374" w:name="_Toc373743659"/>
      <w:bookmarkStart w:id="375" w:name="_Toc412544310"/>
      <w:bookmarkStart w:id="376" w:name="_Toc406360344"/>
      <w:r>
        <w:rPr>
          <w:rFonts w:hAnsi="宋体"/>
          <w:color w:val="auto"/>
          <w:szCs w:val="21"/>
        </w:rPr>
        <w:t xml:space="preserve">1 </w:t>
      </w:r>
      <w:r>
        <w:rPr>
          <w:rFonts w:hint="eastAsia" w:hAnsi="宋体"/>
          <w:color w:val="auto"/>
          <w:szCs w:val="21"/>
        </w:rPr>
        <w:t>变更估价原则</w:t>
      </w:r>
    </w:p>
    <w:bookmarkEnd w:id="374"/>
    <w:bookmarkEnd w:id="375"/>
    <w:bookmarkEnd w:id="376"/>
    <w:p>
      <w:pPr>
        <w:pageBreakBefore w:val="0"/>
        <w:tabs>
          <w:tab w:val="left" w:pos="3828"/>
        </w:tabs>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关于变更估价的约定</w:t>
      </w:r>
      <w:r>
        <w:rPr>
          <w:rFonts w:hAnsi="宋体"/>
          <w:color w:val="auto"/>
          <w:szCs w:val="21"/>
        </w:rPr>
        <w:t xml:space="preserve">: </w:t>
      </w:r>
      <w:r>
        <w:rPr>
          <w:rFonts w:hint="eastAsia" w:hAnsi="宋体"/>
          <w:color w:val="auto"/>
          <w:szCs w:val="21"/>
          <w:u w:val="single"/>
        </w:rPr>
        <w:t>因设计变更、相关签证引起工程项目、工程量任何变化的，变更合同价款按下列方法进行：（</w:t>
      </w:r>
      <w:r>
        <w:rPr>
          <w:rFonts w:hAnsi="宋体"/>
          <w:color w:val="auto"/>
          <w:szCs w:val="21"/>
          <w:u w:val="single"/>
        </w:rPr>
        <w:t>1</w:t>
      </w:r>
      <w:r>
        <w:rPr>
          <w:rFonts w:hint="eastAsia" w:hAnsi="宋体"/>
          <w:color w:val="auto"/>
          <w:szCs w:val="21"/>
          <w:u w:val="single"/>
        </w:rPr>
        <w:t>）合同中已有相同子目的，按合同该子目价格进行计算；（</w:t>
      </w:r>
      <w:r>
        <w:rPr>
          <w:rFonts w:hAnsi="宋体"/>
          <w:color w:val="auto"/>
          <w:szCs w:val="21"/>
          <w:u w:val="single"/>
        </w:rPr>
        <w:t>2</w:t>
      </w:r>
      <w:r>
        <w:rPr>
          <w:rFonts w:hint="eastAsia" w:hAnsi="宋体"/>
          <w:color w:val="auto"/>
          <w:szCs w:val="21"/>
          <w:u w:val="single"/>
        </w:rPr>
        <w:t>）合同中只有类似子目的，参照该类似子目价格进行计算；（</w:t>
      </w:r>
      <w:r>
        <w:rPr>
          <w:rFonts w:hAnsi="宋体"/>
          <w:color w:val="auto"/>
          <w:szCs w:val="21"/>
          <w:u w:val="single"/>
        </w:rPr>
        <w:t>3</w:t>
      </w:r>
      <w:r>
        <w:rPr>
          <w:rFonts w:hint="eastAsia" w:hAnsi="宋体"/>
          <w:color w:val="auto"/>
          <w:szCs w:val="21"/>
          <w:u w:val="single"/>
        </w:rPr>
        <w:t>）合同中没有适用或类似子目的价格计算方法：有定额的套定额（土石方工程除外），并乘以相应中标系数（中标价/招标上限控制价）系数计算，其中材料价格按</w:t>
      </w:r>
      <w:r>
        <w:rPr>
          <w:rFonts w:hint="eastAsia" w:hAnsi="宋体" w:cs="宋体"/>
          <w:color w:val="auto"/>
          <w:szCs w:val="21"/>
          <w:u w:val="single"/>
        </w:rPr>
        <w:t>《</w:t>
      </w:r>
      <w:r>
        <w:rPr>
          <w:rFonts w:hint="eastAsia" w:hAnsi="宋体" w:cs="宋体"/>
          <w:color w:val="auto"/>
          <w:szCs w:val="21"/>
          <w:u w:val="single"/>
          <w:lang w:val="en-US" w:eastAsia="zh-CN"/>
        </w:rPr>
        <w:t>崇左</w:t>
      </w:r>
      <w:r>
        <w:rPr>
          <w:rFonts w:hint="eastAsia" w:hAnsi="宋体" w:cs="宋体"/>
          <w:color w:val="auto"/>
          <w:szCs w:val="21"/>
          <w:u w:val="single"/>
          <w:lang w:eastAsia="zh-CN"/>
        </w:rPr>
        <w:t>市</w:t>
      </w:r>
      <w:r>
        <w:rPr>
          <w:rFonts w:hint="eastAsia" w:hAnsi="宋体" w:cs="宋体"/>
          <w:color w:val="auto"/>
          <w:szCs w:val="21"/>
          <w:u w:val="single"/>
        </w:rPr>
        <w:t>建设工程造价信息》发布的市场参考价为材料基准价格，对于工程信息没有发布的材料，其价格参考市场询价</w:t>
      </w:r>
      <w:r>
        <w:rPr>
          <w:rFonts w:hint="eastAsia" w:hAnsi="宋体"/>
          <w:color w:val="auto"/>
          <w:szCs w:val="21"/>
          <w:u w:val="single"/>
        </w:rPr>
        <w:t>；《</w:t>
      </w:r>
      <w:r>
        <w:rPr>
          <w:rFonts w:hint="eastAsia" w:hAnsi="宋体"/>
          <w:color w:val="auto"/>
          <w:szCs w:val="21"/>
          <w:u w:val="single"/>
          <w:lang w:val="en-US" w:eastAsia="zh-CN"/>
        </w:rPr>
        <w:t>崇左</w:t>
      </w:r>
      <w:r>
        <w:rPr>
          <w:rFonts w:hint="eastAsia" w:hAnsi="宋体"/>
          <w:color w:val="auto"/>
          <w:szCs w:val="21"/>
          <w:u w:val="single"/>
          <w:lang w:eastAsia="zh-CN"/>
        </w:rPr>
        <w:t>市</w:t>
      </w:r>
      <w:r>
        <w:rPr>
          <w:rFonts w:hint="eastAsia" w:hAnsi="宋体"/>
          <w:color w:val="auto"/>
          <w:szCs w:val="21"/>
          <w:u w:val="single"/>
        </w:rPr>
        <w:t>建设工程造价信息》没有相应价格信息的按市场价由审计单位询价后确定；无定额可套的，根据市场价格由审计单位询价后按相关造价法律、编制办法编制确定综合价格；新增项目的单价必须经审计单位审定</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377" w:name="_Toc6563"/>
      <w:bookmarkStart w:id="378" w:name="_Toc6351"/>
      <w:bookmarkStart w:id="379" w:name="_Toc9524"/>
      <w:r>
        <w:rPr>
          <w:rFonts w:hAnsi="宋体" w:eastAsia="黑体"/>
          <w:color w:val="auto"/>
          <w:kern w:val="44"/>
          <w:szCs w:val="21"/>
        </w:rPr>
        <w:t>10.5</w:t>
      </w:r>
      <w:r>
        <w:rPr>
          <w:rFonts w:hint="eastAsia" w:hAnsi="宋体" w:eastAsia="黑体"/>
          <w:color w:val="auto"/>
          <w:kern w:val="44"/>
          <w:szCs w:val="21"/>
        </w:rPr>
        <w:t>承包人的合理化建议</w:t>
      </w:r>
      <w:bookmarkEnd w:id="377"/>
      <w:bookmarkEnd w:id="378"/>
      <w:bookmarkEnd w:id="379"/>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监</w:t>
      </w:r>
      <w:bookmarkStart w:id="380" w:name="_Toc412544311"/>
      <w:bookmarkStart w:id="381" w:name="_Toc373743660"/>
      <w:bookmarkStart w:id="382" w:name="_Toc406360345"/>
      <w:r>
        <w:rPr>
          <w:rFonts w:hint="eastAsia" w:hAnsi="宋体"/>
          <w:color w:val="auto"/>
          <w:szCs w:val="21"/>
        </w:rPr>
        <w:t>理人审查承包人合理化建议的</w:t>
      </w:r>
      <w:bookmarkEnd w:id="380"/>
      <w:bookmarkEnd w:id="381"/>
      <w:bookmarkEnd w:id="382"/>
      <w:r>
        <w:rPr>
          <w:rFonts w:hint="eastAsia" w:hAnsi="宋体"/>
          <w:color w:val="auto"/>
          <w:szCs w:val="21"/>
        </w:rPr>
        <w:t>期限：</w:t>
      </w:r>
      <w:r>
        <w:rPr>
          <w:rFonts w:hint="eastAsia" w:hAnsi="宋体"/>
          <w:color w:val="auto"/>
          <w:szCs w:val="21"/>
          <w:u w:val="single"/>
        </w:rPr>
        <w:t>收到后</w:t>
      </w:r>
      <w:r>
        <w:rPr>
          <w:rFonts w:hAnsi="宋体"/>
          <w:color w:val="auto"/>
          <w:szCs w:val="21"/>
          <w:u w:val="single"/>
        </w:rPr>
        <w:t>7</w:t>
      </w:r>
      <w:r>
        <w:rPr>
          <w:rFonts w:hint="eastAsia" w:hAnsi="宋体"/>
          <w:color w:val="auto"/>
          <w:szCs w:val="21"/>
          <w:u w:val="single"/>
        </w:rPr>
        <w:t>天内</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发包人审批承包人合理化建议的期限：</w:t>
      </w:r>
      <w:r>
        <w:rPr>
          <w:rFonts w:hint="eastAsia" w:hAnsi="宋体"/>
          <w:color w:val="auto"/>
          <w:szCs w:val="21"/>
          <w:u w:val="single"/>
        </w:rPr>
        <w:t>收到后</w:t>
      </w:r>
      <w:r>
        <w:rPr>
          <w:rFonts w:hAnsi="宋体"/>
          <w:color w:val="auto"/>
          <w:szCs w:val="21"/>
          <w:u w:val="single"/>
        </w:rPr>
        <w:t>7</w:t>
      </w:r>
      <w:r>
        <w:rPr>
          <w:rFonts w:hint="eastAsia" w:hAnsi="宋体"/>
          <w:color w:val="auto"/>
          <w:szCs w:val="21"/>
          <w:u w:val="single"/>
        </w:rPr>
        <w:t>天内</w:t>
      </w:r>
      <w:r>
        <w:rPr>
          <w:rFonts w:hint="eastAsia" w:hAnsi="宋体"/>
          <w:color w:val="auto"/>
          <w:szCs w:val="21"/>
        </w:rPr>
        <w:t>。</w:t>
      </w:r>
    </w:p>
    <w:p>
      <w:pPr>
        <w:pageBreakBefore w:val="0"/>
        <w:kinsoku/>
        <w:wordWrap/>
        <w:overflowPunct/>
        <w:topLinePunct w:val="0"/>
        <w:bidi w:val="0"/>
        <w:spacing w:line="360" w:lineRule="auto"/>
        <w:ind w:firstLine="315" w:firstLineChars="150"/>
        <w:jc w:val="left"/>
        <w:textAlignment w:val="auto"/>
        <w:rPr>
          <w:color w:val="auto"/>
          <w:szCs w:val="21"/>
          <w:u w:val="single"/>
        </w:rPr>
      </w:pPr>
      <w:r>
        <w:rPr>
          <w:rFonts w:hint="eastAsia" w:hAnsi="宋体"/>
          <w:color w:val="auto"/>
          <w:szCs w:val="21"/>
        </w:rPr>
        <w:t>承包人提出的合理化建议降低了合同价格或者提高了工程经济效益的奖励的方法和金额为</w:t>
      </w:r>
      <w:r>
        <w:rPr>
          <w:rFonts w:hint="eastAsia" w:hAnsi="宋体"/>
          <w:color w:val="auto"/>
          <w:szCs w:val="21"/>
          <w:u w:val="single"/>
        </w:rPr>
        <w:t>：无</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rFonts w:hAnsi="宋体" w:eastAsia="黑体"/>
          <w:color w:val="auto"/>
          <w:kern w:val="44"/>
          <w:sz w:val="32"/>
          <w:szCs w:val="21"/>
        </w:rPr>
      </w:pPr>
      <w:bookmarkStart w:id="383" w:name="_Toc16326"/>
      <w:bookmarkStart w:id="384" w:name="_Toc1934"/>
      <w:bookmarkStart w:id="385" w:name="_Toc6175"/>
      <w:r>
        <w:rPr>
          <w:rFonts w:hAnsi="宋体" w:eastAsia="黑体"/>
          <w:color w:val="auto"/>
          <w:kern w:val="44"/>
          <w:szCs w:val="21"/>
        </w:rPr>
        <w:t xml:space="preserve">10.7 </w:t>
      </w:r>
      <w:r>
        <w:rPr>
          <w:rFonts w:hint="eastAsia" w:hAnsi="宋体" w:eastAsia="黑体"/>
          <w:color w:val="auto"/>
          <w:kern w:val="44"/>
          <w:szCs w:val="21"/>
        </w:rPr>
        <w:t>暂估价：</w:t>
      </w:r>
      <w:r>
        <w:rPr>
          <w:rFonts w:hint="eastAsia" w:hAnsi="宋体"/>
          <w:color w:val="auto"/>
          <w:szCs w:val="21"/>
          <w:u w:val="single"/>
        </w:rPr>
        <w:t>无</w:t>
      </w:r>
      <w:bookmarkEnd w:id="383"/>
      <w:bookmarkEnd w:id="384"/>
      <w:bookmarkEnd w:id="385"/>
    </w:p>
    <w:p>
      <w:pPr>
        <w:keepNext/>
        <w:keepLines/>
        <w:pageBreakBefore w:val="0"/>
        <w:kinsoku/>
        <w:wordWrap/>
        <w:overflowPunct/>
        <w:topLinePunct w:val="0"/>
        <w:bidi w:val="0"/>
        <w:spacing w:line="360" w:lineRule="auto"/>
        <w:textAlignment w:val="auto"/>
        <w:outlineLvl w:val="0"/>
        <w:rPr>
          <w:color w:val="auto"/>
          <w:kern w:val="44"/>
          <w:szCs w:val="21"/>
        </w:rPr>
      </w:pPr>
      <w:bookmarkStart w:id="386" w:name="_Toc27286"/>
      <w:bookmarkStart w:id="387" w:name="_Toc2824"/>
      <w:bookmarkStart w:id="388" w:name="_Toc12115"/>
      <w:r>
        <w:rPr>
          <w:rFonts w:hAnsi="宋体" w:eastAsia="黑体"/>
          <w:color w:val="auto"/>
          <w:kern w:val="44"/>
          <w:szCs w:val="21"/>
        </w:rPr>
        <w:t xml:space="preserve">10.8 </w:t>
      </w:r>
      <w:r>
        <w:rPr>
          <w:rFonts w:hint="eastAsia" w:hAnsi="宋体" w:eastAsia="黑体"/>
          <w:color w:val="auto"/>
          <w:kern w:val="44"/>
          <w:szCs w:val="21"/>
        </w:rPr>
        <w:t>暂列金额</w:t>
      </w:r>
      <w:bookmarkEnd w:id="386"/>
      <w:bookmarkEnd w:id="387"/>
      <w:bookmarkEnd w:id="388"/>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u w:val="single"/>
        </w:rPr>
      </w:pPr>
      <w:r>
        <w:rPr>
          <w:rFonts w:hint="eastAsia" w:hAnsi="宋体"/>
          <w:color w:val="auto"/>
          <w:szCs w:val="21"/>
        </w:rPr>
        <w:t>合同当事人</w:t>
      </w:r>
      <w:bookmarkStart w:id="389" w:name="_Toc373743662"/>
      <w:bookmarkStart w:id="390" w:name="_Toc412544313"/>
      <w:bookmarkStart w:id="391" w:name="_Toc406360347"/>
      <w:r>
        <w:rPr>
          <w:rFonts w:hint="eastAsia" w:hAnsi="宋体"/>
          <w:color w:val="auto"/>
          <w:szCs w:val="21"/>
        </w:rPr>
        <w:t>关于暂列金额使用的</w:t>
      </w:r>
      <w:bookmarkEnd w:id="389"/>
      <w:bookmarkEnd w:id="390"/>
      <w:bookmarkEnd w:id="391"/>
      <w:r>
        <w:rPr>
          <w:rFonts w:hint="eastAsia" w:hAnsi="宋体"/>
          <w:color w:val="auto"/>
          <w:szCs w:val="21"/>
        </w:rPr>
        <w:t>约定：</w:t>
      </w:r>
      <w:r>
        <w:rPr>
          <w:rFonts w:hint="eastAsia" w:hAnsi="宋体"/>
          <w:color w:val="auto"/>
          <w:szCs w:val="21"/>
          <w:u w:val="single"/>
        </w:rPr>
        <w:t>无</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392" w:name="_Toc9944"/>
      <w:bookmarkStart w:id="393" w:name="_Toc5650"/>
      <w:bookmarkStart w:id="394" w:name="_Toc23026"/>
      <w:r>
        <w:rPr>
          <w:rFonts w:hAnsi="宋体" w:eastAsia="黑体"/>
          <w:color w:val="auto"/>
          <w:kern w:val="44"/>
          <w:szCs w:val="21"/>
        </w:rPr>
        <w:t xml:space="preserve">11. </w:t>
      </w:r>
      <w:r>
        <w:rPr>
          <w:rFonts w:hint="eastAsia" w:hAnsi="宋体" w:eastAsia="黑体"/>
          <w:color w:val="auto"/>
          <w:kern w:val="44"/>
          <w:szCs w:val="21"/>
        </w:rPr>
        <w:t>价格调整</w:t>
      </w:r>
      <w:bookmarkEnd w:id="392"/>
      <w:bookmarkEnd w:id="393"/>
      <w:bookmarkEnd w:id="394"/>
    </w:p>
    <w:p>
      <w:pPr>
        <w:keepNext/>
        <w:keepLines/>
        <w:pageBreakBefore w:val="0"/>
        <w:kinsoku/>
        <w:wordWrap/>
        <w:overflowPunct/>
        <w:topLinePunct w:val="0"/>
        <w:bidi w:val="0"/>
        <w:spacing w:line="360" w:lineRule="auto"/>
        <w:textAlignment w:val="auto"/>
        <w:outlineLvl w:val="0"/>
        <w:rPr>
          <w:color w:val="auto"/>
          <w:kern w:val="44"/>
          <w:szCs w:val="21"/>
        </w:rPr>
      </w:pPr>
      <w:bookmarkStart w:id="395" w:name="_Toc18354"/>
      <w:bookmarkStart w:id="396" w:name="_Toc16115"/>
      <w:bookmarkStart w:id="397" w:name="_Toc10255"/>
      <w:r>
        <w:rPr>
          <w:rFonts w:hAnsi="宋体" w:eastAsia="黑体"/>
          <w:color w:val="auto"/>
          <w:kern w:val="44"/>
          <w:szCs w:val="21"/>
        </w:rPr>
        <w:t xml:space="preserve">11.1 </w:t>
      </w:r>
      <w:r>
        <w:rPr>
          <w:rFonts w:hint="eastAsia" w:hAnsi="宋体" w:eastAsia="黑体"/>
          <w:color w:val="auto"/>
          <w:kern w:val="44"/>
          <w:szCs w:val="21"/>
        </w:rPr>
        <w:t>市</w:t>
      </w:r>
      <w:bookmarkStart w:id="398" w:name="_Toc406360348"/>
      <w:bookmarkStart w:id="399" w:name="_Toc373743663"/>
      <w:bookmarkStart w:id="400" w:name="_Toc412544314"/>
      <w:r>
        <w:rPr>
          <w:rFonts w:hint="eastAsia" w:hAnsi="宋体" w:eastAsia="黑体"/>
          <w:color w:val="auto"/>
          <w:kern w:val="44"/>
          <w:szCs w:val="21"/>
        </w:rPr>
        <w:t>场价格波动引起的</w:t>
      </w:r>
      <w:bookmarkEnd w:id="398"/>
      <w:bookmarkEnd w:id="399"/>
      <w:bookmarkEnd w:id="400"/>
      <w:r>
        <w:rPr>
          <w:rFonts w:hint="eastAsia" w:hAnsi="宋体" w:eastAsia="黑体"/>
          <w:color w:val="auto"/>
          <w:kern w:val="44"/>
          <w:szCs w:val="21"/>
        </w:rPr>
        <w:t>调</w:t>
      </w:r>
      <w:bookmarkStart w:id="401" w:name="_Toc412544315"/>
      <w:bookmarkStart w:id="402" w:name="_Toc373743664"/>
      <w:bookmarkStart w:id="403" w:name="_Toc406360349"/>
      <w:r>
        <w:rPr>
          <w:rFonts w:hint="eastAsia" w:hAnsi="宋体" w:eastAsia="黑体"/>
          <w:color w:val="auto"/>
          <w:kern w:val="44"/>
          <w:szCs w:val="21"/>
        </w:rPr>
        <w:t>整</w:t>
      </w:r>
      <w:bookmarkEnd w:id="395"/>
      <w:bookmarkEnd w:id="396"/>
      <w:bookmarkEnd w:id="397"/>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市场价格波动是否调整合同价格</w:t>
      </w:r>
      <w:bookmarkEnd w:id="401"/>
      <w:bookmarkEnd w:id="402"/>
      <w:bookmarkEnd w:id="403"/>
      <w:r>
        <w:rPr>
          <w:rFonts w:hint="eastAsia" w:hAnsi="宋体"/>
          <w:color w:val="auto"/>
          <w:szCs w:val="21"/>
        </w:rPr>
        <w:t>的约定：</w:t>
      </w:r>
      <w:r>
        <w:rPr>
          <w:rFonts w:hint="eastAsia" w:hAnsi="宋体"/>
          <w:b/>
          <w:bCs/>
          <w:color w:val="auto"/>
          <w:szCs w:val="21"/>
          <w:u w:val="single"/>
        </w:rPr>
        <w:t>合同期内不因市场价格波动而调整合同价格</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因市场价格波动调整合同价格，采用以下第</w:t>
      </w:r>
      <w:r>
        <w:rPr>
          <w:rFonts w:hAnsi="宋体"/>
          <w:color w:val="auto"/>
          <w:szCs w:val="21"/>
          <w:u w:val="single"/>
        </w:rPr>
        <w:t xml:space="preserve"> </w:t>
      </w:r>
      <w:r>
        <w:rPr>
          <w:rFonts w:hint="eastAsia" w:hAnsi="宋体"/>
          <w:color w:val="auto"/>
          <w:szCs w:val="21"/>
          <w:u w:val="single"/>
        </w:rPr>
        <w:t>/</w:t>
      </w:r>
      <w:r>
        <w:rPr>
          <w:rFonts w:hAnsi="宋体"/>
          <w:color w:val="auto"/>
          <w:szCs w:val="21"/>
          <w:u w:val="single"/>
        </w:rPr>
        <w:t xml:space="preserve"> </w:t>
      </w:r>
      <w:r>
        <w:rPr>
          <w:rFonts w:hint="eastAsia" w:hAnsi="宋体"/>
          <w:color w:val="auto"/>
          <w:szCs w:val="21"/>
        </w:rPr>
        <w:t>种方式对合同价格进行调整：</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第</w:t>
      </w:r>
      <w:r>
        <w:rPr>
          <w:rFonts w:hAnsi="宋体"/>
          <w:color w:val="auto"/>
          <w:szCs w:val="21"/>
        </w:rPr>
        <w:t>1</w:t>
      </w:r>
      <w:r>
        <w:rPr>
          <w:rFonts w:hint="eastAsia" w:hAnsi="宋体"/>
          <w:color w:val="auto"/>
          <w:szCs w:val="21"/>
        </w:rPr>
        <w:t>种方式：采用价格指数进行价格调整。</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关于各可调因子、定值和变值权重，以及基本价格指数及其来源的约定：</w:t>
      </w:r>
      <w:r>
        <w:rPr>
          <w:rFonts w:hint="eastAsia" w:hAnsi="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第</w:t>
      </w:r>
      <w:r>
        <w:rPr>
          <w:rFonts w:hAnsi="宋体"/>
          <w:color w:val="auto"/>
          <w:szCs w:val="21"/>
        </w:rPr>
        <w:t>2</w:t>
      </w:r>
      <w:r>
        <w:rPr>
          <w:rFonts w:hint="eastAsia" w:hAnsi="宋体"/>
          <w:color w:val="auto"/>
          <w:szCs w:val="21"/>
        </w:rPr>
        <w:t>种方式：采用造价信息进行价格调整。</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2</w:t>
      </w:r>
      <w:r>
        <w:rPr>
          <w:rFonts w:hint="eastAsia" w:hAnsi="宋体"/>
          <w:color w:val="auto"/>
          <w:szCs w:val="21"/>
        </w:rPr>
        <w:t>）关于基准价格的约定：</w:t>
      </w:r>
      <w:r>
        <w:rPr>
          <w:rFonts w:hint="eastAsia" w:hAnsi="宋体"/>
          <w:color w:val="auto"/>
          <w:szCs w:val="21"/>
          <w:u w:val="single"/>
        </w:rPr>
        <w:t xml:space="preserve">/ </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专用合同条款</w:t>
      </w:r>
      <w:r>
        <w:rPr>
          <w:rFonts w:hint="eastAsia" w:hAnsi="宋体" w:cs="宋体"/>
          <w:color w:val="auto"/>
          <w:szCs w:val="21"/>
        </w:rPr>
        <w:t>①</w:t>
      </w:r>
      <w:r>
        <w:rPr>
          <w:rFonts w:hint="eastAsia" w:hAnsi="宋体"/>
          <w:color w:val="auto"/>
          <w:szCs w:val="21"/>
        </w:rPr>
        <w:t>承包人在已标价工程量清单或预算书中载明的主要材料单价低于基准价格的：专用合同条款合同履行期间主要材料单价涨幅以基准价格为基础超过</w:t>
      </w:r>
      <w:r>
        <w:rPr>
          <w:rFonts w:hAnsi="宋体"/>
          <w:color w:val="auto"/>
          <w:szCs w:val="21"/>
          <w:u w:val="single"/>
        </w:rPr>
        <w:t>5</w:t>
      </w:r>
      <w:r>
        <w:rPr>
          <w:rFonts w:hAnsi="宋体"/>
          <w:color w:val="auto"/>
          <w:szCs w:val="21"/>
        </w:rPr>
        <w:t>%</w:t>
      </w:r>
      <w:r>
        <w:rPr>
          <w:rFonts w:hint="eastAsia" w:hAnsi="宋体"/>
          <w:color w:val="auto"/>
          <w:szCs w:val="21"/>
        </w:rPr>
        <w:t>时，或主要材料单价跌幅以已标价工程量清单或预算书中载明主要材料单价为基础超过</w:t>
      </w:r>
      <w:r>
        <w:rPr>
          <w:rFonts w:hAnsi="宋体"/>
          <w:color w:val="auto"/>
          <w:szCs w:val="21"/>
          <w:u w:val="single"/>
        </w:rPr>
        <w:t>5</w:t>
      </w:r>
      <w:r>
        <w:rPr>
          <w:rFonts w:hAnsi="宋体"/>
          <w:color w:val="auto"/>
          <w:szCs w:val="21"/>
        </w:rPr>
        <w:t>%</w:t>
      </w:r>
      <w:r>
        <w:rPr>
          <w:rFonts w:hint="eastAsia" w:hAnsi="宋体"/>
          <w:color w:val="auto"/>
          <w:szCs w:val="21"/>
        </w:rPr>
        <w:t>时，其超过部分据实调整。</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s="宋体"/>
          <w:color w:val="auto"/>
          <w:szCs w:val="21"/>
        </w:rPr>
        <w:t>②</w:t>
      </w:r>
      <w:r>
        <w:rPr>
          <w:rFonts w:hint="eastAsia" w:hAnsi="宋体"/>
          <w:color w:val="auto"/>
          <w:szCs w:val="21"/>
        </w:rPr>
        <w:t>承包人在已标价工程量清单或预算书中载明的主要材料单价高于基准价格的：专用合同条款合同履行期间主要材料单价跌幅以基准价格为基础超过</w:t>
      </w:r>
      <w:r>
        <w:rPr>
          <w:rFonts w:hAnsi="宋体"/>
          <w:color w:val="auto"/>
          <w:szCs w:val="21"/>
          <w:u w:val="single"/>
        </w:rPr>
        <w:t>5</w:t>
      </w:r>
      <w:r>
        <w:rPr>
          <w:rFonts w:hAnsi="宋体"/>
          <w:color w:val="auto"/>
          <w:szCs w:val="21"/>
        </w:rPr>
        <w:t>%</w:t>
      </w:r>
      <w:r>
        <w:rPr>
          <w:rFonts w:hint="eastAsia" w:hAnsi="宋体"/>
          <w:color w:val="auto"/>
          <w:szCs w:val="21"/>
        </w:rPr>
        <w:t>时，主要材料单价涨幅以已标价工程量清单或预算书中载明主要材料单价为基础超过</w:t>
      </w:r>
      <w:r>
        <w:rPr>
          <w:rFonts w:hAnsi="宋体"/>
          <w:color w:val="auto"/>
          <w:szCs w:val="21"/>
          <w:u w:val="single"/>
        </w:rPr>
        <w:t>5</w:t>
      </w:r>
      <w:r>
        <w:rPr>
          <w:rFonts w:hAnsi="宋体"/>
          <w:color w:val="auto"/>
          <w:szCs w:val="21"/>
        </w:rPr>
        <w:t>%</w:t>
      </w:r>
      <w:r>
        <w:rPr>
          <w:rFonts w:hint="eastAsia" w:hAnsi="宋体"/>
          <w:color w:val="auto"/>
          <w:szCs w:val="21"/>
        </w:rPr>
        <w:t>时，其超过部分据实调整。</w:t>
      </w:r>
    </w:p>
    <w:p>
      <w:pPr>
        <w:pageBreakBefore w:val="0"/>
        <w:kinsoku/>
        <w:wordWrap/>
        <w:overflowPunct/>
        <w:topLinePunct w:val="0"/>
        <w:bidi w:val="0"/>
        <w:spacing w:line="360" w:lineRule="auto"/>
        <w:ind w:firstLine="645"/>
        <w:jc w:val="left"/>
        <w:textAlignment w:val="auto"/>
        <w:rPr>
          <w:color w:val="auto"/>
          <w:szCs w:val="21"/>
        </w:rPr>
      </w:pPr>
      <w:r>
        <w:rPr>
          <w:rFonts w:hint="eastAsia" w:hAnsi="宋体" w:cs="宋体"/>
          <w:color w:val="auto"/>
          <w:szCs w:val="21"/>
        </w:rPr>
        <w:t>③</w:t>
      </w:r>
      <w:r>
        <w:rPr>
          <w:rFonts w:hint="eastAsia" w:hAnsi="宋体"/>
          <w:color w:val="auto"/>
          <w:szCs w:val="21"/>
        </w:rPr>
        <w:t>承包人在已标价工程量清单或预算书中载明的主要材料单价等于基准单价的：专用合同条款合同履行期间主要材料单价涨跌幅以基准单价为基础超过</w:t>
      </w:r>
      <w:r>
        <w:rPr>
          <w:rFonts w:hint="eastAsia"/>
          <w:color w:val="auto"/>
          <w:szCs w:val="21"/>
        </w:rPr>
        <w:t>±</w:t>
      </w:r>
      <w:r>
        <w:rPr>
          <w:rFonts w:hAnsi="宋体"/>
          <w:color w:val="auto"/>
          <w:szCs w:val="21"/>
          <w:u w:val="single"/>
        </w:rPr>
        <w:t>5</w:t>
      </w:r>
      <w:r>
        <w:rPr>
          <w:rFonts w:hAnsi="宋体"/>
          <w:color w:val="auto"/>
          <w:szCs w:val="21"/>
        </w:rPr>
        <w:t>%</w:t>
      </w:r>
      <w:r>
        <w:rPr>
          <w:rFonts w:hint="eastAsia" w:hAnsi="宋体"/>
          <w:color w:val="auto"/>
          <w:szCs w:val="21"/>
        </w:rPr>
        <w:t>时，其超过部分据实调整。</w:t>
      </w:r>
    </w:p>
    <w:p>
      <w:pPr>
        <w:pageBreakBefore w:val="0"/>
        <w:kinsoku/>
        <w:wordWrap/>
        <w:overflowPunct/>
        <w:topLinePunct w:val="0"/>
        <w:bidi w:val="0"/>
        <w:spacing w:line="360" w:lineRule="auto"/>
        <w:ind w:firstLine="645"/>
        <w:jc w:val="left"/>
        <w:textAlignment w:val="auto"/>
        <w:rPr>
          <w:color w:val="auto"/>
          <w:szCs w:val="21"/>
        </w:rPr>
      </w:pPr>
      <w:r>
        <w:rPr>
          <w:rFonts w:hint="eastAsia" w:hAnsi="宋体"/>
          <w:color w:val="auto"/>
          <w:szCs w:val="21"/>
        </w:rPr>
        <w:t>其中主要材料是指</w:t>
      </w:r>
      <w:r>
        <w:rPr>
          <w:rFonts w:hint="eastAsia" w:hAnsi="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645"/>
        <w:jc w:val="left"/>
        <w:textAlignment w:val="auto"/>
        <w:rPr>
          <w:color w:val="auto"/>
          <w:szCs w:val="21"/>
          <w:u w:val="single"/>
        </w:rPr>
      </w:pPr>
      <w:r>
        <w:rPr>
          <w:rFonts w:hint="eastAsia" w:hAnsi="宋体"/>
          <w:color w:val="auto"/>
          <w:szCs w:val="21"/>
        </w:rPr>
        <w:t>第</w:t>
      </w:r>
      <w:r>
        <w:rPr>
          <w:rFonts w:hAnsi="宋体"/>
          <w:color w:val="auto"/>
          <w:szCs w:val="21"/>
        </w:rPr>
        <w:t>3</w:t>
      </w:r>
      <w:r>
        <w:rPr>
          <w:rFonts w:hint="eastAsia" w:hAnsi="宋体"/>
          <w:color w:val="auto"/>
          <w:szCs w:val="21"/>
        </w:rPr>
        <w:t>种方式：其他价格调整方式：</w:t>
      </w:r>
      <w:r>
        <w:rPr>
          <w:rFonts w:hint="eastAsia" w:hAnsi="宋体"/>
          <w:color w:val="auto"/>
          <w:szCs w:val="21"/>
          <w:u w:val="single"/>
        </w:rPr>
        <w:t>/</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404" w:name="_Toc15013"/>
      <w:bookmarkStart w:id="405" w:name="_Toc22832"/>
      <w:bookmarkStart w:id="406" w:name="_Toc11287"/>
      <w:r>
        <w:rPr>
          <w:rFonts w:hAnsi="宋体" w:eastAsia="黑体"/>
          <w:color w:val="auto"/>
          <w:kern w:val="44"/>
          <w:szCs w:val="21"/>
        </w:rPr>
        <w:t xml:space="preserve">12. </w:t>
      </w:r>
      <w:r>
        <w:rPr>
          <w:rFonts w:hint="eastAsia" w:hAnsi="宋体" w:eastAsia="黑体"/>
          <w:color w:val="auto"/>
          <w:kern w:val="44"/>
          <w:szCs w:val="21"/>
        </w:rPr>
        <w:t>合同价格、计量与支付</w:t>
      </w:r>
      <w:bookmarkEnd w:id="404"/>
      <w:bookmarkEnd w:id="405"/>
      <w:bookmarkEnd w:id="406"/>
    </w:p>
    <w:p>
      <w:pPr>
        <w:keepNext/>
        <w:keepLines/>
        <w:pageBreakBefore w:val="0"/>
        <w:kinsoku/>
        <w:wordWrap/>
        <w:overflowPunct/>
        <w:topLinePunct w:val="0"/>
        <w:bidi w:val="0"/>
        <w:spacing w:line="360" w:lineRule="auto"/>
        <w:textAlignment w:val="auto"/>
        <w:outlineLvl w:val="0"/>
        <w:rPr>
          <w:color w:val="auto"/>
          <w:kern w:val="44"/>
          <w:szCs w:val="21"/>
        </w:rPr>
      </w:pPr>
      <w:bookmarkStart w:id="407" w:name="_Toc2598"/>
      <w:bookmarkStart w:id="408" w:name="_Toc18238"/>
      <w:bookmarkStart w:id="409" w:name="_Toc3062"/>
      <w:bookmarkStart w:id="410" w:name="_Toc412544316"/>
      <w:bookmarkStart w:id="411" w:name="_Toc406360350"/>
      <w:bookmarkStart w:id="412" w:name="_Toc373743665"/>
      <w:r>
        <w:rPr>
          <w:rFonts w:hAnsi="宋体" w:eastAsia="黑体"/>
          <w:color w:val="auto"/>
          <w:kern w:val="44"/>
          <w:szCs w:val="21"/>
        </w:rPr>
        <w:t xml:space="preserve">12.1 </w:t>
      </w:r>
      <w:r>
        <w:rPr>
          <w:rFonts w:hint="eastAsia" w:hAnsi="宋体" w:eastAsia="黑体"/>
          <w:color w:val="auto"/>
          <w:kern w:val="44"/>
          <w:szCs w:val="21"/>
        </w:rPr>
        <w:t>合同价格形式</w:t>
      </w:r>
      <w:bookmarkEnd w:id="407"/>
      <w:bookmarkEnd w:id="408"/>
      <w:bookmarkEnd w:id="409"/>
    </w:p>
    <w:p>
      <w:pPr>
        <w:pageBreakBefore w:val="0"/>
        <w:kinsoku/>
        <w:wordWrap/>
        <w:overflowPunct/>
        <w:topLinePunct w:val="0"/>
        <w:bidi w:val="0"/>
        <w:spacing w:line="360" w:lineRule="auto"/>
        <w:ind w:firstLine="420" w:firstLineChars="200"/>
        <w:jc w:val="left"/>
        <w:textAlignment w:val="auto"/>
        <w:rPr>
          <w:rFonts w:hAnsi="宋体"/>
          <w:color w:val="auto"/>
          <w:szCs w:val="21"/>
        </w:rPr>
      </w:pPr>
      <w:r>
        <w:rPr>
          <w:rFonts w:hint="eastAsia" w:hAnsi="宋体"/>
          <w:color w:val="auto"/>
          <w:szCs w:val="21"/>
        </w:rPr>
        <w:t>本工程采用</w:t>
      </w:r>
      <w:r>
        <w:rPr>
          <w:rFonts w:hint="eastAsia" w:hAnsi="宋体"/>
          <w:color w:val="auto"/>
          <w:szCs w:val="21"/>
          <w:u w:val="single"/>
        </w:rPr>
        <w:t xml:space="preserve">  （1）   </w:t>
      </w:r>
      <w:r>
        <w:rPr>
          <w:rFonts w:hint="eastAsia" w:hAnsi="宋体"/>
          <w:color w:val="auto"/>
          <w:szCs w:val="21"/>
        </w:rPr>
        <w:t>合同价格形式，合同价格包含增值税，本工程计价时采用的增值税计税方法为：</w:t>
      </w:r>
      <w:r>
        <w:rPr>
          <w:rFonts w:hint="eastAsia" w:hAnsi="宋体"/>
          <w:color w:val="auto"/>
          <w:szCs w:val="21"/>
          <w:lang w:eastAsia="zh-CN"/>
        </w:rPr>
        <w:t>□</w:t>
      </w:r>
      <w:r>
        <w:rPr>
          <w:rFonts w:hint="eastAsia" w:hAnsi="宋体"/>
          <w:color w:val="auto"/>
          <w:szCs w:val="21"/>
        </w:rPr>
        <w:t>一般计税法 □简易计税法。</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w:t>
      </w:r>
      <w:r>
        <w:rPr>
          <w:rFonts w:hint="eastAsia" w:hAnsi="宋体"/>
          <w:color w:val="auto"/>
          <w:szCs w:val="21"/>
        </w:rPr>
        <w:t>、</w:t>
      </w:r>
      <w:bookmarkEnd w:id="410"/>
      <w:bookmarkEnd w:id="411"/>
      <w:bookmarkEnd w:id="412"/>
      <w:r>
        <w:rPr>
          <w:rFonts w:hint="eastAsia" w:hAnsi="宋体"/>
          <w:color w:val="auto"/>
          <w:szCs w:val="21"/>
        </w:rPr>
        <w:t>单</w:t>
      </w:r>
      <w:bookmarkStart w:id="413" w:name="_Toc373743666"/>
      <w:bookmarkStart w:id="414" w:name="_Toc412544317"/>
      <w:bookmarkStart w:id="415" w:name="_Toc406360351"/>
      <w:r>
        <w:rPr>
          <w:rFonts w:hint="eastAsia" w:hAnsi="宋体"/>
          <w:color w:val="auto"/>
          <w:szCs w:val="21"/>
        </w:rPr>
        <w:t>价合同。</w:t>
      </w:r>
    </w:p>
    <w:p>
      <w:pPr>
        <w:pageBreakBefore w:val="0"/>
        <w:kinsoku/>
        <w:wordWrap/>
        <w:overflowPunct/>
        <w:topLinePunct w:val="0"/>
        <w:bidi w:val="0"/>
        <w:spacing w:line="360" w:lineRule="auto"/>
        <w:ind w:firstLine="420" w:firstLineChars="200"/>
        <w:jc w:val="left"/>
        <w:textAlignment w:val="auto"/>
        <w:rPr>
          <w:rFonts w:hAnsi="宋体"/>
          <w:color w:val="auto"/>
          <w:szCs w:val="21"/>
          <w:u w:val="single"/>
        </w:rPr>
      </w:pPr>
      <w:r>
        <w:rPr>
          <w:rFonts w:hint="eastAsia" w:hAnsi="宋体"/>
          <w:color w:val="auto"/>
          <w:szCs w:val="21"/>
        </w:rPr>
        <w:t>本合同价款</w:t>
      </w:r>
      <w:bookmarkEnd w:id="413"/>
      <w:bookmarkEnd w:id="414"/>
      <w:bookmarkEnd w:id="415"/>
      <w:r>
        <w:rPr>
          <w:rFonts w:hint="eastAsia" w:hAnsi="宋体"/>
          <w:color w:val="auto"/>
          <w:szCs w:val="21"/>
        </w:rPr>
        <w:t>采用</w:t>
      </w:r>
      <w:r>
        <w:rPr>
          <w:rFonts w:hint="eastAsia" w:hAnsi="宋体"/>
          <w:color w:val="auto"/>
          <w:szCs w:val="21"/>
          <w:u w:val="single"/>
        </w:rPr>
        <w:t>　固定综合单价　</w:t>
      </w:r>
      <w:r>
        <w:rPr>
          <w:rFonts w:hint="eastAsia" w:hAnsi="宋体"/>
          <w:color w:val="auto"/>
          <w:szCs w:val="21"/>
        </w:rPr>
        <w:t>方式确定。</w:t>
      </w:r>
      <w:r>
        <w:rPr>
          <w:rFonts w:hint="eastAsia" w:hAnsi="宋体"/>
          <w:color w:val="auto"/>
          <w:szCs w:val="21"/>
          <w:u w:val="single"/>
        </w:rPr>
        <w:t>综合单价按</w:t>
      </w:r>
      <w:r>
        <w:rPr>
          <w:rFonts w:hint="eastAsia" w:hAnsi="宋体"/>
          <w:color w:val="auto"/>
          <w:szCs w:val="21"/>
          <w:u w:val="single"/>
          <w:lang w:val="en-US" w:eastAsia="zh-CN"/>
        </w:rPr>
        <w:t>龙州</w:t>
      </w:r>
      <w:r>
        <w:rPr>
          <w:rFonts w:hint="eastAsia" w:hAnsi="宋体"/>
          <w:color w:val="auto"/>
          <w:szCs w:val="21"/>
          <w:u w:val="single"/>
          <w:lang w:eastAsia="zh-CN"/>
        </w:rPr>
        <w:t>县</w:t>
      </w:r>
      <w:r>
        <w:rPr>
          <w:rFonts w:hint="eastAsia" w:hAnsi="宋体"/>
          <w:color w:val="auto"/>
          <w:szCs w:val="21"/>
          <w:u w:val="single"/>
        </w:rPr>
        <w:t>财政局审批的上限控制价计算。</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综合单价包含的风险范围：</w:t>
      </w:r>
      <w:r>
        <w:rPr>
          <w:rFonts w:hint="eastAsia" w:hAnsi="宋体"/>
          <w:color w:val="auto"/>
          <w:szCs w:val="21"/>
          <w:u w:val="single"/>
        </w:rPr>
        <w:t>除工程变更和政策性调整以外的风险。</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风险费用的计算方法：</w:t>
      </w:r>
      <w:r>
        <w:rPr>
          <w:rFonts w:hint="eastAsia" w:hAnsi="宋体"/>
          <w:color w:val="auto"/>
          <w:szCs w:val="21"/>
          <w:u w:val="single"/>
        </w:rPr>
        <w:t>单价采用固定综合单价，风险费用已综合考虑在单价中</w:t>
      </w:r>
      <w:r>
        <w:rPr>
          <w:rFonts w:hint="eastAsia" w:hAnsi="宋体"/>
          <w:color w:val="auto"/>
          <w:szCs w:val="21"/>
        </w:rPr>
        <w:t>。</w:t>
      </w:r>
    </w:p>
    <w:p>
      <w:pPr>
        <w:pageBreakBefore w:val="0"/>
        <w:kinsoku/>
        <w:wordWrap/>
        <w:overflowPunct/>
        <w:topLinePunct w:val="0"/>
        <w:bidi w:val="0"/>
        <w:spacing w:line="360" w:lineRule="auto"/>
        <w:textAlignment w:val="auto"/>
        <w:rPr>
          <w:rFonts w:hAnsi="宋体"/>
          <w:color w:val="auto"/>
          <w:szCs w:val="21"/>
          <w:u w:val="single"/>
        </w:rPr>
      </w:pPr>
      <w:r>
        <w:rPr>
          <w:rFonts w:hint="eastAsia" w:hAnsi="宋体"/>
          <w:color w:val="auto"/>
          <w:szCs w:val="21"/>
        </w:rPr>
        <w:t>风险范围以外合同价格的调整方法：</w:t>
      </w:r>
      <w:r>
        <w:rPr>
          <w:rFonts w:hint="eastAsia" w:hAnsi="宋体"/>
          <w:color w:val="auto"/>
          <w:szCs w:val="21"/>
          <w:u w:val="single"/>
        </w:rPr>
        <w:t>（一）因分部分项工程量清单漏项、设计变更、相关签证引起工程项目、工程量任何变化的，变更合同价款按下列方法进行：（</w:t>
      </w:r>
      <w:r>
        <w:rPr>
          <w:rFonts w:hAnsi="宋体"/>
          <w:color w:val="auto"/>
          <w:szCs w:val="21"/>
          <w:u w:val="single"/>
        </w:rPr>
        <w:t>1</w:t>
      </w:r>
      <w:r>
        <w:rPr>
          <w:rFonts w:hint="eastAsia" w:hAnsi="宋体"/>
          <w:color w:val="auto"/>
          <w:szCs w:val="21"/>
          <w:u w:val="single"/>
        </w:rPr>
        <w:t>）合同中已有相同子目的，按合同该子目价格进行计算；（</w:t>
      </w:r>
      <w:r>
        <w:rPr>
          <w:rFonts w:hAnsi="宋体"/>
          <w:color w:val="auto"/>
          <w:szCs w:val="21"/>
          <w:u w:val="single"/>
        </w:rPr>
        <w:t>2</w:t>
      </w:r>
      <w:r>
        <w:rPr>
          <w:rFonts w:hint="eastAsia" w:hAnsi="宋体"/>
          <w:color w:val="auto"/>
          <w:szCs w:val="21"/>
          <w:u w:val="single"/>
        </w:rPr>
        <w:t>）合同中只有类似子目的，参照该类似子目价格进行计算；（</w:t>
      </w:r>
      <w:r>
        <w:rPr>
          <w:rFonts w:hAnsi="宋体"/>
          <w:color w:val="auto"/>
          <w:szCs w:val="21"/>
          <w:u w:val="single"/>
        </w:rPr>
        <w:t>3</w:t>
      </w:r>
      <w:r>
        <w:rPr>
          <w:rFonts w:hint="eastAsia" w:hAnsi="宋体"/>
          <w:color w:val="auto"/>
          <w:szCs w:val="21"/>
          <w:u w:val="single"/>
        </w:rPr>
        <w:t>）合同中没有适用或类似子目的价格计算方法：有定额的套定额（土石方工程除外），并乘以相应中标系数（中标价/招标上限控制价）计算，其中施工期间的材料单价按《</w:t>
      </w:r>
      <w:r>
        <w:rPr>
          <w:rFonts w:hint="eastAsia" w:hAnsi="宋体"/>
          <w:color w:val="auto"/>
          <w:szCs w:val="21"/>
          <w:u w:val="single"/>
          <w:lang w:val="en-US" w:eastAsia="zh-CN"/>
        </w:rPr>
        <w:t>崇左</w:t>
      </w:r>
      <w:r>
        <w:rPr>
          <w:rFonts w:hint="eastAsia" w:hAnsi="宋体"/>
          <w:color w:val="auto"/>
          <w:szCs w:val="21"/>
          <w:u w:val="single"/>
          <w:lang w:eastAsia="zh-CN"/>
        </w:rPr>
        <w:t>市</w:t>
      </w:r>
      <w:r>
        <w:rPr>
          <w:rFonts w:hint="eastAsia" w:hAnsi="宋体"/>
          <w:color w:val="auto"/>
          <w:szCs w:val="21"/>
          <w:u w:val="single"/>
        </w:rPr>
        <w:t>建设工程造价信息》发布的市场参考价为材料基准价格，对于工程信息没有发布的材料，其价格参考市场询价；新增项目的单价必须经审计单位审定。</w:t>
      </w:r>
    </w:p>
    <w:p>
      <w:pPr>
        <w:pageBreakBefore w:val="0"/>
        <w:kinsoku/>
        <w:wordWrap/>
        <w:overflowPunct/>
        <w:topLinePunct w:val="0"/>
        <w:bidi w:val="0"/>
        <w:spacing w:line="360" w:lineRule="auto"/>
        <w:ind w:firstLine="441" w:firstLineChars="210"/>
        <w:textAlignment w:val="auto"/>
        <w:rPr>
          <w:rFonts w:hAnsi="宋体"/>
          <w:color w:val="auto"/>
          <w:szCs w:val="21"/>
          <w:u w:val="single"/>
        </w:rPr>
      </w:pPr>
      <w:r>
        <w:rPr>
          <w:rFonts w:hint="eastAsia" w:hAnsi="宋体"/>
          <w:color w:val="auto"/>
          <w:szCs w:val="21"/>
          <w:u w:val="single"/>
        </w:rPr>
        <w:t>（二）国家和自治区、</w:t>
      </w:r>
      <w:r>
        <w:rPr>
          <w:rFonts w:hint="eastAsia" w:hAnsi="宋体"/>
          <w:color w:val="auto"/>
          <w:szCs w:val="21"/>
          <w:u w:val="single"/>
          <w:lang w:val="en-US" w:eastAsia="zh-CN"/>
        </w:rPr>
        <w:t>崇左</w:t>
      </w:r>
      <w:r>
        <w:rPr>
          <w:rFonts w:hint="eastAsia" w:hAnsi="宋体"/>
          <w:color w:val="auto"/>
          <w:szCs w:val="21"/>
          <w:u w:val="single"/>
        </w:rPr>
        <w:t>市政策性调整有关费用标准的，按文件规定执行。</w:t>
      </w:r>
    </w:p>
    <w:p>
      <w:pPr>
        <w:pageBreakBefore w:val="0"/>
        <w:kinsoku/>
        <w:wordWrap/>
        <w:overflowPunct/>
        <w:topLinePunct w:val="0"/>
        <w:bidi w:val="0"/>
        <w:spacing w:line="360" w:lineRule="auto"/>
        <w:ind w:firstLine="441" w:firstLineChars="210"/>
        <w:textAlignment w:val="auto"/>
        <w:rPr>
          <w:rFonts w:hAnsi="宋体"/>
          <w:color w:val="auto"/>
          <w:szCs w:val="21"/>
          <w:u w:val="single"/>
        </w:rPr>
      </w:pPr>
      <w:r>
        <w:rPr>
          <w:rFonts w:hint="eastAsia" w:hAnsi="宋体"/>
          <w:color w:val="auto"/>
          <w:szCs w:val="21"/>
          <w:u w:val="single"/>
        </w:rPr>
        <w:t>（三）本工程可以调整的主要材料：/</w:t>
      </w:r>
      <w:r>
        <w:rPr>
          <w:rFonts w:hint="eastAsia" w:hAnsi="宋体" w:cs="宋体"/>
          <w:color w:val="auto"/>
          <w:szCs w:val="21"/>
          <w:u w:val="single"/>
        </w:rPr>
        <w:t>。</w:t>
      </w:r>
    </w:p>
    <w:p>
      <w:pPr>
        <w:pageBreakBefore w:val="0"/>
        <w:kinsoku/>
        <w:wordWrap/>
        <w:overflowPunct/>
        <w:topLinePunct w:val="0"/>
        <w:bidi w:val="0"/>
        <w:spacing w:line="360" w:lineRule="auto"/>
        <w:ind w:firstLine="420" w:firstLineChars="200"/>
        <w:jc w:val="left"/>
        <w:textAlignment w:val="auto"/>
        <w:rPr>
          <w:rFonts w:hAnsi="宋体"/>
          <w:color w:val="auto"/>
          <w:szCs w:val="21"/>
        </w:rPr>
      </w:pPr>
      <w:r>
        <w:rPr>
          <w:rFonts w:hint="eastAsia" w:hAnsi="宋体"/>
          <w:color w:val="auto"/>
          <w:szCs w:val="21"/>
          <w:u w:val="single"/>
        </w:rPr>
        <w:t>本工程最终结算价以审计单位审定为准。</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u w:val="single"/>
        </w:rPr>
        <w:t>对于双方在价格上有争议的材料或设备，发包方有权采取甲供材的方式进行材料或设备采购；承包方必须无条件执行且继续履行安装任务。</w:t>
      </w:r>
    </w:p>
    <w:p>
      <w:pPr>
        <w:keepNext/>
        <w:keepLines/>
        <w:pageBreakBefore w:val="0"/>
        <w:kinsoku/>
        <w:wordWrap/>
        <w:overflowPunct/>
        <w:topLinePunct w:val="0"/>
        <w:bidi w:val="0"/>
        <w:spacing w:line="360" w:lineRule="auto"/>
        <w:textAlignment w:val="auto"/>
        <w:outlineLvl w:val="0"/>
        <w:rPr>
          <w:color w:val="auto"/>
          <w:kern w:val="44"/>
          <w:szCs w:val="21"/>
        </w:rPr>
      </w:pPr>
      <w:bookmarkStart w:id="416" w:name="_Toc6822"/>
      <w:bookmarkStart w:id="417" w:name="_Toc19399"/>
      <w:bookmarkStart w:id="418" w:name="_Toc22899"/>
      <w:r>
        <w:rPr>
          <w:rFonts w:hAnsi="宋体" w:eastAsia="黑体"/>
          <w:color w:val="auto"/>
          <w:kern w:val="44"/>
          <w:szCs w:val="21"/>
        </w:rPr>
        <w:t xml:space="preserve">12.2 </w:t>
      </w:r>
      <w:r>
        <w:rPr>
          <w:rFonts w:hint="eastAsia" w:hAnsi="宋体" w:eastAsia="黑体"/>
          <w:color w:val="auto"/>
          <w:kern w:val="44"/>
          <w:szCs w:val="21"/>
        </w:rPr>
        <w:t>预付款</w:t>
      </w:r>
      <w:bookmarkEnd w:id="416"/>
      <w:bookmarkEnd w:id="417"/>
      <w:bookmarkEnd w:id="418"/>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12.2.1</w:t>
      </w:r>
      <w:bookmarkStart w:id="419" w:name="_Toc406360352"/>
      <w:bookmarkStart w:id="420" w:name="_Toc373743667"/>
      <w:bookmarkStart w:id="421" w:name="_Toc412544318"/>
      <w:r>
        <w:rPr>
          <w:rFonts w:hint="eastAsia" w:hAnsi="宋体"/>
          <w:color w:val="auto"/>
          <w:szCs w:val="21"/>
        </w:rPr>
        <w:t>预付款的支付</w:t>
      </w:r>
    </w:p>
    <w:bookmarkEnd w:id="419"/>
    <w:bookmarkEnd w:id="420"/>
    <w:bookmarkEnd w:id="421"/>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预付款支付比例或金额：</w:t>
      </w:r>
      <w:r>
        <w:rPr>
          <w:rFonts w:hint="eastAsia" w:hAnsi="宋体"/>
          <w:color w:val="auto"/>
          <w:szCs w:val="21"/>
          <w:u w:val="single"/>
          <w:lang w:val="en-US" w:eastAsia="zh-CN"/>
        </w:rPr>
        <w:t xml:space="preserve">待定   </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预付款支付期限：</w:t>
      </w:r>
      <w:r>
        <w:rPr>
          <w:rFonts w:hint="eastAsia" w:hAnsi="宋体"/>
          <w:color w:val="auto"/>
          <w:szCs w:val="21"/>
          <w:u w:val="single"/>
          <w:lang w:val="en-US" w:eastAsia="zh-CN"/>
        </w:rPr>
        <w:t xml:space="preserve">待定    </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预付款扣回的方式：</w:t>
      </w:r>
      <w:r>
        <w:rPr>
          <w:rFonts w:hint="eastAsia" w:hAnsi="宋体"/>
          <w:color w:val="auto"/>
          <w:szCs w:val="21"/>
          <w:u w:val="single"/>
          <w:lang w:val="en-US" w:eastAsia="zh-CN"/>
        </w:rPr>
        <w:t xml:space="preserve">待定   </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12.2.2 </w:t>
      </w:r>
      <w:r>
        <w:rPr>
          <w:rFonts w:hint="eastAsia" w:hAnsi="宋体"/>
          <w:color w:val="auto"/>
          <w:szCs w:val="21"/>
        </w:rPr>
        <w:t>预付款担保</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承包人提交预付款担保的期限：</w:t>
      </w:r>
      <w:r>
        <w:rPr>
          <w:rFonts w:hint="eastAsia" w:hAnsi="宋体"/>
          <w:color w:val="auto"/>
          <w:szCs w:val="21"/>
          <w:u w:val="single"/>
          <w:lang w:val="en-US" w:eastAsia="zh-CN"/>
        </w:rPr>
        <w:t xml:space="preserve">待定  </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预付款担保的形式为：</w:t>
      </w:r>
      <w:r>
        <w:rPr>
          <w:rFonts w:hint="eastAsia" w:hAnsi="宋体"/>
          <w:color w:val="auto"/>
          <w:szCs w:val="21"/>
          <w:u w:val="single"/>
          <w:lang w:val="en-US" w:eastAsia="zh-CN"/>
        </w:rPr>
        <w:t xml:space="preserve">待定  </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422" w:name="_Toc5537"/>
      <w:bookmarkStart w:id="423" w:name="_Toc19747"/>
      <w:bookmarkStart w:id="424" w:name="_Toc15073"/>
      <w:r>
        <w:rPr>
          <w:rFonts w:hAnsi="宋体" w:eastAsia="黑体"/>
          <w:color w:val="auto"/>
          <w:kern w:val="44"/>
          <w:szCs w:val="21"/>
        </w:rPr>
        <w:t xml:space="preserve">12.3 </w:t>
      </w:r>
      <w:r>
        <w:rPr>
          <w:rFonts w:hint="eastAsia" w:hAnsi="宋体" w:eastAsia="黑体"/>
          <w:color w:val="auto"/>
          <w:kern w:val="44"/>
          <w:szCs w:val="21"/>
        </w:rPr>
        <w:t>计量</w:t>
      </w:r>
      <w:bookmarkEnd w:id="422"/>
      <w:bookmarkEnd w:id="423"/>
      <w:bookmarkEnd w:id="424"/>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12.3.1 </w:t>
      </w:r>
      <w:bookmarkStart w:id="425" w:name="_Toc406360353"/>
      <w:bookmarkStart w:id="426" w:name="_Toc412544319"/>
      <w:bookmarkStart w:id="427" w:name="_Toc373743668"/>
      <w:r>
        <w:rPr>
          <w:rFonts w:hint="eastAsia" w:hAnsi="宋体"/>
          <w:color w:val="auto"/>
          <w:szCs w:val="21"/>
        </w:rPr>
        <w:t>计量原则</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工程</w:t>
      </w:r>
      <w:bookmarkEnd w:id="425"/>
      <w:bookmarkEnd w:id="426"/>
      <w:bookmarkEnd w:id="427"/>
      <w:r>
        <w:rPr>
          <w:rFonts w:hint="eastAsia" w:hAnsi="宋体"/>
          <w:color w:val="auto"/>
          <w:szCs w:val="21"/>
        </w:rPr>
        <w:t>量计算规则：</w:t>
      </w:r>
      <w:r>
        <w:rPr>
          <w:rFonts w:hint="eastAsia"/>
          <w:color w:val="auto"/>
          <w:szCs w:val="21"/>
          <w:u w:val="single"/>
        </w:rPr>
        <w:t>工程的计量均以国家标准《建设工程工程量计算规范》（</w:t>
      </w:r>
      <w:r>
        <w:rPr>
          <w:color w:val="auto"/>
          <w:szCs w:val="21"/>
          <w:u w:val="single"/>
        </w:rPr>
        <w:t>GB50854</w:t>
      </w:r>
      <w:r>
        <w:rPr>
          <w:rFonts w:hint="eastAsia"/>
          <w:color w:val="auto"/>
          <w:szCs w:val="21"/>
          <w:u w:val="single"/>
        </w:rPr>
        <w:t>～</w:t>
      </w:r>
      <w:r>
        <w:rPr>
          <w:color w:val="auto"/>
          <w:szCs w:val="21"/>
          <w:u w:val="single"/>
        </w:rPr>
        <w:t>50862</w:t>
      </w:r>
      <w:r>
        <w:rPr>
          <w:rFonts w:hint="eastAsia"/>
          <w:color w:val="auto"/>
          <w:szCs w:val="21"/>
          <w:u w:val="single"/>
        </w:rPr>
        <w:t>－</w:t>
      </w:r>
      <w:r>
        <w:rPr>
          <w:color w:val="auto"/>
          <w:szCs w:val="21"/>
          <w:u w:val="single"/>
        </w:rPr>
        <w:t>2013</w:t>
      </w:r>
      <w:r>
        <w:rPr>
          <w:rFonts w:hint="eastAsia"/>
          <w:color w:val="auto"/>
          <w:szCs w:val="21"/>
          <w:u w:val="single"/>
        </w:rPr>
        <w:t>）和《建设工程工程量计算规范（</w:t>
      </w:r>
      <w:r>
        <w:rPr>
          <w:color w:val="auto"/>
          <w:szCs w:val="21"/>
          <w:u w:val="single"/>
        </w:rPr>
        <w:t>GB50854</w:t>
      </w:r>
      <w:r>
        <w:rPr>
          <w:rFonts w:hint="eastAsia"/>
          <w:color w:val="auto"/>
          <w:szCs w:val="21"/>
          <w:u w:val="single"/>
        </w:rPr>
        <w:t>～</w:t>
      </w:r>
      <w:r>
        <w:rPr>
          <w:color w:val="auto"/>
          <w:szCs w:val="21"/>
          <w:u w:val="single"/>
        </w:rPr>
        <w:t>50862-2013</w:t>
      </w:r>
      <w:r>
        <w:rPr>
          <w:rFonts w:hint="eastAsia"/>
          <w:color w:val="auto"/>
          <w:szCs w:val="21"/>
          <w:u w:val="single"/>
        </w:rPr>
        <w:t>）广西壮族自治区实施细则》计算的净值为准，如有不明之处，应以监理工程师或造价管理部门指定的计量方法为准。</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12.3.2 </w:t>
      </w:r>
      <w:r>
        <w:rPr>
          <w:rFonts w:hint="eastAsia" w:hAnsi="宋体"/>
          <w:color w:val="auto"/>
          <w:szCs w:val="21"/>
        </w:rPr>
        <w:t>计量周期</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关于计量周期的约定：</w:t>
      </w:r>
      <w:r>
        <w:rPr>
          <w:rFonts w:hint="eastAsia" w:hAnsi="宋体"/>
          <w:color w:val="auto"/>
          <w:szCs w:val="21"/>
          <w:u w:val="single"/>
          <w:lang w:val="en-US" w:eastAsia="zh-CN"/>
        </w:rPr>
        <w:t>每月25日前</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12.3.3 </w:t>
      </w:r>
      <w:r>
        <w:rPr>
          <w:rFonts w:hint="eastAsia" w:hAnsi="宋体"/>
          <w:color w:val="auto"/>
          <w:szCs w:val="21"/>
        </w:rPr>
        <w:t>单价合同的计量</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关于单价合同计量的约定：</w:t>
      </w:r>
    </w:p>
    <w:p>
      <w:pPr>
        <w:pageBreakBefore w:val="0"/>
        <w:kinsoku/>
        <w:wordWrap/>
        <w:overflowPunct/>
        <w:topLinePunct w:val="0"/>
        <w:bidi w:val="0"/>
        <w:spacing w:line="360" w:lineRule="auto"/>
        <w:ind w:firstLine="441" w:firstLineChars="210"/>
        <w:textAlignment w:val="auto"/>
        <w:rPr>
          <w:color w:val="auto"/>
          <w:szCs w:val="21"/>
        </w:rPr>
      </w:pPr>
      <w:r>
        <w:rPr>
          <w:rFonts w:hAnsi="宋体"/>
          <w:color w:val="auto"/>
          <w:szCs w:val="21"/>
        </w:rPr>
        <w:t xml:space="preserve">(1) </w:t>
      </w:r>
      <w:r>
        <w:rPr>
          <w:rFonts w:hint="eastAsia"/>
          <w:color w:val="auto"/>
          <w:szCs w:val="21"/>
        </w:rPr>
        <w:t>工程量清单所列的工程量，不能作为承包人按合同履行其责任依据，实际施工中发生的工程量增加或减少并不影响承包人履行合同的责任，工程结算以完成的实际工程量为准。</w:t>
      </w:r>
    </w:p>
    <w:p>
      <w:pPr>
        <w:pageBreakBefore w:val="0"/>
        <w:kinsoku/>
        <w:wordWrap/>
        <w:overflowPunct/>
        <w:topLinePunct w:val="0"/>
        <w:bidi w:val="0"/>
        <w:spacing w:line="360" w:lineRule="auto"/>
        <w:ind w:firstLine="441" w:firstLineChars="210"/>
        <w:textAlignment w:val="auto"/>
        <w:rPr>
          <w:color w:val="auto"/>
          <w:szCs w:val="21"/>
        </w:rPr>
      </w:pPr>
      <w:r>
        <w:rPr>
          <w:rFonts w:hAnsi="宋体"/>
          <w:color w:val="auto"/>
          <w:szCs w:val="21"/>
        </w:rPr>
        <w:t>(2)</w:t>
      </w:r>
      <w:r>
        <w:rPr>
          <w:rFonts w:hint="eastAsia"/>
          <w:color w:val="auto"/>
          <w:szCs w:val="21"/>
        </w:rPr>
        <w:t>除另有规定外，工程师应按照合同通过计量来核实确定已完成的工程量和价值，承包人应得到该价值扣除保留金后的价款。当工程师要对已完工的工程量进行计量时，应适时地通知承包人参加。</w:t>
      </w:r>
    </w:p>
    <w:p>
      <w:pPr>
        <w:keepNext/>
        <w:keepLines/>
        <w:pageBreakBefore w:val="0"/>
        <w:kinsoku/>
        <w:wordWrap/>
        <w:overflowPunct/>
        <w:topLinePunct w:val="0"/>
        <w:bidi w:val="0"/>
        <w:spacing w:line="360" w:lineRule="auto"/>
        <w:textAlignment w:val="auto"/>
        <w:outlineLvl w:val="0"/>
        <w:rPr>
          <w:color w:val="auto"/>
          <w:kern w:val="44"/>
          <w:szCs w:val="21"/>
        </w:rPr>
      </w:pPr>
      <w:bookmarkStart w:id="428" w:name="_Toc17486"/>
      <w:bookmarkStart w:id="429" w:name="_Toc12515"/>
      <w:bookmarkStart w:id="430" w:name="_Toc7604"/>
      <w:r>
        <w:rPr>
          <w:rFonts w:hAnsi="宋体" w:eastAsia="黑体"/>
          <w:color w:val="auto"/>
          <w:kern w:val="44"/>
          <w:szCs w:val="21"/>
        </w:rPr>
        <w:t xml:space="preserve">12.4 </w:t>
      </w:r>
      <w:r>
        <w:rPr>
          <w:rFonts w:hint="eastAsia" w:hAnsi="宋体" w:eastAsia="黑体"/>
          <w:color w:val="auto"/>
          <w:kern w:val="44"/>
          <w:szCs w:val="21"/>
        </w:rPr>
        <w:t>工程进度款支付</w:t>
      </w:r>
      <w:bookmarkEnd w:id="428"/>
      <w:bookmarkEnd w:id="429"/>
      <w:bookmarkEnd w:id="430"/>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12</w:t>
      </w:r>
      <w:bookmarkStart w:id="431" w:name="_Toc406360354"/>
      <w:bookmarkStart w:id="432" w:name="_Toc373743669"/>
      <w:bookmarkStart w:id="433" w:name="_Toc412544320"/>
      <w:r>
        <w:rPr>
          <w:rFonts w:hAnsi="宋体"/>
          <w:color w:val="auto"/>
          <w:szCs w:val="21"/>
        </w:rPr>
        <w:t xml:space="preserve">.4.1 </w:t>
      </w:r>
      <w:r>
        <w:rPr>
          <w:rFonts w:hint="eastAsia" w:hAnsi="宋体"/>
          <w:color w:val="auto"/>
          <w:szCs w:val="21"/>
        </w:rPr>
        <w:t>付款周期</w:t>
      </w:r>
    </w:p>
    <w:p>
      <w:pPr>
        <w:spacing w:line="400" w:lineRule="exact"/>
        <w:ind w:firstLine="525" w:firstLineChars="250"/>
        <w:rPr>
          <w:rFonts w:hint="eastAsia" w:hAnsi="宋体"/>
          <w:color w:val="auto"/>
          <w:szCs w:val="21"/>
        </w:rPr>
      </w:pPr>
      <w:r>
        <w:rPr>
          <w:rFonts w:hint="eastAsia" w:hAnsi="宋体"/>
          <w:color w:val="auto"/>
          <w:szCs w:val="21"/>
        </w:rPr>
        <w:t>关于</w:t>
      </w:r>
      <w:bookmarkEnd w:id="431"/>
      <w:bookmarkEnd w:id="432"/>
      <w:bookmarkEnd w:id="433"/>
      <w:r>
        <w:rPr>
          <w:rFonts w:hint="eastAsia" w:hAnsi="宋体"/>
          <w:color w:val="auto"/>
          <w:szCs w:val="21"/>
        </w:rPr>
        <w:t>付款周期的约定：</w:t>
      </w:r>
    </w:p>
    <w:p>
      <w:pPr>
        <w:pageBreakBefore w:val="0"/>
        <w:kinsoku/>
        <w:wordWrap/>
        <w:overflowPunct/>
        <w:topLinePunct w:val="0"/>
        <w:bidi w:val="0"/>
        <w:spacing w:line="360" w:lineRule="auto"/>
        <w:ind w:firstLine="443" w:firstLineChars="210"/>
        <w:textAlignment w:val="auto"/>
        <w:rPr>
          <w:rFonts w:hint="eastAsia"/>
          <w:b/>
          <w:bCs/>
          <w:color w:val="auto"/>
          <w:szCs w:val="21"/>
          <w:u w:val="single"/>
        </w:rPr>
      </w:pPr>
      <w:r>
        <w:rPr>
          <w:rFonts w:hint="eastAsia"/>
          <w:b/>
          <w:bCs/>
          <w:color w:val="auto"/>
          <w:szCs w:val="21"/>
          <w:u w:val="single"/>
        </w:rPr>
        <w:t>①工程款原则上按月支付，工程进度款支付限额为已完成工程量的 80 %（建议值：75-85%）。</w:t>
      </w:r>
    </w:p>
    <w:p>
      <w:pPr>
        <w:pageBreakBefore w:val="0"/>
        <w:kinsoku/>
        <w:wordWrap/>
        <w:overflowPunct/>
        <w:topLinePunct w:val="0"/>
        <w:bidi w:val="0"/>
        <w:spacing w:line="360" w:lineRule="auto"/>
        <w:ind w:firstLine="443" w:firstLineChars="210"/>
        <w:textAlignment w:val="auto"/>
        <w:rPr>
          <w:rFonts w:hint="eastAsia"/>
          <w:b/>
          <w:bCs/>
          <w:color w:val="auto"/>
          <w:szCs w:val="21"/>
          <w:u w:val="single"/>
        </w:rPr>
      </w:pPr>
      <w:r>
        <w:rPr>
          <w:rFonts w:hint="eastAsia"/>
          <w:b/>
          <w:bCs/>
          <w:color w:val="auto"/>
          <w:szCs w:val="21"/>
          <w:u w:val="single"/>
        </w:rPr>
        <w:t>②工程完工验收达到质量要求，结算经业主及审计单位审定支付至审定价的 97%。发包人按工程价款结算总额的 3 %（最高不超过 3%）预留工程质量保证金。</w:t>
      </w:r>
    </w:p>
    <w:p>
      <w:pPr>
        <w:pageBreakBefore w:val="0"/>
        <w:kinsoku/>
        <w:wordWrap/>
        <w:overflowPunct/>
        <w:topLinePunct w:val="0"/>
        <w:bidi w:val="0"/>
        <w:spacing w:line="360" w:lineRule="auto"/>
        <w:ind w:firstLine="443" w:firstLineChars="210"/>
        <w:textAlignment w:val="auto"/>
        <w:rPr>
          <w:color w:val="auto"/>
          <w:szCs w:val="21"/>
          <w:u w:val="single"/>
        </w:rPr>
      </w:pPr>
      <w:r>
        <w:rPr>
          <w:rFonts w:hint="eastAsia"/>
          <w:b/>
          <w:bCs/>
          <w:color w:val="auto"/>
          <w:szCs w:val="21"/>
          <w:u w:val="single"/>
        </w:rPr>
        <w:t>③合同约定的工程质量缺陷责任期（最长不超过 2 年）满后由承包人向发包人提出返还保 证金的申请，发包人在接到承包人返还保证金申请后，于 14 天内会同承包人按照合同约定的内容进行核实。如无异议，发包人在核实后 14 天内将保证金返还承包人，逾期未返还的，依法承担违约责任。发包人在接到承包人返还保证金申请后 14 天内不予答复，经催告后 14 天内仍不予答复，视同认可承包人的返还保证金申请。</w:t>
      </w:r>
    </w:p>
    <w:p>
      <w:pPr>
        <w:pageBreakBefore w:val="0"/>
        <w:kinsoku/>
        <w:wordWrap/>
        <w:overflowPunct/>
        <w:topLinePunct w:val="0"/>
        <w:bidi w:val="0"/>
        <w:spacing w:line="360" w:lineRule="auto"/>
        <w:ind w:firstLine="420" w:firstLineChars="200"/>
        <w:jc w:val="left"/>
        <w:textAlignment w:val="auto"/>
        <w:rPr>
          <w:color w:val="auto"/>
          <w:szCs w:val="21"/>
          <w:highlight w:val="none"/>
        </w:rPr>
      </w:pPr>
      <w:r>
        <w:rPr>
          <w:rFonts w:hAnsi="宋体"/>
          <w:color w:val="auto"/>
          <w:szCs w:val="21"/>
          <w:highlight w:val="none"/>
        </w:rPr>
        <w:t xml:space="preserve">12.4.2 </w:t>
      </w:r>
      <w:r>
        <w:rPr>
          <w:rFonts w:hint="eastAsia" w:hAnsi="宋体"/>
          <w:color w:val="auto"/>
          <w:szCs w:val="21"/>
          <w:highlight w:val="none"/>
        </w:rPr>
        <w:t>进度付款申请单的编制</w:t>
      </w:r>
    </w:p>
    <w:p>
      <w:pPr>
        <w:pageBreakBefore w:val="0"/>
        <w:kinsoku/>
        <w:wordWrap/>
        <w:overflowPunct/>
        <w:topLinePunct w:val="0"/>
        <w:bidi w:val="0"/>
        <w:spacing w:line="360" w:lineRule="auto"/>
        <w:ind w:firstLine="420" w:firstLineChars="200"/>
        <w:jc w:val="left"/>
        <w:textAlignment w:val="auto"/>
        <w:rPr>
          <w:color w:val="auto"/>
          <w:szCs w:val="21"/>
          <w:highlight w:val="none"/>
          <w:u w:val="single"/>
        </w:rPr>
      </w:pPr>
      <w:r>
        <w:rPr>
          <w:rFonts w:hint="eastAsia" w:hAnsi="宋体"/>
          <w:color w:val="auto"/>
          <w:szCs w:val="21"/>
          <w:highlight w:val="none"/>
        </w:rPr>
        <w:t>关于进度付款申请单编制的约定：</w:t>
      </w:r>
      <w:r>
        <w:rPr>
          <w:rFonts w:hint="eastAsia" w:hAnsi="宋体"/>
          <w:color w:val="auto"/>
          <w:szCs w:val="21"/>
          <w:highlight w:val="none"/>
          <w:u w:val="single"/>
        </w:rPr>
        <w:t>按发包人要求</w:t>
      </w:r>
      <w:r>
        <w:rPr>
          <w:rFonts w:hint="eastAsia" w:hAnsi="宋体"/>
          <w:color w:val="auto"/>
          <w:szCs w:val="21"/>
          <w:highlight w:val="none"/>
        </w:rPr>
        <w:t>。</w:t>
      </w:r>
    </w:p>
    <w:p>
      <w:pPr>
        <w:pageBreakBefore w:val="0"/>
        <w:kinsoku/>
        <w:wordWrap/>
        <w:overflowPunct/>
        <w:topLinePunct w:val="0"/>
        <w:bidi w:val="0"/>
        <w:spacing w:line="360" w:lineRule="auto"/>
        <w:ind w:firstLine="420" w:firstLineChars="200"/>
        <w:jc w:val="left"/>
        <w:textAlignment w:val="auto"/>
        <w:rPr>
          <w:color w:val="auto"/>
          <w:szCs w:val="21"/>
          <w:highlight w:val="none"/>
        </w:rPr>
      </w:pPr>
      <w:r>
        <w:rPr>
          <w:rFonts w:hAnsi="宋体"/>
          <w:color w:val="auto"/>
          <w:szCs w:val="21"/>
          <w:highlight w:val="none"/>
        </w:rPr>
        <w:t xml:space="preserve">12.4.3 </w:t>
      </w:r>
      <w:r>
        <w:rPr>
          <w:rFonts w:hint="eastAsia" w:hAnsi="宋体"/>
          <w:color w:val="auto"/>
          <w:szCs w:val="21"/>
          <w:highlight w:val="none"/>
        </w:rPr>
        <w:t>进度付款申请单的提交</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1</w:t>
      </w:r>
      <w:r>
        <w:rPr>
          <w:rFonts w:hint="eastAsia" w:hAnsi="宋体"/>
          <w:color w:val="auto"/>
          <w:szCs w:val="21"/>
        </w:rPr>
        <w:t>）单价合同进度付款申请单提交的约定：</w:t>
      </w:r>
      <w:r>
        <w:rPr>
          <w:rFonts w:hint="eastAsia" w:hAnsi="宋体"/>
          <w:color w:val="auto"/>
          <w:szCs w:val="21"/>
          <w:u w:val="single"/>
        </w:rPr>
        <w:t>承包人按工程形象进度向发包人提交进度付款申请单时，承包人应配合发包人提供以下资料：①《工程用款支付证书》；②工程量计量报表（格式按发包方具体要求）；③其他需要补充说明的材料。</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12.4.4 </w:t>
      </w:r>
      <w:r>
        <w:rPr>
          <w:rFonts w:hint="eastAsia" w:hAnsi="宋体"/>
          <w:color w:val="auto"/>
          <w:szCs w:val="21"/>
        </w:rPr>
        <w:t>进度款审核和支付</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w:t>
      </w:r>
      <w:r>
        <w:rPr>
          <w:rFonts w:hAnsi="宋体"/>
          <w:color w:val="auto"/>
          <w:szCs w:val="21"/>
        </w:rPr>
        <w:t>1</w:t>
      </w:r>
      <w:r>
        <w:rPr>
          <w:rFonts w:hint="eastAsia" w:hAnsi="宋体"/>
          <w:color w:val="auto"/>
          <w:szCs w:val="21"/>
        </w:rPr>
        <w:t>）监理人审查并报送发包人的期限：</w:t>
      </w:r>
      <w:r>
        <w:rPr>
          <w:rFonts w:hint="eastAsia" w:hAnsi="宋体"/>
          <w:color w:val="auto"/>
          <w:szCs w:val="21"/>
          <w:u w:val="single"/>
        </w:rPr>
        <w:t>进度付款申请单提交后</w:t>
      </w:r>
      <w:r>
        <w:rPr>
          <w:rFonts w:hAnsi="宋体"/>
          <w:color w:val="auto"/>
          <w:szCs w:val="21"/>
          <w:u w:val="single"/>
        </w:rPr>
        <w:t xml:space="preserve"> 3</w:t>
      </w:r>
      <w:r>
        <w:rPr>
          <w:rFonts w:hint="eastAsia" w:hAnsi="宋体"/>
          <w:color w:val="auto"/>
          <w:szCs w:val="21"/>
          <w:u w:val="single"/>
        </w:rPr>
        <w:t>天内</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发包人完成审批并签发进度款支付证书的期限：</w:t>
      </w:r>
      <w:r>
        <w:rPr>
          <w:rFonts w:hint="eastAsia" w:hAnsi="宋体"/>
          <w:color w:val="auto"/>
          <w:szCs w:val="21"/>
          <w:u w:val="single"/>
        </w:rPr>
        <w:t>进度付款申请单通过监理人审查后</w:t>
      </w:r>
      <w:r>
        <w:rPr>
          <w:rFonts w:hAnsi="宋体"/>
          <w:color w:val="auto"/>
          <w:szCs w:val="21"/>
          <w:u w:val="single"/>
        </w:rPr>
        <w:t xml:space="preserve"> 15</w:t>
      </w:r>
      <w:r>
        <w:rPr>
          <w:rFonts w:hint="eastAsia" w:hAnsi="宋体"/>
          <w:color w:val="auto"/>
          <w:szCs w:val="21"/>
          <w:u w:val="single"/>
        </w:rPr>
        <w:t>天内</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2</w:t>
      </w:r>
      <w:r>
        <w:rPr>
          <w:rFonts w:hint="eastAsia" w:hAnsi="宋体"/>
          <w:color w:val="auto"/>
          <w:szCs w:val="21"/>
        </w:rPr>
        <w:t>）发包人支付进度款的期限：</w:t>
      </w:r>
      <w:r>
        <w:rPr>
          <w:rFonts w:hint="eastAsia" w:hAnsi="宋体"/>
          <w:color w:val="auto"/>
          <w:szCs w:val="21"/>
          <w:u w:val="single"/>
        </w:rPr>
        <w:t>进度款支付证书签发后</w:t>
      </w:r>
      <w:r>
        <w:rPr>
          <w:rFonts w:hAnsi="宋体"/>
          <w:color w:val="auto"/>
          <w:szCs w:val="21"/>
          <w:u w:val="single"/>
        </w:rPr>
        <w:t>15</w:t>
      </w:r>
      <w:r>
        <w:rPr>
          <w:rFonts w:hint="eastAsia" w:hAnsi="宋体"/>
          <w:color w:val="auto"/>
          <w:szCs w:val="21"/>
          <w:u w:val="single"/>
        </w:rPr>
        <w:t>日内</w:t>
      </w:r>
      <w:r>
        <w:rPr>
          <w:rFonts w:hint="eastAsia" w:hAnsi="宋体"/>
          <w:color w:val="auto"/>
          <w:szCs w:val="21"/>
        </w:rPr>
        <w:t>。</w:t>
      </w:r>
    </w:p>
    <w:p>
      <w:pPr>
        <w:pageBreakBefore w:val="0"/>
        <w:kinsoku/>
        <w:wordWrap/>
        <w:overflowPunct/>
        <w:topLinePunct w:val="0"/>
        <w:bidi w:val="0"/>
        <w:spacing w:line="360" w:lineRule="auto"/>
        <w:ind w:firstLine="525" w:firstLineChars="250"/>
        <w:jc w:val="left"/>
        <w:textAlignment w:val="auto"/>
        <w:rPr>
          <w:color w:val="auto"/>
          <w:szCs w:val="21"/>
        </w:rPr>
      </w:pPr>
      <w:r>
        <w:rPr>
          <w:rFonts w:hint="eastAsia" w:hAnsi="宋体"/>
          <w:color w:val="auto"/>
          <w:szCs w:val="21"/>
        </w:rPr>
        <w:t>发包人逾期支付进度款的违约金的计算方式：</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ind w:firstLine="525" w:firstLineChars="250"/>
        <w:jc w:val="left"/>
        <w:textAlignment w:val="auto"/>
        <w:rPr>
          <w:rFonts w:hint="eastAsia" w:hAnsi="宋体"/>
          <w:color w:val="auto"/>
          <w:szCs w:val="21"/>
        </w:rPr>
      </w:pPr>
      <w:r>
        <w:rPr>
          <w:rFonts w:hint="eastAsia" w:hAnsi="宋体"/>
          <w:color w:val="auto"/>
          <w:szCs w:val="21"/>
        </w:rPr>
        <w:t>进度款支付方式：</w:t>
      </w:r>
      <w:r>
        <w:rPr>
          <w:rFonts w:hint="eastAsia" w:hAnsi="宋体"/>
          <w:color w:val="auto"/>
          <w:szCs w:val="21"/>
          <w:u w:val="single"/>
        </w:rPr>
        <w:t>银行转账</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rFonts w:hint="eastAsia"/>
        </w:rPr>
      </w:pPr>
      <w:r>
        <w:rPr>
          <w:rFonts w:hint="eastAsia" w:hAnsi="宋体"/>
          <w:color w:val="auto"/>
          <w:szCs w:val="21"/>
        </w:rPr>
        <w:t>（3） 农民工工资支付</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2）发包人依据工程进度，按与承包人约定的农民工支付比例，将工程人工费分账支付到承包人的农民工工资专户，工程完工时发包人向承包人农民工工资专户支付的完工工程量的人工费支付比例不低于</w:t>
      </w:r>
      <w:r>
        <w:rPr>
          <w:rFonts w:hint="eastAsia" w:hAnsi="宋体"/>
          <w:color w:val="auto"/>
          <w:szCs w:val="21"/>
          <w:u w:val="single"/>
        </w:rPr>
        <w:t xml:space="preserve">   </w:t>
      </w:r>
      <w:r>
        <w:rPr>
          <w:rFonts w:hint="eastAsia" w:hAnsi="宋体"/>
          <w:color w:val="auto"/>
          <w:szCs w:val="21"/>
        </w:rPr>
        <w:t>%，其余工程进度款项由发包人支付到承包人的单位基本户。</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int="eastAsia" w:hAnsi="宋体"/>
          <w:color w:val="auto"/>
          <w:szCs w:val="21"/>
          <w:u w:val="single"/>
        </w:rPr>
        <w:t xml:space="preserve">   </w:t>
      </w:r>
      <w:r>
        <w:rPr>
          <w:rFonts w:hint="eastAsia" w:hAnsi="宋体"/>
          <w:color w:val="auto"/>
          <w:szCs w:val="21"/>
        </w:rPr>
        <w:t>%。其余分包工程进度款项由承包人支付到分包人的单位基本户。</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4）凡未向付款单位提供农民工工资专户的，或者请款单位在申请工程进度款时未将人工费单列的，付款单位有权拒绝支付工程进度款。</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5）农民工工资使用要求：专款专用，除发放工人工资外，不得用于其他用途。</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6）承包人将农民工工资支付情况定期报告发包人和监理单位，并提供相应的材料接受建设行政主管部门和劳动保障行政主管部门对此事项监管。</w:t>
      </w:r>
    </w:p>
    <w:p>
      <w:pPr>
        <w:pageBreakBefore w:val="0"/>
        <w:kinsoku/>
        <w:wordWrap/>
        <w:overflowPunct/>
        <w:topLinePunct w:val="0"/>
        <w:bidi w:val="0"/>
        <w:spacing w:line="360" w:lineRule="auto"/>
        <w:ind w:firstLine="420" w:firstLineChars="200"/>
        <w:textAlignment w:val="auto"/>
        <w:rPr>
          <w:rFonts w:hint="eastAsia" w:hAnsi="宋体"/>
          <w:color w:val="auto"/>
          <w:szCs w:val="21"/>
        </w:rPr>
      </w:pPr>
      <w:r>
        <w:rPr>
          <w:rFonts w:hint="eastAsia" w:hAnsi="宋体"/>
          <w:color w:val="auto"/>
          <w:szCs w:val="21"/>
        </w:rPr>
        <w:t>（4）农民工工资支付专用账户：××××公司农民工工资支付专用账户 。账号：</w:t>
      </w:r>
    </w:p>
    <w:p>
      <w:pPr>
        <w:pageBreakBefore w:val="0"/>
        <w:kinsoku/>
        <w:wordWrap/>
        <w:overflowPunct/>
        <w:topLinePunct w:val="0"/>
        <w:bidi w:val="0"/>
        <w:spacing w:line="360" w:lineRule="auto"/>
        <w:ind w:firstLine="525" w:firstLineChars="250"/>
        <w:jc w:val="left"/>
        <w:textAlignment w:val="auto"/>
        <w:rPr>
          <w:color w:val="auto"/>
          <w:szCs w:val="21"/>
        </w:rPr>
      </w:pPr>
      <w:r>
        <w:rPr>
          <w:rFonts w:hAnsi="宋体"/>
          <w:color w:val="auto"/>
          <w:szCs w:val="21"/>
        </w:rPr>
        <w:t xml:space="preserve">12.4.6 </w:t>
      </w:r>
      <w:r>
        <w:rPr>
          <w:rFonts w:hint="eastAsia" w:hAnsi="宋体"/>
          <w:color w:val="auto"/>
          <w:szCs w:val="21"/>
        </w:rPr>
        <w:t>支付分解表的编制</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Ansi="宋体"/>
          <w:color w:val="auto"/>
          <w:szCs w:val="21"/>
        </w:rPr>
        <w:t>2</w:t>
      </w:r>
      <w:r>
        <w:rPr>
          <w:rFonts w:hint="eastAsia" w:hAnsi="宋体"/>
          <w:color w:val="auto"/>
          <w:szCs w:val="21"/>
        </w:rPr>
        <w:t>、总价合同支付分解表的编制与审批：</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Ansi="宋体"/>
          <w:color w:val="auto"/>
          <w:szCs w:val="21"/>
        </w:rPr>
        <w:t>3</w:t>
      </w:r>
      <w:r>
        <w:rPr>
          <w:rFonts w:hint="eastAsia" w:hAnsi="宋体"/>
          <w:color w:val="auto"/>
          <w:szCs w:val="21"/>
        </w:rPr>
        <w:t>、单价合同的总价项目支付分解表的编制与审批：</w:t>
      </w:r>
      <w:r>
        <w:rPr>
          <w:rFonts w:hint="eastAsia" w:hAnsi="宋体"/>
          <w:color w:val="auto"/>
          <w:szCs w:val="21"/>
          <w:u w:val="single"/>
        </w:rPr>
        <w:t>无</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434" w:name="_Toc14125"/>
      <w:bookmarkStart w:id="435" w:name="_Toc10455"/>
      <w:bookmarkStart w:id="436" w:name="_Toc3020"/>
      <w:r>
        <w:rPr>
          <w:rFonts w:hAnsi="宋体" w:eastAsia="黑体"/>
          <w:color w:val="auto"/>
          <w:kern w:val="44"/>
          <w:szCs w:val="21"/>
        </w:rPr>
        <w:t xml:space="preserve">13. </w:t>
      </w:r>
      <w:r>
        <w:rPr>
          <w:rFonts w:hint="eastAsia" w:hAnsi="宋体" w:eastAsia="黑体"/>
          <w:color w:val="auto"/>
          <w:kern w:val="44"/>
          <w:szCs w:val="21"/>
        </w:rPr>
        <w:t>验收和工程试车</w:t>
      </w:r>
      <w:bookmarkEnd w:id="434"/>
      <w:bookmarkEnd w:id="435"/>
      <w:bookmarkEnd w:id="436"/>
    </w:p>
    <w:p>
      <w:pPr>
        <w:keepNext/>
        <w:keepLines/>
        <w:pageBreakBefore w:val="0"/>
        <w:kinsoku/>
        <w:wordWrap/>
        <w:overflowPunct/>
        <w:topLinePunct w:val="0"/>
        <w:bidi w:val="0"/>
        <w:spacing w:line="360" w:lineRule="auto"/>
        <w:textAlignment w:val="auto"/>
        <w:outlineLvl w:val="0"/>
        <w:rPr>
          <w:color w:val="auto"/>
          <w:kern w:val="44"/>
          <w:szCs w:val="21"/>
        </w:rPr>
      </w:pPr>
      <w:bookmarkStart w:id="437" w:name="_Toc12827"/>
      <w:bookmarkStart w:id="438" w:name="_Toc4660"/>
      <w:bookmarkStart w:id="439" w:name="_Toc1490"/>
      <w:r>
        <w:rPr>
          <w:rFonts w:hAnsi="宋体" w:eastAsia="黑体"/>
          <w:color w:val="auto"/>
          <w:kern w:val="44"/>
          <w:szCs w:val="21"/>
        </w:rPr>
        <w:t>13.</w:t>
      </w:r>
      <w:bookmarkStart w:id="440" w:name="_Toc406360355"/>
      <w:bookmarkStart w:id="441" w:name="_Toc373743670"/>
      <w:bookmarkStart w:id="442" w:name="_Toc412544321"/>
      <w:r>
        <w:rPr>
          <w:rFonts w:hAnsi="宋体" w:eastAsia="黑体"/>
          <w:color w:val="auto"/>
          <w:kern w:val="44"/>
          <w:szCs w:val="21"/>
        </w:rPr>
        <w:t xml:space="preserve">1 </w:t>
      </w:r>
      <w:r>
        <w:rPr>
          <w:rFonts w:hint="eastAsia" w:hAnsi="宋体" w:eastAsia="黑体"/>
          <w:color w:val="auto"/>
          <w:kern w:val="44"/>
          <w:szCs w:val="21"/>
        </w:rPr>
        <w:t>分部分项工程验收</w:t>
      </w:r>
      <w:bookmarkEnd w:id="437"/>
      <w:bookmarkEnd w:id="438"/>
      <w:bookmarkEnd w:id="439"/>
    </w:p>
    <w:bookmarkEnd w:id="440"/>
    <w:bookmarkEnd w:id="441"/>
    <w:bookmarkEnd w:id="442"/>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w:t>
      </w:r>
      <w:bookmarkStart w:id="443" w:name="_Toc406360356"/>
      <w:bookmarkStart w:id="444" w:name="_Toc373743671"/>
      <w:bookmarkStart w:id="445" w:name="_Toc412544322"/>
      <w:r>
        <w:rPr>
          <w:rFonts w:hAnsi="宋体"/>
          <w:color w:val="auto"/>
          <w:szCs w:val="21"/>
        </w:rPr>
        <w:t>3.1.2</w:t>
      </w:r>
      <w:r>
        <w:rPr>
          <w:rFonts w:hint="eastAsia" w:hAnsi="宋体"/>
          <w:color w:val="auto"/>
          <w:szCs w:val="21"/>
        </w:rPr>
        <w:t>监理人不能按时进</w:t>
      </w:r>
      <w:bookmarkEnd w:id="443"/>
      <w:bookmarkEnd w:id="444"/>
      <w:bookmarkEnd w:id="445"/>
      <w:r>
        <w:rPr>
          <w:rFonts w:hint="eastAsia" w:hAnsi="宋体"/>
          <w:color w:val="auto"/>
          <w:szCs w:val="21"/>
        </w:rPr>
        <w:t>行验收时，应提前</w:t>
      </w:r>
      <w:r>
        <w:rPr>
          <w:rFonts w:hAnsi="宋体"/>
          <w:color w:val="auto"/>
          <w:szCs w:val="21"/>
          <w:u w:val="single"/>
        </w:rPr>
        <w:t xml:space="preserve"> 24   </w:t>
      </w:r>
      <w:r>
        <w:rPr>
          <w:rFonts w:hint="eastAsia" w:hAnsi="宋体"/>
          <w:color w:val="auto"/>
          <w:szCs w:val="21"/>
        </w:rPr>
        <w:t>小时提交书面延期要求。</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关于延期最长不得超过：</w:t>
      </w:r>
      <w:r>
        <w:rPr>
          <w:rFonts w:hAnsi="宋体"/>
          <w:color w:val="auto"/>
          <w:szCs w:val="21"/>
          <w:u w:val="single"/>
        </w:rPr>
        <w:t xml:space="preserve">   24  </w:t>
      </w:r>
      <w:r>
        <w:rPr>
          <w:rFonts w:hint="eastAsia" w:hAnsi="宋体"/>
          <w:color w:val="auto"/>
          <w:szCs w:val="21"/>
        </w:rPr>
        <w:t>小时。</w:t>
      </w:r>
    </w:p>
    <w:p>
      <w:pPr>
        <w:keepNext/>
        <w:keepLines/>
        <w:pageBreakBefore w:val="0"/>
        <w:kinsoku/>
        <w:wordWrap/>
        <w:overflowPunct/>
        <w:topLinePunct w:val="0"/>
        <w:bidi w:val="0"/>
        <w:spacing w:line="360" w:lineRule="auto"/>
        <w:textAlignment w:val="auto"/>
        <w:outlineLvl w:val="0"/>
        <w:rPr>
          <w:color w:val="auto"/>
          <w:kern w:val="44"/>
          <w:szCs w:val="21"/>
        </w:rPr>
      </w:pPr>
      <w:bookmarkStart w:id="446" w:name="_Toc29369"/>
      <w:bookmarkStart w:id="447" w:name="_Toc30790"/>
      <w:bookmarkStart w:id="448" w:name="_Toc4034"/>
      <w:r>
        <w:rPr>
          <w:rFonts w:hAnsi="宋体" w:eastAsia="黑体"/>
          <w:color w:val="auto"/>
          <w:kern w:val="44"/>
          <w:szCs w:val="21"/>
        </w:rPr>
        <w:t xml:space="preserve">13.2 </w:t>
      </w:r>
      <w:r>
        <w:rPr>
          <w:rFonts w:hint="eastAsia" w:hAnsi="宋体" w:eastAsia="黑体"/>
          <w:color w:val="auto"/>
          <w:kern w:val="44"/>
          <w:szCs w:val="21"/>
        </w:rPr>
        <w:t>竣工验收</w:t>
      </w:r>
      <w:bookmarkEnd w:id="446"/>
      <w:bookmarkEnd w:id="447"/>
      <w:bookmarkEnd w:id="448"/>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13.2.</w:t>
      </w:r>
      <w:bookmarkStart w:id="449" w:name="_Toc406360357"/>
      <w:bookmarkStart w:id="450" w:name="_Toc373743672"/>
      <w:bookmarkStart w:id="451" w:name="_Toc412544323"/>
      <w:r>
        <w:rPr>
          <w:rFonts w:hAnsi="宋体"/>
          <w:color w:val="auto"/>
          <w:szCs w:val="21"/>
        </w:rPr>
        <w:t>1</w:t>
      </w:r>
      <w:r>
        <w:rPr>
          <w:rFonts w:hint="eastAsia" w:hAnsi="宋体"/>
          <w:color w:val="auto"/>
          <w:szCs w:val="21"/>
        </w:rPr>
        <w:t>竣工验收条件</w:t>
      </w:r>
    </w:p>
    <w:p>
      <w:pPr>
        <w:pageBreakBefore w:val="0"/>
        <w:kinsoku/>
        <w:wordWrap/>
        <w:overflowPunct/>
        <w:topLinePunct w:val="0"/>
        <w:bidi w:val="0"/>
        <w:spacing w:line="360" w:lineRule="auto"/>
        <w:ind w:firstLine="420" w:firstLineChars="200"/>
        <w:textAlignment w:val="auto"/>
        <w:rPr>
          <w:color w:val="auto"/>
          <w:szCs w:val="21"/>
        </w:rPr>
      </w:pPr>
      <w:r>
        <w:rPr>
          <w:rFonts w:hAnsi="宋体"/>
          <w:color w:val="auto"/>
          <w:szCs w:val="21"/>
        </w:rPr>
        <w:t>(</w:t>
      </w:r>
      <w:bookmarkEnd w:id="449"/>
      <w:bookmarkEnd w:id="450"/>
      <w:bookmarkEnd w:id="451"/>
      <w:r>
        <w:rPr>
          <w:rFonts w:hAnsi="宋体"/>
          <w:color w:val="auto"/>
          <w:szCs w:val="21"/>
        </w:rPr>
        <w:t xml:space="preserve">3) </w:t>
      </w:r>
      <w:r>
        <w:rPr>
          <w:rFonts w:hint="eastAsia" w:hAnsi="宋体"/>
          <w:color w:val="auto"/>
          <w:szCs w:val="21"/>
        </w:rPr>
        <w:t>承包人负责整理和提交的竣工验收资料应当符合工程所在地建设行政主管部门和</w:t>
      </w:r>
      <w:r>
        <w:rPr>
          <w:rFonts w:hAnsi="宋体"/>
          <w:color w:val="auto"/>
          <w:szCs w:val="21"/>
        </w:rPr>
        <w:t>(</w:t>
      </w:r>
      <w:r>
        <w:rPr>
          <w:rFonts w:hint="eastAsia" w:hAnsi="宋体"/>
          <w:color w:val="auto"/>
          <w:szCs w:val="21"/>
        </w:rPr>
        <w:t>或</w:t>
      </w:r>
      <w:r>
        <w:rPr>
          <w:rFonts w:hAnsi="宋体"/>
          <w:color w:val="auto"/>
          <w:szCs w:val="21"/>
        </w:rPr>
        <w:t>)</w:t>
      </w:r>
      <w:r>
        <w:rPr>
          <w:rFonts w:hint="eastAsia" w:hAnsi="宋体"/>
          <w:color w:val="auto"/>
          <w:szCs w:val="21"/>
        </w:rPr>
        <w:t>城市建设档案管理机构有关施工资料的要求，具体内容包括：</w:t>
      </w:r>
      <w:r>
        <w:rPr>
          <w:rFonts w:hint="eastAsia" w:hAnsi="宋体"/>
          <w:color w:val="auto"/>
          <w:szCs w:val="21"/>
          <w:u w:val="single"/>
        </w:rPr>
        <w:t>工程竣工资料（含竣工图）和工程竣工报告等</w:t>
      </w:r>
      <w:r>
        <w:rPr>
          <w:rFonts w:hint="eastAsia" w:hAnsi="宋体"/>
          <w:color w:val="auto"/>
          <w:szCs w:val="21"/>
        </w:rPr>
        <w:t>。</w:t>
      </w:r>
    </w:p>
    <w:p>
      <w:pPr>
        <w:pageBreakBefore w:val="0"/>
        <w:kinsoku/>
        <w:wordWrap/>
        <w:overflowPunct/>
        <w:topLinePunct w:val="0"/>
        <w:bidi w:val="0"/>
        <w:spacing w:line="360" w:lineRule="auto"/>
        <w:ind w:firstLine="420" w:firstLineChars="200"/>
        <w:textAlignment w:val="auto"/>
        <w:rPr>
          <w:color w:val="auto"/>
          <w:szCs w:val="21"/>
        </w:rPr>
      </w:pPr>
      <w:r>
        <w:rPr>
          <w:rFonts w:hint="eastAsia" w:hAnsi="宋体"/>
          <w:color w:val="auto"/>
          <w:szCs w:val="21"/>
        </w:rPr>
        <w:t>竣工验收资料的份数：</w:t>
      </w:r>
      <w:r>
        <w:rPr>
          <w:rFonts w:hint="eastAsia" w:hAnsi="宋体"/>
          <w:color w:val="auto"/>
          <w:szCs w:val="21"/>
          <w:u w:val="single"/>
        </w:rPr>
        <w:t>陆份</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承包人提供竣工图的约定：</w:t>
      </w:r>
      <w:r>
        <w:rPr>
          <w:rFonts w:hint="eastAsia" w:hAnsi="宋体"/>
          <w:color w:val="auto"/>
          <w:szCs w:val="21"/>
          <w:u w:val="single"/>
        </w:rPr>
        <w:t>竣工验收正式通过后</w:t>
      </w:r>
      <w:r>
        <w:rPr>
          <w:color w:val="auto"/>
          <w:szCs w:val="21"/>
          <w:u w:val="single"/>
        </w:rPr>
        <w:t>15</w:t>
      </w:r>
      <w:r>
        <w:rPr>
          <w:rFonts w:hint="eastAsia" w:hAnsi="宋体"/>
          <w:color w:val="auto"/>
          <w:szCs w:val="21"/>
          <w:u w:val="single"/>
        </w:rPr>
        <w:t>天，提供竣工图的数量为</w:t>
      </w:r>
      <w:r>
        <w:rPr>
          <w:color w:val="auto"/>
          <w:szCs w:val="21"/>
          <w:u w:val="single"/>
        </w:rPr>
        <w:t>6</w:t>
      </w:r>
      <w:r>
        <w:rPr>
          <w:rFonts w:hint="eastAsia" w:hAnsi="宋体"/>
          <w:color w:val="auto"/>
          <w:szCs w:val="21"/>
          <w:u w:val="single"/>
        </w:rPr>
        <w:t>套。</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13.2.2</w:t>
      </w:r>
      <w:r>
        <w:rPr>
          <w:rFonts w:hint="eastAsia" w:hAnsi="宋体"/>
          <w:color w:val="auto"/>
          <w:szCs w:val="21"/>
        </w:rPr>
        <w:t>竣工验收程序</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关于竣工验收程序的约：</w:t>
      </w:r>
      <w:r>
        <w:rPr>
          <w:rFonts w:hint="eastAsia" w:hAnsi="宋体"/>
          <w:color w:val="auto"/>
          <w:szCs w:val="21"/>
          <w:u w:val="single"/>
        </w:rPr>
        <w:t>按相关规定要求和项目所在地主管部门有关规定执行</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发包人不按照本项约定组织竣工验收、颁发工程接收证书的违约金的计算方法：</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13.2.5</w:t>
      </w:r>
      <w:r>
        <w:rPr>
          <w:rFonts w:hint="eastAsia" w:hAnsi="宋体"/>
          <w:color w:val="auto"/>
          <w:szCs w:val="21"/>
        </w:rPr>
        <w:t>移交、接收全部与部分工程</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承包人向发包人移交工程的期限：</w:t>
      </w:r>
      <w:r>
        <w:rPr>
          <w:rFonts w:hint="eastAsia" w:hAnsi="宋体"/>
          <w:color w:val="auto"/>
          <w:szCs w:val="21"/>
          <w:u w:val="single"/>
        </w:rPr>
        <w:t>按通用合同</w:t>
      </w:r>
      <w:r>
        <w:rPr>
          <w:rFonts w:hAnsi="宋体"/>
          <w:color w:val="auto"/>
          <w:szCs w:val="21"/>
          <w:u w:val="single"/>
        </w:rPr>
        <w:t>13.2.5</w:t>
      </w:r>
      <w:r>
        <w:rPr>
          <w:rFonts w:hint="eastAsia" w:hAnsi="宋体"/>
          <w:color w:val="auto"/>
          <w:szCs w:val="21"/>
          <w:u w:val="single"/>
        </w:rPr>
        <w:t>款执行</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发包人未按本合同约定接收全部或部分工程的，违约金的计算方法为：</w:t>
      </w:r>
      <w:r>
        <w:rPr>
          <w:rFonts w:hint="eastAsia" w:hAnsi="宋体"/>
          <w:color w:val="auto"/>
          <w:szCs w:val="21"/>
          <w:u w:val="single"/>
        </w:rPr>
        <w:t>/</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承包人未按时移交工程的，违约金的计算方法为：</w:t>
      </w:r>
      <w:r>
        <w:rPr>
          <w:rFonts w:hint="eastAsia" w:hAnsi="宋体" w:cs="宋体"/>
          <w:color w:val="auto"/>
          <w:szCs w:val="24"/>
          <w:u w:val="single"/>
        </w:rPr>
        <w:t>每逾期一天</w:t>
      </w:r>
      <w:r>
        <w:rPr>
          <w:rFonts w:cs="宋体"/>
          <w:color w:val="auto"/>
          <w:szCs w:val="24"/>
          <w:u w:val="single"/>
        </w:rPr>
        <w:t>,</w:t>
      </w:r>
      <w:r>
        <w:rPr>
          <w:rFonts w:hint="eastAsia" w:hAnsi="宋体" w:cs="宋体"/>
          <w:color w:val="auto"/>
          <w:szCs w:val="24"/>
          <w:u w:val="single"/>
        </w:rPr>
        <w:t>发包人向承包人支付合同价款万分之二的违约金</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452" w:name="_Toc15598"/>
      <w:bookmarkStart w:id="453" w:name="_Toc17999"/>
      <w:bookmarkStart w:id="454" w:name="_Toc11893"/>
      <w:r>
        <w:rPr>
          <w:rFonts w:hAnsi="宋体" w:eastAsia="黑体"/>
          <w:color w:val="auto"/>
          <w:kern w:val="44"/>
          <w:szCs w:val="21"/>
        </w:rPr>
        <w:t xml:space="preserve">13.3 </w:t>
      </w:r>
      <w:r>
        <w:rPr>
          <w:rFonts w:hint="eastAsia" w:hAnsi="宋体" w:eastAsia="黑体"/>
          <w:color w:val="auto"/>
          <w:kern w:val="44"/>
          <w:szCs w:val="21"/>
        </w:rPr>
        <w:t>工程试车</w:t>
      </w:r>
      <w:bookmarkEnd w:id="452"/>
      <w:bookmarkEnd w:id="453"/>
      <w:bookmarkEnd w:id="454"/>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13.3.</w:t>
      </w:r>
      <w:bookmarkStart w:id="455" w:name="_Toc406360358"/>
      <w:bookmarkStart w:id="456" w:name="_Toc373743673"/>
      <w:bookmarkStart w:id="457" w:name="_Toc412544324"/>
      <w:r>
        <w:rPr>
          <w:rFonts w:hAnsi="宋体"/>
          <w:color w:val="auto"/>
          <w:szCs w:val="21"/>
        </w:rPr>
        <w:t xml:space="preserve">1 </w:t>
      </w:r>
      <w:r>
        <w:rPr>
          <w:rFonts w:hint="eastAsia" w:hAnsi="宋体"/>
          <w:color w:val="auto"/>
          <w:szCs w:val="21"/>
        </w:rPr>
        <w:t>试车程序</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工程</w:t>
      </w:r>
      <w:bookmarkEnd w:id="455"/>
      <w:bookmarkEnd w:id="456"/>
      <w:bookmarkEnd w:id="457"/>
      <w:r>
        <w:rPr>
          <w:rFonts w:hint="eastAsia" w:hAnsi="宋体"/>
          <w:color w:val="auto"/>
          <w:szCs w:val="21"/>
        </w:rPr>
        <w:t>试车内：</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1</w:t>
      </w:r>
      <w:r>
        <w:rPr>
          <w:rFonts w:hint="eastAsia" w:hAnsi="宋体"/>
          <w:color w:val="auto"/>
          <w:szCs w:val="21"/>
        </w:rPr>
        <w:t>）单机无负荷试车费用由</w:t>
      </w:r>
      <w:r>
        <w:rPr>
          <w:rFonts w:hAnsi="宋体"/>
          <w:color w:val="auto"/>
          <w:szCs w:val="21"/>
          <w:u w:val="single"/>
        </w:rPr>
        <w:t xml:space="preserve">         /            </w:t>
      </w:r>
      <w:r>
        <w:rPr>
          <w:rFonts w:hint="eastAsia" w:hAnsi="宋体"/>
          <w:color w:val="auto"/>
          <w:szCs w:val="21"/>
        </w:rPr>
        <w:t>承担；</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2</w:t>
      </w:r>
      <w:r>
        <w:rPr>
          <w:rFonts w:hint="eastAsia" w:hAnsi="宋体"/>
          <w:color w:val="auto"/>
          <w:szCs w:val="21"/>
        </w:rPr>
        <w:t>）无负荷联动试车费用由</w:t>
      </w:r>
      <w:r>
        <w:rPr>
          <w:rFonts w:hAnsi="宋体"/>
          <w:color w:val="auto"/>
          <w:szCs w:val="21"/>
          <w:u w:val="single"/>
        </w:rPr>
        <w:t xml:space="preserve">         /            </w:t>
      </w:r>
      <w:r>
        <w:rPr>
          <w:rFonts w:hint="eastAsia" w:hAnsi="宋体"/>
          <w:color w:val="auto"/>
          <w:szCs w:val="21"/>
        </w:rPr>
        <w:t>承担。</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13.3.3 </w:t>
      </w:r>
      <w:r>
        <w:rPr>
          <w:rFonts w:hint="eastAsia" w:hAnsi="宋体"/>
          <w:color w:val="auto"/>
          <w:szCs w:val="21"/>
        </w:rPr>
        <w:t>投料试车</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关于投料试车相关事项的约定：</w:t>
      </w:r>
      <w:r>
        <w:rPr>
          <w:rFonts w:hint="eastAsia" w:hAnsi="宋体"/>
          <w:color w:val="auto"/>
          <w:szCs w:val="21"/>
          <w:u w:val="single"/>
        </w:rPr>
        <w:t>无</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458" w:name="_Toc19247"/>
      <w:bookmarkStart w:id="459" w:name="_Toc13660"/>
      <w:bookmarkStart w:id="460" w:name="_Toc28473"/>
      <w:r>
        <w:rPr>
          <w:rFonts w:hAnsi="宋体" w:eastAsia="黑体"/>
          <w:color w:val="auto"/>
          <w:kern w:val="44"/>
          <w:szCs w:val="21"/>
        </w:rPr>
        <w:t xml:space="preserve">13.6 </w:t>
      </w:r>
      <w:r>
        <w:rPr>
          <w:rFonts w:hint="eastAsia" w:hAnsi="宋体" w:eastAsia="黑体"/>
          <w:color w:val="auto"/>
          <w:kern w:val="44"/>
          <w:szCs w:val="21"/>
        </w:rPr>
        <w:t>竣工退场</w:t>
      </w:r>
      <w:bookmarkEnd w:id="458"/>
      <w:bookmarkEnd w:id="459"/>
      <w:bookmarkEnd w:id="460"/>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13.6.</w:t>
      </w:r>
      <w:bookmarkStart w:id="461" w:name="_Toc412544325"/>
      <w:bookmarkStart w:id="462" w:name="_Toc406360359"/>
      <w:bookmarkStart w:id="463" w:name="_Toc373743674"/>
      <w:r>
        <w:rPr>
          <w:rFonts w:hAnsi="宋体"/>
          <w:color w:val="auto"/>
          <w:szCs w:val="21"/>
        </w:rPr>
        <w:t xml:space="preserve">1 </w:t>
      </w:r>
      <w:r>
        <w:rPr>
          <w:rFonts w:hint="eastAsia" w:hAnsi="宋体"/>
          <w:color w:val="auto"/>
          <w:szCs w:val="21"/>
        </w:rPr>
        <w:t>竣工退场</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承包</w:t>
      </w:r>
      <w:bookmarkEnd w:id="461"/>
      <w:bookmarkEnd w:id="462"/>
      <w:bookmarkEnd w:id="463"/>
      <w:r>
        <w:rPr>
          <w:rFonts w:hint="eastAsia" w:hAnsi="宋体"/>
          <w:color w:val="auto"/>
          <w:szCs w:val="21"/>
        </w:rPr>
        <w:t>人完成竣工退场的期限：</w:t>
      </w:r>
      <w:r>
        <w:rPr>
          <w:rFonts w:hint="eastAsia" w:hAnsi="宋体"/>
          <w:color w:val="auto"/>
          <w:szCs w:val="21"/>
          <w:u w:val="single"/>
        </w:rPr>
        <w:t>颁发工程接收证书后</w:t>
      </w:r>
      <w:r>
        <w:rPr>
          <w:rFonts w:hAnsi="宋体"/>
          <w:color w:val="auto"/>
          <w:szCs w:val="21"/>
          <w:u w:val="single"/>
        </w:rPr>
        <w:t xml:space="preserve"> 14</w:t>
      </w:r>
      <w:r>
        <w:rPr>
          <w:rFonts w:hint="eastAsia" w:hAnsi="宋体"/>
          <w:color w:val="auto"/>
          <w:szCs w:val="21"/>
          <w:u w:val="single"/>
        </w:rPr>
        <w:t>天内</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464" w:name="_Toc15832"/>
      <w:bookmarkStart w:id="465" w:name="_Toc27029"/>
      <w:bookmarkStart w:id="466" w:name="_Toc28040"/>
      <w:r>
        <w:rPr>
          <w:rFonts w:hAnsi="宋体" w:eastAsia="黑体"/>
          <w:color w:val="auto"/>
          <w:kern w:val="44"/>
          <w:szCs w:val="21"/>
        </w:rPr>
        <w:t xml:space="preserve">14. </w:t>
      </w:r>
      <w:r>
        <w:rPr>
          <w:rFonts w:hint="eastAsia" w:hAnsi="宋体" w:eastAsia="黑体"/>
          <w:color w:val="auto"/>
          <w:kern w:val="44"/>
          <w:szCs w:val="21"/>
        </w:rPr>
        <w:t>竣工结算</w:t>
      </w:r>
      <w:bookmarkEnd w:id="464"/>
      <w:bookmarkEnd w:id="465"/>
      <w:bookmarkEnd w:id="466"/>
    </w:p>
    <w:p>
      <w:pPr>
        <w:keepNext/>
        <w:keepLines/>
        <w:pageBreakBefore w:val="0"/>
        <w:kinsoku/>
        <w:wordWrap/>
        <w:overflowPunct/>
        <w:topLinePunct w:val="0"/>
        <w:bidi w:val="0"/>
        <w:spacing w:line="360" w:lineRule="auto"/>
        <w:textAlignment w:val="auto"/>
        <w:outlineLvl w:val="0"/>
        <w:rPr>
          <w:color w:val="auto"/>
          <w:kern w:val="44"/>
          <w:szCs w:val="21"/>
        </w:rPr>
      </w:pPr>
      <w:bookmarkStart w:id="467" w:name="_Toc8562"/>
      <w:bookmarkStart w:id="468" w:name="_Toc6402"/>
      <w:bookmarkStart w:id="469" w:name="_Toc25168"/>
      <w:r>
        <w:rPr>
          <w:rFonts w:hAnsi="宋体" w:eastAsia="黑体"/>
          <w:color w:val="auto"/>
          <w:kern w:val="44"/>
          <w:szCs w:val="21"/>
        </w:rPr>
        <w:t xml:space="preserve">14.1 </w:t>
      </w:r>
      <w:r>
        <w:rPr>
          <w:rFonts w:hint="eastAsia" w:hAnsi="宋体" w:eastAsia="黑体"/>
          <w:color w:val="auto"/>
          <w:kern w:val="44"/>
          <w:szCs w:val="21"/>
        </w:rPr>
        <w:t>竣</w:t>
      </w:r>
      <w:bookmarkStart w:id="470" w:name="_Toc412544326"/>
      <w:bookmarkStart w:id="471" w:name="_Toc373743675"/>
      <w:bookmarkStart w:id="472" w:name="_Toc406360360"/>
      <w:r>
        <w:rPr>
          <w:rFonts w:hint="eastAsia" w:hAnsi="宋体" w:eastAsia="黑体"/>
          <w:color w:val="auto"/>
          <w:kern w:val="44"/>
          <w:szCs w:val="21"/>
        </w:rPr>
        <w:t>工付款申请</w:t>
      </w:r>
      <w:bookmarkEnd w:id="467"/>
      <w:bookmarkEnd w:id="468"/>
      <w:bookmarkEnd w:id="469"/>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承包</w:t>
      </w:r>
      <w:bookmarkEnd w:id="470"/>
      <w:bookmarkEnd w:id="471"/>
      <w:bookmarkEnd w:id="472"/>
      <w:r>
        <w:rPr>
          <w:rFonts w:hint="eastAsia" w:hAnsi="宋体"/>
          <w:color w:val="auto"/>
          <w:szCs w:val="21"/>
        </w:rPr>
        <w:t>人</w:t>
      </w:r>
      <w:bookmarkStart w:id="473" w:name="_Toc412544327"/>
      <w:bookmarkStart w:id="474" w:name="_Toc406360361"/>
      <w:bookmarkStart w:id="475" w:name="_Toc373743676"/>
      <w:r>
        <w:rPr>
          <w:rFonts w:hint="eastAsia" w:hAnsi="宋体"/>
          <w:color w:val="auto"/>
          <w:szCs w:val="21"/>
        </w:rPr>
        <w:t>提交竣工付款申请单的期</w:t>
      </w:r>
      <w:bookmarkEnd w:id="473"/>
      <w:bookmarkEnd w:id="474"/>
      <w:bookmarkEnd w:id="475"/>
      <w:r>
        <w:rPr>
          <w:rFonts w:hint="eastAsia" w:hAnsi="宋体"/>
          <w:color w:val="auto"/>
          <w:szCs w:val="21"/>
        </w:rPr>
        <w:t>限：</w:t>
      </w:r>
      <w:r>
        <w:rPr>
          <w:rFonts w:hint="eastAsia" w:hAnsi="宋体"/>
          <w:color w:val="auto"/>
          <w:szCs w:val="21"/>
          <w:u w:val="single"/>
        </w:rPr>
        <w:t>工程竣工后</w:t>
      </w:r>
      <w:r>
        <w:rPr>
          <w:rFonts w:hAnsi="宋体"/>
          <w:color w:val="auto"/>
          <w:szCs w:val="21"/>
          <w:u w:val="single"/>
        </w:rPr>
        <w:t>28</w:t>
      </w:r>
      <w:r>
        <w:rPr>
          <w:rFonts w:hint="eastAsia" w:hAnsi="宋体"/>
          <w:color w:val="auto"/>
          <w:szCs w:val="21"/>
          <w:u w:val="single"/>
        </w:rPr>
        <w:t>日内承包人提交竣工付款申请单给发包人</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竣工付款申请单应包括的内容：</w:t>
      </w:r>
      <w:r>
        <w:rPr>
          <w:rFonts w:hint="eastAsia" w:hAnsi="宋体"/>
          <w:color w:val="auto"/>
          <w:szCs w:val="21"/>
          <w:u w:val="single"/>
        </w:rPr>
        <w:t>合同、投标文件、工程量计算书、结算书、签证单、竣工图等发包人要求的结算审核资料</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476" w:name="_Toc10499"/>
      <w:bookmarkStart w:id="477" w:name="_Toc11801"/>
      <w:bookmarkStart w:id="478" w:name="_Toc17812"/>
      <w:r>
        <w:rPr>
          <w:rFonts w:hAnsi="宋体" w:eastAsia="黑体"/>
          <w:color w:val="auto"/>
          <w:kern w:val="44"/>
          <w:szCs w:val="21"/>
        </w:rPr>
        <w:t xml:space="preserve">14.2 </w:t>
      </w:r>
      <w:r>
        <w:rPr>
          <w:rFonts w:hint="eastAsia" w:hAnsi="宋体" w:eastAsia="黑体"/>
          <w:color w:val="auto"/>
          <w:kern w:val="44"/>
          <w:szCs w:val="21"/>
        </w:rPr>
        <w:t>竣工结算审核</w:t>
      </w:r>
      <w:bookmarkEnd w:id="476"/>
      <w:bookmarkEnd w:id="477"/>
      <w:bookmarkEnd w:id="478"/>
    </w:p>
    <w:p>
      <w:pPr>
        <w:pageBreakBefore w:val="0"/>
        <w:kinsoku/>
        <w:wordWrap/>
        <w:overflowPunct/>
        <w:topLinePunct w:val="0"/>
        <w:bidi w:val="0"/>
        <w:spacing w:line="360" w:lineRule="auto"/>
        <w:ind w:firstLine="420" w:firstLineChars="200"/>
        <w:jc w:val="left"/>
        <w:textAlignment w:val="auto"/>
        <w:rPr>
          <w:color w:val="auto"/>
          <w:szCs w:val="24"/>
        </w:rPr>
      </w:pPr>
      <w:r>
        <w:rPr>
          <w:rFonts w:hint="eastAsia" w:hAnsi="宋体"/>
          <w:color w:val="auto"/>
          <w:szCs w:val="21"/>
        </w:rPr>
        <w:t>工程结算审核服务费：工程结算价以</w:t>
      </w:r>
      <w:r>
        <w:rPr>
          <w:rFonts w:hint="eastAsia" w:hAnsi="宋体"/>
          <w:color w:val="auto"/>
          <w:szCs w:val="21"/>
          <w:u w:val="single"/>
        </w:rPr>
        <w:t>　审计单位　</w:t>
      </w:r>
      <w:r>
        <w:rPr>
          <w:rFonts w:hint="eastAsia" w:hAnsi="宋体"/>
          <w:color w:val="auto"/>
          <w:szCs w:val="21"/>
        </w:rPr>
        <w:t>审定为准。承包人报送工程结算资料经审核后，如出现核减造价超出审定结算价</w:t>
      </w:r>
      <w:r>
        <w:rPr>
          <w:rFonts w:hAnsi="宋体"/>
          <w:color w:val="auto"/>
          <w:szCs w:val="21"/>
        </w:rPr>
        <w:t>5%</w:t>
      </w:r>
      <w:r>
        <w:rPr>
          <w:rFonts w:hint="eastAsia" w:hAnsi="宋体"/>
          <w:color w:val="auto"/>
          <w:szCs w:val="21"/>
        </w:rPr>
        <w:t>（不含</w:t>
      </w:r>
      <w:r>
        <w:rPr>
          <w:rFonts w:hAnsi="宋体"/>
          <w:color w:val="auto"/>
          <w:szCs w:val="21"/>
        </w:rPr>
        <w:t>5%</w:t>
      </w:r>
      <w:r>
        <w:rPr>
          <w:rFonts w:hint="eastAsia" w:hAnsi="宋体"/>
          <w:color w:val="auto"/>
          <w:szCs w:val="21"/>
        </w:rPr>
        <w:t>）以上，则审核服务费由承包人承担。审核服务费按国家或自治区相关文件的费率计算，在结算款中直接扣除。</w:t>
      </w:r>
    </w:p>
    <w:p>
      <w:pPr>
        <w:pageBreakBefore w:val="0"/>
        <w:kinsoku/>
        <w:wordWrap/>
        <w:overflowPunct/>
        <w:topLinePunct w:val="0"/>
        <w:bidi w:val="0"/>
        <w:spacing w:line="360" w:lineRule="auto"/>
        <w:ind w:firstLine="420" w:firstLineChars="200"/>
        <w:jc w:val="left"/>
        <w:textAlignment w:val="auto"/>
        <w:rPr>
          <w:rFonts w:hAnsi="宋体"/>
          <w:color w:val="auto"/>
          <w:szCs w:val="21"/>
        </w:rPr>
      </w:pPr>
      <w:r>
        <w:rPr>
          <w:rFonts w:hint="eastAsia" w:hAnsi="宋体"/>
          <w:color w:val="auto"/>
          <w:szCs w:val="21"/>
        </w:rPr>
        <w:t>发包人</w:t>
      </w:r>
      <w:bookmarkStart w:id="479" w:name="_Toc373743677"/>
      <w:bookmarkStart w:id="480" w:name="_Toc412544328"/>
      <w:bookmarkStart w:id="481" w:name="_Toc406360362"/>
      <w:r>
        <w:rPr>
          <w:rFonts w:hint="eastAsia" w:hAnsi="宋体"/>
          <w:color w:val="auto"/>
          <w:szCs w:val="21"/>
        </w:rPr>
        <w:t>审批竣工付款申请单的期</w:t>
      </w:r>
      <w:bookmarkEnd w:id="479"/>
      <w:bookmarkEnd w:id="480"/>
      <w:bookmarkEnd w:id="481"/>
      <w:r>
        <w:rPr>
          <w:rFonts w:hint="eastAsia" w:hAnsi="宋体"/>
          <w:color w:val="auto"/>
          <w:szCs w:val="21"/>
        </w:rPr>
        <w:t>限：</w:t>
      </w:r>
    </w:p>
    <w:p>
      <w:pPr>
        <w:pageBreakBefore w:val="0"/>
        <w:kinsoku/>
        <w:wordWrap/>
        <w:overflowPunct/>
        <w:topLinePunct w:val="0"/>
        <w:bidi w:val="0"/>
        <w:spacing w:line="360" w:lineRule="auto"/>
        <w:ind w:firstLine="420" w:firstLineChars="200"/>
        <w:jc w:val="left"/>
        <w:textAlignment w:val="auto"/>
        <w:rPr>
          <w:rFonts w:hAnsi="宋体"/>
          <w:color w:val="auto"/>
          <w:szCs w:val="21"/>
        </w:rPr>
      </w:pPr>
    </w:p>
    <w:tbl>
      <w:tblPr>
        <w:tblStyle w:val="54"/>
        <w:tblW w:w="9198"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pageBreakBefore w:val="0"/>
              <w:kinsoku/>
              <w:wordWrap/>
              <w:overflowPunct/>
              <w:topLinePunct w:val="0"/>
              <w:bidi w:val="0"/>
              <w:spacing w:line="360" w:lineRule="auto"/>
              <w:ind w:firstLine="441" w:firstLineChars="210"/>
              <w:jc w:val="center"/>
              <w:textAlignment w:val="auto"/>
              <w:rPr>
                <w:color w:val="auto"/>
                <w:szCs w:val="21"/>
              </w:rPr>
            </w:pPr>
          </w:p>
        </w:tc>
        <w:tc>
          <w:tcPr>
            <w:tcW w:w="2466" w:type="dxa"/>
            <w:vAlign w:val="center"/>
          </w:tcPr>
          <w:p>
            <w:pPr>
              <w:pageBreakBefore w:val="0"/>
              <w:kinsoku/>
              <w:wordWrap/>
              <w:overflowPunct/>
              <w:topLinePunct w:val="0"/>
              <w:bidi w:val="0"/>
              <w:spacing w:line="360" w:lineRule="auto"/>
              <w:ind w:firstLine="27" w:firstLineChars="13"/>
              <w:jc w:val="center"/>
              <w:textAlignment w:val="auto"/>
              <w:rPr>
                <w:color w:val="auto"/>
                <w:szCs w:val="21"/>
              </w:rPr>
            </w:pPr>
            <w:r>
              <w:rPr>
                <w:rFonts w:hint="eastAsia" w:hAnsi="宋体"/>
                <w:color w:val="auto"/>
                <w:szCs w:val="21"/>
              </w:rPr>
              <w:t>工程竣工结算报告金额</w:t>
            </w:r>
          </w:p>
        </w:tc>
        <w:tc>
          <w:tcPr>
            <w:tcW w:w="5967" w:type="dxa"/>
            <w:vAlign w:val="center"/>
          </w:tcPr>
          <w:p>
            <w:pPr>
              <w:pageBreakBefore w:val="0"/>
              <w:kinsoku/>
              <w:wordWrap/>
              <w:overflowPunct/>
              <w:topLinePunct w:val="0"/>
              <w:bidi w:val="0"/>
              <w:spacing w:line="360" w:lineRule="auto"/>
              <w:ind w:firstLine="441" w:firstLineChars="210"/>
              <w:jc w:val="center"/>
              <w:textAlignment w:val="auto"/>
              <w:rPr>
                <w:color w:val="auto"/>
                <w:szCs w:val="21"/>
              </w:rPr>
            </w:pPr>
            <w:r>
              <w:rPr>
                <w:rFonts w:hint="eastAsia" w:hAnsi="宋体"/>
                <w:color w:val="auto"/>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pageBreakBefore w:val="0"/>
              <w:kinsoku/>
              <w:wordWrap/>
              <w:overflowPunct/>
              <w:topLinePunct w:val="0"/>
              <w:bidi w:val="0"/>
              <w:spacing w:line="360" w:lineRule="auto"/>
              <w:ind w:firstLine="441" w:firstLineChars="210"/>
              <w:jc w:val="left"/>
              <w:textAlignment w:val="auto"/>
              <w:rPr>
                <w:rFonts w:hAnsi="宋体"/>
                <w:color w:val="auto"/>
                <w:szCs w:val="21"/>
              </w:rPr>
            </w:pPr>
            <w:r>
              <w:rPr>
                <w:rFonts w:hAnsi="宋体"/>
                <w:color w:val="auto"/>
                <w:szCs w:val="21"/>
              </w:rPr>
              <w:t>1</w:t>
            </w:r>
          </w:p>
        </w:tc>
        <w:tc>
          <w:tcPr>
            <w:tcW w:w="2466" w:type="dxa"/>
            <w:vAlign w:val="center"/>
          </w:tcPr>
          <w:p>
            <w:pPr>
              <w:pageBreakBefore w:val="0"/>
              <w:kinsoku/>
              <w:wordWrap/>
              <w:overflowPunct/>
              <w:topLinePunct w:val="0"/>
              <w:bidi w:val="0"/>
              <w:spacing w:line="360" w:lineRule="auto"/>
              <w:ind w:firstLine="27" w:firstLineChars="13"/>
              <w:jc w:val="center"/>
              <w:textAlignment w:val="auto"/>
              <w:rPr>
                <w:color w:val="auto"/>
                <w:szCs w:val="21"/>
              </w:rPr>
            </w:pPr>
            <w:r>
              <w:rPr>
                <w:rFonts w:hAnsi="宋体"/>
                <w:color w:val="auto"/>
                <w:szCs w:val="21"/>
              </w:rPr>
              <w:t>500</w:t>
            </w:r>
            <w:r>
              <w:rPr>
                <w:rFonts w:hint="eastAsia" w:hAnsi="宋体"/>
                <w:color w:val="auto"/>
                <w:szCs w:val="21"/>
              </w:rPr>
              <w:t>万元以下</w:t>
            </w:r>
          </w:p>
        </w:tc>
        <w:tc>
          <w:tcPr>
            <w:tcW w:w="5967" w:type="dxa"/>
            <w:vAlign w:val="center"/>
          </w:tcPr>
          <w:p>
            <w:pPr>
              <w:pageBreakBefore w:val="0"/>
              <w:kinsoku/>
              <w:wordWrap/>
              <w:overflowPunct/>
              <w:topLinePunct w:val="0"/>
              <w:bidi w:val="0"/>
              <w:spacing w:line="360" w:lineRule="auto"/>
              <w:ind w:firstLine="441" w:firstLineChars="210"/>
              <w:jc w:val="center"/>
              <w:textAlignment w:val="auto"/>
              <w:rPr>
                <w:color w:val="auto"/>
                <w:szCs w:val="21"/>
              </w:rPr>
            </w:pPr>
            <w:r>
              <w:rPr>
                <w:rFonts w:hint="eastAsia" w:hAnsi="宋体"/>
                <w:color w:val="auto"/>
                <w:szCs w:val="21"/>
              </w:rPr>
              <w:t>从接到竣工结算报告和完整的竣工结算资料之日起</w:t>
            </w:r>
            <w:r>
              <w:rPr>
                <w:rFonts w:hAnsi="宋体"/>
                <w:color w:val="auto"/>
                <w:szCs w:val="21"/>
              </w:rPr>
              <w:t>20</w:t>
            </w:r>
            <w:r>
              <w:rPr>
                <w:rFonts w:hint="eastAsia" w:hAnsi="宋体"/>
                <w:color w:val="auto"/>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pageBreakBefore w:val="0"/>
              <w:kinsoku/>
              <w:wordWrap/>
              <w:overflowPunct/>
              <w:topLinePunct w:val="0"/>
              <w:bidi w:val="0"/>
              <w:spacing w:line="360" w:lineRule="auto"/>
              <w:ind w:firstLine="441" w:firstLineChars="210"/>
              <w:jc w:val="left"/>
              <w:textAlignment w:val="auto"/>
              <w:rPr>
                <w:rFonts w:hAnsi="宋体"/>
                <w:color w:val="auto"/>
                <w:szCs w:val="21"/>
              </w:rPr>
            </w:pPr>
            <w:r>
              <w:rPr>
                <w:rFonts w:hAnsi="宋体"/>
                <w:color w:val="auto"/>
                <w:szCs w:val="21"/>
              </w:rPr>
              <w:t>2</w:t>
            </w:r>
          </w:p>
        </w:tc>
        <w:tc>
          <w:tcPr>
            <w:tcW w:w="2466" w:type="dxa"/>
            <w:vAlign w:val="center"/>
          </w:tcPr>
          <w:p>
            <w:pPr>
              <w:pageBreakBefore w:val="0"/>
              <w:kinsoku/>
              <w:wordWrap/>
              <w:overflowPunct/>
              <w:topLinePunct w:val="0"/>
              <w:bidi w:val="0"/>
              <w:spacing w:line="360" w:lineRule="auto"/>
              <w:ind w:firstLine="27" w:firstLineChars="13"/>
              <w:jc w:val="center"/>
              <w:textAlignment w:val="auto"/>
              <w:rPr>
                <w:color w:val="auto"/>
                <w:szCs w:val="21"/>
              </w:rPr>
            </w:pPr>
            <w:r>
              <w:rPr>
                <w:rFonts w:hAnsi="宋体"/>
                <w:color w:val="auto"/>
                <w:szCs w:val="21"/>
              </w:rPr>
              <w:t>500</w:t>
            </w:r>
            <w:r>
              <w:rPr>
                <w:rFonts w:hint="eastAsia" w:hAnsi="宋体"/>
                <w:color w:val="auto"/>
                <w:szCs w:val="21"/>
              </w:rPr>
              <w:t>万元</w:t>
            </w:r>
            <w:r>
              <w:rPr>
                <w:rFonts w:hAnsi="宋体"/>
                <w:color w:val="auto"/>
                <w:szCs w:val="21"/>
              </w:rPr>
              <w:t>-2000</w:t>
            </w:r>
            <w:r>
              <w:rPr>
                <w:rFonts w:hint="eastAsia" w:hAnsi="宋体"/>
                <w:color w:val="auto"/>
                <w:szCs w:val="21"/>
              </w:rPr>
              <w:t>万元</w:t>
            </w:r>
          </w:p>
        </w:tc>
        <w:tc>
          <w:tcPr>
            <w:tcW w:w="5967" w:type="dxa"/>
            <w:vAlign w:val="center"/>
          </w:tcPr>
          <w:p>
            <w:pPr>
              <w:pageBreakBefore w:val="0"/>
              <w:kinsoku/>
              <w:wordWrap/>
              <w:overflowPunct/>
              <w:topLinePunct w:val="0"/>
              <w:bidi w:val="0"/>
              <w:spacing w:line="360" w:lineRule="auto"/>
              <w:ind w:firstLine="441" w:firstLineChars="210"/>
              <w:jc w:val="center"/>
              <w:textAlignment w:val="auto"/>
              <w:rPr>
                <w:color w:val="auto"/>
                <w:szCs w:val="21"/>
              </w:rPr>
            </w:pPr>
            <w:r>
              <w:rPr>
                <w:rFonts w:hint="eastAsia" w:hAnsi="宋体"/>
                <w:color w:val="auto"/>
                <w:szCs w:val="21"/>
              </w:rPr>
              <w:t>从接到竣工结算报告和完整的竣工结算资料之日起</w:t>
            </w:r>
            <w:r>
              <w:rPr>
                <w:rFonts w:hAnsi="宋体"/>
                <w:color w:val="auto"/>
                <w:szCs w:val="21"/>
              </w:rPr>
              <w:t>30</w:t>
            </w:r>
            <w:r>
              <w:rPr>
                <w:rFonts w:hint="eastAsia" w:hAnsi="宋体"/>
                <w:color w:val="auto"/>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pageBreakBefore w:val="0"/>
              <w:kinsoku/>
              <w:wordWrap/>
              <w:overflowPunct/>
              <w:topLinePunct w:val="0"/>
              <w:bidi w:val="0"/>
              <w:spacing w:line="360" w:lineRule="auto"/>
              <w:ind w:firstLine="441" w:firstLineChars="210"/>
              <w:jc w:val="left"/>
              <w:textAlignment w:val="auto"/>
              <w:rPr>
                <w:rFonts w:hAnsi="宋体"/>
                <w:color w:val="auto"/>
                <w:szCs w:val="21"/>
              </w:rPr>
            </w:pPr>
            <w:r>
              <w:rPr>
                <w:rFonts w:hAnsi="宋体"/>
                <w:color w:val="auto"/>
                <w:szCs w:val="21"/>
              </w:rPr>
              <w:t>3</w:t>
            </w:r>
          </w:p>
        </w:tc>
        <w:tc>
          <w:tcPr>
            <w:tcW w:w="2466" w:type="dxa"/>
            <w:vAlign w:val="center"/>
          </w:tcPr>
          <w:p>
            <w:pPr>
              <w:pageBreakBefore w:val="0"/>
              <w:kinsoku/>
              <w:wordWrap/>
              <w:overflowPunct/>
              <w:topLinePunct w:val="0"/>
              <w:bidi w:val="0"/>
              <w:spacing w:line="360" w:lineRule="auto"/>
              <w:ind w:firstLine="27" w:firstLineChars="13"/>
              <w:jc w:val="center"/>
              <w:textAlignment w:val="auto"/>
              <w:rPr>
                <w:color w:val="auto"/>
                <w:szCs w:val="21"/>
              </w:rPr>
            </w:pPr>
            <w:r>
              <w:rPr>
                <w:rFonts w:hAnsi="宋体"/>
                <w:color w:val="auto"/>
                <w:szCs w:val="21"/>
              </w:rPr>
              <w:t>2000</w:t>
            </w:r>
            <w:r>
              <w:rPr>
                <w:rFonts w:hint="eastAsia" w:hAnsi="宋体"/>
                <w:color w:val="auto"/>
                <w:szCs w:val="21"/>
              </w:rPr>
              <w:t>万元</w:t>
            </w:r>
            <w:r>
              <w:rPr>
                <w:rFonts w:hAnsi="宋体"/>
                <w:color w:val="auto"/>
                <w:szCs w:val="21"/>
              </w:rPr>
              <w:t>-5000</w:t>
            </w:r>
            <w:r>
              <w:rPr>
                <w:rFonts w:hint="eastAsia" w:hAnsi="宋体"/>
                <w:color w:val="auto"/>
                <w:szCs w:val="21"/>
              </w:rPr>
              <w:t>万元</w:t>
            </w:r>
          </w:p>
        </w:tc>
        <w:tc>
          <w:tcPr>
            <w:tcW w:w="5967" w:type="dxa"/>
            <w:vAlign w:val="center"/>
          </w:tcPr>
          <w:p>
            <w:pPr>
              <w:pageBreakBefore w:val="0"/>
              <w:kinsoku/>
              <w:wordWrap/>
              <w:overflowPunct/>
              <w:topLinePunct w:val="0"/>
              <w:bidi w:val="0"/>
              <w:spacing w:line="360" w:lineRule="auto"/>
              <w:ind w:firstLine="441" w:firstLineChars="210"/>
              <w:jc w:val="center"/>
              <w:textAlignment w:val="auto"/>
              <w:rPr>
                <w:color w:val="auto"/>
                <w:szCs w:val="21"/>
              </w:rPr>
            </w:pPr>
            <w:r>
              <w:rPr>
                <w:rFonts w:hint="eastAsia" w:hAnsi="宋体"/>
                <w:color w:val="auto"/>
                <w:szCs w:val="21"/>
              </w:rPr>
              <w:t>从接到竣工结算报告和完整的竣工结算资料之日起</w:t>
            </w:r>
            <w:r>
              <w:rPr>
                <w:rFonts w:hAnsi="宋体"/>
                <w:color w:val="auto"/>
                <w:szCs w:val="21"/>
              </w:rPr>
              <w:t>45</w:t>
            </w:r>
            <w:r>
              <w:rPr>
                <w:rFonts w:hint="eastAsia" w:hAnsi="宋体"/>
                <w:color w:val="auto"/>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pPr>
              <w:pageBreakBefore w:val="0"/>
              <w:kinsoku/>
              <w:wordWrap/>
              <w:overflowPunct/>
              <w:topLinePunct w:val="0"/>
              <w:bidi w:val="0"/>
              <w:spacing w:line="360" w:lineRule="auto"/>
              <w:ind w:firstLine="441" w:firstLineChars="210"/>
              <w:jc w:val="left"/>
              <w:textAlignment w:val="auto"/>
              <w:rPr>
                <w:rFonts w:hAnsi="宋体"/>
                <w:color w:val="auto"/>
                <w:szCs w:val="21"/>
              </w:rPr>
            </w:pPr>
            <w:r>
              <w:rPr>
                <w:rFonts w:hAnsi="宋体"/>
                <w:color w:val="auto"/>
                <w:szCs w:val="21"/>
              </w:rPr>
              <w:t>4</w:t>
            </w:r>
          </w:p>
        </w:tc>
        <w:tc>
          <w:tcPr>
            <w:tcW w:w="2466" w:type="dxa"/>
            <w:vAlign w:val="center"/>
          </w:tcPr>
          <w:p>
            <w:pPr>
              <w:pageBreakBefore w:val="0"/>
              <w:kinsoku/>
              <w:wordWrap/>
              <w:overflowPunct/>
              <w:topLinePunct w:val="0"/>
              <w:bidi w:val="0"/>
              <w:spacing w:line="360" w:lineRule="auto"/>
              <w:ind w:firstLine="27" w:firstLineChars="13"/>
              <w:jc w:val="center"/>
              <w:textAlignment w:val="auto"/>
              <w:rPr>
                <w:color w:val="auto"/>
                <w:szCs w:val="21"/>
              </w:rPr>
            </w:pPr>
            <w:r>
              <w:rPr>
                <w:rFonts w:hAnsi="宋体"/>
                <w:color w:val="auto"/>
                <w:szCs w:val="21"/>
              </w:rPr>
              <w:t>5000</w:t>
            </w:r>
            <w:r>
              <w:rPr>
                <w:rFonts w:hint="eastAsia" w:hAnsi="宋体"/>
                <w:color w:val="auto"/>
                <w:szCs w:val="21"/>
              </w:rPr>
              <w:t>万元以上</w:t>
            </w:r>
          </w:p>
        </w:tc>
        <w:tc>
          <w:tcPr>
            <w:tcW w:w="5967" w:type="dxa"/>
            <w:vAlign w:val="center"/>
          </w:tcPr>
          <w:p>
            <w:pPr>
              <w:pageBreakBefore w:val="0"/>
              <w:kinsoku/>
              <w:wordWrap/>
              <w:overflowPunct/>
              <w:topLinePunct w:val="0"/>
              <w:bidi w:val="0"/>
              <w:spacing w:line="360" w:lineRule="auto"/>
              <w:ind w:firstLine="441" w:firstLineChars="210"/>
              <w:jc w:val="center"/>
              <w:textAlignment w:val="auto"/>
              <w:rPr>
                <w:color w:val="auto"/>
                <w:szCs w:val="21"/>
              </w:rPr>
            </w:pPr>
            <w:r>
              <w:rPr>
                <w:rFonts w:hint="eastAsia" w:hAnsi="宋体"/>
                <w:color w:val="auto"/>
                <w:szCs w:val="21"/>
              </w:rPr>
              <w:t>从接到竣工结算报告和完整的竣工结算资料之日起</w:t>
            </w:r>
            <w:r>
              <w:rPr>
                <w:rFonts w:hAnsi="宋体"/>
                <w:color w:val="auto"/>
                <w:szCs w:val="21"/>
              </w:rPr>
              <w:t>60</w:t>
            </w:r>
            <w:r>
              <w:rPr>
                <w:rFonts w:hint="eastAsia" w:hAnsi="宋体"/>
                <w:color w:val="auto"/>
                <w:szCs w:val="21"/>
              </w:rPr>
              <w:t>天</w:t>
            </w:r>
          </w:p>
        </w:tc>
      </w:tr>
    </w:tbl>
    <w:p>
      <w:pPr>
        <w:pageBreakBefore w:val="0"/>
        <w:kinsoku/>
        <w:wordWrap/>
        <w:overflowPunct/>
        <w:topLinePunct w:val="0"/>
        <w:bidi w:val="0"/>
        <w:spacing w:line="360" w:lineRule="auto"/>
        <w:jc w:val="left"/>
        <w:textAlignment w:val="auto"/>
        <w:rPr>
          <w:color w:val="auto"/>
          <w:szCs w:val="21"/>
        </w:rPr>
      </w:pPr>
      <w:r>
        <w:rPr>
          <w:rFonts w:hint="eastAsia" w:hAnsi="宋体"/>
          <w:color w:val="auto"/>
          <w:szCs w:val="21"/>
        </w:rPr>
        <w:t>因承包人提供的结算资料不完整而需要补充或承包人不按时对账耽误时间时，审查时间应相应顺延。乙方报送结算资料经审核后，如出现核减造价超出乙方审定结算价的5%（不含5%）以上，则超出5%部分的审核服务费由乙方承担；甲方按与造价咨询公司约定的综合审核费率计算出乙方承担的审核服务费后，在结算中直接扣除。</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发包人完成竣工付款的期限：</w:t>
      </w:r>
      <w:r>
        <w:rPr>
          <w:rFonts w:hint="eastAsia" w:hAnsi="宋体"/>
          <w:color w:val="auto"/>
          <w:szCs w:val="21"/>
          <w:u w:val="single"/>
        </w:rPr>
        <w:t>工程完工验收达到质量要求，结算经审计单位审定后，工程款支付至结算总价的</w:t>
      </w:r>
      <w:r>
        <w:rPr>
          <w:rFonts w:hAnsi="宋体"/>
          <w:color w:val="auto"/>
          <w:szCs w:val="21"/>
          <w:u w:val="single"/>
        </w:rPr>
        <w:t>9</w:t>
      </w:r>
      <w:r>
        <w:rPr>
          <w:rFonts w:hint="eastAsia" w:hAnsi="宋体"/>
          <w:color w:val="auto"/>
          <w:szCs w:val="21"/>
          <w:u w:val="single"/>
        </w:rPr>
        <w:t>7</w:t>
      </w:r>
      <w:r>
        <w:rPr>
          <w:rFonts w:hAnsi="宋体"/>
          <w:color w:val="auto"/>
          <w:szCs w:val="21"/>
          <w:u w:val="single"/>
        </w:rPr>
        <w:t>%</w:t>
      </w:r>
      <w:r>
        <w:rPr>
          <w:rFonts w:hint="eastAsia" w:hAnsi="宋体"/>
          <w:color w:val="auto"/>
          <w:szCs w:val="21"/>
          <w:u w:val="single"/>
        </w:rPr>
        <w:t>（含已支付的）；发包人按工程结算总价的3</w:t>
      </w:r>
      <w:r>
        <w:rPr>
          <w:rFonts w:hAnsi="宋体"/>
          <w:color w:val="auto"/>
          <w:szCs w:val="21"/>
          <w:u w:val="single"/>
        </w:rPr>
        <w:t>%</w:t>
      </w:r>
      <w:r>
        <w:rPr>
          <w:rFonts w:hint="eastAsia" w:hAnsi="宋体"/>
          <w:color w:val="auto"/>
          <w:szCs w:val="21"/>
          <w:u w:val="single"/>
        </w:rPr>
        <w:t>预留工程质量保修金，待工程质量保修期满后返还。本工程在保修期有质量问题的，且保修期仍未解决的，承包人应负责维修，保修期自维修完成之日起顺延六个月；顺延六个月内仍出现质量问题的，保修期再顺延六个月，如再出现质量问题的，保修金不予退还。保修金不足以支付保修费用的，承包人在保修金不足的时候开始</w:t>
      </w:r>
      <w:r>
        <w:rPr>
          <w:rFonts w:hAnsi="宋体"/>
          <w:color w:val="auto"/>
          <w:szCs w:val="21"/>
          <w:u w:val="single"/>
        </w:rPr>
        <w:t>7</w:t>
      </w:r>
      <w:r>
        <w:rPr>
          <w:rFonts w:hint="eastAsia" w:hAnsi="宋体"/>
          <w:color w:val="auto"/>
          <w:szCs w:val="21"/>
          <w:u w:val="single"/>
        </w:rPr>
        <w:t>天内补足所需的保修费用</w:t>
      </w:r>
      <w:r>
        <w:rPr>
          <w:rFonts w:hint="eastAsia" w:hAnsi="宋体"/>
          <w:color w:val="auto"/>
          <w:szCs w:val="21"/>
        </w:rPr>
        <w:t>。</w:t>
      </w:r>
    </w:p>
    <w:p>
      <w:pPr>
        <w:pageBreakBefore w:val="0"/>
        <w:kinsoku/>
        <w:wordWrap/>
        <w:overflowPunct/>
        <w:topLinePunct w:val="0"/>
        <w:bidi w:val="0"/>
        <w:spacing w:line="360" w:lineRule="auto"/>
        <w:jc w:val="left"/>
        <w:textAlignment w:val="auto"/>
        <w:rPr>
          <w:color w:val="auto"/>
          <w:szCs w:val="21"/>
        </w:rPr>
      </w:pPr>
      <w:r>
        <w:rPr>
          <w:rFonts w:hint="eastAsia" w:hAnsi="宋体"/>
          <w:color w:val="auto"/>
          <w:szCs w:val="21"/>
        </w:rPr>
        <w:t>关于竣工付款证书异议部分复核的方式和程序：</w:t>
      </w:r>
      <w:r>
        <w:rPr>
          <w:rFonts w:hint="eastAsia" w:hAnsi="宋体"/>
          <w:color w:val="auto"/>
          <w:szCs w:val="21"/>
          <w:u w:val="single"/>
        </w:rPr>
        <w:t>发包人与承包人协商解决</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482" w:name="_Toc17169"/>
      <w:bookmarkStart w:id="483" w:name="_Toc1604"/>
      <w:bookmarkStart w:id="484" w:name="_Toc10057"/>
      <w:r>
        <w:rPr>
          <w:rFonts w:hAnsi="宋体" w:eastAsia="黑体"/>
          <w:color w:val="auto"/>
          <w:kern w:val="44"/>
          <w:szCs w:val="21"/>
        </w:rPr>
        <w:t xml:space="preserve">14.4 </w:t>
      </w:r>
      <w:r>
        <w:rPr>
          <w:rFonts w:hint="eastAsia" w:hAnsi="宋体" w:eastAsia="黑体"/>
          <w:color w:val="auto"/>
          <w:kern w:val="44"/>
          <w:szCs w:val="21"/>
        </w:rPr>
        <w:t>最终结清</w:t>
      </w:r>
      <w:bookmarkEnd w:id="482"/>
      <w:bookmarkEnd w:id="483"/>
      <w:bookmarkEnd w:id="484"/>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14.4.</w:t>
      </w:r>
      <w:bookmarkStart w:id="485" w:name="_Toc412544329"/>
      <w:bookmarkStart w:id="486" w:name="_Toc406360363"/>
      <w:bookmarkStart w:id="487" w:name="_Toc373743678"/>
      <w:r>
        <w:rPr>
          <w:rFonts w:hAnsi="宋体"/>
          <w:color w:val="auto"/>
          <w:szCs w:val="21"/>
        </w:rPr>
        <w:t xml:space="preserve">1 </w:t>
      </w:r>
      <w:r>
        <w:rPr>
          <w:rFonts w:hint="eastAsia" w:hAnsi="宋体"/>
          <w:color w:val="auto"/>
          <w:szCs w:val="21"/>
        </w:rPr>
        <w:t>最终结清申请单</w:t>
      </w:r>
      <w:bookmarkEnd w:id="485"/>
      <w:bookmarkEnd w:id="486"/>
      <w:bookmarkEnd w:id="487"/>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承包人提交最终结清申请单的份数：</w:t>
      </w:r>
      <w:r>
        <w:rPr>
          <w:rFonts w:hint="eastAsia" w:hAnsi="宋体"/>
          <w:color w:val="auto"/>
          <w:szCs w:val="21"/>
          <w:u w:val="single"/>
        </w:rPr>
        <w:t>肆份</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rFonts w:hAnsi="宋体"/>
          <w:color w:val="auto"/>
          <w:szCs w:val="21"/>
        </w:rPr>
      </w:pPr>
      <w:r>
        <w:rPr>
          <w:rFonts w:hint="eastAsia" w:hAnsi="宋体"/>
          <w:color w:val="auto"/>
          <w:szCs w:val="21"/>
        </w:rPr>
        <w:t>承包人提交最终结算申请单的期限：</w:t>
      </w:r>
      <w:r>
        <w:rPr>
          <w:rFonts w:hint="eastAsia" w:hAnsi="宋体"/>
          <w:color w:val="auto"/>
          <w:szCs w:val="21"/>
          <w:u w:val="single"/>
        </w:rPr>
        <w:t>按通用条款</w:t>
      </w:r>
      <w:r>
        <w:rPr>
          <w:rFonts w:hAnsi="宋体"/>
          <w:color w:val="auto"/>
          <w:szCs w:val="21"/>
          <w:u w:val="single"/>
        </w:rPr>
        <w:t>14.4.1</w:t>
      </w:r>
      <w:r>
        <w:rPr>
          <w:rFonts w:hint="eastAsia" w:hAnsi="宋体"/>
          <w:color w:val="auto"/>
          <w:szCs w:val="21"/>
          <w:u w:val="single"/>
        </w:rPr>
        <w:t>执行</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14.4.2 </w:t>
      </w:r>
      <w:r>
        <w:rPr>
          <w:rFonts w:hint="eastAsia" w:hAnsi="宋体"/>
          <w:color w:val="auto"/>
          <w:szCs w:val="21"/>
        </w:rPr>
        <w:t>最终结清证书和支付</w:t>
      </w:r>
    </w:p>
    <w:p>
      <w:pPr>
        <w:pageBreakBefore w:val="0"/>
        <w:kinsoku/>
        <w:wordWrap/>
        <w:overflowPunct/>
        <w:topLinePunct w:val="0"/>
        <w:bidi w:val="0"/>
        <w:spacing w:line="360" w:lineRule="auto"/>
        <w:ind w:firstLine="315" w:firstLineChars="150"/>
        <w:jc w:val="left"/>
        <w:textAlignment w:val="auto"/>
        <w:rPr>
          <w:color w:val="auto"/>
          <w:szCs w:val="21"/>
        </w:rPr>
      </w:pPr>
      <w:r>
        <w:rPr>
          <w:rFonts w:hint="eastAsia" w:hAnsi="宋体"/>
          <w:color w:val="auto"/>
          <w:szCs w:val="21"/>
        </w:rPr>
        <w:t>（</w:t>
      </w:r>
      <w:r>
        <w:rPr>
          <w:rFonts w:hAnsi="宋体"/>
          <w:color w:val="auto"/>
          <w:szCs w:val="21"/>
        </w:rPr>
        <w:t>1</w:t>
      </w:r>
      <w:r>
        <w:rPr>
          <w:rFonts w:hint="eastAsia" w:hAnsi="宋体"/>
          <w:color w:val="auto"/>
          <w:szCs w:val="21"/>
        </w:rPr>
        <w:t>）发包人完成最终结清申请单的审批并颁发最终结清证书的期限：</w:t>
      </w:r>
      <w:r>
        <w:rPr>
          <w:rFonts w:hint="eastAsia" w:hAnsi="宋体"/>
          <w:color w:val="auto"/>
          <w:szCs w:val="21"/>
          <w:u w:val="single"/>
        </w:rPr>
        <w:t>按通用条款</w:t>
      </w:r>
      <w:r>
        <w:rPr>
          <w:rFonts w:hAnsi="宋体"/>
          <w:color w:val="auto"/>
          <w:szCs w:val="21"/>
          <w:u w:val="single"/>
        </w:rPr>
        <w:t>14.4.2</w:t>
      </w:r>
      <w:r>
        <w:rPr>
          <w:rFonts w:hint="eastAsia" w:hAnsi="宋体"/>
          <w:color w:val="auto"/>
          <w:szCs w:val="21"/>
          <w:u w:val="single"/>
        </w:rPr>
        <w:t>执行</w:t>
      </w:r>
      <w:r>
        <w:rPr>
          <w:rFonts w:hint="eastAsia" w:hAnsi="宋体"/>
          <w:color w:val="auto"/>
          <w:szCs w:val="21"/>
        </w:rPr>
        <w:t>。</w:t>
      </w:r>
    </w:p>
    <w:p>
      <w:pPr>
        <w:pageBreakBefore w:val="0"/>
        <w:kinsoku/>
        <w:wordWrap/>
        <w:overflowPunct/>
        <w:topLinePunct w:val="0"/>
        <w:bidi w:val="0"/>
        <w:spacing w:line="360" w:lineRule="auto"/>
        <w:ind w:firstLine="315" w:firstLineChars="150"/>
        <w:jc w:val="left"/>
        <w:textAlignment w:val="auto"/>
        <w:rPr>
          <w:color w:val="auto"/>
          <w:szCs w:val="21"/>
        </w:rPr>
      </w:pPr>
      <w:r>
        <w:rPr>
          <w:rFonts w:hint="eastAsia" w:hAnsi="宋体"/>
          <w:color w:val="auto"/>
          <w:szCs w:val="21"/>
        </w:rPr>
        <w:t>（</w:t>
      </w:r>
      <w:r>
        <w:rPr>
          <w:rFonts w:hAnsi="宋体"/>
          <w:color w:val="auto"/>
          <w:szCs w:val="21"/>
        </w:rPr>
        <w:t>2</w:t>
      </w:r>
      <w:r>
        <w:rPr>
          <w:rFonts w:hint="eastAsia" w:hAnsi="宋体"/>
          <w:color w:val="auto"/>
          <w:szCs w:val="21"/>
        </w:rPr>
        <w:t>）发包人完成支付的期限：</w:t>
      </w:r>
      <w:r>
        <w:rPr>
          <w:rFonts w:hint="eastAsia" w:hAnsi="宋体"/>
          <w:color w:val="auto"/>
          <w:szCs w:val="21"/>
          <w:u w:val="single"/>
        </w:rPr>
        <w:t>按通用条款</w:t>
      </w:r>
      <w:r>
        <w:rPr>
          <w:rFonts w:hAnsi="宋体"/>
          <w:color w:val="auto"/>
          <w:szCs w:val="21"/>
          <w:u w:val="single"/>
        </w:rPr>
        <w:t>14.4.2</w:t>
      </w:r>
      <w:r>
        <w:rPr>
          <w:rFonts w:hint="eastAsia" w:hAnsi="宋体"/>
          <w:color w:val="auto"/>
          <w:szCs w:val="21"/>
          <w:u w:val="single"/>
        </w:rPr>
        <w:t>执行</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488" w:name="_Toc9997"/>
      <w:bookmarkStart w:id="489" w:name="_Toc29408"/>
      <w:bookmarkStart w:id="490" w:name="_Toc21540"/>
      <w:r>
        <w:rPr>
          <w:rFonts w:hAnsi="宋体" w:eastAsia="黑体"/>
          <w:color w:val="auto"/>
          <w:kern w:val="44"/>
          <w:szCs w:val="21"/>
        </w:rPr>
        <w:t xml:space="preserve">15. </w:t>
      </w:r>
      <w:r>
        <w:rPr>
          <w:rFonts w:hint="eastAsia" w:hAnsi="宋体" w:eastAsia="黑体"/>
          <w:color w:val="auto"/>
          <w:kern w:val="44"/>
          <w:szCs w:val="21"/>
        </w:rPr>
        <w:t>缺陷责任期与保修</w:t>
      </w:r>
      <w:bookmarkEnd w:id="488"/>
      <w:bookmarkEnd w:id="489"/>
      <w:bookmarkEnd w:id="490"/>
    </w:p>
    <w:p>
      <w:pPr>
        <w:keepNext/>
        <w:keepLines/>
        <w:pageBreakBefore w:val="0"/>
        <w:kinsoku/>
        <w:wordWrap/>
        <w:overflowPunct/>
        <w:topLinePunct w:val="0"/>
        <w:bidi w:val="0"/>
        <w:spacing w:line="360" w:lineRule="auto"/>
        <w:textAlignment w:val="auto"/>
        <w:outlineLvl w:val="0"/>
        <w:rPr>
          <w:color w:val="auto"/>
          <w:kern w:val="44"/>
          <w:szCs w:val="21"/>
        </w:rPr>
      </w:pPr>
      <w:bookmarkStart w:id="491" w:name="_Toc19340"/>
      <w:bookmarkStart w:id="492" w:name="_Toc5797"/>
      <w:bookmarkStart w:id="493" w:name="_Toc2786"/>
      <w:r>
        <w:rPr>
          <w:rFonts w:hAnsi="宋体" w:eastAsia="黑体"/>
          <w:color w:val="auto"/>
          <w:kern w:val="44"/>
          <w:szCs w:val="21"/>
        </w:rPr>
        <w:t>15</w:t>
      </w:r>
      <w:bookmarkStart w:id="494" w:name="_Toc373743679"/>
      <w:bookmarkStart w:id="495" w:name="_Toc412544330"/>
      <w:bookmarkStart w:id="496" w:name="_Toc406360364"/>
      <w:r>
        <w:rPr>
          <w:rFonts w:hAnsi="宋体" w:eastAsia="黑体"/>
          <w:color w:val="auto"/>
          <w:kern w:val="44"/>
          <w:szCs w:val="21"/>
        </w:rPr>
        <w:t>.2</w:t>
      </w:r>
      <w:r>
        <w:rPr>
          <w:rFonts w:hint="eastAsia" w:hAnsi="宋体" w:eastAsia="黑体"/>
          <w:color w:val="auto"/>
          <w:kern w:val="44"/>
          <w:szCs w:val="21"/>
        </w:rPr>
        <w:t>缺陷责任期</w:t>
      </w:r>
      <w:bookmarkEnd w:id="491"/>
      <w:bookmarkEnd w:id="492"/>
      <w:bookmarkEnd w:id="493"/>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缺陷责任</w:t>
      </w:r>
      <w:bookmarkEnd w:id="494"/>
      <w:bookmarkEnd w:id="495"/>
      <w:bookmarkEnd w:id="496"/>
      <w:r>
        <w:rPr>
          <w:rFonts w:hint="eastAsia" w:hAnsi="宋体"/>
          <w:color w:val="auto"/>
          <w:szCs w:val="21"/>
        </w:rPr>
        <w:t>期</w:t>
      </w:r>
      <w:bookmarkStart w:id="497" w:name="_Toc406360365"/>
      <w:bookmarkStart w:id="498" w:name="_Toc373743680"/>
      <w:bookmarkStart w:id="499" w:name="_Toc412544331"/>
      <w:r>
        <w:rPr>
          <w:rFonts w:hint="eastAsia" w:hAnsi="宋体"/>
          <w:color w:val="auto"/>
          <w:szCs w:val="21"/>
        </w:rPr>
        <w:t>的具体期限：</w:t>
      </w:r>
      <w:bookmarkEnd w:id="497"/>
      <w:bookmarkEnd w:id="498"/>
      <w:bookmarkEnd w:id="499"/>
      <w:r>
        <w:rPr>
          <w:rFonts w:hint="eastAsia" w:hAnsi="宋体"/>
          <w:color w:val="auto"/>
          <w:szCs w:val="21"/>
          <w:u w:val="single"/>
        </w:rPr>
        <w:t>24个月</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500" w:name="_Toc31583"/>
      <w:bookmarkStart w:id="501" w:name="_Toc21439"/>
      <w:bookmarkStart w:id="502" w:name="_Toc20921"/>
      <w:r>
        <w:rPr>
          <w:rFonts w:hAnsi="宋体" w:eastAsia="黑体"/>
          <w:color w:val="auto"/>
          <w:kern w:val="44"/>
          <w:szCs w:val="21"/>
        </w:rPr>
        <w:t xml:space="preserve">15.3 </w:t>
      </w:r>
      <w:r>
        <w:rPr>
          <w:rFonts w:hint="eastAsia" w:hAnsi="宋体" w:eastAsia="黑体"/>
          <w:color w:val="auto"/>
          <w:kern w:val="44"/>
          <w:szCs w:val="21"/>
        </w:rPr>
        <w:t>质量保证金</w:t>
      </w:r>
      <w:bookmarkEnd w:id="500"/>
      <w:bookmarkEnd w:id="501"/>
      <w:bookmarkEnd w:id="502"/>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关于是否</w:t>
      </w:r>
      <w:bookmarkStart w:id="503" w:name="_Toc412544332"/>
      <w:bookmarkStart w:id="504" w:name="_Toc373743681"/>
      <w:bookmarkStart w:id="505" w:name="_Toc406360366"/>
      <w:r>
        <w:rPr>
          <w:rFonts w:hint="eastAsia" w:hAnsi="宋体"/>
          <w:color w:val="auto"/>
          <w:szCs w:val="21"/>
        </w:rPr>
        <w:t>扣留质量保证金的约定</w:t>
      </w:r>
      <w:bookmarkEnd w:id="503"/>
      <w:bookmarkEnd w:id="504"/>
      <w:bookmarkEnd w:id="505"/>
      <w:r>
        <w:rPr>
          <w:rFonts w:hint="eastAsia" w:hAnsi="宋体"/>
          <w:color w:val="auto"/>
          <w:szCs w:val="21"/>
        </w:rPr>
        <w:t>：</w:t>
      </w:r>
      <w:r>
        <w:rPr>
          <w:rFonts w:hint="eastAsia" w:hAnsi="宋体"/>
          <w:color w:val="auto"/>
          <w:szCs w:val="21"/>
          <w:u w:val="single"/>
        </w:rPr>
        <w:t>扣留质量保证金</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15.3.1 </w:t>
      </w:r>
      <w:r>
        <w:rPr>
          <w:rFonts w:hint="eastAsia" w:hAnsi="宋体"/>
          <w:color w:val="auto"/>
          <w:szCs w:val="21"/>
        </w:rPr>
        <w:t>承包人提供质量保证金的方式</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质量保证金采用以下第</w:t>
      </w:r>
      <w:r>
        <w:rPr>
          <w:rFonts w:hint="eastAsia" w:hAnsi="宋体"/>
          <w:color w:val="auto"/>
          <w:szCs w:val="21"/>
          <w:u w:val="single"/>
        </w:rPr>
        <w:t>（</w:t>
      </w:r>
      <w:r>
        <w:rPr>
          <w:rFonts w:hAnsi="宋体"/>
          <w:color w:val="auto"/>
          <w:szCs w:val="21"/>
          <w:u w:val="single"/>
        </w:rPr>
        <w:t>3</w:t>
      </w:r>
      <w:r>
        <w:rPr>
          <w:rFonts w:hint="eastAsia" w:hAnsi="宋体"/>
          <w:color w:val="auto"/>
          <w:szCs w:val="21"/>
          <w:u w:val="single"/>
        </w:rPr>
        <w:t>）</w:t>
      </w:r>
      <w:r>
        <w:rPr>
          <w:rFonts w:hint="eastAsia" w:hAnsi="宋体"/>
          <w:color w:val="auto"/>
          <w:szCs w:val="21"/>
        </w:rPr>
        <w:t>种方式：</w:t>
      </w:r>
    </w:p>
    <w:p>
      <w:pPr>
        <w:pageBreakBefore w:val="0"/>
        <w:kinsoku/>
        <w:wordWrap/>
        <w:overflowPunct/>
        <w:topLinePunct w:val="0"/>
        <w:autoSpaceDE w:val="0"/>
        <w:autoSpaceDN w:val="0"/>
        <w:bidi w:val="0"/>
        <w:spacing w:line="360" w:lineRule="auto"/>
        <w:ind w:firstLine="420" w:firstLineChars="200"/>
        <w:jc w:val="left"/>
        <w:textAlignment w:val="auto"/>
        <w:rPr>
          <w:rFonts w:hAnsi="宋体"/>
          <w:color w:val="auto"/>
          <w:szCs w:val="21"/>
        </w:rPr>
      </w:pPr>
      <w:r>
        <w:rPr>
          <w:rFonts w:hint="eastAsia" w:hAnsi="宋体"/>
          <w:color w:val="auto"/>
          <w:szCs w:val="21"/>
        </w:rPr>
        <w:t>（</w:t>
      </w:r>
      <w:r>
        <w:rPr>
          <w:rFonts w:hAnsi="宋体"/>
          <w:color w:val="auto"/>
          <w:szCs w:val="21"/>
        </w:rPr>
        <w:t>1</w:t>
      </w:r>
      <w:r>
        <w:rPr>
          <w:rFonts w:hint="eastAsia" w:hAnsi="宋体"/>
          <w:color w:val="auto"/>
          <w:szCs w:val="21"/>
        </w:rPr>
        <w:t>）质量保证金保函，保证金额为：</w:t>
      </w:r>
      <w:r>
        <w:rPr>
          <w:rFonts w:hAnsi="宋体"/>
          <w:color w:val="auto"/>
          <w:szCs w:val="21"/>
          <w:u w:val="single"/>
        </w:rPr>
        <w:t xml:space="preserve">        /           </w:t>
      </w:r>
      <w:r>
        <w:rPr>
          <w:rFonts w:hint="eastAsia" w:hAnsi="宋体"/>
          <w:color w:val="auto"/>
          <w:szCs w:val="21"/>
        </w:rPr>
        <w:t>；</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2</w:t>
      </w:r>
      <w:r>
        <w:rPr>
          <w:rFonts w:hint="eastAsia" w:hAnsi="宋体"/>
          <w:color w:val="auto"/>
          <w:szCs w:val="21"/>
        </w:rPr>
        <w:t>）</w:t>
      </w:r>
      <w:r>
        <w:rPr>
          <w:rFonts w:hAnsi="宋体"/>
          <w:color w:val="auto"/>
          <w:szCs w:val="21"/>
        </w:rPr>
        <w:t>%</w:t>
      </w:r>
      <w:r>
        <w:rPr>
          <w:rFonts w:hint="eastAsia" w:hAnsi="宋体"/>
          <w:color w:val="auto"/>
          <w:szCs w:val="21"/>
        </w:rPr>
        <w:t>的工程款；</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highlight w:val="yellow"/>
        </w:rPr>
      </w:pPr>
      <w:r>
        <w:rPr>
          <w:rFonts w:hint="eastAsia" w:hAnsi="宋体"/>
          <w:color w:val="auto"/>
          <w:szCs w:val="21"/>
        </w:rPr>
        <w:t>（</w:t>
      </w:r>
      <w:r>
        <w:rPr>
          <w:rFonts w:hAnsi="宋体"/>
          <w:color w:val="auto"/>
          <w:szCs w:val="21"/>
        </w:rPr>
        <w:t>3</w:t>
      </w:r>
      <w:r>
        <w:rPr>
          <w:rFonts w:hint="eastAsia" w:hAnsi="宋体"/>
          <w:color w:val="auto"/>
          <w:szCs w:val="21"/>
        </w:rPr>
        <w:t>）其他方式</w:t>
      </w:r>
      <w:r>
        <w:rPr>
          <w:rFonts w:hAnsi="宋体"/>
          <w:color w:val="auto"/>
          <w:szCs w:val="21"/>
        </w:rPr>
        <w:t>:</w:t>
      </w:r>
      <w:r>
        <w:rPr>
          <w:rFonts w:hint="eastAsia" w:hAnsi="宋体"/>
          <w:color w:val="auto"/>
          <w:szCs w:val="21"/>
          <w:u w:val="single"/>
        </w:rPr>
        <w:t>发包人按工程价款结算总额的3</w:t>
      </w:r>
      <w:r>
        <w:rPr>
          <w:rFonts w:hAnsi="宋体"/>
          <w:color w:val="auto"/>
          <w:szCs w:val="21"/>
          <w:u w:val="single"/>
        </w:rPr>
        <w:t>%</w:t>
      </w:r>
      <w:r>
        <w:rPr>
          <w:rFonts w:hint="eastAsia" w:hAnsi="宋体"/>
          <w:color w:val="auto"/>
          <w:szCs w:val="21"/>
          <w:u w:val="single"/>
        </w:rPr>
        <w:t>预留工程质量保修金，待工程质量保修期满后返还（无息）。</w:t>
      </w:r>
    </w:p>
    <w:p>
      <w:pPr>
        <w:pageBreakBefore w:val="0"/>
        <w:kinsoku/>
        <w:wordWrap/>
        <w:overflowPunct/>
        <w:topLinePunct w:val="0"/>
        <w:bidi w:val="0"/>
        <w:spacing w:line="360" w:lineRule="auto"/>
        <w:ind w:firstLine="420" w:firstLineChars="200"/>
        <w:jc w:val="left"/>
        <w:textAlignment w:val="auto"/>
        <w:rPr>
          <w:rFonts w:hAnsi="宋体"/>
          <w:color w:val="auto"/>
          <w:szCs w:val="21"/>
        </w:rPr>
      </w:pPr>
      <w:r>
        <w:rPr>
          <w:rFonts w:hAnsi="宋体"/>
          <w:color w:val="auto"/>
          <w:szCs w:val="21"/>
        </w:rPr>
        <w:t xml:space="preserve">15.3.2 </w:t>
      </w:r>
      <w:r>
        <w:rPr>
          <w:rFonts w:hint="eastAsia" w:hAnsi="宋体"/>
          <w:color w:val="auto"/>
          <w:szCs w:val="21"/>
        </w:rPr>
        <w:t>质量保证金的扣留</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质量保证金的扣留采取以下第</w:t>
      </w:r>
      <w:r>
        <w:rPr>
          <w:rFonts w:hint="eastAsia" w:hAnsi="宋体"/>
          <w:color w:val="auto"/>
          <w:szCs w:val="21"/>
          <w:u w:val="single"/>
        </w:rPr>
        <w:t>（</w:t>
      </w:r>
      <w:r>
        <w:rPr>
          <w:rFonts w:hAnsi="宋体"/>
          <w:color w:val="auto"/>
          <w:szCs w:val="21"/>
          <w:u w:val="single"/>
        </w:rPr>
        <w:t>2</w:t>
      </w:r>
      <w:r>
        <w:rPr>
          <w:rFonts w:hint="eastAsia" w:hAnsi="宋体"/>
          <w:color w:val="auto"/>
          <w:szCs w:val="21"/>
          <w:u w:val="single"/>
        </w:rPr>
        <w:t>）</w:t>
      </w:r>
      <w:r>
        <w:rPr>
          <w:rFonts w:hint="eastAsia" w:hAnsi="宋体"/>
          <w:color w:val="auto"/>
          <w:szCs w:val="21"/>
        </w:rPr>
        <w:t>种方式：</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1</w:t>
      </w:r>
      <w:r>
        <w:rPr>
          <w:rFonts w:hint="eastAsia" w:hAnsi="宋体"/>
          <w:color w:val="auto"/>
          <w:szCs w:val="21"/>
        </w:rPr>
        <w:t>）在支付工程进度款时逐次扣留，在此情形下，质量保证金的计算基数不包括预付款的支付、扣回以及价格调整的金额；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2</w:t>
      </w:r>
      <w:r>
        <w:rPr>
          <w:rFonts w:hint="eastAsia" w:hAnsi="宋体"/>
          <w:color w:val="auto"/>
          <w:szCs w:val="21"/>
        </w:rPr>
        <w:t>）工程竣工结算时一次性扣留质量保证金；</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3</w:t>
      </w:r>
      <w:r>
        <w:rPr>
          <w:rFonts w:hint="eastAsia" w:hAnsi="宋体"/>
          <w:color w:val="auto"/>
          <w:szCs w:val="21"/>
        </w:rPr>
        <w:t>）其他扣留方式</w:t>
      </w:r>
      <w:r>
        <w:rPr>
          <w:rFonts w:hAnsi="宋体"/>
          <w:color w:val="auto"/>
          <w:szCs w:val="21"/>
        </w:rPr>
        <w:t>:</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关于质量保证金的补充约定：</w:t>
      </w:r>
      <w:r>
        <w:rPr>
          <w:rFonts w:hint="eastAsia" w:hAnsi="宋体"/>
          <w:color w:val="auto"/>
          <w:szCs w:val="21"/>
          <w:u w:val="single"/>
        </w:rPr>
        <w:t>无</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506" w:name="_Toc309"/>
      <w:bookmarkStart w:id="507" w:name="_Toc13219"/>
      <w:bookmarkStart w:id="508" w:name="_Toc14820"/>
      <w:r>
        <w:rPr>
          <w:rFonts w:hAnsi="宋体" w:eastAsia="黑体"/>
          <w:color w:val="auto"/>
          <w:kern w:val="44"/>
          <w:szCs w:val="21"/>
        </w:rPr>
        <w:t>15.4</w:t>
      </w:r>
      <w:r>
        <w:rPr>
          <w:rFonts w:hint="eastAsia" w:hAnsi="宋体" w:eastAsia="黑体"/>
          <w:color w:val="auto"/>
          <w:kern w:val="44"/>
          <w:szCs w:val="21"/>
        </w:rPr>
        <w:t>保修</w:t>
      </w:r>
      <w:bookmarkEnd w:id="506"/>
      <w:bookmarkEnd w:id="507"/>
      <w:bookmarkEnd w:id="508"/>
    </w:p>
    <w:p>
      <w:pPr>
        <w:pageBreakBefore w:val="0"/>
        <w:kinsoku/>
        <w:wordWrap/>
        <w:overflowPunct/>
        <w:topLinePunct w:val="0"/>
        <w:bidi w:val="0"/>
        <w:spacing w:line="360" w:lineRule="auto"/>
        <w:ind w:firstLine="409" w:firstLineChars="195"/>
        <w:jc w:val="left"/>
        <w:textAlignment w:val="auto"/>
        <w:rPr>
          <w:rFonts w:hAnsi="宋体"/>
          <w:color w:val="auto"/>
          <w:szCs w:val="21"/>
        </w:rPr>
      </w:pPr>
      <w:r>
        <w:rPr>
          <w:rFonts w:hAnsi="宋体"/>
          <w:color w:val="auto"/>
          <w:szCs w:val="21"/>
        </w:rPr>
        <w:t xml:space="preserve">15.4.1 </w:t>
      </w:r>
      <w:r>
        <w:rPr>
          <w:rFonts w:hint="eastAsia" w:hAnsi="宋体"/>
          <w:color w:val="auto"/>
          <w:szCs w:val="21"/>
        </w:rPr>
        <w:t>保</w:t>
      </w:r>
      <w:bookmarkStart w:id="509" w:name="_Toc412544333"/>
      <w:bookmarkStart w:id="510" w:name="_Toc373743682"/>
      <w:bookmarkStart w:id="511" w:name="_Toc406360367"/>
      <w:r>
        <w:rPr>
          <w:rFonts w:hint="eastAsia" w:hAnsi="宋体"/>
          <w:color w:val="auto"/>
          <w:szCs w:val="21"/>
        </w:rPr>
        <w:t>修责任</w:t>
      </w:r>
    </w:p>
    <w:p>
      <w:pPr>
        <w:pageBreakBefore w:val="0"/>
        <w:kinsoku/>
        <w:wordWrap/>
        <w:overflowPunct/>
        <w:topLinePunct w:val="0"/>
        <w:bidi w:val="0"/>
        <w:spacing w:line="360" w:lineRule="auto"/>
        <w:ind w:firstLine="409" w:firstLineChars="195"/>
        <w:jc w:val="left"/>
        <w:textAlignment w:val="auto"/>
        <w:rPr>
          <w:rFonts w:hAnsi="宋体"/>
          <w:color w:val="auto"/>
          <w:szCs w:val="21"/>
        </w:rPr>
      </w:pPr>
      <w:r>
        <w:rPr>
          <w:rFonts w:hint="eastAsia" w:hAnsi="宋体"/>
          <w:color w:val="auto"/>
          <w:szCs w:val="21"/>
        </w:rPr>
        <w:t>工程保修按《建设工程质量管理条例》《房屋建设质量保修办法》及其他相关法律、法规规定执行。</w:t>
      </w:r>
    </w:p>
    <w:p>
      <w:pPr>
        <w:pageBreakBefore w:val="0"/>
        <w:kinsoku/>
        <w:wordWrap/>
        <w:overflowPunct/>
        <w:topLinePunct w:val="0"/>
        <w:bidi w:val="0"/>
        <w:spacing w:line="360" w:lineRule="auto"/>
        <w:ind w:firstLine="409" w:firstLineChars="195"/>
        <w:jc w:val="left"/>
        <w:textAlignment w:val="auto"/>
        <w:rPr>
          <w:color w:val="auto"/>
          <w:szCs w:val="21"/>
          <w:u w:val="single"/>
        </w:rPr>
      </w:pPr>
      <w:r>
        <w:rPr>
          <w:rFonts w:hint="eastAsia" w:hAnsi="宋体"/>
          <w:color w:val="auto"/>
          <w:szCs w:val="21"/>
        </w:rPr>
        <w:t>工程</w:t>
      </w:r>
      <w:bookmarkEnd w:id="509"/>
      <w:bookmarkEnd w:id="510"/>
      <w:bookmarkEnd w:id="511"/>
      <w:r>
        <w:rPr>
          <w:rFonts w:hint="eastAsia" w:hAnsi="宋体"/>
          <w:color w:val="auto"/>
          <w:szCs w:val="21"/>
        </w:rPr>
        <w:t>保修期为：</w:t>
      </w:r>
      <w:r>
        <w:rPr>
          <w:rFonts w:hint="eastAsia" w:hAnsi="宋体"/>
          <w:color w:val="auto"/>
          <w:szCs w:val="21"/>
          <w:u w:val="single"/>
        </w:rPr>
        <w:t>按《工程质量保修书》</w:t>
      </w:r>
      <w:r>
        <w:rPr>
          <w:rFonts w:hint="eastAsia" w:hAnsi="宋体"/>
          <w:color w:val="auto"/>
          <w:szCs w:val="21"/>
        </w:rPr>
        <w:t>。</w:t>
      </w:r>
    </w:p>
    <w:p>
      <w:pPr>
        <w:pageBreakBefore w:val="0"/>
        <w:kinsoku/>
        <w:wordWrap/>
        <w:overflowPunct/>
        <w:topLinePunct w:val="0"/>
        <w:bidi w:val="0"/>
        <w:spacing w:line="360" w:lineRule="auto"/>
        <w:ind w:firstLine="409" w:firstLineChars="195"/>
        <w:jc w:val="left"/>
        <w:textAlignment w:val="auto"/>
        <w:rPr>
          <w:color w:val="auto"/>
          <w:szCs w:val="21"/>
        </w:rPr>
      </w:pPr>
      <w:r>
        <w:rPr>
          <w:rFonts w:hAnsi="宋体"/>
          <w:color w:val="auto"/>
          <w:szCs w:val="21"/>
        </w:rPr>
        <w:t xml:space="preserve">15.4.3 </w:t>
      </w:r>
      <w:r>
        <w:rPr>
          <w:rFonts w:hint="eastAsia" w:hAnsi="宋体"/>
          <w:color w:val="auto"/>
          <w:szCs w:val="21"/>
        </w:rPr>
        <w:t>修复通知</w:t>
      </w:r>
    </w:p>
    <w:p>
      <w:pPr>
        <w:pageBreakBefore w:val="0"/>
        <w:kinsoku/>
        <w:wordWrap/>
        <w:overflowPunct/>
        <w:topLinePunct w:val="0"/>
        <w:bidi w:val="0"/>
        <w:spacing w:line="360" w:lineRule="auto"/>
        <w:ind w:firstLine="409" w:firstLineChars="195"/>
        <w:jc w:val="left"/>
        <w:textAlignment w:val="auto"/>
        <w:rPr>
          <w:color w:val="auto"/>
          <w:szCs w:val="21"/>
          <w:u w:val="single"/>
        </w:rPr>
      </w:pPr>
      <w:r>
        <w:rPr>
          <w:rFonts w:hint="eastAsia" w:hAnsi="宋体"/>
          <w:color w:val="auto"/>
          <w:szCs w:val="21"/>
        </w:rPr>
        <w:t>承包人收到保修通知并到达工程现场的合理时间：</w:t>
      </w:r>
      <w:r>
        <w:rPr>
          <w:rFonts w:hint="eastAsia" w:hAnsi="宋体"/>
          <w:color w:val="auto"/>
          <w:szCs w:val="21"/>
          <w:u w:val="single"/>
        </w:rPr>
        <w:t>24小时内到达，紧急抢修应以最快速度到达并立即抢修</w:t>
      </w:r>
      <w:r>
        <w:rPr>
          <w:rFonts w:hint="eastAsia" w:hAnsi="宋体"/>
          <w:color w:val="auto"/>
          <w:szCs w:val="21"/>
        </w:rPr>
        <w:t>。在接收发包人人书面或电话通知后24校内未能到达现场抢修的，发包人有权直接委托他人进行抢修，费用直接从承包人的质保金中扣除，质保金不足以支付的，费用仍由承包人负责。</w:t>
      </w:r>
    </w:p>
    <w:p>
      <w:pPr>
        <w:keepNext/>
        <w:keepLines/>
        <w:pageBreakBefore w:val="0"/>
        <w:kinsoku/>
        <w:wordWrap/>
        <w:overflowPunct/>
        <w:topLinePunct w:val="0"/>
        <w:bidi w:val="0"/>
        <w:spacing w:line="360" w:lineRule="auto"/>
        <w:textAlignment w:val="auto"/>
        <w:outlineLvl w:val="0"/>
        <w:rPr>
          <w:color w:val="auto"/>
          <w:kern w:val="44"/>
          <w:szCs w:val="21"/>
        </w:rPr>
      </w:pPr>
      <w:bookmarkStart w:id="512" w:name="_Toc22316"/>
      <w:bookmarkStart w:id="513" w:name="_Toc23819"/>
      <w:bookmarkStart w:id="514" w:name="_Toc25227"/>
      <w:r>
        <w:rPr>
          <w:rFonts w:hAnsi="宋体" w:eastAsia="黑体"/>
          <w:color w:val="auto"/>
          <w:kern w:val="44"/>
          <w:szCs w:val="21"/>
        </w:rPr>
        <w:t xml:space="preserve">16. </w:t>
      </w:r>
      <w:r>
        <w:rPr>
          <w:rFonts w:hint="eastAsia" w:hAnsi="宋体" w:eastAsia="黑体"/>
          <w:color w:val="auto"/>
          <w:kern w:val="44"/>
          <w:szCs w:val="21"/>
        </w:rPr>
        <w:t>违约</w:t>
      </w:r>
      <w:bookmarkEnd w:id="512"/>
      <w:bookmarkEnd w:id="513"/>
      <w:bookmarkEnd w:id="514"/>
    </w:p>
    <w:p>
      <w:pPr>
        <w:keepNext/>
        <w:keepLines/>
        <w:pageBreakBefore w:val="0"/>
        <w:kinsoku/>
        <w:wordWrap/>
        <w:overflowPunct/>
        <w:topLinePunct w:val="0"/>
        <w:bidi w:val="0"/>
        <w:spacing w:line="360" w:lineRule="auto"/>
        <w:textAlignment w:val="auto"/>
        <w:outlineLvl w:val="0"/>
        <w:rPr>
          <w:color w:val="auto"/>
          <w:kern w:val="44"/>
          <w:szCs w:val="21"/>
        </w:rPr>
      </w:pPr>
      <w:bookmarkStart w:id="515" w:name="_Toc6537"/>
      <w:bookmarkStart w:id="516" w:name="_Toc4449"/>
      <w:bookmarkStart w:id="517" w:name="_Toc5812"/>
      <w:r>
        <w:rPr>
          <w:rFonts w:hAnsi="宋体" w:eastAsia="黑体"/>
          <w:color w:val="auto"/>
          <w:kern w:val="44"/>
          <w:szCs w:val="21"/>
        </w:rPr>
        <w:t xml:space="preserve">16.1 </w:t>
      </w:r>
      <w:r>
        <w:rPr>
          <w:rFonts w:hint="eastAsia" w:hAnsi="宋体" w:eastAsia="黑体"/>
          <w:color w:val="auto"/>
          <w:kern w:val="44"/>
          <w:szCs w:val="21"/>
        </w:rPr>
        <w:t>发包人</w:t>
      </w:r>
      <w:bookmarkStart w:id="518" w:name="_Toc373743683"/>
      <w:bookmarkStart w:id="519" w:name="_Toc412544334"/>
      <w:bookmarkStart w:id="520" w:name="_Toc406360368"/>
      <w:r>
        <w:rPr>
          <w:rFonts w:hint="eastAsia" w:hAnsi="宋体" w:eastAsia="黑体"/>
          <w:color w:val="auto"/>
          <w:kern w:val="44"/>
          <w:szCs w:val="21"/>
        </w:rPr>
        <w:t>违约</w:t>
      </w:r>
      <w:bookmarkEnd w:id="515"/>
      <w:bookmarkEnd w:id="516"/>
      <w:bookmarkEnd w:id="517"/>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16.</w:t>
      </w:r>
      <w:bookmarkEnd w:id="518"/>
      <w:bookmarkEnd w:id="519"/>
      <w:bookmarkEnd w:id="520"/>
      <w:r>
        <w:rPr>
          <w:rFonts w:hAnsi="宋体"/>
          <w:color w:val="auto"/>
          <w:szCs w:val="21"/>
        </w:rPr>
        <w:t>1</w:t>
      </w:r>
      <w:bookmarkStart w:id="521" w:name="_Toc373743684"/>
      <w:bookmarkStart w:id="522" w:name="_Toc406360369"/>
      <w:bookmarkStart w:id="523" w:name="_Toc412544335"/>
      <w:r>
        <w:rPr>
          <w:rFonts w:hAnsi="宋体"/>
          <w:color w:val="auto"/>
          <w:szCs w:val="21"/>
        </w:rPr>
        <w:t>.1</w:t>
      </w:r>
      <w:r>
        <w:rPr>
          <w:rFonts w:hint="eastAsia" w:hAnsi="宋体"/>
          <w:color w:val="auto"/>
          <w:szCs w:val="21"/>
        </w:rPr>
        <w:t>发包人违约的情形</w:t>
      </w:r>
      <w:bookmarkEnd w:id="521"/>
      <w:bookmarkEnd w:id="522"/>
      <w:bookmarkEnd w:id="523"/>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发包人违约的其他情形：</w:t>
      </w:r>
      <w:r>
        <w:rPr>
          <w:rFonts w:hint="eastAsia" w:hAnsi="宋体"/>
          <w:color w:val="auto"/>
          <w:szCs w:val="21"/>
          <w:u w:val="single"/>
        </w:rPr>
        <w:t>无</w:t>
      </w:r>
      <w:r>
        <w:rPr>
          <w:rFonts w:hint="eastAsia" w:hAnsi="宋体"/>
          <w:color w:val="auto"/>
          <w:szCs w:val="21"/>
        </w:rPr>
        <w:t>。</w:t>
      </w:r>
    </w:p>
    <w:p>
      <w:pPr>
        <w:pageBreakBefore w:val="0"/>
        <w:kinsoku/>
        <w:wordWrap/>
        <w:overflowPunct/>
        <w:topLinePunct w:val="0"/>
        <w:bidi w:val="0"/>
        <w:spacing w:line="360" w:lineRule="auto"/>
        <w:ind w:left="1050" w:hanging="1050" w:hangingChars="500"/>
        <w:jc w:val="left"/>
        <w:textAlignment w:val="auto"/>
        <w:rPr>
          <w:color w:val="auto"/>
          <w:szCs w:val="21"/>
        </w:rPr>
      </w:pPr>
      <w:r>
        <w:rPr>
          <w:rFonts w:hAnsi="宋体"/>
          <w:color w:val="auto"/>
          <w:szCs w:val="21"/>
        </w:rPr>
        <w:t xml:space="preserve">    16.1.2 </w:t>
      </w:r>
      <w:r>
        <w:rPr>
          <w:rFonts w:hint="eastAsia" w:hAnsi="宋体"/>
          <w:color w:val="auto"/>
          <w:szCs w:val="21"/>
        </w:rPr>
        <w:t>发包人违约的责任</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发包人违约责任的承担方式和计算方法：</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w:t>
      </w:r>
      <w:r>
        <w:rPr>
          <w:rFonts w:hAnsi="宋体"/>
          <w:color w:val="auto"/>
          <w:szCs w:val="21"/>
        </w:rPr>
        <w:t>1</w:t>
      </w:r>
      <w:r>
        <w:rPr>
          <w:rFonts w:hint="eastAsia" w:hAnsi="宋体"/>
          <w:color w:val="auto"/>
          <w:szCs w:val="21"/>
        </w:rPr>
        <w:t>）因发包人原因未能在计划开工日期前</w:t>
      </w:r>
      <w:r>
        <w:rPr>
          <w:rFonts w:hAnsi="宋体"/>
          <w:color w:val="auto"/>
          <w:szCs w:val="21"/>
        </w:rPr>
        <w:t>7</w:t>
      </w:r>
      <w:r>
        <w:rPr>
          <w:rFonts w:hint="eastAsia" w:hAnsi="宋体"/>
          <w:color w:val="auto"/>
          <w:szCs w:val="21"/>
        </w:rPr>
        <w:t>天内下达开工通知的违约责任：</w:t>
      </w:r>
      <w:r>
        <w:rPr>
          <w:rFonts w:hint="eastAsia" w:hAnsi="宋体"/>
          <w:color w:val="auto"/>
          <w:szCs w:val="21"/>
          <w:u w:val="single"/>
        </w:rPr>
        <w:t>顺延工期</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2</w:t>
      </w:r>
      <w:r>
        <w:rPr>
          <w:rFonts w:hint="eastAsia" w:hAnsi="宋体"/>
          <w:color w:val="auto"/>
          <w:szCs w:val="21"/>
        </w:rPr>
        <w:t>）因发包人原因未能按合同约定支付合同价款的违约责任：</w:t>
      </w:r>
      <w:r>
        <w:rPr>
          <w:rFonts w:hint="eastAsia" w:hAnsi="宋体"/>
          <w:color w:val="auto"/>
          <w:szCs w:val="21"/>
          <w:u w:val="single"/>
        </w:rPr>
        <w:t>　承包人与发包人签订延期付款协议</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3</w:t>
      </w:r>
      <w:r>
        <w:rPr>
          <w:rFonts w:hint="eastAsia" w:hAnsi="宋体"/>
          <w:color w:val="auto"/>
          <w:szCs w:val="21"/>
        </w:rPr>
        <w:t>）发包人违反第</w:t>
      </w:r>
      <w:r>
        <w:rPr>
          <w:rFonts w:hAnsi="宋体"/>
          <w:color w:val="auto"/>
          <w:szCs w:val="21"/>
        </w:rPr>
        <w:t>10.1</w:t>
      </w:r>
      <w:r>
        <w:rPr>
          <w:rFonts w:hint="eastAsia" w:hAnsi="宋体"/>
          <w:color w:val="auto"/>
          <w:szCs w:val="21"/>
        </w:rPr>
        <w:t>款〔变更的范围〕第（</w:t>
      </w:r>
      <w:r>
        <w:rPr>
          <w:rFonts w:hAnsi="宋体"/>
          <w:color w:val="auto"/>
          <w:szCs w:val="21"/>
        </w:rPr>
        <w:t>2</w:t>
      </w:r>
      <w:r>
        <w:rPr>
          <w:rFonts w:hint="eastAsia" w:hAnsi="宋体"/>
          <w:color w:val="auto"/>
          <w:szCs w:val="21"/>
        </w:rPr>
        <w:t>）项约定，自行实施被取消的工作或转由他人实施的违约责：</w:t>
      </w:r>
      <w:r>
        <w:rPr>
          <w:rFonts w:hint="eastAsia" w:hAnsi="宋体"/>
          <w:color w:val="auto"/>
          <w:szCs w:val="21"/>
          <w:u w:val="single"/>
        </w:rPr>
        <w:t>双方另行协商</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4</w:t>
      </w:r>
      <w:r>
        <w:rPr>
          <w:rFonts w:hint="eastAsia" w:hAnsi="宋体"/>
          <w:color w:val="auto"/>
          <w:szCs w:val="21"/>
        </w:rPr>
        <w:t>）发包人提供的材料、工程设备的规格、数量或质量不符合合同约定，或因发包人原因导致交货日期延误或交货地点变更等情况的违约责：</w:t>
      </w:r>
      <w:r>
        <w:rPr>
          <w:rFonts w:hint="eastAsia" w:hAnsi="宋体"/>
          <w:color w:val="auto"/>
          <w:szCs w:val="21"/>
          <w:u w:val="single"/>
        </w:rPr>
        <w:t>工期相应顺延</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w:t>
      </w:r>
      <w:r>
        <w:rPr>
          <w:rFonts w:hAnsi="宋体"/>
          <w:color w:val="auto"/>
          <w:szCs w:val="21"/>
        </w:rPr>
        <w:t>5</w:t>
      </w:r>
      <w:r>
        <w:rPr>
          <w:rFonts w:hint="eastAsia" w:hAnsi="宋体"/>
          <w:color w:val="auto"/>
          <w:szCs w:val="21"/>
        </w:rPr>
        <w:t>）因发包人违反合同约定造成暂停施工的违约责任：</w:t>
      </w:r>
      <w:r>
        <w:rPr>
          <w:rFonts w:hint="eastAsia" w:hAnsi="宋体"/>
          <w:color w:val="auto"/>
          <w:szCs w:val="21"/>
          <w:u w:val="single"/>
        </w:rPr>
        <w:t>工期相应顺延</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6</w:t>
      </w:r>
      <w:r>
        <w:rPr>
          <w:rFonts w:hint="eastAsia" w:hAnsi="宋体"/>
          <w:color w:val="auto"/>
          <w:szCs w:val="21"/>
        </w:rPr>
        <w:t>）发包人无正当理由没有在约定期限内发出复工指示，导致承包人无法复工的违约责任：</w:t>
      </w:r>
      <w:r>
        <w:rPr>
          <w:rFonts w:hint="eastAsia" w:hAnsi="宋体"/>
          <w:color w:val="auto"/>
          <w:szCs w:val="21"/>
          <w:u w:val="single"/>
        </w:rPr>
        <w:t>工期相应顺延</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7</w:t>
      </w:r>
      <w:r>
        <w:rPr>
          <w:rFonts w:hint="eastAsia" w:hAnsi="宋体"/>
          <w:color w:val="auto"/>
          <w:szCs w:val="21"/>
        </w:rPr>
        <w:t>）其他：</w:t>
      </w:r>
      <w:r>
        <w:rPr>
          <w:rFonts w:hint="eastAsia" w:hAnsi="宋体"/>
          <w:color w:val="auto"/>
          <w:szCs w:val="21"/>
          <w:u w:val="single"/>
        </w:rPr>
        <w:t>另行协商</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16.1.3 </w:t>
      </w:r>
      <w:r>
        <w:rPr>
          <w:rFonts w:hint="eastAsia" w:hAnsi="宋体"/>
          <w:color w:val="auto"/>
          <w:szCs w:val="21"/>
        </w:rPr>
        <w:t>因发包人违约解除合同</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int="eastAsia" w:hAnsi="宋体"/>
          <w:color w:val="auto"/>
          <w:szCs w:val="21"/>
        </w:rPr>
        <w:t>承包人按</w:t>
      </w:r>
      <w:r>
        <w:rPr>
          <w:rFonts w:hAnsi="宋体"/>
          <w:color w:val="auto"/>
          <w:szCs w:val="21"/>
        </w:rPr>
        <w:t>16.1.1</w:t>
      </w:r>
      <w:r>
        <w:rPr>
          <w:rFonts w:hint="eastAsia" w:hAnsi="宋体"/>
          <w:color w:val="auto"/>
          <w:szCs w:val="21"/>
        </w:rPr>
        <w:t>项〔发包人违约的情形〕约定暂停施工满</w:t>
      </w:r>
      <w:r>
        <w:rPr>
          <w:rFonts w:hAnsi="宋体"/>
          <w:color w:val="auto"/>
          <w:szCs w:val="21"/>
          <w:u w:val="single"/>
        </w:rPr>
        <w:t xml:space="preserve">  28  </w:t>
      </w:r>
      <w:r>
        <w:rPr>
          <w:rFonts w:hint="eastAsia" w:hAnsi="宋体"/>
          <w:color w:val="auto"/>
          <w:szCs w:val="21"/>
        </w:rPr>
        <w:t>天后发包人仍不纠正其违约行为并致使合同目的不能实现的，承包人有权解除合同。</w:t>
      </w:r>
    </w:p>
    <w:p>
      <w:pPr>
        <w:keepNext/>
        <w:keepLines/>
        <w:pageBreakBefore w:val="0"/>
        <w:kinsoku/>
        <w:wordWrap/>
        <w:overflowPunct/>
        <w:topLinePunct w:val="0"/>
        <w:bidi w:val="0"/>
        <w:spacing w:line="360" w:lineRule="auto"/>
        <w:textAlignment w:val="auto"/>
        <w:outlineLvl w:val="0"/>
        <w:rPr>
          <w:color w:val="auto"/>
          <w:kern w:val="44"/>
          <w:szCs w:val="21"/>
        </w:rPr>
      </w:pPr>
      <w:bookmarkStart w:id="524" w:name="_Toc15909"/>
      <w:bookmarkStart w:id="525" w:name="_Toc18988"/>
      <w:bookmarkStart w:id="526" w:name="_Toc1990"/>
      <w:r>
        <w:rPr>
          <w:rFonts w:hAnsi="宋体" w:eastAsia="黑体"/>
          <w:color w:val="auto"/>
          <w:kern w:val="44"/>
          <w:szCs w:val="21"/>
        </w:rPr>
        <w:t xml:space="preserve">16.2 </w:t>
      </w:r>
      <w:r>
        <w:rPr>
          <w:rFonts w:hint="eastAsia" w:hAnsi="宋体" w:eastAsia="黑体"/>
          <w:color w:val="auto"/>
          <w:kern w:val="44"/>
          <w:szCs w:val="21"/>
        </w:rPr>
        <w:t>承包人违约</w:t>
      </w:r>
      <w:bookmarkEnd w:id="524"/>
      <w:bookmarkEnd w:id="525"/>
      <w:bookmarkEnd w:id="526"/>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16.2</w:t>
      </w:r>
      <w:bookmarkStart w:id="527" w:name="_Toc373743685"/>
      <w:bookmarkStart w:id="528" w:name="_Toc412544336"/>
      <w:bookmarkStart w:id="529" w:name="_Toc406360370"/>
      <w:r>
        <w:rPr>
          <w:rFonts w:hAnsi="宋体"/>
          <w:color w:val="auto"/>
          <w:szCs w:val="21"/>
        </w:rPr>
        <w:t xml:space="preserve">.1 </w:t>
      </w:r>
      <w:r>
        <w:rPr>
          <w:rFonts w:hint="eastAsia" w:hAnsi="宋体"/>
          <w:color w:val="auto"/>
          <w:szCs w:val="21"/>
        </w:rPr>
        <w:t>承包人违约的情</w:t>
      </w:r>
      <w:bookmarkEnd w:id="527"/>
      <w:bookmarkEnd w:id="528"/>
      <w:bookmarkEnd w:id="529"/>
      <w:r>
        <w:rPr>
          <w:rFonts w:hint="eastAsia" w:hAnsi="宋体"/>
          <w:color w:val="auto"/>
          <w:szCs w:val="21"/>
        </w:rPr>
        <w:t>形</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承包人违约的其他情形：</w:t>
      </w:r>
      <w:r>
        <w:rPr>
          <w:rFonts w:hint="eastAsia" w:hAnsi="宋体"/>
          <w:color w:val="auto"/>
          <w:szCs w:val="21"/>
          <w:u w:val="single"/>
        </w:rPr>
        <w:t xml:space="preserve">                           </w:t>
      </w:r>
      <w:r>
        <w:rPr>
          <w:rFonts w:hint="eastAsia" w:hAnsi="宋体"/>
          <w:color w:val="auto"/>
          <w:szCs w:val="21"/>
        </w:rPr>
        <w:t>。</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16.2.2</w:t>
      </w:r>
      <w:r>
        <w:rPr>
          <w:rFonts w:hint="eastAsia" w:hAnsi="宋体"/>
          <w:color w:val="auto"/>
          <w:szCs w:val="21"/>
        </w:rPr>
        <w:t>承包人违约的责任</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承包人违约责任的承担方式和计算方法：</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1</w:t>
      </w:r>
      <w:r>
        <w:rPr>
          <w:rFonts w:hint="eastAsia" w:hAnsi="宋体"/>
          <w:color w:val="auto"/>
          <w:szCs w:val="21"/>
        </w:rPr>
        <w:t>）承包人未按本合同通用条款第</w:t>
      </w:r>
      <w:r>
        <w:rPr>
          <w:rFonts w:hAnsi="宋体"/>
          <w:color w:val="auto"/>
          <w:szCs w:val="21"/>
        </w:rPr>
        <w:t>16.2.1</w:t>
      </w:r>
      <w:r>
        <w:rPr>
          <w:rFonts w:hint="eastAsia" w:hAnsi="宋体"/>
          <w:color w:val="auto"/>
          <w:szCs w:val="21"/>
        </w:rPr>
        <w:t>（</w:t>
      </w:r>
      <w:r>
        <w:rPr>
          <w:rFonts w:hAnsi="宋体"/>
          <w:color w:val="auto"/>
          <w:szCs w:val="21"/>
        </w:rPr>
        <w:t>2</w:t>
      </w:r>
      <w:r>
        <w:rPr>
          <w:rFonts w:hint="eastAsia" w:hAnsi="宋体"/>
          <w:color w:val="auto"/>
          <w:szCs w:val="21"/>
        </w:rPr>
        <w:t>）、（</w:t>
      </w:r>
      <w:r>
        <w:rPr>
          <w:rFonts w:hAnsi="宋体"/>
          <w:color w:val="auto"/>
          <w:szCs w:val="21"/>
        </w:rPr>
        <w:t>3</w:t>
      </w:r>
      <w:r>
        <w:rPr>
          <w:rFonts w:hint="eastAsia" w:hAnsi="宋体"/>
          <w:color w:val="auto"/>
          <w:szCs w:val="21"/>
        </w:rPr>
        <w:t>）、（</w:t>
      </w:r>
      <w:r>
        <w:rPr>
          <w:rFonts w:hAnsi="宋体"/>
          <w:color w:val="auto"/>
          <w:szCs w:val="21"/>
        </w:rPr>
        <w:t>5</w:t>
      </w:r>
      <w:r>
        <w:rPr>
          <w:rFonts w:hint="eastAsia" w:hAnsi="宋体"/>
          <w:color w:val="auto"/>
          <w:szCs w:val="21"/>
        </w:rPr>
        <w:t>）条内容完成的，承包人无条件返工处理，修复至工程质量要求并承担相关费用，并在发包人规定的时间内完成返工，否则发包人有权扣罚该分项工程</w:t>
      </w:r>
      <w:r>
        <w:rPr>
          <w:rFonts w:hAnsi="宋体"/>
          <w:color w:val="auto"/>
          <w:szCs w:val="21"/>
        </w:rPr>
        <w:t>10%</w:t>
      </w:r>
      <w:r>
        <w:rPr>
          <w:rFonts w:hint="eastAsia" w:hAnsi="宋体"/>
          <w:color w:val="auto"/>
          <w:szCs w:val="21"/>
        </w:rPr>
        <w:t>的工程款作为处罚。</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2</w:t>
      </w:r>
      <w:r>
        <w:rPr>
          <w:rFonts w:hint="eastAsia" w:hAnsi="宋体"/>
          <w:color w:val="auto"/>
          <w:szCs w:val="21"/>
        </w:rPr>
        <w:t>）承包人有本合同通用条款第</w:t>
      </w:r>
      <w:r>
        <w:rPr>
          <w:rFonts w:hAnsi="宋体"/>
          <w:color w:val="auto"/>
          <w:szCs w:val="21"/>
        </w:rPr>
        <w:t>16.2.1</w:t>
      </w:r>
      <w:r>
        <w:rPr>
          <w:rFonts w:hint="eastAsia" w:hAnsi="宋体"/>
          <w:color w:val="auto"/>
          <w:szCs w:val="21"/>
        </w:rPr>
        <w:t>（</w:t>
      </w:r>
      <w:r>
        <w:rPr>
          <w:rFonts w:hAnsi="宋体"/>
          <w:color w:val="auto"/>
          <w:szCs w:val="21"/>
        </w:rPr>
        <w:t>6</w:t>
      </w:r>
      <w:r>
        <w:rPr>
          <w:rFonts w:hint="eastAsia" w:hAnsi="宋体"/>
          <w:color w:val="auto"/>
          <w:szCs w:val="21"/>
        </w:rPr>
        <w:t>）条情形的，或经监理人检验认为修复质量不合格而承包人拒绝再进行修补的，发包人将扣除承包人全部质量保修金。</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3</w:t>
      </w:r>
      <w:r>
        <w:rPr>
          <w:rFonts w:hint="eastAsia" w:hAnsi="宋体"/>
          <w:color w:val="auto"/>
          <w:szCs w:val="21"/>
        </w:rPr>
        <w:t>）承包人有本专用合同条款</w:t>
      </w:r>
      <w:r>
        <w:rPr>
          <w:rFonts w:hAnsi="宋体"/>
          <w:color w:val="auto"/>
          <w:szCs w:val="21"/>
        </w:rPr>
        <w:t>3.2</w:t>
      </w:r>
      <w:r>
        <w:rPr>
          <w:rFonts w:hint="eastAsia" w:hAnsi="宋体"/>
          <w:color w:val="auto"/>
          <w:szCs w:val="21"/>
        </w:rPr>
        <w:t>、</w:t>
      </w:r>
      <w:r>
        <w:rPr>
          <w:rFonts w:hAnsi="宋体"/>
          <w:color w:val="auto"/>
          <w:szCs w:val="21"/>
        </w:rPr>
        <w:t>3.3</w:t>
      </w:r>
      <w:r>
        <w:rPr>
          <w:rFonts w:hint="eastAsia" w:hAnsi="宋体"/>
          <w:color w:val="auto"/>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经监理人审核，须经发包人书面批准同意后方可返还。罚款金额返还时不包括银行利息。</w:t>
      </w:r>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16.2.3 </w:t>
      </w:r>
      <w:r>
        <w:rPr>
          <w:rFonts w:hint="eastAsia" w:hAnsi="宋体"/>
          <w:color w:val="auto"/>
          <w:szCs w:val="21"/>
        </w:rPr>
        <w:t>因承包人违约解除合同</w:t>
      </w:r>
    </w:p>
    <w:p>
      <w:pPr>
        <w:pageBreakBefore w:val="0"/>
        <w:kinsoku/>
        <w:wordWrap/>
        <w:overflowPunct/>
        <w:topLinePunct w:val="0"/>
        <w:bidi w:val="0"/>
        <w:spacing w:before="120" w:after="120" w:line="360" w:lineRule="auto"/>
        <w:ind w:firstLine="420" w:firstLineChars="200"/>
        <w:textAlignment w:val="auto"/>
        <w:rPr>
          <w:color w:val="auto"/>
          <w:szCs w:val="21"/>
        </w:rPr>
      </w:pPr>
      <w:r>
        <w:rPr>
          <w:rFonts w:hint="eastAsia" w:hAnsi="宋体"/>
          <w:color w:val="auto"/>
          <w:szCs w:val="21"/>
        </w:rPr>
        <w:t>关于承包人违约解除合同的特别约定：</w:t>
      </w:r>
      <w:r>
        <w:rPr>
          <w:rFonts w:hint="eastAsia" w:hAnsi="宋体"/>
          <w:color w:val="auto"/>
          <w:szCs w:val="21"/>
          <w:u w:val="single"/>
        </w:rPr>
        <w:t>承包人有违反以下情况之一的，发包人有权解除合同，并没收其全部履约保证金</w:t>
      </w:r>
      <w:r>
        <w:rPr>
          <w:rFonts w:hint="eastAsia" w:hAnsi="宋体"/>
          <w:color w:val="auto"/>
          <w:szCs w:val="21"/>
        </w:rPr>
        <w:t>。</w:t>
      </w:r>
    </w:p>
    <w:p>
      <w:pPr>
        <w:pageBreakBefore w:val="0"/>
        <w:kinsoku/>
        <w:wordWrap/>
        <w:overflowPunct/>
        <w:topLinePunct w:val="0"/>
        <w:bidi w:val="0"/>
        <w:spacing w:before="120" w:after="120" w:line="360" w:lineRule="auto"/>
        <w:ind w:firstLine="420" w:firstLineChars="200"/>
        <w:textAlignment w:val="auto"/>
        <w:rPr>
          <w:color w:val="auto"/>
          <w:szCs w:val="21"/>
        </w:rPr>
      </w:pPr>
      <w:r>
        <w:rPr>
          <w:rFonts w:hAnsi="宋体"/>
          <w:color w:val="auto"/>
          <w:szCs w:val="21"/>
        </w:rPr>
        <w:t>(1)</w:t>
      </w:r>
      <w:r>
        <w:rPr>
          <w:rFonts w:hint="eastAsia" w:hAnsi="宋体"/>
          <w:color w:val="auto"/>
          <w:szCs w:val="21"/>
        </w:rPr>
        <w:t>承包人无正当理由不按开工通知的要求及时进场组织施工和不按签订协议书时商订的进度计划有效地开展施工准备，造成工期延误的；</w:t>
      </w:r>
    </w:p>
    <w:p>
      <w:pPr>
        <w:pageBreakBefore w:val="0"/>
        <w:kinsoku/>
        <w:wordWrap/>
        <w:overflowPunct/>
        <w:topLinePunct w:val="0"/>
        <w:bidi w:val="0"/>
        <w:spacing w:before="120" w:after="120" w:line="360" w:lineRule="auto"/>
        <w:ind w:firstLine="420" w:firstLineChars="200"/>
        <w:textAlignment w:val="auto"/>
        <w:rPr>
          <w:color w:val="auto"/>
          <w:szCs w:val="21"/>
        </w:rPr>
      </w:pPr>
      <w:r>
        <w:rPr>
          <w:rFonts w:hAnsi="宋体"/>
          <w:color w:val="auto"/>
          <w:szCs w:val="21"/>
        </w:rPr>
        <w:t>(2)</w:t>
      </w:r>
      <w:r>
        <w:rPr>
          <w:rFonts w:hint="eastAsia" w:hAnsi="宋体"/>
          <w:color w:val="auto"/>
          <w:szCs w:val="21"/>
        </w:rPr>
        <w:t>承包人违反本合同通用条款第</w:t>
      </w:r>
      <w:r>
        <w:rPr>
          <w:rFonts w:hAnsi="宋体"/>
          <w:color w:val="auto"/>
          <w:szCs w:val="21"/>
        </w:rPr>
        <w:t>3.5</w:t>
      </w:r>
      <w:r>
        <w:rPr>
          <w:rFonts w:hint="eastAsia" w:hAnsi="宋体"/>
          <w:color w:val="auto"/>
          <w:szCs w:val="21"/>
        </w:rPr>
        <w:t>条规定私自将合同或合同的任何部分或任何权利转让给其他人，或私自将工程或工程的一部分分包出去的；</w:t>
      </w:r>
    </w:p>
    <w:p>
      <w:pPr>
        <w:pageBreakBefore w:val="0"/>
        <w:kinsoku/>
        <w:wordWrap/>
        <w:overflowPunct/>
        <w:topLinePunct w:val="0"/>
        <w:bidi w:val="0"/>
        <w:spacing w:before="120" w:after="120" w:line="360" w:lineRule="auto"/>
        <w:ind w:firstLine="420" w:firstLineChars="200"/>
        <w:textAlignment w:val="auto"/>
        <w:rPr>
          <w:color w:val="auto"/>
          <w:szCs w:val="21"/>
        </w:rPr>
      </w:pPr>
      <w:r>
        <w:rPr>
          <w:rFonts w:hAnsi="宋体"/>
          <w:color w:val="auto"/>
          <w:szCs w:val="21"/>
        </w:rPr>
        <w:t>(3)</w:t>
      </w:r>
      <w:r>
        <w:rPr>
          <w:rFonts w:hint="eastAsia" w:hAnsi="宋体"/>
          <w:color w:val="auto"/>
          <w:szCs w:val="21"/>
        </w:rPr>
        <w:t>未经监理人批准，承包人私自将已按投标文件承诺进入工地的工程设备、施工设备、临时工程或材料撤离工地的；</w:t>
      </w:r>
    </w:p>
    <w:p>
      <w:pPr>
        <w:pageBreakBefore w:val="0"/>
        <w:kinsoku/>
        <w:wordWrap/>
        <w:overflowPunct/>
        <w:topLinePunct w:val="0"/>
        <w:bidi w:val="0"/>
        <w:spacing w:before="120" w:after="120" w:line="360" w:lineRule="auto"/>
        <w:ind w:firstLine="420" w:firstLineChars="200"/>
        <w:textAlignment w:val="auto"/>
        <w:rPr>
          <w:color w:val="auto"/>
          <w:szCs w:val="21"/>
        </w:rPr>
      </w:pPr>
      <w:r>
        <w:rPr>
          <w:rFonts w:hAnsi="宋体"/>
          <w:color w:val="auto"/>
          <w:szCs w:val="21"/>
        </w:rPr>
        <w:t>(4)</w:t>
      </w:r>
      <w:r>
        <w:rPr>
          <w:rFonts w:hint="eastAsia" w:hAnsi="宋体"/>
          <w:color w:val="auto"/>
          <w:szCs w:val="21"/>
        </w:rPr>
        <w:t>由于承包人原因拒绝按合同进度计划及时完成合同规定的工程，而又未采取有效措施赶上进度，造成工期延误的；</w:t>
      </w:r>
    </w:p>
    <w:p>
      <w:pPr>
        <w:pageBreakBefore w:val="0"/>
        <w:kinsoku/>
        <w:wordWrap/>
        <w:overflowPunct/>
        <w:topLinePunct w:val="0"/>
        <w:bidi w:val="0"/>
        <w:spacing w:before="120" w:after="120" w:line="360" w:lineRule="auto"/>
        <w:ind w:firstLine="420" w:firstLineChars="200"/>
        <w:textAlignment w:val="auto"/>
        <w:rPr>
          <w:color w:val="auto"/>
          <w:szCs w:val="21"/>
        </w:rPr>
      </w:pPr>
      <w:r>
        <w:rPr>
          <w:rFonts w:hAnsi="宋体"/>
          <w:color w:val="auto"/>
          <w:szCs w:val="21"/>
        </w:rPr>
        <w:t>(5)</w:t>
      </w:r>
      <w:r>
        <w:rPr>
          <w:rFonts w:hint="eastAsia" w:hAnsi="宋体"/>
          <w:color w:val="auto"/>
          <w:szCs w:val="21"/>
        </w:rPr>
        <w:t>承包人否认合同有效或拒绝履行合同规定的承包人义务，或由于法律、财务等原因导致承包人无法继续履行或实质上已停止履行合同的义务的；</w:t>
      </w:r>
    </w:p>
    <w:p>
      <w:pPr>
        <w:pageBreakBefore w:val="0"/>
        <w:kinsoku/>
        <w:wordWrap/>
        <w:overflowPunct/>
        <w:topLinePunct w:val="0"/>
        <w:bidi w:val="0"/>
        <w:spacing w:before="120" w:after="120" w:line="360" w:lineRule="auto"/>
        <w:ind w:firstLine="420" w:firstLineChars="200"/>
        <w:textAlignment w:val="auto"/>
        <w:rPr>
          <w:color w:val="auto"/>
          <w:szCs w:val="21"/>
        </w:rPr>
      </w:pPr>
      <w:r>
        <w:rPr>
          <w:rFonts w:hAnsi="宋体"/>
          <w:color w:val="auto"/>
          <w:szCs w:val="21"/>
        </w:rPr>
        <w:t>(6)</w:t>
      </w:r>
      <w:r>
        <w:rPr>
          <w:rFonts w:hint="eastAsia" w:hAnsi="宋体"/>
          <w:color w:val="auto"/>
          <w:szCs w:val="21"/>
        </w:rPr>
        <w:t>合同签订之日起十五日内，承包人无法按合同规定及投标文件的承诺进场经监理工程师认可的全部人员和机械的。</w:t>
      </w:r>
    </w:p>
    <w:p>
      <w:pPr>
        <w:pageBreakBefore w:val="0"/>
        <w:widowControl/>
        <w:kinsoku/>
        <w:wordWrap/>
        <w:overflowPunct/>
        <w:topLinePunct w:val="0"/>
        <w:bidi w:val="0"/>
        <w:spacing w:before="120" w:after="120" w:line="360" w:lineRule="auto"/>
        <w:ind w:firstLine="420"/>
        <w:textAlignment w:val="auto"/>
        <w:rPr>
          <w:color w:val="auto"/>
          <w:szCs w:val="21"/>
        </w:rPr>
      </w:pPr>
      <w:r>
        <w:rPr>
          <w:rFonts w:hint="eastAsia" w:hAnsi="宋体"/>
          <w:color w:val="auto"/>
          <w:szCs w:val="21"/>
        </w:rPr>
        <w:t>（</w:t>
      </w:r>
      <w:r>
        <w:rPr>
          <w:rFonts w:hAnsi="宋体"/>
          <w:color w:val="auto"/>
          <w:szCs w:val="21"/>
        </w:rPr>
        <w:t>7</w:t>
      </w:r>
      <w:r>
        <w:rPr>
          <w:rFonts w:hint="eastAsia" w:hAnsi="宋体"/>
          <w:color w:val="auto"/>
          <w:szCs w:val="21"/>
        </w:rPr>
        <w:t>）在发包人按合同约定支付工程进度款的前期下，承包人拖欠员工工资待遇导致其员工到发包方或政府部门静坐、闹事的。</w:t>
      </w:r>
    </w:p>
    <w:p>
      <w:pPr>
        <w:pageBreakBefore w:val="0"/>
        <w:kinsoku/>
        <w:wordWrap/>
        <w:overflowPunct/>
        <w:topLinePunct w:val="0"/>
        <w:bidi w:val="0"/>
        <w:spacing w:before="120" w:after="120" w:line="360" w:lineRule="auto"/>
        <w:ind w:firstLine="420" w:firstLineChars="200"/>
        <w:textAlignment w:val="auto"/>
        <w:rPr>
          <w:color w:val="auto"/>
          <w:szCs w:val="21"/>
        </w:rPr>
      </w:pPr>
      <w:r>
        <w:rPr>
          <w:rFonts w:hint="eastAsia" w:hAnsi="宋体"/>
          <w:color w:val="auto"/>
          <w:szCs w:val="21"/>
        </w:rPr>
        <w:t>发包人继续使用承包人在施工现场的材料、设备、临时工程、承包人文件和由承包人或以其名义编制的其他文件的费用承担方式：</w:t>
      </w:r>
      <w:r>
        <w:rPr>
          <w:rFonts w:hint="eastAsia" w:hAnsi="宋体"/>
          <w:color w:val="auto"/>
          <w:szCs w:val="21"/>
          <w:u w:val="single"/>
        </w:rPr>
        <w:t>按通用合同条款</w:t>
      </w:r>
      <w:r>
        <w:rPr>
          <w:rFonts w:hAnsi="宋体"/>
          <w:color w:val="auto"/>
          <w:szCs w:val="21"/>
          <w:u w:val="single"/>
        </w:rPr>
        <w:t xml:space="preserve">16.2.3    </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rFonts w:hAnsi="宋体" w:eastAsia="黑体"/>
          <w:color w:val="auto"/>
          <w:kern w:val="44"/>
          <w:szCs w:val="21"/>
        </w:rPr>
      </w:pPr>
      <w:bookmarkStart w:id="530" w:name="_Toc2494"/>
      <w:bookmarkStart w:id="531" w:name="_Toc20697"/>
      <w:bookmarkStart w:id="532" w:name="_Toc30078"/>
      <w:r>
        <w:rPr>
          <w:rFonts w:hAnsi="宋体" w:eastAsia="黑体"/>
          <w:color w:val="auto"/>
          <w:kern w:val="44"/>
          <w:szCs w:val="21"/>
        </w:rPr>
        <w:t xml:space="preserve">17. </w:t>
      </w:r>
      <w:r>
        <w:rPr>
          <w:rFonts w:hint="eastAsia" w:hAnsi="宋体" w:eastAsia="黑体"/>
          <w:color w:val="auto"/>
          <w:kern w:val="44"/>
          <w:szCs w:val="21"/>
        </w:rPr>
        <w:t>不可抗力</w:t>
      </w:r>
      <w:bookmarkEnd w:id="530"/>
      <w:bookmarkEnd w:id="531"/>
      <w:bookmarkEnd w:id="532"/>
    </w:p>
    <w:p>
      <w:pPr>
        <w:pageBreakBefore w:val="0"/>
        <w:kinsoku/>
        <w:wordWrap/>
        <w:overflowPunct/>
        <w:topLinePunct w:val="0"/>
        <w:bidi w:val="0"/>
        <w:spacing w:line="360" w:lineRule="auto"/>
        <w:ind w:firstLine="420" w:firstLineChars="200"/>
        <w:jc w:val="left"/>
        <w:textAlignment w:val="auto"/>
        <w:rPr>
          <w:color w:val="auto"/>
          <w:szCs w:val="21"/>
        </w:rPr>
      </w:pPr>
      <w:r>
        <w:rPr>
          <w:rFonts w:hAnsi="宋体"/>
          <w:color w:val="auto"/>
          <w:szCs w:val="21"/>
        </w:rPr>
        <w:t xml:space="preserve">17.1 </w:t>
      </w:r>
      <w:bookmarkStart w:id="533" w:name="_Toc412544337"/>
      <w:bookmarkStart w:id="534" w:name="_Toc373743686"/>
      <w:bookmarkStart w:id="535" w:name="_Toc406360371"/>
      <w:r>
        <w:rPr>
          <w:rFonts w:hint="eastAsia" w:hAnsi="宋体"/>
          <w:color w:val="auto"/>
          <w:szCs w:val="21"/>
        </w:rPr>
        <w:t>不可抗力的确认除通用合同条款约定的不可抗力事件之外，视为不可抗力的其他情形：</w:t>
      </w:r>
    </w:p>
    <w:p>
      <w:pPr>
        <w:pageBreakBefore w:val="0"/>
        <w:numPr>
          <w:ilvl w:val="0"/>
          <w:numId w:val="10"/>
        </w:numPr>
        <w:kinsoku/>
        <w:wordWrap/>
        <w:overflowPunct/>
        <w:topLinePunct w:val="0"/>
        <w:bidi w:val="0"/>
        <w:spacing w:line="360" w:lineRule="auto"/>
        <w:textAlignment w:val="auto"/>
        <w:rPr>
          <w:color w:val="auto"/>
          <w:szCs w:val="21"/>
        </w:rPr>
      </w:pPr>
      <w:r>
        <w:rPr>
          <w:rFonts w:hAnsi="宋体"/>
          <w:color w:val="auto"/>
          <w:szCs w:val="21"/>
        </w:rPr>
        <w:t xml:space="preserve">6 </w:t>
      </w:r>
      <w:r>
        <w:rPr>
          <w:rFonts w:hint="eastAsia" w:hAnsi="宋体"/>
          <w:color w:val="auto"/>
          <w:szCs w:val="21"/>
        </w:rPr>
        <w:t>级以上的地震；</w:t>
      </w:r>
    </w:p>
    <w:p>
      <w:pPr>
        <w:pageBreakBefore w:val="0"/>
        <w:numPr>
          <w:ilvl w:val="0"/>
          <w:numId w:val="10"/>
        </w:numPr>
        <w:kinsoku/>
        <w:wordWrap/>
        <w:overflowPunct/>
        <w:topLinePunct w:val="0"/>
        <w:bidi w:val="0"/>
        <w:spacing w:line="360" w:lineRule="auto"/>
        <w:textAlignment w:val="auto"/>
        <w:rPr>
          <w:color w:val="auto"/>
          <w:szCs w:val="21"/>
        </w:rPr>
      </w:pPr>
      <w:r>
        <w:rPr>
          <w:rFonts w:hAnsi="宋体"/>
          <w:color w:val="auto"/>
          <w:szCs w:val="21"/>
        </w:rPr>
        <w:t>10</w:t>
      </w:r>
      <w:r>
        <w:rPr>
          <w:rFonts w:hint="eastAsia" w:hAnsi="宋体"/>
          <w:color w:val="auto"/>
          <w:szCs w:val="21"/>
        </w:rPr>
        <w:t>级以上持续</w:t>
      </w:r>
      <w:r>
        <w:rPr>
          <w:rFonts w:hAnsi="宋体"/>
          <w:color w:val="auto"/>
          <w:szCs w:val="21"/>
        </w:rPr>
        <w:t>1</w:t>
      </w:r>
      <w:r>
        <w:rPr>
          <w:rFonts w:hint="eastAsia" w:hAnsi="宋体"/>
          <w:color w:val="auto"/>
          <w:szCs w:val="21"/>
        </w:rPr>
        <w:t>天的大风；</w:t>
      </w:r>
    </w:p>
    <w:p>
      <w:pPr>
        <w:pageBreakBefore w:val="0"/>
        <w:numPr>
          <w:ilvl w:val="0"/>
          <w:numId w:val="10"/>
        </w:numPr>
        <w:kinsoku/>
        <w:wordWrap/>
        <w:overflowPunct/>
        <w:topLinePunct w:val="0"/>
        <w:bidi w:val="0"/>
        <w:spacing w:line="360" w:lineRule="auto"/>
        <w:textAlignment w:val="auto"/>
        <w:rPr>
          <w:color w:val="auto"/>
          <w:szCs w:val="21"/>
        </w:rPr>
      </w:pPr>
      <w:r>
        <w:rPr>
          <w:rFonts w:hint="eastAsia" w:hAnsi="宋体"/>
          <w:color w:val="auto"/>
          <w:szCs w:val="21"/>
        </w:rPr>
        <w:t>暴雨级以上持续</w:t>
      </w:r>
      <w:r>
        <w:rPr>
          <w:rFonts w:hAnsi="宋体"/>
          <w:color w:val="auto"/>
          <w:szCs w:val="21"/>
        </w:rPr>
        <w:t>1</w:t>
      </w:r>
      <w:r>
        <w:rPr>
          <w:rFonts w:hint="eastAsia" w:hAnsi="宋体"/>
          <w:color w:val="auto"/>
          <w:szCs w:val="21"/>
        </w:rPr>
        <w:t>天的大雨；</w:t>
      </w:r>
    </w:p>
    <w:p>
      <w:pPr>
        <w:pageBreakBefore w:val="0"/>
        <w:numPr>
          <w:ilvl w:val="0"/>
          <w:numId w:val="10"/>
        </w:numPr>
        <w:kinsoku/>
        <w:wordWrap/>
        <w:overflowPunct/>
        <w:topLinePunct w:val="0"/>
        <w:bidi w:val="0"/>
        <w:spacing w:line="360" w:lineRule="auto"/>
        <w:textAlignment w:val="auto"/>
        <w:rPr>
          <w:color w:val="auto"/>
          <w:szCs w:val="21"/>
        </w:rPr>
      </w:pPr>
      <w:r>
        <w:rPr>
          <w:rFonts w:hAnsi="宋体"/>
          <w:color w:val="auto"/>
          <w:szCs w:val="21"/>
        </w:rPr>
        <w:t>50</w:t>
      </w:r>
      <w:r>
        <w:rPr>
          <w:rFonts w:hint="eastAsia" w:hAnsi="宋体"/>
          <w:color w:val="auto"/>
          <w:szCs w:val="21"/>
        </w:rPr>
        <w:t>年以上未发生过，持续</w:t>
      </w:r>
      <w:r>
        <w:rPr>
          <w:rFonts w:hAnsi="宋体"/>
          <w:color w:val="auto"/>
          <w:szCs w:val="21"/>
        </w:rPr>
        <w:t>2</w:t>
      </w:r>
      <w:r>
        <w:rPr>
          <w:rFonts w:hint="eastAsia" w:hAnsi="宋体"/>
          <w:color w:val="auto"/>
          <w:szCs w:val="21"/>
        </w:rPr>
        <w:t>天的高温天气；</w:t>
      </w:r>
    </w:p>
    <w:p>
      <w:pPr>
        <w:pageBreakBefore w:val="0"/>
        <w:numPr>
          <w:ilvl w:val="0"/>
          <w:numId w:val="10"/>
        </w:numPr>
        <w:kinsoku/>
        <w:wordWrap/>
        <w:overflowPunct/>
        <w:topLinePunct w:val="0"/>
        <w:bidi w:val="0"/>
        <w:spacing w:line="360" w:lineRule="auto"/>
        <w:textAlignment w:val="auto"/>
        <w:rPr>
          <w:color w:val="auto"/>
          <w:szCs w:val="21"/>
        </w:rPr>
      </w:pPr>
      <w:r>
        <w:rPr>
          <w:rFonts w:hAnsi="宋体"/>
          <w:color w:val="auto"/>
          <w:szCs w:val="21"/>
        </w:rPr>
        <w:t>50</w:t>
      </w:r>
      <w:r>
        <w:rPr>
          <w:rFonts w:hint="eastAsia" w:hAnsi="宋体"/>
          <w:color w:val="auto"/>
          <w:szCs w:val="21"/>
        </w:rPr>
        <w:t>年以上未发生过，持续</w:t>
      </w:r>
      <w:r>
        <w:rPr>
          <w:rFonts w:hAnsi="宋体"/>
          <w:color w:val="auto"/>
          <w:szCs w:val="21"/>
        </w:rPr>
        <w:t>2</w:t>
      </w:r>
      <w:r>
        <w:rPr>
          <w:rFonts w:hint="eastAsia" w:hAnsi="宋体"/>
          <w:color w:val="auto"/>
          <w:szCs w:val="21"/>
        </w:rPr>
        <w:t>天的低温天气；</w:t>
      </w:r>
    </w:p>
    <w:p>
      <w:pPr>
        <w:pageBreakBefore w:val="0"/>
        <w:numPr>
          <w:ilvl w:val="0"/>
          <w:numId w:val="10"/>
        </w:numPr>
        <w:kinsoku/>
        <w:wordWrap/>
        <w:overflowPunct/>
        <w:topLinePunct w:val="0"/>
        <w:bidi w:val="0"/>
        <w:spacing w:line="360" w:lineRule="auto"/>
        <w:textAlignment w:val="auto"/>
        <w:rPr>
          <w:color w:val="auto"/>
          <w:szCs w:val="21"/>
        </w:rPr>
      </w:pPr>
      <w:r>
        <w:rPr>
          <w:rFonts w:hAnsi="宋体"/>
          <w:color w:val="auto"/>
          <w:szCs w:val="21"/>
        </w:rPr>
        <w:t>50</w:t>
      </w:r>
      <w:r>
        <w:rPr>
          <w:rFonts w:hint="eastAsia" w:hAnsi="宋体"/>
          <w:color w:val="auto"/>
          <w:szCs w:val="21"/>
        </w:rPr>
        <w:t>年以上未发生过的洪水；</w:t>
      </w:r>
    </w:p>
    <w:p>
      <w:pPr>
        <w:pageBreakBefore w:val="0"/>
        <w:kinsoku/>
        <w:wordWrap/>
        <w:overflowPunct/>
        <w:topLinePunct w:val="0"/>
        <w:bidi w:val="0"/>
        <w:spacing w:line="360" w:lineRule="auto"/>
        <w:ind w:firstLine="420" w:firstLineChars="200"/>
        <w:jc w:val="left"/>
        <w:textAlignment w:val="auto"/>
        <w:rPr>
          <w:rFonts w:hAnsi="宋体"/>
          <w:color w:val="auto"/>
          <w:szCs w:val="21"/>
          <w:u w:val="single"/>
        </w:rPr>
      </w:pPr>
      <w:r>
        <w:rPr>
          <w:rFonts w:hint="eastAsia" w:hAnsi="宋体"/>
          <w:color w:val="auto"/>
          <w:szCs w:val="21"/>
          <w:u w:val="single"/>
        </w:rPr>
        <w:t>上述几种形式，应以实际造成灾害和影响施工为准。自然灾害的等级必须得到相关权威部门的书面认定方可视为有效</w:t>
      </w:r>
    </w:p>
    <w:bookmarkEnd w:id="533"/>
    <w:bookmarkEnd w:id="534"/>
    <w:bookmarkEnd w:id="535"/>
    <w:p>
      <w:pPr>
        <w:keepNext/>
        <w:keepLines/>
        <w:pageBreakBefore w:val="0"/>
        <w:kinsoku/>
        <w:wordWrap/>
        <w:overflowPunct/>
        <w:topLinePunct w:val="0"/>
        <w:bidi w:val="0"/>
        <w:spacing w:line="360" w:lineRule="auto"/>
        <w:textAlignment w:val="auto"/>
        <w:outlineLvl w:val="0"/>
        <w:rPr>
          <w:color w:val="auto"/>
          <w:kern w:val="44"/>
          <w:szCs w:val="21"/>
        </w:rPr>
      </w:pPr>
      <w:bookmarkStart w:id="536" w:name="_Toc1434"/>
      <w:bookmarkStart w:id="537" w:name="_Toc6075"/>
      <w:bookmarkStart w:id="538" w:name="_Toc26330"/>
      <w:r>
        <w:rPr>
          <w:rFonts w:hAnsi="宋体" w:eastAsia="黑体"/>
          <w:color w:val="auto"/>
          <w:kern w:val="44"/>
          <w:szCs w:val="21"/>
        </w:rPr>
        <w:t xml:space="preserve">17.4 </w:t>
      </w:r>
      <w:r>
        <w:rPr>
          <w:rFonts w:hint="eastAsia" w:hAnsi="宋体" w:eastAsia="黑体"/>
          <w:color w:val="auto"/>
          <w:kern w:val="44"/>
          <w:szCs w:val="21"/>
        </w:rPr>
        <w:t>因不可抗力解除合同</w:t>
      </w:r>
      <w:bookmarkEnd w:id="536"/>
      <w:bookmarkEnd w:id="537"/>
      <w:bookmarkEnd w:id="538"/>
    </w:p>
    <w:p>
      <w:pPr>
        <w:pageBreakBefore w:val="0"/>
        <w:kinsoku/>
        <w:wordWrap/>
        <w:overflowPunct/>
        <w:topLinePunct w:val="0"/>
        <w:bidi w:val="0"/>
        <w:spacing w:line="360" w:lineRule="auto"/>
        <w:ind w:firstLine="420" w:firstLineChars="200"/>
        <w:jc w:val="left"/>
        <w:textAlignment w:val="auto"/>
        <w:rPr>
          <w:color w:val="auto"/>
          <w:szCs w:val="21"/>
        </w:rPr>
      </w:pPr>
      <w:bookmarkStart w:id="539" w:name="_Toc373743688"/>
      <w:bookmarkStart w:id="540" w:name="_Toc406360373"/>
      <w:bookmarkStart w:id="541" w:name="_Toc412544339"/>
      <w:r>
        <w:rPr>
          <w:rFonts w:hint="eastAsia" w:hAnsi="宋体"/>
          <w:color w:val="auto"/>
          <w:szCs w:val="21"/>
        </w:rPr>
        <w:t>合同解除后，发包人应在商定或</w:t>
      </w:r>
      <w:bookmarkEnd w:id="539"/>
      <w:bookmarkEnd w:id="540"/>
      <w:bookmarkEnd w:id="541"/>
      <w:r>
        <w:rPr>
          <w:rFonts w:hint="eastAsia" w:hAnsi="宋体"/>
          <w:color w:val="auto"/>
          <w:szCs w:val="21"/>
        </w:rPr>
        <w:t>确定发包人应支付款项后</w:t>
      </w:r>
      <w:r>
        <w:rPr>
          <w:rFonts w:hAnsi="宋体"/>
          <w:color w:val="auto"/>
          <w:szCs w:val="21"/>
          <w:u w:val="single"/>
        </w:rPr>
        <w:t xml:space="preserve">  /  </w:t>
      </w:r>
      <w:r>
        <w:rPr>
          <w:rFonts w:hint="eastAsia" w:hAnsi="宋体"/>
          <w:color w:val="auto"/>
          <w:szCs w:val="21"/>
        </w:rPr>
        <w:t>天内完成款项的支付。</w:t>
      </w:r>
    </w:p>
    <w:p>
      <w:pPr>
        <w:keepNext/>
        <w:keepLines/>
        <w:pageBreakBefore w:val="0"/>
        <w:kinsoku/>
        <w:wordWrap/>
        <w:overflowPunct/>
        <w:topLinePunct w:val="0"/>
        <w:bidi w:val="0"/>
        <w:spacing w:line="360" w:lineRule="auto"/>
        <w:textAlignment w:val="auto"/>
        <w:outlineLvl w:val="0"/>
        <w:rPr>
          <w:color w:val="auto"/>
          <w:kern w:val="44"/>
          <w:szCs w:val="21"/>
        </w:rPr>
      </w:pPr>
      <w:bookmarkStart w:id="542" w:name="_Toc449"/>
      <w:bookmarkStart w:id="543" w:name="_Toc12080"/>
      <w:bookmarkStart w:id="544" w:name="_Toc14277"/>
      <w:r>
        <w:rPr>
          <w:rFonts w:hAnsi="宋体" w:eastAsia="黑体"/>
          <w:color w:val="auto"/>
          <w:kern w:val="44"/>
          <w:szCs w:val="21"/>
        </w:rPr>
        <w:t xml:space="preserve">18. </w:t>
      </w:r>
      <w:r>
        <w:rPr>
          <w:rFonts w:hint="eastAsia" w:hAnsi="宋体" w:eastAsia="黑体"/>
          <w:color w:val="auto"/>
          <w:kern w:val="44"/>
          <w:szCs w:val="21"/>
        </w:rPr>
        <w:t>保险</w:t>
      </w:r>
      <w:bookmarkEnd w:id="542"/>
      <w:bookmarkEnd w:id="543"/>
      <w:bookmarkEnd w:id="544"/>
    </w:p>
    <w:p>
      <w:pPr>
        <w:keepNext/>
        <w:keepLines/>
        <w:pageBreakBefore w:val="0"/>
        <w:kinsoku/>
        <w:wordWrap/>
        <w:overflowPunct/>
        <w:topLinePunct w:val="0"/>
        <w:bidi w:val="0"/>
        <w:spacing w:line="360" w:lineRule="auto"/>
        <w:textAlignment w:val="auto"/>
        <w:outlineLvl w:val="0"/>
        <w:rPr>
          <w:color w:val="auto"/>
          <w:kern w:val="44"/>
          <w:szCs w:val="21"/>
        </w:rPr>
      </w:pPr>
      <w:bookmarkStart w:id="545" w:name="_Toc23306"/>
      <w:bookmarkStart w:id="546" w:name="_Toc10392"/>
      <w:bookmarkStart w:id="547" w:name="_Toc24015"/>
      <w:r>
        <w:rPr>
          <w:rFonts w:hAnsi="宋体" w:eastAsia="黑体"/>
          <w:color w:val="auto"/>
          <w:kern w:val="44"/>
          <w:szCs w:val="21"/>
        </w:rPr>
        <w:t xml:space="preserve">18.1 </w:t>
      </w:r>
      <w:r>
        <w:rPr>
          <w:rFonts w:hint="eastAsia" w:hAnsi="宋体" w:eastAsia="黑体"/>
          <w:color w:val="auto"/>
          <w:kern w:val="44"/>
          <w:szCs w:val="21"/>
        </w:rPr>
        <w:t>工程保</w:t>
      </w:r>
      <w:bookmarkStart w:id="548" w:name="_Toc373743689"/>
      <w:bookmarkStart w:id="549" w:name="_Toc406360374"/>
      <w:bookmarkStart w:id="550" w:name="_Toc412544340"/>
      <w:r>
        <w:rPr>
          <w:rFonts w:hint="eastAsia" w:hAnsi="宋体" w:eastAsia="黑体"/>
          <w:color w:val="auto"/>
          <w:kern w:val="44"/>
          <w:szCs w:val="21"/>
        </w:rPr>
        <w:t>险</w:t>
      </w:r>
      <w:bookmarkEnd w:id="545"/>
      <w:bookmarkEnd w:id="546"/>
      <w:bookmarkEnd w:id="547"/>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关于工程</w:t>
      </w:r>
      <w:bookmarkEnd w:id="548"/>
      <w:bookmarkEnd w:id="549"/>
      <w:bookmarkEnd w:id="550"/>
      <w:r>
        <w:rPr>
          <w:rFonts w:hint="eastAsia" w:hAnsi="宋体"/>
          <w:color w:val="auto"/>
          <w:szCs w:val="21"/>
        </w:rPr>
        <w:t>保</w:t>
      </w:r>
      <w:bookmarkStart w:id="551" w:name="_Toc406360375"/>
      <w:bookmarkStart w:id="552" w:name="_Toc373743690"/>
      <w:bookmarkStart w:id="553" w:name="_Toc412544341"/>
      <w:r>
        <w:rPr>
          <w:rFonts w:hint="eastAsia" w:hAnsi="宋体"/>
          <w:color w:val="auto"/>
          <w:szCs w:val="21"/>
        </w:rPr>
        <w:t>险的特别约定：</w:t>
      </w:r>
      <w:bookmarkEnd w:id="551"/>
      <w:bookmarkEnd w:id="552"/>
      <w:bookmarkEnd w:id="553"/>
      <w:r>
        <w:rPr>
          <w:rFonts w:hint="eastAsia" w:hAnsi="宋体"/>
          <w:color w:val="auto"/>
          <w:szCs w:val="21"/>
          <w:u w:val="single"/>
        </w:rPr>
        <w:t>无</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554" w:name="_Toc5750"/>
      <w:bookmarkStart w:id="555" w:name="_Toc1789"/>
      <w:bookmarkStart w:id="556" w:name="_Toc11362"/>
      <w:r>
        <w:rPr>
          <w:rFonts w:hAnsi="宋体" w:eastAsia="黑体"/>
          <w:color w:val="auto"/>
          <w:kern w:val="44"/>
          <w:szCs w:val="21"/>
        </w:rPr>
        <w:t xml:space="preserve">18.3 </w:t>
      </w:r>
      <w:r>
        <w:rPr>
          <w:rFonts w:hint="eastAsia" w:hAnsi="宋体" w:eastAsia="黑体"/>
          <w:color w:val="auto"/>
          <w:kern w:val="44"/>
          <w:szCs w:val="21"/>
        </w:rPr>
        <w:t>其他保险</w:t>
      </w:r>
      <w:bookmarkEnd w:id="554"/>
      <w:bookmarkEnd w:id="555"/>
      <w:bookmarkEnd w:id="556"/>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关于其他保</w:t>
      </w:r>
      <w:bookmarkStart w:id="557" w:name="_Toc406360376"/>
      <w:bookmarkStart w:id="558" w:name="_Toc412544342"/>
      <w:bookmarkStart w:id="559" w:name="_Toc373743691"/>
      <w:r>
        <w:rPr>
          <w:rFonts w:hint="eastAsia" w:hAnsi="宋体"/>
          <w:color w:val="auto"/>
          <w:szCs w:val="21"/>
        </w:rPr>
        <w:t>险的约定：</w:t>
      </w:r>
      <w:r>
        <w:rPr>
          <w:rFonts w:hint="eastAsia"/>
          <w:color w:val="auto"/>
          <w:szCs w:val="24"/>
          <w:u w:val="single"/>
        </w:rPr>
        <w:t>承包人必</w:t>
      </w:r>
      <w:bookmarkEnd w:id="557"/>
      <w:bookmarkEnd w:id="558"/>
      <w:bookmarkEnd w:id="559"/>
      <w:r>
        <w:rPr>
          <w:rFonts w:hint="eastAsia"/>
          <w:color w:val="auto"/>
          <w:szCs w:val="24"/>
          <w:u w:val="single"/>
        </w:rPr>
        <w:t>须为施工现场从事施工的所有作业人员和管理人员办理意外伤害保险，并支付保险费。</w:t>
      </w:r>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承包人是否应为其施工设备等办理财产保险：</w:t>
      </w:r>
      <w:r>
        <w:rPr>
          <w:rFonts w:hint="eastAsia" w:hAnsi="宋体"/>
          <w:color w:val="auto"/>
          <w:szCs w:val="21"/>
          <w:u w:val="single"/>
        </w:rPr>
        <w:t>承包人自行考虑</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560" w:name="_Toc3439"/>
      <w:bookmarkStart w:id="561" w:name="_Toc18565"/>
      <w:bookmarkStart w:id="562" w:name="_Toc12872"/>
      <w:r>
        <w:rPr>
          <w:rFonts w:hAnsi="宋体" w:eastAsia="黑体"/>
          <w:color w:val="auto"/>
          <w:kern w:val="44"/>
          <w:szCs w:val="21"/>
        </w:rPr>
        <w:t xml:space="preserve">18.7 </w:t>
      </w:r>
      <w:r>
        <w:rPr>
          <w:rFonts w:hint="eastAsia" w:hAnsi="宋体" w:eastAsia="黑体"/>
          <w:color w:val="auto"/>
          <w:kern w:val="44"/>
          <w:szCs w:val="21"/>
        </w:rPr>
        <w:t>通知义务</w:t>
      </w:r>
      <w:bookmarkEnd w:id="560"/>
      <w:bookmarkEnd w:id="561"/>
      <w:bookmarkEnd w:id="562"/>
    </w:p>
    <w:p>
      <w:pPr>
        <w:pageBreakBefore w:val="0"/>
        <w:kinsoku/>
        <w:wordWrap/>
        <w:overflowPunct/>
        <w:topLinePunct w:val="0"/>
        <w:bidi w:val="0"/>
        <w:spacing w:line="360" w:lineRule="auto"/>
        <w:ind w:firstLine="420" w:firstLineChars="200"/>
        <w:jc w:val="left"/>
        <w:textAlignment w:val="auto"/>
        <w:rPr>
          <w:color w:val="auto"/>
          <w:szCs w:val="21"/>
          <w:u w:val="single"/>
        </w:rPr>
      </w:pPr>
      <w:r>
        <w:rPr>
          <w:rFonts w:hint="eastAsia" w:hAnsi="宋体"/>
          <w:color w:val="auto"/>
          <w:szCs w:val="21"/>
        </w:rPr>
        <w:t>关于变更保</w:t>
      </w:r>
      <w:bookmarkStart w:id="563" w:name="_Toc373743692"/>
      <w:bookmarkStart w:id="564" w:name="_Toc412544343"/>
      <w:bookmarkStart w:id="565" w:name="_Toc406360377"/>
      <w:r>
        <w:rPr>
          <w:rFonts w:hint="eastAsia" w:hAnsi="宋体"/>
          <w:color w:val="auto"/>
          <w:szCs w:val="21"/>
        </w:rPr>
        <w:t>险合同时的通知义务</w:t>
      </w:r>
      <w:bookmarkEnd w:id="563"/>
      <w:bookmarkEnd w:id="564"/>
      <w:bookmarkEnd w:id="565"/>
      <w:r>
        <w:rPr>
          <w:rFonts w:hint="eastAsia" w:hAnsi="宋体"/>
          <w:color w:val="auto"/>
          <w:szCs w:val="21"/>
        </w:rPr>
        <w:t>的约定：</w:t>
      </w:r>
      <w:r>
        <w:rPr>
          <w:rFonts w:hint="eastAsia" w:hAnsi="宋体"/>
          <w:color w:val="auto"/>
          <w:szCs w:val="21"/>
          <w:u w:val="single"/>
        </w:rPr>
        <w:t>按通用条款执行</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566" w:name="_Toc31551"/>
      <w:bookmarkStart w:id="567" w:name="_Toc30752"/>
      <w:bookmarkStart w:id="568" w:name="_Toc25848"/>
      <w:r>
        <w:rPr>
          <w:rFonts w:hAnsi="宋体" w:eastAsia="黑体"/>
          <w:color w:val="auto"/>
          <w:kern w:val="44"/>
          <w:szCs w:val="21"/>
        </w:rPr>
        <w:t xml:space="preserve">20. </w:t>
      </w:r>
      <w:r>
        <w:rPr>
          <w:rFonts w:hint="eastAsia" w:hAnsi="宋体" w:eastAsia="黑体"/>
          <w:color w:val="auto"/>
          <w:kern w:val="44"/>
          <w:szCs w:val="21"/>
        </w:rPr>
        <w:t>争议解决</w:t>
      </w:r>
      <w:bookmarkEnd w:id="566"/>
      <w:bookmarkEnd w:id="567"/>
      <w:bookmarkEnd w:id="568"/>
    </w:p>
    <w:p>
      <w:pPr>
        <w:keepNext/>
        <w:keepLines/>
        <w:pageBreakBefore w:val="0"/>
        <w:kinsoku/>
        <w:wordWrap/>
        <w:overflowPunct/>
        <w:topLinePunct w:val="0"/>
        <w:bidi w:val="0"/>
        <w:spacing w:line="360" w:lineRule="auto"/>
        <w:textAlignment w:val="auto"/>
        <w:outlineLvl w:val="0"/>
        <w:rPr>
          <w:color w:val="auto"/>
          <w:kern w:val="44"/>
          <w:szCs w:val="21"/>
        </w:rPr>
      </w:pPr>
      <w:bookmarkStart w:id="569" w:name="_Toc16511"/>
      <w:bookmarkStart w:id="570" w:name="_Toc9474"/>
      <w:bookmarkStart w:id="571" w:name="_Toc19045"/>
      <w:r>
        <w:rPr>
          <w:rFonts w:hAnsi="宋体" w:eastAsia="黑体"/>
          <w:color w:val="auto"/>
          <w:kern w:val="44"/>
          <w:szCs w:val="21"/>
        </w:rPr>
        <w:t xml:space="preserve">20.3 </w:t>
      </w:r>
      <w:r>
        <w:rPr>
          <w:rFonts w:hint="eastAsia" w:hAnsi="宋体" w:eastAsia="黑体"/>
          <w:color w:val="auto"/>
          <w:kern w:val="44"/>
          <w:szCs w:val="21"/>
        </w:rPr>
        <w:t>争</w:t>
      </w:r>
      <w:bookmarkStart w:id="572" w:name="_Toc373743693"/>
      <w:bookmarkStart w:id="573" w:name="_Toc406360378"/>
      <w:bookmarkStart w:id="574" w:name="_Toc412544344"/>
      <w:r>
        <w:rPr>
          <w:rFonts w:hint="eastAsia" w:hAnsi="宋体" w:eastAsia="黑体"/>
          <w:color w:val="auto"/>
          <w:kern w:val="44"/>
          <w:szCs w:val="21"/>
        </w:rPr>
        <w:t>议评审</w:t>
      </w:r>
      <w:bookmarkEnd w:id="569"/>
      <w:bookmarkEnd w:id="570"/>
      <w:bookmarkEnd w:id="571"/>
    </w:p>
    <w:p>
      <w:pPr>
        <w:pageBreakBefore w:val="0"/>
        <w:kinsoku/>
        <w:wordWrap/>
        <w:overflowPunct/>
        <w:topLinePunct w:val="0"/>
        <w:bidi w:val="0"/>
        <w:spacing w:line="360" w:lineRule="auto"/>
        <w:ind w:left="149" w:leftChars="71" w:firstLine="315" w:firstLineChars="150"/>
        <w:jc w:val="left"/>
        <w:textAlignment w:val="auto"/>
        <w:rPr>
          <w:color w:val="auto"/>
          <w:szCs w:val="21"/>
          <w:u w:val="single"/>
        </w:rPr>
      </w:pPr>
      <w:r>
        <w:rPr>
          <w:rFonts w:hint="eastAsia" w:hAnsi="宋体"/>
          <w:color w:val="auto"/>
          <w:szCs w:val="21"/>
        </w:rPr>
        <w:t>合同当事</w:t>
      </w:r>
      <w:bookmarkEnd w:id="572"/>
      <w:bookmarkEnd w:id="573"/>
      <w:bookmarkEnd w:id="574"/>
      <w:r>
        <w:rPr>
          <w:rFonts w:hint="eastAsia" w:hAnsi="宋体"/>
          <w:color w:val="auto"/>
          <w:szCs w:val="21"/>
        </w:rPr>
        <w:t>人</w:t>
      </w:r>
      <w:bookmarkStart w:id="575" w:name="_Toc406360379"/>
      <w:bookmarkStart w:id="576" w:name="_Toc412544345"/>
      <w:bookmarkStart w:id="577" w:name="_Toc373743694"/>
      <w:r>
        <w:rPr>
          <w:rFonts w:hint="eastAsia" w:hAnsi="宋体"/>
          <w:color w:val="auto"/>
          <w:szCs w:val="21"/>
        </w:rPr>
        <w:t>是否同意将工程争议</w:t>
      </w:r>
      <w:bookmarkEnd w:id="575"/>
      <w:bookmarkEnd w:id="576"/>
      <w:bookmarkEnd w:id="577"/>
      <w:r>
        <w:rPr>
          <w:rFonts w:hint="eastAsia" w:hAnsi="宋体"/>
          <w:color w:val="auto"/>
          <w:szCs w:val="21"/>
        </w:rPr>
        <w:t>提交争议评审小组决定：</w:t>
      </w:r>
      <w:r>
        <w:rPr>
          <w:rFonts w:hint="eastAsia" w:hAnsi="宋体"/>
          <w:color w:val="auto"/>
          <w:szCs w:val="21"/>
          <w:u w:val="single"/>
        </w:rPr>
        <w:t>否</w:t>
      </w:r>
      <w:r>
        <w:rPr>
          <w:rFonts w:hint="eastAsia" w:hAnsi="宋体"/>
          <w:color w:val="auto"/>
          <w:szCs w:val="21"/>
        </w:rPr>
        <w:t>。</w:t>
      </w:r>
    </w:p>
    <w:p>
      <w:pPr>
        <w:pageBreakBefore w:val="0"/>
        <w:kinsoku/>
        <w:wordWrap/>
        <w:overflowPunct/>
        <w:topLinePunct w:val="0"/>
        <w:autoSpaceDE w:val="0"/>
        <w:autoSpaceDN w:val="0"/>
        <w:bidi w:val="0"/>
        <w:spacing w:line="360" w:lineRule="auto"/>
        <w:ind w:firstLine="420" w:firstLineChars="200"/>
        <w:jc w:val="left"/>
        <w:textAlignment w:val="auto"/>
        <w:rPr>
          <w:color w:val="auto"/>
          <w:szCs w:val="21"/>
        </w:rPr>
      </w:pPr>
      <w:r>
        <w:rPr>
          <w:rFonts w:hAnsi="宋体"/>
          <w:color w:val="auto"/>
          <w:szCs w:val="21"/>
        </w:rPr>
        <w:t>20.3.</w:t>
      </w:r>
      <w:r>
        <w:rPr>
          <w:rFonts w:hint="eastAsia" w:hAnsi="宋体"/>
          <w:color w:val="auto"/>
          <w:szCs w:val="21"/>
        </w:rPr>
        <w:t>1争议评审小组的决定</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合同当事人关于本项的约定：</w:t>
      </w:r>
      <w:r>
        <w:rPr>
          <w:rFonts w:hint="eastAsia" w:hAnsi="宋体"/>
          <w:color w:val="auto"/>
          <w:szCs w:val="21"/>
          <w:u w:val="single"/>
        </w:rPr>
        <w:t>另行商定</w:t>
      </w:r>
      <w:r>
        <w:rPr>
          <w:rFonts w:hint="eastAsia" w:hAnsi="宋体"/>
          <w:color w:val="auto"/>
          <w:szCs w:val="21"/>
        </w:rPr>
        <w:t>。</w:t>
      </w:r>
    </w:p>
    <w:p>
      <w:pPr>
        <w:keepNext/>
        <w:keepLines/>
        <w:pageBreakBefore w:val="0"/>
        <w:kinsoku/>
        <w:wordWrap/>
        <w:overflowPunct/>
        <w:topLinePunct w:val="0"/>
        <w:bidi w:val="0"/>
        <w:spacing w:line="360" w:lineRule="auto"/>
        <w:textAlignment w:val="auto"/>
        <w:outlineLvl w:val="0"/>
        <w:rPr>
          <w:color w:val="auto"/>
          <w:kern w:val="44"/>
          <w:szCs w:val="21"/>
        </w:rPr>
      </w:pPr>
      <w:bookmarkStart w:id="578" w:name="_Toc20720"/>
      <w:bookmarkStart w:id="579" w:name="_Toc14153"/>
      <w:bookmarkStart w:id="580" w:name="_Toc19444"/>
      <w:r>
        <w:rPr>
          <w:rFonts w:hAnsi="宋体" w:eastAsia="黑体"/>
          <w:color w:val="auto"/>
          <w:kern w:val="44"/>
          <w:szCs w:val="21"/>
        </w:rPr>
        <w:t>20.4</w:t>
      </w:r>
      <w:r>
        <w:rPr>
          <w:rFonts w:hint="eastAsia" w:hAnsi="宋体" w:eastAsia="黑体"/>
          <w:color w:val="auto"/>
          <w:kern w:val="44"/>
          <w:szCs w:val="21"/>
        </w:rPr>
        <w:t>仲裁或诉讼</w:t>
      </w:r>
      <w:bookmarkEnd w:id="578"/>
      <w:bookmarkEnd w:id="579"/>
      <w:bookmarkEnd w:id="580"/>
    </w:p>
    <w:p>
      <w:pPr>
        <w:pageBreakBefore w:val="0"/>
        <w:kinsoku/>
        <w:wordWrap/>
        <w:overflowPunct/>
        <w:topLinePunct w:val="0"/>
        <w:bidi w:val="0"/>
        <w:spacing w:after="120" w:line="360" w:lineRule="auto"/>
        <w:ind w:firstLine="420" w:firstLineChars="200"/>
        <w:textAlignment w:val="auto"/>
        <w:rPr>
          <w:color w:val="auto"/>
          <w:szCs w:val="21"/>
        </w:rPr>
      </w:pPr>
      <w:r>
        <w:rPr>
          <w:rFonts w:hint="eastAsia" w:hAnsi="宋体"/>
          <w:color w:val="auto"/>
          <w:szCs w:val="21"/>
        </w:rPr>
        <w:t>因合同及合</w:t>
      </w:r>
      <w:bookmarkStart w:id="581" w:name="_Toc412544346"/>
      <w:bookmarkStart w:id="582" w:name="_Toc373743695"/>
      <w:bookmarkStart w:id="583" w:name="_Toc406360380"/>
      <w:r>
        <w:rPr>
          <w:rFonts w:hint="eastAsia" w:hAnsi="宋体"/>
          <w:color w:val="auto"/>
          <w:szCs w:val="21"/>
        </w:rPr>
        <w:t>同有关事项发生的争</w:t>
      </w:r>
      <w:bookmarkEnd w:id="581"/>
      <w:bookmarkEnd w:id="582"/>
      <w:bookmarkEnd w:id="583"/>
      <w:r>
        <w:rPr>
          <w:rFonts w:hint="eastAsia" w:hAnsi="宋体"/>
          <w:color w:val="auto"/>
          <w:szCs w:val="21"/>
        </w:rPr>
        <w:t>议，按下列第</w:t>
      </w:r>
      <w:r>
        <w:rPr>
          <w:rFonts w:hint="eastAsia" w:hAnsi="宋体"/>
          <w:color w:val="auto"/>
          <w:szCs w:val="21"/>
          <w:u w:val="single"/>
        </w:rPr>
        <w:t>（2）</w:t>
      </w:r>
      <w:r>
        <w:rPr>
          <w:rFonts w:hint="eastAsia" w:hAnsi="宋体"/>
          <w:color w:val="auto"/>
          <w:szCs w:val="21"/>
        </w:rPr>
        <w:t>种方式解决：</w:t>
      </w:r>
    </w:p>
    <w:p>
      <w:pPr>
        <w:pageBreakBefore w:val="0"/>
        <w:kinsoku/>
        <w:wordWrap/>
        <w:overflowPunct/>
        <w:topLinePunct w:val="0"/>
        <w:bidi w:val="0"/>
        <w:spacing w:line="360" w:lineRule="auto"/>
        <w:ind w:firstLine="420" w:firstLineChars="200"/>
        <w:jc w:val="left"/>
        <w:textAlignment w:val="auto"/>
        <w:rPr>
          <w:color w:val="auto"/>
          <w:szCs w:val="21"/>
        </w:rPr>
      </w:pPr>
      <w:r>
        <w:rPr>
          <w:rFonts w:hint="eastAsia" w:hAnsi="宋体"/>
          <w:color w:val="auto"/>
          <w:szCs w:val="21"/>
        </w:rPr>
        <w:t>（</w:t>
      </w:r>
      <w:r>
        <w:rPr>
          <w:rFonts w:hAnsi="宋体"/>
          <w:color w:val="auto"/>
          <w:szCs w:val="21"/>
        </w:rPr>
        <w:t>1</w:t>
      </w:r>
      <w:r>
        <w:rPr>
          <w:rFonts w:hint="eastAsia" w:hAnsi="宋体"/>
          <w:color w:val="auto"/>
          <w:szCs w:val="21"/>
        </w:rPr>
        <w:t>）提请</w:t>
      </w:r>
      <w:r>
        <w:rPr>
          <w:rFonts w:hint="eastAsia" w:hAnsi="宋体"/>
          <w:color w:val="auto"/>
          <w:szCs w:val="21"/>
          <w:u w:val="single"/>
          <w:lang w:val="en-US" w:eastAsia="zh-CN"/>
        </w:rPr>
        <w:t>龙州县</w:t>
      </w:r>
      <w:r>
        <w:rPr>
          <w:rFonts w:hint="eastAsia" w:hAnsi="宋体"/>
          <w:color w:val="auto"/>
          <w:szCs w:val="21"/>
        </w:rPr>
        <w:t>仲裁委员会按照该会仲裁规则进行仲裁，仲裁裁决是终局的，对合同双方均有约束力。</w:t>
      </w:r>
    </w:p>
    <w:p>
      <w:pPr>
        <w:pStyle w:val="201"/>
        <w:keepNext/>
        <w:keepLines/>
        <w:pageBreakBefore w:val="0"/>
        <w:kinsoku/>
        <w:wordWrap/>
        <w:overflowPunct/>
        <w:topLinePunct w:val="0"/>
        <w:bidi w:val="0"/>
        <w:spacing w:before="260" w:after="260" w:line="360" w:lineRule="auto"/>
        <w:ind w:firstLine="420" w:firstLineChars="200"/>
        <w:textAlignment w:val="auto"/>
        <w:outlineLvl w:val="1"/>
        <w:rPr>
          <w:rFonts w:ascii="宋体" w:hAnsi="宋体"/>
          <w:color w:val="auto"/>
        </w:rPr>
      </w:pPr>
      <w:bookmarkStart w:id="584" w:name="_Toc6718"/>
      <w:r>
        <w:rPr>
          <w:rFonts w:hint="eastAsia" w:ascii="宋体" w:hAnsi="宋体"/>
          <w:color w:val="auto"/>
        </w:rPr>
        <w:t>（</w:t>
      </w:r>
      <w:r>
        <w:rPr>
          <w:rFonts w:ascii="宋体" w:hAnsi="宋体"/>
          <w:color w:val="auto"/>
        </w:rPr>
        <w:t>2</w:t>
      </w:r>
      <w:r>
        <w:rPr>
          <w:rFonts w:hint="eastAsia" w:ascii="宋体" w:hAnsi="宋体"/>
          <w:color w:val="auto"/>
        </w:rPr>
        <w:t>）向</w:t>
      </w:r>
      <w:r>
        <w:rPr>
          <w:rFonts w:hint="eastAsia" w:ascii="宋体" w:hAnsi="宋体"/>
          <w:color w:val="auto"/>
          <w:u w:val="single"/>
        </w:rPr>
        <w:t>项目所在地</w:t>
      </w:r>
      <w:r>
        <w:rPr>
          <w:rFonts w:hint="eastAsia" w:ascii="宋体" w:hAnsi="宋体"/>
          <w:color w:val="auto"/>
        </w:rPr>
        <w:t>人民法院起诉。</w:t>
      </w:r>
      <w:bookmarkEnd w:id="584"/>
    </w:p>
    <w:p>
      <w:pPr>
        <w:pStyle w:val="201"/>
        <w:keepNext/>
        <w:keepLines/>
        <w:pageBreakBefore w:val="0"/>
        <w:kinsoku/>
        <w:wordWrap/>
        <w:overflowPunct/>
        <w:topLinePunct w:val="0"/>
        <w:bidi w:val="0"/>
        <w:spacing w:before="260" w:after="260" w:line="360" w:lineRule="auto"/>
        <w:textAlignment w:val="auto"/>
        <w:outlineLvl w:val="1"/>
        <w:rPr>
          <w:rFonts w:ascii="Cambria" w:hAnsi="Cambria"/>
          <w:color w:val="auto"/>
          <w:sz w:val="32"/>
          <w:szCs w:val="32"/>
        </w:rPr>
      </w:pPr>
      <w:bookmarkStart w:id="585" w:name="_Toc25443"/>
      <w:r>
        <w:rPr>
          <w:rFonts w:ascii="Cambria" w:hAnsi="Cambria"/>
          <w:color w:val="auto"/>
          <w:sz w:val="21"/>
          <w:szCs w:val="21"/>
        </w:rPr>
        <w:t>21.</w:t>
      </w:r>
      <w:r>
        <w:rPr>
          <w:rFonts w:ascii="Cambria" w:hAnsi="Cambria"/>
          <w:color w:val="auto"/>
          <w:sz w:val="32"/>
          <w:szCs w:val="32"/>
        </w:rPr>
        <w:t xml:space="preserve"> </w:t>
      </w:r>
      <w:r>
        <w:rPr>
          <w:rFonts w:ascii="Cambria" w:hAnsi="宋体"/>
          <w:color w:val="auto"/>
          <w:sz w:val="32"/>
          <w:szCs w:val="32"/>
        </w:rPr>
        <w:t>补充条款</w:t>
      </w:r>
      <w:bookmarkEnd w:id="585"/>
    </w:p>
    <w:p>
      <w:pPr>
        <w:pageBreakBefore w:val="0"/>
        <w:kinsoku/>
        <w:wordWrap/>
        <w:overflowPunct/>
        <w:topLinePunct w:val="0"/>
        <w:bidi w:val="0"/>
        <w:spacing w:line="360" w:lineRule="auto"/>
        <w:textAlignment w:val="auto"/>
        <w:rPr>
          <w:color w:val="auto"/>
        </w:rPr>
      </w:pPr>
      <w:r>
        <w:rPr>
          <w:rFonts w:ascii="Calibri" w:hAnsi="Calibri"/>
          <w:color w:val="auto"/>
          <w:szCs w:val="21"/>
        </w:rPr>
        <w:t xml:space="preserve">    21.1 </w:t>
      </w:r>
      <w:r>
        <w:rPr>
          <w:rFonts w:ascii="Calibri" w:hAnsi="宋体"/>
          <w:color w:val="auto"/>
          <w:szCs w:val="21"/>
        </w:rPr>
        <w:t>凡进入本工程工作的妇女应持有计生证、否则不准安排工作，禁止使用童工。</w:t>
      </w:r>
    </w:p>
    <w:p>
      <w:pPr>
        <w:spacing w:line="276" w:lineRule="auto"/>
        <w:rPr>
          <w:rFonts w:asciiTheme="minorEastAsia" w:hAnsiTheme="minorEastAsia" w:eastAsiaTheme="minorEastAsia"/>
          <w:color w:val="auto"/>
          <w:szCs w:val="21"/>
        </w:rPr>
      </w:pPr>
    </w:p>
    <w:p>
      <w:pPr>
        <w:spacing w:line="460" w:lineRule="exact"/>
        <w:ind w:firstLine="420" w:firstLineChars="200"/>
        <w:rPr>
          <w:rFonts w:asciiTheme="minorEastAsia" w:hAnsiTheme="minorEastAsia" w:eastAsiaTheme="minorEastAsia"/>
          <w:color w:val="auto"/>
          <w:szCs w:val="21"/>
        </w:rPr>
      </w:pPr>
    </w:p>
    <w:p>
      <w:pPr>
        <w:spacing w:line="460" w:lineRule="exact"/>
        <w:ind w:firstLine="420" w:firstLineChars="200"/>
        <w:rPr>
          <w:rFonts w:asciiTheme="minorEastAsia" w:hAnsiTheme="minorEastAsia" w:eastAsiaTheme="minorEastAsia"/>
          <w:color w:val="auto"/>
          <w:szCs w:val="21"/>
        </w:rPr>
        <w:sectPr>
          <w:pgSz w:w="11907" w:h="16840"/>
          <w:pgMar w:top="1304" w:right="1304" w:bottom="1304" w:left="1474" w:header="964" w:footer="737" w:gutter="0"/>
          <w:pgNumType w:fmt="decimal"/>
          <w:cols w:space="0" w:num="1"/>
          <w:titlePg/>
          <w:rtlGutter w:val="0"/>
          <w:docGrid w:linePitch="312" w:charSpace="0"/>
        </w:sectPr>
      </w:pPr>
    </w:p>
    <w:p>
      <w:pPr>
        <w:spacing w:line="360" w:lineRule="auto"/>
        <w:jc w:val="left"/>
        <w:rPr>
          <w:rFonts w:asciiTheme="minorEastAsia" w:hAnsiTheme="minorEastAsia" w:eastAsiaTheme="minorEastAsia"/>
          <w:b/>
          <w:color w:val="auto"/>
          <w:szCs w:val="21"/>
        </w:rPr>
      </w:pPr>
      <w:bookmarkStart w:id="586" w:name="_Toc351203652"/>
      <w:r>
        <w:rPr>
          <w:rFonts w:asciiTheme="minorEastAsia" w:hAnsiTheme="minorEastAsia" w:eastAsiaTheme="minorEastAsia"/>
          <w:b/>
          <w:color w:val="auto"/>
          <w:szCs w:val="21"/>
        </w:rPr>
        <w:t>附件</w:t>
      </w:r>
      <w:bookmarkEnd w:id="586"/>
    </w:p>
    <w:p>
      <w:pPr>
        <w:spacing w:line="360" w:lineRule="auto"/>
        <w:jc w:val="left"/>
        <w:rPr>
          <w:rFonts w:asciiTheme="minorEastAsia" w:hAnsiTheme="minorEastAsia" w:eastAsiaTheme="minorEastAsia"/>
          <w:color w:val="auto"/>
          <w:szCs w:val="21"/>
        </w:rPr>
      </w:pPr>
      <w:bookmarkStart w:id="587" w:name="_Toc27029_WPSOffice_Level1"/>
      <w:r>
        <w:rPr>
          <w:rFonts w:asciiTheme="minorEastAsia" w:hAnsiTheme="minorEastAsia" w:eastAsiaTheme="minorEastAsia"/>
          <w:color w:val="auto"/>
          <w:szCs w:val="21"/>
        </w:rPr>
        <w:t>附件1：承包人承揽工程项目一览表</w:t>
      </w:r>
      <w:bookmarkEnd w:id="587"/>
    </w:p>
    <w:p>
      <w:pPr>
        <w:spacing w:line="360" w:lineRule="auto"/>
        <w:jc w:val="left"/>
        <w:rPr>
          <w:rFonts w:asciiTheme="minorEastAsia" w:hAnsiTheme="minorEastAsia" w:eastAsiaTheme="minorEastAsia"/>
          <w:color w:val="auto"/>
          <w:szCs w:val="21"/>
        </w:rPr>
      </w:pPr>
      <w:bookmarkStart w:id="588" w:name="_Toc7986_WPSOffice_Level1"/>
      <w:r>
        <w:rPr>
          <w:rFonts w:asciiTheme="minorEastAsia" w:hAnsiTheme="minorEastAsia" w:eastAsiaTheme="minorEastAsia"/>
          <w:color w:val="auto"/>
          <w:szCs w:val="21"/>
        </w:rPr>
        <w:t>附件</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：支付担保格式</w:t>
      </w:r>
      <w:bookmarkEnd w:id="588"/>
    </w:p>
    <w:p>
      <w:pPr>
        <w:spacing w:line="360" w:lineRule="auto"/>
        <w:jc w:val="left"/>
        <w:rPr>
          <w:rFonts w:asciiTheme="minorEastAsia" w:hAnsiTheme="minorEastAsia" w:eastAsiaTheme="minorEastAsia"/>
          <w:color w:val="auto"/>
          <w:szCs w:val="21"/>
        </w:rPr>
      </w:pPr>
      <w:bookmarkStart w:id="589" w:name="_Toc1233_WPSOffice_Level1"/>
      <w:r>
        <w:rPr>
          <w:rFonts w:asciiTheme="minorEastAsia" w:hAnsiTheme="minorEastAsia" w:eastAsiaTheme="minorEastAsia"/>
          <w:color w:val="auto"/>
          <w:szCs w:val="21"/>
        </w:rPr>
        <w:t>附件</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承包人主要施工管理人员表</w:t>
      </w:r>
      <w:bookmarkEnd w:id="589"/>
    </w:p>
    <w:p>
      <w:pPr>
        <w:spacing w:line="360" w:lineRule="auto"/>
        <w:jc w:val="left"/>
        <w:rPr>
          <w:rFonts w:asciiTheme="minorEastAsia" w:hAnsiTheme="minorEastAsia" w:eastAsiaTheme="minorEastAsia"/>
          <w:color w:val="auto"/>
          <w:szCs w:val="21"/>
        </w:rPr>
      </w:pPr>
      <w:bookmarkStart w:id="590" w:name="_Toc3589_WPSOffice_Level1"/>
      <w:r>
        <w:rPr>
          <w:rFonts w:asciiTheme="minorEastAsia" w:hAnsiTheme="minorEastAsia" w:eastAsiaTheme="minorEastAsia"/>
          <w:color w:val="auto"/>
          <w:szCs w:val="21"/>
        </w:rPr>
        <w:t>附件</w:t>
      </w: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分包人主要施工管理人员表</w:t>
      </w:r>
      <w:bookmarkEnd w:id="590"/>
    </w:p>
    <w:p>
      <w:pPr>
        <w:spacing w:line="360" w:lineRule="auto"/>
        <w:jc w:val="left"/>
        <w:rPr>
          <w:rFonts w:asciiTheme="minorEastAsia" w:hAnsiTheme="minorEastAsia" w:eastAsiaTheme="minorEastAsia"/>
          <w:color w:val="auto"/>
          <w:szCs w:val="21"/>
        </w:rPr>
      </w:pPr>
      <w:bookmarkStart w:id="591" w:name="_Toc7137_WPSOffice_Level1"/>
      <w:r>
        <w:rPr>
          <w:rFonts w:asciiTheme="minorEastAsia" w:hAnsiTheme="minorEastAsia" w:eastAsiaTheme="minorEastAsia"/>
          <w:color w:val="auto"/>
          <w:szCs w:val="21"/>
        </w:rPr>
        <w:t>附件</w:t>
      </w: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履约担保格式</w:t>
      </w:r>
      <w:bookmarkEnd w:id="591"/>
    </w:p>
    <w:p>
      <w:pPr>
        <w:spacing w:line="360" w:lineRule="auto"/>
        <w:jc w:val="left"/>
        <w:rPr>
          <w:rFonts w:asciiTheme="minorEastAsia" w:hAnsiTheme="minorEastAsia" w:eastAsiaTheme="minorEastAsia"/>
          <w:color w:val="auto"/>
          <w:szCs w:val="21"/>
        </w:rPr>
      </w:pPr>
      <w:bookmarkStart w:id="592" w:name="_Toc11986_WPSOffice_Level1"/>
      <w:r>
        <w:rPr>
          <w:rFonts w:asciiTheme="minorEastAsia" w:hAnsiTheme="minorEastAsia" w:eastAsiaTheme="minorEastAsia"/>
          <w:color w:val="auto"/>
          <w:szCs w:val="21"/>
        </w:rPr>
        <w:t>附件</w:t>
      </w: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承包人用于本工程施工的机械设备表</w:t>
      </w:r>
      <w:bookmarkEnd w:id="592"/>
    </w:p>
    <w:p>
      <w:pPr>
        <w:spacing w:line="360" w:lineRule="auto"/>
        <w:jc w:val="left"/>
        <w:rPr>
          <w:rFonts w:asciiTheme="minorEastAsia" w:hAnsiTheme="minorEastAsia" w:eastAsiaTheme="minorEastAsia"/>
          <w:color w:val="auto"/>
          <w:szCs w:val="21"/>
        </w:rPr>
      </w:pPr>
      <w:bookmarkStart w:id="593" w:name="_Toc21923_WPSOffice_Level1"/>
      <w:r>
        <w:rPr>
          <w:rFonts w:asciiTheme="minorEastAsia" w:hAnsiTheme="minorEastAsia" w:eastAsiaTheme="minorEastAsia"/>
          <w:color w:val="auto"/>
          <w:szCs w:val="21"/>
        </w:rPr>
        <w:t>附件</w:t>
      </w:r>
      <w:r>
        <w:rPr>
          <w:rFonts w:hint="eastAsia" w:asciiTheme="minorEastAsia" w:hAnsiTheme="minorEastAsia" w:eastAsiaTheme="minorEastAsia"/>
          <w:color w:val="auto"/>
          <w:szCs w:val="21"/>
        </w:rPr>
        <w:t>7</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预付款担保格式</w:t>
      </w:r>
      <w:bookmarkEnd w:id="593"/>
    </w:p>
    <w:p>
      <w:pPr>
        <w:spacing w:line="360" w:lineRule="auto"/>
        <w:jc w:val="left"/>
        <w:rPr>
          <w:rFonts w:asciiTheme="minorEastAsia" w:hAnsiTheme="minorEastAsia" w:eastAsiaTheme="minorEastAsia"/>
          <w:color w:val="auto"/>
          <w:szCs w:val="21"/>
        </w:rPr>
      </w:pPr>
      <w:bookmarkStart w:id="594" w:name="_Toc17073_WPSOffice_Level1"/>
      <w:r>
        <w:rPr>
          <w:rFonts w:asciiTheme="minorEastAsia" w:hAnsiTheme="minorEastAsia" w:eastAsiaTheme="minorEastAsia"/>
          <w:color w:val="auto"/>
          <w:szCs w:val="21"/>
        </w:rPr>
        <w:t>附件</w:t>
      </w:r>
      <w:r>
        <w:rPr>
          <w:rFonts w:hint="eastAsia" w:asciiTheme="minorEastAsia" w:hAnsiTheme="minorEastAsia" w:eastAsiaTheme="minorEastAsia"/>
          <w:color w:val="auto"/>
          <w:szCs w:val="21"/>
        </w:rPr>
        <w:t>8</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工程质量保修书</w:t>
      </w:r>
      <w:bookmarkEnd w:id="594"/>
    </w:p>
    <w:p>
      <w:pPr>
        <w:spacing w:line="460" w:lineRule="exact"/>
        <w:ind w:firstLine="420" w:firstLineChars="200"/>
        <w:rPr>
          <w:rFonts w:asciiTheme="minorEastAsia" w:hAnsiTheme="minorEastAsia" w:eastAsiaTheme="minorEastAsia"/>
          <w:color w:val="auto"/>
          <w:szCs w:val="21"/>
        </w:rPr>
        <w:sectPr>
          <w:pgSz w:w="11907" w:h="16840"/>
          <w:pgMar w:top="1440" w:right="1440" w:bottom="1440" w:left="1797" w:header="851" w:footer="851" w:gutter="0"/>
          <w:pgNumType w:fmt="decimal"/>
          <w:cols w:space="720" w:num="1"/>
          <w:docGrid w:linePitch="312" w:charSpace="0"/>
        </w:sectPr>
      </w:pPr>
    </w:p>
    <w:p>
      <w:pPr>
        <w:spacing w:before="120" w:beforeLines="50" w:after="120" w:afterLines="50" w:line="440" w:lineRule="exact"/>
        <w:jc w:val="left"/>
        <w:rPr>
          <w:rFonts w:asciiTheme="minorEastAsia" w:hAnsiTheme="minorEastAsia" w:eastAsiaTheme="minorEastAsia"/>
          <w:color w:val="auto"/>
          <w:szCs w:val="21"/>
        </w:rPr>
      </w:pPr>
      <w:bookmarkStart w:id="595" w:name="_Toc5559_WPSOffice_Level1"/>
      <w:r>
        <w:rPr>
          <w:rFonts w:hint="eastAsia" w:asciiTheme="minorEastAsia" w:hAnsiTheme="minorEastAsia" w:eastAsiaTheme="minorEastAsia"/>
          <w:color w:val="auto"/>
          <w:szCs w:val="21"/>
        </w:rPr>
        <w:t>附件1：</w:t>
      </w:r>
      <w:bookmarkEnd w:id="595"/>
    </w:p>
    <w:p>
      <w:pPr>
        <w:spacing w:before="120" w:beforeLines="50" w:after="120" w:afterLines="50"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承包人承揽工程项目一览表</w:t>
      </w:r>
    </w:p>
    <w:tbl>
      <w:tblPr>
        <w:tblStyle w:val="54"/>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单位工程名称</w:t>
            </w:r>
          </w:p>
        </w:tc>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建设规模</w:t>
            </w:r>
          </w:p>
        </w:tc>
        <w:tc>
          <w:tcPr>
            <w:tcW w:w="1620"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建筑面积(平方米)</w:t>
            </w:r>
          </w:p>
        </w:tc>
        <w:tc>
          <w:tcPr>
            <w:tcW w:w="166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结构</w:t>
            </w:r>
            <w:r>
              <w:rPr>
                <w:rFonts w:hint="eastAsia" w:asciiTheme="minorEastAsia" w:hAnsiTheme="minorEastAsia" w:eastAsiaTheme="minorEastAsia"/>
                <w:color w:val="auto"/>
                <w:sz w:val="21"/>
                <w:szCs w:val="21"/>
              </w:rPr>
              <w:t>形式</w:t>
            </w: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层数</w:t>
            </w:r>
          </w:p>
        </w:tc>
        <w:tc>
          <w:tcPr>
            <w:tcW w:w="1560"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生产能力</w:t>
            </w:r>
          </w:p>
        </w:tc>
        <w:tc>
          <w:tcPr>
            <w:tcW w:w="2126"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设备安装内容</w:t>
            </w:r>
          </w:p>
        </w:tc>
        <w:tc>
          <w:tcPr>
            <w:tcW w:w="1417"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合同价格（元）</w:t>
            </w:r>
          </w:p>
        </w:tc>
        <w:tc>
          <w:tcPr>
            <w:tcW w:w="85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开工日期</w:t>
            </w: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6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56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2126"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7"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6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56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2126"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7"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6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56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2126"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7"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6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56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2126"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7"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6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56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2126"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7"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6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56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2126"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7"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6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56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2126"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7"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6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56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2126"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7"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6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56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2126"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7"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4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66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56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2126"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7"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1"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r>
    </w:tbl>
    <w:p>
      <w:pPr>
        <w:spacing w:line="460" w:lineRule="exact"/>
        <w:ind w:firstLine="420" w:firstLineChars="200"/>
        <w:rPr>
          <w:rFonts w:asciiTheme="minorEastAsia" w:hAnsiTheme="minorEastAsia" w:eastAsiaTheme="minorEastAsia"/>
          <w:color w:val="auto"/>
          <w:szCs w:val="21"/>
        </w:rPr>
      </w:pPr>
    </w:p>
    <w:p>
      <w:pPr>
        <w:spacing w:line="460" w:lineRule="exact"/>
        <w:ind w:firstLine="420" w:firstLineChars="200"/>
        <w:rPr>
          <w:rFonts w:asciiTheme="minorEastAsia" w:hAnsiTheme="minorEastAsia" w:eastAsiaTheme="minorEastAsia"/>
          <w:color w:val="auto"/>
          <w:szCs w:val="21"/>
        </w:rPr>
        <w:sectPr>
          <w:pgSz w:w="16840" w:h="11907" w:orient="landscape"/>
          <w:pgMar w:top="1440" w:right="1440" w:bottom="1440" w:left="1797" w:header="851" w:footer="851" w:gutter="0"/>
          <w:pgNumType w:fmt="decimal"/>
          <w:cols w:space="720" w:num="1"/>
          <w:docGrid w:linePitch="312" w:charSpace="0"/>
        </w:sectPr>
      </w:pPr>
    </w:p>
    <w:p>
      <w:pPr>
        <w:spacing w:line="440" w:lineRule="exact"/>
        <w:rPr>
          <w:rFonts w:asciiTheme="minorEastAsia" w:hAnsiTheme="minorEastAsia" w:eastAsiaTheme="minorEastAsia"/>
          <w:color w:val="auto"/>
          <w:szCs w:val="21"/>
        </w:rPr>
      </w:pPr>
    </w:p>
    <w:p>
      <w:pPr>
        <w:spacing w:line="440" w:lineRule="exact"/>
        <w:rPr>
          <w:rFonts w:asciiTheme="minorEastAsia" w:hAnsiTheme="minorEastAsia" w:eastAsiaTheme="minorEastAsia"/>
          <w:color w:val="auto"/>
          <w:szCs w:val="21"/>
        </w:rPr>
      </w:pPr>
      <w:bookmarkStart w:id="596" w:name="_Toc20996_WPSOffice_Level1"/>
      <w:r>
        <w:rPr>
          <w:rFonts w:asciiTheme="minorEastAsia" w:hAnsiTheme="minorEastAsia" w:eastAsiaTheme="minorEastAsia"/>
          <w:color w:val="auto"/>
          <w:szCs w:val="21"/>
        </w:rPr>
        <w:t>附</w:t>
      </w:r>
      <w:bookmarkStart w:id="597" w:name="_Toc296891273"/>
      <w:bookmarkStart w:id="598" w:name="_Toc296503233"/>
      <w:bookmarkStart w:id="599" w:name="_Toc296346734"/>
      <w:bookmarkStart w:id="600" w:name="_Toc296891061"/>
      <w:bookmarkStart w:id="601" w:name="_Toc296347232"/>
      <w:bookmarkStart w:id="602" w:name="_Toc296944572"/>
      <w:r>
        <w:rPr>
          <w:rFonts w:asciiTheme="minorEastAsia" w:hAnsiTheme="minorEastAsia" w:eastAsiaTheme="minorEastAsia"/>
          <w:color w:val="auto"/>
          <w:szCs w:val="21"/>
        </w:rPr>
        <w:t>件</w:t>
      </w:r>
      <w:r>
        <w:rPr>
          <w:rFonts w:hint="eastAsia" w:asciiTheme="minorEastAsia" w:hAnsiTheme="minorEastAsia" w:eastAsiaTheme="minorEastAsia"/>
          <w:color w:val="auto"/>
          <w:szCs w:val="21"/>
        </w:rPr>
        <w:t>2：</w:t>
      </w:r>
      <w:bookmarkEnd w:id="596"/>
    </w:p>
    <w:bookmarkEnd w:id="597"/>
    <w:bookmarkEnd w:id="598"/>
    <w:bookmarkEnd w:id="599"/>
    <w:bookmarkEnd w:id="600"/>
    <w:bookmarkEnd w:id="601"/>
    <w:bookmarkEnd w:id="602"/>
    <w:p>
      <w:pPr>
        <w:spacing w:before="120" w:beforeLines="50" w:after="120" w:afterLines="50"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支付担保</w:t>
      </w:r>
    </w:p>
    <w:p>
      <w:pPr>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（承包人）：</w:t>
      </w:r>
    </w:p>
    <w:p>
      <w:pPr>
        <w:spacing w:line="360" w:lineRule="auto"/>
        <w:jc w:val="left"/>
        <w:rPr>
          <w:rFonts w:asciiTheme="minorEastAsia" w:hAnsiTheme="minorEastAsia" w:eastAsiaTheme="minorEastAsia"/>
          <w:color w:val="auto"/>
          <w:szCs w:val="21"/>
        </w:rPr>
      </w:pP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一、保证的范围及保证金额</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 我方的保证范围是主合同约定的工程款。</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 本保函所称主合同约定的工程款是指主合同约定的除工程质量保证金以外的合同价款。</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 我方保证的金额是主合同约定的工程款的</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%，数额最高不超过人民币元（大写：）。</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二、保证的方式及保证期间</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 我方保证的方式为：连带责任保证。</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 我方保证的期间为：自本合同生效之日起至主合同约定的工程款支付完毕之日后日内。</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 你方与发包人协议变更工程款支付日期的，经我方书面同意后，保证期间按照变更后的支付日期做相应调整。</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三、承担保证责任的形式</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我方承担保证责任的形式是代为支付。发包人未按主合同约定向你方支付工程款的，由我方在保证金额内代为支付。</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四、代偿的安排</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 我方收到你方的书面索赔通知及相应的证明材料后７天内无条件支付。</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五、保证责任的解除</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 在本保函承诺的保证期间内，你方未书面向我方主张保证责任的，自保证期间届满次日起，我方保证责任解除。</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 发包人按主合同约定履行了工程款的全部支付义务的，自本保函承诺的保证期间届满次日起，我方保证责任解除。</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4. 按照法律法规的规定或出现应解除我方保证责任的其他情形的，我方在本保函项下的保证责任亦解除。</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5. 我方解除保证责任后，你方应自我方保证责任解除之日起个工作日内，将本保函原件返还我方。</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六、免责条款</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 因你方违约致使发包人不能履行义务的，我方不承担保证责任。</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 依照法律法规的规定或你方与发包人的另行约定，免除发包人部分或全部义务的，我方亦免除其相应的保证责任。</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4. 因不可抗力造成发包人不能履行义务的，我方不承担保证责任。</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七、争议解决</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因本保函或本保函相关事项发生的纠纷，可由双方协商解决，协商不成的，按下列第种方式解决：</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（1）向仲裁委员会申请仲裁；</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（2）向人民法院起诉。</w:t>
      </w:r>
    </w:p>
    <w:p>
      <w:pPr>
        <w:spacing w:line="360" w:lineRule="auto"/>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八、保函的生效</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本保函自我方法定代表人（或其授权代理人）签字并加盖公章之日起生效。</w:t>
      </w:r>
    </w:p>
    <w:p>
      <w:pPr>
        <w:spacing w:line="360" w:lineRule="auto"/>
        <w:jc w:val="left"/>
        <w:rPr>
          <w:rFonts w:asciiTheme="minorEastAsia" w:hAnsiTheme="minorEastAsia" w:eastAsiaTheme="minorEastAsia"/>
          <w:color w:val="auto"/>
          <w:szCs w:val="21"/>
        </w:rPr>
      </w:pPr>
    </w:p>
    <w:p>
      <w:pPr>
        <w:spacing w:line="360" w:lineRule="auto"/>
        <w:ind w:right="600"/>
        <w:jc w:val="left"/>
        <w:rPr>
          <w:rFonts w:asciiTheme="minorEastAsia" w:hAnsiTheme="minorEastAsia" w:eastAsiaTheme="minorEastAsia"/>
          <w:color w:val="auto"/>
          <w:szCs w:val="21"/>
        </w:rPr>
      </w:pPr>
    </w:p>
    <w:p>
      <w:pPr>
        <w:spacing w:line="360" w:lineRule="auto"/>
        <w:ind w:right="600"/>
        <w:jc w:val="left"/>
        <w:rPr>
          <w:rFonts w:asciiTheme="minorEastAsia" w:hAnsiTheme="minorEastAsia" w:eastAsiaTheme="minorEastAsia"/>
          <w:color w:val="auto"/>
          <w:szCs w:val="21"/>
        </w:rPr>
      </w:pPr>
      <w:r>
        <w:rPr>
          <w:rFonts w:asciiTheme="minorEastAsia" w:hAnsiTheme="minorEastAsia" w:eastAsiaTheme="minorEastAsia"/>
          <w:color w:val="auto"/>
          <w:szCs w:val="21"/>
        </w:rPr>
        <w:t>担保人：（盖章）</w:t>
      </w:r>
    </w:p>
    <w:p>
      <w:pPr>
        <w:spacing w:line="360" w:lineRule="auto"/>
        <w:ind w:right="1200"/>
        <w:rPr>
          <w:rFonts w:asciiTheme="minorEastAsia" w:hAnsiTheme="minorEastAsia" w:eastAsiaTheme="minorEastAsia"/>
          <w:color w:val="auto"/>
          <w:szCs w:val="21"/>
        </w:rPr>
      </w:pPr>
      <w:r>
        <w:rPr>
          <w:rFonts w:asciiTheme="minorEastAsia" w:hAnsiTheme="minorEastAsia" w:eastAsiaTheme="minorEastAsia"/>
          <w:color w:val="auto"/>
          <w:szCs w:val="21"/>
        </w:rPr>
        <w:t>法定代表人或委托代理人：（签字）</w:t>
      </w:r>
    </w:p>
    <w:p>
      <w:pPr>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地    址：</w:t>
      </w:r>
    </w:p>
    <w:p>
      <w:pPr>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邮政编码：</w:t>
      </w:r>
    </w:p>
    <w:p>
      <w:pPr>
        <w:spacing w:line="360" w:lineRule="auto"/>
        <w:jc w:val="left"/>
        <w:rPr>
          <w:rFonts w:asciiTheme="minorEastAsia" w:hAnsiTheme="minorEastAsia" w:eastAsiaTheme="minorEastAsia"/>
          <w:color w:val="auto"/>
          <w:szCs w:val="21"/>
        </w:rPr>
      </w:pPr>
      <w:r>
        <w:rPr>
          <w:rFonts w:asciiTheme="minorEastAsia" w:hAnsiTheme="minorEastAsia" w:eastAsiaTheme="minorEastAsia"/>
          <w:color w:val="auto"/>
          <w:szCs w:val="21"/>
        </w:rPr>
        <w:t>传    真：</w:t>
      </w:r>
    </w:p>
    <w:p>
      <w:pPr>
        <w:spacing w:line="360" w:lineRule="auto"/>
        <w:ind w:right="150" w:firstLine="420" w:firstLineChars="200"/>
        <w:jc w:val="left"/>
        <w:rPr>
          <w:rFonts w:asciiTheme="minorEastAsia" w:hAnsiTheme="minorEastAsia" w:eastAsiaTheme="minorEastAsia"/>
          <w:color w:val="auto"/>
          <w:szCs w:val="21"/>
          <w:u w:val="single"/>
        </w:rPr>
      </w:pPr>
    </w:p>
    <w:p>
      <w:pPr>
        <w:spacing w:line="360" w:lineRule="auto"/>
        <w:ind w:right="150"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日</w:t>
      </w:r>
    </w:p>
    <w:p>
      <w:pPr>
        <w:spacing w:line="440" w:lineRule="exact"/>
        <w:rPr>
          <w:rFonts w:asciiTheme="minorEastAsia" w:hAnsiTheme="minorEastAsia" w:eastAsiaTheme="minorEastAsia"/>
          <w:color w:val="auto"/>
          <w:szCs w:val="21"/>
        </w:rPr>
      </w:pPr>
      <w:r>
        <w:rPr>
          <w:rFonts w:asciiTheme="minorEastAsia" w:hAnsiTheme="minorEastAsia" w:eastAsiaTheme="minorEastAsia"/>
          <w:color w:val="auto"/>
          <w:szCs w:val="21"/>
        </w:rPr>
        <w:br w:type="page"/>
      </w:r>
      <w:bookmarkStart w:id="603" w:name="_Toc12593_WPSOffice_Level1"/>
      <w:r>
        <w:rPr>
          <w:rFonts w:asciiTheme="minorEastAsia" w:hAnsiTheme="minorEastAsia" w:eastAsiaTheme="minorEastAsia"/>
          <w:color w:val="auto"/>
          <w:szCs w:val="21"/>
        </w:rPr>
        <w:t>附</w:t>
      </w:r>
      <w:bookmarkStart w:id="604" w:name="_Toc296891056"/>
      <w:bookmarkStart w:id="605" w:name="_Toc267261699"/>
      <w:bookmarkStart w:id="606" w:name="_Toc296347227"/>
      <w:bookmarkStart w:id="607" w:name="_Toc296346729"/>
      <w:bookmarkStart w:id="608" w:name="_Toc296503228"/>
      <w:bookmarkStart w:id="609" w:name="_Toc296891268"/>
      <w:bookmarkStart w:id="610" w:name="_Toc296944567"/>
      <w:r>
        <w:rPr>
          <w:rFonts w:asciiTheme="minorEastAsia" w:hAnsiTheme="minorEastAsia" w:eastAsiaTheme="minorEastAsia"/>
          <w:color w:val="auto"/>
          <w:szCs w:val="21"/>
        </w:rPr>
        <w:t>件</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w:t>
      </w:r>
      <w:bookmarkEnd w:id="603"/>
    </w:p>
    <w:bookmarkEnd w:id="604"/>
    <w:bookmarkEnd w:id="605"/>
    <w:bookmarkEnd w:id="606"/>
    <w:bookmarkEnd w:id="607"/>
    <w:bookmarkEnd w:id="608"/>
    <w:bookmarkEnd w:id="609"/>
    <w:bookmarkEnd w:id="610"/>
    <w:p>
      <w:pPr>
        <w:spacing w:before="120" w:beforeLines="50" w:after="120" w:afterLines="50"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承包人主要施工管理人员表</w:t>
      </w:r>
    </w:p>
    <w:tbl>
      <w:tblPr>
        <w:tblStyle w:val="54"/>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名    称</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姓名</w:t>
            </w: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职务</w:t>
            </w: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职称</w:t>
            </w:r>
          </w:p>
        </w:tc>
        <w:tc>
          <w:tcPr>
            <w:tcW w:w="3151" w:type="dxa"/>
            <w:vAlign w:val="center"/>
          </w:tcPr>
          <w:p>
            <w:pPr>
              <w:pStyle w:val="21"/>
              <w:keepNext/>
              <w:spacing w:line="440" w:lineRule="exact"/>
              <w:ind w:right="63"/>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708" w:type="dxa"/>
            <w:gridSpan w:val="5"/>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项目主管</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其他人员</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708" w:type="dxa"/>
            <w:gridSpan w:val="5"/>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项目经理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项目副经理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技术负责人</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造价管理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质量管理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材料管理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计划管理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安全管理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其他人员</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151" w:type="dxa"/>
            <w:vAlign w:val="center"/>
          </w:tcPr>
          <w:p>
            <w:pPr>
              <w:pStyle w:val="21"/>
              <w:keepNext/>
              <w:spacing w:line="440" w:lineRule="exact"/>
              <w:ind w:left="63" w:right="63"/>
              <w:rPr>
                <w:rFonts w:asciiTheme="minorEastAsia" w:hAnsiTheme="minorEastAsia" w:eastAsiaTheme="minorEastAsia"/>
                <w:color w:val="auto"/>
                <w:sz w:val="21"/>
                <w:szCs w:val="21"/>
              </w:rPr>
            </w:pPr>
          </w:p>
        </w:tc>
      </w:tr>
    </w:tbl>
    <w:p>
      <w:pPr>
        <w:spacing w:line="440" w:lineRule="exact"/>
        <w:rPr>
          <w:rFonts w:asciiTheme="minorEastAsia" w:hAnsiTheme="minorEastAsia" w:eastAsiaTheme="minorEastAsia"/>
          <w:color w:val="auto"/>
          <w:szCs w:val="21"/>
        </w:rPr>
      </w:pPr>
      <w:r>
        <w:rPr>
          <w:rFonts w:asciiTheme="minorEastAsia" w:hAnsiTheme="minorEastAsia" w:eastAsiaTheme="minorEastAsia"/>
          <w:color w:val="auto"/>
          <w:szCs w:val="21"/>
        </w:rPr>
        <w:br w:type="page"/>
      </w:r>
      <w:bookmarkStart w:id="611" w:name="_Toc31459_WPSOffice_Level1"/>
      <w:r>
        <w:rPr>
          <w:rFonts w:asciiTheme="minorEastAsia" w:hAnsiTheme="minorEastAsia" w:eastAsiaTheme="minorEastAsia"/>
          <w:color w:val="auto"/>
          <w:szCs w:val="21"/>
        </w:rPr>
        <w:t>附</w:t>
      </w:r>
      <w:bookmarkStart w:id="612" w:name="_Toc296891269"/>
      <w:bookmarkStart w:id="613" w:name="_Toc296944568"/>
      <w:bookmarkStart w:id="614" w:name="_Toc296891057"/>
      <w:bookmarkStart w:id="615" w:name="_Toc296346730"/>
      <w:bookmarkStart w:id="616" w:name="_Toc296347228"/>
      <w:bookmarkStart w:id="617" w:name="_Toc296503229"/>
      <w:r>
        <w:rPr>
          <w:rFonts w:asciiTheme="minorEastAsia" w:hAnsiTheme="minorEastAsia" w:eastAsiaTheme="minorEastAsia"/>
          <w:color w:val="auto"/>
          <w:szCs w:val="21"/>
        </w:rPr>
        <w:t>件</w:t>
      </w:r>
      <w:r>
        <w:rPr>
          <w:rFonts w:hint="eastAsia" w:asciiTheme="minorEastAsia" w:hAnsiTheme="minorEastAsia" w:eastAsiaTheme="minorEastAsia"/>
          <w:color w:val="auto"/>
          <w:szCs w:val="21"/>
        </w:rPr>
        <w:t>4：</w:t>
      </w:r>
      <w:bookmarkEnd w:id="611"/>
    </w:p>
    <w:bookmarkEnd w:id="612"/>
    <w:bookmarkEnd w:id="613"/>
    <w:bookmarkEnd w:id="614"/>
    <w:bookmarkEnd w:id="615"/>
    <w:bookmarkEnd w:id="616"/>
    <w:bookmarkEnd w:id="617"/>
    <w:p>
      <w:pPr>
        <w:spacing w:before="120" w:beforeLines="50" w:after="120" w:afterLines="50"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分包人主要施工管理人员表</w:t>
      </w:r>
    </w:p>
    <w:tbl>
      <w:tblPr>
        <w:tblStyle w:val="54"/>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名    称</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姓名</w:t>
            </w: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职务</w:t>
            </w: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职称</w:t>
            </w: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792" w:type="dxa"/>
            <w:gridSpan w:val="5"/>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项目主管</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其他人员</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792" w:type="dxa"/>
            <w:gridSpan w:val="5"/>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项目经理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项目副经理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技术负责人</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造价管理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质量管理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材料管理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计划管理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安全管理</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其他人员</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134"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3235" w:type="dxa"/>
            <w:vAlign w:val="center"/>
          </w:tcPr>
          <w:p>
            <w:pPr>
              <w:pStyle w:val="21"/>
              <w:keepNext/>
              <w:spacing w:line="440" w:lineRule="exact"/>
              <w:ind w:left="63" w:right="63"/>
              <w:rPr>
                <w:rFonts w:asciiTheme="minorEastAsia" w:hAnsiTheme="minorEastAsia" w:eastAsiaTheme="minorEastAsia"/>
                <w:color w:val="auto"/>
                <w:sz w:val="21"/>
                <w:szCs w:val="21"/>
              </w:rPr>
            </w:pPr>
          </w:p>
        </w:tc>
      </w:tr>
    </w:tbl>
    <w:p>
      <w:pPr>
        <w:spacing w:line="440" w:lineRule="exact"/>
        <w:rPr>
          <w:rFonts w:asciiTheme="minorEastAsia" w:hAnsiTheme="minorEastAsia" w:eastAsiaTheme="minorEastAsia"/>
          <w:color w:val="auto"/>
          <w:szCs w:val="21"/>
        </w:rPr>
      </w:pPr>
      <w:r>
        <w:rPr>
          <w:rFonts w:asciiTheme="minorEastAsia" w:hAnsiTheme="minorEastAsia" w:eastAsiaTheme="minorEastAsia"/>
          <w:color w:val="auto"/>
          <w:szCs w:val="21"/>
        </w:rPr>
        <w:br w:type="page"/>
      </w:r>
      <w:bookmarkStart w:id="618" w:name="_Toc15824_WPSOffice_Level1"/>
      <w:bookmarkStart w:id="619" w:name="_Toc267261701"/>
      <w:r>
        <w:rPr>
          <w:rFonts w:asciiTheme="minorEastAsia" w:hAnsiTheme="minorEastAsia" w:eastAsiaTheme="minorEastAsia"/>
          <w:color w:val="auto"/>
          <w:szCs w:val="21"/>
        </w:rPr>
        <w:t>附</w:t>
      </w:r>
      <w:bookmarkStart w:id="620" w:name="_Toc296944570"/>
      <w:bookmarkStart w:id="621" w:name="_Toc296346732"/>
      <w:bookmarkStart w:id="622" w:name="_Toc296891271"/>
      <w:bookmarkStart w:id="623" w:name="_Toc296347230"/>
      <w:bookmarkStart w:id="624" w:name="_Toc296891059"/>
      <w:bookmarkStart w:id="625" w:name="_Toc296503231"/>
      <w:r>
        <w:rPr>
          <w:rFonts w:asciiTheme="minorEastAsia" w:hAnsiTheme="minorEastAsia" w:eastAsiaTheme="minorEastAsia"/>
          <w:color w:val="auto"/>
          <w:szCs w:val="21"/>
        </w:rPr>
        <w:t>件</w:t>
      </w:r>
      <w:r>
        <w:rPr>
          <w:rFonts w:hint="eastAsia" w:asciiTheme="minorEastAsia" w:hAnsiTheme="minorEastAsia" w:eastAsiaTheme="minorEastAsia"/>
          <w:color w:val="auto"/>
          <w:szCs w:val="21"/>
        </w:rPr>
        <w:t>5：</w:t>
      </w:r>
      <w:bookmarkEnd w:id="618"/>
    </w:p>
    <w:bookmarkEnd w:id="619"/>
    <w:bookmarkEnd w:id="620"/>
    <w:bookmarkEnd w:id="621"/>
    <w:bookmarkEnd w:id="622"/>
    <w:bookmarkEnd w:id="623"/>
    <w:bookmarkEnd w:id="624"/>
    <w:bookmarkEnd w:id="625"/>
    <w:p>
      <w:pPr>
        <w:spacing w:before="120" w:beforeLines="50" w:after="120" w:afterLines="50"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履约担保</w:t>
      </w:r>
    </w:p>
    <w:p>
      <w:pPr>
        <w:spacing w:line="360" w:lineRule="auto"/>
        <w:rPr>
          <w:rFonts w:asciiTheme="minorEastAsia" w:hAnsiTheme="minorEastAsia" w:eastAsiaTheme="minorEastAsia"/>
          <w:color w:val="auto"/>
          <w:szCs w:val="21"/>
          <w:u w:val="single"/>
        </w:rPr>
      </w:pP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（发包人名称）：</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鉴于（发包人名称，以下简称“发包人”）与</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（承包人名称）（以下称“承包人”）于年月</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 xml:space="preserve">日就（工程名称）施工及有关事项协商一致共同签订《建设工程施工合同》。我方愿意无条件地、不可撤销地就承包人履行与你方签订的合同，向你方提供连带责任担保。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 担保金额人民币（大写）元（¥）。</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 担保有效期自你方与承包人签订的合同生效之日起至你方签发或应签发工程接收证书之日止。</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 你方和承包人按合同约定变更合同时，我方承担本担保规定的义务不变。</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5. 因本保函发生的纠纷，可由双方协商解决，协商不成的，任何一方均可提请仲裁委员会仲裁。</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6. 本保函自我方法定代表人（或其授权代理人）签字并加盖公章之日起生效。</w:t>
      </w:r>
    </w:p>
    <w:p>
      <w:pPr>
        <w:spacing w:line="360" w:lineRule="auto"/>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担 保 人：（盖单位章）</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法定代表人或其委托代理人：（签字）</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地    址：</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邮政编码：</w:t>
      </w:r>
    </w:p>
    <w:p>
      <w:pPr>
        <w:spacing w:line="360" w:lineRule="auto"/>
        <w:rPr>
          <w:rFonts w:asciiTheme="minorEastAsia" w:hAnsiTheme="minorEastAsia" w:eastAsiaTheme="minorEastAsia"/>
          <w:color w:val="auto"/>
          <w:szCs w:val="21"/>
          <w:u w:val="single"/>
        </w:rPr>
      </w:pPr>
      <w:r>
        <w:rPr>
          <w:rFonts w:asciiTheme="minorEastAsia" w:hAnsiTheme="minorEastAsia" w:eastAsiaTheme="minorEastAsia"/>
          <w:color w:val="auto"/>
          <w:szCs w:val="21"/>
        </w:rPr>
        <w:t>电    话：</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传    真：</w:t>
      </w:r>
    </w:p>
    <w:p>
      <w:pPr>
        <w:spacing w:line="360" w:lineRule="auto"/>
        <w:jc w:val="left"/>
        <w:rPr>
          <w:rFonts w:asciiTheme="minorEastAsia" w:hAnsiTheme="minorEastAsia" w:eastAsiaTheme="minorEastAsia"/>
          <w:color w:val="auto"/>
          <w:szCs w:val="21"/>
          <w:u w:val="single"/>
        </w:rPr>
      </w:pPr>
    </w:p>
    <w:p>
      <w:pPr>
        <w:spacing w:line="360" w:lineRule="auto"/>
        <w:ind w:left="1329" w:hanging="1329" w:hangingChars="633"/>
        <w:rPr>
          <w:rFonts w:asciiTheme="minorEastAsia" w:hAnsiTheme="minorEastAsia" w:eastAsiaTheme="minorEastAsia"/>
          <w:color w:val="auto"/>
          <w:szCs w:val="21"/>
        </w:rPr>
      </w:pPr>
      <w:r>
        <w:rPr>
          <w:rFonts w:asciiTheme="minorEastAsia" w:hAnsiTheme="minorEastAsia" w:eastAsiaTheme="minorEastAsia"/>
          <w:color w:val="auto"/>
          <w:szCs w:val="21"/>
        </w:rPr>
        <w:t>年月日</w:t>
      </w:r>
    </w:p>
    <w:p>
      <w:pPr>
        <w:spacing w:line="360" w:lineRule="auto"/>
        <w:ind w:left="1329" w:hanging="1329" w:hangingChars="633"/>
        <w:rPr>
          <w:rFonts w:asciiTheme="minorEastAsia" w:hAnsiTheme="minorEastAsia" w:eastAsiaTheme="minorEastAsia"/>
          <w:color w:val="auto"/>
          <w:szCs w:val="21"/>
        </w:rPr>
      </w:pPr>
    </w:p>
    <w:p>
      <w:pPr>
        <w:spacing w:line="360" w:lineRule="auto"/>
        <w:ind w:left="1329" w:hanging="1329" w:hangingChars="633"/>
        <w:rPr>
          <w:rFonts w:asciiTheme="minorEastAsia" w:hAnsiTheme="minorEastAsia" w:eastAsiaTheme="minorEastAsia"/>
          <w:color w:val="auto"/>
          <w:szCs w:val="21"/>
        </w:rPr>
        <w:sectPr>
          <w:pgSz w:w="11907" w:h="16840"/>
          <w:pgMar w:top="1440" w:right="1440" w:bottom="1440" w:left="1797" w:header="851" w:footer="851" w:gutter="0"/>
          <w:pgNumType w:fmt="decimal"/>
          <w:cols w:space="720" w:num="1"/>
          <w:docGrid w:linePitch="312" w:charSpace="0"/>
        </w:sectPr>
      </w:pPr>
    </w:p>
    <w:p>
      <w:pPr>
        <w:spacing w:line="440" w:lineRule="exact"/>
        <w:rPr>
          <w:rFonts w:asciiTheme="minorEastAsia" w:hAnsiTheme="minorEastAsia" w:eastAsiaTheme="minorEastAsia"/>
          <w:color w:val="auto"/>
          <w:szCs w:val="21"/>
        </w:rPr>
      </w:pPr>
      <w:bookmarkStart w:id="626" w:name="_Toc21486_WPSOffice_Level1"/>
      <w:r>
        <w:rPr>
          <w:rFonts w:asciiTheme="minorEastAsia" w:hAnsiTheme="minorEastAsia" w:eastAsiaTheme="minorEastAsia"/>
          <w:color w:val="auto"/>
          <w:szCs w:val="21"/>
        </w:rPr>
        <w:t>附</w:t>
      </w:r>
      <w:bookmarkStart w:id="627" w:name="_Toc296944564"/>
      <w:bookmarkStart w:id="628" w:name="_Toc296347224"/>
      <w:bookmarkStart w:id="629" w:name="_Toc296346726"/>
      <w:bookmarkStart w:id="630" w:name="_Toc267261692"/>
      <w:bookmarkStart w:id="631" w:name="_Toc296891053"/>
      <w:bookmarkStart w:id="632" w:name="_Toc296503225"/>
      <w:bookmarkStart w:id="633" w:name="_Toc296891265"/>
      <w:r>
        <w:rPr>
          <w:rFonts w:asciiTheme="minorEastAsia" w:hAnsiTheme="minorEastAsia" w:eastAsiaTheme="minorEastAsia"/>
          <w:color w:val="auto"/>
          <w:szCs w:val="21"/>
        </w:rPr>
        <w:t>件</w:t>
      </w:r>
      <w:r>
        <w:rPr>
          <w:rFonts w:hint="eastAsia" w:asciiTheme="minorEastAsia" w:hAnsiTheme="minorEastAsia" w:eastAsiaTheme="minorEastAsia"/>
          <w:color w:val="auto"/>
          <w:szCs w:val="21"/>
        </w:rPr>
        <w:t>6：</w:t>
      </w:r>
      <w:bookmarkEnd w:id="626"/>
    </w:p>
    <w:bookmarkEnd w:id="627"/>
    <w:bookmarkEnd w:id="628"/>
    <w:bookmarkEnd w:id="629"/>
    <w:bookmarkEnd w:id="630"/>
    <w:bookmarkEnd w:id="631"/>
    <w:bookmarkEnd w:id="632"/>
    <w:bookmarkEnd w:id="633"/>
    <w:p>
      <w:pPr>
        <w:spacing w:before="120" w:beforeLines="50" w:after="120" w:afterLines="50"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承包人用于本工程施工的机械设备表</w:t>
      </w:r>
    </w:p>
    <w:tbl>
      <w:tblPr>
        <w:tblStyle w:val="54"/>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92"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序号</w:t>
            </w: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机械或设备名称</w:t>
            </w: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规格型号</w:t>
            </w:r>
          </w:p>
        </w:tc>
        <w:tc>
          <w:tcPr>
            <w:tcW w:w="1058"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数量</w:t>
            </w:r>
          </w:p>
        </w:tc>
        <w:tc>
          <w:tcPr>
            <w:tcW w:w="880"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产地</w:t>
            </w: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制造年份</w:t>
            </w:r>
          </w:p>
        </w:tc>
        <w:tc>
          <w:tcPr>
            <w:tcW w:w="1480"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额定功率</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kW</w:t>
            </w:r>
            <w:r>
              <w:rPr>
                <w:rFonts w:hint="eastAsia" w:asciiTheme="minorEastAsia" w:hAnsiTheme="minorEastAsia" w:eastAsiaTheme="minorEastAsia"/>
                <w:color w:val="auto"/>
                <w:sz w:val="21"/>
                <w:szCs w:val="21"/>
              </w:rPr>
              <w:t>）</w:t>
            </w: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生产能力</w:t>
            </w:r>
          </w:p>
        </w:tc>
        <w:tc>
          <w:tcPr>
            <w:tcW w:w="921" w:type="dxa"/>
            <w:vAlign w:val="center"/>
          </w:tcPr>
          <w:p>
            <w:pPr>
              <w:pStyle w:val="21"/>
              <w:keepNext/>
              <w:spacing w:line="440" w:lineRule="exact"/>
              <w:ind w:left="63" w:right="63"/>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5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92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5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92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5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92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5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92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5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92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5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92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5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92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5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92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tcPr>
          <w:p>
            <w:pPr>
              <w:rPr>
                <w:rFonts w:asciiTheme="minorEastAsia" w:hAnsiTheme="minorEastAsia" w:eastAsiaTheme="minorEastAsia"/>
                <w:color w:val="auto"/>
                <w:szCs w:val="21"/>
              </w:rPr>
            </w:pPr>
          </w:p>
        </w:tc>
        <w:tc>
          <w:tcPr>
            <w:tcW w:w="1418" w:type="dxa"/>
          </w:tcPr>
          <w:p>
            <w:pPr>
              <w:rPr>
                <w:rFonts w:asciiTheme="minorEastAsia" w:hAnsiTheme="minorEastAsia" w:eastAsiaTheme="minorEastAsia"/>
                <w:color w:val="auto"/>
                <w:szCs w:val="21"/>
              </w:rPr>
            </w:pPr>
          </w:p>
        </w:tc>
        <w:tc>
          <w:tcPr>
            <w:tcW w:w="850" w:type="dxa"/>
          </w:tcPr>
          <w:p>
            <w:pPr>
              <w:rPr>
                <w:rFonts w:asciiTheme="minorEastAsia" w:hAnsiTheme="minorEastAsia" w:eastAsiaTheme="minorEastAsia"/>
                <w:color w:val="auto"/>
                <w:szCs w:val="21"/>
              </w:rPr>
            </w:pPr>
          </w:p>
        </w:tc>
        <w:tc>
          <w:tcPr>
            <w:tcW w:w="1058" w:type="dxa"/>
          </w:tcPr>
          <w:p>
            <w:pPr>
              <w:rPr>
                <w:rFonts w:asciiTheme="minorEastAsia" w:hAnsiTheme="minorEastAsia" w:eastAsiaTheme="minorEastAsia"/>
                <w:color w:val="auto"/>
                <w:szCs w:val="21"/>
              </w:rPr>
            </w:pPr>
          </w:p>
        </w:tc>
        <w:tc>
          <w:tcPr>
            <w:tcW w:w="8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14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921"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1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5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58"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8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48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1020" w:type="dxa"/>
            <w:vAlign w:val="center"/>
          </w:tcPr>
          <w:p>
            <w:pPr>
              <w:pStyle w:val="21"/>
              <w:keepNext/>
              <w:spacing w:line="440" w:lineRule="exact"/>
              <w:ind w:left="63" w:right="63"/>
              <w:rPr>
                <w:rFonts w:asciiTheme="minorEastAsia" w:hAnsiTheme="minorEastAsia" w:eastAsiaTheme="minorEastAsia"/>
                <w:color w:val="auto"/>
                <w:sz w:val="21"/>
                <w:szCs w:val="21"/>
              </w:rPr>
            </w:pPr>
          </w:p>
        </w:tc>
        <w:tc>
          <w:tcPr>
            <w:tcW w:w="921" w:type="dxa"/>
            <w:vAlign w:val="center"/>
          </w:tcPr>
          <w:p>
            <w:pPr>
              <w:pStyle w:val="21"/>
              <w:keepNext/>
              <w:spacing w:line="440" w:lineRule="exact"/>
              <w:ind w:left="63" w:right="63"/>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tcPr>
          <w:p>
            <w:pPr>
              <w:rPr>
                <w:rFonts w:asciiTheme="minorEastAsia" w:hAnsiTheme="minorEastAsia" w:eastAsiaTheme="minorEastAsia"/>
                <w:color w:val="auto"/>
                <w:szCs w:val="21"/>
              </w:rPr>
            </w:pPr>
          </w:p>
        </w:tc>
        <w:tc>
          <w:tcPr>
            <w:tcW w:w="1418" w:type="dxa"/>
          </w:tcPr>
          <w:p>
            <w:pPr>
              <w:rPr>
                <w:rFonts w:asciiTheme="minorEastAsia" w:hAnsiTheme="minorEastAsia" w:eastAsiaTheme="minorEastAsia"/>
                <w:color w:val="auto"/>
                <w:szCs w:val="21"/>
              </w:rPr>
            </w:pPr>
          </w:p>
        </w:tc>
        <w:tc>
          <w:tcPr>
            <w:tcW w:w="850" w:type="dxa"/>
          </w:tcPr>
          <w:p>
            <w:pPr>
              <w:rPr>
                <w:rFonts w:asciiTheme="minorEastAsia" w:hAnsiTheme="minorEastAsia" w:eastAsiaTheme="minorEastAsia"/>
                <w:color w:val="auto"/>
                <w:szCs w:val="21"/>
              </w:rPr>
            </w:pPr>
          </w:p>
        </w:tc>
        <w:tc>
          <w:tcPr>
            <w:tcW w:w="1058" w:type="dxa"/>
          </w:tcPr>
          <w:p>
            <w:pPr>
              <w:rPr>
                <w:rFonts w:asciiTheme="minorEastAsia" w:hAnsiTheme="minorEastAsia" w:eastAsiaTheme="minorEastAsia"/>
                <w:color w:val="auto"/>
                <w:szCs w:val="21"/>
              </w:rPr>
            </w:pPr>
          </w:p>
        </w:tc>
        <w:tc>
          <w:tcPr>
            <w:tcW w:w="8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14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921"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tcPr>
          <w:p>
            <w:pPr>
              <w:rPr>
                <w:rFonts w:asciiTheme="minorEastAsia" w:hAnsiTheme="minorEastAsia" w:eastAsiaTheme="minorEastAsia"/>
                <w:color w:val="auto"/>
                <w:szCs w:val="21"/>
              </w:rPr>
            </w:pPr>
          </w:p>
        </w:tc>
        <w:tc>
          <w:tcPr>
            <w:tcW w:w="1418" w:type="dxa"/>
          </w:tcPr>
          <w:p>
            <w:pPr>
              <w:rPr>
                <w:rFonts w:asciiTheme="minorEastAsia" w:hAnsiTheme="minorEastAsia" w:eastAsiaTheme="minorEastAsia"/>
                <w:color w:val="auto"/>
                <w:szCs w:val="21"/>
              </w:rPr>
            </w:pPr>
          </w:p>
        </w:tc>
        <w:tc>
          <w:tcPr>
            <w:tcW w:w="850" w:type="dxa"/>
          </w:tcPr>
          <w:p>
            <w:pPr>
              <w:rPr>
                <w:rFonts w:asciiTheme="minorEastAsia" w:hAnsiTheme="minorEastAsia" w:eastAsiaTheme="minorEastAsia"/>
                <w:color w:val="auto"/>
                <w:szCs w:val="21"/>
              </w:rPr>
            </w:pPr>
          </w:p>
        </w:tc>
        <w:tc>
          <w:tcPr>
            <w:tcW w:w="1058" w:type="dxa"/>
          </w:tcPr>
          <w:p>
            <w:pPr>
              <w:rPr>
                <w:rFonts w:asciiTheme="minorEastAsia" w:hAnsiTheme="minorEastAsia" w:eastAsiaTheme="minorEastAsia"/>
                <w:color w:val="auto"/>
                <w:szCs w:val="21"/>
              </w:rPr>
            </w:pPr>
          </w:p>
        </w:tc>
        <w:tc>
          <w:tcPr>
            <w:tcW w:w="8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14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921"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tcPr>
          <w:p>
            <w:pPr>
              <w:rPr>
                <w:rFonts w:asciiTheme="minorEastAsia" w:hAnsiTheme="minorEastAsia" w:eastAsiaTheme="minorEastAsia"/>
                <w:color w:val="auto"/>
                <w:szCs w:val="21"/>
              </w:rPr>
            </w:pPr>
          </w:p>
        </w:tc>
        <w:tc>
          <w:tcPr>
            <w:tcW w:w="1418" w:type="dxa"/>
          </w:tcPr>
          <w:p>
            <w:pPr>
              <w:rPr>
                <w:rFonts w:asciiTheme="minorEastAsia" w:hAnsiTheme="minorEastAsia" w:eastAsiaTheme="minorEastAsia"/>
                <w:color w:val="auto"/>
                <w:szCs w:val="21"/>
              </w:rPr>
            </w:pPr>
          </w:p>
        </w:tc>
        <w:tc>
          <w:tcPr>
            <w:tcW w:w="850" w:type="dxa"/>
          </w:tcPr>
          <w:p>
            <w:pPr>
              <w:rPr>
                <w:rFonts w:asciiTheme="minorEastAsia" w:hAnsiTheme="minorEastAsia" w:eastAsiaTheme="minorEastAsia"/>
                <w:color w:val="auto"/>
                <w:szCs w:val="21"/>
              </w:rPr>
            </w:pPr>
          </w:p>
        </w:tc>
        <w:tc>
          <w:tcPr>
            <w:tcW w:w="1058" w:type="dxa"/>
          </w:tcPr>
          <w:p>
            <w:pPr>
              <w:rPr>
                <w:rFonts w:asciiTheme="minorEastAsia" w:hAnsiTheme="minorEastAsia" w:eastAsiaTheme="minorEastAsia"/>
                <w:color w:val="auto"/>
                <w:szCs w:val="21"/>
              </w:rPr>
            </w:pPr>
          </w:p>
        </w:tc>
        <w:tc>
          <w:tcPr>
            <w:tcW w:w="8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14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921"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tcPr>
          <w:p>
            <w:pPr>
              <w:rPr>
                <w:rFonts w:asciiTheme="minorEastAsia" w:hAnsiTheme="minorEastAsia" w:eastAsiaTheme="minorEastAsia"/>
                <w:color w:val="auto"/>
                <w:szCs w:val="21"/>
              </w:rPr>
            </w:pPr>
          </w:p>
        </w:tc>
        <w:tc>
          <w:tcPr>
            <w:tcW w:w="1418" w:type="dxa"/>
          </w:tcPr>
          <w:p>
            <w:pPr>
              <w:rPr>
                <w:rFonts w:asciiTheme="minorEastAsia" w:hAnsiTheme="minorEastAsia" w:eastAsiaTheme="minorEastAsia"/>
                <w:color w:val="auto"/>
                <w:szCs w:val="21"/>
              </w:rPr>
            </w:pPr>
          </w:p>
        </w:tc>
        <w:tc>
          <w:tcPr>
            <w:tcW w:w="850" w:type="dxa"/>
          </w:tcPr>
          <w:p>
            <w:pPr>
              <w:rPr>
                <w:rFonts w:asciiTheme="minorEastAsia" w:hAnsiTheme="minorEastAsia" w:eastAsiaTheme="minorEastAsia"/>
                <w:color w:val="auto"/>
                <w:szCs w:val="21"/>
              </w:rPr>
            </w:pPr>
          </w:p>
        </w:tc>
        <w:tc>
          <w:tcPr>
            <w:tcW w:w="1058" w:type="dxa"/>
          </w:tcPr>
          <w:p>
            <w:pPr>
              <w:rPr>
                <w:rFonts w:asciiTheme="minorEastAsia" w:hAnsiTheme="minorEastAsia" w:eastAsiaTheme="minorEastAsia"/>
                <w:color w:val="auto"/>
                <w:szCs w:val="21"/>
              </w:rPr>
            </w:pPr>
          </w:p>
        </w:tc>
        <w:tc>
          <w:tcPr>
            <w:tcW w:w="8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14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921"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tcPr>
          <w:p>
            <w:pPr>
              <w:rPr>
                <w:rFonts w:asciiTheme="minorEastAsia" w:hAnsiTheme="minorEastAsia" w:eastAsiaTheme="minorEastAsia"/>
                <w:color w:val="auto"/>
                <w:szCs w:val="21"/>
              </w:rPr>
            </w:pPr>
          </w:p>
        </w:tc>
        <w:tc>
          <w:tcPr>
            <w:tcW w:w="1418" w:type="dxa"/>
          </w:tcPr>
          <w:p>
            <w:pPr>
              <w:rPr>
                <w:rFonts w:asciiTheme="minorEastAsia" w:hAnsiTheme="minorEastAsia" w:eastAsiaTheme="minorEastAsia"/>
                <w:color w:val="auto"/>
                <w:szCs w:val="21"/>
              </w:rPr>
            </w:pPr>
          </w:p>
        </w:tc>
        <w:tc>
          <w:tcPr>
            <w:tcW w:w="850" w:type="dxa"/>
          </w:tcPr>
          <w:p>
            <w:pPr>
              <w:rPr>
                <w:rFonts w:asciiTheme="minorEastAsia" w:hAnsiTheme="minorEastAsia" w:eastAsiaTheme="minorEastAsia"/>
                <w:color w:val="auto"/>
                <w:szCs w:val="21"/>
              </w:rPr>
            </w:pPr>
          </w:p>
        </w:tc>
        <w:tc>
          <w:tcPr>
            <w:tcW w:w="1058" w:type="dxa"/>
          </w:tcPr>
          <w:p>
            <w:pPr>
              <w:rPr>
                <w:rFonts w:asciiTheme="minorEastAsia" w:hAnsiTheme="minorEastAsia" w:eastAsiaTheme="minorEastAsia"/>
                <w:color w:val="auto"/>
                <w:szCs w:val="21"/>
              </w:rPr>
            </w:pPr>
          </w:p>
        </w:tc>
        <w:tc>
          <w:tcPr>
            <w:tcW w:w="8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14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921"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tcPr>
          <w:p>
            <w:pPr>
              <w:rPr>
                <w:rFonts w:asciiTheme="minorEastAsia" w:hAnsiTheme="minorEastAsia" w:eastAsiaTheme="minorEastAsia"/>
                <w:color w:val="auto"/>
                <w:szCs w:val="21"/>
              </w:rPr>
            </w:pPr>
          </w:p>
        </w:tc>
        <w:tc>
          <w:tcPr>
            <w:tcW w:w="1418" w:type="dxa"/>
          </w:tcPr>
          <w:p>
            <w:pPr>
              <w:rPr>
                <w:rFonts w:asciiTheme="minorEastAsia" w:hAnsiTheme="minorEastAsia" w:eastAsiaTheme="minorEastAsia"/>
                <w:color w:val="auto"/>
                <w:szCs w:val="21"/>
              </w:rPr>
            </w:pPr>
          </w:p>
        </w:tc>
        <w:tc>
          <w:tcPr>
            <w:tcW w:w="850" w:type="dxa"/>
          </w:tcPr>
          <w:p>
            <w:pPr>
              <w:rPr>
                <w:rFonts w:asciiTheme="minorEastAsia" w:hAnsiTheme="minorEastAsia" w:eastAsiaTheme="minorEastAsia"/>
                <w:color w:val="auto"/>
                <w:szCs w:val="21"/>
              </w:rPr>
            </w:pPr>
          </w:p>
        </w:tc>
        <w:tc>
          <w:tcPr>
            <w:tcW w:w="1058" w:type="dxa"/>
          </w:tcPr>
          <w:p>
            <w:pPr>
              <w:rPr>
                <w:rFonts w:asciiTheme="minorEastAsia" w:hAnsiTheme="minorEastAsia" w:eastAsiaTheme="minorEastAsia"/>
                <w:color w:val="auto"/>
                <w:szCs w:val="21"/>
              </w:rPr>
            </w:pPr>
          </w:p>
        </w:tc>
        <w:tc>
          <w:tcPr>
            <w:tcW w:w="8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14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921"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tcPr>
          <w:p>
            <w:pPr>
              <w:rPr>
                <w:rFonts w:asciiTheme="minorEastAsia" w:hAnsiTheme="minorEastAsia" w:eastAsiaTheme="minorEastAsia"/>
                <w:color w:val="auto"/>
                <w:szCs w:val="21"/>
              </w:rPr>
            </w:pPr>
          </w:p>
        </w:tc>
        <w:tc>
          <w:tcPr>
            <w:tcW w:w="1418" w:type="dxa"/>
          </w:tcPr>
          <w:p>
            <w:pPr>
              <w:rPr>
                <w:rFonts w:asciiTheme="minorEastAsia" w:hAnsiTheme="minorEastAsia" w:eastAsiaTheme="minorEastAsia"/>
                <w:color w:val="auto"/>
                <w:szCs w:val="21"/>
              </w:rPr>
            </w:pPr>
          </w:p>
        </w:tc>
        <w:tc>
          <w:tcPr>
            <w:tcW w:w="850" w:type="dxa"/>
          </w:tcPr>
          <w:p>
            <w:pPr>
              <w:rPr>
                <w:rFonts w:asciiTheme="minorEastAsia" w:hAnsiTheme="minorEastAsia" w:eastAsiaTheme="minorEastAsia"/>
                <w:color w:val="auto"/>
                <w:szCs w:val="21"/>
              </w:rPr>
            </w:pPr>
          </w:p>
        </w:tc>
        <w:tc>
          <w:tcPr>
            <w:tcW w:w="1058" w:type="dxa"/>
          </w:tcPr>
          <w:p>
            <w:pPr>
              <w:rPr>
                <w:rFonts w:asciiTheme="minorEastAsia" w:hAnsiTheme="minorEastAsia" w:eastAsiaTheme="minorEastAsia"/>
                <w:color w:val="auto"/>
                <w:szCs w:val="21"/>
              </w:rPr>
            </w:pPr>
          </w:p>
        </w:tc>
        <w:tc>
          <w:tcPr>
            <w:tcW w:w="8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14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921"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tcPr>
          <w:p>
            <w:pPr>
              <w:rPr>
                <w:rFonts w:asciiTheme="minorEastAsia" w:hAnsiTheme="minorEastAsia" w:eastAsiaTheme="minorEastAsia"/>
                <w:color w:val="auto"/>
                <w:szCs w:val="21"/>
              </w:rPr>
            </w:pPr>
          </w:p>
        </w:tc>
        <w:tc>
          <w:tcPr>
            <w:tcW w:w="1418" w:type="dxa"/>
          </w:tcPr>
          <w:p>
            <w:pPr>
              <w:rPr>
                <w:rFonts w:asciiTheme="minorEastAsia" w:hAnsiTheme="minorEastAsia" w:eastAsiaTheme="minorEastAsia"/>
                <w:color w:val="auto"/>
                <w:szCs w:val="21"/>
              </w:rPr>
            </w:pPr>
          </w:p>
        </w:tc>
        <w:tc>
          <w:tcPr>
            <w:tcW w:w="850" w:type="dxa"/>
          </w:tcPr>
          <w:p>
            <w:pPr>
              <w:rPr>
                <w:rFonts w:asciiTheme="minorEastAsia" w:hAnsiTheme="minorEastAsia" w:eastAsiaTheme="minorEastAsia"/>
                <w:color w:val="auto"/>
                <w:szCs w:val="21"/>
              </w:rPr>
            </w:pPr>
          </w:p>
        </w:tc>
        <w:tc>
          <w:tcPr>
            <w:tcW w:w="1058" w:type="dxa"/>
          </w:tcPr>
          <w:p>
            <w:pPr>
              <w:rPr>
                <w:rFonts w:asciiTheme="minorEastAsia" w:hAnsiTheme="minorEastAsia" w:eastAsiaTheme="minorEastAsia"/>
                <w:color w:val="auto"/>
                <w:szCs w:val="21"/>
              </w:rPr>
            </w:pPr>
          </w:p>
        </w:tc>
        <w:tc>
          <w:tcPr>
            <w:tcW w:w="8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14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921" w:type="dxa"/>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92" w:type="dxa"/>
          </w:tcPr>
          <w:p>
            <w:pPr>
              <w:rPr>
                <w:rFonts w:asciiTheme="minorEastAsia" w:hAnsiTheme="minorEastAsia" w:eastAsiaTheme="minorEastAsia"/>
                <w:color w:val="auto"/>
                <w:szCs w:val="21"/>
              </w:rPr>
            </w:pPr>
          </w:p>
        </w:tc>
        <w:tc>
          <w:tcPr>
            <w:tcW w:w="1418" w:type="dxa"/>
          </w:tcPr>
          <w:p>
            <w:pPr>
              <w:rPr>
                <w:rFonts w:asciiTheme="minorEastAsia" w:hAnsiTheme="minorEastAsia" w:eastAsiaTheme="minorEastAsia"/>
                <w:color w:val="auto"/>
                <w:szCs w:val="21"/>
              </w:rPr>
            </w:pPr>
          </w:p>
        </w:tc>
        <w:tc>
          <w:tcPr>
            <w:tcW w:w="850" w:type="dxa"/>
          </w:tcPr>
          <w:p>
            <w:pPr>
              <w:rPr>
                <w:rFonts w:asciiTheme="minorEastAsia" w:hAnsiTheme="minorEastAsia" w:eastAsiaTheme="minorEastAsia"/>
                <w:color w:val="auto"/>
                <w:szCs w:val="21"/>
              </w:rPr>
            </w:pPr>
          </w:p>
        </w:tc>
        <w:tc>
          <w:tcPr>
            <w:tcW w:w="1058" w:type="dxa"/>
          </w:tcPr>
          <w:p>
            <w:pPr>
              <w:rPr>
                <w:rFonts w:asciiTheme="minorEastAsia" w:hAnsiTheme="minorEastAsia" w:eastAsiaTheme="minorEastAsia"/>
                <w:color w:val="auto"/>
                <w:szCs w:val="21"/>
              </w:rPr>
            </w:pPr>
          </w:p>
        </w:tc>
        <w:tc>
          <w:tcPr>
            <w:tcW w:w="8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1480" w:type="dxa"/>
          </w:tcPr>
          <w:p>
            <w:pPr>
              <w:rPr>
                <w:rFonts w:asciiTheme="minorEastAsia" w:hAnsiTheme="minorEastAsia" w:eastAsiaTheme="minorEastAsia"/>
                <w:color w:val="auto"/>
                <w:szCs w:val="21"/>
              </w:rPr>
            </w:pPr>
          </w:p>
        </w:tc>
        <w:tc>
          <w:tcPr>
            <w:tcW w:w="1020" w:type="dxa"/>
          </w:tcPr>
          <w:p>
            <w:pPr>
              <w:rPr>
                <w:rFonts w:asciiTheme="minorEastAsia" w:hAnsiTheme="minorEastAsia" w:eastAsiaTheme="minorEastAsia"/>
                <w:color w:val="auto"/>
                <w:szCs w:val="21"/>
              </w:rPr>
            </w:pPr>
          </w:p>
        </w:tc>
        <w:tc>
          <w:tcPr>
            <w:tcW w:w="921" w:type="dxa"/>
          </w:tcPr>
          <w:p>
            <w:pPr>
              <w:rPr>
                <w:rFonts w:asciiTheme="minorEastAsia" w:hAnsiTheme="minorEastAsia" w:eastAsiaTheme="minorEastAsia"/>
                <w:color w:val="auto"/>
                <w:szCs w:val="21"/>
              </w:rPr>
            </w:pPr>
          </w:p>
        </w:tc>
      </w:tr>
    </w:tbl>
    <w:p>
      <w:pPr>
        <w:spacing w:line="440" w:lineRule="exact"/>
        <w:rPr>
          <w:rFonts w:asciiTheme="minorEastAsia" w:hAnsiTheme="minorEastAsia" w:eastAsiaTheme="minorEastAsia"/>
          <w:color w:val="auto"/>
          <w:szCs w:val="21"/>
        </w:rPr>
        <w:sectPr>
          <w:pgSz w:w="11907" w:h="16840"/>
          <w:pgMar w:top="1440" w:right="1440" w:bottom="1440" w:left="1797" w:header="851" w:footer="851" w:gutter="0"/>
          <w:pgNumType w:fmt="decimal"/>
          <w:cols w:space="720" w:num="1"/>
          <w:docGrid w:linePitch="312" w:charSpace="0"/>
        </w:sectPr>
      </w:pPr>
    </w:p>
    <w:p>
      <w:pPr>
        <w:spacing w:line="360" w:lineRule="auto"/>
        <w:rPr>
          <w:rFonts w:asciiTheme="minorEastAsia" w:hAnsiTheme="minorEastAsia" w:eastAsiaTheme="minorEastAsia"/>
          <w:color w:val="auto"/>
          <w:szCs w:val="21"/>
        </w:rPr>
      </w:pPr>
      <w:bookmarkStart w:id="634" w:name="_Toc30734_WPSOffice_Level1"/>
      <w:r>
        <w:rPr>
          <w:rFonts w:asciiTheme="minorEastAsia" w:hAnsiTheme="minorEastAsia" w:eastAsiaTheme="minorEastAsia"/>
          <w:color w:val="auto"/>
          <w:szCs w:val="21"/>
        </w:rPr>
        <w:t>附件</w:t>
      </w:r>
      <w:r>
        <w:rPr>
          <w:rFonts w:hint="eastAsia" w:asciiTheme="minorEastAsia" w:hAnsiTheme="minorEastAsia" w:eastAsiaTheme="minorEastAsia"/>
          <w:color w:val="auto"/>
          <w:szCs w:val="21"/>
        </w:rPr>
        <w:t>7</w:t>
      </w:r>
      <w:r>
        <w:rPr>
          <w:rFonts w:asciiTheme="minorEastAsia" w:hAnsiTheme="minorEastAsia" w:eastAsiaTheme="minorEastAsia"/>
          <w:color w:val="auto"/>
          <w:szCs w:val="21"/>
        </w:rPr>
        <w:t>：</w:t>
      </w:r>
      <w:bookmarkEnd w:id="634"/>
    </w:p>
    <w:p>
      <w:pPr>
        <w:spacing w:before="120" w:beforeLines="50" w:after="120" w:afterLines="50" w:line="44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预付款担保</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 xml:space="preserve"> （发包人名称）：</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根据（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 担保金额人民币（大写）元（¥）。</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 担保有效期自预付款支付给承包人起生效，至你方签发的进度款支付证书说明已完全扣清止。</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 你方和承包人按合同约定变更合同时，我方承担本保函规定的义务不变。</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5. 因本保函发生的纠纷，可由双方协商解决，协商不成的，任何一方均可提请仲裁委员会仲裁。</w:t>
      </w:r>
    </w:p>
    <w:p>
      <w:pPr>
        <w:spacing w:line="360" w:lineRule="auto"/>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6. 本保函自我方法定代表人（或其授权代理人）签字并加盖公章之日起生效。</w:t>
      </w:r>
    </w:p>
    <w:p>
      <w:pPr>
        <w:spacing w:line="360" w:lineRule="auto"/>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担保人：（盖单位章）</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法定代表人或其委托代理人：（签字）</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地    址：</w:t>
      </w:r>
    </w:p>
    <w:p>
      <w:pPr>
        <w:spacing w:line="360" w:lineRule="auto"/>
        <w:rPr>
          <w:rFonts w:asciiTheme="minorEastAsia" w:hAnsiTheme="minorEastAsia" w:eastAsiaTheme="minorEastAsia"/>
          <w:color w:val="auto"/>
          <w:szCs w:val="21"/>
          <w:u w:val="single"/>
        </w:rPr>
      </w:pPr>
      <w:r>
        <w:rPr>
          <w:rFonts w:asciiTheme="minorEastAsia" w:hAnsiTheme="minorEastAsia" w:eastAsiaTheme="minorEastAsia"/>
          <w:color w:val="auto"/>
          <w:szCs w:val="21"/>
        </w:rPr>
        <w:t>邮政编码：</w:t>
      </w:r>
    </w:p>
    <w:p>
      <w:pPr>
        <w:spacing w:line="360" w:lineRule="auto"/>
        <w:rPr>
          <w:rFonts w:asciiTheme="minorEastAsia" w:hAnsiTheme="minorEastAsia" w:eastAsiaTheme="minorEastAsia"/>
          <w:color w:val="auto"/>
          <w:szCs w:val="21"/>
          <w:u w:val="single"/>
        </w:rPr>
      </w:pPr>
      <w:r>
        <w:rPr>
          <w:rFonts w:asciiTheme="minorEastAsia" w:hAnsiTheme="minorEastAsia" w:eastAsiaTheme="minorEastAsia"/>
          <w:color w:val="auto"/>
          <w:szCs w:val="21"/>
        </w:rPr>
        <w:t>电    话：</w:t>
      </w:r>
    </w:p>
    <w:p>
      <w:pPr>
        <w:spacing w:line="360" w:lineRule="auto"/>
        <w:rPr>
          <w:rFonts w:asciiTheme="minorEastAsia" w:hAnsiTheme="minorEastAsia" w:eastAsiaTheme="minorEastAsia"/>
          <w:color w:val="auto"/>
          <w:szCs w:val="21"/>
          <w:u w:val="single"/>
        </w:rPr>
      </w:pPr>
      <w:r>
        <w:rPr>
          <w:rFonts w:asciiTheme="minorEastAsia" w:hAnsiTheme="minorEastAsia" w:eastAsiaTheme="minorEastAsia"/>
          <w:color w:val="auto"/>
          <w:szCs w:val="21"/>
        </w:rPr>
        <w:t>传    真：</w:t>
      </w:r>
    </w:p>
    <w:p>
      <w:pPr>
        <w:spacing w:line="360" w:lineRule="auto"/>
        <w:rPr>
          <w:rFonts w:asciiTheme="minorEastAsia" w:hAnsiTheme="minorEastAsia" w:eastAsiaTheme="minorEastAsia"/>
          <w:color w:val="auto"/>
          <w:szCs w:val="21"/>
          <w:u w:val="single"/>
        </w:rPr>
      </w:pP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月</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日</w:t>
      </w:r>
    </w:p>
    <w:p>
      <w:pPr>
        <w:spacing w:line="480" w:lineRule="auto"/>
        <w:rPr>
          <w:rFonts w:asciiTheme="minorEastAsia" w:hAnsiTheme="minorEastAsia" w:eastAsiaTheme="minorEastAsia"/>
          <w:color w:val="auto"/>
          <w:szCs w:val="21"/>
        </w:rPr>
      </w:pPr>
    </w:p>
    <w:p>
      <w:pPr>
        <w:spacing w:line="480" w:lineRule="auto"/>
        <w:rPr>
          <w:rFonts w:asciiTheme="minorEastAsia" w:hAnsiTheme="minorEastAsia" w:eastAsiaTheme="minorEastAsia"/>
          <w:color w:val="auto"/>
          <w:szCs w:val="21"/>
        </w:rPr>
        <w:sectPr>
          <w:pgSz w:w="11907" w:h="16840"/>
          <w:pgMar w:top="1440" w:right="1440" w:bottom="1440" w:left="1797" w:header="851" w:footer="851" w:gutter="0"/>
          <w:pgNumType w:fmt="decimal"/>
          <w:cols w:space="720" w:num="1"/>
          <w:docGrid w:linePitch="312" w:charSpace="0"/>
        </w:sectPr>
      </w:pPr>
    </w:p>
    <w:p>
      <w:pPr>
        <w:spacing w:line="440" w:lineRule="exact"/>
        <w:rPr>
          <w:rFonts w:asciiTheme="minorEastAsia" w:hAnsiTheme="minorEastAsia" w:eastAsiaTheme="minorEastAsia"/>
          <w:color w:val="auto"/>
          <w:szCs w:val="21"/>
        </w:rPr>
      </w:pPr>
      <w:bookmarkStart w:id="635" w:name="_Toc3758_WPSOffice_Level1"/>
      <w:r>
        <w:rPr>
          <w:rFonts w:asciiTheme="minorEastAsia" w:hAnsiTheme="minorEastAsia" w:eastAsiaTheme="minorEastAsia"/>
          <w:color w:val="auto"/>
          <w:szCs w:val="21"/>
        </w:rPr>
        <w:t>附</w:t>
      </w:r>
      <w:bookmarkStart w:id="636" w:name="_Toc267261693"/>
      <w:bookmarkStart w:id="637" w:name="_Toc296944565"/>
      <w:bookmarkStart w:id="638" w:name="_Toc296503226"/>
      <w:bookmarkStart w:id="639" w:name="_Toc296891054"/>
      <w:bookmarkStart w:id="640" w:name="_Toc296347225"/>
      <w:bookmarkStart w:id="641" w:name="_Toc296891266"/>
      <w:bookmarkStart w:id="642" w:name="_Toc296346727"/>
      <w:r>
        <w:rPr>
          <w:rFonts w:asciiTheme="minorEastAsia" w:hAnsiTheme="minorEastAsia" w:eastAsiaTheme="minorEastAsia"/>
          <w:color w:val="auto"/>
          <w:szCs w:val="21"/>
        </w:rPr>
        <w:t>件</w:t>
      </w:r>
      <w:r>
        <w:rPr>
          <w:rFonts w:hint="eastAsia" w:asciiTheme="minorEastAsia" w:hAnsiTheme="minorEastAsia" w:eastAsiaTheme="minorEastAsia"/>
          <w:color w:val="auto"/>
          <w:szCs w:val="21"/>
        </w:rPr>
        <w:t>8</w:t>
      </w:r>
      <w:r>
        <w:rPr>
          <w:rFonts w:asciiTheme="minorEastAsia" w:hAnsiTheme="minorEastAsia" w:eastAsiaTheme="minorEastAsia"/>
          <w:color w:val="auto"/>
          <w:szCs w:val="21"/>
        </w:rPr>
        <w:t>：</w:t>
      </w:r>
      <w:bookmarkEnd w:id="635"/>
      <w:bookmarkEnd w:id="636"/>
      <w:bookmarkEnd w:id="637"/>
      <w:bookmarkEnd w:id="638"/>
      <w:bookmarkEnd w:id="639"/>
      <w:bookmarkEnd w:id="640"/>
      <w:bookmarkEnd w:id="641"/>
      <w:bookmarkEnd w:id="642"/>
    </w:p>
    <w:p>
      <w:pPr>
        <w:spacing w:before="120" w:beforeLines="50" w:after="120" w:afterLines="50" w:line="440" w:lineRule="exact"/>
        <w:jc w:val="center"/>
        <w:rPr>
          <w:rFonts w:asciiTheme="minorEastAsia" w:hAnsiTheme="minorEastAsia" w:eastAsiaTheme="minorEastAsia"/>
          <w:color w:val="auto"/>
          <w:sz w:val="30"/>
          <w:szCs w:val="30"/>
        </w:rPr>
      </w:pPr>
      <w:bookmarkStart w:id="643" w:name="_Toc24193_WPSOffice_Level1"/>
      <w:r>
        <w:rPr>
          <w:rFonts w:hint="eastAsia" w:asciiTheme="minorEastAsia" w:hAnsiTheme="minorEastAsia" w:eastAsiaTheme="minorEastAsia"/>
          <w:color w:val="auto"/>
          <w:sz w:val="30"/>
          <w:szCs w:val="30"/>
        </w:rPr>
        <w:t>工程质量保修书（房屋建筑工程）</w:t>
      </w:r>
      <w:bookmarkEnd w:id="643"/>
    </w:p>
    <w:p>
      <w:pPr>
        <w:spacing w:line="44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发包人（全称）：</w:t>
      </w:r>
    </w:p>
    <w:p>
      <w:pPr>
        <w:spacing w:line="44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承包人（全称）：</w:t>
      </w:r>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发包人和承包人根据《中华人民共和国建筑法》和《建设工程质量管理条例》，经协商一致就（工程全称）签订工程质量保修书。</w:t>
      </w:r>
    </w:p>
    <w:p>
      <w:pPr>
        <w:spacing w:line="360" w:lineRule="auto"/>
        <w:ind w:firstLine="420" w:firstLineChars="200"/>
        <w:rPr>
          <w:rFonts w:asciiTheme="minorEastAsia" w:hAnsiTheme="minorEastAsia" w:eastAsiaTheme="minorEastAsia"/>
          <w:color w:val="auto"/>
          <w:szCs w:val="21"/>
        </w:rPr>
      </w:pPr>
      <w:bookmarkStart w:id="644" w:name="_Toc7650_WPSOffice_Level1"/>
      <w:r>
        <w:rPr>
          <w:rFonts w:hint="eastAsia" w:asciiTheme="minorEastAsia" w:hAnsiTheme="minorEastAsia" w:eastAsiaTheme="minorEastAsia"/>
          <w:color w:val="auto"/>
          <w:szCs w:val="21"/>
        </w:rPr>
        <w:t>一、工程质量保修范围和内容</w:t>
      </w:r>
      <w:bookmarkEnd w:id="644"/>
    </w:p>
    <w:p>
      <w:pPr>
        <w:spacing w:line="360" w:lineRule="auto"/>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承包人在质量保修期内，按照有关法律规定和合同约定，承担工程质量保修责任。</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w:t>
      </w:r>
    </w:p>
    <w:p>
      <w:pPr>
        <w:spacing w:line="360" w:lineRule="auto"/>
        <w:ind w:firstLine="420"/>
        <w:rPr>
          <w:rFonts w:asciiTheme="minorEastAsia" w:hAnsiTheme="minorEastAsia" w:eastAsiaTheme="minorEastAsia"/>
          <w:color w:val="auto"/>
          <w:szCs w:val="21"/>
        </w:rPr>
      </w:pPr>
      <w:bookmarkStart w:id="645" w:name="_Toc21856_WPSOffice_Level1"/>
      <w:r>
        <w:rPr>
          <w:rFonts w:hint="eastAsia" w:asciiTheme="minorEastAsia" w:hAnsiTheme="minorEastAsia" w:eastAsiaTheme="minorEastAsia"/>
          <w:color w:val="auto"/>
          <w:szCs w:val="21"/>
        </w:rPr>
        <w:t>二、质量保修期</w:t>
      </w:r>
      <w:bookmarkEnd w:id="645"/>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根据《建设工程质量管理条例》及有关规定，工程的质量保修期如下：</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1．地基基础工程和主体结构工程为设计文件规定的工程合理使用年限；</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2．屋面防水工程、有防水要求的卫生间、房间和外墙面的防渗为</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年；</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3．装修工程为</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年；</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4．电气管线、给排水管道、设备安装工程为</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年；</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5．供热与供冷系统为个采暖期、供冷期；</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6．住宅小区内的给排水设施、道路等配套工程为</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年；</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7．其他项目保修期限约定如下：</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质量保修期自工程竣工验收合格之日起计算。</w:t>
      </w:r>
    </w:p>
    <w:p>
      <w:pPr>
        <w:spacing w:line="360" w:lineRule="auto"/>
        <w:ind w:firstLine="420"/>
        <w:rPr>
          <w:rFonts w:asciiTheme="minorEastAsia" w:hAnsiTheme="minorEastAsia" w:eastAsiaTheme="minorEastAsia"/>
          <w:color w:val="auto"/>
          <w:szCs w:val="21"/>
        </w:rPr>
      </w:pPr>
      <w:bookmarkStart w:id="646" w:name="_Toc1909_WPSOffice_Level1"/>
      <w:r>
        <w:rPr>
          <w:rFonts w:hint="eastAsia" w:asciiTheme="minorEastAsia" w:hAnsiTheme="minorEastAsia" w:eastAsiaTheme="minorEastAsia"/>
          <w:color w:val="auto"/>
          <w:szCs w:val="21"/>
        </w:rPr>
        <w:t>三、缺陷责任期</w:t>
      </w:r>
      <w:bookmarkEnd w:id="646"/>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工程缺陷责任期为个月</w:t>
      </w:r>
      <w:r>
        <w:rPr>
          <w:rFonts w:hint="eastAsia" w:asciiTheme="minorEastAsia" w:hAnsiTheme="minorEastAsia" w:eastAsiaTheme="minorEastAsia"/>
          <w:color w:val="auto"/>
          <w:szCs w:val="21"/>
        </w:rPr>
        <w:t>（最长不超过24个月）</w:t>
      </w:r>
      <w:r>
        <w:rPr>
          <w:rFonts w:asciiTheme="minorEastAsia" w:hAnsiTheme="minorEastAsia" w:eastAsiaTheme="minorEastAsia"/>
          <w:color w:val="auto"/>
          <w:szCs w:val="21"/>
        </w:rPr>
        <w:t>，缺陷责任期自工程竣工验收合格之日起计算。单位工程先于全部工程进行验收，单位工程缺陷责任期自单位工程验收合格之日起算。</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缺陷责任期终止后，发包人应退还剩余的质量保证金。</w:t>
      </w:r>
    </w:p>
    <w:p>
      <w:pPr>
        <w:spacing w:line="360" w:lineRule="auto"/>
        <w:ind w:firstLine="420"/>
        <w:rPr>
          <w:rFonts w:asciiTheme="minorEastAsia" w:hAnsiTheme="minorEastAsia" w:eastAsiaTheme="minorEastAsia"/>
          <w:color w:val="auto"/>
          <w:szCs w:val="21"/>
        </w:rPr>
      </w:pPr>
      <w:bookmarkStart w:id="647" w:name="_Toc31539_WPSOffice_Level1"/>
      <w:r>
        <w:rPr>
          <w:rFonts w:hint="eastAsia" w:asciiTheme="minorEastAsia" w:hAnsiTheme="minorEastAsia" w:eastAsiaTheme="minorEastAsia"/>
          <w:color w:val="auto"/>
          <w:szCs w:val="21"/>
        </w:rPr>
        <w:t>四、质量保修责任</w:t>
      </w:r>
      <w:bookmarkEnd w:id="647"/>
    </w:p>
    <w:p>
      <w:pPr>
        <w:spacing w:line="360" w:lineRule="auto"/>
        <w:ind w:left="105" w:leftChars="50" w:firstLine="430" w:firstLineChars="205"/>
        <w:rPr>
          <w:rFonts w:asciiTheme="minorEastAsia" w:hAnsiTheme="minorEastAsia" w:eastAsiaTheme="minorEastAsia"/>
          <w:color w:val="auto"/>
          <w:szCs w:val="21"/>
        </w:rPr>
      </w:pPr>
      <w:r>
        <w:rPr>
          <w:rFonts w:asciiTheme="minorEastAsia" w:hAnsiTheme="minorEastAsia" w:eastAsiaTheme="minorEastAsia"/>
          <w:color w:val="auto"/>
          <w:szCs w:val="21"/>
        </w:rPr>
        <w:t>1．属于保修范围、内容的项目，承包人应当在接到保修通知之日起天内派人保修。承包人不在约定期限内派人保修的，发包人可以委托他人修理</w:t>
      </w:r>
      <w:r>
        <w:rPr>
          <w:rFonts w:hint="eastAsia" w:asciiTheme="minorEastAsia" w:hAnsiTheme="minorEastAsia" w:eastAsiaTheme="minorEastAsia"/>
          <w:color w:val="auto"/>
          <w:szCs w:val="21"/>
        </w:rPr>
        <w:t>，修理费用从质量保修金内扣除</w:t>
      </w:r>
      <w:r>
        <w:rPr>
          <w:rFonts w:asciiTheme="minorEastAsia" w:hAnsiTheme="minorEastAsia" w:eastAsiaTheme="minorEastAsia"/>
          <w:color w:val="auto"/>
          <w:szCs w:val="21"/>
        </w:rPr>
        <w:t>。</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2．发生紧急事故需抢修的，承包人在接到事故通知后，应当立即到达事故现场抢修。</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4．质量保修完成后，由发包人组织验收。</w:t>
      </w:r>
    </w:p>
    <w:p>
      <w:pPr>
        <w:spacing w:line="360" w:lineRule="auto"/>
        <w:ind w:firstLine="420"/>
        <w:rPr>
          <w:rFonts w:asciiTheme="minorEastAsia" w:hAnsiTheme="minorEastAsia" w:eastAsiaTheme="minorEastAsia"/>
          <w:color w:val="auto"/>
          <w:szCs w:val="21"/>
        </w:rPr>
      </w:pPr>
      <w:bookmarkStart w:id="648" w:name="_Toc1781_WPSOffice_Level1"/>
      <w:r>
        <w:rPr>
          <w:rFonts w:hint="eastAsia" w:asciiTheme="minorEastAsia" w:hAnsiTheme="minorEastAsia" w:eastAsiaTheme="minorEastAsia"/>
          <w:color w:val="auto"/>
          <w:szCs w:val="21"/>
        </w:rPr>
        <w:t>五、保修费用</w:t>
      </w:r>
      <w:bookmarkEnd w:id="648"/>
    </w:p>
    <w:p>
      <w:pPr>
        <w:tabs>
          <w:tab w:val="left" w:pos="7380"/>
        </w:tabs>
        <w:spacing w:line="360" w:lineRule="auto"/>
        <w:ind w:firstLine="420"/>
        <w:rPr>
          <w:rFonts w:asciiTheme="minorEastAsia" w:hAnsiTheme="minorEastAsia" w:eastAsiaTheme="minorEastAsia"/>
          <w:color w:val="auto"/>
          <w:szCs w:val="21"/>
        </w:rPr>
      </w:pPr>
      <w:r>
        <w:rPr>
          <w:rFonts w:asciiTheme="minorEastAsia" w:hAnsiTheme="minorEastAsia" w:eastAsiaTheme="minorEastAsia"/>
          <w:color w:val="auto"/>
          <w:szCs w:val="21"/>
        </w:rPr>
        <w:t>保修费用由造成质量缺陷的责任方承担。</w:t>
      </w:r>
    </w:p>
    <w:p>
      <w:pPr>
        <w:spacing w:line="360" w:lineRule="auto"/>
        <w:ind w:firstLine="420"/>
        <w:rPr>
          <w:rFonts w:asciiTheme="minorEastAsia" w:hAnsiTheme="minorEastAsia" w:eastAsiaTheme="minorEastAsia"/>
          <w:color w:val="auto"/>
          <w:szCs w:val="21"/>
        </w:rPr>
      </w:pPr>
      <w:bookmarkStart w:id="649" w:name="_Toc24559_WPSOffice_Level1"/>
      <w:r>
        <w:rPr>
          <w:rFonts w:hint="eastAsia" w:asciiTheme="minorEastAsia" w:hAnsiTheme="minorEastAsia" w:eastAsiaTheme="minorEastAsia"/>
          <w:color w:val="auto"/>
          <w:szCs w:val="21"/>
        </w:rPr>
        <w:t>六、双方约定的其他工程质量保修事项：</w:t>
      </w:r>
      <w:bookmarkEnd w:id="649"/>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rPr>
        <w:t>。</w:t>
      </w:r>
    </w:p>
    <w:p>
      <w:pPr>
        <w:spacing w:line="360" w:lineRule="auto"/>
        <w:ind w:firstLine="399" w:firstLineChars="190"/>
        <w:rPr>
          <w:rFonts w:asciiTheme="minorEastAsia" w:hAnsiTheme="minorEastAsia" w:eastAsiaTheme="minorEastAsia"/>
          <w:color w:val="auto"/>
          <w:szCs w:val="21"/>
        </w:rPr>
      </w:pPr>
      <w:r>
        <w:rPr>
          <w:rFonts w:asciiTheme="minorEastAsia" w:hAnsiTheme="minorEastAsia" w:eastAsiaTheme="minorEastAsia"/>
          <w:color w:val="auto"/>
          <w:szCs w:val="21"/>
        </w:rPr>
        <w:t>工程质量保修书由发包人、承包人在工程竣工验收前共同签署，作为施工合同附件，其有效期限至保修期满。</w:t>
      </w:r>
    </w:p>
    <w:p>
      <w:pPr>
        <w:spacing w:line="360" w:lineRule="auto"/>
        <w:ind w:firstLine="420"/>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发包人</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公章</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承包人</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公章</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地  址：</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地  址：</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法定代表人</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签字</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法定代表人</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签字</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委托代理人</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签字</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委托代理人</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签字</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电  话：</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电  话：</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传  真：</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传  真：</w:t>
      </w:r>
    </w:p>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开户银行：</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开户银行：</w:t>
      </w:r>
    </w:p>
    <w:p>
      <w:pPr>
        <w:tabs>
          <w:tab w:val="left" w:pos="2880"/>
          <w:tab w:val="left" w:pos="3060"/>
          <w:tab w:val="left" w:pos="4500"/>
        </w:tabs>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账  号：</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账  号：</w:t>
      </w:r>
    </w:p>
    <w:p>
      <w:pPr>
        <w:tabs>
          <w:tab w:val="left" w:pos="7200"/>
          <w:tab w:val="left" w:pos="7380"/>
          <w:tab w:val="left" w:pos="7560"/>
        </w:tabs>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邮政编码：</w:t>
      </w:r>
      <w:r>
        <w:rPr>
          <w:rFonts w:hint="eastAsia" w:asciiTheme="minorEastAsia" w:hAnsiTheme="minorEastAsia" w:eastAsiaTheme="minorEastAsia"/>
          <w:color w:val="auto"/>
          <w:szCs w:val="21"/>
          <w:lang w:val="en-US" w:eastAsia="zh-CN"/>
        </w:rPr>
        <w:t xml:space="preserve">                            </w:t>
      </w:r>
      <w:r>
        <w:rPr>
          <w:rFonts w:asciiTheme="minorEastAsia" w:hAnsiTheme="minorEastAsia" w:eastAsiaTheme="minorEastAsia"/>
          <w:color w:val="auto"/>
          <w:szCs w:val="21"/>
        </w:rPr>
        <w:t>邮政编码：</w:t>
      </w:r>
    </w:p>
    <w:p>
      <w:pPr>
        <w:spacing w:before="120" w:beforeLines="50" w:after="120" w:afterLines="50" w:line="440" w:lineRule="exact"/>
        <w:jc w:val="center"/>
        <w:rPr>
          <w:rFonts w:asciiTheme="minorEastAsia" w:hAnsiTheme="minorEastAsia" w:eastAsiaTheme="minorEastAsia"/>
          <w:color w:val="auto"/>
          <w:szCs w:val="21"/>
        </w:rPr>
      </w:pPr>
    </w:p>
    <w:p>
      <w:pPr>
        <w:pStyle w:val="8"/>
        <w:outlineLvl w:val="9"/>
        <w:rPr>
          <w:color w:val="auto"/>
        </w:rPr>
      </w:pPr>
    </w:p>
    <w:p>
      <w:pPr>
        <w:rPr>
          <w:color w:val="auto"/>
        </w:rPr>
      </w:pPr>
    </w:p>
    <w:p>
      <w:pPr>
        <w:pStyle w:val="14"/>
        <w:rPr>
          <w:color w:val="auto"/>
        </w:rPr>
      </w:pPr>
    </w:p>
    <w:p>
      <w:pPr>
        <w:pStyle w:val="14"/>
        <w:rPr>
          <w:color w:val="auto"/>
        </w:rPr>
      </w:pPr>
    </w:p>
    <w:p>
      <w:pPr>
        <w:spacing w:before="120" w:beforeLines="50" w:after="120" w:afterLines="50" w:line="440" w:lineRule="exact"/>
        <w:jc w:val="center"/>
        <w:rPr>
          <w:rFonts w:asciiTheme="minorEastAsia" w:hAnsiTheme="minorEastAsia" w:eastAsiaTheme="minorEastAsia"/>
          <w:color w:val="auto"/>
          <w:sz w:val="30"/>
          <w:szCs w:val="30"/>
        </w:rPr>
      </w:pPr>
    </w:p>
    <w:p>
      <w:pPr>
        <w:pStyle w:val="2"/>
        <w:rPr>
          <w:rFonts w:asciiTheme="minorEastAsia" w:hAnsiTheme="minorEastAsia" w:eastAsiaTheme="minorEastAsia"/>
          <w:color w:val="auto"/>
          <w:sz w:val="30"/>
          <w:szCs w:val="30"/>
        </w:rPr>
      </w:pPr>
    </w:p>
    <w:p>
      <w:pPr>
        <w:pStyle w:val="2"/>
        <w:rPr>
          <w:rFonts w:asciiTheme="minorEastAsia" w:hAnsiTheme="minorEastAsia" w:eastAsiaTheme="minorEastAsia"/>
          <w:color w:val="auto"/>
          <w:sz w:val="30"/>
          <w:szCs w:val="30"/>
        </w:rPr>
      </w:pPr>
    </w:p>
    <w:p>
      <w:pPr>
        <w:spacing w:before="120" w:beforeLines="50" w:after="120" w:afterLines="50" w:line="440" w:lineRule="exact"/>
        <w:jc w:val="center"/>
        <w:rPr>
          <w:rFonts w:asciiTheme="minorEastAsia" w:hAnsiTheme="minorEastAsia" w:eastAsiaTheme="minorEastAsia"/>
          <w:color w:val="auto"/>
          <w:sz w:val="30"/>
          <w:szCs w:val="30"/>
        </w:rPr>
      </w:pPr>
      <w:bookmarkStart w:id="650" w:name="_Toc3247_WPSOffice_Level1"/>
      <w:r>
        <w:rPr>
          <w:rFonts w:hint="eastAsia" w:asciiTheme="minorEastAsia" w:hAnsiTheme="minorEastAsia" w:eastAsiaTheme="minorEastAsia"/>
          <w:color w:val="auto"/>
          <w:sz w:val="30"/>
          <w:szCs w:val="30"/>
        </w:rPr>
        <w:t>工程质量保修书（市政公用工程）</w:t>
      </w:r>
      <w:bookmarkEnd w:id="650"/>
    </w:p>
    <w:bookmarkEnd w:id="54"/>
    <w:bookmarkEnd w:id="55"/>
    <w:p>
      <w:pPr>
        <w:spacing w:line="360" w:lineRule="auto"/>
        <w:ind w:firstLine="420" w:firstLineChars="200"/>
        <w:rPr>
          <w:rFonts w:hAnsi="宋体"/>
          <w:color w:val="auto"/>
          <w:sz w:val="21"/>
          <w:szCs w:val="21"/>
        </w:rPr>
      </w:pPr>
      <w:bookmarkStart w:id="651" w:name="_Toc108836089"/>
      <w:bookmarkStart w:id="652" w:name="_Toc108835678"/>
      <w:r>
        <w:rPr>
          <w:rFonts w:hAnsi="宋体"/>
          <w:color w:val="auto"/>
          <w:sz w:val="21"/>
          <w:szCs w:val="21"/>
        </w:rPr>
        <w:t>发包人（全称）：</w:t>
      </w:r>
    </w:p>
    <w:p>
      <w:pPr>
        <w:spacing w:line="360" w:lineRule="auto"/>
        <w:ind w:firstLine="420" w:firstLineChars="200"/>
        <w:rPr>
          <w:rFonts w:hAnsi="宋体"/>
          <w:color w:val="auto"/>
          <w:sz w:val="21"/>
          <w:szCs w:val="21"/>
        </w:rPr>
      </w:pPr>
      <w:r>
        <w:rPr>
          <w:rFonts w:hAnsi="宋体"/>
          <w:color w:val="auto"/>
          <w:sz w:val="21"/>
          <w:szCs w:val="21"/>
        </w:rPr>
        <w:t>承包人（全称）：</w:t>
      </w:r>
    </w:p>
    <w:p>
      <w:pPr>
        <w:spacing w:line="360" w:lineRule="auto"/>
        <w:ind w:firstLine="420"/>
        <w:rPr>
          <w:rFonts w:hAnsi="宋体"/>
          <w:color w:val="auto"/>
          <w:sz w:val="21"/>
          <w:szCs w:val="21"/>
        </w:rPr>
      </w:pPr>
      <w:r>
        <w:rPr>
          <w:rFonts w:hAnsi="宋体"/>
          <w:color w:val="auto"/>
          <w:sz w:val="21"/>
          <w:szCs w:val="21"/>
        </w:rPr>
        <w:t>发包人和承包人根据《中华人民共和国建筑法》和《建设工程质量管理条例》，经协商一致就（工程全称）签订工程质量保修书。</w:t>
      </w:r>
    </w:p>
    <w:p>
      <w:pPr>
        <w:spacing w:line="360" w:lineRule="auto"/>
        <w:ind w:firstLine="420" w:firstLineChars="200"/>
        <w:rPr>
          <w:rFonts w:ascii="黑体" w:hAnsi="宋体" w:eastAsia="黑体"/>
          <w:color w:val="auto"/>
          <w:sz w:val="21"/>
          <w:szCs w:val="21"/>
        </w:rPr>
      </w:pPr>
      <w:r>
        <w:rPr>
          <w:rFonts w:hint="eastAsia" w:ascii="黑体" w:hAnsi="宋体" w:eastAsia="黑体"/>
          <w:color w:val="auto"/>
          <w:sz w:val="21"/>
          <w:szCs w:val="21"/>
        </w:rPr>
        <w:t>一、工程质量保修范围和内容</w:t>
      </w:r>
    </w:p>
    <w:p>
      <w:pPr>
        <w:spacing w:before="120" w:beforeLines="50" w:after="120" w:afterLines="50" w:line="30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承包人在质量保修期内，按照有关法律规定和合同约定，承担工程质量保修责任。</w:t>
      </w:r>
    </w:p>
    <w:p>
      <w:pPr>
        <w:spacing w:before="120" w:beforeLines="50" w:after="120" w:afterLines="50" w:line="30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质量保修范围</w:t>
      </w:r>
      <w:r>
        <w:rPr>
          <w:rFonts w:hint="eastAsia" w:asciiTheme="majorEastAsia" w:hAnsiTheme="majorEastAsia" w:eastAsiaTheme="majorEastAsia" w:cstheme="majorEastAsia"/>
          <w:color w:val="auto"/>
          <w:sz w:val="21"/>
          <w:szCs w:val="21"/>
          <w:u w:val="single"/>
        </w:rPr>
        <w:t>包括道路基础工程、道路路面工程、桥梁（涵洞）工程、绿化工程、电气管线、排水管道、照明工程，</w:t>
      </w:r>
      <w:r>
        <w:rPr>
          <w:rFonts w:hint="eastAsia" w:asciiTheme="majorEastAsia" w:hAnsiTheme="majorEastAsia" w:eastAsiaTheme="majorEastAsia" w:cstheme="majorEastAsia"/>
          <w:color w:val="auto"/>
          <w:sz w:val="21"/>
          <w:szCs w:val="21"/>
        </w:rPr>
        <w:t>以及双方约定的其他项目。具体保修的内容，双方约定如下：</w:t>
      </w:r>
    </w:p>
    <w:p>
      <w:pPr>
        <w:spacing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u w:val="single"/>
        </w:rPr>
        <w:t>承包人所承包的全部工作内容</w:t>
      </w:r>
      <w:r>
        <w:rPr>
          <w:rFonts w:hint="eastAsia" w:asciiTheme="majorEastAsia" w:hAnsiTheme="majorEastAsia" w:eastAsiaTheme="majorEastAsia" w:cstheme="majorEastAsia"/>
          <w:color w:val="auto"/>
          <w:sz w:val="21"/>
          <w:szCs w:val="21"/>
        </w:rPr>
        <w:t>。</w:t>
      </w:r>
    </w:p>
    <w:p>
      <w:pPr>
        <w:spacing w:line="36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二、质量保修期</w:t>
      </w:r>
    </w:p>
    <w:p>
      <w:pPr>
        <w:spacing w:before="120" w:beforeLines="50" w:after="120" w:afterLines="50" w:line="300" w:lineRule="auto"/>
        <w:ind w:firstLine="420" w:firstLineChars="2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根据《建设工程质量管理条例》及有关规定，工程的质量保修期如下：</w:t>
      </w:r>
    </w:p>
    <w:p>
      <w:pPr>
        <w:spacing w:line="360" w:lineRule="auto"/>
        <w:ind w:firstLine="42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1．桥梁、隧道（涵洞）主体结构工程为设计文件规定的合理使用年限为限；</w:t>
      </w:r>
    </w:p>
    <w:p>
      <w:pPr>
        <w:spacing w:line="360" w:lineRule="auto"/>
        <w:ind w:firstLine="42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2．道路路基、路面、桥面为</w:t>
      </w:r>
      <w:r>
        <w:rPr>
          <w:rFonts w:hint="eastAsia" w:asciiTheme="majorEastAsia" w:hAnsiTheme="majorEastAsia" w:eastAsiaTheme="majorEastAsia" w:cstheme="majorEastAsia"/>
          <w:color w:val="auto"/>
          <w:sz w:val="21"/>
          <w:szCs w:val="21"/>
          <w:u w:val="single"/>
        </w:rPr>
        <w:t>2</w:t>
      </w:r>
      <w:r>
        <w:rPr>
          <w:rFonts w:hint="eastAsia" w:asciiTheme="majorEastAsia" w:hAnsiTheme="majorEastAsia" w:eastAsiaTheme="majorEastAsia" w:cstheme="majorEastAsia"/>
          <w:color w:val="auto"/>
          <w:sz w:val="21"/>
          <w:szCs w:val="21"/>
        </w:rPr>
        <w:t>年；</w:t>
      </w:r>
    </w:p>
    <w:p>
      <w:pPr>
        <w:spacing w:line="360" w:lineRule="auto"/>
        <w:ind w:firstLine="42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3．排水（雨水）工程为</w:t>
      </w:r>
      <w:r>
        <w:rPr>
          <w:rFonts w:hint="eastAsia" w:asciiTheme="majorEastAsia" w:hAnsiTheme="majorEastAsia" w:eastAsiaTheme="majorEastAsia" w:cstheme="majorEastAsia"/>
          <w:color w:val="auto"/>
          <w:sz w:val="21"/>
          <w:szCs w:val="21"/>
          <w:u w:val="single"/>
        </w:rPr>
        <w:t>3</w:t>
      </w:r>
      <w:r>
        <w:rPr>
          <w:rFonts w:hint="eastAsia" w:asciiTheme="majorEastAsia" w:hAnsiTheme="majorEastAsia" w:eastAsiaTheme="majorEastAsia" w:cstheme="majorEastAsia"/>
          <w:color w:val="auto"/>
          <w:sz w:val="21"/>
          <w:szCs w:val="21"/>
        </w:rPr>
        <w:t>年；</w:t>
      </w:r>
    </w:p>
    <w:p>
      <w:pPr>
        <w:spacing w:line="360" w:lineRule="auto"/>
        <w:ind w:firstLine="42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4．绿化工程为单位工程竣工验收合格后</w:t>
      </w:r>
      <w:r>
        <w:rPr>
          <w:rFonts w:hint="eastAsia" w:asciiTheme="majorEastAsia" w:hAnsiTheme="majorEastAsia" w:eastAsiaTheme="majorEastAsia" w:cstheme="majorEastAsia"/>
          <w:color w:val="auto"/>
          <w:sz w:val="21"/>
          <w:szCs w:val="21"/>
          <w:u w:val="single"/>
        </w:rPr>
        <w:t>1</w:t>
      </w:r>
      <w:r>
        <w:rPr>
          <w:rFonts w:hint="eastAsia" w:asciiTheme="majorEastAsia" w:hAnsiTheme="majorEastAsia" w:eastAsiaTheme="majorEastAsia" w:cstheme="majorEastAsia"/>
          <w:color w:val="auto"/>
          <w:sz w:val="21"/>
          <w:szCs w:val="21"/>
        </w:rPr>
        <w:t>年；</w:t>
      </w:r>
    </w:p>
    <w:p>
      <w:pPr>
        <w:spacing w:line="360" w:lineRule="auto"/>
        <w:ind w:firstLine="42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 地下防水工程为</w:t>
      </w:r>
      <w:r>
        <w:rPr>
          <w:rFonts w:hint="eastAsia" w:asciiTheme="majorEastAsia" w:hAnsiTheme="majorEastAsia" w:eastAsiaTheme="majorEastAsia" w:cstheme="majorEastAsia"/>
          <w:color w:val="auto"/>
          <w:sz w:val="21"/>
          <w:szCs w:val="21"/>
          <w:u w:val="single"/>
        </w:rPr>
        <w:t>5</w:t>
      </w:r>
      <w:r>
        <w:rPr>
          <w:rFonts w:hint="eastAsia" w:asciiTheme="majorEastAsia" w:hAnsiTheme="majorEastAsia" w:eastAsiaTheme="majorEastAsia" w:cstheme="majorEastAsia"/>
          <w:color w:val="auto"/>
          <w:sz w:val="21"/>
          <w:szCs w:val="21"/>
        </w:rPr>
        <w:t>年；</w:t>
      </w:r>
    </w:p>
    <w:p>
      <w:pPr>
        <w:spacing w:line="360" w:lineRule="auto"/>
        <w:ind w:firstLine="42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6．其他附属工程为</w:t>
      </w:r>
      <w:r>
        <w:rPr>
          <w:rFonts w:hint="eastAsia" w:asciiTheme="majorEastAsia" w:hAnsiTheme="majorEastAsia" w:eastAsiaTheme="majorEastAsia" w:cstheme="majorEastAsia"/>
          <w:color w:val="auto"/>
          <w:sz w:val="21"/>
          <w:szCs w:val="21"/>
          <w:u w:val="single"/>
        </w:rPr>
        <w:t>2</w:t>
      </w:r>
      <w:r>
        <w:rPr>
          <w:rFonts w:hint="eastAsia" w:asciiTheme="majorEastAsia" w:hAnsiTheme="majorEastAsia" w:eastAsiaTheme="majorEastAsia" w:cstheme="majorEastAsia"/>
          <w:color w:val="auto"/>
          <w:sz w:val="21"/>
          <w:szCs w:val="21"/>
        </w:rPr>
        <w:t>年；</w:t>
      </w:r>
    </w:p>
    <w:p>
      <w:pPr>
        <w:spacing w:line="360" w:lineRule="auto"/>
        <w:ind w:firstLine="426"/>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7．其他项目保修期限约定如下：</w:t>
      </w:r>
      <w:r>
        <w:rPr>
          <w:rFonts w:hint="eastAsia" w:asciiTheme="majorEastAsia" w:hAnsiTheme="majorEastAsia" w:eastAsiaTheme="majorEastAsia" w:cstheme="majorEastAsia"/>
          <w:color w:val="auto"/>
          <w:sz w:val="21"/>
          <w:szCs w:val="21"/>
          <w:u w:val="single"/>
        </w:rPr>
        <w:t>/</w:t>
      </w:r>
      <w:r>
        <w:rPr>
          <w:rFonts w:hint="eastAsia" w:asciiTheme="majorEastAsia" w:hAnsiTheme="majorEastAsia" w:eastAsiaTheme="majorEastAsia" w:cstheme="majorEastAsia"/>
          <w:color w:val="auto"/>
          <w:sz w:val="21"/>
          <w:szCs w:val="21"/>
        </w:rPr>
        <w:t>。</w:t>
      </w:r>
    </w:p>
    <w:p>
      <w:pPr>
        <w:spacing w:line="360" w:lineRule="auto"/>
        <w:ind w:firstLine="420" w:firstLineChars="200"/>
        <w:rPr>
          <w:rFonts w:hAnsi="宋体"/>
          <w:color w:val="auto"/>
          <w:sz w:val="21"/>
          <w:szCs w:val="21"/>
        </w:rPr>
      </w:pPr>
      <w:r>
        <w:rPr>
          <w:rFonts w:hint="eastAsia" w:asciiTheme="majorEastAsia" w:hAnsiTheme="majorEastAsia" w:eastAsiaTheme="majorEastAsia" w:cstheme="majorEastAsia"/>
          <w:color w:val="auto"/>
          <w:sz w:val="21"/>
          <w:szCs w:val="21"/>
        </w:rPr>
        <w:t>质量保修期自工程竣工验收合格之日起计算</w:t>
      </w:r>
      <w:r>
        <w:rPr>
          <w:rFonts w:hint="eastAsia" w:ascii="楷体_GB2312" w:hAnsi="宋体" w:eastAsia="楷体_GB2312"/>
          <w:color w:val="auto"/>
          <w:sz w:val="21"/>
          <w:szCs w:val="21"/>
        </w:rPr>
        <w:t>。</w:t>
      </w:r>
    </w:p>
    <w:p>
      <w:pPr>
        <w:spacing w:line="360" w:lineRule="auto"/>
        <w:ind w:firstLine="420" w:firstLineChars="200"/>
        <w:rPr>
          <w:rFonts w:ascii="黑体" w:hAnsi="宋体" w:eastAsia="黑体"/>
          <w:color w:val="auto"/>
          <w:sz w:val="21"/>
          <w:szCs w:val="21"/>
        </w:rPr>
      </w:pPr>
      <w:r>
        <w:rPr>
          <w:rFonts w:hint="eastAsia" w:ascii="黑体" w:hAnsi="宋体" w:eastAsia="黑体"/>
          <w:color w:val="auto"/>
          <w:sz w:val="21"/>
          <w:szCs w:val="21"/>
        </w:rPr>
        <w:t>三、缺陷责任期</w:t>
      </w:r>
    </w:p>
    <w:p>
      <w:pPr>
        <w:spacing w:line="360" w:lineRule="auto"/>
        <w:ind w:firstLine="420" w:firstLineChars="200"/>
        <w:rPr>
          <w:rFonts w:hAnsi="宋体"/>
          <w:color w:val="auto"/>
          <w:sz w:val="21"/>
          <w:szCs w:val="21"/>
        </w:rPr>
      </w:pPr>
      <w:r>
        <w:rPr>
          <w:rFonts w:hAnsi="宋体"/>
          <w:color w:val="auto"/>
          <w:sz w:val="21"/>
          <w:szCs w:val="21"/>
        </w:rPr>
        <w:t>工程缺陷责任期为</w:t>
      </w:r>
      <w:r>
        <w:rPr>
          <w:rFonts w:hint="eastAsia" w:hAnsi="宋体"/>
          <w:color w:val="auto"/>
          <w:sz w:val="21"/>
          <w:szCs w:val="21"/>
          <w:u w:val="single"/>
        </w:rPr>
        <w:t>24</w:t>
      </w:r>
      <w:r>
        <w:rPr>
          <w:rFonts w:hAnsi="宋体"/>
          <w:color w:val="auto"/>
          <w:sz w:val="21"/>
          <w:szCs w:val="21"/>
        </w:rPr>
        <w:t>个月</w:t>
      </w:r>
      <w:r>
        <w:rPr>
          <w:rFonts w:hint="eastAsia" w:hAnsi="宋体"/>
          <w:color w:val="auto"/>
          <w:sz w:val="21"/>
          <w:szCs w:val="21"/>
        </w:rPr>
        <w:t>（最长不超过24个月）</w:t>
      </w:r>
      <w:r>
        <w:rPr>
          <w:rFonts w:hAnsi="宋体"/>
          <w:color w:val="auto"/>
          <w:sz w:val="21"/>
          <w:szCs w:val="21"/>
        </w:rPr>
        <w:t>，缺陷责任期自工程竣工验收合格之日起计算。单位工程先于全部工程进行验收，单位工程缺陷责任期自单位工程验收合格之日起算。</w:t>
      </w:r>
    </w:p>
    <w:p>
      <w:pPr>
        <w:spacing w:line="360" w:lineRule="auto"/>
        <w:ind w:firstLine="420" w:firstLineChars="200"/>
        <w:rPr>
          <w:rFonts w:hAnsi="宋体"/>
          <w:color w:val="auto"/>
          <w:sz w:val="21"/>
          <w:szCs w:val="21"/>
        </w:rPr>
      </w:pPr>
      <w:r>
        <w:rPr>
          <w:rFonts w:hAnsi="宋体"/>
          <w:color w:val="auto"/>
          <w:sz w:val="21"/>
          <w:szCs w:val="21"/>
        </w:rPr>
        <w:t>缺陷责任期终止后，发包人应退还剩余的质量保证金。</w:t>
      </w:r>
    </w:p>
    <w:p>
      <w:pPr>
        <w:spacing w:line="360" w:lineRule="auto"/>
        <w:ind w:firstLine="420" w:firstLineChars="200"/>
        <w:rPr>
          <w:rFonts w:ascii="黑体" w:hAnsi="宋体" w:eastAsia="黑体"/>
          <w:color w:val="auto"/>
          <w:sz w:val="21"/>
          <w:szCs w:val="21"/>
        </w:rPr>
      </w:pPr>
      <w:r>
        <w:rPr>
          <w:rFonts w:hint="eastAsia" w:ascii="黑体" w:hAnsi="宋体" w:eastAsia="黑体"/>
          <w:color w:val="auto"/>
          <w:sz w:val="21"/>
          <w:szCs w:val="21"/>
        </w:rPr>
        <w:t>四、质量保修责任</w:t>
      </w:r>
    </w:p>
    <w:p>
      <w:pPr>
        <w:spacing w:line="360" w:lineRule="auto"/>
        <w:ind w:firstLine="420" w:firstLineChars="200"/>
        <w:rPr>
          <w:rFonts w:hAnsi="宋体"/>
          <w:color w:val="auto"/>
          <w:sz w:val="21"/>
          <w:szCs w:val="21"/>
        </w:rPr>
      </w:pPr>
      <w:r>
        <w:rPr>
          <w:rFonts w:hint="eastAsia" w:hAnsi="宋体"/>
          <w:color w:val="auto"/>
          <w:sz w:val="21"/>
          <w:szCs w:val="21"/>
        </w:rPr>
        <w:t>1．</w:t>
      </w:r>
      <w:r>
        <w:rPr>
          <w:rFonts w:hAnsi="宋体"/>
          <w:color w:val="auto"/>
          <w:sz w:val="21"/>
          <w:szCs w:val="21"/>
        </w:rPr>
        <w:t>属于保修范围、内容的项目，承包人应当在接到保修通知之日起</w:t>
      </w:r>
      <w:r>
        <w:rPr>
          <w:rFonts w:hint="eastAsia" w:hAnsi="宋体"/>
          <w:color w:val="auto"/>
          <w:sz w:val="21"/>
          <w:szCs w:val="21"/>
          <w:u w:val="single"/>
        </w:rPr>
        <w:t xml:space="preserve">  7   </w:t>
      </w:r>
      <w:r>
        <w:rPr>
          <w:rFonts w:hAnsi="宋体"/>
          <w:color w:val="auto"/>
          <w:sz w:val="21"/>
          <w:szCs w:val="21"/>
        </w:rPr>
        <w:t>天内派人保修。承包人不在约定期限内派人保修的，发包人可以委托他人修理</w:t>
      </w:r>
      <w:r>
        <w:rPr>
          <w:rFonts w:hint="eastAsia" w:hAnsi="宋体"/>
          <w:color w:val="auto"/>
          <w:sz w:val="21"/>
          <w:szCs w:val="21"/>
        </w:rPr>
        <w:t>，修理费用从质量保修金内扣除</w:t>
      </w:r>
      <w:r>
        <w:rPr>
          <w:rFonts w:hAnsi="宋体"/>
          <w:color w:val="auto"/>
          <w:sz w:val="21"/>
          <w:szCs w:val="21"/>
        </w:rPr>
        <w:t>。</w:t>
      </w:r>
    </w:p>
    <w:p>
      <w:pPr>
        <w:spacing w:line="360" w:lineRule="auto"/>
        <w:ind w:firstLine="420" w:firstLineChars="200"/>
        <w:rPr>
          <w:rFonts w:hAnsi="宋体"/>
          <w:color w:val="auto"/>
          <w:sz w:val="21"/>
          <w:szCs w:val="21"/>
        </w:rPr>
      </w:pPr>
      <w:r>
        <w:rPr>
          <w:rFonts w:hint="eastAsia" w:hAnsi="宋体"/>
          <w:color w:val="auto"/>
          <w:sz w:val="21"/>
          <w:szCs w:val="21"/>
        </w:rPr>
        <w:t>2．</w:t>
      </w:r>
      <w:r>
        <w:rPr>
          <w:rFonts w:hAnsi="宋体"/>
          <w:color w:val="auto"/>
          <w:sz w:val="21"/>
          <w:szCs w:val="21"/>
        </w:rPr>
        <w:t>发生紧急事故需抢修的，承包人在接到事故通知后，应当立即到达事故现场抢修。</w:t>
      </w:r>
    </w:p>
    <w:p>
      <w:pPr>
        <w:spacing w:line="360" w:lineRule="auto"/>
        <w:ind w:firstLine="420" w:firstLineChars="200"/>
        <w:rPr>
          <w:rFonts w:hAnsi="宋体"/>
          <w:color w:val="auto"/>
          <w:sz w:val="21"/>
          <w:szCs w:val="21"/>
        </w:rPr>
      </w:pPr>
      <w:r>
        <w:rPr>
          <w:rFonts w:hint="eastAsia" w:hAnsi="宋体"/>
          <w:color w:val="auto"/>
          <w:sz w:val="21"/>
          <w:szCs w:val="21"/>
        </w:rPr>
        <w:t>3．</w:t>
      </w:r>
      <w:r>
        <w:rPr>
          <w:rFonts w:hAnsi="宋体"/>
          <w:color w:val="auto"/>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hAnsi="宋体"/>
          <w:color w:val="auto"/>
          <w:sz w:val="21"/>
          <w:szCs w:val="21"/>
        </w:rPr>
      </w:pPr>
      <w:r>
        <w:rPr>
          <w:rFonts w:hint="eastAsia" w:hAnsi="宋体"/>
          <w:color w:val="auto"/>
          <w:sz w:val="21"/>
          <w:szCs w:val="21"/>
        </w:rPr>
        <w:t>4．</w:t>
      </w:r>
      <w:r>
        <w:rPr>
          <w:rFonts w:hAnsi="宋体"/>
          <w:color w:val="auto"/>
          <w:sz w:val="21"/>
          <w:szCs w:val="21"/>
        </w:rPr>
        <w:t>质量保修完成后，由发包人组织验收。</w:t>
      </w:r>
    </w:p>
    <w:p>
      <w:pPr>
        <w:spacing w:line="360" w:lineRule="auto"/>
        <w:ind w:firstLine="420" w:firstLineChars="200"/>
        <w:rPr>
          <w:rFonts w:ascii="黑体" w:hAnsi="宋体" w:eastAsia="黑体"/>
          <w:color w:val="auto"/>
          <w:sz w:val="21"/>
          <w:szCs w:val="21"/>
        </w:rPr>
      </w:pPr>
      <w:r>
        <w:rPr>
          <w:rFonts w:hint="eastAsia" w:ascii="黑体" w:hAnsi="宋体" w:eastAsia="黑体"/>
          <w:color w:val="auto"/>
          <w:sz w:val="21"/>
          <w:szCs w:val="21"/>
        </w:rPr>
        <w:t>五、保修费用</w:t>
      </w:r>
    </w:p>
    <w:p>
      <w:pPr>
        <w:spacing w:line="360" w:lineRule="auto"/>
        <w:ind w:firstLine="420" w:firstLineChars="200"/>
        <w:rPr>
          <w:rFonts w:hAnsi="宋体"/>
          <w:color w:val="auto"/>
          <w:sz w:val="21"/>
          <w:szCs w:val="21"/>
        </w:rPr>
      </w:pPr>
      <w:r>
        <w:rPr>
          <w:rFonts w:hAnsi="宋体"/>
          <w:color w:val="auto"/>
          <w:sz w:val="21"/>
          <w:szCs w:val="21"/>
        </w:rPr>
        <w:t>保修费用由造成质量缺陷的责任方承担。</w:t>
      </w:r>
    </w:p>
    <w:p>
      <w:pPr>
        <w:spacing w:line="360" w:lineRule="auto"/>
        <w:jc w:val="left"/>
        <w:rPr>
          <w:rFonts w:hint="eastAsia" w:ascii="宋体" w:hAnsi="宋体" w:eastAsia="宋体" w:cs="宋体"/>
          <w:color w:val="auto"/>
          <w:sz w:val="21"/>
          <w:szCs w:val="21"/>
        </w:rPr>
      </w:pPr>
      <w:r>
        <w:rPr>
          <w:rFonts w:hint="eastAsia" w:ascii="黑体" w:hAnsi="宋体" w:eastAsia="黑体"/>
          <w:color w:val="auto"/>
          <w:sz w:val="21"/>
          <w:szCs w:val="21"/>
        </w:rPr>
        <w:t>六、双方约定的其他工程质量保修事项：</w:t>
      </w:r>
      <w:r>
        <w:rPr>
          <w:rFonts w:hint="eastAsia" w:ascii="宋体" w:hAnsi="宋体" w:eastAsia="宋体" w:cs="宋体"/>
          <w:color w:val="auto"/>
          <w:sz w:val="21"/>
          <w:szCs w:val="21"/>
          <w:u w:val="single"/>
        </w:rPr>
        <w:t>在保修期内承包人应按保修内容进行保修，若承包人不在约定期限内派人保修的，发包人则安排其它公司修理，在保修期内发生的修理费用由承包人负责或由发包人从保修金中扣出</w:t>
      </w:r>
      <w:r>
        <w:rPr>
          <w:rFonts w:hint="eastAsia" w:ascii="宋体" w:hAnsi="宋体" w:eastAsia="宋体" w:cs="宋体"/>
          <w:color w:val="auto"/>
          <w:sz w:val="21"/>
          <w:szCs w:val="21"/>
        </w:rPr>
        <w:t>。</w:t>
      </w:r>
    </w:p>
    <w:p>
      <w:pPr>
        <w:spacing w:line="360" w:lineRule="auto"/>
        <w:ind w:firstLine="399" w:firstLineChars="190"/>
        <w:rPr>
          <w:rFonts w:hAnsi="宋体"/>
          <w:color w:val="auto"/>
          <w:sz w:val="21"/>
          <w:szCs w:val="21"/>
        </w:rPr>
      </w:pPr>
      <w:r>
        <w:rPr>
          <w:rFonts w:hAnsi="宋体"/>
          <w:color w:val="auto"/>
          <w:sz w:val="21"/>
          <w:szCs w:val="21"/>
        </w:rPr>
        <w:t>工程质量保修书由发包人、承包人在工程竣工验收前共同签署，作为施工合同附件，其有效期限至保修期满。</w:t>
      </w:r>
    </w:p>
    <w:p>
      <w:pPr>
        <w:spacing w:line="360" w:lineRule="auto"/>
        <w:ind w:firstLine="420"/>
        <w:rPr>
          <w:rFonts w:hAnsi="宋体"/>
          <w:color w:val="auto"/>
          <w:sz w:val="21"/>
          <w:szCs w:val="21"/>
        </w:rPr>
      </w:pPr>
    </w:p>
    <w:p>
      <w:pPr>
        <w:spacing w:line="360" w:lineRule="auto"/>
        <w:rPr>
          <w:color w:val="auto"/>
          <w:sz w:val="21"/>
          <w:szCs w:val="21"/>
          <w:u w:val="none"/>
        </w:rPr>
      </w:pPr>
      <w:r>
        <w:rPr>
          <w:rFonts w:hAnsi="宋体"/>
          <w:color w:val="auto"/>
          <w:sz w:val="21"/>
          <w:szCs w:val="21"/>
        </w:rPr>
        <w:t>发包人</w:t>
      </w:r>
      <w:r>
        <w:rPr>
          <w:rFonts w:hint="eastAsia"/>
          <w:color w:val="auto"/>
          <w:sz w:val="21"/>
          <w:szCs w:val="21"/>
        </w:rPr>
        <w:t>（</w:t>
      </w:r>
      <w:r>
        <w:rPr>
          <w:rFonts w:hAnsi="宋体"/>
          <w:color w:val="auto"/>
          <w:sz w:val="21"/>
          <w:szCs w:val="21"/>
        </w:rPr>
        <w:t>公章</w:t>
      </w:r>
      <w:r>
        <w:rPr>
          <w:rFonts w:hint="eastAsia"/>
          <w:color w:val="auto"/>
          <w:sz w:val="21"/>
          <w:szCs w:val="21"/>
        </w:rPr>
        <w:t>）</w:t>
      </w:r>
      <w:r>
        <w:rPr>
          <w:rFonts w:hAnsi="宋体"/>
          <w:color w:val="auto"/>
          <w:sz w:val="21"/>
          <w:szCs w:val="21"/>
        </w:rPr>
        <w:t>：</w:t>
      </w:r>
      <w:r>
        <w:rPr>
          <w:rFonts w:hAnsi="宋体"/>
          <w:color w:val="auto"/>
          <w:sz w:val="21"/>
          <w:szCs w:val="21"/>
          <w:u w:val="none"/>
        </w:rPr>
        <w:t></w:t>
      </w:r>
      <w:r>
        <w:rPr>
          <w:rFonts w:hint="eastAsia" w:hAnsi="宋体"/>
          <w:color w:val="auto"/>
          <w:sz w:val="21"/>
          <w:szCs w:val="21"/>
          <w:u w:val="none"/>
          <w:lang w:val="en-US" w:eastAsia="zh-CN"/>
        </w:rPr>
        <w:t xml:space="preserve">                    </w:t>
      </w:r>
      <w:r>
        <w:rPr>
          <w:rFonts w:hAnsi="宋体"/>
          <w:color w:val="auto"/>
          <w:sz w:val="21"/>
          <w:szCs w:val="21"/>
        </w:rPr>
        <w:t>承包人</w:t>
      </w:r>
      <w:r>
        <w:rPr>
          <w:rFonts w:hint="eastAsia"/>
          <w:color w:val="auto"/>
          <w:sz w:val="21"/>
          <w:szCs w:val="21"/>
        </w:rPr>
        <w:t>（</w:t>
      </w:r>
      <w:r>
        <w:rPr>
          <w:rFonts w:hAnsi="宋体"/>
          <w:color w:val="auto"/>
          <w:sz w:val="21"/>
          <w:szCs w:val="21"/>
        </w:rPr>
        <w:t>公章</w:t>
      </w:r>
      <w:r>
        <w:rPr>
          <w:rFonts w:hint="eastAsia"/>
          <w:color w:val="auto"/>
          <w:sz w:val="21"/>
          <w:szCs w:val="21"/>
        </w:rPr>
        <w:t>）</w:t>
      </w:r>
      <w:r>
        <w:rPr>
          <w:rFonts w:hAnsi="宋体"/>
          <w:color w:val="auto"/>
          <w:sz w:val="21"/>
          <w:szCs w:val="21"/>
        </w:rPr>
        <w:t>：</w:t>
      </w:r>
      <w:r>
        <w:rPr>
          <w:rFonts w:hAnsi="宋体"/>
          <w:color w:val="auto"/>
          <w:sz w:val="21"/>
          <w:szCs w:val="21"/>
          <w:u w:val="none"/>
        </w:rPr>
        <w:t></w:t>
      </w:r>
    </w:p>
    <w:p>
      <w:pPr>
        <w:spacing w:line="360" w:lineRule="auto"/>
        <w:rPr>
          <w:color w:val="auto"/>
          <w:sz w:val="21"/>
          <w:szCs w:val="21"/>
        </w:rPr>
      </w:pPr>
      <w:r>
        <w:rPr>
          <w:rFonts w:hAnsi="宋体"/>
          <w:color w:val="auto"/>
          <w:sz w:val="21"/>
          <w:szCs w:val="21"/>
        </w:rPr>
        <w:t>地址：</w:t>
      </w:r>
      <w:r>
        <w:rPr>
          <w:rFonts w:hAnsi="宋体"/>
          <w:color w:val="auto"/>
          <w:sz w:val="21"/>
          <w:szCs w:val="21"/>
          <w:u w:val="none"/>
        </w:rPr>
        <w:t></w:t>
      </w:r>
      <w:r>
        <w:rPr>
          <w:rFonts w:hint="eastAsia" w:hAnsi="宋体"/>
          <w:color w:val="auto"/>
          <w:sz w:val="21"/>
          <w:szCs w:val="21"/>
          <w:u w:val="none"/>
          <w:lang w:val="en-US" w:eastAsia="zh-CN"/>
        </w:rPr>
        <w:t xml:space="preserve">                  </w:t>
      </w:r>
      <w:r>
        <w:rPr>
          <w:rFonts w:hAnsi="宋体"/>
          <w:color w:val="auto"/>
          <w:sz w:val="21"/>
          <w:szCs w:val="21"/>
          <w:u w:val="none"/>
        </w:rPr>
        <w:t></w:t>
      </w:r>
      <w:r>
        <w:rPr>
          <w:rFonts w:hint="eastAsia" w:hAnsi="宋体"/>
          <w:color w:val="auto"/>
          <w:sz w:val="21"/>
          <w:szCs w:val="21"/>
          <w:u w:val="none"/>
          <w:lang w:val="en-US" w:eastAsia="zh-CN"/>
        </w:rPr>
        <w:t xml:space="preserve">  </w:t>
      </w:r>
      <w:r>
        <w:rPr>
          <w:rFonts w:hAnsi="宋体"/>
          <w:color w:val="auto"/>
          <w:sz w:val="21"/>
          <w:szCs w:val="21"/>
        </w:rPr>
        <w:t>地址：</w:t>
      </w:r>
      <w:r>
        <w:rPr>
          <w:rFonts w:hAnsi="宋体"/>
          <w:color w:val="auto"/>
          <w:sz w:val="21"/>
          <w:szCs w:val="21"/>
          <w:u w:val="none"/>
        </w:rPr>
        <w:t></w:t>
      </w:r>
    </w:p>
    <w:p>
      <w:pPr>
        <w:spacing w:line="360" w:lineRule="auto"/>
        <w:rPr>
          <w:color w:val="auto"/>
          <w:sz w:val="21"/>
          <w:szCs w:val="21"/>
          <w:u w:val="none"/>
        </w:rPr>
      </w:pPr>
      <w:r>
        <w:rPr>
          <w:rFonts w:hAnsi="宋体"/>
          <w:color w:val="auto"/>
          <w:sz w:val="21"/>
          <w:szCs w:val="21"/>
        </w:rPr>
        <w:t>法定代表人</w:t>
      </w:r>
      <w:r>
        <w:rPr>
          <w:rFonts w:hint="eastAsia"/>
          <w:color w:val="auto"/>
          <w:sz w:val="21"/>
          <w:szCs w:val="21"/>
        </w:rPr>
        <w:t>（</w:t>
      </w:r>
      <w:r>
        <w:rPr>
          <w:rFonts w:hAnsi="宋体"/>
          <w:color w:val="auto"/>
          <w:sz w:val="21"/>
          <w:szCs w:val="21"/>
        </w:rPr>
        <w:t>签字</w:t>
      </w:r>
      <w:r>
        <w:rPr>
          <w:rFonts w:hint="eastAsia"/>
          <w:color w:val="auto"/>
          <w:sz w:val="21"/>
          <w:szCs w:val="21"/>
        </w:rPr>
        <w:t>）</w:t>
      </w:r>
      <w:r>
        <w:rPr>
          <w:rFonts w:hAnsi="宋体"/>
          <w:color w:val="auto"/>
          <w:sz w:val="21"/>
          <w:szCs w:val="21"/>
        </w:rPr>
        <w:t>：</w:t>
      </w:r>
      <w:r>
        <w:rPr>
          <w:rFonts w:hAnsi="宋体"/>
          <w:color w:val="auto"/>
          <w:sz w:val="21"/>
          <w:szCs w:val="21"/>
          <w:u w:val="none"/>
        </w:rPr>
        <w:t></w:t>
      </w:r>
      <w:r>
        <w:rPr>
          <w:rFonts w:hint="eastAsia" w:hAnsi="宋体"/>
          <w:color w:val="auto"/>
          <w:sz w:val="21"/>
          <w:szCs w:val="21"/>
          <w:u w:val="none"/>
          <w:lang w:val="en-US" w:eastAsia="zh-CN"/>
        </w:rPr>
        <w:t xml:space="preserve">                </w:t>
      </w:r>
      <w:r>
        <w:rPr>
          <w:rFonts w:hAnsi="宋体"/>
          <w:color w:val="auto"/>
          <w:sz w:val="21"/>
          <w:szCs w:val="21"/>
        </w:rPr>
        <w:t>法定代表人</w:t>
      </w:r>
      <w:r>
        <w:rPr>
          <w:rFonts w:hint="eastAsia"/>
          <w:color w:val="auto"/>
          <w:sz w:val="21"/>
          <w:szCs w:val="21"/>
        </w:rPr>
        <w:t>（</w:t>
      </w:r>
      <w:r>
        <w:rPr>
          <w:rFonts w:hAnsi="宋体"/>
          <w:color w:val="auto"/>
          <w:sz w:val="21"/>
          <w:szCs w:val="21"/>
        </w:rPr>
        <w:t>签字</w:t>
      </w:r>
      <w:r>
        <w:rPr>
          <w:rFonts w:hint="eastAsia"/>
          <w:color w:val="auto"/>
          <w:sz w:val="21"/>
          <w:szCs w:val="21"/>
        </w:rPr>
        <w:t>）</w:t>
      </w:r>
      <w:r>
        <w:rPr>
          <w:rFonts w:hAnsi="宋体"/>
          <w:color w:val="auto"/>
          <w:sz w:val="21"/>
          <w:szCs w:val="21"/>
        </w:rPr>
        <w:t>：</w:t>
      </w:r>
      <w:r>
        <w:rPr>
          <w:rFonts w:hAnsi="宋体"/>
          <w:color w:val="auto"/>
          <w:sz w:val="21"/>
          <w:szCs w:val="21"/>
          <w:u w:val="none"/>
        </w:rPr>
        <w:t></w:t>
      </w:r>
    </w:p>
    <w:p>
      <w:pPr>
        <w:spacing w:line="360" w:lineRule="auto"/>
        <w:rPr>
          <w:color w:val="auto"/>
          <w:sz w:val="21"/>
          <w:szCs w:val="21"/>
        </w:rPr>
      </w:pPr>
      <w:r>
        <w:rPr>
          <w:rFonts w:hAnsi="宋体"/>
          <w:color w:val="auto"/>
          <w:sz w:val="21"/>
          <w:szCs w:val="21"/>
        </w:rPr>
        <w:t>委托代理人</w:t>
      </w:r>
      <w:r>
        <w:rPr>
          <w:rFonts w:hint="eastAsia"/>
          <w:color w:val="auto"/>
          <w:sz w:val="21"/>
          <w:szCs w:val="21"/>
        </w:rPr>
        <w:t>（</w:t>
      </w:r>
      <w:r>
        <w:rPr>
          <w:rFonts w:hAnsi="宋体"/>
          <w:color w:val="auto"/>
          <w:sz w:val="21"/>
          <w:szCs w:val="21"/>
        </w:rPr>
        <w:t>签字</w:t>
      </w:r>
      <w:r>
        <w:rPr>
          <w:rFonts w:hint="eastAsia"/>
          <w:color w:val="auto"/>
          <w:sz w:val="21"/>
          <w:szCs w:val="21"/>
        </w:rPr>
        <w:t>）</w:t>
      </w:r>
      <w:r>
        <w:rPr>
          <w:rFonts w:hAnsi="宋体"/>
          <w:color w:val="auto"/>
          <w:sz w:val="21"/>
          <w:szCs w:val="21"/>
        </w:rPr>
        <w:t>：</w:t>
      </w:r>
      <w:r>
        <w:rPr>
          <w:rFonts w:hAnsi="宋体"/>
          <w:color w:val="auto"/>
          <w:sz w:val="21"/>
          <w:szCs w:val="21"/>
          <w:u w:val="none"/>
        </w:rPr>
        <w:t></w:t>
      </w:r>
      <w:r>
        <w:rPr>
          <w:rFonts w:hint="eastAsia" w:hAnsi="宋体"/>
          <w:color w:val="auto"/>
          <w:sz w:val="21"/>
          <w:szCs w:val="21"/>
          <w:u w:val="none"/>
          <w:lang w:val="en-US" w:eastAsia="zh-CN"/>
        </w:rPr>
        <w:t xml:space="preserve">                </w:t>
      </w:r>
      <w:r>
        <w:rPr>
          <w:rFonts w:hAnsi="宋体"/>
          <w:color w:val="auto"/>
          <w:sz w:val="21"/>
          <w:szCs w:val="21"/>
        </w:rPr>
        <w:t>委托代理人</w:t>
      </w:r>
      <w:r>
        <w:rPr>
          <w:rFonts w:hint="eastAsia"/>
          <w:color w:val="auto"/>
          <w:sz w:val="21"/>
          <w:szCs w:val="21"/>
        </w:rPr>
        <w:t>（</w:t>
      </w:r>
      <w:r>
        <w:rPr>
          <w:rFonts w:hAnsi="宋体"/>
          <w:color w:val="auto"/>
          <w:sz w:val="21"/>
          <w:szCs w:val="21"/>
        </w:rPr>
        <w:t>签字</w:t>
      </w:r>
      <w:r>
        <w:rPr>
          <w:rFonts w:hint="eastAsia"/>
          <w:color w:val="auto"/>
          <w:sz w:val="21"/>
          <w:szCs w:val="21"/>
        </w:rPr>
        <w:t>）</w:t>
      </w:r>
      <w:r>
        <w:rPr>
          <w:rFonts w:hAnsi="宋体"/>
          <w:color w:val="auto"/>
          <w:sz w:val="21"/>
          <w:szCs w:val="21"/>
        </w:rPr>
        <w:t>：</w:t>
      </w:r>
      <w:r>
        <w:rPr>
          <w:rFonts w:hAnsi="宋体"/>
          <w:color w:val="auto"/>
          <w:sz w:val="21"/>
          <w:szCs w:val="21"/>
          <w:u w:val="none"/>
        </w:rPr>
        <w:t></w:t>
      </w:r>
    </w:p>
    <w:p>
      <w:pPr>
        <w:spacing w:line="360" w:lineRule="auto"/>
        <w:rPr>
          <w:color w:val="auto"/>
          <w:sz w:val="21"/>
          <w:szCs w:val="21"/>
        </w:rPr>
      </w:pPr>
      <w:r>
        <w:rPr>
          <w:rFonts w:hAnsi="宋体"/>
          <w:color w:val="auto"/>
          <w:sz w:val="21"/>
          <w:szCs w:val="21"/>
        </w:rPr>
        <w:t>电话：</w:t>
      </w:r>
      <w:r>
        <w:rPr>
          <w:rFonts w:hAnsi="宋体"/>
          <w:i w:val="0"/>
          <w:iCs w:val="0"/>
          <w:color w:val="auto"/>
          <w:sz w:val="21"/>
          <w:szCs w:val="21"/>
          <w:u w:val="none"/>
        </w:rPr>
        <w:t></w:t>
      </w:r>
      <w:r>
        <w:rPr>
          <w:rFonts w:hint="eastAsia" w:hAnsi="宋体"/>
          <w:i w:val="0"/>
          <w:iCs w:val="0"/>
          <w:color w:val="auto"/>
          <w:sz w:val="21"/>
          <w:szCs w:val="21"/>
          <w:u w:val="none"/>
          <w:lang w:val="en-US" w:eastAsia="zh-CN"/>
        </w:rPr>
        <w:t xml:space="preserve">                  </w:t>
      </w:r>
      <w:r>
        <w:rPr>
          <w:rFonts w:hAnsi="宋体"/>
          <w:color w:val="auto"/>
          <w:sz w:val="21"/>
          <w:szCs w:val="21"/>
        </w:rPr>
        <w:t>电话：</w:t>
      </w:r>
      <w:r>
        <w:rPr>
          <w:rFonts w:hAnsi="宋体"/>
          <w:color w:val="auto"/>
          <w:sz w:val="21"/>
          <w:szCs w:val="21"/>
          <w:u w:val="none"/>
        </w:rPr>
        <w:t></w:t>
      </w:r>
    </w:p>
    <w:p>
      <w:pPr>
        <w:spacing w:line="360" w:lineRule="auto"/>
        <w:rPr>
          <w:color w:val="auto"/>
          <w:sz w:val="21"/>
          <w:szCs w:val="21"/>
        </w:rPr>
      </w:pPr>
      <w:r>
        <w:rPr>
          <w:rFonts w:hAnsi="宋体"/>
          <w:color w:val="auto"/>
          <w:sz w:val="21"/>
          <w:szCs w:val="21"/>
        </w:rPr>
        <w:t>传真：</w:t>
      </w:r>
      <w:r>
        <w:rPr>
          <w:rFonts w:hAnsi="宋体"/>
          <w:color w:val="auto"/>
          <w:sz w:val="21"/>
          <w:szCs w:val="21"/>
          <w:u w:val="none"/>
        </w:rPr>
        <w:t></w:t>
      </w:r>
      <w:r>
        <w:rPr>
          <w:rFonts w:hint="eastAsia" w:hAnsi="宋体"/>
          <w:color w:val="auto"/>
          <w:sz w:val="21"/>
          <w:szCs w:val="21"/>
          <w:u w:val="none"/>
          <w:lang w:val="en-US" w:eastAsia="zh-CN"/>
        </w:rPr>
        <w:t xml:space="preserve">                  </w:t>
      </w:r>
      <w:r>
        <w:rPr>
          <w:rFonts w:hAnsi="宋体"/>
          <w:color w:val="auto"/>
          <w:sz w:val="21"/>
          <w:szCs w:val="21"/>
        </w:rPr>
        <w:t>传真：</w:t>
      </w:r>
      <w:r>
        <w:rPr>
          <w:rFonts w:hAnsi="宋体"/>
          <w:i/>
          <w:iCs/>
          <w:color w:val="auto"/>
          <w:sz w:val="21"/>
          <w:szCs w:val="21"/>
          <w:u w:val="none"/>
        </w:rPr>
        <w:t></w:t>
      </w:r>
    </w:p>
    <w:p>
      <w:pPr>
        <w:spacing w:line="360" w:lineRule="auto"/>
        <w:rPr>
          <w:color w:val="auto"/>
          <w:sz w:val="21"/>
          <w:szCs w:val="21"/>
        </w:rPr>
      </w:pPr>
      <w:r>
        <w:rPr>
          <w:rFonts w:hAnsi="宋体"/>
          <w:color w:val="auto"/>
          <w:sz w:val="21"/>
          <w:szCs w:val="21"/>
        </w:rPr>
        <w:t>开户银行：</w:t>
      </w:r>
      <w:r>
        <w:rPr>
          <w:rFonts w:hAnsi="宋体"/>
          <w:color w:val="auto"/>
          <w:sz w:val="21"/>
          <w:szCs w:val="21"/>
          <w:u w:val="none"/>
        </w:rPr>
        <w:t></w:t>
      </w:r>
      <w:r>
        <w:rPr>
          <w:rFonts w:hint="eastAsia" w:hAnsi="宋体"/>
          <w:color w:val="auto"/>
          <w:sz w:val="21"/>
          <w:szCs w:val="21"/>
          <w:u w:val="none"/>
          <w:lang w:val="en-US" w:eastAsia="zh-CN"/>
        </w:rPr>
        <w:t xml:space="preserve">                  </w:t>
      </w:r>
      <w:r>
        <w:rPr>
          <w:rFonts w:hAnsi="宋体"/>
          <w:color w:val="auto"/>
          <w:sz w:val="21"/>
          <w:szCs w:val="21"/>
        </w:rPr>
        <w:t>开户银行：</w:t>
      </w:r>
      <w:r>
        <w:rPr>
          <w:rFonts w:hAnsi="宋体"/>
          <w:color w:val="auto"/>
          <w:sz w:val="21"/>
          <w:szCs w:val="21"/>
          <w:u w:val="none"/>
        </w:rPr>
        <w:t></w:t>
      </w:r>
    </w:p>
    <w:p>
      <w:pPr>
        <w:tabs>
          <w:tab w:val="left" w:pos="2880"/>
          <w:tab w:val="left" w:pos="3060"/>
          <w:tab w:val="left" w:pos="4500"/>
        </w:tabs>
        <w:spacing w:line="360" w:lineRule="auto"/>
        <w:rPr>
          <w:color w:val="auto"/>
          <w:sz w:val="21"/>
          <w:szCs w:val="21"/>
        </w:rPr>
      </w:pPr>
      <w:r>
        <w:rPr>
          <w:rFonts w:hAnsi="宋体"/>
          <w:color w:val="auto"/>
          <w:sz w:val="21"/>
          <w:szCs w:val="21"/>
        </w:rPr>
        <w:t>账号：</w:t>
      </w:r>
      <w:r>
        <w:rPr>
          <w:rFonts w:hAnsi="宋体"/>
          <w:color w:val="auto"/>
          <w:sz w:val="21"/>
          <w:szCs w:val="21"/>
          <w:u w:val="none"/>
        </w:rPr>
        <w:t></w:t>
      </w:r>
      <w:r>
        <w:rPr>
          <w:rFonts w:hint="eastAsia" w:hAnsi="宋体"/>
          <w:color w:val="auto"/>
          <w:sz w:val="21"/>
          <w:szCs w:val="21"/>
          <w:u w:val="none"/>
          <w:lang w:val="en-US" w:eastAsia="zh-CN"/>
        </w:rPr>
        <w:t xml:space="preserve">                      </w:t>
      </w:r>
      <w:r>
        <w:rPr>
          <w:rFonts w:hAnsi="宋体"/>
          <w:color w:val="auto"/>
          <w:sz w:val="21"/>
          <w:szCs w:val="21"/>
        </w:rPr>
        <w:t>账号：</w:t>
      </w:r>
      <w:r>
        <w:rPr>
          <w:rFonts w:hAnsi="宋体"/>
          <w:color w:val="auto"/>
          <w:sz w:val="21"/>
          <w:szCs w:val="21"/>
          <w:u w:val="none"/>
        </w:rPr>
        <w:t></w:t>
      </w:r>
    </w:p>
    <w:p>
      <w:pPr>
        <w:pStyle w:val="52"/>
        <w:spacing w:line="400" w:lineRule="exact"/>
        <w:jc w:val="both"/>
        <w:rPr>
          <w:rFonts w:asciiTheme="minorEastAsia" w:hAnsiTheme="minorEastAsia" w:eastAsiaTheme="minorEastAsia"/>
          <w:b w:val="0"/>
          <w:bCs w:val="0"/>
          <w:color w:val="auto"/>
          <w:sz w:val="21"/>
          <w:szCs w:val="21"/>
        </w:rPr>
      </w:pPr>
      <w:bookmarkStart w:id="653" w:name="_Toc5084"/>
      <w:bookmarkStart w:id="654" w:name="_Toc28857"/>
      <w:r>
        <w:rPr>
          <w:rFonts w:hAnsi="宋体"/>
          <w:b w:val="0"/>
          <w:bCs w:val="0"/>
          <w:color w:val="auto"/>
          <w:sz w:val="21"/>
          <w:szCs w:val="21"/>
        </w:rPr>
        <w:t>邮政编码：</w:t>
      </w:r>
      <w:r>
        <w:rPr>
          <w:rFonts w:hAnsi="宋体"/>
          <w:b w:val="0"/>
          <w:bCs w:val="0"/>
          <w:color w:val="auto"/>
          <w:sz w:val="21"/>
          <w:szCs w:val="21"/>
          <w:u w:val="none"/>
        </w:rPr>
        <w:t></w:t>
      </w:r>
      <w:r>
        <w:rPr>
          <w:rFonts w:hint="eastAsia" w:hAnsi="宋体"/>
          <w:b w:val="0"/>
          <w:bCs w:val="0"/>
          <w:color w:val="auto"/>
          <w:sz w:val="21"/>
          <w:szCs w:val="21"/>
          <w:u w:val="none"/>
          <w:lang w:val="en-US" w:eastAsia="zh-CN"/>
        </w:rPr>
        <w:t xml:space="preserve">                  </w:t>
      </w:r>
      <w:r>
        <w:rPr>
          <w:rFonts w:hAnsi="宋体"/>
          <w:b w:val="0"/>
          <w:bCs w:val="0"/>
          <w:color w:val="auto"/>
          <w:sz w:val="21"/>
          <w:szCs w:val="21"/>
        </w:rPr>
        <w:t>邮政编码：</w:t>
      </w:r>
      <w:r>
        <w:rPr>
          <w:rFonts w:hAnsi="宋体"/>
          <w:b w:val="0"/>
          <w:bCs w:val="0"/>
          <w:color w:val="auto"/>
          <w:sz w:val="21"/>
          <w:szCs w:val="21"/>
          <w:u w:val="none"/>
        </w:rPr>
        <w:t></w:t>
      </w:r>
      <w:r>
        <w:rPr>
          <w:rFonts w:asciiTheme="minorEastAsia" w:hAnsiTheme="minorEastAsia" w:eastAsiaTheme="minorEastAsia"/>
          <w:b w:val="0"/>
          <w:bCs w:val="0"/>
          <w:color w:val="auto"/>
          <w:sz w:val="21"/>
          <w:szCs w:val="21"/>
        </w:rPr>
        <w:br w:type="page"/>
      </w:r>
      <w:bookmarkEnd w:id="653"/>
      <w:bookmarkEnd w:id="654"/>
      <w:bookmarkStart w:id="655" w:name="_Toc453681539"/>
    </w:p>
    <w:p>
      <w:pPr>
        <w:pStyle w:val="52"/>
        <w:spacing w:line="400" w:lineRule="exact"/>
        <w:outlineLvl w:val="9"/>
        <w:rPr>
          <w:rFonts w:asciiTheme="minorEastAsia" w:hAnsiTheme="minorEastAsia" w:eastAsiaTheme="minorEastAsia"/>
          <w:b w:val="0"/>
          <w:bCs w:val="0"/>
          <w:color w:val="auto"/>
          <w:sz w:val="21"/>
          <w:szCs w:val="21"/>
        </w:rPr>
      </w:pPr>
    </w:p>
    <w:p>
      <w:pPr>
        <w:pStyle w:val="52"/>
        <w:spacing w:line="400" w:lineRule="exact"/>
        <w:rPr>
          <w:rFonts w:asciiTheme="minorEastAsia" w:hAnsiTheme="minorEastAsia" w:eastAsiaTheme="minorEastAsia"/>
          <w:color w:val="auto"/>
          <w:sz w:val="32"/>
          <w:szCs w:val="32"/>
        </w:rPr>
      </w:pPr>
      <w:bookmarkStart w:id="656" w:name="_Toc18845"/>
      <w:r>
        <w:rPr>
          <w:rFonts w:hint="eastAsia" w:ascii="宋体" w:hAnsi="宋体" w:eastAsia="宋体" w:cs="宋体"/>
          <w:color w:val="auto"/>
        </w:rPr>
        <w:t>第七章  磋商响应文件格式</w:t>
      </w:r>
      <w:bookmarkEnd w:id="655"/>
      <w:bookmarkEnd w:id="656"/>
    </w:p>
    <w:bookmarkEnd w:id="651"/>
    <w:bookmarkEnd w:id="652"/>
    <w:p>
      <w:pPr>
        <w:spacing w:line="500" w:lineRule="exact"/>
        <w:jc w:val="center"/>
        <w:rPr>
          <w:rFonts w:hint="eastAsia" w:asciiTheme="minorEastAsia" w:hAnsiTheme="minorEastAsia" w:eastAsiaTheme="minorEastAsia"/>
          <w:b/>
          <w:bCs/>
          <w:color w:val="auto"/>
          <w:sz w:val="28"/>
          <w:szCs w:val="28"/>
        </w:rPr>
      </w:pPr>
      <w:bookmarkStart w:id="657" w:name="_Toc420144086"/>
      <w:bookmarkStart w:id="658" w:name="_Toc6675_WPSOffice_Level1"/>
      <w:bookmarkStart w:id="659" w:name="_Toc108836093"/>
      <w:bookmarkStart w:id="660" w:name="_Toc108835682"/>
    </w:p>
    <w:bookmarkEnd w:id="657"/>
    <w:bookmarkEnd w:id="658"/>
    <w:p>
      <w:pPr>
        <w:snapToGrid w:val="0"/>
        <w:spacing w:before="120" w:beforeLines="50" w:after="50" w:line="360" w:lineRule="exact"/>
        <w:outlineLvl w:val="0"/>
        <w:rPr>
          <w:rFonts w:asciiTheme="minorEastAsia" w:hAnsiTheme="minorEastAsia" w:eastAsiaTheme="minorEastAsia"/>
          <w:b/>
          <w:color w:val="auto"/>
          <w:szCs w:val="21"/>
        </w:rPr>
      </w:pPr>
      <w:bookmarkStart w:id="661" w:name="_Toc6026"/>
      <w:bookmarkStart w:id="662" w:name="_Toc20860_WPSOffice_Level1"/>
      <w:bookmarkStart w:id="663" w:name="_Toc29919"/>
      <w:bookmarkStart w:id="664" w:name="_Toc28840_WPSOffice_Level1"/>
      <w:r>
        <w:rPr>
          <w:rFonts w:hint="eastAsia" w:asciiTheme="minorEastAsia" w:hAnsiTheme="minorEastAsia" w:eastAsiaTheme="minorEastAsia"/>
          <w:b/>
          <w:color w:val="auto"/>
          <w:szCs w:val="21"/>
        </w:rPr>
        <w:t>一）</w:t>
      </w:r>
      <w:r>
        <w:rPr>
          <w:rFonts w:hint="eastAsia" w:asciiTheme="minorEastAsia" w:hAnsiTheme="minorEastAsia" w:eastAsiaTheme="minorEastAsia"/>
          <w:b/>
          <w:color w:val="auto"/>
        </w:rPr>
        <w:t>竞争性磋商响应文件</w:t>
      </w:r>
      <w:r>
        <w:rPr>
          <w:rFonts w:hint="eastAsia" w:asciiTheme="minorEastAsia" w:hAnsiTheme="minorEastAsia" w:eastAsiaTheme="minorEastAsia"/>
          <w:b/>
          <w:color w:val="auto"/>
          <w:szCs w:val="21"/>
        </w:rPr>
        <w:t>的外包装封面格式：</w:t>
      </w:r>
      <w:bookmarkEnd w:id="661"/>
      <w:bookmarkEnd w:id="662"/>
      <w:bookmarkEnd w:id="663"/>
      <w:bookmarkEnd w:id="664"/>
      <w:r>
        <w:rPr>
          <w:rFonts w:hint="eastAsia" w:asciiTheme="minorEastAsia" w:hAnsiTheme="minorEastAsia" w:eastAsiaTheme="minorEastAsia"/>
          <w:b/>
          <w:color w:val="auto"/>
          <w:szCs w:val="21"/>
        </w:rPr>
        <w:t xml:space="preserve"> </w:t>
      </w:r>
    </w:p>
    <w:p>
      <w:pPr>
        <w:snapToGrid w:val="0"/>
        <w:spacing w:before="120" w:beforeLines="50" w:after="50" w:line="360" w:lineRule="exact"/>
        <w:rPr>
          <w:rFonts w:asciiTheme="minorEastAsia" w:hAnsiTheme="minorEastAsia" w:eastAsiaTheme="minorEastAsia"/>
          <w:color w:val="auto"/>
          <w:szCs w:val="21"/>
        </w:rPr>
      </w:pPr>
    </w:p>
    <w:p>
      <w:pPr>
        <w:snapToGrid w:val="0"/>
        <w:spacing w:before="120" w:beforeLines="50" w:after="50" w:line="360" w:lineRule="exact"/>
        <w:ind w:firstLine="3518" w:firstLineChars="1095"/>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竞争性磋商响应文件</w:t>
      </w:r>
    </w:p>
    <w:p>
      <w:pPr>
        <w:pStyle w:val="14"/>
        <w:ind w:left="0" w:leftChars="0" w:firstLine="0" w:firstLineChars="0"/>
        <w:rPr>
          <w:rFonts w:hint="eastAsia" w:asciiTheme="minorEastAsia" w:hAnsiTheme="minorEastAsia" w:eastAsiaTheme="minorEastAsia"/>
          <w:b/>
          <w:color w:val="auto"/>
          <w:sz w:val="32"/>
          <w:szCs w:val="32"/>
        </w:rPr>
      </w:pPr>
    </w:p>
    <w:p>
      <w:pPr>
        <w:snapToGrid w:val="0"/>
        <w:spacing w:before="120" w:beforeLines="50" w:after="50" w:line="36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采购代理机构：</w:t>
      </w:r>
    </w:p>
    <w:p>
      <w:pPr>
        <w:snapToGrid w:val="0"/>
        <w:spacing w:before="120" w:beforeLines="50" w:after="50" w:line="36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项目名称：                             </w:t>
      </w:r>
    </w:p>
    <w:p>
      <w:pPr>
        <w:snapToGrid w:val="0"/>
        <w:spacing w:before="120" w:beforeLines="50" w:after="50" w:line="36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项目编号：                             </w:t>
      </w:r>
    </w:p>
    <w:p>
      <w:pPr>
        <w:snapToGrid w:val="0"/>
        <w:spacing w:before="120" w:beforeLines="50" w:after="50" w:line="36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磋商单位：                             </w:t>
      </w:r>
    </w:p>
    <w:p>
      <w:pPr>
        <w:snapToGrid w:val="0"/>
        <w:spacing w:before="120" w:beforeLines="50" w:after="50" w:line="360" w:lineRule="exact"/>
        <w:ind w:firstLine="420" w:firstLineChars="20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注    明“</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rPr>
        <w:t>年___月__ 日</w:t>
      </w:r>
      <w:r>
        <w:rPr>
          <w:rFonts w:hint="eastAsia" w:asciiTheme="minorEastAsia" w:hAnsiTheme="minorEastAsia" w:eastAsiaTheme="minorEastAsia"/>
          <w:color w:val="auto"/>
          <w:szCs w:val="21"/>
          <w:u w:val="single"/>
        </w:rPr>
        <w:t xml:space="preserve">_  </w:t>
      </w:r>
      <w:r>
        <w:rPr>
          <w:rFonts w:hint="eastAsia" w:asciiTheme="minorEastAsia" w:hAnsiTheme="minorEastAsia" w:eastAsiaTheme="minorEastAsia"/>
          <w:color w:val="auto"/>
          <w:szCs w:val="21"/>
        </w:rPr>
        <w:t>时____分 前 不 得 拆 封”</w:t>
      </w:r>
    </w:p>
    <w:p>
      <w:pPr>
        <w:pStyle w:val="14"/>
        <w:snapToGrid w:val="0"/>
        <w:spacing w:before="50" w:after="50" w:line="360" w:lineRule="exact"/>
        <w:ind w:firstLine="630" w:firstLineChars="300"/>
        <w:rPr>
          <w:rFonts w:asciiTheme="minorEastAsia" w:hAnsiTheme="minorEastAsia" w:eastAsiaTheme="minorEastAsia"/>
          <w:bCs/>
          <w:color w:val="auto"/>
          <w:szCs w:val="21"/>
        </w:rPr>
      </w:pPr>
    </w:p>
    <w:p>
      <w:pPr>
        <w:pStyle w:val="14"/>
        <w:snapToGrid w:val="0"/>
        <w:spacing w:before="50" w:after="50" w:line="360" w:lineRule="exact"/>
        <w:ind w:firstLine="630" w:firstLineChars="300"/>
        <w:rPr>
          <w:rFonts w:asciiTheme="minorEastAsia" w:hAnsiTheme="minorEastAsia" w:eastAsiaTheme="minorEastAsia"/>
          <w:bCs/>
          <w:color w:val="auto"/>
          <w:szCs w:val="21"/>
        </w:rPr>
      </w:pPr>
    </w:p>
    <w:p>
      <w:pPr>
        <w:snapToGrid w:val="0"/>
        <w:spacing w:before="120" w:beforeLines="50" w:after="50" w:line="360" w:lineRule="exact"/>
        <w:outlineLvl w:val="0"/>
        <w:rPr>
          <w:rFonts w:asciiTheme="minorEastAsia" w:hAnsiTheme="minorEastAsia" w:eastAsiaTheme="minorEastAsia"/>
          <w:b/>
          <w:color w:val="auto"/>
          <w:sz w:val="24"/>
        </w:rPr>
      </w:pPr>
      <w:bookmarkStart w:id="665" w:name="_Toc28341"/>
      <w:bookmarkStart w:id="666" w:name="_Toc11064"/>
      <w:bookmarkStart w:id="667" w:name="_Toc26170_WPSOffice_Level1"/>
      <w:bookmarkStart w:id="668" w:name="_Toc3560_WPSOffice_Level1"/>
      <w:r>
        <w:rPr>
          <w:rFonts w:hint="eastAsia" w:asciiTheme="minorEastAsia" w:hAnsiTheme="minorEastAsia" w:eastAsiaTheme="minorEastAsia"/>
          <w:b/>
          <w:color w:val="auto"/>
          <w:szCs w:val="21"/>
        </w:rPr>
        <w:t>二）</w:t>
      </w:r>
      <w:r>
        <w:rPr>
          <w:rFonts w:hint="eastAsia" w:asciiTheme="minorEastAsia" w:hAnsiTheme="minorEastAsia" w:eastAsiaTheme="minorEastAsia"/>
          <w:b/>
          <w:color w:val="auto"/>
        </w:rPr>
        <w:t xml:space="preserve"> 竞争性磋商响应文件</w:t>
      </w:r>
      <w:r>
        <w:rPr>
          <w:rFonts w:hint="eastAsia" w:asciiTheme="minorEastAsia" w:hAnsiTheme="minorEastAsia" w:eastAsiaTheme="minorEastAsia"/>
          <w:b/>
          <w:color w:val="auto"/>
          <w:szCs w:val="21"/>
        </w:rPr>
        <w:t>封面格式：</w:t>
      </w:r>
      <w:bookmarkEnd w:id="665"/>
      <w:bookmarkEnd w:id="666"/>
      <w:bookmarkEnd w:id="667"/>
      <w:bookmarkEnd w:id="668"/>
    </w:p>
    <w:p>
      <w:pPr>
        <w:snapToGrid w:val="0"/>
        <w:spacing w:before="120" w:beforeLines="50" w:after="50" w:line="360" w:lineRule="exact"/>
        <w:ind w:left="6325" w:hanging="6325" w:hangingChars="3000"/>
        <w:rPr>
          <w:rFonts w:hint="eastAsia" w:asciiTheme="minorEastAsia" w:hAnsiTheme="minorEastAsia" w:eastAsiaTheme="minorEastAsia"/>
          <w:b/>
          <w:bCs/>
          <w:color w:val="auto"/>
          <w:szCs w:val="21"/>
        </w:rPr>
      </w:pPr>
      <w:r>
        <w:rPr>
          <w:rFonts w:hint="eastAsia" w:asciiTheme="minorEastAsia" w:hAnsiTheme="minorEastAsia" w:eastAsiaTheme="minorEastAsia"/>
          <w:b/>
          <w:bCs/>
          <w:color w:val="auto"/>
          <w:szCs w:val="21"/>
        </w:rPr>
        <w:t>（正/副本）</w:t>
      </w:r>
    </w:p>
    <w:p>
      <w:pPr>
        <w:pStyle w:val="14"/>
        <w:rPr>
          <w:rFonts w:hint="eastAsia" w:asciiTheme="minorEastAsia" w:hAnsiTheme="minorEastAsia" w:eastAsiaTheme="minorEastAsia"/>
          <w:b/>
          <w:bCs/>
          <w:color w:val="auto"/>
          <w:szCs w:val="21"/>
        </w:rPr>
      </w:pPr>
    </w:p>
    <w:p>
      <w:pPr>
        <w:pStyle w:val="14"/>
        <w:rPr>
          <w:rFonts w:hint="eastAsia" w:asciiTheme="minorEastAsia" w:hAnsiTheme="minorEastAsia" w:eastAsiaTheme="minorEastAsia"/>
          <w:b/>
          <w:bCs/>
          <w:color w:val="auto"/>
          <w:szCs w:val="21"/>
        </w:rPr>
      </w:pPr>
    </w:p>
    <w:p>
      <w:pPr>
        <w:snapToGrid w:val="0"/>
        <w:spacing w:before="120" w:beforeLines="50" w:after="50" w:line="360" w:lineRule="exact"/>
        <w:ind w:firstLine="2554" w:firstLineChars="795"/>
        <w:rPr>
          <w:rFonts w:asciiTheme="minorEastAsia" w:hAnsiTheme="minorEastAsia" w:eastAsiaTheme="minorEastAsia"/>
          <w:bCs/>
          <w:color w:val="auto"/>
          <w:sz w:val="24"/>
        </w:rPr>
      </w:pPr>
      <w:r>
        <w:rPr>
          <w:rFonts w:hint="eastAsia" w:asciiTheme="minorEastAsia" w:hAnsiTheme="minorEastAsia" w:eastAsiaTheme="minorEastAsia"/>
          <w:b/>
          <w:color w:val="auto"/>
          <w:sz w:val="32"/>
          <w:szCs w:val="32"/>
        </w:rPr>
        <w:t>竞争性磋商响应文件（封面）</w:t>
      </w:r>
    </w:p>
    <w:p>
      <w:pPr>
        <w:spacing w:line="500" w:lineRule="exact"/>
        <w:ind w:firstLine="420" w:firstLineChars="200"/>
        <w:rPr>
          <w:rFonts w:asciiTheme="minorEastAsia" w:hAnsiTheme="minorEastAsia" w:eastAsiaTheme="minorEastAsia"/>
          <w:color w:val="auto"/>
          <w:szCs w:val="21"/>
        </w:rPr>
      </w:pPr>
    </w:p>
    <w:p>
      <w:pPr>
        <w:pStyle w:val="14"/>
      </w:pPr>
    </w:p>
    <w:p>
      <w:pPr>
        <w:spacing w:line="500" w:lineRule="exact"/>
        <w:ind w:firstLine="420" w:firstLineChars="200"/>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项目名称：</w:t>
      </w:r>
    </w:p>
    <w:p>
      <w:pPr>
        <w:snapToGrid w:val="0"/>
        <w:spacing w:before="120" w:beforeLines="50" w:after="50" w:line="360" w:lineRule="exact"/>
        <w:ind w:firstLine="420" w:firstLineChars="200"/>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bCs/>
          <w:color w:val="auto"/>
          <w:szCs w:val="21"/>
        </w:rPr>
        <w:t>：</w:t>
      </w:r>
    </w:p>
    <w:p>
      <w:pPr>
        <w:pStyle w:val="14"/>
        <w:rPr>
          <w:rFonts w:hint="eastAsia" w:eastAsiaTheme="minorEastAsia"/>
          <w:b w:val="0"/>
          <w:bCs/>
          <w:color w:val="auto"/>
          <w:u w:val="none" w:color="auto"/>
          <w:lang w:eastAsia="zh-CN"/>
        </w:rPr>
      </w:pPr>
      <w:r>
        <w:rPr>
          <w:rFonts w:hint="eastAsia" w:asciiTheme="minorEastAsia" w:hAnsiTheme="minorEastAsia" w:eastAsiaTheme="minorEastAsia"/>
          <w:b w:val="0"/>
          <w:bCs/>
          <w:color w:val="auto"/>
          <w:szCs w:val="21"/>
          <w:u w:val="none" w:color="auto"/>
          <w:lang w:eastAsia="zh-CN"/>
        </w:rPr>
        <w:t>磋商响应文件内容：价格文件</w:t>
      </w:r>
      <w:r>
        <w:rPr>
          <w:rFonts w:hint="eastAsia" w:asciiTheme="minorEastAsia" w:hAnsiTheme="minorEastAsia" w:eastAsiaTheme="minorEastAsia"/>
          <w:b w:val="0"/>
          <w:bCs/>
          <w:color w:val="auto"/>
          <w:szCs w:val="21"/>
          <w:u w:val="none" w:color="auto"/>
          <w:lang w:val="en-US" w:eastAsia="zh-CN"/>
        </w:rPr>
        <w:t>/</w:t>
      </w:r>
      <w:r>
        <w:rPr>
          <w:rFonts w:hint="eastAsia" w:asciiTheme="minorEastAsia" w:hAnsiTheme="minorEastAsia" w:eastAsiaTheme="minorEastAsia"/>
          <w:b w:val="0"/>
          <w:bCs/>
          <w:color w:val="auto"/>
          <w:szCs w:val="21"/>
          <w:u w:val="none" w:color="auto"/>
          <w:lang w:eastAsia="zh-CN"/>
        </w:rPr>
        <w:t>资格和商务</w:t>
      </w:r>
      <w:r>
        <w:rPr>
          <w:rFonts w:hint="eastAsia" w:asciiTheme="minorEastAsia" w:hAnsiTheme="minorEastAsia" w:eastAsiaTheme="minorEastAsia"/>
          <w:b w:val="0"/>
          <w:bCs/>
          <w:color w:val="auto"/>
          <w:szCs w:val="21"/>
          <w:u w:val="none" w:color="auto"/>
          <w:lang w:val="en-US" w:eastAsia="zh-CN"/>
        </w:rPr>
        <w:t>/</w:t>
      </w:r>
      <w:r>
        <w:rPr>
          <w:rFonts w:hint="eastAsia" w:asciiTheme="minorEastAsia" w:hAnsiTheme="minorEastAsia" w:eastAsiaTheme="minorEastAsia"/>
          <w:b w:val="0"/>
          <w:bCs/>
          <w:color w:val="auto"/>
          <w:szCs w:val="21"/>
          <w:u w:val="none" w:color="auto"/>
          <w:lang w:eastAsia="zh-CN"/>
        </w:rPr>
        <w:t>技术文件</w:t>
      </w:r>
    </w:p>
    <w:p>
      <w:pPr>
        <w:snapToGrid w:val="0"/>
        <w:spacing w:before="120" w:beforeLines="50" w:after="50" w:line="360" w:lineRule="exact"/>
        <w:ind w:firstLine="420" w:firstLineChars="200"/>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磋商供应商名称（公章）</w:t>
      </w:r>
      <w:r>
        <w:rPr>
          <w:rFonts w:hint="eastAsia" w:asciiTheme="minorEastAsia" w:hAnsiTheme="minorEastAsia" w:eastAsiaTheme="minorEastAsia"/>
          <w:bCs/>
          <w:color w:val="auto"/>
          <w:szCs w:val="21"/>
        </w:rPr>
        <w:t>：</w:t>
      </w:r>
    </w:p>
    <w:p>
      <w:pPr>
        <w:pStyle w:val="14"/>
        <w:snapToGrid w:val="0"/>
        <w:spacing w:before="50" w:after="50" w:line="360" w:lineRule="exact"/>
        <w:ind w:firstLineChars="200"/>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磋商供应商地址：</w:t>
      </w:r>
    </w:p>
    <w:p>
      <w:pPr>
        <w:snapToGrid w:val="0"/>
        <w:spacing w:before="120" w:beforeLines="50" w:after="50" w:line="360" w:lineRule="exact"/>
        <w:jc w:val="center"/>
        <w:rPr>
          <w:rFonts w:asciiTheme="minorEastAsia" w:hAnsiTheme="minorEastAsia" w:eastAsiaTheme="minorEastAsia"/>
          <w:color w:val="auto"/>
          <w:szCs w:val="21"/>
        </w:rPr>
      </w:pPr>
      <w:bookmarkStart w:id="669" w:name="_Toc420144088"/>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月    日</w:t>
      </w:r>
      <w:bookmarkEnd w:id="669"/>
    </w:p>
    <w:p>
      <w:pPr>
        <w:ind w:right="384" w:rightChars="183"/>
        <w:jc w:val="left"/>
        <w:rPr>
          <w:rFonts w:asciiTheme="minorEastAsia" w:hAnsiTheme="minorEastAsia" w:eastAsiaTheme="minorEastAsia"/>
          <w:b/>
          <w:color w:val="auto"/>
          <w:sz w:val="28"/>
          <w:szCs w:val="28"/>
        </w:rPr>
      </w:pPr>
      <w:r>
        <w:rPr>
          <w:rFonts w:asciiTheme="minorEastAsia" w:hAnsiTheme="minorEastAsia" w:eastAsiaTheme="minorEastAsia"/>
          <w:b/>
          <w:color w:val="auto"/>
          <w:sz w:val="28"/>
          <w:szCs w:val="28"/>
        </w:rPr>
        <w:br w:type="page"/>
      </w:r>
    </w:p>
    <w:p>
      <w:pPr>
        <w:ind w:right="384" w:rightChars="183"/>
        <w:jc w:val="left"/>
        <w:outlineLvl w:val="0"/>
        <w:rPr>
          <w:rFonts w:cs="Arial" w:asciiTheme="minorEastAsia" w:hAnsiTheme="minorEastAsia" w:eastAsiaTheme="minorEastAsia"/>
          <w:b/>
          <w:color w:val="auto"/>
          <w:sz w:val="30"/>
          <w:szCs w:val="30"/>
        </w:rPr>
      </w:pPr>
      <w:bookmarkStart w:id="670" w:name="_Toc10958"/>
      <w:bookmarkStart w:id="671" w:name="_Toc31641_WPSOffice_Level1"/>
      <w:r>
        <w:rPr>
          <w:rFonts w:hint="eastAsia" w:asciiTheme="minorEastAsia" w:hAnsiTheme="minorEastAsia" w:eastAsiaTheme="minorEastAsia"/>
          <w:color w:val="auto"/>
          <w:szCs w:val="21"/>
        </w:rPr>
        <w:t>附件一：</w:t>
      </w:r>
      <w:bookmarkEnd w:id="670"/>
      <w:bookmarkEnd w:id="671"/>
    </w:p>
    <w:p>
      <w:pPr>
        <w:keepNext w:val="0"/>
        <w:keepLines w:val="0"/>
        <w:pageBreakBefore w:val="0"/>
        <w:widowControl w:val="0"/>
        <w:kinsoku/>
        <w:wordWrap/>
        <w:overflowPunct/>
        <w:topLinePunct w:val="0"/>
        <w:bidi w:val="0"/>
        <w:adjustRightInd/>
        <w:snapToGrid/>
        <w:spacing w:line="360" w:lineRule="auto"/>
        <w:ind w:right="384" w:rightChars="183"/>
        <w:jc w:val="center"/>
        <w:textAlignment w:val="auto"/>
        <w:outlineLvl w:val="9"/>
        <w:rPr>
          <w:rFonts w:cs="Arial" w:asciiTheme="minorEastAsia" w:hAnsiTheme="minorEastAsia" w:eastAsiaTheme="minorEastAsia"/>
          <w:color w:val="auto"/>
          <w:szCs w:val="21"/>
        </w:rPr>
      </w:pPr>
      <w:r>
        <w:rPr>
          <w:rFonts w:hint="eastAsia" w:cs="Arial" w:asciiTheme="minorEastAsia" w:hAnsiTheme="minorEastAsia" w:eastAsiaTheme="minorEastAsia"/>
          <w:b/>
          <w:color w:val="auto"/>
          <w:sz w:val="30"/>
          <w:szCs w:val="30"/>
        </w:rPr>
        <w:t>磋 商</w:t>
      </w:r>
      <w:r>
        <w:rPr>
          <w:rFonts w:cs="Arial" w:asciiTheme="minorEastAsia" w:hAnsiTheme="minorEastAsia" w:eastAsiaTheme="minorEastAsia"/>
          <w:b/>
          <w:color w:val="auto"/>
          <w:sz w:val="30"/>
          <w:szCs w:val="30"/>
        </w:rPr>
        <w:t xml:space="preserve"> 函</w:t>
      </w:r>
    </w:p>
    <w:p>
      <w:pPr>
        <w:keepNext w:val="0"/>
        <w:keepLines w:val="0"/>
        <w:pageBreakBefore w:val="0"/>
        <w:widowControl w:val="0"/>
        <w:kinsoku/>
        <w:wordWrap/>
        <w:overflowPunct/>
        <w:topLinePunct w:val="0"/>
        <w:autoSpaceDE w:val="0"/>
        <w:autoSpaceDN w:val="0"/>
        <w:bidi w:val="0"/>
        <w:adjustRightInd/>
        <w:snapToGrid/>
        <w:spacing w:line="440" w:lineRule="exact"/>
        <w:ind w:right="384" w:rightChars="183"/>
        <w:textAlignment w:val="auto"/>
        <w:outlineLvl w:val="9"/>
        <w:rPr>
          <w:rFonts w:cs="Arial" w:asciiTheme="minorEastAsia" w:hAnsiTheme="minorEastAsia" w:eastAsiaTheme="minorEastAsia"/>
          <w:color w:val="auto"/>
          <w:szCs w:val="21"/>
        </w:rPr>
      </w:pPr>
    </w:p>
    <w:p>
      <w:pPr>
        <w:keepNext w:val="0"/>
        <w:keepLines w:val="0"/>
        <w:pageBreakBefore w:val="0"/>
        <w:widowControl w:val="0"/>
        <w:kinsoku/>
        <w:wordWrap/>
        <w:overflowPunct/>
        <w:topLinePunct w:val="0"/>
        <w:autoSpaceDE w:val="0"/>
        <w:autoSpaceDN w:val="0"/>
        <w:bidi w:val="0"/>
        <w:adjustRightInd/>
        <w:snapToGrid/>
        <w:spacing w:line="460" w:lineRule="exact"/>
        <w:ind w:right="384" w:rightChars="183"/>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致：</w:t>
      </w:r>
      <w:r>
        <w:rPr>
          <w:rFonts w:cs="Arial" w:asciiTheme="minorEastAsia" w:hAnsiTheme="minorEastAsia" w:eastAsiaTheme="minorEastAsia"/>
          <w:color w:val="auto"/>
          <w:szCs w:val="21"/>
          <w:u w:val="single"/>
        </w:rPr>
        <w:t xml:space="preserve">        （采购</w:t>
      </w:r>
      <w:r>
        <w:rPr>
          <w:rFonts w:hint="eastAsia" w:cs="Arial" w:asciiTheme="minorEastAsia" w:hAnsiTheme="minorEastAsia" w:eastAsiaTheme="minorEastAsia"/>
          <w:color w:val="auto"/>
          <w:szCs w:val="21"/>
          <w:u w:val="single"/>
        </w:rPr>
        <w:t>代理机构</w:t>
      </w:r>
      <w:r>
        <w:rPr>
          <w:rFonts w:cs="Arial" w:asciiTheme="minorEastAsia" w:hAnsiTheme="minorEastAsia" w:eastAsiaTheme="minorEastAsia"/>
          <w:color w:val="auto"/>
          <w:szCs w:val="21"/>
          <w:u w:val="single"/>
        </w:rPr>
        <w:t xml:space="preserve">）  </w:t>
      </w:r>
    </w:p>
    <w:p>
      <w:pPr>
        <w:keepNext w:val="0"/>
        <w:keepLines w:val="0"/>
        <w:pageBreakBefore w:val="0"/>
        <w:widowControl w:val="0"/>
        <w:numPr>
          <w:ilvl w:val="0"/>
          <w:numId w:val="11"/>
        </w:numPr>
        <w:kinsoku/>
        <w:wordWrap/>
        <w:overflowPunct/>
        <w:topLinePunct w:val="0"/>
        <w:autoSpaceDE w:val="0"/>
        <w:autoSpaceDN w:val="0"/>
        <w:bidi w:val="0"/>
        <w:adjustRightInd/>
        <w:snapToGrid/>
        <w:spacing w:line="460" w:lineRule="exact"/>
        <w:ind w:right="384" w:rightChars="183" w:firstLine="420" w:firstLineChars="200"/>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根据你方采购工程</w:t>
      </w:r>
      <w:r>
        <w:rPr>
          <w:rFonts w:hint="eastAsia" w:cs="Arial" w:asciiTheme="minorEastAsia" w:hAnsiTheme="minorEastAsia" w:eastAsiaTheme="minorEastAsia"/>
          <w:color w:val="auto"/>
          <w:szCs w:val="21"/>
          <w:u w:val="single"/>
        </w:rPr>
        <w:t xml:space="preserve">                    </w:t>
      </w:r>
      <w:r>
        <w:rPr>
          <w:rFonts w:cs="Arial" w:asciiTheme="minorEastAsia" w:hAnsiTheme="minorEastAsia" w:eastAsiaTheme="minorEastAsia"/>
          <w:color w:val="auto"/>
          <w:szCs w:val="21"/>
        </w:rPr>
        <w:t>项目编号为</w:t>
      </w:r>
      <w:r>
        <w:rPr>
          <w:rFonts w:hint="eastAsia" w:cs="Arial" w:asciiTheme="minorEastAsia" w:hAnsiTheme="minorEastAsia" w:eastAsiaTheme="minorEastAsia"/>
          <w:color w:val="auto"/>
          <w:szCs w:val="21"/>
          <w:u w:val="single"/>
        </w:rPr>
        <w:t xml:space="preserve">                 </w:t>
      </w:r>
      <w:r>
        <w:rPr>
          <w:rFonts w:cs="Arial" w:asciiTheme="minorEastAsia" w:hAnsiTheme="minorEastAsia" w:eastAsiaTheme="minorEastAsia"/>
          <w:color w:val="auto"/>
          <w:szCs w:val="21"/>
        </w:rPr>
        <w:t>的工程的竞争性磋商文件，遵照《中华人民共和国</w:t>
      </w:r>
      <w:r>
        <w:rPr>
          <w:rFonts w:hint="eastAsia" w:cs="Arial" w:asciiTheme="minorEastAsia" w:hAnsiTheme="minorEastAsia" w:eastAsiaTheme="minorEastAsia"/>
          <w:color w:val="auto"/>
          <w:szCs w:val="21"/>
        </w:rPr>
        <w:t>政府采购法</w:t>
      </w:r>
      <w:r>
        <w:rPr>
          <w:rFonts w:cs="Arial" w:asciiTheme="minorEastAsia" w:hAnsiTheme="minorEastAsia" w:eastAsiaTheme="minorEastAsia"/>
          <w:color w:val="auto"/>
          <w:szCs w:val="21"/>
        </w:rPr>
        <w:t>》等有关规定，经踏勘项目现场和研究上述竞争性磋商文件的</w:t>
      </w:r>
      <w:r>
        <w:rPr>
          <w:rFonts w:hint="eastAsia" w:cs="Arial" w:asciiTheme="minorEastAsia" w:hAnsiTheme="minorEastAsia" w:eastAsiaTheme="minorEastAsia"/>
          <w:color w:val="auto"/>
          <w:szCs w:val="21"/>
        </w:rPr>
        <w:t>磋商</w:t>
      </w:r>
      <w:r>
        <w:rPr>
          <w:rFonts w:cs="Arial" w:asciiTheme="minorEastAsia" w:hAnsiTheme="minorEastAsia" w:eastAsiaTheme="minorEastAsia"/>
          <w:color w:val="auto"/>
          <w:szCs w:val="21"/>
        </w:rPr>
        <w:t>须知、合同条款、工程建设标准及其他有关文件后，我方参与工程的磋商，愿以</w:t>
      </w:r>
      <w:r>
        <w:rPr>
          <w:rFonts w:hint="eastAsia" w:cs="Arial" w:asciiTheme="minorEastAsia" w:hAnsiTheme="minorEastAsia" w:eastAsiaTheme="minorEastAsia"/>
          <w:color w:val="auto"/>
          <w:szCs w:val="21"/>
          <w:lang w:val="en-US" w:eastAsia="zh-CN"/>
        </w:rPr>
        <w:t>报价</w:t>
      </w:r>
      <w:r>
        <w:rPr>
          <w:rFonts w:cs="Arial" w:asciiTheme="minorEastAsia" w:hAnsiTheme="minorEastAsia" w:eastAsiaTheme="minorEastAsia"/>
          <w:color w:val="auto"/>
          <w:szCs w:val="21"/>
          <w:u w:val="single"/>
        </w:rPr>
        <w:t xml:space="preserve">  （币种、大写金额、单位）      （小写）   </w:t>
      </w:r>
      <w:r>
        <w:rPr>
          <w:rFonts w:hint="eastAsia" w:cs="Arial" w:asciiTheme="minorEastAsia" w:hAnsiTheme="minorEastAsia" w:eastAsiaTheme="minorEastAsia"/>
          <w:color w:val="auto"/>
          <w:szCs w:val="21"/>
          <w:u w:val="single"/>
          <w:lang w:val="en-US" w:eastAsia="zh-CN"/>
        </w:rPr>
        <w:t xml:space="preserve">     </w:t>
      </w:r>
      <w:r>
        <w:rPr>
          <w:rFonts w:hint="eastAsia"/>
          <w:color w:val="auto"/>
          <w:spacing w:val="-3"/>
          <w:highlight w:val="none"/>
          <w:lang w:eastAsia="zh-CN"/>
        </w:rPr>
        <w:t>的</w:t>
      </w:r>
      <w:r>
        <w:rPr>
          <w:rFonts w:cs="Arial" w:asciiTheme="minorEastAsia" w:hAnsiTheme="minorEastAsia" w:eastAsiaTheme="minorEastAsia"/>
          <w:color w:val="auto"/>
          <w:szCs w:val="21"/>
        </w:rPr>
        <w:t>磋商报价按上述合同条款、工程建设标准和工程量清单的条件要求承包上述工程的施工、竣工，并承担任何质量缺陷责任。</w:t>
      </w:r>
    </w:p>
    <w:p>
      <w:pPr>
        <w:keepNext w:val="0"/>
        <w:keepLines w:val="0"/>
        <w:pageBreakBefore w:val="0"/>
        <w:widowControl w:val="0"/>
        <w:kinsoku/>
        <w:wordWrap/>
        <w:overflowPunct/>
        <w:topLinePunct w:val="0"/>
        <w:autoSpaceDE w:val="0"/>
        <w:autoSpaceDN w:val="0"/>
        <w:bidi w:val="0"/>
        <w:adjustRightInd/>
        <w:snapToGrid/>
        <w:spacing w:line="460" w:lineRule="exact"/>
        <w:ind w:right="384" w:rightChars="183" w:firstLine="420" w:firstLineChars="200"/>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2、我方已详细审核全部竞争性磋商采购文件，包括修改文件（如有时）及有关附件。</w:t>
      </w:r>
    </w:p>
    <w:p>
      <w:pPr>
        <w:keepNext w:val="0"/>
        <w:keepLines w:val="0"/>
        <w:pageBreakBefore w:val="0"/>
        <w:widowControl w:val="0"/>
        <w:kinsoku/>
        <w:wordWrap/>
        <w:overflowPunct/>
        <w:topLinePunct w:val="0"/>
        <w:autoSpaceDE w:val="0"/>
        <w:autoSpaceDN w:val="0"/>
        <w:bidi w:val="0"/>
        <w:adjustRightInd/>
        <w:snapToGrid/>
        <w:spacing w:line="460" w:lineRule="exact"/>
        <w:ind w:right="384" w:rightChars="183" w:firstLine="420" w:firstLineChars="200"/>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3、我方承认磋商函附录是我方磋商函的组成部分。</w:t>
      </w:r>
    </w:p>
    <w:p>
      <w:pPr>
        <w:keepNext w:val="0"/>
        <w:keepLines w:val="0"/>
        <w:pageBreakBefore w:val="0"/>
        <w:widowControl w:val="0"/>
        <w:kinsoku/>
        <w:wordWrap/>
        <w:overflowPunct/>
        <w:topLinePunct w:val="0"/>
        <w:autoSpaceDE w:val="0"/>
        <w:autoSpaceDN w:val="0"/>
        <w:bidi w:val="0"/>
        <w:adjustRightInd/>
        <w:snapToGrid/>
        <w:spacing w:line="460" w:lineRule="exact"/>
        <w:ind w:right="384" w:rightChars="183" w:firstLine="420" w:firstLineChars="200"/>
        <w:textAlignment w:val="auto"/>
        <w:outlineLvl w:val="9"/>
        <w:rPr>
          <w:rFonts w:cs="Arial" w:asciiTheme="minorEastAsia" w:hAnsiTheme="minorEastAsia" w:eastAsiaTheme="minorEastAsia"/>
          <w:color w:val="auto"/>
          <w:szCs w:val="21"/>
          <w:u w:val="single"/>
        </w:rPr>
      </w:pPr>
      <w:r>
        <w:rPr>
          <w:rFonts w:cs="Arial" w:asciiTheme="minorEastAsia" w:hAnsiTheme="minorEastAsia" w:eastAsiaTheme="minorEastAsia"/>
          <w:color w:val="auto"/>
          <w:szCs w:val="21"/>
        </w:rPr>
        <w:t>4、一旦我方成交，我方保证按合同协议书中规定</w:t>
      </w:r>
      <w:r>
        <w:rPr>
          <w:rFonts w:hint="eastAsia" w:cs="Arial" w:asciiTheme="minorEastAsia" w:hAnsiTheme="minorEastAsia" w:eastAsiaTheme="minorEastAsia"/>
          <w:color w:val="auto"/>
          <w:szCs w:val="21"/>
          <w:lang w:val="en-US" w:eastAsia="zh-CN"/>
        </w:rPr>
        <w:t xml:space="preserve"> </w:t>
      </w:r>
      <w:r>
        <w:rPr>
          <w:rFonts w:hint="eastAsia" w:cs="Arial" w:asciiTheme="minorEastAsia" w:hAnsiTheme="minorEastAsia" w:eastAsiaTheme="minorEastAsia"/>
          <w:color w:val="auto"/>
          <w:szCs w:val="21"/>
          <w:u w:val="single"/>
          <w:lang w:val="en-US" w:eastAsia="zh-CN"/>
        </w:rPr>
        <w:t xml:space="preserve">   （工期）   </w:t>
      </w:r>
      <w:r>
        <w:rPr>
          <w:rFonts w:hint="eastAsia" w:cs="Arial" w:asciiTheme="minorEastAsia" w:hAnsiTheme="minorEastAsia" w:eastAsiaTheme="minorEastAsia"/>
          <w:color w:val="auto"/>
          <w:szCs w:val="21"/>
          <w:u w:val="none"/>
          <w:lang w:val="en-US" w:eastAsia="zh-CN"/>
        </w:rPr>
        <w:t xml:space="preserve"> 日历天</w:t>
      </w:r>
      <w:r>
        <w:rPr>
          <w:rFonts w:cs="Arial" w:asciiTheme="minorEastAsia" w:hAnsiTheme="minorEastAsia" w:eastAsiaTheme="minorEastAsia"/>
          <w:color w:val="auto"/>
          <w:szCs w:val="21"/>
        </w:rPr>
        <w:t>并移交全部工程，保证工程质量</w:t>
      </w:r>
      <w:r>
        <w:rPr>
          <w:rFonts w:hint="eastAsia" w:cs="Arial" w:asciiTheme="minorEastAsia" w:hAnsiTheme="minorEastAsia" w:eastAsiaTheme="minorEastAsia"/>
          <w:color w:val="auto"/>
          <w:szCs w:val="21"/>
          <w:u w:val="single"/>
        </w:rPr>
        <w:t xml:space="preserve">       </w:t>
      </w:r>
      <w:r>
        <w:rPr>
          <w:rFonts w:cs="Arial" w:asciiTheme="minorEastAsia" w:hAnsiTheme="minorEastAsia" w:eastAsiaTheme="minorEastAsia"/>
          <w:color w:val="auto"/>
          <w:szCs w:val="21"/>
        </w:rPr>
        <w:t>。</w:t>
      </w:r>
    </w:p>
    <w:p>
      <w:pPr>
        <w:keepNext w:val="0"/>
        <w:keepLines w:val="0"/>
        <w:pageBreakBefore w:val="0"/>
        <w:widowControl w:val="0"/>
        <w:kinsoku/>
        <w:wordWrap/>
        <w:overflowPunct/>
        <w:topLinePunct w:val="0"/>
        <w:autoSpaceDE w:val="0"/>
        <w:autoSpaceDN w:val="0"/>
        <w:bidi w:val="0"/>
        <w:adjustRightInd/>
        <w:snapToGrid/>
        <w:spacing w:line="460" w:lineRule="exact"/>
        <w:ind w:right="384" w:rightChars="183" w:firstLine="420" w:firstLineChars="200"/>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5、我方同意所提交的响应文件在“</w:t>
      </w:r>
      <w:r>
        <w:rPr>
          <w:rFonts w:hint="eastAsia" w:cs="Arial" w:asciiTheme="minorEastAsia" w:hAnsiTheme="minorEastAsia" w:eastAsiaTheme="minorEastAsia"/>
          <w:color w:val="auto"/>
          <w:szCs w:val="21"/>
        </w:rPr>
        <w:t>磋商</w:t>
      </w:r>
      <w:r>
        <w:rPr>
          <w:rFonts w:cs="Arial" w:asciiTheme="minorEastAsia" w:hAnsiTheme="minorEastAsia" w:eastAsiaTheme="minorEastAsia"/>
          <w:color w:val="auto"/>
          <w:szCs w:val="21"/>
        </w:rPr>
        <w:t>须知前附表”第</w:t>
      </w:r>
      <w:r>
        <w:rPr>
          <w:rFonts w:hint="eastAsia" w:cs="Arial" w:asciiTheme="minorEastAsia" w:hAnsiTheme="minorEastAsia" w:eastAsiaTheme="minorEastAsia"/>
          <w:color w:val="auto"/>
          <w:szCs w:val="21"/>
        </w:rPr>
        <w:t>3</w:t>
      </w:r>
      <w:r>
        <w:rPr>
          <w:rFonts w:cs="Arial" w:asciiTheme="minorEastAsia" w:hAnsiTheme="minorEastAsia" w:eastAsiaTheme="minorEastAsia"/>
          <w:color w:val="auto"/>
          <w:szCs w:val="21"/>
        </w:rPr>
        <w:t>条规定的磋商有效期内有效，在此期间内如果成交，我方将受此约束。</w:t>
      </w:r>
    </w:p>
    <w:p>
      <w:pPr>
        <w:keepNext w:val="0"/>
        <w:keepLines w:val="0"/>
        <w:pageBreakBefore w:val="0"/>
        <w:widowControl w:val="0"/>
        <w:kinsoku/>
        <w:wordWrap/>
        <w:overflowPunct/>
        <w:topLinePunct w:val="0"/>
        <w:autoSpaceDE w:val="0"/>
        <w:autoSpaceDN w:val="0"/>
        <w:bidi w:val="0"/>
        <w:adjustRightInd/>
        <w:snapToGrid/>
        <w:spacing w:line="460" w:lineRule="exact"/>
        <w:ind w:right="384" w:rightChars="183" w:firstLine="420" w:firstLineChars="200"/>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6、除非另外达成协议并生效，你方的成交通知书和本响应文件将成为约束双方的合同文件的组成部分。</w:t>
      </w:r>
    </w:p>
    <w:p>
      <w:pPr>
        <w:keepNext w:val="0"/>
        <w:keepLines w:val="0"/>
        <w:pageBreakBefore w:val="0"/>
        <w:widowControl w:val="0"/>
        <w:kinsoku/>
        <w:wordWrap/>
        <w:overflowPunct/>
        <w:topLinePunct w:val="0"/>
        <w:bidi w:val="0"/>
        <w:adjustRightInd/>
        <w:snapToGrid/>
        <w:spacing w:line="460" w:lineRule="exact"/>
        <w:ind w:right="384" w:rightChars="183" w:firstLine="420" w:firstLineChars="200"/>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7、我方将与本磋商标函一起，提交无条件保函（保证额度</w:t>
      </w:r>
      <w:r>
        <w:rPr>
          <w:rFonts w:hint="eastAsia" w:cs="Arial" w:asciiTheme="minorEastAsia" w:hAnsiTheme="minorEastAsia" w:eastAsiaTheme="minorEastAsia"/>
          <w:color w:val="auto"/>
          <w:szCs w:val="21"/>
          <w:u w:val="single"/>
          <w:lang w:val="en-US" w:eastAsia="zh-CN"/>
        </w:rPr>
        <w:t xml:space="preserve">      </w:t>
      </w:r>
      <w:r>
        <w:rPr>
          <w:rFonts w:cs="Arial" w:asciiTheme="minorEastAsia" w:hAnsiTheme="minorEastAsia" w:eastAsiaTheme="minorEastAsia"/>
          <w:color w:val="auto"/>
          <w:szCs w:val="21"/>
        </w:rPr>
        <w:t>元）或人民币</w:t>
      </w:r>
      <w:r>
        <w:rPr>
          <w:rFonts w:hint="eastAsia" w:cs="Arial" w:asciiTheme="minorEastAsia" w:hAnsiTheme="minorEastAsia" w:eastAsiaTheme="minorEastAsia"/>
          <w:color w:val="auto"/>
          <w:szCs w:val="21"/>
          <w:u w:val="single"/>
          <w:lang w:val="en-US" w:eastAsia="zh-CN"/>
        </w:rPr>
        <w:t xml:space="preserve">    </w:t>
      </w:r>
      <w:r>
        <w:rPr>
          <w:rFonts w:cs="Arial" w:asciiTheme="minorEastAsia" w:hAnsiTheme="minorEastAsia" w:eastAsiaTheme="minorEastAsia"/>
          <w:color w:val="auto"/>
          <w:szCs w:val="21"/>
        </w:rPr>
        <w:t>元作为磋商保证金。</w:t>
      </w:r>
    </w:p>
    <w:p>
      <w:pPr>
        <w:pStyle w:val="14"/>
        <w:rPr>
          <w:rFonts w:cs="Arial" w:asciiTheme="minorEastAsia" w:hAnsiTheme="minorEastAsia" w:eastAsiaTheme="minorEastAsia"/>
          <w:color w:val="auto"/>
          <w:szCs w:val="21"/>
        </w:rPr>
      </w:pPr>
    </w:p>
    <w:p>
      <w:pPr>
        <w:keepNext w:val="0"/>
        <w:keepLines w:val="0"/>
        <w:pageBreakBefore w:val="0"/>
        <w:widowControl w:val="0"/>
        <w:kinsoku/>
        <w:wordWrap/>
        <w:overflowPunct/>
        <w:topLinePunct w:val="0"/>
        <w:bidi w:val="0"/>
        <w:adjustRightInd/>
        <w:snapToGrid/>
        <w:spacing w:line="460" w:lineRule="exact"/>
        <w:ind w:left="1000" w:right="384" w:rightChars="183"/>
        <w:textAlignment w:val="auto"/>
        <w:outlineLvl w:val="9"/>
        <w:rPr>
          <w:rFonts w:cs="Arial" w:asciiTheme="minorEastAsia" w:hAnsiTheme="minorEastAsia" w:eastAsiaTheme="minorEastAsia"/>
          <w:color w:val="auto"/>
          <w:szCs w:val="21"/>
          <w:u w:val="single"/>
        </w:rPr>
      </w:pPr>
      <w:r>
        <w:rPr>
          <w:rFonts w:hint="eastAsia" w:asciiTheme="minorEastAsia" w:hAnsiTheme="minorEastAsia" w:eastAsiaTheme="minorEastAsia"/>
          <w:color w:val="auto"/>
          <w:szCs w:val="21"/>
        </w:rPr>
        <w:t>磋商供应商名称（公章）：</w:t>
      </w:r>
    </w:p>
    <w:p>
      <w:pPr>
        <w:keepNext w:val="0"/>
        <w:keepLines w:val="0"/>
        <w:pageBreakBefore w:val="0"/>
        <w:widowControl w:val="0"/>
        <w:kinsoku/>
        <w:wordWrap/>
        <w:overflowPunct/>
        <w:topLinePunct w:val="0"/>
        <w:bidi w:val="0"/>
        <w:adjustRightInd/>
        <w:snapToGrid/>
        <w:spacing w:line="460" w:lineRule="exact"/>
        <w:ind w:left="1000" w:right="384" w:rightChars="183"/>
        <w:textAlignment w:val="auto"/>
        <w:outlineLvl w:val="9"/>
        <w:rPr>
          <w:rFonts w:cs="Arial" w:asciiTheme="minorEastAsia" w:hAnsiTheme="minorEastAsia" w:eastAsiaTheme="minorEastAsia"/>
          <w:color w:val="auto"/>
          <w:szCs w:val="21"/>
          <w:u w:val="single"/>
        </w:rPr>
      </w:pPr>
      <w:r>
        <w:rPr>
          <w:rFonts w:cs="Arial" w:asciiTheme="minorEastAsia" w:hAnsiTheme="minorEastAsia" w:eastAsiaTheme="minorEastAsia"/>
          <w:color w:val="auto"/>
          <w:szCs w:val="21"/>
        </w:rPr>
        <w:t>单位地址：</w:t>
      </w:r>
    </w:p>
    <w:p>
      <w:pPr>
        <w:keepNext w:val="0"/>
        <w:keepLines w:val="0"/>
        <w:pageBreakBefore w:val="0"/>
        <w:widowControl w:val="0"/>
        <w:kinsoku/>
        <w:wordWrap/>
        <w:overflowPunct/>
        <w:topLinePunct w:val="0"/>
        <w:bidi w:val="0"/>
        <w:adjustRightInd/>
        <w:snapToGrid/>
        <w:spacing w:line="460" w:lineRule="exact"/>
        <w:ind w:left="1000" w:right="384" w:rightChars="183"/>
        <w:textAlignment w:val="auto"/>
        <w:outlineLvl w:val="9"/>
        <w:rPr>
          <w:rFonts w:cs="Arial" w:asciiTheme="minorEastAsia" w:hAnsiTheme="minorEastAsia" w:eastAsiaTheme="minorEastAsia"/>
          <w:color w:val="auto"/>
          <w:szCs w:val="21"/>
          <w:u w:val="single"/>
        </w:rPr>
      </w:pPr>
      <w:r>
        <w:rPr>
          <w:rFonts w:cs="Arial" w:asciiTheme="minorEastAsia" w:hAnsiTheme="minorEastAsia" w:eastAsiaTheme="minorEastAsia"/>
          <w:color w:val="auto"/>
          <w:szCs w:val="21"/>
        </w:rPr>
        <w:t>法定代表人或其委托代理人</w:t>
      </w:r>
      <w:r>
        <w:rPr>
          <w:rFonts w:cs="Arial" w:asciiTheme="minorEastAsia" w:hAnsiTheme="minorEastAsia" w:eastAsiaTheme="minorEastAsia"/>
          <w:color w:val="auto"/>
          <w:szCs w:val="21"/>
          <w:u w:val="none"/>
        </w:rPr>
        <w:t>：   （签字或盖章）</w:t>
      </w:r>
    </w:p>
    <w:p>
      <w:pPr>
        <w:keepNext w:val="0"/>
        <w:keepLines w:val="0"/>
        <w:pageBreakBefore w:val="0"/>
        <w:widowControl w:val="0"/>
        <w:kinsoku/>
        <w:wordWrap/>
        <w:overflowPunct/>
        <w:topLinePunct w:val="0"/>
        <w:bidi w:val="0"/>
        <w:adjustRightInd/>
        <w:snapToGrid/>
        <w:spacing w:line="460" w:lineRule="exact"/>
        <w:ind w:left="1000" w:right="384" w:rightChars="183"/>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邮政编码：</w:t>
      </w:r>
      <w:r>
        <w:rPr>
          <w:rFonts w:hint="eastAsia" w:cs="Arial" w:asciiTheme="minorEastAsia" w:hAnsiTheme="minorEastAsia" w:eastAsiaTheme="minorEastAsia"/>
          <w:color w:val="auto"/>
          <w:szCs w:val="21"/>
          <w:lang w:val="en-US" w:eastAsia="zh-CN"/>
        </w:rPr>
        <w:t xml:space="preserve">      </w:t>
      </w:r>
      <w:r>
        <w:rPr>
          <w:rFonts w:cs="Arial" w:asciiTheme="minorEastAsia" w:hAnsiTheme="minorEastAsia" w:eastAsiaTheme="minorEastAsia"/>
          <w:color w:val="auto"/>
          <w:szCs w:val="21"/>
        </w:rPr>
        <w:t>电话：</w:t>
      </w:r>
      <w:r>
        <w:rPr>
          <w:rFonts w:hint="eastAsia" w:cs="Arial" w:asciiTheme="minorEastAsia" w:hAnsiTheme="minorEastAsia" w:eastAsiaTheme="minorEastAsia"/>
          <w:color w:val="auto"/>
          <w:szCs w:val="21"/>
          <w:lang w:val="en-US" w:eastAsia="zh-CN"/>
        </w:rPr>
        <w:t xml:space="preserve">             </w:t>
      </w:r>
      <w:r>
        <w:rPr>
          <w:rFonts w:cs="Arial" w:asciiTheme="minorEastAsia" w:hAnsiTheme="minorEastAsia" w:eastAsiaTheme="minorEastAsia"/>
          <w:color w:val="auto"/>
          <w:szCs w:val="21"/>
        </w:rPr>
        <w:t>传真：</w:t>
      </w:r>
    </w:p>
    <w:p>
      <w:pPr>
        <w:keepNext w:val="0"/>
        <w:keepLines w:val="0"/>
        <w:pageBreakBefore w:val="0"/>
        <w:widowControl w:val="0"/>
        <w:kinsoku/>
        <w:wordWrap/>
        <w:overflowPunct/>
        <w:topLinePunct w:val="0"/>
        <w:bidi w:val="0"/>
        <w:adjustRightInd/>
        <w:snapToGrid/>
        <w:spacing w:line="460" w:lineRule="exact"/>
        <w:ind w:left="1000" w:right="384" w:rightChars="183"/>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开户银行名称：</w:t>
      </w:r>
    </w:p>
    <w:p>
      <w:pPr>
        <w:keepNext w:val="0"/>
        <w:keepLines w:val="0"/>
        <w:pageBreakBefore w:val="0"/>
        <w:widowControl w:val="0"/>
        <w:kinsoku/>
        <w:wordWrap/>
        <w:overflowPunct/>
        <w:topLinePunct w:val="0"/>
        <w:bidi w:val="0"/>
        <w:adjustRightInd/>
        <w:snapToGrid/>
        <w:spacing w:line="460" w:lineRule="exact"/>
        <w:ind w:left="1000" w:right="384" w:rightChars="183"/>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开户银行账号：</w:t>
      </w:r>
    </w:p>
    <w:p>
      <w:pPr>
        <w:keepNext w:val="0"/>
        <w:keepLines w:val="0"/>
        <w:pageBreakBefore w:val="0"/>
        <w:widowControl w:val="0"/>
        <w:kinsoku/>
        <w:wordWrap/>
        <w:overflowPunct/>
        <w:topLinePunct w:val="0"/>
        <w:bidi w:val="0"/>
        <w:adjustRightInd/>
        <w:snapToGrid/>
        <w:spacing w:line="460" w:lineRule="exact"/>
        <w:ind w:left="1000" w:right="384" w:rightChars="183"/>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开户银行地址：</w:t>
      </w:r>
    </w:p>
    <w:p>
      <w:pPr>
        <w:keepNext w:val="0"/>
        <w:keepLines w:val="0"/>
        <w:pageBreakBefore w:val="0"/>
        <w:widowControl w:val="0"/>
        <w:kinsoku/>
        <w:wordWrap/>
        <w:overflowPunct/>
        <w:topLinePunct w:val="0"/>
        <w:bidi w:val="0"/>
        <w:adjustRightInd/>
        <w:snapToGrid/>
        <w:spacing w:line="460" w:lineRule="exact"/>
        <w:ind w:left="1000" w:right="384" w:rightChars="183"/>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开户银行电话：</w:t>
      </w:r>
    </w:p>
    <w:p>
      <w:pPr>
        <w:keepNext w:val="0"/>
        <w:keepLines w:val="0"/>
        <w:pageBreakBefore w:val="0"/>
        <w:widowControl w:val="0"/>
        <w:kinsoku/>
        <w:wordWrap/>
        <w:overflowPunct/>
        <w:topLinePunct w:val="0"/>
        <w:bidi w:val="0"/>
        <w:adjustRightInd/>
        <w:snapToGrid/>
        <w:spacing w:line="460" w:lineRule="exact"/>
        <w:ind w:right="384" w:rightChars="183" w:firstLine="1050" w:firstLineChars="500"/>
        <w:textAlignment w:val="auto"/>
        <w:outlineLvl w:val="9"/>
        <w:rPr>
          <w:rFonts w:cs="Arial" w:asciiTheme="minorEastAsia" w:hAnsiTheme="minorEastAsia" w:eastAsiaTheme="minorEastAsia"/>
          <w:color w:val="auto"/>
          <w:szCs w:val="21"/>
        </w:rPr>
      </w:pPr>
      <w:r>
        <w:rPr>
          <w:rFonts w:cs="Arial" w:asciiTheme="minorEastAsia" w:hAnsiTheme="minorEastAsia" w:eastAsiaTheme="minorEastAsia"/>
          <w:color w:val="auto"/>
          <w:szCs w:val="21"/>
        </w:rPr>
        <w:t>日   期：</w:t>
      </w:r>
    </w:p>
    <w:p>
      <w:pPr>
        <w:spacing w:line="360" w:lineRule="auto"/>
        <w:ind w:left="2060" w:leftChars="981" w:right="384" w:rightChars="183" w:firstLine="1800" w:firstLineChars="750"/>
        <w:rPr>
          <w:rFonts w:cs="Arial" w:asciiTheme="minorEastAsia" w:hAnsiTheme="minorEastAsia" w:eastAsiaTheme="minorEastAsia"/>
          <w:color w:val="auto"/>
          <w:sz w:val="24"/>
          <w:szCs w:val="24"/>
        </w:rPr>
      </w:pPr>
    </w:p>
    <w:p>
      <w:pPr>
        <w:ind w:right="384" w:rightChars="183"/>
        <w:jc w:val="center"/>
        <w:rPr>
          <w:rFonts w:cs="Arial" w:asciiTheme="minorEastAsia" w:hAnsiTheme="minorEastAsia" w:eastAsiaTheme="minorEastAsia"/>
          <w:b/>
          <w:color w:val="auto"/>
          <w:sz w:val="28"/>
          <w:szCs w:val="28"/>
        </w:rPr>
      </w:pPr>
      <w:r>
        <w:rPr>
          <w:rFonts w:hint="eastAsia" w:cs="Arial" w:asciiTheme="minorEastAsia" w:hAnsiTheme="minorEastAsia" w:eastAsiaTheme="minorEastAsia"/>
          <w:b/>
          <w:color w:val="auto"/>
          <w:sz w:val="28"/>
          <w:szCs w:val="28"/>
        </w:rPr>
        <w:t>磋 商</w:t>
      </w:r>
      <w:r>
        <w:rPr>
          <w:rFonts w:cs="Arial" w:asciiTheme="minorEastAsia" w:hAnsiTheme="minorEastAsia" w:eastAsiaTheme="minorEastAsia"/>
          <w:b/>
          <w:color w:val="auto"/>
          <w:sz w:val="28"/>
          <w:szCs w:val="28"/>
        </w:rPr>
        <w:t xml:space="preserve"> 函 附 录</w:t>
      </w:r>
    </w:p>
    <w:p>
      <w:pPr>
        <w:spacing w:line="360" w:lineRule="auto"/>
        <w:ind w:right="384" w:rightChars="183"/>
        <w:jc w:val="center"/>
        <w:rPr>
          <w:rFonts w:asciiTheme="minorEastAsia" w:hAnsiTheme="minorEastAsia" w:eastAsiaTheme="minorEastAsia"/>
          <w:b/>
          <w:color w:val="auto"/>
        </w:rPr>
      </w:pPr>
    </w:p>
    <w:tbl>
      <w:tblPr>
        <w:tblStyle w:val="54"/>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14"/>
        <w:gridCol w:w="1233"/>
        <w:gridCol w:w="3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spacing w:line="360" w:lineRule="auto"/>
              <w:ind w:right="384" w:rightChars="183"/>
              <w:jc w:val="center"/>
              <w:rPr>
                <w:rFonts w:asciiTheme="minorEastAsia" w:hAnsiTheme="minorEastAsia" w:eastAsiaTheme="minorEastAsia"/>
                <w:color w:val="auto"/>
              </w:rPr>
            </w:pPr>
          </w:p>
        </w:tc>
        <w:tc>
          <w:tcPr>
            <w:tcW w:w="3614" w:type="dxa"/>
            <w:vAlign w:val="center"/>
          </w:tcPr>
          <w:p>
            <w:pPr>
              <w:spacing w:line="360" w:lineRule="auto"/>
              <w:ind w:right="384" w:rightChars="183"/>
              <w:jc w:val="center"/>
              <w:rPr>
                <w:rFonts w:asciiTheme="minorEastAsia" w:hAnsiTheme="minorEastAsia" w:eastAsiaTheme="minorEastAsia"/>
                <w:color w:val="auto"/>
              </w:rPr>
            </w:pPr>
            <w:r>
              <w:rPr>
                <w:rFonts w:hint="eastAsia" w:asciiTheme="minorEastAsia" w:hAnsiTheme="minorEastAsia" w:eastAsiaTheme="minorEastAsia"/>
                <w:color w:val="auto"/>
              </w:rPr>
              <w:t>项目内容</w:t>
            </w:r>
          </w:p>
        </w:tc>
        <w:tc>
          <w:tcPr>
            <w:tcW w:w="1233" w:type="dxa"/>
            <w:vAlign w:val="center"/>
          </w:tcPr>
          <w:p>
            <w:pPr>
              <w:spacing w:line="360" w:lineRule="auto"/>
              <w:ind w:right="-76" w:rightChars="-36"/>
              <w:jc w:val="center"/>
              <w:rPr>
                <w:rFonts w:asciiTheme="minorEastAsia" w:hAnsiTheme="minorEastAsia" w:eastAsiaTheme="minorEastAsia"/>
                <w:color w:val="auto"/>
              </w:rPr>
            </w:pPr>
            <w:r>
              <w:rPr>
                <w:rFonts w:hint="eastAsia" w:asciiTheme="minorEastAsia" w:hAnsiTheme="minorEastAsia" w:eastAsiaTheme="minorEastAsia"/>
                <w:color w:val="auto"/>
              </w:rPr>
              <w:t>专用</w:t>
            </w:r>
          </w:p>
          <w:p>
            <w:pPr>
              <w:spacing w:line="360" w:lineRule="auto"/>
              <w:ind w:right="-76" w:rightChars="-36"/>
              <w:jc w:val="center"/>
              <w:rPr>
                <w:rFonts w:asciiTheme="minorEastAsia" w:hAnsiTheme="minorEastAsia" w:eastAsiaTheme="minorEastAsia"/>
                <w:color w:val="auto"/>
              </w:rPr>
            </w:pPr>
            <w:r>
              <w:rPr>
                <w:rFonts w:hint="eastAsia" w:asciiTheme="minorEastAsia" w:hAnsiTheme="minorEastAsia" w:eastAsiaTheme="minorEastAsia"/>
                <w:color w:val="auto"/>
              </w:rPr>
              <w:t>条款号</w:t>
            </w:r>
          </w:p>
        </w:tc>
        <w:tc>
          <w:tcPr>
            <w:tcW w:w="3763" w:type="dxa"/>
            <w:vAlign w:val="center"/>
          </w:tcPr>
          <w:p>
            <w:pPr>
              <w:spacing w:line="360" w:lineRule="auto"/>
              <w:ind w:right="384" w:rightChars="183"/>
              <w:jc w:val="center"/>
              <w:rPr>
                <w:rFonts w:asciiTheme="minorEastAsia" w:hAnsiTheme="minorEastAsia" w:eastAsiaTheme="minorEastAsia"/>
                <w:color w:val="auto"/>
              </w:rPr>
            </w:pPr>
            <w:r>
              <w:rPr>
                <w:rFonts w:hint="eastAsia" w:asciiTheme="minorEastAsia" w:hAnsiTheme="minorEastAsia" w:eastAsiaTheme="minorEastAsia"/>
                <w:color w:val="auto"/>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exact"/>
          <w:jc w:val="center"/>
        </w:trPr>
        <w:tc>
          <w:tcPr>
            <w:tcW w:w="648" w:type="dxa"/>
            <w:vAlign w:val="center"/>
          </w:tcPr>
          <w:p>
            <w:pPr>
              <w:spacing w:line="360" w:lineRule="auto"/>
              <w:ind w:right="384" w:rightChars="183"/>
              <w:jc w:val="cente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3614" w:type="dxa"/>
            <w:vAlign w:val="center"/>
          </w:tcPr>
          <w:p>
            <w:pPr>
              <w:spacing w:line="360" w:lineRule="auto"/>
              <w:ind w:right="384" w:rightChars="183"/>
              <w:rPr>
                <w:rFonts w:asciiTheme="minorEastAsia" w:hAnsiTheme="minorEastAsia" w:eastAsiaTheme="minorEastAsia"/>
                <w:color w:val="auto"/>
              </w:rPr>
            </w:pPr>
            <w:r>
              <w:rPr>
                <w:rFonts w:hint="eastAsia" w:asciiTheme="minorEastAsia" w:hAnsiTheme="minorEastAsia" w:eastAsiaTheme="minorEastAsia"/>
                <w:color w:val="auto"/>
              </w:rPr>
              <w:t>误期赔偿费金额</w:t>
            </w:r>
          </w:p>
        </w:tc>
        <w:tc>
          <w:tcPr>
            <w:tcW w:w="1233" w:type="dxa"/>
            <w:vAlign w:val="center"/>
          </w:tcPr>
          <w:p>
            <w:pPr>
              <w:spacing w:line="360" w:lineRule="auto"/>
              <w:ind w:right="-76" w:rightChars="-36"/>
              <w:jc w:val="center"/>
              <w:rPr>
                <w:rFonts w:asciiTheme="minorEastAsia" w:hAnsiTheme="minorEastAsia" w:eastAsiaTheme="minorEastAsia"/>
                <w:color w:val="auto"/>
              </w:rPr>
            </w:pPr>
            <w:r>
              <w:rPr>
                <w:rFonts w:hint="eastAsia" w:asciiTheme="minorEastAsia" w:hAnsiTheme="minorEastAsia" w:eastAsiaTheme="minorEastAsia"/>
                <w:color w:val="auto"/>
              </w:rPr>
              <w:t>7.5.2</w:t>
            </w:r>
          </w:p>
        </w:tc>
        <w:tc>
          <w:tcPr>
            <w:tcW w:w="3763" w:type="dxa"/>
            <w:vAlign w:val="center"/>
          </w:tcPr>
          <w:p>
            <w:pPr>
              <w:spacing w:line="360" w:lineRule="auto"/>
              <w:ind w:right="-36" w:rightChars="-17"/>
              <w:rPr>
                <w:rFonts w:hint="eastAsia" w:asciiTheme="minorEastAsia" w:hAnsiTheme="minorEastAsia" w:eastAsiaTheme="minorEastAsia"/>
                <w:color w:val="auto"/>
                <w:lang w:eastAsia="zh-CN"/>
              </w:rPr>
            </w:pPr>
            <w:r>
              <w:rPr>
                <w:rFonts w:asciiTheme="minorEastAsia" w:hAnsiTheme="minorEastAsia" w:eastAsiaTheme="minorEastAsia"/>
                <w:color w:val="auto"/>
                <w:szCs w:val="21"/>
                <w:u w:val="none"/>
              </w:rPr>
              <w:t>每天赔偿金额为合同价款扣除建安劳保费、发包人材料价款、暂估专业工程、暂列金额后的的万分</w:t>
            </w:r>
            <w:r>
              <w:rPr>
                <w:rFonts w:hint="eastAsia" w:asciiTheme="minorEastAsia" w:hAnsiTheme="minorEastAsia" w:eastAsiaTheme="minorEastAsia"/>
                <w:color w:val="auto"/>
                <w:szCs w:val="21"/>
                <w:u w:val="none"/>
              </w:rPr>
              <w:t>之</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lang w:val="en-US" w:eastAsia="zh-CN"/>
              </w:rPr>
              <w:t xml:space="preserve">  </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exact"/>
          <w:jc w:val="center"/>
        </w:trPr>
        <w:tc>
          <w:tcPr>
            <w:tcW w:w="648" w:type="dxa"/>
            <w:vAlign w:val="center"/>
          </w:tcPr>
          <w:p>
            <w:pPr>
              <w:spacing w:line="360" w:lineRule="auto"/>
              <w:ind w:right="384" w:rightChars="183"/>
              <w:jc w:val="center"/>
              <w:rPr>
                <w:rFonts w:asciiTheme="minorEastAsia" w:hAnsiTheme="minorEastAsia" w:eastAsiaTheme="minorEastAsia"/>
                <w:color w:val="auto"/>
              </w:rPr>
            </w:pPr>
            <w:r>
              <w:rPr>
                <w:rFonts w:hint="eastAsia" w:asciiTheme="minorEastAsia" w:hAnsiTheme="minorEastAsia" w:eastAsiaTheme="minorEastAsia"/>
                <w:color w:val="auto"/>
              </w:rPr>
              <w:t>2</w:t>
            </w:r>
          </w:p>
        </w:tc>
        <w:tc>
          <w:tcPr>
            <w:tcW w:w="3614" w:type="dxa"/>
            <w:vAlign w:val="center"/>
          </w:tcPr>
          <w:p>
            <w:pPr>
              <w:spacing w:line="360" w:lineRule="auto"/>
              <w:ind w:right="384" w:rightChars="183"/>
              <w:rPr>
                <w:rFonts w:asciiTheme="minorEastAsia" w:hAnsiTheme="minorEastAsia" w:eastAsiaTheme="minorEastAsia"/>
                <w:color w:val="auto"/>
              </w:rPr>
            </w:pPr>
            <w:r>
              <w:rPr>
                <w:rFonts w:hint="eastAsia" w:asciiTheme="minorEastAsia" w:hAnsiTheme="minorEastAsia" w:eastAsiaTheme="minorEastAsia"/>
                <w:color w:val="auto"/>
              </w:rPr>
              <w:t>误期赔偿费限额</w:t>
            </w:r>
          </w:p>
        </w:tc>
        <w:tc>
          <w:tcPr>
            <w:tcW w:w="1233" w:type="dxa"/>
            <w:vAlign w:val="center"/>
          </w:tcPr>
          <w:p>
            <w:pPr>
              <w:spacing w:line="360" w:lineRule="auto"/>
              <w:ind w:right="-76" w:rightChars="-36"/>
              <w:jc w:val="center"/>
              <w:rPr>
                <w:rFonts w:asciiTheme="minorEastAsia" w:hAnsiTheme="minorEastAsia" w:eastAsiaTheme="minorEastAsia"/>
                <w:color w:val="auto"/>
              </w:rPr>
            </w:pPr>
            <w:r>
              <w:rPr>
                <w:rFonts w:hint="eastAsia" w:asciiTheme="minorEastAsia" w:hAnsiTheme="minorEastAsia" w:eastAsiaTheme="minorEastAsia"/>
                <w:color w:val="auto"/>
              </w:rPr>
              <w:t>7.5.2</w:t>
            </w:r>
          </w:p>
        </w:tc>
        <w:tc>
          <w:tcPr>
            <w:tcW w:w="3763" w:type="dxa"/>
            <w:vAlign w:val="center"/>
          </w:tcPr>
          <w:p>
            <w:pPr>
              <w:spacing w:line="360" w:lineRule="auto"/>
              <w:ind w:right="-36" w:rightChars="-17"/>
              <w:rPr>
                <w:rFonts w:asciiTheme="minorEastAsia" w:hAnsiTheme="minorEastAsia" w:eastAsiaTheme="minorEastAsia"/>
                <w:color w:val="auto"/>
              </w:rPr>
            </w:pPr>
            <w:r>
              <w:rPr>
                <w:rFonts w:asciiTheme="minorEastAsia" w:hAnsiTheme="minorEastAsia" w:eastAsiaTheme="minorEastAsia"/>
                <w:color w:val="auto"/>
                <w:szCs w:val="21"/>
                <w:u w:val="none"/>
              </w:rPr>
              <w:t>合同价扣除建安劳保费、发包人材料价款、暂估专业工程、暂列金额后的</w:t>
            </w:r>
            <w:r>
              <w:rPr>
                <w:rFonts w:asciiTheme="minorEastAsia" w:hAnsiTheme="minorEastAsia" w:eastAsiaTheme="minorEastAsia"/>
                <w:color w:val="auto"/>
                <w:szCs w:val="21"/>
                <w:u w:val="single"/>
              </w:rPr>
              <w:t xml:space="preserve">    %</w:t>
            </w:r>
            <w:r>
              <w:rPr>
                <w:rFonts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648" w:type="dxa"/>
            <w:vAlign w:val="center"/>
          </w:tcPr>
          <w:p>
            <w:pPr>
              <w:spacing w:line="360" w:lineRule="auto"/>
              <w:ind w:right="384" w:rightChars="183"/>
              <w:jc w:val="center"/>
              <w:rPr>
                <w:rFonts w:asciiTheme="minorEastAsia" w:hAnsiTheme="minorEastAsia" w:eastAsiaTheme="minorEastAsia"/>
                <w:color w:val="auto"/>
              </w:rPr>
            </w:pPr>
            <w:r>
              <w:rPr>
                <w:rFonts w:hint="eastAsia" w:asciiTheme="minorEastAsia" w:hAnsiTheme="minorEastAsia" w:eastAsiaTheme="minorEastAsia"/>
                <w:color w:val="auto"/>
              </w:rPr>
              <w:t>3</w:t>
            </w:r>
          </w:p>
        </w:tc>
        <w:tc>
          <w:tcPr>
            <w:tcW w:w="3614" w:type="dxa"/>
            <w:vAlign w:val="center"/>
          </w:tcPr>
          <w:p>
            <w:pPr>
              <w:spacing w:line="360" w:lineRule="auto"/>
              <w:ind w:right="384" w:rightChars="183"/>
              <w:rPr>
                <w:rFonts w:asciiTheme="minorEastAsia" w:hAnsiTheme="minorEastAsia" w:eastAsiaTheme="minorEastAsia"/>
                <w:color w:val="auto"/>
              </w:rPr>
            </w:pPr>
            <w:r>
              <w:rPr>
                <w:rFonts w:hint="eastAsia" w:asciiTheme="minorEastAsia" w:hAnsiTheme="minorEastAsia" w:eastAsiaTheme="minorEastAsia"/>
                <w:color w:val="auto"/>
              </w:rPr>
              <w:t>提前工期奖</w:t>
            </w:r>
          </w:p>
        </w:tc>
        <w:tc>
          <w:tcPr>
            <w:tcW w:w="1233" w:type="dxa"/>
            <w:vAlign w:val="center"/>
          </w:tcPr>
          <w:p>
            <w:pPr>
              <w:spacing w:line="360" w:lineRule="auto"/>
              <w:ind w:right="-76" w:rightChars="-36"/>
              <w:jc w:val="center"/>
              <w:rPr>
                <w:rFonts w:asciiTheme="minorEastAsia" w:hAnsiTheme="minorEastAsia" w:eastAsiaTheme="minorEastAsia"/>
                <w:color w:val="auto"/>
                <w:highlight w:val="yellow"/>
              </w:rPr>
            </w:pPr>
            <w:r>
              <w:rPr>
                <w:rFonts w:hint="eastAsia" w:asciiTheme="minorEastAsia" w:hAnsiTheme="minorEastAsia" w:eastAsiaTheme="minorEastAsia"/>
                <w:color w:val="auto"/>
              </w:rPr>
              <w:t>14.3</w:t>
            </w:r>
          </w:p>
        </w:tc>
        <w:tc>
          <w:tcPr>
            <w:tcW w:w="3763" w:type="dxa"/>
            <w:vAlign w:val="center"/>
          </w:tcPr>
          <w:p>
            <w:pPr>
              <w:spacing w:line="360" w:lineRule="auto"/>
              <w:ind w:right="-36" w:rightChars="-17"/>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648" w:type="dxa"/>
            <w:vAlign w:val="center"/>
          </w:tcPr>
          <w:p>
            <w:pPr>
              <w:spacing w:line="360" w:lineRule="auto"/>
              <w:ind w:right="384" w:rightChars="183"/>
              <w:jc w:val="center"/>
              <w:rPr>
                <w:rFonts w:asciiTheme="minorEastAsia" w:hAnsiTheme="minorEastAsia" w:eastAsiaTheme="minorEastAsia"/>
                <w:color w:val="auto"/>
              </w:rPr>
            </w:pPr>
            <w:r>
              <w:rPr>
                <w:rFonts w:hint="eastAsia" w:asciiTheme="minorEastAsia" w:hAnsiTheme="minorEastAsia" w:eastAsiaTheme="minorEastAsia"/>
                <w:color w:val="auto"/>
              </w:rPr>
              <w:t>4</w:t>
            </w:r>
          </w:p>
        </w:tc>
        <w:tc>
          <w:tcPr>
            <w:tcW w:w="3614" w:type="dxa"/>
            <w:vAlign w:val="center"/>
          </w:tcPr>
          <w:p>
            <w:pPr>
              <w:spacing w:line="360" w:lineRule="auto"/>
              <w:ind w:right="384" w:rightChars="183"/>
              <w:rPr>
                <w:rFonts w:asciiTheme="minorEastAsia" w:hAnsiTheme="minorEastAsia" w:eastAsiaTheme="minorEastAsia"/>
                <w:color w:val="auto"/>
              </w:rPr>
            </w:pPr>
            <w:r>
              <w:rPr>
                <w:rFonts w:hint="eastAsia" w:asciiTheme="minorEastAsia" w:hAnsiTheme="minorEastAsia" w:eastAsiaTheme="minorEastAsia"/>
                <w:color w:val="auto"/>
              </w:rPr>
              <w:t>工程进度款</w:t>
            </w:r>
          </w:p>
        </w:tc>
        <w:tc>
          <w:tcPr>
            <w:tcW w:w="1233" w:type="dxa"/>
            <w:vAlign w:val="center"/>
          </w:tcPr>
          <w:p>
            <w:pPr>
              <w:spacing w:line="360" w:lineRule="auto"/>
              <w:ind w:right="-76" w:rightChars="-36"/>
              <w:jc w:val="center"/>
              <w:rPr>
                <w:rFonts w:asciiTheme="minorEastAsia" w:hAnsiTheme="minorEastAsia" w:eastAsiaTheme="minorEastAsia"/>
                <w:color w:val="auto"/>
                <w:highlight w:val="yellow"/>
              </w:rPr>
            </w:pPr>
            <w:r>
              <w:rPr>
                <w:rFonts w:hint="eastAsia" w:asciiTheme="minorEastAsia" w:hAnsiTheme="minorEastAsia" w:eastAsiaTheme="minorEastAsia"/>
                <w:color w:val="auto"/>
              </w:rPr>
              <w:t>12.4</w:t>
            </w:r>
          </w:p>
        </w:tc>
        <w:tc>
          <w:tcPr>
            <w:tcW w:w="3763" w:type="dxa"/>
            <w:vAlign w:val="center"/>
          </w:tcPr>
          <w:p>
            <w:pPr>
              <w:spacing w:line="360" w:lineRule="auto"/>
              <w:ind w:right="-36" w:rightChars="-17"/>
              <w:rPr>
                <w:rFonts w:asciiTheme="minorEastAsia" w:hAnsiTheme="minorEastAsia" w:eastAsiaTheme="minorEastAsia"/>
                <w:color w:val="auto"/>
              </w:rPr>
            </w:pPr>
            <w:r>
              <w:rPr>
                <w:rFonts w:hint="eastAsia" w:asciiTheme="minorEastAsia" w:hAnsiTheme="minorEastAsia" w:eastAsiaTheme="minorEastAsia"/>
                <w:color w:val="auto"/>
              </w:rPr>
              <w:t>按合同协议专用条款第12.4条执行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jc w:val="center"/>
        </w:trPr>
        <w:tc>
          <w:tcPr>
            <w:tcW w:w="648" w:type="dxa"/>
            <w:vAlign w:val="center"/>
          </w:tcPr>
          <w:p>
            <w:pPr>
              <w:spacing w:line="360" w:lineRule="auto"/>
              <w:ind w:right="384" w:rightChars="183"/>
              <w:jc w:val="center"/>
              <w:rPr>
                <w:rFonts w:asciiTheme="minorEastAsia" w:hAnsiTheme="minorEastAsia" w:eastAsiaTheme="minorEastAsia"/>
                <w:color w:val="auto"/>
              </w:rPr>
            </w:pPr>
            <w:r>
              <w:rPr>
                <w:rFonts w:hint="eastAsia" w:asciiTheme="minorEastAsia" w:hAnsiTheme="minorEastAsia" w:eastAsiaTheme="minorEastAsia"/>
                <w:color w:val="auto"/>
              </w:rPr>
              <w:t>5</w:t>
            </w:r>
          </w:p>
        </w:tc>
        <w:tc>
          <w:tcPr>
            <w:tcW w:w="3614" w:type="dxa"/>
            <w:vAlign w:val="center"/>
          </w:tcPr>
          <w:p>
            <w:pPr>
              <w:spacing w:line="360" w:lineRule="auto"/>
              <w:ind w:right="384" w:rightChars="183"/>
              <w:rPr>
                <w:rFonts w:asciiTheme="minorEastAsia" w:hAnsiTheme="minorEastAsia" w:eastAsiaTheme="minorEastAsia"/>
                <w:color w:val="auto"/>
              </w:rPr>
            </w:pPr>
            <w:r>
              <w:rPr>
                <w:rFonts w:hint="eastAsia" w:asciiTheme="minorEastAsia" w:hAnsiTheme="minorEastAsia" w:eastAsiaTheme="minorEastAsia"/>
                <w:color w:val="auto"/>
              </w:rPr>
              <w:t>要求工期</w:t>
            </w:r>
          </w:p>
        </w:tc>
        <w:tc>
          <w:tcPr>
            <w:tcW w:w="1233" w:type="dxa"/>
            <w:vAlign w:val="center"/>
          </w:tcPr>
          <w:p>
            <w:pPr>
              <w:spacing w:line="360" w:lineRule="auto"/>
              <w:ind w:right="-76" w:rightChars="-36"/>
              <w:jc w:val="center"/>
              <w:rPr>
                <w:rFonts w:asciiTheme="minorEastAsia" w:hAnsiTheme="minorEastAsia" w:eastAsiaTheme="minorEastAsia"/>
                <w:color w:val="auto"/>
                <w:highlight w:val="yellow"/>
              </w:rPr>
            </w:pPr>
            <w:r>
              <w:rPr>
                <w:rFonts w:hint="eastAsia" w:asciiTheme="minorEastAsia" w:hAnsiTheme="minorEastAsia" w:eastAsiaTheme="minorEastAsia"/>
                <w:color w:val="auto"/>
              </w:rPr>
              <w:t>5</w:t>
            </w:r>
          </w:p>
        </w:tc>
        <w:tc>
          <w:tcPr>
            <w:tcW w:w="3763" w:type="dxa"/>
            <w:vAlign w:val="center"/>
          </w:tcPr>
          <w:p>
            <w:pPr>
              <w:spacing w:line="360" w:lineRule="auto"/>
              <w:ind w:right="-36" w:rightChars="-17"/>
              <w:rPr>
                <w:rFonts w:asciiTheme="minorEastAsia" w:hAnsiTheme="minorEastAsia" w:eastAsiaTheme="minorEastAsia"/>
                <w:color w:val="auto"/>
              </w:rPr>
            </w:pPr>
            <w:r>
              <w:rPr>
                <w:rFonts w:hint="eastAsia" w:cs="Arial" w:asciiTheme="minorEastAsia" w:hAnsiTheme="minorEastAsia" w:eastAsiaTheme="minorEastAsia"/>
                <w:color w:val="auto"/>
                <w:szCs w:val="21"/>
                <w:u w:val="single"/>
                <w:lang w:val="en-US" w:eastAsia="zh-CN"/>
              </w:rPr>
              <w:t xml:space="preserve">        </w:t>
            </w:r>
            <w:r>
              <w:rPr>
                <w:rFonts w:hint="eastAsia" w:cs="Arial" w:asciiTheme="minorEastAsia" w:hAnsiTheme="minorEastAsia" w:eastAsiaTheme="minorEastAsia"/>
                <w:color w:val="auto"/>
                <w:szCs w:val="21"/>
                <w:u w:val="none"/>
                <w:lang w:val="en-US" w:eastAsia="zh-CN"/>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8" w:type="dxa"/>
            <w:vAlign w:val="center"/>
          </w:tcPr>
          <w:p>
            <w:pPr>
              <w:spacing w:line="360" w:lineRule="auto"/>
              <w:ind w:right="384" w:rightChars="183"/>
              <w:jc w:val="center"/>
              <w:rPr>
                <w:rFonts w:asciiTheme="minorEastAsia" w:hAnsiTheme="minorEastAsia" w:eastAsiaTheme="minorEastAsia"/>
                <w:color w:val="auto"/>
              </w:rPr>
            </w:pPr>
            <w:r>
              <w:rPr>
                <w:rFonts w:hint="eastAsia" w:asciiTheme="minorEastAsia" w:hAnsiTheme="minorEastAsia" w:eastAsiaTheme="minorEastAsia"/>
                <w:color w:val="auto"/>
              </w:rPr>
              <w:t>6</w:t>
            </w:r>
          </w:p>
        </w:tc>
        <w:tc>
          <w:tcPr>
            <w:tcW w:w="3614" w:type="dxa"/>
            <w:vAlign w:val="center"/>
          </w:tcPr>
          <w:p>
            <w:pPr>
              <w:spacing w:line="360" w:lineRule="auto"/>
              <w:ind w:right="384" w:rightChars="183"/>
              <w:rPr>
                <w:rFonts w:asciiTheme="minorEastAsia" w:hAnsiTheme="minorEastAsia" w:eastAsiaTheme="minorEastAsia"/>
                <w:color w:val="auto"/>
              </w:rPr>
            </w:pPr>
            <w:r>
              <w:rPr>
                <w:rFonts w:hint="eastAsia" w:asciiTheme="minorEastAsia" w:hAnsiTheme="minorEastAsia" w:eastAsiaTheme="minorEastAsia"/>
                <w:color w:val="auto"/>
              </w:rPr>
              <w:t>工程质量保修金</w:t>
            </w:r>
          </w:p>
        </w:tc>
        <w:tc>
          <w:tcPr>
            <w:tcW w:w="1233" w:type="dxa"/>
            <w:vAlign w:val="center"/>
          </w:tcPr>
          <w:p>
            <w:pPr>
              <w:spacing w:line="360" w:lineRule="auto"/>
              <w:ind w:right="-76" w:rightChars="-36"/>
              <w:jc w:val="center"/>
              <w:rPr>
                <w:rFonts w:asciiTheme="minorEastAsia" w:hAnsiTheme="minorEastAsia" w:eastAsiaTheme="minorEastAsia"/>
                <w:color w:val="auto"/>
                <w:highlight w:val="yellow"/>
              </w:rPr>
            </w:pPr>
            <w:r>
              <w:rPr>
                <w:rFonts w:hint="eastAsia" w:asciiTheme="minorEastAsia" w:hAnsiTheme="minorEastAsia" w:eastAsiaTheme="minorEastAsia"/>
                <w:color w:val="auto"/>
              </w:rPr>
              <w:t>15.3</w:t>
            </w:r>
          </w:p>
        </w:tc>
        <w:tc>
          <w:tcPr>
            <w:tcW w:w="3763" w:type="dxa"/>
            <w:vAlign w:val="center"/>
          </w:tcPr>
          <w:p>
            <w:pPr>
              <w:spacing w:line="360" w:lineRule="auto"/>
              <w:ind w:right="-36" w:rightChars="-17"/>
              <w:rPr>
                <w:rFonts w:asciiTheme="minorEastAsia" w:hAnsiTheme="minorEastAsia" w:eastAsiaTheme="minorEastAsia"/>
                <w:color w:val="auto"/>
              </w:rPr>
            </w:pPr>
            <w:r>
              <w:rPr>
                <w:rFonts w:hint="eastAsia" w:asciiTheme="minorEastAsia" w:hAnsiTheme="minorEastAsia" w:eastAsiaTheme="minorEastAsia"/>
                <w:color w:val="auto"/>
              </w:rPr>
              <w:t>工程价款结算总额的</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8" w:type="dxa"/>
            <w:vAlign w:val="center"/>
          </w:tcPr>
          <w:p>
            <w:pPr>
              <w:spacing w:line="360" w:lineRule="auto"/>
              <w:ind w:right="384" w:rightChars="183"/>
              <w:jc w:val="center"/>
              <w:rPr>
                <w:rFonts w:asciiTheme="minorEastAsia" w:hAnsiTheme="minorEastAsia" w:eastAsiaTheme="minorEastAsia"/>
                <w:color w:val="auto"/>
              </w:rPr>
            </w:pPr>
            <w:r>
              <w:rPr>
                <w:rFonts w:hint="eastAsia" w:asciiTheme="minorEastAsia" w:hAnsiTheme="minorEastAsia" w:eastAsiaTheme="minorEastAsia"/>
                <w:color w:val="auto"/>
              </w:rPr>
              <w:t>7</w:t>
            </w:r>
          </w:p>
        </w:tc>
        <w:tc>
          <w:tcPr>
            <w:tcW w:w="3614" w:type="dxa"/>
            <w:vAlign w:val="center"/>
          </w:tcPr>
          <w:p>
            <w:pPr>
              <w:spacing w:line="360" w:lineRule="auto"/>
              <w:ind w:right="384" w:rightChars="183"/>
              <w:rPr>
                <w:rFonts w:asciiTheme="minorEastAsia" w:hAnsiTheme="minorEastAsia" w:eastAsiaTheme="minorEastAsia"/>
                <w:color w:val="auto"/>
              </w:rPr>
            </w:pPr>
            <w:r>
              <w:rPr>
                <w:rFonts w:hint="eastAsia" w:asciiTheme="minorEastAsia" w:hAnsiTheme="minorEastAsia" w:eastAsiaTheme="minorEastAsia"/>
                <w:color w:val="auto"/>
              </w:rPr>
              <w:t>工程质量</w:t>
            </w:r>
          </w:p>
        </w:tc>
        <w:tc>
          <w:tcPr>
            <w:tcW w:w="1233" w:type="dxa"/>
            <w:vAlign w:val="center"/>
          </w:tcPr>
          <w:p>
            <w:pPr>
              <w:spacing w:line="360" w:lineRule="auto"/>
              <w:ind w:right="-76" w:rightChars="-36"/>
              <w:jc w:val="center"/>
              <w:rPr>
                <w:rFonts w:asciiTheme="minorEastAsia" w:hAnsiTheme="minorEastAsia" w:eastAsiaTheme="minorEastAsia"/>
                <w:color w:val="auto"/>
                <w:highlight w:val="yellow"/>
              </w:rPr>
            </w:pPr>
            <w:r>
              <w:rPr>
                <w:rFonts w:hint="eastAsia" w:asciiTheme="minorEastAsia" w:hAnsiTheme="minorEastAsia" w:eastAsiaTheme="minorEastAsia"/>
                <w:color w:val="auto"/>
              </w:rPr>
              <w:t>7</w:t>
            </w:r>
          </w:p>
        </w:tc>
        <w:tc>
          <w:tcPr>
            <w:tcW w:w="3763" w:type="dxa"/>
            <w:vAlign w:val="center"/>
          </w:tcPr>
          <w:p>
            <w:pPr>
              <w:spacing w:line="360" w:lineRule="auto"/>
              <w:ind w:right="-36" w:rightChars="-17"/>
              <w:rPr>
                <w:rFonts w:asciiTheme="minorEastAsia" w:hAnsiTheme="minorEastAsia" w:eastAsiaTheme="minorEastAsia"/>
                <w:color w:val="auto"/>
              </w:rPr>
            </w:pPr>
            <w:r>
              <w:rPr>
                <w:rFonts w:hint="eastAsia" w:ascii="宋体" w:hAnsi="宋体" w:eastAsia="宋体" w:cs="宋体"/>
                <w:color w:val="auto"/>
                <w:sz w:val="21"/>
                <w:szCs w:val="21"/>
                <w:lang w:eastAsia="zh-CN"/>
              </w:rPr>
              <w:t>达到国家施工验收规范合格标准。</w:t>
            </w:r>
          </w:p>
        </w:tc>
      </w:tr>
    </w:tbl>
    <w:p>
      <w:pPr>
        <w:spacing w:line="360" w:lineRule="auto"/>
        <w:ind w:right="384" w:rightChars="183" w:firstLine="420"/>
        <w:rPr>
          <w:rFonts w:hint="eastAsia" w:asciiTheme="minorEastAsia" w:hAnsiTheme="minorEastAsia" w:eastAsiaTheme="minorEastAsia"/>
          <w:b/>
          <w:color w:val="auto"/>
          <w:lang w:eastAsia="zh-CN"/>
        </w:rPr>
      </w:pPr>
      <w:r>
        <w:rPr>
          <w:rFonts w:hint="eastAsia" w:asciiTheme="minorEastAsia" w:hAnsiTheme="minorEastAsia" w:eastAsiaTheme="minorEastAsia"/>
          <w:b/>
          <w:color w:val="auto"/>
        </w:rPr>
        <w:t>注：表中数字空格处由磋商供应商填写</w:t>
      </w:r>
      <w:r>
        <w:rPr>
          <w:rFonts w:hint="eastAsia" w:asciiTheme="minorEastAsia" w:hAnsiTheme="minorEastAsia" w:eastAsiaTheme="minorEastAsia"/>
          <w:b/>
          <w:color w:val="auto"/>
          <w:lang w:eastAsia="zh-CN"/>
        </w:rPr>
        <w:t>。</w:t>
      </w:r>
    </w:p>
    <w:p>
      <w:pPr>
        <w:spacing w:line="360" w:lineRule="auto"/>
        <w:ind w:right="384" w:rightChars="183" w:firstLine="420"/>
        <w:rPr>
          <w:rFonts w:asciiTheme="minorEastAsia" w:hAnsiTheme="minorEastAsia" w:eastAsiaTheme="minorEastAsia"/>
          <w:color w:val="auto"/>
        </w:rPr>
      </w:pPr>
    </w:p>
    <w:p>
      <w:pPr>
        <w:pStyle w:val="28"/>
        <w:spacing w:line="500" w:lineRule="exact"/>
        <w:jc w:val="righ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磋商供应商（公章）：</w:t>
      </w:r>
    </w:p>
    <w:p>
      <w:pPr>
        <w:pStyle w:val="28"/>
        <w:spacing w:line="500" w:lineRule="exact"/>
        <w:jc w:val="righ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法定代表人或委托代理人（签字或盖章）：</w:t>
      </w:r>
    </w:p>
    <w:p>
      <w:pPr>
        <w:pStyle w:val="28"/>
        <w:spacing w:line="500" w:lineRule="exact"/>
        <w:jc w:val="right"/>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日</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期：</w:t>
      </w:r>
    </w:p>
    <w:p>
      <w:pPr>
        <w:spacing w:line="360" w:lineRule="auto"/>
        <w:ind w:right="384" w:rightChars="183" w:firstLine="420"/>
        <w:jc w:val="right"/>
        <w:rPr>
          <w:rFonts w:asciiTheme="minorEastAsia" w:hAnsiTheme="minorEastAsia" w:eastAsiaTheme="minorEastAsia"/>
          <w:color w:val="auto"/>
        </w:rPr>
      </w:pPr>
    </w:p>
    <w:p>
      <w:pPr>
        <w:pStyle w:val="14"/>
        <w:rPr>
          <w:rFonts w:asciiTheme="minorEastAsia" w:hAnsiTheme="minorEastAsia" w:eastAsiaTheme="minorEastAsia"/>
          <w:color w:val="auto"/>
        </w:rPr>
      </w:pPr>
    </w:p>
    <w:p>
      <w:pPr>
        <w:pStyle w:val="14"/>
        <w:rPr>
          <w:rFonts w:asciiTheme="minorEastAsia" w:hAnsiTheme="minorEastAsia" w:eastAsiaTheme="minorEastAsia"/>
          <w:color w:val="auto"/>
        </w:rPr>
      </w:pPr>
    </w:p>
    <w:p>
      <w:pPr>
        <w:spacing w:line="360" w:lineRule="auto"/>
        <w:ind w:right="384" w:rightChars="183" w:firstLine="4935"/>
        <w:rPr>
          <w:rFonts w:asciiTheme="minorEastAsia" w:hAnsiTheme="minorEastAsia" w:eastAsiaTheme="minorEastAsia"/>
          <w:color w:val="auto"/>
        </w:rPr>
      </w:pPr>
    </w:p>
    <w:p>
      <w:pPr>
        <w:pStyle w:val="2"/>
      </w:pPr>
    </w:p>
    <w:p>
      <w:pPr>
        <w:pStyle w:val="14"/>
      </w:pPr>
    </w:p>
    <w:p>
      <w:pPr>
        <w:spacing w:line="360" w:lineRule="auto"/>
        <w:ind w:right="384" w:rightChars="183"/>
        <w:jc w:val="left"/>
        <w:outlineLvl w:val="0"/>
        <w:rPr>
          <w:rFonts w:asciiTheme="minorEastAsia" w:hAnsiTheme="minorEastAsia" w:eastAsiaTheme="minorEastAsia"/>
          <w:color w:val="auto"/>
          <w:szCs w:val="21"/>
        </w:rPr>
      </w:pPr>
      <w:bookmarkStart w:id="672" w:name="_Toc25698"/>
      <w:bookmarkStart w:id="673" w:name="_Toc9257_WPSOffice_Level1"/>
      <w:r>
        <w:rPr>
          <w:rFonts w:hint="eastAsia" w:asciiTheme="minorEastAsia" w:hAnsiTheme="minorEastAsia" w:eastAsiaTheme="minorEastAsia"/>
          <w:color w:val="auto"/>
          <w:szCs w:val="21"/>
        </w:rPr>
        <w:t>附件二：</w:t>
      </w:r>
      <w:bookmarkEnd w:id="672"/>
      <w:bookmarkEnd w:id="673"/>
    </w:p>
    <w:p>
      <w:pPr>
        <w:ind w:left="-178" w:leftChars="-85" w:right="-512" w:rightChars="-244" w:firstLine="177" w:firstLineChars="55"/>
        <w:jc w:val="center"/>
        <w:rPr>
          <w:rFonts w:asciiTheme="minorEastAsia" w:hAnsiTheme="minorEastAsia" w:eastAsiaTheme="minorEastAsia"/>
          <w:color w:val="auto"/>
          <w:highlight w:val="white"/>
        </w:rPr>
      </w:pPr>
      <w:r>
        <w:rPr>
          <w:rFonts w:hint="eastAsia" w:asciiTheme="minorEastAsia" w:hAnsiTheme="minorEastAsia" w:eastAsiaTheme="minorEastAsia"/>
          <w:b/>
          <w:color w:val="auto"/>
          <w:sz w:val="32"/>
          <w:szCs w:val="32"/>
        </w:rPr>
        <w:t>磋商报价表</w:t>
      </w:r>
    </w:p>
    <w:p>
      <w:pPr>
        <w:pStyle w:val="124"/>
        <w:jc w:val="center"/>
        <w:outlineLvl w:val="9"/>
        <w:rPr>
          <w:b/>
          <w:color w:val="auto"/>
          <w:sz w:val="24"/>
          <w:highlight w:val="none"/>
        </w:rPr>
      </w:pPr>
    </w:p>
    <w:p>
      <w:pPr>
        <w:ind w:left="-178" w:leftChars="-85" w:right="-512" w:rightChars="-244" w:firstLine="840" w:firstLineChars="400"/>
        <w:jc w:val="left"/>
        <w:rPr>
          <w:color w:val="auto"/>
          <w:sz w:val="24"/>
          <w:highlight w:val="none"/>
        </w:rPr>
      </w:pPr>
      <w:r>
        <w:rPr>
          <w:rFonts w:hint="eastAsia"/>
          <w:color w:val="auto"/>
          <w:highlight w:val="none"/>
          <w:lang w:eastAsia="zh-CN"/>
        </w:rPr>
        <w:t>项目规模</w:t>
      </w:r>
      <w:r>
        <w:rPr>
          <w:color w:val="auto"/>
          <w:highlight w:val="none"/>
        </w:rPr>
        <w:t>：</w:t>
      </w:r>
      <w:r>
        <w:rPr>
          <w:color w:val="auto"/>
          <w:highlight w:val="none"/>
          <w:u w:val="single"/>
        </w:rPr>
        <w:t xml:space="preserve">                        </w:t>
      </w:r>
      <w:r>
        <w:rPr>
          <w:color w:val="auto"/>
          <w:highlight w:val="none"/>
        </w:rPr>
        <w:t xml:space="preserve">                          币种：人民币</w:t>
      </w:r>
    </w:p>
    <w:tbl>
      <w:tblPr>
        <w:tblStyle w:val="5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3341"/>
        <w:gridCol w:w="1763"/>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599" w:type="dxa"/>
            <w:gridSpan w:val="2"/>
            <w:vAlign w:val="center"/>
          </w:tcPr>
          <w:p>
            <w:pPr>
              <w:widowControl/>
              <w:jc w:val="both"/>
              <w:rPr>
                <w:color w:val="auto"/>
                <w:highlight w:val="yellow"/>
              </w:rPr>
            </w:pPr>
            <w:r>
              <w:rPr>
                <w:rFonts w:hint="eastAsia"/>
                <w:b/>
                <w:bCs/>
                <w:color w:val="auto"/>
                <w:highlight w:val="none"/>
                <w:lang w:val="en-US" w:eastAsia="zh-CN"/>
              </w:rPr>
              <w:t>龙州县下冻镇下冻村党群服务场所建设工程磋商</w:t>
            </w:r>
            <w:r>
              <w:rPr>
                <w:b/>
                <w:bCs/>
                <w:color w:val="auto"/>
                <w:highlight w:val="none"/>
              </w:rPr>
              <w:t>报价</w:t>
            </w:r>
          </w:p>
        </w:tc>
        <w:tc>
          <w:tcPr>
            <w:tcW w:w="1763" w:type="dxa"/>
            <w:vAlign w:val="center"/>
          </w:tcPr>
          <w:p>
            <w:pPr>
              <w:widowControl/>
              <w:jc w:val="right"/>
              <w:rPr>
                <w:color w:val="auto"/>
                <w:highlight w:val="none"/>
              </w:rPr>
            </w:pPr>
            <w:r>
              <w:rPr>
                <w:color w:val="auto"/>
                <w:highlight w:val="none"/>
              </w:rPr>
              <w:t>元</w:t>
            </w:r>
          </w:p>
        </w:tc>
        <w:tc>
          <w:tcPr>
            <w:tcW w:w="1705" w:type="dxa"/>
            <w:vAlign w:val="center"/>
          </w:tcPr>
          <w:p>
            <w:pPr>
              <w:widowControl/>
              <w:jc w:val="center"/>
              <w:rPr>
                <w:color w:val="auto"/>
                <w:highlight w:val="none"/>
              </w:rPr>
            </w:pPr>
            <w:r>
              <w:rPr>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58" w:type="dxa"/>
            <w:vMerge w:val="restart"/>
            <w:vAlign w:val="center"/>
          </w:tcPr>
          <w:p>
            <w:pPr>
              <w:jc w:val="center"/>
              <w:rPr>
                <w:color w:val="auto"/>
                <w:highlight w:val="none"/>
              </w:rPr>
            </w:pPr>
            <w:r>
              <w:rPr>
                <w:color w:val="auto"/>
                <w:highlight w:val="none"/>
              </w:rPr>
              <w:t>其中</w:t>
            </w:r>
          </w:p>
        </w:tc>
        <w:tc>
          <w:tcPr>
            <w:tcW w:w="3341" w:type="dxa"/>
            <w:vAlign w:val="center"/>
          </w:tcPr>
          <w:p>
            <w:pPr>
              <w:widowControl/>
              <w:rPr>
                <w:color w:val="auto"/>
                <w:highlight w:val="none"/>
              </w:rPr>
            </w:pPr>
            <w:r>
              <w:rPr>
                <w:color w:val="auto"/>
                <w:highlight w:val="none"/>
              </w:rPr>
              <w:t>安全文明施工费</w:t>
            </w:r>
          </w:p>
        </w:tc>
        <w:tc>
          <w:tcPr>
            <w:tcW w:w="1763" w:type="dxa"/>
            <w:vAlign w:val="center"/>
          </w:tcPr>
          <w:p>
            <w:pPr>
              <w:jc w:val="right"/>
              <w:rPr>
                <w:color w:val="auto"/>
                <w:highlight w:val="none"/>
              </w:rPr>
            </w:pPr>
            <w:r>
              <w:rPr>
                <w:color w:val="auto"/>
                <w:highlight w:val="none"/>
              </w:rPr>
              <w:t>元</w:t>
            </w:r>
          </w:p>
        </w:tc>
        <w:tc>
          <w:tcPr>
            <w:tcW w:w="1705"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258" w:type="dxa"/>
            <w:vMerge w:val="continue"/>
            <w:vAlign w:val="center"/>
          </w:tcPr>
          <w:p>
            <w:pPr>
              <w:widowControl/>
              <w:jc w:val="center"/>
              <w:rPr>
                <w:color w:val="auto"/>
                <w:highlight w:val="none"/>
              </w:rPr>
            </w:pPr>
          </w:p>
        </w:tc>
        <w:tc>
          <w:tcPr>
            <w:tcW w:w="3341" w:type="dxa"/>
            <w:vAlign w:val="center"/>
          </w:tcPr>
          <w:p>
            <w:pPr>
              <w:jc w:val="center"/>
              <w:rPr>
                <w:color w:val="auto"/>
                <w:highlight w:val="none"/>
              </w:rPr>
            </w:pPr>
            <w:r>
              <w:rPr>
                <w:rFonts w:hint="eastAsia"/>
                <w:color w:val="auto"/>
                <w:highlight w:val="none"/>
              </w:rPr>
              <w:t>发包人提供材料</w:t>
            </w:r>
            <w:r>
              <w:rPr>
                <w:rFonts w:hint="eastAsia"/>
                <w:color w:val="auto"/>
                <w:highlight w:val="none"/>
                <w:lang w:eastAsia="zh-CN"/>
              </w:rPr>
              <w:t>（</w:t>
            </w:r>
            <w:r>
              <w:rPr>
                <w:rFonts w:hint="eastAsia"/>
                <w:color w:val="auto"/>
                <w:highlight w:val="none"/>
                <w:lang w:val="en-US" w:eastAsia="zh-CN"/>
              </w:rPr>
              <w:t>设备</w:t>
            </w:r>
            <w:r>
              <w:rPr>
                <w:rFonts w:hint="eastAsia"/>
                <w:color w:val="auto"/>
                <w:highlight w:val="none"/>
                <w:lang w:eastAsia="zh-CN"/>
              </w:rPr>
              <w:t>）</w:t>
            </w:r>
            <w:r>
              <w:rPr>
                <w:rFonts w:hint="eastAsia"/>
                <w:color w:val="auto"/>
                <w:highlight w:val="none"/>
                <w:lang w:val="en-US" w:eastAsia="zh-CN"/>
              </w:rPr>
              <w:t>暂估价</w:t>
            </w:r>
            <w:r>
              <w:rPr>
                <w:rFonts w:hint="eastAsia"/>
                <w:color w:val="auto"/>
                <w:highlight w:val="none"/>
              </w:rPr>
              <w:t>（如有）</w:t>
            </w:r>
          </w:p>
        </w:tc>
        <w:tc>
          <w:tcPr>
            <w:tcW w:w="1763" w:type="dxa"/>
            <w:vAlign w:val="center"/>
          </w:tcPr>
          <w:p>
            <w:pPr>
              <w:widowControl/>
              <w:jc w:val="right"/>
              <w:rPr>
                <w:color w:val="auto"/>
                <w:highlight w:val="none"/>
              </w:rPr>
            </w:pPr>
            <w:r>
              <w:rPr>
                <w:color w:val="auto"/>
                <w:highlight w:val="none"/>
              </w:rPr>
              <w:t>元</w:t>
            </w:r>
          </w:p>
        </w:tc>
        <w:tc>
          <w:tcPr>
            <w:tcW w:w="1705" w:type="dxa"/>
            <w:vAlign w:val="top"/>
          </w:tcPr>
          <w:p>
            <w:pPr>
              <w:widowControl/>
              <w:ind w:right="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258" w:type="dxa"/>
            <w:vMerge w:val="continue"/>
            <w:vAlign w:val="center"/>
          </w:tcPr>
          <w:p>
            <w:pPr>
              <w:widowControl/>
              <w:jc w:val="center"/>
              <w:rPr>
                <w:color w:val="auto"/>
                <w:highlight w:val="none"/>
              </w:rPr>
            </w:pPr>
          </w:p>
        </w:tc>
        <w:tc>
          <w:tcPr>
            <w:tcW w:w="3341" w:type="dxa"/>
            <w:vAlign w:val="center"/>
          </w:tcPr>
          <w:p>
            <w:pPr>
              <w:widowControl/>
              <w:rPr>
                <w:color w:val="auto"/>
                <w:highlight w:val="none"/>
              </w:rPr>
            </w:pPr>
            <w:r>
              <w:rPr>
                <w:rFonts w:hint="eastAsia"/>
                <w:color w:val="auto"/>
                <w:highlight w:val="none"/>
              </w:rPr>
              <w:t>专业工程暂估</w:t>
            </w:r>
            <w:r>
              <w:rPr>
                <w:rFonts w:hint="eastAsia"/>
                <w:color w:val="auto"/>
                <w:highlight w:val="none"/>
                <w:lang w:val="en-US" w:eastAsia="zh-CN"/>
              </w:rPr>
              <w:t>价</w:t>
            </w:r>
            <w:r>
              <w:rPr>
                <w:rFonts w:hint="eastAsia"/>
                <w:color w:val="auto"/>
                <w:highlight w:val="none"/>
              </w:rPr>
              <w:t>（如有）</w:t>
            </w:r>
          </w:p>
        </w:tc>
        <w:tc>
          <w:tcPr>
            <w:tcW w:w="1763" w:type="dxa"/>
            <w:vAlign w:val="center"/>
          </w:tcPr>
          <w:p>
            <w:pPr>
              <w:widowControl/>
              <w:jc w:val="right"/>
              <w:rPr>
                <w:color w:val="auto"/>
                <w:highlight w:val="none"/>
              </w:rPr>
            </w:pPr>
            <w:r>
              <w:rPr>
                <w:color w:val="auto"/>
                <w:highlight w:val="none"/>
              </w:rPr>
              <w:t>元</w:t>
            </w:r>
          </w:p>
        </w:tc>
        <w:tc>
          <w:tcPr>
            <w:tcW w:w="1705" w:type="dxa"/>
            <w:vAlign w:val="top"/>
          </w:tcPr>
          <w:p>
            <w:pPr>
              <w:widowControl/>
              <w:ind w:right="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258" w:type="dxa"/>
            <w:vMerge w:val="continue"/>
            <w:vAlign w:val="center"/>
          </w:tcPr>
          <w:p>
            <w:pPr>
              <w:widowControl/>
              <w:jc w:val="center"/>
              <w:rPr>
                <w:color w:val="auto"/>
                <w:highlight w:val="none"/>
              </w:rPr>
            </w:pPr>
          </w:p>
        </w:tc>
        <w:tc>
          <w:tcPr>
            <w:tcW w:w="3341" w:type="dxa"/>
            <w:vAlign w:val="center"/>
          </w:tcPr>
          <w:p>
            <w:pPr>
              <w:widowControl/>
              <w:ind w:firstLine="945" w:firstLineChars="450"/>
              <w:rPr>
                <w:color w:val="auto"/>
                <w:highlight w:val="none"/>
              </w:rPr>
            </w:pPr>
            <w:r>
              <w:rPr>
                <w:rFonts w:hint="eastAsia"/>
                <w:color w:val="auto"/>
                <w:highlight w:val="none"/>
              </w:rPr>
              <w:t>暂列金额（如有）</w:t>
            </w:r>
          </w:p>
        </w:tc>
        <w:tc>
          <w:tcPr>
            <w:tcW w:w="1763" w:type="dxa"/>
            <w:vAlign w:val="center"/>
          </w:tcPr>
          <w:p>
            <w:pPr>
              <w:widowControl/>
              <w:jc w:val="right"/>
              <w:rPr>
                <w:color w:val="auto"/>
                <w:highlight w:val="none"/>
              </w:rPr>
            </w:pPr>
            <w:r>
              <w:rPr>
                <w:color w:val="auto"/>
                <w:highlight w:val="none"/>
              </w:rPr>
              <w:t>元</w:t>
            </w:r>
          </w:p>
        </w:tc>
        <w:tc>
          <w:tcPr>
            <w:tcW w:w="1705" w:type="dxa"/>
            <w:vAlign w:val="top"/>
          </w:tcPr>
          <w:p>
            <w:pPr>
              <w:widowControl/>
              <w:ind w:right="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58" w:type="dxa"/>
            <w:vMerge w:val="restart"/>
            <w:vAlign w:val="center"/>
          </w:tcPr>
          <w:p>
            <w:pPr>
              <w:widowControl/>
              <w:jc w:val="center"/>
              <w:rPr>
                <w:color w:val="auto"/>
                <w:highlight w:val="none"/>
              </w:rPr>
            </w:pPr>
            <w:r>
              <w:rPr>
                <w:color w:val="auto"/>
                <w:highlight w:val="none"/>
              </w:rPr>
              <w:t>主要材料</w:t>
            </w:r>
          </w:p>
        </w:tc>
        <w:tc>
          <w:tcPr>
            <w:tcW w:w="3341" w:type="dxa"/>
            <w:vAlign w:val="center"/>
          </w:tcPr>
          <w:p>
            <w:pPr>
              <w:widowControl/>
              <w:jc w:val="center"/>
              <w:rPr>
                <w:color w:val="auto"/>
                <w:highlight w:val="none"/>
              </w:rPr>
            </w:pPr>
            <w:r>
              <w:rPr>
                <w:color w:val="auto"/>
                <w:highlight w:val="none"/>
              </w:rPr>
              <w:t>钢筋</w:t>
            </w:r>
          </w:p>
        </w:tc>
        <w:tc>
          <w:tcPr>
            <w:tcW w:w="1763" w:type="dxa"/>
            <w:vAlign w:val="center"/>
          </w:tcPr>
          <w:p>
            <w:pPr>
              <w:widowControl/>
              <w:jc w:val="right"/>
              <w:rPr>
                <w:color w:val="auto"/>
                <w:highlight w:val="none"/>
              </w:rPr>
            </w:pPr>
            <w:r>
              <w:rPr>
                <w:color w:val="auto"/>
                <w:highlight w:val="none"/>
              </w:rPr>
              <w:t>吨</w:t>
            </w:r>
          </w:p>
        </w:tc>
        <w:tc>
          <w:tcPr>
            <w:tcW w:w="1705" w:type="dxa"/>
            <w:vAlign w:val="top"/>
          </w:tcPr>
          <w:p>
            <w:pPr>
              <w:widowControl/>
              <w:jc w:val="righ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58" w:type="dxa"/>
            <w:vMerge w:val="continue"/>
            <w:vAlign w:val="center"/>
          </w:tcPr>
          <w:p>
            <w:pPr>
              <w:widowControl/>
              <w:jc w:val="center"/>
              <w:rPr>
                <w:color w:val="auto"/>
                <w:highlight w:val="none"/>
              </w:rPr>
            </w:pPr>
          </w:p>
        </w:tc>
        <w:tc>
          <w:tcPr>
            <w:tcW w:w="3341" w:type="dxa"/>
            <w:vAlign w:val="center"/>
          </w:tcPr>
          <w:p>
            <w:pPr>
              <w:widowControl/>
              <w:jc w:val="center"/>
              <w:rPr>
                <w:color w:val="auto"/>
                <w:highlight w:val="none"/>
              </w:rPr>
            </w:pPr>
            <w:r>
              <w:rPr>
                <w:color w:val="auto"/>
                <w:highlight w:val="none"/>
              </w:rPr>
              <w:t>水泥（不含商品混凝土用量）</w:t>
            </w:r>
          </w:p>
        </w:tc>
        <w:tc>
          <w:tcPr>
            <w:tcW w:w="1763" w:type="dxa"/>
            <w:vAlign w:val="center"/>
          </w:tcPr>
          <w:p>
            <w:pPr>
              <w:widowControl/>
              <w:tabs>
                <w:tab w:val="left" w:pos="2398"/>
              </w:tabs>
              <w:ind w:right="18"/>
              <w:jc w:val="right"/>
              <w:rPr>
                <w:color w:val="auto"/>
                <w:highlight w:val="none"/>
              </w:rPr>
            </w:pPr>
            <w:r>
              <w:rPr>
                <w:color w:val="auto"/>
                <w:highlight w:val="none"/>
              </w:rPr>
              <w:t>吨</w:t>
            </w:r>
          </w:p>
        </w:tc>
        <w:tc>
          <w:tcPr>
            <w:tcW w:w="1705" w:type="dxa"/>
            <w:vAlign w:val="top"/>
          </w:tcPr>
          <w:p>
            <w:pPr>
              <w:widowControl/>
              <w:jc w:val="righ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58" w:type="dxa"/>
            <w:vMerge w:val="continue"/>
            <w:vAlign w:val="center"/>
          </w:tcPr>
          <w:p>
            <w:pPr>
              <w:widowControl/>
              <w:jc w:val="center"/>
              <w:rPr>
                <w:color w:val="auto"/>
                <w:highlight w:val="none"/>
              </w:rPr>
            </w:pPr>
          </w:p>
        </w:tc>
        <w:tc>
          <w:tcPr>
            <w:tcW w:w="3341" w:type="dxa"/>
            <w:vAlign w:val="center"/>
          </w:tcPr>
          <w:p>
            <w:pPr>
              <w:widowControl/>
              <w:jc w:val="center"/>
              <w:rPr>
                <w:color w:val="auto"/>
                <w:highlight w:val="none"/>
              </w:rPr>
            </w:pPr>
            <w:r>
              <w:rPr>
                <w:color w:val="auto"/>
                <w:highlight w:val="none"/>
              </w:rPr>
              <w:t>商品混凝土</w:t>
            </w:r>
          </w:p>
        </w:tc>
        <w:tc>
          <w:tcPr>
            <w:tcW w:w="1763" w:type="dxa"/>
            <w:vAlign w:val="center"/>
          </w:tcPr>
          <w:p>
            <w:pPr>
              <w:widowControl/>
              <w:jc w:val="right"/>
              <w:rPr>
                <w:color w:val="auto"/>
                <w:highlight w:val="none"/>
              </w:rPr>
            </w:pPr>
            <w:r>
              <w:rPr>
                <w:color w:val="auto"/>
                <w:highlight w:val="none"/>
              </w:rPr>
              <w:t>m</w:t>
            </w:r>
            <w:r>
              <w:rPr>
                <w:color w:val="auto"/>
                <w:highlight w:val="none"/>
                <w:vertAlign w:val="superscript"/>
              </w:rPr>
              <w:t>3</w:t>
            </w:r>
          </w:p>
        </w:tc>
        <w:tc>
          <w:tcPr>
            <w:tcW w:w="1705" w:type="dxa"/>
            <w:vAlign w:val="top"/>
          </w:tcPr>
          <w:p>
            <w:pPr>
              <w:widowControl/>
              <w:jc w:val="right"/>
              <w:rPr>
                <w:color w:val="auto"/>
                <w:highlight w:val="none"/>
              </w:rPr>
            </w:pPr>
          </w:p>
        </w:tc>
      </w:tr>
    </w:tbl>
    <w:p>
      <w:pPr>
        <w:pStyle w:val="14"/>
        <w:rPr>
          <w:color w:val="auto"/>
        </w:rPr>
      </w:pPr>
    </w:p>
    <w:p>
      <w:pPr>
        <w:ind w:left="-178" w:leftChars="-85" w:firstLine="177" w:firstLineChars="74"/>
        <w:rPr>
          <w:rFonts w:asciiTheme="minorEastAsia" w:hAnsiTheme="minorEastAsia" w:eastAsiaTheme="minorEastAsia"/>
          <w:color w:val="auto"/>
          <w:sz w:val="24"/>
          <w:highlight w:val="none"/>
        </w:rPr>
      </w:pPr>
    </w:p>
    <w:p>
      <w:pPr>
        <w:spacing w:line="480" w:lineRule="auto"/>
        <w:rPr>
          <w:rFonts w:asciiTheme="minorEastAsia" w:hAnsiTheme="minorEastAsia" w:eastAsiaTheme="minorEastAsia"/>
          <w:color w:val="auto"/>
        </w:rPr>
      </w:pPr>
    </w:p>
    <w:p>
      <w:pPr>
        <w:pStyle w:val="28"/>
        <w:spacing w:line="500" w:lineRule="exact"/>
        <w:jc w:val="righ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磋商供应商（公章）：</w:t>
      </w:r>
    </w:p>
    <w:p>
      <w:pPr>
        <w:pStyle w:val="28"/>
        <w:spacing w:line="500" w:lineRule="exact"/>
        <w:jc w:val="righ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法定代表人或委托代理人（签字或盖章）：</w:t>
      </w:r>
    </w:p>
    <w:p>
      <w:pPr>
        <w:pStyle w:val="28"/>
        <w:spacing w:line="500" w:lineRule="exact"/>
        <w:jc w:val="right"/>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日</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rPr>
        <w:t xml:space="preserve">期： </w:t>
      </w:r>
    </w:p>
    <w:p>
      <w:pPr>
        <w:ind w:right="384" w:rightChars="183"/>
        <w:rPr>
          <w:rFonts w:asciiTheme="minorEastAsia" w:hAnsiTheme="minorEastAsia" w:eastAsiaTheme="minorEastAsia"/>
          <w:b/>
          <w:bCs/>
          <w:color w:val="auto"/>
          <w:sz w:val="28"/>
        </w:rPr>
      </w:pPr>
    </w:p>
    <w:p>
      <w:pPr>
        <w:pStyle w:val="14"/>
        <w:rPr>
          <w:rFonts w:asciiTheme="minorEastAsia" w:hAnsiTheme="minorEastAsia" w:eastAsiaTheme="minorEastAsia"/>
          <w:b/>
          <w:bCs/>
          <w:color w:val="auto"/>
          <w:sz w:val="28"/>
        </w:rPr>
      </w:pPr>
    </w:p>
    <w:p>
      <w:pPr>
        <w:pStyle w:val="14"/>
        <w:rPr>
          <w:rFonts w:asciiTheme="minorEastAsia" w:hAnsiTheme="minorEastAsia" w:eastAsiaTheme="minorEastAsia"/>
          <w:b/>
          <w:bCs/>
          <w:color w:val="auto"/>
          <w:sz w:val="28"/>
        </w:rPr>
      </w:pPr>
    </w:p>
    <w:p>
      <w:pPr>
        <w:pStyle w:val="14"/>
        <w:rPr>
          <w:rFonts w:asciiTheme="minorEastAsia" w:hAnsiTheme="minorEastAsia" w:eastAsiaTheme="minorEastAsia"/>
          <w:b/>
          <w:bCs/>
          <w:color w:val="auto"/>
          <w:sz w:val="28"/>
        </w:rPr>
      </w:pPr>
    </w:p>
    <w:p>
      <w:pPr>
        <w:pStyle w:val="14"/>
        <w:rPr>
          <w:rFonts w:asciiTheme="minorEastAsia" w:hAnsiTheme="minorEastAsia" w:eastAsiaTheme="minorEastAsia"/>
          <w:b/>
          <w:bCs/>
          <w:color w:val="auto"/>
          <w:sz w:val="28"/>
        </w:rPr>
      </w:pPr>
    </w:p>
    <w:p>
      <w:pPr>
        <w:pStyle w:val="14"/>
        <w:rPr>
          <w:rFonts w:asciiTheme="minorEastAsia" w:hAnsiTheme="minorEastAsia" w:eastAsiaTheme="minorEastAsia"/>
          <w:b/>
          <w:bCs/>
          <w:color w:val="auto"/>
          <w:sz w:val="28"/>
        </w:rPr>
      </w:pPr>
    </w:p>
    <w:p>
      <w:pPr>
        <w:spacing w:line="360" w:lineRule="auto"/>
        <w:ind w:right="384" w:rightChars="183"/>
        <w:jc w:val="left"/>
        <w:outlineLvl w:val="0"/>
        <w:rPr>
          <w:rFonts w:asciiTheme="minorEastAsia" w:hAnsiTheme="minorEastAsia" w:eastAsiaTheme="minorEastAsia"/>
          <w:color w:val="auto"/>
          <w:szCs w:val="21"/>
        </w:rPr>
      </w:pPr>
      <w:bookmarkStart w:id="674" w:name="_Toc20383_WPSOffice_Level1"/>
      <w:bookmarkStart w:id="675" w:name="_Toc28153"/>
      <w:r>
        <w:rPr>
          <w:rFonts w:hint="eastAsia" w:asciiTheme="minorEastAsia" w:hAnsiTheme="minorEastAsia" w:eastAsiaTheme="minorEastAsia"/>
          <w:color w:val="auto"/>
          <w:szCs w:val="21"/>
        </w:rPr>
        <w:t>附件三：</w:t>
      </w:r>
      <w:bookmarkEnd w:id="674"/>
      <w:bookmarkEnd w:id="675"/>
    </w:p>
    <w:p>
      <w:pPr>
        <w:ind w:right="384" w:rightChars="183"/>
        <w:jc w:val="center"/>
        <w:rPr>
          <w:rFonts w:asciiTheme="minorEastAsia" w:hAnsiTheme="minorEastAsia" w:eastAsiaTheme="minorEastAsia"/>
          <w:color w:val="auto"/>
          <w:highlight w:val="white"/>
        </w:rPr>
      </w:pPr>
    </w:p>
    <w:p>
      <w:pPr>
        <w:ind w:right="384" w:rightChars="183"/>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color w:val="auto"/>
          <w:sz w:val="32"/>
          <w:szCs w:val="32"/>
          <w:highlight w:val="none"/>
        </w:rPr>
        <w:t>已标价工程量清单</w:t>
      </w:r>
    </w:p>
    <w:p>
      <w:pPr>
        <w:ind w:right="384" w:rightChars="183"/>
        <w:jc w:val="center"/>
        <w:rPr>
          <w:rFonts w:asciiTheme="minorEastAsia" w:hAnsiTheme="minorEastAsia" w:eastAsiaTheme="minorEastAsia"/>
          <w:b/>
          <w:bCs/>
          <w:color w:val="auto"/>
          <w:sz w:val="28"/>
          <w:highlight w:val="none"/>
        </w:rPr>
      </w:pPr>
    </w:p>
    <w:p>
      <w:pPr>
        <w:ind w:right="384" w:rightChars="183"/>
        <w:jc w:val="center"/>
        <w:rPr>
          <w:rFonts w:asciiTheme="minorEastAsia" w:hAnsiTheme="minorEastAsia" w:eastAsiaTheme="minorEastAsia"/>
          <w:b/>
          <w:bCs/>
          <w:color w:val="auto"/>
          <w:sz w:val="28"/>
          <w:highlight w:val="none"/>
        </w:rPr>
      </w:pPr>
    </w:p>
    <w:p>
      <w:pPr>
        <w:ind w:right="384" w:rightChars="183"/>
        <w:jc w:val="center"/>
        <w:rPr>
          <w:rFonts w:asciiTheme="minorEastAsia" w:hAnsiTheme="minorEastAsia" w:eastAsiaTheme="minorEastAsia"/>
          <w:b/>
          <w:bCs/>
          <w:color w:val="auto"/>
          <w:sz w:val="28"/>
          <w:highlight w:val="none"/>
        </w:rPr>
      </w:pPr>
      <w:r>
        <w:rPr>
          <w:rFonts w:hint="eastAsia" w:asciiTheme="minorEastAsia" w:hAnsiTheme="minorEastAsia" w:eastAsiaTheme="minorEastAsia"/>
          <w:color w:val="auto"/>
          <w:szCs w:val="21"/>
          <w:highlight w:val="none"/>
        </w:rPr>
        <w:t>已标价工程量清单应按第四章</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图纸及</w:t>
      </w:r>
      <w:r>
        <w:rPr>
          <w:rFonts w:hint="eastAsia" w:asciiTheme="minorEastAsia" w:hAnsiTheme="minorEastAsia" w:eastAsiaTheme="minorEastAsia"/>
          <w:color w:val="auto"/>
          <w:szCs w:val="21"/>
          <w:highlight w:val="none"/>
        </w:rPr>
        <w:t>工程量清单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中的相关表格填写。</w:t>
      </w: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both"/>
        <w:rPr>
          <w:rFonts w:asciiTheme="minorEastAsia" w:hAnsiTheme="minorEastAsia" w:eastAsiaTheme="minorEastAsia"/>
          <w:b/>
          <w:bCs/>
          <w:color w:val="auto"/>
          <w:sz w:val="28"/>
        </w:rPr>
      </w:pPr>
    </w:p>
    <w:p>
      <w:pPr>
        <w:pStyle w:val="14"/>
      </w:pPr>
    </w:p>
    <w:p>
      <w:pPr>
        <w:pStyle w:val="14"/>
        <w:ind w:left="0" w:leftChars="0" w:firstLine="0" w:firstLineChars="0"/>
        <w:rPr>
          <w:color w:val="auto"/>
        </w:rPr>
      </w:pPr>
    </w:p>
    <w:p>
      <w:pPr>
        <w:ind w:right="384" w:rightChars="183"/>
        <w:jc w:val="left"/>
        <w:outlineLvl w:val="0"/>
        <w:rPr>
          <w:rFonts w:asciiTheme="minorEastAsia" w:hAnsiTheme="minorEastAsia" w:eastAsiaTheme="minorEastAsia"/>
          <w:bCs/>
          <w:color w:val="auto"/>
          <w:szCs w:val="21"/>
        </w:rPr>
      </w:pPr>
      <w:bookmarkStart w:id="676" w:name="_Toc60_WPSOffice_Level1"/>
      <w:bookmarkStart w:id="677" w:name="_Toc28271"/>
      <w:r>
        <w:rPr>
          <w:rFonts w:hint="eastAsia" w:asciiTheme="minorEastAsia" w:hAnsiTheme="minorEastAsia" w:eastAsiaTheme="minorEastAsia"/>
          <w:bCs/>
          <w:color w:val="auto"/>
          <w:szCs w:val="21"/>
        </w:rPr>
        <w:t>附件四：</w:t>
      </w:r>
      <w:bookmarkEnd w:id="676"/>
      <w:bookmarkEnd w:id="677"/>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中小企业声明函</w:t>
      </w:r>
    </w:p>
    <w:p>
      <w:pPr>
        <w:spacing w:line="360" w:lineRule="auto"/>
        <w:ind w:right="384" w:rightChars="183" w:firstLine="315" w:firstLineChars="15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本公司郑重声明，根据《政府采购促进中小企业发展暂行办法》（财库[2011]181 号）的规定，本公司为</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rPr>
        <w:t>（请填写：中型、小型、微型）企业。即，本公司同时满足以下条件：</w:t>
      </w:r>
    </w:p>
    <w:p>
      <w:pPr>
        <w:spacing w:line="360" w:lineRule="auto"/>
        <w:ind w:right="384" w:rightChars="183" w:firstLine="424" w:firstLineChars="202"/>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1、根据《工业和信息化部、国家统计局、国家发展和改革委员会、财政部关于印发中小企业划型标准规定的通知》（工信部联企业[2011]300 号）规定的划分标准，本公司为</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rPr>
        <w:t>（请填写：中型、小型、微型）企业。</w:t>
      </w:r>
    </w:p>
    <w:p>
      <w:pPr>
        <w:spacing w:line="360" w:lineRule="auto"/>
        <w:ind w:right="384" w:rightChars="183" w:firstLine="424" w:firstLineChars="202"/>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2、本公司参加</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rPr>
        <w:t>单位的</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rPr>
        <w:t>项目采购活动提供本企业制造的货物，由本企业承担工程、提供服务，或者提供其他</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rPr>
        <w:t>（请填写：中型、小型、微型）企业制造的货物。本条所称货物不包括使用大型企业注册商标的货物。</w:t>
      </w:r>
    </w:p>
    <w:p>
      <w:pPr>
        <w:spacing w:line="360" w:lineRule="auto"/>
        <w:ind w:right="384" w:rightChars="183" w:firstLine="315" w:firstLineChars="15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本公司对上述声明的真实性负责。如有虚假，将依法承担相应责任。</w:t>
      </w:r>
    </w:p>
    <w:p>
      <w:pPr>
        <w:spacing w:line="360" w:lineRule="auto"/>
        <w:ind w:right="384" w:rightChars="183"/>
        <w:jc w:val="left"/>
        <w:rPr>
          <w:rFonts w:asciiTheme="minorEastAsia" w:hAnsiTheme="minorEastAsia" w:eastAsiaTheme="minorEastAsia"/>
          <w:color w:val="auto"/>
          <w:szCs w:val="21"/>
        </w:rPr>
      </w:pPr>
    </w:p>
    <w:p>
      <w:pPr>
        <w:spacing w:line="360" w:lineRule="auto"/>
        <w:ind w:right="-21" w:rightChars="-10"/>
        <w:jc w:val="right"/>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磋商供应商（公章）：</w:t>
      </w:r>
    </w:p>
    <w:p>
      <w:pPr>
        <w:pStyle w:val="28"/>
        <w:spacing w:line="500" w:lineRule="exact"/>
        <w:jc w:val="righ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日期： </w:t>
      </w:r>
    </w:p>
    <w:p>
      <w:pPr>
        <w:pStyle w:val="28"/>
        <w:spacing w:line="500" w:lineRule="exact"/>
        <w:jc w:val="right"/>
        <w:rPr>
          <w:rFonts w:asciiTheme="minorEastAsia" w:hAnsiTheme="minorEastAsia" w:eastAsiaTheme="minorEastAsia"/>
          <w:color w:val="auto"/>
          <w:szCs w:val="21"/>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left"/>
        <w:rPr>
          <w:rFonts w:asciiTheme="minorEastAsia" w:hAnsiTheme="minorEastAsia" w:eastAsiaTheme="minorEastAsia"/>
          <w:bCs/>
          <w:color w:val="auto"/>
          <w:szCs w:val="21"/>
        </w:rPr>
      </w:pPr>
    </w:p>
    <w:p>
      <w:pPr>
        <w:pStyle w:val="8"/>
        <w:outlineLvl w:val="9"/>
        <w:rPr>
          <w:color w:val="auto"/>
        </w:rPr>
      </w:pPr>
    </w:p>
    <w:p>
      <w:pPr>
        <w:rPr>
          <w:color w:val="auto"/>
        </w:rPr>
      </w:pPr>
    </w:p>
    <w:p>
      <w:pPr>
        <w:pStyle w:val="14"/>
      </w:pPr>
    </w:p>
    <w:p>
      <w:pPr>
        <w:pStyle w:val="14"/>
        <w:rPr>
          <w:color w:val="auto"/>
        </w:rPr>
      </w:pPr>
    </w:p>
    <w:p>
      <w:pPr>
        <w:ind w:right="384" w:rightChars="183"/>
        <w:jc w:val="left"/>
        <w:rPr>
          <w:rFonts w:hint="eastAsia" w:asciiTheme="minorEastAsia" w:hAnsiTheme="minorEastAsia" w:eastAsiaTheme="minorEastAsia"/>
          <w:bCs/>
          <w:color w:val="auto"/>
          <w:szCs w:val="21"/>
        </w:rPr>
      </w:pPr>
      <w:bookmarkStart w:id="678" w:name="_Toc11803_WPSOffice_Level1"/>
    </w:p>
    <w:p>
      <w:pPr>
        <w:ind w:right="384" w:rightChars="183"/>
        <w:jc w:val="left"/>
        <w:outlineLvl w:val="0"/>
        <w:rPr>
          <w:rFonts w:asciiTheme="minorEastAsia" w:hAnsiTheme="minorEastAsia" w:eastAsiaTheme="minorEastAsia"/>
          <w:bCs/>
          <w:color w:val="auto"/>
          <w:szCs w:val="21"/>
        </w:rPr>
      </w:pPr>
      <w:bookmarkStart w:id="679" w:name="_Toc5329"/>
      <w:r>
        <w:rPr>
          <w:rFonts w:hint="eastAsia" w:asciiTheme="minorEastAsia" w:hAnsiTheme="minorEastAsia" w:eastAsiaTheme="minorEastAsia"/>
          <w:bCs/>
          <w:color w:val="auto"/>
          <w:szCs w:val="21"/>
        </w:rPr>
        <w:t>附件五：</w:t>
      </w:r>
      <w:bookmarkEnd w:id="678"/>
      <w:bookmarkEnd w:id="679"/>
    </w:p>
    <w:p>
      <w:pPr>
        <w:ind w:right="384" w:rightChars="183"/>
        <w:jc w:val="center"/>
        <w:rPr>
          <w:rFonts w:asciiTheme="minorEastAsia" w:hAnsiTheme="minorEastAsia" w:eastAsiaTheme="minorEastAsia"/>
          <w:b/>
          <w:bCs/>
          <w:color w:val="auto"/>
          <w:sz w:val="28"/>
        </w:rPr>
      </w:pPr>
    </w:p>
    <w:p>
      <w:pPr>
        <w:spacing w:line="588" w:lineRule="exact"/>
        <w:jc w:val="center"/>
        <w:rPr>
          <w:rFonts w:asciiTheme="minorEastAsia" w:hAnsiTheme="minorEastAsia" w:eastAsiaTheme="minorEastAsia"/>
          <w:b/>
          <w:color w:val="auto"/>
          <w:sz w:val="28"/>
          <w:szCs w:val="28"/>
        </w:rPr>
      </w:pPr>
      <w:bookmarkStart w:id="680" w:name="OLE_LINK13"/>
      <w:bookmarkStart w:id="681" w:name="OLE_LINK14"/>
      <w:r>
        <w:rPr>
          <w:rFonts w:hint="eastAsia" w:asciiTheme="minorEastAsia" w:hAnsiTheme="minorEastAsia" w:eastAsiaTheme="minorEastAsia"/>
          <w:b/>
          <w:color w:val="auto"/>
          <w:sz w:val="28"/>
          <w:szCs w:val="28"/>
        </w:rPr>
        <w:t>残疾人福利性单位声明函</w:t>
      </w:r>
    </w:p>
    <w:bookmarkEnd w:id="680"/>
    <w:bookmarkEnd w:id="681"/>
    <w:p>
      <w:pPr>
        <w:spacing w:line="588" w:lineRule="exact"/>
        <w:rPr>
          <w:rFonts w:asciiTheme="minorEastAsia" w:hAnsiTheme="minorEastAsia" w:eastAsiaTheme="minorEastAsia"/>
          <w:b/>
          <w:color w:val="auto"/>
          <w:spacing w:val="6"/>
          <w:sz w:val="28"/>
          <w:szCs w:val="28"/>
        </w:rPr>
      </w:pPr>
    </w:p>
    <w:p>
      <w:pPr>
        <w:spacing w:line="588"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本单位对上述声明的真实性负责。如有虚假，将依法承担相应责任。</w:t>
      </w:r>
    </w:p>
    <w:p>
      <w:pPr>
        <w:spacing w:line="588" w:lineRule="exact"/>
        <w:ind w:firstLine="420" w:firstLineChars="200"/>
        <w:rPr>
          <w:rFonts w:asciiTheme="minorEastAsia" w:hAnsiTheme="minorEastAsia" w:eastAsiaTheme="minorEastAsia"/>
          <w:color w:val="auto"/>
          <w:szCs w:val="21"/>
        </w:rPr>
      </w:pPr>
    </w:p>
    <w:p>
      <w:pPr>
        <w:spacing w:line="588" w:lineRule="exact"/>
        <w:ind w:firstLine="420" w:firstLineChars="200"/>
        <w:rPr>
          <w:rFonts w:asciiTheme="minorEastAsia" w:hAnsiTheme="minorEastAsia" w:eastAsiaTheme="minorEastAsia"/>
          <w:color w:val="auto"/>
          <w:szCs w:val="21"/>
        </w:rPr>
      </w:pPr>
    </w:p>
    <w:p>
      <w:pPr>
        <w:spacing w:line="360" w:lineRule="auto"/>
        <w:ind w:right="-21" w:rightChars="-10"/>
        <w:jc w:val="right"/>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磋商供应商（公章）：</w:t>
      </w:r>
    </w:p>
    <w:p>
      <w:pPr>
        <w:pStyle w:val="28"/>
        <w:spacing w:line="500" w:lineRule="exact"/>
        <w:jc w:val="righ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日期： </w:t>
      </w:r>
    </w:p>
    <w:p>
      <w:pPr>
        <w:spacing w:line="360" w:lineRule="auto"/>
        <w:ind w:right="384" w:rightChars="183"/>
        <w:jc w:val="right"/>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spacing w:line="300" w:lineRule="auto"/>
        <w:jc w:val="center"/>
        <w:rPr>
          <w:rFonts w:asciiTheme="minorEastAsia" w:hAnsiTheme="minorEastAsia" w:eastAsiaTheme="minorEastAsia"/>
          <w:b/>
          <w:color w:val="auto"/>
          <w:szCs w:val="21"/>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ind w:right="384" w:rightChars="183"/>
        <w:jc w:val="center"/>
        <w:rPr>
          <w:rFonts w:asciiTheme="minorEastAsia" w:hAnsiTheme="minorEastAsia" w:eastAsiaTheme="minorEastAsia"/>
          <w:b/>
          <w:bCs/>
          <w:color w:val="auto"/>
          <w:sz w:val="28"/>
        </w:rPr>
      </w:pPr>
    </w:p>
    <w:p>
      <w:pPr>
        <w:pStyle w:val="14"/>
      </w:pPr>
    </w:p>
    <w:p>
      <w:pPr>
        <w:pStyle w:val="8"/>
        <w:ind w:left="0" w:leftChars="0" w:firstLine="0" w:firstLineChars="0"/>
        <w:outlineLvl w:val="9"/>
        <w:rPr>
          <w:rFonts w:asciiTheme="minorEastAsia" w:hAnsiTheme="minorEastAsia" w:eastAsiaTheme="minorEastAsia"/>
          <w:b/>
          <w:bCs/>
          <w:color w:val="auto"/>
          <w:sz w:val="28"/>
        </w:rPr>
      </w:pPr>
    </w:p>
    <w:p>
      <w:pPr>
        <w:rPr>
          <w:color w:val="auto"/>
        </w:rPr>
      </w:pPr>
    </w:p>
    <w:p>
      <w:pPr>
        <w:ind w:right="384" w:rightChars="183"/>
        <w:jc w:val="left"/>
        <w:rPr>
          <w:rFonts w:asciiTheme="minorEastAsia" w:hAnsiTheme="minorEastAsia" w:eastAsiaTheme="minorEastAsia"/>
          <w:bCs/>
          <w:color w:val="auto"/>
          <w:szCs w:val="21"/>
        </w:rPr>
      </w:pPr>
    </w:p>
    <w:p>
      <w:pPr>
        <w:ind w:right="384" w:rightChars="183"/>
        <w:jc w:val="left"/>
        <w:outlineLvl w:val="0"/>
        <w:rPr>
          <w:rFonts w:asciiTheme="minorEastAsia" w:hAnsiTheme="minorEastAsia" w:eastAsiaTheme="minorEastAsia"/>
          <w:bCs/>
          <w:color w:val="auto"/>
          <w:szCs w:val="21"/>
        </w:rPr>
      </w:pPr>
      <w:bookmarkStart w:id="682" w:name="_Toc27659"/>
      <w:bookmarkStart w:id="683" w:name="_Toc6991_WPSOffice_Level1"/>
      <w:r>
        <w:rPr>
          <w:rFonts w:hint="eastAsia" w:asciiTheme="minorEastAsia" w:hAnsiTheme="minorEastAsia" w:eastAsiaTheme="minorEastAsia"/>
          <w:bCs/>
          <w:color w:val="auto"/>
          <w:szCs w:val="21"/>
        </w:rPr>
        <w:t>附件六：</w:t>
      </w:r>
      <w:bookmarkEnd w:id="682"/>
      <w:bookmarkEnd w:id="683"/>
    </w:p>
    <w:p>
      <w:pPr>
        <w:ind w:right="384" w:rightChars="183"/>
        <w:jc w:val="center"/>
        <w:rPr>
          <w:rFonts w:asciiTheme="minorEastAsia" w:hAnsiTheme="minorEastAsia" w:eastAsiaTheme="minorEastAsia"/>
          <w:b/>
          <w:bCs/>
          <w:color w:val="auto"/>
          <w:sz w:val="28"/>
        </w:rPr>
      </w:pPr>
    </w:p>
    <w:p>
      <w:pPr>
        <w:jc w:val="center"/>
        <w:rPr>
          <w:rFonts w:hAnsi="宋体"/>
          <w:b/>
          <w:color w:val="auto"/>
          <w:sz w:val="28"/>
          <w:szCs w:val="28"/>
        </w:rPr>
      </w:pPr>
      <w:bookmarkStart w:id="684" w:name="_Toc349558171"/>
      <w:bookmarkStart w:id="685" w:name="_Toc13795"/>
      <w:bookmarkStart w:id="686" w:name="_Toc392941005"/>
      <w:r>
        <w:rPr>
          <w:rFonts w:hint="eastAsia" w:hAnsi="宋体"/>
          <w:b/>
          <w:color w:val="auto"/>
          <w:sz w:val="28"/>
          <w:szCs w:val="28"/>
        </w:rPr>
        <w:t>法定代表人身份证明</w:t>
      </w:r>
      <w:bookmarkEnd w:id="684"/>
      <w:bookmarkEnd w:id="685"/>
      <w:bookmarkEnd w:id="686"/>
    </w:p>
    <w:p>
      <w:pPr>
        <w:autoSpaceDE w:val="0"/>
        <w:autoSpaceDN w:val="0"/>
        <w:adjustRightInd w:val="0"/>
        <w:spacing w:line="480" w:lineRule="exact"/>
        <w:rPr>
          <w:rFonts w:asciiTheme="minorEastAsia" w:hAnsiTheme="minorEastAsia" w:eastAsiaTheme="minorEastAsia"/>
          <w:color w:val="auto"/>
          <w:kern w:val="0"/>
          <w:szCs w:val="21"/>
        </w:rPr>
      </w:pPr>
    </w:p>
    <w:p>
      <w:pPr>
        <w:autoSpaceDE w:val="0"/>
        <w:autoSpaceDN w:val="0"/>
        <w:adjustRightInd w:val="0"/>
        <w:ind w:firstLine="1365" w:firstLineChars="650"/>
        <w:rPr>
          <w:rFonts w:asciiTheme="minorEastAsia" w:hAnsiTheme="minorEastAsia" w:eastAsiaTheme="minorEastAsia"/>
          <w:bCs/>
          <w:color w:val="auto"/>
          <w:kern w:val="0"/>
          <w:szCs w:val="21"/>
          <w:u w:val="single"/>
        </w:rPr>
      </w:pPr>
      <w:r>
        <w:rPr>
          <w:rFonts w:hint="eastAsia" w:asciiTheme="minorEastAsia" w:hAnsiTheme="minorEastAsia" w:eastAsiaTheme="minorEastAsia"/>
          <w:bCs/>
          <w:color w:val="auto"/>
          <w:kern w:val="0"/>
          <w:szCs w:val="21"/>
        </w:rPr>
        <w:t>供应商名称</w:t>
      </w:r>
      <w:r>
        <w:rPr>
          <w:rFonts w:asciiTheme="minorEastAsia" w:hAnsiTheme="minorEastAsia" w:eastAsiaTheme="minorEastAsia"/>
          <w:bCs/>
          <w:color w:val="auto"/>
          <w:kern w:val="0"/>
          <w:szCs w:val="21"/>
        </w:rPr>
        <w:t>：</w:t>
      </w:r>
    </w:p>
    <w:p>
      <w:pPr>
        <w:autoSpaceDE w:val="0"/>
        <w:autoSpaceDN w:val="0"/>
        <w:adjustRightInd w:val="0"/>
        <w:ind w:firstLine="1365" w:firstLineChars="650"/>
        <w:rPr>
          <w:rFonts w:asciiTheme="minorEastAsia" w:hAnsiTheme="minorEastAsia" w:eastAsiaTheme="minorEastAsia"/>
          <w:bCs/>
          <w:color w:val="auto"/>
          <w:kern w:val="0"/>
          <w:szCs w:val="21"/>
        </w:rPr>
      </w:pPr>
    </w:p>
    <w:p>
      <w:pPr>
        <w:autoSpaceDE w:val="0"/>
        <w:autoSpaceDN w:val="0"/>
        <w:adjustRightInd w:val="0"/>
        <w:ind w:firstLine="1365" w:firstLineChars="650"/>
        <w:rPr>
          <w:rFonts w:asciiTheme="minorEastAsia" w:hAnsiTheme="minorEastAsia" w:eastAsiaTheme="minorEastAsia"/>
          <w:bCs/>
          <w:color w:val="auto"/>
          <w:kern w:val="0"/>
          <w:szCs w:val="21"/>
          <w:u w:val="single"/>
        </w:rPr>
      </w:pPr>
      <w:r>
        <w:rPr>
          <w:rFonts w:asciiTheme="minorEastAsia" w:hAnsiTheme="minorEastAsia" w:eastAsiaTheme="minorEastAsia"/>
          <w:bCs/>
          <w:color w:val="auto"/>
          <w:kern w:val="0"/>
          <w:szCs w:val="21"/>
        </w:rPr>
        <w:t>单位性质：</w:t>
      </w:r>
    </w:p>
    <w:p>
      <w:pPr>
        <w:autoSpaceDE w:val="0"/>
        <w:autoSpaceDN w:val="0"/>
        <w:adjustRightInd w:val="0"/>
        <w:ind w:firstLine="1365" w:firstLineChars="650"/>
        <w:rPr>
          <w:rFonts w:asciiTheme="minorEastAsia" w:hAnsiTheme="minorEastAsia" w:eastAsiaTheme="minorEastAsia"/>
          <w:bCs/>
          <w:color w:val="auto"/>
          <w:kern w:val="0"/>
          <w:szCs w:val="21"/>
        </w:rPr>
      </w:pPr>
    </w:p>
    <w:p>
      <w:pPr>
        <w:autoSpaceDE w:val="0"/>
        <w:autoSpaceDN w:val="0"/>
        <w:adjustRightInd w:val="0"/>
        <w:ind w:firstLine="1365" w:firstLineChars="650"/>
        <w:rPr>
          <w:rFonts w:asciiTheme="minorEastAsia" w:hAnsiTheme="minorEastAsia" w:eastAsiaTheme="minorEastAsia"/>
          <w:bCs/>
          <w:color w:val="auto"/>
          <w:kern w:val="0"/>
          <w:szCs w:val="21"/>
          <w:u w:val="single"/>
        </w:rPr>
      </w:pPr>
      <w:r>
        <w:rPr>
          <w:rFonts w:asciiTheme="minorEastAsia" w:hAnsiTheme="minorEastAsia" w:eastAsiaTheme="minorEastAsia"/>
          <w:bCs/>
          <w:color w:val="auto"/>
          <w:kern w:val="0"/>
          <w:szCs w:val="21"/>
        </w:rPr>
        <w:t>地 址：</w:t>
      </w:r>
    </w:p>
    <w:p>
      <w:pPr>
        <w:autoSpaceDE w:val="0"/>
        <w:autoSpaceDN w:val="0"/>
        <w:adjustRightInd w:val="0"/>
        <w:ind w:firstLine="1365" w:firstLineChars="650"/>
        <w:rPr>
          <w:rFonts w:asciiTheme="minorEastAsia" w:hAnsiTheme="minorEastAsia" w:eastAsiaTheme="minorEastAsia"/>
          <w:bCs/>
          <w:color w:val="auto"/>
          <w:kern w:val="0"/>
          <w:szCs w:val="21"/>
        </w:rPr>
      </w:pPr>
    </w:p>
    <w:p>
      <w:pPr>
        <w:autoSpaceDE w:val="0"/>
        <w:autoSpaceDN w:val="0"/>
        <w:adjustRightInd w:val="0"/>
        <w:ind w:firstLine="1365" w:firstLineChars="650"/>
        <w:rPr>
          <w:rFonts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成立时间：</w:t>
      </w:r>
      <w:r>
        <w:rPr>
          <w:rFonts w:hint="eastAsia" w:asciiTheme="minorEastAsia" w:hAnsiTheme="minorEastAsia" w:eastAsiaTheme="minorEastAsia"/>
          <w:bCs/>
          <w:color w:val="auto"/>
          <w:kern w:val="0"/>
          <w:szCs w:val="21"/>
          <w:u w:val="single"/>
          <w:lang w:val="en-US" w:eastAsia="zh-CN"/>
        </w:rPr>
        <w:t xml:space="preserve">  </w:t>
      </w:r>
      <w:r>
        <w:rPr>
          <w:rFonts w:asciiTheme="minorEastAsia" w:hAnsiTheme="minorEastAsia" w:eastAsiaTheme="minorEastAsia"/>
          <w:bCs/>
          <w:color w:val="auto"/>
          <w:kern w:val="0"/>
          <w:szCs w:val="21"/>
          <w:u w:val="single"/>
        </w:rPr>
        <w:t xml:space="preserve"> </w:t>
      </w:r>
      <w:r>
        <w:rPr>
          <w:rFonts w:hint="eastAsia" w:asciiTheme="minorEastAsia" w:hAnsiTheme="minorEastAsia" w:eastAsiaTheme="minorEastAsia"/>
          <w:bCs/>
          <w:color w:val="auto"/>
          <w:kern w:val="0"/>
          <w:szCs w:val="21"/>
          <w:u w:val="single"/>
          <w:lang w:val="en-US" w:eastAsia="zh-CN"/>
        </w:rPr>
        <w:t xml:space="preserve"> </w:t>
      </w:r>
      <w:r>
        <w:rPr>
          <w:rFonts w:asciiTheme="minorEastAsia" w:hAnsiTheme="minorEastAsia" w:eastAsiaTheme="minorEastAsia"/>
          <w:bCs/>
          <w:color w:val="auto"/>
          <w:kern w:val="0"/>
          <w:szCs w:val="21"/>
        </w:rPr>
        <w:t>年</w:t>
      </w:r>
      <w:r>
        <w:rPr>
          <w:rFonts w:hint="eastAsia" w:asciiTheme="minorEastAsia" w:hAnsiTheme="minorEastAsia" w:eastAsiaTheme="minorEastAsia"/>
          <w:bCs/>
          <w:color w:val="auto"/>
          <w:kern w:val="0"/>
          <w:szCs w:val="21"/>
          <w:u w:val="single"/>
          <w:lang w:val="en-US" w:eastAsia="zh-CN"/>
        </w:rPr>
        <w:t xml:space="preserve">    </w:t>
      </w:r>
      <w:r>
        <w:rPr>
          <w:rFonts w:asciiTheme="minorEastAsia" w:hAnsiTheme="minorEastAsia" w:eastAsiaTheme="minorEastAsia"/>
          <w:bCs/>
          <w:color w:val="auto"/>
          <w:kern w:val="0"/>
          <w:szCs w:val="21"/>
        </w:rPr>
        <w:t>月</w:t>
      </w:r>
      <w:r>
        <w:rPr>
          <w:rFonts w:hint="eastAsia" w:asciiTheme="minorEastAsia" w:hAnsiTheme="minorEastAsia" w:eastAsiaTheme="minorEastAsia"/>
          <w:bCs/>
          <w:color w:val="auto"/>
          <w:kern w:val="0"/>
          <w:szCs w:val="21"/>
          <w:u w:val="single"/>
          <w:lang w:val="en-US" w:eastAsia="zh-CN"/>
        </w:rPr>
        <w:t xml:space="preserve">    </w:t>
      </w:r>
      <w:r>
        <w:rPr>
          <w:rFonts w:asciiTheme="minorEastAsia" w:hAnsiTheme="minorEastAsia" w:eastAsiaTheme="minorEastAsia"/>
          <w:bCs/>
          <w:color w:val="auto"/>
          <w:kern w:val="0"/>
          <w:szCs w:val="21"/>
        </w:rPr>
        <w:t>日</w:t>
      </w:r>
    </w:p>
    <w:p>
      <w:pPr>
        <w:autoSpaceDE w:val="0"/>
        <w:autoSpaceDN w:val="0"/>
        <w:adjustRightInd w:val="0"/>
        <w:ind w:firstLine="1365" w:firstLineChars="650"/>
        <w:rPr>
          <w:rFonts w:asciiTheme="minorEastAsia" w:hAnsiTheme="minorEastAsia" w:eastAsiaTheme="minorEastAsia"/>
          <w:bCs/>
          <w:color w:val="auto"/>
          <w:kern w:val="0"/>
          <w:szCs w:val="21"/>
        </w:rPr>
      </w:pPr>
    </w:p>
    <w:p>
      <w:pPr>
        <w:autoSpaceDE w:val="0"/>
        <w:autoSpaceDN w:val="0"/>
        <w:adjustRightInd w:val="0"/>
        <w:ind w:firstLine="1365" w:firstLineChars="650"/>
        <w:rPr>
          <w:rFonts w:asciiTheme="minorEastAsia" w:hAnsiTheme="minorEastAsia" w:eastAsiaTheme="minorEastAsia"/>
          <w:bCs/>
          <w:color w:val="auto"/>
          <w:kern w:val="0"/>
          <w:szCs w:val="21"/>
          <w:u w:val="single"/>
        </w:rPr>
      </w:pPr>
      <w:r>
        <w:rPr>
          <w:rFonts w:asciiTheme="minorEastAsia" w:hAnsiTheme="minorEastAsia" w:eastAsiaTheme="minorEastAsia"/>
          <w:bCs/>
          <w:color w:val="auto"/>
          <w:kern w:val="0"/>
          <w:szCs w:val="21"/>
        </w:rPr>
        <w:t>经营期限：</w:t>
      </w:r>
    </w:p>
    <w:p>
      <w:pPr>
        <w:autoSpaceDE w:val="0"/>
        <w:autoSpaceDN w:val="0"/>
        <w:adjustRightInd w:val="0"/>
        <w:ind w:firstLine="1365" w:firstLineChars="650"/>
        <w:rPr>
          <w:rFonts w:asciiTheme="minorEastAsia" w:hAnsiTheme="minorEastAsia" w:eastAsiaTheme="minorEastAsia"/>
          <w:bCs/>
          <w:color w:val="auto"/>
          <w:kern w:val="0"/>
          <w:szCs w:val="21"/>
        </w:rPr>
      </w:pPr>
    </w:p>
    <w:p>
      <w:pPr>
        <w:autoSpaceDE w:val="0"/>
        <w:autoSpaceDN w:val="0"/>
        <w:adjustRightInd w:val="0"/>
        <w:ind w:firstLine="1365" w:firstLineChars="650"/>
        <w:rPr>
          <w:rFonts w:hint="default" w:asciiTheme="minorEastAsia" w:hAnsiTheme="minorEastAsia" w:eastAsiaTheme="minorEastAsia"/>
          <w:bCs/>
          <w:color w:val="auto"/>
          <w:kern w:val="0"/>
          <w:szCs w:val="21"/>
          <w:u w:val="single"/>
          <w:lang w:val="en-US" w:eastAsia="zh-CN"/>
        </w:rPr>
      </w:pPr>
      <w:r>
        <w:rPr>
          <w:rFonts w:asciiTheme="minorEastAsia" w:hAnsiTheme="minorEastAsia" w:eastAsiaTheme="minorEastAsia"/>
          <w:bCs/>
          <w:color w:val="auto"/>
          <w:kern w:val="0"/>
          <w:szCs w:val="21"/>
        </w:rPr>
        <w:t xml:space="preserve">姓 名： </w:t>
      </w:r>
      <w:r>
        <w:rPr>
          <w:rFonts w:hint="eastAsia" w:asciiTheme="minorEastAsia" w:hAnsiTheme="minorEastAsia" w:eastAsiaTheme="minorEastAsia"/>
          <w:bCs/>
          <w:color w:val="auto"/>
          <w:kern w:val="0"/>
          <w:szCs w:val="21"/>
          <w:lang w:val="en-US" w:eastAsia="zh-CN"/>
        </w:rPr>
        <w:t xml:space="preserve">      </w:t>
      </w:r>
      <w:r>
        <w:rPr>
          <w:rFonts w:asciiTheme="minorEastAsia" w:hAnsiTheme="minorEastAsia" w:eastAsiaTheme="minorEastAsia"/>
          <w:bCs/>
          <w:color w:val="auto"/>
          <w:kern w:val="0"/>
          <w:szCs w:val="21"/>
        </w:rPr>
        <w:t>性 别：</w:t>
      </w:r>
      <w:r>
        <w:rPr>
          <w:rFonts w:hint="eastAsia" w:asciiTheme="minorEastAsia" w:hAnsiTheme="minorEastAsia" w:eastAsiaTheme="minorEastAsia"/>
          <w:bCs/>
          <w:color w:val="auto"/>
          <w:kern w:val="0"/>
          <w:szCs w:val="21"/>
          <w:lang w:val="en-US" w:eastAsia="zh-CN"/>
        </w:rPr>
        <w:t xml:space="preserve">      </w:t>
      </w:r>
      <w:r>
        <w:rPr>
          <w:rFonts w:asciiTheme="minorEastAsia" w:hAnsiTheme="minorEastAsia" w:eastAsiaTheme="minorEastAsia"/>
          <w:bCs/>
          <w:color w:val="auto"/>
          <w:kern w:val="0"/>
          <w:szCs w:val="21"/>
        </w:rPr>
        <w:t>年 龄：</w:t>
      </w:r>
      <w:r>
        <w:rPr>
          <w:rFonts w:hint="eastAsia" w:asciiTheme="minorEastAsia" w:hAnsiTheme="minorEastAsia" w:eastAsiaTheme="minorEastAsia"/>
          <w:bCs/>
          <w:color w:val="auto"/>
          <w:kern w:val="0"/>
          <w:szCs w:val="21"/>
          <w:lang w:val="en-US" w:eastAsia="zh-CN"/>
        </w:rPr>
        <w:t xml:space="preserve">       </w:t>
      </w:r>
      <w:r>
        <w:rPr>
          <w:rFonts w:asciiTheme="minorEastAsia" w:hAnsiTheme="minorEastAsia" w:eastAsiaTheme="minorEastAsia"/>
          <w:bCs/>
          <w:color w:val="auto"/>
          <w:kern w:val="0"/>
          <w:szCs w:val="21"/>
        </w:rPr>
        <w:t>职 务：</w:t>
      </w:r>
      <w:r>
        <w:rPr>
          <w:rFonts w:hint="eastAsia" w:asciiTheme="minorEastAsia" w:hAnsiTheme="minorEastAsia" w:eastAsiaTheme="minorEastAsia"/>
          <w:bCs/>
          <w:color w:val="auto"/>
          <w:kern w:val="0"/>
          <w:szCs w:val="21"/>
          <w:lang w:val="en-US" w:eastAsia="zh-CN"/>
        </w:rPr>
        <w:t xml:space="preserve">  </w:t>
      </w:r>
      <w:r>
        <w:rPr>
          <w:rFonts w:hint="eastAsia" w:asciiTheme="minorEastAsia" w:hAnsiTheme="minorEastAsia" w:eastAsiaTheme="minorEastAsia"/>
          <w:bCs/>
          <w:color w:val="auto"/>
          <w:kern w:val="0"/>
          <w:szCs w:val="21"/>
          <w:u w:val="single"/>
          <w:lang w:val="en-US" w:eastAsia="zh-CN"/>
        </w:rPr>
        <w:t xml:space="preserve">  </w:t>
      </w:r>
    </w:p>
    <w:p>
      <w:pPr>
        <w:autoSpaceDE w:val="0"/>
        <w:autoSpaceDN w:val="0"/>
        <w:adjustRightInd w:val="0"/>
        <w:ind w:firstLine="1365" w:firstLineChars="650"/>
        <w:rPr>
          <w:rFonts w:asciiTheme="minorEastAsia" w:hAnsiTheme="minorEastAsia" w:eastAsiaTheme="minorEastAsia"/>
          <w:bCs/>
          <w:color w:val="auto"/>
          <w:kern w:val="0"/>
          <w:szCs w:val="21"/>
        </w:rPr>
      </w:pPr>
    </w:p>
    <w:p>
      <w:pPr>
        <w:autoSpaceDE w:val="0"/>
        <w:autoSpaceDN w:val="0"/>
        <w:adjustRightInd w:val="0"/>
        <w:ind w:firstLine="1365" w:firstLineChars="650"/>
        <w:rPr>
          <w:rFonts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系 （</w:t>
      </w:r>
      <w:r>
        <w:rPr>
          <w:rFonts w:hint="eastAsia" w:asciiTheme="minorEastAsia" w:hAnsiTheme="minorEastAsia" w:eastAsiaTheme="minorEastAsia"/>
          <w:bCs/>
          <w:color w:val="auto"/>
          <w:kern w:val="0"/>
          <w:szCs w:val="21"/>
        </w:rPr>
        <w:t>供应商</w:t>
      </w:r>
      <w:r>
        <w:rPr>
          <w:rFonts w:asciiTheme="minorEastAsia" w:hAnsiTheme="minorEastAsia" w:eastAsiaTheme="minorEastAsia"/>
          <w:bCs/>
          <w:color w:val="auto"/>
          <w:kern w:val="0"/>
          <w:szCs w:val="21"/>
        </w:rPr>
        <w:t>名称）的法定代表人。</w:t>
      </w:r>
    </w:p>
    <w:p>
      <w:pPr>
        <w:autoSpaceDE w:val="0"/>
        <w:autoSpaceDN w:val="0"/>
        <w:adjustRightInd w:val="0"/>
        <w:ind w:firstLine="1365" w:firstLineChars="650"/>
        <w:rPr>
          <w:rFonts w:asciiTheme="minorEastAsia" w:hAnsiTheme="minorEastAsia" w:eastAsiaTheme="minorEastAsia"/>
          <w:bCs/>
          <w:color w:val="auto"/>
          <w:kern w:val="0"/>
          <w:szCs w:val="21"/>
        </w:rPr>
      </w:pPr>
    </w:p>
    <w:p>
      <w:pPr>
        <w:autoSpaceDE w:val="0"/>
        <w:autoSpaceDN w:val="0"/>
        <w:adjustRightInd w:val="0"/>
        <w:ind w:firstLine="1365" w:firstLineChars="650"/>
        <w:rPr>
          <w:rFonts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特此证明。</w:t>
      </w:r>
    </w:p>
    <w:p>
      <w:pPr>
        <w:autoSpaceDE w:val="0"/>
        <w:autoSpaceDN w:val="0"/>
        <w:adjustRightInd w:val="0"/>
        <w:rPr>
          <w:rFonts w:asciiTheme="minorEastAsia" w:hAnsiTheme="minorEastAsia" w:eastAsiaTheme="minorEastAsia"/>
          <w:bCs/>
          <w:color w:val="auto"/>
          <w:kern w:val="0"/>
          <w:szCs w:val="21"/>
        </w:rPr>
      </w:pPr>
    </w:p>
    <w:p>
      <w:pPr>
        <w:autoSpaceDE w:val="0"/>
        <w:autoSpaceDN w:val="0"/>
        <w:adjustRightInd w:val="0"/>
        <w:ind w:firstLine="1365" w:firstLineChars="650"/>
        <w:rPr>
          <w:rFonts w:asciiTheme="minorEastAsia" w:hAnsiTheme="minorEastAsia" w:eastAsiaTheme="minorEastAsia"/>
          <w:bCs/>
          <w:color w:val="auto"/>
          <w:kern w:val="0"/>
          <w:szCs w:val="21"/>
        </w:rPr>
      </w:pPr>
    </w:p>
    <w:p>
      <w:pPr>
        <w:autoSpaceDE w:val="0"/>
        <w:autoSpaceDN w:val="0"/>
        <w:adjustRightInd w:val="0"/>
        <w:ind w:firstLine="3360" w:firstLineChars="1600"/>
        <w:rPr>
          <w:rFonts w:asciiTheme="minorEastAsia" w:hAnsiTheme="minorEastAsia" w:eastAsiaTheme="minorEastAsia"/>
          <w:bCs/>
          <w:color w:val="auto"/>
          <w:kern w:val="0"/>
          <w:szCs w:val="21"/>
        </w:rPr>
      </w:pPr>
      <w:r>
        <w:rPr>
          <w:rFonts w:hint="eastAsia" w:asciiTheme="minorEastAsia" w:hAnsiTheme="minorEastAsia" w:eastAsiaTheme="minorEastAsia"/>
          <w:bCs/>
          <w:color w:val="auto"/>
          <w:kern w:val="0"/>
          <w:szCs w:val="21"/>
        </w:rPr>
        <w:t>供应商</w:t>
      </w:r>
      <w:r>
        <w:rPr>
          <w:rFonts w:asciiTheme="minorEastAsia" w:hAnsiTheme="minorEastAsia" w:eastAsiaTheme="minorEastAsia"/>
          <w:bCs/>
          <w:color w:val="auto"/>
          <w:kern w:val="0"/>
          <w:szCs w:val="21"/>
        </w:rPr>
        <w:t>名称：（盖</w:t>
      </w:r>
      <w:r>
        <w:rPr>
          <w:rFonts w:hint="eastAsia" w:asciiTheme="minorEastAsia" w:hAnsiTheme="minorEastAsia" w:eastAsiaTheme="minorEastAsia"/>
          <w:bCs/>
          <w:color w:val="auto"/>
          <w:kern w:val="0"/>
          <w:szCs w:val="21"/>
        </w:rPr>
        <w:t>单位</w:t>
      </w:r>
      <w:r>
        <w:rPr>
          <w:rFonts w:asciiTheme="minorEastAsia" w:hAnsiTheme="minorEastAsia" w:eastAsiaTheme="minorEastAsia"/>
          <w:bCs/>
          <w:color w:val="auto"/>
          <w:kern w:val="0"/>
          <w:szCs w:val="21"/>
        </w:rPr>
        <w:t>章）</w:t>
      </w:r>
    </w:p>
    <w:p>
      <w:pPr>
        <w:autoSpaceDE w:val="0"/>
        <w:autoSpaceDN w:val="0"/>
        <w:adjustRightInd w:val="0"/>
        <w:ind w:firstLine="1365" w:firstLineChars="650"/>
        <w:rPr>
          <w:rFonts w:asciiTheme="minorEastAsia" w:hAnsiTheme="minorEastAsia" w:eastAsiaTheme="minorEastAsia"/>
          <w:bCs/>
          <w:color w:val="auto"/>
          <w:kern w:val="0"/>
          <w:szCs w:val="21"/>
        </w:rPr>
      </w:pPr>
    </w:p>
    <w:p>
      <w:pPr>
        <w:ind w:firstLine="3885" w:firstLineChars="185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日期：</w:t>
      </w:r>
      <w:r>
        <w:rPr>
          <w:rFonts w:hint="eastAsia" w:asciiTheme="minorEastAsia" w:hAnsiTheme="minorEastAsia" w:eastAsiaTheme="minorEastAsia"/>
          <w:color w:val="auto"/>
          <w:kern w:val="0"/>
          <w:szCs w:val="21"/>
          <w:lang w:val="en-US" w:eastAsia="zh-CN"/>
        </w:rPr>
        <w:t xml:space="preserve"> </w:t>
      </w:r>
      <w:r>
        <w:rPr>
          <w:rFonts w:asciiTheme="minorEastAsia" w:hAnsiTheme="minorEastAsia" w:eastAsiaTheme="minorEastAsia"/>
          <w:color w:val="auto"/>
          <w:kern w:val="0"/>
          <w:szCs w:val="21"/>
        </w:rPr>
        <w:t>年</w:t>
      </w:r>
      <w:r>
        <w:rPr>
          <w:rFonts w:hint="eastAsia" w:asciiTheme="minorEastAsia" w:hAnsiTheme="minorEastAsia" w:eastAsiaTheme="minorEastAsia"/>
          <w:color w:val="auto"/>
          <w:kern w:val="0"/>
          <w:szCs w:val="21"/>
          <w:lang w:val="en-US" w:eastAsia="zh-CN"/>
        </w:rPr>
        <w:t xml:space="preserve"> </w:t>
      </w:r>
      <w:r>
        <w:rPr>
          <w:rFonts w:asciiTheme="minorEastAsia" w:hAnsiTheme="minorEastAsia" w:eastAsiaTheme="minorEastAsia"/>
          <w:color w:val="auto"/>
          <w:kern w:val="0"/>
          <w:szCs w:val="21"/>
        </w:rPr>
        <w:t>月</w:t>
      </w:r>
      <w:r>
        <w:rPr>
          <w:rFonts w:hint="eastAsia" w:asciiTheme="minorEastAsia" w:hAnsiTheme="minorEastAsia" w:eastAsiaTheme="minorEastAsia"/>
          <w:color w:val="auto"/>
          <w:kern w:val="0"/>
          <w:szCs w:val="21"/>
          <w:lang w:val="en-US" w:eastAsia="zh-CN"/>
        </w:rPr>
        <w:t xml:space="preserve"> </w:t>
      </w:r>
      <w:r>
        <w:rPr>
          <w:rFonts w:asciiTheme="minorEastAsia" w:hAnsiTheme="minorEastAsia" w:eastAsiaTheme="minorEastAsia"/>
          <w:color w:val="auto"/>
          <w:kern w:val="0"/>
          <w:szCs w:val="21"/>
        </w:rPr>
        <w:t>日</w:t>
      </w:r>
    </w:p>
    <w:p>
      <w:pPr>
        <w:pStyle w:val="14"/>
        <w:rPr>
          <w:rFonts w:asciiTheme="minorEastAsia" w:hAnsiTheme="minorEastAsia" w:eastAsiaTheme="minorEastAsia"/>
          <w:color w:val="auto"/>
          <w:kern w:val="0"/>
          <w:szCs w:val="21"/>
        </w:rPr>
      </w:pPr>
    </w:p>
    <w:p>
      <w:pPr>
        <w:pStyle w:val="14"/>
        <w:rPr>
          <w:rFonts w:asciiTheme="minorEastAsia" w:hAnsiTheme="minorEastAsia" w:eastAsiaTheme="minorEastAsia"/>
          <w:color w:val="auto"/>
          <w:kern w:val="0"/>
          <w:szCs w:val="21"/>
        </w:rPr>
      </w:pPr>
    </w:p>
    <w:p>
      <w:pPr>
        <w:pStyle w:val="14"/>
        <w:rPr>
          <w:rFonts w:hint="eastAsia" w:asciiTheme="minorEastAsia" w:hAnsiTheme="minorEastAsia" w:eastAsiaTheme="minorEastAsia"/>
          <w:b/>
          <w:bCs/>
          <w:color w:val="auto"/>
          <w:kern w:val="0"/>
          <w:szCs w:val="21"/>
          <w:lang w:eastAsia="zh-CN"/>
        </w:rPr>
      </w:pPr>
      <w:r>
        <w:rPr>
          <w:rFonts w:hint="eastAsia" w:asciiTheme="minorEastAsia" w:hAnsiTheme="minorEastAsia" w:eastAsiaTheme="minorEastAsia"/>
          <w:b/>
          <w:bCs/>
          <w:color w:val="auto"/>
          <w:kern w:val="0"/>
          <w:szCs w:val="21"/>
          <w:lang w:eastAsia="zh-CN"/>
        </w:rPr>
        <w:t>附：法定代表人身份证复印件。</w:t>
      </w:r>
    </w:p>
    <w:p>
      <w:pPr>
        <w:pStyle w:val="14"/>
        <w:rPr>
          <w:rFonts w:hint="eastAsia" w:asciiTheme="minorEastAsia" w:hAnsiTheme="minorEastAsia" w:eastAsiaTheme="minorEastAsia"/>
          <w:color w:val="auto"/>
          <w:kern w:val="0"/>
          <w:szCs w:val="21"/>
          <w:lang w:eastAsia="zh-CN"/>
        </w:rPr>
      </w:pPr>
    </w:p>
    <w:p>
      <w:pPr>
        <w:pStyle w:val="14"/>
        <w:rPr>
          <w:rFonts w:asciiTheme="minorEastAsia" w:hAnsiTheme="minorEastAsia" w:eastAsiaTheme="minorEastAsia"/>
          <w:color w:val="auto"/>
          <w:kern w:val="0"/>
          <w:szCs w:val="21"/>
        </w:rPr>
      </w:pPr>
    </w:p>
    <w:p>
      <w:pPr>
        <w:pStyle w:val="14"/>
        <w:rPr>
          <w:rFonts w:asciiTheme="minorEastAsia" w:hAnsiTheme="minorEastAsia" w:eastAsiaTheme="minorEastAsia"/>
          <w:color w:val="auto"/>
          <w:kern w:val="0"/>
          <w:szCs w:val="21"/>
        </w:rPr>
      </w:pPr>
    </w:p>
    <w:p>
      <w:pPr>
        <w:pStyle w:val="14"/>
        <w:rPr>
          <w:rFonts w:asciiTheme="minorEastAsia" w:hAnsiTheme="minorEastAsia" w:eastAsiaTheme="minorEastAsia"/>
          <w:color w:val="auto"/>
          <w:kern w:val="0"/>
          <w:szCs w:val="21"/>
        </w:rPr>
      </w:pPr>
    </w:p>
    <w:p>
      <w:pPr>
        <w:spacing w:line="480" w:lineRule="exact"/>
        <w:ind w:firstLine="3885" w:firstLineChars="1850"/>
        <w:rPr>
          <w:rFonts w:asciiTheme="minorEastAsia" w:hAnsiTheme="minorEastAsia" w:eastAsiaTheme="minorEastAsia"/>
          <w:color w:val="auto"/>
          <w:kern w:val="0"/>
          <w:szCs w:val="21"/>
        </w:rPr>
      </w:pPr>
    </w:p>
    <w:p>
      <w:pPr>
        <w:wordWrap w:val="0"/>
        <w:spacing w:line="500" w:lineRule="exact"/>
        <w:jc w:val="right"/>
        <w:rPr>
          <w:rFonts w:asciiTheme="minorEastAsia" w:hAnsiTheme="minorEastAsia" w:eastAsiaTheme="minorEastAsia"/>
          <w:color w:val="auto"/>
          <w:szCs w:val="21"/>
        </w:rPr>
      </w:pPr>
    </w:p>
    <w:p>
      <w:pPr>
        <w:adjustRightInd w:val="0"/>
        <w:snapToGrid w:val="0"/>
        <w:spacing w:line="300" w:lineRule="auto"/>
        <w:jc w:val="both"/>
        <w:rPr>
          <w:rFonts w:hint="eastAsia" w:asciiTheme="minorEastAsia" w:hAnsiTheme="minorEastAsia" w:eastAsiaTheme="minorEastAsia"/>
          <w:b/>
          <w:color w:val="auto"/>
          <w:sz w:val="28"/>
          <w:szCs w:val="28"/>
        </w:rPr>
      </w:pPr>
    </w:p>
    <w:p>
      <w:pPr>
        <w:adjustRightInd w:val="0"/>
        <w:snapToGrid w:val="0"/>
        <w:spacing w:line="300" w:lineRule="auto"/>
        <w:jc w:val="center"/>
        <w:rPr>
          <w:rFonts w:hint="eastAsia" w:asciiTheme="minorEastAsia" w:hAnsiTheme="minorEastAsia" w:eastAsiaTheme="minorEastAsia"/>
          <w:b/>
          <w:color w:val="auto"/>
          <w:sz w:val="28"/>
          <w:szCs w:val="28"/>
        </w:rPr>
      </w:pPr>
    </w:p>
    <w:p>
      <w:pPr>
        <w:pStyle w:val="14"/>
        <w:ind w:left="0" w:leftChars="0" w:firstLine="0" w:firstLineChars="0"/>
        <w:rPr>
          <w:rFonts w:hint="eastAsia" w:asciiTheme="minorEastAsia" w:hAnsiTheme="minorEastAsia" w:eastAsiaTheme="minorEastAsia"/>
          <w:b/>
          <w:color w:val="auto"/>
          <w:sz w:val="28"/>
          <w:szCs w:val="28"/>
        </w:rPr>
      </w:pPr>
    </w:p>
    <w:p>
      <w:pPr>
        <w:adjustRightInd w:val="0"/>
        <w:snapToGrid w:val="0"/>
        <w:spacing w:line="300" w:lineRule="auto"/>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法定代表人授权书</w:t>
      </w:r>
    </w:p>
    <w:p>
      <w:pPr>
        <w:adjustRightInd w:val="0"/>
        <w:snapToGrid w:val="0"/>
        <w:spacing w:line="520" w:lineRule="exact"/>
        <w:rPr>
          <w:rFonts w:asciiTheme="minorEastAsia" w:hAnsiTheme="minorEastAsia" w:eastAsiaTheme="minorEastAsia"/>
          <w:color w:val="auto"/>
          <w:sz w:val="28"/>
          <w:szCs w:val="28"/>
        </w:rPr>
      </w:pPr>
    </w:p>
    <w:p>
      <w:pPr>
        <w:spacing w:line="5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u w:val="single"/>
          <w:lang w:eastAsia="zh-CN"/>
        </w:rPr>
        <w:t>广西晟通工程咨询有限公司</w:t>
      </w:r>
      <w:r>
        <w:rPr>
          <w:rFonts w:hint="eastAsia" w:asciiTheme="minorEastAsia" w:hAnsiTheme="minorEastAsia" w:eastAsiaTheme="minorEastAsia"/>
          <w:color w:val="auto"/>
          <w:szCs w:val="21"/>
        </w:rPr>
        <w:t>：</w:t>
      </w:r>
    </w:p>
    <w:p>
      <w:pPr>
        <w:spacing w:line="52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兹授权</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同志为我公司参加贵单位组织的</w:t>
      </w:r>
      <w:r>
        <w:rPr>
          <w:rFonts w:hint="eastAsia" w:asciiTheme="minorEastAsia" w:hAnsiTheme="minorEastAsia" w:eastAsiaTheme="minorEastAsia"/>
          <w:color w:val="auto"/>
          <w:szCs w:val="21"/>
          <w:u w:val="single"/>
        </w:rPr>
        <w:t>（项目名称、编号：    ）</w:t>
      </w:r>
      <w:r>
        <w:rPr>
          <w:rFonts w:hint="eastAsia" w:asciiTheme="minorEastAsia" w:hAnsiTheme="minorEastAsia" w:eastAsiaTheme="minorEastAsia"/>
          <w:color w:val="auto"/>
          <w:szCs w:val="21"/>
        </w:rPr>
        <w:t>采购活动的磋商代表人，全权代表我公司处理在该项目活动中的一切事宜。代理期限从</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日起至</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 xml:space="preserve">日止。 </w:t>
      </w:r>
    </w:p>
    <w:p>
      <w:pPr>
        <w:spacing w:line="520" w:lineRule="exact"/>
        <w:rPr>
          <w:rFonts w:asciiTheme="minorEastAsia" w:hAnsiTheme="minorEastAsia" w:eastAsiaTheme="minorEastAsia"/>
          <w:color w:val="auto"/>
          <w:szCs w:val="21"/>
        </w:rPr>
      </w:pPr>
    </w:p>
    <w:p>
      <w:pPr>
        <w:spacing w:line="5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磋商供应商（公章）：</w:t>
      </w:r>
    </w:p>
    <w:p>
      <w:pPr>
        <w:spacing w:line="5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法定代表人（签字）：</w:t>
      </w:r>
    </w:p>
    <w:p>
      <w:pPr>
        <w:spacing w:line="5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签发日期：</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rPr>
        <w:t>年</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rPr>
        <w:t>月</w:t>
      </w:r>
      <w:r>
        <w:rPr>
          <w:rFonts w:hint="eastAsia" w:asciiTheme="minorEastAsia" w:hAnsiTheme="minorEastAsia" w:eastAsiaTheme="minorEastAsia"/>
          <w:color w:val="auto"/>
          <w:szCs w:val="21"/>
          <w:u w:val="single"/>
          <w:lang w:val="en-US" w:eastAsia="zh-CN"/>
        </w:rPr>
        <w:t xml:space="preserve">   </w:t>
      </w:r>
      <w:r>
        <w:rPr>
          <w:rFonts w:hint="eastAsia" w:asciiTheme="minorEastAsia" w:hAnsiTheme="minorEastAsia" w:eastAsiaTheme="minorEastAsia"/>
          <w:color w:val="auto"/>
          <w:szCs w:val="21"/>
        </w:rPr>
        <w:t>日</w:t>
      </w:r>
    </w:p>
    <w:p>
      <w:pPr>
        <w:spacing w:line="5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代理人工作单位：</w:t>
      </w:r>
    </w:p>
    <w:p>
      <w:pPr>
        <w:spacing w:line="5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职务：      性别：</w:t>
      </w:r>
    </w:p>
    <w:p>
      <w:pPr>
        <w:adjustRightInd w:val="0"/>
        <w:snapToGrid w:val="0"/>
        <w:spacing w:line="520" w:lineRule="exact"/>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身份证号码：</w:t>
      </w:r>
    </w:p>
    <w:p>
      <w:pPr>
        <w:spacing w:line="360" w:lineRule="auto"/>
        <w:ind w:right="384" w:rightChars="183"/>
        <w:jc w:val="both"/>
        <w:rPr>
          <w:rFonts w:hint="eastAsia" w:asciiTheme="minorEastAsia" w:hAnsiTheme="minorEastAsia" w:eastAsiaTheme="minorEastAsia"/>
          <w:b/>
          <w:color w:val="auto"/>
          <w:sz w:val="28"/>
          <w:szCs w:val="28"/>
        </w:rPr>
      </w:pPr>
    </w:p>
    <w:p>
      <w:pPr>
        <w:spacing w:line="360" w:lineRule="auto"/>
        <w:ind w:right="384" w:rightChars="183"/>
        <w:jc w:val="both"/>
        <w:rPr>
          <w:rFonts w:hint="eastAsia"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 w:val="21"/>
          <w:szCs w:val="21"/>
        </w:rPr>
        <w:t>附：被授权人身份证及法定代表人身份证复印件</w:t>
      </w:r>
      <w:r>
        <w:rPr>
          <w:rFonts w:hint="eastAsia" w:asciiTheme="minorEastAsia" w:hAnsiTheme="minorEastAsia" w:eastAsiaTheme="minorEastAsia"/>
          <w:b/>
          <w:color w:val="auto"/>
          <w:sz w:val="21"/>
          <w:szCs w:val="21"/>
          <w:lang w:eastAsia="zh-CN"/>
        </w:rPr>
        <w:t>。</w:t>
      </w:r>
    </w:p>
    <w:p>
      <w:pPr>
        <w:ind w:right="384" w:rightChars="183"/>
        <w:jc w:val="left"/>
        <w:rPr>
          <w:rFonts w:asciiTheme="minorEastAsia" w:hAnsiTheme="minorEastAsia" w:eastAsiaTheme="minorEastAsia"/>
          <w:color w:val="auto"/>
          <w:szCs w:val="21"/>
        </w:rPr>
      </w:pPr>
      <w:r>
        <w:rPr>
          <w:rFonts w:asciiTheme="minorEastAsia" w:hAnsiTheme="minorEastAsia" w:eastAsiaTheme="minorEastAsia"/>
          <w:b/>
          <w:color w:val="auto"/>
          <w:sz w:val="28"/>
        </w:rPr>
        <w:br w:type="page"/>
      </w:r>
    </w:p>
    <w:p>
      <w:pPr>
        <w:spacing w:line="360" w:lineRule="auto"/>
        <w:ind w:right="384" w:rightChars="183"/>
        <w:jc w:val="left"/>
        <w:outlineLvl w:val="0"/>
        <w:rPr>
          <w:rFonts w:asciiTheme="minorEastAsia" w:hAnsiTheme="minorEastAsia" w:eastAsiaTheme="minorEastAsia"/>
          <w:color w:val="auto"/>
          <w:szCs w:val="21"/>
        </w:rPr>
      </w:pPr>
      <w:bookmarkStart w:id="687" w:name="_Toc553"/>
      <w:bookmarkStart w:id="688" w:name="_Toc3436_WPSOffice_Level1"/>
      <w:r>
        <w:rPr>
          <w:rFonts w:hint="eastAsia" w:asciiTheme="minorEastAsia" w:hAnsiTheme="minorEastAsia" w:eastAsiaTheme="minorEastAsia"/>
          <w:color w:val="auto"/>
          <w:szCs w:val="21"/>
        </w:rPr>
        <w:t>附件七：</w:t>
      </w:r>
      <w:bookmarkEnd w:id="687"/>
      <w:bookmarkEnd w:id="688"/>
    </w:p>
    <w:p>
      <w:pPr>
        <w:spacing w:line="360" w:lineRule="auto"/>
        <w:ind w:right="384" w:rightChars="183"/>
        <w:jc w:val="center"/>
        <w:rPr>
          <w:rFonts w:asciiTheme="minorEastAsia" w:hAnsiTheme="minorEastAsia" w:eastAsiaTheme="minorEastAsia"/>
          <w:b/>
          <w:color w:val="auto"/>
          <w:sz w:val="28"/>
          <w:szCs w:val="28"/>
        </w:rPr>
      </w:pPr>
    </w:p>
    <w:p>
      <w:pPr>
        <w:spacing w:line="360" w:lineRule="auto"/>
        <w:ind w:right="384" w:rightChars="183"/>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参加政府采购活动前3年内在经营活动中</w:t>
      </w:r>
    </w:p>
    <w:p>
      <w:pPr>
        <w:spacing w:line="360" w:lineRule="auto"/>
        <w:ind w:right="384" w:rightChars="183"/>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没有重大违法记录的书面声明</w:t>
      </w:r>
    </w:p>
    <w:p>
      <w:pPr>
        <w:spacing w:line="360" w:lineRule="auto"/>
        <w:rPr>
          <w:rFonts w:asciiTheme="minorEastAsia" w:hAnsiTheme="minorEastAsia" w:eastAsiaTheme="minorEastAsia"/>
          <w:color w:val="auto"/>
          <w:szCs w:val="21"/>
        </w:rPr>
      </w:pPr>
    </w:p>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广西晟通工程咨询有限公司</w:t>
      </w:r>
      <w:r>
        <w:rPr>
          <w:rFonts w:hint="eastAsia" w:asciiTheme="minorEastAsia" w:hAnsiTheme="minorEastAsia" w:eastAsiaTheme="minorEastAsia"/>
          <w:color w:val="auto"/>
          <w:szCs w:val="21"/>
        </w:rPr>
        <w:t>：</w:t>
      </w:r>
    </w:p>
    <w:p>
      <w:pPr>
        <w:spacing w:line="360" w:lineRule="auto"/>
        <w:ind w:firstLine="420" w:firstLineChars="200"/>
        <w:rPr>
          <w:rFonts w:hAnsi="宋体"/>
          <w:color w:val="auto"/>
          <w:szCs w:val="21"/>
        </w:rPr>
      </w:pPr>
      <w:r>
        <w:rPr>
          <w:rFonts w:hint="eastAsia"/>
          <w:color w:val="auto"/>
          <w:szCs w:val="21"/>
        </w:rPr>
        <w:t>我公司参加贵公司组织</w:t>
      </w:r>
      <w:r>
        <w:rPr>
          <w:rFonts w:hint="eastAsia"/>
          <w:color w:val="auto"/>
          <w:szCs w:val="21"/>
          <w:u w:val="single"/>
        </w:rPr>
        <w:t xml:space="preserve">                </w:t>
      </w:r>
      <w:r>
        <w:rPr>
          <w:rFonts w:hint="eastAsia"/>
          <w:color w:val="auto"/>
          <w:szCs w:val="21"/>
        </w:rPr>
        <w:t>项目的政府采购活动。我公司在此郑重声明，我公司参加本项目的政府采购活动前三年内在经营活动中没有因经营受到刑事处罚或者责令停产停业、吊销许可证或者执照、较大数额罚款等行政处罚的重大违法记录，符合《中华人民共和国政府采购法》及《中华人民共和国政府采购实施条例》规定的供应商条件，我公司对此声明负全部法律责任。</w:t>
      </w:r>
    </w:p>
    <w:p>
      <w:pPr>
        <w:spacing w:line="360" w:lineRule="auto"/>
        <w:ind w:firstLine="420" w:firstLineChars="200"/>
        <w:rPr>
          <w:rFonts w:hAnsi="宋体"/>
          <w:color w:val="auto"/>
          <w:szCs w:val="21"/>
        </w:rPr>
      </w:pPr>
      <w:r>
        <w:rPr>
          <w:rFonts w:hint="eastAsia"/>
          <w:color w:val="auto"/>
          <w:szCs w:val="21"/>
        </w:rPr>
        <w:t>特此承诺。</w:t>
      </w:r>
    </w:p>
    <w:p>
      <w:pPr>
        <w:spacing w:line="360" w:lineRule="auto"/>
        <w:ind w:firstLine="420" w:firstLineChars="200"/>
        <w:rPr>
          <w:rFonts w:asciiTheme="minorEastAsia" w:hAnsiTheme="minorEastAsia" w:eastAsiaTheme="minorEastAsia"/>
          <w:color w:val="auto"/>
          <w:szCs w:val="21"/>
        </w:rPr>
      </w:pPr>
    </w:p>
    <w:p>
      <w:pPr>
        <w:spacing w:line="360" w:lineRule="auto"/>
        <w:ind w:firstLine="420" w:firstLineChars="200"/>
        <w:rPr>
          <w:rFonts w:asciiTheme="minorEastAsia" w:hAnsiTheme="minorEastAsia" w:eastAsiaTheme="minorEastAsia"/>
          <w:color w:val="auto"/>
          <w:szCs w:val="21"/>
        </w:rPr>
      </w:pPr>
    </w:p>
    <w:p>
      <w:pPr>
        <w:pStyle w:val="28"/>
        <w:spacing w:line="360" w:lineRule="auto"/>
        <w:jc w:val="righ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供应商名称（公章）：</w:t>
      </w:r>
    </w:p>
    <w:p>
      <w:pPr>
        <w:pStyle w:val="28"/>
        <w:spacing w:line="360" w:lineRule="auto"/>
        <w:jc w:val="righ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法定代表人或法定代表人授权代表签字：</w:t>
      </w:r>
    </w:p>
    <w:p>
      <w:pPr>
        <w:pStyle w:val="28"/>
        <w:spacing w:line="360" w:lineRule="auto"/>
        <w:jc w:val="righ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日   期：</w:t>
      </w:r>
    </w:p>
    <w:p>
      <w:pPr>
        <w:pStyle w:val="28"/>
        <w:spacing w:line="360" w:lineRule="auto"/>
        <w:rPr>
          <w:rFonts w:asciiTheme="minorEastAsia" w:hAnsiTheme="minorEastAsia" w:eastAsiaTheme="minorEastAsia"/>
          <w:color w:val="auto"/>
          <w:szCs w:val="21"/>
        </w:rPr>
      </w:pPr>
    </w:p>
    <w:p>
      <w:pPr>
        <w:spacing w:line="360" w:lineRule="auto"/>
        <w:ind w:right="384" w:rightChars="183"/>
        <w:jc w:val="center"/>
        <w:rPr>
          <w:rFonts w:asciiTheme="minorEastAsia" w:hAnsiTheme="minorEastAsia" w:eastAsiaTheme="minorEastAsia"/>
          <w:b/>
          <w:color w:val="auto"/>
          <w:sz w:val="28"/>
          <w:szCs w:val="28"/>
        </w:rPr>
      </w:pPr>
    </w:p>
    <w:p>
      <w:pPr>
        <w:spacing w:line="360" w:lineRule="auto"/>
        <w:ind w:right="384" w:rightChars="183"/>
        <w:jc w:val="center"/>
        <w:rPr>
          <w:rFonts w:asciiTheme="minorEastAsia" w:hAnsiTheme="minorEastAsia" w:eastAsiaTheme="minorEastAsia"/>
          <w:b/>
          <w:color w:val="auto"/>
          <w:sz w:val="28"/>
          <w:szCs w:val="28"/>
        </w:rPr>
      </w:pPr>
    </w:p>
    <w:p>
      <w:pPr>
        <w:spacing w:line="360" w:lineRule="auto"/>
        <w:ind w:right="384" w:rightChars="183"/>
        <w:jc w:val="center"/>
        <w:rPr>
          <w:rFonts w:asciiTheme="minorEastAsia" w:hAnsiTheme="minorEastAsia" w:eastAsiaTheme="minorEastAsia"/>
          <w:b/>
          <w:color w:val="auto"/>
          <w:sz w:val="28"/>
          <w:szCs w:val="28"/>
        </w:rPr>
      </w:pPr>
    </w:p>
    <w:p>
      <w:pPr>
        <w:spacing w:line="360" w:lineRule="auto"/>
        <w:ind w:right="384" w:rightChars="183"/>
        <w:jc w:val="center"/>
        <w:rPr>
          <w:rFonts w:asciiTheme="minorEastAsia" w:hAnsiTheme="minorEastAsia" w:eastAsiaTheme="minorEastAsia"/>
          <w:b/>
          <w:color w:val="auto"/>
          <w:sz w:val="28"/>
          <w:szCs w:val="28"/>
        </w:rPr>
      </w:pPr>
    </w:p>
    <w:p>
      <w:pPr>
        <w:spacing w:line="360" w:lineRule="auto"/>
        <w:ind w:right="384" w:rightChars="183"/>
        <w:jc w:val="center"/>
        <w:rPr>
          <w:rFonts w:asciiTheme="minorEastAsia" w:hAnsiTheme="minorEastAsia" w:eastAsiaTheme="minorEastAsia"/>
          <w:b/>
          <w:color w:val="auto"/>
          <w:sz w:val="28"/>
          <w:szCs w:val="28"/>
        </w:rPr>
      </w:pPr>
    </w:p>
    <w:p>
      <w:pPr>
        <w:spacing w:line="360" w:lineRule="auto"/>
        <w:ind w:right="384" w:rightChars="183"/>
        <w:jc w:val="center"/>
        <w:rPr>
          <w:rFonts w:asciiTheme="minorEastAsia" w:hAnsiTheme="minorEastAsia" w:eastAsiaTheme="minorEastAsia"/>
          <w:b/>
          <w:color w:val="auto"/>
          <w:sz w:val="28"/>
          <w:szCs w:val="28"/>
        </w:rPr>
      </w:pPr>
    </w:p>
    <w:p>
      <w:pPr>
        <w:spacing w:line="360" w:lineRule="auto"/>
        <w:ind w:right="384" w:rightChars="183"/>
        <w:jc w:val="center"/>
        <w:rPr>
          <w:rFonts w:asciiTheme="minorEastAsia" w:hAnsiTheme="minorEastAsia" w:eastAsiaTheme="minorEastAsia"/>
          <w:b/>
          <w:color w:val="auto"/>
          <w:sz w:val="28"/>
          <w:szCs w:val="28"/>
        </w:rPr>
      </w:pPr>
    </w:p>
    <w:p>
      <w:pPr>
        <w:pStyle w:val="2"/>
      </w:pPr>
    </w:p>
    <w:p>
      <w:pPr>
        <w:spacing w:line="360" w:lineRule="auto"/>
        <w:ind w:right="384" w:rightChars="183"/>
        <w:jc w:val="left"/>
        <w:outlineLvl w:val="0"/>
        <w:rPr>
          <w:rFonts w:asciiTheme="minorEastAsia" w:hAnsiTheme="minorEastAsia" w:eastAsiaTheme="minorEastAsia"/>
          <w:b/>
          <w:color w:val="auto"/>
          <w:sz w:val="28"/>
          <w:szCs w:val="28"/>
        </w:rPr>
      </w:pPr>
      <w:bookmarkStart w:id="689" w:name="_Toc28502_WPSOffice_Level1"/>
      <w:bookmarkStart w:id="690" w:name="_Toc15265"/>
      <w:r>
        <w:rPr>
          <w:rFonts w:hint="eastAsia" w:asciiTheme="minorEastAsia" w:hAnsiTheme="minorEastAsia" w:eastAsiaTheme="minorEastAsia"/>
          <w:color w:val="auto"/>
          <w:szCs w:val="21"/>
        </w:rPr>
        <w:t>附件八：</w:t>
      </w:r>
      <w:bookmarkEnd w:id="689"/>
      <w:bookmarkEnd w:id="690"/>
    </w:p>
    <w:p>
      <w:pPr>
        <w:autoSpaceDE w:val="0"/>
        <w:autoSpaceDN w:val="0"/>
        <w:adjustRightInd w:val="0"/>
        <w:spacing w:line="360" w:lineRule="auto"/>
        <w:ind w:right="384" w:rightChars="183" w:firstLine="562" w:firstLineChars="200"/>
        <w:jc w:val="center"/>
        <w:rPr>
          <w:rFonts w:cs="Arial" w:asciiTheme="minorEastAsia" w:hAnsiTheme="minorEastAsia" w:eastAsiaTheme="minorEastAsia"/>
          <w:b/>
          <w:color w:val="auto"/>
          <w:sz w:val="28"/>
        </w:rPr>
      </w:pPr>
      <w:r>
        <w:rPr>
          <w:rFonts w:cs="Arial" w:asciiTheme="minorEastAsia" w:hAnsiTheme="minorEastAsia" w:eastAsiaTheme="minorEastAsia"/>
          <w:b/>
          <w:color w:val="auto"/>
          <w:sz w:val="28"/>
        </w:rPr>
        <w:t>农民工工资保证金的交纳与使用承诺书</w:t>
      </w:r>
    </w:p>
    <w:p>
      <w:pPr>
        <w:ind w:right="384" w:rightChars="183"/>
        <w:rPr>
          <w:rFonts w:cs="Arial" w:asciiTheme="minorEastAsia" w:hAnsiTheme="minorEastAsia" w:eastAsiaTheme="minorEastAsia"/>
          <w:color w:val="auto"/>
          <w:sz w:val="28"/>
        </w:rPr>
      </w:pPr>
    </w:p>
    <w:p>
      <w:pPr>
        <w:ind w:right="384" w:rightChars="183" w:firstLine="1260" w:firstLineChars="450"/>
        <w:rPr>
          <w:rFonts w:cs="Arial" w:asciiTheme="minorEastAsia" w:hAnsiTheme="minorEastAsia" w:eastAsiaTheme="minorEastAsia"/>
          <w:color w:val="auto"/>
          <w:sz w:val="28"/>
        </w:rPr>
      </w:pPr>
    </w:p>
    <w:p>
      <w:pPr>
        <w:spacing w:line="360" w:lineRule="auto"/>
        <w:ind w:right="384" w:rightChars="183"/>
        <w:rPr>
          <w:rFonts w:cs="Arial" w:asciiTheme="minorEastAsia" w:hAnsiTheme="minorEastAsia" w:eastAsiaTheme="minorEastAsia"/>
          <w:b/>
          <w:color w:val="auto"/>
          <w:szCs w:val="21"/>
          <w:u w:val="single"/>
        </w:rPr>
      </w:pPr>
      <w:r>
        <w:rPr>
          <w:rFonts w:cs="Arial" w:asciiTheme="minorEastAsia" w:hAnsiTheme="minorEastAsia" w:eastAsiaTheme="minorEastAsia"/>
          <w:color w:val="auto"/>
          <w:szCs w:val="21"/>
        </w:rPr>
        <w:t>致：</w:t>
      </w:r>
      <w:r>
        <w:rPr>
          <w:rFonts w:cs="Arial" w:asciiTheme="minorEastAsia" w:hAnsiTheme="minorEastAsia" w:eastAsiaTheme="minorEastAsia"/>
          <w:color w:val="auto"/>
          <w:szCs w:val="21"/>
          <w:u w:val="single"/>
        </w:rPr>
        <w:t>（采购人名称）</w:t>
      </w:r>
    </w:p>
    <w:p>
      <w:pPr>
        <w:spacing w:line="360" w:lineRule="auto"/>
        <w:ind w:right="384" w:rightChars="183" w:firstLine="420" w:firstLineChars="200"/>
        <w:rPr>
          <w:rFonts w:cs="Arial" w:asciiTheme="minorEastAsia" w:hAnsiTheme="minorEastAsia" w:eastAsiaTheme="minorEastAsia"/>
          <w:color w:val="auto"/>
          <w:szCs w:val="21"/>
        </w:rPr>
      </w:pPr>
      <w:r>
        <w:rPr>
          <w:rFonts w:cs="Arial" w:asciiTheme="minorEastAsia" w:hAnsiTheme="minorEastAsia" w:eastAsiaTheme="minorEastAsia"/>
          <w:color w:val="auto"/>
          <w:szCs w:val="21"/>
        </w:rPr>
        <w:t>一、我方对农民工工资保证金的交纳与使用作出以下承诺：</w:t>
      </w:r>
    </w:p>
    <w:p>
      <w:pPr>
        <w:adjustRightInd w:val="0"/>
        <w:spacing w:line="360" w:lineRule="auto"/>
        <w:ind w:right="384" w:rightChars="183" w:firstLine="420" w:firstLineChars="200"/>
        <w:jc w:val="left"/>
        <w:textAlignment w:val="baseline"/>
        <w:rPr>
          <w:rFonts w:cs="Arial" w:asciiTheme="minorEastAsia" w:hAnsiTheme="minorEastAsia" w:eastAsiaTheme="minorEastAsia"/>
          <w:color w:val="auto"/>
          <w:kern w:val="0"/>
          <w:szCs w:val="21"/>
        </w:rPr>
      </w:pPr>
      <w:r>
        <w:rPr>
          <w:rFonts w:cs="Arial" w:asciiTheme="minorEastAsia" w:hAnsiTheme="minorEastAsia" w:eastAsiaTheme="minorEastAsia"/>
          <w:color w:val="auto"/>
          <w:kern w:val="0"/>
          <w:szCs w:val="21"/>
        </w:rPr>
        <w:t>1、</w:t>
      </w:r>
      <w:r>
        <w:rPr>
          <w:rFonts w:cs="Arial" w:asciiTheme="minorEastAsia" w:hAnsiTheme="minorEastAsia" w:eastAsiaTheme="minorEastAsia"/>
          <w:color w:val="auto"/>
          <w:szCs w:val="21"/>
        </w:rPr>
        <w:t>一旦我方在</w:t>
      </w:r>
      <w:r>
        <w:rPr>
          <w:rFonts w:hint="eastAsia" w:cs="Arial" w:asciiTheme="minorEastAsia" w:hAnsiTheme="minorEastAsia" w:eastAsiaTheme="minorEastAsia"/>
          <w:color w:val="auto"/>
          <w:szCs w:val="21"/>
          <w:u w:val="single"/>
          <w:lang w:val="en-US" w:eastAsia="zh-CN"/>
        </w:rPr>
        <w:t xml:space="preserve">   </w:t>
      </w:r>
      <w:r>
        <w:rPr>
          <w:rFonts w:cs="Arial" w:asciiTheme="minorEastAsia" w:hAnsiTheme="minorEastAsia" w:eastAsiaTheme="minorEastAsia"/>
          <w:color w:val="auto"/>
          <w:szCs w:val="21"/>
          <w:u w:val="single"/>
        </w:rPr>
        <w:t>（工程项目名称）</w:t>
      </w:r>
      <w:r>
        <w:rPr>
          <w:rFonts w:hint="eastAsia" w:cs="Arial" w:asciiTheme="minorEastAsia" w:hAnsiTheme="minorEastAsia" w:eastAsiaTheme="minorEastAsia"/>
          <w:color w:val="auto"/>
          <w:szCs w:val="21"/>
          <w:u w:val="single"/>
          <w:lang w:val="en-US" w:eastAsia="zh-CN"/>
        </w:rPr>
        <w:t xml:space="preserve">    </w:t>
      </w:r>
      <w:r>
        <w:rPr>
          <w:rFonts w:cs="Arial" w:asciiTheme="minorEastAsia" w:hAnsiTheme="minorEastAsia" w:eastAsiaTheme="minorEastAsia"/>
          <w:color w:val="auto"/>
          <w:szCs w:val="21"/>
        </w:rPr>
        <w:t>成交，</w:t>
      </w:r>
      <w:r>
        <w:rPr>
          <w:rFonts w:cs="Arial" w:asciiTheme="minorEastAsia" w:hAnsiTheme="minorEastAsia" w:eastAsiaTheme="minorEastAsia"/>
          <w:color w:val="auto"/>
          <w:kern w:val="0"/>
          <w:szCs w:val="21"/>
        </w:rPr>
        <w:t>在收到成交通知书后7个工作日内，按照相关规定将农民工工资保证金足额存入</w:t>
      </w:r>
      <w:r>
        <w:rPr>
          <w:rFonts w:hint="eastAsia" w:cs="Arial" w:asciiTheme="minorEastAsia" w:hAnsiTheme="minorEastAsia" w:eastAsiaTheme="minorEastAsia"/>
          <w:color w:val="auto"/>
          <w:kern w:val="0"/>
          <w:szCs w:val="21"/>
        </w:rPr>
        <w:t>建设</w:t>
      </w:r>
      <w:r>
        <w:rPr>
          <w:rFonts w:cs="Arial" w:asciiTheme="minorEastAsia" w:hAnsiTheme="minorEastAsia" w:eastAsiaTheme="minorEastAsia"/>
          <w:color w:val="auto"/>
          <w:kern w:val="0"/>
          <w:szCs w:val="21"/>
        </w:rPr>
        <w:t>部门指定的账户。</w:t>
      </w:r>
    </w:p>
    <w:p>
      <w:pPr>
        <w:adjustRightInd w:val="0"/>
        <w:spacing w:line="360" w:lineRule="auto"/>
        <w:ind w:right="384" w:rightChars="183" w:firstLine="420" w:firstLineChars="200"/>
        <w:jc w:val="left"/>
        <w:textAlignment w:val="baseline"/>
        <w:rPr>
          <w:rFonts w:cs="Arial" w:asciiTheme="minorEastAsia" w:hAnsiTheme="minorEastAsia" w:eastAsiaTheme="minorEastAsia"/>
          <w:color w:val="auto"/>
          <w:kern w:val="0"/>
          <w:szCs w:val="21"/>
        </w:rPr>
      </w:pPr>
      <w:r>
        <w:rPr>
          <w:rFonts w:cs="Arial" w:asciiTheme="minorEastAsia" w:hAnsiTheme="minorEastAsia" w:eastAsiaTheme="minorEastAsia"/>
          <w:color w:val="auto"/>
          <w:kern w:val="0"/>
          <w:szCs w:val="21"/>
        </w:rPr>
        <w:t>2、一旦承包的建设工程项目中出项拖欠农民工工资情况的，由有关部门按规定在成交企业的农民工工资保证金中先予支取。</w:t>
      </w:r>
    </w:p>
    <w:p>
      <w:pPr>
        <w:spacing w:line="360" w:lineRule="auto"/>
        <w:ind w:right="384" w:rightChars="183" w:firstLine="420" w:firstLineChars="200"/>
        <w:rPr>
          <w:rFonts w:cs="Arial" w:asciiTheme="minorEastAsia" w:hAnsiTheme="minorEastAsia" w:eastAsiaTheme="minorEastAsia"/>
          <w:color w:val="auto"/>
          <w:szCs w:val="21"/>
        </w:rPr>
      </w:pPr>
      <w:r>
        <w:rPr>
          <w:rFonts w:cs="Arial" w:asciiTheme="minorEastAsia" w:hAnsiTheme="minorEastAsia" w:eastAsiaTheme="minorEastAsia"/>
          <w:color w:val="auto"/>
          <w:szCs w:val="21"/>
        </w:rPr>
        <w:t>3、我方在成交后如不按时足额存入农民工工资保证金的，采购人有权取消我方成交资格。</w:t>
      </w:r>
    </w:p>
    <w:p>
      <w:pPr>
        <w:spacing w:line="360" w:lineRule="auto"/>
        <w:ind w:right="384" w:rightChars="183" w:firstLine="495"/>
        <w:rPr>
          <w:rFonts w:cs="Arial" w:asciiTheme="minorEastAsia" w:hAnsiTheme="minorEastAsia" w:eastAsiaTheme="minorEastAsia"/>
          <w:color w:val="auto"/>
          <w:szCs w:val="21"/>
        </w:rPr>
      </w:pPr>
      <w:r>
        <w:rPr>
          <w:rFonts w:cs="Arial" w:asciiTheme="minorEastAsia" w:hAnsiTheme="minorEastAsia" w:eastAsiaTheme="minorEastAsia"/>
          <w:color w:val="auto"/>
          <w:szCs w:val="21"/>
        </w:rPr>
        <w:t>二、工资支付情况：</w:t>
      </w:r>
    </w:p>
    <w:p>
      <w:pPr>
        <w:spacing w:line="360" w:lineRule="auto"/>
        <w:ind w:right="384" w:rightChars="183" w:firstLine="495"/>
        <w:rPr>
          <w:rFonts w:cs="Arial" w:asciiTheme="minorEastAsia" w:hAnsiTheme="minorEastAsia" w:eastAsiaTheme="minorEastAsia"/>
          <w:color w:val="auto"/>
          <w:szCs w:val="21"/>
        </w:rPr>
      </w:pPr>
      <w:r>
        <w:rPr>
          <w:rFonts w:cs="Arial" w:asciiTheme="minorEastAsia" w:hAnsiTheme="minorEastAsia" w:eastAsiaTheme="minorEastAsia"/>
          <w:color w:val="auto"/>
          <w:szCs w:val="21"/>
        </w:rPr>
        <w:t>根据《广西壮族自治区劳动和社会保障厅建设厅关于进一步完善建筑行业农民工工资保证金制度的通知》(桂劳社发[2009]50号)的规定，磋商供应商必须如实反映以前所承建工程中工资支付情况，须特别注明截止磋商之日止是否存在拖欠或克扣农民工工资的行为。否则响应文件按废标处理。</w:t>
      </w:r>
    </w:p>
    <w:p>
      <w:pPr>
        <w:spacing w:line="360" w:lineRule="auto"/>
        <w:ind w:right="384" w:rightChars="183" w:firstLine="495"/>
        <w:rPr>
          <w:rFonts w:cs="Arial" w:asciiTheme="minorEastAsia" w:hAnsiTheme="minorEastAsia" w:eastAsiaTheme="minorEastAsia"/>
          <w:color w:val="auto"/>
          <w:szCs w:val="21"/>
        </w:rPr>
      </w:pPr>
    </w:p>
    <w:p>
      <w:pPr>
        <w:spacing w:line="480" w:lineRule="auto"/>
        <w:ind w:right="384" w:rightChars="183"/>
        <w:rPr>
          <w:rFonts w:cs="Arial" w:asciiTheme="minorEastAsia" w:hAnsiTheme="minorEastAsia" w:eastAsiaTheme="minorEastAsia"/>
          <w:color w:val="auto"/>
          <w:szCs w:val="21"/>
        </w:rPr>
      </w:pPr>
    </w:p>
    <w:p>
      <w:pPr>
        <w:spacing w:line="360" w:lineRule="auto"/>
        <w:ind w:right="384" w:rightChars="183" w:firstLine="3255" w:firstLineChars="1550"/>
        <w:rPr>
          <w:rFonts w:cs="Arial" w:asciiTheme="minorEastAsia" w:hAnsiTheme="minorEastAsia" w:eastAsiaTheme="minorEastAsia"/>
          <w:color w:val="auto"/>
          <w:szCs w:val="21"/>
          <w:u w:val="single"/>
        </w:rPr>
      </w:pPr>
      <w:r>
        <w:rPr>
          <w:rFonts w:hint="eastAsia" w:cs="Arial" w:asciiTheme="minorEastAsia" w:hAnsiTheme="minorEastAsia" w:eastAsiaTheme="minorEastAsia"/>
          <w:color w:val="auto"/>
          <w:szCs w:val="21"/>
        </w:rPr>
        <w:t>磋商供应商</w:t>
      </w:r>
      <w:r>
        <w:rPr>
          <w:rFonts w:hint="eastAsia" w:asciiTheme="minorEastAsia" w:hAnsiTheme="minorEastAsia" w:eastAsiaTheme="minorEastAsia"/>
          <w:color w:val="auto"/>
          <w:szCs w:val="21"/>
        </w:rPr>
        <w:t>（公章）</w:t>
      </w:r>
      <w:r>
        <w:rPr>
          <w:rFonts w:hint="eastAsia" w:cs="Arial" w:asciiTheme="minorEastAsia" w:hAnsiTheme="minorEastAsia" w:eastAsiaTheme="minorEastAsia"/>
          <w:color w:val="auto"/>
          <w:szCs w:val="21"/>
        </w:rPr>
        <w:t>：</w:t>
      </w:r>
    </w:p>
    <w:p>
      <w:pPr>
        <w:spacing w:line="360" w:lineRule="auto"/>
        <w:ind w:right="384" w:rightChars="183" w:firstLine="3255" w:firstLineChars="1550"/>
        <w:rPr>
          <w:rFonts w:cs="Arial" w:asciiTheme="minorEastAsia" w:hAnsiTheme="minorEastAsia" w:eastAsiaTheme="minorEastAsia"/>
          <w:color w:val="auto"/>
          <w:szCs w:val="21"/>
          <w:u w:val="single"/>
        </w:rPr>
      </w:pPr>
      <w:r>
        <w:rPr>
          <w:rFonts w:hint="eastAsia" w:cs="Arial" w:asciiTheme="minorEastAsia" w:hAnsiTheme="minorEastAsia" w:eastAsiaTheme="minorEastAsia"/>
          <w:color w:val="auto"/>
          <w:szCs w:val="21"/>
        </w:rPr>
        <w:t>法定代表</w:t>
      </w:r>
      <w:r>
        <w:rPr>
          <w:rFonts w:hint="eastAsia" w:asciiTheme="minorEastAsia" w:hAnsiTheme="minorEastAsia" w:eastAsiaTheme="minorEastAsia"/>
          <w:color w:val="auto"/>
          <w:szCs w:val="21"/>
        </w:rPr>
        <w:t>人或委托代理人（签字或盖章）：</w:t>
      </w:r>
    </w:p>
    <w:p>
      <w:pPr>
        <w:spacing w:line="360" w:lineRule="auto"/>
        <w:ind w:right="384" w:rightChars="183" w:firstLine="3255" w:firstLineChars="1550"/>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日  期：年月日</w:t>
      </w:r>
    </w:p>
    <w:p>
      <w:pPr>
        <w:spacing w:line="360" w:lineRule="auto"/>
        <w:ind w:right="384" w:rightChars="183"/>
        <w:rPr>
          <w:rFonts w:asciiTheme="minorEastAsia" w:hAnsiTheme="minorEastAsia" w:eastAsiaTheme="minorEastAsia"/>
          <w:b/>
          <w:bCs/>
          <w:color w:val="auto"/>
          <w:szCs w:val="21"/>
        </w:rPr>
      </w:pPr>
    </w:p>
    <w:p>
      <w:pPr>
        <w:spacing w:line="360" w:lineRule="auto"/>
        <w:ind w:right="384" w:rightChars="183"/>
        <w:jc w:val="center"/>
        <w:rPr>
          <w:rFonts w:asciiTheme="minorEastAsia" w:hAnsiTheme="minorEastAsia" w:eastAsiaTheme="minorEastAsia"/>
          <w:b/>
          <w:color w:val="auto"/>
          <w:sz w:val="28"/>
          <w:szCs w:val="28"/>
        </w:rPr>
      </w:pPr>
    </w:p>
    <w:p>
      <w:pPr>
        <w:spacing w:line="360" w:lineRule="auto"/>
        <w:ind w:right="384" w:rightChars="183"/>
        <w:jc w:val="center"/>
        <w:rPr>
          <w:rFonts w:asciiTheme="minorEastAsia" w:hAnsiTheme="minorEastAsia" w:eastAsiaTheme="minorEastAsia"/>
          <w:b/>
          <w:color w:val="auto"/>
          <w:sz w:val="28"/>
          <w:szCs w:val="28"/>
        </w:rPr>
      </w:pPr>
    </w:p>
    <w:p>
      <w:pPr>
        <w:spacing w:line="360" w:lineRule="auto"/>
        <w:ind w:right="384" w:rightChars="183"/>
        <w:jc w:val="left"/>
        <w:rPr>
          <w:rFonts w:hint="eastAsia" w:asciiTheme="minorEastAsia" w:hAnsiTheme="minorEastAsia" w:eastAsiaTheme="minorEastAsia"/>
          <w:color w:val="auto"/>
          <w:szCs w:val="21"/>
        </w:rPr>
      </w:pPr>
    </w:p>
    <w:p>
      <w:pPr>
        <w:pStyle w:val="14"/>
        <w:rPr>
          <w:rFonts w:hint="eastAsia"/>
        </w:rPr>
      </w:pPr>
    </w:p>
    <w:p>
      <w:pPr>
        <w:spacing w:line="360" w:lineRule="auto"/>
        <w:ind w:right="384" w:rightChars="183"/>
        <w:jc w:val="left"/>
        <w:outlineLvl w:val="0"/>
        <w:rPr>
          <w:rFonts w:asciiTheme="minorEastAsia" w:hAnsiTheme="minorEastAsia" w:eastAsiaTheme="minorEastAsia"/>
          <w:color w:val="auto"/>
          <w:szCs w:val="21"/>
        </w:rPr>
      </w:pPr>
      <w:bookmarkStart w:id="691" w:name="_Toc12424_WPSOffice_Level1"/>
      <w:bookmarkStart w:id="692" w:name="_Toc28210"/>
      <w:r>
        <w:rPr>
          <w:rFonts w:hint="eastAsia" w:asciiTheme="minorEastAsia" w:hAnsiTheme="minorEastAsia" w:eastAsiaTheme="minorEastAsia"/>
          <w:color w:val="auto"/>
          <w:szCs w:val="21"/>
        </w:rPr>
        <w:t>附件九：</w:t>
      </w:r>
      <w:bookmarkEnd w:id="691"/>
      <w:bookmarkEnd w:id="692"/>
    </w:p>
    <w:p>
      <w:pPr>
        <w:spacing w:line="360" w:lineRule="auto"/>
        <w:ind w:right="384" w:rightChars="183"/>
        <w:jc w:val="center"/>
        <w:rPr>
          <w:rFonts w:asciiTheme="minorEastAsia" w:hAnsiTheme="minorEastAsia" w:eastAsiaTheme="minorEastAsia"/>
          <w:color w:val="auto"/>
          <w:szCs w:val="21"/>
        </w:rPr>
      </w:pPr>
      <w:r>
        <w:rPr>
          <w:rFonts w:hint="eastAsia" w:asciiTheme="minorEastAsia" w:hAnsiTheme="minorEastAsia" w:eastAsiaTheme="minorEastAsia"/>
          <w:b/>
          <w:color w:val="auto"/>
          <w:sz w:val="28"/>
          <w:szCs w:val="28"/>
        </w:rPr>
        <w:t>建设工程项目管理承诺书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致（采购人名称）：</w:t>
      </w:r>
    </w:p>
    <w:p>
      <w:pPr>
        <w:keepNext w:val="0"/>
        <w:keepLines w:val="0"/>
        <w:pageBreakBefore w:val="0"/>
        <w:widowControl w:val="0"/>
        <w:kinsoku/>
        <w:wordWrap/>
        <w:overflowPunct/>
        <w:topLinePunct w:val="0"/>
        <w:autoSpaceDE/>
        <w:autoSpaceDN/>
        <w:bidi w:val="0"/>
        <w:adjustRightInd/>
        <w:snapToGrid/>
        <w:spacing w:line="500" w:lineRule="exact"/>
        <w:ind w:left="-10" w:firstLine="455" w:firstLineChars="217"/>
        <w:jc w:val="left"/>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作为参与（</w:t>
      </w:r>
      <w:r>
        <w:rPr>
          <w:rFonts w:hint="eastAsia" w:asciiTheme="minorEastAsia" w:hAnsiTheme="minorEastAsia" w:eastAsiaTheme="minorEastAsia"/>
          <w:color w:val="auto"/>
          <w:highlight w:val="none"/>
          <w:lang w:val="en-US" w:eastAsia="zh-CN"/>
        </w:rPr>
        <w:t>项目</w:t>
      </w:r>
      <w:r>
        <w:rPr>
          <w:rFonts w:hint="eastAsia" w:asciiTheme="minorEastAsia" w:hAnsiTheme="minorEastAsia" w:eastAsiaTheme="minorEastAsia"/>
          <w:color w:val="auto"/>
          <w:highlight w:val="none"/>
        </w:rPr>
        <w:t>名称）</w:t>
      </w:r>
      <w:r>
        <w:rPr>
          <w:rFonts w:hint="eastAsia" w:asciiTheme="minorEastAsia" w:hAnsiTheme="minorEastAsia" w:eastAsiaTheme="minorEastAsia"/>
          <w:color w:val="auto"/>
          <w:highlight w:val="none"/>
          <w:u w:val="single"/>
          <w:lang w:val="en-US" w:eastAsia="zh-CN"/>
        </w:rPr>
        <w:t xml:space="preserve">        </w:t>
      </w:r>
      <w:r>
        <w:rPr>
          <w:rFonts w:hint="eastAsia" w:asciiTheme="minorEastAsia" w:hAnsiTheme="minorEastAsia" w:eastAsiaTheme="minorEastAsia"/>
          <w:color w:val="auto"/>
          <w:highlight w:val="none"/>
        </w:rPr>
        <w:t>项目的磋商方，根据国家、自治区相关文件规定，我方在此向采购人承诺：</w:t>
      </w:r>
    </w:p>
    <w:p>
      <w:pPr>
        <w:keepNext w:val="0"/>
        <w:keepLines w:val="0"/>
        <w:pageBreakBefore w:val="0"/>
        <w:widowControl w:val="0"/>
        <w:kinsoku/>
        <w:wordWrap/>
        <w:overflowPunct/>
        <w:topLinePunct w:val="0"/>
        <w:autoSpaceDE/>
        <w:autoSpaceDN/>
        <w:bidi w:val="0"/>
        <w:adjustRightInd/>
        <w:snapToGrid/>
        <w:spacing w:line="500" w:lineRule="exact"/>
        <w:ind w:left="-10" w:firstLine="455" w:firstLineChars="217"/>
        <w:jc w:val="left"/>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、一旦成交，我方保证按照政府相关部门的规定，在发出成交通知书之日起</w:t>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rFonts w:asciiTheme="minorEastAsia" w:hAnsiTheme="minorEastAsia" w:eastAsiaTheme="minorEastAsia"/>
          <w:color w:val="auto"/>
          <w:highlight w:val="none"/>
        </w:rPr>
        <w:t>2009</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50</w:t>
      </w:r>
      <w:r>
        <w:rPr>
          <w:rFonts w:hint="eastAsia" w:asciiTheme="minorEastAsia" w:hAnsiTheme="minorEastAsia" w:eastAsiaTheme="minorEastAsia"/>
          <w:color w:val="auto"/>
          <w:highlight w:val="none"/>
        </w:rPr>
        <w:t>号）从我方农民工工资保障金中先予划支。</w:t>
      </w:r>
    </w:p>
    <w:p>
      <w:pPr>
        <w:keepNext w:val="0"/>
        <w:keepLines w:val="0"/>
        <w:pageBreakBefore w:val="0"/>
        <w:widowControl w:val="0"/>
        <w:kinsoku/>
        <w:wordWrap/>
        <w:overflowPunct/>
        <w:topLinePunct w:val="0"/>
        <w:autoSpaceDE/>
        <w:autoSpaceDN/>
        <w:bidi w:val="0"/>
        <w:adjustRightInd/>
        <w:snapToGrid/>
        <w:spacing w:line="500" w:lineRule="exact"/>
        <w:ind w:left="-10" w:firstLine="455" w:firstLineChars="217"/>
        <w:jc w:val="left"/>
        <w:textAlignment w:val="auto"/>
        <w:rPr>
          <w:rFonts w:hint="eastAsia" w:asciiTheme="minorEastAsia" w:hAnsiTheme="minorEastAsia" w:eastAsiaTheme="minorEastAsia"/>
          <w:color w:val="auto"/>
          <w:szCs w:val="22"/>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、一旦成交，</w:t>
      </w:r>
      <w:r>
        <w:rPr>
          <w:rFonts w:hint="eastAsia" w:asciiTheme="minorEastAsia" w:hAnsiTheme="minorEastAsia" w:eastAsiaTheme="minorEastAsia"/>
          <w:color w:val="auto"/>
          <w:szCs w:val="22"/>
          <w:highlight w:val="none"/>
        </w:rPr>
        <w:t>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keepNext w:val="0"/>
        <w:keepLines w:val="0"/>
        <w:pageBreakBefore w:val="0"/>
        <w:widowControl w:val="0"/>
        <w:kinsoku/>
        <w:wordWrap/>
        <w:overflowPunct/>
        <w:topLinePunct w:val="0"/>
        <w:autoSpaceDE/>
        <w:autoSpaceDN/>
        <w:bidi w:val="0"/>
        <w:adjustRightInd/>
        <w:snapToGrid/>
        <w:spacing w:line="500" w:lineRule="exact"/>
        <w:ind w:left="-10" w:firstLine="455" w:firstLineChars="217"/>
        <w:jc w:val="left"/>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szCs w:val="22"/>
          <w:highlight w:val="none"/>
        </w:rPr>
        <w:t>3、一旦成交，我方保证在施工过程中，严格执行散装水泥和预拌混凝土管理的有关规定，确保</w:t>
      </w:r>
      <w:r>
        <w:rPr>
          <w:rFonts w:hint="eastAsia" w:asciiTheme="minorEastAsia" w:hAnsiTheme="minorEastAsia" w:eastAsiaTheme="minorEastAsia"/>
          <w:color w:val="auto"/>
          <w:highlight w:val="none"/>
        </w:rPr>
        <w:t>建设工程按规定使用散装水泥和预拌混凝土。如我方在该项目的承包中出现未按规定执行的情形，我方愿意按照相关规定接受建设单位及有关主管部门的处罚。</w:t>
      </w:r>
    </w:p>
    <w:p>
      <w:pPr>
        <w:keepNext w:val="0"/>
        <w:keepLines w:val="0"/>
        <w:pageBreakBefore w:val="0"/>
        <w:widowControl w:val="0"/>
        <w:kinsoku/>
        <w:wordWrap/>
        <w:overflowPunct/>
        <w:topLinePunct w:val="0"/>
        <w:autoSpaceDE/>
        <w:autoSpaceDN/>
        <w:bidi w:val="0"/>
        <w:adjustRightInd/>
        <w:snapToGrid/>
        <w:spacing w:line="500" w:lineRule="exact"/>
        <w:ind w:left="-10" w:firstLine="455" w:firstLineChars="217"/>
        <w:jc w:val="left"/>
        <w:textAlignment w:val="auto"/>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、一旦成交，我方保证在施工过程中，严格执行《关于禁止使用不符合规范要求的竹脚手架的通知》（桂建管字〔</w:t>
      </w:r>
      <w:r>
        <w:rPr>
          <w:rFonts w:asciiTheme="minorEastAsia" w:hAnsiTheme="minorEastAsia" w:eastAsiaTheme="minorEastAsia"/>
          <w:color w:val="auto"/>
          <w:highlight w:val="none"/>
        </w:rPr>
        <w:t>2003</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40</w:t>
      </w:r>
      <w:r>
        <w:rPr>
          <w:rFonts w:hint="eastAsia" w:asciiTheme="minorEastAsia" w:hAnsiTheme="minorEastAsia" w:eastAsiaTheme="minorEastAsia"/>
          <w:color w:val="auto"/>
          <w:highlight w:val="none"/>
        </w:rPr>
        <w:t>号）的有关规定，不使用竹脚手架。如我方在该项目的承包中出现未按规定执行的情形，我方愿意按照相关规定接受建设单位及有关主管部门的处罚。</w:t>
      </w:r>
    </w:p>
    <w:p>
      <w:pPr>
        <w:keepNext w:val="0"/>
        <w:keepLines w:val="0"/>
        <w:pageBreakBefore w:val="0"/>
        <w:widowControl w:val="0"/>
        <w:kinsoku/>
        <w:wordWrap/>
        <w:overflowPunct/>
        <w:topLinePunct w:val="0"/>
        <w:autoSpaceDE/>
        <w:autoSpaceDN/>
        <w:bidi w:val="0"/>
        <w:adjustRightInd/>
        <w:snapToGrid/>
        <w:spacing w:line="500" w:lineRule="exact"/>
        <w:ind w:left="-10" w:firstLine="455" w:firstLineChars="217"/>
        <w:jc w:val="left"/>
        <w:textAlignment w:val="auto"/>
        <w:rPr>
          <w:rFonts w:hint="eastAsia"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2"/>
          <w:highlight w:val="none"/>
        </w:rPr>
        <w:t>5、一旦成交，我方保证严格执行《危险性较大的分部分项工程安全管理规定》（中华人民共和国住房和城乡建设部令第37号）、《广西壮族自治区建筑工程安全生产管理办法》（广西壮族自治区人民政府令 第124号）的规定</w:t>
      </w:r>
      <w:r>
        <w:rPr>
          <w:rFonts w:hint="eastAsia" w:cs="Times New Roman" w:asciiTheme="minorEastAsia" w:hAnsiTheme="minorEastAsia" w:eastAsiaTheme="minorEastAsia"/>
          <w:color w:val="auto"/>
          <w:szCs w:val="22"/>
          <w:highlight w:val="none"/>
          <w:lang w:eastAsia="zh-CN"/>
        </w:rPr>
        <w:t>；</w:t>
      </w:r>
      <w:r>
        <w:rPr>
          <w:rFonts w:hint="eastAsia" w:asciiTheme="minorEastAsia" w:hAnsiTheme="minorEastAsia" w:eastAsiaTheme="minorEastAsia"/>
          <w:color w:val="auto"/>
          <w:szCs w:val="21"/>
          <w:highlight w:val="none"/>
        </w:rPr>
        <w:t>强化对深基坑、高切坡、高大模板、人工挖孔桩、起重吊装、临时活动板房等重大危险源的专项施工方案的编制、论证、审批、实施、检测的风险管理。</w:t>
      </w:r>
    </w:p>
    <w:p>
      <w:pPr>
        <w:pStyle w:val="14"/>
      </w:pPr>
    </w:p>
    <w:p>
      <w:pPr>
        <w:keepNext w:val="0"/>
        <w:keepLines w:val="0"/>
        <w:pageBreakBefore w:val="0"/>
        <w:widowControl w:val="0"/>
        <w:kinsoku/>
        <w:wordWrap/>
        <w:overflowPunct/>
        <w:topLinePunct w:val="0"/>
        <w:autoSpaceDE/>
        <w:autoSpaceDN/>
        <w:bidi w:val="0"/>
        <w:adjustRightInd/>
        <w:snapToGrid/>
        <w:spacing w:line="500" w:lineRule="exact"/>
        <w:ind w:right="384" w:rightChars="183" w:firstLine="3255" w:firstLineChars="1550"/>
        <w:jc w:val="right"/>
        <w:textAlignment w:val="auto"/>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磋商供应商</w:t>
      </w:r>
      <w:r>
        <w:rPr>
          <w:rFonts w:hint="eastAsia" w:asciiTheme="minorEastAsia" w:hAnsiTheme="minorEastAsia" w:eastAsiaTheme="minorEastAsia"/>
          <w:color w:val="auto"/>
          <w:szCs w:val="21"/>
          <w:highlight w:val="none"/>
        </w:rPr>
        <w:t>（公章）</w:t>
      </w:r>
      <w:r>
        <w:rPr>
          <w:rFonts w:hint="eastAsia" w:cs="Arial"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right="384" w:rightChars="183" w:firstLine="3255" w:firstLineChars="1550"/>
        <w:jc w:val="right"/>
        <w:textAlignment w:val="auto"/>
        <w:rPr>
          <w:rFonts w:cs="Arial" w:asciiTheme="minorEastAsia" w:hAnsiTheme="minorEastAsia" w:eastAsiaTheme="minorEastAsia"/>
          <w:color w:val="auto"/>
          <w:szCs w:val="21"/>
          <w:highlight w:val="none"/>
          <w:u w:val="single"/>
        </w:rPr>
      </w:pPr>
      <w:r>
        <w:rPr>
          <w:rFonts w:hint="eastAsia" w:cs="Arial" w:asciiTheme="minorEastAsia" w:hAnsiTheme="minorEastAsia" w:eastAsiaTheme="minorEastAsia"/>
          <w:color w:val="auto"/>
          <w:szCs w:val="21"/>
          <w:highlight w:val="none"/>
        </w:rPr>
        <w:t>法定代表</w:t>
      </w:r>
      <w:r>
        <w:rPr>
          <w:rFonts w:hint="eastAsia" w:asciiTheme="minorEastAsia" w:hAnsiTheme="minorEastAsia" w:eastAsiaTheme="minorEastAsia"/>
          <w:color w:val="auto"/>
          <w:szCs w:val="21"/>
          <w:highlight w:val="none"/>
        </w:rPr>
        <w:t>人或委托代理人（签字或盖章）：</w:t>
      </w:r>
    </w:p>
    <w:p>
      <w:pPr>
        <w:spacing w:line="360" w:lineRule="auto"/>
        <w:ind w:right="384" w:rightChars="183" w:firstLine="3255" w:firstLineChars="1550"/>
        <w:jc w:val="right"/>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日  期：</w:t>
      </w:r>
      <w:r>
        <w:rPr>
          <w:rFonts w:hint="eastAsia" w:cs="Arial" w:asciiTheme="minorEastAsia" w:hAnsiTheme="minorEastAsia" w:eastAsiaTheme="minorEastAsia"/>
          <w:color w:val="auto"/>
          <w:szCs w:val="21"/>
          <w:highlight w:val="none"/>
          <w:lang w:val="en-US" w:eastAsia="zh-CN"/>
        </w:rPr>
        <w:t xml:space="preserve">  </w:t>
      </w:r>
      <w:r>
        <w:rPr>
          <w:rFonts w:hint="eastAsia" w:cs="Arial" w:asciiTheme="minorEastAsia" w:hAnsiTheme="minorEastAsia" w:eastAsiaTheme="minorEastAsia"/>
          <w:color w:val="auto"/>
          <w:szCs w:val="21"/>
          <w:highlight w:val="none"/>
        </w:rPr>
        <w:t>年</w:t>
      </w:r>
      <w:r>
        <w:rPr>
          <w:rFonts w:hint="eastAsia" w:cs="Arial" w:asciiTheme="minorEastAsia" w:hAnsiTheme="minorEastAsia" w:eastAsiaTheme="minorEastAsia"/>
          <w:color w:val="auto"/>
          <w:szCs w:val="21"/>
          <w:highlight w:val="none"/>
          <w:lang w:val="en-US" w:eastAsia="zh-CN"/>
        </w:rPr>
        <w:t xml:space="preserve">  </w:t>
      </w:r>
      <w:r>
        <w:rPr>
          <w:rFonts w:hint="eastAsia" w:cs="Arial" w:asciiTheme="minorEastAsia" w:hAnsiTheme="minorEastAsia" w:eastAsiaTheme="minorEastAsia"/>
          <w:color w:val="auto"/>
          <w:szCs w:val="21"/>
          <w:highlight w:val="none"/>
        </w:rPr>
        <w:t>月</w:t>
      </w:r>
      <w:r>
        <w:rPr>
          <w:rFonts w:hint="eastAsia" w:cs="Arial" w:asciiTheme="minorEastAsia" w:hAnsiTheme="minorEastAsia" w:eastAsiaTheme="minorEastAsia"/>
          <w:color w:val="auto"/>
          <w:szCs w:val="21"/>
          <w:highlight w:val="none"/>
          <w:lang w:val="en-US" w:eastAsia="zh-CN"/>
        </w:rPr>
        <w:t xml:space="preserve">   </w:t>
      </w:r>
      <w:r>
        <w:rPr>
          <w:rFonts w:hint="eastAsia" w:cs="Arial" w:asciiTheme="minorEastAsia" w:hAnsiTheme="minorEastAsia" w:eastAsiaTheme="minorEastAsia"/>
          <w:color w:val="auto"/>
          <w:szCs w:val="21"/>
          <w:highlight w:val="none"/>
        </w:rPr>
        <w:t>日</w:t>
      </w:r>
    </w:p>
    <w:p>
      <w:pPr>
        <w:autoSpaceDE w:val="0"/>
        <w:autoSpaceDN w:val="0"/>
        <w:adjustRightInd w:val="0"/>
        <w:spacing w:line="360" w:lineRule="auto"/>
        <w:ind w:right="384" w:rightChars="183"/>
        <w:jc w:val="left"/>
        <w:rPr>
          <w:rFonts w:hint="eastAsia" w:cs="Arial" w:asciiTheme="minorEastAsia" w:hAnsiTheme="minorEastAsia" w:eastAsiaTheme="minorEastAsia"/>
          <w:color w:val="auto"/>
          <w:szCs w:val="21"/>
        </w:rPr>
      </w:pPr>
    </w:p>
    <w:p>
      <w:pPr>
        <w:autoSpaceDE w:val="0"/>
        <w:autoSpaceDN w:val="0"/>
        <w:adjustRightInd w:val="0"/>
        <w:spacing w:line="360" w:lineRule="auto"/>
        <w:ind w:right="384" w:rightChars="183"/>
        <w:jc w:val="left"/>
        <w:outlineLvl w:val="0"/>
        <w:rPr>
          <w:rFonts w:cs="Arial" w:asciiTheme="minorEastAsia" w:hAnsiTheme="minorEastAsia" w:eastAsiaTheme="minorEastAsia"/>
          <w:color w:val="auto"/>
          <w:szCs w:val="21"/>
        </w:rPr>
      </w:pPr>
      <w:bookmarkStart w:id="693" w:name="_Toc18706_WPSOffice_Level1"/>
      <w:bookmarkStart w:id="694" w:name="_Toc578"/>
      <w:r>
        <w:rPr>
          <w:rFonts w:hint="eastAsia" w:cs="Arial" w:asciiTheme="minorEastAsia" w:hAnsiTheme="minorEastAsia" w:eastAsiaTheme="minorEastAsia"/>
          <w:color w:val="auto"/>
          <w:szCs w:val="21"/>
        </w:rPr>
        <w:t>附件十：</w:t>
      </w:r>
      <w:bookmarkEnd w:id="693"/>
      <w:bookmarkEnd w:id="694"/>
    </w:p>
    <w:p>
      <w:pPr>
        <w:spacing w:line="480" w:lineRule="exact"/>
        <w:jc w:val="center"/>
        <w:rPr>
          <w:rFonts w:hAnsi="宋体"/>
          <w:b/>
          <w:color w:val="auto"/>
          <w:sz w:val="28"/>
          <w:szCs w:val="28"/>
        </w:rPr>
      </w:pPr>
      <w:r>
        <w:rPr>
          <w:rFonts w:hint="eastAsia" w:hAnsi="宋体"/>
          <w:b/>
          <w:color w:val="auto"/>
          <w:sz w:val="28"/>
          <w:szCs w:val="28"/>
        </w:rPr>
        <w:t>项目经理（注册建造师）简历表</w:t>
      </w:r>
    </w:p>
    <w:tbl>
      <w:tblPr>
        <w:tblStyle w:val="54"/>
        <w:tblW w:w="9450"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75"/>
        <w:gridCol w:w="405"/>
        <w:gridCol w:w="1065"/>
        <w:gridCol w:w="105"/>
        <w:gridCol w:w="1170"/>
        <w:gridCol w:w="405"/>
        <w:gridCol w:w="1155"/>
        <w:gridCol w:w="420"/>
        <w:gridCol w:w="420"/>
        <w:gridCol w:w="1155"/>
        <w:gridCol w:w="1575"/>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1980" w:type="dxa"/>
            <w:gridSpan w:val="2"/>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r>
              <w:rPr>
                <w:rFonts w:hint="eastAsia" w:hAnsi="宋体"/>
                <w:color w:val="auto"/>
                <w:sz w:val="24"/>
              </w:rPr>
              <w:t>姓 名</w:t>
            </w:r>
          </w:p>
        </w:tc>
        <w:tc>
          <w:tcPr>
            <w:tcW w:w="1065" w:type="dxa"/>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p>
        </w:tc>
        <w:tc>
          <w:tcPr>
            <w:tcW w:w="1275" w:type="dxa"/>
            <w:gridSpan w:val="2"/>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r>
              <w:rPr>
                <w:rFonts w:hint="eastAsia" w:hAnsi="宋体"/>
                <w:color w:val="auto"/>
                <w:sz w:val="24"/>
              </w:rPr>
              <w:t>性别</w:t>
            </w:r>
          </w:p>
        </w:tc>
        <w:tc>
          <w:tcPr>
            <w:tcW w:w="1560" w:type="dxa"/>
            <w:gridSpan w:val="2"/>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p>
        </w:tc>
        <w:tc>
          <w:tcPr>
            <w:tcW w:w="840" w:type="dxa"/>
            <w:gridSpan w:val="2"/>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r>
              <w:rPr>
                <w:rFonts w:hint="eastAsia" w:hAnsi="宋体"/>
                <w:color w:val="auto"/>
                <w:sz w:val="24"/>
              </w:rPr>
              <w:t>年龄</w:t>
            </w:r>
          </w:p>
        </w:tc>
        <w:tc>
          <w:tcPr>
            <w:tcW w:w="2730" w:type="dxa"/>
            <w:gridSpan w:val="2"/>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1980" w:type="dxa"/>
            <w:gridSpan w:val="2"/>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r>
              <w:rPr>
                <w:rFonts w:hint="eastAsia" w:hAnsi="宋体"/>
                <w:color w:val="auto"/>
                <w:sz w:val="24"/>
              </w:rPr>
              <w:t>职 务</w:t>
            </w:r>
          </w:p>
        </w:tc>
        <w:tc>
          <w:tcPr>
            <w:tcW w:w="1065" w:type="dxa"/>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p>
        </w:tc>
        <w:tc>
          <w:tcPr>
            <w:tcW w:w="1275" w:type="dxa"/>
            <w:gridSpan w:val="2"/>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r>
              <w:rPr>
                <w:rFonts w:hint="eastAsia" w:hAnsi="宋体"/>
                <w:color w:val="auto"/>
                <w:sz w:val="24"/>
              </w:rPr>
              <w:t>职称</w:t>
            </w:r>
          </w:p>
        </w:tc>
        <w:tc>
          <w:tcPr>
            <w:tcW w:w="1560" w:type="dxa"/>
            <w:gridSpan w:val="2"/>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p>
        </w:tc>
        <w:tc>
          <w:tcPr>
            <w:tcW w:w="840" w:type="dxa"/>
            <w:gridSpan w:val="2"/>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r>
              <w:rPr>
                <w:rFonts w:hint="eastAsia" w:hAnsi="宋体"/>
                <w:color w:val="auto"/>
                <w:sz w:val="24"/>
              </w:rPr>
              <w:t>学历</w:t>
            </w:r>
          </w:p>
        </w:tc>
        <w:tc>
          <w:tcPr>
            <w:tcW w:w="2730" w:type="dxa"/>
            <w:gridSpan w:val="2"/>
            <w:tcBorders>
              <w:bottom w:val="single" w:color="000000" w:sz="4" w:space="0"/>
              <w:right w:val="single" w:color="000000" w:sz="4" w:space="0"/>
            </w:tcBorders>
            <w:vAlign w:val="center"/>
          </w:tcPr>
          <w:p>
            <w:pPr>
              <w:autoSpaceDE w:val="0"/>
              <w:autoSpaceDN w:val="0"/>
              <w:spacing w:line="480" w:lineRule="exact"/>
              <w:jc w:val="center"/>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1980" w:type="dxa"/>
            <w:gridSpan w:val="2"/>
            <w:tcBorders>
              <w:bottom w:val="single" w:color="000000" w:sz="4" w:space="0"/>
              <w:right w:val="single" w:color="000000" w:sz="4" w:space="0"/>
            </w:tcBorders>
          </w:tcPr>
          <w:p>
            <w:pPr>
              <w:autoSpaceDE w:val="0"/>
              <w:autoSpaceDN w:val="0"/>
              <w:spacing w:line="480" w:lineRule="exact"/>
              <w:jc w:val="center"/>
              <w:rPr>
                <w:rFonts w:hAnsi="宋体"/>
                <w:color w:val="auto"/>
                <w:sz w:val="24"/>
              </w:rPr>
            </w:pPr>
            <w:r>
              <w:rPr>
                <w:rFonts w:hint="eastAsia" w:hAnsi="宋体"/>
                <w:color w:val="auto"/>
                <w:sz w:val="24"/>
              </w:rPr>
              <w:t>参加工作时间</w:t>
            </w:r>
          </w:p>
        </w:tc>
        <w:tc>
          <w:tcPr>
            <w:tcW w:w="1065" w:type="dxa"/>
            <w:tcBorders>
              <w:bottom w:val="single" w:color="000000" w:sz="4" w:space="0"/>
              <w:right w:val="single" w:color="000000" w:sz="4" w:space="0"/>
            </w:tcBorders>
          </w:tcPr>
          <w:p>
            <w:pPr>
              <w:autoSpaceDE w:val="0"/>
              <w:autoSpaceDN w:val="0"/>
              <w:spacing w:line="480" w:lineRule="exact"/>
              <w:jc w:val="center"/>
              <w:rPr>
                <w:rFonts w:hAnsi="宋体"/>
                <w:color w:val="auto"/>
                <w:sz w:val="24"/>
              </w:rPr>
            </w:pPr>
          </w:p>
        </w:tc>
        <w:tc>
          <w:tcPr>
            <w:tcW w:w="2835" w:type="dxa"/>
            <w:gridSpan w:val="4"/>
            <w:tcBorders>
              <w:bottom w:val="single" w:color="000000" w:sz="4" w:space="0"/>
              <w:right w:val="single" w:color="000000" w:sz="4" w:space="0"/>
            </w:tcBorders>
          </w:tcPr>
          <w:p>
            <w:pPr>
              <w:autoSpaceDE w:val="0"/>
              <w:autoSpaceDN w:val="0"/>
              <w:spacing w:line="480" w:lineRule="exact"/>
              <w:jc w:val="center"/>
              <w:rPr>
                <w:rFonts w:hAnsi="宋体"/>
                <w:color w:val="auto"/>
                <w:sz w:val="24"/>
              </w:rPr>
            </w:pPr>
            <w:r>
              <w:rPr>
                <w:rFonts w:hint="eastAsia" w:hAnsi="宋体"/>
                <w:color w:val="auto"/>
                <w:sz w:val="24"/>
              </w:rPr>
              <w:t>从事项目经理年限</w:t>
            </w:r>
          </w:p>
        </w:tc>
        <w:tc>
          <w:tcPr>
            <w:tcW w:w="840" w:type="dxa"/>
            <w:gridSpan w:val="2"/>
            <w:tcBorders>
              <w:bottom w:val="single" w:color="000000" w:sz="4" w:space="0"/>
              <w:right w:val="single" w:color="000000" w:sz="4" w:space="0"/>
            </w:tcBorders>
          </w:tcPr>
          <w:p>
            <w:pPr>
              <w:autoSpaceDE w:val="0"/>
              <w:autoSpaceDN w:val="0"/>
              <w:spacing w:line="480" w:lineRule="exact"/>
              <w:jc w:val="center"/>
              <w:rPr>
                <w:rFonts w:hAnsi="宋体"/>
                <w:color w:val="auto"/>
                <w:sz w:val="24"/>
              </w:rPr>
            </w:pPr>
          </w:p>
        </w:tc>
        <w:tc>
          <w:tcPr>
            <w:tcW w:w="1155" w:type="dxa"/>
            <w:tcBorders>
              <w:bottom w:val="single" w:color="000000" w:sz="4" w:space="0"/>
              <w:right w:val="single" w:color="000000" w:sz="4" w:space="0"/>
            </w:tcBorders>
          </w:tcPr>
          <w:p>
            <w:pPr>
              <w:autoSpaceDE w:val="0"/>
              <w:autoSpaceDN w:val="0"/>
              <w:spacing w:line="480" w:lineRule="exact"/>
              <w:jc w:val="center"/>
              <w:rPr>
                <w:rFonts w:hAnsi="宋体"/>
                <w:color w:val="auto"/>
                <w:sz w:val="24"/>
              </w:rPr>
            </w:pPr>
            <w:r>
              <w:rPr>
                <w:rFonts w:hint="eastAsia" w:hAnsi="宋体"/>
                <w:color w:val="auto"/>
                <w:sz w:val="24"/>
              </w:rPr>
              <w:t>证书号</w:t>
            </w:r>
          </w:p>
        </w:tc>
        <w:tc>
          <w:tcPr>
            <w:tcW w:w="1575" w:type="dxa"/>
            <w:tcBorders>
              <w:bottom w:val="single" w:color="000000" w:sz="4" w:space="0"/>
              <w:right w:val="single" w:color="000000" w:sz="4" w:space="0"/>
            </w:tcBorders>
          </w:tcPr>
          <w:p>
            <w:pPr>
              <w:autoSpaceDE w:val="0"/>
              <w:autoSpaceDN w:val="0"/>
              <w:spacing w:line="480" w:lineRule="exact"/>
              <w:jc w:val="center"/>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9450" w:type="dxa"/>
            <w:gridSpan w:val="11"/>
            <w:tcBorders>
              <w:bottom w:val="single" w:color="000000" w:sz="4" w:space="0"/>
              <w:right w:val="single" w:color="000000" w:sz="4" w:space="0"/>
            </w:tcBorders>
          </w:tcPr>
          <w:p>
            <w:pPr>
              <w:autoSpaceDE w:val="0"/>
              <w:autoSpaceDN w:val="0"/>
              <w:spacing w:line="480" w:lineRule="exact"/>
              <w:jc w:val="center"/>
              <w:rPr>
                <w:rFonts w:hAnsi="宋体"/>
                <w:color w:val="auto"/>
                <w:sz w:val="24"/>
              </w:rPr>
            </w:pPr>
            <w:r>
              <w:rPr>
                <w:rFonts w:hint="eastAsia" w:hAnsi="宋体"/>
                <w:color w:val="auto"/>
                <w:sz w:val="24"/>
              </w:rPr>
              <w:t>已完成工程项目情况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1575" w:type="dxa"/>
            <w:tcBorders>
              <w:bottom w:val="single" w:color="000000" w:sz="4" w:space="0"/>
              <w:right w:val="single" w:color="000000" w:sz="4" w:space="0"/>
            </w:tcBorders>
          </w:tcPr>
          <w:p>
            <w:pPr>
              <w:autoSpaceDE w:val="0"/>
              <w:autoSpaceDN w:val="0"/>
              <w:spacing w:line="480" w:lineRule="exact"/>
              <w:jc w:val="center"/>
              <w:rPr>
                <w:rFonts w:hAnsi="宋体"/>
                <w:color w:val="auto"/>
                <w:sz w:val="24"/>
              </w:rPr>
            </w:pPr>
            <w:r>
              <w:rPr>
                <w:rFonts w:hint="eastAsia" w:hAnsi="宋体"/>
                <w:color w:val="auto"/>
                <w:sz w:val="24"/>
              </w:rPr>
              <w:t>建设单位</w:t>
            </w:r>
          </w:p>
        </w:tc>
        <w:tc>
          <w:tcPr>
            <w:tcW w:w="1575" w:type="dxa"/>
            <w:gridSpan w:val="3"/>
            <w:tcBorders>
              <w:bottom w:val="single" w:color="000000" w:sz="4" w:space="0"/>
              <w:right w:val="single" w:color="000000" w:sz="4" w:space="0"/>
            </w:tcBorders>
          </w:tcPr>
          <w:p>
            <w:pPr>
              <w:autoSpaceDE w:val="0"/>
              <w:autoSpaceDN w:val="0"/>
              <w:spacing w:line="480" w:lineRule="exact"/>
              <w:jc w:val="center"/>
              <w:rPr>
                <w:rFonts w:hAnsi="宋体"/>
                <w:color w:val="auto"/>
                <w:sz w:val="24"/>
              </w:rPr>
            </w:pPr>
            <w:r>
              <w:rPr>
                <w:rFonts w:hint="eastAsia" w:hAnsi="宋体"/>
                <w:color w:val="auto"/>
                <w:sz w:val="24"/>
              </w:rPr>
              <w:t>项目名称</w:t>
            </w:r>
          </w:p>
        </w:tc>
        <w:tc>
          <w:tcPr>
            <w:tcW w:w="1575" w:type="dxa"/>
            <w:gridSpan w:val="2"/>
            <w:tcBorders>
              <w:bottom w:val="single" w:color="000000" w:sz="4" w:space="0"/>
              <w:right w:val="single" w:color="000000" w:sz="4" w:space="0"/>
            </w:tcBorders>
          </w:tcPr>
          <w:p>
            <w:pPr>
              <w:autoSpaceDE w:val="0"/>
              <w:autoSpaceDN w:val="0"/>
              <w:spacing w:line="480" w:lineRule="exact"/>
              <w:jc w:val="center"/>
              <w:rPr>
                <w:rFonts w:hAnsi="宋体"/>
                <w:color w:val="auto"/>
                <w:sz w:val="24"/>
              </w:rPr>
            </w:pPr>
            <w:r>
              <w:rPr>
                <w:rFonts w:hint="eastAsia" w:hAnsi="宋体"/>
                <w:color w:val="auto"/>
                <w:sz w:val="24"/>
              </w:rPr>
              <w:t>建设规模</w:t>
            </w:r>
          </w:p>
        </w:tc>
        <w:tc>
          <w:tcPr>
            <w:tcW w:w="1575" w:type="dxa"/>
            <w:gridSpan w:val="2"/>
            <w:tcBorders>
              <w:bottom w:val="single" w:color="000000" w:sz="4" w:space="0"/>
              <w:right w:val="single" w:color="auto" w:sz="4" w:space="0"/>
            </w:tcBorders>
          </w:tcPr>
          <w:p>
            <w:pPr>
              <w:autoSpaceDE w:val="0"/>
              <w:autoSpaceDN w:val="0"/>
              <w:spacing w:line="480" w:lineRule="exact"/>
              <w:jc w:val="center"/>
              <w:rPr>
                <w:rFonts w:hAnsi="宋体"/>
                <w:color w:val="auto"/>
                <w:sz w:val="24"/>
              </w:rPr>
            </w:pPr>
            <w:r>
              <w:rPr>
                <w:rFonts w:hint="eastAsia" w:hAnsi="宋体"/>
                <w:color w:val="auto"/>
                <w:sz w:val="24"/>
              </w:rPr>
              <w:t>结构类型</w:t>
            </w:r>
          </w:p>
        </w:tc>
        <w:tc>
          <w:tcPr>
            <w:tcW w:w="1575" w:type="dxa"/>
            <w:gridSpan w:val="2"/>
            <w:tcBorders>
              <w:left w:val="single" w:color="auto" w:sz="4" w:space="0"/>
              <w:bottom w:val="single" w:color="000000" w:sz="4" w:space="0"/>
              <w:right w:val="single" w:color="000000" w:sz="4" w:space="0"/>
            </w:tcBorders>
          </w:tcPr>
          <w:p>
            <w:pPr>
              <w:autoSpaceDE w:val="0"/>
              <w:autoSpaceDN w:val="0"/>
              <w:spacing w:line="480" w:lineRule="exact"/>
              <w:jc w:val="center"/>
              <w:rPr>
                <w:rFonts w:hAnsi="宋体"/>
                <w:color w:val="auto"/>
                <w:sz w:val="24"/>
              </w:rPr>
            </w:pPr>
            <w:r>
              <w:rPr>
                <w:rFonts w:hint="eastAsia" w:hAnsi="宋体"/>
                <w:color w:val="auto"/>
                <w:sz w:val="24"/>
              </w:rPr>
              <w:t>开、竣工日期</w:t>
            </w:r>
          </w:p>
        </w:tc>
        <w:tc>
          <w:tcPr>
            <w:tcW w:w="1575" w:type="dxa"/>
            <w:tcBorders>
              <w:bottom w:val="single" w:color="000000" w:sz="4" w:space="0"/>
              <w:right w:val="single" w:color="000000" w:sz="4" w:space="0"/>
            </w:tcBorders>
          </w:tcPr>
          <w:p>
            <w:pPr>
              <w:autoSpaceDE w:val="0"/>
              <w:autoSpaceDN w:val="0"/>
              <w:spacing w:line="480" w:lineRule="exact"/>
              <w:jc w:val="center"/>
              <w:rPr>
                <w:rFonts w:hAnsi="宋体"/>
                <w:color w:val="auto"/>
                <w:sz w:val="24"/>
              </w:rPr>
            </w:pPr>
            <w:r>
              <w:rPr>
                <w:rFonts w:hint="eastAsia" w:hAnsi="宋体"/>
                <w:color w:val="auto"/>
                <w:sz w:val="24"/>
              </w:rPr>
              <w:t>工程质量</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575" w:type="dxa"/>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3"/>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2"/>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2"/>
            <w:tcBorders>
              <w:bottom w:val="single" w:color="000000" w:sz="4" w:space="0"/>
              <w:right w:val="single" w:color="auto" w:sz="4" w:space="0"/>
            </w:tcBorders>
          </w:tcPr>
          <w:p>
            <w:pPr>
              <w:autoSpaceDE w:val="0"/>
              <w:autoSpaceDN w:val="0"/>
              <w:spacing w:line="480" w:lineRule="exact"/>
              <w:rPr>
                <w:rFonts w:hAnsi="宋体"/>
                <w:color w:val="auto"/>
                <w:sz w:val="24"/>
              </w:rPr>
            </w:pPr>
          </w:p>
        </w:tc>
        <w:tc>
          <w:tcPr>
            <w:tcW w:w="1575" w:type="dxa"/>
            <w:gridSpan w:val="2"/>
            <w:tcBorders>
              <w:left w:val="single" w:color="auto" w:sz="4" w:space="0"/>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tcBorders>
              <w:bottom w:val="single" w:color="000000" w:sz="4" w:space="0"/>
              <w:right w:val="single" w:color="000000" w:sz="4" w:space="0"/>
            </w:tcBorders>
          </w:tcPr>
          <w:p>
            <w:pPr>
              <w:autoSpaceDE w:val="0"/>
              <w:autoSpaceDN w:val="0"/>
              <w:spacing w:line="480" w:lineRule="exact"/>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1575" w:type="dxa"/>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3"/>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2"/>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2"/>
            <w:tcBorders>
              <w:bottom w:val="single" w:color="000000" w:sz="4" w:space="0"/>
              <w:right w:val="single" w:color="auto" w:sz="4" w:space="0"/>
            </w:tcBorders>
          </w:tcPr>
          <w:p>
            <w:pPr>
              <w:autoSpaceDE w:val="0"/>
              <w:autoSpaceDN w:val="0"/>
              <w:spacing w:line="480" w:lineRule="exact"/>
              <w:rPr>
                <w:rFonts w:hAnsi="宋体"/>
                <w:color w:val="auto"/>
                <w:sz w:val="24"/>
              </w:rPr>
            </w:pPr>
          </w:p>
        </w:tc>
        <w:tc>
          <w:tcPr>
            <w:tcW w:w="1575" w:type="dxa"/>
            <w:gridSpan w:val="2"/>
            <w:tcBorders>
              <w:left w:val="single" w:color="auto" w:sz="4" w:space="0"/>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tcBorders>
              <w:bottom w:val="single" w:color="000000" w:sz="4" w:space="0"/>
              <w:right w:val="single" w:color="000000" w:sz="4" w:space="0"/>
            </w:tcBorders>
          </w:tcPr>
          <w:p>
            <w:pPr>
              <w:autoSpaceDE w:val="0"/>
              <w:autoSpaceDN w:val="0"/>
              <w:spacing w:line="480" w:lineRule="exact"/>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1575" w:type="dxa"/>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3"/>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2"/>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2"/>
            <w:tcBorders>
              <w:bottom w:val="single" w:color="000000" w:sz="4" w:space="0"/>
              <w:right w:val="single" w:color="auto" w:sz="4" w:space="0"/>
            </w:tcBorders>
          </w:tcPr>
          <w:p>
            <w:pPr>
              <w:autoSpaceDE w:val="0"/>
              <w:autoSpaceDN w:val="0"/>
              <w:spacing w:line="480" w:lineRule="exact"/>
              <w:rPr>
                <w:rFonts w:hAnsi="宋体"/>
                <w:color w:val="auto"/>
                <w:sz w:val="24"/>
              </w:rPr>
            </w:pPr>
          </w:p>
        </w:tc>
        <w:tc>
          <w:tcPr>
            <w:tcW w:w="1575" w:type="dxa"/>
            <w:gridSpan w:val="2"/>
            <w:tcBorders>
              <w:left w:val="single" w:color="auto" w:sz="4" w:space="0"/>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tcBorders>
              <w:bottom w:val="single" w:color="000000" w:sz="4" w:space="0"/>
              <w:right w:val="single" w:color="000000" w:sz="4" w:space="0"/>
            </w:tcBorders>
          </w:tcPr>
          <w:p>
            <w:pPr>
              <w:autoSpaceDE w:val="0"/>
              <w:autoSpaceDN w:val="0"/>
              <w:spacing w:line="480" w:lineRule="exact"/>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1575" w:type="dxa"/>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3"/>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2"/>
            <w:tcBorders>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gridSpan w:val="2"/>
            <w:tcBorders>
              <w:bottom w:val="single" w:color="000000" w:sz="4" w:space="0"/>
              <w:right w:val="single" w:color="auto" w:sz="4" w:space="0"/>
            </w:tcBorders>
          </w:tcPr>
          <w:p>
            <w:pPr>
              <w:autoSpaceDE w:val="0"/>
              <w:autoSpaceDN w:val="0"/>
              <w:spacing w:line="480" w:lineRule="exact"/>
              <w:rPr>
                <w:rFonts w:hAnsi="宋体"/>
                <w:color w:val="auto"/>
                <w:sz w:val="24"/>
              </w:rPr>
            </w:pPr>
          </w:p>
        </w:tc>
        <w:tc>
          <w:tcPr>
            <w:tcW w:w="1575" w:type="dxa"/>
            <w:gridSpan w:val="2"/>
            <w:tcBorders>
              <w:left w:val="single" w:color="auto" w:sz="4" w:space="0"/>
              <w:bottom w:val="single" w:color="000000" w:sz="4" w:space="0"/>
              <w:right w:val="single" w:color="000000" w:sz="4" w:space="0"/>
            </w:tcBorders>
          </w:tcPr>
          <w:p>
            <w:pPr>
              <w:autoSpaceDE w:val="0"/>
              <w:autoSpaceDN w:val="0"/>
              <w:spacing w:line="480" w:lineRule="exact"/>
              <w:rPr>
                <w:rFonts w:hAnsi="宋体"/>
                <w:color w:val="auto"/>
                <w:sz w:val="24"/>
              </w:rPr>
            </w:pPr>
          </w:p>
        </w:tc>
        <w:tc>
          <w:tcPr>
            <w:tcW w:w="1575" w:type="dxa"/>
            <w:tcBorders>
              <w:bottom w:val="single" w:color="000000" w:sz="4" w:space="0"/>
              <w:right w:val="single" w:color="000000" w:sz="4" w:space="0"/>
            </w:tcBorders>
          </w:tcPr>
          <w:p>
            <w:pPr>
              <w:autoSpaceDE w:val="0"/>
              <w:autoSpaceDN w:val="0"/>
              <w:spacing w:line="480" w:lineRule="exact"/>
              <w:rPr>
                <w:rFonts w:hAnsi="宋体"/>
                <w:color w:val="auto"/>
                <w:sz w:val="24"/>
              </w:rPr>
            </w:pPr>
          </w:p>
        </w:tc>
      </w:tr>
    </w:tbl>
    <w:p>
      <w:pPr>
        <w:autoSpaceDE w:val="0"/>
        <w:autoSpaceDN w:val="0"/>
        <w:adjustRightInd w:val="0"/>
        <w:spacing w:line="480" w:lineRule="exact"/>
        <w:rPr>
          <w:rFonts w:ascii="Arial" w:hAnsi="宋体" w:cs="Arial"/>
          <w:b/>
          <w:bCs/>
          <w:color w:val="auto"/>
          <w:szCs w:val="21"/>
        </w:rPr>
      </w:pPr>
      <w:r>
        <w:rPr>
          <w:rFonts w:hint="eastAsia" w:ascii="Arial" w:hAnsi="宋体" w:cs="Arial"/>
          <w:b/>
          <w:bCs/>
          <w:color w:val="auto"/>
          <w:szCs w:val="21"/>
          <w:lang w:val="en-US" w:eastAsia="zh-CN"/>
        </w:rPr>
        <w:t>备注</w:t>
      </w:r>
      <w:r>
        <w:rPr>
          <w:rFonts w:ascii="Arial" w:hAnsi="宋体" w:cs="Arial"/>
          <w:b/>
          <w:bCs/>
          <w:color w:val="auto"/>
          <w:szCs w:val="21"/>
        </w:rPr>
        <w:t>：</w:t>
      </w:r>
    </w:p>
    <w:p>
      <w:pPr>
        <w:autoSpaceDE w:val="0"/>
        <w:autoSpaceDN w:val="0"/>
        <w:adjustRightInd w:val="0"/>
        <w:spacing w:line="480" w:lineRule="exact"/>
        <w:jc w:val="left"/>
        <w:rPr>
          <w:rFonts w:ascii="Arial" w:hAnsi="Arial" w:cs="Arial"/>
          <w:color w:val="auto"/>
          <w:szCs w:val="21"/>
        </w:rPr>
      </w:pPr>
      <w:r>
        <w:rPr>
          <w:rFonts w:ascii="Arial" w:hAnsi="宋体" w:cs="Arial"/>
          <w:color w:val="auto"/>
          <w:szCs w:val="21"/>
        </w:rPr>
        <w:t>附：</w:t>
      </w:r>
      <w:r>
        <w:rPr>
          <w:rFonts w:ascii="Arial" w:hAnsi="Arial" w:cs="Arial"/>
          <w:color w:val="auto"/>
          <w:szCs w:val="21"/>
        </w:rPr>
        <w:t>1</w:t>
      </w:r>
      <w:r>
        <w:rPr>
          <w:rFonts w:ascii="Arial" w:hAnsi="宋体" w:cs="Arial"/>
          <w:color w:val="auto"/>
          <w:szCs w:val="21"/>
        </w:rPr>
        <w:t>、附项目经理注册建造师证、安全生产考核证</w:t>
      </w:r>
      <w:r>
        <w:rPr>
          <w:rFonts w:hint="eastAsia" w:ascii="Arial" w:hAnsi="宋体" w:cs="Arial"/>
          <w:color w:val="auto"/>
          <w:szCs w:val="21"/>
          <w:lang w:val="en-US" w:eastAsia="zh-CN"/>
        </w:rPr>
        <w:t>及职称证书</w:t>
      </w:r>
      <w:r>
        <w:rPr>
          <w:rFonts w:ascii="Arial" w:hAnsi="宋体" w:cs="Arial"/>
          <w:color w:val="auto"/>
          <w:szCs w:val="21"/>
        </w:rPr>
        <w:t>复印件，并加盖法人单位公章。</w:t>
      </w:r>
    </w:p>
    <w:p>
      <w:pPr>
        <w:autoSpaceDE w:val="0"/>
        <w:autoSpaceDN w:val="0"/>
        <w:spacing w:line="300" w:lineRule="auto"/>
        <w:ind w:left="480" w:hanging="480"/>
        <w:jc w:val="left"/>
        <w:rPr>
          <w:rFonts w:asciiTheme="minorEastAsia" w:hAnsiTheme="minorEastAsia" w:eastAsiaTheme="minorEastAsia"/>
          <w:b/>
          <w:color w:val="auto"/>
          <w:sz w:val="28"/>
          <w:szCs w:val="28"/>
        </w:rPr>
      </w:pPr>
      <w:r>
        <w:rPr>
          <w:rFonts w:ascii="Arial" w:hAnsi="Arial" w:cs="Arial"/>
          <w:color w:val="auto"/>
          <w:szCs w:val="21"/>
        </w:rPr>
        <w:t xml:space="preserve">    2</w:t>
      </w:r>
      <w:r>
        <w:rPr>
          <w:rFonts w:ascii="Arial" w:hAnsi="宋体" w:cs="Arial"/>
          <w:color w:val="auto"/>
          <w:szCs w:val="21"/>
        </w:rPr>
        <w:t>、类似工程</w:t>
      </w:r>
      <w:r>
        <w:rPr>
          <w:rFonts w:hint="eastAsia" w:ascii="Arial" w:hAnsi="宋体" w:cs="Arial"/>
          <w:color w:val="auto"/>
          <w:szCs w:val="21"/>
        </w:rPr>
        <w:t>（如有）</w:t>
      </w:r>
      <w:r>
        <w:rPr>
          <w:rFonts w:ascii="Arial" w:hAnsi="宋体" w:cs="Arial"/>
          <w:color w:val="auto"/>
          <w:szCs w:val="21"/>
        </w:rPr>
        <w:t>指近</w:t>
      </w:r>
      <w:r>
        <w:rPr>
          <w:rFonts w:ascii="Arial" w:hAnsi="Arial" w:cs="Arial"/>
          <w:color w:val="auto"/>
          <w:szCs w:val="21"/>
        </w:rPr>
        <w:t>3</w:t>
      </w:r>
      <w:r>
        <w:rPr>
          <w:rFonts w:ascii="Arial" w:hAnsi="宋体" w:cs="Arial"/>
          <w:color w:val="auto"/>
          <w:szCs w:val="21"/>
        </w:rPr>
        <w:t>年来承建的工程。</w:t>
      </w: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pStyle w:val="14"/>
        <w:rPr>
          <w:rFonts w:asciiTheme="minorEastAsia" w:hAnsiTheme="minorEastAsia" w:eastAsiaTheme="minorEastAsia"/>
          <w:b/>
          <w:color w:val="auto"/>
          <w:sz w:val="28"/>
          <w:szCs w:val="28"/>
        </w:rPr>
      </w:pPr>
    </w:p>
    <w:p>
      <w:pPr>
        <w:pStyle w:val="14"/>
        <w:rPr>
          <w:rFonts w:asciiTheme="minorEastAsia" w:hAnsiTheme="minorEastAsia" w:eastAsiaTheme="minorEastAsia"/>
          <w:b/>
          <w:color w:val="auto"/>
          <w:sz w:val="28"/>
          <w:szCs w:val="28"/>
        </w:rPr>
      </w:pPr>
    </w:p>
    <w:p>
      <w:pPr>
        <w:pStyle w:val="14"/>
        <w:rPr>
          <w:rFonts w:asciiTheme="minorEastAsia" w:hAnsiTheme="minorEastAsia" w:eastAsiaTheme="minorEastAsia"/>
          <w:b/>
          <w:color w:val="auto"/>
          <w:sz w:val="28"/>
          <w:szCs w:val="28"/>
        </w:rPr>
      </w:pPr>
    </w:p>
    <w:p>
      <w:pPr>
        <w:pStyle w:val="14"/>
        <w:rPr>
          <w:rFonts w:asciiTheme="minorEastAsia" w:hAnsiTheme="minorEastAsia" w:eastAsiaTheme="minorEastAsia"/>
          <w:b/>
          <w:color w:val="auto"/>
          <w:sz w:val="28"/>
          <w:szCs w:val="28"/>
        </w:rPr>
      </w:pPr>
    </w:p>
    <w:p>
      <w:pPr>
        <w:pStyle w:val="14"/>
        <w:rPr>
          <w:rFonts w:asciiTheme="minorEastAsia" w:hAnsiTheme="minorEastAsia" w:eastAsiaTheme="minorEastAsia"/>
          <w:b/>
          <w:color w:val="auto"/>
          <w:sz w:val="28"/>
          <w:szCs w:val="28"/>
        </w:rPr>
      </w:pPr>
    </w:p>
    <w:p>
      <w:pPr>
        <w:pStyle w:val="14"/>
        <w:rPr>
          <w:rFonts w:asciiTheme="minorEastAsia" w:hAnsiTheme="minorEastAsia" w:eastAsiaTheme="minorEastAsia"/>
          <w:b/>
          <w:color w:val="auto"/>
          <w:sz w:val="28"/>
          <w:szCs w:val="28"/>
        </w:rPr>
      </w:pPr>
    </w:p>
    <w:p>
      <w:pPr>
        <w:autoSpaceDE w:val="0"/>
        <w:autoSpaceDN w:val="0"/>
        <w:adjustRightInd w:val="0"/>
        <w:spacing w:line="360" w:lineRule="auto"/>
        <w:ind w:right="384" w:rightChars="183"/>
        <w:jc w:val="left"/>
        <w:outlineLvl w:val="0"/>
        <w:rPr>
          <w:rFonts w:cs="Arial" w:asciiTheme="minorEastAsia" w:hAnsiTheme="minorEastAsia" w:eastAsiaTheme="minorEastAsia"/>
          <w:color w:val="auto"/>
          <w:szCs w:val="21"/>
        </w:rPr>
      </w:pPr>
      <w:bookmarkStart w:id="695" w:name="_Toc30784_WPSOffice_Level1"/>
      <w:bookmarkStart w:id="696" w:name="_Toc10431"/>
      <w:r>
        <w:rPr>
          <w:rFonts w:hint="eastAsia" w:cs="Arial" w:asciiTheme="minorEastAsia" w:hAnsiTheme="minorEastAsia" w:eastAsiaTheme="minorEastAsia"/>
          <w:color w:val="auto"/>
          <w:szCs w:val="21"/>
        </w:rPr>
        <w:t>附件十一：</w:t>
      </w:r>
      <w:bookmarkEnd w:id="695"/>
      <w:bookmarkEnd w:id="696"/>
    </w:p>
    <w:p>
      <w:pPr>
        <w:spacing w:line="360" w:lineRule="auto"/>
        <w:jc w:val="center"/>
        <w:rPr>
          <w:rFonts w:hAnsi="宋体"/>
          <w:b/>
          <w:color w:val="auto"/>
          <w:sz w:val="28"/>
          <w:szCs w:val="28"/>
        </w:rPr>
      </w:pPr>
      <w:r>
        <w:rPr>
          <w:rFonts w:hint="eastAsia" w:hAnsi="宋体"/>
          <w:b/>
          <w:color w:val="auto"/>
          <w:sz w:val="28"/>
          <w:szCs w:val="28"/>
        </w:rPr>
        <w:t>项目技术负责人简历表</w:t>
      </w:r>
    </w:p>
    <w:tbl>
      <w:tblPr>
        <w:tblStyle w:val="54"/>
        <w:tblW w:w="9416"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80"/>
        <w:gridCol w:w="180"/>
        <w:gridCol w:w="720"/>
        <w:gridCol w:w="1080"/>
        <w:gridCol w:w="1080"/>
        <w:gridCol w:w="360"/>
        <w:gridCol w:w="90"/>
        <w:gridCol w:w="1530"/>
        <w:gridCol w:w="1080"/>
        <w:gridCol w:w="686"/>
        <w:gridCol w:w="153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autoSpaceDE w:val="0"/>
              <w:autoSpaceDN w:val="0"/>
              <w:jc w:val="center"/>
              <w:rPr>
                <w:rFonts w:hAnsi="宋体"/>
                <w:color w:val="auto"/>
                <w:sz w:val="24"/>
              </w:rPr>
            </w:pPr>
            <w:r>
              <w:rPr>
                <w:rFonts w:hint="eastAsia" w:hAnsi="宋体"/>
                <w:color w:val="auto"/>
                <w:sz w:val="24"/>
              </w:rPr>
              <w:t>姓名</w:t>
            </w:r>
          </w:p>
        </w:tc>
        <w:tc>
          <w:tcPr>
            <w:tcW w:w="1980" w:type="dxa"/>
            <w:gridSpan w:val="3"/>
            <w:tcBorders>
              <w:bottom w:val="single" w:color="000000" w:sz="4" w:space="0"/>
              <w:right w:val="single" w:color="000000" w:sz="4" w:space="0"/>
            </w:tcBorders>
            <w:vAlign w:val="center"/>
          </w:tcPr>
          <w:p>
            <w:pPr>
              <w:autoSpaceDE w:val="0"/>
              <w:autoSpaceDN w:val="0"/>
              <w:jc w:val="center"/>
              <w:rPr>
                <w:rFonts w:hAnsi="宋体"/>
                <w:color w:val="auto"/>
                <w:sz w:val="24"/>
              </w:rPr>
            </w:pPr>
          </w:p>
        </w:tc>
        <w:tc>
          <w:tcPr>
            <w:tcW w:w="1080" w:type="dxa"/>
            <w:tcBorders>
              <w:bottom w:val="single" w:color="000000" w:sz="4" w:space="0"/>
              <w:right w:val="single" w:color="000000" w:sz="4" w:space="0"/>
            </w:tcBorders>
            <w:vAlign w:val="center"/>
          </w:tcPr>
          <w:p>
            <w:pPr>
              <w:autoSpaceDE w:val="0"/>
              <w:autoSpaceDN w:val="0"/>
              <w:jc w:val="center"/>
              <w:rPr>
                <w:rFonts w:hAnsi="宋体"/>
                <w:color w:val="auto"/>
                <w:sz w:val="24"/>
              </w:rPr>
            </w:pPr>
            <w:r>
              <w:rPr>
                <w:rFonts w:hint="eastAsia" w:hAnsi="宋体"/>
                <w:color w:val="auto"/>
                <w:sz w:val="24"/>
              </w:rPr>
              <w:t>性别</w:t>
            </w:r>
          </w:p>
        </w:tc>
        <w:tc>
          <w:tcPr>
            <w:tcW w:w="1980" w:type="dxa"/>
            <w:gridSpan w:val="3"/>
            <w:tcBorders>
              <w:bottom w:val="single" w:color="000000" w:sz="4" w:space="0"/>
              <w:right w:val="single" w:color="000000" w:sz="4" w:space="0"/>
            </w:tcBorders>
            <w:vAlign w:val="center"/>
          </w:tcPr>
          <w:p>
            <w:pPr>
              <w:autoSpaceDE w:val="0"/>
              <w:autoSpaceDN w:val="0"/>
              <w:jc w:val="center"/>
              <w:rPr>
                <w:rFonts w:hAnsi="宋体"/>
                <w:color w:val="auto"/>
                <w:sz w:val="24"/>
              </w:rPr>
            </w:pPr>
          </w:p>
        </w:tc>
        <w:tc>
          <w:tcPr>
            <w:tcW w:w="1080" w:type="dxa"/>
            <w:tcBorders>
              <w:bottom w:val="single" w:color="000000" w:sz="4" w:space="0"/>
              <w:right w:val="single" w:color="auto" w:sz="4" w:space="0"/>
            </w:tcBorders>
            <w:vAlign w:val="center"/>
          </w:tcPr>
          <w:p>
            <w:pPr>
              <w:autoSpaceDE w:val="0"/>
              <w:autoSpaceDN w:val="0"/>
              <w:jc w:val="center"/>
              <w:rPr>
                <w:rFonts w:hAnsi="宋体"/>
                <w:color w:val="auto"/>
                <w:sz w:val="24"/>
              </w:rPr>
            </w:pPr>
            <w:r>
              <w:rPr>
                <w:rFonts w:hint="eastAsia" w:hAnsi="宋体"/>
                <w:color w:val="auto"/>
                <w:sz w:val="24"/>
              </w:rPr>
              <w:t>年龄</w:t>
            </w:r>
          </w:p>
        </w:tc>
        <w:tc>
          <w:tcPr>
            <w:tcW w:w="2216" w:type="dxa"/>
            <w:gridSpan w:val="2"/>
            <w:tcBorders>
              <w:left w:val="single" w:color="auto" w:sz="4" w:space="0"/>
              <w:bottom w:val="single" w:color="000000" w:sz="4" w:space="0"/>
              <w:right w:val="single" w:color="000000" w:sz="4" w:space="0"/>
            </w:tcBorders>
            <w:vAlign w:val="center"/>
          </w:tcPr>
          <w:p>
            <w:pPr>
              <w:autoSpaceDE w:val="0"/>
              <w:autoSpaceDN w:val="0"/>
              <w:jc w:val="center"/>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80" w:type="dxa"/>
            <w:tcBorders>
              <w:bottom w:val="single" w:color="000000" w:sz="4" w:space="0"/>
              <w:right w:val="single" w:color="000000" w:sz="4" w:space="0"/>
            </w:tcBorders>
            <w:vAlign w:val="center"/>
          </w:tcPr>
          <w:p>
            <w:pPr>
              <w:autoSpaceDE w:val="0"/>
              <w:autoSpaceDN w:val="0"/>
              <w:jc w:val="center"/>
              <w:rPr>
                <w:rFonts w:hAnsi="宋体"/>
                <w:color w:val="auto"/>
                <w:sz w:val="24"/>
              </w:rPr>
            </w:pPr>
            <w:r>
              <w:rPr>
                <w:rFonts w:hint="eastAsia" w:hAnsi="宋体"/>
                <w:color w:val="auto"/>
                <w:sz w:val="24"/>
              </w:rPr>
              <w:t>职务</w:t>
            </w:r>
          </w:p>
        </w:tc>
        <w:tc>
          <w:tcPr>
            <w:tcW w:w="1980" w:type="dxa"/>
            <w:gridSpan w:val="3"/>
            <w:tcBorders>
              <w:bottom w:val="single" w:color="000000" w:sz="4" w:space="0"/>
              <w:right w:val="single" w:color="000000" w:sz="4" w:space="0"/>
            </w:tcBorders>
            <w:vAlign w:val="center"/>
          </w:tcPr>
          <w:p>
            <w:pPr>
              <w:autoSpaceDE w:val="0"/>
              <w:autoSpaceDN w:val="0"/>
              <w:jc w:val="center"/>
              <w:rPr>
                <w:rFonts w:hAnsi="宋体"/>
                <w:color w:val="auto"/>
                <w:sz w:val="24"/>
              </w:rPr>
            </w:pPr>
          </w:p>
        </w:tc>
        <w:tc>
          <w:tcPr>
            <w:tcW w:w="1080" w:type="dxa"/>
            <w:tcBorders>
              <w:bottom w:val="single" w:color="000000" w:sz="4" w:space="0"/>
              <w:right w:val="single" w:color="000000" w:sz="4" w:space="0"/>
            </w:tcBorders>
            <w:vAlign w:val="center"/>
          </w:tcPr>
          <w:p>
            <w:pPr>
              <w:autoSpaceDE w:val="0"/>
              <w:autoSpaceDN w:val="0"/>
              <w:jc w:val="center"/>
              <w:rPr>
                <w:rFonts w:hAnsi="宋体"/>
                <w:color w:val="auto"/>
                <w:sz w:val="24"/>
              </w:rPr>
            </w:pPr>
            <w:r>
              <w:rPr>
                <w:rFonts w:hint="eastAsia" w:hAnsi="宋体"/>
                <w:color w:val="auto"/>
                <w:sz w:val="24"/>
              </w:rPr>
              <w:t>职称</w:t>
            </w:r>
          </w:p>
        </w:tc>
        <w:tc>
          <w:tcPr>
            <w:tcW w:w="1980" w:type="dxa"/>
            <w:gridSpan w:val="3"/>
            <w:tcBorders>
              <w:bottom w:val="single" w:color="000000" w:sz="4" w:space="0"/>
              <w:right w:val="single" w:color="000000" w:sz="4" w:space="0"/>
            </w:tcBorders>
            <w:vAlign w:val="center"/>
          </w:tcPr>
          <w:p>
            <w:pPr>
              <w:autoSpaceDE w:val="0"/>
              <w:autoSpaceDN w:val="0"/>
              <w:jc w:val="center"/>
              <w:rPr>
                <w:rFonts w:hAnsi="宋体"/>
                <w:color w:val="auto"/>
                <w:sz w:val="24"/>
              </w:rPr>
            </w:pPr>
          </w:p>
        </w:tc>
        <w:tc>
          <w:tcPr>
            <w:tcW w:w="1080" w:type="dxa"/>
            <w:tcBorders>
              <w:bottom w:val="single" w:color="000000" w:sz="4" w:space="0"/>
              <w:right w:val="single" w:color="auto" w:sz="4" w:space="0"/>
            </w:tcBorders>
            <w:vAlign w:val="center"/>
          </w:tcPr>
          <w:p>
            <w:pPr>
              <w:autoSpaceDE w:val="0"/>
              <w:autoSpaceDN w:val="0"/>
              <w:jc w:val="center"/>
              <w:rPr>
                <w:rFonts w:hAnsi="宋体"/>
                <w:color w:val="auto"/>
                <w:sz w:val="24"/>
              </w:rPr>
            </w:pPr>
            <w:r>
              <w:rPr>
                <w:rFonts w:hint="eastAsia" w:hAnsi="宋体"/>
                <w:color w:val="auto"/>
                <w:sz w:val="24"/>
              </w:rPr>
              <w:t>学历</w:t>
            </w:r>
          </w:p>
        </w:tc>
        <w:tc>
          <w:tcPr>
            <w:tcW w:w="2216" w:type="dxa"/>
            <w:gridSpan w:val="2"/>
            <w:tcBorders>
              <w:left w:val="single" w:color="auto" w:sz="4" w:space="0"/>
              <w:bottom w:val="single" w:color="000000" w:sz="4" w:space="0"/>
              <w:right w:val="single" w:color="000000" w:sz="4" w:space="0"/>
            </w:tcBorders>
            <w:vAlign w:val="center"/>
          </w:tcPr>
          <w:p>
            <w:pPr>
              <w:autoSpaceDE w:val="0"/>
              <w:autoSpaceDN w:val="0"/>
              <w:jc w:val="center"/>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980" w:type="dxa"/>
            <w:gridSpan w:val="3"/>
            <w:tcBorders>
              <w:bottom w:val="single" w:color="000000" w:sz="4" w:space="0"/>
              <w:right w:val="single" w:color="auto" w:sz="4" w:space="0"/>
            </w:tcBorders>
            <w:vAlign w:val="center"/>
          </w:tcPr>
          <w:p>
            <w:pPr>
              <w:autoSpaceDE w:val="0"/>
              <w:autoSpaceDN w:val="0"/>
              <w:jc w:val="center"/>
              <w:rPr>
                <w:rFonts w:hAnsi="宋体"/>
                <w:color w:val="auto"/>
                <w:sz w:val="24"/>
              </w:rPr>
            </w:pPr>
            <w:r>
              <w:rPr>
                <w:rFonts w:hint="eastAsia" w:hAnsi="宋体"/>
                <w:color w:val="auto"/>
                <w:sz w:val="24"/>
              </w:rPr>
              <w:t>参加工作时间</w:t>
            </w:r>
          </w:p>
        </w:tc>
        <w:tc>
          <w:tcPr>
            <w:tcW w:w="2520" w:type="dxa"/>
            <w:gridSpan w:val="3"/>
            <w:tcBorders>
              <w:left w:val="single" w:color="auto" w:sz="4" w:space="0"/>
              <w:bottom w:val="single" w:color="000000" w:sz="4" w:space="0"/>
              <w:right w:val="single" w:color="000000" w:sz="4" w:space="0"/>
            </w:tcBorders>
          </w:tcPr>
          <w:p>
            <w:pPr>
              <w:autoSpaceDE w:val="0"/>
              <w:autoSpaceDN w:val="0"/>
              <w:rPr>
                <w:rFonts w:hAnsi="宋体"/>
                <w:color w:val="auto"/>
                <w:sz w:val="24"/>
              </w:rPr>
            </w:pPr>
          </w:p>
        </w:tc>
        <w:tc>
          <w:tcPr>
            <w:tcW w:w="2700" w:type="dxa"/>
            <w:gridSpan w:val="3"/>
            <w:tcBorders>
              <w:left w:val="single" w:color="auto" w:sz="4" w:space="0"/>
              <w:bottom w:val="single" w:color="000000" w:sz="4" w:space="0"/>
              <w:right w:val="single" w:color="000000" w:sz="4" w:space="0"/>
            </w:tcBorders>
            <w:vAlign w:val="center"/>
          </w:tcPr>
          <w:p>
            <w:pPr>
              <w:autoSpaceDE w:val="0"/>
              <w:autoSpaceDN w:val="0"/>
              <w:jc w:val="center"/>
              <w:rPr>
                <w:rFonts w:hAnsi="宋体"/>
                <w:color w:val="auto"/>
                <w:sz w:val="24"/>
              </w:rPr>
            </w:pPr>
            <w:r>
              <w:rPr>
                <w:rFonts w:hint="eastAsia" w:hAnsi="宋体"/>
                <w:color w:val="auto"/>
                <w:sz w:val="24"/>
              </w:rPr>
              <w:t>担任技术负责人年限</w:t>
            </w:r>
          </w:p>
        </w:tc>
        <w:tc>
          <w:tcPr>
            <w:tcW w:w="2216" w:type="dxa"/>
            <w:gridSpan w:val="2"/>
            <w:tcBorders>
              <w:left w:val="single" w:color="auto" w:sz="4" w:space="0"/>
              <w:bottom w:val="single" w:color="auto" w:sz="4" w:space="0"/>
              <w:right w:val="single" w:color="000000" w:sz="4" w:space="0"/>
            </w:tcBorders>
          </w:tcPr>
          <w:p>
            <w:pPr>
              <w:autoSpaceDE w:val="0"/>
              <w:autoSpaceDN w:val="0"/>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16" w:type="dxa"/>
            <w:gridSpan w:val="11"/>
            <w:tcBorders>
              <w:bottom w:val="single" w:color="000000" w:sz="4" w:space="0"/>
              <w:right w:val="single" w:color="000000" w:sz="4" w:space="0"/>
            </w:tcBorders>
            <w:vAlign w:val="center"/>
          </w:tcPr>
          <w:p>
            <w:pPr>
              <w:autoSpaceDE w:val="0"/>
              <w:autoSpaceDN w:val="0"/>
              <w:jc w:val="center"/>
              <w:rPr>
                <w:rFonts w:hAnsi="宋体"/>
                <w:b/>
                <w:bCs/>
                <w:color w:val="auto"/>
                <w:sz w:val="24"/>
              </w:rPr>
            </w:pPr>
            <w:r>
              <w:rPr>
                <w:rFonts w:hint="eastAsia" w:hAnsi="宋体"/>
                <w:color w:val="auto"/>
                <w:sz w:val="24"/>
              </w:rPr>
              <w:t>已完成工程项目情况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vAlign w:val="center"/>
          </w:tcPr>
          <w:p>
            <w:pPr>
              <w:autoSpaceDE w:val="0"/>
              <w:autoSpaceDN w:val="0"/>
              <w:jc w:val="center"/>
              <w:rPr>
                <w:rFonts w:hAnsi="宋体"/>
                <w:color w:val="auto"/>
                <w:sz w:val="24"/>
              </w:rPr>
            </w:pPr>
            <w:r>
              <w:rPr>
                <w:rFonts w:hint="eastAsia" w:hAnsi="宋体"/>
                <w:color w:val="auto"/>
                <w:sz w:val="24"/>
              </w:rPr>
              <w:t>建设单位</w:t>
            </w:r>
          </w:p>
        </w:tc>
        <w:tc>
          <w:tcPr>
            <w:tcW w:w="1800" w:type="dxa"/>
            <w:gridSpan w:val="2"/>
            <w:tcBorders>
              <w:bottom w:val="single" w:color="000000" w:sz="4" w:space="0"/>
              <w:right w:val="single" w:color="000000" w:sz="4" w:space="0"/>
            </w:tcBorders>
            <w:vAlign w:val="center"/>
          </w:tcPr>
          <w:p>
            <w:pPr>
              <w:autoSpaceDE w:val="0"/>
              <w:autoSpaceDN w:val="0"/>
              <w:jc w:val="center"/>
              <w:rPr>
                <w:rFonts w:hAnsi="宋体"/>
                <w:color w:val="auto"/>
                <w:sz w:val="24"/>
              </w:rPr>
            </w:pPr>
            <w:r>
              <w:rPr>
                <w:rFonts w:hint="eastAsia" w:hAnsi="宋体"/>
                <w:color w:val="auto"/>
                <w:sz w:val="24"/>
              </w:rPr>
              <w:t>项目名称</w:t>
            </w:r>
          </w:p>
        </w:tc>
        <w:tc>
          <w:tcPr>
            <w:tcW w:w="1530" w:type="dxa"/>
            <w:gridSpan w:val="3"/>
            <w:tcBorders>
              <w:bottom w:val="single" w:color="000000" w:sz="4" w:space="0"/>
              <w:right w:val="single" w:color="000000" w:sz="4" w:space="0"/>
            </w:tcBorders>
            <w:vAlign w:val="center"/>
          </w:tcPr>
          <w:p>
            <w:pPr>
              <w:autoSpaceDE w:val="0"/>
              <w:autoSpaceDN w:val="0"/>
              <w:jc w:val="center"/>
              <w:rPr>
                <w:rFonts w:hAnsi="宋体"/>
                <w:color w:val="auto"/>
                <w:sz w:val="24"/>
              </w:rPr>
            </w:pPr>
            <w:r>
              <w:rPr>
                <w:rFonts w:hint="eastAsia" w:hAnsi="宋体"/>
                <w:color w:val="auto"/>
                <w:sz w:val="24"/>
              </w:rPr>
              <w:t>建设规模</w:t>
            </w:r>
          </w:p>
        </w:tc>
        <w:tc>
          <w:tcPr>
            <w:tcW w:w="1530" w:type="dxa"/>
            <w:tcBorders>
              <w:bottom w:val="single" w:color="000000" w:sz="4" w:space="0"/>
              <w:right w:val="single" w:color="auto" w:sz="4" w:space="0"/>
            </w:tcBorders>
            <w:vAlign w:val="center"/>
          </w:tcPr>
          <w:p>
            <w:pPr>
              <w:autoSpaceDE w:val="0"/>
              <w:autoSpaceDN w:val="0"/>
              <w:jc w:val="center"/>
              <w:rPr>
                <w:rFonts w:hAnsi="宋体"/>
                <w:color w:val="auto"/>
                <w:sz w:val="24"/>
              </w:rPr>
            </w:pPr>
            <w:r>
              <w:rPr>
                <w:rFonts w:hint="eastAsia" w:hAnsi="宋体"/>
                <w:color w:val="auto"/>
                <w:sz w:val="24"/>
              </w:rPr>
              <w:t>结构类型</w:t>
            </w:r>
          </w:p>
        </w:tc>
        <w:tc>
          <w:tcPr>
            <w:tcW w:w="1766" w:type="dxa"/>
            <w:gridSpan w:val="2"/>
            <w:tcBorders>
              <w:left w:val="single" w:color="auto" w:sz="4" w:space="0"/>
              <w:bottom w:val="single" w:color="000000" w:sz="4" w:space="0"/>
              <w:right w:val="single" w:color="000000" w:sz="4" w:space="0"/>
            </w:tcBorders>
            <w:vAlign w:val="center"/>
          </w:tcPr>
          <w:p>
            <w:pPr>
              <w:autoSpaceDE w:val="0"/>
              <w:autoSpaceDN w:val="0"/>
              <w:jc w:val="center"/>
              <w:rPr>
                <w:rFonts w:hAnsi="宋体"/>
                <w:color w:val="auto"/>
                <w:sz w:val="24"/>
              </w:rPr>
            </w:pPr>
            <w:r>
              <w:rPr>
                <w:rFonts w:hint="eastAsia" w:hAnsi="宋体"/>
                <w:color w:val="auto"/>
                <w:sz w:val="24"/>
              </w:rPr>
              <w:t>开、竣工日期</w:t>
            </w:r>
          </w:p>
        </w:tc>
        <w:tc>
          <w:tcPr>
            <w:tcW w:w="1530" w:type="dxa"/>
            <w:tcBorders>
              <w:bottom w:val="single" w:color="000000" w:sz="4" w:space="0"/>
              <w:right w:val="single" w:color="000000" w:sz="4" w:space="0"/>
            </w:tcBorders>
            <w:vAlign w:val="center"/>
          </w:tcPr>
          <w:p>
            <w:pPr>
              <w:autoSpaceDE w:val="0"/>
              <w:autoSpaceDN w:val="0"/>
              <w:jc w:val="center"/>
              <w:rPr>
                <w:rFonts w:hAnsi="宋体"/>
                <w:color w:val="auto"/>
                <w:sz w:val="24"/>
              </w:rPr>
            </w:pPr>
            <w:r>
              <w:rPr>
                <w:rFonts w:hint="eastAsia" w:hAnsi="宋体"/>
                <w:color w:val="auto"/>
                <w:sz w:val="24"/>
              </w:rPr>
              <w:t>工程质量</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rPr>
                <w:rFonts w:hAnsi="宋体"/>
                <w:color w:val="auto"/>
                <w:sz w:val="24"/>
              </w:rPr>
            </w:pPr>
          </w:p>
        </w:tc>
        <w:tc>
          <w:tcPr>
            <w:tcW w:w="1800" w:type="dxa"/>
            <w:gridSpan w:val="2"/>
            <w:tcBorders>
              <w:bottom w:val="single" w:color="000000" w:sz="4" w:space="0"/>
              <w:right w:val="single" w:color="000000" w:sz="4" w:space="0"/>
            </w:tcBorders>
          </w:tcPr>
          <w:p>
            <w:pPr>
              <w:autoSpaceDE w:val="0"/>
              <w:autoSpaceDN w:val="0"/>
              <w:rPr>
                <w:rFonts w:hAnsi="宋体"/>
                <w:color w:val="auto"/>
                <w:sz w:val="24"/>
              </w:rPr>
            </w:pPr>
          </w:p>
        </w:tc>
        <w:tc>
          <w:tcPr>
            <w:tcW w:w="1530" w:type="dxa"/>
            <w:gridSpan w:val="3"/>
            <w:tcBorders>
              <w:bottom w:val="single" w:color="000000" w:sz="4" w:space="0"/>
              <w:right w:val="single" w:color="000000" w:sz="4" w:space="0"/>
            </w:tcBorders>
          </w:tcPr>
          <w:p>
            <w:pPr>
              <w:autoSpaceDE w:val="0"/>
              <w:autoSpaceDN w:val="0"/>
              <w:rPr>
                <w:rFonts w:hAnsi="宋体"/>
                <w:color w:val="auto"/>
                <w:sz w:val="24"/>
              </w:rPr>
            </w:pPr>
          </w:p>
        </w:tc>
        <w:tc>
          <w:tcPr>
            <w:tcW w:w="1530" w:type="dxa"/>
            <w:tcBorders>
              <w:bottom w:val="single" w:color="000000" w:sz="4" w:space="0"/>
              <w:right w:val="single" w:color="auto" w:sz="4" w:space="0"/>
            </w:tcBorders>
          </w:tcPr>
          <w:p>
            <w:pPr>
              <w:autoSpaceDE w:val="0"/>
              <w:autoSpaceDN w:val="0"/>
              <w:rPr>
                <w:rFonts w:hAnsi="宋体"/>
                <w:color w:val="auto"/>
                <w:sz w:val="24"/>
              </w:rPr>
            </w:pPr>
          </w:p>
        </w:tc>
        <w:tc>
          <w:tcPr>
            <w:tcW w:w="1766" w:type="dxa"/>
            <w:gridSpan w:val="2"/>
            <w:tcBorders>
              <w:left w:val="single" w:color="auto" w:sz="4" w:space="0"/>
              <w:bottom w:val="single" w:color="000000" w:sz="4" w:space="0"/>
              <w:right w:val="single" w:color="000000" w:sz="4" w:space="0"/>
            </w:tcBorders>
          </w:tcPr>
          <w:p>
            <w:pPr>
              <w:autoSpaceDE w:val="0"/>
              <w:autoSpaceDN w:val="0"/>
              <w:rPr>
                <w:rFonts w:hAnsi="宋体"/>
                <w:color w:val="auto"/>
                <w:sz w:val="24"/>
              </w:rPr>
            </w:pPr>
          </w:p>
        </w:tc>
        <w:tc>
          <w:tcPr>
            <w:tcW w:w="1530" w:type="dxa"/>
            <w:tcBorders>
              <w:bottom w:val="single" w:color="000000" w:sz="4" w:space="0"/>
              <w:right w:val="single" w:color="000000" w:sz="4" w:space="0"/>
            </w:tcBorders>
          </w:tcPr>
          <w:p>
            <w:pPr>
              <w:autoSpaceDE w:val="0"/>
              <w:autoSpaceDN w:val="0"/>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rPr>
                <w:rFonts w:hAnsi="宋体"/>
                <w:color w:val="auto"/>
                <w:sz w:val="24"/>
              </w:rPr>
            </w:pPr>
          </w:p>
        </w:tc>
        <w:tc>
          <w:tcPr>
            <w:tcW w:w="1800" w:type="dxa"/>
            <w:gridSpan w:val="2"/>
            <w:tcBorders>
              <w:bottom w:val="single" w:color="000000" w:sz="4" w:space="0"/>
              <w:right w:val="single" w:color="000000" w:sz="4" w:space="0"/>
            </w:tcBorders>
          </w:tcPr>
          <w:p>
            <w:pPr>
              <w:autoSpaceDE w:val="0"/>
              <w:autoSpaceDN w:val="0"/>
              <w:rPr>
                <w:rFonts w:hAnsi="宋体"/>
                <w:color w:val="auto"/>
                <w:sz w:val="24"/>
              </w:rPr>
            </w:pPr>
          </w:p>
        </w:tc>
        <w:tc>
          <w:tcPr>
            <w:tcW w:w="1530" w:type="dxa"/>
            <w:gridSpan w:val="3"/>
            <w:tcBorders>
              <w:bottom w:val="single" w:color="000000" w:sz="4" w:space="0"/>
              <w:right w:val="single" w:color="000000" w:sz="4" w:space="0"/>
            </w:tcBorders>
          </w:tcPr>
          <w:p>
            <w:pPr>
              <w:autoSpaceDE w:val="0"/>
              <w:autoSpaceDN w:val="0"/>
              <w:rPr>
                <w:rFonts w:hAnsi="宋体"/>
                <w:color w:val="auto"/>
                <w:sz w:val="24"/>
              </w:rPr>
            </w:pPr>
          </w:p>
        </w:tc>
        <w:tc>
          <w:tcPr>
            <w:tcW w:w="1530" w:type="dxa"/>
            <w:tcBorders>
              <w:bottom w:val="single" w:color="000000" w:sz="4" w:space="0"/>
              <w:right w:val="single" w:color="auto" w:sz="4" w:space="0"/>
            </w:tcBorders>
          </w:tcPr>
          <w:p>
            <w:pPr>
              <w:autoSpaceDE w:val="0"/>
              <w:autoSpaceDN w:val="0"/>
              <w:rPr>
                <w:rFonts w:hAnsi="宋体"/>
                <w:color w:val="auto"/>
                <w:sz w:val="24"/>
              </w:rPr>
            </w:pPr>
          </w:p>
        </w:tc>
        <w:tc>
          <w:tcPr>
            <w:tcW w:w="1766" w:type="dxa"/>
            <w:gridSpan w:val="2"/>
            <w:tcBorders>
              <w:left w:val="single" w:color="auto" w:sz="4" w:space="0"/>
              <w:bottom w:val="single" w:color="000000" w:sz="4" w:space="0"/>
              <w:right w:val="single" w:color="000000" w:sz="4" w:space="0"/>
            </w:tcBorders>
          </w:tcPr>
          <w:p>
            <w:pPr>
              <w:autoSpaceDE w:val="0"/>
              <w:autoSpaceDN w:val="0"/>
              <w:rPr>
                <w:rFonts w:hAnsi="宋体"/>
                <w:color w:val="auto"/>
                <w:sz w:val="24"/>
              </w:rPr>
            </w:pPr>
          </w:p>
        </w:tc>
        <w:tc>
          <w:tcPr>
            <w:tcW w:w="1530" w:type="dxa"/>
            <w:tcBorders>
              <w:bottom w:val="single" w:color="000000" w:sz="4" w:space="0"/>
              <w:right w:val="single" w:color="000000" w:sz="4" w:space="0"/>
            </w:tcBorders>
          </w:tcPr>
          <w:p>
            <w:pPr>
              <w:autoSpaceDE w:val="0"/>
              <w:autoSpaceDN w:val="0"/>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rPr>
                <w:rFonts w:hAnsi="宋体"/>
                <w:color w:val="auto"/>
                <w:sz w:val="24"/>
              </w:rPr>
            </w:pPr>
          </w:p>
        </w:tc>
        <w:tc>
          <w:tcPr>
            <w:tcW w:w="1800" w:type="dxa"/>
            <w:gridSpan w:val="2"/>
            <w:tcBorders>
              <w:bottom w:val="single" w:color="000000" w:sz="4" w:space="0"/>
              <w:right w:val="single" w:color="000000" w:sz="4" w:space="0"/>
            </w:tcBorders>
          </w:tcPr>
          <w:p>
            <w:pPr>
              <w:autoSpaceDE w:val="0"/>
              <w:autoSpaceDN w:val="0"/>
              <w:rPr>
                <w:rFonts w:hAnsi="宋体"/>
                <w:color w:val="auto"/>
                <w:sz w:val="24"/>
              </w:rPr>
            </w:pPr>
          </w:p>
        </w:tc>
        <w:tc>
          <w:tcPr>
            <w:tcW w:w="1530" w:type="dxa"/>
            <w:gridSpan w:val="3"/>
            <w:tcBorders>
              <w:bottom w:val="single" w:color="000000" w:sz="4" w:space="0"/>
              <w:right w:val="single" w:color="000000" w:sz="4" w:space="0"/>
            </w:tcBorders>
          </w:tcPr>
          <w:p>
            <w:pPr>
              <w:autoSpaceDE w:val="0"/>
              <w:autoSpaceDN w:val="0"/>
              <w:rPr>
                <w:rFonts w:hAnsi="宋体"/>
                <w:color w:val="auto"/>
                <w:sz w:val="24"/>
              </w:rPr>
            </w:pPr>
          </w:p>
        </w:tc>
        <w:tc>
          <w:tcPr>
            <w:tcW w:w="1530" w:type="dxa"/>
            <w:tcBorders>
              <w:bottom w:val="single" w:color="000000" w:sz="4" w:space="0"/>
              <w:right w:val="single" w:color="auto" w:sz="4" w:space="0"/>
            </w:tcBorders>
          </w:tcPr>
          <w:p>
            <w:pPr>
              <w:autoSpaceDE w:val="0"/>
              <w:autoSpaceDN w:val="0"/>
              <w:rPr>
                <w:rFonts w:hAnsi="宋体"/>
                <w:color w:val="auto"/>
                <w:sz w:val="24"/>
              </w:rPr>
            </w:pPr>
          </w:p>
        </w:tc>
        <w:tc>
          <w:tcPr>
            <w:tcW w:w="1766" w:type="dxa"/>
            <w:gridSpan w:val="2"/>
            <w:tcBorders>
              <w:left w:val="single" w:color="auto" w:sz="4" w:space="0"/>
              <w:bottom w:val="single" w:color="000000" w:sz="4" w:space="0"/>
              <w:right w:val="single" w:color="000000" w:sz="4" w:space="0"/>
            </w:tcBorders>
          </w:tcPr>
          <w:p>
            <w:pPr>
              <w:autoSpaceDE w:val="0"/>
              <w:autoSpaceDN w:val="0"/>
              <w:rPr>
                <w:rFonts w:hAnsi="宋体"/>
                <w:color w:val="auto"/>
                <w:sz w:val="24"/>
              </w:rPr>
            </w:pPr>
          </w:p>
        </w:tc>
        <w:tc>
          <w:tcPr>
            <w:tcW w:w="1530" w:type="dxa"/>
            <w:tcBorders>
              <w:bottom w:val="single" w:color="000000" w:sz="4" w:space="0"/>
              <w:right w:val="single" w:color="000000" w:sz="4" w:space="0"/>
            </w:tcBorders>
          </w:tcPr>
          <w:p>
            <w:pPr>
              <w:autoSpaceDE w:val="0"/>
              <w:autoSpaceDN w:val="0"/>
              <w:rPr>
                <w:rFonts w:hAnsi="宋体"/>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60" w:type="dxa"/>
            <w:gridSpan w:val="2"/>
            <w:tcBorders>
              <w:bottom w:val="single" w:color="000000" w:sz="4" w:space="0"/>
              <w:right w:val="single" w:color="000000" w:sz="4" w:space="0"/>
            </w:tcBorders>
          </w:tcPr>
          <w:p>
            <w:pPr>
              <w:autoSpaceDE w:val="0"/>
              <w:autoSpaceDN w:val="0"/>
              <w:rPr>
                <w:rFonts w:hAnsi="宋体"/>
                <w:color w:val="auto"/>
                <w:sz w:val="24"/>
              </w:rPr>
            </w:pPr>
          </w:p>
        </w:tc>
        <w:tc>
          <w:tcPr>
            <w:tcW w:w="1800" w:type="dxa"/>
            <w:gridSpan w:val="2"/>
            <w:tcBorders>
              <w:bottom w:val="single" w:color="000000" w:sz="4" w:space="0"/>
              <w:right w:val="single" w:color="000000" w:sz="4" w:space="0"/>
            </w:tcBorders>
          </w:tcPr>
          <w:p>
            <w:pPr>
              <w:autoSpaceDE w:val="0"/>
              <w:autoSpaceDN w:val="0"/>
              <w:rPr>
                <w:rFonts w:hAnsi="宋体"/>
                <w:color w:val="auto"/>
                <w:sz w:val="24"/>
              </w:rPr>
            </w:pPr>
          </w:p>
        </w:tc>
        <w:tc>
          <w:tcPr>
            <w:tcW w:w="1530" w:type="dxa"/>
            <w:gridSpan w:val="3"/>
            <w:tcBorders>
              <w:bottom w:val="single" w:color="000000" w:sz="4" w:space="0"/>
              <w:right w:val="single" w:color="000000" w:sz="4" w:space="0"/>
            </w:tcBorders>
          </w:tcPr>
          <w:p>
            <w:pPr>
              <w:autoSpaceDE w:val="0"/>
              <w:autoSpaceDN w:val="0"/>
              <w:rPr>
                <w:rFonts w:hAnsi="宋体"/>
                <w:color w:val="auto"/>
                <w:sz w:val="24"/>
              </w:rPr>
            </w:pPr>
          </w:p>
        </w:tc>
        <w:tc>
          <w:tcPr>
            <w:tcW w:w="1530" w:type="dxa"/>
            <w:tcBorders>
              <w:bottom w:val="single" w:color="000000" w:sz="4" w:space="0"/>
              <w:right w:val="single" w:color="auto" w:sz="4" w:space="0"/>
            </w:tcBorders>
          </w:tcPr>
          <w:p>
            <w:pPr>
              <w:autoSpaceDE w:val="0"/>
              <w:autoSpaceDN w:val="0"/>
              <w:rPr>
                <w:rFonts w:hAnsi="宋体"/>
                <w:color w:val="auto"/>
                <w:sz w:val="24"/>
              </w:rPr>
            </w:pPr>
          </w:p>
        </w:tc>
        <w:tc>
          <w:tcPr>
            <w:tcW w:w="1766" w:type="dxa"/>
            <w:gridSpan w:val="2"/>
            <w:tcBorders>
              <w:left w:val="single" w:color="auto" w:sz="4" w:space="0"/>
              <w:bottom w:val="single" w:color="000000" w:sz="4" w:space="0"/>
              <w:right w:val="single" w:color="000000" w:sz="4" w:space="0"/>
            </w:tcBorders>
          </w:tcPr>
          <w:p>
            <w:pPr>
              <w:autoSpaceDE w:val="0"/>
              <w:autoSpaceDN w:val="0"/>
              <w:rPr>
                <w:rFonts w:hAnsi="宋体"/>
                <w:color w:val="auto"/>
                <w:sz w:val="24"/>
              </w:rPr>
            </w:pPr>
          </w:p>
        </w:tc>
        <w:tc>
          <w:tcPr>
            <w:tcW w:w="1530" w:type="dxa"/>
            <w:tcBorders>
              <w:bottom w:val="single" w:color="000000" w:sz="4" w:space="0"/>
              <w:right w:val="single" w:color="000000" w:sz="4" w:space="0"/>
            </w:tcBorders>
          </w:tcPr>
          <w:p>
            <w:pPr>
              <w:autoSpaceDE w:val="0"/>
              <w:autoSpaceDN w:val="0"/>
              <w:rPr>
                <w:rFonts w:hAnsi="宋体"/>
                <w:color w:val="auto"/>
                <w:sz w:val="24"/>
              </w:rPr>
            </w:pPr>
          </w:p>
        </w:tc>
      </w:tr>
    </w:tbl>
    <w:p>
      <w:pPr>
        <w:pStyle w:val="207"/>
        <w:spacing w:line="360" w:lineRule="auto"/>
        <w:ind w:firstLine="420" w:firstLineChars="200"/>
        <w:rPr>
          <w:rFonts w:hAnsi="宋体"/>
          <w:color w:val="auto"/>
          <w:szCs w:val="21"/>
        </w:rPr>
      </w:pPr>
      <w:r>
        <w:rPr>
          <w:rFonts w:hint="eastAsia" w:hAnsi="宋体"/>
          <w:color w:val="auto"/>
          <w:szCs w:val="21"/>
        </w:rPr>
        <w:t>附：职称证书复印件，并加盖单位公章。</w:t>
      </w:r>
    </w:p>
    <w:p>
      <w:pPr>
        <w:pStyle w:val="207"/>
        <w:spacing w:line="360" w:lineRule="auto"/>
        <w:ind w:firstLine="420" w:firstLineChars="200"/>
        <w:rPr>
          <w:rFonts w:hint="eastAsia" w:ascii="宋体" w:hAnsi="宋体" w:eastAsia="宋体" w:cs="宋体"/>
          <w:color w:val="000000"/>
          <w:szCs w:val="21"/>
          <w:highlight w:val="none"/>
        </w:rPr>
      </w:pPr>
    </w:p>
    <w:p>
      <w:pPr>
        <w:pStyle w:val="14"/>
      </w:pP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pStyle w:val="14"/>
        <w:rPr>
          <w:rFonts w:asciiTheme="minorEastAsia" w:hAnsiTheme="minorEastAsia" w:eastAsiaTheme="minorEastAsia"/>
          <w:b/>
          <w:color w:val="auto"/>
          <w:sz w:val="28"/>
          <w:szCs w:val="28"/>
        </w:rPr>
      </w:pPr>
    </w:p>
    <w:p>
      <w:pPr>
        <w:pStyle w:val="14"/>
        <w:rPr>
          <w:rFonts w:asciiTheme="minorEastAsia" w:hAnsiTheme="minorEastAsia" w:eastAsiaTheme="minorEastAsia"/>
          <w:b/>
          <w:color w:val="auto"/>
          <w:sz w:val="28"/>
          <w:szCs w:val="28"/>
        </w:rPr>
      </w:pPr>
    </w:p>
    <w:p>
      <w:pPr>
        <w:pStyle w:val="14"/>
        <w:rPr>
          <w:rFonts w:asciiTheme="minorEastAsia" w:hAnsiTheme="minorEastAsia" w:eastAsiaTheme="minorEastAsia"/>
          <w:b/>
          <w:color w:val="auto"/>
          <w:sz w:val="28"/>
          <w:szCs w:val="28"/>
        </w:rPr>
      </w:pPr>
    </w:p>
    <w:p>
      <w:pPr>
        <w:pStyle w:val="14"/>
        <w:rPr>
          <w:rFonts w:asciiTheme="minorEastAsia" w:hAnsiTheme="minorEastAsia" w:eastAsiaTheme="minorEastAsia"/>
          <w:b/>
          <w:color w:val="auto"/>
          <w:sz w:val="28"/>
          <w:szCs w:val="28"/>
        </w:rPr>
      </w:pPr>
    </w:p>
    <w:p>
      <w:pPr>
        <w:pStyle w:val="14"/>
        <w:rPr>
          <w:rFonts w:asciiTheme="minorEastAsia" w:hAnsiTheme="minorEastAsia" w:eastAsiaTheme="minorEastAsia"/>
          <w:b/>
          <w:color w:val="auto"/>
          <w:sz w:val="28"/>
          <w:szCs w:val="28"/>
        </w:rPr>
      </w:pPr>
    </w:p>
    <w:p>
      <w:pPr>
        <w:spacing w:line="480" w:lineRule="exact"/>
        <w:jc w:val="center"/>
        <w:rPr>
          <w:rFonts w:hAnsi="宋体"/>
          <w:b/>
          <w:color w:val="auto"/>
          <w:sz w:val="28"/>
          <w:szCs w:val="28"/>
        </w:rPr>
      </w:pPr>
    </w:p>
    <w:p>
      <w:pPr>
        <w:spacing w:line="480" w:lineRule="exact"/>
        <w:jc w:val="center"/>
        <w:rPr>
          <w:rFonts w:hAnsi="宋体"/>
          <w:b/>
          <w:color w:val="auto"/>
          <w:sz w:val="28"/>
          <w:szCs w:val="28"/>
        </w:rPr>
      </w:pPr>
    </w:p>
    <w:p>
      <w:pPr>
        <w:pStyle w:val="14"/>
        <w:rPr>
          <w:rFonts w:hint="eastAsia" w:cs="Arial" w:asciiTheme="minorEastAsia" w:hAnsiTheme="minorEastAsia" w:eastAsiaTheme="minorEastAsia"/>
          <w:color w:val="auto"/>
          <w:szCs w:val="21"/>
        </w:rPr>
      </w:pPr>
    </w:p>
    <w:p>
      <w:pPr>
        <w:autoSpaceDE w:val="0"/>
        <w:autoSpaceDN w:val="0"/>
        <w:adjustRightInd w:val="0"/>
        <w:spacing w:line="360" w:lineRule="auto"/>
        <w:ind w:right="384" w:rightChars="183"/>
        <w:jc w:val="left"/>
        <w:outlineLvl w:val="0"/>
        <w:rPr>
          <w:rFonts w:cs="Arial" w:asciiTheme="minorEastAsia" w:hAnsiTheme="minorEastAsia" w:eastAsiaTheme="minorEastAsia"/>
          <w:color w:val="auto"/>
          <w:szCs w:val="21"/>
        </w:rPr>
      </w:pPr>
      <w:bookmarkStart w:id="697" w:name="_Toc7023"/>
      <w:bookmarkStart w:id="698" w:name="_Toc6339_WPSOffice_Level1"/>
      <w:r>
        <w:rPr>
          <w:rFonts w:hint="eastAsia" w:cs="Arial" w:asciiTheme="minorEastAsia" w:hAnsiTheme="minorEastAsia" w:eastAsiaTheme="minorEastAsia"/>
          <w:color w:val="auto"/>
          <w:szCs w:val="21"/>
        </w:rPr>
        <w:t>附件十二：</w:t>
      </w:r>
      <w:bookmarkEnd w:id="697"/>
      <w:bookmarkEnd w:id="698"/>
    </w:p>
    <w:p>
      <w:pPr>
        <w:spacing w:line="480" w:lineRule="exact"/>
        <w:jc w:val="center"/>
        <w:rPr>
          <w:rFonts w:hAnsi="宋体"/>
          <w:b/>
          <w:color w:val="auto"/>
          <w:sz w:val="28"/>
          <w:szCs w:val="28"/>
        </w:rPr>
      </w:pPr>
    </w:p>
    <w:p>
      <w:pPr>
        <w:spacing w:line="480" w:lineRule="exact"/>
        <w:jc w:val="center"/>
        <w:rPr>
          <w:rFonts w:hAnsi="宋体"/>
          <w:b/>
          <w:color w:val="auto"/>
          <w:sz w:val="28"/>
          <w:szCs w:val="28"/>
        </w:rPr>
      </w:pPr>
      <w:r>
        <w:rPr>
          <w:rFonts w:hint="eastAsia" w:hAnsi="宋体"/>
          <w:b/>
          <w:color w:val="auto"/>
          <w:sz w:val="28"/>
          <w:szCs w:val="28"/>
        </w:rPr>
        <w:t>主要施工管理人员表</w:t>
      </w:r>
    </w:p>
    <w:p>
      <w:pPr>
        <w:spacing w:line="480" w:lineRule="exact"/>
        <w:rPr>
          <w:rFonts w:hAnsi="宋体"/>
          <w:color w:val="auto"/>
          <w:sz w:val="24"/>
          <w:szCs w:val="28"/>
        </w:rPr>
      </w:pPr>
    </w:p>
    <w:tbl>
      <w:tblPr>
        <w:tblStyle w:val="54"/>
        <w:tblW w:w="9188" w:type="dxa"/>
        <w:tblInd w:w="108"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323"/>
        <w:gridCol w:w="1267"/>
        <w:gridCol w:w="2007"/>
        <w:gridCol w:w="1750"/>
        <w:gridCol w:w="1841"/>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PrEx>
        <w:trPr>
          <w:cantSplit/>
          <w:trHeight w:val="528" w:hRule="atLeast"/>
        </w:trPr>
        <w:tc>
          <w:tcPr>
            <w:tcW w:w="2323" w:type="dxa"/>
            <w:tcBorders>
              <w:bottom w:val="single" w:color="000000" w:sz="4" w:space="0"/>
              <w:right w:val="single" w:color="000000" w:sz="4" w:space="0"/>
            </w:tcBorders>
          </w:tcPr>
          <w:p>
            <w:pPr>
              <w:autoSpaceDE w:val="0"/>
              <w:autoSpaceDN w:val="0"/>
              <w:spacing w:line="480" w:lineRule="exact"/>
              <w:jc w:val="center"/>
              <w:rPr>
                <w:rFonts w:ascii="Arial" w:hAnsi="Arial" w:cs="Arial"/>
                <w:color w:val="auto"/>
                <w:sz w:val="24"/>
              </w:rPr>
            </w:pPr>
            <w:r>
              <w:rPr>
                <w:rFonts w:ascii="Arial" w:hAnsi="宋体" w:cs="Arial"/>
                <w:color w:val="auto"/>
                <w:sz w:val="24"/>
              </w:rPr>
              <w:t>名称</w:t>
            </w:r>
          </w:p>
        </w:tc>
        <w:tc>
          <w:tcPr>
            <w:tcW w:w="1267" w:type="dxa"/>
            <w:tcBorders>
              <w:bottom w:val="single" w:color="000000" w:sz="4" w:space="0"/>
              <w:right w:val="single" w:color="000000" w:sz="4" w:space="0"/>
            </w:tcBorders>
          </w:tcPr>
          <w:p>
            <w:pPr>
              <w:autoSpaceDE w:val="0"/>
              <w:autoSpaceDN w:val="0"/>
              <w:spacing w:line="480" w:lineRule="exact"/>
              <w:jc w:val="center"/>
              <w:rPr>
                <w:rFonts w:ascii="Arial" w:hAnsi="Arial" w:cs="Arial"/>
                <w:color w:val="auto"/>
                <w:sz w:val="24"/>
              </w:rPr>
            </w:pPr>
            <w:r>
              <w:rPr>
                <w:rFonts w:ascii="Arial" w:hAnsi="宋体" w:cs="Arial"/>
                <w:color w:val="auto"/>
                <w:sz w:val="24"/>
              </w:rPr>
              <w:t>姓名</w:t>
            </w:r>
          </w:p>
        </w:tc>
        <w:tc>
          <w:tcPr>
            <w:tcW w:w="2007" w:type="dxa"/>
            <w:tcBorders>
              <w:bottom w:val="single" w:color="000000" w:sz="4" w:space="0"/>
              <w:right w:val="single" w:color="000000" w:sz="4" w:space="0"/>
            </w:tcBorders>
          </w:tcPr>
          <w:p>
            <w:pPr>
              <w:autoSpaceDE w:val="0"/>
              <w:autoSpaceDN w:val="0"/>
              <w:spacing w:line="480" w:lineRule="exact"/>
              <w:jc w:val="center"/>
              <w:rPr>
                <w:rFonts w:ascii="Arial" w:hAnsi="Arial" w:cs="Arial"/>
                <w:color w:val="auto"/>
                <w:sz w:val="24"/>
              </w:rPr>
            </w:pPr>
            <w:r>
              <w:rPr>
                <w:rFonts w:ascii="Arial" w:hAnsi="宋体" w:cs="Arial"/>
                <w:color w:val="auto"/>
                <w:sz w:val="24"/>
              </w:rPr>
              <w:t>职称或职务</w:t>
            </w:r>
          </w:p>
        </w:tc>
        <w:tc>
          <w:tcPr>
            <w:tcW w:w="1750" w:type="dxa"/>
            <w:tcBorders>
              <w:bottom w:val="single" w:color="000000" w:sz="4" w:space="0"/>
              <w:right w:val="single" w:color="auto" w:sz="4" w:space="0"/>
            </w:tcBorders>
          </w:tcPr>
          <w:p>
            <w:pPr>
              <w:autoSpaceDE w:val="0"/>
              <w:autoSpaceDN w:val="0"/>
              <w:spacing w:line="480" w:lineRule="exact"/>
              <w:jc w:val="center"/>
              <w:rPr>
                <w:rFonts w:ascii="Arial" w:hAnsi="Arial" w:cs="Arial"/>
                <w:color w:val="auto"/>
                <w:sz w:val="24"/>
              </w:rPr>
            </w:pPr>
            <w:r>
              <w:rPr>
                <w:rFonts w:ascii="Arial" w:hAnsi="宋体" w:cs="Arial"/>
                <w:color w:val="auto"/>
                <w:sz w:val="24"/>
              </w:rPr>
              <w:t>管理内容</w:t>
            </w:r>
          </w:p>
        </w:tc>
        <w:tc>
          <w:tcPr>
            <w:tcW w:w="1841" w:type="dxa"/>
            <w:tcBorders>
              <w:left w:val="single" w:color="auto" w:sz="4" w:space="0"/>
              <w:bottom w:val="single" w:color="000000" w:sz="4" w:space="0"/>
              <w:right w:val="single" w:color="000000" w:sz="4" w:space="0"/>
            </w:tcBorders>
          </w:tcPr>
          <w:p>
            <w:pPr>
              <w:spacing w:line="480" w:lineRule="exact"/>
              <w:jc w:val="center"/>
              <w:rPr>
                <w:rFonts w:ascii="Arial" w:hAnsi="Arial" w:cs="Arial"/>
                <w:color w:val="auto"/>
                <w:sz w:val="24"/>
              </w:rPr>
            </w:pPr>
            <w:r>
              <w:rPr>
                <w:rFonts w:ascii="Arial" w:hAnsi="宋体" w:cs="Arial"/>
                <w:color w:val="auto"/>
                <w:sz w:val="24"/>
              </w:rPr>
              <w:t>岗位证书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2323"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r>
              <w:rPr>
                <w:rFonts w:ascii="Arial" w:hAnsi="Arial" w:cs="Arial"/>
                <w:color w:val="auto"/>
                <w:sz w:val="24"/>
              </w:rPr>
              <w:t>1</w:t>
            </w:r>
            <w:r>
              <w:rPr>
                <w:rFonts w:ascii="Arial" w:hAnsi="宋体" w:cs="Arial"/>
                <w:color w:val="auto"/>
                <w:sz w:val="24"/>
              </w:rPr>
              <w:t>、项目经理</w:t>
            </w:r>
          </w:p>
        </w:tc>
        <w:tc>
          <w:tcPr>
            <w:tcW w:w="126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200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1750" w:type="dxa"/>
            <w:tcBorders>
              <w:bottom w:val="single" w:color="000000" w:sz="4" w:space="0"/>
              <w:right w:val="single" w:color="auto" w:sz="4" w:space="0"/>
            </w:tcBorders>
          </w:tcPr>
          <w:p>
            <w:pPr>
              <w:autoSpaceDE w:val="0"/>
              <w:autoSpaceDN w:val="0"/>
              <w:spacing w:line="480" w:lineRule="exact"/>
              <w:rPr>
                <w:rFonts w:ascii="Arial" w:hAnsi="Arial" w:cs="Arial"/>
                <w:color w:val="auto"/>
                <w:sz w:val="24"/>
              </w:rPr>
            </w:pPr>
          </w:p>
        </w:tc>
        <w:tc>
          <w:tcPr>
            <w:tcW w:w="1841" w:type="dxa"/>
            <w:tcBorders>
              <w:left w:val="single" w:color="auto" w:sz="4" w:space="0"/>
              <w:bottom w:val="single" w:color="000000" w:sz="4" w:space="0"/>
              <w:right w:val="single" w:color="000000" w:sz="4" w:space="0"/>
            </w:tcBorders>
          </w:tcPr>
          <w:p>
            <w:pPr>
              <w:autoSpaceDE w:val="0"/>
              <w:autoSpaceDN w:val="0"/>
              <w:spacing w:line="480" w:lineRule="exact"/>
              <w:rPr>
                <w:rFonts w:ascii="Arial" w:hAnsi="Arial" w:cs="Arial"/>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2323"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r>
              <w:rPr>
                <w:rFonts w:hint="eastAsia" w:ascii="Arial" w:hAnsi="Arial" w:cs="Arial"/>
                <w:color w:val="auto"/>
                <w:sz w:val="24"/>
              </w:rPr>
              <w:t>2</w:t>
            </w:r>
            <w:r>
              <w:rPr>
                <w:rFonts w:ascii="Arial" w:hAnsi="宋体" w:cs="Arial"/>
                <w:color w:val="auto"/>
                <w:sz w:val="24"/>
              </w:rPr>
              <w:t>、项目技术负责人</w:t>
            </w:r>
          </w:p>
        </w:tc>
        <w:tc>
          <w:tcPr>
            <w:tcW w:w="126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200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1750" w:type="dxa"/>
            <w:tcBorders>
              <w:bottom w:val="single" w:color="000000" w:sz="4" w:space="0"/>
              <w:right w:val="single" w:color="auto" w:sz="4" w:space="0"/>
            </w:tcBorders>
          </w:tcPr>
          <w:p>
            <w:pPr>
              <w:autoSpaceDE w:val="0"/>
              <w:autoSpaceDN w:val="0"/>
              <w:spacing w:line="480" w:lineRule="exact"/>
              <w:rPr>
                <w:rFonts w:ascii="Arial" w:hAnsi="Arial" w:cs="Arial"/>
                <w:color w:val="auto"/>
                <w:sz w:val="24"/>
              </w:rPr>
            </w:pPr>
          </w:p>
        </w:tc>
        <w:tc>
          <w:tcPr>
            <w:tcW w:w="1841" w:type="dxa"/>
            <w:tcBorders>
              <w:left w:val="single" w:color="auto" w:sz="4" w:space="0"/>
              <w:bottom w:val="single" w:color="000000" w:sz="4" w:space="0"/>
              <w:right w:val="single" w:color="000000" w:sz="4" w:space="0"/>
            </w:tcBorders>
          </w:tcPr>
          <w:p>
            <w:pPr>
              <w:autoSpaceDE w:val="0"/>
              <w:autoSpaceDN w:val="0"/>
              <w:spacing w:line="480" w:lineRule="exact"/>
              <w:rPr>
                <w:rFonts w:ascii="Arial" w:hAnsi="Arial" w:cs="Arial"/>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2323"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r>
              <w:rPr>
                <w:rFonts w:hint="eastAsia" w:ascii="Arial" w:hAnsi="Arial" w:cs="Arial"/>
                <w:color w:val="auto"/>
                <w:sz w:val="24"/>
              </w:rPr>
              <w:t>3</w:t>
            </w:r>
            <w:r>
              <w:rPr>
                <w:rFonts w:ascii="Arial" w:hAnsi="宋体" w:cs="Arial"/>
                <w:color w:val="auto"/>
                <w:sz w:val="24"/>
              </w:rPr>
              <w:t>、质量管理</w:t>
            </w:r>
          </w:p>
        </w:tc>
        <w:tc>
          <w:tcPr>
            <w:tcW w:w="126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200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1750" w:type="dxa"/>
            <w:tcBorders>
              <w:bottom w:val="single" w:color="000000" w:sz="4" w:space="0"/>
              <w:right w:val="single" w:color="auto" w:sz="4" w:space="0"/>
            </w:tcBorders>
          </w:tcPr>
          <w:p>
            <w:pPr>
              <w:autoSpaceDE w:val="0"/>
              <w:autoSpaceDN w:val="0"/>
              <w:spacing w:line="480" w:lineRule="exact"/>
              <w:rPr>
                <w:rFonts w:ascii="Arial" w:hAnsi="Arial" w:cs="Arial"/>
                <w:color w:val="auto"/>
                <w:sz w:val="24"/>
              </w:rPr>
            </w:pPr>
          </w:p>
        </w:tc>
        <w:tc>
          <w:tcPr>
            <w:tcW w:w="1841" w:type="dxa"/>
            <w:tcBorders>
              <w:left w:val="single" w:color="auto" w:sz="4" w:space="0"/>
              <w:bottom w:val="single" w:color="000000" w:sz="4" w:space="0"/>
              <w:right w:val="single" w:color="000000" w:sz="4" w:space="0"/>
            </w:tcBorders>
          </w:tcPr>
          <w:p>
            <w:pPr>
              <w:autoSpaceDE w:val="0"/>
              <w:autoSpaceDN w:val="0"/>
              <w:spacing w:line="480" w:lineRule="exact"/>
              <w:rPr>
                <w:rFonts w:ascii="Arial" w:hAnsi="Arial" w:cs="Arial"/>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2323"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r>
              <w:rPr>
                <w:rFonts w:hint="eastAsia" w:ascii="Arial" w:hAnsi="Arial" w:cs="Arial"/>
                <w:color w:val="auto"/>
                <w:sz w:val="24"/>
              </w:rPr>
              <w:t>4</w:t>
            </w:r>
            <w:r>
              <w:rPr>
                <w:rFonts w:ascii="Arial" w:hAnsi="宋体" w:cs="Arial"/>
                <w:color w:val="auto"/>
                <w:sz w:val="24"/>
              </w:rPr>
              <w:t>、材料管理</w:t>
            </w:r>
          </w:p>
        </w:tc>
        <w:tc>
          <w:tcPr>
            <w:tcW w:w="126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200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1750" w:type="dxa"/>
            <w:tcBorders>
              <w:bottom w:val="single" w:color="000000" w:sz="4" w:space="0"/>
              <w:right w:val="single" w:color="auto" w:sz="4" w:space="0"/>
            </w:tcBorders>
          </w:tcPr>
          <w:p>
            <w:pPr>
              <w:autoSpaceDE w:val="0"/>
              <w:autoSpaceDN w:val="0"/>
              <w:spacing w:line="480" w:lineRule="exact"/>
              <w:rPr>
                <w:rFonts w:ascii="Arial" w:hAnsi="Arial" w:cs="Arial"/>
                <w:color w:val="auto"/>
                <w:sz w:val="24"/>
              </w:rPr>
            </w:pPr>
          </w:p>
        </w:tc>
        <w:tc>
          <w:tcPr>
            <w:tcW w:w="1841" w:type="dxa"/>
            <w:tcBorders>
              <w:left w:val="single" w:color="auto" w:sz="4" w:space="0"/>
              <w:bottom w:val="single" w:color="000000" w:sz="4" w:space="0"/>
              <w:right w:val="single" w:color="000000" w:sz="4" w:space="0"/>
            </w:tcBorders>
          </w:tcPr>
          <w:p>
            <w:pPr>
              <w:autoSpaceDE w:val="0"/>
              <w:autoSpaceDN w:val="0"/>
              <w:spacing w:line="480" w:lineRule="exact"/>
              <w:rPr>
                <w:rFonts w:ascii="Arial" w:hAnsi="Arial" w:cs="Arial"/>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2323"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r>
              <w:rPr>
                <w:rFonts w:hint="eastAsia" w:ascii="Arial" w:hAnsi="Arial" w:cs="Arial"/>
                <w:color w:val="auto"/>
                <w:sz w:val="24"/>
              </w:rPr>
              <w:t>5</w:t>
            </w:r>
            <w:r>
              <w:rPr>
                <w:rFonts w:ascii="Arial" w:hAnsi="宋体" w:cs="Arial"/>
                <w:color w:val="auto"/>
                <w:sz w:val="24"/>
              </w:rPr>
              <w:t>、安全管理</w:t>
            </w:r>
          </w:p>
        </w:tc>
        <w:tc>
          <w:tcPr>
            <w:tcW w:w="126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200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1750" w:type="dxa"/>
            <w:tcBorders>
              <w:bottom w:val="single" w:color="000000" w:sz="4" w:space="0"/>
              <w:right w:val="single" w:color="auto" w:sz="4" w:space="0"/>
            </w:tcBorders>
          </w:tcPr>
          <w:p>
            <w:pPr>
              <w:autoSpaceDE w:val="0"/>
              <w:autoSpaceDN w:val="0"/>
              <w:spacing w:line="480" w:lineRule="exact"/>
              <w:rPr>
                <w:rFonts w:ascii="Arial" w:hAnsi="Arial" w:cs="Arial"/>
                <w:color w:val="auto"/>
                <w:sz w:val="24"/>
              </w:rPr>
            </w:pPr>
          </w:p>
        </w:tc>
        <w:tc>
          <w:tcPr>
            <w:tcW w:w="1841" w:type="dxa"/>
            <w:tcBorders>
              <w:left w:val="single" w:color="auto" w:sz="4" w:space="0"/>
              <w:bottom w:val="single" w:color="000000" w:sz="4" w:space="0"/>
              <w:right w:val="single" w:color="000000" w:sz="4" w:space="0"/>
            </w:tcBorders>
          </w:tcPr>
          <w:p>
            <w:pPr>
              <w:autoSpaceDE w:val="0"/>
              <w:autoSpaceDN w:val="0"/>
              <w:spacing w:line="480" w:lineRule="exact"/>
              <w:rPr>
                <w:rFonts w:ascii="Arial" w:hAnsi="Arial" w:cs="Arial"/>
                <w:color w:val="auto"/>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2323"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r>
              <w:rPr>
                <w:rFonts w:hint="eastAsia" w:ascii="Arial" w:hAnsi="Arial" w:cs="Arial"/>
                <w:color w:val="auto"/>
                <w:sz w:val="24"/>
              </w:rPr>
              <w:t>6</w:t>
            </w:r>
            <w:r>
              <w:rPr>
                <w:rFonts w:ascii="Arial" w:hAnsi="宋体" w:cs="Arial"/>
                <w:color w:val="auto"/>
                <w:sz w:val="24"/>
              </w:rPr>
              <w:t>、施工管理</w:t>
            </w:r>
          </w:p>
        </w:tc>
        <w:tc>
          <w:tcPr>
            <w:tcW w:w="126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200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1750" w:type="dxa"/>
            <w:tcBorders>
              <w:bottom w:val="single" w:color="000000" w:sz="4" w:space="0"/>
              <w:right w:val="single" w:color="auto" w:sz="4" w:space="0"/>
            </w:tcBorders>
          </w:tcPr>
          <w:p>
            <w:pPr>
              <w:autoSpaceDE w:val="0"/>
              <w:autoSpaceDN w:val="0"/>
              <w:spacing w:line="480" w:lineRule="exact"/>
              <w:rPr>
                <w:rFonts w:ascii="Arial" w:hAnsi="Arial" w:cs="Arial"/>
                <w:color w:val="auto"/>
                <w:sz w:val="24"/>
              </w:rPr>
            </w:pPr>
          </w:p>
        </w:tc>
        <w:tc>
          <w:tcPr>
            <w:tcW w:w="1841" w:type="dxa"/>
            <w:tcBorders>
              <w:left w:val="single" w:color="auto" w:sz="4" w:space="0"/>
              <w:bottom w:val="single" w:color="000000" w:sz="4" w:space="0"/>
              <w:right w:val="single" w:color="000000" w:sz="4" w:space="0"/>
            </w:tcBorders>
          </w:tcPr>
          <w:p>
            <w:pPr>
              <w:autoSpaceDE w:val="0"/>
              <w:autoSpaceDN w:val="0"/>
              <w:spacing w:line="480" w:lineRule="exact"/>
              <w:rPr>
                <w:rFonts w:ascii="Arial" w:hAnsi="Arial" w:cs="Arial"/>
                <w:color w:val="auto"/>
                <w:sz w:val="24"/>
              </w:rPr>
            </w:pP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2323"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r>
              <w:rPr>
                <w:rFonts w:hint="eastAsia" w:ascii="Arial" w:hAnsi="Arial" w:cs="Arial"/>
                <w:color w:val="auto"/>
                <w:sz w:val="24"/>
              </w:rPr>
              <w:t>7</w:t>
            </w:r>
            <w:r>
              <w:rPr>
                <w:rFonts w:ascii="Arial" w:hAnsi="宋体" w:cs="Arial"/>
                <w:color w:val="auto"/>
                <w:sz w:val="24"/>
              </w:rPr>
              <w:t>、</w:t>
            </w:r>
          </w:p>
        </w:tc>
        <w:tc>
          <w:tcPr>
            <w:tcW w:w="126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2007" w:type="dxa"/>
            <w:tcBorders>
              <w:bottom w:val="single" w:color="000000" w:sz="4" w:space="0"/>
              <w:right w:val="single" w:color="000000" w:sz="4" w:space="0"/>
            </w:tcBorders>
          </w:tcPr>
          <w:p>
            <w:pPr>
              <w:autoSpaceDE w:val="0"/>
              <w:autoSpaceDN w:val="0"/>
              <w:spacing w:line="480" w:lineRule="exact"/>
              <w:rPr>
                <w:rFonts w:ascii="Arial" w:hAnsi="Arial" w:cs="Arial"/>
                <w:color w:val="auto"/>
                <w:sz w:val="24"/>
              </w:rPr>
            </w:pPr>
          </w:p>
        </w:tc>
        <w:tc>
          <w:tcPr>
            <w:tcW w:w="1750" w:type="dxa"/>
            <w:tcBorders>
              <w:bottom w:val="single" w:color="000000" w:sz="4" w:space="0"/>
              <w:right w:val="single" w:color="auto" w:sz="4" w:space="0"/>
            </w:tcBorders>
          </w:tcPr>
          <w:p>
            <w:pPr>
              <w:autoSpaceDE w:val="0"/>
              <w:autoSpaceDN w:val="0"/>
              <w:spacing w:line="480" w:lineRule="exact"/>
              <w:rPr>
                <w:rFonts w:ascii="Arial" w:hAnsi="Arial" w:cs="Arial"/>
                <w:color w:val="auto"/>
                <w:sz w:val="24"/>
              </w:rPr>
            </w:pPr>
          </w:p>
        </w:tc>
        <w:tc>
          <w:tcPr>
            <w:tcW w:w="1841" w:type="dxa"/>
            <w:tcBorders>
              <w:left w:val="single" w:color="auto" w:sz="4" w:space="0"/>
              <w:bottom w:val="single" w:color="000000" w:sz="4" w:space="0"/>
              <w:right w:val="single" w:color="000000" w:sz="4" w:space="0"/>
            </w:tcBorders>
          </w:tcPr>
          <w:p>
            <w:pPr>
              <w:autoSpaceDE w:val="0"/>
              <w:autoSpaceDN w:val="0"/>
              <w:spacing w:line="480" w:lineRule="exact"/>
              <w:rPr>
                <w:rFonts w:ascii="Arial" w:hAnsi="Arial" w:cs="Arial"/>
                <w:color w:val="auto"/>
                <w:sz w:val="24"/>
              </w:rPr>
            </w:pPr>
          </w:p>
        </w:tc>
      </w:tr>
    </w:tbl>
    <w:p>
      <w:pPr>
        <w:autoSpaceDE w:val="0"/>
        <w:autoSpaceDN w:val="0"/>
        <w:adjustRightInd w:val="0"/>
        <w:spacing w:line="480" w:lineRule="exact"/>
        <w:rPr>
          <w:rFonts w:hint="eastAsia" w:hAnsi="宋体"/>
          <w:color w:val="auto"/>
          <w:szCs w:val="21"/>
        </w:rPr>
      </w:pPr>
    </w:p>
    <w:p>
      <w:pPr>
        <w:pStyle w:val="14"/>
        <w:ind w:left="0" w:leftChars="0" w:firstLine="0" w:firstLineChars="0"/>
      </w:pPr>
      <w:r>
        <w:rPr>
          <w:rFonts w:hint="eastAsia" w:hAnsi="宋体"/>
          <w:color w:val="auto"/>
          <w:szCs w:val="21"/>
        </w:rPr>
        <w:t>附：质检员</w:t>
      </w:r>
      <w:r>
        <w:rPr>
          <w:rFonts w:hint="eastAsia" w:hAnsi="宋体"/>
          <w:color w:val="auto"/>
          <w:szCs w:val="21"/>
          <w:lang w:eastAsia="zh-CN"/>
        </w:rPr>
        <w:t>（</w:t>
      </w:r>
      <w:r>
        <w:rPr>
          <w:rFonts w:hint="eastAsia" w:hAnsi="宋体"/>
          <w:color w:val="auto"/>
          <w:szCs w:val="21"/>
          <w:lang w:val="en-US" w:eastAsia="zh-CN"/>
        </w:rPr>
        <w:t>质量员</w:t>
      </w:r>
      <w:r>
        <w:rPr>
          <w:rFonts w:hint="eastAsia" w:hAnsi="宋体"/>
          <w:color w:val="auto"/>
          <w:szCs w:val="21"/>
          <w:lang w:eastAsia="zh-CN"/>
        </w:rPr>
        <w:t>）</w:t>
      </w:r>
      <w:r>
        <w:rPr>
          <w:rFonts w:hint="eastAsia" w:hAnsi="宋体"/>
          <w:color w:val="auto"/>
          <w:szCs w:val="21"/>
        </w:rPr>
        <w:t>、安全员、材料员、施工员应出具其上岗证书及身份证的复印件并加盖单位公章。</w:t>
      </w: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autoSpaceDE w:val="0"/>
        <w:autoSpaceDN w:val="0"/>
        <w:spacing w:line="300" w:lineRule="auto"/>
        <w:ind w:left="480" w:hanging="480"/>
        <w:jc w:val="center"/>
        <w:rPr>
          <w:rFonts w:asciiTheme="minorEastAsia" w:hAnsiTheme="minorEastAsia" w:eastAsiaTheme="minorEastAsia"/>
          <w:b/>
          <w:color w:val="auto"/>
          <w:sz w:val="28"/>
          <w:szCs w:val="28"/>
        </w:rPr>
      </w:pPr>
    </w:p>
    <w:p>
      <w:pPr>
        <w:pStyle w:val="8"/>
        <w:outlineLvl w:val="9"/>
        <w:rPr>
          <w:color w:val="auto"/>
        </w:rPr>
      </w:pPr>
    </w:p>
    <w:p/>
    <w:p>
      <w:pPr>
        <w:ind w:right="384" w:rightChars="183"/>
        <w:jc w:val="left"/>
        <w:rPr>
          <w:rFonts w:hint="eastAsia" w:cs="Arial" w:asciiTheme="minorEastAsia" w:hAnsiTheme="minorEastAsia" w:eastAsiaTheme="minorEastAsia"/>
          <w:color w:val="auto"/>
          <w:szCs w:val="21"/>
        </w:rPr>
      </w:pPr>
    </w:p>
    <w:p>
      <w:pPr>
        <w:ind w:right="384" w:rightChars="183"/>
        <w:jc w:val="left"/>
        <w:rPr>
          <w:rFonts w:hint="eastAsia" w:cs="Arial" w:asciiTheme="minorEastAsia" w:hAnsiTheme="minorEastAsia" w:eastAsiaTheme="minorEastAsia"/>
          <w:color w:val="auto"/>
          <w:szCs w:val="21"/>
        </w:rPr>
      </w:pPr>
    </w:p>
    <w:p>
      <w:pPr>
        <w:ind w:right="384" w:rightChars="183"/>
        <w:jc w:val="left"/>
        <w:rPr>
          <w:rFonts w:hint="eastAsia" w:cs="Arial" w:asciiTheme="minorEastAsia" w:hAnsiTheme="minorEastAsia" w:eastAsiaTheme="minorEastAsia"/>
          <w:color w:val="auto"/>
          <w:szCs w:val="21"/>
        </w:rPr>
      </w:pPr>
    </w:p>
    <w:p>
      <w:pPr>
        <w:ind w:right="384" w:rightChars="183"/>
        <w:jc w:val="left"/>
        <w:rPr>
          <w:rFonts w:hint="eastAsia" w:cs="Arial" w:asciiTheme="minorEastAsia" w:hAnsiTheme="minorEastAsia" w:eastAsiaTheme="minorEastAsia"/>
          <w:color w:val="auto"/>
          <w:szCs w:val="21"/>
        </w:rPr>
      </w:pPr>
      <w:bookmarkStart w:id="699" w:name="_Toc9153_WPSOffice_Level1"/>
    </w:p>
    <w:p>
      <w:pPr>
        <w:ind w:right="384" w:rightChars="183"/>
        <w:jc w:val="left"/>
        <w:outlineLvl w:val="0"/>
        <w:rPr>
          <w:rFonts w:cs="Arial" w:asciiTheme="minorEastAsia" w:hAnsiTheme="minorEastAsia" w:eastAsiaTheme="minorEastAsia"/>
          <w:color w:val="auto"/>
          <w:szCs w:val="21"/>
        </w:rPr>
      </w:pPr>
      <w:bookmarkStart w:id="700" w:name="_Toc9818"/>
      <w:r>
        <w:rPr>
          <w:rFonts w:hint="eastAsia" w:cs="Arial" w:asciiTheme="minorEastAsia" w:hAnsiTheme="minorEastAsia" w:eastAsiaTheme="minorEastAsia"/>
          <w:color w:val="auto"/>
          <w:szCs w:val="21"/>
        </w:rPr>
        <w:t>附件十三：</w:t>
      </w:r>
      <w:bookmarkEnd w:id="699"/>
      <w:bookmarkEnd w:id="700"/>
    </w:p>
    <w:p>
      <w:pPr>
        <w:autoSpaceDE w:val="0"/>
        <w:autoSpaceDN w:val="0"/>
        <w:spacing w:line="300" w:lineRule="auto"/>
        <w:ind w:left="480" w:hanging="480"/>
        <w:jc w:val="center"/>
        <w:rPr>
          <w:rFonts w:asciiTheme="minorEastAsia" w:hAnsiTheme="minorEastAsia" w:eastAsiaTheme="minorEastAsia"/>
          <w:b/>
          <w:color w:val="auto"/>
          <w:sz w:val="28"/>
          <w:szCs w:val="28"/>
        </w:rPr>
      </w:pPr>
    </w:p>
    <w:p>
      <w:pPr>
        <w:autoSpaceDE w:val="0"/>
        <w:autoSpaceDN w:val="0"/>
        <w:spacing w:line="300" w:lineRule="auto"/>
        <w:ind w:left="480" w:hanging="480"/>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联合体协议书（如有）</w:t>
      </w:r>
    </w:p>
    <w:p>
      <w:pPr>
        <w:pStyle w:val="14"/>
        <w:overflowPunct w:val="0"/>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甲方：</w:t>
      </w:r>
    </w:p>
    <w:p>
      <w:pPr>
        <w:pStyle w:val="14"/>
        <w:overflowPunct w:val="0"/>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乙方：</w:t>
      </w:r>
    </w:p>
    <w:p>
      <w:pPr>
        <w:pStyle w:val="14"/>
        <w:overflowPunct w:val="0"/>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（如果有的话，可按甲、乙、丙、丁…序列增加）</w:t>
      </w:r>
    </w:p>
    <w:p>
      <w:pPr>
        <w:pStyle w:val="14"/>
        <w:overflowPunct w:val="0"/>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各方经协商，就响应 组织实施的编号为号的采购活动联合进行磋商之事宜，达成如下协议：</w:t>
      </w:r>
    </w:p>
    <w:p>
      <w:pPr>
        <w:pStyle w:val="14"/>
        <w:overflowPunct w:val="0"/>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一、各方一致决定，以  为主办人进行竞价，并按照磋商文件的规定分别提交资格文件。</w:t>
      </w:r>
    </w:p>
    <w:p>
      <w:pPr>
        <w:pStyle w:val="14"/>
        <w:overflowPunct w:val="0"/>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二、在本次磋商过程中，主办人的</w:t>
      </w:r>
      <w:r>
        <w:rPr>
          <w:rFonts w:hint="eastAsia" w:asciiTheme="minorEastAsia" w:hAnsiTheme="minorEastAsia" w:eastAsiaTheme="minorEastAsia"/>
          <w:color w:val="auto"/>
          <w:szCs w:val="21"/>
          <w:u w:val="single"/>
        </w:rPr>
        <w:t>法定代表人或授权代理人</w:t>
      </w:r>
      <w:r>
        <w:rPr>
          <w:rFonts w:hint="eastAsia" w:asciiTheme="minorEastAsia" w:hAnsiTheme="minorEastAsia" w:eastAsiaTheme="minorEastAsia"/>
          <w:color w:val="auto"/>
          <w:szCs w:val="21"/>
        </w:rPr>
        <w:t>根据磋商文件规定及采购内容而对采购方和采购人所作的任何合法承诺，包括书面澄清及响应等均对联合投标各方产生约束力。如果成交并签订合同，则联合体各方将共同履行对采购方和采购人所负有的全部义务并就采购合同约定的事项对采购人承担连带责任。</w:t>
      </w:r>
    </w:p>
    <w:p>
      <w:pPr>
        <w:pStyle w:val="14"/>
        <w:overflowPunct w:val="0"/>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三、联合体其余各方保证对主办人为响应本次采购而提供的服务和产品提供全部质量保证及技术服务支持。</w:t>
      </w:r>
    </w:p>
    <w:p>
      <w:pPr>
        <w:pStyle w:val="14"/>
        <w:overflowPunct w:val="0"/>
        <w:spacing w:line="440" w:lineRule="exact"/>
        <w:jc w:val="lef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四、本次联合报价中，甲方承担的工作和义务为：</w:t>
      </w:r>
    </w:p>
    <w:p>
      <w:pPr>
        <w:pStyle w:val="14"/>
        <w:overflowPunct w:val="0"/>
        <w:spacing w:line="440" w:lineRule="exact"/>
        <w:jc w:val="lef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 xml:space="preserve">乙方承担的工作和义务为：      </w:t>
      </w:r>
    </w:p>
    <w:p>
      <w:pPr>
        <w:pStyle w:val="14"/>
        <w:overflowPunct w:val="0"/>
        <w:spacing w:line="440" w:lineRule="exact"/>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五、有关本次联合报价的其他事宜：</w:t>
      </w:r>
    </w:p>
    <w:p>
      <w:pPr>
        <w:pStyle w:val="14"/>
        <w:overflowPunct w:val="0"/>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六、本协议提交采购方后，联合报价各方不得以任何形式对上述实质内容进行修改或撤销。</w:t>
      </w:r>
    </w:p>
    <w:p>
      <w:pPr>
        <w:pStyle w:val="14"/>
        <w:overflowPunct w:val="0"/>
        <w:spacing w:line="44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七、本协议一式四份，签约各方各持一份，交政府采购管理部门及招标机构各一份。</w:t>
      </w:r>
    </w:p>
    <w:tbl>
      <w:tblPr>
        <w:tblStyle w:val="54"/>
        <w:tblW w:w="9000" w:type="dxa"/>
        <w:tblInd w:w="0" w:type="dxa"/>
        <w:tblLayout w:type="fixed"/>
        <w:tblCellMar>
          <w:top w:w="0" w:type="dxa"/>
          <w:left w:w="0" w:type="dxa"/>
          <w:bottom w:w="0" w:type="dxa"/>
          <w:right w:w="0" w:type="dxa"/>
        </w:tblCellMar>
      </w:tblPr>
      <w:tblGrid>
        <w:gridCol w:w="4500"/>
        <w:gridCol w:w="4500"/>
      </w:tblGrid>
      <w:tr>
        <w:tblPrEx>
          <w:tblCellMar>
            <w:top w:w="0" w:type="dxa"/>
            <w:left w:w="0" w:type="dxa"/>
            <w:bottom w:w="0" w:type="dxa"/>
            <w:right w:w="0" w:type="dxa"/>
          </w:tblCellMar>
        </w:tblPrEx>
        <w:tc>
          <w:tcPr>
            <w:tcW w:w="4500" w:type="dxa"/>
          </w:tcPr>
          <w:p>
            <w:pPr>
              <w:pStyle w:val="14"/>
              <w:overflowPunct w:val="0"/>
              <w:spacing w:line="440" w:lineRule="exact"/>
              <w:ind w:firstLine="0"/>
              <w:rPr>
                <w:rFonts w:asciiTheme="minorEastAsia" w:hAnsiTheme="minorEastAsia" w:eastAsiaTheme="minorEastAsia"/>
                <w:color w:val="auto"/>
                <w:szCs w:val="21"/>
              </w:rPr>
            </w:pPr>
          </w:p>
          <w:p>
            <w:pPr>
              <w:pStyle w:val="14"/>
              <w:overflowPunct w:val="0"/>
              <w:spacing w:line="440" w:lineRule="exact"/>
              <w:ind w:firstLine="0"/>
              <w:rPr>
                <w:rFonts w:asciiTheme="minorEastAsia" w:hAnsiTheme="minorEastAsia" w:eastAsiaTheme="minorEastAsia"/>
                <w:color w:val="auto"/>
                <w:szCs w:val="21"/>
              </w:rPr>
            </w:pPr>
          </w:p>
          <w:p>
            <w:pPr>
              <w:pStyle w:val="14"/>
              <w:overflowPunct w:val="0"/>
              <w:spacing w:line="440" w:lineRule="exact"/>
              <w:ind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甲方单位：          （公章）</w:t>
            </w:r>
          </w:p>
          <w:p>
            <w:pPr>
              <w:pStyle w:val="14"/>
              <w:overflowPunct w:val="0"/>
              <w:spacing w:line="440" w:lineRule="exact"/>
              <w:ind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法定代表人（企业负责人）：（签字）</w:t>
            </w:r>
          </w:p>
          <w:p>
            <w:pPr>
              <w:pStyle w:val="14"/>
              <w:overflowPunct w:val="0"/>
              <w:spacing w:line="440" w:lineRule="exact"/>
              <w:ind w:firstLine="0"/>
              <w:rPr>
                <w:rFonts w:asciiTheme="minorEastAsia" w:hAnsiTheme="minorEastAsia" w:eastAsiaTheme="minorEastAsia"/>
                <w:color w:val="auto"/>
                <w:szCs w:val="21"/>
              </w:rPr>
            </w:pPr>
          </w:p>
          <w:p>
            <w:pPr>
              <w:pStyle w:val="14"/>
              <w:overflowPunct w:val="0"/>
              <w:spacing w:line="440" w:lineRule="exact"/>
              <w:ind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日期：    年   月   日</w:t>
            </w:r>
          </w:p>
        </w:tc>
        <w:tc>
          <w:tcPr>
            <w:tcW w:w="4500" w:type="dxa"/>
          </w:tcPr>
          <w:p>
            <w:pPr>
              <w:pStyle w:val="14"/>
              <w:overflowPunct w:val="0"/>
              <w:spacing w:line="440" w:lineRule="exact"/>
              <w:ind w:firstLine="0"/>
              <w:rPr>
                <w:rFonts w:asciiTheme="minorEastAsia" w:hAnsiTheme="minorEastAsia" w:eastAsiaTheme="minorEastAsia"/>
                <w:color w:val="auto"/>
                <w:szCs w:val="21"/>
              </w:rPr>
            </w:pPr>
          </w:p>
          <w:p>
            <w:pPr>
              <w:pStyle w:val="14"/>
              <w:overflowPunct w:val="0"/>
              <w:spacing w:line="440" w:lineRule="exact"/>
              <w:ind w:firstLine="0"/>
              <w:rPr>
                <w:rFonts w:asciiTheme="minorEastAsia" w:hAnsiTheme="minorEastAsia" w:eastAsiaTheme="minorEastAsia"/>
                <w:color w:val="auto"/>
                <w:szCs w:val="21"/>
              </w:rPr>
            </w:pPr>
          </w:p>
          <w:p>
            <w:pPr>
              <w:pStyle w:val="14"/>
              <w:overflowPunct w:val="0"/>
              <w:spacing w:line="440" w:lineRule="exact"/>
              <w:ind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乙方单位：           （公章）</w:t>
            </w:r>
          </w:p>
          <w:p>
            <w:pPr>
              <w:pStyle w:val="14"/>
              <w:overflowPunct w:val="0"/>
              <w:spacing w:line="440" w:lineRule="exact"/>
              <w:ind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法定代表人（企业负责人）：（签字）</w:t>
            </w:r>
          </w:p>
          <w:p>
            <w:pPr>
              <w:pStyle w:val="14"/>
              <w:overflowPunct w:val="0"/>
              <w:spacing w:line="440" w:lineRule="exact"/>
              <w:ind w:firstLine="0"/>
              <w:rPr>
                <w:rFonts w:asciiTheme="minorEastAsia" w:hAnsiTheme="minorEastAsia" w:eastAsiaTheme="minorEastAsia"/>
                <w:color w:val="auto"/>
                <w:szCs w:val="21"/>
              </w:rPr>
            </w:pPr>
          </w:p>
          <w:p>
            <w:pPr>
              <w:pStyle w:val="14"/>
              <w:overflowPunct w:val="0"/>
              <w:spacing w:line="440" w:lineRule="exact"/>
              <w:ind w:firstLine="0"/>
              <w:rPr>
                <w:rFonts w:asciiTheme="minorEastAsia" w:hAnsiTheme="minorEastAsia" w:eastAsiaTheme="minorEastAsia"/>
                <w:color w:val="auto"/>
                <w:szCs w:val="21"/>
              </w:rPr>
            </w:pPr>
            <w:r>
              <w:rPr>
                <w:rFonts w:hint="eastAsia" w:asciiTheme="minorEastAsia" w:hAnsiTheme="minorEastAsia" w:eastAsiaTheme="minorEastAsia"/>
                <w:color w:val="auto"/>
                <w:szCs w:val="21"/>
              </w:rPr>
              <w:t>日期：   年   月   日</w:t>
            </w:r>
          </w:p>
        </w:tc>
      </w:tr>
    </w:tbl>
    <w:p>
      <w:pPr>
        <w:spacing w:line="500" w:lineRule="exact"/>
        <w:rPr>
          <w:rFonts w:asciiTheme="minorEastAsia" w:hAnsiTheme="minorEastAsia" w:eastAsiaTheme="minorEastAsia"/>
          <w:color w:val="auto"/>
          <w:szCs w:val="21"/>
        </w:rPr>
      </w:pPr>
    </w:p>
    <w:p>
      <w:pPr>
        <w:spacing w:line="500" w:lineRule="exact"/>
        <w:rPr>
          <w:rFonts w:asciiTheme="minorEastAsia" w:hAnsiTheme="minorEastAsia" w:eastAsiaTheme="minorEastAsia"/>
          <w:color w:val="auto"/>
          <w:sz w:val="24"/>
        </w:rPr>
      </w:pPr>
    </w:p>
    <w:p>
      <w:pPr>
        <w:spacing w:line="500" w:lineRule="exact"/>
        <w:rPr>
          <w:rFonts w:asciiTheme="minorEastAsia" w:hAnsiTheme="minorEastAsia" w:eastAsiaTheme="minorEastAsia"/>
          <w:color w:val="auto"/>
          <w:sz w:val="24"/>
        </w:rPr>
      </w:pPr>
    </w:p>
    <w:p>
      <w:pPr>
        <w:spacing w:line="500" w:lineRule="exact"/>
        <w:rPr>
          <w:rFonts w:asciiTheme="minorEastAsia" w:hAnsiTheme="minorEastAsia" w:eastAsiaTheme="minorEastAsia"/>
          <w:color w:val="auto"/>
          <w:sz w:val="24"/>
        </w:rPr>
      </w:pPr>
    </w:p>
    <w:p>
      <w:pPr>
        <w:spacing w:line="500" w:lineRule="exact"/>
        <w:rPr>
          <w:rFonts w:asciiTheme="minorEastAsia" w:hAnsiTheme="minorEastAsia" w:eastAsiaTheme="minorEastAsia"/>
          <w:color w:val="auto"/>
          <w:sz w:val="24"/>
        </w:rPr>
      </w:pPr>
    </w:p>
    <w:p>
      <w:pPr>
        <w:spacing w:line="500" w:lineRule="exact"/>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联合磋商授权委托书</w:t>
      </w:r>
    </w:p>
    <w:p>
      <w:pPr>
        <w:spacing w:line="5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本授权委托书声明：根据与签订的《联合体投标协议书》的内容，主办人的法定代表人现授权为联合磋商代理人，代理在在磋商、磋商过程中所签署的一切文件和处理与之有关的一切事务，联合磋商各方均予以认可并遵守。</w:t>
      </w:r>
    </w:p>
    <w:p>
      <w:pPr>
        <w:spacing w:line="5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特此委托。</w:t>
      </w:r>
    </w:p>
    <w:p>
      <w:pPr>
        <w:spacing w:line="500" w:lineRule="exact"/>
        <w:ind w:firstLine="420" w:firstLineChars="200"/>
        <w:jc w:val="left"/>
        <w:rPr>
          <w:rFonts w:asciiTheme="minorEastAsia" w:hAnsiTheme="minorEastAsia" w:eastAsiaTheme="minorEastAsia"/>
          <w:color w:val="auto"/>
          <w:szCs w:val="21"/>
        </w:rPr>
      </w:pPr>
    </w:p>
    <w:p>
      <w:pPr>
        <w:spacing w:line="5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授权人（签字）：</w:t>
      </w:r>
    </w:p>
    <w:p>
      <w:pPr>
        <w:spacing w:line="5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日期：     年  月  日</w:t>
      </w:r>
    </w:p>
    <w:p>
      <w:pPr>
        <w:spacing w:line="500" w:lineRule="exact"/>
        <w:ind w:firstLine="420" w:firstLineChars="200"/>
        <w:jc w:val="left"/>
        <w:rPr>
          <w:rFonts w:asciiTheme="minorEastAsia" w:hAnsiTheme="minorEastAsia" w:eastAsiaTheme="minorEastAsia"/>
          <w:color w:val="auto"/>
          <w:szCs w:val="21"/>
        </w:rPr>
      </w:pPr>
    </w:p>
    <w:p>
      <w:pPr>
        <w:spacing w:line="5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被授权人（签字）：</w:t>
      </w:r>
    </w:p>
    <w:p>
      <w:pPr>
        <w:spacing w:line="5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日期：    年  月  日</w:t>
      </w:r>
    </w:p>
    <w:p>
      <w:pPr>
        <w:spacing w:line="500" w:lineRule="exact"/>
        <w:jc w:val="left"/>
        <w:rPr>
          <w:rFonts w:asciiTheme="minorEastAsia" w:hAnsiTheme="minorEastAsia" w:eastAsiaTheme="minorEastAsia"/>
          <w:color w:val="auto"/>
          <w:szCs w:val="21"/>
        </w:rPr>
      </w:pPr>
    </w:p>
    <w:p>
      <w:pPr>
        <w:spacing w:line="480" w:lineRule="auto"/>
        <w:rPr>
          <w:rFonts w:asciiTheme="minorEastAsia" w:hAnsiTheme="minorEastAsia" w:eastAsiaTheme="minorEastAsia"/>
          <w:color w:val="auto"/>
          <w:szCs w:val="21"/>
        </w:rPr>
      </w:pPr>
    </w:p>
    <w:p>
      <w:pPr>
        <w:spacing w:line="480" w:lineRule="auto"/>
        <w:rPr>
          <w:rFonts w:asciiTheme="minorEastAsia" w:hAnsiTheme="minorEastAsia" w:eastAsiaTheme="minorEastAsia"/>
          <w:color w:val="auto"/>
          <w:szCs w:val="21"/>
        </w:rPr>
      </w:pPr>
    </w:p>
    <w:p>
      <w:pPr>
        <w:spacing w:line="360" w:lineRule="auto"/>
        <w:ind w:right="384" w:rightChars="183"/>
        <w:jc w:val="left"/>
        <w:rPr>
          <w:rFonts w:asciiTheme="minorEastAsia" w:hAnsiTheme="minorEastAsia" w:eastAsiaTheme="minorEastAsia"/>
          <w:color w:val="auto"/>
          <w:szCs w:val="21"/>
        </w:rPr>
      </w:pPr>
      <w:r>
        <w:rPr>
          <w:rFonts w:asciiTheme="minorEastAsia" w:hAnsiTheme="minorEastAsia" w:eastAsiaTheme="minorEastAsia"/>
          <w:b/>
          <w:bCs/>
          <w:color w:val="auto"/>
          <w:sz w:val="28"/>
        </w:rPr>
        <w:br w:type="page"/>
      </w:r>
    </w:p>
    <w:p>
      <w:pPr>
        <w:ind w:right="384" w:rightChars="183"/>
        <w:jc w:val="left"/>
        <w:outlineLvl w:val="0"/>
        <w:rPr>
          <w:rFonts w:cs="Arial" w:asciiTheme="minorEastAsia" w:hAnsiTheme="minorEastAsia" w:eastAsiaTheme="minorEastAsia"/>
          <w:color w:val="auto"/>
          <w:szCs w:val="21"/>
        </w:rPr>
      </w:pPr>
      <w:bookmarkStart w:id="701" w:name="_Toc6435_WPSOffice_Level1"/>
      <w:bookmarkStart w:id="702" w:name="_Toc23636"/>
      <w:r>
        <w:rPr>
          <w:rFonts w:hint="eastAsia" w:cs="Arial" w:asciiTheme="minorEastAsia" w:hAnsiTheme="minorEastAsia" w:eastAsiaTheme="minorEastAsia"/>
          <w:color w:val="auto"/>
          <w:szCs w:val="21"/>
        </w:rPr>
        <w:t>附件十四：</w:t>
      </w:r>
      <w:bookmarkEnd w:id="701"/>
      <w:bookmarkEnd w:id="702"/>
    </w:p>
    <w:p>
      <w:pPr>
        <w:pStyle w:val="124"/>
        <w:jc w:val="center"/>
        <w:outlineLvl w:val="0"/>
        <w:rPr>
          <w:rFonts w:asciiTheme="minorEastAsia" w:hAnsiTheme="minorEastAsia" w:eastAsiaTheme="minorEastAsia"/>
          <w:b/>
          <w:color w:val="auto"/>
          <w:sz w:val="28"/>
          <w:szCs w:val="28"/>
        </w:rPr>
      </w:pPr>
      <w:bookmarkStart w:id="703" w:name="_Toc453681067"/>
      <w:bookmarkStart w:id="704" w:name="_Toc389065360"/>
      <w:bookmarkStart w:id="705" w:name="_Toc3205"/>
      <w:bookmarkStart w:id="706" w:name="_Toc453681540"/>
      <w:bookmarkStart w:id="707" w:name="_Toc30499"/>
      <w:r>
        <w:rPr>
          <w:rFonts w:asciiTheme="minorEastAsia" w:hAnsiTheme="minorEastAsia" w:eastAsiaTheme="minorEastAsia"/>
          <w:b/>
          <w:color w:val="auto"/>
          <w:sz w:val="28"/>
          <w:szCs w:val="28"/>
        </w:rPr>
        <w:t>施工组织设计</w:t>
      </w:r>
      <w:bookmarkEnd w:id="703"/>
      <w:bookmarkEnd w:id="704"/>
      <w:bookmarkEnd w:id="705"/>
      <w:bookmarkEnd w:id="706"/>
      <w:bookmarkEnd w:id="707"/>
    </w:p>
    <w:p>
      <w:pPr>
        <w:spacing w:line="4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磋商供应商</w:t>
      </w:r>
      <w:r>
        <w:rPr>
          <w:rFonts w:asciiTheme="minorEastAsia" w:hAnsiTheme="minorEastAsia" w:eastAsiaTheme="minorEastAsia"/>
          <w:color w:val="auto"/>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施工组织设计除采用文字表述外可附下列图表，图表及格式要求附后。</w:t>
      </w:r>
    </w:p>
    <w:p>
      <w:pPr>
        <w:spacing w:line="460" w:lineRule="exact"/>
        <w:ind w:firstLine="420" w:firstLineChars="200"/>
        <w:outlineLvl w:val="0"/>
        <w:rPr>
          <w:rFonts w:asciiTheme="minorEastAsia" w:hAnsiTheme="minorEastAsia" w:eastAsiaTheme="minorEastAsia"/>
          <w:color w:val="auto"/>
          <w:szCs w:val="21"/>
        </w:rPr>
      </w:pPr>
      <w:bookmarkStart w:id="708" w:name="_Toc28077"/>
      <w:bookmarkStart w:id="709" w:name="_Toc8726_WPSOffice_Level1"/>
      <w:bookmarkStart w:id="710" w:name="_Toc12332"/>
      <w:r>
        <w:rPr>
          <w:rFonts w:asciiTheme="minorEastAsia" w:hAnsiTheme="minorEastAsia" w:eastAsiaTheme="minorEastAsia"/>
          <w:color w:val="auto"/>
          <w:szCs w:val="21"/>
        </w:rPr>
        <w:t>附表一</w:t>
      </w:r>
      <w:r>
        <w:rPr>
          <w:rFonts w:hint="eastAsia" w:asciiTheme="minorEastAsia" w:hAnsiTheme="minorEastAsia" w:eastAsiaTheme="minorEastAsia"/>
          <w:color w:val="auto"/>
          <w:szCs w:val="21"/>
        </w:rPr>
        <w:t xml:space="preserve"> 项目管理机构配备情况表</w:t>
      </w:r>
      <w:bookmarkEnd w:id="708"/>
      <w:bookmarkEnd w:id="709"/>
      <w:bookmarkEnd w:id="710"/>
    </w:p>
    <w:p>
      <w:pPr>
        <w:spacing w:line="460" w:lineRule="exact"/>
        <w:ind w:firstLine="420" w:firstLineChars="200"/>
        <w:outlineLvl w:val="0"/>
        <w:rPr>
          <w:rFonts w:asciiTheme="minorEastAsia" w:hAnsiTheme="minorEastAsia" w:eastAsiaTheme="minorEastAsia"/>
          <w:color w:val="auto"/>
          <w:szCs w:val="21"/>
        </w:rPr>
      </w:pPr>
      <w:bookmarkStart w:id="711" w:name="_Toc3204"/>
      <w:bookmarkStart w:id="712" w:name="_Toc32154"/>
      <w:bookmarkStart w:id="713" w:name="_Toc1894_WPSOffice_Level1"/>
      <w:r>
        <w:rPr>
          <w:rFonts w:asciiTheme="minorEastAsia" w:hAnsiTheme="minorEastAsia" w:eastAsiaTheme="minorEastAsia"/>
          <w:color w:val="auto"/>
          <w:szCs w:val="21"/>
        </w:rPr>
        <w:t>附表二拟投入本工程的主要施工设备表</w:t>
      </w:r>
      <w:bookmarkEnd w:id="711"/>
      <w:bookmarkEnd w:id="712"/>
      <w:bookmarkEnd w:id="713"/>
    </w:p>
    <w:p>
      <w:pPr>
        <w:spacing w:line="460" w:lineRule="exact"/>
        <w:ind w:firstLine="420" w:firstLineChars="200"/>
        <w:outlineLvl w:val="0"/>
        <w:rPr>
          <w:rFonts w:asciiTheme="minorEastAsia" w:hAnsiTheme="minorEastAsia" w:eastAsiaTheme="minorEastAsia"/>
          <w:color w:val="auto"/>
          <w:szCs w:val="21"/>
        </w:rPr>
      </w:pPr>
      <w:bookmarkStart w:id="714" w:name="_Toc25776_WPSOffice_Level1"/>
      <w:bookmarkStart w:id="715" w:name="_Toc23013"/>
      <w:bookmarkStart w:id="716" w:name="_Toc20230"/>
      <w:r>
        <w:rPr>
          <w:rFonts w:asciiTheme="minorEastAsia" w:hAnsiTheme="minorEastAsia" w:eastAsiaTheme="minorEastAsia"/>
          <w:color w:val="auto"/>
          <w:szCs w:val="21"/>
        </w:rPr>
        <w:t>附表</w:t>
      </w:r>
      <w:r>
        <w:rPr>
          <w:rFonts w:hint="eastAsia" w:asciiTheme="minorEastAsia" w:hAnsiTheme="minorEastAsia" w:eastAsiaTheme="minorEastAsia"/>
          <w:color w:val="auto"/>
          <w:szCs w:val="21"/>
        </w:rPr>
        <w:t>三</w:t>
      </w:r>
      <w:r>
        <w:rPr>
          <w:rFonts w:asciiTheme="minorEastAsia" w:hAnsiTheme="minorEastAsia" w:eastAsiaTheme="minorEastAsia"/>
          <w:color w:val="auto"/>
          <w:szCs w:val="21"/>
        </w:rPr>
        <w:t xml:space="preserve">  拟配备本工程的试验和检测仪器设备表</w:t>
      </w:r>
      <w:bookmarkEnd w:id="714"/>
      <w:bookmarkEnd w:id="715"/>
      <w:bookmarkEnd w:id="716"/>
    </w:p>
    <w:p>
      <w:pPr>
        <w:spacing w:line="460" w:lineRule="exact"/>
        <w:ind w:firstLine="420" w:firstLineChars="200"/>
        <w:outlineLvl w:val="0"/>
        <w:rPr>
          <w:rFonts w:asciiTheme="minorEastAsia" w:hAnsiTheme="minorEastAsia" w:eastAsiaTheme="minorEastAsia"/>
          <w:color w:val="auto"/>
          <w:szCs w:val="21"/>
        </w:rPr>
      </w:pPr>
      <w:bookmarkStart w:id="717" w:name="_Toc15382_WPSOffice_Level1"/>
      <w:bookmarkStart w:id="718" w:name="_Toc14482"/>
      <w:bookmarkStart w:id="719" w:name="_Toc11453"/>
      <w:r>
        <w:rPr>
          <w:rFonts w:asciiTheme="minorEastAsia" w:hAnsiTheme="minorEastAsia" w:eastAsiaTheme="minorEastAsia"/>
          <w:color w:val="auto"/>
          <w:szCs w:val="21"/>
        </w:rPr>
        <w:t>附表</w:t>
      </w:r>
      <w:r>
        <w:rPr>
          <w:rFonts w:hint="eastAsia" w:asciiTheme="minorEastAsia" w:hAnsiTheme="minorEastAsia" w:eastAsiaTheme="minorEastAsia"/>
          <w:color w:val="auto"/>
          <w:szCs w:val="21"/>
        </w:rPr>
        <w:t>四</w:t>
      </w:r>
      <w:r>
        <w:rPr>
          <w:rFonts w:asciiTheme="minorEastAsia" w:hAnsiTheme="minorEastAsia" w:eastAsiaTheme="minorEastAsia"/>
          <w:color w:val="auto"/>
          <w:szCs w:val="21"/>
        </w:rPr>
        <w:t xml:space="preserve">  劳动力计划表</w:t>
      </w:r>
      <w:bookmarkEnd w:id="717"/>
      <w:bookmarkEnd w:id="718"/>
      <w:bookmarkEnd w:id="719"/>
    </w:p>
    <w:p>
      <w:pPr>
        <w:spacing w:line="460" w:lineRule="exact"/>
        <w:ind w:firstLine="420" w:firstLineChars="200"/>
        <w:outlineLvl w:val="0"/>
        <w:rPr>
          <w:rFonts w:asciiTheme="minorEastAsia" w:hAnsiTheme="minorEastAsia" w:eastAsiaTheme="minorEastAsia"/>
          <w:color w:val="auto"/>
          <w:szCs w:val="21"/>
        </w:rPr>
      </w:pPr>
      <w:bookmarkStart w:id="720" w:name="_Toc25411_WPSOffice_Level1"/>
      <w:bookmarkStart w:id="721" w:name="_Toc6458"/>
      <w:bookmarkStart w:id="722" w:name="_Toc425"/>
      <w:r>
        <w:rPr>
          <w:rFonts w:asciiTheme="minorEastAsia" w:hAnsiTheme="minorEastAsia" w:eastAsiaTheme="minorEastAsia"/>
          <w:color w:val="auto"/>
          <w:szCs w:val="21"/>
        </w:rPr>
        <w:t>附表</w:t>
      </w:r>
      <w:r>
        <w:rPr>
          <w:rFonts w:hint="eastAsia" w:asciiTheme="minorEastAsia" w:hAnsiTheme="minorEastAsia" w:eastAsiaTheme="minorEastAsia"/>
          <w:color w:val="auto"/>
          <w:szCs w:val="21"/>
        </w:rPr>
        <w:t>五</w:t>
      </w:r>
      <w:r>
        <w:rPr>
          <w:rFonts w:asciiTheme="minorEastAsia" w:hAnsiTheme="minorEastAsia" w:eastAsiaTheme="minorEastAsia"/>
          <w:color w:val="auto"/>
          <w:szCs w:val="21"/>
        </w:rPr>
        <w:t xml:space="preserve">  计划开、竣工日期和施工进度网络图</w:t>
      </w:r>
      <w:bookmarkEnd w:id="720"/>
      <w:bookmarkEnd w:id="721"/>
      <w:bookmarkEnd w:id="722"/>
    </w:p>
    <w:p>
      <w:pPr>
        <w:spacing w:line="460" w:lineRule="exact"/>
        <w:ind w:firstLine="420" w:firstLineChars="200"/>
        <w:outlineLvl w:val="0"/>
        <w:rPr>
          <w:rFonts w:asciiTheme="minorEastAsia" w:hAnsiTheme="minorEastAsia" w:eastAsiaTheme="minorEastAsia"/>
          <w:color w:val="auto"/>
          <w:szCs w:val="21"/>
        </w:rPr>
      </w:pPr>
      <w:bookmarkStart w:id="723" w:name="_Toc4136"/>
      <w:bookmarkStart w:id="724" w:name="_Toc2658"/>
      <w:bookmarkStart w:id="725" w:name="_Toc13323_WPSOffice_Level1"/>
      <w:r>
        <w:rPr>
          <w:rFonts w:asciiTheme="minorEastAsia" w:hAnsiTheme="minorEastAsia" w:eastAsiaTheme="minorEastAsia"/>
          <w:color w:val="auto"/>
          <w:szCs w:val="21"/>
        </w:rPr>
        <w:t>附表</w:t>
      </w:r>
      <w:r>
        <w:rPr>
          <w:rFonts w:hint="eastAsia" w:asciiTheme="minorEastAsia" w:hAnsiTheme="minorEastAsia" w:eastAsiaTheme="minorEastAsia"/>
          <w:color w:val="auto"/>
          <w:szCs w:val="21"/>
        </w:rPr>
        <w:t>六</w:t>
      </w:r>
      <w:r>
        <w:rPr>
          <w:rFonts w:asciiTheme="minorEastAsia" w:hAnsiTheme="minorEastAsia" w:eastAsiaTheme="minorEastAsia"/>
          <w:color w:val="auto"/>
          <w:szCs w:val="21"/>
        </w:rPr>
        <w:t xml:space="preserve">  施工总平面图</w:t>
      </w:r>
      <w:bookmarkEnd w:id="723"/>
      <w:bookmarkEnd w:id="724"/>
      <w:bookmarkEnd w:id="725"/>
    </w:p>
    <w:p>
      <w:pPr>
        <w:spacing w:line="460" w:lineRule="exact"/>
        <w:ind w:firstLine="420" w:firstLineChars="200"/>
        <w:outlineLvl w:val="0"/>
        <w:rPr>
          <w:rFonts w:asciiTheme="minorEastAsia" w:hAnsiTheme="minorEastAsia" w:eastAsiaTheme="minorEastAsia"/>
          <w:color w:val="auto"/>
          <w:szCs w:val="21"/>
        </w:rPr>
      </w:pPr>
      <w:bookmarkStart w:id="726" w:name="_Toc29667"/>
      <w:bookmarkStart w:id="727" w:name="_Toc9391"/>
      <w:bookmarkStart w:id="728" w:name="_Toc17275_WPSOffice_Level1"/>
      <w:r>
        <w:rPr>
          <w:rFonts w:asciiTheme="minorEastAsia" w:hAnsiTheme="minorEastAsia" w:eastAsiaTheme="minorEastAsia"/>
          <w:color w:val="auto"/>
          <w:szCs w:val="21"/>
        </w:rPr>
        <w:t>附表</w:t>
      </w:r>
      <w:r>
        <w:rPr>
          <w:rFonts w:hint="eastAsia" w:asciiTheme="minorEastAsia" w:hAnsiTheme="minorEastAsia" w:eastAsiaTheme="minorEastAsia"/>
          <w:color w:val="auto"/>
          <w:szCs w:val="21"/>
        </w:rPr>
        <w:t>七</w:t>
      </w:r>
      <w:r>
        <w:rPr>
          <w:rFonts w:asciiTheme="minorEastAsia" w:hAnsiTheme="minorEastAsia" w:eastAsiaTheme="minorEastAsia"/>
          <w:color w:val="auto"/>
          <w:szCs w:val="21"/>
        </w:rPr>
        <w:t xml:space="preserve">  临时用地表</w:t>
      </w:r>
      <w:bookmarkEnd w:id="726"/>
      <w:bookmarkEnd w:id="727"/>
      <w:bookmarkEnd w:id="728"/>
    </w:p>
    <w:p>
      <w:pPr>
        <w:spacing w:line="460" w:lineRule="exact"/>
        <w:ind w:firstLine="420" w:firstLineChars="200"/>
        <w:outlineLvl w:val="0"/>
        <w:rPr>
          <w:rFonts w:asciiTheme="minorEastAsia" w:hAnsiTheme="minorEastAsia" w:eastAsiaTheme="minorEastAsia"/>
          <w:color w:val="auto"/>
          <w:szCs w:val="21"/>
        </w:rPr>
      </w:pPr>
      <w:bookmarkStart w:id="729" w:name="_Toc20932_WPSOffice_Level1"/>
      <w:bookmarkStart w:id="730" w:name="_Toc13843"/>
      <w:bookmarkStart w:id="731" w:name="_Toc22288"/>
      <w:r>
        <w:rPr>
          <w:rFonts w:hint="eastAsia" w:asciiTheme="minorEastAsia" w:hAnsiTheme="minorEastAsia" w:eastAsiaTheme="minorEastAsia"/>
          <w:color w:val="auto"/>
          <w:szCs w:val="21"/>
        </w:rPr>
        <w:t>附表八  拟分包情况表</w:t>
      </w:r>
      <w:bookmarkEnd w:id="729"/>
      <w:bookmarkEnd w:id="730"/>
      <w:bookmarkEnd w:id="731"/>
    </w:p>
    <w:p>
      <w:pPr>
        <w:spacing w:line="460" w:lineRule="exact"/>
        <w:ind w:firstLine="420" w:firstLineChars="200"/>
        <w:rPr>
          <w:rFonts w:asciiTheme="minorEastAsia" w:hAnsiTheme="minorEastAsia" w:eastAsiaTheme="minorEastAsia"/>
          <w:color w:val="auto"/>
          <w:szCs w:val="21"/>
        </w:rPr>
      </w:pPr>
    </w:p>
    <w:p>
      <w:pPr>
        <w:jc w:val="center"/>
        <w:outlineLvl w:val="0"/>
        <w:rPr>
          <w:rFonts w:asciiTheme="minorEastAsia" w:hAnsiTheme="minorEastAsia" w:eastAsiaTheme="minorEastAsia"/>
          <w:color w:val="auto"/>
        </w:rPr>
      </w:pPr>
      <w:bookmarkStart w:id="732" w:name="_Toc4751"/>
      <w:bookmarkStart w:id="733" w:name="_Toc27470_WPSOffice_Level1"/>
      <w:bookmarkStart w:id="734" w:name="_Toc8195"/>
      <w:r>
        <w:rPr>
          <w:rFonts w:asciiTheme="minorEastAsia" w:hAnsiTheme="minorEastAsia" w:eastAsiaTheme="minorEastAsia"/>
          <w:color w:val="auto"/>
        </w:rPr>
        <w:t>附表一：</w:t>
      </w:r>
      <w:r>
        <w:rPr>
          <w:rFonts w:hint="eastAsia" w:asciiTheme="minorEastAsia" w:hAnsiTheme="minorEastAsia" w:eastAsiaTheme="minorEastAsia"/>
          <w:color w:val="auto"/>
          <w:szCs w:val="21"/>
        </w:rPr>
        <w:t>项目管理机构配备情况表</w:t>
      </w:r>
      <w:bookmarkEnd w:id="732"/>
      <w:bookmarkEnd w:id="733"/>
      <w:bookmarkEnd w:id="734"/>
    </w:p>
    <w:tbl>
      <w:tblPr>
        <w:tblStyle w:val="5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Theme="minorEastAsia" w:hAnsiTheme="minorEastAsia" w:eastAsiaTheme="minorEastAsia"/>
                <w:color w:val="auto"/>
              </w:rPr>
            </w:pPr>
            <w:r>
              <w:rPr>
                <w:rFonts w:asciiTheme="minorEastAsia" w:hAnsiTheme="minorEastAsia" w:eastAsiaTheme="minorEastAsia"/>
                <w:color w:val="auto"/>
              </w:rPr>
              <w:t>岗位</w:t>
            </w:r>
          </w:p>
        </w:tc>
        <w:tc>
          <w:tcPr>
            <w:tcW w:w="829" w:type="dxa"/>
            <w:vMerge w:val="restart"/>
            <w:vAlign w:val="center"/>
          </w:tcPr>
          <w:p>
            <w:pPr>
              <w:ind w:left="223" w:hanging="222" w:hangingChars="106"/>
              <w:jc w:val="center"/>
              <w:rPr>
                <w:rFonts w:asciiTheme="minorEastAsia" w:hAnsiTheme="minorEastAsia" w:eastAsiaTheme="minorEastAsia"/>
                <w:color w:val="auto"/>
              </w:rPr>
            </w:pPr>
            <w:bookmarkStart w:id="735" w:name="_Toc251052187"/>
            <w:r>
              <w:rPr>
                <w:rFonts w:asciiTheme="minorEastAsia" w:hAnsiTheme="minorEastAsia" w:eastAsiaTheme="minorEastAsia"/>
                <w:color w:val="auto"/>
              </w:rPr>
              <w:t>姓名</w:t>
            </w:r>
            <w:bookmarkEnd w:id="735"/>
          </w:p>
        </w:tc>
        <w:tc>
          <w:tcPr>
            <w:tcW w:w="816" w:type="dxa"/>
            <w:vMerge w:val="restart"/>
            <w:vAlign w:val="center"/>
          </w:tcPr>
          <w:p>
            <w:pPr>
              <w:ind w:left="223" w:hanging="222" w:hangingChars="106"/>
              <w:jc w:val="center"/>
              <w:rPr>
                <w:rFonts w:asciiTheme="minorEastAsia" w:hAnsiTheme="minorEastAsia" w:eastAsiaTheme="minorEastAsia"/>
                <w:color w:val="auto"/>
              </w:rPr>
            </w:pPr>
            <w:bookmarkStart w:id="736" w:name="_Toc251052188"/>
            <w:r>
              <w:rPr>
                <w:rFonts w:asciiTheme="minorEastAsia" w:hAnsiTheme="minorEastAsia" w:eastAsiaTheme="minorEastAsia"/>
                <w:color w:val="auto"/>
              </w:rPr>
              <w:t>职称</w:t>
            </w:r>
            <w:bookmarkEnd w:id="736"/>
          </w:p>
        </w:tc>
        <w:tc>
          <w:tcPr>
            <w:tcW w:w="4592" w:type="dxa"/>
            <w:gridSpan w:val="4"/>
            <w:vAlign w:val="center"/>
          </w:tcPr>
          <w:p>
            <w:pPr>
              <w:ind w:left="223" w:hanging="222" w:hangingChars="106"/>
              <w:jc w:val="center"/>
              <w:rPr>
                <w:rFonts w:asciiTheme="minorEastAsia" w:hAnsiTheme="minorEastAsia" w:eastAsiaTheme="minorEastAsia"/>
                <w:color w:val="auto"/>
              </w:rPr>
            </w:pPr>
            <w:bookmarkStart w:id="737" w:name="_Toc251052189"/>
            <w:r>
              <w:rPr>
                <w:rFonts w:asciiTheme="minorEastAsia" w:hAnsiTheme="minorEastAsia" w:eastAsiaTheme="minorEastAsia"/>
                <w:color w:val="auto"/>
              </w:rPr>
              <w:t>执业或职业资格证明</w:t>
            </w:r>
            <w:bookmarkEnd w:id="737"/>
          </w:p>
        </w:tc>
        <w:tc>
          <w:tcPr>
            <w:tcW w:w="2126" w:type="dxa"/>
            <w:gridSpan w:val="2"/>
            <w:vAlign w:val="center"/>
          </w:tcPr>
          <w:p>
            <w:pPr>
              <w:ind w:left="223" w:hanging="222" w:hangingChars="106"/>
              <w:jc w:val="center"/>
              <w:rPr>
                <w:rFonts w:asciiTheme="minorEastAsia" w:hAnsiTheme="minorEastAsia" w:eastAsiaTheme="minorEastAsia"/>
                <w:color w:val="auto"/>
              </w:rPr>
            </w:pPr>
            <w:bookmarkStart w:id="738" w:name="_Toc251052190"/>
            <w:r>
              <w:rPr>
                <w:rFonts w:asciiTheme="minorEastAsia" w:hAnsiTheme="minorEastAsia" w:eastAsiaTheme="minorEastAsia"/>
                <w:color w:val="auto"/>
              </w:rPr>
              <w:t>承担完工</w:t>
            </w:r>
            <w:bookmarkEnd w:id="738"/>
            <w:bookmarkStart w:id="739" w:name="_Toc251052191"/>
            <w:r>
              <w:rPr>
                <w:rFonts w:asciiTheme="minorEastAsia" w:hAnsiTheme="minorEastAsia" w:eastAsiaTheme="minorEastAsia"/>
                <w:color w:val="auto"/>
              </w:rPr>
              <w:t>工程情况</w:t>
            </w:r>
            <w:bookmarkEnd w:id="7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93" w:type="dxa"/>
            <w:vMerge w:val="continue"/>
            <w:vAlign w:val="center"/>
          </w:tcPr>
          <w:p>
            <w:pPr>
              <w:ind w:left="223" w:hanging="222" w:hangingChars="106"/>
              <w:jc w:val="center"/>
              <w:rPr>
                <w:rFonts w:asciiTheme="minorEastAsia" w:hAnsiTheme="minorEastAsia" w:eastAsiaTheme="minorEastAsia"/>
                <w:color w:val="auto"/>
              </w:rPr>
            </w:pPr>
          </w:p>
        </w:tc>
        <w:tc>
          <w:tcPr>
            <w:tcW w:w="829" w:type="dxa"/>
            <w:vMerge w:val="continue"/>
            <w:vAlign w:val="center"/>
          </w:tcPr>
          <w:p>
            <w:pPr>
              <w:ind w:left="223" w:hanging="222" w:hangingChars="106"/>
              <w:jc w:val="center"/>
              <w:rPr>
                <w:rFonts w:asciiTheme="minorEastAsia" w:hAnsiTheme="minorEastAsia" w:eastAsiaTheme="minorEastAsia"/>
                <w:color w:val="auto"/>
              </w:rPr>
            </w:pPr>
          </w:p>
        </w:tc>
        <w:tc>
          <w:tcPr>
            <w:tcW w:w="816" w:type="dxa"/>
            <w:vMerge w:val="continue"/>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bookmarkStart w:id="740" w:name="_Toc251052192"/>
            <w:r>
              <w:rPr>
                <w:rFonts w:asciiTheme="minorEastAsia" w:hAnsiTheme="minorEastAsia" w:eastAsiaTheme="minorEastAsia"/>
                <w:color w:val="auto"/>
              </w:rPr>
              <w:t>证书名称</w:t>
            </w:r>
            <w:bookmarkEnd w:id="740"/>
          </w:p>
        </w:tc>
        <w:tc>
          <w:tcPr>
            <w:tcW w:w="1148" w:type="dxa"/>
            <w:vAlign w:val="center"/>
          </w:tcPr>
          <w:p>
            <w:pPr>
              <w:ind w:left="223" w:hanging="222" w:hangingChars="106"/>
              <w:jc w:val="center"/>
              <w:rPr>
                <w:rFonts w:asciiTheme="minorEastAsia" w:hAnsiTheme="minorEastAsia" w:eastAsiaTheme="minorEastAsia"/>
                <w:color w:val="auto"/>
              </w:rPr>
            </w:pPr>
            <w:bookmarkStart w:id="741" w:name="_Toc251052193"/>
            <w:r>
              <w:rPr>
                <w:rFonts w:asciiTheme="minorEastAsia" w:hAnsiTheme="minorEastAsia" w:eastAsiaTheme="minorEastAsia"/>
                <w:color w:val="auto"/>
              </w:rPr>
              <w:t>级别</w:t>
            </w:r>
            <w:bookmarkEnd w:id="741"/>
          </w:p>
        </w:tc>
        <w:tc>
          <w:tcPr>
            <w:tcW w:w="1148" w:type="dxa"/>
            <w:vAlign w:val="center"/>
          </w:tcPr>
          <w:p>
            <w:pPr>
              <w:ind w:left="223" w:hanging="222" w:hangingChars="106"/>
              <w:jc w:val="center"/>
              <w:rPr>
                <w:rFonts w:asciiTheme="minorEastAsia" w:hAnsiTheme="minorEastAsia" w:eastAsiaTheme="minorEastAsia"/>
                <w:color w:val="auto"/>
              </w:rPr>
            </w:pPr>
            <w:bookmarkStart w:id="742" w:name="_Toc251052194"/>
            <w:r>
              <w:rPr>
                <w:rFonts w:asciiTheme="minorEastAsia" w:hAnsiTheme="minorEastAsia" w:eastAsiaTheme="minorEastAsia"/>
                <w:color w:val="auto"/>
              </w:rPr>
              <w:t>证号</w:t>
            </w:r>
            <w:bookmarkEnd w:id="742"/>
          </w:p>
        </w:tc>
        <w:tc>
          <w:tcPr>
            <w:tcW w:w="1148" w:type="dxa"/>
            <w:vAlign w:val="center"/>
          </w:tcPr>
          <w:p>
            <w:pPr>
              <w:ind w:left="223" w:hanging="222" w:hangingChars="106"/>
              <w:jc w:val="center"/>
              <w:rPr>
                <w:rFonts w:asciiTheme="minorEastAsia" w:hAnsiTheme="minorEastAsia" w:eastAsiaTheme="minorEastAsia"/>
                <w:color w:val="auto"/>
              </w:rPr>
            </w:pPr>
            <w:bookmarkStart w:id="743" w:name="_Toc251052195"/>
            <w:r>
              <w:rPr>
                <w:rFonts w:asciiTheme="minorEastAsia" w:hAnsiTheme="minorEastAsia" w:eastAsiaTheme="minorEastAsia"/>
                <w:color w:val="auto"/>
              </w:rPr>
              <w:t>专业</w:t>
            </w:r>
            <w:bookmarkEnd w:id="743"/>
          </w:p>
        </w:tc>
        <w:tc>
          <w:tcPr>
            <w:tcW w:w="850" w:type="dxa"/>
            <w:vAlign w:val="center"/>
          </w:tcPr>
          <w:p>
            <w:pPr>
              <w:ind w:left="223" w:hanging="222" w:hangingChars="106"/>
              <w:jc w:val="center"/>
              <w:rPr>
                <w:rFonts w:asciiTheme="minorEastAsia" w:hAnsiTheme="minorEastAsia" w:eastAsiaTheme="minorEastAsia"/>
                <w:color w:val="auto"/>
              </w:rPr>
            </w:pPr>
            <w:bookmarkStart w:id="744" w:name="_Toc251052197"/>
            <w:r>
              <w:rPr>
                <w:rFonts w:asciiTheme="minorEastAsia" w:hAnsiTheme="minorEastAsia" w:eastAsiaTheme="minorEastAsia"/>
                <w:color w:val="auto"/>
              </w:rPr>
              <w:t>项目数</w:t>
            </w:r>
            <w:bookmarkEnd w:id="744"/>
          </w:p>
        </w:tc>
        <w:tc>
          <w:tcPr>
            <w:tcW w:w="1276" w:type="dxa"/>
            <w:vAlign w:val="center"/>
          </w:tcPr>
          <w:p>
            <w:pPr>
              <w:ind w:left="223" w:hanging="222" w:hangingChars="106"/>
              <w:jc w:val="center"/>
              <w:rPr>
                <w:rFonts w:asciiTheme="minorEastAsia" w:hAnsiTheme="minorEastAsia" w:eastAsiaTheme="minorEastAsia"/>
                <w:color w:val="auto"/>
              </w:rPr>
            </w:pPr>
            <w:bookmarkStart w:id="745" w:name="_Toc251052198"/>
            <w:r>
              <w:rPr>
                <w:rFonts w:asciiTheme="minorEastAsia" w:hAnsiTheme="minorEastAsia" w:eastAsiaTheme="minorEastAsia"/>
                <w:color w:val="auto"/>
              </w:rPr>
              <w:t>主要项目</w:t>
            </w:r>
          </w:p>
          <w:p>
            <w:pPr>
              <w:ind w:left="223" w:hanging="222" w:hangingChars="106"/>
              <w:jc w:val="center"/>
              <w:rPr>
                <w:rFonts w:asciiTheme="minorEastAsia" w:hAnsiTheme="minorEastAsia" w:eastAsiaTheme="minorEastAsia"/>
                <w:color w:val="auto"/>
              </w:rPr>
            </w:pPr>
            <w:r>
              <w:rPr>
                <w:rFonts w:asciiTheme="minorEastAsia" w:hAnsiTheme="minorEastAsia" w:eastAsiaTheme="minorEastAsia"/>
                <w:color w:val="auto"/>
              </w:rPr>
              <w:t>名称</w:t>
            </w:r>
            <w:bookmarkEnd w:id="7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93" w:type="dxa"/>
            <w:vAlign w:val="center"/>
          </w:tcPr>
          <w:p>
            <w:pPr>
              <w:ind w:left="223" w:hanging="222" w:hangingChars="106"/>
              <w:jc w:val="center"/>
              <w:rPr>
                <w:rFonts w:asciiTheme="minorEastAsia" w:hAnsiTheme="minorEastAsia" w:eastAsiaTheme="minorEastAsia"/>
                <w:color w:val="auto"/>
                <w:szCs w:val="21"/>
              </w:rPr>
            </w:pPr>
            <w:r>
              <w:rPr>
                <w:rFonts w:asciiTheme="minorEastAsia" w:hAnsiTheme="minorEastAsia" w:eastAsiaTheme="minorEastAsia"/>
                <w:color w:val="auto"/>
                <w:szCs w:val="21"/>
              </w:rPr>
              <w:t>施工员</w:t>
            </w:r>
          </w:p>
        </w:tc>
        <w:tc>
          <w:tcPr>
            <w:tcW w:w="829" w:type="dxa"/>
            <w:vAlign w:val="center"/>
          </w:tcPr>
          <w:p>
            <w:pPr>
              <w:ind w:left="223" w:hanging="222" w:hangingChars="106"/>
              <w:jc w:val="center"/>
              <w:rPr>
                <w:rFonts w:asciiTheme="minorEastAsia" w:hAnsiTheme="minorEastAsia" w:eastAsiaTheme="minorEastAsia"/>
                <w:color w:val="auto"/>
              </w:rPr>
            </w:pPr>
          </w:p>
        </w:tc>
        <w:tc>
          <w:tcPr>
            <w:tcW w:w="816"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850" w:type="dxa"/>
            <w:vAlign w:val="center"/>
          </w:tcPr>
          <w:p>
            <w:pPr>
              <w:ind w:left="223" w:hanging="222" w:hangingChars="106"/>
              <w:jc w:val="center"/>
              <w:rPr>
                <w:rFonts w:asciiTheme="minorEastAsia" w:hAnsiTheme="minorEastAsia" w:eastAsiaTheme="minorEastAsia"/>
                <w:color w:val="auto"/>
              </w:rPr>
            </w:pPr>
          </w:p>
        </w:tc>
        <w:tc>
          <w:tcPr>
            <w:tcW w:w="1276" w:type="dxa"/>
            <w:vAlign w:val="center"/>
          </w:tcPr>
          <w:p>
            <w:pPr>
              <w:ind w:left="223" w:hanging="222" w:hangingChars="106"/>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93" w:type="dxa"/>
            <w:vAlign w:val="center"/>
          </w:tcPr>
          <w:p>
            <w:pPr>
              <w:ind w:left="223" w:hanging="222" w:hangingChars="106"/>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质量员</w:t>
            </w:r>
          </w:p>
        </w:tc>
        <w:tc>
          <w:tcPr>
            <w:tcW w:w="829" w:type="dxa"/>
            <w:vAlign w:val="center"/>
          </w:tcPr>
          <w:p>
            <w:pPr>
              <w:ind w:left="223" w:hanging="222" w:hangingChars="106"/>
              <w:jc w:val="center"/>
              <w:rPr>
                <w:rFonts w:asciiTheme="minorEastAsia" w:hAnsiTheme="minorEastAsia" w:eastAsiaTheme="minorEastAsia"/>
                <w:color w:val="auto"/>
              </w:rPr>
            </w:pPr>
          </w:p>
        </w:tc>
        <w:tc>
          <w:tcPr>
            <w:tcW w:w="816"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850" w:type="dxa"/>
            <w:vAlign w:val="center"/>
          </w:tcPr>
          <w:p>
            <w:pPr>
              <w:ind w:left="223" w:hanging="222" w:hangingChars="106"/>
              <w:jc w:val="center"/>
              <w:rPr>
                <w:rFonts w:asciiTheme="minorEastAsia" w:hAnsiTheme="minorEastAsia" w:eastAsiaTheme="minorEastAsia"/>
                <w:color w:val="auto"/>
              </w:rPr>
            </w:pPr>
          </w:p>
        </w:tc>
        <w:tc>
          <w:tcPr>
            <w:tcW w:w="1276" w:type="dxa"/>
            <w:vAlign w:val="center"/>
          </w:tcPr>
          <w:p>
            <w:pPr>
              <w:ind w:left="223" w:hanging="222" w:hangingChars="106"/>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93" w:type="dxa"/>
            <w:vMerge w:val="restart"/>
            <w:vAlign w:val="center"/>
          </w:tcPr>
          <w:p>
            <w:pPr>
              <w:ind w:left="223" w:hanging="222" w:hangingChars="106"/>
              <w:jc w:val="center"/>
              <w:rPr>
                <w:rFonts w:asciiTheme="minorEastAsia" w:hAnsiTheme="minorEastAsia" w:eastAsiaTheme="minorEastAsia"/>
                <w:color w:val="auto"/>
                <w:szCs w:val="21"/>
              </w:rPr>
            </w:pPr>
            <w:r>
              <w:rPr>
                <w:rFonts w:asciiTheme="minorEastAsia" w:hAnsiTheme="minorEastAsia" w:eastAsiaTheme="minorEastAsia"/>
                <w:color w:val="auto"/>
                <w:szCs w:val="21"/>
              </w:rPr>
              <w:t>安全员</w:t>
            </w:r>
          </w:p>
        </w:tc>
        <w:tc>
          <w:tcPr>
            <w:tcW w:w="829" w:type="dxa"/>
            <w:vAlign w:val="center"/>
          </w:tcPr>
          <w:p>
            <w:pPr>
              <w:ind w:left="223" w:hanging="222" w:hangingChars="106"/>
              <w:jc w:val="center"/>
              <w:rPr>
                <w:rFonts w:asciiTheme="minorEastAsia" w:hAnsiTheme="minorEastAsia" w:eastAsiaTheme="minorEastAsia"/>
                <w:color w:val="auto"/>
              </w:rPr>
            </w:pPr>
          </w:p>
        </w:tc>
        <w:tc>
          <w:tcPr>
            <w:tcW w:w="816"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850" w:type="dxa"/>
            <w:vAlign w:val="center"/>
          </w:tcPr>
          <w:p>
            <w:pPr>
              <w:ind w:left="223" w:hanging="222" w:hangingChars="106"/>
              <w:jc w:val="center"/>
              <w:rPr>
                <w:rFonts w:asciiTheme="minorEastAsia" w:hAnsiTheme="minorEastAsia" w:eastAsiaTheme="minorEastAsia"/>
                <w:color w:val="auto"/>
              </w:rPr>
            </w:pPr>
          </w:p>
        </w:tc>
        <w:tc>
          <w:tcPr>
            <w:tcW w:w="1276" w:type="dxa"/>
            <w:vAlign w:val="center"/>
          </w:tcPr>
          <w:p>
            <w:pPr>
              <w:ind w:left="223" w:hanging="222" w:hangingChars="106"/>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93" w:type="dxa"/>
            <w:vMerge w:val="continue"/>
            <w:vAlign w:val="center"/>
          </w:tcPr>
          <w:p>
            <w:pPr>
              <w:ind w:left="223" w:hanging="222" w:hangingChars="106"/>
              <w:jc w:val="center"/>
              <w:rPr>
                <w:rFonts w:asciiTheme="minorEastAsia" w:hAnsiTheme="minorEastAsia" w:eastAsiaTheme="minorEastAsia"/>
                <w:color w:val="auto"/>
                <w:szCs w:val="21"/>
              </w:rPr>
            </w:pPr>
          </w:p>
        </w:tc>
        <w:tc>
          <w:tcPr>
            <w:tcW w:w="829" w:type="dxa"/>
            <w:vAlign w:val="center"/>
          </w:tcPr>
          <w:p>
            <w:pPr>
              <w:ind w:left="223" w:hanging="222" w:hangingChars="106"/>
              <w:jc w:val="center"/>
              <w:rPr>
                <w:rFonts w:asciiTheme="minorEastAsia" w:hAnsiTheme="minorEastAsia" w:eastAsiaTheme="minorEastAsia"/>
                <w:color w:val="auto"/>
              </w:rPr>
            </w:pPr>
          </w:p>
        </w:tc>
        <w:tc>
          <w:tcPr>
            <w:tcW w:w="816"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850" w:type="dxa"/>
            <w:vAlign w:val="center"/>
          </w:tcPr>
          <w:p>
            <w:pPr>
              <w:ind w:left="223" w:hanging="222" w:hangingChars="106"/>
              <w:jc w:val="center"/>
              <w:rPr>
                <w:rFonts w:asciiTheme="minorEastAsia" w:hAnsiTheme="minorEastAsia" w:eastAsiaTheme="minorEastAsia"/>
                <w:color w:val="auto"/>
              </w:rPr>
            </w:pPr>
          </w:p>
        </w:tc>
        <w:tc>
          <w:tcPr>
            <w:tcW w:w="1276" w:type="dxa"/>
            <w:vAlign w:val="center"/>
          </w:tcPr>
          <w:p>
            <w:pPr>
              <w:ind w:left="223" w:hanging="222" w:hangingChars="106"/>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93" w:type="dxa"/>
            <w:vMerge w:val="continue"/>
            <w:vAlign w:val="center"/>
          </w:tcPr>
          <w:p>
            <w:pPr>
              <w:ind w:left="223" w:hanging="222" w:hangingChars="106"/>
              <w:jc w:val="center"/>
              <w:rPr>
                <w:rFonts w:asciiTheme="minorEastAsia" w:hAnsiTheme="minorEastAsia" w:eastAsiaTheme="minorEastAsia"/>
                <w:color w:val="auto"/>
                <w:szCs w:val="21"/>
              </w:rPr>
            </w:pPr>
          </w:p>
        </w:tc>
        <w:tc>
          <w:tcPr>
            <w:tcW w:w="829" w:type="dxa"/>
            <w:vAlign w:val="center"/>
          </w:tcPr>
          <w:p>
            <w:pPr>
              <w:ind w:left="223" w:hanging="222" w:hangingChars="106"/>
              <w:jc w:val="center"/>
              <w:rPr>
                <w:rFonts w:asciiTheme="minorEastAsia" w:hAnsiTheme="minorEastAsia" w:eastAsiaTheme="minorEastAsia"/>
                <w:color w:val="auto"/>
              </w:rPr>
            </w:pPr>
          </w:p>
        </w:tc>
        <w:tc>
          <w:tcPr>
            <w:tcW w:w="816"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850" w:type="dxa"/>
            <w:vAlign w:val="center"/>
          </w:tcPr>
          <w:p>
            <w:pPr>
              <w:ind w:left="223" w:hanging="222" w:hangingChars="106"/>
              <w:jc w:val="center"/>
              <w:rPr>
                <w:rFonts w:asciiTheme="minorEastAsia" w:hAnsiTheme="minorEastAsia" w:eastAsiaTheme="minorEastAsia"/>
                <w:color w:val="auto"/>
              </w:rPr>
            </w:pPr>
          </w:p>
        </w:tc>
        <w:tc>
          <w:tcPr>
            <w:tcW w:w="1276" w:type="dxa"/>
            <w:vAlign w:val="center"/>
          </w:tcPr>
          <w:p>
            <w:pPr>
              <w:ind w:left="223" w:hanging="222" w:hangingChars="106"/>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93" w:type="dxa"/>
            <w:vAlign w:val="center"/>
          </w:tcPr>
          <w:p>
            <w:pPr>
              <w:ind w:left="223" w:hanging="222" w:hangingChars="106"/>
              <w:jc w:val="center"/>
              <w:rPr>
                <w:rFonts w:asciiTheme="minorEastAsia" w:hAnsiTheme="minorEastAsia" w:eastAsiaTheme="minorEastAsia"/>
                <w:color w:val="auto"/>
                <w:szCs w:val="21"/>
              </w:rPr>
            </w:pPr>
            <w:r>
              <w:rPr>
                <w:rFonts w:asciiTheme="minorEastAsia" w:hAnsiTheme="minorEastAsia" w:eastAsiaTheme="minorEastAsia"/>
                <w:color w:val="auto"/>
                <w:szCs w:val="21"/>
              </w:rPr>
              <w:t>材料员</w:t>
            </w:r>
          </w:p>
        </w:tc>
        <w:tc>
          <w:tcPr>
            <w:tcW w:w="829" w:type="dxa"/>
            <w:vAlign w:val="center"/>
          </w:tcPr>
          <w:p>
            <w:pPr>
              <w:ind w:left="223" w:hanging="222" w:hangingChars="106"/>
              <w:jc w:val="center"/>
              <w:rPr>
                <w:rFonts w:asciiTheme="minorEastAsia" w:hAnsiTheme="minorEastAsia" w:eastAsiaTheme="minorEastAsia"/>
                <w:color w:val="auto"/>
              </w:rPr>
            </w:pPr>
          </w:p>
        </w:tc>
        <w:tc>
          <w:tcPr>
            <w:tcW w:w="816"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850" w:type="dxa"/>
            <w:vAlign w:val="center"/>
          </w:tcPr>
          <w:p>
            <w:pPr>
              <w:ind w:left="223" w:hanging="222" w:hangingChars="106"/>
              <w:jc w:val="center"/>
              <w:rPr>
                <w:rFonts w:asciiTheme="minorEastAsia" w:hAnsiTheme="minorEastAsia" w:eastAsiaTheme="minorEastAsia"/>
                <w:color w:val="auto"/>
              </w:rPr>
            </w:pPr>
          </w:p>
        </w:tc>
        <w:tc>
          <w:tcPr>
            <w:tcW w:w="1276" w:type="dxa"/>
            <w:vAlign w:val="center"/>
          </w:tcPr>
          <w:p>
            <w:pPr>
              <w:ind w:left="223" w:hanging="222" w:hangingChars="106"/>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93" w:type="dxa"/>
            <w:vAlign w:val="center"/>
          </w:tcPr>
          <w:p>
            <w:pPr>
              <w:ind w:left="223" w:hanging="222" w:hangingChars="106"/>
              <w:jc w:val="center"/>
              <w:rPr>
                <w:rFonts w:asciiTheme="minorEastAsia" w:hAnsiTheme="minorEastAsia" w:eastAsiaTheme="minorEastAsia"/>
                <w:color w:val="auto"/>
                <w:szCs w:val="21"/>
              </w:rPr>
            </w:pPr>
          </w:p>
        </w:tc>
        <w:tc>
          <w:tcPr>
            <w:tcW w:w="829" w:type="dxa"/>
            <w:vAlign w:val="center"/>
          </w:tcPr>
          <w:p>
            <w:pPr>
              <w:ind w:left="223" w:hanging="222" w:hangingChars="106"/>
              <w:jc w:val="center"/>
              <w:rPr>
                <w:rFonts w:asciiTheme="minorEastAsia" w:hAnsiTheme="minorEastAsia" w:eastAsiaTheme="minorEastAsia"/>
                <w:color w:val="auto"/>
              </w:rPr>
            </w:pPr>
          </w:p>
        </w:tc>
        <w:tc>
          <w:tcPr>
            <w:tcW w:w="816"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850" w:type="dxa"/>
            <w:vAlign w:val="center"/>
          </w:tcPr>
          <w:p>
            <w:pPr>
              <w:ind w:left="223" w:hanging="222" w:hangingChars="106"/>
              <w:jc w:val="center"/>
              <w:rPr>
                <w:rFonts w:asciiTheme="minorEastAsia" w:hAnsiTheme="minorEastAsia" w:eastAsiaTheme="minorEastAsia"/>
                <w:color w:val="auto"/>
              </w:rPr>
            </w:pPr>
          </w:p>
        </w:tc>
        <w:tc>
          <w:tcPr>
            <w:tcW w:w="1276" w:type="dxa"/>
            <w:vAlign w:val="center"/>
          </w:tcPr>
          <w:p>
            <w:pPr>
              <w:ind w:left="223" w:hanging="222" w:hangingChars="106"/>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93" w:type="dxa"/>
            <w:vAlign w:val="center"/>
          </w:tcPr>
          <w:p>
            <w:pPr>
              <w:ind w:left="223" w:hanging="222" w:hangingChars="106"/>
              <w:jc w:val="center"/>
              <w:rPr>
                <w:rFonts w:asciiTheme="minorEastAsia" w:hAnsiTheme="minorEastAsia" w:eastAsiaTheme="minorEastAsia"/>
                <w:color w:val="auto"/>
              </w:rPr>
            </w:pPr>
            <w:r>
              <w:rPr>
                <w:rFonts w:asciiTheme="minorEastAsia" w:hAnsiTheme="minorEastAsia" w:eastAsiaTheme="minorEastAsia"/>
                <w:color w:val="auto"/>
              </w:rPr>
              <w:t>……</w:t>
            </w:r>
          </w:p>
        </w:tc>
        <w:tc>
          <w:tcPr>
            <w:tcW w:w="829" w:type="dxa"/>
            <w:vAlign w:val="center"/>
          </w:tcPr>
          <w:p>
            <w:pPr>
              <w:ind w:left="223" w:hanging="222" w:hangingChars="106"/>
              <w:jc w:val="center"/>
              <w:rPr>
                <w:rFonts w:asciiTheme="minorEastAsia" w:hAnsiTheme="minorEastAsia" w:eastAsiaTheme="minorEastAsia"/>
                <w:color w:val="auto"/>
              </w:rPr>
            </w:pPr>
          </w:p>
        </w:tc>
        <w:tc>
          <w:tcPr>
            <w:tcW w:w="816"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1148" w:type="dxa"/>
            <w:vAlign w:val="center"/>
          </w:tcPr>
          <w:p>
            <w:pPr>
              <w:ind w:left="223" w:hanging="222" w:hangingChars="106"/>
              <w:jc w:val="center"/>
              <w:rPr>
                <w:rFonts w:asciiTheme="minorEastAsia" w:hAnsiTheme="minorEastAsia" w:eastAsiaTheme="minorEastAsia"/>
                <w:color w:val="auto"/>
              </w:rPr>
            </w:pPr>
          </w:p>
        </w:tc>
        <w:tc>
          <w:tcPr>
            <w:tcW w:w="850" w:type="dxa"/>
            <w:vAlign w:val="center"/>
          </w:tcPr>
          <w:p>
            <w:pPr>
              <w:ind w:left="223" w:hanging="222" w:hangingChars="106"/>
              <w:jc w:val="center"/>
              <w:rPr>
                <w:rFonts w:asciiTheme="minorEastAsia" w:hAnsiTheme="minorEastAsia" w:eastAsiaTheme="minorEastAsia"/>
                <w:color w:val="auto"/>
              </w:rPr>
            </w:pPr>
          </w:p>
        </w:tc>
        <w:tc>
          <w:tcPr>
            <w:tcW w:w="1276" w:type="dxa"/>
            <w:vAlign w:val="center"/>
          </w:tcPr>
          <w:p>
            <w:pPr>
              <w:ind w:left="223" w:hanging="222" w:hangingChars="106"/>
              <w:jc w:val="cente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356" w:type="dxa"/>
            <w:gridSpan w:val="9"/>
            <w:vAlign w:val="center"/>
          </w:tcPr>
          <w:p>
            <w:pPr>
              <w:spacing w:line="360" w:lineRule="auto"/>
              <w:rPr>
                <w:rFonts w:asciiTheme="minorEastAsia" w:hAnsiTheme="minorEastAsia" w:eastAsiaTheme="minorEastAsia"/>
                <w:color w:val="auto"/>
                <w:szCs w:val="21"/>
              </w:rPr>
            </w:pPr>
            <w:bookmarkStart w:id="746" w:name="_Toc251052199"/>
            <w:r>
              <w:rPr>
                <w:rFonts w:asciiTheme="minorEastAsia" w:hAnsiTheme="minorEastAsia" w:eastAsiaTheme="minorEastAsia"/>
                <w:color w:val="auto"/>
                <w:szCs w:val="21"/>
              </w:rPr>
              <w:t>一旦我单位</w:t>
            </w:r>
            <w:r>
              <w:rPr>
                <w:rFonts w:hint="eastAsia" w:asciiTheme="minorEastAsia" w:hAnsiTheme="minorEastAsia" w:eastAsiaTheme="minorEastAsia"/>
                <w:color w:val="auto"/>
                <w:szCs w:val="21"/>
              </w:rPr>
              <w:t>成交</w:t>
            </w:r>
            <w:r>
              <w:rPr>
                <w:rFonts w:asciiTheme="minorEastAsia" w:hAnsiTheme="minorEastAsia" w:eastAsiaTheme="minorEastAsia"/>
                <w:color w:val="auto"/>
                <w:szCs w:val="21"/>
              </w:rPr>
              <w:t>，将实行项目经理负责制，我方保证并配备上述项目管理机构。上述填报内容真实，若不真实，愿按有关规定接受处理。项目管理班子机构设置、职责分工等情况另附资料说明。</w:t>
            </w:r>
            <w:bookmarkEnd w:id="746"/>
          </w:p>
        </w:tc>
      </w:tr>
    </w:tbl>
    <w:p>
      <w:pPr>
        <w:spacing w:line="360" w:lineRule="auto"/>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asciiTheme="minorEastAsia" w:hAnsiTheme="minorEastAsia" w:eastAsiaTheme="minorEastAsia"/>
          <w:color w:val="auto"/>
        </w:rPr>
        <w:t>备注：附各岗位人员资格证件复印件</w:t>
      </w:r>
      <w:r>
        <w:rPr>
          <w:rFonts w:hint="eastAsia" w:asciiTheme="minorEastAsia" w:hAnsiTheme="minorEastAsia" w:eastAsiaTheme="minorEastAsia"/>
          <w:color w:val="auto"/>
        </w:rPr>
        <w:t>，</w:t>
      </w:r>
      <w:r>
        <w:rPr>
          <w:rFonts w:asciiTheme="minorEastAsia" w:hAnsiTheme="minorEastAsia" w:eastAsiaTheme="minorEastAsia"/>
          <w:color w:val="auto"/>
        </w:rPr>
        <w:t>以</w:t>
      </w:r>
      <w:r>
        <w:rPr>
          <w:rFonts w:hint="eastAsia" w:asciiTheme="minorEastAsia" w:hAnsiTheme="minorEastAsia" w:eastAsiaTheme="minorEastAsia"/>
          <w:color w:val="auto"/>
        </w:rPr>
        <w:t>上</w:t>
      </w:r>
      <w:r>
        <w:rPr>
          <w:rFonts w:asciiTheme="minorEastAsia" w:hAnsiTheme="minorEastAsia" w:eastAsiaTheme="minorEastAsia"/>
          <w:color w:val="auto"/>
        </w:rPr>
        <w:t>复印件均须加盖</w:t>
      </w:r>
      <w:r>
        <w:rPr>
          <w:rFonts w:hint="eastAsia" w:asciiTheme="minorEastAsia" w:hAnsiTheme="minorEastAsia" w:eastAsiaTheme="minorEastAsia"/>
          <w:color w:val="auto"/>
        </w:rPr>
        <w:t>磋商供应商</w:t>
      </w:r>
      <w:r>
        <w:rPr>
          <w:rFonts w:asciiTheme="minorEastAsia" w:hAnsiTheme="minorEastAsia" w:eastAsiaTheme="minorEastAsia"/>
          <w:color w:val="auto"/>
        </w:rPr>
        <w:t>单位公章</w:t>
      </w:r>
      <w:r>
        <w:rPr>
          <w:rFonts w:hint="eastAsia" w:asciiTheme="minorEastAsia" w:hAnsiTheme="minorEastAsia" w:eastAsiaTheme="minorEastAsia"/>
          <w:color w:val="auto"/>
        </w:rPr>
        <w:t>。</w:t>
      </w:r>
      <w:r>
        <w:rPr>
          <w:rFonts w:asciiTheme="minorEastAsia" w:hAnsiTheme="minorEastAsia" w:eastAsiaTheme="minorEastAsia"/>
          <w:color w:val="auto"/>
          <w:szCs w:val="21"/>
        </w:rPr>
        <w:t>】</w:t>
      </w:r>
    </w:p>
    <w:p>
      <w:pPr>
        <w:pStyle w:val="14"/>
      </w:pPr>
    </w:p>
    <w:p>
      <w:pPr>
        <w:pStyle w:val="14"/>
      </w:pPr>
    </w:p>
    <w:p>
      <w:pPr>
        <w:jc w:val="center"/>
        <w:outlineLvl w:val="0"/>
        <w:rPr>
          <w:rFonts w:asciiTheme="minorEastAsia" w:hAnsiTheme="minorEastAsia" w:eastAsiaTheme="minorEastAsia"/>
          <w:color w:val="auto"/>
          <w:szCs w:val="21"/>
        </w:rPr>
      </w:pPr>
      <w:bookmarkStart w:id="747" w:name="_Toc8944_WPSOffice_Level1"/>
      <w:bookmarkStart w:id="748" w:name="_Toc14614"/>
      <w:bookmarkStart w:id="749" w:name="_Toc4708"/>
      <w:r>
        <w:rPr>
          <w:rFonts w:hint="eastAsia" w:asciiTheme="minorEastAsia" w:hAnsiTheme="minorEastAsia" w:eastAsiaTheme="minorEastAsia"/>
          <w:color w:val="auto"/>
        </w:rPr>
        <w:t>附表二：</w:t>
      </w:r>
      <w:r>
        <w:rPr>
          <w:rFonts w:asciiTheme="minorEastAsia" w:hAnsiTheme="minorEastAsia" w:eastAsiaTheme="minorEastAsia"/>
          <w:color w:val="auto"/>
        </w:rPr>
        <w:t>拟投入本</w:t>
      </w:r>
      <w:r>
        <w:rPr>
          <w:rFonts w:asciiTheme="minorEastAsia" w:hAnsiTheme="minorEastAsia" w:eastAsiaTheme="minorEastAsia"/>
          <w:color w:val="auto"/>
          <w:szCs w:val="21"/>
        </w:rPr>
        <w:t>工程</w:t>
      </w:r>
      <w:r>
        <w:rPr>
          <w:rFonts w:asciiTheme="minorEastAsia" w:hAnsiTheme="minorEastAsia" w:eastAsiaTheme="minorEastAsia"/>
          <w:color w:val="auto"/>
        </w:rPr>
        <w:t>的主要施工设备表</w:t>
      </w:r>
      <w:bookmarkEnd w:id="747"/>
      <w:bookmarkEnd w:id="748"/>
      <w:bookmarkEnd w:id="749"/>
    </w:p>
    <w:tbl>
      <w:tblPr>
        <w:tblStyle w:val="5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序号</w:t>
            </w:r>
          </w:p>
        </w:tc>
        <w:tc>
          <w:tcPr>
            <w:tcW w:w="1226"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设备名称</w:t>
            </w:r>
          </w:p>
        </w:tc>
        <w:tc>
          <w:tcPr>
            <w:tcW w:w="851"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型号</w:t>
            </w:r>
          </w:p>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规格</w:t>
            </w:r>
          </w:p>
        </w:tc>
        <w:tc>
          <w:tcPr>
            <w:tcW w:w="708"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数量</w:t>
            </w:r>
          </w:p>
        </w:tc>
        <w:tc>
          <w:tcPr>
            <w:tcW w:w="709"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国别</w:t>
            </w:r>
          </w:p>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产地</w:t>
            </w:r>
          </w:p>
        </w:tc>
        <w:tc>
          <w:tcPr>
            <w:tcW w:w="851"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制造</w:t>
            </w:r>
          </w:p>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年份</w:t>
            </w:r>
          </w:p>
        </w:tc>
        <w:tc>
          <w:tcPr>
            <w:tcW w:w="1134"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额定功率</w:t>
            </w:r>
          </w:p>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（KW）</w:t>
            </w:r>
          </w:p>
        </w:tc>
        <w:tc>
          <w:tcPr>
            <w:tcW w:w="992"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生产</w:t>
            </w:r>
          </w:p>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能力</w:t>
            </w:r>
          </w:p>
        </w:tc>
        <w:tc>
          <w:tcPr>
            <w:tcW w:w="1134"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用于施</w:t>
            </w:r>
          </w:p>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工部位</w:t>
            </w:r>
          </w:p>
        </w:tc>
        <w:tc>
          <w:tcPr>
            <w:tcW w:w="992"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Theme="minorEastAsia" w:hAnsiTheme="minorEastAsia" w:eastAsiaTheme="minorEastAsia"/>
                <w:color w:val="auto"/>
                <w:szCs w:val="21"/>
              </w:rPr>
            </w:pPr>
          </w:p>
        </w:tc>
        <w:tc>
          <w:tcPr>
            <w:tcW w:w="1226" w:type="dxa"/>
          </w:tcPr>
          <w:p>
            <w:pPr>
              <w:spacing w:line="360" w:lineRule="auto"/>
              <w:ind w:firstLine="420" w:firstLineChars="200"/>
              <w:rPr>
                <w:rFonts w:asciiTheme="minorEastAsia" w:hAnsiTheme="minorEastAsia" w:eastAsiaTheme="minorEastAsia"/>
                <w:color w:val="auto"/>
                <w:szCs w:val="21"/>
              </w:rPr>
            </w:pPr>
          </w:p>
        </w:tc>
        <w:tc>
          <w:tcPr>
            <w:tcW w:w="851" w:type="dxa"/>
          </w:tcPr>
          <w:p>
            <w:pPr>
              <w:spacing w:line="360" w:lineRule="auto"/>
              <w:rPr>
                <w:rFonts w:asciiTheme="minorEastAsia" w:hAnsiTheme="minorEastAsia" w:eastAsiaTheme="minorEastAsia"/>
                <w:color w:val="auto"/>
                <w:szCs w:val="21"/>
              </w:rPr>
            </w:pPr>
          </w:p>
        </w:tc>
        <w:tc>
          <w:tcPr>
            <w:tcW w:w="708" w:type="dxa"/>
          </w:tcPr>
          <w:p>
            <w:pPr>
              <w:spacing w:line="360" w:lineRule="auto"/>
              <w:rPr>
                <w:rFonts w:asciiTheme="minorEastAsia" w:hAnsiTheme="minorEastAsia" w:eastAsiaTheme="minorEastAsia"/>
                <w:color w:val="auto"/>
                <w:szCs w:val="21"/>
              </w:rPr>
            </w:pPr>
          </w:p>
        </w:tc>
        <w:tc>
          <w:tcPr>
            <w:tcW w:w="709" w:type="dxa"/>
          </w:tcPr>
          <w:p>
            <w:pPr>
              <w:spacing w:line="360" w:lineRule="auto"/>
              <w:rPr>
                <w:rFonts w:asciiTheme="minorEastAsia" w:hAnsiTheme="minorEastAsia" w:eastAsiaTheme="minorEastAsia"/>
                <w:color w:val="auto"/>
                <w:szCs w:val="21"/>
              </w:rPr>
            </w:pPr>
          </w:p>
        </w:tc>
        <w:tc>
          <w:tcPr>
            <w:tcW w:w="851" w:type="dxa"/>
          </w:tcPr>
          <w:p>
            <w:pPr>
              <w:spacing w:line="360" w:lineRule="auto"/>
              <w:rPr>
                <w:rFonts w:asciiTheme="minorEastAsia" w:hAnsiTheme="minorEastAsia" w:eastAsiaTheme="minorEastAsia"/>
                <w:color w:val="auto"/>
                <w:szCs w:val="21"/>
              </w:rPr>
            </w:pPr>
          </w:p>
        </w:tc>
        <w:tc>
          <w:tcPr>
            <w:tcW w:w="1134" w:type="dxa"/>
          </w:tcPr>
          <w:p>
            <w:pPr>
              <w:spacing w:line="360" w:lineRule="auto"/>
              <w:rPr>
                <w:rFonts w:asciiTheme="minorEastAsia" w:hAnsiTheme="minorEastAsia" w:eastAsiaTheme="minorEastAsia"/>
                <w:color w:val="auto"/>
                <w:szCs w:val="21"/>
              </w:rPr>
            </w:pPr>
          </w:p>
        </w:tc>
        <w:tc>
          <w:tcPr>
            <w:tcW w:w="992" w:type="dxa"/>
          </w:tcPr>
          <w:p>
            <w:pPr>
              <w:spacing w:line="360" w:lineRule="auto"/>
              <w:rPr>
                <w:rFonts w:asciiTheme="minorEastAsia" w:hAnsiTheme="minorEastAsia" w:eastAsiaTheme="minorEastAsia"/>
                <w:color w:val="auto"/>
                <w:szCs w:val="21"/>
              </w:rPr>
            </w:pPr>
          </w:p>
        </w:tc>
        <w:tc>
          <w:tcPr>
            <w:tcW w:w="1134" w:type="dxa"/>
          </w:tcPr>
          <w:p>
            <w:pPr>
              <w:spacing w:line="360" w:lineRule="auto"/>
              <w:rPr>
                <w:rFonts w:asciiTheme="minorEastAsia" w:hAnsiTheme="minorEastAsia" w:eastAsiaTheme="minorEastAsia"/>
                <w:color w:val="auto"/>
                <w:szCs w:val="21"/>
              </w:rPr>
            </w:pPr>
          </w:p>
        </w:tc>
        <w:tc>
          <w:tcPr>
            <w:tcW w:w="992" w:type="dxa"/>
          </w:tcPr>
          <w:p>
            <w:pPr>
              <w:spacing w:line="360"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Theme="minorEastAsia" w:hAnsiTheme="minorEastAsia" w:eastAsiaTheme="minorEastAsia"/>
                <w:color w:val="auto"/>
                <w:szCs w:val="21"/>
              </w:rPr>
            </w:pPr>
          </w:p>
        </w:tc>
        <w:tc>
          <w:tcPr>
            <w:tcW w:w="1226" w:type="dxa"/>
          </w:tcPr>
          <w:p>
            <w:pPr>
              <w:spacing w:line="360" w:lineRule="auto"/>
              <w:rPr>
                <w:rFonts w:asciiTheme="minorEastAsia" w:hAnsiTheme="minorEastAsia" w:eastAsiaTheme="minorEastAsia"/>
                <w:color w:val="auto"/>
                <w:szCs w:val="21"/>
              </w:rPr>
            </w:pPr>
          </w:p>
        </w:tc>
        <w:tc>
          <w:tcPr>
            <w:tcW w:w="851" w:type="dxa"/>
          </w:tcPr>
          <w:p>
            <w:pPr>
              <w:spacing w:line="360" w:lineRule="auto"/>
              <w:rPr>
                <w:rFonts w:asciiTheme="minorEastAsia" w:hAnsiTheme="minorEastAsia" w:eastAsiaTheme="minorEastAsia"/>
                <w:color w:val="auto"/>
                <w:szCs w:val="21"/>
              </w:rPr>
            </w:pPr>
          </w:p>
        </w:tc>
        <w:tc>
          <w:tcPr>
            <w:tcW w:w="708" w:type="dxa"/>
          </w:tcPr>
          <w:p>
            <w:pPr>
              <w:spacing w:line="360" w:lineRule="auto"/>
              <w:rPr>
                <w:rFonts w:asciiTheme="minorEastAsia" w:hAnsiTheme="minorEastAsia" w:eastAsiaTheme="minorEastAsia"/>
                <w:color w:val="auto"/>
                <w:szCs w:val="21"/>
              </w:rPr>
            </w:pPr>
          </w:p>
        </w:tc>
        <w:tc>
          <w:tcPr>
            <w:tcW w:w="709" w:type="dxa"/>
          </w:tcPr>
          <w:p>
            <w:pPr>
              <w:spacing w:line="360" w:lineRule="auto"/>
              <w:rPr>
                <w:rFonts w:asciiTheme="minorEastAsia" w:hAnsiTheme="minorEastAsia" w:eastAsiaTheme="minorEastAsia"/>
                <w:color w:val="auto"/>
                <w:szCs w:val="21"/>
              </w:rPr>
            </w:pPr>
          </w:p>
        </w:tc>
        <w:tc>
          <w:tcPr>
            <w:tcW w:w="851" w:type="dxa"/>
          </w:tcPr>
          <w:p>
            <w:pPr>
              <w:spacing w:line="360" w:lineRule="auto"/>
              <w:rPr>
                <w:rFonts w:asciiTheme="minorEastAsia" w:hAnsiTheme="minorEastAsia" w:eastAsiaTheme="minorEastAsia"/>
                <w:color w:val="auto"/>
                <w:szCs w:val="21"/>
              </w:rPr>
            </w:pPr>
          </w:p>
        </w:tc>
        <w:tc>
          <w:tcPr>
            <w:tcW w:w="1134" w:type="dxa"/>
          </w:tcPr>
          <w:p>
            <w:pPr>
              <w:spacing w:line="360" w:lineRule="auto"/>
              <w:rPr>
                <w:rFonts w:asciiTheme="minorEastAsia" w:hAnsiTheme="minorEastAsia" w:eastAsiaTheme="minorEastAsia"/>
                <w:color w:val="auto"/>
                <w:szCs w:val="21"/>
              </w:rPr>
            </w:pPr>
          </w:p>
        </w:tc>
        <w:tc>
          <w:tcPr>
            <w:tcW w:w="992" w:type="dxa"/>
          </w:tcPr>
          <w:p>
            <w:pPr>
              <w:spacing w:line="360" w:lineRule="auto"/>
              <w:rPr>
                <w:rFonts w:asciiTheme="minorEastAsia" w:hAnsiTheme="minorEastAsia" w:eastAsiaTheme="minorEastAsia"/>
                <w:color w:val="auto"/>
                <w:szCs w:val="21"/>
              </w:rPr>
            </w:pPr>
          </w:p>
        </w:tc>
        <w:tc>
          <w:tcPr>
            <w:tcW w:w="1134" w:type="dxa"/>
          </w:tcPr>
          <w:p>
            <w:pPr>
              <w:spacing w:line="360" w:lineRule="auto"/>
              <w:rPr>
                <w:rFonts w:asciiTheme="minorEastAsia" w:hAnsiTheme="minorEastAsia" w:eastAsiaTheme="minorEastAsia"/>
                <w:color w:val="auto"/>
                <w:szCs w:val="21"/>
              </w:rPr>
            </w:pPr>
          </w:p>
        </w:tc>
        <w:tc>
          <w:tcPr>
            <w:tcW w:w="992" w:type="dxa"/>
          </w:tcPr>
          <w:p>
            <w:pPr>
              <w:spacing w:line="360"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Theme="minorEastAsia" w:hAnsiTheme="minorEastAsia" w:eastAsiaTheme="minorEastAsia"/>
                <w:color w:val="auto"/>
                <w:szCs w:val="21"/>
              </w:rPr>
            </w:pPr>
          </w:p>
        </w:tc>
        <w:tc>
          <w:tcPr>
            <w:tcW w:w="1226" w:type="dxa"/>
          </w:tcPr>
          <w:p>
            <w:pPr>
              <w:spacing w:line="360" w:lineRule="auto"/>
              <w:rPr>
                <w:rFonts w:asciiTheme="minorEastAsia" w:hAnsiTheme="minorEastAsia" w:eastAsiaTheme="minorEastAsia"/>
                <w:color w:val="auto"/>
                <w:szCs w:val="21"/>
              </w:rPr>
            </w:pPr>
          </w:p>
        </w:tc>
        <w:tc>
          <w:tcPr>
            <w:tcW w:w="851" w:type="dxa"/>
          </w:tcPr>
          <w:p>
            <w:pPr>
              <w:spacing w:line="360" w:lineRule="auto"/>
              <w:rPr>
                <w:rFonts w:asciiTheme="minorEastAsia" w:hAnsiTheme="minorEastAsia" w:eastAsiaTheme="minorEastAsia"/>
                <w:color w:val="auto"/>
                <w:szCs w:val="21"/>
              </w:rPr>
            </w:pPr>
          </w:p>
        </w:tc>
        <w:tc>
          <w:tcPr>
            <w:tcW w:w="708" w:type="dxa"/>
          </w:tcPr>
          <w:p>
            <w:pPr>
              <w:spacing w:line="360" w:lineRule="auto"/>
              <w:rPr>
                <w:rFonts w:asciiTheme="minorEastAsia" w:hAnsiTheme="minorEastAsia" w:eastAsiaTheme="minorEastAsia"/>
                <w:color w:val="auto"/>
                <w:szCs w:val="21"/>
              </w:rPr>
            </w:pPr>
          </w:p>
        </w:tc>
        <w:tc>
          <w:tcPr>
            <w:tcW w:w="709" w:type="dxa"/>
          </w:tcPr>
          <w:p>
            <w:pPr>
              <w:spacing w:line="360" w:lineRule="auto"/>
              <w:rPr>
                <w:rFonts w:asciiTheme="minorEastAsia" w:hAnsiTheme="minorEastAsia" w:eastAsiaTheme="minorEastAsia"/>
                <w:color w:val="auto"/>
                <w:szCs w:val="21"/>
              </w:rPr>
            </w:pPr>
          </w:p>
        </w:tc>
        <w:tc>
          <w:tcPr>
            <w:tcW w:w="851" w:type="dxa"/>
          </w:tcPr>
          <w:p>
            <w:pPr>
              <w:spacing w:line="360" w:lineRule="auto"/>
              <w:rPr>
                <w:rFonts w:asciiTheme="minorEastAsia" w:hAnsiTheme="minorEastAsia" w:eastAsiaTheme="minorEastAsia"/>
                <w:color w:val="auto"/>
                <w:szCs w:val="21"/>
              </w:rPr>
            </w:pPr>
          </w:p>
        </w:tc>
        <w:tc>
          <w:tcPr>
            <w:tcW w:w="1134" w:type="dxa"/>
          </w:tcPr>
          <w:p>
            <w:pPr>
              <w:spacing w:line="360" w:lineRule="auto"/>
              <w:rPr>
                <w:rFonts w:asciiTheme="minorEastAsia" w:hAnsiTheme="minorEastAsia" w:eastAsiaTheme="minorEastAsia"/>
                <w:color w:val="auto"/>
                <w:szCs w:val="21"/>
              </w:rPr>
            </w:pPr>
          </w:p>
        </w:tc>
        <w:tc>
          <w:tcPr>
            <w:tcW w:w="992" w:type="dxa"/>
          </w:tcPr>
          <w:p>
            <w:pPr>
              <w:spacing w:line="360" w:lineRule="auto"/>
              <w:rPr>
                <w:rFonts w:asciiTheme="minorEastAsia" w:hAnsiTheme="minorEastAsia" w:eastAsiaTheme="minorEastAsia"/>
                <w:color w:val="auto"/>
                <w:szCs w:val="21"/>
              </w:rPr>
            </w:pPr>
          </w:p>
        </w:tc>
        <w:tc>
          <w:tcPr>
            <w:tcW w:w="1134" w:type="dxa"/>
          </w:tcPr>
          <w:p>
            <w:pPr>
              <w:spacing w:line="360" w:lineRule="auto"/>
              <w:rPr>
                <w:rFonts w:asciiTheme="minorEastAsia" w:hAnsiTheme="minorEastAsia" w:eastAsiaTheme="minorEastAsia"/>
                <w:color w:val="auto"/>
                <w:szCs w:val="21"/>
              </w:rPr>
            </w:pPr>
          </w:p>
        </w:tc>
        <w:tc>
          <w:tcPr>
            <w:tcW w:w="992" w:type="dxa"/>
          </w:tcPr>
          <w:p>
            <w:pPr>
              <w:spacing w:line="360"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Theme="minorEastAsia" w:hAnsiTheme="minorEastAsia" w:eastAsiaTheme="minorEastAsia"/>
                <w:color w:val="auto"/>
                <w:szCs w:val="21"/>
              </w:rPr>
            </w:pPr>
          </w:p>
        </w:tc>
        <w:tc>
          <w:tcPr>
            <w:tcW w:w="1226" w:type="dxa"/>
          </w:tcPr>
          <w:p>
            <w:pPr>
              <w:spacing w:line="360" w:lineRule="auto"/>
              <w:rPr>
                <w:rFonts w:asciiTheme="minorEastAsia" w:hAnsiTheme="minorEastAsia" w:eastAsiaTheme="minorEastAsia"/>
                <w:color w:val="auto"/>
                <w:szCs w:val="21"/>
              </w:rPr>
            </w:pPr>
          </w:p>
        </w:tc>
        <w:tc>
          <w:tcPr>
            <w:tcW w:w="851" w:type="dxa"/>
          </w:tcPr>
          <w:p>
            <w:pPr>
              <w:spacing w:line="360" w:lineRule="auto"/>
              <w:rPr>
                <w:rFonts w:asciiTheme="minorEastAsia" w:hAnsiTheme="minorEastAsia" w:eastAsiaTheme="minorEastAsia"/>
                <w:color w:val="auto"/>
                <w:szCs w:val="21"/>
              </w:rPr>
            </w:pPr>
          </w:p>
        </w:tc>
        <w:tc>
          <w:tcPr>
            <w:tcW w:w="708" w:type="dxa"/>
          </w:tcPr>
          <w:p>
            <w:pPr>
              <w:spacing w:line="360" w:lineRule="auto"/>
              <w:rPr>
                <w:rFonts w:asciiTheme="minorEastAsia" w:hAnsiTheme="minorEastAsia" w:eastAsiaTheme="minorEastAsia"/>
                <w:color w:val="auto"/>
                <w:szCs w:val="21"/>
              </w:rPr>
            </w:pPr>
          </w:p>
        </w:tc>
        <w:tc>
          <w:tcPr>
            <w:tcW w:w="709" w:type="dxa"/>
          </w:tcPr>
          <w:p>
            <w:pPr>
              <w:spacing w:line="360" w:lineRule="auto"/>
              <w:rPr>
                <w:rFonts w:asciiTheme="minorEastAsia" w:hAnsiTheme="minorEastAsia" w:eastAsiaTheme="minorEastAsia"/>
                <w:color w:val="auto"/>
                <w:szCs w:val="21"/>
              </w:rPr>
            </w:pPr>
          </w:p>
        </w:tc>
        <w:tc>
          <w:tcPr>
            <w:tcW w:w="851" w:type="dxa"/>
          </w:tcPr>
          <w:p>
            <w:pPr>
              <w:spacing w:line="360" w:lineRule="auto"/>
              <w:rPr>
                <w:rFonts w:asciiTheme="minorEastAsia" w:hAnsiTheme="minorEastAsia" w:eastAsiaTheme="minorEastAsia"/>
                <w:color w:val="auto"/>
                <w:szCs w:val="21"/>
              </w:rPr>
            </w:pPr>
          </w:p>
        </w:tc>
        <w:tc>
          <w:tcPr>
            <w:tcW w:w="1134" w:type="dxa"/>
          </w:tcPr>
          <w:p>
            <w:pPr>
              <w:spacing w:line="360" w:lineRule="auto"/>
              <w:rPr>
                <w:rFonts w:asciiTheme="minorEastAsia" w:hAnsiTheme="minorEastAsia" w:eastAsiaTheme="minorEastAsia"/>
                <w:color w:val="auto"/>
                <w:szCs w:val="21"/>
              </w:rPr>
            </w:pPr>
          </w:p>
        </w:tc>
        <w:tc>
          <w:tcPr>
            <w:tcW w:w="992" w:type="dxa"/>
          </w:tcPr>
          <w:p>
            <w:pPr>
              <w:spacing w:line="360" w:lineRule="auto"/>
              <w:rPr>
                <w:rFonts w:asciiTheme="minorEastAsia" w:hAnsiTheme="minorEastAsia" w:eastAsiaTheme="minorEastAsia"/>
                <w:color w:val="auto"/>
                <w:szCs w:val="21"/>
              </w:rPr>
            </w:pPr>
          </w:p>
        </w:tc>
        <w:tc>
          <w:tcPr>
            <w:tcW w:w="1134" w:type="dxa"/>
          </w:tcPr>
          <w:p>
            <w:pPr>
              <w:spacing w:line="360" w:lineRule="auto"/>
              <w:rPr>
                <w:rFonts w:asciiTheme="minorEastAsia" w:hAnsiTheme="minorEastAsia" w:eastAsiaTheme="minorEastAsia"/>
                <w:color w:val="auto"/>
                <w:szCs w:val="21"/>
              </w:rPr>
            </w:pPr>
          </w:p>
        </w:tc>
        <w:tc>
          <w:tcPr>
            <w:tcW w:w="992" w:type="dxa"/>
          </w:tcPr>
          <w:p>
            <w:pPr>
              <w:spacing w:line="360" w:lineRule="auto"/>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Theme="minorEastAsia" w:hAnsiTheme="minorEastAsia" w:eastAsiaTheme="minorEastAsia"/>
                <w:color w:val="auto"/>
                <w:szCs w:val="21"/>
              </w:rPr>
            </w:pPr>
          </w:p>
        </w:tc>
        <w:tc>
          <w:tcPr>
            <w:tcW w:w="1226" w:type="dxa"/>
          </w:tcPr>
          <w:p>
            <w:pPr>
              <w:spacing w:line="360" w:lineRule="auto"/>
              <w:rPr>
                <w:rFonts w:asciiTheme="minorEastAsia" w:hAnsiTheme="minorEastAsia" w:eastAsiaTheme="minorEastAsia"/>
                <w:color w:val="auto"/>
                <w:szCs w:val="21"/>
              </w:rPr>
            </w:pPr>
          </w:p>
        </w:tc>
        <w:tc>
          <w:tcPr>
            <w:tcW w:w="851" w:type="dxa"/>
          </w:tcPr>
          <w:p>
            <w:pPr>
              <w:spacing w:line="360" w:lineRule="auto"/>
              <w:rPr>
                <w:rFonts w:asciiTheme="minorEastAsia" w:hAnsiTheme="minorEastAsia" w:eastAsiaTheme="minorEastAsia"/>
                <w:color w:val="auto"/>
                <w:szCs w:val="21"/>
              </w:rPr>
            </w:pPr>
          </w:p>
        </w:tc>
        <w:tc>
          <w:tcPr>
            <w:tcW w:w="708" w:type="dxa"/>
          </w:tcPr>
          <w:p>
            <w:pPr>
              <w:spacing w:line="360" w:lineRule="auto"/>
              <w:rPr>
                <w:rFonts w:asciiTheme="minorEastAsia" w:hAnsiTheme="minorEastAsia" w:eastAsiaTheme="minorEastAsia"/>
                <w:color w:val="auto"/>
                <w:szCs w:val="21"/>
              </w:rPr>
            </w:pPr>
          </w:p>
        </w:tc>
        <w:tc>
          <w:tcPr>
            <w:tcW w:w="709" w:type="dxa"/>
          </w:tcPr>
          <w:p>
            <w:pPr>
              <w:spacing w:line="360" w:lineRule="auto"/>
              <w:rPr>
                <w:rFonts w:asciiTheme="minorEastAsia" w:hAnsiTheme="minorEastAsia" w:eastAsiaTheme="minorEastAsia"/>
                <w:color w:val="auto"/>
                <w:szCs w:val="21"/>
              </w:rPr>
            </w:pPr>
          </w:p>
        </w:tc>
        <w:tc>
          <w:tcPr>
            <w:tcW w:w="851" w:type="dxa"/>
          </w:tcPr>
          <w:p>
            <w:pPr>
              <w:spacing w:line="360" w:lineRule="auto"/>
              <w:rPr>
                <w:rFonts w:asciiTheme="minorEastAsia" w:hAnsiTheme="minorEastAsia" w:eastAsiaTheme="minorEastAsia"/>
                <w:color w:val="auto"/>
                <w:szCs w:val="21"/>
              </w:rPr>
            </w:pPr>
          </w:p>
        </w:tc>
        <w:tc>
          <w:tcPr>
            <w:tcW w:w="1134" w:type="dxa"/>
          </w:tcPr>
          <w:p>
            <w:pPr>
              <w:spacing w:line="360" w:lineRule="auto"/>
              <w:rPr>
                <w:rFonts w:asciiTheme="minorEastAsia" w:hAnsiTheme="minorEastAsia" w:eastAsiaTheme="minorEastAsia"/>
                <w:color w:val="auto"/>
                <w:szCs w:val="21"/>
              </w:rPr>
            </w:pPr>
          </w:p>
        </w:tc>
        <w:tc>
          <w:tcPr>
            <w:tcW w:w="992" w:type="dxa"/>
          </w:tcPr>
          <w:p>
            <w:pPr>
              <w:spacing w:line="360" w:lineRule="auto"/>
              <w:rPr>
                <w:rFonts w:asciiTheme="minorEastAsia" w:hAnsiTheme="minorEastAsia" w:eastAsiaTheme="minorEastAsia"/>
                <w:color w:val="auto"/>
                <w:szCs w:val="21"/>
              </w:rPr>
            </w:pPr>
          </w:p>
        </w:tc>
        <w:tc>
          <w:tcPr>
            <w:tcW w:w="1134" w:type="dxa"/>
          </w:tcPr>
          <w:p>
            <w:pPr>
              <w:spacing w:line="360" w:lineRule="auto"/>
              <w:rPr>
                <w:rFonts w:asciiTheme="minorEastAsia" w:hAnsiTheme="minorEastAsia" w:eastAsiaTheme="minorEastAsia"/>
                <w:color w:val="auto"/>
                <w:szCs w:val="21"/>
              </w:rPr>
            </w:pPr>
          </w:p>
        </w:tc>
        <w:tc>
          <w:tcPr>
            <w:tcW w:w="992" w:type="dxa"/>
          </w:tcPr>
          <w:p>
            <w:pPr>
              <w:spacing w:line="360" w:lineRule="auto"/>
              <w:rPr>
                <w:rFonts w:asciiTheme="minorEastAsia" w:hAnsiTheme="minorEastAsia" w:eastAsiaTheme="minorEastAsia"/>
                <w:color w:val="auto"/>
                <w:szCs w:val="21"/>
              </w:rPr>
            </w:pPr>
          </w:p>
        </w:tc>
      </w:tr>
    </w:tbl>
    <w:p>
      <w:pPr>
        <w:rPr>
          <w:rFonts w:asciiTheme="minorEastAsia" w:hAnsiTheme="minorEastAsia" w:eastAsiaTheme="minorEastAsia"/>
          <w:color w:val="auto"/>
        </w:rPr>
      </w:pPr>
    </w:p>
    <w:p>
      <w:pPr>
        <w:rPr>
          <w:rFonts w:asciiTheme="minorEastAsia" w:hAnsiTheme="minorEastAsia" w:eastAsiaTheme="minorEastAsia"/>
          <w:color w:val="auto"/>
        </w:rPr>
      </w:pPr>
    </w:p>
    <w:p>
      <w:pPr>
        <w:jc w:val="center"/>
        <w:outlineLvl w:val="0"/>
        <w:rPr>
          <w:rFonts w:asciiTheme="minorEastAsia" w:hAnsiTheme="minorEastAsia" w:eastAsiaTheme="minorEastAsia"/>
          <w:color w:val="auto"/>
        </w:rPr>
      </w:pPr>
      <w:bookmarkStart w:id="750" w:name="_Toc5518"/>
      <w:bookmarkStart w:id="751" w:name="_Toc15101_WPSOffice_Level1"/>
      <w:bookmarkStart w:id="752" w:name="_Toc6072"/>
      <w:r>
        <w:rPr>
          <w:rFonts w:asciiTheme="minorEastAsia" w:hAnsiTheme="minorEastAsia" w:eastAsiaTheme="minorEastAsia"/>
          <w:color w:val="auto"/>
        </w:rPr>
        <w:t>附表</w:t>
      </w:r>
      <w:r>
        <w:rPr>
          <w:rFonts w:hint="eastAsia" w:asciiTheme="minorEastAsia" w:hAnsiTheme="minorEastAsia" w:eastAsiaTheme="minorEastAsia"/>
          <w:color w:val="auto"/>
        </w:rPr>
        <w:t>三</w:t>
      </w:r>
      <w:r>
        <w:rPr>
          <w:rFonts w:asciiTheme="minorEastAsia" w:hAnsiTheme="minorEastAsia" w:eastAsiaTheme="minorEastAsia"/>
          <w:color w:val="auto"/>
        </w:rPr>
        <w:t>：拟配备本工程的试验和检测仪器设备表</w:t>
      </w:r>
      <w:bookmarkEnd w:id="750"/>
      <w:bookmarkEnd w:id="751"/>
      <w:bookmarkEnd w:id="752"/>
    </w:p>
    <w:tbl>
      <w:tblPr>
        <w:tblStyle w:val="5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序号</w:t>
            </w:r>
          </w:p>
        </w:tc>
        <w:tc>
          <w:tcPr>
            <w:tcW w:w="1226"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仪器设备名称</w:t>
            </w:r>
          </w:p>
        </w:tc>
        <w:tc>
          <w:tcPr>
            <w:tcW w:w="851"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型号</w:t>
            </w:r>
          </w:p>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规格</w:t>
            </w:r>
          </w:p>
        </w:tc>
        <w:tc>
          <w:tcPr>
            <w:tcW w:w="708"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数量</w:t>
            </w:r>
          </w:p>
        </w:tc>
        <w:tc>
          <w:tcPr>
            <w:tcW w:w="709"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国别</w:t>
            </w:r>
          </w:p>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产地</w:t>
            </w:r>
          </w:p>
        </w:tc>
        <w:tc>
          <w:tcPr>
            <w:tcW w:w="1134"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制造年份</w:t>
            </w:r>
          </w:p>
        </w:tc>
        <w:tc>
          <w:tcPr>
            <w:tcW w:w="1276"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已使用</w:t>
            </w:r>
          </w:p>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台时数</w:t>
            </w:r>
          </w:p>
        </w:tc>
        <w:tc>
          <w:tcPr>
            <w:tcW w:w="1134"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用途</w:t>
            </w:r>
          </w:p>
        </w:tc>
        <w:tc>
          <w:tcPr>
            <w:tcW w:w="1559"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Theme="minorEastAsia" w:hAnsiTheme="minorEastAsia" w:eastAsiaTheme="minorEastAsia"/>
                <w:color w:val="auto"/>
                <w:szCs w:val="21"/>
              </w:rPr>
            </w:pPr>
          </w:p>
        </w:tc>
        <w:tc>
          <w:tcPr>
            <w:tcW w:w="1226" w:type="dxa"/>
            <w:vAlign w:val="center"/>
          </w:tcPr>
          <w:p>
            <w:pPr>
              <w:spacing w:line="360" w:lineRule="auto"/>
              <w:ind w:firstLine="420" w:firstLineChars="200"/>
              <w:rPr>
                <w:rFonts w:asciiTheme="minorEastAsia" w:hAnsiTheme="minorEastAsia" w:eastAsiaTheme="minorEastAsia"/>
                <w:color w:val="auto"/>
                <w:szCs w:val="21"/>
              </w:rPr>
            </w:pPr>
          </w:p>
        </w:tc>
        <w:tc>
          <w:tcPr>
            <w:tcW w:w="851" w:type="dxa"/>
            <w:vAlign w:val="center"/>
          </w:tcPr>
          <w:p>
            <w:pPr>
              <w:spacing w:line="360" w:lineRule="auto"/>
              <w:ind w:firstLine="420" w:firstLineChars="200"/>
              <w:rPr>
                <w:rFonts w:asciiTheme="minorEastAsia" w:hAnsiTheme="minorEastAsia" w:eastAsiaTheme="minorEastAsia"/>
                <w:color w:val="auto"/>
                <w:szCs w:val="21"/>
              </w:rPr>
            </w:pPr>
          </w:p>
        </w:tc>
        <w:tc>
          <w:tcPr>
            <w:tcW w:w="708" w:type="dxa"/>
            <w:vAlign w:val="center"/>
          </w:tcPr>
          <w:p>
            <w:pPr>
              <w:spacing w:line="360" w:lineRule="auto"/>
              <w:ind w:firstLine="420" w:firstLineChars="200"/>
              <w:rPr>
                <w:rFonts w:asciiTheme="minorEastAsia" w:hAnsiTheme="minorEastAsia" w:eastAsiaTheme="minorEastAsia"/>
                <w:color w:val="auto"/>
                <w:szCs w:val="21"/>
              </w:rPr>
            </w:pPr>
          </w:p>
        </w:tc>
        <w:tc>
          <w:tcPr>
            <w:tcW w:w="709" w:type="dxa"/>
            <w:vAlign w:val="center"/>
          </w:tcPr>
          <w:p>
            <w:pPr>
              <w:spacing w:line="360" w:lineRule="auto"/>
              <w:ind w:firstLine="420" w:firstLineChars="200"/>
              <w:rPr>
                <w:rFonts w:asciiTheme="minorEastAsia" w:hAnsiTheme="minorEastAsia" w:eastAsiaTheme="minorEastAsia"/>
                <w:color w:val="auto"/>
                <w:szCs w:val="21"/>
              </w:rPr>
            </w:pPr>
          </w:p>
        </w:tc>
        <w:tc>
          <w:tcPr>
            <w:tcW w:w="1134" w:type="dxa"/>
            <w:vAlign w:val="center"/>
          </w:tcPr>
          <w:p>
            <w:pPr>
              <w:spacing w:line="360" w:lineRule="auto"/>
              <w:ind w:firstLine="420" w:firstLineChars="200"/>
              <w:rPr>
                <w:rFonts w:asciiTheme="minorEastAsia" w:hAnsiTheme="minorEastAsia" w:eastAsiaTheme="minorEastAsia"/>
                <w:color w:val="auto"/>
                <w:szCs w:val="21"/>
              </w:rPr>
            </w:pPr>
          </w:p>
        </w:tc>
        <w:tc>
          <w:tcPr>
            <w:tcW w:w="1276" w:type="dxa"/>
            <w:vAlign w:val="center"/>
          </w:tcPr>
          <w:p>
            <w:pPr>
              <w:spacing w:line="360" w:lineRule="auto"/>
              <w:ind w:firstLine="420" w:firstLineChars="200"/>
              <w:rPr>
                <w:rFonts w:asciiTheme="minorEastAsia" w:hAnsiTheme="minorEastAsia" w:eastAsiaTheme="minorEastAsia"/>
                <w:color w:val="auto"/>
                <w:szCs w:val="21"/>
              </w:rPr>
            </w:pPr>
          </w:p>
        </w:tc>
        <w:tc>
          <w:tcPr>
            <w:tcW w:w="1134" w:type="dxa"/>
            <w:vAlign w:val="center"/>
          </w:tcPr>
          <w:p>
            <w:pPr>
              <w:spacing w:line="360" w:lineRule="auto"/>
              <w:ind w:firstLine="420" w:firstLineChars="200"/>
              <w:rPr>
                <w:rFonts w:asciiTheme="minorEastAsia" w:hAnsiTheme="minorEastAsia" w:eastAsiaTheme="minorEastAsia"/>
                <w:color w:val="auto"/>
                <w:szCs w:val="21"/>
              </w:rPr>
            </w:pPr>
          </w:p>
        </w:tc>
        <w:tc>
          <w:tcPr>
            <w:tcW w:w="1559" w:type="dxa"/>
            <w:vAlign w:val="center"/>
          </w:tcPr>
          <w:p>
            <w:pPr>
              <w:spacing w:line="360" w:lineRule="auto"/>
              <w:ind w:firstLine="420" w:firstLineChars="200"/>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Theme="minorEastAsia" w:hAnsiTheme="minorEastAsia" w:eastAsiaTheme="minorEastAsia"/>
                <w:color w:val="auto"/>
                <w:szCs w:val="21"/>
              </w:rPr>
            </w:pPr>
          </w:p>
        </w:tc>
        <w:tc>
          <w:tcPr>
            <w:tcW w:w="1226" w:type="dxa"/>
            <w:vAlign w:val="center"/>
          </w:tcPr>
          <w:p>
            <w:pPr>
              <w:spacing w:line="360" w:lineRule="auto"/>
              <w:ind w:firstLine="420" w:firstLineChars="200"/>
              <w:rPr>
                <w:rFonts w:asciiTheme="minorEastAsia" w:hAnsiTheme="minorEastAsia" w:eastAsiaTheme="minorEastAsia"/>
                <w:color w:val="auto"/>
                <w:szCs w:val="21"/>
              </w:rPr>
            </w:pPr>
          </w:p>
        </w:tc>
        <w:tc>
          <w:tcPr>
            <w:tcW w:w="851" w:type="dxa"/>
            <w:vAlign w:val="center"/>
          </w:tcPr>
          <w:p>
            <w:pPr>
              <w:spacing w:line="360" w:lineRule="auto"/>
              <w:ind w:firstLine="420" w:firstLineChars="200"/>
              <w:rPr>
                <w:rFonts w:asciiTheme="minorEastAsia" w:hAnsiTheme="minorEastAsia" w:eastAsiaTheme="minorEastAsia"/>
                <w:color w:val="auto"/>
                <w:szCs w:val="21"/>
              </w:rPr>
            </w:pPr>
          </w:p>
        </w:tc>
        <w:tc>
          <w:tcPr>
            <w:tcW w:w="708" w:type="dxa"/>
            <w:vAlign w:val="center"/>
          </w:tcPr>
          <w:p>
            <w:pPr>
              <w:spacing w:line="360" w:lineRule="auto"/>
              <w:ind w:firstLine="420" w:firstLineChars="200"/>
              <w:rPr>
                <w:rFonts w:asciiTheme="minorEastAsia" w:hAnsiTheme="minorEastAsia" w:eastAsiaTheme="minorEastAsia"/>
                <w:color w:val="auto"/>
                <w:szCs w:val="21"/>
              </w:rPr>
            </w:pPr>
          </w:p>
        </w:tc>
        <w:tc>
          <w:tcPr>
            <w:tcW w:w="709" w:type="dxa"/>
            <w:vAlign w:val="center"/>
          </w:tcPr>
          <w:p>
            <w:pPr>
              <w:spacing w:line="360" w:lineRule="auto"/>
              <w:ind w:firstLine="420" w:firstLineChars="200"/>
              <w:rPr>
                <w:rFonts w:asciiTheme="minorEastAsia" w:hAnsiTheme="minorEastAsia" w:eastAsiaTheme="minorEastAsia"/>
                <w:color w:val="auto"/>
                <w:szCs w:val="21"/>
              </w:rPr>
            </w:pPr>
          </w:p>
        </w:tc>
        <w:tc>
          <w:tcPr>
            <w:tcW w:w="1134" w:type="dxa"/>
            <w:vAlign w:val="center"/>
          </w:tcPr>
          <w:p>
            <w:pPr>
              <w:spacing w:line="360" w:lineRule="auto"/>
              <w:ind w:firstLine="420" w:firstLineChars="200"/>
              <w:rPr>
                <w:rFonts w:asciiTheme="minorEastAsia" w:hAnsiTheme="minorEastAsia" w:eastAsiaTheme="minorEastAsia"/>
                <w:color w:val="auto"/>
                <w:szCs w:val="21"/>
              </w:rPr>
            </w:pPr>
          </w:p>
        </w:tc>
        <w:tc>
          <w:tcPr>
            <w:tcW w:w="1276" w:type="dxa"/>
            <w:vAlign w:val="center"/>
          </w:tcPr>
          <w:p>
            <w:pPr>
              <w:spacing w:line="360" w:lineRule="auto"/>
              <w:ind w:firstLine="420" w:firstLineChars="200"/>
              <w:rPr>
                <w:rFonts w:asciiTheme="minorEastAsia" w:hAnsiTheme="minorEastAsia" w:eastAsiaTheme="minorEastAsia"/>
                <w:color w:val="auto"/>
                <w:szCs w:val="21"/>
              </w:rPr>
            </w:pPr>
          </w:p>
        </w:tc>
        <w:tc>
          <w:tcPr>
            <w:tcW w:w="1134" w:type="dxa"/>
            <w:vAlign w:val="center"/>
          </w:tcPr>
          <w:p>
            <w:pPr>
              <w:spacing w:line="360" w:lineRule="auto"/>
              <w:ind w:firstLine="420" w:firstLineChars="200"/>
              <w:rPr>
                <w:rFonts w:asciiTheme="minorEastAsia" w:hAnsiTheme="minorEastAsia" w:eastAsiaTheme="minorEastAsia"/>
                <w:color w:val="auto"/>
                <w:szCs w:val="21"/>
              </w:rPr>
            </w:pPr>
          </w:p>
        </w:tc>
        <w:tc>
          <w:tcPr>
            <w:tcW w:w="1559" w:type="dxa"/>
            <w:vAlign w:val="center"/>
          </w:tcPr>
          <w:p>
            <w:pPr>
              <w:spacing w:line="360" w:lineRule="auto"/>
              <w:ind w:firstLine="420" w:firstLineChars="200"/>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Theme="minorEastAsia" w:hAnsiTheme="minorEastAsia" w:eastAsiaTheme="minorEastAsia"/>
                <w:color w:val="auto"/>
                <w:szCs w:val="21"/>
              </w:rPr>
            </w:pPr>
          </w:p>
        </w:tc>
        <w:tc>
          <w:tcPr>
            <w:tcW w:w="1226" w:type="dxa"/>
            <w:vAlign w:val="center"/>
          </w:tcPr>
          <w:p>
            <w:pPr>
              <w:spacing w:line="360" w:lineRule="auto"/>
              <w:ind w:firstLine="420" w:firstLineChars="200"/>
              <w:rPr>
                <w:rFonts w:asciiTheme="minorEastAsia" w:hAnsiTheme="minorEastAsia" w:eastAsiaTheme="minorEastAsia"/>
                <w:color w:val="auto"/>
                <w:szCs w:val="21"/>
              </w:rPr>
            </w:pPr>
          </w:p>
        </w:tc>
        <w:tc>
          <w:tcPr>
            <w:tcW w:w="851" w:type="dxa"/>
            <w:vAlign w:val="center"/>
          </w:tcPr>
          <w:p>
            <w:pPr>
              <w:spacing w:line="360" w:lineRule="auto"/>
              <w:ind w:firstLine="420" w:firstLineChars="200"/>
              <w:rPr>
                <w:rFonts w:asciiTheme="minorEastAsia" w:hAnsiTheme="minorEastAsia" w:eastAsiaTheme="minorEastAsia"/>
                <w:color w:val="auto"/>
                <w:szCs w:val="21"/>
              </w:rPr>
            </w:pPr>
          </w:p>
        </w:tc>
        <w:tc>
          <w:tcPr>
            <w:tcW w:w="708" w:type="dxa"/>
            <w:vAlign w:val="center"/>
          </w:tcPr>
          <w:p>
            <w:pPr>
              <w:spacing w:line="360" w:lineRule="auto"/>
              <w:ind w:firstLine="420" w:firstLineChars="200"/>
              <w:rPr>
                <w:rFonts w:asciiTheme="minorEastAsia" w:hAnsiTheme="minorEastAsia" w:eastAsiaTheme="minorEastAsia"/>
                <w:color w:val="auto"/>
                <w:szCs w:val="21"/>
              </w:rPr>
            </w:pPr>
          </w:p>
        </w:tc>
        <w:tc>
          <w:tcPr>
            <w:tcW w:w="709" w:type="dxa"/>
            <w:vAlign w:val="center"/>
          </w:tcPr>
          <w:p>
            <w:pPr>
              <w:spacing w:line="360" w:lineRule="auto"/>
              <w:ind w:firstLine="420" w:firstLineChars="200"/>
              <w:rPr>
                <w:rFonts w:asciiTheme="minorEastAsia" w:hAnsiTheme="minorEastAsia" w:eastAsiaTheme="minorEastAsia"/>
                <w:color w:val="auto"/>
                <w:szCs w:val="21"/>
              </w:rPr>
            </w:pPr>
          </w:p>
        </w:tc>
        <w:tc>
          <w:tcPr>
            <w:tcW w:w="1134" w:type="dxa"/>
            <w:vAlign w:val="center"/>
          </w:tcPr>
          <w:p>
            <w:pPr>
              <w:spacing w:line="360" w:lineRule="auto"/>
              <w:ind w:firstLine="420" w:firstLineChars="200"/>
              <w:rPr>
                <w:rFonts w:asciiTheme="minorEastAsia" w:hAnsiTheme="minorEastAsia" w:eastAsiaTheme="minorEastAsia"/>
                <w:color w:val="auto"/>
                <w:szCs w:val="21"/>
              </w:rPr>
            </w:pPr>
          </w:p>
        </w:tc>
        <w:tc>
          <w:tcPr>
            <w:tcW w:w="1276" w:type="dxa"/>
            <w:vAlign w:val="center"/>
          </w:tcPr>
          <w:p>
            <w:pPr>
              <w:spacing w:line="360" w:lineRule="auto"/>
              <w:ind w:firstLine="420" w:firstLineChars="200"/>
              <w:rPr>
                <w:rFonts w:asciiTheme="minorEastAsia" w:hAnsiTheme="minorEastAsia" w:eastAsiaTheme="minorEastAsia"/>
                <w:color w:val="auto"/>
                <w:szCs w:val="21"/>
              </w:rPr>
            </w:pPr>
          </w:p>
        </w:tc>
        <w:tc>
          <w:tcPr>
            <w:tcW w:w="1134" w:type="dxa"/>
            <w:vAlign w:val="center"/>
          </w:tcPr>
          <w:p>
            <w:pPr>
              <w:spacing w:line="360" w:lineRule="auto"/>
              <w:ind w:firstLine="420" w:firstLineChars="200"/>
              <w:rPr>
                <w:rFonts w:asciiTheme="minorEastAsia" w:hAnsiTheme="minorEastAsia" w:eastAsiaTheme="minorEastAsia"/>
                <w:color w:val="auto"/>
                <w:szCs w:val="21"/>
              </w:rPr>
            </w:pPr>
          </w:p>
        </w:tc>
        <w:tc>
          <w:tcPr>
            <w:tcW w:w="1559" w:type="dxa"/>
            <w:vAlign w:val="center"/>
          </w:tcPr>
          <w:p>
            <w:pPr>
              <w:spacing w:line="360" w:lineRule="auto"/>
              <w:ind w:firstLine="420" w:firstLineChars="200"/>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Theme="minorEastAsia" w:hAnsiTheme="minorEastAsia" w:eastAsiaTheme="minorEastAsia"/>
                <w:color w:val="auto"/>
                <w:szCs w:val="21"/>
              </w:rPr>
            </w:pPr>
          </w:p>
        </w:tc>
        <w:tc>
          <w:tcPr>
            <w:tcW w:w="1226" w:type="dxa"/>
            <w:vAlign w:val="center"/>
          </w:tcPr>
          <w:p>
            <w:pPr>
              <w:spacing w:line="360" w:lineRule="auto"/>
              <w:ind w:firstLine="420" w:firstLineChars="200"/>
              <w:rPr>
                <w:rFonts w:asciiTheme="minorEastAsia" w:hAnsiTheme="minorEastAsia" w:eastAsiaTheme="minorEastAsia"/>
                <w:color w:val="auto"/>
                <w:szCs w:val="21"/>
              </w:rPr>
            </w:pPr>
          </w:p>
        </w:tc>
        <w:tc>
          <w:tcPr>
            <w:tcW w:w="851" w:type="dxa"/>
            <w:vAlign w:val="center"/>
          </w:tcPr>
          <w:p>
            <w:pPr>
              <w:spacing w:line="360" w:lineRule="auto"/>
              <w:ind w:firstLine="420" w:firstLineChars="200"/>
              <w:rPr>
                <w:rFonts w:asciiTheme="minorEastAsia" w:hAnsiTheme="minorEastAsia" w:eastAsiaTheme="minorEastAsia"/>
                <w:color w:val="auto"/>
                <w:szCs w:val="21"/>
              </w:rPr>
            </w:pPr>
          </w:p>
        </w:tc>
        <w:tc>
          <w:tcPr>
            <w:tcW w:w="708" w:type="dxa"/>
            <w:vAlign w:val="center"/>
          </w:tcPr>
          <w:p>
            <w:pPr>
              <w:spacing w:line="360" w:lineRule="auto"/>
              <w:ind w:firstLine="420" w:firstLineChars="200"/>
              <w:rPr>
                <w:rFonts w:asciiTheme="minorEastAsia" w:hAnsiTheme="minorEastAsia" w:eastAsiaTheme="minorEastAsia"/>
                <w:color w:val="auto"/>
                <w:szCs w:val="21"/>
              </w:rPr>
            </w:pPr>
          </w:p>
        </w:tc>
        <w:tc>
          <w:tcPr>
            <w:tcW w:w="709" w:type="dxa"/>
            <w:vAlign w:val="center"/>
          </w:tcPr>
          <w:p>
            <w:pPr>
              <w:spacing w:line="360" w:lineRule="auto"/>
              <w:ind w:firstLine="420" w:firstLineChars="200"/>
              <w:rPr>
                <w:rFonts w:asciiTheme="minorEastAsia" w:hAnsiTheme="minorEastAsia" w:eastAsiaTheme="minorEastAsia"/>
                <w:color w:val="auto"/>
                <w:szCs w:val="21"/>
              </w:rPr>
            </w:pPr>
          </w:p>
        </w:tc>
        <w:tc>
          <w:tcPr>
            <w:tcW w:w="1134" w:type="dxa"/>
            <w:vAlign w:val="center"/>
          </w:tcPr>
          <w:p>
            <w:pPr>
              <w:spacing w:line="360" w:lineRule="auto"/>
              <w:ind w:firstLine="420" w:firstLineChars="200"/>
              <w:rPr>
                <w:rFonts w:asciiTheme="minorEastAsia" w:hAnsiTheme="minorEastAsia" w:eastAsiaTheme="minorEastAsia"/>
                <w:color w:val="auto"/>
                <w:szCs w:val="21"/>
              </w:rPr>
            </w:pPr>
          </w:p>
        </w:tc>
        <w:tc>
          <w:tcPr>
            <w:tcW w:w="1276" w:type="dxa"/>
            <w:vAlign w:val="center"/>
          </w:tcPr>
          <w:p>
            <w:pPr>
              <w:spacing w:line="360" w:lineRule="auto"/>
              <w:ind w:firstLine="420" w:firstLineChars="200"/>
              <w:rPr>
                <w:rFonts w:asciiTheme="minorEastAsia" w:hAnsiTheme="minorEastAsia" w:eastAsiaTheme="minorEastAsia"/>
                <w:color w:val="auto"/>
                <w:szCs w:val="21"/>
              </w:rPr>
            </w:pPr>
          </w:p>
        </w:tc>
        <w:tc>
          <w:tcPr>
            <w:tcW w:w="1134" w:type="dxa"/>
            <w:vAlign w:val="center"/>
          </w:tcPr>
          <w:p>
            <w:pPr>
              <w:spacing w:line="360" w:lineRule="auto"/>
              <w:ind w:firstLine="420" w:firstLineChars="200"/>
              <w:rPr>
                <w:rFonts w:asciiTheme="minorEastAsia" w:hAnsiTheme="minorEastAsia" w:eastAsiaTheme="minorEastAsia"/>
                <w:color w:val="auto"/>
                <w:szCs w:val="21"/>
              </w:rPr>
            </w:pPr>
          </w:p>
        </w:tc>
        <w:tc>
          <w:tcPr>
            <w:tcW w:w="1559" w:type="dxa"/>
            <w:vAlign w:val="center"/>
          </w:tcPr>
          <w:p>
            <w:pPr>
              <w:spacing w:line="360" w:lineRule="auto"/>
              <w:ind w:firstLine="420" w:firstLineChars="200"/>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Theme="minorEastAsia" w:hAnsiTheme="minorEastAsia" w:eastAsiaTheme="minorEastAsia"/>
                <w:color w:val="auto"/>
                <w:szCs w:val="21"/>
              </w:rPr>
            </w:pPr>
          </w:p>
        </w:tc>
        <w:tc>
          <w:tcPr>
            <w:tcW w:w="1226" w:type="dxa"/>
            <w:vAlign w:val="center"/>
          </w:tcPr>
          <w:p>
            <w:pPr>
              <w:spacing w:line="360" w:lineRule="auto"/>
              <w:ind w:firstLine="420" w:firstLineChars="200"/>
              <w:rPr>
                <w:rFonts w:asciiTheme="minorEastAsia" w:hAnsiTheme="minorEastAsia" w:eastAsiaTheme="minorEastAsia"/>
                <w:color w:val="auto"/>
                <w:szCs w:val="21"/>
              </w:rPr>
            </w:pPr>
          </w:p>
        </w:tc>
        <w:tc>
          <w:tcPr>
            <w:tcW w:w="851" w:type="dxa"/>
            <w:vAlign w:val="center"/>
          </w:tcPr>
          <w:p>
            <w:pPr>
              <w:spacing w:line="360" w:lineRule="auto"/>
              <w:ind w:firstLine="420" w:firstLineChars="200"/>
              <w:rPr>
                <w:rFonts w:asciiTheme="minorEastAsia" w:hAnsiTheme="minorEastAsia" w:eastAsiaTheme="minorEastAsia"/>
                <w:color w:val="auto"/>
                <w:szCs w:val="21"/>
              </w:rPr>
            </w:pPr>
          </w:p>
        </w:tc>
        <w:tc>
          <w:tcPr>
            <w:tcW w:w="708" w:type="dxa"/>
            <w:vAlign w:val="center"/>
          </w:tcPr>
          <w:p>
            <w:pPr>
              <w:spacing w:line="360" w:lineRule="auto"/>
              <w:ind w:firstLine="420" w:firstLineChars="200"/>
              <w:rPr>
                <w:rFonts w:asciiTheme="minorEastAsia" w:hAnsiTheme="minorEastAsia" w:eastAsiaTheme="minorEastAsia"/>
                <w:color w:val="auto"/>
                <w:szCs w:val="21"/>
              </w:rPr>
            </w:pPr>
          </w:p>
        </w:tc>
        <w:tc>
          <w:tcPr>
            <w:tcW w:w="709" w:type="dxa"/>
            <w:vAlign w:val="center"/>
          </w:tcPr>
          <w:p>
            <w:pPr>
              <w:spacing w:line="360" w:lineRule="auto"/>
              <w:ind w:firstLine="420" w:firstLineChars="200"/>
              <w:rPr>
                <w:rFonts w:asciiTheme="minorEastAsia" w:hAnsiTheme="minorEastAsia" w:eastAsiaTheme="minorEastAsia"/>
                <w:color w:val="auto"/>
                <w:szCs w:val="21"/>
              </w:rPr>
            </w:pPr>
          </w:p>
        </w:tc>
        <w:tc>
          <w:tcPr>
            <w:tcW w:w="1134" w:type="dxa"/>
            <w:vAlign w:val="center"/>
          </w:tcPr>
          <w:p>
            <w:pPr>
              <w:spacing w:line="360" w:lineRule="auto"/>
              <w:ind w:firstLine="420" w:firstLineChars="200"/>
              <w:rPr>
                <w:rFonts w:asciiTheme="minorEastAsia" w:hAnsiTheme="minorEastAsia" w:eastAsiaTheme="minorEastAsia"/>
                <w:color w:val="auto"/>
                <w:szCs w:val="21"/>
              </w:rPr>
            </w:pPr>
          </w:p>
        </w:tc>
        <w:tc>
          <w:tcPr>
            <w:tcW w:w="1276" w:type="dxa"/>
            <w:vAlign w:val="center"/>
          </w:tcPr>
          <w:p>
            <w:pPr>
              <w:spacing w:line="360" w:lineRule="auto"/>
              <w:ind w:firstLine="420" w:firstLineChars="200"/>
              <w:rPr>
                <w:rFonts w:asciiTheme="minorEastAsia" w:hAnsiTheme="minorEastAsia" w:eastAsiaTheme="minorEastAsia"/>
                <w:color w:val="auto"/>
                <w:szCs w:val="21"/>
              </w:rPr>
            </w:pPr>
          </w:p>
        </w:tc>
        <w:tc>
          <w:tcPr>
            <w:tcW w:w="1134" w:type="dxa"/>
            <w:vAlign w:val="center"/>
          </w:tcPr>
          <w:p>
            <w:pPr>
              <w:spacing w:line="360" w:lineRule="auto"/>
              <w:ind w:firstLine="420" w:firstLineChars="200"/>
              <w:rPr>
                <w:rFonts w:asciiTheme="minorEastAsia" w:hAnsiTheme="minorEastAsia" w:eastAsiaTheme="minorEastAsia"/>
                <w:color w:val="auto"/>
                <w:szCs w:val="21"/>
              </w:rPr>
            </w:pPr>
          </w:p>
        </w:tc>
        <w:tc>
          <w:tcPr>
            <w:tcW w:w="1559" w:type="dxa"/>
            <w:vAlign w:val="center"/>
          </w:tcPr>
          <w:p>
            <w:pPr>
              <w:spacing w:line="360" w:lineRule="auto"/>
              <w:ind w:firstLine="420" w:firstLineChars="200"/>
              <w:rPr>
                <w:rFonts w:asciiTheme="minorEastAsia" w:hAnsiTheme="minorEastAsia" w:eastAsiaTheme="minorEastAsia"/>
                <w:color w:val="auto"/>
                <w:szCs w:val="21"/>
              </w:rPr>
            </w:pPr>
          </w:p>
        </w:tc>
      </w:tr>
    </w:tbl>
    <w:p>
      <w:pPr>
        <w:jc w:val="center"/>
        <w:rPr>
          <w:rFonts w:asciiTheme="minorEastAsia" w:hAnsiTheme="minorEastAsia" w:eastAsiaTheme="minorEastAsia"/>
          <w:color w:val="auto"/>
        </w:rPr>
      </w:pPr>
    </w:p>
    <w:p>
      <w:pPr>
        <w:jc w:val="center"/>
        <w:rPr>
          <w:rFonts w:asciiTheme="minorEastAsia" w:hAnsiTheme="minorEastAsia" w:eastAsiaTheme="minorEastAsia"/>
          <w:color w:val="auto"/>
        </w:rPr>
      </w:pPr>
      <w:bookmarkStart w:id="753" w:name="_Toc4846_WPSOffice_Level1"/>
    </w:p>
    <w:p>
      <w:pPr>
        <w:jc w:val="center"/>
        <w:outlineLvl w:val="0"/>
        <w:rPr>
          <w:rFonts w:asciiTheme="minorEastAsia" w:hAnsiTheme="minorEastAsia" w:eastAsiaTheme="minorEastAsia"/>
          <w:color w:val="auto"/>
        </w:rPr>
      </w:pPr>
      <w:bookmarkStart w:id="754" w:name="_Toc16063"/>
      <w:bookmarkStart w:id="755" w:name="_Toc27441"/>
      <w:r>
        <w:rPr>
          <w:rFonts w:asciiTheme="minorEastAsia" w:hAnsiTheme="minorEastAsia" w:eastAsiaTheme="minorEastAsia"/>
          <w:color w:val="auto"/>
        </w:rPr>
        <w:t>附表</w:t>
      </w:r>
      <w:r>
        <w:rPr>
          <w:rFonts w:hint="eastAsia" w:asciiTheme="minorEastAsia" w:hAnsiTheme="minorEastAsia" w:eastAsiaTheme="minorEastAsia"/>
          <w:color w:val="auto"/>
        </w:rPr>
        <w:t>四</w:t>
      </w:r>
      <w:r>
        <w:rPr>
          <w:rFonts w:asciiTheme="minorEastAsia" w:hAnsiTheme="minorEastAsia" w:eastAsiaTheme="minorEastAsia"/>
          <w:color w:val="auto"/>
        </w:rPr>
        <w:t>：劳动力计划表</w:t>
      </w:r>
      <w:bookmarkEnd w:id="753"/>
      <w:bookmarkEnd w:id="754"/>
      <w:bookmarkEnd w:id="755"/>
    </w:p>
    <w:p>
      <w:pPr>
        <w:ind w:firstLine="7245" w:firstLineChars="3450"/>
        <w:rPr>
          <w:rFonts w:asciiTheme="minorEastAsia" w:hAnsiTheme="minorEastAsia" w:eastAsiaTheme="minorEastAsia"/>
          <w:color w:val="auto"/>
          <w:szCs w:val="21"/>
        </w:rPr>
      </w:pPr>
      <w:r>
        <w:rPr>
          <w:rFonts w:asciiTheme="minorEastAsia" w:hAnsiTheme="minorEastAsia" w:eastAsiaTheme="minorEastAsia"/>
          <w:color w:val="auto"/>
          <w:szCs w:val="21"/>
        </w:rPr>
        <w:t xml:space="preserve">    单位：人</w:t>
      </w:r>
    </w:p>
    <w:tbl>
      <w:tblPr>
        <w:tblStyle w:val="5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工种</w:t>
            </w:r>
          </w:p>
        </w:tc>
        <w:tc>
          <w:tcPr>
            <w:tcW w:w="8506" w:type="dxa"/>
            <w:gridSpan w:val="7"/>
            <w:vAlign w:val="center"/>
          </w:tcPr>
          <w:p>
            <w:pPr>
              <w:spacing w:line="360" w:lineRule="auto"/>
              <w:jc w:val="center"/>
              <w:rPr>
                <w:rFonts w:asciiTheme="minorEastAsia" w:hAnsiTheme="minorEastAsia" w:eastAsiaTheme="minorEastAsia"/>
                <w:color w:val="auto"/>
                <w:szCs w:val="21"/>
              </w:rPr>
            </w:pPr>
            <w:r>
              <w:rPr>
                <w:rFonts w:asciiTheme="minorEastAsia" w:hAnsiTheme="minorEastAsia" w:eastAsiaTheme="minorEastAsia"/>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Theme="minorEastAsia" w:hAnsiTheme="minorEastAsia" w:eastAsiaTheme="minorEastAsia"/>
                <w:color w:val="auto"/>
                <w:szCs w:val="21"/>
              </w:rPr>
            </w:pPr>
          </w:p>
        </w:tc>
        <w:tc>
          <w:tcPr>
            <w:tcW w:w="961"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Theme="minorEastAsia" w:hAnsiTheme="minorEastAsia" w:eastAsiaTheme="minorEastAsia"/>
                <w:color w:val="auto"/>
                <w:szCs w:val="21"/>
              </w:rPr>
            </w:pPr>
          </w:p>
        </w:tc>
        <w:tc>
          <w:tcPr>
            <w:tcW w:w="961"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Theme="minorEastAsia" w:hAnsiTheme="minorEastAsia" w:eastAsiaTheme="minorEastAsia"/>
                <w:color w:val="auto"/>
                <w:szCs w:val="21"/>
              </w:rPr>
            </w:pPr>
          </w:p>
        </w:tc>
        <w:tc>
          <w:tcPr>
            <w:tcW w:w="961"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Theme="minorEastAsia" w:hAnsiTheme="minorEastAsia" w:eastAsiaTheme="minorEastAsia"/>
                <w:color w:val="auto"/>
                <w:szCs w:val="21"/>
              </w:rPr>
            </w:pPr>
          </w:p>
        </w:tc>
        <w:tc>
          <w:tcPr>
            <w:tcW w:w="961"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Theme="minorEastAsia" w:hAnsiTheme="minorEastAsia" w:eastAsiaTheme="minorEastAsia"/>
                <w:color w:val="auto"/>
                <w:szCs w:val="21"/>
              </w:rPr>
            </w:pPr>
          </w:p>
        </w:tc>
        <w:tc>
          <w:tcPr>
            <w:tcW w:w="961"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Theme="minorEastAsia" w:hAnsiTheme="minorEastAsia" w:eastAsiaTheme="minorEastAsia"/>
                <w:color w:val="auto"/>
                <w:szCs w:val="21"/>
              </w:rPr>
            </w:pPr>
          </w:p>
        </w:tc>
        <w:tc>
          <w:tcPr>
            <w:tcW w:w="961"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Theme="minorEastAsia" w:hAnsiTheme="minorEastAsia" w:eastAsiaTheme="minorEastAsia"/>
                <w:color w:val="auto"/>
                <w:szCs w:val="21"/>
              </w:rPr>
            </w:pPr>
          </w:p>
        </w:tc>
        <w:tc>
          <w:tcPr>
            <w:tcW w:w="961"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c>
          <w:tcPr>
            <w:tcW w:w="1257" w:type="dxa"/>
            <w:vAlign w:val="center"/>
          </w:tcPr>
          <w:p>
            <w:pPr>
              <w:spacing w:line="360" w:lineRule="auto"/>
              <w:jc w:val="center"/>
              <w:rPr>
                <w:rFonts w:asciiTheme="minorEastAsia" w:hAnsiTheme="minorEastAsia" w:eastAsiaTheme="minorEastAsia"/>
                <w:color w:val="auto"/>
                <w:szCs w:val="21"/>
              </w:rPr>
            </w:pPr>
          </w:p>
        </w:tc>
        <w:tc>
          <w:tcPr>
            <w:tcW w:w="1258" w:type="dxa"/>
            <w:vAlign w:val="center"/>
          </w:tcPr>
          <w:p>
            <w:pPr>
              <w:spacing w:line="360" w:lineRule="auto"/>
              <w:jc w:val="center"/>
              <w:rPr>
                <w:rFonts w:asciiTheme="minorEastAsia" w:hAnsiTheme="minorEastAsia" w:eastAsiaTheme="minorEastAsia"/>
                <w:color w:val="auto"/>
                <w:szCs w:val="21"/>
              </w:rPr>
            </w:pPr>
          </w:p>
        </w:tc>
      </w:tr>
    </w:tbl>
    <w:p>
      <w:pPr>
        <w:rPr>
          <w:rFonts w:asciiTheme="minorEastAsia" w:hAnsiTheme="minorEastAsia" w:eastAsiaTheme="minorEastAsia"/>
          <w:color w:val="auto"/>
        </w:rPr>
      </w:pPr>
    </w:p>
    <w:p>
      <w:pPr>
        <w:rPr>
          <w:rFonts w:asciiTheme="minorEastAsia" w:hAnsiTheme="minorEastAsia" w:eastAsiaTheme="minorEastAsia"/>
          <w:b/>
          <w:color w:val="auto"/>
        </w:rPr>
      </w:pPr>
    </w:p>
    <w:p>
      <w:pPr>
        <w:pStyle w:val="14"/>
        <w:rPr>
          <w:rFonts w:asciiTheme="minorEastAsia" w:hAnsiTheme="minorEastAsia" w:eastAsiaTheme="minorEastAsia"/>
          <w:b/>
          <w:color w:val="auto"/>
        </w:rPr>
      </w:pPr>
    </w:p>
    <w:p>
      <w:pPr>
        <w:pStyle w:val="14"/>
        <w:ind w:left="0" w:leftChars="0" w:firstLine="0" w:firstLineChars="0"/>
        <w:rPr>
          <w:rFonts w:asciiTheme="minorEastAsia" w:hAnsiTheme="minorEastAsia" w:eastAsiaTheme="minorEastAsia"/>
          <w:b/>
          <w:color w:val="auto"/>
        </w:rPr>
      </w:pPr>
    </w:p>
    <w:p>
      <w:pPr>
        <w:outlineLvl w:val="0"/>
        <w:rPr>
          <w:rFonts w:asciiTheme="minorEastAsia" w:hAnsiTheme="minorEastAsia" w:eastAsiaTheme="minorEastAsia"/>
          <w:color w:val="auto"/>
        </w:rPr>
      </w:pPr>
      <w:bookmarkStart w:id="756" w:name="_Toc21505_WPSOffice_Level1"/>
      <w:bookmarkStart w:id="757" w:name="_Toc9803"/>
      <w:bookmarkStart w:id="758" w:name="_Toc12439"/>
      <w:r>
        <w:rPr>
          <w:rFonts w:asciiTheme="minorEastAsia" w:hAnsiTheme="minorEastAsia" w:eastAsiaTheme="minorEastAsia"/>
          <w:color w:val="auto"/>
        </w:rPr>
        <w:t>附表</w:t>
      </w:r>
      <w:r>
        <w:rPr>
          <w:rFonts w:hint="eastAsia" w:asciiTheme="minorEastAsia" w:hAnsiTheme="minorEastAsia" w:eastAsiaTheme="minorEastAsia"/>
          <w:color w:val="auto"/>
        </w:rPr>
        <w:t>五</w:t>
      </w:r>
      <w:r>
        <w:rPr>
          <w:rFonts w:asciiTheme="minorEastAsia" w:hAnsiTheme="minorEastAsia" w:eastAsiaTheme="minorEastAsia"/>
          <w:color w:val="auto"/>
        </w:rPr>
        <w:t>：计划开、竣工日期和施工进度</w:t>
      </w:r>
      <w:r>
        <w:rPr>
          <w:rFonts w:hint="eastAsia" w:asciiTheme="minorEastAsia" w:hAnsiTheme="minorEastAsia" w:eastAsiaTheme="minorEastAsia"/>
          <w:color w:val="auto"/>
        </w:rPr>
        <w:t>计划（网络图或横道图）</w:t>
      </w:r>
      <w:bookmarkEnd w:id="756"/>
      <w:bookmarkEnd w:id="757"/>
      <w:bookmarkEnd w:id="758"/>
    </w:p>
    <w:p>
      <w:pPr>
        <w:spacing w:line="460" w:lineRule="exact"/>
        <w:ind w:left="-6" w:firstLine="420"/>
        <w:rPr>
          <w:rFonts w:asciiTheme="minorEastAsia" w:hAnsiTheme="minorEastAsia" w:eastAsiaTheme="minorEastAsia"/>
          <w:color w:val="auto"/>
        </w:rPr>
      </w:pPr>
      <w:r>
        <w:rPr>
          <w:rFonts w:asciiTheme="minorEastAsia" w:hAnsiTheme="minorEastAsia" w:eastAsiaTheme="minorEastAsia"/>
          <w:color w:val="auto"/>
        </w:rPr>
        <w:t>1.投标人应提交施工进度</w:t>
      </w:r>
      <w:r>
        <w:rPr>
          <w:rFonts w:hint="eastAsia" w:asciiTheme="minorEastAsia" w:hAnsiTheme="minorEastAsia" w:eastAsiaTheme="minorEastAsia"/>
          <w:color w:val="auto"/>
        </w:rPr>
        <w:t>计划</w:t>
      </w:r>
      <w:r>
        <w:rPr>
          <w:rFonts w:asciiTheme="minorEastAsia" w:hAnsiTheme="minorEastAsia" w:eastAsiaTheme="minorEastAsia"/>
          <w:color w:val="auto"/>
        </w:rPr>
        <w:t>，说明按招标文件要求的工期进行施工的各个关键日期。中标的投标人还应按合同条件有关条款的要求提交详细的施工进度计划。</w:t>
      </w:r>
    </w:p>
    <w:p>
      <w:pPr>
        <w:spacing w:line="460" w:lineRule="exact"/>
        <w:ind w:left="-6" w:firstLine="420"/>
        <w:rPr>
          <w:rFonts w:asciiTheme="minorEastAsia" w:hAnsiTheme="minorEastAsia" w:eastAsiaTheme="minorEastAsia"/>
          <w:color w:val="auto"/>
        </w:rPr>
      </w:pPr>
      <w:r>
        <w:rPr>
          <w:rFonts w:asciiTheme="minorEastAsia" w:hAnsiTheme="minorEastAsia" w:eastAsiaTheme="minorEastAsia"/>
          <w:color w:val="auto"/>
        </w:rPr>
        <w:t>2.施工进度</w:t>
      </w:r>
      <w:r>
        <w:rPr>
          <w:rFonts w:hint="eastAsia" w:asciiTheme="minorEastAsia" w:hAnsiTheme="minorEastAsia" w:eastAsiaTheme="minorEastAsia"/>
          <w:color w:val="auto"/>
        </w:rPr>
        <w:t>计划</w:t>
      </w:r>
      <w:r>
        <w:rPr>
          <w:rFonts w:asciiTheme="minorEastAsia" w:hAnsiTheme="minorEastAsia" w:eastAsiaTheme="minorEastAsia"/>
          <w:color w:val="auto"/>
        </w:rPr>
        <w:t>可采用网络图（或横道图）表示，说明计划开工日期和各分项工程各阶段的完工日期和分包合同签订的日期。</w:t>
      </w:r>
    </w:p>
    <w:p>
      <w:pPr>
        <w:spacing w:line="460" w:lineRule="exact"/>
        <w:ind w:left="-6" w:firstLine="420"/>
        <w:rPr>
          <w:rFonts w:asciiTheme="minorEastAsia" w:hAnsiTheme="minorEastAsia" w:eastAsiaTheme="minorEastAsia"/>
          <w:color w:val="auto"/>
        </w:rPr>
      </w:pPr>
      <w:r>
        <w:rPr>
          <w:rFonts w:asciiTheme="minorEastAsia" w:hAnsiTheme="minorEastAsia" w:eastAsiaTheme="minorEastAsia"/>
          <w:color w:val="auto"/>
        </w:rPr>
        <w:t>3.施工进度计划应与施工组织设计相适应。</w:t>
      </w:r>
    </w:p>
    <w:p>
      <w:pPr>
        <w:rPr>
          <w:rFonts w:asciiTheme="minorEastAsia" w:hAnsiTheme="minorEastAsia" w:eastAsiaTheme="minorEastAsia"/>
          <w:color w:val="auto"/>
        </w:rPr>
      </w:pPr>
    </w:p>
    <w:p>
      <w:pPr>
        <w:outlineLvl w:val="0"/>
        <w:rPr>
          <w:rFonts w:asciiTheme="minorEastAsia" w:hAnsiTheme="minorEastAsia" w:eastAsiaTheme="minorEastAsia"/>
          <w:color w:val="auto"/>
        </w:rPr>
      </w:pPr>
      <w:bookmarkStart w:id="759" w:name="_Toc10620"/>
      <w:bookmarkStart w:id="760" w:name="_Toc31364_WPSOffice_Level1"/>
      <w:bookmarkStart w:id="761" w:name="_Toc8800"/>
      <w:r>
        <w:rPr>
          <w:rFonts w:asciiTheme="minorEastAsia" w:hAnsiTheme="minorEastAsia" w:eastAsiaTheme="minorEastAsia"/>
          <w:color w:val="auto"/>
        </w:rPr>
        <w:t>附表</w:t>
      </w:r>
      <w:r>
        <w:rPr>
          <w:rFonts w:hint="eastAsia" w:asciiTheme="minorEastAsia" w:hAnsiTheme="minorEastAsia" w:eastAsiaTheme="minorEastAsia"/>
          <w:color w:val="auto"/>
        </w:rPr>
        <w:t>六</w:t>
      </w:r>
      <w:r>
        <w:rPr>
          <w:rFonts w:asciiTheme="minorEastAsia" w:hAnsiTheme="minorEastAsia" w:eastAsiaTheme="minorEastAsia"/>
          <w:color w:val="auto"/>
        </w:rPr>
        <w:t>：施工总平面图</w:t>
      </w:r>
      <w:bookmarkEnd w:id="759"/>
      <w:bookmarkEnd w:id="760"/>
      <w:bookmarkEnd w:id="761"/>
    </w:p>
    <w:p>
      <w:pPr>
        <w:spacing w:line="4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投标人应递交一份施工总平面图，绘出现场临时设施布置图表并附文字说明，说明临时设施、加工车间、现场办公、设备及仓储、供电、供水、卫生、生活、道路、消防等设施的情况和布置。</w:t>
      </w:r>
    </w:p>
    <w:p>
      <w:pPr>
        <w:rPr>
          <w:rFonts w:asciiTheme="minorEastAsia" w:hAnsiTheme="minorEastAsia" w:eastAsiaTheme="minorEastAsia"/>
          <w:color w:val="auto"/>
        </w:rPr>
      </w:pPr>
    </w:p>
    <w:p>
      <w:pPr>
        <w:outlineLvl w:val="0"/>
        <w:rPr>
          <w:rFonts w:asciiTheme="minorEastAsia" w:hAnsiTheme="minorEastAsia" w:eastAsiaTheme="minorEastAsia"/>
          <w:color w:val="auto"/>
        </w:rPr>
      </w:pPr>
      <w:bookmarkStart w:id="762" w:name="_Toc17092"/>
      <w:bookmarkStart w:id="763" w:name="_Toc15478_WPSOffice_Level1"/>
      <w:bookmarkStart w:id="764" w:name="_Toc2272"/>
      <w:r>
        <w:rPr>
          <w:rFonts w:asciiTheme="minorEastAsia" w:hAnsiTheme="minorEastAsia" w:eastAsiaTheme="minorEastAsia"/>
          <w:color w:val="auto"/>
        </w:rPr>
        <w:t>附表</w:t>
      </w:r>
      <w:r>
        <w:rPr>
          <w:rFonts w:hint="eastAsia" w:asciiTheme="minorEastAsia" w:hAnsiTheme="minorEastAsia" w:eastAsiaTheme="minorEastAsia"/>
          <w:color w:val="auto"/>
        </w:rPr>
        <w:t>七</w:t>
      </w:r>
      <w:r>
        <w:rPr>
          <w:rFonts w:asciiTheme="minorEastAsia" w:hAnsiTheme="minorEastAsia" w:eastAsiaTheme="minorEastAsia"/>
          <w:color w:val="auto"/>
        </w:rPr>
        <w:t>：临时用地表</w:t>
      </w:r>
      <w:bookmarkEnd w:id="762"/>
      <w:bookmarkEnd w:id="763"/>
      <w:bookmarkEnd w:id="764"/>
    </w:p>
    <w:tbl>
      <w:tblPr>
        <w:tblStyle w:val="5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56"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szCs w:val="21"/>
              </w:rPr>
              <w:t>用途</w:t>
            </w:r>
          </w:p>
        </w:tc>
        <w:tc>
          <w:tcPr>
            <w:tcW w:w="2357"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szCs w:val="21"/>
              </w:rPr>
              <w:t>面积（平方米）</w:t>
            </w:r>
          </w:p>
        </w:tc>
        <w:tc>
          <w:tcPr>
            <w:tcW w:w="2356"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szCs w:val="21"/>
              </w:rPr>
              <w:t>位置</w:t>
            </w:r>
          </w:p>
        </w:tc>
        <w:tc>
          <w:tcPr>
            <w:tcW w:w="2357" w:type="dxa"/>
            <w:vAlign w:val="center"/>
          </w:tcPr>
          <w:p>
            <w:pPr>
              <w:jc w:val="center"/>
              <w:rPr>
                <w:rFonts w:asciiTheme="minorEastAsia" w:hAnsiTheme="minorEastAsia" w:eastAsiaTheme="minorEastAsia"/>
                <w:color w:val="auto"/>
              </w:rPr>
            </w:pPr>
            <w:r>
              <w:rPr>
                <w:rFonts w:asciiTheme="minorEastAsia" w:hAnsiTheme="minorEastAsia" w:eastAsiaTheme="minorEastAsia"/>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356" w:type="dxa"/>
          </w:tcPr>
          <w:p>
            <w:pPr>
              <w:rPr>
                <w:rFonts w:asciiTheme="minorEastAsia" w:hAnsiTheme="minorEastAsia" w:eastAsiaTheme="minorEastAsia"/>
                <w:color w:val="auto"/>
              </w:rPr>
            </w:pPr>
          </w:p>
        </w:tc>
        <w:tc>
          <w:tcPr>
            <w:tcW w:w="2357" w:type="dxa"/>
          </w:tcPr>
          <w:p>
            <w:pPr>
              <w:rPr>
                <w:rFonts w:asciiTheme="minorEastAsia" w:hAnsiTheme="minorEastAsia" w:eastAsiaTheme="minorEastAsia"/>
                <w:color w:val="auto"/>
              </w:rPr>
            </w:pPr>
          </w:p>
        </w:tc>
        <w:tc>
          <w:tcPr>
            <w:tcW w:w="2356" w:type="dxa"/>
          </w:tcPr>
          <w:p>
            <w:pPr>
              <w:rPr>
                <w:rFonts w:asciiTheme="minorEastAsia" w:hAnsiTheme="minorEastAsia" w:eastAsiaTheme="minorEastAsia"/>
                <w:color w:val="auto"/>
              </w:rPr>
            </w:pPr>
          </w:p>
        </w:tc>
        <w:tc>
          <w:tcPr>
            <w:tcW w:w="2357" w:type="dxa"/>
          </w:tcPr>
          <w:p>
            <w:pP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356" w:type="dxa"/>
          </w:tcPr>
          <w:p>
            <w:pPr>
              <w:rPr>
                <w:rFonts w:asciiTheme="minorEastAsia" w:hAnsiTheme="minorEastAsia" w:eastAsiaTheme="minorEastAsia"/>
                <w:color w:val="auto"/>
              </w:rPr>
            </w:pPr>
          </w:p>
        </w:tc>
        <w:tc>
          <w:tcPr>
            <w:tcW w:w="2357" w:type="dxa"/>
          </w:tcPr>
          <w:p>
            <w:pPr>
              <w:rPr>
                <w:rFonts w:asciiTheme="minorEastAsia" w:hAnsiTheme="minorEastAsia" w:eastAsiaTheme="minorEastAsia"/>
                <w:color w:val="auto"/>
              </w:rPr>
            </w:pPr>
          </w:p>
        </w:tc>
        <w:tc>
          <w:tcPr>
            <w:tcW w:w="2356" w:type="dxa"/>
          </w:tcPr>
          <w:p>
            <w:pPr>
              <w:rPr>
                <w:rFonts w:asciiTheme="minorEastAsia" w:hAnsiTheme="minorEastAsia" w:eastAsiaTheme="minorEastAsia"/>
                <w:color w:val="auto"/>
              </w:rPr>
            </w:pPr>
          </w:p>
        </w:tc>
        <w:tc>
          <w:tcPr>
            <w:tcW w:w="2357" w:type="dxa"/>
          </w:tcPr>
          <w:p>
            <w:pP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56" w:type="dxa"/>
          </w:tcPr>
          <w:p>
            <w:pPr>
              <w:rPr>
                <w:rFonts w:asciiTheme="minorEastAsia" w:hAnsiTheme="minorEastAsia" w:eastAsiaTheme="minorEastAsia"/>
                <w:color w:val="auto"/>
              </w:rPr>
            </w:pPr>
          </w:p>
        </w:tc>
        <w:tc>
          <w:tcPr>
            <w:tcW w:w="2357" w:type="dxa"/>
          </w:tcPr>
          <w:p>
            <w:pPr>
              <w:rPr>
                <w:rFonts w:asciiTheme="minorEastAsia" w:hAnsiTheme="minorEastAsia" w:eastAsiaTheme="minorEastAsia"/>
                <w:color w:val="auto"/>
              </w:rPr>
            </w:pPr>
          </w:p>
        </w:tc>
        <w:tc>
          <w:tcPr>
            <w:tcW w:w="2356" w:type="dxa"/>
          </w:tcPr>
          <w:p>
            <w:pPr>
              <w:rPr>
                <w:rFonts w:asciiTheme="minorEastAsia" w:hAnsiTheme="minorEastAsia" w:eastAsiaTheme="minorEastAsia"/>
                <w:color w:val="auto"/>
              </w:rPr>
            </w:pPr>
          </w:p>
        </w:tc>
        <w:tc>
          <w:tcPr>
            <w:tcW w:w="2357" w:type="dxa"/>
          </w:tcPr>
          <w:p>
            <w:pPr>
              <w:rPr>
                <w:rFonts w:asciiTheme="minorEastAsia" w:hAnsiTheme="minorEastAsia"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56" w:type="dxa"/>
          </w:tcPr>
          <w:p>
            <w:pPr>
              <w:rPr>
                <w:rFonts w:asciiTheme="minorEastAsia" w:hAnsiTheme="minorEastAsia" w:eastAsiaTheme="minorEastAsia"/>
                <w:color w:val="auto"/>
              </w:rPr>
            </w:pPr>
          </w:p>
        </w:tc>
        <w:tc>
          <w:tcPr>
            <w:tcW w:w="2357" w:type="dxa"/>
          </w:tcPr>
          <w:p>
            <w:pPr>
              <w:rPr>
                <w:rFonts w:asciiTheme="minorEastAsia" w:hAnsiTheme="minorEastAsia" w:eastAsiaTheme="minorEastAsia"/>
                <w:color w:val="auto"/>
              </w:rPr>
            </w:pPr>
          </w:p>
        </w:tc>
        <w:tc>
          <w:tcPr>
            <w:tcW w:w="2356" w:type="dxa"/>
          </w:tcPr>
          <w:p>
            <w:pPr>
              <w:rPr>
                <w:rFonts w:asciiTheme="minorEastAsia" w:hAnsiTheme="minorEastAsia" w:eastAsiaTheme="minorEastAsia"/>
                <w:color w:val="auto"/>
              </w:rPr>
            </w:pPr>
          </w:p>
        </w:tc>
        <w:tc>
          <w:tcPr>
            <w:tcW w:w="2357" w:type="dxa"/>
          </w:tcPr>
          <w:p>
            <w:pPr>
              <w:rPr>
                <w:rFonts w:asciiTheme="minorEastAsia" w:hAnsiTheme="minorEastAsia" w:eastAsiaTheme="minorEastAsia"/>
                <w:color w:val="auto"/>
              </w:rPr>
            </w:pPr>
          </w:p>
        </w:tc>
      </w:tr>
    </w:tbl>
    <w:p>
      <w:pPr>
        <w:rPr>
          <w:rFonts w:asciiTheme="minorEastAsia" w:hAnsiTheme="minorEastAsia" w:eastAsiaTheme="minorEastAsia"/>
          <w:color w:val="auto"/>
        </w:rPr>
      </w:pPr>
    </w:p>
    <w:p>
      <w:pPr>
        <w:pStyle w:val="124"/>
        <w:jc w:val="center"/>
        <w:outlineLvl w:val="0"/>
        <w:rPr>
          <w:rFonts w:asciiTheme="minorEastAsia" w:hAnsiTheme="minorEastAsia" w:eastAsiaTheme="minorEastAsia"/>
          <w:color w:val="auto"/>
          <w:szCs w:val="20"/>
        </w:rPr>
      </w:pPr>
      <w:bookmarkStart w:id="765" w:name="_Toc3406"/>
      <w:bookmarkStart w:id="766" w:name="_Toc453681068"/>
      <w:bookmarkStart w:id="767" w:name="_Toc11389"/>
      <w:bookmarkStart w:id="768" w:name="_Toc453681541"/>
      <w:bookmarkStart w:id="769" w:name="_Toc15907_WPSOffice_Level1"/>
      <w:bookmarkStart w:id="770" w:name="_Toc389065361"/>
      <w:r>
        <w:rPr>
          <w:rFonts w:hint="eastAsia" w:asciiTheme="minorEastAsia" w:hAnsiTheme="minorEastAsia" w:eastAsiaTheme="minorEastAsia"/>
          <w:color w:val="auto"/>
          <w:szCs w:val="20"/>
        </w:rPr>
        <w:t>附表八：</w:t>
      </w:r>
      <w:r>
        <w:rPr>
          <w:rFonts w:asciiTheme="minorEastAsia" w:hAnsiTheme="minorEastAsia" w:eastAsiaTheme="minorEastAsia"/>
          <w:color w:val="auto"/>
          <w:szCs w:val="20"/>
        </w:rPr>
        <w:t>拟分包计划表</w:t>
      </w:r>
      <w:bookmarkEnd w:id="765"/>
      <w:bookmarkEnd w:id="766"/>
      <w:bookmarkEnd w:id="767"/>
      <w:bookmarkEnd w:id="768"/>
      <w:bookmarkEnd w:id="769"/>
      <w:bookmarkEnd w:id="770"/>
    </w:p>
    <w:p>
      <w:pPr>
        <w:pStyle w:val="124"/>
        <w:jc w:val="center"/>
        <w:outlineLvl w:val="9"/>
        <w:rPr>
          <w:rFonts w:asciiTheme="minorEastAsia" w:hAnsiTheme="minorEastAsia" w:eastAsiaTheme="minorEastAsia"/>
          <w:color w:val="auto"/>
          <w:szCs w:val="20"/>
        </w:rPr>
      </w:pPr>
    </w:p>
    <w:tbl>
      <w:tblPr>
        <w:tblStyle w:val="5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843"/>
        <w:gridCol w:w="751"/>
        <w:gridCol w:w="950"/>
        <w:gridCol w:w="1123"/>
        <w:gridCol w:w="1090"/>
        <w:gridCol w:w="1197"/>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restart"/>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序</w:t>
            </w:r>
          </w:p>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号</w:t>
            </w:r>
          </w:p>
        </w:tc>
        <w:tc>
          <w:tcPr>
            <w:tcW w:w="1843" w:type="dxa"/>
            <w:vMerge w:val="restart"/>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拟分包项目名称、范围及理由</w:t>
            </w:r>
          </w:p>
        </w:tc>
        <w:tc>
          <w:tcPr>
            <w:tcW w:w="5111" w:type="dxa"/>
            <w:gridSpan w:val="5"/>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拟选分包人</w:t>
            </w:r>
          </w:p>
        </w:tc>
        <w:tc>
          <w:tcPr>
            <w:tcW w:w="1577" w:type="dxa"/>
            <w:vMerge w:val="restart"/>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Mar>
              <w:left w:w="108" w:type="dxa"/>
              <w:right w:w="108" w:type="dxa"/>
            </w:tcMar>
            <w:vAlign w:val="center"/>
          </w:tcPr>
          <w:p>
            <w:pPr>
              <w:jc w:val="center"/>
              <w:rPr>
                <w:rFonts w:asciiTheme="minorEastAsia" w:hAnsiTheme="minorEastAsia" w:eastAsiaTheme="minorEastAsia"/>
                <w:color w:val="auto"/>
                <w:szCs w:val="21"/>
              </w:rPr>
            </w:pPr>
          </w:p>
        </w:tc>
        <w:tc>
          <w:tcPr>
            <w:tcW w:w="1843" w:type="dxa"/>
            <w:vMerge w:val="continue"/>
            <w:tcMar>
              <w:left w:w="108" w:type="dxa"/>
              <w:right w:w="108" w:type="dxa"/>
            </w:tcMar>
            <w:vAlign w:val="center"/>
          </w:tcPr>
          <w:p>
            <w:pPr>
              <w:jc w:val="center"/>
              <w:rPr>
                <w:rFonts w:asciiTheme="minorEastAsia" w:hAnsiTheme="minorEastAsia" w:eastAsiaTheme="minorEastAsia"/>
                <w:color w:val="auto"/>
                <w:szCs w:val="21"/>
              </w:rPr>
            </w:pPr>
          </w:p>
        </w:tc>
        <w:tc>
          <w:tcPr>
            <w:tcW w:w="1701" w:type="dxa"/>
            <w:gridSpan w:val="2"/>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拟选分包人名称</w:t>
            </w:r>
          </w:p>
        </w:tc>
        <w:tc>
          <w:tcPr>
            <w:tcW w:w="1123" w:type="dxa"/>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注册地点</w:t>
            </w:r>
          </w:p>
        </w:tc>
        <w:tc>
          <w:tcPr>
            <w:tcW w:w="1090" w:type="dxa"/>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企业资质</w:t>
            </w:r>
          </w:p>
        </w:tc>
        <w:tc>
          <w:tcPr>
            <w:tcW w:w="1197" w:type="dxa"/>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有关业绩</w:t>
            </w:r>
          </w:p>
        </w:tc>
        <w:tc>
          <w:tcPr>
            <w:tcW w:w="1577" w:type="dxa"/>
            <w:vMerge w:val="continue"/>
            <w:tcMar>
              <w:left w:w="108" w:type="dxa"/>
              <w:right w:w="108" w:type="dxa"/>
            </w:tcMar>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restart"/>
            <w:tcMar>
              <w:left w:w="108" w:type="dxa"/>
              <w:right w:w="108" w:type="dxa"/>
            </w:tcMar>
            <w:vAlign w:val="center"/>
          </w:tcPr>
          <w:p>
            <w:pPr>
              <w:jc w:val="center"/>
              <w:rPr>
                <w:rFonts w:asciiTheme="minorEastAsia" w:hAnsiTheme="minorEastAsia" w:eastAsiaTheme="minorEastAsia"/>
                <w:color w:val="auto"/>
                <w:szCs w:val="21"/>
              </w:rPr>
            </w:pPr>
          </w:p>
        </w:tc>
        <w:tc>
          <w:tcPr>
            <w:tcW w:w="1843" w:type="dxa"/>
            <w:vMerge w:val="restart"/>
            <w:tcMar>
              <w:left w:w="108" w:type="dxa"/>
              <w:right w:w="108" w:type="dxa"/>
            </w:tcMar>
            <w:vAlign w:val="center"/>
          </w:tcPr>
          <w:p>
            <w:pPr>
              <w:jc w:val="center"/>
              <w:rPr>
                <w:rFonts w:asciiTheme="minorEastAsia" w:hAnsiTheme="minorEastAsia" w:eastAsiaTheme="minorEastAsia"/>
                <w:color w:val="auto"/>
                <w:szCs w:val="21"/>
              </w:rPr>
            </w:pPr>
          </w:p>
        </w:tc>
        <w:tc>
          <w:tcPr>
            <w:tcW w:w="751" w:type="dxa"/>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p>
        </w:tc>
        <w:tc>
          <w:tcPr>
            <w:tcW w:w="950" w:type="dxa"/>
            <w:tcMar>
              <w:left w:w="108" w:type="dxa"/>
              <w:right w:w="108" w:type="dxa"/>
            </w:tcMar>
            <w:vAlign w:val="center"/>
          </w:tcPr>
          <w:p>
            <w:pPr>
              <w:jc w:val="center"/>
              <w:rPr>
                <w:rFonts w:asciiTheme="minorEastAsia" w:hAnsiTheme="minorEastAsia" w:eastAsiaTheme="minorEastAsia"/>
                <w:color w:val="auto"/>
                <w:szCs w:val="21"/>
              </w:rPr>
            </w:pPr>
          </w:p>
        </w:tc>
        <w:tc>
          <w:tcPr>
            <w:tcW w:w="1123" w:type="dxa"/>
            <w:tcMar>
              <w:left w:w="108" w:type="dxa"/>
              <w:right w:w="108" w:type="dxa"/>
            </w:tcMar>
            <w:vAlign w:val="center"/>
          </w:tcPr>
          <w:p>
            <w:pPr>
              <w:jc w:val="center"/>
              <w:rPr>
                <w:rFonts w:asciiTheme="minorEastAsia" w:hAnsiTheme="minorEastAsia" w:eastAsiaTheme="minorEastAsia"/>
                <w:color w:val="auto"/>
                <w:szCs w:val="21"/>
              </w:rPr>
            </w:pPr>
          </w:p>
        </w:tc>
        <w:tc>
          <w:tcPr>
            <w:tcW w:w="1090" w:type="dxa"/>
            <w:tcMar>
              <w:left w:w="108" w:type="dxa"/>
              <w:right w:w="108" w:type="dxa"/>
            </w:tcMar>
            <w:vAlign w:val="center"/>
          </w:tcPr>
          <w:p>
            <w:pPr>
              <w:jc w:val="center"/>
              <w:rPr>
                <w:rFonts w:asciiTheme="minorEastAsia" w:hAnsiTheme="minorEastAsia" w:eastAsiaTheme="minorEastAsia"/>
                <w:color w:val="auto"/>
                <w:szCs w:val="21"/>
              </w:rPr>
            </w:pPr>
          </w:p>
        </w:tc>
        <w:tc>
          <w:tcPr>
            <w:tcW w:w="1197" w:type="dxa"/>
            <w:tcMar>
              <w:left w:w="108" w:type="dxa"/>
              <w:right w:w="108" w:type="dxa"/>
            </w:tcMar>
            <w:vAlign w:val="center"/>
          </w:tcPr>
          <w:p>
            <w:pPr>
              <w:jc w:val="center"/>
              <w:rPr>
                <w:rFonts w:asciiTheme="minorEastAsia" w:hAnsiTheme="minorEastAsia" w:eastAsiaTheme="minorEastAsia"/>
                <w:color w:val="auto"/>
                <w:szCs w:val="21"/>
              </w:rPr>
            </w:pPr>
          </w:p>
        </w:tc>
        <w:tc>
          <w:tcPr>
            <w:tcW w:w="1577" w:type="dxa"/>
            <w:tcMar>
              <w:left w:w="108" w:type="dxa"/>
              <w:right w:w="108" w:type="dxa"/>
            </w:tcMar>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Mar>
              <w:left w:w="108" w:type="dxa"/>
              <w:right w:w="108" w:type="dxa"/>
            </w:tcMar>
            <w:vAlign w:val="center"/>
          </w:tcPr>
          <w:p>
            <w:pPr>
              <w:jc w:val="center"/>
              <w:rPr>
                <w:rFonts w:asciiTheme="minorEastAsia" w:hAnsiTheme="minorEastAsia" w:eastAsiaTheme="minorEastAsia"/>
                <w:color w:val="auto"/>
                <w:szCs w:val="21"/>
              </w:rPr>
            </w:pPr>
          </w:p>
        </w:tc>
        <w:tc>
          <w:tcPr>
            <w:tcW w:w="1843" w:type="dxa"/>
            <w:vMerge w:val="continue"/>
            <w:tcMar>
              <w:left w:w="108" w:type="dxa"/>
              <w:right w:w="108" w:type="dxa"/>
            </w:tcMar>
            <w:vAlign w:val="center"/>
          </w:tcPr>
          <w:p>
            <w:pPr>
              <w:jc w:val="center"/>
              <w:rPr>
                <w:rFonts w:asciiTheme="minorEastAsia" w:hAnsiTheme="minorEastAsia" w:eastAsiaTheme="minorEastAsia"/>
                <w:color w:val="auto"/>
                <w:szCs w:val="21"/>
              </w:rPr>
            </w:pPr>
          </w:p>
        </w:tc>
        <w:tc>
          <w:tcPr>
            <w:tcW w:w="751" w:type="dxa"/>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w:t>
            </w:r>
          </w:p>
        </w:tc>
        <w:tc>
          <w:tcPr>
            <w:tcW w:w="950" w:type="dxa"/>
            <w:tcMar>
              <w:left w:w="108" w:type="dxa"/>
              <w:right w:w="108" w:type="dxa"/>
            </w:tcMar>
            <w:vAlign w:val="center"/>
          </w:tcPr>
          <w:p>
            <w:pPr>
              <w:jc w:val="center"/>
              <w:rPr>
                <w:rFonts w:asciiTheme="minorEastAsia" w:hAnsiTheme="minorEastAsia" w:eastAsiaTheme="minorEastAsia"/>
                <w:color w:val="auto"/>
                <w:szCs w:val="21"/>
              </w:rPr>
            </w:pPr>
          </w:p>
        </w:tc>
        <w:tc>
          <w:tcPr>
            <w:tcW w:w="1123" w:type="dxa"/>
            <w:tcMar>
              <w:left w:w="108" w:type="dxa"/>
              <w:right w:w="108" w:type="dxa"/>
            </w:tcMar>
            <w:vAlign w:val="center"/>
          </w:tcPr>
          <w:p>
            <w:pPr>
              <w:jc w:val="center"/>
              <w:rPr>
                <w:rFonts w:asciiTheme="minorEastAsia" w:hAnsiTheme="minorEastAsia" w:eastAsiaTheme="minorEastAsia"/>
                <w:color w:val="auto"/>
                <w:szCs w:val="21"/>
              </w:rPr>
            </w:pPr>
          </w:p>
        </w:tc>
        <w:tc>
          <w:tcPr>
            <w:tcW w:w="1090" w:type="dxa"/>
            <w:tcMar>
              <w:left w:w="108" w:type="dxa"/>
              <w:right w:w="108" w:type="dxa"/>
            </w:tcMar>
            <w:vAlign w:val="center"/>
          </w:tcPr>
          <w:p>
            <w:pPr>
              <w:jc w:val="center"/>
              <w:rPr>
                <w:rFonts w:asciiTheme="minorEastAsia" w:hAnsiTheme="minorEastAsia" w:eastAsiaTheme="minorEastAsia"/>
                <w:color w:val="auto"/>
                <w:szCs w:val="21"/>
              </w:rPr>
            </w:pPr>
          </w:p>
        </w:tc>
        <w:tc>
          <w:tcPr>
            <w:tcW w:w="1197" w:type="dxa"/>
            <w:tcMar>
              <w:left w:w="108" w:type="dxa"/>
              <w:right w:w="108" w:type="dxa"/>
            </w:tcMar>
            <w:vAlign w:val="center"/>
          </w:tcPr>
          <w:p>
            <w:pPr>
              <w:jc w:val="center"/>
              <w:rPr>
                <w:rFonts w:asciiTheme="minorEastAsia" w:hAnsiTheme="minorEastAsia" w:eastAsiaTheme="minorEastAsia"/>
                <w:color w:val="auto"/>
                <w:szCs w:val="21"/>
              </w:rPr>
            </w:pPr>
          </w:p>
        </w:tc>
        <w:tc>
          <w:tcPr>
            <w:tcW w:w="1577" w:type="dxa"/>
            <w:tcMar>
              <w:left w:w="108" w:type="dxa"/>
              <w:right w:w="108" w:type="dxa"/>
            </w:tcMar>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Mar>
              <w:left w:w="108" w:type="dxa"/>
              <w:right w:w="108" w:type="dxa"/>
            </w:tcMar>
            <w:vAlign w:val="center"/>
          </w:tcPr>
          <w:p>
            <w:pPr>
              <w:jc w:val="center"/>
              <w:rPr>
                <w:rFonts w:asciiTheme="minorEastAsia" w:hAnsiTheme="minorEastAsia" w:eastAsiaTheme="minorEastAsia"/>
                <w:color w:val="auto"/>
                <w:szCs w:val="21"/>
              </w:rPr>
            </w:pPr>
          </w:p>
        </w:tc>
        <w:tc>
          <w:tcPr>
            <w:tcW w:w="1843" w:type="dxa"/>
            <w:vMerge w:val="continue"/>
            <w:tcMar>
              <w:left w:w="108" w:type="dxa"/>
              <w:right w:w="108" w:type="dxa"/>
            </w:tcMar>
            <w:vAlign w:val="center"/>
          </w:tcPr>
          <w:p>
            <w:pPr>
              <w:jc w:val="center"/>
              <w:rPr>
                <w:rFonts w:asciiTheme="minorEastAsia" w:hAnsiTheme="minorEastAsia" w:eastAsiaTheme="minorEastAsia"/>
                <w:color w:val="auto"/>
                <w:szCs w:val="21"/>
              </w:rPr>
            </w:pPr>
          </w:p>
        </w:tc>
        <w:tc>
          <w:tcPr>
            <w:tcW w:w="751" w:type="dxa"/>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w:t>
            </w:r>
          </w:p>
        </w:tc>
        <w:tc>
          <w:tcPr>
            <w:tcW w:w="950" w:type="dxa"/>
            <w:tcMar>
              <w:left w:w="108" w:type="dxa"/>
              <w:right w:w="108" w:type="dxa"/>
            </w:tcMar>
            <w:vAlign w:val="center"/>
          </w:tcPr>
          <w:p>
            <w:pPr>
              <w:jc w:val="center"/>
              <w:rPr>
                <w:rFonts w:asciiTheme="minorEastAsia" w:hAnsiTheme="minorEastAsia" w:eastAsiaTheme="minorEastAsia"/>
                <w:color w:val="auto"/>
                <w:szCs w:val="21"/>
              </w:rPr>
            </w:pPr>
          </w:p>
        </w:tc>
        <w:tc>
          <w:tcPr>
            <w:tcW w:w="1123" w:type="dxa"/>
            <w:tcMar>
              <w:left w:w="108" w:type="dxa"/>
              <w:right w:w="108" w:type="dxa"/>
            </w:tcMar>
            <w:vAlign w:val="center"/>
          </w:tcPr>
          <w:p>
            <w:pPr>
              <w:jc w:val="center"/>
              <w:rPr>
                <w:rFonts w:asciiTheme="minorEastAsia" w:hAnsiTheme="minorEastAsia" w:eastAsiaTheme="minorEastAsia"/>
                <w:color w:val="auto"/>
                <w:szCs w:val="21"/>
              </w:rPr>
            </w:pPr>
          </w:p>
        </w:tc>
        <w:tc>
          <w:tcPr>
            <w:tcW w:w="1090" w:type="dxa"/>
            <w:tcMar>
              <w:left w:w="108" w:type="dxa"/>
              <w:right w:w="108" w:type="dxa"/>
            </w:tcMar>
            <w:vAlign w:val="center"/>
          </w:tcPr>
          <w:p>
            <w:pPr>
              <w:jc w:val="center"/>
              <w:rPr>
                <w:rFonts w:asciiTheme="minorEastAsia" w:hAnsiTheme="minorEastAsia" w:eastAsiaTheme="minorEastAsia"/>
                <w:color w:val="auto"/>
                <w:szCs w:val="21"/>
              </w:rPr>
            </w:pPr>
          </w:p>
        </w:tc>
        <w:tc>
          <w:tcPr>
            <w:tcW w:w="1197" w:type="dxa"/>
            <w:tcMar>
              <w:left w:w="108" w:type="dxa"/>
              <w:right w:w="108" w:type="dxa"/>
            </w:tcMar>
            <w:vAlign w:val="center"/>
          </w:tcPr>
          <w:p>
            <w:pPr>
              <w:jc w:val="center"/>
              <w:rPr>
                <w:rFonts w:asciiTheme="minorEastAsia" w:hAnsiTheme="minorEastAsia" w:eastAsiaTheme="minorEastAsia"/>
                <w:color w:val="auto"/>
                <w:szCs w:val="21"/>
              </w:rPr>
            </w:pPr>
          </w:p>
        </w:tc>
        <w:tc>
          <w:tcPr>
            <w:tcW w:w="1577" w:type="dxa"/>
            <w:tcMar>
              <w:left w:w="108" w:type="dxa"/>
              <w:right w:w="108" w:type="dxa"/>
            </w:tcMar>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restart"/>
            <w:tcMar>
              <w:left w:w="108" w:type="dxa"/>
              <w:right w:w="108" w:type="dxa"/>
            </w:tcMar>
            <w:vAlign w:val="center"/>
          </w:tcPr>
          <w:p>
            <w:pPr>
              <w:jc w:val="center"/>
              <w:rPr>
                <w:rFonts w:asciiTheme="minorEastAsia" w:hAnsiTheme="minorEastAsia" w:eastAsiaTheme="minorEastAsia"/>
                <w:color w:val="auto"/>
                <w:szCs w:val="21"/>
              </w:rPr>
            </w:pPr>
          </w:p>
        </w:tc>
        <w:tc>
          <w:tcPr>
            <w:tcW w:w="1843" w:type="dxa"/>
            <w:vMerge w:val="restart"/>
            <w:tcMar>
              <w:left w:w="108" w:type="dxa"/>
              <w:right w:w="108" w:type="dxa"/>
            </w:tcMar>
            <w:vAlign w:val="center"/>
          </w:tcPr>
          <w:p>
            <w:pPr>
              <w:jc w:val="center"/>
              <w:rPr>
                <w:rFonts w:asciiTheme="minorEastAsia" w:hAnsiTheme="minorEastAsia" w:eastAsiaTheme="minorEastAsia"/>
                <w:color w:val="auto"/>
                <w:szCs w:val="21"/>
              </w:rPr>
            </w:pPr>
          </w:p>
        </w:tc>
        <w:tc>
          <w:tcPr>
            <w:tcW w:w="751" w:type="dxa"/>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p>
        </w:tc>
        <w:tc>
          <w:tcPr>
            <w:tcW w:w="950" w:type="dxa"/>
            <w:tcMar>
              <w:left w:w="108" w:type="dxa"/>
              <w:right w:w="108" w:type="dxa"/>
            </w:tcMar>
            <w:vAlign w:val="center"/>
          </w:tcPr>
          <w:p>
            <w:pPr>
              <w:jc w:val="center"/>
              <w:rPr>
                <w:rFonts w:asciiTheme="minorEastAsia" w:hAnsiTheme="minorEastAsia" w:eastAsiaTheme="minorEastAsia"/>
                <w:color w:val="auto"/>
                <w:szCs w:val="21"/>
              </w:rPr>
            </w:pPr>
          </w:p>
        </w:tc>
        <w:tc>
          <w:tcPr>
            <w:tcW w:w="1123" w:type="dxa"/>
            <w:tcMar>
              <w:left w:w="108" w:type="dxa"/>
              <w:right w:w="108" w:type="dxa"/>
            </w:tcMar>
            <w:vAlign w:val="center"/>
          </w:tcPr>
          <w:p>
            <w:pPr>
              <w:jc w:val="center"/>
              <w:rPr>
                <w:rFonts w:asciiTheme="minorEastAsia" w:hAnsiTheme="minorEastAsia" w:eastAsiaTheme="minorEastAsia"/>
                <w:color w:val="auto"/>
                <w:szCs w:val="21"/>
              </w:rPr>
            </w:pPr>
          </w:p>
        </w:tc>
        <w:tc>
          <w:tcPr>
            <w:tcW w:w="1090" w:type="dxa"/>
            <w:tcMar>
              <w:left w:w="108" w:type="dxa"/>
              <w:right w:w="108" w:type="dxa"/>
            </w:tcMar>
            <w:vAlign w:val="center"/>
          </w:tcPr>
          <w:p>
            <w:pPr>
              <w:jc w:val="center"/>
              <w:rPr>
                <w:rFonts w:asciiTheme="minorEastAsia" w:hAnsiTheme="minorEastAsia" w:eastAsiaTheme="minorEastAsia"/>
                <w:color w:val="auto"/>
                <w:szCs w:val="21"/>
              </w:rPr>
            </w:pPr>
          </w:p>
        </w:tc>
        <w:tc>
          <w:tcPr>
            <w:tcW w:w="1197" w:type="dxa"/>
            <w:tcMar>
              <w:left w:w="108" w:type="dxa"/>
              <w:right w:w="108" w:type="dxa"/>
            </w:tcMar>
            <w:vAlign w:val="center"/>
          </w:tcPr>
          <w:p>
            <w:pPr>
              <w:jc w:val="center"/>
              <w:rPr>
                <w:rFonts w:asciiTheme="minorEastAsia" w:hAnsiTheme="minorEastAsia" w:eastAsiaTheme="minorEastAsia"/>
                <w:color w:val="auto"/>
                <w:szCs w:val="21"/>
              </w:rPr>
            </w:pPr>
          </w:p>
        </w:tc>
        <w:tc>
          <w:tcPr>
            <w:tcW w:w="1577" w:type="dxa"/>
            <w:tcMar>
              <w:left w:w="108" w:type="dxa"/>
              <w:right w:w="108" w:type="dxa"/>
            </w:tcMar>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Mar>
              <w:left w:w="108" w:type="dxa"/>
              <w:right w:w="108" w:type="dxa"/>
            </w:tcMar>
            <w:vAlign w:val="center"/>
          </w:tcPr>
          <w:p>
            <w:pPr>
              <w:jc w:val="center"/>
              <w:rPr>
                <w:rFonts w:asciiTheme="minorEastAsia" w:hAnsiTheme="minorEastAsia" w:eastAsiaTheme="minorEastAsia"/>
                <w:color w:val="auto"/>
                <w:szCs w:val="21"/>
              </w:rPr>
            </w:pPr>
          </w:p>
        </w:tc>
        <w:tc>
          <w:tcPr>
            <w:tcW w:w="1843" w:type="dxa"/>
            <w:vMerge w:val="continue"/>
            <w:tcMar>
              <w:left w:w="108" w:type="dxa"/>
              <w:right w:w="108" w:type="dxa"/>
            </w:tcMar>
            <w:vAlign w:val="center"/>
          </w:tcPr>
          <w:p>
            <w:pPr>
              <w:jc w:val="center"/>
              <w:rPr>
                <w:rFonts w:asciiTheme="minorEastAsia" w:hAnsiTheme="minorEastAsia" w:eastAsiaTheme="minorEastAsia"/>
                <w:color w:val="auto"/>
                <w:szCs w:val="21"/>
              </w:rPr>
            </w:pPr>
          </w:p>
        </w:tc>
        <w:tc>
          <w:tcPr>
            <w:tcW w:w="751" w:type="dxa"/>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2</w:t>
            </w:r>
          </w:p>
        </w:tc>
        <w:tc>
          <w:tcPr>
            <w:tcW w:w="950" w:type="dxa"/>
            <w:tcMar>
              <w:left w:w="108" w:type="dxa"/>
              <w:right w:w="108" w:type="dxa"/>
            </w:tcMar>
            <w:vAlign w:val="center"/>
          </w:tcPr>
          <w:p>
            <w:pPr>
              <w:jc w:val="center"/>
              <w:rPr>
                <w:rFonts w:asciiTheme="minorEastAsia" w:hAnsiTheme="minorEastAsia" w:eastAsiaTheme="minorEastAsia"/>
                <w:color w:val="auto"/>
                <w:szCs w:val="21"/>
              </w:rPr>
            </w:pPr>
          </w:p>
        </w:tc>
        <w:tc>
          <w:tcPr>
            <w:tcW w:w="1123" w:type="dxa"/>
            <w:tcMar>
              <w:left w:w="108" w:type="dxa"/>
              <w:right w:w="108" w:type="dxa"/>
            </w:tcMar>
            <w:vAlign w:val="center"/>
          </w:tcPr>
          <w:p>
            <w:pPr>
              <w:jc w:val="center"/>
              <w:rPr>
                <w:rFonts w:asciiTheme="minorEastAsia" w:hAnsiTheme="minorEastAsia" w:eastAsiaTheme="minorEastAsia"/>
                <w:color w:val="auto"/>
                <w:szCs w:val="21"/>
              </w:rPr>
            </w:pPr>
          </w:p>
        </w:tc>
        <w:tc>
          <w:tcPr>
            <w:tcW w:w="1090" w:type="dxa"/>
            <w:tcMar>
              <w:left w:w="108" w:type="dxa"/>
              <w:right w:w="108" w:type="dxa"/>
            </w:tcMar>
            <w:vAlign w:val="center"/>
          </w:tcPr>
          <w:p>
            <w:pPr>
              <w:jc w:val="center"/>
              <w:rPr>
                <w:rFonts w:asciiTheme="minorEastAsia" w:hAnsiTheme="minorEastAsia" w:eastAsiaTheme="minorEastAsia"/>
                <w:color w:val="auto"/>
                <w:szCs w:val="21"/>
              </w:rPr>
            </w:pPr>
          </w:p>
        </w:tc>
        <w:tc>
          <w:tcPr>
            <w:tcW w:w="1197" w:type="dxa"/>
            <w:tcMar>
              <w:left w:w="108" w:type="dxa"/>
              <w:right w:w="108" w:type="dxa"/>
            </w:tcMar>
            <w:vAlign w:val="center"/>
          </w:tcPr>
          <w:p>
            <w:pPr>
              <w:jc w:val="center"/>
              <w:rPr>
                <w:rFonts w:asciiTheme="minorEastAsia" w:hAnsiTheme="minorEastAsia" w:eastAsiaTheme="minorEastAsia"/>
                <w:color w:val="auto"/>
                <w:szCs w:val="21"/>
              </w:rPr>
            </w:pPr>
          </w:p>
        </w:tc>
        <w:tc>
          <w:tcPr>
            <w:tcW w:w="1577" w:type="dxa"/>
            <w:tcMar>
              <w:left w:w="108" w:type="dxa"/>
              <w:right w:w="108" w:type="dxa"/>
            </w:tcMar>
            <w:vAlign w:val="center"/>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vMerge w:val="continue"/>
            <w:tcMar>
              <w:left w:w="108" w:type="dxa"/>
              <w:right w:w="108" w:type="dxa"/>
            </w:tcMar>
            <w:vAlign w:val="center"/>
          </w:tcPr>
          <w:p>
            <w:pPr>
              <w:jc w:val="center"/>
              <w:rPr>
                <w:rFonts w:asciiTheme="minorEastAsia" w:hAnsiTheme="minorEastAsia" w:eastAsiaTheme="minorEastAsia"/>
                <w:color w:val="auto"/>
                <w:szCs w:val="21"/>
              </w:rPr>
            </w:pPr>
          </w:p>
        </w:tc>
        <w:tc>
          <w:tcPr>
            <w:tcW w:w="1843" w:type="dxa"/>
            <w:vMerge w:val="continue"/>
            <w:tcMar>
              <w:left w:w="108" w:type="dxa"/>
              <w:right w:w="108" w:type="dxa"/>
            </w:tcMar>
            <w:vAlign w:val="center"/>
          </w:tcPr>
          <w:p>
            <w:pPr>
              <w:jc w:val="center"/>
              <w:rPr>
                <w:rFonts w:asciiTheme="minorEastAsia" w:hAnsiTheme="minorEastAsia" w:eastAsiaTheme="minorEastAsia"/>
                <w:color w:val="auto"/>
                <w:szCs w:val="21"/>
              </w:rPr>
            </w:pPr>
          </w:p>
        </w:tc>
        <w:tc>
          <w:tcPr>
            <w:tcW w:w="751" w:type="dxa"/>
            <w:tcMar>
              <w:left w:w="108" w:type="dxa"/>
              <w:right w:w="108" w:type="dxa"/>
            </w:tcMar>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3</w:t>
            </w:r>
          </w:p>
        </w:tc>
        <w:tc>
          <w:tcPr>
            <w:tcW w:w="950" w:type="dxa"/>
            <w:tcMar>
              <w:left w:w="108" w:type="dxa"/>
              <w:right w:w="108" w:type="dxa"/>
            </w:tcMar>
            <w:vAlign w:val="center"/>
          </w:tcPr>
          <w:p>
            <w:pPr>
              <w:jc w:val="center"/>
              <w:rPr>
                <w:rFonts w:asciiTheme="minorEastAsia" w:hAnsiTheme="minorEastAsia" w:eastAsiaTheme="minorEastAsia"/>
                <w:color w:val="auto"/>
                <w:szCs w:val="21"/>
              </w:rPr>
            </w:pPr>
          </w:p>
        </w:tc>
        <w:tc>
          <w:tcPr>
            <w:tcW w:w="1123" w:type="dxa"/>
            <w:tcMar>
              <w:left w:w="108" w:type="dxa"/>
              <w:right w:w="108" w:type="dxa"/>
            </w:tcMar>
            <w:vAlign w:val="center"/>
          </w:tcPr>
          <w:p>
            <w:pPr>
              <w:jc w:val="center"/>
              <w:rPr>
                <w:rFonts w:asciiTheme="minorEastAsia" w:hAnsiTheme="minorEastAsia" w:eastAsiaTheme="minorEastAsia"/>
                <w:color w:val="auto"/>
                <w:szCs w:val="21"/>
              </w:rPr>
            </w:pPr>
          </w:p>
        </w:tc>
        <w:tc>
          <w:tcPr>
            <w:tcW w:w="1090" w:type="dxa"/>
            <w:tcMar>
              <w:left w:w="108" w:type="dxa"/>
              <w:right w:w="108" w:type="dxa"/>
            </w:tcMar>
            <w:vAlign w:val="center"/>
          </w:tcPr>
          <w:p>
            <w:pPr>
              <w:jc w:val="center"/>
              <w:rPr>
                <w:rFonts w:asciiTheme="minorEastAsia" w:hAnsiTheme="minorEastAsia" w:eastAsiaTheme="minorEastAsia"/>
                <w:color w:val="auto"/>
                <w:szCs w:val="21"/>
              </w:rPr>
            </w:pPr>
          </w:p>
        </w:tc>
        <w:tc>
          <w:tcPr>
            <w:tcW w:w="1197" w:type="dxa"/>
            <w:tcMar>
              <w:left w:w="108" w:type="dxa"/>
              <w:right w:w="108" w:type="dxa"/>
            </w:tcMar>
            <w:vAlign w:val="center"/>
          </w:tcPr>
          <w:p>
            <w:pPr>
              <w:jc w:val="center"/>
              <w:rPr>
                <w:rFonts w:asciiTheme="minorEastAsia" w:hAnsiTheme="minorEastAsia" w:eastAsiaTheme="minorEastAsia"/>
                <w:color w:val="auto"/>
                <w:szCs w:val="21"/>
              </w:rPr>
            </w:pPr>
          </w:p>
        </w:tc>
        <w:tc>
          <w:tcPr>
            <w:tcW w:w="1577" w:type="dxa"/>
            <w:tcMar>
              <w:left w:w="108" w:type="dxa"/>
              <w:right w:w="108" w:type="dxa"/>
            </w:tcMar>
            <w:vAlign w:val="center"/>
          </w:tcPr>
          <w:p>
            <w:pPr>
              <w:jc w:val="center"/>
              <w:rPr>
                <w:rFonts w:asciiTheme="minorEastAsia" w:hAnsiTheme="minorEastAsia" w:eastAsiaTheme="minorEastAsia"/>
                <w:color w:val="auto"/>
                <w:szCs w:val="21"/>
              </w:rPr>
            </w:pPr>
          </w:p>
        </w:tc>
      </w:tr>
    </w:tbl>
    <w:p>
      <w:pPr>
        <w:spacing w:line="440" w:lineRule="exact"/>
        <w:ind w:right="420"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备注：本表所列分包仅限于承包人自行施工范围内的非主体、非关键工程。</w:t>
      </w:r>
    </w:p>
    <w:p>
      <w:pPr>
        <w:wordWrap w:val="0"/>
        <w:spacing w:line="440" w:lineRule="exact"/>
        <w:ind w:right="420"/>
        <w:jc w:val="right"/>
        <w:rPr>
          <w:rFonts w:asciiTheme="minorEastAsia" w:hAnsiTheme="minorEastAsia" w:eastAsiaTheme="minorEastAsia"/>
          <w:color w:val="auto"/>
          <w:szCs w:val="21"/>
        </w:rPr>
      </w:pPr>
    </w:p>
    <w:p>
      <w:pPr>
        <w:spacing w:line="440" w:lineRule="exact"/>
        <w:ind w:right="420"/>
        <w:jc w:val="right"/>
        <w:rPr>
          <w:rFonts w:asciiTheme="minorEastAsia" w:hAnsiTheme="minorEastAsia" w:eastAsiaTheme="minorEastAsia"/>
          <w:color w:val="auto"/>
          <w:szCs w:val="21"/>
        </w:rPr>
      </w:pPr>
      <w:r>
        <w:rPr>
          <w:rFonts w:asciiTheme="minorEastAsia" w:hAnsiTheme="minorEastAsia" w:eastAsiaTheme="minorEastAsia"/>
          <w:color w:val="auto"/>
          <w:szCs w:val="21"/>
        </w:rPr>
        <w:t xml:space="preserve">日期：       年     月     日  </w:t>
      </w:r>
    </w:p>
    <w:bookmarkEnd w:id="659"/>
    <w:bookmarkEnd w:id="660"/>
    <w:p>
      <w:pPr>
        <w:spacing w:line="360" w:lineRule="auto"/>
        <w:ind w:right="384" w:rightChars="183"/>
        <w:rPr>
          <w:rFonts w:cs="Arial" w:asciiTheme="minorEastAsia" w:hAnsiTheme="minorEastAsia" w:eastAsiaTheme="minorEastAsia"/>
          <w:color w:val="auto"/>
          <w:sz w:val="24"/>
          <w:szCs w:val="24"/>
        </w:rPr>
      </w:pPr>
    </w:p>
    <w:sectPr>
      <w:headerReference r:id="rId9" w:type="default"/>
      <w:footerReference r:id="rId10" w:type="default"/>
      <w:footerReference r:id="rId11" w:type="even"/>
      <w:pgSz w:w="11906" w:h="16838"/>
      <w:pgMar w:top="1440" w:right="1361" w:bottom="1440" w:left="1304" w:header="851" w:footer="851"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Courier New"/>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时尚中黑简体">
    <w:panose1 w:val="01010104010101010101"/>
    <w:charset w:val="86"/>
    <w:family w:val="auto"/>
    <w:pitch w:val="default"/>
    <w:sig w:usb0="800002BF" w:usb1="184F6CF8" w:usb2="00000012" w:usb3="00000000" w:csb0="00040001" w:csb1="00000000"/>
  </w:font>
  <w:font w:name="幼圆">
    <w:altName w:val="宋体"/>
    <w:panose1 w:val="0201050906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rPr>
                              <w:lang w:val="zh-CN"/>
                            </w:rP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84</w:t>
                    </w:r>
                    <w:r>
                      <w:fldChar w:fldCharType="end"/>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rPr>
                              <w:lang w:val="zh-CN"/>
                            </w:rP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85</w:t>
                    </w:r>
                    <w:r>
                      <w:fldChar w:fldCharType="end"/>
                    </w:r>
                  </w:p>
                </w:txbxContent>
              </v:textbox>
            </v:shape>
          </w:pict>
        </mc:Fallback>
      </mc:AlternateContent>
    </w:r>
  </w:p>
  <w:p>
    <w:pPr>
      <w:pStyle w:val="2"/>
      <w:tabs>
        <w:tab w:val="left" w:pos="5500"/>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9"/>
      </w:rPr>
    </w:pPr>
    <w:r>
      <w:fldChar w:fldCharType="begin"/>
    </w:r>
    <w:r>
      <w:rPr>
        <w:rStyle w:val="59"/>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left"/>
      <w:rPr>
        <w:u w:val="single"/>
      </w:rPr>
    </w:pPr>
    <w:r>
      <w:rPr>
        <w:rFonts w:hint="eastAsia" w:ascii="宋体" w:hAnsi="宋体" w:eastAsia="宋体" w:cs="宋体"/>
        <w:color w:val="000000"/>
        <w:u w:val="single"/>
      </w:rPr>
      <w:drawing>
        <wp:inline distT="0" distB="0" distL="114300" distR="114300">
          <wp:extent cx="381000" cy="328295"/>
          <wp:effectExtent l="0" t="0" r="0" b="14605"/>
          <wp:docPr id="11" name="图片 5" descr="微信图片_2018020514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微信图片_20180205141554"/>
                  <pic:cNvPicPr>
                    <a:picLocks noChangeAspect="1"/>
                  </pic:cNvPicPr>
                </pic:nvPicPr>
                <pic:blipFill>
                  <a:blip r:embed="rId1"/>
                  <a:stretch>
                    <a:fillRect/>
                  </a:stretch>
                </pic:blipFill>
                <pic:spPr>
                  <a:xfrm>
                    <a:off x="0" y="0"/>
                    <a:ext cx="381000" cy="328295"/>
                  </a:xfrm>
                  <a:prstGeom prst="rect">
                    <a:avLst/>
                  </a:prstGeom>
                  <a:noFill/>
                  <a:ln>
                    <a:noFill/>
                  </a:ln>
                </pic:spPr>
              </pic:pic>
            </a:graphicData>
          </a:graphic>
        </wp:inline>
      </w:drawing>
    </w:r>
    <w:r>
      <w:rPr>
        <w:rFonts w:hint="eastAsia" w:ascii="幼圆" w:hAnsi="幼圆" w:eastAsia="幼圆" w:cs="幼圆"/>
        <w:b/>
        <w:bCs/>
        <w:sz w:val="18"/>
        <w:szCs w:val="18"/>
        <w:u w:val="single"/>
        <w:lang w:val="en-US" w:eastAsia="zh-CN"/>
      </w:rPr>
      <w:t>竞争性磋商文件                                            项目编号：CZZC2020-C2-60004-GXST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left"/>
      <w:rPr>
        <w:rFonts w:hint="eastAsia"/>
        <w:u w:val="single"/>
        <w:lang w:val="en-US" w:eastAsia="zh-CN"/>
      </w:rPr>
    </w:pPr>
    <w:r>
      <w:rPr>
        <w:rFonts w:hint="eastAsia" w:ascii="宋体" w:hAnsi="宋体" w:eastAsia="宋体" w:cs="宋体"/>
        <w:color w:val="000000"/>
        <w:u w:val="single"/>
      </w:rPr>
      <w:drawing>
        <wp:inline distT="0" distB="0" distL="114300" distR="114300">
          <wp:extent cx="381000" cy="328295"/>
          <wp:effectExtent l="0" t="0" r="0" b="14605"/>
          <wp:docPr id="6" name="图片 3" descr="微信图片_2018020514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微信图片_20180205141554"/>
                  <pic:cNvPicPr>
                    <a:picLocks noChangeAspect="1"/>
                  </pic:cNvPicPr>
                </pic:nvPicPr>
                <pic:blipFill>
                  <a:blip r:embed="rId1"/>
                  <a:stretch>
                    <a:fillRect/>
                  </a:stretch>
                </pic:blipFill>
                <pic:spPr>
                  <a:xfrm>
                    <a:off x="0" y="0"/>
                    <a:ext cx="381000" cy="328295"/>
                  </a:xfrm>
                  <a:prstGeom prst="rect">
                    <a:avLst/>
                  </a:prstGeom>
                  <a:noFill/>
                  <a:ln>
                    <a:noFill/>
                  </a:ln>
                </pic:spPr>
              </pic:pic>
            </a:graphicData>
          </a:graphic>
        </wp:inline>
      </w:drawing>
    </w:r>
    <w:r>
      <w:rPr>
        <w:rFonts w:hint="eastAsia" w:ascii="幼圆" w:hAnsi="幼圆" w:eastAsia="幼圆" w:cs="幼圆"/>
        <w:b/>
        <w:bCs/>
        <w:sz w:val="18"/>
        <w:szCs w:val="18"/>
        <w:u w:val="single"/>
        <w:lang w:val="en-US" w:eastAsia="zh-CN"/>
      </w:rPr>
      <w:t xml:space="preserve">竞争性磋商文件                                            项目编号：CZZC2020-C2-60004-GXST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left"/>
      <w:rPr>
        <w:u w:val="single"/>
      </w:rPr>
    </w:pPr>
    <w:r>
      <w:rPr>
        <w:rFonts w:hint="eastAsia" w:ascii="宋体" w:hAnsi="宋体" w:eastAsia="宋体" w:cs="宋体"/>
        <w:color w:val="000000"/>
        <w:u w:val="single"/>
      </w:rPr>
      <w:drawing>
        <wp:inline distT="0" distB="0" distL="114300" distR="114300">
          <wp:extent cx="381000" cy="328295"/>
          <wp:effectExtent l="0" t="0" r="0" b="14605"/>
          <wp:docPr id="10" name="图片 4" descr="微信图片_2018020514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微信图片_20180205141554"/>
                  <pic:cNvPicPr>
                    <a:picLocks noChangeAspect="1"/>
                  </pic:cNvPicPr>
                </pic:nvPicPr>
                <pic:blipFill>
                  <a:blip r:embed="rId1"/>
                  <a:stretch>
                    <a:fillRect/>
                  </a:stretch>
                </pic:blipFill>
                <pic:spPr>
                  <a:xfrm>
                    <a:off x="0" y="0"/>
                    <a:ext cx="381000" cy="328295"/>
                  </a:xfrm>
                  <a:prstGeom prst="rect">
                    <a:avLst/>
                  </a:prstGeom>
                  <a:noFill/>
                  <a:ln>
                    <a:noFill/>
                  </a:ln>
                </pic:spPr>
              </pic:pic>
            </a:graphicData>
          </a:graphic>
        </wp:inline>
      </w:drawing>
    </w:r>
    <w:r>
      <w:rPr>
        <w:rFonts w:hint="eastAsia" w:ascii="幼圆" w:hAnsi="幼圆" w:eastAsia="幼圆" w:cs="幼圆"/>
        <w:b/>
        <w:bCs/>
        <w:sz w:val="18"/>
        <w:szCs w:val="18"/>
        <w:u w:val="single"/>
        <w:lang w:val="en-US" w:eastAsia="zh-CN"/>
      </w:rPr>
      <w:t>竞争性磋商文件                                               项目编号：CZZC2020-C2-60004-GXST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9E0C9"/>
    <w:multiLevelType w:val="singleLevel"/>
    <w:tmpl w:val="8729E0C9"/>
    <w:lvl w:ilvl="0" w:tentative="0">
      <w:start w:val="1"/>
      <w:numFmt w:val="chineseCounting"/>
      <w:suff w:val="nothing"/>
      <w:lvlText w:val="%1、"/>
      <w:lvlJc w:val="left"/>
      <w:rPr>
        <w:rFonts w:hint="eastAsia"/>
      </w:rPr>
    </w:lvl>
  </w:abstractNum>
  <w:abstractNum w:abstractNumId="1">
    <w:nsid w:val="9EC41CEE"/>
    <w:multiLevelType w:val="singleLevel"/>
    <w:tmpl w:val="9EC41CEE"/>
    <w:lvl w:ilvl="0" w:tentative="0">
      <w:start w:val="7"/>
      <w:numFmt w:val="chineseCounting"/>
      <w:suff w:val="nothing"/>
      <w:lvlText w:val="%1、"/>
      <w:lvlJc w:val="left"/>
      <w:rPr>
        <w:rFonts w:hint="eastAsia"/>
      </w:rPr>
    </w:lvl>
  </w:abstractNum>
  <w:abstractNum w:abstractNumId="2">
    <w:nsid w:val="F140ADBF"/>
    <w:multiLevelType w:val="singleLevel"/>
    <w:tmpl w:val="F140ADBF"/>
    <w:lvl w:ilvl="0" w:tentative="0">
      <w:start w:val="7"/>
      <w:numFmt w:val="decimal"/>
      <w:suff w:val="nothing"/>
      <w:lvlText w:val="%1）"/>
      <w:lvlJc w:val="left"/>
    </w:lvl>
  </w:abstractNum>
  <w:abstractNum w:abstractNumId="3">
    <w:nsid w:val="F7F13E7A"/>
    <w:multiLevelType w:val="singleLevel"/>
    <w:tmpl w:val="F7F13E7A"/>
    <w:lvl w:ilvl="0" w:tentative="0">
      <w:start w:val="2"/>
      <w:numFmt w:val="decimal"/>
      <w:lvlText w:val="%1."/>
      <w:lvlJc w:val="left"/>
      <w:pPr>
        <w:tabs>
          <w:tab w:val="left" w:pos="312"/>
        </w:tabs>
      </w:pPr>
    </w:lvl>
  </w:abstractNum>
  <w:abstractNum w:abstractNumId="4">
    <w:nsid w:val="F947E5C3"/>
    <w:multiLevelType w:val="singleLevel"/>
    <w:tmpl w:val="F947E5C3"/>
    <w:lvl w:ilvl="0" w:tentative="0">
      <w:start w:val="12"/>
      <w:numFmt w:val="decimal"/>
      <w:suff w:val="space"/>
      <w:lvlText w:val="%1."/>
      <w:lvlJc w:val="left"/>
    </w:lvl>
  </w:abstractNum>
  <w:abstractNum w:abstractNumId="5">
    <w:nsid w:val="F9F669E0"/>
    <w:multiLevelType w:val="singleLevel"/>
    <w:tmpl w:val="F9F669E0"/>
    <w:lvl w:ilvl="0" w:tentative="0">
      <w:start w:val="10"/>
      <w:numFmt w:val="decimal"/>
      <w:suff w:val="nothing"/>
      <w:lvlText w:val="（%1）"/>
      <w:lvlJc w:val="left"/>
    </w:lvl>
  </w:abstractNum>
  <w:abstractNum w:abstractNumId="6">
    <w:nsid w:val="06B87583"/>
    <w:multiLevelType w:val="multilevel"/>
    <w:tmpl w:val="06B87583"/>
    <w:lvl w:ilvl="0" w:tentative="0">
      <w:start w:val="1"/>
      <w:numFmt w:val="decimal"/>
      <w:lvlText w:val="(%1)"/>
      <w:lvlJc w:val="left"/>
      <w:pPr>
        <w:tabs>
          <w:tab w:val="left" w:pos="960"/>
        </w:tabs>
        <w:ind w:left="960" w:hanging="480"/>
      </w:pPr>
      <w:rPr>
        <w:rFonts w:hint="eastAsia" w:ascii="宋体" w:hAnsi="宋体" w:eastAsia="宋体" w:cs="Times New Roman"/>
      </w:rPr>
    </w:lvl>
    <w:lvl w:ilvl="1" w:tentative="0">
      <w:start w:val="1"/>
      <w:numFmt w:val="lowerLetter"/>
      <w:lvlText w:val="%2)"/>
      <w:lvlJc w:val="left"/>
      <w:pPr>
        <w:tabs>
          <w:tab w:val="left" w:pos="1320"/>
        </w:tabs>
        <w:ind w:left="1320" w:hanging="420"/>
      </w:pPr>
      <w:rPr>
        <w:rFonts w:hint="default" w:ascii="Times New Roman" w:hAnsi="Times New Roman" w:cs="Times New Roman"/>
      </w:rPr>
    </w:lvl>
    <w:lvl w:ilvl="2" w:tentative="0">
      <w:start w:val="1"/>
      <w:numFmt w:val="lowerRoman"/>
      <w:lvlText w:val="%3."/>
      <w:lvlJc w:val="right"/>
      <w:pPr>
        <w:tabs>
          <w:tab w:val="left" w:pos="1740"/>
        </w:tabs>
        <w:ind w:left="1740" w:hanging="420"/>
      </w:pPr>
      <w:rPr>
        <w:rFonts w:hint="default" w:ascii="Times New Roman" w:hAnsi="Times New Roman" w:cs="Times New Roman"/>
      </w:rPr>
    </w:lvl>
    <w:lvl w:ilvl="3" w:tentative="0">
      <w:start w:val="1"/>
      <w:numFmt w:val="decimal"/>
      <w:lvlText w:val="%4."/>
      <w:lvlJc w:val="left"/>
      <w:pPr>
        <w:tabs>
          <w:tab w:val="left" w:pos="2160"/>
        </w:tabs>
        <w:ind w:left="2160" w:hanging="420"/>
      </w:pPr>
      <w:rPr>
        <w:rFonts w:hint="default" w:ascii="Times New Roman" w:hAnsi="Times New Roman" w:cs="Times New Roman"/>
      </w:rPr>
    </w:lvl>
    <w:lvl w:ilvl="4" w:tentative="0">
      <w:start w:val="1"/>
      <w:numFmt w:val="lowerLetter"/>
      <w:lvlText w:val="%5)"/>
      <w:lvlJc w:val="left"/>
      <w:pPr>
        <w:tabs>
          <w:tab w:val="left" w:pos="2580"/>
        </w:tabs>
        <w:ind w:left="2580" w:hanging="420"/>
      </w:pPr>
      <w:rPr>
        <w:rFonts w:hint="default" w:ascii="Times New Roman" w:hAnsi="Times New Roman" w:cs="Times New Roman"/>
      </w:rPr>
    </w:lvl>
    <w:lvl w:ilvl="5" w:tentative="0">
      <w:start w:val="1"/>
      <w:numFmt w:val="lowerRoman"/>
      <w:lvlText w:val="%6."/>
      <w:lvlJc w:val="right"/>
      <w:pPr>
        <w:tabs>
          <w:tab w:val="left" w:pos="3000"/>
        </w:tabs>
        <w:ind w:left="3000" w:hanging="420"/>
      </w:pPr>
      <w:rPr>
        <w:rFonts w:hint="default" w:ascii="Times New Roman" w:hAnsi="Times New Roman" w:cs="Times New Roman"/>
      </w:rPr>
    </w:lvl>
    <w:lvl w:ilvl="6" w:tentative="0">
      <w:start w:val="1"/>
      <w:numFmt w:val="decimal"/>
      <w:lvlText w:val="%7."/>
      <w:lvlJc w:val="left"/>
      <w:pPr>
        <w:tabs>
          <w:tab w:val="left" w:pos="3420"/>
        </w:tabs>
        <w:ind w:left="3420" w:hanging="420"/>
      </w:pPr>
      <w:rPr>
        <w:rFonts w:hint="default" w:ascii="Times New Roman" w:hAnsi="Times New Roman" w:cs="Times New Roman"/>
      </w:rPr>
    </w:lvl>
    <w:lvl w:ilvl="7" w:tentative="0">
      <w:start w:val="1"/>
      <w:numFmt w:val="lowerLetter"/>
      <w:lvlText w:val="%8)"/>
      <w:lvlJc w:val="left"/>
      <w:pPr>
        <w:tabs>
          <w:tab w:val="left" w:pos="3840"/>
        </w:tabs>
        <w:ind w:left="3840" w:hanging="420"/>
      </w:pPr>
      <w:rPr>
        <w:rFonts w:hint="default" w:ascii="Times New Roman" w:hAnsi="Times New Roman" w:cs="Times New Roman"/>
      </w:rPr>
    </w:lvl>
    <w:lvl w:ilvl="8" w:tentative="0">
      <w:start w:val="1"/>
      <w:numFmt w:val="lowerRoman"/>
      <w:lvlText w:val="%9."/>
      <w:lvlJc w:val="right"/>
      <w:pPr>
        <w:tabs>
          <w:tab w:val="left" w:pos="4260"/>
        </w:tabs>
        <w:ind w:left="4260" w:hanging="420"/>
      </w:pPr>
      <w:rPr>
        <w:rFonts w:hint="default" w:ascii="Times New Roman" w:hAnsi="Times New Roman" w:cs="Times New Roman"/>
      </w:rPr>
    </w:lvl>
  </w:abstractNum>
  <w:abstractNum w:abstractNumId="7">
    <w:nsid w:val="2E9F8E55"/>
    <w:multiLevelType w:val="singleLevel"/>
    <w:tmpl w:val="2E9F8E55"/>
    <w:lvl w:ilvl="0" w:tentative="0">
      <w:start w:val="3"/>
      <w:numFmt w:val="decimal"/>
      <w:suff w:val="nothing"/>
      <w:lvlText w:val="%1、"/>
      <w:lvlJc w:val="left"/>
    </w:lvl>
  </w:abstractNum>
  <w:abstractNum w:abstractNumId="8">
    <w:nsid w:val="3BF841BA"/>
    <w:multiLevelType w:val="singleLevel"/>
    <w:tmpl w:val="3BF841BA"/>
    <w:lvl w:ilvl="0" w:tentative="0">
      <w:start w:val="3"/>
      <w:numFmt w:val="chineseCounting"/>
      <w:suff w:val="nothing"/>
      <w:lvlText w:val="（%1）"/>
      <w:lvlJc w:val="left"/>
      <w:rPr>
        <w:rFonts w:hint="eastAsia"/>
      </w:rPr>
    </w:lvl>
  </w:abstractNum>
  <w:abstractNum w:abstractNumId="9">
    <w:nsid w:val="55991972"/>
    <w:multiLevelType w:val="singleLevel"/>
    <w:tmpl w:val="55991972"/>
    <w:lvl w:ilvl="0" w:tentative="0">
      <w:start w:val="1"/>
      <w:numFmt w:val="decimal"/>
      <w:suff w:val="nothing"/>
      <w:lvlText w:val="%1、"/>
      <w:lvlJc w:val="left"/>
    </w:lvl>
  </w:abstractNum>
  <w:abstractNum w:abstractNumId="10">
    <w:nsid w:val="7AE69B4B"/>
    <w:multiLevelType w:val="singleLevel"/>
    <w:tmpl w:val="7AE69B4B"/>
    <w:lvl w:ilvl="0" w:tentative="0">
      <w:start w:val="2"/>
      <w:numFmt w:val="decimal"/>
      <w:suff w:val="nothing"/>
      <w:lvlText w:val="%1）"/>
      <w:lvlJc w:val="left"/>
    </w:lvl>
  </w:abstractNum>
  <w:num w:numId="1">
    <w:abstractNumId w:val="1"/>
  </w:num>
  <w:num w:numId="2">
    <w:abstractNumId w:val="3"/>
  </w:num>
  <w:num w:numId="3">
    <w:abstractNumId w:val="7"/>
  </w:num>
  <w:num w:numId="4">
    <w:abstractNumId w:val="0"/>
  </w:num>
  <w:num w:numId="5">
    <w:abstractNumId w:val="4"/>
  </w:num>
  <w:num w:numId="6">
    <w:abstractNumId w:val="10"/>
  </w:num>
  <w:num w:numId="7">
    <w:abstractNumId w:val="2"/>
  </w:num>
  <w:num w:numId="8">
    <w:abstractNumId w:val="8"/>
  </w:num>
  <w:num w:numId="9">
    <w:abstractNumId w:val="5"/>
  </w:num>
  <w:num w:numId="10">
    <w:abstractNumId w:val="6"/>
    <w:lvlOverride w:ilvl="0">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val="0"/>
  <w:bordersDoNotSurroundFooter w:val="0"/>
  <w:hideSpellingErrors/>
  <w:documentProtection w:enforcement="0"/>
  <w:defaultTabStop w:val="425"/>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66"/>
    <w:rsid w:val="0000138C"/>
    <w:rsid w:val="0000305A"/>
    <w:rsid w:val="0001007C"/>
    <w:rsid w:val="00012100"/>
    <w:rsid w:val="0001231A"/>
    <w:rsid w:val="00025446"/>
    <w:rsid w:val="000309A7"/>
    <w:rsid w:val="00031074"/>
    <w:rsid w:val="00032C30"/>
    <w:rsid w:val="00034087"/>
    <w:rsid w:val="00037D9A"/>
    <w:rsid w:val="00057B3D"/>
    <w:rsid w:val="00065A43"/>
    <w:rsid w:val="00082632"/>
    <w:rsid w:val="000878D5"/>
    <w:rsid w:val="00096087"/>
    <w:rsid w:val="00096C14"/>
    <w:rsid w:val="000A0D48"/>
    <w:rsid w:val="000A0EF3"/>
    <w:rsid w:val="000A3189"/>
    <w:rsid w:val="000A7563"/>
    <w:rsid w:val="000A7AF5"/>
    <w:rsid w:val="000B0269"/>
    <w:rsid w:val="000C3431"/>
    <w:rsid w:val="000C4E5F"/>
    <w:rsid w:val="000D0568"/>
    <w:rsid w:val="000D0795"/>
    <w:rsid w:val="000D4012"/>
    <w:rsid w:val="000D687C"/>
    <w:rsid w:val="000D7979"/>
    <w:rsid w:val="000E02F0"/>
    <w:rsid w:val="000E15BB"/>
    <w:rsid w:val="00107758"/>
    <w:rsid w:val="001106BF"/>
    <w:rsid w:val="00112591"/>
    <w:rsid w:val="001178F9"/>
    <w:rsid w:val="00120223"/>
    <w:rsid w:val="00124C57"/>
    <w:rsid w:val="00126163"/>
    <w:rsid w:val="001272DF"/>
    <w:rsid w:val="00127A6A"/>
    <w:rsid w:val="00127F58"/>
    <w:rsid w:val="00131E78"/>
    <w:rsid w:val="00142466"/>
    <w:rsid w:val="001424B4"/>
    <w:rsid w:val="00147499"/>
    <w:rsid w:val="0015025E"/>
    <w:rsid w:val="00170FEA"/>
    <w:rsid w:val="00172A27"/>
    <w:rsid w:val="00177B8D"/>
    <w:rsid w:val="00181E6A"/>
    <w:rsid w:val="001940AB"/>
    <w:rsid w:val="001A451A"/>
    <w:rsid w:val="001A707D"/>
    <w:rsid w:val="001B3D91"/>
    <w:rsid w:val="001B5C73"/>
    <w:rsid w:val="001C0985"/>
    <w:rsid w:val="001C484D"/>
    <w:rsid w:val="001C4CB9"/>
    <w:rsid w:val="001D3405"/>
    <w:rsid w:val="001D5B5D"/>
    <w:rsid w:val="001E1FFF"/>
    <w:rsid w:val="001E2FB4"/>
    <w:rsid w:val="001F39AF"/>
    <w:rsid w:val="001F4E74"/>
    <w:rsid w:val="001F77B3"/>
    <w:rsid w:val="002015E3"/>
    <w:rsid w:val="00201F16"/>
    <w:rsid w:val="00202F3F"/>
    <w:rsid w:val="00214851"/>
    <w:rsid w:val="00216FBB"/>
    <w:rsid w:val="00223A8B"/>
    <w:rsid w:val="002245D0"/>
    <w:rsid w:val="00230ADC"/>
    <w:rsid w:val="00231217"/>
    <w:rsid w:val="00233648"/>
    <w:rsid w:val="00233B0B"/>
    <w:rsid w:val="00233BDF"/>
    <w:rsid w:val="00241AB0"/>
    <w:rsid w:val="00244877"/>
    <w:rsid w:val="002448E0"/>
    <w:rsid w:val="00245E32"/>
    <w:rsid w:val="00261316"/>
    <w:rsid w:val="00280D65"/>
    <w:rsid w:val="00281B4C"/>
    <w:rsid w:val="00283F3D"/>
    <w:rsid w:val="00285AB0"/>
    <w:rsid w:val="002907C0"/>
    <w:rsid w:val="00292FDD"/>
    <w:rsid w:val="00296FE7"/>
    <w:rsid w:val="002A0357"/>
    <w:rsid w:val="002A2BAC"/>
    <w:rsid w:val="002A32DF"/>
    <w:rsid w:val="002B012B"/>
    <w:rsid w:val="002B31EF"/>
    <w:rsid w:val="002B4CCA"/>
    <w:rsid w:val="002C0099"/>
    <w:rsid w:val="002C410C"/>
    <w:rsid w:val="002C7AED"/>
    <w:rsid w:val="002D0A44"/>
    <w:rsid w:val="002D3435"/>
    <w:rsid w:val="002D37FD"/>
    <w:rsid w:val="002D7ED5"/>
    <w:rsid w:val="002E48F6"/>
    <w:rsid w:val="002F1B9E"/>
    <w:rsid w:val="002F2864"/>
    <w:rsid w:val="002F5AF0"/>
    <w:rsid w:val="002F5B4F"/>
    <w:rsid w:val="002F6074"/>
    <w:rsid w:val="00301BA3"/>
    <w:rsid w:val="00302C04"/>
    <w:rsid w:val="003122A4"/>
    <w:rsid w:val="00312E41"/>
    <w:rsid w:val="0031530B"/>
    <w:rsid w:val="0032262E"/>
    <w:rsid w:val="003256EA"/>
    <w:rsid w:val="00327EF5"/>
    <w:rsid w:val="003323A2"/>
    <w:rsid w:val="00336B4D"/>
    <w:rsid w:val="00343E32"/>
    <w:rsid w:val="00357EEE"/>
    <w:rsid w:val="00360663"/>
    <w:rsid w:val="00361EC8"/>
    <w:rsid w:val="0036351C"/>
    <w:rsid w:val="00366B93"/>
    <w:rsid w:val="00384E8E"/>
    <w:rsid w:val="00384F78"/>
    <w:rsid w:val="00386ECF"/>
    <w:rsid w:val="00387289"/>
    <w:rsid w:val="003906FA"/>
    <w:rsid w:val="00390A0E"/>
    <w:rsid w:val="0039139C"/>
    <w:rsid w:val="003B0263"/>
    <w:rsid w:val="003B2D22"/>
    <w:rsid w:val="003B2D6E"/>
    <w:rsid w:val="003B7507"/>
    <w:rsid w:val="003C1576"/>
    <w:rsid w:val="003C19A6"/>
    <w:rsid w:val="003C6037"/>
    <w:rsid w:val="003D4DD9"/>
    <w:rsid w:val="003D5E21"/>
    <w:rsid w:val="003D67A1"/>
    <w:rsid w:val="003E1E0E"/>
    <w:rsid w:val="003E6A27"/>
    <w:rsid w:val="003E7242"/>
    <w:rsid w:val="003E7BE8"/>
    <w:rsid w:val="003F4074"/>
    <w:rsid w:val="00402E1D"/>
    <w:rsid w:val="00402FB1"/>
    <w:rsid w:val="00414A70"/>
    <w:rsid w:val="004152BD"/>
    <w:rsid w:val="0041731C"/>
    <w:rsid w:val="0041782D"/>
    <w:rsid w:val="00422581"/>
    <w:rsid w:val="00423443"/>
    <w:rsid w:val="0042511A"/>
    <w:rsid w:val="00433389"/>
    <w:rsid w:val="00436A0E"/>
    <w:rsid w:val="0044233E"/>
    <w:rsid w:val="00445C3F"/>
    <w:rsid w:val="00450394"/>
    <w:rsid w:val="00454393"/>
    <w:rsid w:val="004615BD"/>
    <w:rsid w:val="00461888"/>
    <w:rsid w:val="00462456"/>
    <w:rsid w:val="00474D2B"/>
    <w:rsid w:val="00475D4C"/>
    <w:rsid w:val="00476EA1"/>
    <w:rsid w:val="0048407D"/>
    <w:rsid w:val="004912D3"/>
    <w:rsid w:val="004B4543"/>
    <w:rsid w:val="004C2E19"/>
    <w:rsid w:val="004C5EA4"/>
    <w:rsid w:val="004E2DA7"/>
    <w:rsid w:val="004E36BC"/>
    <w:rsid w:val="004F2A18"/>
    <w:rsid w:val="004F7B40"/>
    <w:rsid w:val="005007E6"/>
    <w:rsid w:val="0050086F"/>
    <w:rsid w:val="00501EE6"/>
    <w:rsid w:val="00502762"/>
    <w:rsid w:val="00506D54"/>
    <w:rsid w:val="00511AF8"/>
    <w:rsid w:val="00514EC1"/>
    <w:rsid w:val="00521C86"/>
    <w:rsid w:val="00522A7C"/>
    <w:rsid w:val="005236ED"/>
    <w:rsid w:val="005257D1"/>
    <w:rsid w:val="00527123"/>
    <w:rsid w:val="00530E16"/>
    <w:rsid w:val="00532DCE"/>
    <w:rsid w:val="005351AD"/>
    <w:rsid w:val="00536D71"/>
    <w:rsid w:val="0054169F"/>
    <w:rsid w:val="00541726"/>
    <w:rsid w:val="00554E26"/>
    <w:rsid w:val="00557A86"/>
    <w:rsid w:val="005607CC"/>
    <w:rsid w:val="00564603"/>
    <w:rsid w:val="0056545D"/>
    <w:rsid w:val="005668F7"/>
    <w:rsid w:val="0057337C"/>
    <w:rsid w:val="00573F83"/>
    <w:rsid w:val="00585B39"/>
    <w:rsid w:val="0059082C"/>
    <w:rsid w:val="005953B9"/>
    <w:rsid w:val="005969CF"/>
    <w:rsid w:val="005A73E3"/>
    <w:rsid w:val="005A7815"/>
    <w:rsid w:val="005C0A73"/>
    <w:rsid w:val="005C4B10"/>
    <w:rsid w:val="005C7B5D"/>
    <w:rsid w:val="005D0A2D"/>
    <w:rsid w:val="005E1C54"/>
    <w:rsid w:val="005E7FB9"/>
    <w:rsid w:val="005F14E9"/>
    <w:rsid w:val="005F581E"/>
    <w:rsid w:val="005F678B"/>
    <w:rsid w:val="00600080"/>
    <w:rsid w:val="00600966"/>
    <w:rsid w:val="0060122F"/>
    <w:rsid w:val="00604447"/>
    <w:rsid w:val="00604F30"/>
    <w:rsid w:val="00610661"/>
    <w:rsid w:val="0062000B"/>
    <w:rsid w:val="0062122D"/>
    <w:rsid w:val="00621306"/>
    <w:rsid w:val="00624AB7"/>
    <w:rsid w:val="0062604B"/>
    <w:rsid w:val="006307B2"/>
    <w:rsid w:val="0063231F"/>
    <w:rsid w:val="006332E5"/>
    <w:rsid w:val="00633E5D"/>
    <w:rsid w:val="00646480"/>
    <w:rsid w:val="0065023F"/>
    <w:rsid w:val="0065093A"/>
    <w:rsid w:val="006535D2"/>
    <w:rsid w:val="00655020"/>
    <w:rsid w:val="00663429"/>
    <w:rsid w:val="00671253"/>
    <w:rsid w:val="00671585"/>
    <w:rsid w:val="00672F9A"/>
    <w:rsid w:val="006766D8"/>
    <w:rsid w:val="0069530F"/>
    <w:rsid w:val="006954F8"/>
    <w:rsid w:val="0069731D"/>
    <w:rsid w:val="0069737C"/>
    <w:rsid w:val="006A02CE"/>
    <w:rsid w:val="006A237C"/>
    <w:rsid w:val="006B1A2C"/>
    <w:rsid w:val="006B2368"/>
    <w:rsid w:val="006B4464"/>
    <w:rsid w:val="006B7C04"/>
    <w:rsid w:val="006C4A85"/>
    <w:rsid w:val="006D6C4F"/>
    <w:rsid w:val="006D76EA"/>
    <w:rsid w:val="006E5AF8"/>
    <w:rsid w:val="006E5F0A"/>
    <w:rsid w:val="006E6CB7"/>
    <w:rsid w:val="006F330C"/>
    <w:rsid w:val="006F5997"/>
    <w:rsid w:val="00700A8C"/>
    <w:rsid w:val="007014D3"/>
    <w:rsid w:val="00704E8E"/>
    <w:rsid w:val="00706BB8"/>
    <w:rsid w:val="0071091E"/>
    <w:rsid w:val="00710D2D"/>
    <w:rsid w:val="00713A9B"/>
    <w:rsid w:val="00714392"/>
    <w:rsid w:val="00716506"/>
    <w:rsid w:val="00717EE0"/>
    <w:rsid w:val="0072194B"/>
    <w:rsid w:val="00722C26"/>
    <w:rsid w:val="007278B7"/>
    <w:rsid w:val="00731F2D"/>
    <w:rsid w:val="00733DE7"/>
    <w:rsid w:val="00734C8D"/>
    <w:rsid w:val="007371AE"/>
    <w:rsid w:val="007408A4"/>
    <w:rsid w:val="00757692"/>
    <w:rsid w:val="00757873"/>
    <w:rsid w:val="00761220"/>
    <w:rsid w:val="0076249E"/>
    <w:rsid w:val="00764FF6"/>
    <w:rsid w:val="0077538A"/>
    <w:rsid w:val="00776706"/>
    <w:rsid w:val="00777436"/>
    <w:rsid w:val="007846DB"/>
    <w:rsid w:val="00790072"/>
    <w:rsid w:val="00792FB9"/>
    <w:rsid w:val="00796636"/>
    <w:rsid w:val="00797387"/>
    <w:rsid w:val="007A1301"/>
    <w:rsid w:val="007A1A41"/>
    <w:rsid w:val="007B07F9"/>
    <w:rsid w:val="007B311F"/>
    <w:rsid w:val="007B4056"/>
    <w:rsid w:val="007B5D55"/>
    <w:rsid w:val="007B70A4"/>
    <w:rsid w:val="007C17DD"/>
    <w:rsid w:val="007E00A3"/>
    <w:rsid w:val="007E1554"/>
    <w:rsid w:val="007F66C2"/>
    <w:rsid w:val="007F7DCB"/>
    <w:rsid w:val="0080600F"/>
    <w:rsid w:val="00814F18"/>
    <w:rsid w:val="0081523E"/>
    <w:rsid w:val="00824C7F"/>
    <w:rsid w:val="008307CD"/>
    <w:rsid w:val="0083230D"/>
    <w:rsid w:val="00834992"/>
    <w:rsid w:val="00836B5E"/>
    <w:rsid w:val="00841C4A"/>
    <w:rsid w:val="00844090"/>
    <w:rsid w:val="00844CC1"/>
    <w:rsid w:val="0084657C"/>
    <w:rsid w:val="00852A96"/>
    <w:rsid w:val="00854C06"/>
    <w:rsid w:val="00864B41"/>
    <w:rsid w:val="00880178"/>
    <w:rsid w:val="00882491"/>
    <w:rsid w:val="00882ED0"/>
    <w:rsid w:val="00890576"/>
    <w:rsid w:val="008A3696"/>
    <w:rsid w:val="008A3A9B"/>
    <w:rsid w:val="008B29D2"/>
    <w:rsid w:val="008D2FDA"/>
    <w:rsid w:val="008D5873"/>
    <w:rsid w:val="008D7247"/>
    <w:rsid w:val="008E0377"/>
    <w:rsid w:val="008F0FB6"/>
    <w:rsid w:val="008F2894"/>
    <w:rsid w:val="008F70F9"/>
    <w:rsid w:val="008F7B00"/>
    <w:rsid w:val="00900997"/>
    <w:rsid w:val="00903402"/>
    <w:rsid w:val="009042C6"/>
    <w:rsid w:val="009072D5"/>
    <w:rsid w:val="00910B49"/>
    <w:rsid w:val="00924835"/>
    <w:rsid w:val="00925520"/>
    <w:rsid w:val="00927B69"/>
    <w:rsid w:val="00934CA8"/>
    <w:rsid w:val="0095726C"/>
    <w:rsid w:val="00957DD4"/>
    <w:rsid w:val="00960CB3"/>
    <w:rsid w:val="009702EF"/>
    <w:rsid w:val="00970EF4"/>
    <w:rsid w:val="009718FF"/>
    <w:rsid w:val="00973972"/>
    <w:rsid w:val="009808F1"/>
    <w:rsid w:val="00987712"/>
    <w:rsid w:val="00987A98"/>
    <w:rsid w:val="009960A5"/>
    <w:rsid w:val="009963AE"/>
    <w:rsid w:val="0099746A"/>
    <w:rsid w:val="009A4226"/>
    <w:rsid w:val="009A7CF6"/>
    <w:rsid w:val="009A7E09"/>
    <w:rsid w:val="009D20DE"/>
    <w:rsid w:val="009D21F0"/>
    <w:rsid w:val="009D6045"/>
    <w:rsid w:val="009D615A"/>
    <w:rsid w:val="009E2AB2"/>
    <w:rsid w:val="009E5BE0"/>
    <w:rsid w:val="009E75DB"/>
    <w:rsid w:val="009F4920"/>
    <w:rsid w:val="009F6792"/>
    <w:rsid w:val="009F697F"/>
    <w:rsid w:val="00A0041B"/>
    <w:rsid w:val="00A012A3"/>
    <w:rsid w:val="00A03E71"/>
    <w:rsid w:val="00A062D3"/>
    <w:rsid w:val="00A06E74"/>
    <w:rsid w:val="00A10875"/>
    <w:rsid w:val="00A11BDC"/>
    <w:rsid w:val="00A24D37"/>
    <w:rsid w:val="00A30579"/>
    <w:rsid w:val="00A33128"/>
    <w:rsid w:val="00A436F0"/>
    <w:rsid w:val="00A4705B"/>
    <w:rsid w:val="00A54923"/>
    <w:rsid w:val="00A55AD1"/>
    <w:rsid w:val="00A57912"/>
    <w:rsid w:val="00A81763"/>
    <w:rsid w:val="00A84D43"/>
    <w:rsid w:val="00A86693"/>
    <w:rsid w:val="00A90102"/>
    <w:rsid w:val="00A9674B"/>
    <w:rsid w:val="00A96BB3"/>
    <w:rsid w:val="00AA5991"/>
    <w:rsid w:val="00AB3E89"/>
    <w:rsid w:val="00AB4C93"/>
    <w:rsid w:val="00AB7F63"/>
    <w:rsid w:val="00AC7526"/>
    <w:rsid w:val="00AD0A26"/>
    <w:rsid w:val="00AD2F09"/>
    <w:rsid w:val="00AE6E83"/>
    <w:rsid w:val="00AF0D06"/>
    <w:rsid w:val="00AF47DF"/>
    <w:rsid w:val="00B0078D"/>
    <w:rsid w:val="00B009B3"/>
    <w:rsid w:val="00B012E0"/>
    <w:rsid w:val="00B074AB"/>
    <w:rsid w:val="00B111A8"/>
    <w:rsid w:val="00B13550"/>
    <w:rsid w:val="00B24D21"/>
    <w:rsid w:val="00B25281"/>
    <w:rsid w:val="00B2705B"/>
    <w:rsid w:val="00B27182"/>
    <w:rsid w:val="00B278F6"/>
    <w:rsid w:val="00B27B68"/>
    <w:rsid w:val="00B307E6"/>
    <w:rsid w:val="00B3110D"/>
    <w:rsid w:val="00B356E2"/>
    <w:rsid w:val="00B409DE"/>
    <w:rsid w:val="00B44779"/>
    <w:rsid w:val="00B50BC3"/>
    <w:rsid w:val="00B514FA"/>
    <w:rsid w:val="00B51D1B"/>
    <w:rsid w:val="00B5297E"/>
    <w:rsid w:val="00B6045E"/>
    <w:rsid w:val="00B64490"/>
    <w:rsid w:val="00B77936"/>
    <w:rsid w:val="00B82AFC"/>
    <w:rsid w:val="00B85185"/>
    <w:rsid w:val="00B977B5"/>
    <w:rsid w:val="00BA16D7"/>
    <w:rsid w:val="00BA552D"/>
    <w:rsid w:val="00BB557D"/>
    <w:rsid w:val="00BD17A7"/>
    <w:rsid w:val="00BD2592"/>
    <w:rsid w:val="00BD7108"/>
    <w:rsid w:val="00BE6473"/>
    <w:rsid w:val="00BF4E31"/>
    <w:rsid w:val="00C00A8C"/>
    <w:rsid w:val="00C03471"/>
    <w:rsid w:val="00C03E68"/>
    <w:rsid w:val="00C03EAE"/>
    <w:rsid w:val="00C06A63"/>
    <w:rsid w:val="00C121F2"/>
    <w:rsid w:val="00C14132"/>
    <w:rsid w:val="00C14CB4"/>
    <w:rsid w:val="00C15F5B"/>
    <w:rsid w:val="00C1771F"/>
    <w:rsid w:val="00C2023B"/>
    <w:rsid w:val="00C203F5"/>
    <w:rsid w:val="00C25C88"/>
    <w:rsid w:val="00C27E9F"/>
    <w:rsid w:val="00C371F3"/>
    <w:rsid w:val="00C4104D"/>
    <w:rsid w:val="00C41A7B"/>
    <w:rsid w:val="00C42ADE"/>
    <w:rsid w:val="00C44CBE"/>
    <w:rsid w:val="00C54052"/>
    <w:rsid w:val="00C60C09"/>
    <w:rsid w:val="00C6426A"/>
    <w:rsid w:val="00C64EC2"/>
    <w:rsid w:val="00C66D50"/>
    <w:rsid w:val="00C7166B"/>
    <w:rsid w:val="00C744B7"/>
    <w:rsid w:val="00C81CF2"/>
    <w:rsid w:val="00C8256F"/>
    <w:rsid w:val="00C91B45"/>
    <w:rsid w:val="00C92AE7"/>
    <w:rsid w:val="00C93D71"/>
    <w:rsid w:val="00C9429A"/>
    <w:rsid w:val="00CA00CC"/>
    <w:rsid w:val="00CA1AC0"/>
    <w:rsid w:val="00CA7677"/>
    <w:rsid w:val="00CB0D64"/>
    <w:rsid w:val="00CB31D1"/>
    <w:rsid w:val="00CB4F77"/>
    <w:rsid w:val="00CC1AEB"/>
    <w:rsid w:val="00CC1BA2"/>
    <w:rsid w:val="00CC2F6A"/>
    <w:rsid w:val="00CC5373"/>
    <w:rsid w:val="00CC63DC"/>
    <w:rsid w:val="00CC6E37"/>
    <w:rsid w:val="00CD3A89"/>
    <w:rsid w:val="00CE492D"/>
    <w:rsid w:val="00CE5EBD"/>
    <w:rsid w:val="00CF01E2"/>
    <w:rsid w:val="00D00459"/>
    <w:rsid w:val="00D21584"/>
    <w:rsid w:val="00D24A9E"/>
    <w:rsid w:val="00D36A1A"/>
    <w:rsid w:val="00D42DCD"/>
    <w:rsid w:val="00D44EE3"/>
    <w:rsid w:val="00D462FE"/>
    <w:rsid w:val="00D47314"/>
    <w:rsid w:val="00D53734"/>
    <w:rsid w:val="00D573B1"/>
    <w:rsid w:val="00D57A99"/>
    <w:rsid w:val="00D62272"/>
    <w:rsid w:val="00D63BDD"/>
    <w:rsid w:val="00D64786"/>
    <w:rsid w:val="00D70763"/>
    <w:rsid w:val="00D737D6"/>
    <w:rsid w:val="00D758E3"/>
    <w:rsid w:val="00D8212C"/>
    <w:rsid w:val="00D844D8"/>
    <w:rsid w:val="00D8540D"/>
    <w:rsid w:val="00D90E85"/>
    <w:rsid w:val="00D94B42"/>
    <w:rsid w:val="00DA2D75"/>
    <w:rsid w:val="00DB1AD2"/>
    <w:rsid w:val="00DB4E6B"/>
    <w:rsid w:val="00DC6D46"/>
    <w:rsid w:val="00DD5680"/>
    <w:rsid w:val="00DF264E"/>
    <w:rsid w:val="00DF2EF7"/>
    <w:rsid w:val="00E01C07"/>
    <w:rsid w:val="00E051F2"/>
    <w:rsid w:val="00E06692"/>
    <w:rsid w:val="00E0733B"/>
    <w:rsid w:val="00E11679"/>
    <w:rsid w:val="00E23D76"/>
    <w:rsid w:val="00E24230"/>
    <w:rsid w:val="00E24F95"/>
    <w:rsid w:val="00E251ED"/>
    <w:rsid w:val="00E313DF"/>
    <w:rsid w:val="00E45A1E"/>
    <w:rsid w:val="00E575EF"/>
    <w:rsid w:val="00E604BE"/>
    <w:rsid w:val="00E65139"/>
    <w:rsid w:val="00E65E75"/>
    <w:rsid w:val="00E679C6"/>
    <w:rsid w:val="00E72F84"/>
    <w:rsid w:val="00E731A5"/>
    <w:rsid w:val="00E74688"/>
    <w:rsid w:val="00E7573A"/>
    <w:rsid w:val="00E87E99"/>
    <w:rsid w:val="00E9097A"/>
    <w:rsid w:val="00E91170"/>
    <w:rsid w:val="00E915B4"/>
    <w:rsid w:val="00E91C27"/>
    <w:rsid w:val="00E950FA"/>
    <w:rsid w:val="00E964AC"/>
    <w:rsid w:val="00EA5985"/>
    <w:rsid w:val="00EA76E7"/>
    <w:rsid w:val="00EB2729"/>
    <w:rsid w:val="00EB4DE3"/>
    <w:rsid w:val="00ED0488"/>
    <w:rsid w:val="00ED189F"/>
    <w:rsid w:val="00ED3321"/>
    <w:rsid w:val="00ED3398"/>
    <w:rsid w:val="00ED418C"/>
    <w:rsid w:val="00ED5709"/>
    <w:rsid w:val="00EE6B80"/>
    <w:rsid w:val="00EF0421"/>
    <w:rsid w:val="00EF0FAD"/>
    <w:rsid w:val="00F109ED"/>
    <w:rsid w:val="00F21E54"/>
    <w:rsid w:val="00F23E45"/>
    <w:rsid w:val="00F242AD"/>
    <w:rsid w:val="00F27271"/>
    <w:rsid w:val="00F32F7D"/>
    <w:rsid w:val="00F40724"/>
    <w:rsid w:val="00F4389E"/>
    <w:rsid w:val="00F47B5E"/>
    <w:rsid w:val="00F56BE1"/>
    <w:rsid w:val="00F57BB0"/>
    <w:rsid w:val="00F61027"/>
    <w:rsid w:val="00F67CC3"/>
    <w:rsid w:val="00F73099"/>
    <w:rsid w:val="00F734D8"/>
    <w:rsid w:val="00F82924"/>
    <w:rsid w:val="00F85223"/>
    <w:rsid w:val="00F939E5"/>
    <w:rsid w:val="00F95F24"/>
    <w:rsid w:val="00F9714A"/>
    <w:rsid w:val="00FB00EE"/>
    <w:rsid w:val="00FB32F8"/>
    <w:rsid w:val="00FB54F0"/>
    <w:rsid w:val="00FC0AB4"/>
    <w:rsid w:val="00FC6867"/>
    <w:rsid w:val="00FD6B92"/>
    <w:rsid w:val="00FE38A0"/>
    <w:rsid w:val="00FE57E5"/>
    <w:rsid w:val="00FE702F"/>
    <w:rsid w:val="00FE7703"/>
    <w:rsid w:val="00FF452E"/>
    <w:rsid w:val="00FF6995"/>
    <w:rsid w:val="02036753"/>
    <w:rsid w:val="022A4634"/>
    <w:rsid w:val="025B3ADF"/>
    <w:rsid w:val="026967EA"/>
    <w:rsid w:val="02923C5C"/>
    <w:rsid w:val="02B117CC"/>
    <w:rsid w:val="02EC0CC1"/>
    <w:rsid w:val="02F30892"/>
    <w:rsid w:val="02F90D9B"/>
    <w:rsid w:val="030C6B81"/>
    <w:rsid w:val="03180E67"/>
    <w:rsid w:val="035B1083"/>
    <w:rsid w:val="03802167"/>
    <w:rsid w:val="03A01750"/>
    <w:rsid w:val="03F77335"/>
    <w:rsid w:val="04111EDA"/>
    <w:rsid w:val="04183D60"/>
    <w:rsid w:val="047027DC"/>
    <w:rsid w:val="04965DF3"/>
    <w:rsid w:val="04BC2F8D"/>
    <w:rsid w:val="04EA1CDF"/>
    <w:rsid w:val="04FF5C1E"/>
    <w:rsid w:val="050F0FA1"/>
    <w:rsid w:val="05286DB6"/>
    <w:rsid w:val="053473C7"/>
    <w:rsid w:val="05397582"/>
    <w:rsid w:val="05840D0A"/>
    <w:rsid w:val="05CC5E9C"/>
    <w:rsid w:val="063C7E51"/>
    <w:rsid w:val="067C3E4D"/>
    <w:rsid w:val="06E17A36"/>
    <w:rsid w:val="071849BF"/>
    <w:rsid w:val="0731009C"/>
    <w:rsid w:val="07375B69"/>
    <w:rsid w:val="074054E9"/>
    <w:rsid w:val="0745685B"/>
    <w:rsid w:val="07CA3048"/>
    <w:rsid w:val="07D23A6E"/>
    <w:rsid w:val="07F93B59"/>
    <w:rsid w:val="082275E7"/>
    <w:rsid w:val="0847518E"/>
    <w:rsid w:val="089D5B9E"/>
    <w:rsid w:val="08DA324F"/>
    <w:rsid w:val="090916F7"/>
    <w:rsid w:val="091D4BF8"/>
    <w:rsid w:val="096B3D7D"/>
    <w:rsid w:val="096B51CD"/>
    <w:rsid w:val="09804B6A"/>
    <w:rsid w:val="09E57B76"/>
    <w:rsid w:val="0A3305FE"/>
    <w:rsid w:val="0A3F4D9D"/>
    <w:rsid w:val="0AF241F0"/>
    <w:rsid w:val="0AF96B9C"/>
    <w:rsid w:val="0B802207"/>
    <w:rsid w:val="0BA0284B"/>
    <w:rsid w:val="0C1C4E75"/>
    <w:rsid w:val="0C2A080C"/>
    <w:rsid w:val="0C6D4A91"/>
    <w:rsid w:val="0CB51416"/>
    <w:rsid w:val="0D1C6622"/>
    <w:rsid w:val="0D4B3FA8"/>
    <w:rsid w:val="0D654DCC"/>
    <w:rsid w:val="0D9B0D11"/>
    <w:rsid w:val="0DB96D56"/>
    <w:rsid w:val="0E1727A0"/>
    <w:rsid w:val="0E716256"/>
    <w:rsid w:val="0E9223C1"/>
    <w:rsid w:val="0E9413FD"/>
    <w:rsid w:val="0E9F32E0"/>
    <w:rsid w:val="0EAD49D9"/>
    <w:rsid w:val="0EBD2BF8"/>
    <w:rsid w:val="0EC7685C"/>
    <w:rsid w:val="0FEF4D31"/>
    <w:rsid w:val="1044737B"/>
    <w:rsid w:val="10567D7D"/>
    <w:rsid w:val="10914AE3"/>
    <w:rsid w:val="10923305"/>
    <w:rsid w:val="109D20AB"/>
    <w:rsid w:val="10D873D9"/>
    <w:rsid w:val="118646F7"/>
    <w:rsid w:val="119174FD"/>
    <w:rsid w:val="11ED4346"/>
    <w:rsid w:val="126664C0"/>
    <w:rsid w:val="126F689E"/>
    <w:rsid w:val="12781EDA"/>
    <w:rsid w:val="12AF39B7"/>
    <w:rsid w:val="12CF2744"/>
    <w:rsid w:val="12D42A33"/>
    <w:rsid w:val="130B7EF3"/>
    <w:rsid w:val="13133E6C"/>
    <w:rsid w:val="131D043D"/>
    <w:rsid w:val="13DF25CF"/>
    <w:rsid w:val="145676C1"/>
    <w:rsid w:val="14CD504D"/>
    <w:rsid w:val="15090001"/>
    <w:rsid w:val="150A7F82"/>
    <w:rsid w:val="156D358C"/>
    <w:rsid w:val="157315E9"/>
    <w:rsid w:val="15AF1E0A"/>
    <w:rsid w:val="1600748C"/>
    <w:rsid w:val="16384AF4"/>
    <w:rsid w:val="167F22E3"/>
    <w:rsid w:val="16C317C6"/>
    <w:rsid w:val="16D41CC6"/>
    <w:rsid w:val="16DC0091"/>
    <w:rsid w:val="16FA60FE"/>
    <w:rsid w:val="175D75BC"/>
    <w:rsid w:val="175E67E7"/>
    <w:rsid w:val="177D162C"/>
    <w:rsid w:val="178426A9"/>
    <w:rsid w:val="17CB6A90"/>
    <w:rsid w:val="17E22F59"/>
    <w:rsid w:val="17F93B07"/>
    <w:rsid w:val="180724BF"/>
    <w:rsid w:val="182D6765"/>
    <w:rsid w:val="184F637A"/>
    <w:rsid w:val="189E12C1"/>
    <w:rsid w:val="18E23A86"/>
    <w:rsid w:val="18FA3A05"/>
    <w:rsid w:val="192A71FD"/>
    <w:rsid w:val="19370DC3"/>
    <w:rsid w:val="194D0606"/>
    <w:rsid w:val="19723AD2"/>
    <w:rsid w:val="19A07CF3"/>
    <w:rsid w:val="19BE00DF"/>
    <w:rsid w:val="19E75F60"/>
    <w:rsid w:val="19F0574A"/>
    <w:rsid w:val="1A0E57DA"/>
    <w:rsid w:val="1A8600AC"/>
    <w:rsid w:val="1A88555C"/>
    <w:rsid w:val="1B0C72E3"/>
    <w:rsid w:val="1B2256D1"/>
    <w:rsid w:val="1B35707A"/>
    <w:rsid w:val="1B5068F5"/>
    <w:rsid w:val="1B707D82"/>
    <w:rsid w:val="1B785207"/>
    <w:rsid w:val="1BF76E17"/>
    <w:rsid w:val="1C002EC8"/>
    <w:rsid w:val="1C644DD5"/>
    <w:rsid w:val="1C703563"/>
    <w:rsid w:val="1C8177F1"/>
    <w:rsid w:val="1CCC7689"/>
    <w:rsid w:val="1D116067"/>
    <w:rsid w:val="1D1B2CDF"/>
    <w:rsid w:val="1D265C63"/>
    <w:rsid w:val="1D973E99"/>
    <w:rsid w:val="1DE9125C"/>
    <w:rsid w:val="1DEF35C1"/>
    <w:rsid w:val="1E201AB7"/>
    <w:rsid w:val="1E396BF8"/>
    <w:rsid w:val="1E546509"/>
    <w:rsid w:val="1E7A4179"/>
    <w:rsid w:val="1E826BDF"/>
    <w:rsid w:val="1EBE7646"/>
    <w:rsid w:val="1F433B4F"/>
    <w:rsid w:val="1F676133"/>
    <w:rsid w:val="1F72458A"/>
    <w:rsid w:val="1FEF5F5B"/>
    <w:rsid w:val="1FFD14E2"/>
    <w:rsid w:val="200546F3"/>
    <w:rsid w:val="203664A1"/>
    <w:rsid w:val="20421198"/>
    <w:rsid w:val="20526EC5"/>
    <w:rsid w:val="2061774B"/>
    <w:rsid w:val="208B287D"/>
    <w:rsid w:val="20E1402F"/>
    <w:rsid w:val="21080BE8"/>
    <w:rsid w:val="21287D5D"/>
    <w:rsid w:val="21760E49"/>
    <w:rsid w:val="21A72332"/>
    <w:rsid w:val="21FA6524"/>
    <w:rsid w:val="221A2296"/>
    <w:rsid w:val="228125E7"/>
    <w:rsid w:val="22A02A89"/>
    <w:rsid w:val="22A75AB5"/>
    <w:rsid w:val="22F97442"/>
    <w:rsid w:val="236F07F9"/>
    <w:rsid w:val="238C5BE2"/>
    <w:rsid w:val="23A035A2"/>
    <w:rsid w:val="241B6820"/>
    <w:rsid w:val="242A40E2"/>
    <w:rsid w:val="24595EEE"/>
    <w:rsid w:val="24815739"/>
    <w:rsid w:val="24E91BC3"/>
    <w:rsid w:val="24EC4E8C"/>
    <w:rsid w:val="24F829F3"/>
    <w:rsid w:val="25127C66"/>
    <w:rsid w:val="25143E89"/>
    <w:rsid w:val="2523416C"/>
    <w:rsid w:val="252D7A93"/>
    <w:rsid w:val="2554333A"/>
    <w:rsid w:val="257C38AC"/>
    <w:rsid w:val="25813EC2"/>
    <w:rsid w:val="25CC75D9"/>
    <w:rsid w:val="25F842F9"/>
    <w:rsid w:val="261D11AB"/>
    <w:rsid w:val="26C933F9"/>
    <w:rsid w:val="2729163C"/>
    <w:rsid w:val="273A5A66"/>
    <w:rsid w:val="27557553"/>
    <w:rsid w:val="27876FA7"/>
    <w:rsid w:val="27E47B52"/>
    <w:rsid w:val="27F928E2"/>
    <w:rsid w:val="28770E4D"/>
    <w:rsid w:val="28C53582"/>
    <w:rsid w:val="28D00D7A"/>
    <w:rsid w:val="28DD3480"/>
    <w:rsid w:val="291B7347"/>
    <w:rsid w:val="29521414"/>
    <w:rsid w:val="296E2F46"/>
    <w:rsid w:val="29770245"/>
    <w:rsid w:val="29AF6634"/>
    <w:rsid w:val="29C2179D"/>
    <w:rsid w:val="29DF4C11"/>
    <w:rsid w:val="2A060AF5"/>
    <w:rsid w:val="2A3916BF"/>
    <w:rsid w:val="2A5650EB"/>
    <w:rsid w:val="2A6C2DEE"/>
    <w:rsid w:val="2A6F1450"/>
    <w:rsid w:val="2A732400"/>
    <w:rsid w:val="2AB75AD9"/>
    <w:rsid w:val="2AC3658B"/>
    <w:rsid w:val="2AEE0B9F"/>
    <w:rsid w:val="2B1210AF"/>
    <w:rsid w:val="2B4A4D97"/>
    <w:rsid w:val="2B6671B2"/>
    <w:rsid w:val="2B864FE9"/>
    <w:rsid w:val="2BE00C54"/>
    <w:rsid w:val="2C161433"/>
    <w:rsid w:val="2C7F77F3"/>
    <w:rsid w:val="2C9931F9"/>
    <w:rsid w:val="2CC534EC"/>
    <w:rsid w:val="2CC82DF1"/>
    <w:rsid w:val="2D7375FA"/>
    <w:rsid w:val="2D932CD3"/>
    <w:rsid w:val="2DA2009B"/>
    <w:rsid w:val="2E5F67F7"/>
    <w:rsid w:val="2E7C156E"/>
    <w:rsid w:val="2EB242BD"/>
    <w:rsid w:val="2EDE16BE"/>
    <w:rsid w:val="2EE46833"/>
    <w:rsid w:val="2EF7339E"/>
    <w:rsid w:val="2EFD2784"/>
    <w:rsid w:val="2F071B0D"/>
    <w:rsid w:val="2F1D1709"/>
    <w:rsid w:val="2F263DC1"/>
    <w:rsid w:val="2F612FF3"/>
    <w:rsid w:val="2F6A4898"/>
    <w:rsid w:val="2F944829"/>
    <w:rsid w:val="2FC6603C"/>
    <w:rsid w:val="2FCE79F9"/>
    <w:rsid w:val="301E78C1"/>
    <w:rsid w:val="302525CA"/>
    <w:rsid w:val="302E5E9B"/>
    <w:rsid w:val="303E510E"/>
    <w:rsid w:val="30434988"/>
    <w:rsid w:val="30493836"/>
    <w:rsid w:val="30726BD8"/>
    <w:rsid w:val="30A641A9"/>
    <w:rsid w:val="30B23C1C"/>
    <w:rsid w:val="30E91D55"/>
    <w:rsid w:val="31077DF0"/>
    <w:rsid w:val="31255A63"/>
    <w:rsid w:val="31510887"/>
    <w:rsid w:val="31680C2C"/>
    <w:rsid w:val="316F081C"/>
    <w:rsid w:val="3185542D"/>
    <w:rsid w:val="31A94D98"/>
    <w:rsid w:val="31CD33F3"/>
    <w:rsid w:val="321C3189"/>
    <w:rsid w:val="32304A5C"/>
    <w:rsid w:val="327E5526"/>
    <w:rsid w:val="32FD69B5"/>
    <w:rsid w:val="331A3AD8"/>
    <w:rsid w:val="33DD6BE3"/>
    <w:rsid w:val="33FF1D40"/>
    <w:rsid w:val="343C71FE"/>
    <w:rsid w:val="34416941"/>
    <w:rsid w:val="34652C34"/>
    <w:rsid w:val="347E0184"/>
    <w:rsid w:val="34E552B2"/>
    <w:rsid w:val="353C75A4"/>
    <w:rsid w:val="354B2B7E"/>
    <w:rsid w:val="357A5B75"/>
    <w:rsid w:val="357E7088"/>
    <w:rsid w:val="3591411D"/>
    <w:rsid w:val="35C90884"/>
    <w:rsid w:val="362D601C"/>
    <w:rsid w:val="369F1411"/>
    <w:rsid w:val="36AF1CE9"/>
    <w:rsid w:val="36F41EFD"/>
    <w:rsid w:val="370304EE"/>
    <w:rsid w:val="374828CD"/>
    <w:rsid w:val="37B66FCE"/>
    <w:rsid w:val="37BF1521"/>
    <w:rsid w:val="37EE0E86"/>
    <w:rsid w:val="3809147A"/>
    <w:rsid w:val="38390755"/>
    <w:rsid w:val="383C2251"/>
    <w:rsid w:val="38491A15"/>
    <w:rsid w:val="386E5566"/>
    <w:rsid w:val="38747275"/>
    <w:rsid w:val="3877709D"/>
    <w:rsid w:val="38AC7656"/>
    <w:rsid w:val="38D7548D"/>
    <w:rsid w:val="39172CD4"/>
    <w:rsid w:val="39295876"/>
    <w:rsid w:val="392A1465"/>
    <w:rsid w:val="393A43D8"/>
    <w:rsid w:val="395201EC"/>
    <w:rsid w:val="398F1F11"/>
    <w:rsid w:val="39E10528"/>
    <w:rsid w:val="39F302FF"/>
    <w:rsid w:val="3A671DFF"/>
    <w:rsid w:val="3A88124A"/>
    <w:rsid w:val="3AB400CA"/>
    <w:rsid w:val="3AC02AC1"/>
    <w:rsid w:val="3AFC73A0"/>
    <w:rsid w:val="3B1F2A9D"/>
    <w:rsid w:val="3B7526AD"/>
    <w:rsid w:val="3B922179"/>
    <w:rsid w:val="3BD05173"/>
    <w:rsid w:val="3BD44CB3"/>
    <w:rsid w:val="3BE07DE8"/>
    <w:rsid w:val="3C4176A7"/>
    <w:rsid w:val="3C783266"/>
    <w:rsid w:val="3CA851AD"/>
    <w:rsid w:val="3CAF15E7"/>
    <w:rsid w:val="3CC308BA"/>
    <w:rsid w:val="3CC47865"/>
    <w:rsid w:val="3CC7434D"/>
    <w:rsid w:val="3CD37165"/>
    <w:rsid w:val="3D20440D"/>
    <w:rsid w:val="3DAF4AD6"/>
    <w:rsid w:val="3DD2581C"/>
    <w:rsid w:val="3DDB3439"/>
    <w:rsid w:val="3DDC2EBB"/>
    <w:rsid w:val="3E2967FC"/>
    <w:rsid w:val="3E415C02"/>
    <w:rsid w:val="3E780080"/>
    <w:rsid w:val="3E7F36AD"/>
    <w:rsid w:val="3E916C7D"/>
    <w:rsid w:val="3EAA3140"/>
    <w:rsid w:val="3F2E3FEC"/>
    <w:rsid w:val="3F6735B8"/>
    <w:rsid w:val="3F941274"/>
    <w:rsid w:val="40135C4F"/>
    <w:rsid w:val="40477C29"/>
    <w:rsid w:val="404C7B4E"/>
    <w:rsid w:val="406A6723"/>
    <w:rsid w:val="409862B2"/>
    <w:rsid w:val="40AB5220"/>
    <w:rsid w:val="40D57F38"/>
    <w:rsid w:val="4152535B"/>
    <w:rsid w:val="416E591A"/>
    <w:rsid w:val="417A047A"/>
    <w:rsid w:val="41816C3B"/>
    <w:rsid w:val="41E4269E"/>
    <w:rsid w:val="421A29AB"/>
    <w:rsid w:val="422E73A9"/>
    <w:rsid w:val="42576694"/>
    <w:rsid w:val="425C2474"/>
    <w:rsid w:val="426D54D9"/>
    <w:rsid w:val="42AB3526"/>
    <w:rsid w:val="42B9783F"/>
    <w:rsid w:val="42CE0BF9"/>
    <w:rsid w:val="42D11E26"/>
    <w:rsid w:val="42F322D9"/>
    <w:rsid w:val="430E35F7"/>
    <w:rsid w:val="439B7551"/>
    <w:rsid w:val="43A07CE5"/>
    <w:rsid w:val="43AD7682"/>
    <w:rsid w:val="43CE3C5D"/>
    <w:rsid w:val="43F15CC4"/>
    <w:rsid w:val="441A6A8E"/>
    <w:rsid w:val="442D62BC"/>
    <w:rsid w:val="444B2386"/>
    <w:rsid w:val="446D1D03"/>
    <w:rsid w:val="448F07C8"/>
    <w:rsid w:val="44A81220"/>
    <w:rsid w:val="44B524C7"/>
    <w:rsid w:val="44C3260C"/>
    <w:rsid w:val="452C597E"/>
    <w:rsid w:val="45323555"/>
    <w:rsid w:val="45411D80"/>
    <w:rsid w:val="454A7F6F"/>
    <w:rsid w:val="45697D47"/>
    <w:rsid w:val="456A0BFF"/>
    <w:rsid w:val="45733552"/>
    <w:rsid w:val="457E4CFC"/>
    <w:rsid w:val="46236E5D"/>
    <w:rsid w:val="4663687F"/>
    <w:rsid w:val="46950BBE"/>
    <w:rsid w:val="470B7B02"/>
    <w:rsid w:val="473A02FB"/>
    <w:rsid w:val="473C712A"/>
    <w:rsid w:val="475670E8"/>
    <w:rsid w:val="47816427"/>
    <w:rsid w:val="47A51FC8"/>
    <w:rsid w:val="47BA7E0F"/>
    <w:rsid w:val="47D26213"/>
    <w:rsid w:val="480A599F"/>
    <w:rsid w:val="482E760A"/>
    <w:rsid w:val="483C319C"/>
    <w:rsid w:val="48473F56"/>
    <w:rsid w:val="486B44BD"/>
    <w:rsid w:val="496B1B65"/>
    <w:rsid w:val="497D7419"/>
    <w:rsid w:val="49A078C1"/>
    <w:rsid w:val="49A3281D"/>
    <w:rsid w:val="49CE1931"/>
    <w:rsid w:val="4A091077"/>
    <w:rsid w:val="4A5B5DE0"/>
    <w:rsid w:val="4A634738"/>
    <w:rsid w:val="4A734138"/>
    <w:rsid w:val="4ABF15DD"/>
    <w:rsid w:val="4AF82EE8"/>
    <w:rsid w:val="4B1A26EB"/>
    <w:rsid w:val="4B7F73DE"/>
    <w:rsid w:val="4B806110"/>
    <w:rsid w:val="4BA173C1"/>
    <w:rsid w:val="4BA53B3A"/>
    <w:rsid w:val="4BB63E1B"/>
    <w:rsid w:val="4C6E11A0"/>
    <w:rsid w:val="4CCB261E"/>
    <w:rsid w:val="4CE4181A"/>
    <w:rsid w:val="4CFC5D67"/>
    <w:rsid w:val="4D23566C"/>
    <w:rsid w:val="4D35751F"/>
    <w:rsid w:val="4D6C097E"/>
    <w:rsid w:val="4D940D64"/>
    <w:rsid w:val="4DA119E2"/>
    <w:rsid w:val="4E1F4F76"/>
    <w:rsid w:val="4E234B60"/>
    <w:rsid w:val="4E5F4966"/>
    <w:rsid w:val="4E7B10A2"/>
    <w:rsid w:val="4EB920FF"/>
    <w:rsid w:val="4EBF2EDF"/>
    <w:rsid w:val="4F673680"/>
    <w:rsid w:val="4F8018FA"/>
    <w:rsid w:val="4FA9203A"/>
    <w:rsid w:val="4FF9327E"/>
    <w:rsid w:val="500154BF"/>
    <w:rsid w:val="5003242E"/>
    <w:rsid w:val="5005319B"/>
    <w:rsid w:val="502669E7"/>
    <w:rsid w:val="503C30B0"/>
    <w:rsid w:val="504E733D"/>
    <w:rsid w:val="50BB1D89"/>
    <w:rsid w:val="50EF0DF2"/>
    <w:rsid w:val="512E4011"/>
    <w:rsid w:val="517D2C2E"/>
    <w:rsid w:val="51824EB9"/>
    <w:rsid w:val="51BA0A55"/>
    <w:rsid w:val="522203C4"/>
    <w:rsid w:val="52370BD8"/>
    <w:rsid w:val="52376EB9"/>
    <w:rsid w:val="52760A41"/>
    <w:rsid w:val="528E73F1"/>
    <w:rsid w:val="52903C95"/>
    <w:rsid w:val="52DA4D75"/>
    <w:rsid w:val="530129A1"/>
    <w:rsid w:val="53431BD5"/>
    <w:rsid w:val="536770E7"/>
    <w:rsid w:val="53FF0E16"/>
    <w:rsid w:val="540F1BBB"/>
    <w:rsid w:val="541F4125"/>
    <w:rsid w:val="542C2AC7"/>
    <w:rsid w:val="547A06F4"/>
    <w:rsid w:val="54837883"/>
    <w:rsid w:val="549922F7"/>
    <w:rsid w:val="54A5519A"/>
    <w:rsid w:val="55023F40"/>
    <w:rsid w:val="55057779"/>
    <w:rsid w:val="550D766C"/>
    <w:rsid w:val="55336364"/>
    <w:rsid w:val="55343565"/>
    <w:rsid w:val="554B3F96"/>
    <w:rsid w:val="557E78B9"/>
    <w:rsid w:val="55AA711A"/>
    <w:rsid w:val="562A6EF1"/>
    <w:rsid w:val="56577C31"/>
    <w:rsid w:val="56744202"/>
    <w:rsid w:val="56A90348"/>
    <w:rsid w:val="56C277AC"/>
    <w:rsid w:val="56EF3366"/>
    <w:rsid w:val="5711122B"/>
    <w:rsid w:val="575F64AD"/>
    <w:rsid w:val="576D2813"/>
    <w:rsid w:val="579B6520"/>
    <w:rsid w:val="57D504E5"/>
    <w:rsid w:val="58745A50"/>
    <w:rsid w:val="58D13D19"/>
    <w:rsid w:val="58F211B6"/>
    <w:rsid w:val="59060D30"/>
    <w:rsid w:val="59152B19"/>
    <w:rsid w:val="593B5103"/>
    <w:rsid w:val="59407E82"/>
    <w:rsid w:val="59455550"/>
    <w:rsid w:val="59456B1C"/>
    <w:rsid w:val="59672C8F"/>
    <w:rsid w:val="59D777A0"/>
    <w:rsid w:val="59FA14A0"/>
    <w:rsid w:val="5A0929E5"/>
    <w:rsid w:val="5A095F5C"/>
    <w:rsid w:val="5A134AD6"/>
    <w:rsid w:val="5A336C7F"/>
    <w:rsid w:val="5A6F4D2E"/>
    <w:rsid w:val="5A857BD9"/>
    <w:rsid w:val="5AA402D0"/>
    <w:rsid w:val="5B225161"/>
    <w:rsid w:val="5B4208B4"/>
    <w:rsid w:val="5BB325AE"/>
    <w:rsid w:val="5C1125AC"/>
    <w:rsid w:val="5C321F7A"/>
    <w:rsid w:val="5C3D6D31"/>
    <w:rsid w:val="5C4714CF"/>
    <w:rsid w:val="5CBE7BB8"/>
    <w:rsid w:val="5CFC2A2F"/>
    <w:rsid w:val="5D381793"/>
    <w:rsid w:val="5D8855F2"/>
    <w:rsid w:val="5DBA26FE"/>
    <w:rsid w:val="5DC15084"/>
    <w:rsid w:val="5DF23C0D"/>
    <w:rsid w:val="5E052796"/>
    <w:rsid w:val="5E2D7A50"/>
    <w:rsid w:val="5E3B79EE"/>
    <w:rsid w:val="5E736D21"/>
    <w:rsid w:val="5E8602F2"/>
    <w:rsid w:val="5EEF59CF"/>
    <w:rsid w:val="5EF826D5"/>
    <w:rsid w:val="5F026324"/>
    <w:rsid w:val="5F1E7E43"/>
    <w:rsid w:val="5F224B6E"/>
    <w:rsid w:val="5FB6761B"/>
    <w:rsid w:val="5FD91E79"/>
    <w:rsid w:val="5FDB53F2"/>
    <w:rsid w:val="5FDD4BC6"/>
    <w:rsid w:val="5FF75B73"/>
    <w:rsid w:val="60407705"/>
    <w:rsid w:val="60C36243"/>
    <w:rsid w:val="61256622"/>
    <w:rsid w:val="612B584F"/>
    <w:rsid w:val="6136098A"/>
    <w:rsid w:val="617E38CA"/>
    <w:rsid w:val="61B13A89"/>
    <w:rsid w:val="61D9511B"/>
    <w:rsid w:val="61E11FD6"/>
    <w:rsid w:val="61E51312"/>
    <w:rsid w:val="61F678C2"/>
    <w:rsid w:val="620B1E14"/>
    <w:rsid w:val="62154A7E"/>
    <w:rsid w:val="622445D8"/>
    <w:rsid w:val="62737B50"/>
    <w:rsid w:val="62A00FBC"/>
    <w:rsid w:val="62EC4BF6"/>
    <w:rsid w:val="62EF18F2"/>
    <w:rsid w:val="63055779"/>
    <w:rsid w:val="6306248A"/>
    <w:rsid w:val="6332459A"/>
    <w:rsid w:val="63570D71"/>
    <w:rsid w:val="63583666"/>
    <w:rsid w:val="6361093E"/>
    <w:rsid w:val="636A7CA2"/>
    <w:rsid w:val="643F2F41"/>
    <w:rsid w:val="64613FB3"/>
    <w:rsid w:val="64705E71"/>
    <w:rsid w:val="64880A0F"/>
    <w:rsid w:val="648F5E74"/>
    <w:rsid w:val="649828D4"/>
    <w:rsid w:val="64B215DE"/>
    <w:rsid w:val="64C315C2"/>
    <w:rsid w:val="64DD2D69"/>
    <w:rsid w:val="655E1FBC"/>
    <w:rsid w:val="656439FC"/>
    <w:rsid w:val="657A37A8"/>
    <w:rsid w:val="65BD05A9"/>
    <w:rsid w:val="660A36FB"/>
    <w:rsid w:val="66371B70"/>
    <w:rsid w:val="66637EF6"/>
    <w:rsid w:val="66D03901"/>
    <w:rsid w:val="66FE2EE1"/>
    <w:rsid w:val="66FF4FB4"/>
    <w:rsid w:val="67296982"/>
    <w:rsid w:val="67631A85"/>
    <w:rsid w:val="676C66BB"/>
    <w:rsid w:val="67913586"/>
    <w:rsid w:val="67AA7D93"/>
    <w:rsid w:val="67E55297"/>
    <w:rsid w:val="68410FF8"/>
    <w:rsid w:val="68930FEE"/>
    <w:rsid w:val="68FD5FFA"/>
    <w:rsid w:val="693D15BC"/>
    <w:rsid w:val="694163DE"/>
    <w:rsid w:val="696C5DF1"/>
    <w:rsid w:val="69A16FCA"/>
    <w:rsid w:val="69A65C7E"/>
    <w:rsid w:val="69E06612"/>
    <w:rsid w:val="6A1E51CA"/>
    <w:rsid w:val="6A23374C"/>
    <w:rsid w:val="6A5E0094"/>
    <w:rsid w:val="6AAB669B"/>
    <w:rsid w:val="6AAC6A09"/>
    <w:rsid w:val="6AE768E1"/>
    <w:rsid w:val="6AED2729"/>
    <w:rsid w:val="6B065DCF"/>
    <w:rsid w:val="6B2840DD"/>
    <w:rsid w:val="6B6412B4"/>
    <w:rsid w:val="6BB548FD"/>
    <w:rsid w:val="6BE22CA6"/>
    <w:rsid w:val="6C015584"/>
    <w:rsid w:val="6C315CDD"/>
    <w:rsid w:val="6C90217E"/>
    <w:rsid w:val="6D396D64"/>
    <w:rsid w:val="6D5F612D"/>
    <w:rsid w:val="6D80694C"/>
    <w:rsid w:val="6D9523E3"/>
    <w:rsid w:val="6DB90BE5"/>
    <w:rsid w:val="6DBD686B"/>
    <w:rsid w:val="6DE61099"/>
    <w:rsid w:val="6E3A7926"/>
    <w:rsid w:val="6E421023"/>
    <w:rsid w:val="6E7A6B24"/>
    <w:rsid w:val="6E811172"/>
    <w:rsid w:val="6E91170C"/>
    <w:rsid w:val="6ED313F4"/>
    <w:rsid w:val="6ED56D3D"/>
    <w:rsid w:val="6F3B6D49"/>
    <w:rsid w:val="70050924"/>
    <w:rsid w:val="7015394D"/>
    <w:rsid w:val="701E5B2D"/>
    <w:rsid w:val="70215305"/>
    <w:rsid w:val="70290D16"/>
    <w:rsid w:val="70600E76"/>
    <w:rsid w:val="706B0D81"/>
    <w:rsid w:val="709F3AFA"/>
    <w:rsid w:val="70A27F78"/>
    <w:rsid w:val="70B2619A"/>
    <w:rsid w:val="715C0515"/>
    <w:rsid w:val="71BD3920"/>
    <w:rsid w:val="71C45462"/>
    <w:rsid w:val="71C74D63"/>
    <w:rsid w:val="71DF0E48"/>
    <w:rsid w:val="71E1643C"/>
    <w:rsid w:val="71EA492E"/>
    <w:rsid w:val="721D3614"/>
    <w:rsid w:val="72424371"/>
    <w:rsid w:val="728D1AF3"/>
    <w:rsid w:val="72976FB5"/>
    <w:rsid w:val="72B22537"/>
    <w:rsid w:val="72C506F9"/>
    <w:rsid w:val="730672AB"/>
    <w:rsid w:val="73247BA3"/>
    <w:rsid w:val="735A0DFF"/>
    <w:rsid w:val="738C60C7"/>
    <w:rsid w:val="74026ECB"/>
    <w:rsid w:val="740E05A2"/>
    <w:rsid w:val="74305B67"/>
    <w:rsid w:val="74430267"/>
    <w:rsid w:val="74521D23"/>
    <w:rsid w:val="746E4D4C"/>
    <w:rsid w:val="74A04553"/>
    <w:rsid w:val="74A50E5D"/>
    <w:rsid w:val="74DB6F3E"/>
    <w:rsid w:val="75667956"/>
    <w:rsid w:val="75CC4310"/>
    <w:rsid w:val="75D65E2A"/>
    <w:rsid w:val="76036282"/>
    <w:rsid w:val="76082692"/>
    <w:rsid w:val="760F2034"/>
    <w:rsid w:val="76125B45"/>
    <w:rsid w:val="76422DD9"/>
    <w:rsid w:val="766D052D"/>
    <w:rsid w:val="76895B21"/>
    <w:rsid w:val="76964BA3"/>
    <w:rsid w:val="77475E01"/>
    <w:rsid w:val="7750242A"/>
    <w:rsid w:val="775A56E7"/>
    <w:rsid w:val="779E402B"/>
    <w:rsid w:val="77DA4664"/>
    <w:rsid w:val="77E22A60"/>
    <w:rsid w:val="77E83084"/>
    <w:rsid w:val="780C71D9"/>
    <w:rsid w:val="786C4363"/>
    <w:rsid w:val="786D311C"/>
    <w:rsid w:val="7871743B"/>
    <w:rsid w:val="78833BC2"/>
    <w:rsid w:val="78971DCE"/>
    <w:rsid w:val="78CA2474"/>
    <w:rsid w:val="78D0550D"/>
    <w:rsid w:val="7908114B"/>
    <w:rsid w:val="79537BBA"/>
    <w:rsid w:val="79730F75"/>
    <w:rsid w:val="79805C11"/>
    <w:rsid w:val="7A035119"/>
    <w:rsid w:val="7A514D76"/>
    <w:rsid w:val="7A625467"/>
    <w:rsid w:val="7A8666A6"/>
    <w:rsid w:val="7A8C5A57"/>
    <w:rsid w:val="7AB04312"/>
    <w:rsid w:val="7AE56801"/>
    <w:rsid w:val="7AF20661"/>
    <w:rsid w:val="7B30591E"/>
    <w:rsid w:val="7B583273"/>
    <w:rsid w:val="7BB055D9"/>
    <w:rsid w:val="7BCD7177"/>
    <w:rsid w:val="7BE97B8E"/>
    <w:rsid w:val="7BEC314B"/>
    <w:rsid w:val="7C102F5C"/>
    <w:rsid w:val="7C133054"/>
    <w:rsid w:val="7C164291"/>
    <w:rsid w:val="7C4935BB"/>
    <w:rsid w:val="7C523CB4"/>
    <w:rsid w:val="7C652D31"/>
    <w:rsid w:val="7C867AA6"/>
    <w:rsid w:val="7C98753F"/>
    <w:rsid w:val="7D2B2361"/>
    <w:rsid w:val="7D497532"/>
    <w:rsid w:val="7D730D1F"/>
    <w:rsid w:val="7D7C5E22"/>
    <w:rsid w:val="7D860D4D"/>
    <w:rsid w:val="7D917E18"/>
    <w:rsid w:val="7D9B0C5E"/>
    <w:rsid w:val="7DB5173E"/>
    <w:rsid w:val="7DB877D9"/>
    <w:rsid w:val="7DBB0731"/>
    <w:rsid w:val="7DBD7012"/>
    <w:rsid w:val="7DCB1AB0"/>
    <w:rsid w:val="7DCF4472"/>
    <w:rsid w:val="7DD630CE"/>
    <w:rsid w:val="7DDE4024"/>
    <w:rsid w:val="7DF3102B"/>
    <w:rsid w:val="7E6251D4"/>
    <w:rsid w:val="7EB10937"/>
    <w:rsid w:val="7EB54E9F"/>
    <w:rsid w:val="7ED6498B"/>
    <w:rsid w:val="7EEA64BA"/>
    <w:rsid w:val="7F186411"/>
    <w:rsid w:val="7F536311"/>
    <w:rsid w:val="7F7E6059"/>
    <w:rsid w:val="7F8707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宋体" w:cs="Times New Roman"/>
      <w:kern w:val="2"/>
      <w:sz w:val="21"/>
      <w:lang w:val="en-US" w:eastAsia="zh-CN" w:bidi="ar-SA"/>
    </w:rPr>
  </w:style>
  <w:style w:type="paragraph" w:styleId="3">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0"/>
    <w:qFormat/>
    <w:uiPriority w:val="0"/>
    <w:pPr>
      <w:keepNext/>
      <w:keepLines/>
      <w:spacing w:before="260" w:after="260" w:line="24" w:lineRule="auto"/>
      <w:outlineLvl w:val="2"/>
    </w:pPr>
    <w:rPr>
      <w:rFonts w:hAnsi="宋体"/>
      <w:b/>
      <w:bCs/>
      <w:kern w:val="0"/>
      <w:sz w:val="24"/>
      <w:szCs w:val="32"/>
    </w:rPr>
  </w:style>
  <w:style w:type="paragraph" w:styleId="6">
    <w:name w:val="heading 4"/>
    <w:basedOn w:val="1"/>
    <w:next w:val="1"/>
    <w:link w:val="77"/>
    <w:qFormat/>
    <w:uiPriority w:val="0"/>
    <w:pPr>
      <w:keepNext/>
      <w:keepLines/>
      <w:widowControl/>
      <w:spacing w:before="120" w:after="120" w:line="360" w:lineRule="auto"/>
      <w:ind w:left="2900" w:hanging="2900"/>
      <w:jc w:val="left"/>
      <w:outlineLvl w:val="3"/>
    </w:pPr>
    <w:rPr>
      <w:rFonts w:ascii="Arial" w:hAnsi="Arial" w:eastAsia="黑体"/>
      <w:color w:val="000000"/>
      <w:kern w:val="0"/>
      <w:sz w:val="28"/>
    </w:rPr>
  </w:style>
  <w:style w:type="paragraph" w:styleId="7">
    <w:name w:val="heading 5"/>
    <w:basedOn w:val="1"/>
    <w:next w:val="1"/>
    <w:link w:val="93"/>
    <w:qFormat/>
    <w:uiPriority w:val="0"/>
    <w:pPr>
      <w:keepNext/>
      <w:keepLines/>
      <w:widowControl/>
      <w:spacing w:before="120" w:after="120" w:line="360" w:lineRule="auto"/>
      <w:ind w:firstLine="499"/>
      <w:jc w:val="left"/>
      <w:outlineLvl w:val="4"/>
    </w:pPr>
    <w:rPr>
      <w:rFonts w:hAnsi="宋体"/>
      <w:b/>
      <w:kern w:val="0"/>
      <w:sz w:val="24"/>
    </w:rPr>
  </w:style>
  <w:style w:type="paragraph" w:styleId="8">
    <w:name w:val="heading 6"/>
    <w:basedOn w:val="1"/>
    <w:next w:val="1"/>
    <w:link w:val="71"/>
    <w:qFormat/>
    <w:uiPriority w:val="0"/>
    <w:pPr>
      <w:keepNext/>
      <w:keepLines/>
      <w:widowControl/>
      <w:tabs>
        <w:tab w:val="left" w:pos="1440"/>
      </w:tabs>
      <w:spacing w:before="240" w:after="64" w:line="319" w:lineRule="auto"/>
      <w:ind w:left="2940" w:hanging="420"/>
      <w:jc w:val="left"/>
      <w:outlineLvl w:val="5"/>
    </w:pPr>
    <w:rPr>
      <w:rFonts w:ascii="Arial" w:hAnsi="Arial" w:eastAsia="黑体"/>
      <w:b/>
      <w:kern w:val="0"/>
      <w:sz w:val="24"/>
    </w:rPr>
  </w:style>
  <w:style w:type="paragraph" w:styleId="9">
    <w:name w:val="heading 7"/>
    <w:basedOn w:val="1"/>
    <w:next w:val="1"/>
    <w:link w:val="79"/>
    <w:qFormat/>
    <w:uiPriority w:val="0"/>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10">
    <w:name w:val="heading 8"/>
    <w:basedOn w:val="1"/>
    <w:next w:val="1"/>
    <w:link w:val="97"/>
    <w:qFormat/>
    <w:uiPriority w:val="0"/>
    <w:pPr>
      <w:keepNext/>
      <w:keepLines/>
      <w:widowControl/>
      <w:tabs>
        <w:tab w:val="left" w:pos="1440"/>
      </w:tabs>
      <w:spacing w:before="240" w:after="64" w:line="319" w:lineRule="auto"/>
      <w:ind w:left="3780" w:hanging="420"/>
      <w:jc w:val="left"/>
      <w:outlineLvl w:val="7"/>
    </w:pPr>
    <w:rPr>
      <w:rFonts w:ascii="Arial" w:hAnsi="Arial" w:eastAsia="黑体"/>
      <w:kern w:val="0"/>
      <w:sz w:val="24"/>
    </w:rPr>
  </w:style>
  <w:style w:type="paragraph" w:styleId="11">
    <w:name w:val="heading 9"/>
    <w:basedOn w:val="1"/>
    <w:next w:val="1"/>
    <w:link w:val="69"/>
    <w:qFormat/>
    <w:uiPriority w:val="0"/>
    <w:pPr>
      <w:keepNext/>
      <w:keepLines/>
      <w:widowControl/>
      <w:tabs>
        <w:tab w:val="left" w:pos="1584"/>
      </w:tabs>
      <w:spacing w:before="240" w:after="64" w:line="319" w:lineRule="auto"/>
      <w:ind w:left="4200" w:hanging="420"/>
      <w:jc w:val="left"/>
      <w:outlineLvl w:val="8"/>
    </w:pPr>
    <w:rPr>
      <w:rFonts w:ascii="Arial" w:hAnsi="Arial" w:eastAsia="黑体"/>
      <w:kern w:val="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2"/>
    <w:qFormat/>
    <w:uiPriority w:val="99"/>
    <w:pPr>
      <w:tabs>
        <w:tab w:val="center" w:pos="4153"/>
        <w:tab w:val="right" w:pos="8306"/>
      </w:tabs>
      <w:snapToGrid w:val="0"/>
      <w:jc w:val="left"/>
    </w:pPr>
    <w:rPr>
      <w:sz w:val="18"/>
    </w:rPr>
  </w:style>
  <w:style w:type="paragraph" w:styleId="12">
    <w:name w:val="toc 7"/>
    <w:basedOn w:val="1"/>
    <w:next w:val="1"/>
    <w:qFormat/>
    <w:uiPriority w:val="39"/>
    <w:pPr>
      <w:ind w:left="2520" w:leftChars="1200"/>
    </w:pPr>
  </w:style>
  <w:style w:type="paragraph" w:styleId="13">
    <w:name w:val="index 8"/>
    <w:basedOn w:val="1"/>
    <w:next w:val="1"/>
    <w:qFormat/>
    <w:uiPriority w:val="0"/>
    <w:pPr>
      <w:widowControl/>
      <w:ind w:left="1400" w:leftChars="1400"/>
      <w:jc w:val="left"/>
    </w:pPr>
    <w:rPr>
      <w:rFonts w:ascii="Times New Roman" w:hAnsi="Times New Roman"/>
      <w:kern w:val="0"/>
      <w:sz w:val="20"/>
    </w:rPr>
  </w:style>
  <w:style w:type="paragraph" w:styleId="14">
    <w:name w:val="Normal Indent"/>
    <w:basedOn w:val="1"/>
    <w:link w:val="200"/>
    <w:qFormat/>
    <w:uiPriority w:val="0"/>
    <w:pPr>
      <w:widowControl/>
      <w:spacing w:line="357" w:lineRule="atLeast"/>
      <w:ind w:firstLine="420"/>
      <w:textAlignment w:val="baseline"/>
    </w:pPr>
    <w:rPr>
      <w:rFonts w:ascii="Times New Roman" w:hAnsi="Times New Roman"/>
      <w:color w:val="000000"/>
      <w:kern w:val="0"/>
      <w:u w:color="000000"/>
    </w:rPr>
  </w:style>
  <w:style w:type="paragraph" w:styleId="15">
    <w:name w:val="caption"/>
    <w:basedOn w:val="1"/>
    <w:next w:val="1"/>
    <w:qFormat/>
    <w:uiPriority w:val="0"/>
    <w:rPr>
      <w:rFonts w:ascii="Cambria" w:hAnsi="Cambria" w:eastAsia="黑体"/>
      <w:sz w:val="20"/>
    </w:rPr>
  </w:style>
  <w:style w:type="paragraph" w:styleId="16">
    <w:name w:val="index 5"/>
    <w:basedOn w:val="1"/>
    <w:next w:val="1"/>
    <w:qFormat/>
    <w:uiPriority w:val="0"/>
    <w:pPr>
      <w:widowControl/>
      <w:ind w:left="800" w:leftChars="800"/>
      <w:jc w:val="left"/>
    </w:pPr>
    <w:rPr>
      <w:rFonts w:ascii="Times New Roman" w:hAnsi="Times New Roman"/>
      <w:kern w:val="0"/>
      <w:sz w:val="20"/>
    </w:rPr>
  </w:style>
  <w:style w:type="paragraph" w:styleId="17">
    <w:name w:val="Document Map"/>
    <w:basedOn w:val="1"/>
    <w:link w:val="74"/>
    <w:qFormat/>
    <w:uiPriority w:val="0"/>
    <w:pPr>
      <w:shd w:val="clear" w:color="auto" w:fill="000080"/>
    </w:pPr>
  </w:style>
  <w:style w:type="paragraph" w:styleId="18">
    <w:name w:val="annotation text"/>
    <w:basedOn w:val="1"/>
    <w:link w:val="75"/>
    <w:qFormat/>
    <w:uiPriority w:val="99"/>
    <w:pPr>
      <w:jc w:val="left"/>
    </w:pPr>
  </w:style>
  <w:style w:type="paragraph" w:styleId="19">
    <w:name w:val="index 6"/>
    <w:basedOn w:val="1"/>
    <w:next w:val="1"/>
    <w:qFormat/>
    <w:uiPriority w:val="0"/>
    <w:pPr>
      <w:widowControl/>
      <w:ind w:left="1000" w:leftChars="1000"/>
      <w:jc w:val="left"/>
    </w:pPr>
    <w:rPr>
      <w:rFonts w:ascii="Times New Roman" w:hAnsi="Times New Roman"/>
      <w:kern w:val="0"/>
      <w:sz w:val="20"/>
    </w:rPr>
  </w:style>
  <w:style w:type="paragraph" w:styleId="20">
    <w:name w:val="Body Text 3"/>
    <w:basedOn w:val="1"/>
    <w:link w:val="96"/>
    <w:qFormat/>
    <w:uiPriority w:val="0"/>
    <w:pPr>
      <w:adjustRightInd w:val="0"/>
      <w:spacing w:line="312" w:lineRule="atLeast"/>
    </w:pPr>
    <w:rPr>
      <w:rFonts w:ascii="黑体" w:hAnsi="Times New Roman" w:eastAsia="黑体"/>
      <w:sz w:val="28"/>
    </w:rPr>
  </w:style>
  <w:style w:type="paragraph" w:styleId="21">
    <w:name w:val="Body Text"/>
    <w:basedOn w:val="1"/>
    <w:link w:val="92"/>
    <w:qFormat/>
    <w:uiPriority w:val="0"/>
    <w:pPr>
      <w:spacing w:line="0" w:lineRule="atLeast"/>
    </w:pPr>
    <w:rPr>
      <w:rFonts w:ascii="Times New Roman" w:hAnsi="Times New Roman"/>
      <w:sz w:val="30"/>
    </w:rPr>
  </w:style>
  <w:style w:type="paragraph" w:styleId="22">
    <w:name w:val="Body Text Indent"/>
    <w:basedOn w:val="1"/>
    <w:link w:val="89"/>
    <w:qFormat/>
    <w:uiPriority w:val="0"/>
    <w:pPr>
      <w:spacing w:line="520" w:lineRule="exact"/>
      <w:ind w:firstLine="525"/>
    </w:pPr>
    <w:rPr>
      <w:sz w:val="24"/>
    </w:rPr>
  </w:style>
  <w:style w:type="paragraph" w:styleId="23">
    <w:name w:val="List 2"/>
    <w:basedOn w:val="1"/>
    <w:qFormat/>
    <w:uiPriority w:val="0"/>
    <w:pPr>
      <w:ind w:left="840" w:hanging="420"/>
    </w:pPr>
    <w:rPr>
      <w:rFonts w:ascii="Times New Roman" w:hAnsi="Times New Roman"/>
    </w:rPr>
  </w:style>
  <w:style w:type="paragraph" w:styleId="24">
    <w:name w:val="Block Text"/>
    <w:basedOn w:val="1"/>
    <w:qFormat/>
    <w:uiPriority w:val="0"/>
    <w:pPr>
      <w:adjustRightInd w:val="0"/>
      <w:ind w:left="420" w:right="33"/>
      <w:jc w:val="left"/>
      <w:textAlignment w:val="baseline"/>
    </w:pPr>
    <w:rPr>
      <w:rFonts w:ascii="Times New Roman" w:hAnsi="Times New Roman"/>
      <w:kern w:val="0"/>
      <w:sz w:val="24"/>
    </w:rPr>
  </w:style>
  <w:style w:type="paragraph" w:styleId="25">
    <w:name w:val="index 4"/>
    <w:basedOn w:val="1"/>
    <w:next w:val="1"/>
    <w:qFormat/>
    <w:uiPriority w:val="0"/>
    <w:pPr>
      <w:widowControl/>
      <w:ind w:left="600" w:leftChars="600"/>
      <w:jc w:val="left"/>
    </w:pPr>
    <w:rPr>
      <w:rFonts w:ascii="Times New Roman" w:hAnsi="Times New Roman"/>
      <w:kern w:val="0"/>
      <w:sz w:val="20"/>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3"/>
    <w:qFormat/>
    <w:uiPriority w:val="0"/>
  </w:style>
  <w:style w:type="paragraph" w:styleId="29">
    <w:name w:val="toc 8"/>
    <w:basedOn w:val="1"/>
    <w:next w:val="1"/>
    <w:qFormat/>
    <w:uiPriority w:val="39"/>
    <w:pPr>
      <w:ind w:left="2940" w:leftChars="1400"/>
    </w:pPr>
  </w:style>
  <w:style w:type="paragraph" w:styleId="30">
    <w:name w:val="index 3"/>
    <w:basedOn w:val="1"/>
    <w:next w:val="1"/>
    <w:qFormat/>
    <w:uiPriority w:val="0"/>
    <w:pPr>
      <w:widowControl/>
      <w:ind w:left="400" w:leftChars="400"/>
      <w:jc w:val="left"/>
    </w:pPr>
    <w:rPr>
      <w:rFonts w:ascii="Times New Roman" w:hAnsi="Times New Roman"/>
      <w:kern w:val="0"/>
      <w:sz w:val="20"/>
    </w:rPr>
  </w:style>
  <w:style w:type="paragraph" w:styleId="31">
    <w:name w:val="Date"/>
    <w:basedOn w:val="1"/>
    <w:next w:val="1"/>
    <w:link w:val="91"/>
    <w:qFormat/>
    <w:uiPriority w:val="0"/>
    <w:pPr>
      <w:ind w:left="100" w:leftChars="2500"/>
    </w:pPr>
    <w:rPr>
      <w:bCs/>
    </w:rPr>
  </w:style>
  <w:style w:type="paragraph" w:styleId="32">
    <w:name w:val="Body Text Indent 2"/>
    <w:basedOn w:val="1"/>
    <w:link w:val="78"/>
    <w:qFormat/>
    <w:uiPriority w:val="0"/>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33">
    <w:name w:val="endnote text"/>
    <w:basedOn w:val="1"/>
    <w:link w:val="87"/>
    <w:qFormat/>
    <w:uiPriority w:val="0"/>
    <w:pPr>
      <w:widowControl/>
      <w:snapToGrid w:val="0"/>
      <w:jc w:val="left"/>
    </w:pPr>
    <w:rPr>
      <w:rFonts w:ascii="Times New Roman" w:hAnsi="Times New Roman"/>
      <w:kern w:val="0"/>
      <w:sz w:val="20"/>
    </w:rPr>
  </w:style>
  <w:style w:type="paragraph" w:styleId="34">
    <w:name w:val="Balloon Text"/>
    <w:basedOn w:val="1"/>
    <w:link w:val="73"/>
    <w:qFormat/>
    <w:uiPriority w:val="0"/>
    <w:rPr>
      <w:sz w:val="18"/>
      <w:szCs w:val="18"/>
    </w:rPr>
  </w:style>
  <w:style w:type="paragraph" w:styleId="35">
    <w:name w:val="header"/>
    <w:basedOn w:val="1"/>
    <w:link w:val="88"/>
    <w:qFormat/>
    <w:uiPriority w:val="99"/>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39"/>
    <w:pPr>
      <w:tabs>
        <w:tab w:val="right" w:leader="dot" w:pos="9030"/>
      </w:tabs>
    </w:pPr>
    <w:rPr>
      <w:color w:val="000000"/>
      <w:sz w:val="28"/>
    </w:rPr>
  </w:style>
  <w:style w:type="paragraph" w:styleId="37">
    <w:name w:val="toc 4"/>
    <w:basedOn w:val="1"/>
    <w:next w:val="1"/>
    <w:qFormat/>
    <w:uiPriority w:val="39"/>
    <w:pPr>
      <w:ind w:left="1260" w:leftChars="600"/>
    </w:pPr>
  </w:style>
  <w:style w:type="paragraph" w:styleId="38">
    <w:name w:val="index heading"/>
    <w:basedOn w:val="1"/>
    <w:next w:val="39"/>
    <w:qFormat/>
    <w:uiPriority w:val="0"/>
    <w:pPr>
      <w:widowControl/>
      <w:jc w:val="left"/>
    </w:pPr>
    <w:rPr>
      <w:rFonts w:ascii="Times New Roman" w:hAnsi="Times New Roman"/>
      <w:kern w:val="0"/>
      <w:sz w:val="20"/>
    </w:rPr>
  </w:style>
  <w:style w:type="paragraph" w:styleId="39">
    <w:name w:val="index 1"/>
    <w:basedOn w:val="1"/>
    <w:next w:val="1"/>
    <w:qFormat/>
    <w:uiPriority w:val="0"/>
  </w:style>
  <w:style w:type="paragraph" w:styleId="40">
    <w:name w:val="Subtitle"/>
    <w:basedOn w:val="1"/>
    <w:next w:val="1"/>
    <w:link w:val="191"/>
    <w:qFormat/>
    <w:uiPriority w:val="0"/>
    <w:pPr>
      <w:spacing w:before="240" w:after="60" w:line="312" w:lineRule="auto"/>
      <w:jc w:val="center"/>
      <w:outlineLvl w:val="1"/>
    </w:pPr>
    <w:rPr>
      <w:rFonts w:ascii="Cambria" w:hAnsi="Cambria"/>
      <w:b/>
      <w:bCs/>
      <w:kern w:val="28"/>
      <w:sz w:val="32"/>
      <w:szCs w:val="32"/>
    </w:rPr>
  </w:style>
  <w:style w:type="paragraph" w:styleId="41">
    <w:name w:val="footnote text"/>
    <w:basedOn w:val="1"/>
    <w:link w:val="76"/>
    <w:qFormat/>
    <w:uiPriority w:val="0"/>
    <w:pPr>
      <w:adjustRightInd w:val="0"/>
      <w:spacing w:line="312" w:lineRule="atLeast"/>
      <w:jc w:val="left"/>
      <w:textAlignment w:val="baseline"/>
    </w:pPr>
    <w:rPr>
      <w:rFonts w:ascii="Times New Roman" w:hAnsi="Times New Roman"/>
      <w:kern w:val="0"/>
      <w:sz w:val="18"/>
    </w:rPr>
  </w:style>
  <w:style w:type="paragraph" w:styleId="42">
    <w:name w:val="toc 6"/>
    <w:basedOn w:val="1"/>
    <w:next w:val="1"/>
    <w:qFormat/>
    <w:uiPriority w:val="39"/>
    <w:pPr>
      <w:ind w:left="2100" w:leftChars="1000"/>
    </w:pPr>
  </w:style>
  <w:style w:type="paragraph" w:styleId="43">
    <w:name w:val="List 5"/>
    <w:basedOn w:val="1"/>
    <w:qFormat/>
    <w:uiPriority w:val="0"/>
    <w:pPr>
      <w:ind w:left="2100" w:hanging="420"/>
    </w:pPr>
    <w:rPr>
      <w:rFonts w:ascii="Times New Roman" w:hAnsi="Times New Roman"/>
    </w:rPr>
  </w:style>
  <w:style w:type="paragraph" w:styleId="44">
    <w:name w:val="Body Text Indent 3"/>
    <w:basedOn w:val="1"/>
    <w:link w:val="72"/>
    <w:qFormat/>
    <w:uiPriority w:val="0"/>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45">
    <w:name w:val="index 7"/>
    <w:basedOn w:val="1"/>
    <w:next w:val="1"/>
    <w:qFormat/>
    <w:uiPriority w:val="0"/>
    <w:pPr>
      <w:widowControl/>
      <w:ind w:left="1200" w:leftChars="1200"/>
      <w:jc w:val="left"/>
    </w:pPr>
    <w:rPr>
      <w:rFonts w:ascii="Times New Roman" w:hAnsi="Times New Roman"/>
      <w:kern w:val="0"/>
      <w:sz w:val="20"/>
    </w:rPr>
  </w:style>
  <w:style w:type="paragraph" w:styleId="46">
    <w:name w:val="index 9"/>
    <w:basedOn w:val="1"/>
    <w:next w:val="1"/>
    <w:qFormat/>
    <w:uiPriority w:val="0"/>
    <w:pPr>
      <w:widowControl/>
      <w:ind w:left="1600" w:leftChars="1600"/>
      <w:jc w:val="left"/>
    </w:pPr>
    <w:rPr>
      <w:rFonts w:ascii="Times New Roman" w:hAnsi="Times New Roman"/>
      <w:kern w:val="0"/>
      <w:sz w:val="20"/>
    </w:rPr>
  </w:style>
  <w:style w:type="paragraph" w:styleId="47">
    <w:name w:val="toc 2"/>
    <w:basedOn w:val="1"/>
    <w:next w:val="1"/>
    <w:qFormat/>
    <w:uiPriority w:val="39"/>
    <w:pPr>
      <w:tabs>
        <w:tab w:val="right" w:leader="dot" w:pos="8810"/>
      </w:tabs>
      <w:ind w:left="420" w:leftChars="200"/>
    </w:pPr>
    <w:rPr>
      <w:rFonts w:hAnsi="宋体"/>
      <w:color w:val="000000"/>
    </w:rPr>
  </w:style>
  <w:style w:type="paragraph" w:styleId="48">
    <w:name w:val="toc 9"/>
    <w:basedOn w:val="1"/>
    <w:next w:val="1"/>
    <w:qFormat/>
    <w:uiPriority w:val="39"/>
    <w:pPr>
      <w:ind w:left="3360" w:leftChars="1600"/>
    </w:pPr>
  </w:style>
  <w:style w:type="paragraph" w:styleId="49">
    <w:name w:val="Body Text 2"/>
    <w:basedOn w:val="1"/>
    <w:link w:val="81"/>
    <w:qFormat/>
    <w:uiPriority w:val="0"/>
    <w:pPr>
      <w:adjustRightInd w:val="0"/>
      <w:spacing w:after="120" w:line="480" w:lineRule="auto"/>
      <w:textAlignment w:val="baseline"/>
    </w:pPr>
    <w:rPr>
      <w:rFonts w:ascii="Times New Roman" w:hAnsi="Times New Roman"/>
      <w:kern w:val="0"/>
    </w:rPr>
  </w:style>
  <w:style w:type="paragraph" w:styleId="50">
    <w:name w:val="Normal (Web)"/>
    <w:basedOn w:val="1"/>
    <w:qFormat/>
    <w:uiPriority w:val="0"/>
    <w:pPr>
      <w:widowControl/>
      <w:spacing w:before="100" w:beforeAutospacing="1" w:after="100" w:afterAutospacing="1"/>
      <w:jc w:val="left"/>
    </w:pPr>
    <w:rPr>
      <w:rFonts w:hAnsi="宋体"/>
      <w:kern w:val="0"/>
      <w:sz w:val="24"/>
    </w:rPr>
  </w:style>
  <w:style w:type="paragraph" w:styleId="51">
    <w:name w:val="index 2"/>
    <w:basedOn w:val="1"/>
    <w:next w:val="1"/>
    <w:qFormat/>
    <w:uiPriority w:val="0"/>
    <w:pPr>
      <w:widowControl/>
      <w:ind w:left="200" w:leftChars="200"/>
      <w:jc w:val="left"/>
    </w:pPr>
    <w:rPr>
      <w:rFonts w:ascii="Times New Roman" w:hAnsi="Times New Roman"/>
      <w:kern w:val="0"/>
      <w:sz w:val="20"/>
    </w:rPr>
  </w:style>
  <w:style w:type="paragraph" w:styleId="52">
    <w:name w:val="Title"/>
    <w:basedOn w:val="1"/>
    <w:next w:val="1"/>
    <w:link w:val="184"/>
    <w:qFormat/>
    <w:uiPriority w:val="0"/>
    <w:pPr>
      <w:spacing w:before="240" w:after="60"/>
      <w:jc w:val="center"/>
      <w:outlineLvl w:val="0"/>
    </w:pPr>
    <w:rPr>
      <w:rFonts w:ascii="Cambria" w:hAnsi="Cambria"/>
      <w:b/>
      <w:bCs/>
      <w:sz w:val="32"/>
      <w:szCs w:val="32"/>
    </w:rPr>
  </w:style>
  <w:style w:type="paragraph" w:styleId="53">
    <w:name w:val="annotation subject"/>
    <w:basedOn w:val="18"/>
    <w:next w:val="18"/>
    <w:link w:val="94"/>
    <w:qFormat/>
    <w:uiPriority w:val="0"/>
    <w:rPr>
      <w:b/>
      <w:bCs/>
    </w:rPr>
  </w:style>
  <w:style w:type="table" w:styleId="55">
    <w:name w:val="Table Grid"/>
    <w:basedOn w:val="54"/>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qFormat/>
    <w:uiPriority w:val="0"/>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annotation reference"/>
    <w:qFormat/>
    <w:uiPriority w:val="99"/>
    <w:rPr>
      <w:sz w:val="21"/>
      <w:szCs w:val="21"/>
    </w:rPr>
  </w:style>
  <w:style w:type="character" w:styleId="64">
    <w:name w:val="footnote reference"/>
    <w:qFormat/>
    <w:uiPriority w:val="0"/>
    <w:rPr>
      <w:vertAlign w:val="superscript"/>
    </w:rPr>
  </w:style>
  <w:style w:type="paragraph" w:customStyle="1" w:styleId="65">
    <w:name w:val="样式 0正文 + 首行缩进:  2 字符1"/>
    <w:basedOn w:val="1"/>
    <w:qFormat/>
    <w:uiPriority w:val="99"/>
    <w:pPr>
      <w:spacing w:line="360" w:lineRule="auto"/>
      <w:ind w:firstLine="200" w:firstLineChars="200"/>
    </w:pPr>
    <w:rPr>
      <w:szCs w:val="20"/>
    </w:rPr>
  </w:style>
  <w:style w:type="paragraph" w:customStyle="1" w:styleId="66">
    <w:name w:val="表格文字"/>
    <w:basedOn w:val="1"/>
    <w:qFormat/>
    <w:uiPriority w:val="99"/>
    <w:pPr>
      <w:jc w:val="left"/>
    </w:pPr>
    <w:rPr>
      <w:bCs/>
      <w:spacing w:val="10"/>
      <w:kern w:val="0"/>
      <w:sz w:val="24"/>
    </w:rPr>
  </w:style>
  <w:style w:type="character" w:customStyle="1" w:styleId="67">
    <w:name w:val="标题 1 字符"/>
    <w:link w:val="3"/>
    <w:qFormat/>
    <w:uiPriority w:val="0"/>
    <w:rPr>
      <w:rFonts w:ascii="宋体" w:hAnsi="Courier New" w:eastAsia="宋体"/>
      <w:b/>
      <w:bCs/>
      <w:kern w:val="44"/>
      <w:sz w:val="44"/>
      <w:szCs w:val="44"/>
      <w:lang w:val="en-US" w:eastAsia="zh-CN" w:bidi="ar-SA"/>
    </w:rPr>
  </w:style>
  <w:style w:type="character" w:customStyle="1" w:styleId="68">
    <w:name w:val="批注文字 Char1"/>
    <w:qFormat/>
    <w:uiPriority w:val="0"/>
    <w:rPr>
      <w:rFonts w:ascii="宋体" w:hAnsi="Courier New"/>
      <w:kern w:val="2"/>
      <w:sz w:val="21"/>
    </w:rPr>
  </w:style>
  <w:style w:type="character" w:customStyle="1" w:styleId="69">
    <w:name w:val="标题 9 字符"/>
    <w:link w:val="11"/>
    <w:qFormat/>
    <w:uiPriority w:val="0"/>
    <w:rPr>
      <w:rFonts w:ascii="Arial" w:hAnsi="Arial" w:eastAsia="黑体"/>
      <w:sz w:val="21"/>
    </w:rPr>
  </w:style>
  <w:style w:type="character" w:customStyle="1" w:styleId="70">
    <w:name w:val="Char Char2"/>
    <w:qFormat/>
    <w:uiPriority w:val="0"/>
    <w:rPr>
      <w:rFonts w:ascii="宋体" w:hAnsi="Courier New" w:eastAsia="宋体"/>
      <w:kern w:val="2"/>
      <w:sz w:val="21"/>
      <w:lang w:val="en-US" w:eastAsia="zh-CN" w:bidi="ar-SA"/>
    </w:rPr>
  </w:style>
  <w:style w:type="character" w:customStyle="1" w:styleId="71">
    <w:name w:val="标题 6 字符"/>
    <w:link w:val="8"/>
    <w:qFormat/>
    <w:uiPriority w:val="0"/>
    <w:rPr>
      <w:rFonts w:ascii="Arial" w:hAnsi="Arial" w:eastAsia="黑体"/>
      <w:b/>
      <w:sz w:val="24"/>
    </w:rPr>
  </w:style>
  <w:style w:type="character" w:customStyle="1" w:styleId="72">
    <w:name w:val="正文文本缩进 3 字符"/>
    <w:link w:val="44"/>
    <w:qFormat/>
    <w:uiPriority w:val="0"/>
    <w:rPr>
      <w:rFonts w:ascii="宋体" w:hAnsi="MS Sans Serif"/>
      <w:color w:val="000000"/>
      <w:sz w:val="24"/>
    </w:rPr>
  </w:style>
  <w:style w:type="character" w:customStyle="1" w:styleId="73">
    <w:name w:val="批注框文本 字符"/>
    <w:link w:val="34"/>
    <w:qFormat/>
    <w:uiPriority w:val="0"/>
    <w:rPr>
      <w:rFonts w:ascii="宋体" w:hAnsi="Courier New"/>
      <w:kern w:val="2"/>
      <w:sz w:val="18"/>
      <w:szCs w:val="18"/>
    </w:rPr>
  </w:style>
  <w:style w:type="character" w:customStyle="1" w:styleId="74">
    <w:name w:val="文档结构图 字符"/>
    <w:link w:val="17"/>
    <w:qFormat/>
    <w:uiPriority w:val="0"/>
    <w:rPr>
      <w:rFonts w:ascii="宋体" w:hAnsi="Courier New"/>
      <w:kern w:val="2"/>
      <w:sz w:val="21"/>
      <w:shd w:val="clear" w:color="auto" w:fill="000080"/>
    </w:rPr>
  </w:style>
  <w:style w:type="character" w:customStyle="1" w:styleId="75">
    <w:name w:val="批注文字 字符"/>
    <w:link w:val="18"/>
    <w:qFormat/>
    <w:uiPriority w:val="99"/>
    <w:rPr>
      <w:rFonts w:ascii="宋体" w:hAnsi="Courier New"/>
      <w:kern w:val="2"/>
      <w:sz w:val="21"/>
    </w:rPr>
  </w:style>
  <w:style w:type="character" w:customStyle="1" w:styleId="76">
    <w:name w:val="脚注文本 字符"/>
    <w:link w:val="41"/>
    <w:qFormat/>
    <w:uiPriority w:val="0"/>
    <w:rPr>
      <w:sz w:val="18"/>
    </w:rPr>
  </w:style>
  <w:style w:type="character" w:customStyle="1" w:styleId="77">
    <w:name w:val="标题 4 字符"/>
    <w:link w:val="6"/>
    <w:qFormat/>
    <w:uiPriority w:val="0"/>
    <w:rPr>
      <w:rFonts w:ascii="Arial" w:hAnsi="Arial" w:eastAsia="黑体"/>
      <w:color w:val="000000"/>
      <w:sz w:val="28"/>
    </w:rPr>
  </w:style>
  <w:style w:type="character" w:customStyle="1" w:styleId="78">
    <w:name w:val="正文文本缩进 2 字符"/>
    <w:link w:val="32"/>
    <w:qFormat/>
    <w:uiPriority w:val="0"/>
    <w:rPr>
      <w:rFonts w:ascii="宋体" w:hAnsi="MS Sans Serif"/>
      <w:spacing w:val="12"/>
      <w:sz w:val="24"/>
    </w:rPr>
  </w:style>
  <w:style w:type="character" w:customStyle="1" w:styleId="79">
    <w:name w:val="标题 7 字符"/>
    <w:link w:val="9"/>
    <w:qFormat/>
    <w:uiPriority w:val="0"/>
    <w:rPr>
      <w:b/>
      <w:sz w:val="24"/>
    </w:rPr>
  </w:style>
  <w:style w:type="character" w:customStyle="1" w:styleId="80">
    <w:name w:val="标题 2 字符"/>
    <w:link w:val="4"/>
    <w:qFormat/>
    <w:uiPriority w:val="0"/>
    <w:rPr>
      <w:rFonts w:ascii="Arial" w:hAnsi="Arial" w:eastAsia="黑体"/>
      <w:b/>
      <w:bCs/>
      <w:kern w:val="2"/>
      <w:sz w:val="32"/>
      <w:szCs w:val="32"/>
    </w:rPr>
  </w:style>
  <w:style w:type="character" w:customStyle="1" w:styleId="81">
    <w:name w:val="正文文本 2 字符"/>
    <w:link w:val="49"/>
    <w:qFormat/>
    <w:uiPriority w:val="0"/>
    <w:rPr>
      <w:sz w:val="21"/>
    </w:rPr>
  </w:style>
  <w:style w:type="character" w:customStyle="1" w:styleId="82">
    <w:name w:val="页脚 字符"/>
    <w:link w:val="2"/>
    <w:qFormat/>
    <w:uiPriority w:val="99"/>
    <w:rPr>
      <w:rFonts w:ascii="宋体" w:hAnsi="Courier New"/>
      <w:kern w:val="2"/>
      <w:sz w:val="18"/>
    </w:rPr>
  </w:style>
  <w:style w:type="character" w:customStyle="1" w:styleId="83">
    <w:name w:val="纯文本 字符"/>
    <w:link w:val="28"/>
    <w:qFormat/>
    <w:uiPriority w:val="0"/>
    <w:rPr>
      <w:rFonts w:ascii="宋体" w:hAnsi="Courier New" w:eastAsia="宋体"/>
      <w:kern w:val="2"/>
      <w:sz w:val="21"/>
      <w:lang w:val="en-US" w:eastAsia="zh-CN" w:bidi="ar-SA"/>
    </w:rPr>
  </w:style>
  <w:style w:type="character" w:customStyle="1" w:styleId="84">
    <w:name w:val="Char Char Char"/>
    <w:qFormat/>
    <w:uiPriority w:val="0"/>
    <w:rPr>
      <w:rFonts w:ascii="宋体" w:hAnsi="Courier New" w:eastAsia="宋体"/>
      <w:kern w:val="2"/>
      <w:sz w:val="21"/>
      <w:lang w:val="en-US" w:eastAsia="zh-CN" w:bidi="ar-SA"/>
    </w:rPr>
  </w:style>
  <w:style w:type="character" w:customStyle="1" w:styleId="85">
    <w:name w:val="Char Char"/>
    <w:qFormat/>
    <w:uiPriority w:val="0"/>
    <w:rPr>
      <w:kern w:val="2"/>
      <w:sz w:val="18"/>
    </w:rPr>
  </w:style>
  <w:style w:type="character" w:customStyle="1" w:styleId="86">
    <w:name w:val="纯文本 Char1"/>
    <w:qFormat/>
    <w:uiPriority w:val="0"/>
    <w:rPr>
      <w:rFonts w:ascii="宋体" w:hAnsi="Courier New" w:eastAsia="宋体"/>
      <w:kern w:val="2"/>
      <w:sz w:val="21"/>
      <w:lang w:val="en-US" w:eastAsia="zh-CN" w:bidi="ar-SA"/>
    </w:rPr>
  </w:style>
  <w:style w:type="character" w:customStyle="1" w:styleId="87">
    <w:name w:val="尾注文本 字符"/>
    <w:basedOn w:val="56"/>
    <w:link w:val="33"/>
    <w:qFormat/>
    <w:uiPriority w:val="0"/>
  </w:style>
  <w:style w:type="character" w:customStyle="1" w:styleId="88">
    <w:name w:val="页眉 字符"/>
    <w:link w:val="35"/>
    <w:qFormat/>
    <w:uiPriority w:val="99"/>
    <w:rPr>
      <w:rFonts w:ascii="宋体" w:hAnsi="Courier New"/>
      <w:kern w:val="2"/>
      <w:sz w:val="18"/>
    </w:rPr>
  </w:style>
  <w:style w:type="character" w:customStyle="1" w:styleId="89">
    <w:name w:val="正文文本缩进 字符"/>
    <w:link w:val="22"/>
    <w:qFormat/>
    <w:uiPriority w:val="0"/>
    <w:rPr>
      <w:rFonts w:ascii="宋体" w:hAnsi="Courier New"/>
      <w:kern w:val="2"/>
      <w:sz w:val="24"/>
    </w:rPr>
  </w:style>
  <w:style w:type="character" w:customStyle="1" w:styleId="90">
    <w:name w:val="标题 3 字符"/>
    <w:link w:val="5"/>
    <w:qFormat/>
    <w:uiPriority w:val="0"/>
    <w:rPr>
      <w:rFonts w:ascii="宋体" w:hAnsi="宋体"/>
      <w:b/>
      <w:bCs/>
      <w:sz w:val="24"/>
      <w:szCs w:val="32"/>
    </w:rPr>
  </w:style>
  <w:style w:type="character" w:customStyle="1" w:styleId="91">
    <w:name w:val="日期 字符"/>
    <w:link w:val="31"/>
    <w:qFormat/>
    <w:uiPriority w:val="0"/>
    <w:rPr>
      <w:rFonts w:ascii="宋体" w:hAnsi="Courier New"/>
      <w:bCs/>
      <w:kern w:val="2"/>
      <w:sz w:val="21"/>
    </w:rPr>
  </w:style>
  <w:style w:type="character" w:customStyle="1" w:styleId="92">
    <w:name w:val="正文文本 字符"/>
    <w:link w:val="21"/>
    <w:qFormat/>
    <w:uiPriority w:val="0"/>
    <w:rPr>
      <w:kern w:val="2"/>
      <w:sz w:val="30"/>
    </w:rPr>
  </w:style>
  <w:style w:type="character" w:customStyle="1" w:styleId="93">
    <w:name w:val="标题 5 字符"/>
    <w:link w:val="7"/>
    <w:qFormat/>
    <w:uiPriority w:val="0"/>
    <w:rPr>
      <w:rFonts w:ascii="宋体" w:hAnsi="宋体"/>
      <w:b/>
      <w:sz w:val="24"/>
    </w:rPr>
  </w:style>
  <w:style w:type="character" w:customStyle="1" w:styleId="94">
    <w:name w:val="批注主题 字符"/>
    <w:link w:val="53"/>
    <w:qFormat/>
    <w:uiPriority w:val="0"/>
    <w:rPr>
      <w:rFonts w:ascii="宋体" w:hAnsi="Courier New"/>
      <w:b/>
      <w:bCs/>
      <w:kern w:val="2"/>
      <w:sz w:val="21"/>
    </w:rPr>
  </w:style>
  <w:style w:type="character" w:customStyle="1" w:styleId="95">
    <w:name w:val="Para head"/>
    <w:qFormat/>
    <w:uiPriority w:val="0"/>
    <w:rPr>
      <w:rFonts w:ascii="Arial" w:hAnsi="Arial" w:eastAsia="Times New Roman"/>
      <w:sz w:val="20"/>
    </w:rPr>
  </w:style>
  <w:style w:type="character" w:customStyle="1" w:styleId="96">
    <w:name w:val="正文文本 3 字符"/>
    <w:link w:val="20"/>
    <w:qFormat/>
    <w:uiPriority w:val="0"/>
    <w:rPr>
      <w:rFonts w:ascii="黑体" w:eastAsia="黑体"/>
      <w:kern w:val="2"/>
      <w:sz w:val="28"/>
    </w:rPr>
  </w:style>
  <w:style w:type="character" w:customStyle="1" w:styleId="97">
    <w:name w:val="标题 8 字符"/>
    <w:link w:val="10"/>
    <w:qFormat/>
    <w:uiPriority w:val="0"/>
    <w:rPr>
      <w:rFonts w:ascii="Arial" w:hAnsi="Arial" w:eastAsia="黑体"/>
      <w:sz w:val="24"/>
    </w:rPr>
  </w:style>
  <w:style w:type="character" w:customStyle="1" w:styleId="98">
    <w:name w:val="标题3 Char Char"/>
    <w:link w:val="99"/>
    <w:qFormat/>
    <w:uiPriority w:val="0"/>
    <w:rPr>
      <w:rFonts w:ascii="宋体" w:hAnsi="宋体" w:eastAsia="楷体_GB2312"/>
      <w:bCs/>
      <w:kern w:val="44"/>
      <w:sz w:val="28"/>
      <w:szCs w:val="24"/>
    </w:rPr>
  </w:style>
  <w:style w:type="paragraph" w:customStyle="1" w:styleId="99">
    <w:name w:val="标题3"/>
    <w:basedOn w:val="3"/>
    <w:link w:val="98"/>
    <w:qFormat/>
    <w:uiPriority w:val="0"/>
    <w:pPr>
      <w:spacing w:beforeLines="50" w:afterLines="50" w:line="400" w:lineRule="exact"/>
      <w:jc w:val="center"/>
    </w:pPr>
    <w:rPr>
      <w:rFonts w:hAnsi="宋体" w:eastAsia="楷体_GB2312"/>
      <w:b w:val="0"/>
      <w:sz w:val="28"/>
      <w:szCs w:val="24"/>
    </w:rPr>
  </w:style>
  <w:style w:type="character" w:customStyle="1" w:styleId="100">
    <w:name w:val="普通文字 Char Char2"/>
    <w:qFormat/>
    <w:uiPriority w:val="0"/>
    <w:rPr>
      <w:rFonts w:ascii="宋体" w:hAnsi="Courier New" w:eastAsia="宋体"/>
      <w:kern w:val="2"/>
      <w:sz w:val="21"/>
      <w:lang w:val="en-US" w:eastAsia="zh-CN" w:bidi="ar-SA"/>
    </w:rPr>
  </w:style>
  <w:style w:type="paragraph" w:customStyle="1" w:styleId="101">
    <w:name w:val="_Style 73"/>
    <w:next w:val="1"/>
    <w:qFormat/>
    <w:uiPriority w:val="0"/>
    <w:pPr>
      <w:widowControl w:val="0"/>
      <w:jc w:val="both"/>
    </w:pPr>
    <w:rPr>
      <w:rFonts w:ascii="宋体" w:hAnsi="Courier New" w:eastAsia="宋体" w:cs="Times New Roman"/>
      <w:kern w:val="2"/>
      <w:sz w:val="21"/>
      <w:lang w:val="en-US" w:eastAsia="zh-CN" w:bidi="ar-SA"/>
    </w:rPr>
  </w:style>
  <w:style w:type="paragraph" w:customStyle="1" w:styleId="102">
    <w:name w:val="ǲ页1"/>
    <w:basedOn w:val="4"/>
    <w:qFormat/>
    <w:uiPriority w:val="0"/>
    <w:pPr>
      <w:widowControl/>
      <w:spacing w:before="0" w:after="0" w:line="360" w:lineRule="auto"/>
      <w:jc w:val="center"/>
    </w:pPr>
    <w:rPr>
      <w:rFonts w:ascii="黑体" w:hAnsi="宋体" w:eastAsia="宋体"/>
      <w:b w:val="0"/>
      <w:bCs w:val="0"/>
      <w:color w:val="000000"/>
      <w:kern w:val="0"/>
      <w:sz w:val="52"/>
      <w:szCs w:val="20"/>
    </w:rPr>
  </w:style>
  <w:style w:type="paragraph" w:customStyle="1" w:styleId="103">
    <w:name w:val="Char"/>
    <w:basedOn w:val="1"/>
    <w:qFormat/>
    <w:uiPriority w:val="0"/>
    <w:rPr>
      <w:rFonts w:ascii="Times New Roman" w:hAnsi="Times New Roman"/>
      <w:szCs w:val="24"/>
    </w:rPr>
  </w:style>
  <w:style w:type="paragraph" w:customStyle="1" w:styleId="104">
    <w:name w:val="1"/>
    <w:basedOn w:val="1"/>
    <w:next w:val="28"/>
    <w:qFormat/>
    <w:uiPriority w:val="0"/>
  </w:style>
  <w:style w:type="paragraph" w:customStyle="1" w:styleId="105">
    <w:name w:val="Char Char Char Char"/>
    <w:basedOn w:val="1"/>
    <w:qFormat/>
    <w:uiPriority w:val="0"/>
    <w:pPr>
      <w:widowControl/>
      <w:spacing w:after="160" w:line="240" w:lineRule="exact"/>
      <w:jc w:val="left"/>
    </w:pPr>
    <w:rPr>
      <w:rFonts w:ascii="Times New Roman" w:hAnsi="Times New Roman"/>
      <w:szCs w:val="24"/>
    </w:rPr>
  </w:style>
  <w:style w:type="paragraph" w:customStyle="1" w:styleId="106">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07">
    <w:name w:val="样式1"/>
    <w:basedOn w:val="1"/>
    <w:qFormat/>
    <w:uiPriority w:val="0"/>
    <w:pPr>
      <w:spacing w:before="120" w:after="120" w:line="300" w:lineRule="auto"/>
    </w:pPr>
    <w:rPr>
      <w:rFonts w:hAnsi="宋体"/>
      <w:b/>
      <w:sz w:val="24"/>
    </w:rPr>
  </w:style>
  <w:style w:type="paragraph" w:customStyle="1" w:styleId="108">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styleId="109">
    <w:name w:val="List Paragraph"/>
    <w:basedOn w:val="1"/>
    <w:qFormat/>
    <w:uiPriority w:val="0"/>
    <w:pPr>
      <w:widowControl/>
      <w:ind w:firstLine="420" w:firstLineChars="200"/>
      <w:jc w:val="left"/>
    </w:pPr>
    <w:rPr>
      <w:rFonts w:ascii="Calibri" w:hAnsi="Calibri"/>
      <w:sz w:val="20"/>
      <w:szCs w:val="22"/>
    </w:rPr>
  </w:style>
  <w:style w:type="paragraph" w:customStyle="1" w:styleId="110">
    <w:name w:val="Char Char Char Char Char Char Char Char Char Char Char Char Char Char Char Char"/>
    <w:basedOn w:val="1"/>
    <w:qFormat/>
    <w:uiPriority w:val="0"/>
    <w:pPr>
      <w:tabs>
        <w:tab w:val="left" w:pos="360"/>
      </w:tabs>
      <w:spacing w:line="360" w:lineRule="auto"/>
      <w:ind w:left="482" w:firstLine="200" w:firstLineChars="200"/>
    </w:pPr>
    <w:rPr>
      <w:rFonts w:hAnsi="Times New Roman"/>
      <w:sz w:val="24"/>
      <w:szCs w:val="24"/>
    </w:rPr>
  </w:style>
  <w:style w:type="paragraph" w:customStyle="1" w:styleId="11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12">
    <w:name w:val="菲页1"/>
    <w:basedOn w:val="4"/>
    <w:qFormat/>
    <w:uiPriority w:val="0"/>
    <w:pPr>
      <w:widowControl/>
      <w:spacing w:before="0" w:after="0" w:line="360" w:lineRule="auto"/>
      <w:jc w:val="center"/>
    </w:pPr>
    <w:rPr>
      <w:rFonts w:ascii="黑体" w:hAnsi="宋体" w:eastAsia="宋体"/>
      <w:b w:val="0"/>
      <w:bCs w:val="0"/>
      <w:color w:val="000000"/>
      <w:kern w:val="0"/>
      <w:sz w:val="52"/>
      <w:szCs w:val="20"/>
    </w:rPr>
  </w:style>
  <w:style w:type="paragraph" w:customStyle="1" w:styleId="113">
    <w:name w:val="默认段落字体 Para Char Char Char Char Char Char Char Char Char Char"/>
    <w:basedOn w:val="1"/>
    <w:qFormat/>
    <w:uiPriority w:val="0"/>
    <w:rPr>
      <w:rFonts w:ascii="Tahoma" w:hAnsi="Tahoma"/>
      <w:sz w:val="24"/>
      <w:szCs w:val="24"/>
      <w:u w:val="single"/>
    </w:rPr>
  </w:style>
  <w:style w:type="paragraph" w:customStyle="1" w:styleId="114">
    <w:name w:val="菲页2"/>
    <w:basedOn w:val="5"/>
    <w:qFormat/>
    <w:uiPriority w:val="0"/>
    <w:pPr>
      <w:widowControl/>
      <w:spacing w:beforeLines="100" w:afterLines="50" w:line="360" w:lineRule="auto"/>
      <w:jc w:val="center"/>
    </w:pPr>
    <w:rPr>
      <w:rFonts w:ascii="黑体" w:eastAsia="黑体"/>
      <w:b w:val="0"/>
      <w:bCs w:val="0"/>
      <w:color w:val="000000"/>
      <w:sz w:val="44"/>
      <w:szCs w:val="20"/>
    </w:rPr>
  </w:style>
  <w:style w:type="paragraph" w:customStyle="1" w:styleId="115">
    <w:name w:val="目录文字"/>
    <w:basedOn w:val="1"/>
    <w:qFormat/>
    <w:uiPriority w:val="0"/>
    <w:pPr>
      <w:widowControl/>
      <w:spacing w:line="480" w:lineRule="auto"/>
      <w:jc w:val="left"/>
    </w:pPr>
    <w:rPr>
      <w:rFonts w:hAnsi="宋体"/>
      <w:kern w:val="0"/>
      <w:sz w:val="24"/>
    </w:rPr>
  </w:style>
  <w:style w:type="paragraph" w:customStyle="1" w:styleId="116">
    <w:name w:val="菲页(卷)"/>
    <w:basedOn w:val="3"/>
    <w:next w:val="117"/>
    <w:qFormat/>
    <w:uiPriority w:val="0"/>
    <w:pPr>
      <w:keepLines w:val="0"/>
      <w:widowControl/>
      <w:tabs>
        <w:tab w:val="left" w:pos="840"/>
      </w:tabs>
      <w:spacing w:before="0" w:after="0" w:line="240" w:lineRule="auto"/>
      <w:ind w:left="840" w:hanging="420"/>
      <w:jc w:val="center"/>
      <w:outlineLvl w:val="1"/>
    </w:pPr>
    <w:rPr>
      <w:rFonts w:ascii="黑体" w:hAnsi="Times New Roman" w:eastAsia="黑体"/>
      <w:b w:val="0"/>
      <w:bCs w:val="0"/>
      <w:kern w:val="0"/>
      <w:sz w:val="52"/>
      <w:szCs w:val="20"/>
    </w:rPr>
  </w:style>
  <w:style w:type="paragraph" w:customStyle="1" w:styleId="11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8">
    <w:name w:val="批注框文本 Char Char"/>
    <w:basedOn w:val="1"/>
    <w:qFormat/>
    <w:uiPriority w:val="0"/>
    <w:rPr>
      <w:rFonts w:ascii="Times New Roman" w:hAnsi="Times New Roman"/>
      <w:sz w:val="18"/>
    </w:rPr>
  </w:style>
  <w:style w:type="paragraph" w:customStyle="1" w:styleId="119">
    <w:name w:val="样式 标题 2 + 小四 行距: 固定值 24 磅"/>
    <w:basedOn w:val="4"/>
    <w:qFormat/>
    <w:uiPriority w:val="0"/>
    <w:pPr>
      <w:spacing w:line="480" w:lineRule="exact"/>
    </w:pPr>
    <w:rPr>
      <w:rFonts w:eastAsia="宋体" w:cs="宋体"/>
      <w:kern w:val="0"/>
      <w:sz w:val="24"/>
      <w:szCs w:val="24"/>
    </w:rPr>
  </w:style>
  <w:style w:type="paragraph" w:customStyle="1" w:styleId="120">
    <w:name w:val="Char1 Char Char Char Char Char Char"/>
    <w:basedOn w:val="1"/>
    <w:qFormat/>
    <w:uiPriority w:val="0"/>
    <w:rPr>
      <w:rFonts w:ascii="Times New Roman" w:hAnsi="Times New Roman"/>
      <w:szCs w:val="24"/>
    </w:rPr>
  </w:style>
  <w:style w:type="paragraph" w:customStyle="1" w:styleId="121">
    <w:name w:val="目录"/>
    <w:basedOn w:val="1"/>
    <w:qFormat/>
    <w:uiPriority w:val="0"/>
    <w:pPr>
      <w:widowControl/>
      <w:jc w:val="center"/>
    </w:pPr>
    <w:rPr>
      <w:rFonts w:hAnsi="Times New Roman"/>
      <w:b/>
      <w:kern w:val="0"/>
      <w:sz w:val="36"/>
    </w:rPr>
  </w:style>
  <w:style w:type="paragraph" w:customStyle="1" w:styleId="122">
    <w:name w:val="2-2ji"/>
    <w:basedOn w:val="4"/>
    <w:qFormat/>
    <w:uiPriority w:val="0"/>
    <w:pPr>
      <w:tabs>
        <w:tab w:val="left" w:pos="1140"/>
      </w:tabs>
      <w:adjustRightInd w:val="0"/>
      <w:spacing w:before="0" w:after="0" w:line="360" w:lineRule="auto"/>
      <w:jc w:val="center"/>
      <w:textAlignment w:val="baseline"/>
    </w:pPr>
    <w:rPr>
      <w:rFonts w:ascii="宋体" w:hAnsi="宋体" w:eastAsia="宋体"/>
      <w:bCs w:val="0"/>
      <w:kern w:val="0"/>
      <w:szCs w:val="20"/>
    </w:rPr>
  </w:style>
  <w:style w:type="paragraph" w:customStyle="1" w:styleId="123">
    <w:name w:val="Default Paragraph Font Para Char Char Char Char Char Char"/>
    <w:basedOn w:val="1"/>
    <w:qFormat/>
    <w:uiPriority w:val="0"/>
    <w:pPr>
      <w:widowControl/>
      <w:spacing w:after="160" w:line="240" w:lineRule="exact"/>
      <w:jc w:val="left"/>
    </w:pPr>
    <w:rPr>
      <w:rFonts w:ascii="Times New Roman" w:hAnsi="Times New Roman"/>
    </w:rPr>
  </w:style>
  <w:style w:type="paragraph" w:styleId="1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TOC 标题1"/>
    <w:basedOn w:val="3"/>
    <w:next w:val="1"/>
    <w:unhideWhenUsed/>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26">
    <w:name w:val="明显强调1"/>
    <w:qFormat/>
    <w:uiPriority w:val="0"/>
    <w:rPr>
      <w:b/>
      <w:bCs/>
      <w:i/>
      <w:iCs/>
      <w:color w:val="4F81BD"/>
    </w:rPr>
  </w:style>
  <w:style w:type="character" w:customStyle="1" w:styleId="127">
    <w:name w:val="Heading 3 Char1"/>
    <w:qFormat/>
    <w:uiPriority w:val="0"/>
    <w:rPr>
      <w:rFonts w:eastAsia="宋体"/>
      <w:b/>
      <w:bCs/>
      <w:kern w:val="2"/>
      <w:sz w:val="24"/>
      <w:szCs w:val="32"/>
      <w:lang w:val="en-US" w:eastAsia="zh-CN" w:bidi="ar-SA"/>
    </w:rPr>
  </w:style>
  <w:style w:type="character" w:customStyle="1" w:styleId="128">
    <w:name w:val="Balloon Text Char"/>
    <w:qFormat/>
    <w:uiPriority w:val="0"/>
    <w:rPr>
      <w:sz w:val="18"/>
      <w:lang w:bidi="ar-SA"/>
    </w:rPr>
  </w:style>
  <w:style w:type="character" w:customStyle="1" w:styleId="129">
    <w:name w:val="Char Char18"/>
    <w:qFormat/>
    <w:uiPriority w:val="0"/>
    <w:rPr>
      <w:rFonts w:ascii="Times New Roman" w:hAnsi="Times New Roman" w:eastAsia="宋体" w:cs="Times New Roman"/>
      <w:b/>
      <w:bCs/>
      <w:sz w:val="28"/>
      <w:szCs w:val="28"/>
    </w:rPr>
  </w:style>
  <w:style w:type="character" w:customStyle="1" w:styleId="130">
    <w:name w:val="书籍标题1"/>
    <w:qFormat/>
    <w:uiPriority w:val="0"/>
    <w:rPr>
      <w:b/>
      <w:bCs/>
      <w:smallCaps/>
      <w:spacing w:val="5"/>
    </w:rPr>
  </w:style>
  <w:style w:type="character" w:customStyle="1" w:styleId="131">
    <w:name w:val="批注主题 Char1"/>
    <w:qFormat/>
    <w:uiPriority w:val="0"/>
    <w:rPr>
      <w:rFonts w:ascii="Times New Roman" w:hAnsi="Times New Roman" w:eastAsia="宋体" w:cs="Times New Roman"/>
      <w:b/>
      <w:bCs/>
      <w:szCs w:val="24"/>
    </w:rPr>
  </w:style>
  <w:style w:type="character" w:customStyle="1" w:styleId="132">
    <w:name w:val="Char Char20"/>
    <w:qFormat/>
    <w:uiPriority w:val="0"/>
    <w:rPr>
      <w:rFonts w:ascii="Times New Roman" w:hAnsi="Times New Roman" w:eastAsia="宋体" w:cs="Times New Roman"/>
      <w:b/>
      <w:bCs/>
      <w:sz w:val="24"/>
      <w:szCs w:val="32"/>
    </w:rPr>
  </w:style>
  <w:style w:type="character" w:customStyle="1" w:styleId="133">
    <w:name w:val="Footer Char"/>
    <w:qFormat/>
    <w:uiPriority w:val="0"/>
    <w:rPr>
      <w:rFonts w:eastAsia="宋体"/>
      <w:kern w:val="2"/>
      <w:sz w:val="18"/>
      <w:szCs w:val="18"/>
      <w:lang w:val="en-US" w:eastAsia="zh-CN" w:bidi="ar-SA"/>
    </w:rPr>
  </w:style>
  <w:style w:type="character" w:customStyle="1" w:styleId="134">
    <w:name w:val="Body Text Indent 2 Char"/>
    <w:qFormat/>
    <w:uiPriority w:val="0"/>
    <w:rPr>
      <w:rFonts w:eastAsia="宋体"/>
      <w:kern w:val="2"/>
      <w:sz w:val="21"/>
      <w:szCs w:val="24"/>
      <w:lang w:val="en-US" w:eastAsia="zh-CN" w:bidi="ar-SA"/>
    </w:rPr>
  </w:style>
  <w:style w:type="character" w:customStyle="1" w:styleId="135">
    <w:name w:val="Comment Text Char"/>
    <w:qFormat/>
    <w:uiPriority w:val="0"/>
    <w:rPr>
      <w:rFonts w:cs="Times New Roman"/>
      <w:sz w:val="24"/>
      <w:szCs w:val="24"/>
    </w:rPr>
  </w:style>
  <w:style w:type="character" w:customStyle="1" w:styleId="136">
    <w:name w:val="Char Char23"/>
    <w:qFormat/>
    <w:uiPriority w:val="0"/>
    <w:rPr>
      <w:rFonts w:eastAsia="宋体"/>
      <w:b/>
      <w:bCs/>
      <w:kern w:val="44"/>
      <w:sz w:val="32"/>
      <w:szCs w:val="44"/>
      <w:lang w:val="en-US" w:eastAsia="zh-CN" w:bidi="ar-SA"/>
    </w:rPr>
  </w:style>
  <w:style w:type="character" w:customStyle="1" w:styleId="137">
    <w:name w:val="不明显强调1"/>
    <w:qFormat/>
    <w:uiPriority w:val="0"/>
    <w:rPr>
      <w:i/>
      <w:iCs/>
      <w:color w:val="808080"/>
    </w:rPr>
  </w:style>
  <w:style w:type="character" w:customStyle="1" w:styleId="138">
    <w:name w:val="标题4 Char Char"/>
    <w:link w:val="139"/>
    <w:qFormat/>
    <w:uiPriority w:val="0"/>
    <w:rPr>
      <w:rFonts w:ascii="Arial" w:hAnsi="Arial"/>
      <w:b/>
      <w:bCs/>
      <w:sz w:val="24"/>
      <w:szCs w:val="32"/>
    </w:rPr>
  </w:style>
  <w:style w:type="paragraph" w:customStyle="1" w:styleId="139">
    <w:name w:val="标题4"/>
    <w:basedOn w:val="4"/>
    <w:next w:val="25"/>
    <w:link w:val="138"/>
    <w:qFormat/>
    <w:uiPriority w:val="0"/>
    <w:pPr>
      <w:spacing w:before="60" w:after="60" w:line="413" w:lineRule="auto"/>
    </w:pPr>
    <w:rPr>
      <w:rFonts w:eastAsia="宋体"/>
      <w:kern w:val="0"/>
      <w:sz w:val="24"/>
    </w:rPr>
  </w:style>
  <w:style w:type="character" w:customStyle="1" w:styleId="140">
    <w:name w:val="标题 Char2"/>
    <w:qFormat/>
    <w:uiPriority w:val="0"/>
    <w:rPr>
      <w:rFonts w:ascii="Cambria" w:hAnsi="Cambria" w:eastAsia="宋体" w:cs="Times New Roman"/>
      <w:b/>
      <w:bCs/>
      <w:sz w:val="32"/>
      <w:szCs w:val="32"/>
    </w:rPr>
  </w:style>
  <w:style w:type="character" w:customStyle="1" w:styleId="141">
    <w:name w:val="Char Char22"/>
    <w:qFormat/>
    <w:uiPriority w:val="0"/>
    <w:rPr>
      <w:rFonts w:ascii="Times New Roman" w:hAnsi="Times New Roman" w:eastAsia="宋体" w:cs="Times New Roman"/>
      <w:b/>
      <w:bCs/>
      <w:kern w:val="44"/>
      <w:sz w:val="32"/>
      <w:szCs w:val="44"/>
    </w:rPr>
  </w:style>
  <w:style w:type="character" w:customStyle="1" w:styleId="142">
    <w:name w:val="Heading 1 Char"/>
    <w:qFormat/>
    <w:uiPriority w:val="0"/>
    <w:rPr>
      <w:rFonts w:eastAsia="宋体"/>
      <w:b/>
      <w:bCs/>
      <w:kern w:val="44"/>
      <w:sz w:val="32"/>
      <w:szCs w:val="44"/>
      <w:lang w:val="en-US" w:eastAsia="zh-CN" w:bidi="ar-SA"/>
    </w:rPr>
  </w:style>
  <w:style w:type="character" w:customStyle="1" w:styleId="143">
    <w:name w:val="明显引用 Char"/>
    <w:qFormat/>
    <w:uiPriority w:val="0"/>
    <w:rPr>
      <w:b/>
      <w:bCs/>
      <w:i/>
      <w:iCs/>
      <w:color w:val="4F81BD"/>
    </w:rPr>
  </w:style>
  <w:style w:type="paragraph" w:styleId="144">
    <w:name w:val="Intense Quote"/>
    <w:basedOn w:val="1"/>
    <w:next w:val="1"/>
    <w:link w:val="182"/>
    <w:qFormat/>
    <w:uiPriority w:val="0"/>
    <w:pPr>
      <w:pBdr>
        <w:bottom w:val="single" w:color="4F81BD" w:sz="4" w:space="4"/>
      </w:pBdr>
      <w:spacing w:before="200" w:after="280"/>
      <w:ind w:left="936" w:right="936"/>
    </w:pPr>
    <w:rPr>
      <w:rFonts w:ascii="Times New Roman" w:hAnsi="Times New Roman"/>
      <w:b/>
      <w:bCs/>
      <w:i/>
      <w:iCs/>
      <w:color w:val="4F81BD"/>
      <w:kern w:val="0"/>
      <w:sz w:val="20"/>
    </w:rPr>
  </w:style>
  <w:style w:type="character" w:customStyle="1" w:styleId="145">
    <w:name w:val="Char Char9"/>
    <w:qFormat/>
    <w:uiPriority w:val="0"/>
    <w:rPr>
      <w:rFonts w:eastAsia="宋体"/>
      <w:b/>
      <w:bCs/>
      <w:kern w:val="44"/>
      <w:sz w:val="32"/>
      <w:szCs w:val="44"/>
      <w:lang w:val="en-US" w:eastAsia="zh-CN" w:bidi="ar-SA"/>
    </w:rPr>
  </w:style>
  <w:style w:type="character" w:customStyle="1" w:styleId="146">
    <w:name w:val="不明显参考1"/>
    <w:qFormat/>
    <w:uiPriority w:val="0"/>
    <w:rPr>
      <w:smallCaps/>
      <w:color w:val="C0504D"/>
      <w:u w:val="single"/>
    </w:rPr>
  </w:style>
  <w:style w:type="character" w:customStyle="1" w:styleId="147">
    <w:name w:val="批注框文本 Char1"/>
    <w:qFormat/>
    <w:uiPriority w:val="0"/>
    <w:rPr>
      <w:rFonts w:ascii="Times New Roman" w:hAnsi="Times New Roman" w:eastAsia="宋体" w:cs="Times New Roman"/>
      <w:sz w:val="18"/>
      <w:szCs w:val="18"/>
    </w:rPr>
  </w:style>
  <w:style w:type="character" w:customStyle="1" w:styleId="148">
    <w:name w:val="Char Char21"/>
    <w:qFormat/>
    <w:uiPriority w:val="0"/>
    <w:rPr>
      <w:rFonts w:ascii="Arial" w:hAnsi="Arial" w:eastAsia="黑体" w:cs="Times New Roman"/>
      <w:b/>
      <w:bCs/>
      <w:sz w:val="32"/>
      <w:szCs w:val="32"/>
    </w:rPr>
  </w:style>
  <w:style w:type="character" w:customStyle="1" w:styleId="149">
    <w:name w:val="文档结构图 Char1"/>
    <w:qFormat/>
    <w:uiPriority w:val="0"/>
    <w:rPr>
      <w:rFonts w:ascii="宋体" w:hAnsi="Times New Roman" w:eastAsia="宋体" w:cs="Times New Roman"/>
      <w:sz w:val="18"/>
      <w:szCs w:val="18"/>
    </w:rPr>
  </w:style>
  <w:style w:type="character" w:customStyle="1" w:styleId="150">
    <w:name w:val="引用 Char"/>
    <w:qFormat/>
    <w:uiPriority w:val="0"/>
    <w:rPr>
      <w:i/>
      <w:iCs/>
      <w:color w:val="000000"/>
    </w:rPr>
  </w:style>
  <w:style w:type="paragraph" w:styleId="151">
    <w:name w:val="Quote"/>
    <w:basedOn w:val="1"/>
    <w:next w:val="1"/>
    <w:link w:val="194"/>
    <w:qFormat/>
    <w:uiPriority w:val="0"/>
    <w:rPr>
      <w:rFonts w:ascii="Times New Roman" w:hAnsi="Times New Roman"/>
      <w:i/>
      <w:iCs/>
      <w:color w:val="000000"/>
      <w:kern w:val="0"/>
      <w:sz w:val="20"/>
    </w:rPr>
  </w:style>
  <w:style w:type="character" w:customStyle="1" w:styleId="152">
    <w:name w:val="Comment Subject Char"/>
    <w:qFormat/>
    <w:uiPriority w:val="0"/>
    <w:rPr>
      <w:b/>
      <w:sz w:val="24"/>
      <w:lang w:bidi="ar-SA"/>
    </w:rPr>
  </w:style>
  <w:style w:type="character" w:customStyle="1" w:styleId="153">
    <w:name w:val="Title Char"/>
    <w:qFormat/>
    <w:uiPriority w:val="0"/>
    <w:rPr>
      <w:rFonts w:ascii="Cambria" w:hAnsi="Cambria"/>
      <w:b/>
      <w:sz w:val="32"/>
      <w:lang w:bidi="ar-SA"/>
    </w:rPr>
  </w:style>
  <w:style w:type="character" w:customStyle="1" w:styleId="154">
    <w:name w:val="Heading 5 Char"/>
    <w:qFormat/>
    <w:uiPriority w:val="0"/>
    <w:rPr>
      <w:rFonts w:eastAsia="宋体"/>
      <w:b/>
      <w:bCs/>
      <w:kern w:val="2"/>
      <w:sz w:val="28"/>
      <w:szCs w:val="28"/>
      <w:lang w:val="en-US" w:eastAsia="zh-CN" w:bidi="ar-SA"/>
    </w:rPr>
  </w:style>
  <w:style w:type="character" w:customStyle="1" w:styleId="155">
    <w:name w:val="Body Text Indent Char"/>
    <w:qFormat/>
    <w:uiPriority w:val="0"/>
    <w:rPr>
      <w:rFonts w:ascii="宋体" w:hAnsi="宋体" w:eastAsia="宋体"/>
      <w:kern w:val="2"/>
      <w:sz w:val="21"/>
      <w:lang w:val="en-US" w:eastAsia="zh-CN" w:bidi="ar-SA"/>
    </w:rPr>
  </w:style>
  <w:style w:type="character" w:customStyle="1" w:styleId="156">
    <w:name w:val="批注文字 Char Char"/>
    <w:qFormat/>
    <w:uiPriority w:val="0"/>
    <w:rPr>
      <w:rFonts w:ascii="宋体" w:hAnsi="Times New Roman" w:eastAsia="宋体" w:cs="Times New Roman"/>
      <w:sz w:val="28"/>
      <w:szCs w:val="20"/>
    </w:rPr>
  </w:style>
  <w:style w:type="character" w:customStyle="1" w:styleId="157">
    <w:name w:val="Footnote Text Char"/>
    <w:qFormat/>
    <w:uiPriority w:val="0"/>
    <w:rPr>
      <w:rFonts w:eastAsia="宋体"/>
      <w:sz w:val="18"/>
      <w:lang w:val="en-US" w:eastAsia="zh-CN" w:bidi="ar-SA"/>
    </w:rPr>
  </w:style>
  <w:style w:type="character" w:customStyle="1" w:styleId="158">
    <w:name w:val="引用 Char1"/>
    <w:qFormat/>
    <w:uiPriority w:val="0"/>
    <w:rPr>
      <w:rFonts w:ascii="Times New Roman" w:hAnsi="Times New Roman" w:eastAsia="宋体" w:cs="Times New Roman"/>
      <w:i/>
      <w:iCs/>
      <w:color w:val="000000"/>
      <w:szCs w:val="24"/>
    </w:rPr>
  </w:style>
  <w:style w:type="character" w:customStyle="1" w:styleId="159">
    <w:name w:val="标题 Char1"/>
    <w:qFormat/>
    <w:uiPriority w:val="0"/>
    <w:rPr>
      <w:rFonts w:ascii="Cambria" w:hAnsi="Cambria" w:eastAsia="宋体" w:cs="Times New Roman"/>
      <w:b/>
      <w:bCs/>
      <w:sz w:val="32"/>
      <w:szCs w:val="32"/>
    </w:rPr>
  </w:style>
  <w:style w:type="character" w:customStyle="1" w:styleId="160">
    <w:name w:val="Document Map Char"/>
    <w:qFormat/>
    <w:uiPriority w:val="0"/>
    <w:rPr>
      <w:rFonts w:eastAsia="宋体"/>
      <w:kern w:val="2"/>
      <w:sz w:val="21"/>
      <w:szCs w:val="24"/>
      <w:lang w:val="en-US" w:eastAsia="zh-CN" w:bidi="ar-SA"/>
    </w:rPr>
  </w:style>
  <w:style w:type="character" w:customStyle="1" w:styleId="161">
    <w:name w:val="Date Char"/>
    <w:qFormat/>
    <w:uiPriority w:val="0"/>
    <w:rPr>
      <w:rFonts w:eastAsia="宋体"/>
      <w:kern w:val="2"/>
      <w:sz w:val="21"/>
      <w:szCs w:val="24"/>
      <w:lang w:val="en-US" w:eastAsia="zh-CN" w:bidi="ar-SA"/>
    </w:rPr>
  </w:style>
  <w:style w:type="character" w:customStyle="1" w:styleId="162">
    <w:name w:val="日期 Char1"/>
    <w:qFormat/>
    <w:uiPriority w:val="0"/>
    <w:rPr>
      <w:rFonts w:ascii="Times New Roman" w:hAnsi="Times New Roman" w:eastAsia="宋体" w:cs="Times New Roman"/>
      <w:szCs w:val="24"/>
    </w:rPr>
  </w:style>
  <w:style w:type="character" w:customStyle="1" w:styleId="163">
    <w:name w:val="Header Char"/>
    <w:qFormat/>
    <w:uiPriority w:val="0"/>
    <w:rPr>
      <w:rFonts w:eastAsia="宋体"/>
      <w:kern w:val="2"/>
      <w:sz w:val="18"/>
      <w:szCs w:val="18"/>
      <w:lang w:val="en-US" w:eastAsia="zh-CN" w:bidi="ar-SA"/>
    </w:rPr>
  </w:style>
  <w:style w:type="character" w:customStyle="1" w:styleId="164">
    <w:name w:val="标题 Char"/>
    <w:qFormat/>
    <w:uiPriority w:val="0"/>
    <w:rPr>
      <w:rFonts w:ascii="Cambria" w:hAnsi="Cambria"/>
      <w:b/>
      <w:bCs/>
      <w:kern w:val="2"/>
      <w:sz w:val="32"/>
      <w:szCs w:val="32"/>
    </w:rPr>
  </w:style>
  <w:style w:type="character" w:customStyle="1" w:styleId="165">
    <w:name w:val="明显参考1"/>
    <w:qFormat/>
    <w:uiPriority w:val="0"/>
    <w:rPr>
      <w:b/>
      <w:bCs/>
      <w:smallCaps/>
      <w:color w:val="C0504D"/>
      <w:spacing w:val="5"/>
      <w:u w:val="single"/>
    </w:rPr>
  </w:style>
  <w:style w:type="character" w:customStyle="1" w:styleId="166">
    <w:name w:val="textcontents"/>
    <w:qFormat/>
    <w:uiPriority w:val="0"/>
    <w:rPr>
      <w:rFonts w:cs="Times New Roman"/>
    </w:rPr>
  </w:style>
  <w:style w:type="character" w:customStyle="1" w:styleId="167">
    <w:name w:val="Char Char19"/>
    <w:qFormat/>
    <w:uiPriority w:val="0"/>
    <w:rPr>
      <w:rFonts w:ascii="Arial" w:hAnsi="Arial" w:eastAsia="宋体" w:cs="Times New Roman"/>
      <w:b/>
      <w:bCs/>
      <w:szCs w:val="28"/>
    </w:rPr>
  </w:style>
  <w:style w:type="character" w:customStyle="1" w:styleId="168">
    <w:name w:val="批注文字 Char2"/>
    <w:qFormat/>
    <w:uiPriority w:val="0"/>
    <w:rPr>
      <w:kern w:val="2"/>
      <w:sz w:val="21"/>
      <w:szCs w:val="24"/>
      <w:lang w:bidi="ar-SA"/>
    </w:rPr>
  </w:style>
  <w:style w:type="character" w:customStyle="1" w:styleId="169">
    <w:name w:val="正文文本 Char1"/>
    <w:qFormat/>
    <w:uiPriority w:val="0"/>
    <w:rPr>
      <w:kern w:val="2"/>
      <w:sz w:val="21"/>
      <w:szCs w:val="22"/>
    </w:rPr>
  </w:style>
  <w:style w:type="character" w:customStyle="1" w:styleId="170">
    <w:name w:val="Plain Text Char"/>
    <w:qFormat/>
    <w:uiPriority w:val="0"/>
    <w:rPr>
      <w:rFonts w:ascii="宋体" w:hAnsi="Courier New" w:eastAsia="宋体"/>
      <w:sz w:val="24"/>
      <w:lang w:bidi="ar-SA"/>
    </w:rPr>
  </w:style>
  <w:style w:type="character" w:customStyle="1" w:styleId="171">
    <w:name w:val="明显引用 Char1"/>
    <w:qFormat/>
    <w:uiPriority w:val="0"/>
    <w:rPr>
      <w:rFonts w:ascii="Times New Roman" w:hAnsi="Times New Roman" w:eastAsia="宋体" w:cs="Times New Roman"/>
      <w:b/>
      <w:bCs/>
      <w:i/>
      <w:iCs/>
      <w:color w:val="4F81BD"/>
      <w:szCs w:val="24"/>
    </w:rPr>
  </w:style>
  <w:style w:type="character" w:customStyle="1" w:styleId="172">
    <w:name w:val="Heading 2 Char"/>
    <w:qFormat/>
    <w:uiPriority w:val="0"/>
    <w:rPr>
      <w:rFonts w:ascii="Arial" w:hAnsi="Arial" w:eastAsia="黑体"/>
      <w:b/>
      <w:bCs/>
      <w:kern w:val="2"/>
      <w:sz w:val="32"/>
      <w:szCs w:val="32"/>
      <w:lang w:val="en-US" w:eastAsia="zh-CN" w:bidi="ar-SA"/>
    </w:rPr>
  </w:style>
  <w:style w:type="character" w:customStyle="1" w:styleId="173">
    <w:name w:val="Heading 3 Char"/>
    <w:qFormat/>
    <w:uiPriority w:val="0"/>
    <w:rPr>
      <w:rFonts w:cs="Times New Roman"/>
      <w:b/>
      <w:bCs/>
      <w:kern w:val="2"/>
      <w:sz w:val="32"/>
      <w:szCs w:val="32"/>
    </w:rPr>
  </w:style>
  <w:style w:type="character" w:customStyle="1" w:styleId="174">
    <w:name w:val="Comment Text Char1"/>
    <w:qFormat/>
    <w:uiPriority w:val="0"/>
    <w:rPr>
      <w:sz w:val="24"/>
      <w:lang w:bidi="ar-SA"/>
    </w:rPr>
  </w:style>
  <w:style w:type="character" w:customStyle="1" w:styleId="175">
    <w:name w:val="Char Char24"/>
    <w:qFormat/>
    <w:uiPriority w:val="0"/>
    <w:rPr>
      <w:rFonts w:eastAsia="宋体"/>
      <w:b/>
      <w:bCs/>
      <w:kern w:val="44"/>
      <w:sz w:val="32"/>
      <w:szCs w:val="44"/>
      <w:lang w:val="en-US" w:eastAsia="zh-CN" w:bidi="ar-SA"/>
    </w:rPr>
  </w:style>
  <w:style w:type="character" w:customStyle="1" w:styleId="176">
    <w:name w:val="标题5 Char Char"/>
    <w:link w:val="177"/>
    <w:qFormat/>
    <w:uiPriority w:val="0"/>
    <w:rPr>
      <w:rFonts w:ascii="Arial" w:hAnsi="Arial"/>
      <w:b/>
      <w:bCs/>
      <w:sz w:val="24"/>
      <w:szCs w:val="32"/>
    </w:rPr>
  </w:style>
  <w:style w:type="paragraph" w:customStyle="1" w:styleId="177">
    <w:name w:val="标题5"/>
    <w:basedOn w:val="5"/>
    <w:link w:val="176"/>
    <w:qFormat/>
    <w:uiPriority w:val="0"/>
    <w:pPr>
      <w:spacing w:line="413" w:lineRule="auto"/>
    </w:pPr>
    <w:rPr>
      <w:rFonts w:ascii="Arial" w:hAnsi="Arial"/>
    </w:rPr>
  </w:style>
  <w:style w:type="character" w:customStyle="1" w:styleId="178">
    <w:name w:val="Char Char6"/>
    <w:qFormat/>
    <w:uiPriority w:val="0"/>
    <w:rPr>
      <w:rFonts w:eastAsia="宋体"/>
      <w:b/>
      <w:bCs/>
      <w:kern w:val="44"/>
      <w:sz w:val="32"/>
      <w:szCs w:val="44"/>
      <w:lang w:val="en-US" w:eastAsia="zh-CN" w:bidi="ar-SA"/>
    </w:rPr>
  </w:style>
  <w:style w:type="character" w:customStyle="1" w:styleId="179">
    <w:name w:val="Heading 4 Char"/>
    <w:qFormat/>
    <w:uiPriority w:val="0"/>
    <w:rPr>
      <w:rFonts w:ascii="Arial" w:hAnsi="Arial" w:eastAsia="宋体"/>
      <w:b/>
      <w:bCs/>
      <w:kern w:val="2"/>
      <w:sz w:val="21"/>
      <w:szCs w:val="28"/>
      <w:lang w:val="en-US" w:eastAsia="zh-CN" w:bidi="ar-SA"/>
    </w:rPr>
  </w:style>
  <w:style w:type="paragraph" w:customStyle="1" w:styleId="18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character" w:customStyle="1" w:styleId="182">
    <w:name w:val="明显引用 字符"/>
    <w:basedOn w:val="56"/>
    <w:link w:val="144"/>
    <w:qFormat/>
    <w:uiPriority w:val="30"/>
    <w:rPr>
      <w:rFonts w:ascii="宋体" w:hAnsi="Courier New"/>
      <w:b/>
      <w:bCs/>
      <w:i/>
      <w:iCs/>
      <w:color w:val="4F81BD"/>
      <w:kern w:val="2"/>
      <w:sz w:val="21"/>
    </w:rPr>
  </w:style>
  <w:style w:type="paragraph" w:customStyle="1" w:styleId="183">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kern w:val="2"/>
      <w:sz w:val="21"/>
      <w:szCs w:val="20"/>
    </w:rPr>
  </w:style>
  <w:style w:type="character" w:customStyle="1" w:styleId="184">
    <w:name w:val="标题 字符"/>
    <w:basedOn w:val="56"/>
    <w:link w:val="52"/>
    <w:qFormat/>
    <w:uiPriority w:val="0"/>
    <w:rPr>
      <w:rFonts w:ascii="Cambria" w:hAnsi="Cambria" w:cs="Times New Roman"/>
      <w:b/>
      <w:bCs/>
      <w:kern w:val="2"/>
      <w:sz w:val="32"/>
      <w:szCs w:val="32"/>
    </w:rPr>
  </w:style>
  <w:style w:type="paragraph" w:customStyle="1" w:styleId="185">
    <w:name w:val="flNote"/>
    <w:basedOn w:val="1"/>
    <w:qFormat/>
    <w:uiPriority w:val="0"/>
    <w:pPr>
      <w:adjustRightInd w:val="0"/>
      <w:spacing w:before="320" w:after="160" w:line="360" w:lineRule="atLeast"/>
      <w:jc w:val="center"/>
      <w:textAlignment w:val="baseline"/>
    </w:pPr>
    <w:rPr>
      <w:rFonts w:ascii="Arial" w:hAnsi="Times New Roman" w:eastAsia="黑体"/>
      <w:kern w:val="0"/>
      <w:sz w:val="30"/>
    </w:rPr>
  </w:style>
  <w:style w:type="paragraph" w:customStyle="1" w:styleId="186">
    <w:name w:val="p0"/>
    <w:basedOn w:val="1"/>
    <w:qFormat/>
    <w:uiPriority w:val="0"/>
    <w:pPr>
      <w:widowControl/>
    </w:pPr>
    <w:rPr>
      <w:rFonts w:ascii="Calibri" w:hAnsi="Calibri" w:cs="宋体"/>
      <w:kern w:val="0"/>
      <w:szCs w:val="21"/>
    </w:rPr>
  </w:style>
  <w:style w:type="paragraph" w:customStyle="1" w:styleId="187">
    <w:name w:val="Char Char Char Char Char Char Char"/>
    <w:basedOn w:val="1"/>
    <w:qFormat/>
    <w:uiPriority w:val="0"/>
    <w:pPr>
      <w:widowControl/>
      <w:spacing w:after="160" w:line="240" w:lineRule="exact"/>
      <w:jc w:val="left"/>
    </w:pPr>
    <w:rPr>
      <w:rFonts w:ascii="Times New Roman" w:hAnsi="Times New Roman"/>
      <w:szCs w:val="24"/>
    </w:rPr>
  </w:style>
  <w:style w:type="paragraph" w:customStyle="1" w:styleId="18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189">
    <w:name w:val="_Style 37"/>
    <w:basedOn w:val="1"/>
    <w:next w:val="1"/>
    <w:qFormat/>
    <w:uiPriority w:val="0"/>
    <w:rPr>
      <w:rFonts w:ascii="Times New Roman" w:hAnsi="Times New Roman"/>
      <w:szCs w:val="24"/>
    </w:rPr>
  </w:style>
  <w:style w:type="paragraph" w:customStyle="1" w:styleId="190">
    <w:name w:val="空半行"/>
    <w:basedOn w:val="1"/>
    <w:qFormat/>
    <w:uiPriority w:val="0"/>
    <w:pPr>
      <w:adjustRightInd w:val="0"/>
      <w:spacing w:line="120" w:lineRule="exact"/>
      <w:textAlignment w:val="baseline"/>
    </w:pPr>
    <w:rPr>
      <w:rFonts w:ascii="Times New Roman" w:hAnsi="Times New Roman" w:eastAsia="仿宋_GB2312"/>
      <w:color w:val="FFFFFF"/>
      <w:kern w:val="0"/>
      <w:sz w:val="30"/>
    </w:rPr>
  </w:style>
  <w:style w:type="character" w:customStyle="1" w:styleId="191">
    <w:name w:val="副标题 字符"/>
    <w:basedOn w:val="56"/>
    <w:link w:val="40"/>
    <w:qFormat/>
    <w:uiPriority w:val="0"/>
    <w:rPr>
      <w:rFonts w:ascii="Cambria" w:hAnsi="Cambria"/>
      <w:b/>
      <w:bCs/>
      <w:kern w:val="28"/>
      <w:sz w:val="32"/>
      <w:szCs w:val="32"/>
    </w:rPr>
  </w:style>
  <w:style w:type="paragraph" w:customStyle="1" w:styleId="192">
    <w:name w:val="修订1"/>
    <w:qFormat/>
    <w:uiPriority w:val="0"/>
    <w:rPr>
      <w:rFonts w:ascii="Times New Roman" w:hAnsi="Times New Roman" w:eastAsia="宋体" w:cs="Times New Roman"/>
      <w:kern w:val="2"/>
      <w:sz w:val="21"/>
      <w:szCs w:val="24"/>
      <w:lang w:val="en-US" w:eastAsia="zh-CN" w:bidi="ar-SA"/>
    </w:rPr>
  </w:style>
  <w:style w:type="paragraph" w:customStyle="1" w:styleId="193">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94">
    <w:name w:val="引用 字符"/>
    <w:basedOn w:val="56"/>
    <w:link w:val="151"/>
    <w:qFormat/>
    <w:uiPriority w:val="29"/>
    <w:rPr>
      <w:rFonts w:ascii="宋体" w:hAnsi="Courier New"/>
      <w:i/>
      <w:iCs/>
      <w:color w:val="000000"/>
      <w:kern w:val="2"/>
      <w:sz w:val="21"/>
    </w:rPr>
  </w:style>
  <w:style w:type="paragraph" w:customStyle="1" w:styleId="195">
    <w:name w:val="reader-word-layer"/>
    <w:basedOn w:val="1"/>
    <w:qFormat/>
    <w:uiPriority w:val="0"/>
    <w:pPr>
      <w:widowControl/>
      <w:spacing w:before="100" w:beforeAutospacing="1" w:after="100" w:afterAutospacing="1"/>
      <w:jc w:val="left"/>
    </w:pPr>
    <w:rPr>
      <w:rFonts w:hAnsi="宋体" w:cs="宋体"/>
      <w:kern w:val="0"/>
      <w:sz w:val="24"/>
      <w:szCs w:val="24"/>
    </w:rPr>
  </w:style>
  <w:style w:type="paragraph" w:customStyle="1" w:styleId="19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标题 1_2"/>
    <w:basedOn w:val="196"/>
    <w:next w:val="196"/>
    <w:qFormat/>
    <w:uiPriority w:val="0"/>
    <w:pPr>
      <w:keepNext/>
      <w:keepLines/>
      <w:spacing w:line="360" w:lineRule="auto"/>
      <w:outlineLvl w:val="0"/>
    </w:pPr>
    <w:rPr>
      <w:b/>
      <w:bCs/>
      <w:kern w:val="44"/>
      <w:sz w:val="32"/>
      <w:szCs w:val="44"/>
    </w:rPr>
  </w:style>
  <w:style w:type="paragraph" w:customStyle="1" w:styleId="198">
    <w:name w:val="正文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9">
    <w:name w:val="正文文本缩进 2 Char1"/>
    <w:semiHidden/>
    <w:qFormat/>
    <w:uiPriority w:val="99"/>
    <w:rPr>
      <w:kern w:val="2"/>
      <w:sz w:val="21"/>
      <w:szCs w:val="24"/>
    </w:rPr>
  </w:style>
  <w:style w:type="character" w:customStyle="1" w:styleId="200">
    <w:name w:val="正文缩进 字符"/>
    <w:link w:val="14"/>
    <w:qFormat/>
    <w:uiPriority w:val="0"/>
    <w:rPr>
      <w:color w:val="000000"/>
      <w:sz w:val="21"/>
      <w:u w:color="000000"/>
    </w:rPr>
  </w:style>
  <w:style w:type="paragraph" w:customStyle="1" w:styleId="201">
    <w:name w:val="Normal_0"/>
    <w:basedOn w:val="202"/>
    <w:qFormat/>
    <w:uiPriority w:val="0"/>
    <w:pPr>
      <w:widowControl/>
    </w:pPr>
    <w:rPr>
      <w:rFonts w:ascii="Times New Roman" w:hAnsi="Times New Roman"/>
      <w:szCs w:val="21"/>
    </w:rPr>
  </w:style>
  <w:style w:type="paragraph" w:customStyle="1" w:styleId="20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WPSOffice手动目录 1"/>
    <w:qFormat/>
    <w:uiPriority w:val="0"/>
    <w:pPr>
      <w:ind w:leftChars="0"/>
    </w:pPr>
    <w:rPr>
      <w:rFonts w:asciiTheme="minorHAnsi" w:hAnsiTheme="minorHAnsi" w:eastAsiaTheme="minorEastAsia" w:cstheme="minorBidi"/>
      <w:sz w:val="20"/>
      <w:szCs w:val="20"/>
    </w:rPr>
  </w:style>
  <w:style w:type="paragraph" w:customStyle="1" w:styleId="204">
    <w:name w:val="Table Paragraph"/>
    <w:basedOn w:val="1"/>
    <w:qFormat/>
    <w:uiPriority w:val="1"/>
  </w:style>
  <w:style w:type="character" w:customStyle="1" w:styleId="205">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paragraph" w:customStyle="1" w:styleId="206">
    <w:name w:val="正文_3"/>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07">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5FC093-1E69-2941-B105-352760FDF490}">
  <ds:schemaRefs/>
</ds:datastoreItem>
</file>

<file path=docProps/app.xml><?xml version="1.0" encoding="utf-8"?>
<Properties xmlns="http://schemas.openxmlformats.org/officeDocument/2006/extended-properties" xmlns:vt="http://schemas.openxmlformats.org/officeDocument/2006/docPropsVTypes">
  <Template>Normal</Template>
  <Pages>93</Pages>
  <Words>51410</Words>
  <Characters>54063</Characters>
  <Lines>398</Lines>
  <Paragraphs>112</Paragraphs>
  <TotalTime>25</TotalTime>
  <ScaleCrop>false</ScaleCrop>
  <LinksUpToDate>false</LinksUpToDate>
  <CharactersWithSpaces>55845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2019-07-18T00:10:00Z</dcterms:created>
  <dc:creator>晟通</dc:creator>
  <cp:lastModifiedBy>NTKO</cp:lastModifiedBy>
  <cp:lastPrinted>2020-07-09T01:03:00Z</cp:lastPrinted>
  <dcterms:modified xsi:type="dcterms:W3CDTF">2020-09-17T09:13:01Z</dcterms:modified>
  <dc:title>广西晟通公司-覃胜才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