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仿宋_GB2312" w:hAnsi="宋体" w:eastAsia="仿宋_GB2312"/>
          <w:sz w:val="32"/>
          <w:szCs w:val="32"/>
        </w:rPr>
      </w:pPr>
    </w:p>
    <w:p>
      <w:pPr>
        <w:spacing w:line="400" w:lineRule="exact"/>
        <w:jc w:val="center"/>
        <w:rPr>
          <w:rFonts w:ascii="仿宋_GB2312" w:hAnsi="宋体" w:eastAsia="仿宋_GB2312"/>
          <w:sz w:val="72"/>
          <w:szCs w:val="72"/>
          <w:shd w:val="clear" w:color="FFFFFF" w:fill="D9D9D9"/>
        </w:rPr>
      </w:pPr>
    </w:p>
    <w:p>
      <w:pPr>
        <w:jc w:val="center"/>
        <w:rPr>
          <w:rFonts w:hAnsi="宋体"/>
          <w:b/>
          <w:bCs/>
          <w:spacing w:val="-18"/>
          <w:sz w:val="52"/>
          <w:szCs w:val="52"/>
        </w:rPr>
      </w:pPr>
      <w:r>
        <w:rPr>
          <w:rFonts w:ascii="宋体" w:hAnsi="宋体"/>
          <w:b/>
          <w:bCs/>
          <w:sz w:val="52"/>
          <w:szCs w:val="52"/>
        </w:rPr>
        <w:t xml:space="preserve">广西诚华工程造价咨询有限公司  </w:t>
      </w:r>
    </w:p>
    <w:p>
      <w:pPr>
        <w:pStyle w:val="22"/>
        <w:jc w:val="center"/>
        <w:rPr>
          <w:rFonts w:hAnsi="宋体"/>
          <w:b/>
          <w:spacing w:val="-18"/>
          <w:sz w:val="96"/>
        </w:rPr>
      </w:pPr>
    </w:p>
    <w:p>
      <w:pPr>
        <w:pStyle w:val="22"/>
        <w:jc w:val="center"/>
        <w:rPr>
          <w:rFonts w:hAnsi="宋体"/>
          <w:b/>
          <w:sz w:val="52"/>
          <w:szCs w:val="52"/>
        </w:rPr>
      </w:pPr>
      <w:r>
        <w:rPr>
          <w:rFonts w:hint="eastAsia" w:hAnsi="宋体"/>
          <w:b/>
          <w:sz w:val="52"/>
          <w:szCs w:val="52"/>
        </w:rPr>
        <w:t>竞争性磋商文件</w:t>
      </w:r>
    </w:p>
    <w:p>
      <w:pPr>
        <w:pStyle w:val="22"/>
        <w:rPr>
          <w:rFonts w:hAnsi="宋体"/>
          <w:b/>
        </w:rPr>
      </w:pPr>
    </w:p>
    <w:p>
      <w:pPr>
        <w:pStyle w:val="22"/>
        <w:rPr>
          <w:rFonts w:hAnsi="宋体"/>
          <w:b/>
        </w:rPr>
      </w:pPr>
    </w:p>
    <w:p>
      <w:pPr>
        <w:pStyle w:val="22"/>
        <w:rPr>
          <w:rFonts w:hAnsi="宋体"/>
          <w:b/>
        </w:rPr>
      </w:pPr>
    </w:p>
    <w:p>
      <w:pPr>
        <w:pStyle w:val="22"/>
        <w:rPr>
          <w:rFonts w:hAnsi="宋体"/>
          <w:b/>
        </w:rPr>
      </w:pPr>
    </w:p>
    <w:p>
      <w:pPr>
        <w:pStyle w:val="22"/>
        <w:rPr>
          <w:rFonts w:hAnsi="宋体"/>
          <w:b/>
        </w:rPr>
      </w:pPr>
    </w:p>
    <w:p>
      <w:pPr>
        <w:pStyle w:val="22"/>
        <w:rPr>
          <w:rFonts w:hAnsi="宋体"/>
          <w:b/>
          <w:sz w:val="28"/>
          <w:szCs w:val="28"/>
        </w:rPr>
      </w:pPr>
    </w:p>
    <w:p>
      <w:pPr>
        <w:rPr>
          <w:rFonts w:ascii="宋体" w:hAnsi="宋体"/>
          <w:color w:val="auto"/>
          <w:sz w:val="28"/>
          <w:szCs w:val="28"/>
        </w:rPr>
      </w:pPr>
      <w:r>
        <w:rPr>
          <w:rFonts w:hint="eastAsia" w:ascii="宋体" w:hAnsi="宋体"/>
          <w:color w:val="auto"/>
          <w:sz w:val="28"/>
          <w:szCs w:val="28"/>
        </w:rPr>
        <w:t>项目名称：</w:t>
      </w:r>
      <w:r>
        <w:rPr>
          <w:rFonts w:hint="eastAsia" w:ascii="宋体" w:hAnsi="宋体"/>
          <w:color w:val="auto"/>
          <w:sz w:val="28"/>
          <w:szCs w:val="28"/>
          <w:u w:val="single"/>
        </w:rPr>
        <w:t xml:space="preserve">灵山县人民法院乡镇法庭LED大屏及视频监控系统采购项目 </w:t>
      </w:r>
    </w:p>
    <w:p>
      <w:pPr>
        <w:pStyle w:val="22"/>
        <w:ind w:firstLine="1820" w:firstLineChars="650"/>
        <w:rPr>
          <w:rFonts w:hAnsi="宋体"/>
          <w:color w:val="auto"/>
          <w:sz w:val="28"/>
          <w:szCs w:val="28"/>
        </w:rPr>
      </w:pPr>
    </w:p>
    <w:p>
      <w:pPr>
        <w:rPr>
          <w:rFonts w:ascii="宋体" w:hAnsi="宋体"/>
          <w:color w:val="auto"/>
          <w:sz w:val="28"/>
          <w:szCs w:val="28"/>
        </w:rPr>
      </w:pPr>
      <w:r>
        <w:rPr>
          <w:rFonts w:hint="eastAsia" w:ascii="宋体" w:hAnsi="宋体"/>
          <w:color w:val="auto"/>
          <w:sz w:val="28"/>
          <w:szCs w:val="28"/>
        </w:rPr>
        <w:t>项目编号：</w:t>
      </w:r>
      <w:r>
        <w:rPr>
          <w:rFonts w:hint="eastAsia" w:ascii="宋体" w:hAnsi="宋体"/>
          <w:color w:val="auto"/>
          <w:sz w:val="28"/>
          <w:szCs w:val="28"/>
          <w:u w:val="single"/>
        </w:rPr>
        <w:t xml:space="preserve">QZZC2020-C1-50012-GXCH         </w:t>
      </w:r>
      <w:r>
        <w:rPr>
          <w:rFonts w:hint="eastAsia" w:ascii="宋体" w:hAnsi="宋体"/>
          <w:color w:val="auto"/>
          <w:sz w:val="28"/>
          <w:szCs w:val="28"/>
        </w:rPr>
        <w:t xml:space="preserve"> </w:t>
      </w:r>
    </w:p>
    <w:p>
      <w:pPr>
        <w:pStyle w:val="22"/>
        <w:rPr>
          <w:rFonts w:hAnsi="宋体"/>
          <w:b/>
          <w:color w:val="auto"/>
          <w:sz w:val="28"/>
          <w:szCs w:val="28"/>
        </w:rPr>
      </w:pPr>
    </w:p>
    <w:p>
      <w:pPr>
        <w:pStyle w:val="22"/>
        <w:rPr>
          <w:rFonts w:hAnsi="宋体"/>
          <w:color w:val="auto"/>
          <w:sz w:val="28"/>
          <w:szCs w:val="28"/>
        </w:rPr>
      </w:pPr>
      <w:r>
        <w:rPr>
          <w:rFonts w:hint="eastAsia" w:hAnsi="宋体"/>
          <w:color w:val="auto"/>
          <w:sz w:val="28"/>
          <w:szCs w:val="28"/>
        </w:rPr>
        <w:t>采购人：</w:t>
      </w:r>
      <w:r>
        <w:rPr>
          <w:rFonts w:hint="eastAsia" w:hAnsi="宋体"/>
          <w:color w:val="auto"/>
          <w:sz w:val="28"/>
          <w:szCs w:val="28"/>
          <w:u w:val="single"/>
        </w:rPr>
        <w:t xml:space="preserve">灵山县人民法院   </w:t>
      </w:r>
      <w:r>
        <w:rPr>
          <w:rFonts w:hint="eastAsia" w:hAnsi="宋体"/>
          <w:color w:val="auto"/>
          <w:sz w:val="28"/>
          <w:szCs w:val="28"/>
        </w:rPr>
        <w:t xml:space="preserve">   </w:t>
      </w:r>
    </w:p>
    <w:p>
      <w:pPr>
        <w:pStyle w:val="22"/>
        <w:ind w:firstLine="1820" w:firstLineChars="650"/>
        <w:rPr>
          <w:rFonts w:hAnsi="宋体"/>
          <w:color w:val="auto"/>
          <w:sz w:val="28"/>
          <w:szCs w:val="28"/>
        </w:rPr>
      </w:pPr>
    </w:p>
    <w:p>
      <w:pPr>
        <w:rPr>
          <w:rFonts w:ascii="宋体" w:hAnsi="宋体"/>
          <w:color w:val="auto"/>
          <w:sz w:val="28"/>
          <w:szCs w:val="28"/>
        </w:rPr>
      </w:pPr>
      <w:r>
        <w:rPr>
          <w:rFonts w:hint="eastAsia" w:ascii="宋体" w:hAnsi="宋体"/>
          <w:color w:val="auto"/>
          <w:sz w:val="28"/>
          <w:szCs w:val="28"/>
        </w:rPr>
        <w:t>采购代理机构：</w:t>
      </w:r>
      <w:r>
        <w:rPr>
          <w:rFonts w:ascii="宋体" w:hAnsi="宋体"/>
          <w:color w:val="auto"/>
          <w:sz w:val="28"/>
          <w:szCs w:val="28"/>
        </w:rPr>
        <w:t xml:space="preserve">广西诚华工程造价咨询有限公司  </w:t>
      </w:r>
    </w:p>
    <w:p>
      <w:pPr>
        <w:pStyle w:val="22"/>
        <w:ind w:firstLine="3080" w:firstLineChars="1100"/>
        <w:rPr>
          <w:rFonts w:hAnsi="宋体"/>
          <w:color w:val="auto"/>
          <w:sz w:val="28"/>
          <w:szCs w:val="28"/>
        </w:rPr>
      </w:pPr>
    </w:p>
    <w:p>
      <w:pPr>
        <w:pStyle w:val="22"/>
        <w:ind w:firstLine="3640" w:firstLineChars="1300"/>
        <w:rPr>
          <w:rFonts w:hAnsi="宋体"/>
          <w:color w:val="auto"/>
          <w:sz w:val="28"/>
          <w:szCs w:val="28"/>
        </w:rPr>
      </w:pPr>
    </w:p>
    <w:p>
      <w:pPr>
        <w:pStyle w:val="22"/>
        <w:ind w:firstLine="3120" w:firstLineChars="1300"/>
        <w:rPr>
          <w:rFonts w:hAnsi="宋体"/>
          <w:color w:val="auto"/>
          <w:sz w:val="24"/>
          <w:szCs w:val="24"/>
        </w:rPr>
      </w:pPr>
    </w:p>
    <w:p>
      <w:pPr>
        <w:pStyle w:val="22"/>
        <w:ind w:firstLine="3080" w:firstLineChars="1100"/>
        <w:rPr>
          <w:rFonts w:hAnsi="宋体"/>
          <w:color w:val="auto"/>
          <w:sz w:val="28"/>
          <w:szCs w:val="28"/>
        </w:rPr>
      </w:pPr>
      <w:r>
        <w:rPr>
          <w:rFonts w:hint="eastAsia" w:hAnsi="宋体"/>
          <w:color w:val="auto"/>
          <w:sz w:val="28"/>
          <w:szCs w:val="28"/>
        </w:rPr>
        <w:t>2020年11月</w:t>
      </w:r>
    </w:p>
    <w:p>
      <w:pPr>
        <w:rPr>
          <w:rFonts w:ascii="宋体" w:hAnsi="宋体"/>
          <w:color w:val="auto"/>
          <w:sz w:val="24"/>
        </w:rPr>
      </w:pPr>
    </w:p>
    <w:p>
      <w:pPr>
        <w:rPr>
          <w:rFonts w:ascii="宋体" w:hAnsi="宋体"/>
          <w:color w:val="auto"/>
          <w:sz w:val="24"/>
        </w:rPr>
        <w:sectPr>
          <w:headerReference r:id="rId5" w:type="first"/>
          <w:footerReference r:id="rId8" w:type="first"/>
          <w:headerReference r:id="rId3" w:type="default"/>
          <w:footerReference r:id="rId6" w:type="default"/>
          <w:headerReference r:id="rId4" w:type="even"/>
          <w:footerReference r:id="rId7" w:type="even"/>
          <w:pgSz w:w="11906" w:h="16838"/>
          <w:pgMar w:top="1418" w:right="1416" w:bottom="1418" w:left="1418" w:header="720" w:footer="720" w:gutter="0"/>
          <w:pgNumType w:start="0"/>
          <w:cols w:space="720" w:num="1"/>
          <w:titlePg/>
          <w:docGrid w:type="lines" w:linePitch="312" w:charSpace="0"/>
        </w:sectPr>
      </w:pPr>
    </w:p>
    <w:p>
      <w:pPr>
        <w:pStyle w:val="22"/>
        <w:snapToGrid w:val="0"/>
        <w:spacing w:line="360" w:lineRule="auto"/>
        <w:rPr>
          <w:rFonts w:hAnsi="宋体"/>
          <w:color w:val="auto"/>
          <w:sz w:val="44"/>
        </w:rPr>
      </w:pPr>
    </w:p>
    <w:p>
      <w:pPr>
        <w:pStyle w:val="22"/>
        <w:snapToGrid w:val="0"/>
        <w:spacing w:line="360" w:lineRule="auto"/>
        <w:jc w:val="center"/>
        <w:rPr>
          <w:rFonts w:hAnsi="宋体"/>
          <w:color w:val="auto"/>
          <w:sz w:val="32"/>
          <w:szCs w:val="32"/>
        </w:rPr>
      </w:pPr>
      <w:r>
        <w:rPr>
          <w:rFonts w:hint="eastAsia" w:hAnsi="宋体"/>
          <w:color w:val="auto"/>
          <w:sz w:val="32"/>
          <w:szCs w:val="32"/>
        </w:rPr>
        <w:t>目  录</w:t>
      </w:r>
    </w:p>
    <w:p>
      <w:pPr>
        <w:pStyle w:val="28"/>
        <w:tabs>
          <w:tab w:val="right" w:leader="dot" w:pos="9639"/>
        </w:tabs>
        <w:rPr>
          <w:rFonts w:cs="宋体" w:asciiTheme="majorEastAsia" w:hAnsiTheme="majorEastAsia" w:eastAsiaTheme="majorEastAsia"/>
          <w:color w:val="auto"/>
          <w:sz w:val="30"/>
          <w:szCs w:val="30"/>
        </w:rPr>
      </w:pPr>
      <w:r>
        <w:rPr>
          <w:rFonts w:hint="eastAsia" w:asciiTheme="majorEastAsia" w:hAnsiTheme="majorEastAsia" w:eastAsiaTheme="majorEastAsia"/>
          <w:color w:val="auto"/>
          <w:sz w:val="30"/>
          <w:szCs w:val="30"/>
        </w:rPr>
        <w:fldChar w:fldCharType="begin"/>
      </w:r>
      <w:r>
        <w:rPr>
          <w:rFonts w:hint="eastAsia" w:asciiTheme="majorEastAsia" w:hAnsiTheme="majorEastAsia" w:eastAsiaTheme="majorEastAsia"/>
          <w:color w:val="auto"/>
          <w:sz w:val="30"/>
          <w:szCs w:val="30"/>
        </w:rPr>
        <w:instrText xml:space="preserve">TOC \o "1-2" \h \u </w:instrText>
      </w:r>
      <w:r>
        <w:rPr>
          <w:rFonts w:hint="eastAsia" w:asciiTheme="majorEastAsia" w:hAnsiTheme="majorEastAsia" w:eastAsiaTheme="majorEastAsia"/>
          <w:color w:val="auto"/>
          <w:sz w:val="30"/>
          <w:szCs w:val="30"/>
        </w:rPr>
        <w:fldChar w:fldCharType="separate"/>
      </w:r>
      <w:r>
        <w:rPr>
          <w:color w:val="auto"/>
        </w:rPr>
        <w:fldChar w:fldCharType="begin"/>
      </w:r>
      <w:r>
        <w:rPr>
          <w:color w:val="auto"/>
        </w:rPr>
        <w:instrText xml:space="preserve"> HYPERLINK \l "_Toc9123" </w:instrText>
      </w:r>
      <w:r>
        <w:rPr>
          <w:color w:val="auto"/>
        </w:rPr>
        <w:fldChar w:fldCharType="separate"/>
      </w:r>
      <w:r>
        <w:rPr>
          <w:rFonts w:hint="eastAsia" w:cs="宋体" w:asciiTheme="majorEastAsia" w:hAnsiTheme="majorEastAsia" w:eastAsiaTheme="majorEastAsia"/>
          <w:color w:val="auto"/>
          <w:sz w:val="30"/>
          <w:szCs w:val="30"/>
        </w:rPr>
        <w:t>第一章  竞争性磋商公告</w:t>
      </w:r>
      <w:r>
        <w:rPr>
          <w:rFonts w:hint="eastAsia" w:cs="宋体" w:asciiTheme="majorEastAsia" w:hAnsiTheme="majorEastAsia" w:eastAsiaTheme="majorEastAsia"/>
          <w:color w:val="auto"/>
          <w:sz w:val="30"/>
          <w:szCs w:val="30"/>
        </w:rPr>
        <w:tab/>
      </w:r>
      <w:r>
        <w:rPr>
          <w:rFonts w:hint="eastAsia" w:cs="宋体" w:asciiTheme="majorEastAsia" w:hAnsiTheme="majorEastAsia" w:eastAsiaTheme="majorEastAsia"/>
          <w:color w:val="auto"/>
          <w:sz w:val="30"/>
          <w:szCs w:val="30"/>
        </w:rPr>
        <w:fldChar w:fldCharType="begin"/>
      </w:r>
      <w:r>
        <w:rPr>
          <w:rFonts w:hint="eastAsia" w:cs="宋体" w:asciiTheme="majorEastAsia" w:hAnsiTheme="majorEastAsia" w:eastAsiaTheme="majorEastAsia"/>
          <w:color w:val="auto"/>
          <w:sz w:val="30"/>
          <w:szCs w:val="30"/>
        </w:rPr>
        <w:instrText xml:space="preserve"> PAGEREF _Toc9123 </w:instrText>
      </w:r>
      <w:r>
        <w:rPr>
          <w:rFonts w:hint="eastAsia" w:cs="宋体" w:asciiTheme="majorEastAsia" w:hAnsiTheme="majorEastAsia" w:eastAsiaTheme="majorEastAsia"/>
          <w:color w:val="auto"/>
          <w:sz w:val="30"/>
          <w:szCs w:val="30"/>
        </w:rPr>
        <w:fldChar w:fldCharType="separate"/>
      </w:r>
      <w:r>
        <w:rPr>
          <w:rFonts w:cs="宋体" w:asciiTheme="majorEastAsia" w:hAnsiTheme="majorEastAsia" w:eastAsiaTheme="majorEastAsia"/>
          <w:color w:val="auto"/>
          <w:sz w:val="30"/>
          <w:szCs w:val="30"/>
        </w:rPr>
        <w:t>2</w:t>
      </w:r>
      <w:r>
        <w:rPr>
          <w:rFonts w:hint="eastAsia" w:cs="宋体" w:asciiTheme="majorEastAsia" w:hAnsiTheme="majorEastAsia" w:eastAsiaTheme="majorEastAsia"/>
          <w:color w:val="auto"/>
          <w:sz w:val="30"/>
          <w:szCs w:val="30"/>
        </w:rPr>
        <w:fldChar w:fldCharType="end"/>
      </w:r>
      <w:r>
        <w:rPr>
          <w:rFonts w:hint="eastAsia" w:cs="宋体" w:asciiTheme="majorEastAsia" w:hAnsiTheme="majorEastAsia" w:eastAsiaTheme="majorEastAsia"/>
          <w:color w:val="auto"/>
          <w:sz w:val="30"/>
          <w:szCs w:val="30"/>
        </w:rPr>
        <w:fldChar w:fldCharType="end"/>
      </w:r>
    </w:p>
    <w:p>
      <w:pPr>
        <w:pStyle w:val="28"/>
        <w:tabs>
          <w:tab w:val="right" w:leader="dot" w:pos="9639"/>
        </w:tabs>
        <w:rPr>
          <w:rFonts w:cs="宋体" w:asciiTheme="majorEastAsia" w:hAnsiTheme="majorEastAsia" w:eastAsiaTheme="majorEastAsia"/>
          <w:color w:val="auto"/>
          <w:sz w:val="30"/>
          <w:szCs w:val="30"/>
        </w:rPr>
      </w:pPr>
      <w:r>
        <w:rPr>
          <w:color w:val="auto"/>
        </w:rPr>
        <w:fldChar w:fldCharType="begin"/>
      </w:r>
      <w:r>
        <w:rPr>
          <w:color w:val="auto"/>
        </w:rPr>
        <w:instrText xml:space="preserve"> HYPERLINK \l "_Toc21511" </w:instrText>
      </w:r>
      <w:r>
        <w:rPr>
          <w:color w:val="auto"/>
        </w:rPr>
        <w:fldChar w:fldCharType="separate"/>
      </w:r>
      <w:r>
        <w:rPr>
          <w:rFonts w:hint="eastAsia" w:cs="宋体" w:asciiTheme="majorEastAsia" w:hAnsiTheme="majorEastAsia" w:eastAsiaTheme="majorEastAsia"/>
          <w:color w:val="auto"/>
          <w:sz w:val="30"/>
          <w:szCs w:val="30"/>
        </w:rPr>
        <w:t>第二章  供应商须知</w:t>
      </w:r>
      <w:r>
        <w:rPr>
          <w:rFonts w:hint="eastAsia" w:cs="宋体" w:asciiTheme="majorEastAsia" w:hAnsiTheme="majorEastAsia" w:eastAsiaTheme="majorEastAsia"/>
          <w:color w:val="auto"/>
          <w:sz w:val="30"/>
          <w:szCs w:val="30"/>
        </w:rPr>
        <w:tab/>
      </w:r>
      <w:r>
        <w:rPr>
          <w:rFonts w:hint="eastAsia" w:cs="宋体" w:asciiTheme="majorEastAsia" w:hAnsiTheme="majorEastAsia" w:eastAsiaTheme="majorEastAsia"/>
          <w:color w:val="auto"/>
          <w:sz w:val="30"/>
          <w:szCs w:val="30"/>
        </w:rPr>
        <w:t>4</w:t>
      </w:r>
      <w:r>
        <w:rPr>
          <w:rFonts w:hint="eastAsia" w:cs="宋体" w:asciiTheme="majorEastAsia" w:hAnsiTheme="majorEastAsia" w:eastAsiaTheme="majorEastAsia"/>
          <w:color w:val="auto"/>
          <w:sz w:val="30"/>
          <w:szCs w:val="30"/>
        </w:rPr>
        <w:fldChar w:fldCharType="end"/>
      </w:r>
    </w:p>
    <w:p>
      <w:pPr>
        <w:pStyle w:val="31"/>
        <w:tabs>
          <w:tab w:val="right" w:leader="dot" w:pos="9639"/>
        </w:tabs>
        <w:rPr>
          <w:rFonts w:cs="宋体" w:asciiTheme="majorEastAsia" w:hAnsiTheme="majorEastAsia" w:eastAsiaTheme="majorEastAsia"/>
          <w:color w:val="auto"/>
          <w:sz w:val="30"/>
          <w:szCs w:val="30"/>
        </w:rPr>
      </w:pPr>
      <w:r>
        <w:rPr>
          <w:color w:val="auto"/>
        </w:rPr>
        <w:fldChar w:fldCharType="begin"/>
      </w:r>
      <w:r>
        <w:rPr>
          <w:color w:val="auto"/>
        </w:rPr>
        <w:instrText xml:space="preserve"> HYPERLINK \l "_Toc17698" </w:instrText>
      </w:r>
      <w:r>
        <w:rPr>
          <w:color w:val="auto"/>
        </w:rPr>
        <w:fldChar w:fldCharType="separate"/>
      </w:r>
      <w:r>
        <w:rPr>
          <w:rFonts w:hint="eastAsia" w:cs="宋体" w:asciiTheme="majorEastAsia" w:hAnsiTheme="majorEastAsia" w:eastAsiaTheme="majorEastAsia"/>
          <w:color w:val="auto"/>
          <w:sz w:val="30"/>
          <w:szCs w:val="30"/>
        </w:rPr>
        <w:t>供应商须知前附表</w:t>
      </w:r>
      <w:r>
        <w:rPr>
          <w:rFonts w:hint="eastAsia" w:cs="宋体" w:asciiTheme="majorEastAsia" w:hAnsiTheme="majorEastAsia" w:eastAsiaTheme="majorEastAsia"/>
          <w:color w:val="auto"/>
          <w:sz w:val="30"/>
          <w:szCs w:val="30"/>
        </w:rPr>
        <w:tab/>
      </w:r>
      <w:r>
        <w:rPr>
          <w:rFonts w:hint="eastAsia" w:cs="宋体" w:asciiTheme="majorEastAsia" w:hAnsiTheme="majorEastAsia" w:eastAsiaTheme="majorEastAsia"/>
          <w:color w:val="auto"/>
          <w:sz w:val="30"/>
          <w:szCs w:val="30"/>
          <w:lang w:val="en-US" w:eastAsia="zh-CN"/>
        </w:rPr>
        <w:t>6</w:t>
      </w:r>
      <w:r>
        <w:rPr>
          <w:rFonts w:hint="eastAsia" w:cs="宋体" w:asciiTheme="majorEastAsia" w:hAnsiTheme="majorEastAsia" w:eastAsiaTheme="majorEastAsia"/>
          <w:color w:val="auto"/>
          <w:sz w:val="30"/>
          <w:szCs w:val="30"/>
        </w:rPr>
        <w:fldChar w:fldCharType="end"/>
      </w:r>
    </w:p>
    <w:p>
      <w:pPr>
        <w:pStyle w:val="31"/>
        <w:tabs>
          <w:tab w:val="right" w:leader="dot" w:pos="9639"/>
        </w:tabs>
        <w:rPr>
          <w:rFonts w:cs="宋体" w:asciiTheme="majorEastAsia" w:hAnsiTheme="majorEastAsia" w:eastAsiaTheme="majorEastAsia"/>
          <w:color w:val="auto"/>
          <w:sz w:val="30"/>
          <w:szCs w:val="30"/>
        </w:rPr>
      </w:pPr>
      <w:r>
        <w:rPr>
          <w:color w:val="auto"/>
        </w:rPr>
        <w:fldChar w:fldCharType="begin"/>
      </w:r>
      <w:r>
        <w:rPr>
          <w:color w:val="auto"/>
        </w:rPr>
        <w:instrText xml:space="preserve"> HYPERLINK \l "_Toc22830" </w:instrText>
      </w:r>
      <w:r>
        <w:rPr>
          <w:color w:val="auto"/>
        </w:rPr>
        <w:fldChar w:fldCharType="separate"/>
      </w:r>
      <w:r>
        <w:rPr>
          <w:rFonts w:hint="eastAsia" w:cs="宋体" w:asciiTheme="majorEastAsia" w:hAnsiTheme="majorEastAsia" w:eastAsiaTheme="majorEastAsia"/>
          <w:color w:val="auto"/>
          <w:sz w:val="30"/>
          <w:szCs w:val="30"/>
        </w:rPr>
        <w:t>一、总　则</w:t>
      </w:r>
      <w:r>
        <w:rPr>
          <w:rFonts w:hint="eastAsia" w:cs="宋体" w:asciiTheme="majorEastAsia" w:hAnsiTheme="majorEastAsia" w:eastAsiaTheme="majorEastAsia"/>
          <w:color w:val="auto"/>
          <w:sz w:val="30"/>
          <w:szCs w:val="30"/>
        </w:rPr>
        <w:tab/>
      </w:r>
      <w:r>
        <w:rPr>
          <w:rFonts w:hint="eastAsia" w:cs="宋体" w:asciiTheme="majorEastAsia" w:hAnsiTheme="majorEastAsia" w:eastAsiaTheme="majorEastAsia"/>
          <w:color w:val="auto"/>
          <w:sz w:val="30"/>
          <w:szCs w:val="30"/>
        </w:rPr>
        <w:fldChar w:fldCharType="begin"/>
      </w:r>
      <w:r>
        <w:rPr>
          <w:rFonts w:hint="eastAsia" w:cs="宋体" w:asciiTheme="majorEastAsia" w:hAnsiTheme="majorEastAsia" w:eastAsiaTheme="majorEastAsia"/>
          <w:color w:val="auto"/>
          <w:sz w:val="30"/>
          <w:szCs w:val="30"/>
        </w:rPr>
        <w:instrText xml:space="preserve"> PAGEREF _Toc22830 </w:instrText>
      </w:r>
      <w:r>
        <w:rPr>
          <w:rFonts w:hint="eastAsia" w:cs="宋体" w:asciiTheme="majorEastAsia" w:hAnsiTheme="majorEastAsia" w:eastAsiaTheme="majorEastAsia"/>
          <w:color w:val="auto"/>
          <w:sz w:val="30"/>
          <w:szCs w:val="30"/>
        </w:rPr>
        <w:fldChar w:fldCharType="separate"/>
      </w:r>
      <w:r>
        <w:rPr>
          <w:rFonts w:cs="宋体" w:asciiTheme="majorEastAsia" w:hAnsiTheme="majorEastAsia" w:eastAsiaTheme="majorEastAsia"/>
          <w:color w:val="auto"/>
          <w:sz w:val="30"/>
          <w:szCs w:val="30"/>
        </w:rPr>
        <w:t>6</w:t>
      </w:r>
      <w:r>
        <w:rPr>
          <w:rFonts w:hint="eastAsia" w:cs="宋体" w:asciiTheme="majorEastAsia" w:hAnsiTheme="majorEastAsia" w:eastAsiaTheme="majorEastAsia"/>
          <w:color w:val="auto"/>
          <w:sz w:val="30"/>
          <w:szCs w:val="30"/>
        </w:rPr>
        <w:fldChar w:fldCharType="end"/>
      </w:r>
      <w:r>
        <w:rPr>
          <w:rFonts w:hint="eastAsia" w:cs="宋体" w:asciiTheme="majorEastAsia" w:hAnsiTheme="majorEastAsia" w:eastAsiaTheme="majorEastAsia"/>
          <w:color w:val="auto"/>
          <w:sz w:val="30"/>
          <w:szCs w:val="30"/>
        </w:rPr>
        <w:fldChar w:fldCharType="end"/>
      </w:r>
    </w:p>
    <w:p>
      <w:pPr>
        <w:pStyle w:val="31"/>
        <w:tabs>
          <w:tab w:val="right" w:leader="dot" w:pos="9639"/>
        </w:tabs>
        <w:rPr>
          <w:rFonts w:cs="宋体" w:asciiTheme="majorEastAsia" w:hAnsiTheme="majorEastAsia" w:eastAsiaTheme="majorEastAsia"/>
          <w:color w:val="auto"/>
          <w:sz w:val="30"/>
          <w:szCs w:val="30"/>
        </w:rPr>
      </w:pPr>
      <w:r>
        <w:rPr>
          <w:color w:val="auto"/>
        </w:rPr>
        <w:fldChar w:fldCharType="begin"/>
      </w:r>
      <w:r>
        <w:rPr>
          <w:color w:val="auto"/>
        </w:rPr>
        <w:instrText xml:space="preserve"> HYPERLINK \l "_Toc29822" </w:instrText>
      </w:r>
      <w:r>
        <w:rPr>
          <w:color w:val="auto"/>
        </w:rPr>
        <w:fldChar w:fldCharType="separate"/>
      </w:r>
      <w:r>
        <w:rPr>
          <w:rFonts w:hint="eastAsia" w:cs="宋体" w:asciiTheme="majorEastAsia" w:hAnsiTheme="majorEastAsia" w:eastAsiaTheme="majorEastAsia"/>
          <w:color w:val="auto"/>
          <w:sz w:val="30"/>
          <w:szCs w:val="30"/>
        </w:rPr>
        <w:t>二、 竞争性磋商响应文件的编制</w:t>
      </w:r>
      <w:r>
        <w:rPr>
          <w:rFonts w:hint="eastAsia" w:cs="宋体" w:asciiTheme="majorEastAsia" w:hAnsiTheme="majorEastAsia" w:eastAsiaTheme="majorEastAsia"/>
          <w:color w:val="auto"/>
          <w:sz w:val="30"/>
          <w:szCs w:val="30"/>
        </w:rPr>
        <w:tab/>
      </w:r>
      <w:r>
        <w:rPr>
          <w:rFonts w:hint="eastAsia" w:cs="宋体" w:asciiTheme="majorEastAsia" w:hAnsiTheme="majorEastAsia" w:eastAsiaTheme="majorEastAsia"/>
          <w:color w:val="auto"/>
          <w:sz w:val="30"/>
          <w:szCs w:val="30"/>
        </w:rPr>
        <w:t>8</w:t>
      </w:r>
      <w:r>
        <w:rPr>
          <w:rFonts w:hint="eastAsia" w:cs="宋体" w:asciiTheme="majorEastAsia" w:hAnsiTheme="majorEastAsia" w:eastAsiaTheme="majorEastAsia"/>
          <w:color w:val="auto"/>
          <w:sz w:val="30"/>
          <w:szCs w:val="30"/>
        </w:rPr>
        <w:fldChar w:fldCharType="end"/>
      </w:r>
    </w:p>
    <w:p>
      <w:pPr>
        <w:pStyle w:val="31"/>
        <w:tabs>
          <w:tab w:val="right" w:leader="dot" w:pos="9639"/>
        </w:tabs>
        <w:rPr>
          <w:rFonts w:cs="宋体" w:asciiTheme="majorEastAsia" w:hAnsiTheme="majorEastAsia" w:eastAsiaTheme="majorEastAsia"/>
          <w:color w:val="auto"/>
          <w:sz w:val="30"/>
          <w:szCs w:val="30"/>
        </w:rPr>
      </w:pPr>
      <w:r>
        <w:rPr>
          <w:color w:val="auto"/>
        </w:rPr>
        <w:fldChar w:fldCharType="begin"/>
      </w:r>
      <w:r>
        <w:rPr>
          <w:color w:val="auto"/>
        </w:rPr>
        <w:instrText xml:space="preserve"> HYPERLINK \l "_Toc26615" </w:instrText>
      </w:r>
      <w:r>
        <w:rPr>
          <w:color w:val="auto"/>
        </w:rPr>
        <w:fldChar w:fldCharType="separate"/>
      </w:r>
      <w:r>
        <w:rPr>
          <w:rFonts w:hint="eastAsia" w:cs="宋体" w:asciiTheme="majorEastAsia" w:hAnsiTheme="majorEastAsia" w:eastAsiaTheme="majorEastAsia"/>
          <w:color w:val="auto"/>
          <w:sz w:val="30"/>
          <w:szCs w:val="30"/>
        </w:rPr>
        <w:t>三、报价要求</w:t>
      </w:r>
      <w:r>
        <w:rPr>
          <w:rFonts w:hint="eastAsia" w:cs="宋体" w:asciiTheme="majorEastAsia" w:hAnsiTheme="majorEastAsia" w:eastAsiaTheme="majorEastAsia"/>
          <w:color w:val="auto"/>
          <w:sz w:val="30"/>
          <w:szCs w:val="30"/>
        </w:rPr>
        <w:tab/>
      </w:r>
      <w:r>
        <w:rPr>
          <w:rFonts w:hint="eastAsia" w:cs="宋体" w:asciiTheme="majorEastAsia" w:hAnsiTheme="majorEastAsia" w:eastAsiaTheme="majorEastAsia"/>
          <w:color w:val="auto"/>
          <w:sz w:val="30"/>
          <w:szCs w:val="30"/>
        </w:rPr>
        <w:fldChar w:fldCharType="begin"/>
      </w:r>
      <w:r>
        <w:rPr>
          <w:rFonts w:hint="eastAsia" w:cs="宋体" w:asciiTheme="majorEastAsia" w:hAnsiTheme="majorEastAsia" w:eastAsiaTheme="majorEastAsia"/>
          <w:color w:val="auto"/>
          <w:sz w:val="30"/>
          <w:szCs w:val="30"/>
        </w:rPr>
        <w:instrText xml:space="preserve"> PAGEREF _Toc26615 </w:instrText>
      </w:r>
      <w:r>
        <w:rPr>
          <w:rFonts w:hint="eastAsia" w:cs="宋体" w:asciiTheme="majorEastAsia" w:hAnsiTheme="majorEastAsia" w:eastAsiaTheme="majorEastAsia"/>
          <w:color w:val="auto"/>
          <w:sz w:val="30"/>
          <w:szCs w:val="30"/>
        </w:rPr>
        <w:fldChar w:fldCharType="separate"/>
      </w:r>
      <w:r>
        <w:rPr>
          <w:rFonts w:cs="宋体" w:asciiTheme="majorEastAsia" w:hAnsiTheme="majorEastAsia" w:eastAsiaTheme="majorEastAsia"/>
          <w:color w:val="auto"/>
          <w:sz w:val="30"/>
          <w:szCs w:val="30"/>
        </w:rPr>
        <w:t>1</w:t>
      </w:r>
      <w:r>
        <w:rPr>
          <w:rFonts w:hint="eastAsia" w:cs="宋体" w:asciiTheme="majorEastAsia" w:hAnsiTheme="majorEastAsia" w:eastAsiaTheme="majorEastAsia"/>
          <w:color w:val="auto"/>
          <w:sz w:val="30"/>
          <w:szCs w:val="30"/>
        </w:rPr>
        <w:t>0</w:t>
      </w:r>
      <w:r>
        <w:rPr>
          <w:rFonts w:hint="eastAsia" w:cs="宋体" w:asciiTheme="majorEastAsia" w:hAnsiTheme="majorEastAsia" w:eastAsiaTheme="majorEastAsia"/>
          <w:color w:val="auto"/>
          <w:sz w:val="30"/>
          <w:szCs w:val="30"/>
        </w:rPr>
        <w:fldChar w:fldCharType="end"/>
      </w:r>
      <w:r>
        <w:rPr>
          <w:rFonts w:hint="eastAsia" w:cs="宋体" w:asciiTheme="majorEastAsia" w:hAnsiTheme="majorEastAsia" w:eastAsiaTheme="majorEastAsia"/>
          <w:color w:val="auto"/>
          <w:sz w:val="30"/>
          <w:szCs w:val="30"/>
        </w:rPr>
        <w:fldChar w:fldCharType="end"/>
      </w:r>
    </w:p>
    <w:p>
      <w:pPr>
        <w:pStyle w:val="31"/>
        <w:tabs>
          <w:tab w:val="right" w:leader="dot" w:pos="9639"/>
        </w:tabs>
        <w:rPr>
          <w:rFonts w:cs="宋体" w:asciiTheme="majorEastAsia" w:hAnsiTheme="majorEastAsia" w:eastAsiaTheme="majorEastAsia"/>
          <w:color w:val="auto"/>
          <w:sz w:val="30"/>
          <w:szCs w:val="30"/>
        </w:rPr>
      </w:pPr>
      <w:r>
        <w:rPr>
          <w:color w:val="auto"/>
        </w:rPr>
        <w:fldChar w:fldCharType="begin"/>
      </w:r>
      <w:r>
        <w:rPr>
          <w:color w:val="auto"/>
        </w:rPr>
        <w:instrText xml:space="preserve"> HYPERLINK \l "_Toc14141" </w:instrText>
      </w:r>
      <w:r>
        <w:rPr>
          <w:color w:val="auto"/>
        </w:rPr>
        <w:fldChar w:fldCharType="separate"/>
      </w:r>
      <w:r>
        <w:rPr>
          <w:rFonts w:hint="eastAsia" w:cs="宋体" w:asciiTheme="majorEastAsia" w:hAnsiTheme="majorEastAsia" w:eastAsiaTheme="majorEastAsia"/>
          <w:color w:val="auto"/>
          <w:sz w:val="30"/>
          <w:szCs w:val="30"/>
        </w:rPr>
        <w:t>四、响应文件的份数、装订、签署和包装、密封</w:t>
      </w:r>
      <w:r>
        <w:rPr>
          <w:rFonts w:hint="eastAsia" w:cs="宋体" w:asciiTheme="majorEastAsia" w:hAnsiTheme="majorEastAsia" w:eastAsiaTheme="majorEastAsia"/>
          <w:color w:val="auto"/>
          <w:sz w:val="30"/>
          <w:szCs w:val="30"/>
        </w:rPr>
        <w:tab/>
      </w:r>
      <w:r>
        <w:rPr>
          <w:rFonts w:hint="eastAsia" w:cs="宋体" w:asciiTheme="majorEastAsia" w:hAnsiTheme="majorEastAsia" w:eastAsiaTheme="majorEastAsia"/>
          <w:color w:val="auto"/>
          <w:sz w:val="30"/>
          <w:szCs w:val="30"/>
        </w:rPr>
        <w:t>10</w:t>
      </w:r>
      <w:r>
        <w:rPr>
          <w:rFonts w:hint="eastAsia" w:cs="宋体" w:asciiTheme="majorEastAsia" w:hAnsiTheme="majorEastAsia" w:eastAsiaTheme="majorEastAsia"/>
          <w:color w:val="auto"/>
          <w:sz w:val="30"/>
          <w:szCs w:val="30"/>
        </w:rPr>
        <w:fldChar w:fldCharType="end"/>
      </w:r>
    </w:p>
    <w:p>
      <w:pPr>
        <w:pStyle w:val="31"/>
        <w:tabs>
          <w:tab w:val="right" w:leader="dot" w:pos="9639"/>
        </w:tabs>
        <w:rPr>
          <w:rFonts w:cs="宋体" w:asciiTheme="majorEastAsia" w:hAnsiTheme="majorEastAsia" w:eastAsiaTheme="majorEastAsia"/>
          <w:color w:val="auto"/>
          <w:sz w:val="30"/>
          <w:szCs w:val="30"/>
        </w:rPr>
      </w:pPr>
      <w:r>
        <w:rPr>
          <w:color w:val="auto"/>
        </w:rPr>
        <w:fldChar w:fldCharType="begin"/>
      </w:r>
      <w:r>
        <w:rPr>
          <w:color w:val="auto"/>
        </w:rPr>
        <w:instrText xml:space="preserve"> HYPERLINK \l "_Toc29901" </w:instrText>
      </w:r>
      <w:r>
        <w:rPr>
          <w:color w:val="auto"/>
        </w:rPr>
        <w:fldChar w:fldCharType="separate"/>
      </w:r>
      <w:r>
        <w:rPr>
          <w:rFonts w:hint="eastAsia" w:cs="宋体" w:asciiTheme="majorEastAsia" w:hAnsiTheme="majorEastAsia" w:eastAsiaTheme="majorEastAsia"/>
          <w:color w:val="auto"/>
          <w:sz w:val="30"/>
          <w:szCs w:val="30"/>
        </w:rPr>
        <w:t>五、磋商程序及评审方法</w:t>
      </w:r>
      <w:r>
        <w:rPr>
          <w:rFonts w:hint="eastAsia" w:cs="宋体" w:asciiTheme="majorEastAsia" w:hAnsiTheme="majorEastAsia" w:eastAsiaTheme="majorEastAsia"/>
          <w:color w:val="auto"/>
          <w:sz w:val="30"/>
          <w:szCs w:val="30"/>
        </w:rPr>
        <w:tab/>
      </w:r>
      <w:r>
        <w:rPr>
          <w:rFonts w:hint="eastAsia" w:cs="宋体" w:asciiTheme="majorEastAsia" w:hAnsiTheme="majorEastAsia" w:eastAsiaTheme="majorEastAsia"/>
          <w:color w:val="auto"/>
          <w:sz w:val="30"/>
          <w:szCs w:val="30"/>
        </w:rPr>
        <w:fldChar w:fldCharType="begin"/>
      </w:r>
      <w:r>
        <w:rPr>
          <w:rFonts w:hint="eastAsia" w:cs="宋体" w:asciiTheme="majorEastAsia" w:hAnsiTheme="majorEastAsia" w:eastAsiaTheme="majorEastAsia"/>
          <w:color w:val="auto"/>
          <w:sz w:val="30"/>
          <w:szCs w:val="30"/>
        </w:rPr>
        <w:instrText xml:space="preserve"> PAGEREF _Toc29901 </w:instrText>
      </w:r>
      <w:r>
        <w:rPr>
          <w:rFonts w:hint="eastAsia" w:cs="宋体" w:asciiTheme="majorEastAsia" w:hAnsiTheme="majorEastAsia" w:eastAsiaTheme="majorEastAsia"/>
          <w:color w:val="auto"/>
          <w:sz w:val="30"/>
          <w:szCs w:val="30"/>
        </w:rPr>
        <w:fldChar w:fldCharType="separate"/>
      </w:r>
      <w:r>
        <w:rPr>
          <w:rFonts w:cs="宋体" w:asciiTheme="majorEastAsia" w:hAnsiTheme="majorEastAsia" w:eastAsiaTheme="majorEastAsia"/>
          <w:color w:val="auto"/>
          <w:sz w:val="30"/>
          <w:szCs w:val="30"/>
        </w:rPr>
        <w:t>1</w:t>
      </w:r>
      <w:r>
        <w:rPr>
          <w:rFonts w:hint="eastAsia" w:cs="宋体" w:asciiTheme="majorEastAsia" w:hAnsiTheme="majorEastAsia" w:eastAsiaTheme="majorEastAsia"/>
          <w:color w:val="auto"/>
          <w:sz w:val="30"/>
          <w:szCs w:val="30"/>
        </w:rPr>
        <w:t>2</w:t>
      </w:r>
      <w:r>
        <w:rPr>
          <w:rFonts w:hint="eastAsia" w:cs="宋体" w:asciiTheme="majorEastAsia" w:hAnsiTheme="majorEastAsia" w:eastAsiaTheme="majorEastAsia"/>
          <w:color w:val="auto"/>
          <w:sz w:val="30"/>
          <w:szCs w:val="30"/>
        </w:rPr>
        <w:fldChar w:fldCharType="end"/>
      </w:r>
      <w:r>
        <w:rPr>
          <w:rFonts w:hint="eastAsia" w:cs="宋体" w:asciiTheme="majorEastAsia" w:hAnsiTheme="majorEastAsia" w:eastAsiaTheme="majorEastAsia"/>
          <w:color w:val="auto"/>
          <w:sz w:val="30"/>
          <w:szCs w:val="30"/>
        </w:rPr>
        <w:fldChar w:fldCharType="end"/>
      </w:r>
    </w:p>
    <w:p>
      <w:pPr>
        <w:pStyle w:val="31"/>
        <w:tabs>
          <w:tab w:val="right" w:leader="dot" w:pos="9639"/>
        </w:tabs>
        <w:rPr>
          <w:rFonts w:cs="宋体" w:asciiTheme="majorEastAsia" w:hAnsiTheme="majorEastAsia" w:eastAsiaTheme="majorEastAsia"/>
          <w:color w:val="auto"/>
          <w:sz w:val="30"/>
          <w:szCs w:val="30"/>
        </w:rPr>
      </w:pPr>
      <w:r>
        <w:rPr>
          <w:color w:val="auto"/>
        </w:rPr>
        <w:fldChar w:fldCharType="begin"/>
      </w:r>
      <w:r>
        <w:rPr>
          <w:color w:val="auto"/>
        </w:rPr>
        <w:instrText xml:space="preserve"> HYPERLINK \l "_Toc165" </w:instrText>
      </w:r>
      <w:r>
        <w:rPr>
          <w:color w:val="auto"/>
        </w:rPr>
        <w:fldChar w:fldCharType="separate"/>
      </w:r>
      <w:r>
        <w:rPr>
          <w:rFonts w:hint="eastAsia" w:cs="宋体" w:asciiTheme="majorEastAsia" w:hAnsiTheme="majorEastAsia" w:eastAsiaTheme="majorEastAsia"/>
          <w:color w:val="auto"/>
          <w:sz w:val="30"/>
          <w:szCs w:val="30"/>
        </w:rPr>
        <w:t>六、确定成交供应商办法</w:t>
      </w:r>
      <w:r>
        <w:rPr>
          <w:rFonts w:hint="eastAsia" w:cs="宋体" w:asciiTheme="majorEastAsia" w:hAnsiTheme="majorEastAsia" w:eastAsiaTheme="majorEastAsia"/>
          <w:color w:val="auto"/>
          <w:sz w:val="30"/>
          <w:szCs w:val="30"/>
        </w:rPr>
        <w:tab/>
      </w:r>
      <w:r>
        <w:rPr>
          <w:rFonts w:hint="eastAsia" w:cs="宋体" w:asciiTheme="majorEastAsia" w:hAnsiTheme="majorEastAsia" w:eastAsiaTheme="majorEastAsia"/>
          <w:color w:val="auto"/>
          <w:sz w:val="30"/>
          <w:szCs w:val="30"/>
        </w:rPr>
        <w:fldChar w:fldCharType="begin"/>
      </w:r>
      <w:r>
        <w:rPr>
          <w:rFonts w:hint="eastAsia" w:cs="宋体" w:asciiTheme="majorEastAsia" w:hAnsiTheme="majorEastAsia" w:eastAsiaTheme="majorEastAsia"/>
          <w:color w:val="auto"/>
          <w:sz w:val="30"/>
          <w:szCs w:val="30"/>
        </w:rPr>
        <w:instrText xml:space="preserve"> PAGEREF _Toc165 </w:instrText>
      </w:r>
      <w:r>
        <w:rPr>
          <w:rFonts w:hint="eastAsia" w:cs="宋体" w:asciiTheme="majorEastAsia" w:hAnsiTheme="majorEastAsia" w:eastAsiaTheme="majorEastAsia"/>
          <w:color w:val="auto"/>
          <w:sz w:val="30"/>
          <w:szCs w:val="30"/>
        </w:rPr>
        <w:fldChar w:fldCharType="separate"/>
      </w:r>
      <w:r>
        <w:rPr>
          <w:rFonts w:cs="宋体" w:asciiTheme="majorEastAsia" w:hAnsiTheme="majorEastAsia" w:eastAsiaTheme="majorEastAsia"/>
          <w:color w:val="auto"/>
          <w:sz w:val="30"/>
          <w:szCs w:val="30"/>
        </w:rPr>
        <w:t>1</w:t>
      </w:r>
      <w:r>
        <w:rPr>
          <w:rFonts w:hint="eastAsia" w:cs="宋体" w:asciiTheme="majorEastAsia" w:hAnsiTheme="majorEastAsia" w:eastAsiaTheme="majorEastAsia"/>
          <w:color w:val="auto"/>
          <w:sz w:val="30"/>
          <w:szCs w:val="30"/>
        </w:rPr>
        <w:t>5</w:t>
      </w:r>
      <w:r>
        <w:rPr>
          <w:rFonts w:hint="eastAsia" w:cs="宋体" w:asciiTheme="majorEastAsia" w:hAnsiTheme="majorEastAsia" w:eastAsiaTheme="majorEastAsia"/>
          <w:color w:val="auto"/>
          <w:sz w:val="30"/>
          <w:szCs w:val="30"/>
        </w:rPr>
        <w:fldChar w:fldCharType="end"/>
      </w:r>
      <w:r>
        <w:rPr>
          <w:rFonts w:hint="eastAsia" w:cs="宋体" w:asciiTheme="majorEastAsia" w:hAnsiTheme="majorEastAsia" w:eastAsiaTheme="majorEastAsia"/>
          <w:color w:val="auto"/>
          <w:sz w:val="30"/>
          <w:szCs w:val="30"/>
        </w:rPr>
        <w:fldChar w:fldCharType="end"/>
      </w:r>
    </w:p>
    <w:p>
      <w:pPr>
        <w:pStyle w:val="31"/>
        <w:tabs>
          <w:tab w:val="right" w:leader="dot" w:pos="9639"/>
        </w:tabs>
        <w:rPr>
          <w:rFonts w:cs="宋体" w:asciiTheme="majorEastAsia" w:hAnsiTheme="majorEastAsia" w:eastAsiaTheme="majorEastAsia"/>
          <w:color w:val="auto"/>
          <w:sz w:val="30"/>
          <w:szCs w:val="30"/>
        </w:rPr>
      </w:pPr>
      <w:r>
        <w:rPr>
          <w:color w:val="auto"/>
        </w:rPr>
        <w:fldChar w:fldCharType="begin"/>
      </w:r>
      <w:r>
        <w:rPr>
          <w:color w:val="auto"/>
        </w:rPr>
        <w:instrText xml:space="preserve"> HYPERLINK \l "_Toc31599" </w:instrText>
      </w:r>
      <w:r>
        <w:rPr>
          <w:color w:val="auto"/>
        </w:rPr>
        <w:fldChar w:fldCharType="separate"/>
      </w:r>
      <w:r>
        <w:rPr>
          <w:rFonts w:hint="eastAsia" w:cs="宋体" w:asciiTheme="majorEastAsia" w:hAnsiTheme="majorEastAsia" w:eastAsiaTheme="majorEastAsia"/>
          <w:color w:val="auto"/>
          <w:sz w:val="30"/>
          <w:szCs w:val="30"/>
        </w:rPr>
        <w:t>七、成交结果公告</w:t>
      </w:r>
      <w:r>
        <w:rPr>
          <w:rFonts w:hint="eastAsia" w:cs="宋体" w:asciiTheme="majorEastAsia" w:hAnsiTheme="majorEastAsia" w:eastAsiaTheme="majorEastAsia"/>
          <w:color w:val="auto"/>
          <w:sz w:val="30"/>
          <w:szCs w:val="30"/>
        </w:rPr>
        <w:tab/>
      </w:r>
      <w:r>
        <w:rPr>
          <w:rFonts w:hint="eastAsia" w:cs="宋体" w:asciiTheme="majorEastAsia" w:hAnsiTheme="majorEastAsia" w:eastAsiaTheme="majorEastAsia"/>
          <w:color w:val="auto"/>
          <w:sz w:val="30"/>
          <w:szCs w:val="30"/>
        </w:rPr>
        <w:fldChar w:fldCharType="begin"/>
      </w:r>
      <w:r>
        <w:rPr>
          <w:rFonts w:hint="eastAsia" w:cs="宋体" w:asciiTheme="majorEastAsia" w:hAnsiTheme="majorEastAsia" w:eastAsiaTheme="majorEastAsia"/>
          <w:color w:val="auto"/>
          <w:sz w:val="30"/>
          <w:szCs w:val="30"/>
        </w:rPr>
        <w:instrText xml:space="preserve"> PAGEREF _Toc31599 </w:instrText>
      </w:r>
      <w:r>
        <w:rPr>
          <w:rFonts w:hint="eastAsia" w:cs="宋体" w:asciiTheme="majorEastAsia" w:hAnsiTheme="majorEastAsia" w:eastAsiaTheme="majorEastAsia"/>
          <w:color w:val="auto"/>
          <w:sz w:val="30"/>
          <w:szCs w:val="30"/>
        </w:rPr>
        <w:fldChar w:fldCharType="separate"/>
      </w:r>
      <w:r>
        <w:rPr>
          <w:rFonts w:cs="宋体" w:asciiTheme="majorEastAsia" w:hAnsiTheme="majorEastAsia" w:eastAsiaTheme="majorEastAsia"/>
          <w:color w:val="auto"/>
          <w:sz w:val="30"/>
          <w:szCs w:val="30"/>
        </w:rPr>
        <w:t>1</w:t>
      </w:r>
      <w:r>
        <w:rPr>
          <w:rFonts w:hint="eastAsia" w:cs="宋体" w:asciiTheme="majorEastAsia" w:hAnsiTheme="majorEastAsia" w:eastAsiaTheme="majorEastAsia"/>
          <w:color w:val="auto"/>
          <w:sz w:val="30"/>
          <w:szCs w:val="30"/>
        </w:rPr>
        <w:t>6</w:t>
      </w:r>
      <w:r>
        <w:rPr>
          <w:rFonts w:hint="eastAsia" w:cs="宋体" w:asciiTheme="majorEastAsia" w:hAnsiTheme="majorEastAsia" w:eastAsiaTheme="majorEastAsia"/>
          <w:color w:val="auto"/>
          <w:sz w:val="30"/>
          <w:szCs w:val="30"/>
        </w:rPr>
        <w:fldChar w:fldCharType="end"/>
      </w:r>
      <w:r>
        <w:rPr>
          <w:rFonts w:hint="eastAsia" w:cs="宋体" w:asciiTheme="majorEastAsia" w:hAnsiTheme="majorEastAsia" w:eastAsiaTheme="majorEastAsia"/>
          <w:color w:val="auto"/>
          <w:sz w:val="30"/>
          <w:szCs w:val="30"/>
        </w:rPr>
        <w:fldChar w:fldCharType="end"/>
      </w:r>
    </w:p>
    <w:p>
      <w:pPr>
        <w:pStyle w:val="31"/>
        <w:tabs>
          <w:tab w:val="right" w:leader="dot" w:pos="9639"/>
        </w:tabs>
        <w:rPr>
          <w:rFonts w:cs="宋体" w:asciiTheme="majorEastAsia" w:hAnsiTheme="majorEastAsia" w:eastAsiaTheme="majorEastAsia"/>
          <w:color w:val="auto"/>
          <w:sz w:val="30"/>
          <w:szCs w:val="30"/>
        </w:rPr>
      </w:pPr>
      <w:r>
        <w:rPr>
          <w:color w:val="auto"/>
        </w:rPr>
        <w:fldChar w:fldCharType="begin"/>
      </w:r>
      <w:r>
        <w:rPr>
          <w:color w:val="auto"/>
        </w:rPr>
        <w:instrText xml:space="preserve"> HYPERLINK \l "_Toc11342" </w:instrText>
      </w:r>
      <w:r>
        <w:rPr>
          <w:color w:val="auto"/>
        </w:rPr>
        <w:fldChar w:fldCharType="separate"/>
      </w:r>
      <w:r>
        <w:rPr>
          <w:rFonts w:hint="eastAsia" w:cs="宋体" w:asciiTheme="majorEastAsia" w:hAnsiTheme="majorEastAsia" w:eastAsiaTheme="majorEastAsia"/>
          <w:color w:val="auto"/>
          <w:sz w:val="30"/>
          <w:szCs w:val="30"/>
        </w:rPr>
        <w:t>八、 签订合同</w:t>
      </w:r>
      <w:r>
        <w:rPr>
          <w:rFonts w:hint="eastAsia" w:cs="宋体" w:asciiTheme="majorEastAsia" w:hAnsiTheme="majorEastAsia" w:eastAsiaTheme="majorEastAsia"/>
          <w:color w:val="auto"/>
          <w:sz w:val="30"/>
          <w:szCs w:val="30"/>
        </w:rPr>
        <w:tab/>
      </w:r>
      <w:r>
        <w:rPr>
          <w:rFonts w:hint="eastAsia" w:cs="宋体" w:asciiTheme="majorEastAsia" w:hAnsiTheme="majorEastAsia" w:eastAsiaTheme="majorEastAsia"/>
          <w:color w:val="auto"/>
          <w:sz w:val="30"/>
          <w:szCs w:val="30"/>
        </w:rPr>
        <w:fldChar w:fldCharType="begin"/>
      </w:r>
      <w:r>
        <w:rPr>
          <w:rFonts w:hint="eastAsia" w:cs="宋体" w:asciiTheme="majorEastAsia" w:hAnsiTheme="majorEastAsia" w:eastAsiaTheme="majorEastAsia"/>
          <w:color w:val="auto"/>
          <w:sz w:val="30"/>
          <w:szCs w:val="30"/>
        </w:rPr>
        <w:instrText xml:space="preserve"> PAGEREF _Toc11342 </w:instrText>
      </w:r>
      <w:r>
        <w:rPr>
          <w:rFonts w:hint="eastAsia" w:cs="宋体" w:asciiTheme="majorEastAsia" w:hAnsiTheme="majorEastAsia" w:eastAsiaTheme="majorEastAsia"/>
          <w:color w:val="auto"/>
          <w:sz w:val="30"/>
          <w:szCs w:val="30"/>
        </w:rPr>
        <w:fldChar w:fldCharType="separate"/>
      </w:r>
      <w:r>
        <w:rPr>
          <w:rFonts w:cs="宋体" w:asciiTheme="majorEastAsia" w:hAnsiTheme="majorEastAsia" w:eastAsiaTheme="majorEastAsia"/>
          <w:color w:val="auto"/>
          <w:sz w:val="30"/>
          <w:szCs w:val="30"/>
        </w:rPr>
        <w:t>1</w:t>
      </w:r>
      <w:r>
        <w:rPr>
          <w:rFonts w:hint="eastAsia" w:cs="宋体" w:asciiTheme="majorEastAsia" w:hAnsiTheme="majorEastAsia" w:eastAsiaTheme="majorEastAsia"/>
          <w:color w:val="auto"/>
          <w:sz w:val="30"/>
          <w:szCs w:val="30"/>
        </w:rPr>
        <w:t>6</w:t>
      </w:r>
      <w:r>
        <w:rPr>
          <w:rFonts w:hint="eastAsia" w:cs="宋体" w:asciiTheme="majorEastAsia" w:hAnsiTheme="majorEastAsia" w:eastAsiaTheme="majorEastAsia"/>
          <w:color w:val="auto"/>
          <w:sz w:val="30"/>
          <w:szCs w:val="30"/>
        </w:rPr>
        <w:fldChar w:fldCharType="end"/>
      </w:r>
      <w:r>
        <w:rPr>
          <w:rFonts w:hint="eastAsia" w:cs="宋体" w:asciiTheme="majorEastAsia" w:hAnsiTheme="majorEastAsia" w:eastAsiaTheme="majorEastAsia"/>
          <w:color w:val="auto"/>
          <w:sz w:val="30"/>
          <w:szCs w:val="30"/>
        </w:rPr>
        <w:fldChar w:fldCharType="end"/>
      </w:r>
    </w:p>
    <w:p>
      <w:pPr>
        <w:pStyle w:val="31"/>
        <w:tabs>
          <w:tab w:val="right" w:leader="dot" w:pos="9639"/>
        </w:tabs>
        <w:rPr>
          <w:rFonts w:cs="宋体" w:asciiTheme="majorEastAsia" w:hAnsiTheme="majorEastAsia" w:eastAsiaTheme="majorEastAsia"/>
          <w:color w:val="auto"/>
          <w:sz w:val="30"/>
          <w:szCs w:val="30"/>
        </w:rPr>
      </w:pPr>
      <w:r>
        <w:rPr>
          <w:color w:val="auto"/>
        </w:rPr>
        <w:fldChar w:fldCharType="begin"/>
      </w:r>
      <w:r>
        <w:rPr>
          <w:color w:val="auto"/>
        </w:rPr>
        <w:instrText xml:space="preserve"> HYPERLINK \l "_Toc363" </w:instrText>
      </w:r>
      <w:r>
        <w:rPr>
          <w:color w:val="auto"/>
        </w:rPr>
        <w:fldChar w:fldCharType="separate"/>
      </w:r>
      <w:r>
        <w:rPr>
          <w:rFonts w:hint="eastAsia" w:cs="宋体" w:asciiTheme="majorEastAsia" w:hAnsiTheme="majorEastAsia" w:eastAsiaTheme="majorEastAsia"/>
          <w:color w:val="auto"/>
          <w:sz w:val="30"/>
          <w:szCs w:val="30"/>
        </w:rPr>
        <w:t>九、适用法律</w:t>
      </w:r>
      <w:r>
        <w:rPr>
          <w:rFonts w:hint="eastAsia" w:cs="宋体" w:asciiTheme="majorEastAsia" w:hAnsiTheme="majorEastAsia" w:eastAsiaTheme="majorEastAsia"/>
          <w:color w:val="auto"/>
          <w:sz w:val="30"/>
          <w:szCs w:val="30"/>
        </w:rPr>
        <w:tab/>
      </w:r>
      <w:r>
        <w:rPr>
          <w:rFonts w:hint="eastAsia" w:cs="宋体" w:asciiTheme="majorEastAsia" w:hAnsiTheme="majorEastAsia" w:eastAsiaTheme="majorEastAsia"/>
          <w:color w:val="auto"/>
          <w:sz w:val="30"/>
          <w:szCs w:val="30"/>
        </w:rPr>
        <w:fldChar w:fldCharType="begin"/>
      </w:r>
      <w:r>
        <w:rPr>
          <w:rFonts w:hint="eastAsia" w:cs="宋体" w:asciiTheme="majorEastAsia" w:hAnsiTheme="majorEastAsia" w:eastAsiaTheme="majorEastAsia"/>
          <w:color w:val="auto"/>
          <w:sz w:val="30"/>
          <w:szCs w:val="30"/>
        </w:rPr>
        <w:instrText xml:space="preserve"> PAGEREF _Toc363 </w:instrText>
      </w:r>
      <w:r>
        <w:rPr>
          <w:rFonts w:hint="eastAsia" w:cs="宋体" w:asciiTheme="majorEastAsia" w:hAnsiTheme="majorEastAsia" w:eastAsiaTheme="majorEastAsia"/>
          <w:color w:val="auto"/>
          <w:sz w:val="30"/>
          <w:szCs w:val="30"/>
        </w:rPr>
        <w:fldChar w:fldCharType="separate"/>
      </w:r>
      <w:r>
        <w:rPr>
          <w:rFonts w:cs="宋体" w:asciiTheme="majorEastAsia" w:hAnsiTheme="majorEastAsia" w:eastAsiaTheme="majorEastAsia"/>
          <w:color w:val="auto"/>
          <w:sz w:val="30"/>
          <w:szCs w:val="30"/>
        </w:rPr>
        <w:t>1</w:t>
      </w:r>
      <w:r>
        <w:rPr>
          <w:rFonts w:hint="eastAsia" w:cs="宋体" w:asciiTheme="majorEastAsia" w:hAnsiTheme="majorEastAsia" w:eastAsiaTheme="majorEastAsia"/>
          <w:color w:val="auto"/>
          <w:sz w:val="30"/>
          <w:szCs w:val="30"/>
        </w:rPr>
        <w:t>6</w:t>
      </w:r>
      <w:r>
        <w:rPr>
          <w:rFonts w:hint="eastAsia" w:cs="宋体" w:asciiTheme="majorEastAsia" w:hAnsiTheme="majorEastAsia" w:eastAsiaTheme="majorEastAsia"/>
          <w:color w:val="auto"/>
          <w:sz w:val="30"/>
          <w:szCs w:val="30"/>
        </w:rPr>
        <w:fldChar w:fldCharType="end"/>
      </w:r>
      <w:r>
        <w:rPr>
          <w:rFonts w:hint="eastAsia" w:cs="宋体" w:asciiTheme="majorEastAsia" w:hAnsiTheme="majorEastAsia" w:eastAsiaTheme="majorEastAsia"/>
          <w:color w:val="auto"/>
          <w:sz w:val="30"/>
          <w:szCs w:val="30"/>
        </w:rPr>
        <w:fldChar w:fldCharType="end"/>
      </w:r>
    </w:p>
    <w:p>
      <w:pPr>
        <w:pStyle w:val="31"/>
        <w:tabs>
          <w:tab w:val="right" w:leader="dot" w:pos="9639"/>
        </w:tabs>
        <w:rPr>
          <w:rFonts w:cs="宋体" w:asciiTheme="majorEastAsia" w:hAnsiTheme="majorEastAsia" w:eastAsiaTheme="majorEastAsia"/>
          <w:color w:val="auto"/>
          <w:sz w:val="30"/>
          <w:szCs w:val="30"/>
        </w:rPr>
      </w:pPr>
      <w:r>
        <w:rPr>
          <w:color w:val="auto"/>
        </w:rPr>
        <w:fldChar w:fldCharType="begin"/>
      </w:r>
      <w:r>
        <w:rPr>
          <w:color w:val="auto"/>
        </w:rPr>
        <w:instrText xml:space="preserve"> HYPERLINK \l "_Toc10385" </w:instrText>
      </w:r>
      <w:r>
        <w:rPr>
          <w:color w:val="auto"/>
        </w:rPr>
        <w:fldChar w:fldCharType="separate"/>
      </w:r>
      <w:r>
        <w:rPr>
          <w:rFonts w:hint="eastAsia" w:cs="宋体" w:asciiTheme="majorEastAsia" w:hAnsiTheme="majorEastAsia" w:eastAsiaTheme="majorEastAsia"/>
          <w:color w:val="auto"/>
          <w:sz w:val="30"/>
          <w:szCs w:val="30"/>
        </w:rPr>
        <w:t>十、其他事项</w:t>
      </w:r>
      <w:r>
        <w:rPr>
          <w:rFonts w:hint="eastAsia" w:cs="宋体" w:asciiTheme="majorEastAsia" w:hAnsiTheme="majorEastAsia" w:eastAsiaTheme="majorEastAsia"/>
          <w:color w:val="auto"/>
          <w:sz w:val="30"/>
          <w:szCs w:val="30"/>
        </w:rPr>
        <w:tab/>
      </w:r>
      <w:r>
        <w:rPr>
          <w:rFonts w:hint="eastAsia" w:cs="宋体" w:asciiTheme="majorEastAsia" w:hAnsiTheme="majorEastAsia" w:eastAsiaTheme="majorEastAsia"/>
          <w:color w:val="auto"/>
          <w:sz w:val="30"/>
          <w:szCs w:val="30"/>
        </w:rPr>
        <w:fldChar w:fldCharType="begin"/>
      </w:r>
      <w:r>
        <w:rPr>
          <w:rFonts w:hint="eastAsia" w:cs="宋体" w:asciiTheme="majorEastAsia" w:hAnsiTheme="majorEastAsia" w:eastAsiaTheme="majorEastAsia"/>
          <w:color w:val="auto"/>
          <w:sz w:val="30"/>
          <w:szCs w:val="30"/>
        </w:rPr>
        <w:instrText xml:space="preserve"> PAGEREF _Toc10385 </w:instrText>
      </w:r>
      <w:r>
        <w:rPr>
          <w:rFonts w:hint="eastAsia" w:cs="宋体" w:asciiTheme="majorEastAsia" w:hAnsiTheme="majorEastAsia" w:eastAsiaTheme="majorEastAsia"/>
          <w:color w:val="auto"/>
          <w:sz w:val="30"/>
          <w:szCs w:val="30"/>
        </w:rPr>
        <w:fldChar w:fldCharType="separate"/>
      </w:r>
      <w:r>
        <w:rPr>
          <w:rFonts w:cs="宋体" w:asciiTheme="majorEastAsia" w:hAnsiTheme="majorEastAsia" w:eastAsiaTheme="majorEastAsia"/>
          <w:color w:val="auto"/>
          <w:sz w:val="30"/>
          <w:szCs w:val="30"/>
        </w:rPr>
        <w:t>1</w:t>
      </w:r>
      <w:r>
        <w:rPr>
          <w:rFonts w:hint="eastAsia" w:cs="宋体" w:asciiTheme="majorEastAsia" w:hAnsiTheme="majorEastAsia" w:eastAsiaTheme="majorEastAsia"/>
          <w:color w:val="auto"/>
          <w:sz w:val="30"/>
          <w:szCs w:val="30"/>
        </w:rPr>
        <w:t>6</w:t>
      </w:r>
      <w:r>
        <w:rPr>
          <w:rFonts w:hint="eastAsia" w:cs="宋体" w:asciiTheme="majorEastAsia" w:hAnsiTheme="majorEastAsia" w:eastAsiaTheme="majorEastAsia"/>
          <w:color w:val="auto"/>
          <w:sz w:val="30"/>
          <w:szCs w:val="30"/>
        </w:rPr>
        <w:fldChar w:fldCharType="end"/>
      </w:r>
      <w:r>
        <w:rPr>
          <w:rFonts w:hint="eastAsia" w:cs="宋体" w:asciiTheme="majorEastAsia" w:hAnsiTheme="majorEastAsia" w:eastAsiaTheme="majorEastAsia"/>
          <w:color w:val="auto"/>
          <w:sz w:val="30"/>
          <w:szCs w:val="30"/>
        </w:rPr>
        <w:fldChar w:fldCharType="end"/>
      </w:r>
    </w:p>
    <w:p>
      <w:pPr>
        <w:pStyle w:val="28"/>
        <w:tabs>
          <w:tab w:val="right" w:leader="dot" w:pos="9639"/>
        </w:tabs>
        <w:rPr>
          <w:rFonts w:cs="宋体" w:asciiTheme="majorEastAsia" w:hAnsiTheme="majorEastAsia" w:eastAsiaTheme="majorEastAsia"/>
          <w:color w:val="auto"/>
          <w:sz w:val="30"/>
          <w:szCs w:val="30"/>
        </w:rPr>
      </w:pPr>
      <w:r>
        <w:rPr>
          <w:color w:val="auto"/>
        </w:rPr>
        <w:fldChar w:fldCharType="begin"/>
      </w:r>
      <w:r>
        <w:rPr>
          <w:color w:val="auto"/>
        </w:rPr>
        <w:instrText xml:space="preserve"> HYPERLINK \l "_Toc26265" </w:instrText>
      </w:r>
      <w:r>
        <w:rPr>
          <w:color w:val="auto"/>
        </w:rPr>
        <w:fldChar w:fldCharType="separate"/>
      </w:r>
      <w:r>
        <w:rPr>
          <w:rFonts w:hint="eastAsia" w:cs="宋体" w:asciiTheme="majorEastAsia" w:hAnsiTheme="majorEastAsia" w:eastAsiaTheme="majorEastAsia"/>
          <w:color w:val="auto"/>
          <w:sz w:val="30"/>
          <w:szCs w:val="30"/>
        </w:rPr>
        <w:t>第三章  货物采购需求表</w:t>
      </w:r>
      <w:r>
        <w:rPr>
          <w:rFonts w:hint="eastAsia" w:cs="宋体" w:asciiTheme="majorEastAsia" w:hAnsiTheme="majorEastAsia" w:eastAsiaTheme="majorEastAsia"/>
          <w:color w:val="auto"/>
          <w:sz w:val="30"/>
          <w:szCs w:val="30"/>
        </w:rPr>
        <w:tab/>
      </w:r>
      <w:r>
        <w:rPr>
          <w:rFonts w:hint="eastAsia" w:cs="宋体" w:asciiTheme="majorEastAsia" w:hAnsiTheme="majorEastAsia" w:eastAsiaTheme="majorEastAsia"/>
          <w:color w:val="auto"/>
          <w:sz w:val="30"/>
          <w:szCs w:val="30"/>
          <w:lang w:val="en-US" w:eastAsia="zh-CN"/>
        </w:rPr>
        <w:t>1</w:t>
      </w:r>
      <w:r>
        <w:rPr>
          <w:rFonts w:hint="eastAsia" w:cs="宋体" w:asciiTheme="majorEastAsia" w:hAnsiTheme="majorEastAsia" w:eastAsiaTheme="majorEastAsia"/>
          <w:color w:val="auto"/>
          <w:sz w:val="30"/>
          <w:szCs w:val="30"/>
        </w:rPr>
        <w:fldChar w:fldCharType="end"/>
      </w:r>
      <w:r>
        <w:rPr>
          <w:rFonts w:hint="eastAsia" w:cs="宋体" w:asciiTheme="majorEastAsia" w:hAnsiTheme="majorEastAsia" w:eastAsiaTheme="majorEastAsia"/>
          <w:color w:val="auto"/>
          <w:sz w:val="30"/>
          <w:szCs w:val="30"/>
          <w:lang w:val="en-US" w:eastAsia="zh-CN"/>
        </w:rPr>
        <w:t>7</w:t>
      </w:r>
    </w:p>
    <w:p>
      <w:pPr>
        <w:pStyle w:val="28"/>
        <w:tabs>
          <w:tab w:val="right" w:leader="dot" w:pos="9639"/>
        </w:tabs>
        <w:rPr>
          <w:rFonts w:cs="宋体" w:asciiTheme="majorEastAsia" w:hAnsiTheme="majorEastAsia" w:eastAsiaTheme="majorEastAsia"/>
          <w:color w:val="auto"/>
          <w:sz w:val="30"/>
          <w:szCs w:val="30"/>
        </w:rPr>
      </w:pPr>
      <w:r>
        <w:rPr>
          <w:color w:val="auto"/>
        </w:rPr>
        <w:fldChar w:fldCharType="begin"/>
      </w:r>
      <w:r>
        <w:rPr>
          <w:color w:val="auto"/>
        </w:rPr>
        <w:instrText xml:space="preserve"> HYPERLINK \l "_Toc13314" </w:instrText>
      </w:r>
      <w:r>
        <w:rPr>
          <w:color w:val="auto"/>
        </w:rPr>
        <w:fldChar w:fldCharType="separate"/>
      </w:r>
      <w:r>
        <w:rPr>
          <w:rFonts w:hint="eastAsia" w:cs="宋体" w:asciiTheme="majorEastAsia" w:hAnsiTheme="majorEastAsia" w:eastAsiaTheme="majorEastAsia"/>
          <w:color w:val="auto"/>
          <w:sz w:val="30"/>
          <w:szCs w:val="30"/>
        </w:rPr>
        <w:t>第四章  竞争性磋商响应文件格式</w:t>
      </w:r>
      <w:r>
        <w:rPr>
          <w:rFonts w:hint="eastAsia" w:cs="宋体" w:asciiTheme="majorEastAsia" w:hAnsiTheme="majorEastAsia" w:eastAsiaTheme="majorEastAsia"/>
          <w:color w:val="auto"/>
          <w:sz w:val="30"/>
          <w:szCs w:val="30"/>
        </w:rPr>
        <w:tab/>
      </w:r>
      <w:r>
        <w:rPr>
          <w:rFonts w:hint="eastAsia" w:cs="宋体" w:asciiTheme="majorEastAsia" w:hAnsiTheme="majorEastAsia" w:eastAsiaTheme="majorEastAsia"/>
          <w:color w:val="auto"/>
          <w:sz w:val="30"/>
          <w:szCs w:val="30"/>
          <w:lang w:val="en-US" w:eastAsia="zh-CN"/>
        </w:rPr>
        <w:t>3</w:t>
      </w:r>
      <w:r>
        <w:rPr>
          <w:rFonts w:hint="eastAsia" w:cs="宋体" w:asciiTheme="majorEastAsia" w:hAnsiTheme="majorEastAsia" w:eastAsiaTheme="majorEastAsia"/>
          <w:color w:val="auto"/>
          <w:sz w:val="30"/>
          <w:szCs w:val="30"/>
        </w:rPr>
        <w:fldChar w:fldCharType="end"/>
      </w:r>
      <w:r>
        <w:rPr>
          <w:rFonts w:hint="eastAsia" w:cs="宋体" w:asciiTheme="majorEastAsia" w:hAnsiTheme="majorEastAsia" w:eastAsiaTheme="majorEastAsia"/>
          <w:color w:val="auto"/>
          <w:sz w:val="30"/>
          <w:szCs w:val="30"/>
          <w:lang w:val="en-US" w:eastAsia="zh-CN"/>
        </w:rPr>
        <w:t>6</w:t>
      </w:r>
    </w:p>
    <w:p>
      <w:pPr>
        <w:pStyle w:val="28"/>
        <w:tabs>
          <w:tab w:val="right" w:leader="dot" w:pos="9639"/>
        </w:tabs>
        <w:rPr>
          <w:rFonts w:cs="宋体" w:asciiTheme="majorEastAsia" w:hAnsiTheme="majorEastAsia" w:eastAsiaTheme="majorEastAsia"/>
          <w:color w:val="auto"/>
          <w:sz w:val="30"/>
          <w:szCs w:val="30"/>
        </w:rPr>
      </w:pPr>
      <w:r>
        <w:rPr>
          <w:color w:val="auto"/>
        </w:rPr>
        <w:fldChar w:fldCharType="begin"/>
      </w:r>
      <w:r>
        <w:rPr>
          <w:color w:val="auto"/>
        </w:rPr>
        <w:instrText xml:space="preserve"> HYPERLINK \l "_Toc16955" </w:instrText>
      </w:r>
      <w:r>
        <w:rPr>
          <w:color w:val="auto"/>
        </w:rPr>
        <w:fldChar w:fldCharType="separate"/>
      </w:r>
      <w:r>
        <w:rPr>
          <w:rFonts w:hint="eastAsia" w:cs="宋体" w:asciiTheme="majorEastAsia" w:hAnsiTheme="majorEastAsia" w:eastAsiaTheme="majorEastAsia"/>
          <w:color w:val="auto"/>
          <w:sz w:val="30"/>
          <w:szCs w:val="30"/>
        </w:rPr>
        <w:t>第五章  政府采购合同（格式）</w:t>
      </w:r>
      <w:r>
        <w:rPr>
          <w:rFonts w:hint="eastAsia" w:cs="宋体" w:asciiTheme="majorEastAsia" w:hAnsiTheme="majorEastAsia" w:eastAsiaTheme="majorEastAsia"/>
          <w:color w:val="auto"/>
          <w:sz w:val="30"/>
          <w:szCs w:val="30"/>
        </w:rPr>
        <w:tab/>
      </w:r>
      <w:r>
        <w:rPr>
          <w:rFonts w:hint="eastAsia" w:cs="宋体" w:asciiTheme="majorEastAsia" w:hAnsiTheme="majorEastAsia" w:eastAsiaTheme="majorEastAsia"/>
          <w:color w:val="auto"/>
          <w:sz w:val="30"/>
          <w:szCs w:val="30"/>
          <w:lang w:val="en-US" w:eastAsia="zh-CN"/>
        </w:rPr>
        <w:t>5</w:t>
      </w:r>
      <w:r>
        <w:rPr>
          <w:rFonts w:hint="eastAsia" w:cs="宋体" w:asciiTheme="majorEastAsia" w:hAnsiTheme="majorEastAsia" w:eastAsiaTheme="majorEastAsia"/>
          <w:color w:val="auto"/>
          <w:sz w:val="30"/>
          <w:szCs w:val="30"/>
        </w:rPr>
        <w:fldChar w:fldCharType="end"/>
      </w:r>
      <w:r>
        <w:rPr>
          <w:rFonts w:hint="eastAsia" w:cs="宋体" w:asciiTheme="majorEastAsia" w:hAnsiTheme="majorEastAsia" w:eastAsiaTheme="majorEastAsia"/>
          <w:color w:val="auto"/>
          <w:sz w:val="30"/>
          <w:szCs w:val="30"/>
          <w:lang w:val="en-US" w:eastAsia="zh-CN"/>
        </w:rPr>
        <w:t>0</w:t>
      </w:r>
    </w:p>
    <w:p>
      <w:pPr>
        <w:pStyle w:val="28"/>
        <w:tabs>
          <w:tab w:val="right" w:leader="dot" w:pos="9639"/>
        </w:tabs>
        <w:rPr>
          <w:rFonts w:cs="宋体" w:asciiTheme="majorEastAsia" w:hAnsiTheme="majorEastAsia" w:eastAsiaTheme="majorEastAsia"/>
          <w:color w:val="auto"/>
          <w:sz w:val="30"/>
          <w:szCs w:val="30"/>
        </w:rPr>
      </w:pPr>
      <w:r>
        <w:rPr>
          <w:color w:val="auto"/>
        </w:rPr>
        <w:fldChar w:fldCharType="begin"/>
      </w:r>
      <w:r>
        <w:rPr>
          <w:color w:val="auto"/>
        </w:rPr>
        <w:instrText xml:space="preserve"> HYPERLINK \l "_Toc23853" </w:instrText>
      </w:r>
      <w:r>
        <w:rPr>
          <w:color w:val="auto"/>
        </w:rPr>
        <w:fldChar w:fldCharType="separate"/>
      </w:r>
      <w:r>
        <w:rPr>
          <w:rFonts w:hint="eastAsia" w:cs="宋体" w:asciiTheme="majorEastAsia" w:hAnsiTheme="majorEastAsia" w:eastAsiaTheme="majorEastAsia"/>
          <w:color w:val="auto"/>
          <w:sz w:val="30"/>
          <w:szCs w:val="30"/>
        </w:rPr>
        <w:t>第六章  评审方法</w:t>
      </w:r>
      <w:r>
        <w:rPr>
          <w:rFonts w:hint="eastAsia" w:cs="宋体" w:asciiTheme="majorEastAsia" w:hAnsiTheme="majorEastAsia" w:eastAsiaTheme="majorEastAsia"/>
          <w:color w:val="auto"/>
          <w:sz w:val="30"/>
          <w:szCs w:val="30"/>
        </w:rPr>
        <w:tab/>
      </w:r>
      <w:r>
        <w:rPr>
          <w:rFonts w:hint="eastAsia" w:cs="宋体" w:asciiTheme="majorEastAsia" w:hAnsiTheme="majorEastAsia" w:eastAsiaTheme="majorEastAsia"/>
          <w:color w:val="auto"/>
          <w:sz w:val="30"/>
          <w:szCs w:val="30"/>
          <w:lang w:val="en-US" w:eastAsia="zh-CN"/>
        </w:rPr>
        <w:t>5</w:t>
      </w:r>
      <w:r>
        <w:rPr>
          <w:rFonts w:hint="eastAsia" w:cs="宋体" w:asciiTheme="majorEastAsia" w:hAnsiTheme="majorEastAsia" w:eastAsiaTheme="majorEastAsia"/>
          <w:color w:val="auto"/>
          <w:sz w:val="30"/>
          <w:szCs w:val="30"/>
        </w:rPr>
        <w:fldChar w:fldCharType="end"/>
      </w:r>
      <w:r>
        <w:rPr>
          <w:rFonts w:hint="eastAsia" w:cs="宋体" w:asciiTheme="majorEastAsia" w:hAnsiTheme="majorEastAsia" w:eastAsiaTheme="majorEastAsia"/>
          <w:color w:val="auto"/>
          <w:sz w:val="30"/>
          <w:szCs w:val="30"/>
          <w:lang w:val="en-US" w:eastAsia="zh-CN"/>
        </w:rPr>
        <w:t>4</w:t>
      </w:r>
    </w:p>
    <w:p>
      <w:pPr>
        <w:pStyle w:val="28"/>
        <w:tabs>
          <w:tab w:val="right" w:leader="dot" w:pos="9639"/>
        </w:tabs>
        <w:rPr>
          <w:rFonts w:asciiTheme="majorEastAsia" w:hAnsiTheme="majorEastAsia" w:eastAsiaTheme="majorEastAsia"/>
          <w:color w:val="auto"/>
          <w:sz w:val="30"/>
          <w:szCs w:val="30"/>
        </w:rPr>
      </w:pPr>
      <w:r>
        <w:rPr>
          <w:color w:val="auto"/>
        </w:rPr>
        <w:fldChar w:fldCharType="begin"/>
      </w:r>
      <w:r>
        <w:rPr>
          <w:color w:val="auto"/>
        </w:rPr>
        <w:instrText xml:space="preserve"> HYPERLINK \l "_Toc31170" </w:instrText>
      </w:r>
      <w:r>
        <w:rPr>
          <w:color w:val="auto"/>
        </w:rPr>
        <w:fldChar w:fldCharType="separate"/>
      </w:r>
      <w:r>
        <w:rPr>
          <w:rFonts w:hint="eastAsia" w:cs="宋体" w:asciiTheme="majorEastAsia" w:hAnsiTheme="majorEastAsia" w:eastAsiaTheme="majorEastAsia"/>
          <w:color w:val="auto"/>
          <w:sz w:val="30"/>
          <w:szCs w:val="30"/>
        </w:rPr>
        <w:t>第七章  退还保证金申请格式</w:t>
      </w:r>
      <w:r>
        <w:rPr>
          <w:rFonts w:hint="eastAsia" w:cs="宋体" w:asciiTheme="majorEastAsia" w:hAnsiTheme="majorEastAsia" w:eastAsiaTheme="majorEastAsia"/>
          <w:color w:val="auto"/>
          <w:sz w:val="30"/>
          <w:szCs w:val="30"/>
        </w:rPr>
        <w:tab/>
      </w:r>
      <w:r>
        <w:rPr>
          <w:rFonts w:hint="eastAsia" w:cs="宋体" w:asciiTheme="majorEastAsia" w:hAnsiTheme="majorEastAsia" w:eastAsiaTheme="majorEastAsia"/>
          <w:color w:val="auto"/>
          <w:sz w:val="30"/>
          <w:szCs w:val="30"/>
          <w:lang w:val="en-US" w:eastAsia="zh-CN"/>
        </w:rPr>
        <w:t>5</w:t>
      </w:r>
      <w:r>
        <w:rPr>
          <w:rFonts w:hint="eastAsia" w:cs="宋体" w:asciiTheme="majorEastAsia" w:hAnsiTheme="majorEastAsia" w:eastAsiaTheme="majorEastAsia"/>
          <w:color w:val="auto"/>
          <w:sz w:val="30"/>
          <w:szCs w:val="30"/>
        </w:rPr>
        <w:fldChar w:fldCharType="end"/>
      </w:r>
      <w:r>
        <w:rPr>
          <w:rFonts w:hint="eastAsia" w:cs="宋体" w:asciiTheme="majorEastAsia" w:hAnsiTheme="majorEastAsia" w:eastAsiaTheme="majorEastAsia"/>
          <w:color w:val="auto"/>
          <w:sz w:val="30"/>
          <w:szCs w:val="30"/>
          <w:lang w:val="en-US" w:eastAsia="zh-CN"/>
        </w:rPr>
        <w:t>6</w:t>
      </w:r>
      <w:bookmarkStart w:id="76" w:name="_GoBack"/>
      <w:bookmarkEnd w:id="76"/>
    </w:p>
    <w:p>
      <w:pPr>
        <w:pStyle w:val="22"/>
        <w:snapToGrid w:val="0"/>
        <w:spacing w:line="360" w:lineRule="auto"/>
        <w:jc w:val="center"/>
        <w:rPr>
          <w:rFonts w:hAnsi="宋体"/>
          <w:color w:val="auto"/>
          <w:sz w:val="30"/>
          <w:szCs w:val="30"/>
        </w:rPr>
      </w:pPr>
      <w:r>
        <w:rPr>
          <w:rFonts w:hint="eastAsia" w:asciiTheme="majorEastAsia" w:hAnsiTheme="majorEastAsia" w:eastAsiaTheme="majorEastAsia"/>
          <w:color w:val="auto"/>
          <w:sz w:val="30"/>
          <w:szCs w:val="30"/>
        </w:rPr>
        <w:fldChar w:fldCharType="end"/>
      </w:r>
      <w:bookmarkStart w:id="0" w:name="_Toc433110106"/>
      <w:bookmarkStart w:id="1" w:name="_Toc17698"/>
    </w:p>
    <w:p>
      <w:pPr>
        <w:pStyle w:val="3"/>
        <w:ind w:firstLine="3855" w:firstLineChars="1600"/>
        <w:rPr>
          <w:rFonts w:ascii="宋体" w:hAnsi="宋体"/>
          <w:color w:val="auto"/>
          <w:sz w:val="24"/>
          <w:szCs w:val="24"/>
        </w:rPr>
      </w:pPr>
      <w:r>
        <w:rPr>
          <w:rFonts w:hint="eastAsia" w:ascii="宋体" w:hAnsi="宋体"/>
          <w:color w:val="auto"/>
          <w:sz w:val="24"/>
          <w:szCs w:val="24"/>
        </w:rPr>
        <w:t>第一章竞争性磋商公告</w:t>
      </w:r>
      <w:bookmarkEnd w:id="0"/>
    </w:p>
    <w:p>
      <w:pPr>
        <w:pStyle w:val="3"/>
        <w:ind w:firstLine="4337" w:firstLineChars="1800"/>
        <w:rPr>
          <w:rFonts w:ascii="宋体" w:hAnsi="宋体"/>
          <w:color w:val="auto"/>
          <w:sz w:val="24"/>
          <w:szCs w:val="24"/>
        </w:rPr>
      </w:pPr>
      <w:r>
        <w:rPr>
          <w:rFonts w:hint="eastAsia" w:ascii="宋体" w:hAnsi="宋体"/>
          <w:color w:val="auto"/>
          <w:sz w:val="24"/>
          <w:szCs w:val="24"/>
        </w:rPr>
        <w:t>竞争性磋商公告</w:t>
      </w:r>
    </w:p>
    <w:p>
      <w:pPr>
        <w:pBdr>
          <w:top w:val="single" w:color="auto" w:sz="4" w:space="1"/>
          <w:left w:val="single" w:color="auto" w:sz="4" w:space="4"/>
          <w:bottom w:val="single" w:color="auto" w:sz="4" w:space="1"/>
          <w:right w:val="single" w:color="auto" w:sz="4" w:space="4"/>
        </w:pBdr>
        <w:spacing w:line="300" w:lineRule="auto"/>
        <w:rPr>
          <w:rFonts w:ascii="宋体" w:hAnsi="宋体"/>
          <w:color w:val="auto"/>
          <w:sz w:val="18"/>
          <w:szCs w:val="18"/>
        </w:rPr>
      </w:pPr>
      <w:r>
        <w:rPr>
          <w:rFonts w:hint="eastAsia" w:ascii="宋体" w:hAnsi="宋体"/>
          <w:color w:val="auto"/>
          <w:sz w:val="18"/>
          <w:szCs w:val="18"/>
        </w:rPr>
        <w:t>项目概况:</w:t>
      </w:r>
    </w:p>
    <w:p>
      <w:pPr>
        <w:pBdr>
          <w:top w:val="single" w:color="auto" w:sz="4" w:space="1"/>
          <w:left w:val="single" w:color="auto" w:sz="4" w:space="4"/>
          <w:bottom w:val="single" w:color="auto" w:sz="4" w:space="1"/>
          <w:right w:val="single" w:color="auto" w:sz="4" w:space="4"/>
        </w:pBdr>
        <w:spacing w:line="300" w:lineRule="auto"/>
        <w:ind w:firstLine="360" w:firstLineChars="200"/>
        <w:rPr>
          <w:rFonts w:ascii="宋体" w:hAnsi="宋体"/>
          <w:color w:val="auto"/>
          <w:sz w:val="18"/>
          <w:szCs w:val="18"/>
        </w:rPr>
      </w:pPr>
      <w:r>
        <w:rPr>
          <w:rFonts w:hint="eastAsia" w:ascii="宋体" w:hAnsi="宋体"/>
          <w:color w:val="auto"/>
          <w:sz w:val="18"/>
          <w:szCs w:val="18"/>
        </w:rPr>
        <w:t>灵山县人民法院乡镇法庭LED大屏及视频监控系统采购项目的潜在供应商应在灵山县灵城镇江滨三路63号获取采购文件，并于</w:t>
      </w:r>
      <w:r>
        <w:rPr>
          <w:rFonts w:ascii="宋体" w:hAnsi="宋体"/>
          <w:color w:val="auto"/>
          <w:sz w:val="18"/>
          <w:szCs w:val="18"/>
          <w:u w:val="single"/>
        </w:rPr>
        <w:t xml:space="preserve">  </w:t>
      </w:r>
      <w:r>
        <w:rPr>
          <w:rFonts w:hint="eastAsia" w:ascii="宋体" w:hAnsi="宋体"/>
          <w:color w:val="auto"/>
          <w:sz w:val="18"/>
          <w:szCs w:val="18"/>
          <w:u w:val="single"/>
        </w:rPr>
        <w:t>2020</w:t>
      </w:r>
      <w:r>
        <w:rPr>
          <w:rFonts w:ascii="宋体" w:hAnsi="宋体"/>
          <w:color w:val="auto"/>
          <w:sz w:val="18"/>
          <w:szCs w:val="18"/>
          <w:u w:val="single"/>
        </w:rPr>
        <w:t xml:space="preserve"> </w:t>
      </w:r>
      <w:r>
        <w:rPr>
          <w:rFonts w:hint="eastAsia" w:ascii="宋体" w:hAnsi="宋体"/>
          <w:bCs/>
          <w:color w:val="auto"/>
          <w:sz w:val="18"/>
          <w:szCs w:val="18"/>
          <w:u w:val="single"/>
        </w:rPr>
        <w:t>年 11月26日</w:t>
      </w:r>
      <w:r>
        <w:rPr>
          <w:rFonts w:hint="eastAsia" w:ascii="宋体" w:hAnsi="宋体" w:cs="宋体"/>
          <w:color w:val="auto"/>
          <w:sz w:val="18"/>
          <w:szCs w:val="18"/>
          <w:u w:val="single"/>
        </w:rPr>
        <w:t>下午</w:t>
      </w:r>
      <w:r>
        <w:rPr>
          <w:rFonts w:hint="eastAsia" w:ascii="宋体" w:hAnsi="宋体"/>
          <w:bCs/>
          <w:color w:val="auto"/>
          <w:sz w:val="18"/>
          <w:szCs w:val="18"/>
          <w:u w:val="single"/>
        </w:rPr>
        <w:t>15时30分</w:t>
      </w:r>
      <w:r>
        <w:rPr>
          <w:rFonts w:hint="eastAsia" w:ascii="宋体" w:hAnsi="宋体"/>
          <w:bCs/>
          <w:color w:val="auto"/>
          <w:sz w:val="18"/>
          <w:szCs w:val="18"/>
        </w:rPr>
        <w:t>（北京时间）前提交响应</w:t>
      </w:r>
      <w:r>
        <w:rPr>
          <w:rFonts w:ascii="宋体" w:hAnsi="宋体"/>
          <w:bCs/>
          <w:color w:val="auto"/>
          <w:sz w:val="18"/>
          <w:szCs w:val="18"/>
        </w:rPr>
        <w:t>文件</w:t>
      </w:r>
      <w:r>
        <w:rPr>
          <w:rFonts w:hint="eastAsia" w:ascii="宋体" w:hAnsi="宋体"/>
          <w:color w:val="auto"/>
          <w:sz w:val="18"/>
          <w:szCs w:val="18"/>
        </w:rPr>
        <w:t>。</w:t>
      </w:r>
    </w:p>
    <w:p>
      <w:pPr>
        <w:spacing w:line="300" w:lineRule="auto"/>
        <w:rPr>
          <w:rFonts w:ascii="宋体" w:hAnsi="宋体" w:cs="宋体"/>
          <w:b/>
          <w:bCs/>
          <w:color w:val="auto"/>
          <w:sz w:val="18"/>
          <w:szCs w:val="18"/>
        </w:rPr>
      </w:pPr>
      <w:bookmarkStart w:id="2" w:name="_Toc28359089"/>
      <w:bookmarkStart w:id="3" w:name="_Toc35393798"/>
      <w:bookmarkStart w:id="4" w:name="_Toc35393629"/>
      <w:bookmarkStart w:id="5" w:name="_Toc28359012"/>
      <w:r>
        <w:rPr>
          <w:rFonts w:hint="eastAsia" w:ascii="宋体" w:hAnsi="宋体" w:cs="宋体"/>
          <w:b/>
          <w:bCs/>
          <w:color w:val="auto"/>
          <w:sz w:val="18"/>
          <w:szCs w:val="18"/>
        </w:rPr>
        <w:t>一、项目基本情况</w:t>
      </w:r>
      <w:bookmarkEnd w:id="2"/>
      <w:bookmarkEnd w:id="3"/>
      <w:bookmarkEnd w:id="4"/>
      <w:bookmarkEnd w:id="5"/>
    </w:p>
    <w:p>
      <w:pPr>
        <w:spacing w:line="300" w:lineRule="auto"/>
        <w:ind w:firstLine="180" w:firstLineChars="100"/>
        <w:rPr>
          <w:rFonts w:ascii="宋体" w:hAnsi="宋体" w:cs="宋体"/>
          <w:bCs/>
          <w:color w:val="auto"/>
          <w:sz w:val="18"/>
          <w:szCs w:val="18"/>
          <w:u w:val="single"/>
        </w:rPr>
      </w:pPr>
      <w:r>
        <w:rPr>
          <w:rFonts w:hint="eastAsia" w:ascii="宋体" w:hAnsi="宋体" w:cs="宋体"/>
          <w:bCs/>
          <w:color w:val="auto"/>
          <w:sz w:val="18"/>
          <w:szCs w:val="18"/>
        </w:rPr>
        <w:t>1.采购项目编号：</w:t>
      </w:r>
      <w:r>
        <w:rPr>
          <w:rFonts w:hint="eastAsia" w:ascii="宋体" w:hAnsi="宋体" w:cs="宋体"/>
          <w:bCs/>
          <w:color w:val="auto"/>
          <w:sz w:val="18"/>
          <w:szCs w:val="18"/>
          <w:u w:val="single"/>
        </w:rPr>
        <w:t xml:space="preserve">  QZZC2020-C1-50012-GXCH </w:t>
      </w:r>
    </w:p>
    <w:p>
      <w:pPr>
        <w:spacing w:line="300" w:lineRule="auto"/>
        <w:ind w:firstLine="180" w:firstLineChars="100"/>
        <w:rPr>
          <w:rFonts w:ascii="宋体" w:hAnsi="宋体" w:cs="宋体"/>
          <w:bCs/>
          <w:color w:val="auto"/>
          <w:sz w:val="18"/>
          <w:szCs w:val="18"/>
          <w:u w:val="single"/>
        </w:rPr>
      </w:pPr>
      <w:r>
        <w:rPr>
          <w:rFonts w:hint="eastAsia" w:ascii="宋体" w:hAnsi="宋体" w:cs="宋体"/>
          <w:bCs/>
          <w:color w:val="auto"/>
          <w:sz w:val="18"/>
          <w:szCs w:val="18"/>
        </w:rPr>
        <w:t xml:space="preserve">2.采购项目名称：灵山县人民法院乡镇法庭LED大屏及视频监控系统采购项目          </w:t>
      </w:r>
    </w:p>
    <w:p>
      <w:pPr>
        <w:pStyle w:val="43"/>
        <w:spacing w:line="300" w:lineRule="auto"/>
        <w:ind w:firstLine="200" w:firstLineChars="100"/>
        <w:rPr>
          <w:rFonts w:ascii="宋体" w:hAnsi="宋体"/>
          <w:color w:val="auto"/>
          <w:sz w:val="18"/>
          <w:szCs w:val="18"/>
        </w:rPr>
      </w:pPr>
      <w:r>
        <w:rPr>
          <w:rFonts w:hint="eastAsia" w:ascii="宋体" w:hAnsi="宋体"/>
          <w:color w:val="auto"/>
          <w:sz w:val="18"/>
          <w:szCs w:val="18"/>
        </w:rPr>
        <w:t>3.采购方式：</w:t>
      </w:r>
      <w:r>
        <w:rPr>
          <w:rFonts w:hint="eastAsia" w:ascii="宋体" w:hAnsi="宋体"/>
          <w:color w:val="auto"/>
          <w:sz w:val="18"/>
          <w:szCs w:val="18"/>
        </w:rPr>
        <w:sym w:font="Wingdings" w:char="00FE"/>
      </w:r>
      <w:r>
        <w:rPr>
          <w:rFonts w:hint="eastAsia" w:ascii="宋体" w:hAnsi="宋体"/>
          <w:color w:val="auto"/>
          <w:sz w:val="18"/>
          <w:szCs w:val="18"/>
        </w:rPr>
        <w:t>竞争性磋商 □竞争性谈判 □询价</w:t>
      </w:r>
    </w:p>
    <w:p>
      <w:pPr>
        <w:pStyle w:val="43"/>
        <w:spacing w:line="300" w:lineRule="auto"/>
        <w:ind w:firstLine="200" w:firstLineChars="100"/>
        <w:rPr>
          <w:rFonts w:ascii="宋体" w:hAnsi="宋体" w:cs="宋体"/>
          <w:b/>
          <w:color w:val="auto"/>
          <w:spacing w:val="2"/>
          <w:sz w:val="18"/>
          <w:szCs w:val="18"/>
        </w:rPr>
      </w:pPr>
      <w:r>
        <w:rPr>
          <w:rFonts w:hint="eastAsia" w:ascii="宋体" w:hAnsi="宋体"/>
          <w:color w:val="auto"/>
          <w:sz w:val="18"/>
          <w:szCs w:val="18"/>
        </w:rPr>
        <w:t>4.预算金额：玖拾壹万肆仟捌佰壹拾柒元整（¥：914817.00元）</w:t>
      </w:r>
      <w:r>
        <w:rPr>
          <w:rFonts w:hint="eastAsia" w:ascii="宋体" w:hAnsi="宋体" w:cs="宋体"/>
          <w:color w:val="auto"/>
          <w:spacing w:val="2"/>
          <w:sz w:val="18"/>
          <w:szCs w:val="18"/>
        </w:rPr>
        <w:t>。</w:t>
      </w:r>
    </w:p>
    <w:p>
      <w:pPr>
        <w:spacing w:line="300" w:lineRule="auto"/>
        <w:ind w:firstLine="180" w:firstLineChars="100"/>
        <w:rPr>
          <w:rFonts w:ascii="宋体" w:hAnsi="宋体" w:cs="宋体"/>
          <w:bCs/>
          <w:color w:val="auto"/>
          <w:sz w:val="18"/>
          <w:szCs w:val="18"/>
          <w:highlight w:val="none"/>
        </w:rPr>
      </w:pPr>
      <w:r>
        <w:rPr>
          <w:rFonts w:hint="eastAsia" w:ascii="宋体" w:hAnsi="宋体" w:cs="宋体"/>
          <w:bCs/>
          <w:color w:val="auto"/>
          <w:sz w:val="18"/>
          <w:szCs w:val="18"/>
        </w:rPr>
        <w:t>5</w:t>
      </w:r>
      <w:r>
        <w:rPr>
          <w:rFonts w:hint="eastAsia" w:ascii="宋体" w:hAnsi="宋体" w:cs="宋体"/>
          <w:bCs/>
          <w:color w:val="auto"/>
          <w:sz w:val="18"/>
          <w:szCs w:val="18"/>
          <w:highlight w:val="none"/>
        </w:rPr>
        <w:t>.采购需求：</w:t>
      </w:r>
      <w:r>
        <w:rPr>
          <w:rFonts w:hint="eastAsia" w:ascii="宋体" w:hAnsi="宋体"/>
          <w:color w:val="auto"/>
          <w:sz w:val="18"/>
          <w:szCs w:val="18"/>
          <w:highlight w:val="none"/>
        </w:rPr>
        <w:t>乡镇法庭LED大屏及视频监控系统采购</w:t>
      </w:r>
      <w:r>
        <w:rPr>
          <w:rFonts w:hint="eastAsia" w:ascii="宋体" w:hAnsi="宋体" w:cs="宋体"/>
          <w:bCs/>
          <w:color w:val="auto"/>
          <w:sz w:val="18"/>
          <w:szCs w:val="18"/>
          <w:highlight w:val="none"/>
        </w:rPr>
        <w:t xml:space="preserve">，如需进一步了解详细内容，详见竞争性磋商采购文件  </w:t>
      </w:r>
    </w:p>
    <w:p>
      <w:pPr>
        <w:spacing w:line="300" w:lineRule="auto"/>
        <w:ind w:firstLine="180" w:firstLineChars="100"/>
        <w:rPr>
          <w:rFonts w:ascii="宋体" w:hAnsi="宋体" w:cs="宋体"/>
          <w:bCs/>
          <w:color w:val="auto"/>
          <w:sz w:val="18"/>
          <w:szCs w:val="18"/>
          <w:highlight w:val="none"/>
        </w:rPr>
      </w:pPr>
      <w:r>
        <w:rPr>
          <w:rFonts w:hint="eastAsia" w:ascii="宋体" w:hAnsi="宋体" w:cs="宋体"/>
          <w:bCs/>
          <w:color w:val="auto"/>
          <w:sz w:val="18"/>
          <w:szCs w:val="18"/>
          <w:highlight w:val="none"/>
        </w:rPr>
        <w:t>6.合同履行期限：自成交通知书发出之日起</w:t>
      </w:r>
      <w:r>
        <w:rPr>
          <w:rFonts w:hint="eastAsia" w:ascii="宋体" w:hAnsi="宋体" w:cs="宋体"/>
          <w:bCs/>
          <w:color w:val="auto"/>
          <w:sz w:val="18"/>
          <w:szCs w:val="18"/>
          <w:highlight w:val="none"/>
          <w:lang w:val="en-US" w:eastAsia="zh-CN"/>
        </w:rPr>
        <w:t>25</w:t>
      </w:r>
      <w:r>
        <w:rPr>
          <w:rFonts w:hint="eastAsia" w:ascii="宋体" w:hAnsi="宋体" w:cs="宋体"/>
          <w:bCs/>
          <w:color w:val="auto"/>
          <w:sz w:val="18"/>
          <w:szCs w:val="18"/>
          <w:highlight w:val="none"/>
        </w:rPr>
        <w:t>天内</w:t>
      </w:r>
    </w:p>
    <w:p>
      <w:pPr>
        <w:spacing w:line="300" w:lineRule="auto"/>
        <w:ind w:firstLine="180" w:firstLineChars="100"/>
        <w:rPr>
          <w:rFonts w:ascii="宋体" w:hAnsi="宋体" w:cs="宋体"/>
          <w:bCs/>
          <w:color w:val="auto"/>
          <w:sz w:val="18"/>
          <w:szCs w:val="18"/>
          <w:highlight w:val="none"/>
        </w:rPr>
      </w:pPr>
      <w:r>
        <w:rPr>
          <w:rFonts w:hint="eastAsia" w:ascii="宋体" w:hAnsi="宋体" w:cs="宋体"/>
          <w:bCs/>
          <w:color w:val="auto"/>
          <w:sz w:val="18"/>
          <w:szCs w:val="18"/>
          <w:highlight w:val="none"/>
        </w:rPr>
        <w:t>7.本项目不接受联合体</w:t>
      </w:r>
    </w:p>
    <w:p>
      <w:pPr>
        <w:spacing w:line="300" w:lineRule="auto"/>
        <w:rPr>
          <w:rFonts w:ascii="宋体" w:hAnsi="宋体" w:cs="宋体"/>
          <w:color w:val="auto"/>
          <w:sz w:val="18"/>
          <w:szCs w:val="18"/>
          <w:highlight w:val="none"/>
        </w:rPr>
      </w:pPr>
      <w:r>
        <w:rPr>
          <w:rFonts w:hint="eastAsia" w:ascii="宋体" w:hAnsi="宋体" w:cs="宋体"/>
          <w:b/>
          <w:bCs/>
          <w:color w:val="auto"/>
          <w:sz w:val="18"/>
          <w:szCs w:val="18"/>
          <w:highlight w:val="none"/>
        </w:rPr>
        <w:t>二、申请人的资格要求：</w:t>
      </w:r>
    </w:p>
    <w:p>
      <w:pPr>
        <w:spacing w:line="300" w:lineRule="auto"/>
        <w:rPr>
          <w:rFonts w:ascii="宋体" w:hAnsi="宋体" w:cs="宋体"/>
          <w:color w:val="auto"/>
          <w:sz w:val="18"/>
          <w:szCs w:val="18"/>
        </w:rPr>
      </w:pPr>
      <w:r>
        <w:rPr>
          <w:rFonts w:hint="eastAsia" w:ascii="宋体" w:hAnsi="宋体" w:cs="宋体"/>
          <w:color w:val="auto"/>
          <w:sz w:val="18"/>
          <w:szCs w:val="18"/>
        </w:rPr>
        <w:t xml:space="preserve">  1、符合《中华人民共和国政府采购法》第二十二条的规定； </w:t>
      </w:r>
    </w:p>
    <w:p>
      <w:pPr>
        <w:spacing w:line="300" w:lineRule="auto"/>
        <w:rPr>
          <w:rFonts w:ascii="宋体" w:hAnsi="宋体" w:cs="宋体"/>
          <w:color w:val="auto"/>
          <w:sz w:val="18"/>
          <w:szCs w:val="18"/>
        </w:rPr>
      </w:pPr>
      <w:r>
        <w:rPr>
          <w:rFonts w:hint="eastAsia" w:ascii="宋体" w:hAnsi="宋体" w:cs="宋体"/>
          <w:color w:val="auto"/>
          <w:sz w:val="18"/>
          <w:szCs w:val="18"/>
        </w:rPr>
        <w:t xml:space="preserve">  2、国内注册（指按国家有关规定要求注册的）生产或经营本次采购货物，具有独立承担民事责任能力的供应商；</w:t>
      </w:r>
    </w:p>
    <w:p>
      <w:pPr>
        <w:spacing w:line="300" w:lineRule="auto"/>
        <w:rPr>
          <w:rFonts w:ascii="宋体" w:hAnsi="宋体" w:cs="宋体"/>
          <w:color w:val="auto"/>
          <w:sz w:val="18"/>
          <w:szCs w:val="18"/>
        </w:rPr>
      </w:pPr>
      <w:r>
        <w:rPr>
          <w:rFonts w:hint="eastAsia" w:ascii="宋体" w:hAnsi="宋体" w:cs="宋体"/>
          <w:color w:val="auto"/>
          <w:sz w:val="18"/>
          <w:szCs w:val="18"/>
        </w:rPr>
        <w:t xml:space="preserve">  3、对在“信用中国”网站(www.creditchina.gov.cn)、中国政府采购网(www.ccgp.gov.cn )等渠道列入失信被执行人、重大税收违法案件当事人名单、政府采购严重违法失信行为记录名单及其他不符合《中华人民共和国政府采购法》第二十二条规定条件的供应商，将被拒绝参与本次政府采购活动。（供应商可在“信用中国”网站（www.creditchina.gov.cn）或中国政府采购网（www.ccgp.gov.cn）查询相关供应商主体信用记录。</w:t>
      </w:r>
    </w:p>
    <w:p>
      <w:pPr>
        <w:spacing w:line="300" w:lineRule="auto"/>
        <w:ind w:firstLine="180" w:firstLineChars="100"/>
        <w:rPr>
          <w:rFonts w:ascii="宋体" w:hAnsi="宋体" w:cs="宋体"/>
          <w:color w:val="auto"/>
          <w:sz w:val="18"/>
          <w:szCs w:val="18"/>
        </w:rPr>
      </w:pPr>
      <w:r>
        <w:rPr>
          <w:rFonts w:hint="eastAsia" w:ascii="宋体" w:hAnsi="宋体" w:cs="宋体"/>
          <w:color w:val="auto"/>
          <w:sz w:val="18"/>
          <w:szCs w:val="18"/>
        </w:rPr>
        <w:t>4、本项目不接受联合体竞标。</w:t>
      </w:r>
    </w:p>
    <w:p>
      <w:pPr>
        <w:spacing w:line="300" w:lineRule="auto"/>
        <w:rPr>
          <w:rFonts w:ascii="宋体" w:hAnsi="宋体" w:cs="宋体"/>
          <w:b/>
          <w:color w:val="auto"/>
          <w:sz w:val="18"/>
          <w:szCs w:val="18"/>
        </w:rPr>
      </w:pPr>
      <w:r>
        <w:rPr>
          <w:rFonts w:hint="eastAsia" w:ascii="宋体" w:hAnsi="宋体" w:cs="宋体"/>
          <w:b/>
          <w:color w:val="auto"/>
          <w:sz w:val="18"/>
          <w:szCs w:val="18"/>
        </w:rPr>
        <w:t>三、本项目需要落实的政府采购政策：</w:t>
      </w:r>
    </w:p>
    <w:p>
      <w:pPr>
        <w:spacing w:line="300" w:lineRule="auto"/>
        <w:ind w:firstLine="360" w:firstLineChars="200"/>
        <w:rPr>
          <w:rFonts w:ascii="宋体" w:hAnsi="宋体" w:cs="宋体"/>
          <w:color w:val="auto"/>
          <w:sz w:val="18"/>
          <w:szCs w:val="18"/>
        </w:rPr>
      </w:pPr>
      <w:r>
        <w:rPr>
          <w:rFonts w:hint="eastAsia" w:ascii="宋体" w:hAnsi="宋体" w:cs="宋体"/>
          <w:color w:val="auto"/>
          <w:sz w:val="18"/>
          <w:szCs w:val="18"/>
        </w:rPr>
        <w:t xml:space="preserve">1.政府采购促进中小企业发展；政府采购支持采用本国产品的政策；强制采购、优先采购环境标志产品、节能产品；促进残疾人就业政府采购政策；政府采购支持监狱企业发展。    </w:t>
      </w:r>
    </w:p>
    <w:p>
      <w:pPr>
        <w:spacing w:line="300" w:lineRule="auto"/>
        <w:ind w:firstLine="360" w:firstLineChars="200"/>
        <w:rPr>
          <w:rFonts w:ascii="宋体" w:hAnsi="宋体" w:cs="宋体"/>
          <w:color w:val="auto"/>
          <w:sz w:val="18"/>
          <w:szCs w:val="18"/>
        </w:rPr>
      </w:pPr>
      <w:r>
        <w:rPr>
          <w:rFonts w:hint="eastAsia" w:ascii="宋体" w:hAnsi="宋体" w:cs="宋体"/>
          <w:color w:val="auto"/>
          <w:sz w:val="18"/>
          <w:szCs w:val="18"/>
        </w:rPr>
        <w:t>2.本项目的特定资格要求：符合《中华人民共和国政府采购法》第二十二条第一款规定的条件。</w:t>
      </w:r>
    </w:p>
    <w:p>
      <w:pPr>
        <w:spacing w:line="300" w:lineRule="auto"/>
        <w:rPr>
          <w:rFonts w:ascii="宋体" w:hAnsi="宋体" w:cs="宋体"/>
          <w:color w:val="auto"/>
          <w:sz w:val="18"/>
          <w:szCs w:val="18"/>
        </w:rPr>
      </w:pPr>
      <w:r>
        <w:rPr>
          <w:rFonts w:hint="eastAsia" w:ascii="宋体" w:hAnsi="宋体" w:cs="宋体"/>
          <w:b/>
          <w:bCs/>
          <w:color w:val="auto"/>
          <w:sz w:val="18"/>
          <w:szCs w:val="18"/>
        </w:rPr>
        <w:t>四、竞争性磋商采购文件的获取</w:t>
      </w:r>
    </w:p>
    <w:p>
      <w:pPr>
        <w:spacing w:line="300" w:lineRule="auto"/>
        <w:rPr>
          <w:rFonts w:ascii="宋体" w:hAnsi="宋体" w:cs="宋体"/>
          <w:color w:val="auto"/>
          <w:sz w:val="18"/>
          <w:szCs w:val="18"/>
        </w:rPr>
      </w:pPr>
      <w:r>
        <w:rPr>
          <w:rFonts w:hint="eastAsia" w:ascii="宋体" w:hAnsi="宋体" w:cs="宋体"/>
          <w:color w:val="auto"/>
          <w:sz w:val="18"/>
          <w:szCs w:val="18"/>
        </w:rPr>
        <w:t xml:space="preserve">    1.发售时间：2020年11月16日公告发布之时起至2020年11月23日止（工作日）,</w:t>
      </w:r>
      <w:r>
        <w:rPr>
          <w:rFonts w:hint="eastAsia" w:ascii="宋体" w:hAnsi="宋体"/>
          <w:color w:val="auto"/>
          <w:sz w:val="18"/>
          <w:szCs w:val="18"/>
        </w:rPr>
        <w:t>每日上午 8：30-12：00，下午 15：00-17：30</w:t>
      </w:r>
      <w:r>
        <w:rPr>
          <w:rFonts w:hint="eastAsia" w:ascii="宋体" w:hAnsi="宋体" w:cs="宋体"/>
          <w:color w:val="auto"/>
          <w:sz w:val="18"/>
          <w:szCs w:val="18"/>
        </w:rPr>
        <w:t>；（北京时间，法定节假日除外 ）</w:t>
      </w:r>
    </w:p>
    <w:p>
      <w:pPr>
        <w:spacing w:line="300" w:lineRule="auto"/>
        <w:ind w:firstLine="360" w:firstLineChars="200"/>
        <w:rPr>
          <w:rFonts w:ascii="宋体" w:hAnsi="宋体" w:cs="宋体"/>
          <w:color w:val="auto"/>
          <w:sz w:val="18"/>
          <w:szCs w:val="18"/>
        </w:rPr>
      </w:pPr>
      <w:r>
        <w:rPr>
          <w:rFonts w:hint="eastAsia" w:ascii="宋体" w:hAnsi="宋体" w:cs="宋体"/>
          <w:color w:val="auto"/>
          <w:sz w:val="18"/>
          <w:szCs w:val="18"/>
        </w:rPr>
        <w:t>2.发售地点：灵山县灵城镇江滨三路63号</w:t>
      </w:r>
    </w:p>
    <w:p>
      <w:pPr>
        <w:spacing w:line="300" w:lineRule="auto"/>
        <w:ind w:firstLine="360" w:firstLineChars="200"/>
        <w:rPr>
          <w:rFonts w:ascii="宋体" w:hAnsi="宋体" w:cs="宋体"/>
          <w:color w:val="auto"/>
          <w:sz w:val="18"/>
          <w:szCs w:val="18"/>
        </w:rPr>
      </w:pPr>
      <w:r>
        <w:rPr>
          <w:rFonts w:hint="eastAsia" w:ascii="宋体" w:hAnsi="宋体"/>
          <w:color w:val="auto"/>
          <w:sz w:val="18"/>
          <w:szCs w:val="18"/>
        </w:rPr>
        <w:t>3.发售方式：自行下载或现场领取</w:t>
      </w:r>
    </w:p>
    <w:p>
      <w:pPr>
        <w:spacing w:line="300" w:lineRule="auto"/>
        <w:rPr>
          <w:rFonts w:ascii="宋体" w:hAnsi="宋体"/>
          <w:color w:val="auto"/>
          <w:sz w:val="18"/>
          <w:szCs w:val="18"/>
        </w:rPr>
      </w:pPr>
      <w:r>
        <w:rPr>
          <w:rFonts w:hint="eastAsia" w:ascii="宋体" w:hAnsi="宋体" w:cs="宋体"/>
          <w:color w:val="auto"/>
          <w:sz w:val="18"/>
          <w:szCs w:val="18"/>
        </w:rPr>
        <w:t xml:space="preserve">    4.售价：竞争性磋商文件工本费每本250元（售后不退，不邮寄）</w:t>
      </w:r>
    </w:p>
    <w:p>
      <w:pPr>
        <w:tabs>
          <w:tab w:val="left" w:pos="560"/>
        </w:tabs>
        <w:spacing w:line="300" w:lineRule="auto"/>
        <w:jc w:val="left"/>
        <w:rPr>
          <w:rFonts w:ascii="宋体" w:hAnsi="宋体" w:cs="宋体"/>
          <w:b/>
          <w:bCs/>
          <w:color w:val="auto"/>
          <w:sz w:val="18"/>
          <w:szCs w:val="18"/>
        </w:rPr>
      </w:pPr>
      <w:bookmarkStart w:id="6" w:name="_Toc28359015"/>
      <w:bookmarkStart w:id="7" w:name="_Toc35393632"/>
      <w:bookmarkStart w:id="8" w:name="_Toc28359092"/>
      <w:bookmarkStart w:id="9" w:name="_Toc35393801"/>
      <w:r>
        <w:rPr>
          <w:rFonts w:hint="eastAsia" w:ascii="宋体" w:hAnsi="宋体" w:cs="宋体"/>
          <w:b/>
          <w:bCs/>
          <w:color w:val="auto"/>
          <w:sz w:val="18"/>
          <w:szCs w:val="18"/>
        </w:rPr>
        <w:t>五、响应文件</w:t>
      </w:r>
      <w:bookmarkEnd w:id="6"/>
      <w:bookmarkEnd w:id="7"/>
      <w:bookmarkEnd w:id="8"/>
      <w:bookmarkEnd w:id="9"/>
      <w:r>
        <w:rPr>
          <w:rFonts w:hint="eastAsia" w:ascii="宋体" w:hAnsi="宋体" w:cs="宋体"/>
          <w:b/>
          <w:bCs/>
          <w:color w:val="auto"/>
          <w:sz w:val="18"/>
          <w:szCs w:val="18"/>
        </w:rPr>
        <w:t>提交</w:t>
      </w:r>
    </w:p>
    <w:p>
      <w:pPr>
        <w:spacing w:line="300" w:lineRule="auto"/>
        <w:ind w:firstLine="180" w:firstLineChars="100"/>
        <w:rPr>
          <w:rFonts w:ascii="宋体" w:hAnsi="宋体" w:cs="宋体"/>
          <w:color w:val="auto"/>
          <w:sz w:val="18"/>
          <w:szCs w:val="18"/>
        </w:rPr>
      </w:pPr>
      <w:r>
        <w:rPr>
          <w:rFonts w:hint="eastAsia" w:ascii="宋体" w:hAnsi="宋体" w:cs="宋体"/>
          <w:color w:val="auto"/>
          <w:sz w:val="18"/>
          <w:szCs w:val="18"/>
        </w:rPr>
        <w:t>磋商供应商应</w:t>
      </w:r>
      <w:r>
        <w:rPr>
          <w:rFonts w:hint="eastAsia" w:ascii="宋体" w:hAnsi="宋体"/>
          <w:color w:val="auto"/>
          <w:sz w:val="18"/>
          <w:szCs w:val="18"/>
        </w:rPr>
        <w:t>于2020年11月26日下午15时30分止，将响应</w:t>
      </w:r>
      <w:r>
        <w:rPr>
          <w:rFonts w:hint="eastAsia" w:ascii="宋体" w:hAnsi="宋体" w:cs="宋体"/>
          <w:color w:val="auto"/>
          <w:sz w:val="18"/>
          <w:szCs w:val="18"/>
        </w:rPr>
        <w:t>文件密封提交到钦州市灵山县灵城镇江滨三路63号（广西诚华工程造价咨询有限公司开标厅），逾期送达的将予以拒收。</w:t>
      </w:r>
    </w:p>
    <w:p>
      <w:pPr>
        <w:spacing w:line="300" w:lineRule="auto"/>
        <w:rPr>
          <w:rFonts w:ascii="宋体" w:hAnsi="宋体" w:cs="宋体"/>
          <w:color w:val="auto"/>
          <w:sz w:val="18"/>
          <w:szCs w:val="18"/>
        </w:rPr>
      </w:pPr>
      <w:r>
        <w:rPr>
          <w:rFonts w:hint="eastAsia" w:ascii="宋体" w:hAnsi="宋体" w:cs="宋体"/>
          <w:b/>
          <w:bCs/>
          <w:color w:val="auto"/>
          <w:sz w:val="18"/>
          <w:szCs w:val="18"/>
        </w:rPr>
        <w:t>六、</w:t>
      </w:r>
      <w:r>
        <w:rPr>
          <w:rFonts w:hint="eastAsia" w:ascii="宋体" w:hAnsi="宋体"/>
          <w:b/>
          <w:color w:val="auto"/>
          <w:sz w:val="18"/>
          <w:szCs w:val="18"/>
        </w:rPr>
        <w:t>磋商保证金：</w:t>
      </w:r>
    </w:p>
    <w:p>
      <w:pPr>
        <w:spacing w:line="300" w:lineRule="auto"/>
        <w:ind w:firstLine="360" w:firstLineChars="200"/>
        <w:rPr>
          <w:rFonts w:ascii="宋体" w:hAnsi="宋体" w:cs="宋体"/>
          <w:color w:val="auto"/>
          <w:sz w:val="18"/>
          <w:szCs w:val="18"/>
        </w:rPr>
      </w:pPr>
      <w:r>
        <w:rPr>
          <w:rFonts w:hint="eastAsia" w:ascii="宋体" w:hAnsi="宋体"/>
          <w:color w:val="auto"/>
          <w:sz w:val="18"/>
          <w:szCs w:val="18"/>
        </w:rPr>
        <w:t>磋商保证金金额：捌仟</w:t>
      </w:r>
      <w:r>
        <w:rPr>
          <w:rFonts w:hint="eastAsia" w:ascii="宋体" w:hAnsi="宋体" w:cs="宋体"/>
          <w:b/>
          <w:bCs/>
          <w:color w:val="auto"/>
          <w:sz w:val="18"/>
          <w:szCs w:val="18"/>
          <w:u w:val="single"/>
        </w:rPr>
        <w:t>元整（¥8000.00）</w:t>
      </w:r>
      <w:r>
        <w:rPr>
          <w:rFonts w:hint="eastAsia" w:ascii="宋体" w:hAnsi="宋体" w:cs="宋体"/>
          <w:b/>
          <w:color w:val="auto"/>
          <w:sz w:val="18"/>
          <w:szCs w:val="18"/>
        </w:rPr>
        <w:t>。</w:t>
      </w:r>
      <w:r>
        <w:rPr>
          <w:rFonts w:hint="eastAsia" w:ascii="宋体" w:hAnsi="宋体" w:cs="宋体"/>
          <w:color w:val="auto"/>
          <w:sz w:val="18"/>
          <w:szCs w:val="18"/>
        </w:rPr>
        <w:t>（须足额交纳）</w:t>
      </w:r>
    </w:p>
    <w:p>
      <w:pPr>
        <w:spacing w:line="300" w:lineRule="auto"/>
        <w:rPr>
          <w:rFonts w:ascii="宋体" w:hAnsi="宋体" w:cs="宋体"/>
          <w:color w:val="auto"/>
          <w:sz w:val="18"/>
          <w:szCs w:val="18"/>
        </w:rPr>
      </w:pPr>
      <w:r>
        <w:rPr>
          <w:rFonts w:hint="eastAsia" w:ascii="宋体" w:hAnsi="宋体" w:cs="宋体"/>
          <w:b/>
          <w:bCs/>
          <w:color w:val="auto"/>
          <w:sz w:val="18"/>
          <w:szCs w:val="18"/>
        </w:rPr>
        <w:t>七、磋商时间及地点</w:t>
      </w:r>
      <w:r>
        <w:rPr>
          <w:rFonts w:hint="eastAsia" w:ascii="宋体" w:hAnsi="宋体" w:cs="宋体"/>
          <w:color w:val="auto"/>
          <w:sz w:val="18"/>
          <w:szCs w:val="18"/>
        </w:rPr>
        <w:t>：</w:t>
      </w:r>
    </w:p>
    <w:p>
      <w:pPr>
        <w:spacing w:line="300" w:lineRule="auto"/>
        <w:rPr>
          <w:rFonts w:ascii="宋体" w:hAnsi="宋体" w:cs="宋体"/>
          <w:color w:val="auto"/>
          <w:sz w:val="18"/>
          <w:szCs w:val="18"/>
        </w:rPr>
      </w:pPr>
      <w:r>
        <w:rPr>
          <w:rFonts w:hint="eastAsia" w:ascii="宋体" w:hAnsi="宋体"/>
          <w:color w:val="auto"/>
          <w:sz w:val="18"/>
          <w:szCs w:val="18"/>
        </w:rPr>
        <w:t xml:space="preserve">    本次项目将于</w:t>
      </w:r>
      <w:r>
        <w:rPr>
          <w:rFonts w:hint="eastAsia" w:ascii="宋体" w:hAnsi="宋体" w:cs="宋体"/>
          <w:color w:val="auto"/>
          <w:sz w:val="18"/>
          <w:szCs w:val="18"/>
        </w:rPr>
        <w:t>2020年11月26日下午15时30分</w:t>
      </w:r>
      <w:r>
        <w:rPr>
          <w:rFonts w:hint="eastAsia" w:ascii="宋体" w:hAnsi="宋体"/>
          <w:color w:val="auto"/>
          <w:sz w:val="18"/>
          <w:szCs w:val="18"/>
        </w:rPr>
        <w:t>后在钦州市灵山县灵城镇江滨三路63号（广西诚华工程造价咨询有限公司评标厅）进行磋商，磋商供应商可以由法定代表人或委托代理人出席磋商会议（携带本人身份证原件、委托代理人出席还应携带法定代表人授权委托书原件）</w:t>
      </w:r>
    </w:p>
    <w:p>
      <w:pPr>
        <w:spacing w:line="300" w:lineRule="auto"/>
        <w:rPr>
          <w:rFonts w:ascii="宋体" w:hAnsi="宋体" w:cs="宋体"/>
          <w:color w:val="auto"/>
          <w:sz w:val="18"/>
          <w:szCs w:val="18"/>
        </w:rPr>
      </w:pPr>
      <w:bookmarkStart w:id="10" w:name="_Toc35393803"/>
      <w:bookmarkStart w:id="11" w:name="_Toc28359017"/>
      <w:bookmarkStart w:id="12" w:name="_Toc28359094"/>
      <w:bookmarkStart w:id="13" w:name="_Toc35393634"/>
      <w:r>
        <w:rPr>
          <w:rFonts w:hint="eastAsia" w:ascii="宋体" w:hAnsi="宋体" w:cs="宋体"/>
          <w:b/>
          <w:bCs/>
          <w:color w:val="auto"/>
          <w:sz w:val="18"/>
          <w:szCs w:val="18"/>
        </w:rPr>
        <w:t>八、公告期限</w:t>
      </w:r>
      <w:bookmarkEnd w:id="10"/>
      <w:bookmarkEnd w:id="11"/>
      <w:bookmarkEnd w:id="12"/>
      <w:bookmarkEnd w:id="13"/>
    </w:p>
    <w:p>
      <w:pPr>
        <w:spacing w:line="300" w:lineRule="auto"/>
        <w:ind w:firstLine="360" w:firstLineChars="200"/>
        <w:rPr>
          <w:rFonts w:ascii="宋体" w:hAnsi="宋体" w:cs="宋体"/>
          <w:color w:val="auto"/>
          <w:sz w:val="18"/>
          <w:szCs w:val="18"/>
        </w:rPr>
      </w:pPr>
      <w:r>
        <w:rPr>
          <w:rFonts w:hint="eastAsia" w:ascii="宋体" w:hAnsi="宋体" w:cs="宋体"/>
          <w:color w:val="auto"/>
          <w:sz w:val="18"/>
          <w:szCs w:val="18"/>
        </w:rPr>
        <w:t>自本公告发布之日起5个工作日。</w:t>
      </w:r>
    </w:p>
    <w:p>
      <w:pPr>
        <w:numPr>
          <w:ilvl w:val="0"/>
          <w:numId w:val="3"/>
        </w:numPr>
        <w:spacing w:line="300" w:lineRule="auto"/>
        <w:rPr>
          <w:color w:val="auto"/>
          <w:sz w:val="18"/>
          <w:szCs w:val="18"/>
        </w:rPr>
      </w:pPr>
      <w:bookmarkStart w:id="14" w:name="_Toc35393804"/>
      <w:bookmarkStart w:id="15" w:name="_Toc35393635"/>
      <w:r>
        <w:rPr>
          <w:rFonts w:hint="eastAsia" w:ascii="宋体" w:hAnsi="宋体" w:cs="宋体"/>
          <w:b/>
          <w:bCs/>
          <w:color w:val="auto"/>
          <w:sz w:val="18"/>
          <w:szCs w:val="18"/>
        </w:rPr>
        <w:t>其他补充事宜</w:t>
      </w:r>
      <w:bookmarkEnd w:id="14"/>
      <w:bookmarkEnd w:id="15"/>
      <w:r>
        <w:rPr>
          <w:rFonts w:hint="eastAsia" w:ascii="宋体" w:hAnsi="宋体" w:cs="宋体"/>
          <w:color w:val="auto"/>
          <w:sz w:val="18"/>
          <w:szCs w:val="18"/>
        </w:rPr>
        <w:t xml:space="preserve">   </w:t>
      </w:r>
    </w:p>
    <w:p>
      <w:pPr>
        <w:spacing w:line="300" w:lineRule="auto"/>
        <w:ind w:firstLine="181" w:firstLineChars="100"/>
        <w:rPr>
          <w:rFonts w:ascii="宋体" w:hAnsi="宋体"/>
          <w:color w:val="auto"/>
          <w:sz w:val="18"/>
          <w:szCs w:val="18"/>
        </w:rPr>
      </w:pPr>
      <w:r>
        <w:rPr>
          <w:rStyle w:val="37"/>
          <w:rFonts w:hint="eastAsia" w:ascii="宋体" w:hAnsi="宋体"/>
          <w:color w:val="auto"/>
          <w:sz w:val="18"/>
          <w:szCs w:val="18"/>
        </w:rPr>
        <w:t>9.1磋商保证金</w:t>
      </w:r>
      <w:r>
        <w:rPr>
          <w:rFonts w:hint="eastAsia" w:ascii="宋体" w:hAnsi="宋体"/>
          <w:color w:val="auto"/>
          <w:sz w:val="18"/>
          <w:szCs w:val="18"/>
        </w:rPr>
        <w:t>：按人民币捌仟元整（¥8000.00）缴纳。将投标保证金以电汇、转帐、汇票等非现金形式，应于开标截止时间前通过基本账户转账方式交纳至指定账户。（具体账户详见文件）</w:t>
      </w:r>
    </w:p>
    <w:p>
      <w:pPr>
        <w:pStyle w:val="43"/>
        <w:ind w:firstLine="200" w:firstLineChars="100"/>
        <w:rPr>
          <w:color w:val="auto"/>
          <w:sz w:val="18"/>
          <w:szCs w:val="18"/>
        </w:rPr>
      </w:pPr>
      <w:r>
        <w:rPr>
          <w:rFonts w:hint="eastAsia"/>
          <w:color w:val="auto"/>
          <w:sz w:val="18"/>
          <w:szCs w:val="18"/>
        </w:rPr>
        <w:t>9.2本项目落实的政府采购政策：</w:t>
      </w:r>
    </w:p>
    <w:p>
      <w:pPr>
        <w:pStyle w:val="43"/>
        <w:ind w:firstLine="200" w:firstLineChars="100"/>
        <w:rPr>
          <w:color w:val="auto"/>
          <w:sz w:val="18"/>
          <w:szCs w:val="18"/>
        </w:rPr>
      </w:pPr>
      <w:r>
        <w:rPr>
          <w:rFonts w:hint="eastAsia"/>
          <w:color w:val="auto"/>
          <w:sz w:val="18"/>
          <w:szCs w:val="18"/>
        </w:rPr>
        <w:t>1.政府采购促进中小企业发展；</w:t>
      </w:r>
    </w:p>
    <w:p>
      <w:pPr>
        <w:pStyle w:val="43"/>
        <w:ind w:firstLine="200" w:firstLineChars="100"/>
        <w:rPr>
          <w:color w:val="auto"/>
          <w:sz w:val="18"/>
          <w:szCs w:val="18"/>
        </w:rPr>
      </w:pPr>
      <w:r>
        <w:rPr>
          <w:rFonts w:hint="eastAsia"/>
          <w:color w:val="auto"/>
          <w:sz w:val="18"/>
          <w:szCs w:val="18"/>
        </w:rPr>
        <w:t>2.《关于我区政府采购支持监狱企业发展有关问题的通知（桂财采[2015]24号）；</w:t>
      </w:r>
    </w:p>
    <w:p>
      <w:pPr>
        <w:pStyle w:val="43"/>
        <w:ind w:firstLine="200" w:firstLineChars="100"/>
        <w:rPr>
          <w:color w:val="auto"/>
          <w:sz w:val="18"/>
          <w:szCs w:val="18"/>
        </w:rPr>
      </w:pPr>
      <w:r>
        <w:rPr>
          <w:rFonts w:hint="eastAsia"/>
          <w:color w:val="auto"/>
          <w:sz w:val="18"/>
          <w:szCs w:val="18"/>
        </w:rPr>
        <w:t>3.《三部门联合发布关于促进残疾人就业政府采购政策的通知》（财库〔2017〕141号）。</w:t>
      </w:r>
    </w:p>
    <w:p>
      <w:pPr>
        <w:pStyle w:val="43"/>
        <w:ind w:firstLine="200" w:firstLineChars="100"/>
        <w:rPr>
          <w:color w:val="auto"/>
          <w:sz w:val="18"/>
          <w:szCs w:val="18"/>
        </w:rPr>
      </w:pPr>
      <w:r>
        <w:rPr>
          <w:rFonts w:hint="eastAsia"/>
          <w:color w:val="auto"/>
          <w:sz w:val="18"/>
          <w:szCs w:val="18"/>
        </w:rPr>
        <w:t>9.3磋商时间及地点</w:t>
      </w:r>
    </w:p>
    <w:p>
      <w:pPr>
        <w:pStyle w:val="43"/>
        <w:ind w:firstLine="400" w:firstLineChars="200"/>
        <w:rPr>
          <w:color w:val="auto"/>
          <w:sz w:val="18"/>
          <w:szCs w:val="18"/>
        </w:rPr>
      </w:pPr>
      <w:r>
        <w:rPr>
          <w:rFonts w:hint="eastAsia"/>
          <w:color w:val="auto"/>
          <w:sz w:val="18"/>
          <w:szCs w:val="18"/>
        </w:rPr>
        <w:t>2020年11月26日下午15时30分截标后为磋商小组与磋商供应商磋商时间，具体时间由广西诚华工程造价咨询有限公司另行通知。地点：钦州市灵山县灵城镇江滨三路63号（广西诚华工程造价咨询有限公司开标厅），参加磋商的法定代表人(负责人)或委托代理人必须持有效证件[法定代表人(负责人)凭身份证或委托代理人凭法人授权委托书原件和身份证、保证金收据原件]依时到达指定地点等候当面磋商。</w:t>
      </w:r>
    </w:p>
    <w:p>
      <w:pPr>
        <w:pStyle w:val="43"/>
        <w:ind w:firstLine="200" w:firstLineChars="100"/>
        <w:rPr>
          <w:color w:val="auto"/>
          <w:sz w:val="18"/>
          <w:szCs w:val="18"/>
        </w:rPr>
      </w:pPr>
      <w:r>
        <w:rPr>
          <w:rFonts w:hint="eastAsia"/>
          <w:color w:val="auto"/>
          <w:sz w:val="18"/>
          <w:szCs w:val="18"/>
        </w:rPr>
        <w:t>9.4网上公告媒体查询：中国政府采购网（http://</w:t>
      </w:r>
      <w:r>
        <w:rPr>
          <w:color w:val="auto"/>
        </w:rPr>
        <w:fldChar w:fldCharType="begin"/>
      </w:r>
      <w:r>
        <w:rPr>
          <w:color w:val="auto"/>
        </w:rPr>
        <w:instrText xml:space="preserve"> HYPERLINK "http://www.ccgp.gov.cn/" </w:instrText>
      </w:r>
      <w:r>
        <w:rPr>
          <w:color w:val="auto"/>
        </w:rPr>
        <w:fldChar w:fldCharType="separate"/>
      </w:r>
      <w:r>
        <w:rPr>
          <w:rFonts w:hint="eastAsia"/>
          <w:color w:val="auto"/>
          <w:sz w:val="18"/>
          <w:szCs w:val="18"/>
        </w:rPr>
        <w:t>www.ccgp.gov.cn</w:t>
      </w:r>
      <w:r>
        <w:rPr>
          <w:rFonts w:hint="eastAsia"/>
          <w:color w:val="auto"/>
          <w:sz w:val="18"/>
          <w:szCs w:val="18"/>
        </w:rPr>
        <w:fldChar w:fldCharType="end"/>
      </w:r>
      <w:r>
        <w:rPr>
          <w:rFonts w:hint="eastAsia"/>
          <w:color w:val="auto"/>
          <w:sz w:val="18"/>
          <w:szCs w:val="18"/>
        </w:rPr>
        <w:t>）、广西壮族自治区政府采购网(http://zfcg.gxzf.gov.cn/)、灵山县人民政府网（www.gxls.gov.cn/）。</w:t>
      </w:r>
    </w:p>
    <w:p>
      <w:pPr>
        <w:spacing w:line="300" w:lineRule="auto"/>
        <w:rPr>
          <w:rFonts w:ascii="宋体" w:hAnsi="宋体" w:cs="宋体"/>
          <w:color w:val="auto"/>
          <w:sz w:val="18"/>
          <w:szCs w:val="18"/>
        </w:rPr>
      </w:pPr>
      <w:r>
        <w:rPr>
          <w:rFonts w:hint="eastAsia" w:ascii="宋体" w:hAnsi="宋体" w:cs="宋体"/>
          <w:b/>
          <w:bCs/>
          <w:color w:val="auto"/>
          <w:sz w:val="18"/>
          <w:szCs w:val="18"/>
        </w:rPr>
        <w:t>十、凡对本次采购提出询问，请按以下方式联系：</w:t>
      </w:r>
    </w:p>
    <w:p>
      <w:pPr>
        <w:spacing w:line="300" w:lineRule="auto"/>
        <w:rPr>
          <w:rFonts w:ascii="宋体" w:hAnsi="宋体" w:cs="宋体"/>
          <w:color w:val="auto"/>
          <w:sz w:val="18"/>
          <w:szCs w:val="18"/>
        </w:rPr>
      </w:pPr>
      <w:r>
        <w:rPr>
          <w:rFonts w:hint="eastAsia" w:ascii="宋体" w:hAnsi="宋体" w:cs="宋体"/>
          <w:color w:val="auto"/>
          <w:sz w:val="18"/>
          <w:szCs w:val="18"/>
        </w:rPr>
        <w:t xml:space="preserve">    1.采购人信息</w:t>
      </w:r>
    </w:p>
    <w:p>
      <w:pPr>
        <w:spacing w:line="300" w:lineRule="auto"/>
        <w:ind w:firstLine="540" w:firstLineChars="300"/>
        <w:rPr>
          <w:rFonts w:ascii="宋体" w:hAnsi="宋体" w:cs="宋体"/>
          <w:color w:val="auto"/>
          <w:sz w:val="18"/>
          <w:szCs w:val="18"/>
        </w:rPr>
      </w:pPr>
      <w:r>
        <w:rPr>
          <w:rFonts w:hint="eastAsia" w:ascii="宋体" w:hAnsi="宋体" w:cs="宋体"/>
          <w:color w:val="auto"/>
          <w:sz w:val="18"/>
          <w:szCs w:val="18"/>
        </w:rPr>
        <w:t xml:space="preserve">名称：  灵山县人民法院 </w:t>
      </w:r>
    </w:p>
    <w:p>
      <w:pPr>
        <w:spacing w:line="300" w:lineRule="auto"/>
        <w:ind w:firstLine="540" w:firstLineChars="300"/>
        <w:rPr>
          <w:rFonts w:ascii="宋体" w:hAnsi="宋体"/>
          <w:color w:val="auto"/>
          <w:sz w:val="18"/>
          <w:szCs w:val="18"/>
        </w:rPr>
      </w:pPr>
      <w:r>
        <w:rPr>
          <w:rFonts w:hint="eastAsia" w:ascii="宋体" w:hAnsi="宋体" w:cs="宋体"/>
          <w:color w:val="auto"/>
          <w:sz w:val="18"/>
          <w:szCs w:val="18"/>
        </w:rPr>
        <w:t>地 址：灵山县灵城街道江南路4号</w:t>
      </w:r>
    </w:p>
    <w:p>
      <w:pPr>
        <w:spacing w:line="300" w:lineRule="auto"/>
        <w:ind w:firstLine="540" w:firstLineChars="300"/>
        <w:rPr>
          <w:rFonts w:ascii="宋体" w:hAnsi="宋体" w:cs="宋体"/>
          <w:color w:val="auto"/>
          <w:sz w:val="18"/>
          <w:szCs w:val="18"/>
        </w:rPr>
      </w:pPr>
      <w:r>
        <w:rPr>
          <w:rFonts w:hint="eastAsia" w:ascii="宋体" w:hAnsi="宋体" w:cs="宋体"/>
          <w:color w:val="auto"/>
          <w:sz w:val="18"/>
          <w:szCs w:val="18"/>
        </w:rPr>
        <w:t>联系方式：0777-6428890</w:t>
      </w:r>
    </w:p>
    <w:p>
      <w:pPr>
        <w:spacing w:line="300" w:lineRule="auto"/>
        <w:ind w:firstLine="360" w:firstLineChars="200"/>
        <w:rPr>
          <w:rFonts w:ascii="宋体" w:hAnsi="宋体" w:cs="宋体"/>
          <w:color w:val="auto"/>
          <w:sz w:val="18"/>
          <w:szCs w:val="18"/>
        </w:rPr>
      </w:pPr>
      <w:r>
        <w:rPr>
          <w:rFonts w:hint="eastAsia" w:ascii="宋体" w:hAnsi="宋体" w:cs="宋体"/>
          <w:color w:val="auto"/>
          <w:sz w:val="18"/>
          <w:szCs w:val="18"/>
        </w:rPr>
        <w:t>2.采购代理机构信息</w:t>
      </w:r>
    </w:p>
    <w:p>
      <w:pPr>
        <w:spacing w:line="300" w:lineRule="auto"/>
        <w:ind w:firstLine="540" w:firstLineChars="300"/>
        <w:rPr>
          <w:rFonts w:ascii="宋体" w:hAnsi="宋体" w:cs="宋体"/>
          <w:color w:val="auto"/>
          <w:sz w:val="18"/>
          <w:szCs w:val="18"/>
        </w:rPr>
      </w:pPr>
      <w:r>
        <w:rPr>
          <w:rFonts w:hint="eastAsia" w:ascii="宋体" w:hAnsi="宋体" w:cs="宋体"/>
          <w:color w:val="auto"/>
          <w:sz w:val="18"/>
          <w:szCs w:val="18"/>
        </w:rPr>
        <w:t>名称：广西诚华工程造价咨询有限公司</w:t>
      </w:r>
    </w:p>
    <w:p>
      <w:pPr>
        <w:spacing w:line="300" w:lineRule="auto"/>
        <w:ind w:firstLine="540" w:firstLineChars="300"/>
        <w:rPr>
          <w:rFonts w:ascii="宋体" w:hAnsi="宋体" w:cs="宋体"/>
          <w:color w:val="auto"/>
          <w:sz w:val="18"/>
          <w:szCs w:val="18"/>
        </w:rPr>
      </w:pPr>
      <w:r>
        <w:rPr>
          <w:rFonts w:hint="eastAsia" w:ascii="宋体" w:hAnsi="宋体" w:cs="宋体"/>
          <w:color w:val="auto"/>
          <w:sz w:val="18"/>
          <w:szCs w:val="18"/>
        </w:rPr>
        <w:t xml:space="preserve">地 址：灵山县灵城镇江滨三路63号 </w:t>
      </w:r>
    </w:p>
    <w:p>
      <w:pPr>
        <w:spacing w:line="300" w:lineRule="auto"/>
        <w:ind w:firstLine="540" w:firstLineChars="300"/>
        <w:rPr>
          <w:rFonts w:ascii="宋体" w:hAnsi="宋体" w:cs="宋体"/>
          <w:color w:val="auto"/>
          <w:sz w:val="18"/>
          <w:szCs w:val="18"/>
        </w:rPr>
      </w:pPr>
      <w:r>
        <w:rPr>
          <w:rFonts w:hint="eastAsia" w:ascii="宋体" w:hAnsi="宋体" w:cs="宋体"/>
          <w:color w:val="auto"/>
          <w:sz w:val="18"/>
          <w:szCs w:val="18"/>
        </w:rPr>
        <w:t>联系方式：0777-6663968</w:t>
      </w:r>
    </w:p>
    <w:p>
      <w:pPr>
        <w:spacing w:line="300" w:lineRule="auto"/>
        <w:ind w:firstLine="360" w:firstLineChars="200"/>
        <w:rPr>
          <w:rFonts w:ascii="宋体" w:hAnsi="宋体" w:cs="宋体"/>
          <w:color w:val="auto"/>
          <w:sz w:val="18"/>
          <w:szCs w:val="18"/>
        </w:rPr>
      </w:pPr>
      <w:bookmarkStart w:id="16" w:name="_Toc35393812"/>
      <w:bookmarkStart w:id="17" w:name="_Toc28359102"/>
      <w:bookmarkStart w:id="18" w:name="_Toc28359025"/>
      <w:bookmarkStart w:id="19" w:name="_Toc35393643"/>
      <w:r>
        <w:rPr>
          <w:rFonts w:hint="eastAsia" w:ascii="宋体" w:hAnsi="宋体" w:cs="宋体"/>
          <w:color w:val="auto"/>
          <w:sz w:val="18"/>
          <w:szCs w:val="18"/>
        </w:rPr>
        <w:t>3.项目联系方式</w:t>
      </w:r>
      <w:bookmarkEnd w:id="16"/>
      <w:bookmarkEnd w:id="17"/>
      <w:bookmarkEnd w:id="18"/>
      <w:bookmarkEnd w:id="19"/>
    </w:p>
    <w:p>
      <w:pPr>
        <w:spacing w:line="300" w:lineRule="auto"/>
        <w:ind w:firstLine="540" w:firstLineChars="300"/>
        <w:rPr>
          <w:rFonts w:ascii="宋体" w:hAnsi="宋体" w:cs="宋体"/>
          <w:color w:val="auto"/>
          <w:sz w:val="18"/>
          <w:szCs w:val="18"/>
        </w:rPr>
      </w:pPr>
      <w:r>
        <w:rPr>
          <w:rFonts w:hint="eastAsia" w:ascii="宋体" w:hAnsi="宋体" w:cs="宋体"/>
          <w:color w:val="auto"/>
          <w:sz w:val="18"/>
          <w:szCs w:val="18"/>
        </w:rPr>
        <w:t>项目联系人：黄成华      电话：0777-6663968　　</w:t>
      </w:r>
    </w:p>
    <w:p>
      <w:pPr>
        <w:spacing w:line="300" w:lineRule="auto"/>
        <w:rPr>
          <w:rFonts w:ascii="宋体" w:hAnsi="宋体" w:cs="宋体"/>
          <w:color w:val="auto"/>
          <w:sz w:val="18"/>
          <w:szCs w:val="18"/>
        </w:rPr>
      </w:pPr>
    </w:p>
    <w:p>
      <w:pPr>
        <w:spacing w:line="300" w:lineRule="auto"/>
        <w:ind w:firstLine="3060" w:firstLineChars="1700"/>
        <w:rPr>
          <w:rFonts w:ascii="宋体" w:hAnsi="宋体" w:cs="宋体"/>
          <w:color w:val="auto"/>
          <w:sz w:val="18"/>
          <w:szCs w:val="18"/>
        </w:rPr>
      </w:pPr>
      <w:r>
        <w:rPr>
          <w:rFonts w:hint="eastAsia" w:ascii="宋体" w:hAnsi="宋体" w:cs="宋体"/>
          <w:color w:val="auto"/>
          <w:sz w:val="18"/>
          <w:szCs w:val="18"/>
        </w:rPr>
        <w:t>广西诚华工程造价咨询有限公司</w:t>
      </w:r>
    </w:p>
    <w:p>
      <w:pPr>
        <w:spacing w:line="300" w:lineRule="auto"/>
        <w:rPr>
          <w:color w:val="auto"/>
          <w:sz w:val="18"/>
          <w:szCs w:val="18"/>
        </w:rPr>
      </w:pPr>
      <w:r>
        <w:rPr>
          <w:rFonts w:hint="eastAsia" w:ascii="宋体" w:hAnsi="宋体" w:cs="宋体"/>
          <w:color w:val="auto"/>
          <w:sz w:val="18"/>
          <w:szCs w:val="18"/>
        </w:rPr>
        <w:t xml:space="preserve">                                      </w:t>
      </w:r>
      <w:r>
        <w:rPr>
          <w:rFonts w:hint="eastAsia" w:ascii="宋体" w:hAnsi="宋体"/>
          <w:color w:val="auto"/>
          <w:sz w:val="18"/>
          <w:szCs w:val="18"/>
        </w:rPr>
        <w:t xml:space="preserve"> 2020年11月 16日</w:t>
      </w:r>
    </w:p>
    <w:p>
      <w:pPr>
        <w:pStyle w:val="2"/>
        <w:spacing w:line="240" w:lineRule="auto"/>
        <w:ind w:firstLine="3313" w:firstLineChars="1100"/>
        <w:rPr>
          <w:color w:val="auto"/>
          <w:sz w:val="30"/>
          <w:szCs w:val="30"/>
        </w:rPr>
      </w:pPr>
      <w:r>
        <w:rPr>
          <w:rFonts w:hint="eastAsia"/>
          <w:color w:val="auto"/>
          <w:sz w:val="30"/>
          <w:szCs w:val="30"/>
        </w:rPr>
        <w:t>第二章  供应商须知</w:t>
      </w:r>
    </w:p>
    <w:p>
      <w:pPr>
        <w:pStyle w:val="3"/>
        <w:spacing w:line="240" w:lineRule="auto"/>
        <w:rPr>
          <w:color w:val="auto"/>
          <w:sz w:val="24"/>
          <w:szCs w:val="24"/>
        </w:rPr>
      </w:pPr>
      <w:r>
        <w:rPr>
          <w:rFonts w:hint="eastAsia"/>
          <w:color w:val="auto"/>
          <w:sz w:val="24"/>
          <w:szCs w:val="24"/>
        </w:rPr>
        <w:t>供应商须知前附表</w:t>
      </w:r>
      <w:bookmarkEnd w:id="1"/>
    </w:p>
    <w:tbl>
      <w:tblPr>
        <w:tblStyle w:val="42"/>
        <w:tblW w:w="97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03"/>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26" w:type="dxa"/>
          </w:tcPr>
          <w:p>
            <w:pPr>
              <w:pStyle w:val="48"/>
              <w:spacing w:line="320" w:lineRule="exact"/>
              <w:jc w:val="center"/>
              <w:rPr>
                <w:rFonts w:hAnsi="宋体"/>
                <w:color w:val="auto"/>
                <w:sz w:val="18"/>
                <w:szCs w:val="18"/>
              </w:rPr>
            </w:pPr>
            <w:r>
              <w:rPr>
                <w:rFonts w:hint="eastAsia" w:hAnsi="宋体"/>
                <w:color w:val="auto"/>
                <w:sz w:val="18"/>
                <w:szCs w:val="18"/>
              </w:rPr>
              <w:t>序号</w:t>
            </w:r>
          </w:p>
        </w:tc>
        <w:tc>
          <w:tcPr>
            <w:tcW w:w="903" w:type="dxa"/>
          </w:tcPr>
          <w:p>
            <w:pPr>
              <w:pStyle w:val="48"/>
              <w:spacing w:line="320" w:lineRule="exact"/>
              <w:jc w:val="center"/>
              <w:rPr>
                <w:rFonts w:hAnsi="宋体"/>
                <w:color w:val="auto"/>
                <w:sz w:val="18"/>
                <w:szCs w:val="18"/>
              </w:rPr>
            </w:pPr>
            <w:r>
              <w:rPr>
                <w:rFonts w:hint="eastAsia" w:hAnsi="宋体"/>
                <w:color w:val="auto"/>
                <w:sz w:val="18"/>
                <w:szCs w:val="18"/>
              </w:rPr>
              <w:t>条款号</w:t>
            </w:r>
          </w:p>
        </w:tc>
        <w:tc>
          <w:tcPr>
            <w:tcW w:w="8148" w:type="dxa"/>
          </w:tcPr>
          <w:p>
            <w:pPr>
              <w:pStyle w:val="48"/>
              <w:spacing w:line="320" w:lineRule="exact"/>
              <w:jc w:val="center"/>
              <w:rPr>
                <w:rFonts w:hAnsi="宋体"/>
                <w:color w:val="auto"/>
                <w:sz w:val="18"/>
                <w:szCs w:val="18"/>
              </w:rPr>
            </w:pPr>
            <w:r>
              <w:rPr>
                <w:rFonts w:hint="eastAsia" w:hAnsi="宋体"/>
                <w:color w:val="auto"/>
                <w:sz w:val="18"/>
                <w:szCs w:val="1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726" w:type="dxa"/>
            <w:vAlign w:val="center"/>
          </w:tcPr>
          <w:p>
            <w:pPr>
              <w:pStyle w:val="48"/>
              <w:spacing w:line="320" w:lineRule="exact"/>
              <w:jc w:val="center"/>
              <w:rPr>
                <w:rFonts w:hAnsi="宋体"/>
                <w:color w:val="auto"/>
                <w:sz w:val="18"/>
                <w:szCs w:val="18"/>
              </w:rPr>
            </w:pPr>
            <w:r>
              <w:rPr>
                <w:rFonts w:hint="eastAsia" w:hAnsi="宋体"/>
                <w:color w:val="auto"/>
                <w:sz w:val="18"/>
                <w:szCs w:val="18"/>
              </w:rPr>
              <w:t>1</w:t>
            </w:r>
          </w:p>
        </w:tc>
        <w:tc>
          <w:tcPr>
            <w:tcW w:w="903" w:type="dxa"/>
            <w:vAlign w:val="center"/>
          </w:tcPr>
          <w:p>
            <w:pPr>
              <w:pStyle w:val="48"/>
              <w:spacing w:line="320" w:lineRule="exact"/>
              <w:jc w:val="center"/>
              <w:rPr>
                <w:rFonts w:hAnsi="宋体"/>
                <w:color w:val="auto"/>
                <w:sz w:val="18"/>
                <w:szCs w:val="18"/>
              </w:rPr>
            </w:pPr>
            <w:r>
              <w:rPr>
                <w:rFonts w:hint="eastAsia" w:hAnsi="宋体"/>
                <w:color w:val="auto"/>
                <w:sz w:val="18"/>
                <w:szCs w:val="18"/>
              </w:rPr>
              <w:t>1.1</w:t>
            </w:r>
          </w:p>
        </w:tc>
        <w:tc>
          <w:tcPr>
            <w:tcW w:w="8148" w:type="dxa"/>
            <w:vAlign w:val="center"/>
          </w:tcPr>
          <w:p>
            <w:pPr>
              <w:pStyle w:val="48"/>
              <w:spacing w:line="320" w:lineRule="exact"/>
              <w:rPr>
                <w:rFonts w:hAnsi="宋体" w:cs="宋体"/>
                <w:color w:val="auto"/>
                <w:sz w:val="18"/>
                <w:szCs w:val="18"/>
              </w:rPr>
            </w:pPr>
            <w:r>
              <w:rPr>
                <w:rFonts w:hint="eastAsia" w:hAnsi="宋体" w:cs="宋体"/>
                <w:color w:val="auto"/>
                <w:sz w:val="18"/>
                <w:szCs w:val="18"/>
              </w:rPr>
              <w:t xml:space="preserve">项目名称： </w:t>
            </w:r>
            <w:r>
              <w:rPr>
                <w:rFonts w:hint="eastAsia" w:hAnsi="宋体"/>
                <w:color w:val="auto"/>
                <w:sz w:val="18"/>
                <w:szCs w:val="18"/>
                <w:u w:val="single"/>
              </w:rPr>
              <w:t xml:space="preserve"> 灵山县人民法院乡镇法庭LED大屏及视频监控系统采购项目        </w:t>
            </w:r>
            <w:r>
              <w:rPr>
                <w:rFonts w:hAnsi="宋体"/>
                <w:color w:val="auto"/>
                <w:sz w:val="18"/>
                <w:szCs w:val="18"/>
                <w:u w:val="single"/>
              </w:rPr>
              <w:t xml:space="preserve">  </w:t>
            </w:r>
          </w:p>
          <w:p>
            <w:pPr>
              <w:pStyle w:val="48"/>
              <w:spacing w:line="320" w:lineRule="exact"/>
              <w:rPr>
                <w:rFonts w:hAnsi="宋体" w:cs="宋体"/>
                <w:color w:val="auto"/>
                <w:sz w:val="18"/>
                <w:szCs w:val="18"/>
                <w:u w:val="single"/>
              </w:rPr>
            </w:pPr>
            <w:r>
              <w:rPr>
                <w:rFonts w:hint="eastAsia" w:hAnsi="宋体" w:cs="宋体"/>
                <w:color w:val="auto"/>
                <w:sz w:val="18"/>
                <w:szCs w:val="18"/>
              </w:rPr>
              <w:t>项目编号：</w:t>
            </w:r>
            <w:r>
              <w:rPr>
                <w:rFonts w:hint="eastAsia" w:hAnsi="宋体" w:cs="宋体"/>
                <w:b/>
                <w:bCs/>
                <w:color w:val="auto"/>
                <w:sz w:val="18"/>
                <w:szCs w:val="18"/>
                <w:u w:val="single"/>
              </w:rPr>
              <w:t xml:space="preserve"> </w:t>
            </w:r>
            <w:r>
              <w:rPr>
                <w:rFonts w:hint="eastAsia" w:hAnsi="宋体"/>
                <w:color w:val="auto"/>
                <w:sz w:val="18"/>
                <w:szCs w:val="18"/>
                <w:u w:val="single"/>
              </w:rPr>
              <w:t xml:space="preserve"> QZZC2020-C1-50012-GXCH    </w:t>
            </w:r>
            <w:r>
              <w:rPr>
                <w:rFonts w:hint="eastAsia" w:hAnsi="宋体" w:cs="宋体"/>
                <w:bCs/>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726" w:type="dxa"/>
            <w:vAlign w:val="center"/>
          </w:tcPr>
          <w:p>
            <w:pPr>
              <w:pStyle w:val="48"/>
              <w:spacing w:line="320" w:lineRule="exact"/>
              <w:jc w:val="center"/>
              <w:rPr>
                <w:rFonts w:hAnsi="宋体"/>
                <w:color w:val="auto"/>
                <w:sz w:val="18"/>
                <w:szCs w:val="18"/>
              </w:rPr>
            </w:pPr>
            <w:r>
              <w:rPr>
                <w:rFonts w:hint="eastAsia" w:hAnsi="宋体"/>
                <w:color w:val="auto"/>
                <w:sz w:val="18"/>
                <w:szCs w:val="18"/>
              </w:rPr>
              <w:t>2</w:t>
            </w:r>
          </w:p>
        </w:tc>
        <w:tc>
          <w:tcPr>
            <w:tcW w:w="903" w:type="dxa"/>
            <w:vAlign w:val="center"/>
          </w:tcPr>
          <w:p>
            <w:pPr>
              <w:pStyle w:val="48"/>
              <w:spacing w:line="320" w:lineRule="exact"/>
              <w:jc w:val="center"/>
              <w:rPr>
                <w:rFonts w:hAnsi="宋体"/>
                <w:color w:val="auto"/>
                <w:sz w:val="18"/>
                <w:szCs w:val="18"/>
              </w:rPr>
            </w:pPr>
            <w:r>
              <w:rPr>
                <w:rFonts w:hint="eastAsia" w:hAnsi="宋体"/>
                <w:color w:val="auto"/>
                <w:sz w:val="18"/>
                <w:szCs w:val="18"/>
              </w:rPr>
              <w:t>3</w:t>
            </w:r>
          </w:p>
        </w:tc>
        <w:tc>
          <w:tcPr>
            <w:tcW w:w="8148" w:type="dxa"/>
            <w:vAlign w:val="center"/>
          </w:tcPr>
          <w:p>
            <w:pPr>
              <w:spacing w:line="320" w:lineRule="exact"/>
              <w:rPr>
                <w:rFonts w:ascii="宋体" w:hAnsi="宋体" w:cs="宋体"/>
                <w:color w:val="auto"/>
                <w:sz w:val="18"/>
                <w:szCs w:val="18"/>
              </w:rPr>
            </w:pPr>
            <w:r>
              <w:rPr>
                <w:rFonts w:hint="eastAsia" w:ascii="宋体" w:hAnsi="宋体"/>
                <w:color w:val="auto"/>
                <w:sz w:val="18"/>
                <w:szCs w:val="18"/>
              </w:rPr>
              <w:t>供应商</w:t>
            </w:r>
            <w:r>
              <w:rPr>
                <w:rFonts w:hint="eastAsia" w:ascii="宋体" w:hAnsi="宋体" w:cs="宋体"/>
                <w:color w:val="auto"/>
                <w:sz w:val="18"/>
                <w:szCs w:val="18"/>
              </w:rPr>
              <w:t>的资格要求：</w:t>
            </w:r>
          </w:p>
          <w:p>
            <w:pPr>
              <w:spacing w:line="360" w:lineRule="auto"/>
              <w:rPr>
                <w:rFonts w:ascii="宋体" w:hAnsi="宋体" w:cs="宋体"/>
                <w:color w:val="auto"/>
                <w:sz w:val="18"/>
                <w:szCs w:val="18"/>
              </w:rPr>
            </w:pPr>
            <w:r>
              <w:rPr>
                <w:rFonts w:hint="eastAsia" w:ascii="宋体" w:hAnsi="宋体" w:cs="宋体"/>
                <w:color w:val="auto"/>
                <w:sz w:val="18"/>
                <w:szCs w:val="18"/>
              </w:rPr>
              <w:t xml:space="preserve">1、符合《中华人民共和国政府采购法》第二十二条的规定； </w:t>
            </w:r>
          </w:p>
          <w:p>
            <w:pPr>
              <w:spacing w:line="360" w:lineRule="auto"/>
              <w:rPr>
                <w:rFonts w:ascii="宋体" w:hAnsi="宋体" w:cs="宋体"/>
                <w:color w:val="auto"/>
                <w:sz w:val="18"/>
                <w:szCs w:val="18"/>
              </w:rPr>
            </w:pPr>
            <w:r>
              <w:rPr>
                <w:rFonts w:hint="eastAsia" w:ascii="宋体" w:hAnsi="宋体" w:cs="宋体"/>
                <w:color w:val="auto"/>
                <w:sz w:val="18"/>
                <w:szCs w:val="18"/>
              </w:rPr>
              <w:t>2、国内注册（指按国家有关规定要求注册的）生产或经营本次采购货物，具有独立承担民事责任能力的供应商；</w:t>
            </w:r>
          </w:p>
          <w:p>
            <w:pPr>
              <w:spacing w:line="360" w:lineRule="auto"/>
              <w:rPr>
                <w:rFonts w:ascii="宋体" w:hAnsi="宋体" w:cs="宋体"/>
                <w:color w:val="auto"/>
                <w:sz w:val="18"/>
                <w:szCs w:val="18"/>
              </w:rPr>
            </w:pPr>
            <w:r>
              <w:rPr>
                <w:rFonts w:hint="eastAsia" w:ascii="宋体" w:hAnsi="宋体" w:cs="宋体"/>
                <w:color w:val="auto"/>
                <w:sz w:val="18"/>
                <w:szCs w:val="18"/>
              </w:rPr>
              <w:t>3、对在“信用中国”网站(www.creditchina.gov.cn)、中国政府采购网(www.ccgp.gov.cn )等渠道列入失信被执行人、重大税收违法案件当事人名单、政府采购严重违法失信行为记录名单及其他不符合《中华人民共和国政府采购法》第二十二条规定条件的供应商，将被拒绝参与本次政府采购活动。（供应商可在“信用中国”网站（www.creditchina.gov.cn）或中国政府采购网（www.ccgp.gov.cn）查询相关供应商主体信用记录。</w:t>
            </w:r>
          </w:p>
          <w:p>
            <w:pPr>
              <w:spacing w:line="360" w:lineRule="auto"/>
              <w:rPr>
                <w:rFonts w:ascii="宋体" w:hAnsi="宋体" w:cs="宋体"/>
                <w:color w:val="auto"/>
                <w:sz w:val="18"/>
                <w:szCs w:val="18"/>
              </w:rPr>
            </w:pPr>
            <w:r>
              <w:rPr>
                <w:rFonts w:hint="eastAsia" w:ascii="宋体" w:hAnsi="宋体" w:cs="宋体"/>
                <w:color w:val="auto"/>
                <w:sz w:val="18"/>
                <w:szCs w:val="18"/>
              </w:rPr>
              <w:t>4、本项目不接受联合体竞标。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726" w:type="dxa"/>
            <w:vAlign w:val="center"/>
          </w:tcPr>
          <w:p>
            <w:pPr>
              <w:pStyle w:val="48"/>
              <w:spacing w:line="320" w:lineRule="exact"/>
              <w:jc w:val="center"/>
              <w:rPr>
                <w:rFonts w:hAnsi="宋体"/>
                <w:color w:val="auto"/>
                <w:sz w:val="18"/>
                <w:szCs w:val="18"/>
              </w:rPr>
            </w:pPr>
            <w:r>
              <w:rPr>
                <w:rFonts w:hint="eastAsia" w:hAnsi="宋体"/>
                <w:color w:val="auto"/>
                <w:sz w:val="18"/>
                <w:szCs w:val="18"/>
              </w:rPr>
              <w:t>3</w:t>
            </w:r>
          </w:p>
        </w:tc>
        <w:tc>
          <w:tcPr>
            <w:tcW w:w="903" w:type="dxa"/>
            <w:vAlign w:val="center"/>
          </w:tcPr>
          <w:p>
            <w:pPr>
              <w:pStyle w:val="48"/>
              <w:spacing w:line="320" w:lineRule="exact"/>
              <w:jc w:val="center"/>
              <w:rPr>
                <w:rFonts w:hAnsi="宋体"/>
                <w:color w:val="auto"/>
                <w:sz w:val="18"/>
                <w:szCs w:val="18"/>
              </w:rPr>
            </w:pPr>
            <w:r>
              <w:rPr>
                <w:rFonts w:hint="eastAsia" w:hAnsi="宋体"/>
                <w:color w:val="auto"/>
                <w:sz w:val="18"/>
                <w:szCs w:val="18"/>
              </w:rPr>
              <w:t>8.1</w:t>
            </w:r>
          </w:p>
        </w:tc>
        <w:tc>
          <w:tcPr>
            <w:tcW w:w="8148" w:type="dxa"/>
            <w:vAlign w:val="center"/>
          </w:tcPr>
          <w:p>
            <w:pPr>
              <w:spacing w:line="320" w:lineRule="exact"/>
              <w:rPr>
                <w:rFonts w:ascii="宋体" w:hAnsi="宋体" w:cs="宋体"/>
                <w:color w:val="auto"/>
                <w:sz w:val="18"/>
                <w:szCs w:val="18"/>
              </w:rPr>
            </w:pPr>
            <w:r>
              <w:rPr>
                <w:rFonts w:hint="eastAsia" w:ascii="宋体" w:hAnsi="宋体" w:cs="宋体"/>
                <w:color w:val="auto"/>
                <w:sz w:val="18"/>
                <w:szCs w:val="18"/>
              </w:rPr>
              <w:t>1、本项目政府采购预算为：玖拾壹万肆仟捌佰壹拾柒元整（¥：914817.00元）；最后报价超出预算作无效响应文件处理。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726" w:type="dxa"/>
            <w:vAlign w:val="center"/>
          </w:tcPr>
          <w:p>
            <w:pPr>
              <w:pStyle w:val="48"/>
              <w:spacing w:line="320" w:lineRule="exact"/>
              <w:jc w:val="center"/>
              <w:rPr>
                <w:rFonts w:hAnsi="宋体"/>
                <w:color w:val="auto"/>
                <w:sz w:val="18"/>
                <w:szCs w:val="18"/>
              </w:rPr>
            </w:pPr>
            <w:r>
              <w:rPr>
                <w:rFonts w:hint="eastAsia" w:hAnsi="宋体"/>
                <w:color w:val="auto"/>
                <w:sz w:val="18"/>
                <w:szCs w:val="18"/>
              </w:rPr>
              <w:t>4</w:t>
            </w:r>
          </w:p>
        </w:tc>
        <w:tc>
          <w:tcPr>
            <w:tcW w:w="903" w:type="dxa"/>
            <w:vAlign w:val="center"/>
          </w:tcPr>
          <w:p>
            <w:pPr>
              <w:pStyle w:val="48"/>
              <w:spacing w:line="320" w:lineRule="exact"/>
              <w:jc w:val="center"/>
              <w:rPr>
                <w:rFonts w:hAnsi="宋体"/>
                <w:color w:val="auto"/>
                <w:sz w:val="18"/>
                <w:szCs w:val="18"/>
              </w:rPr>
            </w:pPr>
            <w:r>
              <w:rPr>
                <w:rFonts w:hint="eastAsia" w:hAnsi="宋体"/>
                <w:color w:val="auto"/>
                <w:sz w:val="18"/>
                <w:szCs w:val="18"/>
              </w:rPr>
              <w:t>8.5</w:t>
            </w:r>
          </w:p>
        </w:tc>
        <w:tc>
          <w:tcPr>
            <w:tcW w:w="8148" w:type="dxa"/>
            <w:vAlign w:val="center"/>
          </w:tcPr>
          <w:p>
            <w:pPr>
              <w:spacing w:line="320" w:lineRule="exact"/>
              <w:rPr>
                <w:rFonts w:ascii="宋体" w:hAnsi="宋体" w:cs="宋体"/>
                <w:color w:val="auto"/>
                <w:sz w:val="18"/>
                <w:szCs w:val="18"/>
              </w:rPr>
            </w:pPr>
            <w:r>
              <w:rPr>
                <w:rFonts w:hint="eastAsia" w:ascii="宋体" w:hAnsi="宋体" w:cs="宋体"/>
                <w:color w:val="auto"/>
                <w:sz w:val="18"/>
                <w:szCs w:val="18"/>
              </w:rPr>
              <w:t>报价：</w:t>
            </w:r>
            <w:r>
              <w:rPr>
                <w:rFonts w:hint="eastAsia" w:ascii="宋体" w:hAnsi="宋体"/>
                <w:color w:val="auto"/>
                <w:sz w:val="18"/>
                <w:szCs w:val="18"/>
              </w:rPr>
              <w:t>供应商</w:t>
            </w:r>
            <w:r>
              <w:rPr>
                <w:rFonts w:hint="eastAsia" w:ascii="宋体" w:hAnsi="宋体" w:cs="宋体"/>
                <w:color w:val="auto"/>
                <w:sz w:val="18"/>
                <w:szCs w:val="18"/>
              </w:rPr>
              <w:t>可就《货物采购需求表》中所有的货物和服务内容作完整唯一报价。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26" w:type="dxa"/>
            <w:vAlign w:val="center"/>
          </w:tcPr>
          <w:p>
            <w:pPr>
              <w:pStyle w:val="48"/>
              <w:spacing w:line="320" w:lineRule="exact"/>
              <w:jc w:val="center"/>
              <w:rPr>
                <w:rFonts w:hAnsi="宋体"/>
                <w:color w:val="auto"/>
                <w:sz w:val="18"/>
                <w:szCs w:val="18"/>
              </w:rPr>
            </w:pPr>
            <w:r>
              <w:rPr>
                <w:rFonts w:hint="eastAsia" w:hAnsi="宋体"/>
                <w:color w:val="auto"/>
                <w:sz w:val="18"/>
                <w:szCs w:val="18"/>
              </w:rPr>
              <w:t>5</w:t>
            </w:r>
          </w:p>
        </w:tc>
        <w:tc>
          <w:tcPr>
            <w:tcW w:w="903" w:type="dxa"/>
            <w:vAlign w:val="center"/>
          </w:tcPr>
          <w:p>
            <w:pPr>
              <w:pStyle w:val="48"/>
              <w:spacing w:line="320" w:lineRule="exact"/>
              <w:jc w:val="center"/>
              <w:rPr>
                <w:rFonts w:hAnsi="宋体"/>
                <w:color w:val="auto"/>
                <w:sz w:val="18"/>
                <w:szCs w:val="18"/>
              </w:rPr>
            </w:pPr>
            <w:r>
              <w:rPr>
                <w:rFonts w:hint="eastAsia" w:hAnsi="宋体"/>
                <w:color w:val="auto"/>
                <w:sz w:val="18"/>
                <w:szCs w:val="18"/>
              </w:rPr>
              <w:t>9.1</w:t>
            </w:r>
          </w:p>
        </w:tc>
        <w:tc>
          <w:tcPr>
            <w:tcW w:w="8148" w:type="dxa"/>
            <w:vAlign w:val="center"/>
          </w:tcPr>
          <w:p>
            <w:pPr>
              <w:spacing w:line="360" w:lineRule="exact"/>
              <w:jc w:val="left"/>
              <w:rPr>
                <w:rFonts w:ascii="宋体" w:hAnsi="宋体"/>
                <w:color w:val="auto"/>
                <w:sz w:val="18"/>
                <w:szCs w:val="18"/>
              </w:rPr>
            </w:pPr>
            <w:r>
              <w:rPr>
                <w:rFonts w:hint="eastAsia" w:ascii="宋体" w:hAnsi="宋体"/>
                <w:color w:val="auto"/>
                <w:sz w:val="18"/>
                <w:szCs w:val="18"/>
              </w:rPr>
              <w:t>响应文件份数：正本壹册，副本叁册，须完整提交（A4纸装订）。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26" w:type="dxa"/>
            <w:vAlign w:val="center"/>
          </w:tcPr>
          <w:p>
            <w:pPr>
              <w:pStyle w:val="48"/>
              <w:spacing w:line="320" w:lineRule="exact"/>
              <w:jc w:val="center"/>
              <w:rPr>
                <w:rFonts w:hAnsi="宋体"/>
                <w:color w:val="auto"/>
                <w:sz w:val="18"/>
                <w:szCs w:val="18"/>
              </w:rPr>
            </w:pPr>
            <w:r>
              <w:rPr>
                <w:rFonts w:hint="eastAsia" w:hAnsi="宋体"/>
                <w:color w:val="auto"/>
                <w:sz w:val="18"/>
                <w:szCs w:val="18"/>
              </w:rPr>
              <w:t>6</w:t>
            </w:r>
          </w:p>
        </w:tc>
        <w:tc>
          <w:tcPr>
            <w:tcW w:w="903" w:type="dxa"/>
            <w:vAlign w:val="center"/>
          </w:tcPr>
          <w:p>
            <w:pPr>
              <w:pStyle w:val="48"/>
              <w:spacing w:line="320" w:lineRule="exact"/>
              <w:jc w:val="center"/>
              <w:rPr>
                <w:rFonts w:hAnsi="宋体"/>
                <w:color w:val="auto"/>
                <w:sz w:val="18"/>
                <w:szCs w:val="18"/>
              </w:rPr>
            </w:pPr>
            <w:r>
              <w:rPr>
                <w:rFonts w:hint="eastAsia" w:hAnsi="宋体"/>
                <w:color w:val="auto"/>
                <w:sz w:val="18"/>
                <w:szCs w:val="18"/>
              </w:rPr>
              <w:t>9.2</w:t>
            </w:r>
          </w:p>
        </w:tc>
        <w:tc>
          <w:tcPr>
            <w:tcW w:w="8148" w:type="dxa"/>
            <w:vAlign w:val="center"/>
          </w:tcPr>
          <w:p>
            <w:pPr>
              <w:spacing w:line="360" w:lineRule="exact"/>
              <w:jc w:val="left"/>
              <w:rPr>
                <w:rFonts w:ascii="宋体" w:hAnsi="宋体"/>
                <w:color w:val="auto"/>
                <w:sz w:val="18"/>
                <w:szCs w:val="18"/>
              </w:rPr>
            </w:pPr>
            <w:r>
              <w:rPr>
                <w:rFonts w:hint="eastAsia" w:ascii="宋体" w:hAnsi="宋体"/>
                <w:color w:val="auto"/>
                <w:sz w:val="18"/>
                <w:szCs w:val="18"/>
              </w:rPr>
              <w:t>响应文件装订要求：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26" w:type="dxa"/>
            <w:vAlign w:val="center"/>
          </w:tcPr>
          <w:p>
            <w:pPr>
              <w:pStyle w:val="48"/>
              <w:spacing w:line="320" w:lineRule="exact"/>
              <w:jc w:val="center"/>
              <w:rPr>
                <w:rFonts w:hAnsi="宋体"/>
                <w:color w:val="auto"/>
                <w:sz w:val="18"/>
                <w:szCs w:val="18"/>
              </w:rPr>
            </w:pPr>
            <w:r>
              <w:rPr>
                <w:rFonts w:hint="eastAsia" w:hAnsi="宋体"/>
                <w:color w:val="auto"/>
                <w:sz w:val="18"/>
                <w:szCs w:val="18"/>
              </w:rPr>
              <w:t>7</w:t>
            </w:r>
          </w:p>
        </w:tc>
        <w:tc>
          <w:tcPr>
            <w:tcW w:w="903" w:type="dxa"/>
            <w:vAlign w:val="center"/>
          </w:tcPr>
          <w:p>
            <w:pPr>
              <w:pStyle w:val="48"/>
              <w:spacing w:line="320" w:lineRule="exact"/>
              <w:jc w:val="center"/>
              <w:rPr>
                <w:rFonts w:hAnsi="宋体"/>
                <w:color w:val="auto"/>
                <w:sz w:val="18"/>
                <w:szCs w:val="18"/>
              </w:rPr>
            </w:pPr>
            <w:r>
              <w:rPr>
                <w:rFonts w:hint="eastAsia" w:hAnsi="宋体"/>
                <w:color w:val="auto"/>
                <w:sz w:val="18"/>
                <w:szCs w:val="18"/>
              </w:rPr>
              <w:t>9.6</w:t>
            </w:r>
          </w:p>
        </w:tc>
        <w:tc>
          <w:tcPr>
            <w:tcW w:w="8148" w:type="dxa"/>
            <w:vAlign w:val="center"/>
          </w:tcPr>
          <w:p>
            <w:pPr>
              <w:spacing w:line="400" w:lineRule="exact"/>
              <w:rPr>
                <w:rFonts w:ascii="宋体" w:hAnsi="宋体"/>
                <w:color w:val="auto"/>
                <w:sz w:val="18"/>
                <w:szCs w:val="18"/>
              </w:rPr>
            </w:pPr>
            <w:r>
              <w:rPr>
                <w:rFonts w:hint="eastAsia" w:ascii="宋体" w:hAnsi="宋体"/>
                <w:color w:val="auto"/>
                <w:sz w:val="18"/>
                <w:szCs w:val="18"/>
              </w:rPr>
              <w:t>响应文件包装、密封、标记：9.6.1 响应文件包装、密封：供应商须将响应文件“正本”、“副本”一并装入并密封在一个响应文件袋（盒、箱）中，并在密封处密封签章【公章、密封章、法定代表人、负责人或相应的授权委托代理人签字均可】。</w:t>
            </w:r>
          </w:p>
          <w:p>
            <w:pPr>
              <w:spacing w:line="400" w:lineRule="exact"/>
              <w:rPr>
                <w:rFonts w:ascii="宋体" w:hAnsi="宋体"/>
                <w:color w:val="auto"/>
                <w:sz w:val="18"/>
                <w:szCs w:val="18"/>
              </w:rPr>
            </w:pPr>
            <w:r>
              <w:rPr>
                <w:rFonts w:hint="eastAsia" w:ascii="宋体" w:hAnsi="宋体"/>
                <w:color w:val="auto"/>
                <w:sz w:val="18"/>
                <w:szCs w:val="18"/>
              </w:rPr>
              <w:t>9.6.2 响应文件袋标记：</w:t>
            </w:r>
          </w:p>
          <w:p>
            <w:pPr>
              <w:spacing w:line="400" w:lineRule="exact"/>
              <w:rPr>
                <w:rFonts w:ascii="宋体" w:hAnsi="宋体"/>
                <w:color w:val="auto"/>
                <w:sz w:val="18"/>
                <w:szCs w:val="18"/>
              </w:rPr>
            </w:pPr>
            <w:r>
              <w:rPr>
                <w:rFonts w:hint="eastAsia" w:ascii="宋体" w:hAnsi="宋体"/>
                <w:color w:val="auto"/>
                <w:sz w:val="18"/>
                <w:szCs w:val="18"/>
              </w:rPr>
              <w:t>项目名称：</w:t>
            </w:r>
            <w:r>
              <w:rPr>
                <w:rFonts w:hint="eastAsia" w:ascii="宋体" w:hAnsi="宋体"/>
                <w:color w:val="auto"/>
                <w:sz w:val="18"/>
                <w:szCs w:val="18"/>
                <w:u w:val="single"/>
              </w:rPr>
              <w:t xml:space="preserve"> 灵山县人民法院乡镇法庭LED大屏及视频监控系统采购项目        </w:t>
            </w:r>
            <w:r>
              <w:rPr>
                <w:rFonts w:ascii="宋体" w:hAnsi="宋体"/>
                <w:color w:val="auto"/>
                <w:sz w:val="18"/>
                <w:szCs w:val="18"/>
                <w:u w:val="single"/>
              </w:rPr>
              <w:t xml:space="preserve">  </w:t>
            </w:r>
          </w:p>
          <w:p>
            <w:pPr>
              <w:spacing w:line="400" w:lineRule="exact"/>
              <w:rPr>
                <w:rFonts w:ascii="宋体" w:hAnsi="宋体"/>
                <w:color w:val="auto"/>
                <w:sz w:val="18"/>
                <w:szCs w:val="18"/>
              </w:rPr>
            </w:pPr>
            <w:r>
              <w:rPr>
                <w:rFonts w:hint="eastAsia" w:ascii="宋体" w:hAnsi="宋体"/>
                <w:color w:val="auto"/>
                <w:sz w:val="18"/>
                <w:szCs w:val="18"/>
              </w:rPr>
              <w:t>项目编号：</w:t>
            </w:r>
            <w:r>
              <w:rPr>
                <w:rFonts w:hint="eastAsia" w:ascii="宋体" w:hAnsi="宋体" w:cs="宋体"/>
                <w:b/>
                <w:bCs/>
                <w:color w:val="auto"/>
                <w:sz w:val="18"/>
                <w:szCs w:val="18"/>
                <w:u w:val="single"/>
              </w:rPr>
              <w:t xml:space="preserve"> </w:t>
            </w:r>
            <w:r>
              <w:rPr>
                <w:rFonts w:hint="eastAsia" w:ascii="宋体" w:hAnsi="宋体"/>
                <w:color w:val="auto"/>
                <w:sz w:val="18"/>
                <w:szCs w:val="18"/>
                <w:u w:val="single"/>
              </w:rPr>
              <w:t xml:space="preserve"> QZZC2020-C1-50012-GXCH   </w:t>
            </w:r>
          </w:p>
          <w:p>
            <w:pPr>
              <w:spacing w:line="400" w:lineRule="exact"/>
              <w:rPr>
                <w:rFonts w:ascii="宋体" w:hAnsi="宋体"/>
                <w:color w:val="auto"/>
                <w:sz w:val="18"/>
                <w:szCs w:val="18"/>
              </w:rPr>
            </w:pPr>
            <w:r>
              <w:rPr>
                <w:rFonts w:hint="eastAsia" w:ascii="宋体" w:hAnsi="宋体"/>
                <w:color w:val="auto"/>
                <w:sz w:val="18"/>
                <w:szCs w:val="18"/>
              </w:rPr>
              <w:t>采购代理机构：</w:t>
            </w:r>
            <w:r>
              <w:rPr>
                <w:rFonts w:ascii="宋体" w:hAnsi="宋体"/>
                <w:color w:val="auto"/>
                <w:sz w:val="18"/>
                <w:szCs w:val="18"/>
              </w:rPr>
              <w:t xml:space="preserve">广西诚华工程造价咨询有限公司  </w:t>
            </w:r>
          </w:p>
          <w:p>
            <w:pPr>
              <w:spacing w:line="400" w:lineRule="exact"/>
              <w:rPr>
                <w:rFonts w:ascii="宋体" w:hAnsi="宋体" w:cs="宋体"/>
                <w:color w:val="auto"/>
                <w:sz w:val="18"/>
                <w:szCs w:val="18"/>
              </w:rPr>
            </w:pPr>
            <w:r>
              <w:rPr>
                <w:rFonts w:hint="eastAsia" w:ascii="宋体" w:hAnsi="宋体"/>
                <w:color w:val="auto"/>
                <w:sz w:val="18"/>
                <w:szCs w:val="18"/>
              </w:rPr>
              <w:t xml:space="preserve">供应商单位名称：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726" w:type="dxa"/>
            <w:vAlign w:val="center"/>
          </w:tcPr>
          <w:p>
            <w:pPr>
              <w:pStyle w:val="48"/>
              <w:spacing w:line="320" w:lineRule="exact"/>
              <w:jc w:val="center"/>
              <w:rPr>
                <w:rFonts w:hAnsi="宋体"/>
                <w:color w:val="auto"/>
                <w:sz w:val="18"/>
                <w:szCs w:val="18"/>
              </w:rPr>
            </w:pPr>
            <w:r>
              <w:rPr>
                <w:rFonts w:hint="eastAsia" w:hAnsi="宋体"/>
                <w:color w:val="auto"/>
                <w:sz w:val="18"/>
                <w:szCs w:val="18"/>
              </w:rPr>
              <w:t>8</w:t>
            </w:r>
          </w:p>
        </w:tc>
        <w:tc>
          <w:tcPr>
            <w:tcW w:w="903" w:type="dxa"/>
            <w:vAlign w:val="center"/>
          </w:tcPr>
          <w:p>
            <w:pPr>
              <w:pStyle w:val="48"/>
              <w:spacing w:line="320" w:lineRule="exact"/>
              <w:jc w:val="center"/>
              <w:rPr>
                <w:rFonts w:hAnsi="宋体"/>
                <w:color w:val="auto"/>
                <w:sz w:val="18"/>
                <w:szCs w:val="18"/>
              </w:rPr>
            </w:pPr>
            <w:r>
              <w:rPr>
                <w:rFonts w:hint="eastAsia" w:hAnsi="宋体"/>
                <w:color w:val="auto"/>
                <w:sz w:val="18"/>
                <w:szCs w:val="18"/>
              </w:rPr>
              <w:t>10.1</w:t>
            </w:r>
          </w:p>
        </w:tc>
        <w:tc>
          <w:tcPr>
            <w:tcW w:w="8148" w:type="dxa"/>
            <w:vAlign w:val="center"/>
          </w:tcPr>
          <w:p>
            <w:pPr>
              <w:pStyle w:val="48"/>
              <w:spacing w:line="320" w:lineRule="exact"/>
              <w:rPr>
                <w:rFonts w:hAnsi="宋体" w:cs="宋体"/>
                <w:b/>
                <w:bCs/>
                <w:color w:val="auto"/>
                <w:sz w:val="18"/>
                <w:szCs w:val="18"/>
              </w:rPr>
            </w:pPr>
            <w:r>
              <w:rPr>
                <w:rFonts w:hint="eastAsia" w:hAnsi="宋体" w:cs="宋体"/>
                <w:b/>
                <w:color w:val="auto"/>
                <w:sz w:val="18"/>
                <w:szCs w:val="18"/>
              </w:rPr>
              <w:t>响应文件递交截止时间：2020</w:t>
            </w:r>
            <w:r>
              <w:rPr>
                <w:rFonts w:hint="eastAsia" w:hAnsi="宋体" w:cs="宋体"/>
                <w:color w:val="auto"/>
                <w:sz w:val="18"/>
                <w:szCs w:val="18"/>
              </w:rPr>
              <w:t>年11月26日下午15时30分</w:t>
            </w:r>
          </w:p>
          <w:p>
            <w:pPr>
              <w:pStyle w:val="22"/>
              <w:spacing w:line="320" w:lineRule="exact"/>
              <w:rPr>
                <w:rFonts w:hAnsi="宋体" w:cs="宋体"/>
                <w:color w:val="auto"/>
                <w:sz w:val="18"/>
                <w:szCs w:val="18"/>
              </w:rPr>
            </w:pPr>
            <w:r>
              <w:rPr>
                <w:rFonts w:hint="eastAsia" w:hAnsi="宋体" w:cs="宋体"/>
                <w:color w:val="auto"/>
                <w:sz w:val="18"/>
                <w:szCs w:val="18"/>
              </w:rPr>
              <w:t>地址：钦州市灵山县灵城镇江滨三路63号</w:t>
            </w:r>
            <w:r>
              <w:rPr>
                <w:rFonts w:hAnsi="宋体"/>
                <w:color w:val="auto"/>
                <w:sz w:val="18"/>
                <w:szCs w:val="18"/>
              </w:rPr>
              <w:t>（广西诚华工程造价咨询有限公司开标室）</w:t>
            </w:r>
            <w:r>
              <w:rPr>
                <w:rFonts w:hint="eastAsia" w:hAnsi="宋体" w:cs="宋体"/>
                <w:color w:val="auto"/>
                <w:sz w:val="18"/>
                <w:szCs w:val="18"/>
              </w:rPr>
              <w:t>。</w:t>
            </w:r>
          </w:p>
          <w:p>
            <w:pPr>
              <w:pStyle w:val="22"/>
              <w:spacing w:line="320" w:lineRule="exact"/>
              <w:rPr>
                <w:rFonts w:hAnsi="宋体" w:cs="宋体"/>
                <w:color w:val="auto"/>
                <w:sz w:val="18"/>
                <w:szCs w:val="18"/>
              </w:rPr>
            </w:pPr>
            <w:r>
              <w:rPr>
                <w:rFonts w:hint="eastAsia" w:hAnsi="宋体" w:cs="宋体"/>
                <w:color w:val="auto"/>
                <w:sz w:val="18"/>
                <w:szCs w:val="18"/>
              </w:rPr>
              <w:t>响应文件递交起止时间：</w:t>
            </w:r>
            <w:r>
              <w:rPr>
                <w:rFonts w:hint="eastAsia" w:hAnsi="宋体"/>
                <w:color w:val="auto"/>
                <w:sz w:val="18"/>
                <w:szCs w:val="18"/>
              </w:rPr>
              <w:t>2020年11月26日下午15时30分</w:t>
            </w:r>
            <w:r>
              <w:rPr>
                <w:rFonts w:hint="eastAsia" w:hAnsi="宋体" w:cs="宋体"/>
                <w:color w:val="auto"/>
                <w:sz w:val="18"/>
                <w:szCs w:val="18"/>
              </w:rPr>
              <w:t>，逾期送达的将予以拒收。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26" w:type="dxa"/>
            <w:vAlign w:val="center"/>
          </w:tcPr>
          <w:p>
            <w:pPr>
              <w:pStyle w:val="48"/>
              <w:spacing w:line="320" w:lineRule="exact"/>
              <w:jc w:val="center"/>
              <w:rPr>
                <w:rFonts w:hAnsi="宋体"/>
                <w:color w:val="auto"/>
                <w:sz w:val="18"/>
                <w:szCs w:val="18"/>
              </w:rPr>
            </w:pPr>
            <w:r>
              <w:rPr>
                <w:rFonts w:hint="eastAsia" w:hAnsi="宋体"/>
                <w:color w:val="auto"/>
                <w:sz w:val="18"/>
                <w:szCs w:val="18"/>
              </w:rPr>
              <w:t>9</w:t>
            </w:r>
          </w:p>
        </w:tc>
        <w:tc>
          <w:tcPr>
            <w:tcW w:w="903" w:type="dxa"/>
            <w:vAlign w:val="center"/>
          </w:tcPr>
          <w:p>
            <w:pPr>
              <w:pStyle w:val="22"/>
              <w:spacing w:line="320" w:lineRule="exact"/>
              <w:jc w:val="center"/>
              <w:rPr>
                <w:rFonts w:hAnsi="宋体"/>
                <w:color w:val="auto"/>
                <w:sz w:val="18"/>
                <w:szCs w:val="18"/>
              </w:rPr>
            </w:pPr>
            <w:r>
              <w:rPr>
                <w:rFonts w:hint="eastAsia" w:hAnsi="宋体"/>
                <w:color w:val="auto"/>
                <w:sz w:val="18"/>
                <w:szCs w:val="18"/>
              </w:rPr>
              <w:t>10.2</w:t>
            </w:r>
          </w:p>
        </w:tc>
        <w:tc>
          <w:tcPr>
            <w:tcW w:w="8148" w:type="dxa"/>
            <w:vAlign w:val="center"/>
          </w:tcPr>
          <w:p>
            <w:pPr>
              <w:pStyle w:val="48"/>
              <w:spacing w:line="320" w:lineRule="exact"/>
              <w:rPr>
                <w:rFonts w:hAnsi="宋体" w:cs="宋体"/>
                <w:color w:val="auto"/>
                <w:sz w:val="18"/>
                <w:szCs w:val="18"/>
              </w:rPr>
            </w:pPr>
            <w:r>
              <w:rPr>
                <w:rFonts w:hint="eastAsia" w:hAnsi="宋体" w:cs="宋体"/>
                <w:color w:val="auto"/>
                <w:sz w:val="18"/>
                <w:szCs w:val="18"/>
              </w:rPr>
              <w:t>响应文件有效期：响应文件递交截止日期后九十日。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6" w:type="dxa"/>
            <w:vAlign w:val="center"/>
          </w:tcPr>
          <w:p>
            <w:pPr>
              <w:pStyle w:val="48"/>
              <w:spacing w:line="320" w:lineRule="exact"/>
              <w:jc w:val="center"/>
              <w:rPr>
                <w:rFonts w:hAnsi="宋体"/>
                <w:color w:val="auto"/>
                <w:sz w:val="18"/>
                <w:szCs w:val="18"/>
              </w:rPr>
            </w:pPr>
            <w:r>
              <w:rPr>
                <w:rFonts w:hint="eastAsia" w:hAnsi="宋体"/>
                <w:color w:val="auto"/>
                <w:sz w:val="18"/>
                <w:szCs w:val="18"/>
              </w:rPr>
              <w:t>10</w:t>
            </w:r>
          </w:p>
        </w:tc>
        <w:tc>
          <w:tcPr>
            <w:tcW w:w="903" w:type="dxa"/>
            <w:vAlign w:val="center"/>
          </w:tcPr>
          <w:p>
            <w:pPr>
              <w:pStyle w:val="48"/>
              <w:spacing w:line="320" w:lineRule="exact"/>
              <w:jc w:val="center"/>
              <w:rPr>
                <w:rFonts w:hAnsi="宋体"/>
                <w:color w:val="auto"/>
                <w:sz w:val="18"/>
                <w:szCs w:val="18"/>
              </w:rPr>
            </w:pPr>
            <w:r>
              <w:rPr>
                <w:rFonts w:hint="eastAsia" w:hAnsi="宋体"/>
                <w:color w:val="auto"/>
                <w:sz w:val="18"/>
                <w:szCs w:val="18"/>
              </w:rPr>
              <w:t>12</w:t>
            </w:r>
          </w:p>
        </w:tc>
        <w:tc>
          <w:tcPr>
            <w:tcW w:w="8148" w:type="dxa"/>
            <w:vAlign w:val="center"/>
          </w:tcPr>
          <w:p>
            <w:pPr>
              <w:spacing w:line="320" w:lineRule="exact"/>
              <w:rPr>
                <w:rFonts w:ascii="宋体" w:hAnsi="宋体" w:cs="宋体"/>
                <w:b/>
                <w:color w:val="auto"/>
                <w:sz w:val="18"/>
                <w:szCs w:val="18"/>
              </w:rPr>
            </w:pPr>
            <w:bookmarkStart w:id="20" w:name="OLE_LINK1"/>
            <w:r>
              <w:rPr>
                <w:rFonts w:hint="eastAsia" w:ascii="宋体" w:hAnsi="宋体" w:cs="宋体"/>
                <w:color w:val="auto"/>
                <w:sz w:val="18"/>
                <w:szCs w:val="18"/>
              </w:rPr>
              <w:t>1、磋商保证金（人民币）为</w:t>
            </w:r>
            <w:bookmarkEnd w:id="20"/>
            <w:r>
              <w:rPr>
                <w:rFonts w:hint="eastAsia" w:ascii="宋体" w:hAnsi="宋体" w:cs="宋体"/>
                <w:color w:val="auto"/>
                <w:sz w:val="18"/>
                <w:szCs w:val="18"/>
              </w:rPr>
              <w:t>：捌仟</w:t>
            </w:r>
            <w:r>
              <w:rPr>
                <w:rFonts w:hint="eastAsia" w:ascii="宋体" w:hAnsi="宋体" w:cs="宋体"/>
                <w:b/>
                <w:bCs/>
                <w:color w:val="auto"/>
                <w:sz w:val="18"/>
                <w:szCs w:val="18"/>
                <w:u w:val="single"/>
              </w:rPr>
              <w:t>元整（¥8000.00）</w:t>
            </w:r>
            <w:r>
              <w:rPr>
                <w:rFonts w:hint="eastAsia" w:ascii="宋体" w:hAnsi="宋体" w:cs="宋体"/>
                <w:b/>
                <w:color w:val="auto"/>
                <w:sz w:val="18"/>
                <w:szCs w:val="18"/>
              </w:rPr>
              <w:t>（须足额交纳）。</w:t>
            </w:r>
          </w:p>
          <w:p>
            <w:pPr>
              <w:spacing w:line="360" w:lineRule="auto"/>
              <w:rPr>
                <w:rFonts w:ascii="宋体" w:hAnsi="宋体" w:cs="宋体"/>
                <w:b/>
                <w:color w:val="auto"/>
                <w:sz w:val="18"/>
                <w:szCs w:val="18"/>
              </w:rPr>
            </w:pPr>
            <w:r>
              <w:rPr>
                <w:rFonts w:hint="eastAsia" w:ascii="宋体" w:hAnsi="宋体" w:cs="宋体"/>
                <w:color w:val="auto"/>
                <w:sz w:val="18"/>
                <w:szCs w:val="18"/>
              </w:rPr>
              <w:t>2.供应商应于</w:t>
            </w:r>
            <w:r>
              <w:rPr>
                <w:rFonts w:hint="eastAsia" w:ascii="宋体" w:hAnsi="宋体"/>
                <w:color w:val="auto"/>
                <w:sz w:val="18"/>
                <w:szCs w:val="18"/>
              </w:rPr>
              <w:t>2020年11月26日下午15时30分</w:t>
            </w:r>
            <w:r>
              <w:rPr>
                <w:rFonts w:hint="eastAsia" w:ascii="宋体" w:hAnsi="宋体" w:cs="宋体"/>
                <w:color w:val="auto"/>
                <w:sz w:val="18"/>
                <w:szCs w:val="18"/>
              </w:rPr>
              <w:t>前将磋商保证金以电汇、转账等非现金形式</w:t>
            </w:r>
            <w:r>
              <w:rPr>
                <w:rFonts w:hint="eastAsia" w:ascii="宋体" w:hAnsi="宋体" w:cs="宋体"/>
                <w:b/>
                <w:color w:val="auto"/>
                <w:sz w:val="18"/>
                <w:szCs w:val="18"/>
              </w:rPr>
              <w:t>从供应商银行账户转出并到达以下账户，本项目不接受现金形式或从个人账户转出的竞标保证金。</w:t>
            </w:r>
          </w:p>
          <w:p>
            <w:pPr>
              <w:rPr>
                <w:rFonts w:ascii="宋体" w:hAnsi="宋体" w:cs="宋体"/>
                <w:color w:val="auto"/>
                <w:sz w:val="18"/>
                <w:szCs w:val="18"/>
              </w:rPr>
            </w:pPr>
            <w:r>
              <w:rPr>
                <w:rFonts w:hint="eastAsia" w:ascii="宋体" w:hAnsi="宋体" w:cs="宋体"/>
                <w:color w:val="auto"/>
                <w:sz w:val="18"/>
                <w:szCs w:val="18"/>
              </w:rPr>
              <w:t>户名：广西诚华工程造价咨询有限公司灵山分公司</w:t>
            </w:r>
          </w:p>
          <w:p>
            <w:pPr>
              <w:rPr>
                <w:rFonts w:ascii="宋体" w:hAnsi="宋体" w:cs="宋体"/>
                <w:color w:val="auto"/>
                <w:sz w:val="18"/>
                <w:szCs w:val="18"/>
              </w:rPr>
            </w:pPr>
            <w:r>
              <w:rPr>
                <w:rFonts w:hint="eastAsia" w:ascii="宋体" w:hAnsi="宋体" w:cs="宋体"/>
                <w:color w:val="auto"/>
                <w:sz w:val="18"/>
                <w:szCs w:val="18"/>
              </w:rPr>
              <w:t>开户银行：中国农业银行股份有限公司灵山三海分理处</w:t>
            </w:r>
          </w:p>
          <w:p>
            <w:pPr>
              <w:rPr>
                <w:rFonts w:ascii="宋体" w:hAnsi="宋体" w:cs="宋体"/>
                <w:color w:val="auto"/>
                <w:sz w:val="18"/>
                <w:szCs w:val="18"/>
              </w:rPr>
            </w:pPr>
            <w:r>
              <w:rPr>
                <w:rFonts w:hint="eastAsia" w:ascii="宋体" w:hAnsi="宋体" w:cs="宋体"/>
                <w:color w:val="auto"/>
                <w:sz w:val="18"/>
                <w:szCs w:val="18"/>
              </w:rPr>
              <w:t>账号：2075 5801 04000 7757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6" w:type="dxa"/>
            <w:vAlign w:val="center"/>
          </w:tcPr>
          <w:p>
            <w:pPr>
              <w:pStyle w:val="48"/>
              <w:spacing w:line="320" w:lineRule="exact"/>
              <w:jc w:val="center"/>
              <w:rPr>
                <w:rFonts w:hAnsi="宋体"/>
                <w:color w:val="auto"/>
                <w:sz w:val="18"/>
                <w:szCs w:val="18"/>
              </w:rPr>
            </w:pPr>
            <w:r>
              <w:rPr>
                <w:rFonts w:hint="eastAsia" w:hAnsi="宋体"/>
                <w:color w:val="auto"/>
                <w:sz w:val="18"/>
                <w:szCs w:val="18"/>
              </w:rPr>
              <w:t>11</w:t>
            </w:r>
          </w:p>
        </w:tc>
        <w:tc>
          <w:tcPr>
            <w:tcW w:w="903" w:type="dxa"/>
            <w:vAlign w:val="center"/>
          </w:tcPr>
          <w:p>
            <w:pPr>
              <w:pStyle w:val="48"/>
              <w:spacing w:line="320" w:lineRule="exact"/>
              <w:jc w:val="center"/>
              <w:rPr>
                <w:rFonts w:hAnsi="宋体"/>
                <w:color w:val="auto"/>
                <w:sz w:val="18"/>
                <w:szCs w:val="18"/>
              </w:rPr>
            </w:pPr>
            <w:r>
              <w:rPr>
                <w:rFonts w:hint="eastAsia" w:hAnsi="宋体"/>
                <w:color w:val="auto"/>
                <w:sz w:val="18"/>
                <w:szCs w:val="18"/>
              </w:rPr>
              <w:t>13.1</w:t>
            </w:r>
          </w:p>
        </w:tc>
        <w:tc>
          <w:tcPr>
            <w:tcW w:w="8148" w:type="dxa"/>
            <w:vAlign w:val="center"/>
          </w:tcPr>
          <w:p>
            <w:pPr>
              <w:pStyle w:val="48"/>
              <w:spacing w:line="320" w:lineRule="exact"/>
              <w:rPr>
                <w:color w:val="auto"/>
                <w:sz w:val="18"/>
                <w:szCs w:val="18"/>
              </w:rPr>
            </w:pPr>
            <w:r>
              <w:rPr>
                <w:rFonts w:hint="eastAsia"/>
                <w:color w:val="auto"/>
                <w:sz w:val="18"/>
                <w:szCs w:val="18"/>
              </w:rPr>
              <w:t>1.磋商时间：</w:t>
            </w:r>
            <w:r>
              <w:rPr>
                <w:rFonts w:hint="eastAsia" w:hAnsi="宋体"/>
                <w:color w:val="auto"/>
                <w:sz w:val="18"/>
                <w:szCs w:val="18"/>
              </w:rPr>
              <w:t>2020年11月26日下午15时30分</w:t>
            </w:r>
          </w:p>
          <w:p>
            <w:pPr>
              <w:pStyle w:val="22"/>
              <w:spacing w:line="320" w:lineRule="exact"/>
              <w:rPr>
                <w:color w:val="auto"/>
                <w:sz w:val="18"/>
                <w:szCs w:val="18"/>
              </w:rPr>
            </w:pPr>
            <w:r>
              <w:rPr>
                <w:rFonts w:hint="eastAsia"/>
                <w:color w:val="auto"/>
                <w:sz w:val="18"/>
                <w:szCs w:val="18"/>
              </w:rPr>
              <w:t>2.磋商地点：钦州市灵山县灵城镇江滨三路63号</w:t>
            </w:r>
            <w:r>
              <w:rPr>
                <w:rFonts w:hAnsi="宋体"/>
                <w:color w:val="auto"/>
                <w:sz w:val="18"/>
                <w:szCs w:val="18"/>
              </w:rPr>
              <w:t>（广西诚华工程造价咨询有限公司开标室）</w:t>
            </w:r>
            <w:r>
              <w:rPr>
                <w:rFonts w:hint="eastAsia" w:hAnsi="宋体" w:cs="宋体"/>
                <w:color w:val="auto"/>
                <w:sz w:val="18"/>
                <w:szCs w:val="18"/>
              </w:rPr>
              <w:t>。</w:t>
            </w:r>
          </w:p>
          <w:p>
            <w:pPr>
              <w:spacing w:line="300" w:lineRule="exact"/>
              <w:rPr>
                <w:color w:val="auto"/>
                <w:sz w:val="18"/>
                <w:szCs w:val="18"/>
              </w:rPr>
            </w:pPr>
            <w:r>
              <w:rPr>
                <w:rFonts w:hint="eastAsia" w:ascii="宋体" w:hAnsi="宋体"/>
                <w:color w:val="auto"/>
                <w:sz w:val="18"/>
                <w:szCs w:val="18"/>
              </w:rPr>
              <w:t>3.磋商参加人员：</w:t>
            </w:r>
            <w:r>
              <w:rPr>
                <w:rFonts w:hint="eastAsia"/>
                <w:color w:val="auto"/>
                <w:sz w:val="18"/>
                <w:szCs w:val="18"/>
              </w:rPr>
              <w:t>参加磋商的法定代表人(负责人)或委托代理人必须持有效证件【法定代表人(负责人)凭身份证或委托代理人凭法人授权委托书原件和身份证】依时到达指定地点等候当面磋商。</w:t>
            </w:r>
          </w:p>
          <w:p>
            <w:pPr>
              <w:spacing w:line="300" w:lineRule="exact"/>
              <w:ind w:left="270" w:hanging="270" w:hangingChars="150"/>
              <w:rPr>
                <w:rFonts w:ascii="宋体" w:hAnsi="宋体"/>
                <w:color w:val="auto"/>
                <w:sz w:val="18"/>
                <w:szCs w:val="18"/>
              </w:rPr>
            </w:pPr>
            <w:r>
              <w:rPr>
                <w:rFonts w:hint="eastAsia" w:ascii="宋体" w:hAnsi="宋体" w:cs="Courier New"/>
                <w:color w:val="auto"/>
                <w:sz w:val="18"/>
                <w:szCs w:val="18"/>
              </w:rPr>
              <w:t>4.磋商小组组成</w:t>
            </w:r>
            <w:r>
              <w:rPr>
                <w:rFonts w:hint="eastAsia" w:hAnsi="宋体" w:cs="Courier New"/>
                <w:color w:val="auto"/>
                <w:sz w:val="18"/>
                <w:szCs w:val="18"/>
              </w:rPr>
              <w:t>：</w:t>
            </w:r>
            <w:r>
              <w:rPr>
                <w:rFonts w:hint="eastAsia" w:ascii="宋体" w:hAnsi="宋体"/>
                <w:color w:val="auto"/>
                <w:sz w:val="18"/>
                <w:szCs w:val="18"/>
              </w:rPr>
              <w:t>磋商及评审组织工作由采购代理机构负责，具体磋商、评审工作由依</w:t>
            </w:r>
          </w:p>
          <w:p>
            <w:pPr>
              <w:spacing w:line="300" w:lineRule="exact"/>
              <w:ind w:left="270" w:hanging="270" w:hangingChars="150"/>
              <w:rPr>
                <w:rFonts w:ascii="宋体" w:hAnsi="宋体"/>
                <w:color w:val="auto"/>
                <w:sz w:val="18"/>
                <w:szCs w:val="18"/>
              </w:rPr>
            </w:pPr>
            <w:r>
              <w:rPr>
                <w:rFonts w:hint="eastAsia" w:ascii="宋体" w:hAnsi="宋体"/>
                <w:color w:val="auto"/>
                <w:sz w:val="18"/>
                <w:szCs w:val="18"/>
              </w:rPr>
              <w:t>法组建的磋商小组负责，</w:t>
            </w:r>
            <w:r>
              <w:rPr>
                <w:rFonts w:hint="eastAsia"/>
                <w:color w:val="auto"/>
                <w:sz w:val="18"/>
                <w:szCs w:val="18"/>
              </w:rPr>
              <w:t>本项目的</w:t>
            </w:r>
            <w:r>
              <w:rPr>
                <w:rFonts w:hint="eastAsia" w:ascii="宋体" w:hAnsi="宋体"/>
                <w:color w:val="auto"/>
                <w:sz w:val="18"/>
                <w:szCs w:val="18"/>
              </w:rPr>
              <w:t>磋商小组由有关方面的专家组成。</w:t>
            </w:r>
          </w:p>
          <w:p>
            <w:pPr>
              <w:spacing w:line="300" w:lineRule="exact"/>
              <w:ind w:left="270" w:hanging="270" w:hangingChars="150"/>
              <w:rPr>
                <w:rFonts w:ascii="宋体" w:hAnsi="宋体" w:cs="Courier New"/>
                <w:color w:val="auto"/>
                <w:sz w:val="18"/>
                <w:szCs w:val="18"/>
              </w:rPr>
            </w:pPr>
            <w:r>
              <w:rPr>
                <w:rFonts w:hint="eastAsia" w:ascii="宋体" w:hAnsi="宋体"/>
                <w:color w:val="auto"/>
                <w:sz w:val="18"/>
                <w:szCs w:val="18"/>
              </w:rPr>
              <w:t>磋商小组的构成：</w:t>
            </w:r>
            <w:r>
              <w:rPr>
                <w:rFonts w:hint="eastAsia" w:ascii="宋体" w:hAnsi="宋体"/>
                <w:color w:val="auto"/>
                <w:sz w:val="18"/>
                <w:szCs w:val="18"/>
                <w:u w:val="single"/>
              </w:rPr>
              <w:t>3</w:t>
            </w:r>
            <w:r>
              <w:rPr>
                <w:rFonts w:hint="eastAsia" w:ascii="宋体" w:hAnsi="宋体"/>
                <w:color w:val="auto"/>
                <w:sz w:val="18"/>
                <w:szCs w:val="18"/>
              </w:rPr>
              <w:t xml:space="preserve">人，有关专家 </w:t>
            </w:r>
            <w:r>
              <w:rPr>
                <w:rFonts w:hint="eastAsia" w:hAnsi="宋体"/>
                <w:color w:val="auto"/>
                <w:sz w:val="18"/>
                <w:szCs w:val="18"/>
                <w:u w:val="single"/>
              </w:rPr>
              <w:t>3</w:t>
            </w:r>
            <w:r>
              <w:rPr>
                <w:rFonts w:hint="eastAsia" w:ascii="宋体" w:hAnsi="宋体"/>
                <w:color w:val="auto"/>
                <w:sz w:val="18"/>
                <w:szCs w:val="18"/>
              </w:rPr>
              <w:t>人。</w:t>
            </w:r>
          </w:p>
          <w:p>
            <w:pPr>
              <w:pStyle w:val="22"/>
              <w:spacing w:line="320" w:lineRule="exact"/>
              <w:rPr>
                <w:color w:val="auto"/>
                <w:sz w:val="18"/>
                <w:szCs w:val="18"/>
              </w:rPr>
            </w:pPr>
            <w:r>
              <w:rPr>
                <w:rFonts w:hint="eastAsia" w:hAnsi="宋体"/>
                <w:color w:val="auto"/>
                <w:sz w:val="18"/>
                <w:szCs w:val="18"/>
              </w:rPr>
              <w:t>启封响应文件：响应文件递交截止时间后，磋商小组在评标室启封响应文件。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6" w:type="dxa"/>
            <w:vAlign w:val="center"/>
          </w:tcPr>
          <w:p>
            <w:pPr>
              <w:pStyle w:val="48"/>
              <w:spacing w:line="320" w:lineRule="exact"/>
              <w:jc w:val="center"/>
              <w:rPr>
                <w:rFonts w:hAnsi="宋体"/>
                <w:color w:val="auto"/>
                <w:sz w:val="18"/>
                <w:szCs w:val="18"/>
              </w:rPr>
            </w:pPr>
            <w:r>
              <w:rPr>
                <w:rFonts w:hint="eastAsia" w:hAnsi="宋体"/>
                <w:color w:val="auto"/>
                <w:sz w:val="18"/>
                <w:szCs w:val="18"/>
              </w:rPr>
              <w:t>12</w:t>
            </w:r>
          </w:p>
        </w:tc>
        <w:tc>
          <w:tcPr>
            <w:tcW w:w="903" w:type="dxa"/>
            <w:vAlign w:val="center"/>
          </w:tcPr>
          <w:p>
            <w:pPr>
              <w:pStyle w:val="48"/>
              <w:spacing w:line="320" w:lineRule="exact"/>
              <w:jc w:val="center"/>
              <w:rPr>
                <w:rFonts w:hAnsi="宋体"/>
                <w:color w:val="auto"/>
                <w:sz w:val="18"/>
                <w:szCs w:val="18"/>
              </w:rPr>
            </w:pPr>
            <w:r>
              <w:rPr>
                <w:rFonts w:hint="eastAsia" w:hAnsi="宋体"/>
                <w:color w:val="auto"/>
                <w:sz w:val="18"/>
                <w:szCs w:val="18"/>
              </w:rPr>
              <w:t>13.6</w:t>
            </w:r>
          </w:p>
        </w:tc>
        <w:tc>
          <w:tcPr>
            <w:tcW w:w="8148" w:type="dxa"/>
            <w:vAlign w:val="center"/>
          </w:tcPr>
          <w:p>
            <w:pPr>
              <w:pStyle w:val="48"/>
              <w:spacing w:line="320" w:lineRule="exact"/>
              <w:rPr>
                <w:rFonts w:hAnsi="宋体" w:cs="宋体"/>
                <w:color w:val="auto"/>
                <w:sz w:val="18"/>
                <w:szCs w:val="18"/>
              </w:rPr>
            </w:pPr>
            <w:r>
              <w:rPr>
                <w:rFonts w:hint="eastAsia" w:hAnsi="宋体" w:cs="宋体"/>
                <w:color w:val="auto"/>
                <w:sz w:val="18"/>
                <w:szCs w:val="18"/>
              </w:rPr>
              <w:t>评标方法：综合评分法（详细见第六章）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6" w:type="dxa"/>
            <w:vAlign w:val="center"/>
          </w:tcPr>
          <w:p>
            <w:pPr>
              <w:pStyle w:val="48"/>
              <w:spacing w:line="320" w:lineRule="exact"/>
              <w:jc w:val="center"/>
              <w:rPr>
                <w:rFonts w:hAnsi="宋体"/>
                <w:color w:val="auto"/>
                <w:sz w:val="18"/>
                <w:szCs w:val="18"/>
              </w:rPr>
            </w:pPr>
            <w:r>
              <w:rPr>
                <w:rFonts w:hint="eastAsia" w:hAnsi="宋体"/>
                <w:color w:val="auto"/>
                <w:sz w:val="18"/>
                <w:szCs w:val="18"/>
              </w:rPr>
              <w:t>13</w:t>
            </w:r>
          </w:p>
        </w:tc>
        <w:tc>
          <w:tcPr>
            <w:tcW w:w="903" w:type="dxa"/>
            <w:vAlign w:val="center"/>
          </w:tcPr>
          <w:p>
            <w:pPr>
              <w:pStyle w:val="48"/>
              <w:spacing w:line="320" w:lineRule="exact"/>
              <w:jc w:val="center"/>
              <w:rPr>
                <w:rFonts w:hAnsi="宋体"/>
                <w:color w:val="auto"/>
                <w:sz w:val="18"/>
                <w:szCs w:val="18"/>
              </w:rPr>
            </w:pPr>
            <w:r>
              <w:rPr>
                <w:rFonts w:hint="eastAsia" w:hAnsi="宋体"/>
                <w:color w:val="auto"/>
                <w:sz w:val="18"/>
                <w:szCs w:val="18"/>
              </w:rPr>
              <w:t>18.2</w:t>
            </w:r>
          </w:p>
        </w:tc>
        <w:tc>
          <w:tcPr>
            <w:tcW w:w="8148" w:type="dxa"/>
            <w:vAlign w:val="center"/>
          </w:tcPr>
          <w:p>
            <w:pPr>
              <w:spacing w:line="300" w:lineRule="exact"/>
              <w:rPr>
                <w:rFonts w:ascii="宋体" w:hAnsi="宋体" w:cs="宋体"/>
                <w:color w:val="auto"/>
                <w:sz w:val="18"/>
                <w:szCs w:val="18"/>
              </w:rPr>
            </w:pPr>
            <w:r>
              <w:rPr>
                <w:rFonts w:hint="eastAsia" w:ascii="宋体" w:hAnsi="宋体"/>
                <w:color w:val="auto"/>
                <w:sz w:val="18"/>
                <w:szCs w:val="18"/>
              </w:rPr>
              <w:t>签订采购合同时间：成交通知书发出之日起25个自然日内与成交供应商签订政府采购合同。采购人要自采购合同签订之日起2个工作日内，将政府采购合同在广西壮族自治区政府采购网上公告（涉密除外）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6" w:type="dxa"/>
            <w:vAlign w:val="center"/>
          </w:tcPr>
          <w:p>
            <w:pPr>
              <w:pStyle w:val="48"/>
              <w:spacing w:line="320" w:lineRule="exact"/>
              <w:jc w:val="center"/>
              <w:rPr>
                <w:rFonts w:hAnsi="宋体"/>
                <w:color w:val="auto"/>
                <w:sz w:val="18"/>
                <w:szCs w:val="18"/>
              </w:rPr>
            </w:pPr>
            <w:r>
              <w:rPr>
                <w:rFonts w:hint="eastAsia" w:hAnsi="宋体"/>
                <w:color w:val="auto"/>
                <w:sz w:val="18"/>
                <w:szCs w:val="18"/>
              </w:rPr>
              <w:t>14</w:t>
            </w:r>
          </w:p>
        </w:tc>
        <w:tc>
          <w:tcPr>
            <w:tcW w:w="903" w:type="dxa"/>
            <w:vAlign w:val="center"/>
          </w:tcPr>
          <w:p>
            <w:pPr>
              <w:pStyle w:val="48"/>
              <w:spacing w:line="320" w:lineRule="exact"/>
              <w:jc w:val="center"/>
              <w:rPr>
                <w:rFonts w:hAnsi="宋体"/>
                <w:color w:val="auto"/>
                <w:sz w:val="18"/>
                <w:szCs w:val="18"/>
              </w:rPr>
            </w:pPr>
            <w:r>
              <w:rPr>
                <w:rFonts w:hint="eastAsia" w:hAnsi="宋体"/>
                <w:color w:val="auto"/>
                <w:sz w:val="18"/>
                <w:szCs w:val="18"/>
              </w:rPr>
              <w:t>18.3</w:t>
            </w:r>
          </w:p>
        </w:tc>
        <w:tc>
          <w:tcPr>
            <w:tcW w:w="8148" w:type="dxa"/>
            <w:vAlign w:val="center"/>
          </w:tcPr>
          <w:p>
            <w:pPr>
              <w:spacing w:line="300" w:lineRule="exact"/>
              <w:rPr>
                <w:rFonts w:ascii="宋体" w:hAnsi="宋体" w:cs="宋体"/>
                <w:color w:val="auto"/>
                <w:sz w:val="18"/>
                <w:szCs w:val="18"/>
              </w:rPr>
            </w:pPr>
            <w:r>
              <w:rPr>
                <w:rFonts w:hint="eastAsia" w:ascii="宋体" w:hAnsi="宋体"/>
                <w:color w:val="auto"/>
                <w:sz w:val="18"/>
                <w:szCs w:val="18"/>
              </w:rPr>
              <w:t>采购合同备案存档：政府采购合同双方自签订之日起1个工作日内将合同原件两份交采购代理机构。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6" w:type="dxa"/>
            <w:vAlign w:val="center"/>
          </w:tcPr>
          <w:p>
            <w:pPr>
              <w:spacing w:line="320" w:lineRule="exact"/>
              <w:jc w:val="center"/>
              <w:rPr>
                <w:rFonts w:hAnsi="宋体"/>
                <w:color w:val="auto"/>
                <w:sz w:val="18"/>
                <w:szCs w:val="18"/>
              </w:rPr>
            </w:pPr>
            <w:r>
              <w:rPr>
                <w:rFonts w:hint="eastAsia" w:ascii="宋体" w:hAnsi="宋体"/>
                <w:color w:val="auto"/>
                <w:sz w:val="18"/>
                <w:szCs w:val="18"/>
              </w:rPr>
              <w:t>15</w:t>
            </w:r>
          </w:p>
        </w:tc>
        <w:tc>
          <w:tcPr>
            <w:tcW w:w="903" w:type="dxa"/>
            <w:vAlign w:val="center"/>
          </w:tcPr>
          <w:p>
            <w:pPr>
              <w:spacing w:line="320" w:lineRule="exact"/>
              <w:jc w:val="center"/>
              <w:rPr>
                <w:rFonts w:hAnsi="宋体"/>
                <w:color w:val="auto"/>
                <w:sz w:val="18"/>
                <w:szCs w:val="18"/>
              </w:rPr>
            </w:pPr>
            <w:r>
              <w:rPr>
                <w:rFonts w:hint="eastAsia" w:ascii="宋体" w:hAnsi="宋体"/>
                <w:color w:val="auto"/>
                <w:sz w:val="18"/>
                <w:szCs w:val="18"/>
              </w:rPr>
              <w:t>18.4</w:t>
            </w:r>
          </w:p>
        </w:tc>
        <w:tc>
          <w:tcPr>
            <w:tcW w:w="8148" w:type="dxa"/>
            <w:vAlign w:val="center"/>
          </w:tcPr>
          <w:p>
            <w:pPr>
              <w:pStyle w:val="48"/>
              <w:spacing w:line="320" w:lineRule="exact"/>
              <w:rPr>
                <w:rFonts w:hAnsi="宋体" w:cs="宋体"/>
                <w:color w:val="auto"/>
                <w:sz w:val="18"/>
                <w:szCs w:val="18"/>
              </w:rPr>
            </w:pPr>
            <w:r>
              <w:rPr>
                <w:rFonts w:hint="eastAsia" w:hAnsi="宋体" w:cs="宋体"/>
                <w:color w:val="auto"/>
                <w:sz w:val="18"/>
                <w:szCs w:val="18"/>
              </w:rPr>
              <w:t>本项目代理服务费按国家发展改革委《关于进一步放开建设项目专业服务价格的通知》发改价格〔</w:t>
            </w:r>
            <w:r>
              <w:rPr>
                <w:rFonts w:hAnsi="宋体" w:cs="宋体"/>
                <w:color w:val="auto"/>
                <w:sz w:val="18"/>
                <w:szCs w:val="18"/>
              </w:rPr>
              <w:t>2015</w:t>
            </w:r>
            <w:r>
              <w:rPr>
                <w:rFonts w:hint="eastAsia" w:hAnsi="宋体" w:cs="宋体"/>
                <w:color w:val="auto"/>
                <w:sz w:val="18"/>
                <w:szCs w:val="18"/>
              </w:rPr>
              <w:t>〕</w:t>
            </w:r>
            <w:r>
              <w:rPr>
                <w:rFonts w:hAnsi="宋体" w:cs="宋体"/>
                <w:color w:val="auto"/>
                <w:sz w:val="18"/>
                <w:szCs w:val="18"/>
              </w:rPr>
              <w:t>299</w:t>
            </w:r>
            <w:r>
              <w:rPr>
                <w:rFonts w:hint="eastAsia" w:hAnsi="宋体" w:cs="宋体"/>
                <w:color w:val="auto"/>
                <w:sz w:val="18"/>
                <w:szCs w:val="18"/>
              </w:rPr>
              <w:t>号</w:t>
            </w:r>
            <w:r>
              <w:rPr>
                <w:rFonts w:hAnsi="宋体" w:cs="宋体"/>
                <w:color w:val="auto"/>
                <w:sz w:val="18"/>
                <w:szCs w:val="18"/>
              </w:rPr>
              <w:t>规定收取</w:t>
            </w:r>
            <w:r>
              <w:rPr>
                <w:rFonts w:hint="eastAsia" w:hAnsi="宋体" w:cs="宋体"/>
                <w:color w:val="auto"/>
                <w:sz w:val="18"/>
                <w:szCs w:val="18"/>
              </w:rPr>
              <w:t>，按成交价的1.5%收取，领取成交通知书前，成交人应当以转账的方式向招标代理机构一次性付清招标代理服务费。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26" w:type="dxa"/>
            <w:vAlign w:val="center"/>
          </w:tcPr>
          <w:p>
            <w:pPr>
              <w:spacing w:line="320" w:lineRule="exact"/>
              <w:jc w:val="center"/>
              <w:rPr>
                <w:rFonts w:ascii="宋体" w:hAnsi="宋体"/>
                <w:color w:val="auto"/>
                <w:sz w:val="18"/>
                <w:szCs w:val="18"/>
              </w:rPr>
            </w:pPr>
            <w:r>
              <w:rPr>
                <w:rFonts w:hint="eastAsia" w:ascii="宋体" w:hAnsi="宋体"/>
                <w:color w:val="auto"/>
                <w:sz w:val="18"/>
                <w:szCs w:val="18"/>
              </w:rPr>
              <w:t>16</w:t>
            </w:r>
          </w:p>
        </w:tc>
        <w:tc>
          <w:tcPr>
            <w:tcW w:w="903" w:type="dxa"/>
            <w:vAlign w:val="center"/>
          </w:tcPr>
          <w:p>
            <w:pPr>
              <w:spacing w:line="320" w:lineRule="exact"/>
              <w:jc w:val="center"/>
              <w:rPr>
                <w:rFonts w:ascii="宋体" w:hAnsi="宋体"/>
                <w:color w:val="auto"/>
                <w:sz w:val="18"/>
                <w:szCs w:val="18"/>
              </w:rPr>
            </w:pPr>
            <w:r>
              <w:rPr>
                <w:rFonts w:hint="eastAsia" w:ascii="宋体" w:hAnsi="宋体"/>
                <w:color w:val="auto"/>
                <w:sz w:val="18"/>
                <w:szCs w:val="18"/>
              </w:rPr>
              <w:t>18.5</w:t>
            </w:r>
          </w:p>
        </w:tc>
        <w:tc>
          <w:tcPr>
            <w:tcW w:w="8148" w:type="dxa"/>
            <w:vAlign w:val="center"/>
          </w:tcPr>
          <w:p>
            <w:pPr>
              <w:pStyle w:val="22"/>
              <w:spacing w:line="320" w:lineRule="exact"/>
              <w:rPr>
                <w:rFonts w:hAnsi="宋体" w:cs="宋体"/>
                <w:color w:val="auto"/>
                <w:sz w:val="18"/>
                <w:szCs w:val="18"/>
              </w:rPr>
            </w:pPr>
            <w:r>
              <w:rPr>
                <w:rFonts w:hint="eastAsia" w:hAnsi="宋体"/>
                <w:b/>
                <w:color w:val="auto"/>
                <w:sz w:val="18"/>
                <w:szCs w:val="18"/>
              </w:rPr>
              <w:t>解释权：</w:t>
            </w:r>
            <w:r>
              <w:rPr>
                <w:rFonts w:hint="eastAsia" w:hAnsi="宋体"/>
                <w:color w:val="auto"/>
                <w:sz w:val="18"/>
                <w:szCs w:val="18"/>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bl>
    <w:p>
      <w:pPr>
        <w:pStyle w:val="3"/>
        <w:rPr>
          <w:color w:val="auto"/>
        </w:rPr>
      </w:pPr>
      <w:bookmarkStart w:id="21" w:name="_Toc22830"/>
    </w:p>
    <w:p>
      <w:pPr>
        <w:pStyle w:val="3"/>
        <w:rPr>
          <w:color w:val="auto"/>
        </w:rPr>
      </w:pPr>
    </w:p>
    <w:p>
      <w:pPr>
        <w:rPr>
          <w:color w:val="auto"/>
        </w:rPr>
      </w:pPr>
    </w:p>
    <w:p>
      <w:pPr>
        <w:pStyle w:val="44"/>
        <w:rPr>
          <w:color w:val="auto"/>
        </w:rPr>
      </w:pPr>
    </w:p>
    <w:p>
      <w:pPr>
        <w:pStyle w:val="44"/>
        <w:rPr>
          <w:color w:val="auto"/>
        </w:rPr>
      </w:pPr>
    </w:p>
    <w:p>
      <w:pPr>
        <w:pStyle w:val="3"/>
        <w:rPr>
          <w:color w:val="auto"/>
        </w:rPr>
      </w:pPr>
    </w:p>
    <w:p>
      <w:pPr>
        <w:pStyle w:val="3"/>
        <w:rPr>
          <w:color w:val="auto"/>
        </w:rPr>
      </w:pPr>
      <w:r>
        <w:rPr>
          <w:rFonts w:hint="eastAsia"/>
          <w:color w:val="auto"/>
        </w:rPr>
        <w:t>一、总　则</w:t>
      </w:r>
      <w:bookmarkEnd w:id="21"/>
    </w:p>
    <w:p>
      <w:pPr>
        <w:pStyle w:val="4"/>
        <w:rPr>
          <w:color w:val="auto"/>
        </w:rPr>
      </w:pPr>
      <w:r>
        <w:rPr>
          <w:rFonts w:hint="eastAsia"/>
          <w:color w:val="auto"/>
        </w:rPr>
        <w:t>1. 适用范围</w:t>
      </w:r>
    </w:p>
    <w:p>
      <w:pPr>
        <w:pStyle w:val="22"/>
        <w:spacing w:line="400" w:lineRule="exact"/>
        <w:ind w:firstLine="352" w:firstLineChars="196"/>
        <w:rPr>
          <w:rFonts w:hAnsi="宋体"/>
          <w:color w:val="auto"/>
          <w:sz w:val="18"/>
          <w:szCs w:val="18"/>
        </w:rPr>
      </w:pPr>
      <w:r>
        <w:rPr>
          <w:rFonts w:hint="eastAsia" w:hAnsi="宋体"/>
          <w:color w:val="auto"/>
          <w:sz w:val="18"/>
          <w:szCs w:val="18"/>
        </w:rPr>
        <w:t xml:space="preserve">1.1项目名称： </w:t>
      </w:r>
      <w:r>
        <w:rPr>
          <w:rFonts w:hint="eastAsia" w:hAnsi="宋体"/>
          <w:color w:val="auto"/>
          <w:sz w:val="18"/>
          <w:szCs w:val="18"/>
          <w:u w:val="single"/>
        </w:rPr>
        <w:t xml:space="preserve"> 灵山县人民法院乡镇法庭LED大屏及视频监控系统采购项目        </w:t>
      </w:r>
      <w:r>
        <w:rPr>
          <w:rFonts w:hAnsi="宋体"/>
          <w:color w:val="auto"/>
          <w:sz w:val="18"/>
          <w:szCs w:val="18"/>
          <w:u w:val="single"/>
        </w:rPr>
        <w:t xml:space="preserve">  </w:t>
      </w:r>
    </w:p>
    <w:p>
      <w:pPr>
        <w:pStyle w:val="22"/>
        <w:spacing w:line="400" w:lineRule="exact"/>
        <w:ind w:firstLine="712" w:firstLineChars="396"/>
        <w:rPr>
          <w:rFonts w:hAnsi="宋体"/>
          <w:color w:val="auto"/>
          <w:sz w:val="18"/>
          <w:szCs w:val="18"/>
        </w:rPr>
      </w:pPr>
      <w:r>
        <w:rPr>
          <w:rFonts w:hint="eastAsia" w:hAnsi="宋体"/>
          <w:color w:val="auto"/>
          <w:sz w:val="18"/>
          <w:szCs w:val="18"/>
        </w:rPr>
        <w:t>项目编号：</w:t>
      </w:r>
      <w:r>
        <w:rPr>
          <w:rFonts w:hint="eastAsia" w:hAnsi="宋体" w:cs="宋体"/>
          <w:b/>
          <w:bCs/>
          <w:color w:val="auto"/>
          <w:sz w:val="18"/>
          <w:szCs w:val="18"/>
          <w:u w:val="single"/>
        </w:rPr>
        <w:t xml:space="preserve"> </w:t>
      </w:r>
      <w:r>
        <w:rPr>
          <w:rFonts w:hint="eastAsia" w:hAnsi="宋体"/>
          <w:color w:val="auto"/>
          <w:sz w:val="18"/>
          <w:szCs w:val="18"/>
          <w:u w:val="single"/>
        </w:rPr>
        <w:t xml:space="preserve"> QZZC2020-C1-50012-GXCH   </w:t>
      </w:r>
    </w:p>
    <w:p>
      <w:pPr>
        <w:spacing w:line="400" w:lineRule="exact"/>
        <w:ind w:firstLine="720" w:firstLineChars="400"/>
        <w:rPr>
          <w:rFonts w:ascii="宋体" w:hAnsi="宋体"/>
          <w:color w:val="auto"/>
          <w:sz w:val="18"/>
          <w:szCs w:val="18"/>
        </w:rPr>
      </w:pPr>
      <w:r>
        <w:rPr>
          <w:rFonts w:hint="eastAsia" w:ascii="宋体" w:hAnsi="宋体"/>
          <w:color w:val="auto"/>
          <w:sz w:val="18"/>
          <w:szCs w:val="18"/>
        </w:rPr>
        <w:t>本文件仅适用于本文件中所叙述的货物类政府采购项目。</w:t>
      </w:r>
    </w:p>
    <w:p>
      <w:pPr>
        <w:pStyle w:val="4"/>
        <w:rPr>
          <w:color w:val="auto"/>
          <w:sz w:val="18"/>
          <w:szCs w:val="18"/>
        </w:rPr>
      </w:pPr>
      <w:r>
        <w:rPr>
          <w:rFonts w:hint="eastAsia"/>
          <w:color w:val="auto"/>
          <w:sz w:val="18"/>
          <w:szCs w:val="18"/>
        </w:rPr>
        <w:t>2. 定义</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2.1“采购人”是指：</w:t>
      </w:r>
      <w:r>
        <w:rPr>
          <w:rFonts w:hint="eastAsia" w:ascii="宋体" w:hAnsi="宋体"/>
          <w:bCs/>
          <w:color w:val="auto"/>
          <w:sz w:val="18"/>
          <w:szCs w:val="18"/>
        </w:rPr>
        <w:t xml:space="preserve">灵山县人民法院   </w:t>
      </w:r>
      <w:r>
        <w:rPr>
          <w:rFonts w:hint="eastAsia" w:ascii="宋体" w:hAnsi="宋体"/>
          <w:color w:val="auto"/>
          <w:sz w:val="18"/>
          <w:szCs w:val="18"/>
        </w:rPr>
        <w:t xml:space="preserve">。             </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2.2“采购代理机构”是指：</w:t>
      </w:r>
      <w:r>
        <w:rPr>
          <w:rFonts w:ascii="宋体" w:hAnsi="宋体"/>
          <w:color w:val="auto"/>
          <w:sz w:val="18"/>
          <w:szCs w:val="18"/>
        </w:rPr>
        <w:t xml:space="preserve">广西诚华工程造价咨询有限公司  </w:t>
      </w:r>
      <w:r>
        <w:rPr>
          <w:rFonts w:hint="eastAsia" w:ascii="宋体" w:hAnsi="宋体"/>
          <w:color w:val="auto"/>
          <w:sz w:val="18"/>
          <w:szCs w:val="18"/>
        </w:rPr>
        <w:t>。</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2.3“供应商”是指响应本文件要求，参加磋商的法人或者其他组织和自然人。如果该供应商在本次磋商中成交,即成为“成交供应商”。</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2.4“货物”是指各种形态和种类的物品，包括原材料、燃料、设备、产品等。</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2.5“货物”是指按竞争性磋商文件的规定，须向采购人提供</w:t>
      </w:r>
      <w:r>
        <w:rPr>
          <w:rFonts w:ascii="宋体" w:hAnsi="宋体"/>
          <w:color w:val="auto"/>
          <w:sz w:val="18"/>
          <w:szCs w:val="18"/>
        </w:rPr>
        <w:t>灵山县疾病预防控制中心污水处理设备采购</w:t>
      </w:r>
      <w:r>
        <w:rPr>
          <w:rFonts w:hint="eastAsia" w:ascii="宋体" w:hAnsi="宋体"/>
          <w:color w:val="auto"/>
          <w:sz w:val="18"/>
          <w:szCs w:val="18"/>
        </w:rPr>
        <w:t>及竞争性磋商文件规定的有关货物。</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2.6 本“竞争性磋商文件”（以下简称“磋商文件”）是</w:t>
      </w:r>
      <w:r>
        <w:rPr>
          <w:rFonts w:ascii="宋体" w:hAnsi="宋体"/>
          <w:color w:val="auto"/>
          <w:sz w:val="18"/>
          <w:szCs w:val="18"/>
        </w:rPr>
        <w:t>根据采购项目的特点和采购人的实际需求制定，并经采购人书面同意。以满足采购人实际需求为原则，</w:t>
      </w:r>
      <w:r>
        <w:rPr>
          <w:rFonts w:hint="eastAsia" w:ascii="宋体" w:hAnsi="宋体"/>
          <w:color w:val="auto"/>
          <w:sz w:val="18"/>
          <w:szCs w:val="18"/>
        </w:rPr>
        <w:t>适用于本磋商项目的磋商、评审、合同履约、验收、付款等行为（法律、法规另有规定的，从其规定）。</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2.7“竞争性磋商响应文件”是指：供应商根据本文件要求，编制包含报价、技术和服务等所有内容的文件。</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2.8“供应商公章”是指：本竞争性磋商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spacing w:line="400" w:lineRule="exact"/>
        <w:ind w:firstLine="361" w:firstLineChars="200"/>
        <w:rPr>
          <w:rFonts w:ascii="宋体" w:hAnsi="宋体"/>
          <w:b/>
          <w:color w:val="auto"/>
          <w:sz w:val="18"/>
          <w:szCs w:val="18"/>
        </w:rPr>
      </w:pPr>
      <w:r>
        <w:rPr>
          <w:rFonts w:hint="eastAsia" w:ascii="宋体" w:hAnsi="宋体"/>
          <w:b/>
          <w:color w:val="auto"/>
          <w:sz w:val="18"/>
          <w:szCs w:val="18"/>
        </w:rPr>
        <w:t>2.9本项目竞争性磋商文件</w:t>
      </w:r>
      <w:r>
        <w:rPr>
          <w:rFonts w:hint="eastAsia" w:ascii="宋体" w:hAnsi="宋体"/>
          <w:color w:val="auto"/>
          <w:sz w:val="18"/>
          <w:szCs w:val="18"/>
        </w:rPr>
        <w:t>《</w:t>
      </w:r>
      <w:r>
        <w:rPr>
          <w:rFonts w:hint="eastAsia" w:ascii="宋体" w:hAnsi="宋体"/>
          <w:b/>
          <w:color w:val="auto"/>
          <w:sz w:val="18"/>
          <w:szCs w:val="18"/>
        </w:rPr>
        <w:t>货物采购需求表》条款要求均为实质性要求。</w:t>
      </w:r>
    </w:p>
    <w:p>
      <w:pPr>
        <w:spacing w:line="400" w:lineRule="exact"/>
        <w:rPr>
          <w:rFonts w:ascii="宋体" w:hAnsi="宋体"/>
          <w:b/>
          <w:color w:val="auto"/>
          <w:sz w:val="18"/>
          <w:szCs w:val="18"/>
        </w:rPr>
      </w:pPr>
      <w:r>
        <w:rPr>
          <w:rFonts w:hint="eastAsia" w:ascii="宋体" w:hAnsi="宋体"/>
          <w:b/>
          <w:color w:val="auto"/>
          <w:sz w:val="18"/>
          <w:szCs w:val="18"/>
        </w:rPr>
        <w:t>3. 供应商的资格要求</w:t>
      </w:r>
    </w:p>
    <w:p>
      <w:pPr>
        <w:pStyle w:val="4"/>
        <w:ind w:firstLine="723" w:firstLineChars="400"/>
        <w:rPr>
          <w:rFonts w:ascii="宋体" w:hAnsi="宋体" w:eastAsia="宋体"/>
          <w:bCs w:val="0"/>
          <w:color w:val="auto"/>
          <w:sz w:val="18"/>
          <w:szCs w:val="18"/>
        </w:rPr>
      </w:pPr>
      <w:r>
        <w:rPr>
          <w:rFonts w:hint="eastAsia" w:ascii="宋体" w:hAnsi="宋体" w:eastAsia="宋体"/>
          <w:bCs w:val="0"/>
          <w:color w:val="auto"/>
          <w:sz w:val="18"/>
          <w:szCs w:val="18"/>
        </w:rPr>
        <w:t>详见须知前附表</w:t>
      </w:r>
    </w:p>
    <w:p>
      <w:pPr>
        <w:ind w:firstLine="360" w:firstLineChars="200"/>
        <w:rPr>
          <w:rFonts w:ascii="宋体" w:hAnsi="宋体"/>
          <w:bCs/>
          <w:color w:val="auto"/>
          <w:sz w:val="18"/>
          <w:szCs w:val="18"/>
        </w:rPr>
      </w:pPr>
      <w:r>
        <w:rPr>
          <w:rFonts w:hint="eastAsia" w:ascii="宋体" w:hAnsi="宋体"/>
          <w:bCs/>
          <w:color w:val="auto"/>
          <w:sz w:val="18"/>
          <w:szCs w:val="18"/>
        </w:rPr>
        <w:t>4.4.  询问、质疑和投诉、 磋商费用、竞争性磋商公告、竞争性磋商文件的澄清和修改</w:t>
      </w:r>
    </w:p>
    <w:p>
      <w:pPr>
        <w:ind w:firstLine="360" w:firstLineChars="200"/>
        <w:rPr>
          <w:rFonts w:ascii="宋体" w:hAnsi="宋体"/>
          <w:bCs/>
          <w:color w:val="auto"/>
          <w:sz w:val="18"/>
          <w:szCs w:val="18"/>
        </w:rPr>
      </w:pPr>
      <w:r>
        <w:rPr>
          <w:rFonts w:hint="eastAsia" w:ascii="宋体" w:hAnsi="宋体"/>
          <w:bCs/>
          <w:color w:val="auto"/>
          <w:sz w:val="18"/>
          <w:szCs w:val="18"/>
        </w:rPr>
        <w:t>4.1询问、质疑和投诉</w:t>
      </w:r>
    </w:p>
    <w:p>
      <w:pPr>
        <w:ind w:firstLine="360" w:firstLineChars="200"/>
        <w:rPr>
          <w:rFonts w:ascii="宋体" w:hAnsi="宋体"/>
          <w:bCs/>
          <w:color w:val="auto"/>
          <w:sz w:val="18"/>
          <w:szCs w:val="18"/>
        </w:rPr>
      </w:pPr>
      <w:r>
        <w:rPr>
          <w:rFonts w:hint="eastAsia" w:ascii="宋体" w:hAnsi="宋体"/>
          <w:bCs/>
          <w:color w:val="auto"/>
          <w:sz w:val="18"/>
          <w:szCs w:val="18"/>
        </w:rPr>
        <w:t>4.1.1供应商对政府采购活动事项有疑问的，可以向采购人、采购代理机构提出询问。</w:t>
      </w:r>
    </w:p>
    <w:p>
      <w:pPr>
        <w:ind w:firstLine="360" w:firstLineChars="200"/>
        <w:rPr>
          <w:rFonts w:ascii="宋体" w:hAnsi="宋体"/>
          <w:bCs/>
          <w:color w:val="auto"/>
          <w:sz w:val="18"/>
          <w:szCs w:val="18"/>
        </w:rPr>
      </w:pPr>
      <w:r>
        <w:rPr>
          <w:rFonts w:hint="eastAsia" w:ascii="宋体" w:hAnsi="宋体"/>
          <w:bCs/>
          <w:color w:val="auto"/>
          <w:sz w:val="18"/>
          <w:szCs w:val="18"/>
        </w:rPr>
        <w:t>4.1.2供应商认为竞争性磋商文件、采购过程或成交结果使自己的合法权益受到损害的，应当在知道或者应知其权益受到损害之日起七个工作日内，以书面形式向采购人、采购代理机构提出质疑。具体计算时间如下：</w:t>
      </w:r>
    </w:p>
    <w:p>
      <w:pPr>
        <w:ind w:firstLine="360" w:firstLineChars="200"/>
        <w:rPr>
          <w:rFonts w:ascii="宋体" w:hAnsi="宋体"/>
          <w:bCs/>
          <w:color w:val="auto"/>
          <w:sz w:val="18"/>
          <w:szCs w:val="18"/>
        </w:rPr>
      </w:pPr>
      <w:r>
        <w:rPr>
          <w:rFonts w:hint="eastAsia" w:ascii="宋体" w:hAnsi="宋体"/>
          <w:bCs/>
          <w:color w:val="auto"/>
          <w:sz w:val="18"/>
          <w:szCs w:val="18"/>
        </w:rPr>
        <w:t>（1）对可以质疑的竞争性磋商文件提出质疑的，为收到采购文件之日；</w:t>
      </w:r>
    </w:p>
    <w:p>
      <w:pPr>
        <w:ind w:firstLine="360" w:firstLineChars="200"/>
        <w:rPr>
          <w:rFonts w:ascii="宋体" w:hAnsi="宋体"/>
          <w:bCs/>
          <w:color w:val="auto"/>
          <w:sz w:val="18"/>
          <w:szCs w:val="18"/>
        </w:rPr>
      </w:pPr>
      <w:r>
        <w:rPr>
          <w:rFonts w:hint="eastAsia" w:ascii="宋体" w:hAnsi="宋体"/>
          <w:bCs/>
          <w:color w:val="auto"/>
          <w:sz w:val="18"/>
          <w:szCs w:val="18"/>
        </w:rPr>
        <w:t>（2）对竞争性磋商过程提出质疑的，为各采购程序环节结束之日；</w:t>
      </w:r>
    </w:p>
    <w:p>
      <w:pPr>
        <w:ind w:firstLine="360" w:firstLineChars="200"/>
        <w:rPr>
          <w:rFonts w:ascii="宋体" w:hAnsi="宋体"/>
          <w:bCs/>
          <w:color w:val="auto"/>
          <w:sz w:val="18"/>
          <w:szCs w:val="18"/>
        </w:rPr>
      </w:pPr>
      <w:r>
        <w:rPr>
          <w:rFonts w:hint="eastAsia" w:ascii="宋体" w:hAnsi="宋体"/>
          <w:bCs/>
          <w:color w:val="auto"/>
          <w:sz w:val="18"/>
          <w:szCs w:val="18"/>
        </w:rPr>
        <w:t>（3）对中标结果提出质疑的，为成交结果公告期限届满之日。供应商应在法定质疑期限内一次性提出针对同一采购程序环节的质疑，同一采购程序环节分多次进行质疑的均不予受理。供应商对招标采购单位的质疑答复不满意或者招标采购单位未在规定时间内作出答复的，可以在答复期满后十五个工作日内向灵山县财政局政投诉。</w:t>
      </w:r>
    </w:p>
    <w:p>
      <w:pPr>
        <w:spacing w:line="360" w:lineRule="exact"/>
        <w:ind w:firstLine="352" w:firstLineChars="196"/>
        <w:rPr>
          <w:rFonts w:ascii="宋体" w:hAnsi="宋体" w:cs="Courier New"/>
          <w:color w:val="auto"/>
          <w:sz w:val="18"/>
          <w:szCs w:val="18"/>
          <w:lang w:val="zh-TW" w:eastAsia="zh-TW"/>
        </w:rPr>
      </w:pPr>
      <w:r>
        <w:rPr>
          <w:rFonts w:hint="eastAsia" w:ascii="宋体" w:hAnsi="宋体"/>
          <w:bCs/>
          <w:color w:val="auto"/>
          <w:sz w:val="18"/>
          <w:szCs w:val="18"/>
        </w:rPr>
        <w:t>（4）</w:t>
      </w:r>
      <w:r>
        <w:rPr>
          <w:rFonts w:hint="eastAsia" w:ascii="宋体" w:hAnsi="宋体" w:cs="Courier New"/>
          <w:color w:val="auto"/>
          <w:sz w:val="18"/>
          <w:szCs w:val="18"/>
          <w:lang w:val="zh-TW" w:eastAsia="zh-TW"/>
        </w:rPr>
        <w:t>1.潜在供应商已依法获取其可质疑的采购文件的，可以对该文件提出质疑。对采购文件提出质疑的，应当在获取采购文件或者采购文件公告期限届满之日起7个工作日内提出；供应商认为招标过程使自己的合法权益受到损害的，应当在各采购程序环节结束之日起7个工作日内，以书面形式向采购单位、采购代理机构提出质疑；供应商认为中标结果使自己的合法权益受到损害的，应当在中标结果公告期限（中标结果公告期限为1个工作日）届满之日起7个工作日内，以书面形式向采购单位、采购代理机构提出质疑。供应商应一次性提出针对同一采购程序环节的质疑。供应商对招标采购单位的质疑答复不满意或者招标采购单位未在规定时间内作出答复的，可以在答复期满后 15 个工作日内向同级政府采购监督管理部门投诉。</w:t>
      </w:r>
    </w:p>
    <w:p>
      <w:pPr>
        <w:spacing w:line="360" w:lineRule="exact"/>
        <w:ind w:firstLine="352" w:firstLineChars="196"/>
        <w:rPr>
          <w:rFonts w:ascii="宋体" w:hAnsi="宋体" w:cs="Courier New"/>
          <w:color w:val="auto"/>
          <w:sz w:val="18"/>
          <w:szCs w:val="18"/>
          <w:lang w:val="zh-TW" w:eastAsia="zh-TW"/>
        </w:rPr>
      </w:pPr>
      <w:r>
        <w:rPr>
          <w:rFonts w:hint="eastAsia" w:ascii="宋体" w:hAnsi="宋体" w:cs="Courier New"/>
          <w:color w:val="auto"/>
          <w:sz w:val="18"/>
          <w:szCs w:val="18"/>
          <w:lang w:val="zh-TW" w:eastAsia="zh-TW"/>
        </w:rPr>
        <w:t>2.竞标供应商提出质疑、投诉，应当遵守中华人民共和国财政部令第94号《政府采购质疑和投诉办法》的相关规定，且采用书面形式。质疑书、投诉书均应明确阐述采购文件、招标过程或中标结果中使自己合法权益受到损害的实质性内容，并提供相关事实、依据和证据及其来源。</w:t>
      </w:r>
    </w:p>
    <w:p>
      <w:pPr>
        <w:spacing w:line="360" w:lineRule="exact"/>
        <w:ind w:firstLine="352" w:firstLineChars="196"/>
        <w:rPr>
          <w:rFonts w:ascii="宋体" w:hAnsi="宋体" w:cs="Courier New"/>
          <w:color w:val="auto"/>
          <w:sz w:val="18"/>
          <w:szCs w:val="18"/>
          <w:lang w:val="zh-TW" w:eastAsia="zh-TW"/>
        </w:rPr>
      </w:pPr>
      <w:r>
        <w:rPr>
          <w:rFonts w:hint="eastAsia" w:ascii="宋体" w:hAnsi="宋体" w:cs="Courier New"/>
          <w:color w:val="auto"/>
          <w:sz w:val="18"/>
          <w:szCs w:val="18"/>
          <w:lang w:val="zh-TW" w:eastAsia="zh-TW"/>
        </w:rPr>
        <w:t>3.递交质疑函的联系事项：</w:t>
      </w:r>
    </w:p>
    <w:p>
      <w:pPr>
        <w:spacing w:line="360" w:lineRule="exact"/>
        <w:ind w:firstLine="352" w:firstLineChars="196"/>
        <w:rPr>
          <w:rFonts w:ascii="宋体" w:hAnsi="宋体" w:cs="Courier New"/>
          <w:color w:val="auto"/>
          <w:sz w:val="18"/>
          <w:szCs w:val="18"/>
          <w:lang w:val="zh-TW"/>
        </w:rPr>
      </w:pPr>
      <w:r>
        <w:rPr>
          <w:rFonts w:hint="eastAsia" w:ascii="宋体" w:hAnsi="宋体" w:cs="Courier New"/>
          <w:color w:val="auto"/>
          <w:sz w:val="18"/>
          <w:szCs w:val="18"/>
          <w:lang w:val="zh-TW" w:eastAsia="zh-TW"/>
        </w:rPr>
        <w:t>接收部门：</w:t>
      </w:r>
      <w:r>
        <w:rPr>
          <w:rFonts w:hint="eastAsia" w:ascii="宋体" w:hAnsi="宋体" w:cs="Courier New"/>
          <w:color w:val="auto"/>
          <w:sz w:val="18"/>
          <w:szCs w:val="18"/>
          <w:lang w:eastAsia="zh-TW"/>
        </w:rPr>
        <w:t xml:space="preserve">广西诚华工程造价咨询有限公司  </w:t>
      </w:r>
      <w:r>
        <w:rPr>
          <w:rFonts w:hint="eastAsia" w:ascii="宋体" w:hAnsi="宋体" w:cs="Courier New"/>
          <w:color w:val="auto"/>
          <w:sz w:val="18"/>
          <w:szCs w:val="18"/>
          <w:lang w:val="zh-TW" w:eastAsia="zh-TW"/>
        </w:rPr>
        <w:t>联系电话：077</w:t>
      </w:r>
      <w:r>
        <w:rPr>
          <w:rFonts w:hint="eastAsia" w:ascii="宋体" w:hAnsi="宋体" w:cs="Courier New"/>
          <w:color w:val="auto"/>
          <w:sz w:val="18"/>
          <w:szCs w:val="18"/>
          <w:lang w:val="zh-TW"/>
        </w:rPr>
        <w:t>7</w:t>
      </w:r>
      <w:r>
        <w:rPr>
          <w:rFonts w:hint="eastAsia" w:ascii="宋体" w:hAnsi="宋体" w:cs="Courier New"/>
          <w:color w:val="auto"/>
          <w:sz w:val="18"/>
          <w:szCs w:val="18"/>
          <w:lang w:val="zh-TW" w:eastAsia="zh-TW"/>
        </w:rPr>
        <w:t>-</w:t>
      </w:r>
      <w:r>
        <w:rPr>
          <w:rFonts w:hint="eastAsia" w:ascii="宋体" w:hAnsi="宋体" w:cs="Courier New"/>
          <w:color w:val="auto"/>
          <w:sz w:val="18"/>
          <w:szCs w:val="18"/>
          <w:lang w:val="zh-TW"/>
        </w:rPr>
        <w:t>6663968</w:t>
      </w:r>
    </w:p>
    <w:p>
      <w:pPr>
        <w:spacing w:line="360" w:lineRule="exact"/>
        <w:ind w:firstLine="352" w:firstLineChars="196"/>
        <w:rPr>
          <w:rFonts w:ascii="宋体" w:hAnsi="宋体" w:cs="Courier New"/>
          <w:color w:val="auto"/>
          <w:sz w:val="18"/>
          <w:szCs w:val="18"/>
          <w:lang w:val="zh-TW"/>
        </w:rPr>
      </w:pPr>
      <w:r>
        <w:rPr>
          <w:rFonts w:hint="eastAsia" w:ascii="宋体" w:hAnsi="宋体" w:cs="Courier New"/>
          <w:color w:val="auto"/>
          <w:sz w:val="18"/>
          <w:szCs w:val="18"/>
          <w:lang w:val="zh-TW" w:eastAsia="zh-TW"/>
        </w:rPr>
        <w:t>传真：077</w:t>
      </w:r>
      <w:r>
        <w:rPr>
          <w:rFonts w:hint="eastAsia" w:ascii="宋体" w:hAnsi="宋体" w:cs="Courier New"/>
          <w:color w:val="auto"/>
          <w:sz w:val="18"/>
          <w:szCs w:val="18"/>
          <w:lang w:val="zh-TW"/>
        </w:rPr>
        <w:t>7</w:t>
      </w:r>
      <w:r>
        <w:rPr>
          <w:rFonts w:hint="eastAsia" w:ascii="宋体" w:hAnsi="宋体" w:cs="Courier New"/>
          <w:color w:val="auto"/>
          <w:sz w:val="18"/>
          <w:szCs w:val="18"/>
          <w:lang w:val="zh-TW" w:eastAsia="zh-TW"/>
        </w:rPr>
        <w:t>-</w:t>
      </w:r>
      <w:r>
        <w:rPr>
          <w:rFonts w:hint="eastAsia" w:ascii="宋体" w:hAnsi="宋体" w:cs="Courier New"/>
          <w:color w:val="auto"/>
          <w:sz w:val="18"/>
          <w:szCs w:val="18"/>
          <w:lang w:val="zh-TW"/>
        </w:rPr>
        <w:t>6663968</w:t>
      </w:r>
    </w:p>
    <w:p>
      <w:pPr>
        <w:spacing w:line="360" w:lineRule="exact"/>
        <w:ind w:firstLine="352" w:firstLineChars="196"/>
        <w:rPr>
          <w:rFonts w:ascii="宋体" w:hAnsi="宋体"/>
          <w:color w:val="auto"/>
          <w:sz w:val="18"/>
          <w:szCs w:val="18"/>
        </w:rPr>
      </w:pPr>
      <w:r>
        <w:rPr>
          <w:rFonts w:hint="eastAsia" w:ascii="宋体" w:hAnsi="宋体" w:cs="Courier New"/>
          <w:color w:val="auto"/>
          <w:sz w:val="18"/>
          <w:szCs w:val="18"/>
          <w:lang w:val="zh-TW" w:eastAsia="zh-TW"/>
        </w:rPr>
        <w:t>地址：</w:t>
      </w:r>
      <w:r>
        <w:rPr>
          <w:rFonts w:hint="eastAsia" w:ascii="宋体" w:hAnsi="宋体" w:cs="宋体"/>
          <w:color w:val="auto"/>
          <w:sz w:val="18"/>
          <w:szCs w:val="18"/>
        </w:rPr>
        <w:t>钦州市灵山县灵城镇江滨三路63号</w:t>
      </w:r>
    </w:p>
    <w:p>
      <w:pPr>
        <w:tabs>
          <w:tab w:val="left" w:pos="2190"/>
        </w:tabs>
        <w:spacing w:line="390" w:lineRule="exact"/>
        <w:ind w:firstLine="360" w:firstLineChars="200"/>
        <w:rPr>
          <w:rFonts w:ascii="宋体" w:hAnsi="宋体"/>
          <w:color w:val="auto"/>
          <w:sz w:val="18"/>
          <w:szCs w:val="18"/>
        </w:rPr>
      </w:pPr>
      <w:r>
        <w:rPr>
          <w:rFonts w:hint="eastAsia" w:ascii="宋体" w:hAnsi="宋体"/>
          <w:color w:val="auto"/>
          <w:sz w:val="18"/>
          <w:szCs w:val="18"/>
        </w:rPr>
        <w:t>4.2磋商费用：供应商应自行承担所有与编写和提交竞争性磋商响应文件有关的费用，不论磋商结果如何，采购人和采购代理机构在任何情况下无义务和责任承担此类费用。</w:t>
      </w:r>
    </w:p>
    <w:p>
      <w:pPr>
        <w:tabs>
          <w:tab w:val="left" w:pos="2190"/>
        </w:tabs>
        <w:spacing w:line="390" w:lineRule="exact"/>
        <w:ind w:firstLine="435"/>
        <w:rPr>
          <w:rFonts w:hAnsi="宋体"/>
          <w:color w:val="auto"/>
          <w:sz w:val="18"/>
          <w:szCs w:val="18"/>
        </w:rPr>
      </w:pPr>
      <w:r>
        <w:rPr>
          <w:rFonts w:hint="eastAsia" w:ascii="宋体" w:hAnsi="宋体"/>
          <w:color w:val="auto"/>
          <w:sz w:val="18"/>
          <w:szCs w:val="18"/>
        </w:rPr>
        <w:t>4.3竞争性磋商公告：于 2020年11月16日在中国政府采购网(www.ccgp.</w:t>
      </w:r>
      <w:r>
        <w:rPr>
          <w:rFonts w:hAnsi="宋体"/>
          <w:color w:val="auto"/>
          <w:sz w:val="18"/>
          <w:szCs w:val="18"/>
        </w:rPr>
        <w:t>gov.cn</w:t>
      </w:r>
      <w:r>
        <w:rPr>
          <w:rFonts w:hint="eastAsia" w:hAnsi="宋体"/>
          <w:color w:val="auto"/>
          <w:sz w:val="18"/>
          <w:szCs w:val="18"/>
        </w:rPr>
        <w:t>)、</w:t>
      </w:r>
      <w:r>
        <w:rPr>
          <w:rFonts w:hint="eastAsia" w:hAnsi="宋体" w:cs="Arial"/>
          <w:color w:val="auto"/>
          <w:sz w:val="18"/>
          <w:szCs w:val="18"/>
        </w:rPr>
        <w:t>广西壮族自治区政府采购网 (http：//www.gxzfcg.gov.cn)、</w:t>
      </w:r>
      <w:r>
        <w:rPr>
          <w:rFonts w:hint="eastAsia" w:hAnsi="宋体" w:cs="宋体"/>
          <w:color w:val="auto"/>
          <w:sz w:val="18"/>
          <w:szCs w:val="18"/>
        </w:rPr>
        <w:t>灵山县人民政府网（www.gxls.gov.cn/）</w:t>
      </w:r>
      <w:r>
        <w:rPr>
          <w:rFonts w:hint="eastAsia" w:hAnsi="宋体" w:cs="Arial"/>
          <w:color w:val="auto"/>
          <w:sz w:val="18"/>
          <w:szCs w:val="18"/>
        </w:rPr>
        <w:t>上发布</w:t>
      </w:r>
      <w:r>
        <w:rPr>
          <w:rFonts w:hint="eastAsia" w:hAnsi="宋体"/>
          <w:color w:val="auto"/>
          <w:sz w:val="18"/>
          <w:szCs w:val="18"/>
        </w:rPr>
        <w:t>。</w:t>
      </w:r>
    </w:p>
    <w:p>
      <w:pPr>
        <w:spacing w:line="400" w:lineRule="exact"/>
        <w:ind w:firstLine="360" w:firstLineChars="200"/>
        <w:rPr>
          <w:rFonts w:ascii="宋体" w:hAnsi="宋体"/>
          <w:color w:val="auto"/>
          <w:sz w:val="18"/>
          <w:szCs w:val="18"/>
        </w:rPr>
      </w:pPr>
      <w:r>
        <w:rPr>
          <w:rFonts w:hint="eastAsia" w:ascii="宋体" w:hAnsi="宋体"/>
          <w:bCs/>
          <w:color w:val="auto"/>
          <w:sz w:val="18"/>
          <w:szCs w:val="18"/>
        </w:rPr>
        <w:t>4.4</w:t>
      </w:r>
      <w:r>
        <w:rPr>
          <w:rFonts w:hint="eastAsia" w:ascii="宋体" w:hAnsi="宋体"/>
          <w:color w:val="auto"/>
          <w:sz w:val="18"/>
          <w:szCs w:val="18"/>
        </w:rPr>
        <w:t>竞争性磋商文件的澄清和修改：</w:t>
      </w:r>
    </w:p>
    <w:p>
      <w:pPr>
        <w:pStyle w:val="22"/>
        <w:spacing w:line="400" w:lineRule="exact"/>
        <w:ind w:firstLine="420"/>
        <w:rPr>
          <w:rFonts w:hAnsi="宋体"/>
          <w:color w:val="auto"/>
          <w:sz w:val="18"/>
          <w:szCs w:val="18"/>
        </w:rPr>
      </w:pPr>
      <w:r>
        <w:rPr>
          <w:rFonts w:hint="eastAsia" w:hAnsi="宋体"/>
          <w:color w:val="auto"/>
          <w:sz w:val="18"/>
          <w:szCs w:val="18"/>
        </w:rPr>
        <w:t>4.4.1</w:t>
      </w:r>
      <w:r>
        <w:rPr>
          <w:rFonts w:hint="eastAsia" w:hAnsi="宋体"/>
          <w:bCs/>
          <w:color w:val="auto"/>
          <w:sz w:val="18"/>
          <w:szCs w:val="18"/>
        </w:rPr>
        <w:t>供应商应认真审核《</w:t>
      </w:r>
      <w:r>
        <w:rPr>
          <w:rFonts w:hint="eastAsia" w:hAnsi="宋体"/>
          <w:color w:val="auto"/>
          <w:sz w:val="18"/>
          <w:szCs w:val="18"/>
        </w:rPr>
        <w:t>货物采购需求表</w:t>
      </w:r>
      <w:r>
        <w:rPr>
          <w:rFonts w:hint="eastAsia" w:hAnsi="宋体"/>
          <w:bCs/>
          <w:color w:val="auto"/>
          <w:sz w:val="18"/>
          <w:szCs w:val="18"/>
        </w:rPr>
        <w:t>》中的技术参数、配置及要求，如发现表中技术参数、配置有误或要求不合理的，供应商必须在规定的时间前要求澄清，否则，由此产生的后果由供应商负责。</w:t>
      </w:r>
    </w:p>
    <w:p>
      <w:pPr>
        <w:pStyle w:val="22"/>
        <w:spacing w:line="400" w:lineRule="exact"/>
        <w:ind w:firstLine="420"/>
        <w:rPr>
          <w:rFonts w:hAnsi="宋体"/>
          <w:b/>
          <w:color w:val="auto"/>
          <w:sz w:val="18"/>
          <w:szCs w:val="18"/>
        </w:rPr>
      </w:pPr>
      <w:r>
        <w:rPr>
          <w:rFonts w:hint="eastAsia" w:hAnsi="宋体"/>
          <w:color w:val="auto"/>
          <w:sz w:val="18"/>
          <w:szCs w:val="18"/>
        </w:rPr>
        <w:t>4.4.2任何要求澄清竞争性磋商文件的供应商，均应在响应文件递交截止日期二日前的正常工作时间以书面形式通知采购代理机构，同时认定其他澄清方式为无效。采购代理机构将以书面形式予以答复。</w:t>
      </w:r>
    </w:p>
    <w:p>
      <w:pPr>
        <w:widowControl/>
        <w:spacing w:line="400" w:lineRule="exact"/>
        <w:ind w:firstLine="420"/>
        <w:jc w:val="left"/>
        <w:rPr>
          <w:rFonts w:ascii="宋体" w:hAnsi="宋体"/>
          <w:color w:val="auto"/>
          <w:sz w:val="18"/>
          <w:szCs w:val="18"/>
        </w:rPr>
      </w:pPr>
      <w:r>
        <w:rPr>
          <w:rFonts w:hint="eastAsia" w:ascii="宋体" w:hAnsi="宋体"/>
          <w:color w:val="auto"/>
          <w:sz w:val="18"/>
          <w:szCs w:val="18"/>
        </w:rPr>
        <w:t>4.4.3采购人和采购代理机构对已发出的竞争性磋商文件进行必要澄清或者修改的，在竞争性磋商文件要求提交竞争性磋商响应文件截止时间5日前（不足5日的应当顺延），在中国政府采购网</w:t>
      </w:r>
      <w:r>
        <w:rPr>
          <w:rFonts w:hint="eastAsia" w:ascii="宋体" w:hAnsi="宋体"/>
          <w:color w:val="auto"/>
          <w:sz w:val="18"/>
          <w:szCs w:val="18"/>
          <w:u w:val="single"/>
        </w:rPr>
        <w:t>(</w:t>
      </w:r>
      <w:r>
        <w:rPr>
          <w:rFonts w:ascii="宋体" w:hAnsi="宋体"/>
          <w:color w:val="auto"/>
          <w:sz w:val="18"/>
          <w:szCs w:val="18"/>
          <w:u w:val="single"/>
        </w:rPr>
        <w:t>www.ccgp.gov.cn</w:t>
      </w:r>
      <w:r>
        <w:rPr>
          <w:rFonts w:hint="eastAsia" w:ascii="宋体" w:hAnsi="宋体"/>
          <w:color w:val="auto"/>
          <w:sz w:val="18"/>
          <w:szCs w:val="18"/>
          <w:u w:val="single"/>
        </w:rPr>
        <w:t>)</w:t>
      </w:r>
      <w:r>
        <w:rPr>
          <w:rFonts w:hint="eastAsia" w:ascii="宋体" w:hAnsi="宋体"/>
          <w:color w:val="auto"/>
          <w:sz w:val="18"/>
          <w:szCs w:val="18"/>
        </w:rPr>
        <w:t>、广西壮族自治区政府采购网 (http：//www.gxzfcg.gov.cn)、</w:t>
      </w:r>
      <w:r>
        <w:rPr>
          <w:rFonts w:hint="eastAsia" w:hAnsi="宋体" w:cs="宋体"/>
          <w:color w:val="auto"/>
          <w:sz w:val="18"/>
          <w:szCs w:val="18"/>
        </w:rPr>
        <w:t>灵山县人民政府网（www.gxls.gov.cn/）</w:t>
      </w:r>
      <w:r>
        <w:rPr>
          <w:rFonts w:hint="eastAsia" w:ascii="宋体" w:hAnsi="宋体"/>
          <w:color w:val="auto"/>
          <w:sz w:val="18"/>
          <w:szCs w:val="18"/>
        </w:rPr>
        <w:t>上发布更正公告，并以书面形式通知所有竞争性磋商文件收受人。该澄清或者修改的内容为竞争性磋商文件的组成部分。</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4.4.4采购人和采购代理机构可视具体情况，延长响应文件递交截止时间。采购人和采购代理机构至少在竞争性磋商文件要求提交竞争性磋商响应文件的截止时间一日前，将变更时间书面通知所有竞争性磋商文件收受人，并在中国政府采购网</w:t>
      </w:r>
      <w:r>
        <w:rPr>
          <w:rFonts w:hint="eastAsia" w:ascii="宋体" w:hAnsi="宋体"/>
          <w:color w:val="auto"/>
          <w:sz w:val="18"/>
          <w:szCs w:val="18"/>
          <w:u w:val="single"/>
        </w:rPr>
        <w:t>(</w:t>
      </w:r>
      <w:r>
        <w:rPr>
          <w:rFonts w:ascii="宋体" w:hAnsi="宋体"/>
          <w:color w:val="auto"/>
          <w:sz w:val="18"/>
          <w:szCs w:val="18"/>
          <w:u w:val="single"/>
        </w:rPr>
        <w:t>www.ccgp.gov.cn</w:t>
      </w:r>
      <w:r>
        <w:rPr>
          <w:rFonts w:hint="eastAsia" w:ascii="宋体" w:hAnsi="宋体"/>
          <w:color w:val="auto"/>
          <w:sz w:val="18"/>
          <w:szCs w:val="18"/>
          <w:u w:val="single"/>
        </w:rPr>
        <w:t>)</w:t>
      </w:r>
      <w:r>
        <w:rPr>
          <w:rFonts w:hint="eastAsia" w:ascii="宋体" w:hAnsi="宋体"/>
          <w:color w:val="auto"/>
          <w:sz w:val="18"/>
          <w:szCs w:val="18"/>
        </w:rPr>
        <w:t xml:space="preserve">、广西壮族自治区政府采购网 </w:t>
      </w:r>
      <w:r>
        <w:rPr>
          <w:rFonts w:hint="eastAsia" w:ascii="宋体" w:hAnsi="宋体"/>
          <w:color w:val="auto"/>
          <w:sz w:val="18"/>
          <w:szCs w:val="18"/>
          <w:u w:val="single"/>
        </w:rPr>
        <w:t>(http：//www.gxzfcg.gov.cn)、</w:t>
      </w:r>
      <w:r>
        <w:rPr>
          <w:rFonts w:hint="eastAsia" w:hAnsi="宋体" w:cs="宋体"/>
          <w:color w:val="auto"/>
          <w:sz w:val="18"/>
          <w:szCs w:val="18"/>
          <w:u w:val="single"/>
        </w:rPr>
        <w:t>灵山县人民政府网（www.gxls.gov.cn/）</w:t>
      </w:r>
      <w:r>
        <w:rPr>
          <w:rFonts w:hint="eastAsia" w:ascii="宋体" w:hAnsi="宋体"/>
          <w:color w:val="auto"/>
          <w:sz w:val="18"/>
          <w:szCs w:val="18"/>
        </w:rPr>
        <w:t>上发布变更公告。</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4.5 磋商文件的构成</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（1）竞争性磋商公告；</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（2）供应商须知；</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（3）项目需求；</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（4）评审办法；</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（5）政府采购合同（合同主要条款及格式）；</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（6）响应文件（格式）。</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（7）政府采购合同（格式）。</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（8）评审方法；</w:t>
      </w:r>
    </w:p>
    <w:p>
      <w:pPr>
        <w:spacing w:line="400" w:lineRule="exact"/>
        <w:ind w:firstLine="360" w:firstLineChars="200"/>
        <w:rPr>
          <w:color w:val="auto"/>
        </w:rPr>
      </w:pPr>
      <w:r>
        <w:rPr>
          <w:rFonts w:hint="eastAsia" w:ascii="宋体" w:hAnsi="宋体"/>
          <w:color w:val="auto"/>
          <w:sz w:val="18"/>
          <w:szCs w:val="18"/>
        </w:rPr>
        <w:t>（9）退还保证金申请书（格式）。</w:t>
      </w:r>
    </w:p>
    <w:p>
      <w:pPr>
        <w:pStyle w:val="3"/>
        <w:numPr>
          <w:ilvl w:val="0"/>
          <w:numId w:val="4"/>
        </w:numPr>
        <w:rPr>
          <w:color w:val="auto"/>
          <w:sz w:val="30"/>
          <w:szCs w:val="30"/>
        </w:rPr>
      </w:pPr>
      <w:bookmarkStart w:id="22" w:name="_Toc29822"/>
      <w:r>
        <w:rPr>
          <w:rFonts w:hint="eastAsia"/>
          <w:color w:val="auto"/>
          <w:sz w:val="30"/>
          <w:szCs w:val="30"/>
        </w:rPr>
        <w:t>竞争性磋商响应文件的编制</w:t>
      </w:r>
      <w:bookmarkEnd w:id="22"/>
    </w:p>
    <w:p>
      <w:pPr>
        <w:pStyle w:val="4"/>
        <w:rPr>
          <w:color w:val="auto"/>
          <w:sz w:val="18"/>
          <w:szCs w:val="18"/>
        </w:rPr>
      </w:pPr>
      <w:r>
        <w:rPr>
          <w:rFonts w:hint="eastAsia"/>
          <w:color w:val="auto"/>
          <w:sz w:val="18"/>
          <w:szCs w:val="18"/>
        </w:rPr>
        <w:t>5.竞争性磋商响应文件编制基本要求。</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5.1供应商对竞争性磋商响应文件的编制应按要求装订和封装。</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5.2供应商提交的竞争性磋商响应文件以及供应商与采购代理机构和采购人就有关磋商的所有来往函电均应使用中文。供应商提交的支持文件和印刷的文献可以使用别的语言，但其相应内容必须附有中文翻译文本，在解释竞争性磋商响应文件时以翻译文本为主。</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5.3供应商应认真阅读、并充分理解本文件的全部内容（包括所有的澄清、更改、补充、答疑等内容），承诺并履行本文件中各项条款规定及要求。</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5.4竞争性磋商响应文件必须按本文件的全部内容，包括所有的澄清、更改、补充、答疑等内容及附件进行编制。</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5.5如因供应商只填写和提供了本文件要求的部分内容和附件，而给磋商小组评审造成困难，其可能导致的结果和责任由供应商自行承担。</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5.5.1供应商应认真阅读、并充分理解本文件的全部内容（包括所有的补充、修改内容），承诺并履行本文件中各项条款规定及要求。对竞争性磋商文件的实质性要求和条件作出响应是指供应商必须对竞争性磋商文件标注★号或必须满足的技术参数要求、商务条款及其他内容等实质性要求和条件作出满足或者优于原要求和条件的承诺。</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5.5.2 竞争性磋商响应文件必须按本文件的全部内容，包括所有的补充通知及附件进行编制。</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5.6竞争性磋商响应文件的组成：竞争性磋商响应文件</w:t>
      </w:r>
      <w:r>
        <w:rPr>
          <w:rFonts w:hint="eastAsia" w:hAnsi="宋体"/>
          <w:color w:val="auto"/>
          <w:sz w:val="18"/>
          <w:szCs w:val="18"/>
        </w:rPr>
        <w:t>包括</w:t>
      </w:r>
      <w:r>
        <w:rPr>
          <w:rFonts w:hint="eastAsia" w:ascii="宋体" w:hAnsi="宋体"/>
          <w:color w:val="auto"/>
          <w:sz w:val="18"/>
          <w:szCs w:val="18"/>
        </w:rPr>
        <w:t>价格文件和商务技术文件两个部分组成</w:t>
      </w:r>
      <w:r>
        <w:rPr>
          <w:rFonts w:hint="eastAsia" w:ascii="宋体" w:hAnsi="宋体" w:cs="Arial"/>
          <w:color w:val="auto"/>
          <w:sz w:val="18"/>
          <w:szCs w:val="18"/>
        </w:rPr>
        <w:t>（要求装订成一本）</w:t>
      </w:r>
      <w:r>
        <w:rPr>
          <w:rFonts w:hint="eastAsia" w:ascii="宋体" w:hAnsi="宋体"/>
          <w:color w:val="auto"/>
          <w:sz w:val="18"/>
          <w:szCs w:val="18"/>
        </w:rPr>
        <w:t>。</w:t>
      </w:r>
    </w:p>
    <w:p>
      <w:pPr>
        <w:spacing w:line="400" w:lineRule="exact"/>
        <w:ind w:firstLine="361" w:firstLineChars="200"/>
        <w:rPr>
          <w:rFonts w:ascii="宋体" w:hAnsi="宋体"/>
          <w:b/>
          <w:color w:val="auto"/>
          <w:sz w:val="18"/>
          <w:szCs w:val="18"/>
        </w:rPr>
      </w:pPr>
      <w:r>
        <w:rPr>
          <w:rFonts w:hint="eastAsia" w:ascii="宋体" w:hAnsi="宋体"/>
          <w:b/>
          <w:color w:val="auto"/>
          <w:sz w:val="18"/>
          <w:szCs w:val="18"/>
        </w:rPr>
        <w:t>5.6.1 价格文件部分，包括</w:t>
      </w:r>
    </w:p>
    <w:p>
      <w:pPr>
        <w:spacing w:line="400" w:lineRule="exact"/>
        <w:ind w:firstLine="360" w:firstLineChars="200"/>
        <w:rPr>
          <w:rFonts w:ascii="宋体" w:hAnsi="宋体"/>
          <w:b/>
          <w:color w:val="auto"/>
          <w:sz w:val="18"/>
          <w:szCs w:val="18"/>
        </w:rPr>
      </w:pPr>
      <w:r>
        <w:rPr>
          <w:rFonts w:hint="eastAsia" w:ascii="宋体" w:hAnsi="宋体"/>
          <w:bCs/>
          <w:color w:val="auto"/>
          <w:sz w:val="18"/>
          <w:szCs w:val="18"/>
        </w:rPr>
        <w:t>1）磋商书</w:t>
      </w:r>
      <w:r>
        <w:rPr>
          <w:rFonts w:hint="eastAsia" w:ascii="宋体" w:hAnsi="宋体"/>
          <w:b/>
          <w:color w:val="auto"/>
          <w:sz w:val="18"/>
          <w:szCs w:val="18"/>
        </w:rPr>
        <w:t xml:space="preserve">（格式见附件）[必须提供] </w:t>
      </w:r>
      <w:r>
        <w:rPr>
          <w:rFonts w:hint="eastAsia" w:ascii="宋体" w:hAnsi="宋体"/>
          <w:color w:val="auto"/>
          <w:sz w:val="18"/>
          <w:szCs w:val="18"/>
        </w:rPr>
        <w:t>；</w:t>
      </w:r>
    </w:p>
    <w:p>
      <w:pPr>
        <w:spacing w:line="400" w:lineRule="exact"/>
        <w:ind w:firstLine="360" w:firstLineChars="200"/>
        <w:rPr>
          <w:rFonts w:ascii="宋体" w:hAnsi="宋体"/>
          <w:color w:val="auto"/>
          <w:sz w:val="18"/>
          <w:szCs w:val="18"/>
        </w:rPr>
      </w:pPr>
      <w:r>
        <w:rPr>
          <w:rFonts w:hint="eastAsia" w:ascii="宋体" w:hAnsi="宋体"/>
          <w:bCs/>
          <w:color w:val="auto"/>
          <w:sz w:val="18"/>
          <w:szCs w:val="18"/>
        </w:rPr>
        <w:t>2）磋商报价表</w:t>
      </w:r>
      <w:r>
        <w:rPr>
          <w:rFonts w:hint="eastAsia" w:ascii="宋体" w:hAnsi="宋体"/>
          <w:b/>
          <w:color w:val="auto"/>
          <w:sz w:val="18"/>
          <w:szCs w:val="18"/>
        </w:rPr>
        <w:t>（格式见附件）[必须提供]</w:t>
      </w:r>
      <w:r>
        <w:rPr>
          <w:rFonts w:hint="eastAsia" w:ascii="宋体" w:hAnsi="宋体"/>
          <w:color w:val="auto"/>
          <w:sz w:val="18"/>
          <w:szCs w:val="18"/>
        </w:rPr>
        <w:t xml:space="preserve"> ；</w:t>
      </w:r>
    </w:p>
    <w:p>
      <w:pPr>
        <w:spacing w:line="400" w:lineRule="exact"/>
        <w:ind w:firstLine="360" w:firstLineChars="200"/>
        <w:rPr>
          <w:color w:val="auto"/>
          <w:sz w:val="18"/>
          <w:szCs w:val="18"/>
        </w:rPr>
      </w:pPr>
      <w:r>
        <w:rPr>
          <w:rFonts w:hint="eastAsia" w:ascii="宋体" w:hAnsi="宋体"/>
          <w:color w:val="auto"/>
          <w:sz w:val="18"/>
          <w:szCs w:val="18"/>
        </w:rPr>
        <w:t>3）商务、技术响应、偏离情况说明表</w:t>
      </w:r>
      <w:r>
        <w:rPr>
          <w:rFonts w:hint="eastAsia" w:ascii="宋体" w:hAnsi="宋体"/>
          <w:b/>
          <w:bCs/>
          <w:color w:val="auto"/>
          <w:sz w:val="18"/>
          <w:szCs w:val="18"/>
        </w:rPr>
        <w:t>（格式见附件） [必须提供]</w:t>
      </w:r>
      <w:r>
        <w:rPr>
          <w:rFonts w:hint="eastAsia" w:ascii="宋体" w:hAnsi="宋体"/>
          <w:color w:val="auto"/>
          <w:sz w:val="18"/>
          <w:szCs w:val="18"/>
        </w:rPr>
        <w:t xml:space="preserve"> 。</w:t>
      </w:r>
    </w:p>
    <w:p>
      <w:pPr>
        <w:spacing w:line="400" w:lineRule="exact"/>
        <w:ind w:firstLine="361" w:firstLineChars="200"/>
        <w:rPr>
          <w:rFonts w:ascii="宋体" w:hAnsi="宋体"/>
          <w:b/>
          <w:color w:val="auto"/>
          <w:sz w:val="18"/>
          <w:szCs w:val="18"/>
        </w:rPr>
      </w:pPr>
      <w:r>
        <w:rPr>
          <w:rFonts w:hint="eastAsia" w:ascii="宋体" w:hAnsi="宋体"/>
          <w:b/>
          <w:color w:val="auto"/>
          <w:sz w:val="18"/>
          <w:szCs w:val="18"/>
        </w:rPr>
        <w:t>5.6.2 商务技术文件部分，包括</w:t>
      </w:r>
    </w:p>
    <w:p>
      <w:pPr>
        <w:spacing w:line="400" w:lineRule="exact"/>
        <w:ind w:firstLine="361" w:firstLineChars="200"/>
        <w:rPr>
          <w:rFonts w:ascii="宋体" w:hAnsi="宋体"/>
          <w:color w:val="auto"/>
          <w:sz w:val="18"/>
          <w:szCs w:val="18"/>
        </w:rPr>
      </w:pPr>
      <w:r>
        <w:rPr>
          <w:rFonts w:hint="eastAsia" w:ascii="宋体" w:hAnsi="宋体"/>
          <w:b/>
          <w:color w:val="auto"/>
          <w:sz w:val="18"/>
          <w:szCs w:val="18"/>
        </w:rPr>
        <w:t>（</w:t>
      </w:r>
      <w:r>
        <w:rPr>
          <w:rFonts w:hint="eastAsia" w:ascii="宋体" w:hAnsi="宋体"/>
          <w:color w:val="auto"/>
          <w:sz w:val="18"/>
          <w:szCs w:val="18"/>
        </w:rPr>
        <w:t xml:space="preserve">应该有的必须提供,如未提供,磋商小组有权拒绝其竞争性磋商响应文件） </w:t>
      </w:r>
    </w:p>
    <w:p>
      <w:pPr>
        <w:spacing w:line="400" w:lineRule="exact"/>
        <w:ind w:firstLine="361" w:firstLineChars="200"/>
        <w:rPr>
          <w:rFonts w:ascii="宋体" w:hAnsi="宋体"/>
          <w:b/>
          <w:color w:val="auto"/>
          <w:sz w:val="18"/>
          <w:szCs w:val="18"/>
          <w:highlight w:val="none"/>
        </w:rPr>
      </w:pPr>
      <w:r>
        <w:rPr>
          <w:rFonts w:hint="eastAsia" w:ascii="宋体" w:hAnsi="宋体"/>
          <w:b/>
          <w:color w:val="auto"/>
          <w:sz w:val="18"/>
          <w:szCs w:val="18"/>
          <w:highlight w:val="none"/>
        </w:rPr>
        <w:t>一）资格证明文件部分</w:t>
      </w:r>
    </w:p>
    <w:p>
      <w:pPr>
        <w:snapToGrid w:val="0"/>
        <w:spacing w:line="400" w:lineRule="exact"/>
        <w:ind w:firstLine="352" w:firstLineChars="196"/>
        <w:jc w:val="left"/>
        <w:rPr>
          <w:rFonts w:ascii="宋体" w:hAnsi="宋体"/>
          <w:color w:val="auto"/>
          <w:sz w:val="18"/>
          <w:szCs w:val="18"/>
          <w:highlight w:val="none"/>
        </w:rPr>
      </w:pPr>
      <w:r>
        <w:rPr>
          <w:rFonts w:hint="eastAsia" w:ascii="宋体" w:hAnsi="宋体"/>
          <w:color w:val="auto"/>
          <w:sz w:val="18"/>
          <w:szCs w:val="18"/>
          <w:highlight w:val="none"/>
        </w:rPr>
        <w:t>1）法定代表人</w:t>
      </w:r>
      <w:r>
        <w:rPr>
          <w:rFonts w:hint="eastAsia" w:hAnsi="宋体"/>
          <w:color w:val="auto"/>
          <w:sz w:val="18"/>
          <w:szCs w:val="18"/>
          <w:highlight w:val="none"/>
        </w:rPr>
        <w:t>(负责人)</w:t>
      </w:r>
      <w:r>
        <w:rPr>
          <w:rFonts w:hint="eastAsia" w:ascii="宋体" w:hAnsi="宋体"/>
          <w:color w:val="auto"/>
          <w:sz w:val="18"/>
          <w:szCs w:val="18"/>
          <w:highlight w:val="none"/>
        </w:rPr>
        <w:t>授权委托书原件和委托代理人身份证复印件[</w:t>
      </w:r>
      <w:r>
        <w:rPr>
          <w:rFonts w:hint="eastAsia" w:ascii="宋体" w:hAnsi="宋体"/>
          <w:b/>
          <w:color w:val="auto"/>
          <w:sz w:val="18"/>
          <w:szCs w:val="18"/>
          <w:highlight w:val="none"/>
        </w:rPr>
        <w:t>委托代理时</w:t>
      </w:r>
      <w:r>
        <w:rPr>
          <w:rFonts w:hint="eastAsia" w:ascii="宋体" w:hAnsi="宋体"/>
          <w:b/>
          <w:bCs/>
          <w:color w:val="auto"/>
          <w:sz w:val="18"/>
          <w:szCs w:val="18"/>
          <w:highlight w:val="none"/>
        </w:rPr>
        <w:t>必须提供</w:t>
      </w:r>
      <w:r>
        <w:rPr>
          <w:rFonts w:hint="eastAsia" w:ascii="宋体" w:hAnsi="宋体"/>
          <w:color w:val="auto"/>
          <w:sz w:val="18"/>
          <w:szCs w:val="18"/>
          <w:highlight w:val="none"/>
        </w:rPr>
        <w:t>]；</w:t>
      </w:r>
      <w:r>
        <w:rPr>
          <w:rFonts w:hint="eastAsia" w:ascii="宋体" w:hAnsi="宋体"/>
          <w:b/>
          <w:color w:val="auto"/>
          <w:sz w:val="18"/>
          <w:szCs w:val="18"/>
          <w:highlight w:val="none"/>
        </w:rPr>
        <w:t>[格式见附件四]；</w:t>
      </w:r>
      <w:r>
        <w:rPr>
          <w:rFonts w:hint="eastAsia" w:ascii="宋体" w:hAnsi="宋体"/>
          <w:color w:val="auto"/>
          <w:sz w:val="18"/>
          <w:szCs w:val="18"/>
          <w:highlight w:val="none"/>
        </w:rPr>
        <w:t xml:space="preserve"> </w:t>
      </w:r>
    </w:p>
    <w:p>
      <w:pPr>
        <w:spacing w:line="40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2）法定代表人</w:t>
      </w:r>
      <w:r>
        <w:rPr>
          <w:rFonts w:hint="eastAsia" w:hAnsi="宋体"/>
          <w:color w:val="auto"/>
          <w:sz w:val="18"/>
          <w:szCs w:val="18"/>
          <w:highlight w:val="none"/>
        </w:rPr>
        <w:t>(负责人)</w:t>
      </w:r>
      <w:r>
        <w:rPr>
          <w:rFonts w:hint="eastAsia" w:ascii="宋体" w:hAnsi="宋体"/>
          <w:color w:val="auto"/>
          <w:sz w:val="18"/>
          <w:szCs w:val="18"/>
          <w:highlight w:val="none"/>
        </w:rPr>
        <w:t>的正面及反面身份证复印件</w:t>
      </w:r>
      <w:r>
        <w:rPr>
          <w:rFonts w:hint="eastAsia" w:ascii="宋体" w:hAnsi="宋体"/>
          <w:b/>
          <w:color w:val="auto"/>
          <w:sz w:val="18"/>
          <w:szCs w:val="18"/>
          <w:highlight w:val="none"/>
        </w:rPr>
        <w:t xml:space="preserve"> [必须提供] ；</w:t>
      </w:r>
    </w:p>
    <w:p>
      <w:pPr>
        <w:spacing w:line="400" w:lineRule="exact"/>
        <w:ind w:firstLine="360" w:firstLineChars="200"/>
        <w:rPr>
          <w:rFonts w:ascii="宋体" w:hAnsi="宋体"/>
          <w:b/>
          <w:color w:val="auto"/>
          <w:sz w:val="18"/>
          <w:szCs w:val="18"/>
          <w:highlight w:val="none"/>
        </w:rPr>
      </w:pPr>
      <w:r>
        <w:rPr>
          <w:rFonts w:hint="eastAsia" w:ascii="宋体" w:hAnsi="宋体"/>
          <w:color w:val="auto"/>
          <w:sz w:val="18"/>
          <w:szCs w:val="18"/>
          <w:highlight w:val="none"/>
        </w:rPr>
        <w:t>3）有效营业执照副本、税务登记证及组织机构代码证复印件或三证合一副本复印件</w:t>
      </w:r>
      <w:r>
        <w:rPr>
          <w:rFonts w:hint="eastAsia" w:ascii="宋体" w:hAnsi="宋体"/>
          <w:b/>
          <w:color w:val="auto"/>
          <w:sz w:val="18"/>
          <w:szCs w:val="18"/>
          <w:highlight w:val="none"/>
        </w:rPr>
        <w:t xml:space="preserve"> [必须提供]；</w:t>
      </w:r>
    </w:p>
    <w:p>
      <w:pPr>
        <w:pStyle w:val="44"/>
        <w:ind w:firstLine="360" w:firstLineChars="200"/>
        <w:rPr>
          <w:rFonts w:hAnsi="宋体"/>
          <w:b/>
          <w:color w:val="auto"/>
          <w:sz w:val="18"/>
          <w:szCs w:val="18"/>
          <w:highlight w:val="none"/>
        </w:rPr>
      </w:pPr>
      <w:r>
        <w:rPr>
          <w:rFonts w:hint="eastAsia" w:hAnsi="宋体"/>
          <w:color w:val="auto"/>
          <w:sz w:val="18"/>
          <w:szCs w:val="18"/>
          <w:highlight w:val="none"/>
        </w:rPr>
        <w:t>4）在“信用中国”网站(www.creditchina.gov.cn)、中国政府采购网(www.ccgp.gov.cn )等渠道列入失信被执行人、重大税收违法案件当事人名单、政府采购严重违法失信行为记录名单及其他不符合《中华人民共和国政府采购法》第二十二条规定条件的供应商，将被拒绝参与本次政府采购活动。（供应商可在“信用中国”网站（www.creditchina.gov.cn）或中国政府采购网（www.ccgp.gov.cn）查询相关供应商主体信用记录，同时须将查询结果截图在响应文件中提交，查询时间距响应文件递交截止时间不超过8天）</w:t>
      </w:r>
      <w:r>
        <w:rPr>
          <w:rFonts w:hint="eastAsia" w:hAnsi="宋体"/>
          <w:b/>
          <w:color w:val="auto"/>
          <w:sz w:val="18"/>
          <w:szCs w:val="18"/>
          <w:highlight w:val="none"/>
        </w:rPr>
        <w:t>[必须提供] ；</w:t>
      </w:r>
    </w:p>
    <w:p>
      <w:pPr>
        <w:spacing w:line="40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5）磋商保证金证明（银行转账底单或采购代理机构开具的投标保证金收据扫描件）复印件</w:t>
      </w:r>
      <w:r>
        <w:rPr>
          <w:rFonts w:hint="eastAsia" w:ascii="宋体" w:hAnsi="宋体"/>
          <w:b/>
          <w:color w:val="auto"/>
          <w:sz w:val="18"/>
          <w:szCs w:val="18"/>
          <w:highlight w:val="none"/>
        </w:rPr>
        <w:t>[必须提供]</w:t>
      </w:r>
      <w:r>
        <w:rPr>
          <w:rFonts w:hint="eastAsia" w:ascii="宋体" w:hAnsi="宋体"/>
          <w:color w:val="auto"/>
          <w:sz w:val="18"/>
          <w:szCs w:val="18"/>
          <w:highlight w:val="none"/>
        </w:rPr>
        <w:t>；</w:t>
      </w:r>
    </w:p>
    <w:p>
      <w:pPr>
        <w:snapToGrid w:val="0"/>
        <w:spacing w:line="380" w:lineRule="exact"/>
        <w:ind w:firstLine="352" w:firstLineChars="196"/>
        <w:jc w:val="left"/>
        <w:rPr>
          <w:rFonts w:ascii="宋体" w:hAnsi="宋体"/>
          <w:b/>
          <w:color w:val="auto"/>
          <w:sz w:val="18"/>
          <w:szCs w:val="18"/>
          <w:highlight w:val="none"/>
        </w:rPr>
      </w:pPr>
      <w:r>
        <w:rPr>
          <w:rFonts w:hint="eastAsia" w:ascii="宋体" w:hAnsi="宋体"/>
          <w:color w:val="auto"/>
          <w:sz w:val="18"/>
          <w:szCs w:val="18"/>
          <w:highlight w:val="none"/>
        </w:rPr>
        <w:t>6)</w:t>
      </w:r>
      <w:r>
        <w:rPr>
          <w:rFonts w:hint="eastAsia"/>
          <w:color w:val="auto"/>
          <w:highlight w:val="none"/>
        </w:rPr>
        <w:t xml:space="preserve"> </w:t>
      </w:r>
      <w:r>
        <w:rPr>
          <w:rFonts w:hint="eastAsia" w:ascii="宋体" w:hAnsi="宋体"/>
          <w:color w:val="auto"/>
          <w:sz w:val="18"/>
          <w:szCs w:val="18"/>
          <w:highlight w:val="none"/>
        </w:rPr>
        <w:t xml:space="preserve">供应商2018年或2019年的审计报告或财务报表（至少包含资产负债表、利润表、现金流量表）（2020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 [必须提供] ； </w:t>
      </w:r>
    </w:p>
    <w:p>
      <w:pPr>
        <w:snapToGrid w:val="0"/>
        <w:spacing w:line="380" w:lineRule="exact"/>
        <w:ind w:firstLine="352" w:firstLineChars="196"/>
        <w:jc w:val="left"/>
        <w:rPr>
          <w:rFonts w:ascii="宋体" w:hAnsi="宋体"/>
          <w:color w:val="auto"/>
          <w:sz w:val="18"/>
          <w:szCs w:val="18"/>
          <w:highlight w:val="none"/>
        </w:rPr>
      </w:pPr>
      <w:r>
        <w:rPr>
          <w:rFonts w:hint="eastAsia" w:ascii="宋体" w:hAnsi="宋体"/>
          <w:color w:val="auto"/>
          <w:sz w:val="18"/>
          <w:szCs w:val="18"/>
          <w:highlight w:val="none"/>
        </w:rPr>
        <w:t>7) 供应商提供有效的开标前3个月内的依法缴纳社会保险费或依法免缴社保费的相关证明（新成立的企业按实际提供），证明材料可以是：银行已缴纳税费凭证复印件或第三方有效的相关业务托缴凭证或其他有效证明；不需要缴纳社会保险金的应提供供应商所在地有关行政主管部门出具相应的文件证明（复印件）[格式自拟必须提供]；</w:t>
      </w:r>
    </w:p>
    <w:p>
      <w:pPr>
        <w:snapToGrid w:val="0"/>
        <w:spacing w:line="380" w:lineRule="exact"/>
        <w:ind w:firstLine="352" w:firstLineChars="196"/>
        <w:jc w:val="left"/>
        <w:rPr>
          <w:rFonts w:ascii="宋体" w:hAnsi="宋体"/>
          <w:color w:val="auto"/>
          <w:sz w:val="18"/>
          <w:szCs w:val="18"/>
          <w:highlight w:val="none"/>
        </w:rPr>
      </w:pPr>
      <w:r>
        <w:rPr>
          <w:rFonts w:hint="eastAsia" w:ascii="宋体" w:hAnsi="宋体"/>
          <w:color w:val="auto"/>
          <w:sz w:val="18"/>
          <w:szCs w:val="18"/>
          <w:highlight w:val="none"/>
        </w:rPr>
        <w:t>8）竞标单位2020年内连续3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必须提供]；</w:t>
      </w:r>
    </w:p>
    <w:p>
      <w:pPr>
        <w:snapToGrid w:val="0"/>
        <w:spacing w:line="400" w:lineRule="exact"/>
        <w:ind w:left="862" w:leftChars="196" w:hanging="450" w:hangingChars="250"/>
        <w:jc w:val="left"/>
        <w:rPr>
          <w:rFonts w:ascii="宋体" w:hAnsi="宋体"/>
          <w:b/>
          <w:color w:val="auto"/>
          <w:sz w:val="18"/>
          <w:szCs w:val="18"/>
          <w:highlight w:val="none"/>
        </w:rPr>
      </w:pPr>
      <w:r>
        <w:rPr>
          <w:rFonts w:hint="eastAsia" w:ascii="宋体" w:hAnsi="宋体"/>
          <w:color w:val="auto"/>
          <w:sz w:val="18"/>
          <w:szCs w:val="18"/>
          <w:highlight w:val="none"/>
        </w:rPr>
        <w:t>9）</w:t>
      </w:r>
      <w:r>
        <w:rPr>
          <w:rFonts w:ascii="宋体" w:hAnsi="宋体" w:cs="宋体"/>
          <w:color w:val="auto"/>
          <w:kern w:val="0"/>
          <w:sz w:val="18"/>
          <w:szCs w:val="18"/>
          <w:highlight w:val="none"/>
        </w:rPr>
        <w:t>参加政府采购活动前</w:t>
      </w:r>
      <w:r>
        <w:rPr>
          <w:rFonts w:hint="eastAsia" w:ascii="宋体" w:hAnsi="宋体" w:cs="宋体"/>
          <w:color w:val="auto"/>
          <w:kern w:val="0"/>
          <w:sz w:val="18"/>
          <w:szCs w:val="18"/>
          <w:highlight w:val="none"/>
        </w:rPr>
        <w:t>三</w:t>
      </w:r>
      <w:r>
        <w:rPr>
          <w:rFonts w:ascii="宋体" w:hAnsi="宋体" w:cs="宋体"/>
          <w:color w:val="auto"/>
          <w:kern w:val="0"/>
          <w:sz w:val="18"/>
          <w:szCs w:val="18"/>
          <w:highlight w:val="none"/>
        </w:rPr>
        <w:t>年内在经营活动中没有重大违法记录的书面声明</w:t>
      </w:r>
      <w:r>
        <w:rPr>
          <w:rFonts w:hint="eastAsia" w:ascii="宋体" w:hAnsi="宋体"/>
          <w:b/>
          <w:color w:val="auto"/>
          <w:sz w:val="18"/>
          <w:szCs w:val="18"/>
          <w:highlight w:val="none"/>
        </w:rPr>
        <w:t xml:space="preserve"> [格式见附件，必须提供]</w:t>
      </w:r>
      <w:r>
        <w:rPr>
          <w:rFonts w:hint="eastAsia" w:ascii="宋体" w:hAnsi="宋体" w:cs="Arial"/>
          <w:color w:val="auto"/>
          <w:kern w:val="0"/>
          <w:sz w:val="18"/>
          <w:szCs w:val="18"/>
          <w:highlight w:val="none"/>
        </w:rPr>
        <w:t xml:space="preserve"> ；</w:t>
      </w:r>
    </w:p>
    <w:p>
      <w:pPr>
        <w:snapToGrid w:val="0"/>
        <w:spacing w:line="400" w:lineRule="exact"/>
        <w:ind w:firstLine="360" w:firstLineChars="200"/>
        <w:jc w:val="left"/>
        <w:rPr>
          <w:rFonts w:ascii="宋体" w:hAnsi="宋体" w:cs="Arial"/>
          <w:color w:val="auto"/>
          <w:kern w:val="0"/>
          <w:sz w:val="18"/>
          <w:szCs w:val="18"/>
          <w:highlight w:val="none"/>
        </w:rPr>
      </w:pPr>
      <w:r>
        <w:rPr>
          <w:rFonts w:hint="eastAsia" w:ascii="宋体" w:hAnsi="宋体" w:cs="Arial"/>
          <w:color w:val="auto"/>
          <w:kern w:val="0"/>
          <w:sz w:val="18"/>
          <w:szCs w:val="18"/>
          <w:highlight w:val="none"/>
        </w:rPr>
        <w:t>10）关于政府采购活动中信用信息记录的书面声明</w:t>
      </w:r>
      <w:r>
        <w:rPr>
          <w:rFonts w:hint="eastAsia" w:ascii="宋体" w:hAnsi="宋体"/>
          <w:b/>
          <w:color w:val="auto"/>
          <w:sz w:val="18"/>
          <w:szCs w:val="18"/>
          <w:highlight w:val="none"/>
        </w:rPr>
        <w:t>[格式见附件，必须提供]</w:t>
      </w:r>
      <w:r>
        <w:rPr>
          <w:rFonts w:hint="eastAsia" w:ascii="宋体" w:hAnsi="宋体" w:cs="Arial"/>
          <w:color w:val="auto"/>
          <w:kern w:val="0"/>
          <w:sz w:val="18"/>
          <w:szCs w:val="18"/>
          <w:highlight w:val="none"/>
        </w:rPr>
        <w:t xml:space="preserve"> ；</w:t>
      </w:r>
    </w:p>
    <w:p>
      <w:pPr>
        <w:spacing w:line="400" w:lineRule="exact"/>
        <w:ind w:firstLine="360" w:firstLineChars="200"/>
        <w:rPr>
          <w:color w:val="auto"/>
          <w:sz w:val="18"/>
          <w:szCs w:val="18"/>
          <w:highlight w:val="none"/>
        </w:rPr>
      </w:pPr>
      <w:r>
        <w:rPr>
          <w:rFonts w:hint="eastAsia" w:ascii="宋体" w:hAnsi="宋体"/>
          <w:color w:val="auto"/>
          <w:sz w:val="18"/>
          <w:szCs w:val="18"/>
          <w:highlight w:val="none"/>
        </w:rPr>
        <w:t>二）技术证明文件部分</w:t>
      </w:r>
    </w:p>
    <w:p>
      <w:pPr>
        <w:spacing w:line="400" w:lineRule="exact"/>
        <w:ind w:firstLine="450" w:firstLineChars="250"/>
        <w:rPr>
          <w:rFonts w:ascii="宋体" w:hAnsi="宋体"/>
          <w:color w:val="auto"/>
          <w:sz w:val="18"/>
          <w:szCs w:val="18"/>
          <w:highlight w:val="none"/>
        </w:rPr>
      </w:pPr>
      <w:r>
        <w:rPr>
          <w:rFonts w:hint="eastAsia" w:ascii="宋体" w:hAnsi="宋体"/>
          <w:color w:val="auto"/>
          <w:sz w:val="18"/>
          <w:szCs w:val="18"/>
          <w:highlight w:val="none"/>
        </w:rPr>
        <w:t>1）项目实施方案及服务承诺 [格式自拟，必须提供]；</w:t>
      </w:r>
    </w:p>
    <w:p>
      <w:pPr>
        <w:spacing w:line="400" w:lineRule="exact"/>
        <w:ind w:firstLine="450" w:firstLineChars="250"/>
        <w:rPr>
          <w:rFonts w:ascii="宋体" w:hAnsi="宋体"/>
          <w:color w:val="auto"/>
          <w:sz w:val="18"/>
          <w:szCs w:val="18"/>
          <w:highlight w:val="none"/>
        </w:rPr>
      </w:pPr>
      <w:r>
        <w:rPr>
          <w:rFonts w:hint="eastAsia" w:ascii="宋体" w:hAnsi="宋体"/>
          <w:color w:val="auto"/>
          <w:sz w:val="18"/>
          <w:szCs w:val="18"/>
          <w:highlight w:val="none"/>
        </w:rPr>
        <w:t>2）中小企业声明函（竞标产品或提供服务的供应商如为中小微型企业的，格式见附件七，并提供工商注册地的工业和信息化相关部门出具的相关证明材料为准，否则不予享受优惠政策）；</w:t>
      </w:r>
    </w:p>
    <w:p>
      <w:pPr>
        <w:spacing w:line="400" w:lineRule="exact"/>
        <w:ind w:firstLine="450" w:firstLineChars="250"/>
        <w:rPr>
          <w:rFonts w:ascii="宋体" w:hAnsi="宋体"/>
          <w:color w:val="auto"/>
          <w:sz w:val="18"/>
          <w:szCs w:val="18"/>
          <w:highlight w:val="none"/>
        </w:rPr>
      </w:pPr>
      <w:r>
        <w:rPr>
          <w:rFonts w:hint="eastAsia" w:ascii="宋体" w:hAnsi="宋体"/>
          <w:color w:val="auto"/>
          <w:sz w:val="18"/>
          <w:szCs w:val="18"/>
          <w:highlight w:val="none"/>
        </w:rPr>
        <w:t>3）监狱企业的证明文件[竞标产品或提供服务的如为监狱企业的，应当提供由省级以上监狱管理局、戒毒管理局（含新疆生产建设兵团）出具的属于监狱企业的证明文件, 否则不予享受优惠政策]；</w:t>
      </w:r>
    </w:p>
    <w:p>
      <w:pPr>
        <w:spacing w:line="400" w:lineRule="exact"/>
        <w:ind w:firstLine="450" w:firstLineChars="250"/>
        <w:rPr>
          <w:rFonts w:ascii="宋体" w:hAnsi="宋体"/>
          <w:color w:val="auto"/>
          <w:sz w:val="18"/>
          <w:szCs w:val="18"/>
          <w:highlight w:val="none"/>
        </w:rPr>
      </w:pPr>
      <w:r>
        <w:rPr>
          <w:rFonts w:hint="eastAsia" w:ascii="宋体" w:hAnsi="宋体"/>
          <w:color w:val="auto"/>
          <w:sz w:val="18"/>
          <w:szCs w:val="18"/>
          <w:highlight w:val="none"/>
        </w:rPr>
        <w:t>4）符合条件的残疾人福利性单位在参加政府采购活动时，应当提供《残疾人福利性单位声明函》，并对声明的真实性负责（如有，请提供）</w:t>
      </w:r>
    </w:p>
    <w:p>
      <w:pPr>
        <w:spacing w:line="400" w:lineRule="exact"/>
        <w:ind w:firstLine="450" w:firstLineChars="250"/>
        <w:rPr>
          <w:rFonts w:ascii="宋体" w:hAnsi="宋体"/>
          <w:color w:val="auto"/>
          <w:sz w:val="18"/>
          <w:szCs w:val="18"/>
          <w:highlight w:val="none"/>
        </w:rPr>
      </w:pPr>
      <w:r>
        <w:rPr>
          <w:rFonts w:hint="eastAsia" w:ascii="宋体" w:hAnsi="宋体"/>
          <w:color w:val="auto"/>
          <w:sz w:val="18"/>
          <w:szCs w:val="18"/>
          <w:highlight w:val="none"/>
        </w:rPr>
        <w:t>5）供应商2017年以来具有类似项目业绩的相关证明材料（无不良记录，以中标、成交通知书或签订的项目合同为准，并能清晰反映项目名称、种类、金额）；</w:t>
      </w:r>
    </w:p>
    <w:p>
      <w:pPr>
        <w:spacing w:line="400" w:lineRule="exact"/>
        <w:ind w:firstLine="450" w:firstLineChars="250"/>
        <w:rPr>
          <w:rFonts w:ascii="宋体" w:hAnsi="宋体"/>
          <w:color w:val="auto"/>
          <w:sz w:val="18"/>
          <w:szCs w:val="18"/>
          <w:highlight w:val="none"/>
        </w:rPr>
      </w:pPr>
      <w:r>
        <w:rPr>
          <w:rFonts w:hint="eastAsia" w:ascii="宋体" w:hAnsi="宋体"/>
          <w:color w:val="auto"/>
          <w:sz w:val="18"/>
          <w:szCs w:val="18"/>
          <w:highlight w:val="none"/>
        </w:rPr>
        <w:t>6）供应商认为需要提供的有关资料。</w:t>
      </w:r>
    </w:p>
    <w:p>
      <w:pPr>
        <w:pStyle w:val="4"/>
        <w:rPr>
          <w:color w:val="auto"/>
          <w:sz w:val="18"/>
          <w:szCs w:val="18"/>
          <w:highlight w:val="none"/>
        </w:rPr>
      </w:pPr>
      <w:r>
        <w:rPr>
          <w:rFonts w:hint="eastAsia"/>
          <w:color w:val="auto"/>
          <w:sz w:val="18"/>
          <w:szCs w:val="18"/>
          <w:highlight w:val="none"/>
        </w:rPr>
        <w:t>6. 计量单位</w:t>
      </w:r>
    </w:p>
    <w:p>
      <w:pPr>
        <w:spacing w:line="40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6.1除技术要求中另有规定外，本文件所要求使用的计量单位均应采用国家法定计量单位。</w:t>
      </w:r>
    </w:p>
    <w:p>
      <w:pPr>
        <w:pStyle w:val="4"/>
        <w:rPr>
          <w:color w:val="auto"/>
          <w:sz w:val="18"/>
          <w:szCs w:val="18"/>
          <w:highlight w:val="none"/>
        </w:rPr>
      </w:pPr>
      <w:r>
        <w:rPr>
          <w:rFonts w:hint="eastAsia"/>
          <w:color w:val="auto"/>
          <w:sz w:val="18"/>
          <w:szCs w:val="18"/>
          <w:highlight w:val="none"/>
        </w:rPr>
        <w:t>7.特别说明</w:t>
      </w:r>
    </w:p>
    <w:p>
      <w:pPr>
        <w:tabs>
          <w:tab w:val="left" w:pos="1635"/>
        </w:tabs>
        <w:spacing w:line="390" w:lineRule="exact"/>
        <w:ind w:firstLine="435"/>
        <w:rPr>
          <w:rFonts w:ascii="宋体" w:hAnsi="宋体"/>
          <w:color w:val="auto"/>
          <w:sz w:val="18"/>
          <w:szCs w:val="18"/>
          <w:highlight w:val="none"/>
        </w:rPr>
      </w:pPr>
      <w:r>
        <w:rPr>
          <w:rFonts w:hint="eastAsia" w:ascii="宋体" w:hAnsi="宋体"/>
          <w:color w:val="auto"/>
          <w:sz w:val="18"/>
          <w:szCs w:val="18"/>
          <w:highlight w:val="none"/>
        </w:rPr>
        <w:t>7.1关联供应商不得参加同一合同项下政府采购活动，否则响应文件将被视为无效：</w:t>
      </w:r>
    </w:p>
    <w:p>
      <w:pPr>
        <w:tabs>
          <w:tab w:val="left" w:pos="1635"/>
        </w:tabs>
        <w:spacing w:line="39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（1）单位负责人为同一人或者存在直接控股、管理关系的不同供应商，不得参加同一合同项下的政府采购活动。</w:t>
      </w:r>
    </w:p>
    <w:p>
      <w:pPr>
        <w:spacing w:line="40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（2）为本采购项目提供整体设计、规范编制或者项目管理、监理、检测等服务的供应商，不得再参加本次采购活动。</w:t>
      </w:r>
    </w:p>
    <w:p>
      <w:pPr>
        <w:spacing w:line="40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7.3供应商磋商所使用的资格、信誉、荣誉、检测、业绩与企业认证必须为本法人（负责人、自然人）所拥有。供应商竞标所使用的采购项目实施人员必须为本法人（负责人）员工（或必须为本法人或控股公司正式员工）。</w:t>
      </w:r>
    </w:p>
    <w:p>
      <w:pPr>
        <w:spacing w:line="400" w:lineRule="exact"/>
        <w:ind w:firstLine="360" w:firstLineChars="200"/>
        <w:rPr>
          <w:rFonts w:ascii="宋体" w:hAnsi="宋体"/>
          <w:color w:val="auto"/>
          <w:sz w:val="18"/>
          <w:szCs w:val="18"/>
        </w:rPr>
      </w:pPr>
      <w:r>
        <w:rPr>
          <w:rFonts w:hint="eastAsia" w:ascii="宋体" w:hAnsi="宋体"/>
          <w:color w:val="auto"/>
          <w:sz w:val="18"/>
          <w:szCs w:val="18"/>
          <w:highlight w:val="none"/>
        </w:rPr>
        <w:t>7.4供应商应仔细阅读竞争性磋商文件的所有内容，按照竞争性磋商文件的要求提交响应文件，并对所提供的全部资料的真实性承担法律责</w:t>
      </w:r>
      <w:r>
        <w:rPr>
          <w:rFonts w:hint="eastAsia" w:ascii="宋体" w:hAnsi="宋体"/>
          <w:color w:val="auto"/>
          <w:sz w:val="18"/>
          <w:szCs w:val="18"/>
        </w:rPr>
        <w:t>任。</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7.5.供应商在磋商活动中提供任何虚假材料，其响应文件无效，并报监管部门查处；成交后发现的，成交人须依照《中华人民共和国消费者权益保护法》第49条之规定双倍赔偿采购人，且民事赔偿并不免除违法供应商的行政与刑事责任。</w:t>
      </w:r>
    </w:p>
    <w:p>
      <w:pPr>
        <w:pStyle w:val="3"/>
        <w:rPr>
          <w:color w:val="auto"/>
          <w:sz w:val="30"/>
          <w:szCs w:val="30"/>
        </w:rPr>
      </w:pPr>
      <w:bookmarkStart w:id="23" w:name="_Toc26615"/>
      <w:r>
        <w:rPr>
          <w:rFonts w:hint="eastAsia"/>
          <w:color w:val="auto"/>
          <w:sz w:val="30"/>
          <w:szCs w:val="30"/>
        </w:rPr>
        <w:t>三、报价要求</w:t>
      </w:r>
      <w:bookmarkEnd w:id="23"/>
    </w:p>
    <w:p>
      <w:pPr>
        <w:rPr>
          <w:color w:val="auto"/>
          <w:sz w:val="18"/>
          <w:szCs w:val="18"/>
        </w:rPr>
      </w:pPr>
      <w:r>
        <w:rPr>
          <w:rFonts w:hint="eastAsia"/>
          <w:color w:val="auto"/>
          <w:sz w:val="18"/>
          <w:szCs w:val="18"/>
        </w:rPr>
        <w:t xml:space="preserve">   </w:t>
      </w:r>
      <w:r>
        <w:rPr>
          <w:rStyle w:val="70"/>
          <w:rFonts w:hint="eastAsia"/>
          <w:color w:val="auto"/>
          <w:sz w:val="18"/>
          <w:szCs w:val="18"/>
        </w:rPr>
        <w:t>8.报价要求说明</w:t>
      </w:r>
    </w:p>
    <w:p>
      <w:pPr>
        <w:spacing w:line="400" w:lineRule="exact"/>
        <w:ind w:firstLine="360" w:firstLineChars="200"/>
        <w:rPr>
          <w:color w:val="auto"/>
          <w:sz w:val="18"/>
          <w:szCs w:val="18"/>
        </w:rPr>
      </w:pPr>
      <w:r>
        <w:rPr>
          <w:rFonts w:hint="eastAsia" w:ascii="宋体" w:hAnsi="宋体"/>
          <w:color w:val="auto"/>
          <w:sz w:val="18"/>
          <w:szCs w:val="18"/>
        </w:rPr>
        <w:t>8.1</w:t>
      </w:r>
      <w:r>
        <w:rPr>
          <w:rFonts w:hint="eastAsia"/>
          <w:color w:val="auto"/>
          <w:sz w:val="18"/>
          <w:szCs w:val="18"/>
        </w:rPr>
        <w:t>本项目政府采购</w:t>
      </w:r>
      <w:r>
        <w:rPr>
          <w:rFonts w:hint="eastAsia" w:ascii="宋体" w:hAnsi="宋体"/>
          <w:color w:val="auto"/>
          <w:sz w:val="18"/>
          <w:szCs w:val="18"/>
        </w:rPr>
        <w:t>预算为914817.00元；最后报</w:t>
      </w:r>
      <w:r>
        <w:rPr>
          <w:rFonts w:hint="eastAsia"/>
          <w:color w:val="auto"/>
          <w:sz w:val="18"/>
          <w:szCs w:val="18"/>
        </w:rPr>
        <w:t>价超出预算作无效响应文件处理。</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8.2对于本文件中未列明，而供应商认为必需的费用也需列入总报价。在合同实施时，采购人将不予支付成交供应商没有列入的项目费用，并认为此项目的费用已包括在总报价中。</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8.3成交供应商负责本项目所需提供的服务、设备的维护维保、货物的制造、运输、安装、售后服务等全部工作。</w:t>
      </w:r>
    </w:p>
    <w:p>
      <w:pPr>
        <w:pStyle w:val="22"/>
        <w:spacing w:line="400" w:lineRule="exact"/>
        <w:ind w:firstLine="420"/>
        <w:rPr>
          <w:rFonts w:hAnsi="宋体"/>
          <w:color w:val="auto"/>
          <w:sz w:val="18"/>
          <w:szCs w:val="18"/>
        </w:rPr>
      </w:pPr>
      <w:r>
        <w:rPr>
          <w:rFonts w:hint="eastAsia" w:hAnsi="宋体"/>
          <w:color w:val="auto"/>
          <w:sz w:val="18"/>
          <w:szCs w:val="18"/>
        </w:rPr>
        <w:t>8.4供应商应在报价明细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供应商原因引起的报价失误，并在磋商时被接受，其后果由供应商自负。</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8.5报价：供应商可就《服务采购需求表》中所有的货物和服务内容作完整唯一报价。</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8.6报价指服务价款，对设备的维护维保，货物（或配件）价款，随配附件，备品备件，工具，提供维保服务的人员工资、差旅费等，货物运抵指定交货地点、安装、调试的各种费用和售后服务、税金及其它所有成本、费用的总和。</w:t>
      </w:r>
    </w:p>
    <w:p>
      <w:pPr>
        <w:pStyle w:val="3"/>
        <w:rPr>
          <w:color w:val="auto"/>
          <w:sz w:val="18"/>
          <w:szCs w:val="18"/>
        </w:rPr>
      </w:pPr>
      <w:bookmarkStart w:id="24" w:name="_Toc14141"/>
      <w:r>
        <w:rPr>
          <w:rFonts w:hint="eastAsia"/>
          <w:color w:val="auto"/>
          <w:sz w:val="18"/>
          <w:szCs w:val="18"/>
        </w:rPr>
        <w:t>四、响应文件的份数、装订、签署和包装、密封</w:t>
      </w:r>
      <w:bookmarkEnd w:id="24"/>
    </w:p>
    <w:p>
      <w:pPr>
        <w:pStyle w:val="4"/>
        <w:rPr>
          <w:color w:val="auto"/>
          <w:sz w:val="18"/>
          <w:szCs w:val="18"/>
        </w:rPr>
      </w:pPr>
      <w:r>
        <w:rPr>
          <w:rFonts w:hint="eastAsia"/>
          <w:color w:val="auto"/>
          <w:sz w:val="18"/>
          <w:szCs w:val="18"/>
        </w:rPr>
        <w:t>9.响应文件的份数、装订、签署和包装、密封要求</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9.1 响应文件份数：正本壹册，副本叁册，须完整提交（A4纸装订）。</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9.2 响应文件装订要求：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9.3响应文件的正本需打印或用不褪色的墨水填写，响应文件正本除本磋商文件中规定的可提供复印件外均须提供原件。</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9.4 响应文件</w:t>
      </w:r>
      <w:r>
        <w:rPr>
          <w:rFonts w:hint="eastAsia" w:ascii="宋体" w:hAnsi="宋体"/>
          <w:color w:val="auto"/>
          <w:sz w:val="18"/>
          <w:szCs w:val="18"/>
          <w:highlight w:val="none"/>
        </w:rPr>
        <w:t>须由供应商在规定位置加盖供应商公章（扫描公章无效）并由法定代表人、负责人或相应的授权委托代理人签字，供应商应写全称，响应文件副本可以是正本已签字盖章的复印件，当正本与副</w:t>
      </w:r>
      <w:r>
        <w:rPr>
          <w:rFonts w:hint="eastAsia" w:ascii="宋体" w:hAnsi="宋体"/>
          <w:color w:val="auto"/>
          <w:sz w:val="18"/>
          <w:szCs w:val="18"/>
        </w:rPr>
        <w:t>本不一致时，以正本为准。</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9.5 响应文件不得涂改，若有修改错漏处，须加盖供应商公章及法定代表人、负责人或相应的授权委托代理人签字。响应文件因字迹潦草或表达不清所引起的后果由供应商负责。</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9.6 响应文件包装、密封、标记：</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9.6.1 响应文件包装、密封：供应商须将响应文件“正本”、“副本”一并装入并密封在一个响应文件袋（盒、箱）中，并在密封处密封签章【公章、密封章、法定代表人、负责人或相应的授权委托代理人签字均可】。</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9.6.2 响应文件袋标记：</w:t>
      </w:r>
    </w:p>
    <w:p>
      <w:pPr>
        <w:spacing w:line="400" w:lineRule="exact"/>
        <w:ind w:firstLine="360" w:firstLineChars="200"/>
        <w:rPr>
          <w:rFonts w:ascii="宋体" w:hAnsi="宋体" w:cs="宋体"/>
          <w:color w:val="auto"/>
          <w:sz w:val="18"/>
          <w:szCs w:val="18"/>
          <w:u w:val="single"/>
        </w:rPr>
      </w:pPr>
      <w:r>
        <w:rPr>
          <w:rFonts w:hint="eastAsia" w:ascii="宋体" w:hAnsi="宋体"/>
          <w:color w:val="auto"/>
          <w:sz w:val="18"/>
          <w:szCs w:val="18"/>
        </w:rPr>
        <w:t>项目名称：</w:t>
      </w:r>
      <w:r>
        <w:rPr>
          <w:rFonts w:hint="eastAsia" w:ascii="宋体" w:hAnsi="宋体"/>
          <w:color w:val="auto"/>
          <w:sz w:val="18"/>
          <w:szCs w:val="18"/>
          <w:u w:val="single"/>
        </w:rPr>
        <w:t xml:space="preserve"> 灵山县人民法院乡镇法庭LED大屏及视频监控系统采购项目        </w:t>
      </w:r>
    </w:p>
    <w:p>
      <w:pPr>
        <w:spacing w:line="400" w:lineRule="exact"/>
        <w:ind w:firstLine="360" w:firstLineChars="200"/>
        <w:rPr>
          <w:rFonts w:ascii="宋体" w:hAnsi="宋体"/>
          <w:color w:val="auto"/>
          <w:sz w:val="18"/>
          <w:szCs w:val="18"/>
          <w:u w:val="single"/>
        </w:rPr>
      </w:pPr>
      <w:r>
        <w:rPr>
          <w:rFonts w:hint="eastAsia" w:ascii="宋体" w:hAnsi="宋体"/>
          <w:color w:val="auto"/>
          <w:sz w:val="18"/>
          <w:szCs w:val="18"/>
        </w:rPr>
        <w:t xml:space="preserve">项目编号： QZZC2020-C1-50012-GXCH   </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采购代理机构：</w:t>
      </w:r>
      <w:r>
        <w:rPr>
          <w:rFonts w:ascii="宋体" w:hAnsi="宋体"/>
          <w:color w:val="auto"/>
          <w:sz w:val="18"/>
          <w:szCs w:val="18"/>
        </w:rPr>
        <w:t xml:space="preserve">广西诚华工程造价咨询有限公司  </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供应商单位名称：</w:t>
      </w:r>
    </w:p>
    <w:p>
      <w:pPr>
        <w:pStyle w:val="4"/>
        <w:rPr>
          <w:color w:val="auto"/>
          <w:sz w:val="18"/>
          <w:szCs w:val="18"/>
        </w:rPr>
      </w:pPr>
      <w:r>
        <w:rPr>
          <w:rFonts w:hint="eastAsia"/>
          <w:color w:val="auto"/>
          <w:sz w:val="18"/>
          <w:szCs w:val="18"/>
        </w:rPr>
        <w:t>10. 竞争性磋商响应文件的递交</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10.1所有竞争性磋商响应文件应于竞争性磋商文件中规定的时间前递交到</w:t>
      </w:r>
      <w:r>
        <w:rPr>
          <w:rFonts w:hint="eastAsia" w:ascii="宋体" w:hAnsi="宋体" w:cs="宋体"/>
          <w:color w:val="auto"/>
          <w:sz w:val="18"/>
          <w:szCs w:val="18"/>
        </w:rPr>
        <w:t>钦州市灵山县灵城镇江滨三路63号</w:t>
      </w:r>
      <w:r>
        <w:rPr>
          <w:rFonts w:ascii="宋体" w:hAnsi="宋体"/>
          <w:color w:val="auto"/>
          <w:sz w:val="18"/>
          <w:szCs w:val="18"/>
          <w:u w:val="single"/>
        </w:rPr>
        <w:t>（广西诚华工程造价咨询有限公司开标室）</w:t>
      </w:r>
      <w:r>
        <w:rPr>
          <w:rFonts w:hint="eastAsia" w:ascii="宋体" w:hAnsi="宋体"/>
          <w:color w:val="auto"/>
          <w:sz w:val="18"/>
          <w:szCs w:val="18"/>
          <w:u w:val="single"/>
        </w:rPr>
        <w:t>。</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10.2响应文件有效期：竞争性磋商响应文件从响应文件递交截止日期后</w:t>
      </w:r>
      <w:r>
        <w:rPr>
          <w:rFonts w:hint="eastAsia" w:ascii="宋体" w:hAnsi="宋体"/>
          <w:color w:val="auto"/>
          <w:sz w:val="18"/>
          <w:szCs w:val="18"/>
          <w:u w:val="single"/>
        </w:rPr>
        <w:t xml:space="preserve">  90日 </w:t>
      </w:r>
      <w:r>
        <w:rPr>
          <w:rFonts w:hint="eastAsia" w:ascii="宋体" w:hAnsi="宋体"/>
          <w:color w:val="auto"/>
          <w:sz w:val="18"/>
          <w:szCs w:val="18"/>
        </w:rPr>
        <w:t>内有效。</w:t>
      </w:r>
    </w:p>
    <w:p>
      <w:pPr>
        <w:pStyle w:val="4"/>
        <w:rPr>
          <w:color w:val="auto"/>
          <w:sz w:val="18"/>
          <w:szCs w:val="18"/>
        </w:rPr>
      </w:pPr>
      <w:r>
        <w:rPr>
          <w:rFonts w:hint="eastAsia"/>
          <w:color w:val="auto"/>
          <w:sz w:val="18"/>
          <w:szCs w:val="18"/>
        </w:rPr>
        <w:t>11.迟交的竞争性磋商响应文件</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11.1在本文件要求竞争性磋商响应文件递交截止时间后送达的竞争性磋商响应文件为无效文件，</w:t>
      </w:r>
      <w:r>
        <w:rPr>
          <w:rFonts w:ascii="宋体" w:hAnsi="宋体"/>
          <w:color w:val="auto"/>
          <w:sz w:val="18"/>
          <w:szCs w:val="18"/>
        </w:rPr>
        <w:t>广西诚华工程造价咨询有限公司</w:t>
      </w:r>
      <w:r>
        <w:rPr>
          <w:rFonts w:hint="eastAsia" w:ascii="宋体" w:hAnsi="宋体"/>
          <w:color w:val="auto"/>
          <w:sz w:val="18"/>
          <w:szCs w:val="18"/>
        </w:rPr>
        <w:t>将拒收。</w:t>
      </w:r>
    </w:p>
    <w:p>
      <w:pPr>
        <w:pStyle w:val="4"/>
        <w:rPr>
          <w:color w:val="auto"/>
          <w:sz w:val="18"/>
          <w:szCs w:val="18"/>
        </w:rPr>
      </w:pPr>
      <w:r>
        <w:rPr>
          <w:rFonts w:hint="eastAsia"/>
          <w:color w:val="auto"/>
          <w:sz w:val="18"/>
          <w:szCs w:val="18"/>
        </w:rPr>
        <w:t>12.磋商保证金</w:t>
      </w:r>
    </w:p>
    <w:p>
      <w:pPr>
        <w:spacing w:line="340" w:lineRule="exact"/>
        <w:ind w:firstLine="270" w:firstLineChars="150"/>
        <w:rPr>
          <w:rFonts w:ascii="宋体" w:hAnsi="宋体"/>
          <w:b/>
          <w:color w:val="auto"/>
          <w:sz w:val="18"/>
          <w:szCs w:val="18"/>
        </w:rPr>
      </w:pPr>
      <w:r>
        <w:rPr>
          <w:rFonts w:ascii="宋体" w:hAnsi="宋体"/>
          <w:color w:val="auto"/>
          <w:sz w:val="18"/>
          <w:szCs w:val="18"/>
        </w:rPr>
        <w:t>1</w:t>
      </w:r>
      <w:r>
        <w:rPr>
          <w:rFonts w:hint="eastAsia" w:ascii="宋体" w:hAnsi="宋体"/>
          <w:color w:val="auto"/>
          <w:sz w:val="18"/>
          <w:szCs w:val="18"/>
        </w:rPr>
        <w:t>2</w:t>
      </w:r>
      <w:r>
        <w:rPr>
          <w:rFonts w:ascii="宋体" w:hAnsi="宋体"/>
          <w:color w:val="auto"/>
          <w:sz w:val="18"/>
          <w:szCs w:val="18"/>
        </w:rPr>
        <w:t>.1</w:t>
      </w:r>
      <w:r>
        <w:rPr>
          <w:rFonts w:hint="eastAsia" w:ascii="宋体" w:hAnsi="宋体"/>
          <w:color w:val="auto"/>
          <w:sz w:val="18"/>
          <w:szCs w:val="18"/>
        </w:rPr>
        <w:t>磋商保证金（人民币）为：</w:t>
      </w:r>
      <w:r>
        <w:rPr>
          <w:rFonts w:hint="eastAsia" w:ascii="宋体" w:hAnsi="宋体"/>
          <w:b/>
          <w:color w:val="auto"/>
          <w:sz w:val="18"/>
          <w:szCs w:val="18"/>
        </w:rPr>
        <w:t>8000.00元（须足额交纳）。</w:t>
      </w:r>
    </w:p>
    <w:p>
      <w:pPr>
        <w:spacing w:line="360" w:lineRule="auto"/>
        <w:ind w:firstLine="360" w:firstLineChars="200"/>
        <w:rPr>
          <w:rFonts w:ascii="宋体" w:hAnsi="宋体" w:cs="宋体"/>
          <w:color w:val="auto"/>
          <w:sz w:val="18"/>
          <w:szCs w:val="18"/>
        </w:rPr>
      </w:pPr>
      <w:r>
        <w:rPr>
          <w:rFonts w:hint="eastAsia" w:ascii="宋体" w:hAnsi="宋体"/>
          <w:color w:val="auto"/>
          <w:sz w:val="18"/>
          <w:szCs w:val="18"/>
        </w:rPr>
        <w:t xml:space="preserve">12.2 </w:t>
      </w:r>
      <w:r>
        <w:rPr>
          <w:rFonts w:hint="eastAsia" w:ascii="宋体" w:hAnsi="宋体" w:cs="宋体"/>
          <w:color w:val="auto"/>
          <w:sz w:val="18"/>
          <w:szCs w:val="18"/>
        </w:rPr>
        <w:t>供应商应于</w:t>
      </w:r>
      <w:r>
        <w:rPr>
          <w:rFonts w:hint="eastAsia" w:ascii="宋体" w:hAnsi="宋体"/>
          <w:color w:val="auto"/>
          <w:sz w:val="18"/>
          <w:szCs w:val="18"/>
        </w:rPr>
        <w:t>2020年11月26日下午15时30分</w:t>
      </w:r>
      <w:r>
        <w:rPr>
          <w:rFonts w:hint="eastAsia" w:ascii="宋体" w:hAnsi="宋体" w:cs="宋体"/>
          <w:color w:val="auto"/>
          <w:sz w:val="18"/>
          <w:szCs w:val="18"/>
        </w:rPr>
        <w:t>前将磋商保证金以电汇、转账等非现金形式从供应商银行账户转出并到达以下账户，本项目不接受现金形式或从个人账户转出的竞标保证金。</w:t>
      </w:r>
    </w:p>
    <w:p>
      <w:pPr>
        <w:spacing w:line="340" w:lineRule="exact"/>
        <w:ind w:firstLine="360" w:firstLineChars="200"/>
        <w:rPr>
          <w:rFonts w:ascii="宋体" w:hAnsi="宋体"/>
          <w:color w:val="auto"/>
          <w:sz w:val="18"/>
          <w:szCs w:val="18"/>
        </w:rPr>
      </w:pPr>
      <w:r>
        <w:rPr>
          <w:rFonts w:hint="eastAsia" w:ascii="宋体" w:hAnsi="宋体"/>
          <w:color w:val="auto"/>
          <w:sz w:val="18"/>
          <w:szCs w:val="18"/>
        </w:rPr>
        <w:t>户名：广西诚华工程造价咨询有限公司灵山分公司</w:t>
      </w:r>
    </w:p>
    <w:p>
      <w:pPr>
        <w:spacing w:line="340" w:lineRule="exact"/>
        <w:ind w:firstLine="360" w:firstLineChars="200"/>
        <w:rPr>
          <w:rFonts w:ascii="宋体" w:hAnsi="宋体"/>
          <w:color w:val="auto"/>
          <w:sz w:val="18"/>
          <w:szCs w:val="18"/>
        </w:rPr>
      </w:pPr>
      <w:r>
        <w:rPr>
          <w:rFonts w:hint="eastAsia" w:ascii="宋体" w:hAnsi="宋体"/>
          <w:color w:val="auto"/>
          <w:sz w:val="18"/>
          <w:szCs w:val="18"/>
        </w:rPr>
        <w:t>开户银行：中国农业银行股份有限公司灵山三海分理处</w:t>
      </w:r>
    </w:p>
    <w:p>
      <w:pPr>
        <w:spacing w:line="340" w:lineRule="exact"/>
        <w:ind w:firstLine="360" w:firstLineChars="200"/>
        <w:rPr>
          <w:rFonts w:ascii="宋体" w:hAnsi="宋体"/>
          <w:color w:val="auto"/>
          <w:sz w:val="18"/>
          <w:szCs w:val="18"/>
        </w:rPr>
      </w:pPr>
      <w:r>
        <w:rPr>
          <w:rFonts w:hint="eastAsia" w:ascii="宋体" w:hAnsi="宋体"/>
          <w:color w:val="auto"/>
          <w:sz w:val="18"/>
          <w:szCs w:val="18"/>
        </w:rPr>
        <w:t>账号：2075 5801 04000 7757</w:t>
      </w:r>
    </w:p>
    <w:p>
      <w:pPr>
        <w:spacing w:line="340" w:lineRule="exact"/>
        <w:ind w:firstLine="360" w:firstLineChars="200"/>
        <w:rPr>
          <w:rFonts w:ascii="宋体" w:hAnsi="宋体"/>
          <w:color w:val="auto"/>
          <w:sz w:val="18"/>
          <w:szCs w:val="18"/>
        </w:rPr>
      </w:pPr>
      <w:r>
        <w:rPr>
          <w:rFonts w:hint="eastAsia" w:ascii="宋体" w:hAnsi="宋体"/>
          <w:color w:val="auto"/>
          <w:sz w:val="18"/>
          <w:szCs w:val="18"/>
        </w:rPr>
        <w:t>12.3凡未在规定时间内足额交纳或以其它方式交纳的磋商保证金均视为无效磋商保证金，其响应文件一律作无效处理。</w:t>
      </w:r>
    </w:p>
    <w:p>
      <w:pPr>
        <w:pStyle w:val="22"/>
        <w:spacing w:line="400" w:lineRule="exact"/>
        <w:ind w:firstLine="360" w:firstLineChars="200"/>
        <w:rPr>
          <w:rFonts w:hAnsi="宋体"/>
          <w:color w:val="auto"/>
          <w:sz w:val="18"/>
          <w:szCs w:val="18"/>
        </w:rPr>
      </w:pPr>
      <w:r>
        <w:rPr>
          <w:rFonts w:hint="eastAsia" w:hAnsi="宋体"/>
          <w:color w:val="auto"/>
          <w:sz w:val="18"/>
          <w:szCs w:val="18"/>
        </w:rPr>
        <w:t>12.4办理磋商保证金手续时，请务必在银行相关票据（非现金）或凭证的用途或空白栏上注明项目名称及项目编号，以免耽误竞争性磋商。</w:t>
      </w:r>
    </w:p>
    <w:p>
      <w:pPr>
        <w:widowControl/>
        <w:spacing w:line="400" w:lineRule="exact"/>
        <w:ind w:firstLine="360" w:firstLineChars="200"/>
        <w:jc w:val="left"/>
        <w:rPr>
          <w:rFonts w:ascii="宋体" w:hAnsi="宋体"/>
          <w:color w:val="auto"/>
          <w:sz w:val="18"/>
          <w:szCs w:val="18"/>
        </w:rPr>
      </w:pPr>
      <w:r>
        <w:rPr>
          <w:rFonts w:hint="eastAsia" w:ascii="宋体" w:hAnsi="宋体"/>
          <w:color w:val="auto"/>
          <w:sz w:val="18"/>
          <w:szCs w:val="18"/>
        </w:rPr>
        <w:t>12.5对应交未交或未足额交纳磋商保证金的竞争性磋商响应文件，将会在评审中按照无效竞争性磋商响应文件处理。</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12.6磋商保证金的退还均以转账形式（无息）退回到供应商单位银行账户。除竞争性磋商文件规定不予退还保证金的情形外，未成交供应商的磋商保证金在成交通知书发出后五个工作日内，供应商提供本单位开户银行及账号后，以转账方式退还磋商保证金。成交供应商将政府采购合同一份送采购代理机构备案后，采购代理机构在五个工作日内予以退还其磋商保证金。</w:t>
      </w:r>
    </w:p>
    <w:p>
      <w:pPr>
        <w:tabs>
          <w:tab w:val="left" w:pos="975"/>
        </w:tabs>
        <w:snapToGrid w:val="0"/>
        <w:spacing w:line="400" w:lineRule="exact"/>
        <w:ind w:firstLine="354" w:firstLineChars="196"/>
        <w:jc w:val="left"/>
        <w:rPr>
          <w:rFonts w:ascii="宋体" w:hAnsi="宋体"/>
          <w:b/>
          <w:bCs/>
          <w:color w:val="auto"/>
          <w:sz w:val="18"/>
          <w:szCs w:val="18"/>
        </w:rPr>
      </w:pPr>
      <w:r>
        <w:rPr>
          <w:rFonts w:hint="eastAsia" w:ascii="宋体" w:hAnsi="宋体"/>
          <w:b/>
          <w:bCs/>
          <w:color w:val="auto"/>
          <w:sz w:val="18"/>
          <w:szCs w:val="18"/>
        </w:rPr>
        <w:t>注：</w:t>
      </w:r>
      <w:r>
        <w:rPr>
          <w:rFonts w:hint="eastAsia" w:ascii="宋体" w:hAnsi="宋体" w:cs="宋体"/>
          <w:b/>
          <w:color w:val="auto"/>
          <w:kern w:val="0"/>
          <w:sz w:val="18"/>
          <w:szCs w:val="18"/>
        </w:rPr>
        <w:t>在采购过程中符合竞争要求的供应商或者报价未超过采购预算的供应商不足3家的</w:t>
      </w:r>
      <w:r>
        <w:rPr>
          <w:rFonts w:hint="eastAsia" w:ascii="宋体" w:hAnsi="宋体"/>
          <w:b/>
          <w:bCs/>
          <w:color w:val="auto"/>
          <w:sz w:val="18"/>
          <w:szCs w:val="18"/>
        </w:rPr>
        <w:t>，采购代理机构将按政府采购管理的有关规定处理。</w:t>
      </w:r>
    </w:p>
    <w:p>
      <w:pPr>
        <w:snapToGrid w:val="0"/>
        <w:spacing w:line="400" w:lineRule="exact"/>
        <w:ind w:firstLine="354" w:firstLineChars="196"/>
        <w:jc w:val="left"/>
        <w:rPr>
          <w:rFonts w:ascii="宋体" w:hAnsi="宋体"/>
          <w:b/>
          <w:bCs/>
          <w:color w:val="auto"/>
          <w:sz w:val="18"/>
          <w:szCs w:val="18"/>
        </w:rPr>
      </w:pPr>
      <w:r>
        <w:rPr>
          <w:rFonts w:hint="eastAsia" w:ascii="宋体" w:hAnsi="宋体"/>
          <w:b/>
          <w:bCs/>
          <w:color w:val="auto"/>
          <w:sz w:val="18"/>
          <w:szCs w:val="18"/>
        </w:rPr>
        <w:t>12.7供应商有下列情形之一的，磋商保证金将不予退还：</w:t>
      </w:r>
    </w:p>
    <w:p>
      <w:pPr>
        <w:widowControl/>
        <w:spacing w:before="180" w:after="180" w:line="40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（1）供应商在提交</w:t>
      </w:r>
      <w:r>
        <w:rPr>
          <w:rFonts w:hint="eastAsia" w:ascii="宋体" w:hAnsi="宋体"/>
          <w:color w:val="auto"/>
          <w:sz w:val="18"/>
          <w:szCs w:val="18"/>
        </w:rPr>
        <w:t>竞争性磋商</w:t>
      </w:r>
      <w:r>
        <w:rPr>
          <w:rFonts w:hint="eastAsia" w:ascii="宋体" w:hAnsi="宋体" w:cs="宋体"/>
          <w:color w:val="auto"/>
          <w:kern w:val="0"/>
          <w:sz w:val="18"/>
          <w:szCs w:val="18"/>
        </w:rPr>
        <w:t>响应文件截止时间后撤回</w:t>
      </w:r>
      <w:r>
        <w:rPr>
          <w:rFonts w:hint="eastAsia" w:ascii="宋体" w:hAnsi="宋体"/>
          <w:color w:val="auto"/>
          <w:sz w:val="18"/>
          <w:szCs w:val="18"/>
        </w:rPr>
        <w:t>竞争性磋商</w:t>
      </w:r>
      <w:r>
        <w:rPr>
          <w:rFonts w:hint="eastAsia" w:ascii="宋体" w:hAnsi="宋体" w:cs="宋体"/>
          <w:color w:val="auto"/>
          <w:kern w:val="0"/>
          <w:sz w:val="18"/>
          <w:szCs w:val="18"/>
        </w:rPr>
        <w:t>响应文件的；</w:t>
      </w:r>
    </w:p>
    <w:p>
      <w:pPr>
        <w:widowControl/>
        <w:spacing w:before="180" w:after="180" w:line="400" w:lineRule="exact"/>
        <w:jc w:val="left"/>
        <w:rPr>
          <w:rFonts w:ascii="宋体" w:hAnsi="宋体" w:cs="宋体"/>
          <w:color w:val="auto"/>
          <w:kern w:val="0"/>
          <w:sz w:val="18"/>
          <w:szCs w:val="18"/>
        </w:rPr>
      </w:pPr>
      <w:r>
        <w:rPr>
          <w:rFonts w:hint="eastAsia" w:ascii="宋体" w:hAnsi="宋体" w:cs="宋体"/>
          <w:color w:val="auto"/>
          <w:kern w:val="0"/>
          <w:sz w:val="18"/>
          <w:szCs w:val="18"/>
        </w:rPr>
        <w:t>　　（2）供应商在</w:t>
      </w:r>
      <w:r>
        <w:rPr>
          <w:rFonts w:hint="eastAsia" w:ascii="宋体" w:hAnsi="宋体"/>
          <w:color w:val="auto"/>
          <w:sz w:val="18"/>
          <w:szCs w:val="18"/>
        </w:rPr>
        <w:t>竞争性磋商</w:t>
      </w:r>
      <w:r>
        <w:rPr>
          <w:rFonts w:hint="eastAsia" w:ascii="宋体" w:hAnsi="宋体" w:cs="宋体"/>
          <w:color w:val="auto"/>
          <w:kern w:val="0"/>
          <w:sz w:val="18"/>
          <w:szCs w:val="18"/>
        </w:rPr>
        <w:t>响应文件中提供虚假材料的；</w:t>
      </w:r>
    </w:p>
    <w:p>
      <w:pPr>
        <w:widowControl/>
        <w:spacing w:before="180" w:after="180" w:line="400" w:lineRule="exact"/>
        <w:jc w:val="left"/>
        <w:rPr>
          <w:rFonts w:ascii="宋体" w:hAnsi="宋体" w:cs="宋体"/>
          <w:color w:val="auto"/>
          <w:kern w:val="0"/>
          <w:sz w:val="18"/>
          <w:szCs w:val="18"/>
        </w:rPr>
      </w:pPr>
      <w:r>
        <w:rPr>
          <w:rFonts w:hint="eastAsia" w:ascii="宋体" w:hAnsi="宋体" w:cs="宋体"/>
          <w:color w:val="auto"/>
          <w:kern w:val="0"/>
          <w:sz w:val="18"/>
          <w:szCs w:val="18"/>
        </w:rPr>
        <w:t>　　（3）除因不可抗力或</w:t>
      </w:r>
      <w:r>
        <w:rPr>
          <w:rFonts w:hint="eastAsia" w:ascii="宋体" w:hAnsi="宋体"/>
          <w:color w:val="auto"/>
          <w:sz w:val="18"/>
          <w:szCs w:val="18"/>
        </w:rPr>
        <w:t>竞争性磋商文件</w:t>
      </w:r>
      <w:r>
        <w:rPr>
          <w:rFonts w:hint="eastAsia" w:ascii="宋体" w:hAnsi="宋体" w:cs="宋体"/>
          <w:color w:val="auto"/>
          <w:kern w:val="0"/>
          <w:sz w:val="18"/>
          <w:szCs w:val="18"/>
        </w:rPr>
        <w:t>认可的情形以外，成交供应商不与采购人签订合同的；</w:t>
      </w:r>
    </w:p>
    <w:p>
      <w:pPr>
        <w:widowControl/>
        <w:spacing w:before="180" w:after="180" w:line="400" w:lineRule="exact"/>
        <w:jc w:val="left"/>
        <w:rPr>
          <w:rFonts w:ascii="宋体" w:hAnsi="宋体" w:cs="宋体"/>
          <w:color w:val="auto"/>
          <w:kern w:val="0"/>
          <w:sz w:val="18"/>
          <w:szCs w:val="18"/>
        </w:rPr>
      </w:pPr>
      <w:r>
        <w:rPr>
          <w:rFonts w:hint="eastAsia" w:ascii="宋体" w:hAnsi="宋体" w:cs="宋体"/>
          <w:color w:val="auto"/>
          <w:kern w:val="0"/>
          <w:sz w:val="18"/>
          <w:szCs w:val="18"/>
        </w:rPr>
        <w:t>　　（4）供应商与采购人、其他供应商或者采购代理机构恶意串通的。</w:t>
      </w:r>
    </w:p>
    <w:p>
      <w:pPr>
        <w:spacing w:line="400" w:lineRule="exact"/>
        <w:ind w:firstLine="361" w:firstLineChars="200"/>
        <w:rPr>
          <w:rFonts w:ascii="宋体" w:hAnsi="宋体"/>
          <w:b/>
          <w:color w:val="auto"/>
          <w:sz w:val="18"/>
          <w:szCs w:val="18"/>
        </w:rPr>
      </w:pPr>
      <w:r>
        <w:rPr>
          <w:rFonts w:hint="eastAsia" w:ascii="宋体" w:hAnsi="宋体"/>
          <w:b/>
          <w:bCs/>
          <w:color w:val="auto"/>
          <w:sz w:val="18"/>
          <w:szCs w:val="18"/>
        </w:rPr>
        <w:t>注：</w:t>
      </w:r>
      <w:r>
        <w:rPr>
          <w:rFonts w:hint="eastAsia" w:ascii="宋体" w:hAnsi="宋体" w:cs="宋体"/>
          <w:b/>
          <w:color w:val="auto"/>
          <w:kern w:val="0"/>
          <w:sz w:val="18"/>
          <w:szCs w:val="18"/>
        </w:rPr>
        <w:t>供应商</w:t>
      </w:r>
      <w:r>
        <w:rPr>
          <w:rFonts w:hint="eastAsia" w:ascii="宋体" w:hAnsi="宋体"/>
          <w:b/>
          <w:color w:val="auto"/>
          <w:sz w:val="18"/>
          <w:szCs w:val="18"/>
        </w:rPr>
        <w:t>已经被推荐为第一成交候选人后撤回竞争性磋商</w:t>
      </w:r>
      <w:r>
        <w:rPr>
          <w:rFonts w:hint="eastAsia" w:ascii="宋体" w:hAnsi="宋体" w:cs="宋体"/>
          <w:b/>
          <w:color w:val="auto"/>
          <w:kern w:val="0"/>
          <w:sz w:val="18"/>
          <w:szCs w:val="18"/>
        </w:rPr>
        <w:t>响应文件</w:t>
      </w:r>
      <w:r>
        <w:rPr>
          <w:rFonts w:hint="eastAsia" w:ascii="宋体" w:hAnsi="宋体"/>
          <w:b/>
          <w:color w:val="auto"/>
          <w:sz w:val="18"/>
          <w:szCs w:val="18"/>
        </w:rPr>
        <w:t>或</w:t>
      </w:r>
      <w:r>
        <w:rPr>
          <w:rFonts w:hint="eastAsia" w:ascii="宋体" w:hAnsi="宋体" w:cs="宋体"/>
          <w:b/>
          <w:color w:val="auto"/>
          <w:kern w:val="0"/>
          <w:sz w:val="18"/>
          <w:szCs w:val="18"/>
        </w:rPr>
        <w:t>拒绝签订政府采购合同的</w:t>
      </w:r>
      <w:r>
        <w:rPr>
          <w:rFonts w:hint="eastAsia" w:ascii="宋体" w:hAnsi="宋体"/>
          <w:b/>
          <w:color w:val="auto"/>
          <w:sz w:val="18"/>
          <w:szCs w:val="18"/>
        </w:rPr>
        <w:t>，其保证金将不予退还，并上缴同级财政国库，给采购人造成其损失的，还应当赔偿损失，并作为不良行为记录在案。</w:t>
      </w:r>
    </w:p>
    <w:p>
      <w:pPr>
        <w:pStyle w:val="3"/>
        <w:rPr>
          <w:color w:val="auto"/>
          <w:sz w:val="30"/>
          <w:szCs w:val="30"/>
        </w:rPr>
      </w:pPr>
      <w:bookmarkStart w:id="25" w:name="_Toc29901"/>
      <w:r>
        <w:rPr>
          <w:rFonts w:hint="eastAsia"/>
          <w:color w:val="auto"/>
          <w:sz w:val="30"/>
          <w:szCs w:val="30"/>
        </w:rPr>
        <w:t>五、磋商程序及评审方法</w:t>
      </w:r>
      <w:bookmarkEnd w:id="25"/>
    </w:p>
    <w:p>
      <w:pPr>
        <w:widowControl/>
        <w:spacing w:before="180" w:after="180" w:line="400" w:lineRule="exact"/>
        <w:ind w:firstLine="450" w:firstLineChars="250"/>
        <w:jc w:val="left"/>
        <w:rPr>
          <w:rFonts w:ascii="宋体" w:hAnsi="宋体"/>
          <w:color w:val="auto"/>
          <w:sz w:val="18"/>
          <w:szCs w:val="18"/>
        </w:rPr>
      </w:pPr>
      <w:r>
        <w:rPr>
          <w:rFonts w:hint="eastAsia" w:ascii="宋体" w:hAnsi="宋体"/>
          <w:color w:val="auto"/>
          <w:sz w:val="18"/>
          <w:szCs w:val="18"/>
        </w:rPr>
        <w:t>采购代理机构核实磋商小组成员身份，告知回避要求，宣布评审工作纪律和程序，统一保管通讯工具或相关电子设备，推选磋商小组组长。</w:t>
      </w:r>
    </w:p>
    <w:p>
      <w:pPr>
        <w:widowControl/>
        <w:spacing w:before="180" w:after="180" w:line="400" w:lineRule="exact"/>
        <w:ind w:firstLine="450" w:firstLineChars="250"/>
        <w:jc w:val="left"/>
        <w:rPr>
          <w:rFonts w:ascii="宋体" w:hAnsi="宋体"/>
          <w:color w:val="auto"/>
          <w:sz w:val="18"/>
          <w:szCs w:val="18"/>
        </w:rPr>
      </w:pPr>
      <w:r>
        <w:rPr>
          <w:rFonts w:hint="eastAsia" w:ascii="宋体" w:hAnsi="宋体"/>
          <w:color w:val="auto"/>
          <w:sz w:val="18"/>
          <w:szCs w:val="18"/>
        </w:rPr>
        <w:t>在磋商正式开始前由磋商小组对竞争性磋商文件进行确认，认可竞争性磋商文件的内容符合法律法规的规定、不存在歧视性或排他性内容。</w:t>
      </w:r>
    </w:p>
    <w:p>
      <w:pPr>
        <w:widowControl/>
        <w:spacing w:before="180" w:after="180" w:line="400" w:lineRule="exact"/>
        <w:ind w:firstLine="450" w:firstLineChars="250"/>
        <w:jc w:val="left"/>
        <w:rPr>
          <w:rFonts w:ascii="宋体" w:hAnsi="宋体" w:cs="宋体"/>
          <w:color w:val="auto"/>
          <w:kern w:val="0"/>
          <w:sz w:val="18"/>
          <w:szCs w:val="18"/>
        </w:rPr>
      </w:pPr>
      <w:r>
        <w:rPr>
          <w:rFonts w:hint="eastAsia" w:ascii="宋体" w:hAnsi="宋体" w:cs="宋体"/>
          <w:color w:val="auto"/>
          <w:kern w:val="0"/>
          <w:sz w:val="18"/>
          <w:szCs w:val="18"/>
        </w:rPr>
        <w:t>未实质性响应</w:t>
      </w:r>
      <w:r>
        <w:rPr>
          <w:rFonts w:hint="eastAsia" w:ascii="宋体" w:hAnsi="宋体"/>
          <w:color w:val="auto"/>
          <w:sz w:val="18"/>
          <w:szCs w:val="18"/>
        </w:rPr>
        <w:t>竞争性磋商文件</w:t>
      </w:r>
      <w:r>
        <w:rPr>
          <w:rFonts w:hint="eastAsia" w:ascii="宋体" w:hAnsi="宋体" w:cs="宋体"/>
          <w:color w:val="auto"/>
          <w:kern w:val="0"/>
          <w:sz w:val="18"/>
          <w:szCs w:val="18"/>
        </w:rPr>
        <w:t>的</w:t>
      </w:r>
      <w:r>
        <w:rPr>
          <w:rFonts w:hint="eastAsia" w:ascii="宋体" w:hAnsi="宋体"/>
          <w:color w:val="auto"/>
          <w:sz w:val="18"/>
          <w:szCs w:val="18"/>
        </w:rPr>
        <w:t>竞争性磋商</w:t>
      </w:r>
      <w:r>
        <w:rPr>
          <w:rFonts w:hint="eastAsia" w:ascii="宋体" w:hAnsi="宋体" w:cs="宋体"/>
          <w:color w:val="auto"/>
          <w:kern w:val="0"/>
          <w:sz w:val="18"/>
          <w:szCs w:val="18"/>
        </w:rPr>
        <w:t>响应文件按无效处理，磋商小组应当告知有关供应商。</w:t>
      </w:r>
    </w:p>
    <w:p>
      <w:pPr>
        <w:pStyle w:val="4"/>
        <w:numPr>
          <w:ilvl w:val="0"/>
          <w:numId w:val="5"/>
        </w:numPr>
        <w:rPr>
          <w:color w:val="auto"/>
          <w:sz w:val="18"/>
          <w:szCs w:val="18"/>
        </w:rPr>
      </w:pPr>
      <w:r>
        <w:rPr>
          <w:rFonts w:hint="eastAsia"/>
          <w:color w:val="auto"/>
          <w:sz w:val="18"/>
          <w:szCs w:val="18"/>
        </w:rPr>
        <w:t>磋商程序及评审方法</w:t>
      </w:r>
    </w:p>
    <w:p>
      <w:pPr>
        <w:spacing w:line="400" w:lineRule="exact"/>
        <w:ind w:firstLine="361" w:firstLineChars="200"/>
        <w:rPr>
          <w:rFonts w:ascii="宋体" w:hAnsi="宋体"/>
          <w:b/>
          <w:bCs/>
          <w:color w:val="auto"/>
          <w:sz w:val="18"/>
          <w:szCs w:val="18"/>
        </w:rPr>
      </w:pPr>
      <w:r>
        <w:rPr>
          <w:rFonts w:hint="eastAsia" w:ascii="宋体" w:hAnsi="宋体"/>
          <w:b/>
          <w:bCs/>
          <w:color w:val="auto"/>
          <w:sz w:val="18"/>
          <w:szCs w:val="18"/>
        </w:rPr>
        <w:t xml:space="preserve"> 13.1磋商时间、地点、人员</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磋商时间：2020年11月26日下午15时30分磋商地点：</w:t>
      </w:r>
      <w:r>
        <w:rPr>
          <w:rFonts w:hint="eastAsia" w:ascii="宋体" w:hAnsi="宋体" w:cs="宋体"/>
          <w:color w:val="auto"/>
          <w:sz w:val="18"/>
          <w:szCs w:val="18"/>
        </w:rPr>
        <w:t>钦州市灵山县灵城镇江滨三路63号</w:t>
      </w:r>
      <w:r>
        <w:rPr>
          <w:rFonts w:ascii="宋体" w:hAnsi="宋体"/>
          <w:color w:val="auto"/>
          <w:sz w:val="18"/>
          <w:szCs w:val="18"/>
        </w:rPr>
        <w:t>（广西诚华工程造价咨询有限公司开标室）</w:t>
      </w:r>
      <w:r>
        <w:rPr>
          <w:rFonts w:hint="eastAsia" w:ascii="宋体" w:hAnsi="宋体"/>
          <w:color w:val="auto"/>
          <w:sz w:val="18"/>
          <w:szCs w:val="18"/>
        </w:rPr>
        <w:t>。</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磋商参加人员：参加磋商的法定代表人(负责人)或委托代理人必须持有效证件【法定代表人(负责人)凭身份证或委托代理人凭法人授权委托书原件和身份证】依时到达指定地点等候当面磋商。</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磋商小组组成：磋商及评审组织工作由采购代理机构负责，具体磋商、评审工作由依</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法组建的磋商小组负责，本项目的磋商小组由有关方面的专家组成。</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磋商小组的构成：3人，有关专家 3人。</w:t>
      </w:r>
    </w:p>
    <w:p>
      <w:pPr>
        <w:spacing w:line="400" w:lineRule="exact"/>
        <w:ind w:firstLine="360" w:firstLineChars="200"/>
        <w:rPr>
          <w:rFonts w:ascii="宋体" w:hAnsi="宋体"/>
          <w:color w:val="auto"/>
          <w:sz w:val="18"/>
          <w:szCs w:val="18"/>
        </w:rPr>
      </w:pPr>
      <w:r>
        <w:rPr>
          <w:rFonts w:hint="eastAsia" w:ascii="宋体" w:hAnsi="宋体"/>
          <w:color w:val="auto"/>
          <w:sz w:val="18"/>
          <w:szCs w:val="18"/>
        </w:rPr>
        <w:t>启封响应文件：响应文件递交截止时间后，磋商小组在评标室启封响应文件。</w:t>
      </w:r>
    </w:p>
    <w:p>
      <w:pPr>
        <w:spacing w:line="400" w:lineRule="exact"/>
        <w:ind w:firstLine="361" w:firstLineChars="200"/>
        <w:rPr>
          <w:rFonts w:ascii="宋体" w:hAnsi="宋体"/>
          <w:b/>
          <w:bCs/>
          <w:color w:val="auto"/>
          <w:sz w:val="18"/>
          <w:szCs w:val="18"/>
        </w:rPr>
      </w:pPr>
      <w:r>
        <w:rPr>
          <w:rFonts w:hint="eastAsia" w:ascii="宋体" w:hAnsi="宋体"/>
          <w:b/>
          <w:bCs/>
          <w:color w:val="auto"/>
          <w:sz w:val="18"/>
          <w:szCs w:val="18"/>
        </w:rPr>
        <w:t>13.2第一轮磋商</w:t>
      </w:r>
    </w:p>
    <w:p>
      <w:pPr>
        <w:widowControl/>
        <w:tabs>
          <w:tab w:val="left" w:pos="540"/>
        </w:tabs>
        <w:spacing w:line="400" w:lineRule="exact"/>
        <w:ind w:firstLine="360" w:firstLineChars="200"/>
        <w:jc w:val="left"/>
        <w:rPr>
          <w:rFonts w:ascii="宋体" w:hAnsi="宋体"/>
          <w:color w:val="auto"/>
          <w:sz w:val="18"/>
          <w:szCs w:val="18"/>
        </w:rPr>
      </w:pPr>
      <w:r>
        <w:rPr>
          <w:rFonts w:hint="eastAsia" w:ascii="宋体" w:hAnsi="宋体"/>
          <w:color w:val="auto"/>
          <w:sz w:val="18"/>
          <w:szCs w:val="18"/>
        </w:rPr>
        <w:t>磋商时间及地点: 详见本须知前附表第11项规定。</w:t>
      </w:r>
    </w:p>
    <w:p>
      <w:pPr>
        <w:spacing w:line="380" w:lineRule="exact"/>
        <w:ind w:firstLine="360" w:firstLineChars="200"/>
        <w:rPr>
          <w:rFonts w:ascii="宋体" w:hAnsi="宋体"/>
          <w:color w:val="auto"/>
          <w:sz w:val="18"/>
          <w:szCs w:val="18"/>
        </w:rPr>
      </w:pPr>
      <w:r>
        <w:rPr>
          <w:rFonts w:hint="eastAsia" w:ascii="宋体" w:hAnsi="宋体"/>
          <w:color w:val="auto"/>
          <w:sz w:val="18"/>
          <w:szCs w:val="18"/>
        </w:rPr>
        <w:t>磋商小组在对竞争性磋商响应文件的资格性和符合性进行审查时，</w:t>
      </w:r>
      <w:r>
        <w:rPr>
          <w:rFonts w:ascii="宋体" w:hAnsi="宋体" w:cs="Arial"/>
          <w:color w:val="auto"/>
          <w:kern w:val="0"/>
          <w:sz w:val="18"/>
          <w:szCs w:val="18"/>
        </w:rPr>
        <w:t>可以要求</w:t>
      </w:r>
      <w:r>
        <w:rPr>
          <w:rFonts w:hint="eastAsia" w:ascii="宋体" w:hAnsi="宋体" w:cs="Arial"/>
          <w:color w:val="auto"/>
          <w:kern w:val="0"/>
          <w:sz w:val="18"/>
          <w:szCs w:val="18"/>
        </w:rPr>
        <w:t>供应商</w:t>
      </w:r>
      <w:r>
        <w:rPr>
          <w:rFonts w:ascii="宋体" w:hAnsi="宋体" w:cs="Arial"/>
          <w:color w:val="auto"/>
          <w:kern w:val="0"/>
          <w:sz w:val="18"/>
          <w:szCs w:val="18"/>
        </w:rPr>
        <w:t>对</w:t>
      </w:r>
      <w:r>
        <w:rPr>
          <w:rFonts w:hint="eastAsia" w:ascii="宋体" w:hAnsi="宋体" w:cs="Arial"/>
          <w:color w:val="auto"/>
          <w:kern w:val="0"/>
          <w:sz w:val="18"/>
          <w:szCs w:val="18"/>
        </w:rPr>
        <w:t>竞争性磋商</w:t>
      </w:r>
      <w:r>
        <w:rPr>
          <w:rFonts w:hint="eastAsia" w:ascii="宋体" w:hAnsi="宋体"/>
          <w:color w:val="auto"/>
          <w:sz w:val="18"/>
          <w:szCs w:val="18"/>
        </w:rPr>
        <w:t>响应文件中含义不明确、同类问题表述不一致或者有明显文字和计算错误的内容等作出必要的澄清、说明或者更正。供应商的澄清、说明或者更正不得超出竞争性磋商响应文件的范围或者改变响竞争性磋商应文件的实质性内容，澄清、说明或者更正应</w:t>
      </w:r>
      <w:r>
        <w:rPr>
          <w:rFonts w:ascii="宋体" w:hAnsi="宋体"/>
          <w:color w:val="auto"/>
          <w:sz w:val="18"/>
          <w:szCs w:val="18"/>
        </w:rPr>
        <w:t>由其法定代表人</w:t>
      </w:r>
      <w:r>
        <w:rPr>
          <w:rFonts w:hint="eastAsia" w:hAnsi="宋体"/>
          <w:color w:val="auto"/>
          <w:sz w:val="18"/>
          <w:szCs w:val="18"/>
        </w:rPr>
        <w:t>(负责人)</w:t>
      </w:r>
      <w:r>
        <w:rPr>
          <w:rFonts w:ascii="宋体" w:hAnsi="宋体"/>
          <w:color w:val="auto"/>
          <w:sz w:val="18"/>
          <w:szCs w:val="18"/>
        </w:rPr>
        <w:t>或授权</w:t>
      </w:r>
      <w:r>
        <w:rPr>
          <w:rFonts w:hint="eastAsia" w:ascii="宋体" w:hAnsi="宋体"/>
          <w:color w:val="auto"/>
          <w:sz w:val="18"/>
          <w:szCs w:val="18"/>
        </w:rPr>
        <w:t>委托</w:t>
      </w:r>
      <w:r>
        <w:rPr>
          <w:rFonts w:ascii="宋体" w:hAnsi="宋体"/>
          <w:color w:val="auto"/>
          <w:sz w:val="18"/>
          <w:szCs w:val="18"/>
        </w:rPr>
        <w:t>代表签字或者加盖</w:t>
      </w:r>
      <w:r>
        <w:rPr>
          <w:rFonts w:hint="eastAsia" w:ascii="宋体" w:hAnsi="宋体"/>
          <w:color w:val="auto"/>
          <w:sz w:val="18"/>
          <w:szCs w:val="18"/>
        </w:rPr>
        <w:t>供应商</w:t>
      </w:r>
      <w:r>
        <w:rPr>
          <w:rFonts w:ascii="宋体" w:hAnsi="宋体"/>
          <w:color w:val="auto"/>
          <w:sz w:val="18"/>
          <w:szCs w:val="18"/>
        </w:rPr>
        <w:t>公章</w:t>
      </w:r>
      <w:r>
        <w:rPr>
          <w:rFonts w:hint="eastAsia" w:ascii="宋体" w:hAnsi="宋体"/>
          <w:color w:val="auto"/>
          <w:sz w:val="18"/>
          <w:szCs w:val="18"/>
        </w:rPr>
        <w:t>。</w:t>
      </w:r>
      <w:r>
        <w:rPr>
          <w:rFonts w:ascii="宋体" w:hAnsi="宋体"/>
          <w:color w:val="auto"/>
          <w:sz w:val="18"/>
          <w:szCs w:val="18"/>
        </w:rPr>
        <w:t>由授权</w:t>
      </w:r>
      <w:r>
        <w:rPr>
          <w:rFonts w:hint="eastAsia" w:ascii="宋体" w:hAnsi="宋体"/>
          <w:color w:val="auto"/>
          <w:sz w:val="18"/>
          <w:szCs w:val="18"/>
        </w:rPr>
        <w:t>委托</w:t>
      </w:r>
      <w:r>
        <w:rPr>
          <w:rFonts w:ascii="宋体" w:hAnsi="宋体"/>
          <w:color w:val="auto"/>
          <w:sz w:val="18"/>
          <w:szCs w:val="18"/>
        </w:rPr>
        <w:t>代表签字的，应当附法人</w:t>
      </w:r>
      <w:r>
        <w:rPr>
          <w:rFonts w:hint="eastAsia" w:ascii="宋体" w:hAnsi="宋体"/>
          <w:color w:val="auto"/>
          <w:sz w:val="18"/>
          <w:szCs w:val="18"/>
        </w:rPr>
        <w:t>（负责人）</w:t>
      </w:r>
      <w:r>
        <w:rPr>
          <w:rFonts w:ascii="宋体" w:hAnsi="宋体"/>
          <w:color w:val="auto"/>
          <w:sz w:val="18"/>
          <w:szCs w:val="18"/>
        </w:rPr>
        <w:t>授权</w:t>
      </w:r>
      <w:r>
        <w:rPr>
          <w:rFonts w:hint="eastAsia" w:ascii="宋体" w:hAnsi="宋体"/>
          <w:color w:val="auto"/>
          <w:sz w:val="18"/>
          <w:szCs w:val="18"/>
        </w:rPr>
        <w:t>委托</w:t>
      </w:r>
      <w:r>
        <w:rPr>
          <w:rFonts w:ascii="宋体" w:hAnsi="宋体"/>
          <w:color w:val="auto"/>
          <w:sz w:val="18"/>
          <w:szCs w:val="18"/>
        </w:rPr>
        <w:t>书。供应商为自然人的，应当由本人签字并附身份证明。</w:t>
      </w:r>
    </w:p>
    <w:p>
      <w:pPr>
        <w:widowControl/>
        <w:tabs>
          <w:tab w:val="left" w:pos="540"/>
        </w:tabs>
        <w:spacing w:line="400" w:lineRule="exact"/>
        <w:ind w:firstLine="360" w:firstLineChars="200"/>
        <w:jc w:val="left"/>
        <w:rPr>
          <w:rFonts w:ascii="宋体" w:hAnsi="宋体" w:cs="宋体"/>
          <w:color w:val="auto"/>
          <w:kern w:val="0"/>
          <w:sz w:val="18"/>
          <w:szCs w:val="18"/>
        </w:rPr>
      </w:pPr>
      <w:r>
        <w:rPr>
          <w:rFonts w:hint="eastAsia" w:ascii="宋体" w:hAnsi="宋体"/>
          <w:color w:val="auto"/>
          <w:sz w:val="18"/>
          <w:szCs w:val="18"/>
        </w:rPr>
        <w:t>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形成磋商要点。磋商小组所有成员集中依据磋商要点，与单一</w:t>
      </w:r>
      <w:r>
        <w:rPr>
          <w:rFonts w:hint="eastAsia" w:ascii="宋体" w:hAnsi="宋体"/>
          <w:bCs/>
          <w:color w:val="auto"/>
          <w:sz w:val="18"/>
          <w:szCs w:val="18"/>
        </w:rPr>
        <w:t>供应商分别</w:t>
      </w:r>
      <w:r>
        <w:rPr>
          <w:rFonts w:hint="eastAsia" w:ascii="宋体" w:hAnsi="宋体"/>
          <w:color w:val="auto"/>
          <w:sz w:val="18"/>
          <w:szCs w:val="18"/>
        </w:rPr>
        <w:t>进行磋商，</w:t>
      </w:r>
      <w:r>
        <w:rPr>
          <w:rFonts w:hint="eastAsia" w:ascii="宋体" w:hAnsi="宋体" w:cs="宋体"/>
          <w:color w:val="auto"/>
          <w:kern w:val="0"/>
          <w:sz w:val="18"/>
          <w:szCs w:val="18"/>
        </w:rPr>
        <w:t>给予所有参加磋商的供应商平等的磋商机会。</w:t>
      </w:r>
    </w:p>
    <w:p>
      <w:pPr>
        <w:widowControl/>
        <w:tabs>
          <w:tab w:val="left" w:pos="540"/>
        </w:tabs>
        <w:spacing w:line="400" w:lineRule="exact"/>
        <w:ind w:firstLine="360" w:firstLineChars="200"/>
        <w:jc w:val="left"/>
        <w:rPr>
          <w:rFonts w:ascii="宋体" w:hAnsi="宋体"/>
          <w:color w:val="auto"/>
          <w:sz w:val="18"/>
          <w:szCs w:val="18"/>
        </w:rPr>
      </w:pPr>
      <w:r>
        <w:rPr>
          <w:rFonts w:hint="eastAsia" w:ascii="宋体" w:hAnsi="宋体"/>
          <w:color w:val="auto"/>
          <w:sz w:val="18"/>
          <w:szCs w:val="18"/>
        </w:rPr>
        <w:t>磋商评审在严格保密的情况下进行，磋商的任何一方不得透露与磋商有关的其他供应商的技术资料、价格和其他信息。采购代理机构对磋商过程和重要磋商内容进行记录，磋商双方在记录上签字确认。</w:t>
      </w:r>
    </w:p>
    <w:p>
      <w:pPr>
        <w:widowControl/>
        <w:tabs>
          <w:tab w:val="left" w:pos="540"/>
        </w:tabs>
        <w:spacing w:line="400" w:lineRule="exact"/>
        <w:ind w:firstLine="360" w:firstLineChars="200"/>
        <w:jc w:val="left"/>
        <w:rPr>
          <w:rFonts w:ascii="宋体" w:hAnsi="宋体"/>
          <w:color w:val="auto"/>
          <w:sz w:val="18"/>
          <w:szCs w:val="18"/>
        </w:rPr>
      </w:pPr>
      <w:r>
        <w:rPr>
          <w:rFonts w:hint="eastAsia" w:ascii="宋体" w:hAnsi="宋体"/>
          <w:color w:val="auto"/>
          <w:sz w:val="18"/>
          <w:szCs w:val="18"/>
        </w:rPr>
        <w:t>磋商后，供应商根据磋商小组统一整理的书面磋商记录要求做出书面承诺，并由其法定代表人</w:t>
      </w:r>
      <w:r>
        <w:rPr>
          <w:rFonts w:hint="eastAsia" w:hAnsi="宋体"/>
          <w:color w:val="auto"/>
          <w:sz w:val="18"/>
          <w:szCs w:val="18"/>
        </w:rPr>
        <w:t>(负责人)</w:t>
      </w:r>
      <w:r>
        <w:rPr>
          <w:rFonts w:hint="eastAsia" w:ascii="宋体" w:hAnsi="宋体"/>
          <w:color w:val="auto"/>
          <w:sz w:val="18"/>
          <w:szCs w:val="18"/>
        </w:rPr>
        <w:t>或授权代表签字或者加盖公章</w:t>
      </w:r>
      <w:r>
        <w:rPr>
          <w:rFonts w:hint="eastAsia" w:ascii="宋体" w:hAnsi="宋体" w:cs="宋体"/>
          <w:color w:val="auto"/>
          <w:kern w:val="0"/>
          <w:sz w:val="18"/>
          <w:szCs w:val="18"/>
        </w:rPr>
        <w:t>后按时密封递交</w:t>
      </w:r>
      <w:r>
        <w:rPr>
          <w:rFonts w:hint="eastAsia" w:ascii="宋体" w:hAnsi="宋体"/>
          <w:color w:val="auto"/>
          <w:sz w:val="18"/>
          <w:szCs w:val="18"/>
        </w:rPr>
        <w:t>。</w:t>
      </w:r>
    </w:p>
    <w:p>
      <w:pPr>
        <w:widowControl/>
        <w:tabs>
          <w:tab w:val="left" w:pos="540"/>
        </w:tabs>
        <w:spacing w:line="400" w:lineRule="exact"/>
        <w:ind w:firstLine="360" w:firstLineChars="200"/>
        <w:jc w:val="left"/>
        <w:rPr>
          <w:rFonts w:ascii="宋体" w:hAnsi="宋体"/>
          <w:color w:val="auto"/>
          <w:sz w:val="18"/>
          <w:szCs w:val="18"/>
        </w:rPr>
      </w:pPr>
      <w:r>
        <w:rPr>
          <w:rFonts w:hint="eastAsia" w:ascii="宋体" w:hAnsi="宋体"/>
          <w:color w:val="auto"/>
          <w:sz w:val="18"/>
          <w:szCs w:val="18"/>
        </w:rPr>
        <w:t>当磋商小组一致确定供应商的竞争性磋商响应文件符合竞争性磋商文件要求，无需再磋商的，磋商小组按竞争性磋商文件设定的13.4、13.6程序和评审方法确定成交候选人。第一轮磋商后竞争性磋商文件有实质性变动或仍需磋商的，磋商小组对竞争性磋商文件变动或提出磋商意见后进行第二轮磋商。</w:t>
      </w:r>
    </w:p>
    <w:p>
      <w:pPr>
        <w:widowControl/>
        <w:tabs>
          <w:tab w:val="left" w:pos="540"/>
        </w:tabs>
        <w:spacing w:line="400" w:lineRule="exact"/>
        <w:ind w:firstLine="361" w:firstLineChars="200"/>
        <w:jc w:val="left"/>
        <w:rPr>
          <w:rFonts w:ascii="宋体" w:hAnsi="宋体"/>
          <w:b/>
          <w:bCs/>
          <w:color w:val="auto"/>
          <w:sz w:val="18"/>
          <w:szCs w:val="18"/>
        </w:rPr>
      </w:pPr>
      <w:r>
        <w:rPr>
          <w:rFonts w:hint="eastAsia" w:ascii="宋体" w:hAnsi="宋体"/>
          <w:b/>
          <w:bCs/>
          <w:color w:val="auto"/>
          <w:sz w:val="18"/>
          <w:szCs w:val="18"/>
        </w:rPr>
        <w:t>13.3竞争性磋商文件变动</w:t>
      </w:r>
    </w:p>
    <w:p>
      <w:pPr>
        <w:widowControl/>
        <w:tabs>
          <w:tab w:val="left" w:pos="540"/>
        </w:tabs>
        <w:spacing w:line="400" w:lineRule="exact"/>
        <w:ind w:firstLine="360" w:firstLineChars="200"/>
        <w:jc w:val="left"/>
        <w:rPr>
          <w:rFonts w:ascii="宋体" w:hAnsi="宋体"/>
          <w:color w:val="auto"/>
          <w:sz w:val="18"/>
          <w:szCs w:val="18"/>
        </w:rPr>
      </w:pPr>
      <w:r>
        <w:rPr>
          <w:rFonts w:hint="eastAsia" w:ascii="宋体" w:hAnsi="宋体"/>
          <w:color w:val="auto"/>
          <w:sz w:val="18"/>
          <w:szCs w:val="18"/>
        </w:rPr>
        <w:t>（1）第一轮磋商结束后，各响应供应商退场等候，由磋商小组组长主持，根据竞争性磋商文件和磋商情况结合第一轮磋商整体情况，可以对竞争性磋商文件《货物采购需求表》中已事先明确的可能实质性变动采购需求中的技术、服务要求以及合同草案条款进行统一变动，但不得变动竞争性磋商文件中的其他内容。实质性变动的内容，须经采购人代表确认。</w:t>
      </w:r>
    </w:p>
    <w:p>
      <w:pPr>
        <w:widowControl/>
        <w:tabs>
          <w:tab w:val="left" w:pos="540"/>
        </w:tabs>
        <w:spacing w:line="400" w:lineRule="exact"/>
        <w:ind w:firstLine="360" w:firstLineChars="200"/>
        <w:jc w:val="left"/>
        <w:rPr>
          <w:rFonts w:ascii="宋体" w:hAnsi="宋体"/>
          <w:color w:val="auto"/>
          <w:sz w:val="18"/>
          <w:szCs w:val="18"/>
        </w:rPr>
      </w:pPr>
      <w:r>
        <w:rPr>
          <w:rFonts w:hint="eastAsia" w:ascii="宋体" w:hAnsi="宋体"/>
          <w:color w:val="auto"/>
          <w:sz w:val="18"/>
          <w:szCs w:val="18"/>
        </w:rPr>
        <w:t>对竞争性磋商文件作出的实质性变动是竞争性磋商文件的有效组成部分，磋商小组应当及时以书面形式同时通知所有参加磋商的供应商，并要求供应商做出书面响应。</w:t>
      </w:r>
    </w:p>
    <w:p>
      <w:pPr>
        <w:widowControl/>
        <w:tabs>
          <w:tab w:val="left" w:pos="540"/>
        </w:tabs>
        <w:spacing w:line="400" w:lineRule="exact"/>
        <w:ind w:firstLine="180" w:firstLineChars="100"/>
        <w:jc w:val="left"/>
        <w:rPr>
          <w:rFonts w:ascii="宋体" w:hAnsi="宋体"/>
          <w:color w:val="auto"/>
          <w:sz w:val="18"/>
          <w:szCs w:val="18"/>
        </w:rPr>
      </w:pPr>
      <w:r>
        <w:rPr>
          <w:rFonts w:hint="eastAsia" w:ascii="宋体" w:hAnsi="宋体"/>
          <w:color w:val="auto"/>
          <w:sz w:val="18"/>
          <w:szCs w:val="18"/>
        </w:rPr>
        <w:t>（2）供应商应当按照竞争性磋商文件的变动情况和磋商小组的要求重新提交竞争性磋商响应文件，并由其法定代表人</w:t>
      </w:r>
      <w:r>
        <w:rPr>
          <w:rFonts w:hint="eastAsia" w:hAnsi="宋体"/>
          <w:color w:val="auto"/>
          <w:sz w:val="18"/>
          <w:szCs w:val="18"/>
        </w:rPr>
        <w:t>(负责人)</w:t>
      </w:r>
      <w:r>
        <w:rPr>
          <w:rFonts w:hint="eastAsia" w:ascii="宋体" w:hAnsi="宋体"/>
          <w:color w:val="auto"/>
          <w:sz w:val="18"/>
          <w:szCs w:val="18"/>
        </w:rPr>
        <w:t>或授权代表签字或者加盖公章</w:t>
      </w:r>
      <w:r>
        <w:rPr>
          <w:rFonts w:hint="eastAsia" w:ascii="宋体" w:hAnsi="宋体" w:cs="宋体"/>
          <w:color w:val="auto"/>
          <w:kern w:val="0"/>
          <w:sz w:val="18"/>
          <w:szCs w:val="18"/>
        </w:rPr>
        <w:t>后密封递交</w:t>
      </w:r>
      <w:r>
        <w:rPr>
          <w:rFonts w:hint="eastAsia" w:ascii="宋体" w:hAnsi="宋体"/>
          <w:color w:val="auto"/>
          <w:sz w:val="18"/>
          <w:szCs w:val="18"/>
        </w:rPr>
        <w:t>。由授权代表（委托代理人）签字的，应当附法定代表人</w:t>
      </w:r>
      <w:r>
        <w:rPr>
          <w:rFonts w:hint="eastAsia" w:hAnsi="宋体"/>
          <w:color w:val="auto"/>
          <w:sz w:val="18"/>
          <w:szCs w:val="18"/>
        </w:rPr>
        <w:t>(负责人)</w:t>
      </w:r>
      <w:r>
        <w:rPr>
          <w:rFonts w:hint="eastAsia" w:ascii="宋体" w:hAnsi="宋体"/>
          <w:color w:val="auto"/>
          <w:sz w:val="18"/>
          <w:szCs w:val="18"/>
        </w:rPr>
        <w:t>授权书。供应商为自然人的，应当由本人签字并附身份证明。逾时不交的，视同放弃磋商。重新提交的响应文件与竞争性磋商响应文件同具法律效力。</w:t>
      </w:r>
    </w:p>
    <w:p>
      <w:pPr>
        <w:widowControl/>
        <w:spacing w:line="400" w:lineRule="exact"/>
        <w:ind w:firstLine="361" w:firstLineChars="200"/>
        <w:jc w:val="left"/>
        <w:rPr>
          <w:rFonts w:ascii="宋体" w:hAnsi="宋体" w:cs="宋体"/>
          <w:b/>
          <w:bCs/>
          <w:color w:val="auto"/>
          <w:kern w:val="0"/>
          <w:sz w:val="18"/>
          <w:szCs w:val="18"/>
        </w:rPr>
      </w:pPr>
      <w:r>
        <w:rPr>
          <w:rFonts w:hint="eastAsia" w:ascii="宋体" w:hAnsi="宋体" w:cs="宋体"/>
          <w:b/>
          <w:bCs/>
          <w:color w:val="auto"/>
          <w:kern w:val="0"/>
          <w:sz w:val="18"/>
          <w:szCs w:val="18"/>
        </w:rPr>
        <w:t>13.4第二轮磋商</w:t>
      </w:r>
    </w:p>
    <w:p>
      <w:pPr>
        <w:widowControl/>
        <w:tabs>
          <w:tab w:val="left" w:pos="540"/>
        </w:tabs>
        <w:spacing w:line="400" w:lineRule="exact"/>
        <w:ind w:firstLine="360" w:firstLineChars="200"/>
        <w:jc w:val="left"/>
        <w:rPr>
          <w:rFonts w:ascii="宋体" w:hAnsi="宋体"/>
          <w:color w:val="auto"/>
          <w:sz w:val="18"/>
          <w:szCs w:val="18"/>
        </w:rPr>
      </w:pPr>
      <w:r>
        <w:rPr>
          <w:rFonts w:hint="eastAsia" w:ascii="宋体" w:hAnsi="宋体" w:cs="宋体"/>
          <w:color w:val="auto"/>
          <w:kern w:val="0"/>
          <w:sz w:val="18"/>
          <w:szCs w:val="18"/>
        </w:rPr>
        <w:t>磋商小组集中就</w:t>
      </w:r>
      <w:r>
        <w:rPr>
          <w:rFonts w:hint="eastAsia" w:ascii="宋体" w:hAnsi="宋体"/>
          <w:color w:val="auto"/>
          <w:sz w:val="18"/>
          <w:szCs w:val="18"/>
        </w:rPr>
        <w:t>重新提交的响应文件或</w:t>
      </w:r>
      <w:r>
        <w:rPr>
          <w:rFonts w:hint="eastAsia" w:ascii="宋体" w:hAnsi="宋体" w:cs="宋体"/>
          <w:color w:val="auto"/>
          <w:kern w:val="0"/>
          <w:sz w:val="18"/>
          <w:szCs w:val="18"/>
        </w:rPr>
        <w:t>磋商小组</w:t>
      </w:r>
      <w:r>
        <w:rPr>
          <w:rFonts w:hint="eastAsia" w:ascii="宋体" w:hAnsi="宋体"/>
          <w:color w:val="auto"/>
          <w:sz w:val="18"/>
          <w:szCs w:val="18"/>
        </w:rPr>
        <w:t>提出的磋商意见</w:t>
      </w:r>
      <w:r>
        <w:rPr>
          <w:rFonts w:hint="eastAsia" w:ascii="宋体" w:hAnsi="宋体" w:cs="宋体"/>
          <w:color w:val="auto"/>
          <w:kern w:val="0"/>
          <w:sz w:val="18"/>
          <w:szCs w:val="18"/>
        </w:rPr>
        <w:t>与单一响应供应商分别进行磋商。</w:t>
      </w:r>
      <w:r>
        <w:rPr>
          <w:rFonts w:hint="eastAsia" w:ascii="宋体" w:hAnsi="宋体"/>
          <w:color w:val="auto"/>
          <w:sz w:val="18"/>
          <w:szCs w:val="18"/>
        </w:rPr>
        <w:t>本中心对磋商过程和重要磋商内容进行记录，磋商双方在记录上签字确认。</w:t>
      </w:r>
    </w:p>
    <w:p>
      <w:pPr>
        <w:widowControl/>
        <w:tabs>
          <w:tab w:val="left" w:pos="540"/>
        </w:tabs>
        <w:spacing w:line="400" w:lineRule="exact"/>
        <w:ind w:firstLine="360" w:firstLineChars="200"/>
        <w:jc w:val="left"/>
        <w:rPr>
          <w:rFonts w:ascii="宋体" w:hAnsi="宋体"/>
          <w:color w:val="auto"/>
          <w:sz w:val="18"/>
          <w:szCs w:val="18"/>
        </w:rPr>
      </w:pPr>
      <w:r>
        <w:rPr>
          <w:rFonts w:hint="eastAsia" w:ascii="宋体" w:hAnsi="宋体"/>
          <w:color w:val="auto"/>
          <w:sz w:val="18"/>
          <w:szCs w:val="18"/>
        </w:rPr>
        <w:t>磋商后，供应商根据磋商小组统一整理的书面磋商记录要求做出书面承诺，并由其法定代表人</w:t>
      </w:r>
      <w:r>
        <w:rPr>
          <w:rFonts w:hint="eastAsia" w:hAnsi="宋体"/>
          <w:color w:val="auto"/>
          <w:sz w:val="18"/>
          <w:szCs w:val="18"/>
        </w:rPr>
        <w:t>(负责人)</w:t>
      </w:r>
      <w:r>
        <w:rPr>
          <w:rFonts w:hint="eastAsia" w:ascii="宋体" w:hAnsi="宋体"/>
          <w:color w:val="auto"/>
          <w:sz w:val="18"/>
          <w:szCs w:val="18"/>
        </w:rPr>
        <w:t>或授权代表签字或者加盖公章</w:t>
      </w:r>
      <w:r>
        <w:rPr>
          <w:rFonts w:hint="eastAsia" w:ascii="宋体" w:hAnsi="宋体" w:cs="宋体"/>
          <w:color w:val="auto"/>
          <w:kern w:val="0"/>
          <w:sz w:val="18"/>
          <w:szCs w:val="18"/>
        </w:rPr>
        <w:t>后按时密封递交</w:t>
      </w:r>
      <w:r>
        <w:rPr>
          <w:rFonts w:hint="eastAsia" w:ascii="宋体" w:hAnsi="宋体"/>
          <w:color w:val="auto"/>
          <w:sz w:val="18"/>
          <w:szCs w:val="18"/>
        </w:rPr>
        <w:t>。</w:t>
      </w:r>
    </w:p>
    <w:p>
      <w:pPr>
        <w:widowControl/>
        <w:tabs>
          <w:tab w:val="left" w:pos="540"/>
        </w:tabs>
        <w:spacing w:line="400" w:lineRule="exact"/>
        <w:ind w:firstLine="360" w:firstLineChars="200"/>
        <w:jc w:val="left"/>
        <w:rPr>
          <w:rFonts w:ascii="宋体" w:hAnsi="宋体"/>
          <w:color w:val="auto"/>
          <w:sz w:val="18"/>
          <w:szCs w:val="18"/>
        </w:rPr>
      </w:pPr>
      <w:r>
        <w:rPr>
          <w:rFonts w:hint="eastAsia" w:ascii="宋体" w:hAnsi="宋体"/>
          <w:color w:val="auto"/>
          <w:sz w:val="18"/>
          <w:szCs w:val="18"/>
        </w:rPr>
        <w:t>当磋商小组一致确定供应商的竞争性磋商响应文件符合竞争性磋商文件要求，无需再磋商的，磋商小组按竞争性磋商文件设定的13.4、13.6程序和评审方法确定成交候选人。第二轮磋商后竞争性磋商文件仍有实质性变动的或仍需磋商的，磋商小组对竞争性磋商文件变动或提出磋商意见后进行第三轮磋商。以此类推。</w:t>
      </w:r>
    </w:p>
    <w:p>
      <w:pPr>
        <w:widowControl/>
        <w:tabs>
          <w:tab w:val="left" w:pos="540"/>
        </w:tabs>
        <w:spacing w:line="400" w:lineRule="exact"/>
        <w:ind w:firstLine="361" w:firstLineChars="200"/>
        <w:jc w:val="left"/>
        <w:rPr>
          <w:rFonts w:ascii="宋体" w:hAnsi="宋体"/>
          <w:b/>
          <w:bCs/>
          <w:color w:val="auto"/>
          <w:sz w:val="18"/>
          <w:szCs w:val="18"/>
        </w:rPr>
      </w:pPr>
      <w:r>
        <w:rPr>
          <w:rFonts w:hint="eastAsia" w:ascii="宋体" w:hAnsi="宋体"/>
          <w:b/>
          <w:bCs/>
          <w:color w:val="auto"/>
          <w:sz w:val="18"/>
          <w:szCs w:val="18"/>
        </w:rPr>
        <w:t>13.5最后报价</w:t>
      </w:r>
    </w:p>
    <w:p>
      <w:pPr>
        <w:widowControl/>
        <w:spacing w:line="40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磋商文件能够详细列明采购标的的技术、服务要求的，磋商结束后，磋商小组应当要求所有继续参加磋商的供应商在规定时间内密封提交最后报价，提交最后报价的供应商不得少于3家。</w:t>
      </w:r>
    </w:p>
    <w:p>
      <w:pPr>
        <w:widowControl/>
        <w:spacing w:line="40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密封提交最后报价。</w:t>
      </w:r>
    </w:p>
    <w:p>
      <w:pPr>
        <w:widowControl/>
        <w:spacing w:line="40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已提交响应文件的供应商，可以根据磋商情况书面退出磋商。</w:t>
      </w:r>
    </w:p>
    <w:p>
      <w:pPr>
        <w:widowControl/>
        <w:spacing w:line="40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最后报价是供应商响应文件的有效组成部分。未书面退出磋商的供应商在规定时间内密封提交最后报价，其最后报价超出采购预算导致已通过评审的响应文件无效的，按供应商在提交响应文件截止时间后撤回响应文件处理。</w:t>
      </w:r>
    </w:p>
    <w:p>
      <w:pPr>
        <w:widowControl/>
        <w:spacing w:line="400" w:lineRule="exact"/>
        <w:ind w:firstLine="361" w:firstLineChars="200"/>
        <w:jc w:val="left"/>
        <w:rPr>
          <w:rFonts w:ascii="宋体" w:hAnsi="宋体" w:cs="宋体"/>
          <w:b/>
          <w:bCs/>
          <w:color w:val="auto"/>
          <w:kern w:val="0"/>
          <w:sz w:val="18"/>
          <w:szCs w:val="18"/>
        </w:rPr>
      </w:pPr>
      <w:r>
        <w:rPr>
          <w:rFonts w:hint="eastAsia" w:ascii="宋体" w:hAnsi="宋体" w:cs="宋体"/>
          <w:b/>
          <w:bCs/>
          <w:color w:val="auto"/>
          <w:kern w:val="0"/>
          <w:sz w:val="18"/>
          <w:szCs w:val="18"/>
        </w:rPr>
        <w:t>13.6 综合比较与评价</w:t>
      </w:r>
    </w:p>
    <w:p>
      <w:pPr>
        <w:widowControl/>
        <w:spacing w:line="40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磋商小组按竞争性磋商文件中规定的评审办法，对资格性审查和符合性审查合格的响应文件进行商务和技术评估，综合比较与评价。</w:t>
      </w:r>
    </w:p>
    <w:p>
      <w:pPr>
        <w:widowControl/>
        <w:spacing w:line="40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采购代理机构对评审数据进行校对、核对，对畸高、畸低的重大差异评分提示磋商小组复核或书面说明理由。</w:t>
      </w:r>
    </w:p>
    <w:p>
      <w:pPr>
        <w:widowControl/>
        <w:spacing w:before="180" w:after="180" w:line="40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磋商小组将根据得分由高到低排列次序并推荐三名成交候选供应商，并编写评审报告。磋商小组根据综合得分由高到低排列次序，若得分相同时，以评审报价（最后报价及享受政府采购政策的优惠扣除）由低到高顺序排列；若得分相同且评审报价相同的，以磋商报价由低到高顺序排列；若仍相同时，按售后服务分由高到低顺序排列并推荐成交候选供应商。若仍相同时，则由磋商小组集体讨论确定。</w:t>
      </w:r>
    </w:p>
    <w:p>
      <w:pPr>
        <w:widowControl/>
        <w:spacing w:before="180" w:after="180" w:line="40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tabs>
          <w:tab w:val="left" w:pos="540"/>
        </w:tabs>
        <w:spacing w:line="400" w:lineRule="exact"/>
        <w:ind w:firstLine="361" w:firstLineChars="200"/>
        <w:jc w:val="left"/>
        <w:rPr>
          <w:rFonts w:ascii="宋体" w:hAnsi="宋体"/>
          <w:b/>
          <w:bCs/>
          <w:color w:val="auto"/>
          <w:sz w:val="18"/>
          <w:szCs w:val="18"/>
        </w:rPr>
      </w:pPr>
      <w:r>
        <w:rPr>
          <w:rFonts w:hint="eastAsia" w:ascii="宋体" w:hAnsi="宋体"/>
          <w:b/>
          <w:bCs/>
          <w:color w:val="auto"/>
          <w:sz w:val="18"/>
          <w:szCs w:val="18"/>
        </w:rPr>
        <w:t>13.7供应商的报价均超过了政府采购预算，采购人不能支付的，磋商活动终止。</w:t>
      </w:r>
    </w:p>
    <w:p>
      <w:pPr>
        <w:pStyle w:val="22"/>
        <w:spacing w:line="400" w:lineRule="exact"/>
        <w:ind w:firstLine="420"/>
        <w:rPr>
          <w:rFonts w:hAnsi="宋体"/>
          <w:b/>
          <w:bCs/>
          <w:color w:val="auto"/>
          <w:sz w:val="18"/>
          <w:szCs w:val="18"/>
        </w:rPr>
      </w:pPr>
      <w:r>
        <w:rPr>
          <w:rFonts w:hint="eastAsia" w:hAnsi="宋体"/>
          <w:b/>
          <w:bCs/>
          <w:color w:val="auto"/>
          <w:sz w:val="18"/>
          <w:szCs w:val="18"/>
        </w:rPr>
        <w:t>13.8本采购项目的评审依据为竞争性磋商文件和竞争性磋商响应文件，采用的评审方法为综合评分法。</w:t>
      </w:r>
    </w:p>
    <w:p>
      <w:pPr>
        <w:widowControl/>
        <w:shd w:val="clear" w:color="auto" w:fill="FFFFFF"/>
        <w:spacing w:line="400" w:lineRule="exact"/>
        <w:ind w:firstLine="480"/>
        <w:jc w:val="left"/>
        <w:rPr>
          <w:rFonts w:ascii="宋体" w:hAnsi="宋体"/>
          <w:b/>
          <w:bCs/>
          <w:color w:val="auto"/>
          <w:sz w:val="18"/>
          <w:szCs w:val="18"/>
        </w:rPr>
      </w:pPr>
      <w:r>
        <w:rPr>
          <w:rFonts w:hint="eastAsia" w:ascii="宋体" w:hAnsi="宋体"/>
          <w:b/>
          <w:bCs/>
          <w:color w:val="auto"/>
          <w:sz w:val="18"/>
          <w:szCs w:val="18"/>
        </w:rPr>
        <w:t>13.9属于下列情况之一者，响应文件无效：</w:t>
      </w:r>
    </w:p>
    <w:p>
      <w:pPr>
        <w:snapToGrid w:val="0"/>
        <w:spacing w:line="400" w:lineRule="exact"/>
        <w:ind w:firstLine="352" w:firstLineChars="196"/>
        <w:outlineLvl w:val="4"/>
        <w:rPr>
          <w:rFonts w:ascii="宋体" w:hAnsi="宋体"/>
          <w:color w:val="auto"/>
          <w:sz w:val="18"/>
          <w:szCs w:val="18"/>
        </w:rPr>
      </w:pPr>
      <w:r>
        <w:rPr>
          <w:rFonts w:hint="eastAsia" w:ascii="宋体" w:hAnsi="宋体"/>
          <w:color w:val="auto"/>
          <w:sz w:val="18"/>
          <w:szCs w:val="18"/>
        </w:rPr>
        <w:t>（1）未按12条款交纳应绞保证金的；</w:t>
      </w:r>
    </w:p>
    <w:p>
      <w:pPr>
        <w:snapToGrid w:val="0"/>
        <w:spacing w:line="400" w:lineRule="exact"/>
        <w:ind w:firstLine="352" w:firstLineChars="196"/>
        <w:outlineLvl w:val="4"/>
        <w:rPr>
          <w:rFonts w:ascii="宋体" w:hAnsi="宋体"/>
          <w:color w:val="auto"/>
          <w:sz w:val="18"/>
          <w:szCs w:val="18"/>
        </w:rPr>
      </w:pPr>
      <w:r>
        <w:rPr>
          <w:rFonts w:hint="eastAsia" w:ascii="宋体" w:hAnsi="宋体"/>
          <w:color w:val="auto"/>
          <w:sz w:val="18"/>
          <w:szCs w:val="18"/>
        </w:rPr>
        <w:t>（2）未按竞争性磋商文件规定完整提交竞争性磋商交</w:t>
      </w:r>
      <w:r>
        <w:rPr>
          <w:rFonts w:hint="eastAsia"/>
          <w:color w:val="auto"/>
          <w:sz w:val="18"/>
          <w:szCs w:val="18"/>
        </w:rPr>
        <w:t>响应</w:t>
      </w:r>
      <w:r>
        <w:rPr>
          <w:rFonts w:hint="eastAsia" w:ascii="宋体" w:hAnsi="宋体"/>
          <w:color w:val="auto"/>
          <w:sz w:val="18"/>
          <w:szCs w:val="18"/>
        </w:rPr>
        <w:t>文件或未按规定要求签署、盖章的，或未提供法人授权委托书原件（委托代理的）；</w:t>
      </w:r>
    </w:p>
    <w:p>
      <w:pPr>
        <w:snapToGrid w:val="0"/>
        <w:spacing w:line="400" w:lineRule="exact"/>
        <w:ind w:firstLine="360" w:firstLineChars="200"/>
        <w:outlineLvl w:val="4"/>
        <w:rPr>
          <w:rFonts w:ascii="宋体" w:hAnsi="宋体"/>
          <w:color w:val="auto"/>
          <w:sz w:val="18"/>
          <w:szCs w:val="18"/>
        </w:rPr>
      </w:pPr>
      <w:r>
        <w:rPr>
          <w:rFonts w:hint="eastAsia" w:ascii="宋体" w:hAnsi="宋体"/>
          <w:color w:val="auto"/>
          <w:sz w:val="18"/>
          <w:szCs w:val="18"/>
        </w:rPr>
        <w:t>（3）超越了按照法律法规规定必须获得行政许可或者行政审批的经营范围的；</w:t>
      </w:r>
    </w:p>
    <w:p>
      <w:pPr>
        <w:snapToGrid w:val="0"/>
        <w:spacing w:line="400" w:lineRule="exact"/>
        <w:ind w:firstLine="352" w:firstLineChars="196"/>
        <w:outlineLvl w:val="4"/>
        <w:rPr>
          <w:rFonts w:ascii="宋体" w:hAnsi="宋体"/>
          <w:color w:val="auto"/>
          <w:sz w:val="18"/>
          <w:szCs w:val="18"/>
        </w:rPr>
      </w:pPr>
      <w:r>
        <w:rPr>
          <w:rFonts w:hint="eastAsia" w:ascii="宋体" w:hAnsi="宋体"/>
          <w:color w:val="auto"/>
          <w:sz w:val="18"/>
          <w:szCs w:val="18"/>
        </w:rPr>
        <w:t>（4）不具备竞争性磋商文件规定的资格要求的；</w:t>
      </w:r>
    </w:p>
    <w:p>
      <w:pPr>
        <w:snapToGrid w:val="0"/>
        <w:spacing w:line="400" w:lineRule="exact"/>
        <w:ind w:firstLine="352" w:firstLineChars="196"/>
        <w:outlineLvl w:val="4"/>
        <w:rPr>
          <w:rFonts w:ascii="宋体" w:hAnsi="宋体"/>
          <w:color w:val="auto"/>
          <w:sz w:val="18"/>
          <w:szCs w:val="18"/>
        </w:rPr>
      </w:pPr>
      <w:r>
        <w:rPr>
          <w:rFonts w:hint="eastAsia" w:ascii="宋体" w:hAnsi="宋体"/>
          <w:color w:val="auto"/>
          <w:sz w:val="18"/>
          <w:szCs w:val="18"/>
        </w:rPr>
        <w:t>（5）竞争性磋商</w:t>
      </w:r>
      <w:r>
        <w:rPr>
          <w:rFonts w:hint="eastAsia"/>
          <w:color w:val="auto"/>
          <w:sz w:val="18"/>
          <w:szCs w:val="18"/>
        </w:rPr>
        <w:t>响应</w:t>
      </w:r>
      <w:r>
        <w:rPr>
          <w:rFonts w:hint="eastAsia" w:ascii="宋体" w:hAnsi="宋体"/>
          <w:color w:val="auto"/>
          <w:sz w:val="18"/>
          <w:szCs w:val="18"/>
        </w:rPr>
        <w:t>文件未按竞争性磋商文件的内容和要求编写，或提供虚假材料的；</w:t>
      </w:r>
    </w:p>
    <w:p>
      <w:pPr>
        <w:snapToGrid w:val="0"/>
        <w:spacing w:line="400" w:lineRule="exact"/>
        <w:ind w:firstLine="352" w:firstLineChars="196"/>
        <w:outlineLvl w:val="4"/>
        <w:rPr>
          <w:rFonts w:ascii="宋体" w:hAnsi="宋体"/>
          <w:color w:val="auto"/>
          <w:sz w:val="18"/>
          <w:szCs w:val="18"/>
        </w:rPr>
      </w:pPr>
      <w:r>
        <w:rPr>
          <w:rFonts w:hint="eastAsia" w:ascii="宋体" w:hAnsi="宋体"/>
          <w:color w:val="auto"/>
          <w:sz w:val="18"/>
          <w:szCs w:val="18"/>
        </w:rPr>
        <w:t>（6）竞争性磋商</w:t>
      </w:r>
      <w:r>
        <w:rPr>
          <w:rFonts w:hint="eastAsia"/>
          <w:color w:val="auto"/>
          <w:sz w:val="18"/>
          <w:szCs w:val="18"/>
        </w:rPr>
        <w:t>响应文件有效期</w:t>
      </w:r>
      <w:r>
        <w:rPr>
          <w:rFonts w:hint="eastAsia" w:ascii="宋体" w:hAnsi="宋体"/>
          <w:color w:val="auto"/>
          <w:sz w:val="18"/>
          <w:szCs w:val="18"/>
        </w:rPr>
        <w:t>、交货时间或服务期、产品免费保修期等售后服务不能满足</w:t>
      </w:r>
      <w:r>
        <w:rPr>
          <w:rFonts w:hint="eastAsia"/>
          <w:color w:val="auto"/>
          <w:sz w:val="18"/>
          <w:szCs w:val="18"/>
        </w:rPr>
        <w:t>竞争性磋商文件</w:t>
      </w:r>
      <w:r>
        <w:rPr>
          <w:rFonts w:hint="eastAsia" w:ascii="宋体" w:hAnsi="宋体"/>
          <w:color w:val="auto"/>
          <w:sz w:val="18"/>
          <w:szCs w:val="18"/>
        </w:rPr>
        <w:t>要求的；</w:t>
      </w:r>
    </w:p>
    <w:p>
      <w:pPr>
        <w:snapToGrid w:val="0"/>
        <w:spacing w:line="400" w:lineRule="exact"/>
        <w:ind w:firstLine="352" w:firstLineChars="196"/>
        <w:outlineLvl w:val="4"/>
        <w:rPr>
          <w:rFonts w:ascii="宋体" w:hAnsi="宋体"/>
          <w:color w:val="auto"/>
          <w:sz w:val="18"/>
          <w:szCs w:val="18"/>
        </w:rPr>
      </w:pPr>
      <w:r>
        <w:rPr>
          <w:rFonts w:hint="eastAsia" w:ascii="宋体" w:hAnsi="宋体"/>
          <w:color w:val="auto"/>
          <w:sz w:val="18"/>
          <w:szCs w:val="18"/>
        </w:rPr>
        <w:t>（7）供应商未就“</w:t>
      </w:r>
      <w:r>
        <w:rPr>
          <w:rFonts w:hint="eastAsia" w:hAnsi="宋体"/>
          <w:bCs/>
          <w:color w:val="auto"/>
          <w:sz w:val="18"/>
          <w:szCs w:val="18"/>
        </w:rPr>
        <w:t>服务采购需求</w:t>
      </w:r>
      <w:r>
        <w:rPr>
          <w:rFonts w:hint="eastAsia" w:ascii="宋体" w:hAnsi="宋体"/>
          <w:color w:val="auto"/>
          <w:sz w:val="18"/>
          <w:szCs w:val="18"/>
        </w:rPr>
        <w:t>表”</w:t>
      </w:r>
      <w:r>
        <w:rPr>
          <w:rFonts w:hint="eastAsia"/>
          <w:color w:val="auto"/>
          <w:sz w:val="18"/>
          <w:szCs w:val="18"/>
        </w:rPr>
        <w:t>中所有的货物和服务内容作完整唯一报价的</w:t>
      </w:r>
      <w:r>
        <w:rPr>
          <w:rFonts w:hint="eastAsia" w:ascii="宋体" w:hAnsi="宋体"/>
          <w:color w:val="auto"/>
          <w:sz w:val="18"/>
          <w:szCs w:val="18"/>
        </w:rPr>
        <w:t>；</w:t>
      </w:r>
    </w:p>
    <w:p>
      <w:pPr>
        <w:pStyle w:val="22"/>
        <w:spacing w:line="400" w:lineRule="exact"/>
        <w:ind w:firstLine="360" w:firstLineChars="200"/>
        <w:rPr>
          <w:rFonts w:hAnsi="宋体"/>
          <w:color w:val="auto"/>
          <w:sz w:val="18"/>
          <w:szCs w:val="18"/>
        </w:rPr>
      </w:pPr>
      <w:r>
        <w:rPr>
          <w:rFonts w:hint="eastAsia" w:hAnsi="宋体"/>
          <w:color w:val="auto"/>
          <w:sz w:val="18"/>
          <w:szCs w:val="18"/>
        </w:rPr>
        <w:t>（8）未在磋商小组规定的时间内递交响应文件的；</w:t>
      </w:r>
    </w:p>
    <w:p>
      <w:pPr>
        <w:pStyle w:val="22"/>
        <w:spacing w:line="400" w:lineRule="exact"/>
        <w:ind w:firstLine="360" w:firstLineChars="200"/>
        <w:rPr>
          <w:rFonts w:hAnsi="宋体"/>
          <w:color w:val="auto"/>
          <w:sz w:val="18"/>
          <w:szCs w:val="18"/>
        </w:rPr>
      </w:pPr>
      <w:r>
        <w:rPr>
          <w:rFonts w:hint="eastAsia" w:hAnsi="宋体"/>
          <w:color w:val="auto"/>
          <w:sz w:val="18"/>
          <w:szCs w:val="18"/>
        </w:rPr>
        <w:t>（9）不满足竞争性磋商文件规定的技术需求、技术标准要求的实质性要求的；</w:t>
      </w:r>
    </w:p>
    <w:p>
      <w:pPr>
        <w:pStyle w:val="22"/>
        <w:spacing w:line="400" w:lineRule="exact"/>
        <w:ind w:firstLine="360" w:firstLineChars="200"/>
        <w:rPr>
          <w:rFonts w:hAnsi="宋体"/>
          <w:color w:val="auto"/>
          <w:sz w:val="18"/>
          <w:szCs w:val="18"/>
        </w:rPr>
      </w:pPr>
      <w:r>
        <w:rPr>
          <w:rFonts w:hint="eastAsia" w:hAnsi="宋体"/>
          <w:color w:val="auto"/>
          <w:sz w:val="18"/>
          <w:szCs w:val="18"/>
        </w:rPr>
        <w:t>（10）未实质性响应竞争性磋商文件要求的；或者竞争性磋商</w:t>
      </w:r>
      <w:r>
        <w:rPr>
          <w:rFonts w:hint="eastAsia"/>
          <w:color w:val="auto"/>
          <w:sz w:val="18"/>
          <w:szCs w:val="18"/>
        </w:rPr>
        <w:t>响应</w:t>
      </w:r>
      <w:r>
        <w:rPr>
          <w:rFonts w:hint="eastAsia" w:hAnsi="宋体"/>
          <w:color w:val="auto"/>
          <w:sz w:val="18"/>
          <w:szCs w:val="18"/>
        </w:rPr>
        <w:t>文件有采购人不能接受的附加条件的；</w:t>
      </w:r>
    </w:p>
    <w:p>
      <w:pPr>
        <w:pStyle w:val="22"/>
        <w:spacing w:line="400" w:lineRule="exact"/>
        <w:ind w:firstLine="360" w:firstLineChars="200"/>
        <w:rPr>
          <w:rFonts w:hAnsi="宋体"/>
          <w:color w:val="auto"/>
          <w:sz w:val="18"/>
          <w:szCs w:val="18"/>
        </w:rPr>
      </w:pPr>
      <w:r>
        <w:rPr>
          <w:rFonts w:hint="eastAsia" w:hAnsi="宋体"/>
          <w:color w:val="auto"/>
          <w:sz w:val="18"/>
          <w:szCs w:val="18"/>
        </w:rPr>
        <w:t>（11）未按规定向采购代理机构购买本项目竞争性磋商文件的（有文件规定除外）；</w:t>
      </w:r>
    </w:p>
    <w:p>
      <w:pPr>
        <w:snapToGrid w:val="0"/>
        <w:spacing w:line="400" w:lineRule="exact"/>
        <w:ind w:firstLine="352" w:firstLineChars="196"/>
        <w:outlineLvl w:val="4"/>
        <w:rPr>
          <w:rFonts w:ascii="宋体" w:hAnsi="宋体"/>
          <w:color w:val="auto"/>
          <w:sz w:val="18"/>
          <w:szCs w:val="18"/>
        </w:rPr>
      </w:pPr>
      <w:r>
        <w:rPr>
          <w:rFonts w:hint="eastAsia" w:ascii="宋体" w:hAnsi="宋体"/>
          <w:color w:val="auto"/>
          <w:sz w:val="18"/>
          <w:szCs w:val="18"/>
        </w:rPr>
        <w:t>（12）不符合法律、法规和磋商文件规定的其他实质性要求和条件的。</w:t>
      </w:r>
    </w:p>
    <w:p>
      <w:pPr>
        <w:snapToGrid w:val="0"/>
        <w:spacing w:line="400" w:lineRule="exact"/>
        <w:ind w:firstLine="354" w:firstLineChars="196"/>
        <w:outlineLvl w:val="4"/>
        <w:rPr>
          <w:rFonts w:ascii="宋体" w:hAnsi="宋体"/>
          <w:b/>
          <w:color w:val="auto"/>
          <w:sz w:val="18"/>
          <w:szCs w:val="18"/>
        </w:rPr>
      </w:pPr>
      <w:r>
        <w:rPr>
          <w:rFonts w:hint="eastAsia" w:ascii="宋体" w:hAnsi="宋体"/>
          <w:b/>
          <w:color w:val="auto"/>
          <w:sz w:val="18"/>
          <w:szCs w:val="18"/>
        </w:rPr>
        <w:t>13.10有下列情形之一的视为供应商相互串通磋商，响应文件将被视为无效：</w:t>
      </w:r>
    </w:p>
    <w:p>
      <w:pPr>
        <w:snapToGrid w:val="0"/>
        <w:spacing w:line="400" w:lineRule="exact"/>
        <w:ind w:firstLine="352" w:firstLineChars="196"/>
        <w:outlineLvl w:val="4"/>
        <w:rPr>
          <w:rFonts w:ascii="宋体" w:hAnsi="宋体"/>
          <w:color w:val="auto"/>
          <w:sz w:val="18"/>
          <w:szCs w:val="18"/>
        </w:rPr>
      </w:pPr>
      <w:r>
        <w:rPr>
          <w:rFonts w:hint="eastAsia" w:ascii="宋体" w:hAnsi="宋体"/>
          <w:color w:val="auto"/>
          <w:sz w:val="18"/>
          <w:szCs w:val="18"/>
        </w:rPr>
        <w:t>（1）不同供应商的响应文件由同一单位或者个人编制；或不同供应商报名的IP地址一致的；</w:t>
      </w:r>
    </w:p>
    <w:p>
      <w:pPr>
        <w:snapToGrid w:val="0"/>
        <w:spacing w:line="400" w:lineRule="exact"/>
        <w:ind w:firstLine="352" w:firstLineChars="196"/>
        <w:outlineLvl w:val="4"/>
        <w:rPr>
          <w:rFonts w:ascii="宋体" w:hAnsi="宋体"/>
          <w:color w:val="auto"/>
          <w:sz w:val="18"/>
          <w:szCs w:val="18"/>
        </w:rPr>
      </w:pPr>
      <w:r>
        <w:rPr>
          <w:rFonts w:hint="eastAsia" w:ascii="宋体" w:hAnsi="宋体"/>
          <w:color w:val="auto"/>
          <w:sz w:val="18"/>
          <w:szCs w:val="18"/>
        </w:rPr>
        <w:t>（2）不同供应商委托同一单位或者个人办理磋商事宜；</w:t>
      </w:r>
    </w:p>
    <w:p>
      <w:pPr>
        <w:snapToGrid w:val="0"/>
        <w:spacing w:line="400" w:lineRule="exact"/>
        <w:ind w:firstLine="352" w:firstLineChars="196"/>
        <w:outlineLvl w:val="4"/>
        <w:rPr>
          <w:rFonts w:ascii="宋体" w:hAnsi="宋体"/>
          <w:color w:val="auto"/>
          <w:sz w:val="18"/>
          <w:szCs w:val="18"/>
        </w:rPr>
      </w:pPr>
      <w:r>
        <w:rPr>
          <w:rFonts w:hint="eastAsia" w:ascii="宋体" w:hAnsi="宋体"/>
          <w:color w:val="auto"/>
          <w:sz w:val="18"/>
          <w:szCs w:val="18"/>
        </w:rPr>
        <w:t>（3）不同的供应商的响应文件载明的项目管理员为同一个人；、</w:t>
      </w:r>
    </w:p>
    <w:p>
      <w:pPr>
        <w:snapToGrid w:val="0"/>
        <w:spacing w:line="400" w:lineRule="exact"/>
        <w:ind w:firstLine="352" w:firstLineChars="196"/>
        <w:outlineLvl w:val="4"/>
        <w:rPr>
          <w:rFonts w:ascii="宋体" w:hAnsi="宋体"/>
          <w:color w:val="auto"/>
          <w:sz w:val="18"/>
          <w:szCs w:val="18"/>
        </w:rPr>
      </w:pPr>
      <w:r>
        <w:rPr>
          <w:rFonts w:hint="eastAsia" w:ascii="宋体" w:hAnsi="宋体"/>
          <w:color w:val="auto"/>
          <w:sz w:val="18"/>
          <w:szCs w:val="18"/>
        </w:rPr>
        <w:t>（4）不同供应商的响应文件异常一致或竞标报价呈规律性差异；</w:t>
      </w:r>
    </w:p>
    <w:p>
      <w:pPr>
        <w:snapToGrid w:val="0"/>
        <w:spacing w:line="400" w:lineRule="exact"/>
        <w:ind w:firstLine="352" w:firstLineChars="196"/>
        <w:outlineLvl w:val="4"/>
        <w:rPr>
          <w:rFonts w:ascii="宋体" w:hAnsi="宋体"/>
          <w:color w:val="auto"/>
          <w:sz w:val="18"/>
          <w:szCs w:val="18"/>
        </w:rPr>
      </w:pPr>
      <w:r>
        <w:rPr>
          <w:rFonts w:hint="eastAsia" w:ascii="宋体" w:hAnsi="宋体"/>
          <w:color w:val="auto"/>
          <w:sz w:val="18"/>
          <w:szCs w:val="18"/>
        </w:rPr>
        <w:t>（5）不同供应商的响应文件相互混装；</w:t>
      </w:r>
    </w:p>
    <w:p>
      <w:pPr>
        <w:snapToGrid w:val="0"/>
        <w:spacing w:line="400" w:lineRule="exact"/>
        <w:ind w:firstLine="352" w:firstLineChars="196"/>
        <w:outlineLvl w:val="4"/>
        <w:rPr>
          <w:rFonts w:ascii="宋体" w:hAnsi="宋体"/>
          <w:color w:val="auto"/>
          <w:sz w:val="18"/>
          <w:szCs w:val="18"/>
        </w:rPr>
      </w:pPr>
      <w:r>
        <w:rPr>
          <w:rFonts w:hint="eastAsia" w:ascii="宋体" w:hAnsi="宋体"/>
          <w:color w:val="auto"/>
          <w:sz w:val="18"/>
          <w:szCs w:val="18"/>
        </w:rPr>
        <w:t>（6）不同供应商的磋商保证金从同一单位或者个人账户转出。</w:t>
      </w:r>
    </w:p>
    <w:p>
      <w:pPr>
        <w:pStyle w:val="3"/>
        <w:rPr>
          <w:color w:val="auto"/>
          <w:sz w:val="30"/>
          <w:szCs w:val="30"/>
        </w:rPr>
      </w:pPr>
      <w:bookmarkStart w:id="26" w:name="_Toc165"/>
      <w:r>
        <w:rPr>
          <w:rFonts w:hint="eastAsia"/>
          <w:color w:val="auto"/>
          <w:sz w:val="30"/>
          <w:szCs w:val="30"/>
        </w:rPr>
        <w:t>六、确定成交供应商办法</w:t>
      </w:r>
      <w:bookmarkEnd w:id="26"/>
    </w:p>
    <w:p>
      <w:pPr>
        <w:pStyle w:val="4"/>
        <w:rPr>
          <w:color w:val="auto"/>
          <w:sz w:val="18"/>
          <w:szCs w:val="18"/>
        </w:rPr>
      </w:pPr>
      <w:r>
        <w:rPr>
          <w:color w:val="auto"/>
          <w:sz w:val="18"/>
          <w:szCs w:val="18"/>
        </w:rPr>
        <w:t>1</w:t>
      </w:r>
      <w:r>
        <w:rPr>
          <w:rFonts w:hint="eastAsia"/>
          <w:color w:val="auto"/>
          <w:sz w:val="18"/>
          <w:szCs w:val="18"/>
        </w:rPr>
        <w:t>4</w:t>
      </w:r>
      <w:r>
        <w:rPr>
          <w:color w:val="auto"/>
          <w:sz w:val="18"/>
          <w:szCs w:val="18"/>
        </w:rPr>
        <w:t>. 根据以下原则确定成交供应商：</w:t>
      </w:r>
    </w:p>
    <w:p>
      <w:pPr>
        <w:widowControl/>
        <w:spacing w:line="400" w:lineRule="exact"/>
        <w:ind w:firstLine="450" w:firstLineChars="250"/>
        <w:jc w:val="left"/>
        <w:rPr>
          <w:rFonts w:ascii="宋体" w:hAnsi="宋体" w:cs="宋体"/>
          <w:color w:val="auto"/>
          <w:kern w:val="0"/>
          <w:sz w:val="18"/>
          <w:szCs w:val="18"/>
        </w:rPr>
      </w:pPr>
      <w:r>
        <w:rPr>
          <w:rFonts w:ascii="宋体" w:hAnsi="宋体" w:cs="宋体"/>
          <w:color w:val="auto"/>
          <w:kern w:val="0"/>
          <w:sz w:val="18"/>
          <w:szCs w:val="18"/>
        </w:rPr>
        <w:t>1</w:t>
      </w:r>
      <w:r>
        <w:rPr>
          <w:rFonts w:hint="eastAsia" w:ascii="宋体" w:hAnsi="宋体" w:cs="宋体"/>
          <w:color w:val="auto"/>
          <w:kern w:val="0"/>
          <w:sz w:val="18"/>
          <w:szCs w:val="18"/>
        </w:rPr>
        <w:t>4</w:t>
      </w:r>
      <w:r>
        <w:rPr>
          <w:rFonts w:ascii="宋体" w:hAnsi="宋体" w:cs="宋体"/>
          <w:color w:val="auto"/>
          <w:kern w:val="0"/>
          <w:sz w:val="18"/>
          <w:szCs w:val="18"/>
        </w:rPr>
        <w:t>.</w:t>
      </w:r>
      <w:r>
        <w:rPr>
          <w:rFonts w:hint="eastAsia" w:ascii="宋体" w:hAnsi="宋体" w:cs="宋体"/>
          <w:color w:val="auto"/>
          <w:kern w:val="0"/>
          <w:sz w:val="18"/>
          <w:szCs w:val="18"/>
        </w:rPr>
        <w:t>1</w:t>
      </w:r>
      <w:r>
        <w:rPr>
          <w:rFonts w:hint="eastAsia" w:hAnsi="宋体"/>
          <w:color w:val="auto"/>
          <w:sz w:val="18"/>
          <w:szCs w:val="18"/>
        </w:rPr>
        <w:t>招标采购单位根据供应商综合得分由高到低顺序排列</w:t>
      </w:r>
      <w:r>
        <w:rPr>
          <w:rFonts w:hint="eastAsia" w:ascii="宋体" w:hAnsi="宋体" w:cs="宋体"/>
          <w:color w:val="auto"/>
          <w:kern w:val="0"/>
          <w:sz w:val="18"/>
          <w:szCs w:val="18"/>
        </w:rPr>
        <w:t>次序</w:t>
      </w:r>
      <w:r>
        <w:rPr>
          <w:rFonts w:ascii="宋体" w:hAnsi="宋体" w:cs="宋体"/>
          <w:color w:val="auto"/>
          <w:kern w:val="0"/>
          <w:sz w:val="18"/>
          <w:szCs w:val="18"/>
        </w:rPr>
        <w:t>确定成交供应商</w:t>
      </w:r>
      <w:r>
        <w:rPr>
          <w:rFonts w:hint="eastAsia" w:ascii="宋体" w:hAnsi="宋体" w:cs="宋体"/>
          <w:color w:val="auto"/>
          <w:kern w:val="0"/>
          <w:sz w:val="18"/>
          <w:szCs w:val="18"/>
        </w:rPr>
        <w:t>。</w:t>
      </w:r>
    </w:p>
    <w:p>
      <w:pPr>
        <w:widowControl/>
        <w:spacing w:line="400" w:lineRule="exact"/>
        <w:ind w:firstLine="450" w:firstLineChars="250"/>
        <w:jc w:val="left"/>
        <w:rPr>
          <w:rFonts w:ascii="宋体" w:hAnsi="宋体" w:cs="宋体"/>
          <w:color w:val="auto"/>
          <w:kern w:val="0"/>
          <w:sz w:val="18"/>
          <w:szCs w:val="18"/>
        </w:rPr>
      </w:pPr>
      <w:r>
        <w:rPr>
          <w:rFonts w:hint="eastAsia" w:ascii="宋体" w:hAnsi="宋体" w:cs="宋体"/>
          <w:color w:val="auto"/>
          <w:kern w:val="0"/>
          <w:sz w:val="18"/>
          <w:szCs w:val="18"/>
        </w:rPr>
        <w:t>14.2成交人信用信息查询</w:t>
      </w:r>
    </w:p>
    <w:p>
      <w:pPr>
        <w:widowControl/>
        <w:spacing w:line="400" w:lineRule="exact"/>
        <w:ind w:firstLine="450" w:firstLineChars="250"/>
        <w:jc w:val="left"/>
        <w:rPr>
          <w:rFonts w:ascii="宋体" w:hAnsi="宋体" w:cs="宋体"/>
          <w:color w:val="auto"/>
          <w:kern w:val="0"/>
          <w:sz w:val="18"/>
          <w:szCs w:val="18"/>
        </w:rPr>
      </w:pPr>
      <w:r>
        <w:rPr>
          <w:rFonts w:hint="eastAsia" w:ascii="宋体" w:hAnsi="宋体" w:cs="宋体"/>
          <w:color w:val="auto"/>
          <w:kern w:val="0"/>
          <w:sz w:val="18"/>
          <w:szCs w:val="18"/>
        </w:rPr>
        <w:t>根据《关于做好政府采购有关信用主体标识码登记及在政府采购活动中查询使用信用记录有关问题的通知》桂财采〔2016〕37号的通知，在对成交人的成交资格进行信用查询：</w:t>
      </w:r>
    </w:p>
    <w:p>
      <w:pPr>
        <w:widowControl/>
        <w:spacing w:line="400" w:lineRule="exact"/>
        <w:ind w:firstLine="450" w:firstLineChars="250"/>
        <w:jc w:val="left"/>
        <w:rPr>
          <w:rFonts w:ascii="宋体" w:hAnsi="宋体" w:cs="宋体"/>
          <w:color w:val="auto"/>
          <w:kern w:val="0"/>
          <w:sz w:val="18"/>
          <w:szCs w:val="18"/>
        </w:rPr>
      </w:pPr>
      <w:r>
        <w:rPr>
          <w:rFonts w:hint="eastAsia" w:ascii="宋体" w:hAnsi="宋体" w:cs="宋体"/>
          <w:color w:val="auto"/>
          <w:kern w:val="0"/>
          <w:sz w:val="18"/>
          <w:szCs w:val="18"/>
        </w:rPr>
        <w:t>（1）、查询渠道：“信用中国”网站(www.creditchina.gov.cn)、中国政府采购网(www.ccgp.gov.cn)</w:t>
      </w:r>
      <w:r>
        <w:rPr>
          <w:rFonts w:hint="eastAsia" w:hAnsi="宋体" w:cs="宋体"/>
          <w:color w:val="auto"/>
          <w:kern w:val="0"/>
          <w:sz w:val="18"/>
          <w:szCs w:val="18"/>
        </w:rPr>
        <w:t xml:space="preserve"> </w:t>
      </w:r>
      <w:r>
        <w:rPr>
          <w:rFonts w:hint="eastAsia" w:ascii="宋体" w:hAnsi="宋体" w:cs="宋体"/>
          <w:color w:val="auto"/>
          <w:kern w:val="0"/>
          <w:sz w:val="18"/>
          <w:szCs w:val="18"/>
        </w:rPr>
        <w:t>灵山县人民政府网（www.gxls.gov.cn/）</w:t>
      </w:r>
    </w:p>
    <w:p>
      <w:pPr>
        <w:widowControl/>
        <w:spacing w:line="400" w:lineRule="exact"/>
        <w:ind w:firstLine="450" w:firstLineChars="250"/>
        <w:jc w:val="left"/>
        <w:rPr>
          <w:rFonts w:ascii="宋体" w:hAnsi="宋体" w:cs="宋体"/>
          <w:color w:val="auto"/>
          <w:kern w:val="0"/>
          <w:sz w:val="18"/>
          <w:szCs w:val="18"/>
        </w:rPr>
      </w:pPr>
      <w:r>
        <w:rPr>
          <w:rFonts w:hint="eastAsia" w:ascii="宋体" w:hAnsi="宋体" w:cs="宋体"/>
          <w:color w:val="auto"/>
          <w:kern w:val="0"/>
          <w:sz w:val="18"/>
          <w:szCs w:val="18"/>
        </w:rPr>
        <w:t>（2）查询截止时点：成交通知书发出前；</w:t>
      </w:r>
    </w:p>
    <w:p>
      <w:pPr>
        <w:widowControl/>
        <w:spacing w:line="400" w:lineRule="exact"/>
        <w:ind w:firstLine="450" w:firstLineChars="250"/>
        <w:jc w:val="left"/>
        <w:rPr>
          <w:rFonts w:ascii="宋体" w:hAnsi="宋体" w:cs="宋体"/>
          <w:color w:val="auto"/>
          <w:kern w:val="0"/>
          <w:sz w:val="18"/>
          <w:szCs w:val="18"/>
        </w:rPr>
      </w:pPr>
      <w:r>
        <w:rPr>
          <w:rFonts w:hint="eastAsia" w:ascii="宋体" w:hAnsi="宋体" w:cs="宋体"/>
          <w:color w:val="auto"/>
          <w:kern w:val="0"/>
          <w:sz w:val="18"/>
          <w:szCs w:val="18"/>
        </w:rPr>
        <w:t>（3）信用信息查询记录和证据留存方式：在查询网站中直接打印查询记录，打印材料作为采购活动资料保存。</w:t>
      </w:r>
    </w:p>
    <w:p>
      <w:pPr>
        <w:widowControl/>
        <w:spacing w:line="400" w:lineRule="exact"/>
        <w:ind w:firstLine="450" w:firstLineChars="250"/>
        <w:jc w:val="left"/>
        <w:rPr>
          <w:rFonts w:ascii="宋体" w:hAnsi="宋体" w:cs="宋体"/>
          <w:color w:val="auto"/>
          <w:kern w:val="0"/>
          <w:sz w:val="18"/>
          <w:szCs w:val="18"/>
        </w:rPr>
      </w:pPr>
      <w:r>
        <w:rPr>
          <w:rFonts w:hint="eastAsia" w:ascii="宋体" w:hAnsi="宋体" w:cs="宋体"/>
          <w:color w:val="auto"/>
          <w:kern w:val="0"/>
          <w:sz w:val="18"/>
          <w:szCs w:val="18"/>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pPr>
        <w:pStyle w:val="3"/>
        <w:rPr>
          <w:color w:val="auto"/>
          <w:sz w:val="30"/>
          <w:szCs w:val="30"/>
        </w:rPr>
      </w:pPr>
      <w:bookmarkStart w:id="27" w:name="_Toc31599"/>
      <w:r>
        <w:rPr>
          <w:rFonts w:hint="eastAsia"/>
          <w:color w:val="auto"/>
          <w:sz w:val="30"/>
          <w:szCs w:val="30"/>
        </w:rPr>
        <w:t>七、成交结果公告</w:t>
      </w:r>
      <w:bookmarkEnd w:id="27"/>
    </w:p>
    <w:p>
      <w:pPr>
        <w:pStyle w:val="4"/>
        <w:rPr>
          <w:color w:val="auto"/>
          <w:sz w:val="18"/>
          <w:szCs w:val="18"/>
        </w:rPr>
      </w:pPr>
      <w:r>
        <w:rPr>
          <w:rFonts w:hint="eastAsia"/>
          <w:color w:val="auto"/>
          <w:sz w:val="18"/>
          <w:szCs w:val="18"/>
        </w:rPr>
        <w:t>15.成交结果公告程序</w:t>
      </w:r>
    </w:p>
    <w:p>
      <w:pPr>
        <w:pStyle w:val="22"/>
        <w:spacing w:line="400" w:lineRule="exact"/>
        <w:ind w:firstLine="420"/>
        <w:rPr>
          <w:rFonts w:hAnsi="宋体"/>
          <w:color w:val="auto"/>
          <w:sz w:val="18"/>
          <w:szCs w:val="18"/>
        </w:rPr>
      </w:pPr>
      <w:r>
        <w:rPr>
          <w:rFonts w:hint="eastAsia" w:hAnsi="宋体"/>
          <w:color w:val="auto"/>
          <w:sz w:val="18"/>
          <w:szCs w:val="18"/>
        </w:rPr>
        <w:t>15.1采购代理机构在评审结束后二个工作日内将磋商评审报告送采购人确认，</w:t>
      </w:r>
      <w:r>
        <w:rPr>
          <w:rFonts w:hint="eastAsia" w:hAnsi="宋体" w:cs="宋体"/>
          <w:color w:val="auto"/>
          <w:kern w:val="0"/>
          <w:sz w:val="18"/>
          <w:szCs w:val="18"/>
        </w:rPr>
        <w:t>采购人</w:t>
      </w:r>
      <w:r>
        <w:rPr>
          <w:rFonts w:hint="eastAsia" w:hAnsi="宋体"/>
          <w:color w:val="auto"/>
          <w:sz w:val="18"/>
          <w:szCs w:val="18"/>
        </w:rPr>
        <w:t>确认后，采购代理机构在二个工作日内将</w:t>
      </w:r>
      <w:r>
        <w:rPr>
          <w:rFonts w:hint="eastAsia" w:hAnsi="宋体"/>
          <w:b/>
          <w:color w:val="auto"/>
          <w:sz w:val="18"/>
          <w:szCs w:val="18"/>
        </w:rPr>
        <w:t>成交结果公告</w:t>
      </w:r>
      <w:r>
        <w:rPr>
          <w:rFonts w:hint="eastAsia" w:hAnsi="宋体"/>
          <w:color w:val="auto"/>
          <w:sz w:val="18"/>
          <w:szCs w:val="18"/>
        </w:rPr>
        <w:t>在中国政府采购网</w:t>
      </w:r>
      <w:r>
        <w:rPr>
          <w:rFonts w:hint="eastAsia" w:hAnsi="宋体"/>
          <w:color w:val="auto"/>
          <w:sz w:val="18"/>
          <w:szCs w:val="18"/>
          <w:u w:val="single"/>
        </w:rPr>
        <w:t>(</w:t>
      </w:r>
      <w:r>
        <w:rPr>
          <w:rFonts w:hAnsi="宋体"/>
          <w:color w:val="auto"/>
          <w:sz w:val="18"/>
          <w:szCs w:val="18"/>
          <w:u w:val="single"/>
        </w:rPr>
        <w:t>www.ccgp.gov.cn</w:t>
      </w:r>
      <w:r>
        <w:rPr>
          <w:rFonts w:hint="eastAsia" w:hAnsi="宋体"/>
          <w:color w:val="auto"/>
          <w:sz w:val="18"/>
          <w:szCs w:val="18"/>
          <w:u w:val="single"/>
        </w:rPr>
        <w:t>)</w:t>
      </w:r>
      <w:r>
        <w:rPr>
          <w:rFonts w:hint="eastAsia" w:hAnsi="宋体"/>
          <w:color w:val="auto"/>
          <w:sz w:val="18"/>
          <w:szCs w:val="18"/>
        </w:rPr>
        <w:t xml:space="preserve">、广西壮族自治区政府采购网 </w:t>
      </w:r>
      <w:r>
        <w:rPr>
          <w:rFonts w:hint="eastAsia" w:hAnsi="宋体"/>
          <w:color w:val="auto"/>
          <w:sz w:val="18"/>
          <w:szCs w:val="18"/>
          <w:u w:val="single"/>
        </w:rPr>
        <w:t>(http：//www.gxzfcg.gov.cn)、灵山县人民政府网（www.gxls.gov.cn/）</w:t>
      </w:r>
      <w:r>
        <w:rPr>
          <w:rFonts w:hint="eastAsia" w:hAnsi="宋体"/>
          <w:color w:val="auto"/>
          <w:sz w:val="18"/>
          <w:szCs w:val="18"/>
        </w:rPr>
        <w:t>上发布，</w:t>
      </w:r>
      <w:r>
        <w:rPr>
          <w:rFonts w:hint="eastAsia" w:hAnsi="宋体" w:cs="宋体"/>
          <w:color w:val="auto"/>
          <w:kern w:val="0"/>
          <w:sz w:val="18"/>
          <w:szCs w:val="18"/>
        </w:rPr>
        <w:t>同时向成交供应商发出成交通知书</w:t>
      </w:r>
      <w:r>
        <w:rPr>
          <w:rFonts w:hint="eastAsia" w:hAnsi="宋体"/>
          <w:color w:val="auto"/>
          <w:sz w:val="18"/>
          <w:szCs w:val="18"/>
        </w:rPr>
        <w:t>。</w:t>
      </w:r>
    </w:p>
    <w:p>
      <w:pPr>
        <w:pStyle w:val="22"/>
        <w:spacing w:line="400" w:lineRule="exact"/>
        <w:ind w:left="105" w:firstLine="315"/>
        <w:rPr>
          <w:rFonts w:hAnsi="宋体"/>
          <w:bCs/>
          <w:color w:val="auto"/>
          <w:sz w:val="18"/>
          <w:szCs w:val="18"/>
        </w:rPr>
      </w:pPr>
      <w:r>
        <w:rPr>
          <w:rFonts w:hint="eastAsia" w:hAnsi="宋体"/>
          <w:color w:val="auto"/>
          <w:sz w:val="18"/>
          <w:szCs w:val="18"/>
        </w:rPr>
        <w:t>15.2供应商</w:t>
      </w:r>
      <w:r>
        <w:rPr>
          <w:rFonts w:hint="eastAsia" w:hAnsi="宋体" w:cs="宋体"/>
          <w:color w:val="auto"/>
          <w:kern w:val="0"/>
          <w:sz w:val="18"/>
          <w:szCs w:val="18"/>
        </w:rPr>
        <w:t>认为成交结果使自己的权益受到损害的</w:t>
      </w:r>
      <w:r>
        <w:rPr>
          <w:rFonts w:hint="eastAsia" w:hAnsi="宋体"/>
          <w:color w:val="auto"/>
          <w:sz w:val="18"/>
          <w:szCs w:val="18"/>
        </w:rPr>
        <w:t>，</w:t>
      </w:r>
      <w:r>
        <w:rPr>
          <w:rFonts w:hint="eastAsia" w:hAnsi="宋体" w:cs="宋体"/>
          <w:color w:val="auto"/>
          <w:kern w:val="0"/>
          <w:sz w:val="18"/>
          <w:szCs w:val="18"/>
        </w:rPr>
        <w:t>可以自成交结果公告期限届满之日起</w:t>
      </w:r>
      <w:r>
        <w:rPr>
          <w:rFonts w:hint="eastAsia" w:hAnsi="宋体"/>
          <w:bCs/>
          <w:color w:val="auto"/>
          <w:sz w:val="18"/>
          <w:szCs w:val="18"/>
        </w:rPr>
        <w:t>七个工作日内以书面形式向采购代理机构提出质疑。</w:t>
      </w:r>
      <w:r>
        <w:rPr>
          <w:rFonts w:hint="eastAsia" w:hAnsi="宋体"/>
          <w:color w:val="auto"/>
          <w:sz w:val="18"/>
          <w:szCs w:val="18"/>
        </w:rPr>
        <w:t>采购代理机构</w:t>
      </w:r>
      <w:r>
        <w:rPr>
          <w:rFonts w:hint="eastAsia" w:hAnsi="宋体"/>
          <w:bCs/>
          <w:color w:val="auto"/>
          <w:sz w:val="18"/>
          <w:szCs w:val="18"/>
        </w:rPr>
        <w:t>将在收到</w:t>
      </w:r>
      <w:r>
        <w:rPr>
          <w:rFonts w:hint="eastAsia" w:hAnsi="宋体"/>
          <w:color w:val="auto"/>
          <w:sz w:val="18"/>
          <w:szCs w:val="18"/>
        </w:rPr>
        <w:t>供应商</w:t>
      </w:r>
      <w:r>
        <w:rPr>
          <w:rFonts w:hint="eastAsia" w:hAnsi="宋体"/>
          <w:bCs/>
          <w:color w:val="auto"/>
          <w:sz w:val="18"/>
          <w:szCs w:val="18"/>
        </w:rPr>
        <w:t>的书面质疑后七个工作日内做出答复，但答复的内容不得涉及商业秘密。</w:t>
      </w:r>
    </w:p>
    <w:p>
      <w:pPr>
        <w:pStyle w:val="22"/>
        <w:spacing w:line="400" w:lineRule="exact"/>
        <w:ind w:firstLine="420"/>
        <w:rPr>
          <w:rFonts w:hAnsi="宋体"/>
          <w:bCs/>
          <w:color w:val="auto"/>
          <w:sz w:val="18"/>
          <w:szCs w:val="18"/>
        </w:rPr>
      </w:pPr>
      <w:r>
        <w:rPr>
          <w:rFonts w:hint="eastAsia" w:hAnsi="宋体"/>
          <w:color w:val="auto"/>
          <w:sz w:val="18"/>
          <w:szCs w:val="18"/>
        </w:rPr>
        <w:t>15.3</w:t>
      </w:r>
      <w:r>
        <w:rPr>
          <w:rFonts w:hint="eastAsia" w:hAnsi="宋体"/>
          <w:bCs/>
          <w:color w:val="auto"/>
          <w:sz w:val="18"/>
          <w:szCs w:val="18"/>
        </w:rPr>
        <w:t>质疑</w:t>
      </w:r>
      <w:r>
        <w:rPr>
          <w:rFonts w:hint="eastAsia" w:hAnsi="宋体"/>
          <w:color w:val="auto"/>
          <w:sz w:val="18"/>
          <w:szCs w:val="18"/>
        </w:rPr>
        <w:t>供应商</w:t>
      </w:r>
      <w:r>
        <w:rPr>
          <w:rFonts w:hint="eastAsia" w:hAnsi="宋体"/>
          <w:bCs/>
          <w:color w:val="auto"/>
          <w:sz w:val="18"/>
          <w:szCs w:val="18"/>
        </w:rPr>
        <w:t>必须首先经过质疑程序，在对</w:t>
      </w:r>
      <w:r>
        <w:rPr>
          <w:rFonts w:hint="eastAsia" w:hAnsi="宋体"/>
          <w:color w:val="auto"/>
          <w:sz w:val="18"/>
          <w:szCs w:val="18"/>
        </w:rPr>
        <w:t>采购代理机构</w:t>
      </w:r>
      <w:r>
        <w:rPr>
          <w:rFonts w:hint="eastAsia" w:hAnsi="宋体"/>
          <w:bCs/>
          <w:color w:val="auto"/>
          <w:sz w:val="18"/>
          <w:szCs w:val="18"/>
        </w:rPr>
        <w:t>的答复不满意或者</w:t>
      </w:r>
      <w:r>
        <w:rPr>
          <w:rFonts w:hint="eastAsia" w:hAnsi="宋体"/>
          <w:color w:val="auto"/>
          <w:sz w:val="18"/>
          <w:szCs w:val="18"/>
        </w:rPr>
        <w:t>采购代理机构</w:t>
      </w:r>
      <w:r>
        <w:rPr>
          <w:rFonts w:hint="eastAsia" w:hAnsi="宋体"/>
          <w:bCs/>
          <w:color w:val="auto"/>
          <w:sz w:val="18"/>
          <w:szCs w:val="18"/>
        </w:rPr>
        <w:t>未在规定的时间内做出答复的，可以在答复期满后十五个工作日内书面向本级政府采购监督管理部门投诉。</w:t>
      </w:r>
    </w:p>
    <w:p>
      <w:pPr>
        <w:pStyle w:val="3"/>
        <w:numPr>
          <w:ilvl w:val="0"/>
          <w:numId w:val="6"/>
        </w:numPr>
        <w:rPr>
          <w:color w:val="auto"/>
          <w:sz w:val="30"/>
          <w:szCs w:val="30"/>
        </w:rPr>
      </w:pPr>
      <w:bookmarkStart w:id="28" w:name="_Toc11342"/>
      <w:r>
        <w:rPr>
          <w:rFonts w:hint="eastAsia"/>
          <w:color w:val="auto"/>
          <w:sz w:val="30"/>
          <w:szCs w:val="30"/>
        </w:rPr>
        <w:t>签订合同</w:t>
      </w:r>
      <w:bookmarkEnd w:id="28"/>
    </w:p>
    <w:p>
      <w:pPr>
        <w:rPr>
          <w:color w:val="auto"/>
          <w:sz w:val="18"/>
          <w:szCs w:val="18"/>
        </w:rPr>
      </w:pPr>
      <w:r>
        <w:rPr>
          <w:rFonts w:hint="eastAsia"/>
          <w:color w:val="auto"/>
          <w:sz w:val="18"/>
          <w:szCs w:val="18"/>
        </w:rPr>
        <w:t xml:space="preserve">  </w:t>
      </w:r>
      <w:r>
        <w:rPr>
          <w:rStyle w:val="70"/>
          <w:rFonts w:hint="eastAsia"/>
          <w:color w:val="auto"/>
          <w:sz w:val="18"/>
          <w:szCs w:val="18"/>
        </w:rPr>
        <w:t xml:space="preserve">  16.签订合同程序</w:t>
      </w:r>
    </w:p>
    <w:p>
      <w:pPr>
        <w:spacing w:line="400" w:lineRule="exact"/>
        <w:ind w:firstLine="405" w:firstLineChars="225"/>
        <w:rPr>
          <w:rFonts w:ascii="宋体" w:hAnsi="宋体"/>
          <w:color w:val="auto"/>
          <w:sz w:val="18"/>
          <w:szCs w:val="18"/>
        </w:rPr>
      </w:pPr>
      <w:r>
        <w:rPr>
          <w:rFonts w:hint="eastAsia" w:ascii="宋体" w:hAnsi="宋体"/>
          <w:color w:val="auto"/>
          <w:sz w:val="18"/>
          <w:szCs w:val="18"/>
        </w:rPr>
        <w:t>16.1成交供应商自成交通知书发出之日起二十五</w:t>
      </w:r>
      <w:r>
        <w:rPr>
          <w:rFonts w:hint="eastAsia" w:ascii="宋体" w:hAnsi="宋体"/>
          <w:color w:val="auto"/>
          <w:sz w:val="18"/>
          <w:szCs w:val="18"/>
          <w:lang w:eastAsia="zh-CN"/>
        </w:rPr>
        <w:t>天</w:t>
      </w:r>
      <w:r>
        <w:rPr>
          <w:rFonts w:ascii="宋体" w:hAnsi="宋体"/>
          <w:color w:val="auto"/>
          <w:sz w:val="18"/>
          <w:szCs w:val="18"/>
        </w:rPr>
        <w:t>内。成交供应商领取成交通知书后，应按规定与采购人签订合同。</w:t>
      </w:r>
    </w:p>
    <w:p>
      <w:pPr>
        <w:spacing w:line="400" w:lineRule="exact"/>
        <w:ind w:firstLine="405" w:firstLineChars="225"/>
        <w:rPr>
          <w:rFonts w:ascii="宋体" w:hAnsi="宋体"/>
          <w:color w:val="auto"/>
          <w:sz w:val="18"/>
          <w:szCs w:val="18"/>
        </w:rPr>
      </w:pPr>
      <w:r>
        <w:rPr>
          <w:rFonts w:hint="eastAsia" w:ascii="宋体" w:hAnsi="宋体"/>
          <w:color w:val="auto"/>
          <w:sz w:val="18"/>
          <w:szCs w:val="18"/>
        </w:rPr>
        <w:t>16.2</w:t>
      </w:r>
      <w:r>
        <w:rPr>
          <w:rFonts w:hint="eastAsia" w:ascii="宋体" w:hAnsi="宋体" w:cs="宋体"/>
          <w:color w:val="auto"/>
          <w:kern w:val="0"/>
          <w:sz w:val="18"/>
          <w:szCs w:val="18"/>
        </w:rPr>
        <w:t>成交供应商拒绝签订政府采购合同的</w:t>
      </w:r>
      <w:r>
        <w:rPr>
          <w:rFonts w:hint="eastAsia" w:ascii="宋体" w:hAnsi="宋体"/>
          <w:color w:val="auto"/>
          <w:sz w:val="18"/>
          <w:szCs w:val="18"/>
        </w:rPr>
        <w:t>，采购人可以根据磋商评审报告确定成交供应商之后排名第一的成交候选人</w:t>
      </w:r>
      <w:r>
        <w:rPr>
          <w:rFonts w:hint="eastAsia" w:ascii="宋体" w:hAnsi="宋体" w:cs="宋体"/>
          <w:color w:val="auto"/>
          <w:kern w:val="0"/>
          <w:sz w:val="18"/>
          <w:szCs w:val="18"/>
        </w:rPr>
        <w:t>作为</w:t>
      </w:r>
      <w:r>
        <w:rPr>
          <w:rFonts w:hint="eastAsia" w:ascii="宋体" w:hAnsi="宋体"/>
          <w:color w:val="auto"/>
          <w:sz w:val="18"/>
          <w:szCs w:val="18"/>
        </w:rPr>
        <w:t>成交供应商</w:t>
      </w:r>
      <w:r>
        <w:rPr>
          <w:rFonts w:hint="eastAsia" w:ascii="宋体" w:hAnsi="宋体" w:cs="宋体"/>
          <w:color w:val="auto"/>
          <w:kern w:val="0"/>
          <w:sz w:val="18"/>
          <w:szCs w:val="18"/>
        </w:rPr>
        <w:t>并签订政府采购合同，也可以重新开展采购活动。拒绝签订政府采购合同的成交供应商不得参加对该项目重新开展的采购活动。</w:t>
      </w:r>
    </w:p>
    <w:p>
      <w:pPr>
        <w:spacing w:line="400" w:lineRule="exact"/>
        <w:ind w:firstLine="361" w:firstLineChars="200"/>
        <w:rPr>
          <w:rFonts w:ascii="宋体" w:hAnsi="宋体"/>
          <w:b/>
          <w:color w:val="auto"/>
          <w:sz w:val="18"/>
          <w:szCs w:val="18"/>
        </w:rPr>
      </w:pPr>
      <w:r>
        <w:rPr>
          <w:rFonts w:hint="eastAsia" w:ascii="宋体" w:hAnsi="宋体"/>
          <w:b/>
          <w:color w:val="auto"/>
          <w:sz w:val="18"/>
          <w:szCs w:val="18"/>
        </w:rPr>
        <w:t>16.3</w:t>
      </w:r>
      <w:r>
        <w:rPr>
          <w:rFonts w:hint="eastAsia" w:ascii="宋体" w:hAnsi="宋体" w:cs="宋体"/>
          <w:b/>
          <w:color w:val="auto"/>
          <w:kern w:val="0"/>
          <w:sz w:val="18"/>
          <w:szCs w:val="18"/>
        </w:rPr>
        <w:t>成交供应商拒绝签订政府采购合同的</w:t>
      </w:r>
      <w:r>
        <w:rPr>
          <w:rFonts w:hint="eastAsia" w:ascii="宋体" w:hAnsi="宋体"/>
          <w:b/>
          <w:color w:val="auto"/>
          <w:sz w:val="18"/>
          <w:szCs w:val="18"/>
        </w:rPr>
        <w:t>，其保证金将不予退还，并上缴同级财政国库，给采购人造成其损失的，还应当赔偿损失，并作为不良行为记录在案。</w:t>
      </w:r>
      <w:bookmarkStart w:id="29" w:name="_Toc363"/>
    </w:p>
    <w:p>
      <w:pPr>
        <w:spacing w:line="400" w:lineRule="exact"/>
        <w:rPr>
          <w:rFonts w:ascii="宋体" w:hAnsi="宋体"/>
          <w:b/>
          <w:color w:val="auto"/>
          <w:sz w:val="18"/>
          <w:szCs w:val="18"/>
        </w:rPr>
      </w:pPr>
      <w:r>
        <w:rPr>
          <w:rFonts w:hint="eastAsia"/>
          <w:b/>
          <w:color w:val="auto"/>
          <w:sz w:val="18"/>
          <w:szCs w:val="18"/>
        </w:rPr>
        <w:t>九、适用法律</w:t>
      </w:r>
      <w:bookmarkEnd w:id="29"/>
    </w:p>
    <w:p>
      <w:pPr>
        <w:spacing w:line="400" w:lineRule="exact"/>
        <w:rPr>
          <w:rFonts w:ascii="宋体" w:hAnsi="宋体"/>
          <w:color w:val="auto"/>
          <w:sz w:val="18"/>
          <w:szCs w:val="18"/>
        </w:rPr>
      </w:pPr>
      <w:r>
        <w:rPr>
          <w:rStyle w:val="70"/>
          <w:rFonts w:hint="eastAsia"/>
          <w:color w:val="auto"/>
          <w:sz w:val="18"/>
          <w:szCs w:val="18"/>
        </w:rPr>
        <w:t>17.采购当事人的一切活动均适用于《中华人民共和国政府采购法》、《政府采购竞争性磋商采购方式管理暂行办法》及相关规定。最后磋商结束后，磋商小组不得再与供应商进行任何形式的磋商</w:t>
      </w:r>
      <w:r>
        <w:rPr>
          <w:rFonts w:hint="eastAsia" w:ascii="宋体" w:hAnsi="宋体"/>
          <w:color w:val="auto"/>
          <w:sz w:val="18"/>
          <w:szCs w:val="18"/>
        </w:rPr>
        <w:t>。</w:t>
      </w:r>
    </w:p>
    <w:p>
      <w:pPr>
        <w:pStyle w:val="3"/>
        <w:rPr>
          <w:color w:val="auto"/>
          <w:sz w:val="18"/>
          <w:szCs w:val="18"/>
        </w:rPr>
      </w:pPr>
      <w:bookmarkStart w:id="30" w:name="_Toc10385"/>
      <w:r>
        <w:rPr>
          <w:rFonts w:hint="eastAsia"/>
          <w:color w:val="auto"/>
          <w:sz w:val="18"/>
          <w:szCs w:val="18"/>
        </w:rPr>
        <w:t>十、其他事项</w:t>
      </w:r>
      <w:bookmarkEnd w:id="30"/>
      <w:r>
        <w:rPr>
          <w:rFonts w:hint="eastAsia" w:hAnsi="宋体" w:cs="Courier New"/>
          <w:color w:val="auto"/>
          <w:sz w:val="18"/>
          <w:szCs w:val="18"/>
        </w:rPr>
        <w:t xml:space="preserve">          </w:t>
      </w:r>
    </w:p>
    <w:p>
      <w:pPr>
        <w:pStyle w:val="22"/>
        <w:snapToGrid w:val="0"/>
        <w:spacing w:line="390" w:lineRule="exact"/>
        <w:ind w:firstLine="361" w:firstLineChars="200"/>
        <w:rPr>
          <w:rFonts w:hAnsi="宋体"/>
          <w:color w:val="auto"/>
          <w:sz w:val="18"/>
          <w:szCs w:val="18"/>
        </w:rPr>
      </w:pPr>
      <w:r>
        <w:rPr>
          <w:rStyle w:val="70"/>
          <w:rFonts w:hint="eastAsia"/>
          <w:color w:val="auto"/>
          <w:sz w:val="18"/>
          <w:szCs w:val="18"/>
        </w:rPr>
        <w:t>18.1 签订采购合同时间</w:t>
      </w:r>
      <w:r>
        <w:rPr>
          <w:rFonts w:hint="eastAsia" w:hAnsi="宋体"/>
          <w:color w:val="auto"/>
          <w:sz w:val="18"/>
          <w:szCs w:val="18"/>
        </w:rPr>
        <w:t>：成交通知书发出之日起二十</w:t>
      </w:r>
      <w:r>
        <w:rPr>
          <w:rFonts w:hint="eastAsia" w:hAnsi="宋体"/>
          <w:color w:val="auto"/>
          <w:sz w:val="18"/>
          <w:szCs w:val="18"/>
          <w:lang w:eastAsia="zh-CN"/>
        </w:rPr>
        <w:t>五天</w:t>
      </w:r>
      <w:r>
        <w:rPr>
          <w:rFonts w:hint="eastAsia" w:hAnsi="宋体"/>
          <w:color w:val="auto"/>
          <w:sz w:val="18"/>
          <w:szCs w:val="18"/>
        </w:rPr>
        <w:t>内，成交供应商领取成交通知书后，应按规定与采购人签订合同。</w:t>
      </w:r>
    </w:p>
    <w:p>
      <w:pPr>
        <w:pStyle w:val="22"/>
        <w:snapToGrid w:val="0"/>
        <w:spacing w:line="390" w:lineRule="exact"/>
        <w:ind w:firstLine="361" w:firstLineChars="200"/>
        <w:rPr>
          <w:rStyle w:val="70"/>
          <w:color w:val="auto"/>
          <w:sz w:val="18"/>
          <w:szCs w:val="18"/>
        </w:rPr>
      </w:pPr>
      <w:r>
        <w:rPr>
          <w:rStyle w:val="70"/>
          <w:rFonts w:hint="eastAsia"/>
          <w:color w:val="auto"/>
          <w:sz w:val="18"/>
          <w:szCs w:val="18"/>
        </w:rPr>
        <w:t>18.2采购合同备案存档</w:t>
      </w:r>
      <w:r>
        <w:rPr>
          <w:rFonts w:hint="eastAsia" w:hAnsi="宋体"/>
          <w:color w:val="auto"/>
          <w:sz w:val="18"/>
          <w:szCs w:val="18"/>
        </w:rPr>
        <w:t>：政府采购合同双方自签订之日起1个工作日内将合同原件两份交采购代理机构。</w:t>
      </w:r>
    </w:p>
    <w:p>
      <w:pPr>
        <w:spacing w:line="400" w:lineRule="exact"/>
        <w:ind w:firstLine="407" w:firstLineChars="225"/>
        <w:rPr>
          <w:rFonts w:ascii="宋体" w:hAnsi="宋体"/>
          <w:color w:val="auto"/>
          <w:sz w:val="18"/>
          <w:szCs w:val="18"/>
        </w:rPr>
      </w:pPr>
      <w:r>
        <w:rPr>
          <w:rStyle w:val="70"/>
          <w:rFonts w:hint="eastAsia"/>
          <w:color w:val="auto"/>
          <w:sz w:val="18"/>
          <w:szCs w:val="18"/>
        </w:rPr>
        <w:t>18.3代理服务费</w:t>
      </w:r>
      <w:r>
        <w:rPr>
          <w:rFonts w:hint="eastAsia" w:ascii="宋体" w:hAnsi="宋体"/>
          <w:color w:val="auto"/>
          <w:sz w:val="18"/>
          <w:szCs w:val="18"/>
        </w:rPr>
        <w:t>：</w:t>
      </w:r>
    </w:p>
    <w:p>
      <w:pPr>
        <w:spacing w:line="380" w:lineRule="exact"/>
        <w:ind w:firstLine="360" w:firstLineChars="200"/>
        <w:rPr>
          <w:rFonts w:ascii="宋体" w:hAnsi="宋体"/>
          <w:color w:val="auto"/>
          <w:sz w:val="18"/>
          <w:szCs w:val="18"/>
        </w:rPr>
      </w:pPr>
      <w:r>
        <w:rPr>
          <w:rFonts w:hint="eastAsia" w:ascii="宋体" w:hAnsi="宋体"/>
          <w:color w:val="auto"/>
          <w:sz w:val="18"/>
          <w:szCs w:val="18"/>
        </w:rPr>
        <w:t>本项目代理服务费按本须知第18.1条“代理服务收费标准”中服务类收费标准计算，由成交供应商在领取成交通知书前，向采购代理机构一次性支付。</w:t>
      </w:r>
    </w:p>
    <w:p>
      <w:pPr>
        <w:spacing w:line="380" w:lineRule="exact"/>
        <w:ind w:firstLine="540" w:firstLineChars="300"/>
        <w:rPr>
          <w:rFonts w:ascii="宋体" w:hAnsi="宋体"/>
          <w:color w:val="auto"/>
          <w:sz w:val="18"/>
          <w:szCs w:val="18"/>
        </w:rPr>
      </w:pPr>
      <w:r>
        <w:rPr>
          <w:rFonts w:hint="eastAsia" w:ascii="宋体" w:hAnsi="宋体"/>
          <w:color w:val="auto"/>
          <w:sz w:val="18"/>
          <w:szCs w:val="18"/>
        </w:rPr>
        <w:t>18.4代理服务收费标准</w:t>
      </w:r>
    </w:p>
    <w:tbl>
      <w:tblPr>
        <w:tblStyle w:val="42"/>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719" w:type="dxa"/>
          </w:tcPr>
          <w:p>
            <w:pPr>
              <w:pStyle w:val="22"/>
              <w:spacing w:line="380" w:lineRule="exact"/>
              <w:ind w:left="25"/>
              <w:rPr>
                <w:rFonts w:hAnsi="宋体"/>
                <w:color w:val="auto"/>
                <w:sz w:val="18"/>
                <w:szCs w:val="18"/>
              </w:rPr>
            </w:pPr>
            <w:r>
              <w:rPr>
                <w:rFonts w:hAnsi="宋体"/>
                <w:color w:val="auto"/>
                <w:sz w:val="18"/>
                <w:szCs w:val="18"/>
              </w:rPr>
              <mc:AlternateContent>
                <mc:Choice Requires="wps">
                  <w:drawing>
                    <wp:anchor distT="0" distB="0" distL="114300" distR="114300" simplePos="0" relativeHeight="251657216" behindDoc="0" locked="0" layoutInCell="1" allowOverlap="1">
                      <wp:simplePos x="0" y="0"/>
                      <wp:positionH relativeFrom="column">
                        <wp:posOffset>296545</wp:posOffset>
                      </wp:positionH>
                      <wp:positionV relativeFrom="paragraph">
                        <wp:posOffset>10795</wp:posOffset>
                      </wp:positionV>
                      <wp:extent cx="1352550" cy="631190"/>
                      <wp:effectExtent l="1905" t="4445" r="1905" b="4445"/>
                      <wp:wrapNone/>
                      <wp:docPr id="1" name="直线 5"/>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23.35pt;margin-top:0.85pt;height:49.7pt;width:106.5pt;z-index:251657216;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EgPkV1AAAAAgBAAAPAAAAAAAAAAEAIAAAACIAAABkcnMvZG93bnJl&#10;di54bWxQSwECFAAUAAAACACHTuJAroKYMcgBAACGAwAADgAAAAAAAAABACAAAAAjAQAAZHJzL2Uy&#10;b0RvYy54bWxQSwUGAAAAAAYABgBZAQAAXQUAAAAA&#10;">
                      <v:fill on="f" focussize="0,0"/>
                      <v:stroke color="#000000" joinstyle="round"/>
                      <v:imagedata o:title=""/>
                      <o:lock v:ext="edit" aspectratio="f"/>
                    </v:line>
                  </w:pict>
                </mc:Fallback>
              </mc:AlternateContent>
            </w:r>
            <w:r>
              <w:rPr>
                <w:rFonts w:hint="eastAsia" w:hAnsi="宋体"/>
                <w:color w:val="auto"/>
                <w:sz w:val="18"/>
                <w:szCs w:val="18"/>
              </w:rPr>
              <w:t>费率           服务类型</w:t>
            </w:r>
          </w:p>
          <w:p>
            <w:pPr>
              <w:pStyle w:val="22"/>
              <w:spacing w:line="380" w:lineRule="exact"/>
              <w:ind w:left="25"/>
              <w:rPr>
                <w:rFonts w:hAnsi="宋体"/>
                <w:color w:val="auto"/>
                <w:sz w:val="18"/>
                <w:szCs w:val="18"/>
              </w:rPr>
            </w:pPr>
            <w:r>
              <w:rPr>
                <w:rFonts w:hAnsi="宋体"/>
                <w:color w:val="auto"/>
                <w:sz w:val="18"/>
                <w:szCs w:val="18"/>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45085</wp:posOffset>
                      </wp:positionV>
                      <wp:extent cx="1713865" cy="396240"/>
                      <wp:effectExtent l="1270" t="4445" r="6985" b="10795"/>
                      <wp:wrapNone/>
                      <wp:docPr id="2" name="直线 6"/>
                      <wp:cNvGraphicFramePr/>
                      <a:graphic xmlns:a="http://schemas.openxmlformats.org/drawingml/2006/main">
                        <a:graphicData uri="http://schemas.microsoft.com/office/word/2010/wordprocessingShape">
                          <wps:wsp>
                            <wps:cNvCnPr/>
                            <wps:spPr>
                              <a:xfrm>
                                <a:off x="0" y="0"/>
                                <a:ext cx="1713865"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5.3pt;margin-top:3.55pt;height:31.2pt;width:134.95pt;z-index:251658240;mso-width-relative:page;mso-height-relative:page;" filled="f" stroked="t" coordsize="21600,21600" o:gfxdata="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hHQva1wAAAAgBAAAPAAAAAAAAAAEAIAAAACIAAABkcnMv&#10;ZG93bnJldi54bWxQSwECFAAUAAAACACHTuJAP08uMssBAACGAwAADgAAAAAAAAABACAAAAAmAQAA&#10;ZHJzL2Uyb0RvYy54bWxQSwUGAAAAAAYABgBZAQAAYwUAAAAA&#10;">
                      <v:fill on="f" focussize="0,0"/>
                      <v:stroke color="#000000" joinstyle="round"/>
                      <v:imagedata o:title=""/>
                      <o:lock v:ext="edit" aspectratio="f"/>
                    </v:line>
                  </w:pict>
                </mc:Fallback>
              </mc:AlternateContent>
            </w:r>
          </w:p>
          <w:p>
            <w:pPr>
              <w:pStyle w:val="22"/>
              <w:spacing w:line="380" w:lineRule="exact"/>
              <w:ind w:left="25"/>
              <w:rPr>
                <w:rFonts w:hAnsi="宋体"/>
                <w:color w:val="auto"/>
                <w:sz w:val="18"/>
                <w:szCs w:val="18"/>
              </w:rPr>
            </w:pPr>
            <w:r>
              <w:rPr>
                <w:rFonts w:hint="eastAsia" w:hAnsi="宋体"/>
                <w:color w:val="auto"/>
                <w:sz w:val="18"/>
                <w:szCs w:val="18"/>
              </w:rPr>
              <w:t>中标金额（万元）</w:t>
            </w:r>
          </w:p>
        </w:tc>
        <w:tc>
          <w:tcPr>
            <w:tcW w:w="2002" w:type="dxa"/>
            <w:vAlign w:val="center"/>
          </w:tcPr>
          <w:p>
            <w:pPr>
              <w:pStyle w:val="22"/>
              <w:spacing w:line="380" w:lineRule="exact"/>
              <w:ind w:left="25"/>
              <w:jc w:val="center"/>
              <w:rPr>
                <w:rFonts w:hAnsi="宋体"/>
                <w:color w:val="auto"/>
                <w:sz w:val="18"/>
                <w:szCs w:val="18"/>
              </w:rPr>
            </w:pPr>
            <w:r>
              <w:rPr>
                <w:rFonts w:hint="eastAsia" w:hAnsi="宋体"/>
                <w:color w:val="auto"/>
                <w:sz w:val="18"/>
                <w:szCs w:val="18"/>
              </w:rPr>
              <w:t>货物招标</w:t>
            </w:r>
          </w:p>
        </w:tc>
        <w:tc>
          <w:tcPr>
            <w:tcW w:w="1992" w:type="dxa"/>
            <w:vAlign w:val="center"/>
          </w:tcPr>
          <w:p>
            <w:pPr>
              <w:pStyle w:val="22"/>
              <w:spacing w:line="380" w:lineRule="exact"/>
              <w:ind w:left="25"/>
              <w:jc w:val="center"/>
              <w:rPr>
                <w:rFonts w:hAnsi="宋体"/>
                <w:color w:val="auto"/>
                <w:sz w:val="18"/>
                <w:szCs w:val="18"/>
              </w:rPr>
            </w:pPr>
            <w:r>
              <w:rPr>
                <w:rFonts w:hint="eastAsia" w:hAnsi="宋体"/>
                <w:color w:val="auto"/>
                <w:sz w:val="18"/>
                <w:szCs w:val="18"/>
              </w:rPr>
              <w:t>服务招标</w:t>
            </w:r>
          </w:p>
        </w:tc>
        <w:tc>
          <w:tcPr>
            <w:tcW w:w="2293" w:type="dxa"/>
            <w:vAlign w:val="center"/>
          </w:tcPr>
          <w:p>
            <w:pPr>
              <w:pStyle w:val="22"/>
              <w:spacing w:line="380" w:lineRule="exact"/>
              <w:ind w:left="25"/>
              <w:jc w:val="center"/>
              <w:rPr>
                <w:rFonts w:hAnsi="宋体"/>
                <w:color w:val="auto"/>
                <w:sz w:val="18"/>
                <w:szCs w:val="18"/>
              </w:rPr>
            </w:pPr>
            <w:r>
              <w:rPr>
                <w:rFonts w:hint="eastAsia" w:hAnsi="宋体"/>
                <w:color w:val="auto"/>
                <w:sz w:val="18"/>
                <w:szCs w:val="18"/>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trPr>
        <w:tc>
          <w:tcPr>
            <w:tcW w:w="2719" w:type="dxa"/>
          </w:tcPr>
          <w:p>
            <w:pPr>
              <w:pStyle w:val="22"/>
              <w:spacing w:line="380" w:lineRule="exact"/>
              <w:ind w:left="25"/>
              <w:rPr>
                <w:rFonts w:hAnsi="宋体"/>
                <w:color w:val="auto"/>
                <w:sz w:val="18"/>
                <w:szCs w:val="18"/>
              </w:rPr>
            </w:pPr>
            <w:r>
              <w:rPr>
                <w:rFonts w:hint="eastAsia" w:hAnsi="宋体"/>
                <w:color w:val="auto"/>
                <w:sz w:val="18"/>
                <w:szCs w:val="18"/>
              </w:rPr>
              <w:t>100以下</w:t>
            </w:r>
          </w:p>
        </w:tc>
        <w:tc>
          <w:tcPr>
            <w:tcW w:w="2002" w:type="dxa"/>
          </w:tcPr>
          <w:p>
            <w:pPr>
              <w:pStyle w:val="22"/>
              <w:spacing w:line="380" w:lineRule="exact"/>
              <w:ind w:left="25"/>
              <w:jc w:val="center"/>
              <w:rPr>
                <w:rFonts w:hAnsi="宋体"/>
                <w:color w:val="auto"/>
                <w:sz w:val="18"/>
                <w:szCs w:val="18"/>
              </w:rPr>
            </w:pPr>
            <w:r>
              <w:rPr>
                <w:rFonts w:hint="eastAsia" w:hAnsi="宋体"/>
                <w:color w:val="auto"/>
                <w:sz w:val="18"/>
                <w:szCs w:val="18"/>
              </w:rPr>
              <w:t>1.5%</w:t>
            </w:r>
          </w:p>
        </w:tc>
        <w:tc>
          <w:tcPr>
            <w:tcW w:w="1992" w:type="dxa"/>
          </w:tcPr>
          <w:p>
            <w:pPr>
              <w:pStyle w:val="22"/>
              <w:spacing w:line="380" w:lineRule="exact"/>
              <w:ind w:left="25"/>
              <w:jc w:val="center"/>
              <w:rPr>
                <w:rFonts w:hAnsi="宋体"/>
                <w:color w:val="auto"/>
                <w:sz w:val="18"/>
                <w:szCs w:val="18"/>
              </w:rPr>
            </w:pPr>
            <w:r>
              <w:rPr>
                <w:rFonts w:hint="eastAsia" w:hAnsi="宋体"/>
                <w:color w:val="auto"/>
                <w:sz w:val="18"/>
                <w:szCs w:val="18"/>
              </w:rPr>
              <w:t>1.5%</w:t>
            </w:r>
          </w:p>
        </w:tc>
        <w:tc>
          <w:tcPr>
            <w:tcW w:w="2293" w:type="dxa"/>
          </w:tcPr>
          <w:p>
            <w:pPr>
              <w:pStyle w:val="22"/>
              <w:spacing w:line="380" w:lineRule="exact"/>
              <w:ind w:left="25"/>
              <w:jc w:val="center"/>
              <w:rPr>
                <w:rFonts w:hAnsi="宋体"/>
                <w:color w:val="auto"/>
                <w:sz w:val="18"/>
                <w:szCs w:val="18"/>
              </w:rPr>
            </w:pPr>
            <w:r>
              <w:rPr>
                <w:rFonts w:hint="eastAsia" w:hAnsi="宋体"/>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trPr>
        <w:tc>
          <w:tcPr>
            <w:tcW w:w="2719" w:type="dxa"/>
          </w:tcPr>
          <w:p>
            <w:pPr>
              <w:pStyle w:val="22"/>
              <w:spacing w:line="380" w:lineRule="exact"/>
              <w:ind w:left="25"/>
              <w:rPr>
                <w:rFonts w:hAnsi="宋体"/>
                <w:color w:val="auto"/>
                <w:sz w:val="18"/>
                <w:szCs w:val="18"/>
              </w:rPr>
            </w:pPr>
            <w:r>
              <w:rPr>
                <w:rFonts w:hint="eastAsia" w:hAnsi="宋体"/>
                <w:color w:val="auto"/>
                <w:sz w:val="18"/>
                <w:szCs w:val="18"/>
              </w:rPr>
              <w:t>100-500</w:t>
            </w:r>
          </w:p>
        </w:tc>
        <w:tc>
          <w:tcPr>
            <w:tcW w:w="2002" w:type="dxa"/>
          </w:tcPr>
          <w:p>
            <w:pPr>
              <w:pStyle w:val="22"/>
              <w:spacing w:line="380" w:lineRule="exact"/>
              <w:ind w:left="25"/>
              <w:jc w:val="center"/>
              <w:rPr>
                <w:rFonts w:hAnsi="宋体"/>
                <w:color w:val="auto"/>
                <w:sz w:val="18"/>
                <w:szCs w:val="18"/>
              </w:rPr>
            </w:pPr>
            <w:r>
              <w:rPr>
                <w:rFonts w:hint="eastAsia" w:hAnsi="宋体"/>
                <w:color w:val="auto"/>
                <w:sz w:val="18"/>
                <w:szCs w:val="18"/>
              </w:rPr>
              <w:t>1.1%</w:t>
            </w:r>
          </w:p>
        </w:tc>
        <w:tc>
          <w:tcPr>
            <w:tcW w:w="1992" w:type="dxa"/>
          </w:tcPr>
          <w:p>
            <w:pPr>
              <w:pStyle w:val="22"/>
              <w:spacing w:line="380" w:lineRule="exact"/>
              <w:ind w:left="25"/>
              <w:jc w:val="center"/>
              <w:rPr>
                <w:rFonts w:hAnsi="宋体"/>
                <w:color w:val="auto"/>
                <w:sz w:val="18"/>
                <w:szCs w:val="18"/>
              </w:rPr>
            </w:pPr>
            <w:r>
              <w:rPr>
                <w:rFonts w:hint="eastAsia" w:hAnsi="宋体"/>
                <w:color w:val="auto"/>
                <w:sz w:val="18"/>
                <w:szCs w:val="18"/>
              </w:rPr>
              <w:t>0.8%</w:t>
            </w:r>
          </w:p>
        </w:tc>
        <w:tc>
          <w:tcPr>
            <w:tcW w:w="2293" w:type="dxa"/>
          </w:tcPr>
          <w:p>
            <w:pPr>
              <w:pStyle w:val="22"/>
              <w:spacing w:line="380" w:lineRule="exact"/>
              <w:ind w:left="25"/>
              <w:jc w:val="center"/>
              <w:rPr>
                <w:rFonts w:hAnsi="宋体"/>
                <w:color w:val="auto"/>
                <w:sz w:val="18"/>
                <w:szCs w:val="18"/>
              </w:rPr>
            </w:pPr>
            <w:r>
              <w:rPr>
                <w:rFonts w:hint="eastAsia" w:hAnsi="宋体"/>
                <w:color w:val="auto"/>
                <w:sz w:val="18"/>
                <w:szCs w:val="1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719" w:type="dxa"/>
          </w:tcPr>
          <w:p>
            <w:pPr>
              <w:pStyle w:val="22"/>
              <w:spacing w:line="380" w:lineRule="exact"/>
              <w:ind w:left="25"/>
              <w:rPr>
                <w:rFonts w:hAnsi="宋体"/>
                <w:color w:val="auto"/>
                <w:sz w:val="18"/>
                <w:szCs w:val="18"/>
              </w:rPr>
            </w:pPr>
            <w:r>
              <w:rPr>
                <w:rFonts w:hint="eastAsia" w:hAnsi="宋体"/>
                <w:color w:val="auto"/>
                <w:sz w:val="18"/>
                <w:szCs w:val="18"/>
              </w:rPr>
              <w:t>500-1000</w:t>
            </w:r>
          </w:p>
        </w:tc>
        <w:tc>
          <w:tcPr>
            <w:tcW w:w="2002" w:type="dxa"/>
          </w:tcPr>
          <w:p>
            <w:pPr>
              <w:pStyle w:val="22"/>
              <w:spacing w:line="380" w:lineRule="exact"/>
              <w:ind w:left="25"/>
              <w:jc w:val="center"/>
              <w:rPr>
                <w:rFonts w:hAnsi="宋体"/>
                <w:color w:val="auto"/>
                <w:sz w:val="18"/>
                <w:szCs w:val="18"/>
              </w:rPr>
            </w:pPr>
            <w:r>
              <w:rPr>
                <w:rFonts w:hint="eastAsia" w:hAnsi="宋体"/>
                <w:color w:val="auto"/>
                <w:sz w:val="18"/>
                <w:szCs w:val="18"/>
              </w:rPr>
              <w:t>0.8%</w:t>
            </w:r>
          </w:p>
        </w:tc>
        <w:tc>
          <w:tcPr>
            <w:tcW w:w="1992" w:type="dxa"/>
          </w:tcPr>
          <w:p>
            <w:pPr>
              <w:pStyle w:val="22"/>
              <w:spacing w:line="380" w:lineRule="exact"/>
              <w:ind w:left="25"/>
              <w:jc w:val="center"/>
              <w:rPr>
                <w:rFonts w:hAnsi="宋体"/>
                <w:color w:val="auto"/>
                <w:sz w:val="18"/>
                <w:szCs w:val="18"/>
              </w:rPr>
            </w:pPr>
            <w:r>
              <w:rPr>
                <w:rFonts w:hint="eastAsia" w:hAnsi="宋体"/>
                <w:color w:val="auto"/>
                <w:sz w:val="18"/>
                <w:szCs w:val="18"/>
              </w:rPr>
              <w:t>0.45%</w:t>
            </w:r>
          </w:p>
        </w:tc>
        <w:tc>
          <w:tcPr>
            <w:tcW w:w="2293" w:type="dxa"/>
          </w:tcPr>
          <w:p>
            <w:pPr>
              <w:pStyle w:val="22"/>
              <w:spacing w:line="380" w:lineRule="exact"/>
              <w:ind w:left="25"/>
              <w:jc w:val="center"/>
              <w:rPr>
                <w:rFonts w:hAnsi="宋体"/>
                <w:color w:val="auto"/>
                <w:sz w:val="18"/>
                <w:szCs w:val="18"/>
              </w:rPr>
            </w:pPr>
            <w:r>
              <w:rPr>
                <w:rFonts w:hint="eastAsia" w:hAnsi="宋体"/>
                <w:color w:val="auto"/>
                <w:sz w:val="18"/>
                <w:szCs w:val="1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719" w:type="dxa"/>
          </w:tcPr>
          <w:p>
            <w:pPr>
              <w:pStyle w:val="22"/>
              <w:spacing w:line="380" w:lineRule="exact"/>
              <w:ind w:left="25"/>
              <w:rPr>
                <w:rFonts w:hAnsi="宋体"/>
                <w:color w:val="auto"/>
                <w:sz w:val="18"/>
                <w:szCs w:val="18"/>
              </w:rPr>
            </w:pPr>
            <w:r>
              <w:rPr>
                <w:rFonts w:hint="eastAsia" w:hAnsi="宋体"/>
                <w:color w:val="auto"/>
                <w:sz w:val="18"/>
                <w:szCs w:val="18"/>
              </w:rPr>
              <w:t>1000-5000</w:t>
            </w:r>
          </w:p>
        </w:tc>
        <w:tc>
          <w:tcPr>
            <w:tcW w:w="2002" w:type="dxa"/>
          </w:tcPr>
          <w:p>
            <w:pPr>
              <w:pStyle w:val="22"/>
              <w:spacing w:line="380" w:lineRule="exact"/>
              <w:ind w:left="25"/>
              <w:jc w:val="center"/>
              <w:rPr>
                <w:rFonts w:hAnsi="宋体"/>
                <w:color w:val="auto"/>
                <w:sz w:val="18"/>
                <w:szCs w:val="18"/>
              </w:rPr>
            </w:pPr>
            <w:r>
              <w:rPr>
                <w:rFonts w:hint="eastAsia" w:hAnsi="宋体"/>
                <w:color w:val="auto"/>
                <w:sz w:val="18"/>
                <w:szCs w:val="18"/>
              </w:rPr>
              <w:t>0.5%</w:t>
            </w:r>
          </w:p>
        </w:tc>
        <w:tc>
          <w:tcPr>
            <w:tcW w:w="1992" w:type="dxa"/>
          </w:tcPr>
          <w:p>
            <w:pPr>
              <w:pStyle w:val="22"/>
              <w:spacing w:line="380" w:lineRule="exact"/>
              <w:ind w:left="25"/>
              <w:jc w:val="center"/>
              <w:rPr>
                <w:rFonts w:hAnsi="宋体"/>
                <w:color w:val="auto"/>
                <w:sz w:val="18"/>
                <w:szCs w:val="18"/>
              </w:rPr>
            </w:pPr>
            <w:r>
              <w:rPr>
                <w:rFonts w:hint="eastAsia" w:hAnsi="宋体"/>
                <w:color w:val="auto"/>
                <w:sz w:val="18"/>
                <w:szCs w:val="18"/>
              </w:rPr>
              <w:t>0.25%</w:t>
            </w:r>
          </w:p>
        </w:tc>
        <w:tc>
          <w:tcPr>
            <w:tcW w:w="2293" w:type="dxa"/>
          </w:tcPr>
          <w:p>
            <w:pPr>
              <w:pStyle w:val="22"/>
              <w:spacing w:line="380" w:lineRule="exact"/>
              <w:ind w:left="25"/>
              <w:jc w:val="center"/>
              <w:rPr>
                <w:rFonts w:hAnsi="宋体"/>
                <w:color w:val="auto"/>
                <w:sz w:val="18"/>
                <w:szCs w:val="18"/>
              </w:rPr>
            </w:pPr>
            <w:r>
              <w:rPr>
                <w:rFonts w:hint="eastAsia" w:hAnsi="宋体"/>
                <w:color w:val="auto"/>
                <w:sz w:val="18"/>
                <w:szCs w:val="1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719" w:type="dxa"/>
          </w:tcPr>
          <w:p>
            <w:pPr>
              <w:pStyle w:val="22"/>
              <w:spacing w:line="380" w:lineRule="exact"/>
              <w:ind w:left="25"/>
              <w:rPr>
                <w:rFonts w:hAnsi="宋体"/>
                <w:color w:val="auto"/>
                <w:sz w:val="18"/>
                <w:szCs w:val="18"/>
              </w:rPr>
            </w:pPr>
            <w:r>
              <w:rPr>
                <w:rFonts w:hint="eastAsia" w:hAnsi="宋体"/>
                <w:color w:val="auto"/>
                <w:sz w:val="18"/>
                <w:szCs w:val="18"/>
              </w:rPr>
              <w:t>5000-10000</w:t>
            </w:r>
          </w:p>
        </w:tc>
        <w:tc>
          <w:tcPr>
            <w:tcW w:w="2002" w:type="dxa"/>
          </w:tcPr>
          <w:p>
            <w:pPr>
              <w:pStyle w:val="22"/>
              <w:spacing w:line="380" w:lineRule="exact"/>
              <w:ind w:left="25"/>
              <w:jc w:val="center"/>
              <w:rPr>
                <w:rFonts w:hAnsi="宋体"/>
                <w:color w:val="auto"/>
                <w:sz w:val="18"/>
                <w:szCs w:val="18"/>
              </w:rPr>
            </w:pPr>
            <w:r>
              <w:rPr>
                <w:rFonts w:hint="eastAsia" w:hAnsi="宋体"/>
                <w:color w:val="auto"/>
                <w:sz w:val="18"/>
                <w:szCs w:val="18"/>
              </w:rPr>
              <w:t>0.25%</w:t>
            </w:r>
          </w:p>
        </w:tc>
        <w:tc>
          <w:tcPr>
            <w:tcW w:w="1992" w:type="dxa"/>
          </w:tcPr>
          <w:p>
            <w:pPr>
              <w:pStyle w:val="22"/>
              <w:spacing w:line="380" w:lineRule="exact"/>
              <w:ind w:left="25"/>
              <w:jc w:val="center"/>
              <w:rPr>
                <w:rFonts w:hAnsi="宋体"/>
                <w:color w:val="auto"/>
                <w:sz w:val="18"/>
                <w:szCs w:val="18"/>
              </w:rPr>
            </w:pPr>
            <w:r>
              <w:rPr>
                <w:rFonts w:hint="eastAsia" w:hAnsi="宋体"/>
                <w:color w:val="auto"/>
                <w:sz w:val="18"/>
                <w:szCs w:val="18"/>
              </w:rPr>
              <w:t>0.1%</w:t>
            </w:r>
          </w:p>
        </w:tc>
        <w:tc>
          <w:tcPr>
            <w:tcW w:w="2293" w:type="dxa"/>
          </w:tcPr>
          <w:p>
            <w:pPr>
              <w:pStyle w:val="22"/>
              <w:spacing w:line="380" w:lineRule="exact"/>
              <w:ind w:left="25"/>
              <w:jc w:val="center"/>
              <w:rPr>
                <w:rFonts w:hAnsi="宋体"/>
                <w:color w:val="auto"/>
                <w:sz w:val="18"/>
                <w:szCs w:val="18"/>
              </w:rPr>
            </w:pPr>
            <w:r>
              <w:rPr>
                <w:rFonts w:hint="eastAsia" w:hAnsi="宋体"/>
                <w:color w:val="auto"/>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2719" w:type="dxa"/>
          </w:tcPr>
          <w:p>
            <w:pPr>
              <w:pStyle w:val="22"/>
              <w:spacing w:line="380" w:lineRule="exact"/>
              <w:ind w:left="25"/>
              <w:rPr>
                <w:rFonts w:hAnsi="宋体"/>
                <w:color w:val="auto"/>
                <w:sz w:val="18"/>
                <w:szCs w:val="18"/>
              </w:rPr>
            </w:pPr>
            <w:r>
              <w:rPr>
                <w:rFonts w:hint="eastAsia" w:hAnsi="宋体"/>
                <w:color w:val="auto"/>
                <w:sz w:val="18"/>
                <w:szCs w:val="18"/>
              </w:rPr>
              <w:t>10000-100000</w:t>
            </w:r>
          </w:p>
        </w:tc>
        <w:tc>
          <w:tcPr>
            <w:tcW w:w="2002" w:type="dxa"/>
          </w:tcPr>
          <w:p>
            <w:pPr>
              <w:pStyle w:val="22"/>
              <w:spacing w:line="380" w:lineRule="exact"/>
              <w:ind w:left="25"/>
              <w:jc w:val="center"/>
              <w:rPr>
                <w:rFonts w:hAnsi="宋体"/>
                <w:color w:val="auto"/>
                <w:sz w:val="18"/>
                <w:szCs w:val="18"/>
              </w:rPr>
            </w:pPr>
            <w:r>
              <w:rPr>
                <w:rFonts w:hint="eastAsia" w:hAnsi="宋体"/>
                <w:color w:val="auto"/>
                <w:sz w:val="18"/>
                <w:szCs w:val="18"/>
              </w:rPr>
              <w:t>0.05%</w:t>
            </w:r>
          </w:p>
        </w:tc>
        <w:tc>
          <w:tcPr>
            <w:tcW w:w="1992" w:type="dxa"/>
          </w:tcPr>
          <w:p>
            <w:pPr>
              <w:pStyle w:val="22"/>
              <w:spacing w:line="380" w:lineRule="exact"/>
              <w:ind w:left="25"/>
              <w:jc w:val="center"/>
              <w:rPr>
                <w:rFonts w:hAnsi="宋体"/>
                <w:color w:val="auto"/>
                <w:sz w:val="18"/>
                <w:szCs w:val="18"/>
              </w:rPr>
            </w:pPr>
            <w:r>
              <w:rPr>
                <w:rFonts w:hint="eastAsia" w:hAnsi="宋体"/>
                <w:color w:val="auto"/>
                <w:sz w:val="18"/>
                <w:szCs w:val="18"/>
              </w:rPr>
              <w:t>0.05%</w:t>
            </w:r>
          </w:p>
        </w:tc>
        <w:tc>
          <w:tcPr>
            <w:tcW w:w="2293" w:type="dxa"/>
          </w:tcPr>
          <w:p>
            <w:pPr>
              <w:pStyle w:val="22"/>
              <w:spacing w:line="380" w:lineRule="exact"/>
              <w:ind w:left="25"/>
              <w:jc w:val="center"/>
              <w:rPr>
                <w:rFonts w:hAnsi="宋体"/>
                <w:color w:val="auto"/>
                <w:sz w:val="18"/>
                <w:szCs w:val="18"/>
              </w:rPr>
            </w:pPr>
            <w:r>
              <w:rPr>
                <w:rFonts w:hint="eastAsia" w:hAnsi="宋体"/>
                <w:color w:val="auto"/>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2719" w:type="dxa"/>
          </w:tcPr>
          <w:p>
            <w:pPr>
              <w:pStyle w:val="22"/>
              <w:spacing w:line="380" w:lineRule="exact"/>
              <w:ind w:left="25"/>
              <w:rPr>
                <w:rFonts w:hAnsi="宋体"/>
                <w:color w:val="auto"/>
                <w:sz w:val="18"/>
                <w:szCs w:val="18"/>
              </w:rPr>
            </w:pPr>
            <w:r>
              <w:rPr>
                <w:rFonts w:hint="eastAsia" w:hAnsi="宋体"/>
                <w:color w:val="auto"/>
                <w:sz w:val="18"/>
                <w:szCs w:val="18"/>
              </w:rPr>
              <w:t>100000以上</w:t>
            </w:r>
          </w:p>
        </w:tc>
        <w:tc>
          <w:tcPr>
            <w:tcW w:w="2002" w:type="dxa"/>
          </w:tcPr>
          <w:p>
            <w:pPr>
              <w:pStyle w:val="22"/>
              <w:spacing w:line="380" w:lineRule="exact"/>
              <w:ind w:left="25"/>
              <w:jc w:val="center"/>
              <w:rPr>
                <w:rFonts w:hAnsi="宋体"/>
                <w:color w:val="auto"/>
                <w:sz w:val="18"/>
                <w:szCs w:val="18"/>
              </w:rPr>
            </w:pPr>
            <w:r>
              <w:rPr>
                <w:rFonts w:hint="eastAsia" w:hAnsi="宋体"/>
                <w:color w:val="auto"/>
                <w:sz w:val="18"/>
                <w:szCs w:val="18"/>
              </w:rPr>
              <w:t>0.01%</w:t>
            </w:r>
          </w:p>
        </w:tc>
        <w:tc>
          <w:tcPr>
            <w:tcW w:w="1992" w:type="dxa"/>
          </w:tcPr>
          <w:p>
            <w:pPr>
              <w:pStyle w:val="22"/>
              <w:spacing w:line="380" w:lineRule="exact"/>
              <w:ind w:left="25"/>
              <w:jc w:val="center"/>
              <w:rPr>
                <w:rFonts w:hAnsi="宋体"/>
                <w:color w:val="auto"/>
                <w:sz w:val="18"/>
                <w:szCs w:val="18"/>
              </w:rPr>
            </w:pPr>
            <w:r>
              <w:rPr>
                <w:rFonts w:hint="eastAsia" w:hAnsi="宋体"/>
                <w:color w:val="auto"/>
                <w:sz w:val="18"/>
                <w:szCs w:val="18"/>
              </w:rPr>
              <w:t>0.01%</w:t>
            </w:r>
          </w:p>
        </w:tc>
        <w:tc>
          <w:tcPr>
            <w:tcW w:w="2293" w:type="dxa"/>
          </w:tcPr>
          <w:p>
            <w:pPr>
              <w:pStyle w:val="22"/>
              <w:spacing w:line="380" w:lineRule="exact"/>
              <w:ind w:left="25"/>
              <w:jc w:val="center"/>
              <w:rPr>
                <w:rFonts w:hAnsi="宋体"/>
                <w:color w:val="auto"/>
                <w:sz w:val="18"/>
                <w:szCs w:val="18"/>
              </w:rPr>
            </w:pPr>
            <w:r>
              <w:rPr>
                <w:rFonts w:hint="eastAsia" w:hAnsi="宋体"/>
                <w:color w:val="auto"/>
                <w:sz w:val="18"/>
                <w:szCs w:val="18"/>
              </w:rPr>
              <w:t>0.01%</w:t>
            </w:r>
          </w:p>
        </w:tc>
      </w:tr>
    </w:tbl>
    <w:p>
      <w:pPr>
        <w:pStyle w:val="22"/>
        <w:spacing w:line="390" w:lineRule="exact"/>
        <w:ind w:left="25"/>
        <w:rPr>
          <w:rFonts w:hAnsi="宋体"/>
          <w:color w:val="auto"/>
          <w:sz w:val="18"/>
          <w:szCs w:val="18"/>
        </w:rPr>
      </w:pPr>
      <w:r>
        <w:rPr>
          <w:rFonts w:hint="eastAsia" w:hAnsi="宋体"/>
          <w:color w:val="auto"/>
          <w:sz w:val="18"/>
          <w:szCs w:val="18"/>
        </w:rPr>
        <w:t xml:space="preserve">注：代理服务收费按差额定率累进法计算。    </w:t>
      </w:r>
    </w:p>
    <w:p>
      <w:pPr>
        <w:pStyle w:val="4"/>
        <w:rPr>
          <w:color w:val="auto"/>
          <w:sz w:val="18"/>
          <w:szCs w:val="18"/>
        </w:rPr>
      </w:pPr>
      <w:r>
        <w:rPr>
          <w:rFonts w:hint="eastAsia"/>
          <w:color w:val="auto"/>
          <w:sz w:val="18"/>
          <w:szCs w:val="18"/>
        </w:rPr>
        <w:t>18.5解释权</w:t>
      </w:r>
    </w:p>
    <w:p>
      <w:pPr>
        <w:pStyle w:val="22"/>
        <w:spacing w:line="400" w:lineRule="exact"/>
        <w:ind w:firstLine="360" w:firstLineChars="200"/>
        <w:rPr>
          <w:rFonts w:hAnsi="宋体"/>
          <w:color w:val="auto"/>
          <w:sz w:val="18"/>
          <w:szCs w:val="18"/>
        </w:rPr>
      </w:pPr>
      <w:r>
        <w:rPr>
          <w:rFonts w:hint="eastAsia" w:hAnsi="宋体"/>
          <w:color w:val="auto"/>
          <w:sz w:val="18"/>
          <w:szCs w:val="18"/>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pStyle w:val="4"/>
        <w:rPr>
          <w:color w:val="auto"/>
          <w:sz w:val="18"/>
          <w:szCs w:val="18"/>
        </w:rPr>
      </w:pPr>
      <w:r>
        <w:rPr>
          <w:rFonts w:hint="eastAsia"/>
          <w:color w:val="auto"/>
          <w:sz w:val="18"/>
          <w:szCs w:val="18"/>
        </w:rPr>
        <w:t>18.6有关事宜</w:t>
      </w:r>
    </w:p>
    <w:p>
      <w:pPr>
        <w:pStyle w:val="22"/>
        <w:rPr>
          <w:rFonts w:hAnsi="宋体" w:cs="宋体"/>
          <w:color w:val="auto"/>
          <w:sz w:val="18"/>
          <w:szCs w:val="18"/>
        </w:rPr>
      </w:pPr>
      <w:r>
        <w:rPr>
          <w:rFonts w:hint="eastAsia" w:hAnsi="宋体" w:cs="宋体"/>
          <w:color w:val="auto"/>
          <w:sz w:val="18"/>
          <w:szCs w:val="18"/>
        </w:rPr>
        <w:t xml:space="preserve"> （1）提供相同品牌产品的不同磋商供应商参加同一合同项下竞标的，以其中通过资格审查、符合性审查且报价最低的参加评标，报价相同的，由采购人自主选择确定一个参加评标的磋商供应商，其他竞标无效;</w:t>
      </w:r>
    </w:p>
    <w:p>
      <w:pPr>
        <w:pStyle w:val="22"/>
        <w:rPr>
          <w:rFonts w:hAnsi="宋体" w:cs="宋体"/>
          <w:color w:val="auto"/>
          <w:sz w:val="18"/>
          <w:szCs w:val="18"/>
        </w:rPr>
      </w:pPr>
      <w:r>
        <w:rPr>
          <w:rFonts w:hint="eastAsia" w:hAnsi="宋体" w:cs="宋体"/>
          <w:color w:val="auto"/>
          <w:sz w:val="18"/>
          <w:szCs w:val="18"/>
        </w:rPr>
        <w:t xml:space="preserve"> （2）非单一产品采购项目中，多家磋商供应商提供的核心产品品牌相同的，视为提供相同品牌产品</w:t>
      </w:r>
      <w:bookmarkStart w:id="31" w:name="_Toc26265"/>
      <w:r>
        <w:rPr>
          <w:rFonts w:hint="eastAsia" w:hAnsi="宋体" w:cs="宋体"/>
          <w:color w:val="auto"/>
          <w:sz w:val="18"/>
          <w:szCs w:val="18"/>
        </w:rPr>
        <w:t>。</w:t>
      </w:r>
      <w:bookmarkEnd w:id="31"/>
      <w:bookmarkStart w:id="32" w:name="_Toc289239364"/>
      <w:bookmarkStart w:id="33" w:name="_Toc168825185"/>
      <w:bookmarkStart w:id="34" w:name="_Toc289239153"/>
      <w:bookmarkStart w:id="35" w:name="_Toc171129621"/>
    </w:p>
    <w:p>
      <w:pPr>
        <w:pStyle w:val="22"/>
        <w:rPr>
          <w:rFonts w:hAnsi="宋体" w:cs="宋体"/>
          <w:color w:val="auto"/>
          <w:sz w:val="18"/>
          <w:szCs w:val="18"/>
        </w:rPr>
      </w:pPr>
    </w:p>
    <w:p>
      <w:pPr>
        <w:pStyle w:val="22"/>
        <w:rPr>
          <w:rFonts w:hAnsi="宋体" w:cs="宋体"/>
          <w:color w:val="auto"/>
          <w:sz w:val="18"/>
          <w:szCs w:val="18"/>
        </w:rPr>
      </w:pPr>
    </w:p>
    <w:p>
      <w:pPr>
        <w:pStyle w:val="22"/>
        <w:rPr>
          <w:rFonts w:hAnsi="宋体" w:cs="宋体"/>
          <w:color w:val="auto"/>
          <w:sz w:val="18"/>
          <w:szCs w:val="18"/>
        </w:rPr>
      </w:pPr>
    </w:p>
    <w:p>
      <w:pPr>
        <w:pStyle w:val="22"/>
        <w:rPr>
          <w:rFonts w:hAnsi="宋体" w:cs="宋体"/>
          <w:color w:val="auto"/>
          <w:sz w:val="18"/>
          <w:szCs w:val="18"/>
        </w:rPr>
      </w:pPr>
    </w:p>
    <w:p>
      <w:pPr>
        <w:pStyle w:val="22"/>
        <w:ind w:firstLine="2711" w:firstLineChars="900"/>
        <w:rPr>
          <w:b/>
          <w:bCs/>
          <w:color w:val="auto"/>
          <w:sz w:val="30"/>
          <w:szCs w:val="30"/>
        </w:rPr>
      </w:pPr>
      <w:r>
        <w:rPr>
          <w:rFonts w:hint="eastAsia"/>
          <w:b/>
          <w:bCs/>
          <w:color w:val="auto"/>
          <w:sz w:val="30"/>
          <w:szCs w:val="30"/>
        </w:rPr>
        <w:t>第三章  货物采购需求表</w:t>
      </w:r>
    </w:p>
    <w:p>
      <w:pPr>
        <w:tabs>
          <w:tab w:val="left" w:pos="180"/>
          <w:tab w:val="left" w:pos="1620"/>
        </w:tabs>
        <w:spacing w:line="360" w:lineRule="auto"/>
        <w:rPr>
          <w:rFonts w:ascii="宋体" w:hAnsi="宋体" w:cs="宋体"/>
          <w:b/>
          <w:bCs/>
          <w:color w:val="auto"/>
          <w:sz w:val="18"/>
          <w:szCs w:val="18"/>
          <w:u w:val="single"/>
        </w:rPr>
      </w:pPr>
      <w:r>
        <w:rPr>
          <w:rFonts w:hint="eastAsia" w:ascii="宋体" w:hAnsi="宋体" w:cs="宋体"/>
          <w:color w:val="auto"/>
          <w:sz w:val="18"/>
          <w:szCs w:val="18"/>
        </w:rPr>
        <w:t>一、项目编号：</w:t>
      </w:r>
      <w:r>
        <w:rPr>
          <w:rFonts w:hint="eastAsia" w:ascii="宋体" w:hAnsi="宋体" w:cs="宋体"/>
          <w:b/>
          <w:bCs/>
          <w:color w:val="auto"/>
          <w:sz w:val="18"/>
          <w:szCs w:val="18"/>
          <w:u w:val="single"/>
        </w:rPr>
        <w:t xml:space="preserve"> </w:t>
      </w:r>
      <w:r>
        <w:rPr>
          <w:rFonts w:hint="eastAsia" w:ascii="宋体" w:hAnsi="宋体"/>
          <w:color w:val="auto"/>
          <w:sz w:val="18"/>
          <w:szCs w:val="18"/>
          <w:u w:val="single"/>
        </w:rPr>
        <w:t xml:space="preserve"> QZZC2020-C1-50012-GXCH  </w:t>
      </w:r>
      <w:r>
        <w:rPr>
          <w:rFonts w:hint="eastAsia" w:ascii="宋体" w:hAnsi="宋体" w:cs="宋体"/>
          <w:b/>
          <w:bCs/>
          <w:color w:val="auto"/>
          <w:sz w:val="18"/>
          <w:szCs w:val="18"/>
        </w:rPr>
        <w:t xml:space="preserve">        </w:t>
      </w:r>
      <w:r>
        <w:rPr>
          <w:rFonts w:hint="eastAsia" w:ascii="宋体" w:hAnsi="宋体" w:cs="宋体"/>
          <w:color w:val="auto"/>
          <w:sz w:val="18"/>
          <w:szCs w:val="18"/>
        </w:rPr>
        <w:t>二、项目类别：</w:t>
      </w:r>
      <w:r>
        <w:rPr>
          <w:rFonts w:hint="eastAsia" w:ascii="宋体" w:hAnsi="宋体" w:cs="宋体"/>
          <w:color w:val="auto"/>
          <w:sz w:val="18"/>
          <w:szCs w:val="18"/>
          <w:u w:val="single"/>
        </w:rPr>
        <w:t xml:space="preserve">货物类      </w:t>
      </w:r>
    </w:p>
    <w:p>
      <w:pPr>
        <w:tabs>
          <w:tab w:val="left" w:pos="180"/>
          <w:tab w:val="left" w:pos="1620"/>
        </w:tabs>
        <w:spacing w:line="360" w:lineRule="auto"/>
        <w:rPr>
          <w:rFonts w:ascii="宋体" w:hAnsi="宋体" w:cs="宋体"/>
          <w:color w:val="auto"/>
          <w:sz w:val="18"/>
          <w:szCs w:val="18"/>
          <w:u w:val="single"/>
        </w:rPr>
      </w:pPr>
      <w:r>
        <w:rPr>
          <w:rFonts w:hint="eastAsia" w:ascii="宋体" w:hAnsi="宋体" w:cs="宋体"/>
          <w:color w:val="auto"/>
          <w:sz w:val="18"/>
          <w:szCs w:val="18"/>
        </w:rPr>
        <w:t>三、本项目采购预算金额为（人民币）：</w:t>
      </w:r>
      <w:r>
        <w:rPr>
          <w:rFonts w:hint="eastAsia" w:ascii="宋体" w:hAnsi="宋体" w:cs="宋体"/>
          <w:color w:val="auto"/>
          <w:sz w:val="18"/>
          <w:szCs w:val="18"/>
          <w:u w:val="single"/>
        </w:rPr>
        <w:t>914817.00元。</w:t>
      </w:r>
    </w:p>
    <w:p>
      <w:pPr>
        <w:spacing w:line="360" w:lineRule="auto"/>
        <w:rPr>
          <w:b/>
          <w:color w:val="auto"/>
          <w:sz w:val="18"/>
          <w:szCs w:val="18"/>
          <w:highlight w:val="none"/>
        </w:rPr>
      </w:pPr>
      <w:r>
        <w:rPr>
          <w:rFonts w:hint="eastAsia"/>
          <w:b/>
          <w:color w:val="auto"/>
          <w:sz w:val="18"/>
          <w:szCs w:val="18"/>
          <w:highlight w:val="none"/>
        </w:rPr>
        <w:t>说明：</w:t>
      </w:r>
      <w:bookmarkEnd w:id="32"/>
      <w:bookmarkEnd w:id="33"/>
      <w:bookmarkEnd w:id="34"/>
      <w:bookmarkEnd w:id="35"/>
    </w:p>
    <w:p>
      <w:pPr>
        <w:spacing w:line="360" w:lineRule="auto"/>
        <w:rPr>
          <w:b/>
          <w:color w:val="auto"/>
          <w:sz w:val="18"/>
          <w:szCs w:val="18"/>
          <w:highlight w:val="none"/>
        </w:rPr>
      </w:pPr>
      <w:r>
        <w:rPr>
          <w:rFonts w:hint="eastAsia"/>
          <w:b/>
          <w:color w:val="auto"/>
          <w:sz w:val="18"/>
          <w:szCs w:val="18"/>
          <w:highlight w:val="none"/>
        </w:rPr>
        <w:t>1、本一览表中的规格型号、技术参数及其性能（配置）仅起参考作用，竞标人可选用其他规格型号替代，但这些替代的规格型号要实质上相当于或优于参考规格型号及其技术参数性能（配置）要求；</w:t>
      </w:r>
    </w:p>
    <w:p>
      <w:pPr>
        <w:spacing w:line="360" w:lineRule="auto"/>
        <w:rPr>
          <w:b/>
          <w:color w:val="auto"/>
          <w:sz w:val="18"/>
          <w:szCs w:val="18"/>
          <w:highlight w:val="none"/>
        </w:rPr>
      </w:pPr>
      <w:r>
        <w:rPr>
          <w:rFonts w:hint="eastAsia"/>
          <w:b/>
          <w:color w:val="auto"/>
          <w:sz w:val="18"/>
          <w:szCs w:val="18"/>
          <w:highlight w:val="none"/>
        </w:rPr>
        <w:t>2、本一览表中参考规格型号及技术参数性能（配置）不明确或有误的，或竞标人选用其他规格型号替代的，请以详细、正确的规格型号、技术参数性能（配置）同时填写竞标报价表和技术规格偏离表。</w:t>
      </w:r>
    </w:p>
    <w:p>
      <w:pPr>
        <w:spacing w:line="360" w:lineRule="auto"/>
        <w:rPr>
          <w:b/>
          <w:color w:val="auto"/>
          <w:sz w:val="18"/>
          <w:szCs w:val="18"/>
          <w:highlight w:val="none"/>
        </w:rPr>
      </w:pPr>
      <w:r>
        <w:rPr>
          <w:rFonts w:hint="eastAsia"/>
          <w:b/>
          <w:color w:val="auto"/>
          <w:sz w:val="18"/>
          <w:szCs w:val="18"/>
          <w:highlight w:val="none"/>
        </w:rPr>
        <w:t>3、凡在“技术参数及其性能（配置）要求”中表述为“标配”或“标准配置”的设备，报价人应在竞标报价表中将其标配参数详细列明。</w:t>
      </w:r>
    </w:p>
    <w:p>
      <w:pPr>
        <w:spacing w:line="360" w:lineRule="auto"/>
        <w:rPr>
          <w:color w:val="auto"/>
          <w:highlight w:val="none"/>
        </w:rPr>
      </w:pPr>
      <w:r>
        <w:rPr>
          <w:rFonts w:hint="eastAsia"/>
          <w:b/>
          <w:color w:val="auto"/>
          <w:sz w:val="18"/>
          <w:szCs w:val="18"/>
          <w:highlight w:val="none"/>
        </w:rPr>
        <w:t>4、本章采购需求一览表中，凡标注“★”号的条款为关键指标或要求，必须满足，否则投标无效；非“★”号的条款不允许出现</w:t>
      </w:r>
      <w:r>
        <w:rPr>
          <w:b/>
          <w:color w:val="auto"/>
          <w:sz w:val="18"/>
          <w:szCs w:val="18"/>
          <w:highlight w:val="none"/>
        </w:rPr>
        <w:t>3</w:t>
      </w:r>
      <w:r>
        <w:rPr>
          <w:rFonts w:hint="eastAsia"/>
          <w:b/>
          <w:color w:val="auto"/>
          <w:sz w:val="18"/>
          <w:szCs w:val="18"/>
          <w:highlight w:val="none"/>
        </w:rPr>
        <w:t>项负偏离以上(含</w:t>
      </w:r>
      <w:r>
        <w:rPr>
          <w:b/>
          <w:color w:val="auto"/>
          <w:sz w:val="18"/>
          <w:szCs w:val="18"/>
          <w:highlight w:val="none"/>
        </w:rPr>
        <w:t>3</w:t>
      </w:r>
      <w:r>
        <w:rPr>
          <w:rFonts w:hint="eastAsia"/>
          <w:b/>
          <w:color w:val="auto"/>
          <w:sz w:val="18"/>
          <w:szCs w:val="18"/>
          <w:highlight w:val="none"/>
        </w:rPr>
        <w:t>项</w:t>
      </w:r>
      <w:r>
        <w:rPr>
          <w:b/>
          <w:color w:val="auto"/>
          <w:sz w:val="18"/>
          <w:szCs w:val="18"/>
          <w:highlight w:val="none"/>
        </w:rPr>
        <w:t>)</w:t>
      </w:r>
      <w:r>
        <w:rPr>
          <w:rFonts w:hint="eastAsia"/>
          <w:b/>
          <w:color w:val="auto"/>
          <w:sz w:val="18"/>
          <w:szCs w:val="18"/>
          <w:highlight w:val="none"/>
        </w:rPr>
        <w:t>。</w:t>
      </w:r>
    </w:p>
    <w:tbl>
      <w:tblPr>
        <w:tblStyle w:val="42"/>
        <w:tblW w:w="101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127"/>
        <w:gridCol w:w="709"/>
        <w:gridCol w:w="708"/>
        <w:gridCol w:w="8"/>
        <w:gridCol w:w="5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803" w:type="dxa"/>
            <w:vAlign w:val="center"/>
          </w:tcPr>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项号</w:t>
            </w:r>
          </w:p>
        </w:tc>
        <w:tc>
          <w:tcPr>
            <w:tcW w:w="2127" w:type="dxa"/>
            <w:vAlign w:val="center"/>
          </w:tcPr>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货物名称</w:t>
            </w:r>
          </w:p>
        </w:tc>
        <w:tc>
          <w:tcPr>
            <w:tcW w:w="709" w:type="dxa"/>
            <w:vAlign w:val="center"/>
          </w:tcPr>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数量</w:t>
            </w:r>
          </w:p>
        </w:tc>
        <w:tc>
          <w:tcPr>
            <w:tcW w:w="708" w:type="dxa"/>
            <w:vAlign w:val="center"/>
          </w:tcPr>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单位</w:t>
            </w:r>
          </w:p>
        </w:tc>
        <w:tc>
          <w:tcPr>
            <w:tcW w:w="5848" w:type="dxa"/>
            <w:gridSpan w:val="2"/>
            <w:vAlign w:val="center"/>
          </w:tcPr>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服务要求及技术参数要求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10195" w:type="dxa"/>
            <w:gridSpan w:val="6"/>
            <w:vAlign w:val="center"/>
          </w:tcPr>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法院周界报警系统及视频监控系统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10195" w:type="dxa"/>
            <w:gridSpan w:val="6"/>
            <w:vAlign w:val="center"/>
          </w:tcPr>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一、周界报警系统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1</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总线报警主机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套</w:t>
            </w:r>
          </w:p>
        </w:tc>
        <w:tc>
          <w:tcPr>
            <w:tcW w:w="5840" w:type="dxa"/>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1、8个板载有线防区，可扩展至560个</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 可扩展至1120个联动继电器或LED输出</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w:t>
            </w:r>
            <w:r>
              <w:rPr>
                <w:rFonts w:ascii="华文宋体" w:hAnsi="华文宋体" w:eastAsia="华文宋体" w:cs="华文宋体"/>
                <w:bCs/>
                <w:color w:val="auto"/>
                <w:sz w:val="18"/>
                <w:szCs w:val="18"/>
              </w:rPr>
              <w:t>2</w:t>
            </w:r>
            <w:r>
              <w:rPr>
                <w:rFonts w:hint="eastAsia" w:ascii="华文宋体" w:hAnsi="华文宋体" w:eastAsia="华文宋体" w:cs="华文宋体"/>
                <w:bCs/>
                <w:color w:val="auto"/>
                <w:sz w:val="18"/>
                <w:szCs w:val="18"/>
              </w:rPr>
              <w:t>、支持两条总线，每条可达1.2Km （RVSP2*0.75mm）最远9.6Km，手牵手总线拓扑</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3、支持通过网络、电话线、GPRS、串口等方式上传报警数据到软件</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★4、支持手机APP（报警推送、远程布撤防、消警、防区编程等功能）</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★5、支持短信通知（需加AL-7400G模块）,支持8个短信号码</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★6、支持1000条报警事件记录，1000条操作事件和管理操作记录，支持远程搜索查询事件日志</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 xml:space="preserve"> </w:t>
            </w:r>
            <w:r>
              <w:rPr>
                <w:rFonts w:ascii="华文宋体" w:hAnsi="华文宋体" w:eastAsia="华文宋体" w:cs="华文宋体"/>
                <w:bCs/>
                <w:color w:val="auto"/>
                <w:sz w:val="18"/>
                <w:szCs w:val="18"/>
              </w:rPr>
              <w:t>7</w:t>
            </w:r>
            <w:r>
              <w:rPr>
                <w:rFonts w:hint="eastAsia" w:ascii="华文宋体" w:hAnsi="华文宋体" w:eastAsia="华文宋体" w:cs="华文宋体"/>
                <w:bCs/>
                <w:color w:val="auto"/>
                <w:sz w:val="18"/>
                <w:szCs w:val="18"/>
              </w:rPr>
              <w:t>、支持8个键盘分区和70个设备分区</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8、支持4个独立的以太网接警中心、3个独立的电话接警中心和4个独立的GPRS接警中心</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★9、支持3个独立中心个，每个可灵活配置报警数据上传策略、冗余备份策略</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w:t>
            </w:r>
            <w:r>
              <w:rPr>
                <w:rFonts w:ascii="华文宋体" w:hAnsi="华文宋体" w:eastAsia="华文宋体" w:cs="华文宋体"/>
                <w:bCs/>
                <w:color w:val="auto"/>
                <w:sz w:val="18"/>
                <w:szCs w:val="18"/>
              </w:rPr>
              <w:t>10</w:t>
            </w:r>
            <w:r>
              <w:rPr>
                <w:rFonts w:hint="eastAsia" w:ascii="华文宋体" w:hAnsi="华文宋体" w:eastAsia="华文宋体" w:cs="华文宋体"/>
                <w:bCs/>
                <w:color w:val="auto"/>
                <w:sz w:val="18"/>
                <w:szCs w:val="18"/>
              </w:rPr>
              <w:t>、支持8个用户电话号码</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★1</w:t>
            </w:r>
            <w:r>
              <w:rPr>
                <w:rFonts w:ascii="华文宋体" w:hAnsi="华文宋体" w:eastAsia="华文宋体" w:cs="华文宋体"/>
                <w:bCs/>
                <w:color w:val="auto"/>
                <w:sz w:val="18"/>
                <w:szCs w:val="18"/>
              </w:rPr>
              <w:t>1</w:t>
            </w:r>
            <w:r>
              <w:rPr>
                <w:rFonts w:hint="eastAsia" w:ascii="华文宋体" w:hAnsi="华文宋体" w:eastAsia="华文宋体" w:cs="华文宋体"/>
                <w:bCs/>
                <w:color w:val="auto"/>
                <w:sz w:val="18"/>
                <w:szCs w:val="18"/>
              </w:rPr>
              <w:t>、支持每个键盘6组定时布撤防功能。共102组定时布撤防时间</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w:t>
            </w:r>
            <w:r>
              <w:rPr>
                <w:rFonts w:ascii="华文宋体" w:hAnsi="华文宋体" w:eastAsia="华文宋体" w:cs="华文宋体"/>
                <w:bCs/>
                <w:color w:val="auto"/>
                <w:sz w:val="18"/>
                <w:szCs w:val="18"/>
              </w:rPr>
              <w:t>12</w:t>
            </w:r>
            <w:r>
              <w:rPr>
                <w:rFonts w:hint="eastAsia" w:ascii="华文宋体" w:hAnsi="华文宋体" w:eastAsia="华文宋体" w:cs="华文宋体"/>
                <w:bCs/>
                <w:color w:val="auto"/>
                <w:sz w:val="18"/>
                <w:szCs w:val="18"/>
              </w:rPr>
              <w:t>支持主机防拆、支持探测器防拆报警</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 xml:space="preserve"> </w:t>
            </w:r>
            <w:r>
              <w:rPr>
                <w:rFonts w:ascii="华文宋体" w:hAnsi="华文宋体" w:eastAsia="华文宋体" w:cs="华文宋体"/>
                <w:bCs/>
                <w:color w:val="auto"/>
                <w:sz w:val="18"/>
                <w:szCs w:val="18"/>
              </w:rPr>
              <w:t>13</w:t>
            </w:r>
            <w:r>
              <w:rPr>
                <w:rFonts w:hint="eastAsia" w:ascii="华文宋体" w:hAnsi="华文宋体" w:eastAsia="华文宋体" w:cs="华文宋体"/>
                <w:bCs/>
                <w:color w:val="auto"/>
                <w:sz w:val="18"/>
                <w:szCs w:val="18"/>
              </w:rPr>
              <w:t>、支持1路受控警号（继电器）输出</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 xml:space="preserve"> </w:t>
            </w:r>
            <w:r>
              <w:rPr>
                <w:rFonts w:ascii="华文宋体" w:hAnsi="华文宋体" w:eastAsia="华文宋体" w:cs="华文宋体"/>
                <w:bCs/>
                <w:color w:val="auto"/>
                <w:sz w:val="18"/>
                <w:szCs w:val="18"/>
              </w:rPr>
              <w:t>14</w:t>
            </w:r>
            <w:r>
              <w:rPr>
                <w:rFonts w:hint="eastAsia" w:ascii="华文宋体" w:hAnsi="华文宋体" w:eastAsia="华文宋体" w:cs="华文宋体"/>
                <w:bCs/>
                <w:color w:val="auto"/>
                <w:sz w:val="18"/>
                <w:szCs w:val="18"/>
              </w:rPr>
              <w:t>、支持8个LCD键盘包括1个主键盘和7个从键盘，键盘总线最长9.6Km（需加中继器）</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 xml:space="preserve"> </w:t>
            </w:r>
            <w:r>
              <w:rPr>
                <w:rFonts w:ascii="华文宋体" w:hAnsi="华文宋体" w:eastAsia="华文宋体" w:cs="华文宋体"/>
                <w:bCs/>
                <w:color w:val="auto"/>
                <w:sz w:val="18"/>
                <w:szCs w:val="18"/>
              </w:rPr>
              <w:t>15</w:t>
            </w:r>
            <w:r>
              <w:rPr>
                <w:rFonts w:hint="eastAsia" w:ascii="华文宋体" w:hAnsi="华文宋体" w:eastAsia="华文宋体" w:cs="华文宋体"/>
                <w:bCs/>
                <w:color w:val="auto"/>
                <w:sz w:val="18"/>
                <w:szCs w:val="18"/>
              </w:rPr>
              <w:t>、支持Contact ID protocol，支持话机复用</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 xml:space="preserve"> 1</w:t>
            </w:r>
            <w:r>
              <w:rPr>
                <w:rFonts w:ascii="华文宋体" w:hAnsi="华文宋体" w:eastAsia="华文宋体" w:cs="华文宋体"/>
                <w:bCs/>
                <w:color w:val="auto"/>
                <w:sz w:val="18"/>
                <w:szCs w:val="18"/>
              </w:rPr>
              <w:t>6</w:t>
            </w:r>
            <w:r>
              <w:rPr>
                <w:rFonts w:hint="eastAsia" w:ascii="华文宋体" w:hAnsi="华文宋体" w:eastAsia="华文宋体" w:cs="华文宋体"/>
                <w:bCs/>
                <w:color w:val="auto"/>
                <w:sz w:val="18"/>
                <w:szCs w:val="18"/>
              </w:rPr>
              <w:t>、支持273个密码，1个安装员密码、每个键盘16个用户密码</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 xml:space="preserve"> </w:t>
            </w:r>
            <w:r>
              <w:rPr>
                <w:rFonts w:ascii="华文宋体" w:hAnsi="华文宋体" w:eastAsia="华文宋体" w:cs="华文宋体"/>
                <w:bCs/>
                <w:color w:val="auto"/>
                <w:sz w:val="18"/>
                <w:szCs w:val="18"/>
              </w:rPr>
              <w:t>17</w:t>
            </w:r>
            <w:r>
              <w:rPr>
                <w:rFonts w:hint="eastAsia" w:ascii="华文宋体" w:hAnsi="华文宋体" w:eastAsia="华文宋体" w:cs="华文宋体"/>
                <w:bCs/>
                <w:color w:val="auto"/>
                <w:sz w:val="18"/>
                <w:szCs w:val="18"/>
              </w:rPr>
              <w:t>、支持250条CID报告缓存</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w:t>
            </w:r>
            <w:r>
              <w:rPr>
                <w:rFonts w:ascii="华文宋体" w:hAnsi="华文宋体" w:eastAsia="华文宋体" w:cs="华文宋体"/>
                <w:bCs/>
                <w:color w:val="auto"/>
                <w:sz w:val="18"/>
                <w:szCs w:val="18"/>
              </w:rPr>
              <w:t>18</w:t>
            </w:r>
            <w:r>
              <w:rPr>
                <w:rFonts w:hint="eastAsia" w:ascii="华文宋体" w:hAnsi="华文宋体" w:eastAsia="华文宋体" w:cs="华文宋体"/>
                <w:bCs/>
                <w:color w:val="auto"/>
                <w:sz w:val="18"/>
                <w:szCs w:val="18"/>
              </w:rPr>
              <w:t>、 支持外置蓄电池，蓄电池电压实时监测，主辅电源可自动切换</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w:t>
            </w:r>
            <w:r>
              <w:rPr>
                <w:rFonts w:ascii="华文宋体" w:hAnsi="华文宋体" w:eastAsia="华文宋体" w:cs="华文宋体"/>
                <w:bCs/>
                <w:color w:val="auto"/>
                <w:sz w:val="18"/>
                <w:szCs w:val="18"/>
              </w:rPr>
              <w:t>19</w:t>
            </w:r>
            <w:r>
              <w:rPr>
                <w:rFonts w:hint="eastAsia" w:ascii="华文宋体" w:hAnsi="华文宋体" w:eastAsia="华文宋体" w:cs="华文宋体"/>
                <w:bCs/>
                <w:color w:val="auto"/>
                <w:sz w:val="18"/>
                <w:szCs w:val="18"/>
              </w:rPr>
              <w:t>、支持DC12~30V电源供电</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 xml:space="preserve"> </w:t>
            </w:r>
            <w:r>
              <w:rPr>
                <w:rFonts w:ascii="华文宋体" w:hAnsi="华文宋体" w:eastAsia="华文宋体" w:cs="华文宋体"/>
                <w:bCs/>
                <w:color w:val="auto"/>
                <w:sz w:val="18"/>
                <w:szCs w:val="18"/>
              </w:rPr>
              <w:t>20</w:t>
            </w:r>
            <w:r>
              <w:rPr>
                <w:rFonts w:hint="eastAsia" w:ascii="华文宋体" w:hAnsi="华文宋体" w:eastAsia="华文宋体" w:cs="华文宋体"/>
                <w:bCs/>
                <w:color w:val="auto"/>
                <w:sz w:val="18"/>
                <w:szCs w:val="18"/>
              </w:rPr>
              <w:t>、支持警号输出、键盘电源、辅助电源防反接和过流保护</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 xml:space="preserve"> </w:t>
            </w:r>
            <w:r>
              <w:rPr>
                <w:rFonts w:ascii="华文宋体" w:hAnsi="华文宋体" w:eastAsia="华文宋体" w:cs="华文宋体"/>
                <w:bCs/>
                <w:color w:val="auto"/>
                <w:sz w:val="18"/>
                <w:szCs w:val="18"/>
              </w:rPr>
              <w:t>21</w:t>
            </w:r>
            <w:r>
              <w:rPr>
                <w:rFonts w:hint="eastAsia" w:ascii="华文宋体" w:hAnsi="华文宋体" w:eastAsia="华文宋体" w:cs="华文宋体"/>
                <w:bCs/>
                <w:color w:val="auto"/>
                <w:sz w:val="18"/>
                <w:szCs w:val="18"/>
              </w:rPr>
              <w:t>、支持本地或远程升级（RS232、IP数据升级，程序板上升级）</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 xml:space="preserve"> </w:t>
            </w:r>
            <w:r>
              <w:rPr>
                <w:rFonts w:ascii="华文宋体" w:hAnsi="华文宋体" w:eastAsia="华文宋体" w:cs="华文宋体"/>
                <w:bCs/>
                <w:color w:val="auto"/>
                <w:sz w:val="18"/>
                <w:szCs w:val="18"/>
              </w:rPr>
              <w:t>22</w:t>
            </w:r>
            <w:r>
              <w:rPr>
                <w:rFonts w:hint="eastAsia" w:ascii="华文宋体" w:hAnsi="华文宋体" w:eastAsia="华文宋体" w:cs="华文宋体"/>
                <w:bCs/>
                <w:color w:val="auto"/>
                <w:sz w:val="18"/>
                <w:szCs w:val="18"/>
              </w:rPr>
              <w:t>、支持IP手机编程。可通过IP、RS232读取板内编程数据，以文件方式保存。,远程导入导出配置参数</w:t>
            </w:r>
            <w:r>
              <w:rPr>
                <w:rFonts w:hint="eastAsia" w:ascii="华文宋体" w:hAnsi="华文宋体" w:eastAsia="华文宋体" w:cs="华文宋体"/>
                <w:bCs/>
                <w:color w:val="auto"/>
                <w:sz w:val="18"/>
                <w:szCs w:val="18"/>
              </w:rPr>
              <w:br w:type="textWrapping"/>
            </w:r>
            <w:r>
              <w:rPr>
                <w:rFonts w:hint="eastAsia" w:ascii="华文宋体" w:hAnsi="华文宋体" w:eastAsia="华文宋体" w:cs="华文宋体"/>
                <w:bCs/>
                <w:color w:val="auto"/>
                <w:sz w:val="18"/>
                <w:szCs w:val="18"/>
              </w:rPr>
              <w:t xml:space="preserve"> 支持软硬件结合复位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总线编程键盘</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0" w:type="dxa"/>
            <w:vAlign w:val="center"/>
          </w:tcPr>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1</w:t>
            </w:r>
            <w:r>
              <w:rPr>
                <w:rFonts w:hint="eastAsia" w:ascii="华文宋体" w:hAnsi="华文宋体" w:eastAsia="华文宋体" w:cs="华文宋体"/>
                <w:bCs/>
                <w:color w:val="auto"/>
                <w:sz w:val="18"/>
                <w:szCs w:val="18"/>
              </w:rPr>
              <w:t>、中文液晶显示，显示控制设备的各类信息，包括报警，状态，编程等。</w:t>
            </w:r>
            <w:r>
              <w:rPr>
                <w:rFonts w:hint="eastAsia" w:ascii="华文宋体" w:hAnsi="华文宋体" w:eastAsia="华文宋体" w:cs="华文宋体"/>
                <w:bCs/>
                <w:color w:val="auto"/>
                <w:sz w:val="18"/>
                <w:szCs w:val="18"/>
              </w:rPr>
              <w:br w:type="textWrapping"/>
            </w:r>
            <w:r>
              <w:rPr>
                <w:rFonts w:ascii="华文宋体" w:hAnsi="华文宋体" w:eastAsia="华文宋体" w:cs="华文宋体"/>
                <w:bCs/>
                <w:color w:val="auto"/>
                <w:sz w:val="18"/>
                <w:szCs w:val="18"/>
              </w:rPr>
              <w:t>2</w:t>
            </w:r>
            <w:r>
              <w:rPr>
                <w:rFonts w:hint="eastAsia" w:ascii="华文宋体" w:hAnsi="华文宋体" w:eastAsia="华文宋体" w:cs="华文宋体"/>
                <w:bCs/>
                <w:color w:val="auto"/>
                <w:sz w:val="18"/>
                <w:szCs w:val="18"/>
              </w:rPr>
              <w:t>、1个布防指示灯，显示该键盘是否在布防状态；</w:t>
            </w:r>
            <w:r>
              <w:rPr>
                <w:rFonts w:hint="eastAsia" w:ascii="华文宋体" w:hAnsi="华文宋体" w:eastAsia="华文宋体" w:cs="华文宋体"/>
                <w:bCs/>
                <w:color w:val="auto"/>
                <w:sz w:val="18"/>
                <w:szCs w:val="18"/>
              </w:rPr>
              <w:br w:type="textWrapping"/>
            </w:r>
            <w:r>
              <w:rPr>
                <w:rFonts w:ascii="华文宋体" w:hAnsi="华文宋体" w:eastAsia="华文宋体" w:cs="华文宋体"/>
                <w:bCs/>
                <w:color w:val="auto"/>
                <w:sz w:val="18"/>
                <w:szCs w:val="18"/>
              </w:rPr>
              <w:t>3</w:t>
            </w:r>
            <w:r>
              <w:rPr>
                <w:rFonts w:hint="eastAsia" w:ascii="华文宋体" w:hAnsi="华文宋体" w:eastAsia="华文宋体" w:cs="华文宋体"/>
                <w:bCs/>
                <w:color w:val="auto"/>
                <w:sz w:val="18"/>
                <w:szCs w:val="18"/>
              </w:rPr>
              <w:t>、1个状态指示灯，显示该键盘是否在编程状态和欠压指示；</w:t>
            </w:r>
            <w:r>
              <w:rPr>
                <w:rFonts w:hint="eastAsia" w:ascii="华文宋体" w:hAnsi="华文宋体" w:eastAsia="华文宋体" w:cs="华文宋体"/>
                <w:bCs/>
                <w:color w:val="auto"/>
                <w:sz w:val="18"/>
                <w:szCs w:val="18"/>
              </w:rPr>
              <w:br w:type="textWrapping"/>
            </w:r>
            <w:r>
              <w:rPr>
                <w:rFonts w:ascii="华文宋体" w:hAnsi="华文宋体" w:eastAsia="华文宋体" w:cs="华文宋体"/>
                <w:bCs/>
                <w:color w:val="auto"/>
                <w:sz w:val="18"/>
                <w:szCs w:val="18"/>
              </w:rPr>
              <w:t>4</w:t>
            </w:r>
            <w:r>
              <w:rPr>
                <w:rFonts w:hint="eastAsia" w:ascii="华文宋体" w:hAnsi="华文宋体" w:eastAsia="华文宋体" w:cs="华文宋体"/>
                <w:bCs/>
                <w:color w:val="auto"/>
                <w:sz w:val="18"/>
                <w:szCs w:val="18"/>
              </w:rPr>
              <w:t>、本身带有一个蜂鸣器，用来操作提示和报警；</w:t>
            </w:r>
            <w:r>
              <w:rPr>
                <w:rFonts w:hint="eastAsia" w:ascii="华文宋体" w:hAnsi="华文宋体" w:eastAsia="华文宋体" w:cs="华文宋体"/>
                <w:bCs/>
                <w:color w:val="auto"/>
                <w:sz w:val="18"/>
                <w:szCs w:val="18"/>
              </w:rPr>
              <w:br w:type="textWrapping"/>
            </w:r>
            <w:r>
              <w:rPr>
                <w:rFonts w:ascii="华文宋体" w:hAnsi="华文宋体" w:eastAsia="华文宋体" w:cs="华文宋体"/>
                <w:bCs/>
                <w:color w:val="auto"/>
                <w:sz w:val="18"/>
                <w:szCs w:val="18"/>
              </w:rPr>
              <w:t>5</w:t>
            </w:r>
            <w:r>
              <w:rPr>
                <w:rFonts w:hint="eastAsia" w:ascii="华文宋体" w:hAnsi="华文宋体" w:eastAsia="华文宋体" w:cs="华文宋体"/>
                <w:bCs/>
                <w:color w:val="auto"/>
                <w:sz w:val="18"/>
                <w:szCs w:val="18"/>
              </w:rPr>
              <w:t>、本身带有一个继电器报警输出；</w:t>
            </w:r>
            <w:r>
              <w:rPr>
                <w:rFonts w:hint="eastAsia" w:ascii="华文宋体" w:hAnsi="华文宋体" w:eastAsia="华文宋体" w:cs="华文宋体"/>
                <w:bCs/>
                <w:color w:val="auto"/>
                <w:sz w:val="18"/>
                <w:szCs w:val="18"/>
              </w:rPr>
              <w:br w:type="textWrapping"/>
            </w:r>
            <w:r>
              <w:rPr>
                <w:rFonts w:ascii="华文宋体" w:hAnsi="华文宋体" w:eastAsia="华文宋体" w:cs="华文宋体"/>
                <w:bCs/>
                <w:color w:val="auto"/>
                <w:sz w:val="18"/>
                <w:szCs w:val="18"/>
              </w:rPr>
              <w:t>6</w:t>
            </w:r>
            <w:r>
              <w:rPr>
                <w:rFonts w:hint="eastAsia" w:ascii="华文宋体" w:hAnsi="华文宋体" w:eastAsia="华文宋体" w:cs="华文宋体"/>
                <w:bCs/>
                <w:color w:val="auto"/>
                <w:sz w:val="18"/>
                <w:szCs w:val="18"/>
              </w:rPr>
              <w:t>、支持2个自学码遥控器，支持“布防”，“撤防”，“留守布防”。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多功能联动输出模块 </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块　</w:t>
            </w:r>
          </w:p>
        </w:tc>
        <w:tc>
          <w:tcPr>
            <w:tcW w:w="5840"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支持16路继电器输出以或16路指示灯输出；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支持RS485总线通讯或IP网络通讯（需配置对应的网络模块）两种模式；可联动监控系统，可选择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单防区扩展模块</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0"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单防区扩展模块，可接入1个常闭NC防区，使用线末电阻监控防止破坏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100米三光束红外对射</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对</w:t>
            </w:r>
          </w:p>
        </w:tc>
        <w:tc>
          <w:tcPr>
            <w:tcW w:w="5840" w:type="dxa"/>
            <w:vAlign w:val="bottom"/>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采用行业领先的4段变频技术，双数码管显示信号强度，便于集中供电；</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工作电压DC/AC12V-24V ，智能加热和防雾功能，军工级发射管使用寿命5年以上；三光束；</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探测距离：50-100米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对射支架</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对</w:t>
            </w:r>
          </w:p>
        </w:tc>
        <w:tc>
          <w:tcPr>
            <w:tcW w:w="5840"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工艺升级，三、四光束不锈钢 T型对射安装支架, 50CM，不锈钢201厚0.8MM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后备电池</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0"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报警主机专用后备电池12V/7AH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开关电源</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0"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对射集中供电开关电源（DC-24V/10A）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9</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声光警号</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0"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声光报警器;声压≥108分贝;电流≤200毫安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10</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安装辅材</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项</w:t>
            </w:r>
          </w:p>
        </w:tc>
        <w:tc>
          <w:tcPr>
            <w:tcW w:w="5840"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线管、线缆、插头插座等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10195" w:type="dxa"/>
            <w:gridSpan w:val="6"/>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二、视频监控系统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法院综合安防管理平台</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套</w:t>
            </w:r>
          </w:p>
        </w:tc>
        <w:tc>
          <w:tcPr>
            <w:tcW w:w="5840"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1、提供系统内的组织、人员、用户、角色、认证、区域等的配置和管理。</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2、对前端编码设备进行集中管理，并提供视频预览、录像回放、图片查看等应用。</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3、支持监控点上墙、下墙操作，监控点的预览和回放、主子码流切换、声音控制、强制子码流设置、监控点在线状态显示。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4、支持通用视频联网标准协（GB/T28181）,提供支持其他联网标准的扩展能力。</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5、支持门禁权限设置、门禁事件查询；同时能够管理门禁设备和门禁点，并对门禁相关参数进行设置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管理服务器</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0" w:type="dxa"/>
            <w:vAlign w:val="center"/>
          </w:tcPr>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1</w:t>
            </w:r>
            <w:r>
              <w:rPr>
                <w:rFonts w:hint="eastAsia" w:ascii="华文宋体" w:hAnsi="华文宋体" w:eastAsia="华文宋体" w:cs="华文宋体"/>
                <w:bCs/>
                <w:color w:val="auto"/>
                <w:sz w:val="18"/>
                <w:szCs w:val="18"/>
              </w:rPr>
              <w:t>、CPU：2颗Xeon® Silver 4210（10核，2.2GHz）</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2、内存：16G*4 DDR4，16根内存插槽，最大支持扩展至2TB内存</w:t>
            </w:r>
          </w:p>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2</w:t>
            </w:r>
            <w:r>
              <w:rPr>
                <w:rFonts w:hint="eastAsia" w:ascii="华文宋体" w:hAnsi="华文宋体" w:eastAsia="华文宋体" w:cs="华文宋体"/>
                <w:bCs/>
                <w:color w:val="auto"/>
                <w:sz w:val="18"/>
                <w:szCs w:val="18"/>
              </w:rPr>
              <w:t>、硬盘：4块600G 10K 2.5寸 SAS硬盘</w:t>
            </w:r>
          </w:p>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4</w:t>
            </w:r>
            <w:r>
              <w:rPr>
                <w:rFonts w:hint="eastAsia" w:ascii="华文宋体" w:hAnsi="华文宋体" w:eastAsia="华文宋体" w:cs="华文宋体"/>
                <w:bCs/>
                <w:color w:val="auto"/>
                <w:sz w:val="18"/>
                <w:szCs w:val="18"/>
              </w:rPr>
              <w:t>、阵列卡：SAS_HBA卡, 支持RAID 0/1/10</w:t>
            </w:r>
          </w:p>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5</w:t>
            </w:r>
            <w:r>
              <w:rPr>
                <w:rFonts w:hint="eastAsia" w:ascii="华文宋体" w:hAnsi="华文宋体" w:eastAsia="华文宋体" w:cs="华文宋体"/>
                <w:bCs/>
                <w:color w:val="auto"/>
                <w:sz w:val="18"/>
                <w:szCs w:val="18"/>
              </w:rPr>
              <w:t>、PCIE扩展：最大可支持6个PCIE扩展插槽</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6、网口：2个千兆电口，2个万兆光口</w:t>
            </w:r>
          </w:p>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7</w:t>
            </w:r>
            <w:r>
              <w:rPr>
                <w:rFonts w:hint="eastAsia" w:ascii="华文宋体" w:hAnsi="华文宋体" w:eastAsia="华文宋体" w:cs="华文宋体"/>
                <w:bCs/>
                <w:color w:val="auto"/>
                <w:sz w:val="18"/>
                <w:szCs w:val="18"/>
              </w:rPr>
              <w:t>、其他接口：1个RJ45管理接口，4个USB 3.0接口，1个VGA接口</w:t>
            </w:r>
          </w:p>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8</w:t>
            </w:r>
            <w:r>
              <w:rPr>
                <w:rFonts w:hint="eastAsia" w:ascii="华文宋体" w:hAnsi="华文宋体" w:eastAsia="华文宋体" w:cs="华文宋体"/>
                <w:bCs/>
                <w:color w:val="auto"/>
                <w:sz w:val="18"/>
                <w:szCs w:val="18"/>
              </w:rPr>
              <w:t xml:space="preserve">、电源：标配550W（1+1）高效铂金CRPS冗余电源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9、机箱规格：87.8mm(高)x 448mm(宽)x729.8mm(深)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红外高清网络球机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0"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1、400万7寸红外星光球机；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2、最高分辨率可达2560×1440@30fps，支持 1080p@60fps、960p@60fps、720p@60fps 高帧率输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3、支持 Smart265 编码；</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4、支持 120dB 宽动态，支持 3D 数字降噪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5、支持区域入侵侦测、越界侦测、移动侦测等智能侦测功能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6、支持超低照度，0.005Lux/F1.6(彩色),0.001Lux/F1.6(黑白) ,0 Lux with IR；</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7、支持 1 路音频输入和 1 路音频输出；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8、支持最大 256G 的 Micro SD/SDHC/SDXC 卡、NAS 存；</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9、支持宽动态范围达 120dB，适合逆光环境监控；</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10、采用高效红外阵列，低功耗，照射距离最远可达 150m。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红外高清网络枪机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0"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1、400万像素星光筒型摄像机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2、星光级低照度</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3、400万超清</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4、Smart265</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5、20 dB宽动态 、3D数字降噪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6、1/2.7" Progressive Scan CMOS</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7、2560 × 1440 @25 fps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8、0.005 Lux @（F1.2，AGC ON），0 Lux with IR</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9、智能报警：越界侦测，区域入侵侦测</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10、ROI编码技术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11、萤石云平台接入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12、红外补光，最远可达30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红外高清半球摄像机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20</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0"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1、400万像素星光半球型摄像机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2、星光级低照度</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3、1/2.7" Progressive Scan CMOS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4、2560 × 1440 @25 fps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5、0.005 Lux @（F1.2，AGC ON），0 Lux with IR</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6、智能报警：越界侦测，区域入侵侦测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7、H.264，Smart264，H.265，Smart265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8、ROI编码技术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9、120 dB宽动态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10、背光补偿，强光抑制，3D数字降噪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11、萤石云平台接入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12、内置1个麦克风，高清拾音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13、红外补光，最远可达30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球机支架</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0"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壁装支架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枪机支架</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0"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铝合金壁装支架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摄像机电源</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22</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0" w:type="dxa"/>
            <w:vAlign w:val="center"/>
          </w:tcPr>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12V2A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32路NVR硬盘录像机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0"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1、解码性能强劲，全系列支持8路1080P解码；</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2、最大支持800万相机接入；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3、支持满配8T硬盘，进一步延长录像时间；</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4、支持萤石、Ehome以及GB28181协议，轻松实现平台接入；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5、2U 标准机箱，支持机架安装；</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6、32路视频接入，8盘位，最大支持8TB硬盘</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7、支持1个HDMI 4K输出 +1个VGA异源高清1080P输出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8、支持8路1080P解码</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9、支持H.265、H.264混合解码，最大支持接入8MP高清IPC</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10、2个千兆网口</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11、自带16进4出报警口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12、2个USB2.0接口+1个USB3.0接口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监控硬盘</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0"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监控级，6T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11</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4K超高清液晶平板电视</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0"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1、HDR显示:支持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2、屏幕比例:16:9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3、光源类型:LED背光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4、操作系统:酷开系统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5、RAM内存（运行内存）：2G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6、ROM存储（存储内存）：16G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7、CPU核数:四核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8、GPU:2核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9、USB2.0端口：2个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10、HDMI2.0接口：2个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11、整机功率（W）：290瓦特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12、待机功率（W）：0.5瓦特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13、电源电压：220伏特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14、支持 多屏互动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12</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千兆交换机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0"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24口千兆交换机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13</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交换机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w:t>
            </w:r>
          </w:p>
        </w:tc>
        <w:tc>
          <w:tcPr>
            <w:tcW w:w="716"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0"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不少于8口百兆交换机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网线</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箱</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超五类非屏蔽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r>
              <w:rPr>
                <w:rFonts w:ascii="华文宋体" w:hAnsi="华文宋体" w:eastAsia="华文宋体" w:cs="华文宋体"/>
                <w:bCs/>
                <w:color w:val="auto"/>
                <w:sz w:val="18"/>
                <w:szCs w:val="18"/>
              </w:rPr>
              <w:t>5</w:t>
            </w:r>
            <w:r>
              <w:rPr>
                <w:rFonts w:hint="eastAsia" w:ascii="华文宋体" w:hAnsi="华文宋体" w:eastAsia="华文宋体" w:cs="华文宋体"/>
                <w:bCs/>
                <w:color w:val="auto"/>
                <w:sz w:val="18"/>
                <w:szCs w:val="18"/>
              </w:rPr>
              <w:t>　</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电源线</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1000</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米</w:t>
            </w:r>
          </w:p>
        </w:tc>
        <w:tc>
          <w:tcPr>
            <w:tcW w:w="5848" w:type="dxa"/>
            <w:gridSpan w:val="2"/>
            <w:vAlign w:val="center"/>
          </w:tcPr>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RVV2*1.0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r>
              <w:rPr>
                <w:rFonts w:ascii="华文宋体" w:hAnsi="华文宋体" w:eastAsia="华文宋体" w:cs="华文宋体"/>
                <w:bCs/>
                <w:color w:val="auto"/>
                <w:sz w:val="18"/>
                <w:szCs w:val="18"/>
              </w:rPr>
              <w:t>6</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交换机箱</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壁挂换机箱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r>
              <w:rPr>
                <w:rFonts w:ascii="华文宋体" w:hAnsi="华文宋体" w:eastAsia="华文宋体" w:cs="华文宋体"/>
                <w:bCs/>
                <w:color w:val="auto"/>
                <w:sz w:val="18"/>
                <w:szCs w:val="18"/>
              </w:rPr>
              <w:t>7</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机柜</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标准机柜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r>
              <w:rPr>
                <w:rFonts w:ascii="华文宋体" w:hAnsi="华文宋体" w:eastAsia="华文宋体" w:cs="华文宋体"/>
                <w:bCs/>
                <w:color w:val="auto"/>
                <w:sz w:val="18"/>
                <w:szCs w:val="18"/>
              </w:rPr>
              <w:t>8</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安装辅材</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项</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线槽、线管、水晶头、钉子、小电箱、插头插座等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10195" w:type="dxa"/>
            <w:gridSpan w:val="6"/>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沙坪法庭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5" w:type="dxa"/>
            <w:gridSpan w:val="6"/>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一、户外全彩led显示屏系统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LED户外全彩显示屏</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5.53</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1、像素间距</w:t>
            </w:r>
            <w:r>
              <w:rPr>
                <w:rFonts w:ascii="华文宋体" w:hAnsi="华文宋体" w:eastAsia="华文宋体" w:cs="华文宋体"/>
                <w:bCs/>
                <w:color w:val="auto"/>
                <w:sz w:val="18"/>
                <w:szCs w:val="18"/>
              </w:rPr>
              <w:t>4</w:t>
            </w:r>
            <w:r>
              <w:rPr>
                <w:rFonts w:hint="eastAsia" w:ascii="华文宋体" w:hAnsi="华文宋体" w:eastAsia="华文宋体" w:cs="华文宋体"/>
                <w:bCs/>
                <w:color w:val="auto"/>
                <w:sz w:val="18"/>
                <w:szCs w:val="18"/>
              </w:rPr>
              <w:t>mm</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2、模组尺寸320*</w:t>
            </w:r>
            <w:r>
              <w:rPr>
                <w:rFonts w:ascii="华文宋体" w:hAnsi="华文宋体" w:eastAsia="华文宋体" w:cs="华文宋体"/>
                <w:bCs/>
                <w:color w:val="auto"/>
                <w:sz w:val="18"/>
                <w:szCs w:val="18"/>
              </w:rPr>
              <w:t>1</w:t>
            </w:r>
            <w:r>
              <w:rPr>
                <w:rFonts w:hint="eastAsia" w:ascii="华文宋体" w:hAnsi="华文宋体" w:eastAsia="华文宋体" w:cs="华文宋体"/>
                <w:bCs/>
                <w:color w:val="auto"/>
                <w:sz w:val="18"/>
                <w:szCs w:val="18"/>
              </w:rPr>
              <w:t>60</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3、模块采用</w:t>
            </w:r>
            <w:r>
              <w:rPr>
                <w:rFonts w:ascii="华文宋体" w:hAnsi="华文宋体" w:eastAsia="华文宋体" w:cs="华文宋体"/>
                <w:bCs/>
                <w:color w:val="auto"/>
                <w:sz w:val="18"/>
                <w:szCs w:val="18"/>
              </w:rPr>
              <w:t>高强度塑胶套件，</w:t>
            </w:r>
            <w:r>
              <w:rPr>
                <w:rFonts w:hint="eastAsia" w:ascii="华文宋体" w:hAnsi="华文宋体" w:eastAsia="华文宋体" w:cs="华文宋体"/>
                <w:bCs/>
                <w:color w:val="auto"/>
                <w:sz w:val="18"/>
                <w:szCs w:val="18"/>
              </w:rPr>
              <w:t>产品</w:t>
            </w:r>
            <w:r>
              <w:rPr>
                <w:rFonts w:ascii="华文宋体" w:hAnsi="华文宋体" w:eastAsia="华文宋体" w:cs="华文宋体"/>
                <w:bCs/>
                <w:color w:val="auto"/>
                <w:sz w:val="18"/>
                <w:szCs w:val="18"/>
              </w:rPr>
              <w:t>轻巧安装精度高</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4、采用</w:t>
            </w:r>
            <w:r>
              <w:rPr>
                <w:rFonts w:ascii="华文宋体" w:hAnsi="华文宋体" w:eastAsia="华文宋体" w:cs="华文宋体"/>
                <w:bCs/>
                <w:color w:val="auto"/>
                <w:sz w:val="18"/>
                <w:szCs w:val="18"/>
              </w:rPr>
              <w:t>集成</w:t>
            </w:r>
            <w:r>
              <w:rPr>
                <w:rFonts w:hint="eastAsia" w:ascii="华文宋体" w:hAnsi="华文宋体" w:eastAsia="华文宋体" w:cs="华文宋体"/>
                <w:bCs/>
                <w:color w:val="auto"/>
                <w:sz w:val="18"/>
                <w:szCs w:val="18"/>
              </w:rPr>
              <w:t>HUB接收卡</w:t>
            </w:r>
            <w:r>
              <w:rPr>
                <w:rFonts w:ascii="华文宋体" w:hAnsi="华文宋体" w:eastAsia="华文宋体" w:cs="华文宋体"/>
                <w:bCs/>
                <w:color w:val="auto"/>
                <w:sz w:val="18"/>
                <w:szCs w:val="18"/>
              </w:rPr>
              <w:t>控制</w:t>
            </w:r>
            <w:r>
              <w:rPr>
                <w:rFonts w:hint="eastAsia" w:ascii="华文宋体" w:hAnsi="华文宋体" w:eastAsia="华文宋体" w:cs="华文宋体"/>
                <w:bCs/>
                <w:color w:val="auto"/>
                <w:sz w:val="18"/>
                <w:szCs w:val="18"/>
              </w:rPr>
              <w:t>，</w:t>
            </w:r>
            <w:r>
              <w:rPr>
                <w:rFonts w:ascii="华文宋体" w:hAnsi="华文宋体" w:eastAsia="华文宋体" w:cs="华文宋体"/>
                <w:bCs/>
                <w:color w:val="auto"/>
                <w:sz w:val="18"/>
                <w:szCs w:val="18"/>
              </w:rPr>
              <w:t>支持</w:t>
            </w:r>
            <w:r>
              <w:rPr>
                <w:rFonts w:hint="eastAsia" w:ascii="华文宋体" w:hAnsi="华文宋体" w:eastAsia="华文宋体" w:cs="华文宋体"/>
                <w:bCs/>
                <w:color w:val="auto"/>
                <w:sz w:val="18"/>
                <w:szCs w:val="18"/>
              </w:rPr>
              <w:t>通讯</w:t>
            </w:r>
            <w:r>
              <w:rPr>
                <w:rFonts w:ascii="华文宋体" w:hAnsi="华文宋体" w:eastAsia="华文宋体" w:cs="华文宋体"/>
                <w:bCs/>
                <w:color w:val="auto"/>
                <w:sz w:val="18"/>
                <w:szCs w:val="18"/>
              </w:rPr>
              <w:t>状态监测，高灰度，高</w:t>
            </w:r>
            <w:r>
              <w:rPr>
                <w:rFonts w:hint="eastAsia" w:ascii="华文宋体" w:hAnsi="华文宋体" w:eastAsia="华文宋体" w:cs="华文宋体"/>
                <w:bCs/>
                <w:color w:val="auto"/>
                <w:sz w:val="18"/>
                <w:szCs w:val="18"/>
              </w:rPr>
              <w:t>刷新</w:t>
            </w:r>
            <w:r>
              <w:rPr>
                <w:rFonts w:ascii="华文宋体" w:hAnsi="华文宋体" w:eastAsia="华文宋体" w:cs="华文宋体"/>
                <w:bCs/>
                <w:color w:val="auto"/>
                <w:sz w:val="18"/>
                <w:szCs w:val="18"/>
              </w:rPr>
              <w:t>。</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5、支持接收卡</w:t>
            </w:r>
            <w:r>
              <w:rPr>
                <w:rFonts w:ascii="华文宋体" w:hAnsi="华文宋体" w:eastAsia="华文宋体" w:cs="华文宋体"/>
                <w:bCs/>
                <w:color w:val="auto"/>
                <w:sz w:val="18"/>
                <w:szCs w:val="18"/>
              </w:rPr>
              <w:t>画面</w:t>
            </w:r>
            <w:r>
              <w:rPr>
                <w:rFonts w:hint="eastAsia" w:ascii="华文宋体" w:hAnsi="华文宋体" w:eastAsia="华文宋体" w:cs="华文宋体"/>
                <w:bCs/>
                <w:color w:val="auto"/>
                <w:sz w:val="18"/>
                <w:szCs w:val="18"/>
              </w:rPr>
              <w:t>预置</w:t>
            </w:r>
            <w:r>
              <w:rPr>
                <w:rFonts w:ascii="华文宋体" w:hAnsi="华文宋体" w:eastAsia="华文宋体" w:cs="华文宋体"/>
                <w:bCs/>
                <w:color w:val="auto"/>
                <w:sz w:val="18"/>
                <w:szCs w:val="18"/>
              </w:rPr>
              <w:t>，支持配置文件</w:t>
            </w:r>
            <w:r>
              <w:rPr>
                <w:rFonts w:hint="eastAsia" w:ascii="华文宋体" w:hAnsi="华文宋体" w:eastAsia="华文宋体" w:cs="华文宋体"/>
                <w:bCs/>
                <w:color w:val="auto"/>
                <w:sz w:val="18"/>
                <w:szCs w:val="18"/>
              </w:rPr>
              <w:t>回读</w:t>
            </w:r>
            <w:r>
              <w:rPr>
                <w:rFonts w:ascii="华文宋体" w:hAnsi="华文宋体" w:eastAsia="华文宋体" w:cs="华文宋体"/>
                <w:bCs/>
                <w:color w:val="auto"/>
                <w:sz w:val="18"/>
                <w:szCs w:val="18"/>
              </w:rPr>
              <w:t>。</w:t>
            </w:r>
            <w:r>
              <w:rPr>
                <w:rFonts w:hint="eastAsia" w:ascii="华文宋体" w:hAnsi="华文宋体" w:eastAsia="华文宋体" w:cs="华文宋体"/>
                <w:bCs/>
                <w:color w:val="auto"/>
                <w:sz w:val="18"/>
                <w:szCs w:val="18"/>
              </w:rPr>
              <w:t>单卡</w:t>
            </w:r>
            <w:r>
              <w:rPr>
                <w:rFonts w:ascii="华文宋体" w:hAnsi="华文宋体" w:eastAsia="华文宋体" w:cs="华文宋体"/>
                <w:bCs/>
                <w:color w:val="auto"/>
                <w:sz w:val="18"/>
                <w:szCs w:val="18"/>
              </w:rPr>
              <w:t>支持</w:t>
            </w:r>
            <w:r>
              <w:rPr>
                <w:rFonts w:hint="eastAsia" w:ascii="华文宋体" w:hAnsi="华文宋体" w:eastAsia="华文宋体" w:cs="华文宋体"/>
                <w:bCs/>
                <w:color w:val="auto"/>
                <w:sz w:val="18"/>
                <w:szCs w:val="18"/>
              </w:rPr>
              <w:t>256</w:t>
            </w:r>
            <w:r>
              <w:rPr>
                <w:rFonts w:ascii="华文宋体" w:hAnsi="华文宋体" w:eastAsia="华文宋体" w:cs="华文宋体"/>
                <w:bCs/>
                <w:color w:val="auto"/>
                <w:sz w:val="18"/>
                <w:szCs w:val="18"/>
              </w:rPr>
              <w:t>*256</w:t>
            </w:r>
            <w:r>
              <w:rPr>
                <w:rFonts w:hint="eastAsia" w:ascii="华文宋体" w:hAnsi="华文宋体" w:eastAsia="华文宋体" w:cs="华文宋体"/>
                <w:bCs/>
                <w:color w:val="auto"/>
                <w:sz w:val="18"/>
                <w:szCs w:val="18"/>
              </w:rPr>
              <w:t>像素点</w:t>
            </w:r>
            <w:r>
              <w:rPr>
                <w:rFonts w:ascii="华文宋体" w:hAnsi="华文宋体" w:eastAsia="华文宋体" w:cs="华文宋体"/>
                <w:bCs/>
                <w:color w:val="auto"/>
                <w:sz w:val="18"/>
                <w:szCs w:val="18"/>
              </w:rPr>
              <w:t>，</w:t>
            </w:r>
            <w:r>
              <w:rPr>
                <w:rFonts w:hint="eastAsia" w:ascii="华文宋体" w:hAnsi="华文宋体" w:eastAsia="华文宋体" w:cs="华文宋体"/>
                <w:bCs/>
                <w:color w:val="auto"/>
                <w:sz w:val="18"/>
                <w:szCs w:val="18"/>
              </w:rPr>
              <w:t>带载</w:t>
            </w:r>
            <w:r>
              <w:rPr>
                <w:rFonts w:ascii="华文宋体" w:hAnsi="华文宋体" w:eastAsia="华文宋体" w:cs="华文宋体"/>
                <w:bCs/>
                <w:color w:val="auto"/>
                <w:sz w:val="18"/>
                <w:szCs w:val="18"/>
              </w:rPr>
              <w:t>尺寸更大。</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6、可采用方通背条和箱体结构等多种安装方式，不受安装环境限制</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7、支持单点</w:t>
            </w:r>
            <w:r>
              <w:rPr>
                <w:rFonts w:ascii="华文宋体" w:hAnsi="华文宋体" w:eastAsia="华文宋体" w:cs="华文宋体"/>
                <w:bCs/>
                <w:color w:val="auto"/>
                <w:sz w:val="18"/>
                <w:szCs w:val="18"/>
              </w:rPr>
              <w:t>亮度和色度校正</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8、支持</w:t>
            </w:r>
            <w:r>
              <w:rPr>
                <w:rFonts w:ascii="华文宋体" w:hAnsi="华文宋体" w:eastAsia="华文宋体" w:cs="华文宋体"/>
                <w:bCs/>
                <w:color w:val="auto"/>
                <w:sz w:val="18"/>
                <w:szCs w:val="18"/>
              </w:rPr>
              <w:t>单点亮度和色度校正，</w:t>
            </w:r>
            <w:r>
              <w:rPr>
                <w:rFonts w:hint="eastAsia" w:ascii="华文宋体" w:hAnsi="华文宋体" w:eastAsia="华文宋体" w:cs="华文宋体"/>
                <w:bCs/>
                <w:color w:val="auto"/>
                <w:sz w:val="18"/>
                <w:szCs w:val="18"/>
              </w:rPr>
              <w:t>更换模组，自动回读校正数据</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9、★白平衡亮度≥50</w:t>
            </w:r>
            <w:r>
              <w:rPr>
                <w:rFonts w:ascii="华文宋体" w:hAnsi="华文宋体" w:eastAsia="华文宋体" w:cs="华文宋体"/>
                <w:bCs/>
                <w:color w:val="auto"/>
                <w:sz w:val="18"/>
                <w:szCs w:val="18"/>
              </w:rPr>
              <w:t>00</w:t>
            </w:r>
            <w:r>
              <w:rPr>
                <w:rFonts w:hint="eastAsia" w:ascii="华文宋体" w:hAnsi="华文宋体" w:eastAsia="华文宋体" w:cs="华文宋体"/>
                <w:bCs/>
                <w:color w:val="auto"/>
                <w:sz w:val="18"/>
                <w:szCs w:val="18"/>
              </w:rPr>
              <w:t>cd/㎡</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10、★色温可调范围：20</w:t>
            </w:r>
            <w:r>
              <w:rPr>
                <w:rFonts w:ascii="华文宋体" w:hAnsi="华文宋体" w:eastAsia="华文宋体" w:cs="华文宋体"/>
                <w:bCs/>
                <w:color w:val="auto"/>
                <w:sz w:val="18"/>
                <w:szCs w:val="18"/>
              </w:rPr>
              <w:t>00k~</w:t>
            </w:r>
            <w:r>
              <w:rPr>
                <w:rFonts w:hint="eastAsia" w:ascii="华文宋体" w:hAnsi="华文宋体" w:eastAsia="华文宋体" w:cs="华文宋体"/>
                <w:bCs/>
                <w:color w:val="auto"/>
                <w:sz w:val="18"/>
                <w:szCs w:val="18"/>
              </w:rPr>
              <w:t>150</w:t>
            </w:r>
            <w:r>
              <w:rPr>
                <w:rFonts w:ascii="华文宋体" w:hAnsi="华文宋体" w:eastAsia="华文宋体" w:cs="华文宋体"/>
                <w:bCs/>
                <w:color w:val="auto"/>
                <w:sz w:val="18"/>
                <w:szCs w:val="18"/>
              </w:rPr>
              <w:t>00k</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11、★对比度6</w:t>
            </w:r>
            <w:r>
              <w:rPr>
                <w:rFonts w:ascii="华文宋体" w:hAnsi="华文宋体" w:eastAsia="华文宋体" w:cs="华文宋体"/>
                <w:bCs/>
                <w:color w:val="auto"/>
                <w:sz w:val="18"/>
                <w:szCs w:val="18"/>
              </w:rPr>
              <w:t>0</w:t>
            </w:r>
            <w:r>
              <w:rPr>
                <w:rFonts w:hint="eastAsia" w:ascii="华文宋体" w:hAnsi="华文宋体" w:eastAsia="华文宋体" w:cs="华文宋体"/>
                <w:bCs/>
                <w:color w:val="auto"/>
                <w:sz w:val="18"/>
                <w:szCs w:val="18"/>
              </w:rPr>
              <w:t>00:1</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12、★视角：水平视角≥160°，垂直视角≥140°</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13、★寿命典型值：100000小时</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w:t>
            </w:r>
            <w:r>
              <w:rPr>
                <w:rFonts w:ascii="华文宋体" w:hAnsi="华文宋体" w:eastAsia="华文宋体" w:cs="华文宋体"/>
                <w:bCs/>
                <w:color w:val="auto"/>
                <w:sz w:val="18"/>
                <w:szCs w:val="18"/>
              </w:rPr>
              <w:t>刷新频率</w:t>
            </w:r>
            <w:r>
              <w:rPr>
                <w:rFonts w:hint="eastAsia" w:ascii="华文宋体" w:hAnsi="华文宋体" w:eastAsia="华文宋体" w:cs="华文宋体"/>
                <w:bCs/>
                <w:color w:val="auto"/>
                <w:sz w:val="18"/>
                <w:szCs w:val="18"/>
              </w:rPr>
              <w:t>1920HZ-3840HZ</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15、★换帧频率：60HZ</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16、灰度：16</w:t>
            </w:r>
            <w:r>
              <w:rPr>
                <w:rFonts w:ascii="华文宋体" w:hAnsi="华文宋体" w:eastAsia="华文宋体" w:cs="华文宋体"/>
                <w:bCs/>
                <w:color w:val="auto"/>
                <w:sz w:val="18"/>
                <w:szCs w:val="18"/>
              </w:rPr>
              <w:t>bit</w:t>
            </w:r>
            <w:r>
              <w:rPr>
                <w:rFonts w:hint="eastAsia" w:ascii="华文宋体" w:hAnsi="华文宋体" w:eastAsia="华文宋体" w:cs="华文宋体"/>
                <w:bCs/>
                <w:color w:val="auto"/>
                <w:sz w:val="18"/>
                <w:szCs w:val="18"/>
              </w:rPr>
              <w:t>灰度</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17、模组亮度均匀性≥9</w:t>
            </w:r>
            <w:r>
              <w:rPr>
                <w:rFonts w:ascii="华文宋体" w:hAnsi="华文宋体" w:eastAsia="华文宋体" w:cs="华文宋体"/>
                <w:bCs/>
                <w:color w:val="auto"/>
                <w:sz w:val="18"/>
                <w:szCs w:val="18"/>
              </w:rPr>
              <w:t>7</w:t>
            </w:r>
            <w:r>
              <w:rPr>
                <w:rFonts w:hint="eastAsia" w:ascii="华文宋体" w:hAnsi="华文宋体" w:eastAsia="华文宋体" w:cs="华文宋体"/>
                <w:bCs/>
                <w:color w:val="auto"/>
                <w:sz w:val="18"/>
                <w:szCs w:val="18"/>
              </w:rPr>
              <w:t>%</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18、峰值功耗≤</w:t>
            </w:r>
            <w:r>
              <w:rPr>
                <w:rFonts w:ascii="华文宋体" w:hAnsi="华文宋体" w:eastAsia="华文宋体" w:cs="华文宋体"/>
                <w:bCs/>
                <w:color w:val="auto"/>
                <w:sz w:val="18"/>
                <w:szCs w:val="18"/>
              </w:rPr>
              <w:t>8</w:t>
            </w:r>
            <w:r>
              <w:rPr>
                <w:rFonts w:hint="eastAsia" w:ascii="华文宋体" w:hAnsi="华文宋体" w:eastAsia="华文宋体" w:cs="华文宋体"/>
                <w:bCs/>
                <w:color w:val="auto"/>
                <w:sz w:val="18"/>
                <w:szCs w:val="18"/>
              </w:rPr>
              <w:t>6</w:t>
            </w:r>
            <w:r>
              <w:rPr>
                <w:rFonts w:ascii="华文宋体" w:hAnsi="华文宋体" w:eastAsia="华文宋体" w:cs="华文宋体"/>
                <w:bCs/>
                <w:color w:val="auto"/>
                <w:sz w:val="18"/>
                <w:szCs w:val="18"/>
              </w:rPr>
              <w:t>0</w:t>
            </w:r>
            <w:r>
              <w:rPr>
                <w:rFonts w:hint="eastAsia" w:ascii="华文宋体" w:hAnsi="华文宋体" w:eastAsia="华文宋体" w:cs="华文宋体"/>
                <w:bCs/>
                <w:color w:val="auto"/>
                <w:sz w:val="18"/>
                <w:szCs w:val="18"/>
              </w:rPr>
              <w:t>W/㎡</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19、工作温度范围-10℃-40℃</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20、存储温度范围-20℃-60℃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控制系统</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套</w:t>
            </w:r>
          </w:p>
        </w:tc>
        <w:tc>
          <w:tcPr>
            <w:tcW w:w="5848" w:type="dxa"/>
            <w:gridSpan w:val="2"/>
            <w:vAlign w:val="center"/>
          </w:tcPr>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  CPU核心数量不少于八核，运行主频不少于1.5GHz；</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2.  内存不少于2GB；</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3. 存储空间不少于8G；</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4. 视频编码格式至少支持MPEG-1，MPEG-2，MPEG-4，H.263， H.264，AVS， VC-1， VP8，MVC ；</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5.  支持4K高清视频H265解码;</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6. 千兆网络输出接口，带载65万像素点；</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7. 具备USB接口，USB接口支持数据存储，数据导入；</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8. 支持同步异步模式切换，支持千兆网络输入和HDMI输入接口；</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9. 3.5mm标准音频输出接口；</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10. 工作温度-40~80摄氏度；</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11. 工作湿度0%~90%；</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12. WIFI热点支持；</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13. 系统版本不低于Android 5.1</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★14、提供国家级认证的HDR认证证书，并加盖厂家公章复印件；</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★15、提供厂家 国家级 信息系统安全等级（三级）保护备案证明，并加盖厂家公章复印件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播放软件</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套</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 支持多种视频格式、图片、动画、Office文件、文字、时钟、走马灯、天气、计时、温湿度、流媒体、网页、采集卡、摄像头、Rss简讯；</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2.丰富的媒体属性：包括透明、背景颜色、背景图片、透明度、音量、显示比例、出入场特效、特效速度、文字颜色、炫彩效果、字体、风格等；</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 页面支持一个或多个窗口；</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 支持多个窗口个数不同的页面按次数或播放时长切换播放，且切换过程平滑无黑帧；</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 可设置不同的日期和时间播放不同的节目页；</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 可实现多台异地显示屏同步播放；</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 可通过一台计算机的NovaStudio远程控制和发布播放方案到其它显示屏的软件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远程配电柜   </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　</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1、配电柜应包括继电器、开关箱、空开器件、传感器等；</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2、间隔性顺序开启大屏幕，减缓峰值电流；</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3、满足过流、短路、断路、过压、欠压等保护措施；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笔记本控制电脑</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酷睿TM 四核处理器i5-10210U (1.6GHz，Turbo to 4.2GHz ，6MB缓存)/4GB 内存DDR4 2666MHz/128GB 固态硬盘PCIe NVMe SSD+1T机械硬盘/AMD Radeon 620 2G GDDR5独立显卡/802.11 AC 无线网卡+BT/15.6"FHD雾面防眩光屏幕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电源线</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项</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1、户内国标</w:t>
            </w:r>
            <w:r>
              <w:rPr>
                <w:rFonts w:ascii="华文宋体" w:hAnsi="华文宋体" w:eastAsia="华文宋体" w:cs="华文宋体"/>
                <w:bCs/>
                <w:color w:val="auto"/>
                <w:sz w:val="18"/>
                <w:szCs w:val="18"/>
              </w:rPr>
              <w:t xml:space="preserve">YJV </w:t>
            </w:r>
            <w:r>
              <w:rPr>
                <w:rFonts w:hint="eastAsia" w:ascii="华文宋体" w:hAnsi="华文宋体" w:eastAsia="华文宋体" w:cs="华文宋体"/>
                <w:bCs/>
                <w:color w:val="auto"/>
                <w:sz w:val="18"/>
                <w:szCs w:val="18"/>
              </w:rPr>
              <w:t>3</w:t>
            </w:r>
            <w:r>
              <w:rPr>
                <w:rFonts w:ascii="华文宋体" w:hAnsi="华文宋体" w:eastAsia="华文宋体" w:cs="华文宋体"/>
                <w:bCs/>
                <w:color w:val="auto"/>
                <w:sz w:val="18"/>
                <w:szCs w:val="18"/>
              </w:rPr>
              <w:t>*</w:t>
            </w:r>
            <w:r>
              <w:rPr>
                <w:rFonts w:hint="eastAsia" w:ascii="华文宋体" w:hAnsi="华文宋体" w:eastAsia="华文宋体" w:cs="华文宋体"/>
                <w:bCs/>
                <w:color w:val="auto"/>
                <w:sz w:val="18"/>
                <w:szCs w:val="18"/>
              </w:rPr>
              <w:t>6</w:t>
            </w:r>
            <w:r>
              <w:rPr>
                <w:rFonts w:ascii="华文宋体" w:hAnsi="华文宋体" w:eastAsia="华文宋体" w:cs="华文宋体"/>
                <w:bCs/>
                <w:color w:val="auto"/>
                <w:sz w:val="18"/>
                <w:szCs w:val="18"/>
              </w:rPr>
              <w:t>mm</w:t>
            </w:r>
            <w:r>
              <w:rPr>
                <w:rFonts w:hint="eastAsia" w:ascii="华文宋体" w:hAnsi="华文宋体" w:eastAsia="华文宋体" w:cs="华文宋体"/>
                <w:bCs/>
                <w:color w:val="auto"/>
                <w:sz w:val="18"/>
                <w:szCs w:val="18"/>
              </w:rPr>
              <w:t>阻燃电缆；</w:t>
            </w:r>
          </w:p>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2</w:t>
            </w:r>
            <w:r>
              <w:rPr>
                <w:rFonts w:hint="eastAsia" w:ascii="华文宋体" w:hAnsi="华文宋体" w:eastAsia="华文宋体" w:cs="华文宋体"/>
                <w:bCs/>
                <w:color w:val="auto"/>
                <w:sz w:val="18"/>
                <w:szCs w:val="18"/>
              </w:rPr>
              <w:t>、自行设计强电桥架；</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3、电源线必须国优级大品牌；</w:t>
            </w:r>
          </w:p>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4</w:t>
            </w:r>
            <w:r>
              <w:rPr>
                <w:rFonts w:hint="eastAsia" w:ascii="华文宋体" w:hAnsi="华文宋体" w:eastAsia="华文宋体" w:cs="华文宋体"/>
                <w:bCs/>
                <w:color w:val="auto"/>
                <w:sz w:val="18"/>
                <w:szCs w:val="18"/>
              </w:rPr>
              <w:t>、额定电压：0.6/1KV；</w:t>
            </w:r>
          </w:p>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5</w:t>
            </w:r>
            <w:r>
              <w:rPr>
                <w:rFonts w:hint="eastAsia" w:ascii="华文宋体" w:hAnsi="华文宋体" w:eastAsia="华文宋体" w:cs="华文宋体"/>
                <w:bCs/>
                <w:color w:val="auto"/>
                <w:sz w:val="18"/>
                <w:szCs w:val="18"/>
              </w:rPr>
              <w:t>、导体：高纯度无氧铜；</w:t>
            </w:r>
          </w:p>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6</w:t>
            </w:r>
            <w:r>
              <w:rPr>
                <w:rFonts w:hint="eastAsia" w:ascii="华文宋体" w:hAnsi="华文宋体" w:eastAsia="华文宋体" w:cs="华文宋体"/>
                <w:bCs/>
                <w:color w:val="auto"/>
                <w:sz w:val="18"/>
                <w:szCs w:val="18"/>
              </w:rPr>
              <w:t>、绝缘层：优质交联聚乙烯；</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7、YJV系列电缆长期允许工作温度应不超过90℃；</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8、电缆敷设温度应不低于0℃；</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9、为保证设计规范和用电安全，电缆线路中不容许中间接头，电缆必须从配电房至大屏分箱端保护完整无接头；</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10、电缆敷设过程中有对原装修开口或者破坏装修的必须按原样恢复。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通讯线、音箱线</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项</w:t>
            </w:r>
          </w:p>
        </w:tc>
        <w:tc>
          <w:tcPr>
            <w:tcW w:w="5848" w:type="dxa"/>
            <w:gridSpan w:val="2"/>
          </w:tcPr>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 xml:space="preserve"> </w:t>
            </w:r>
            <w:r>
              <w:rPr>
                <w:rFonts w:hint="eastAsia" w:ascii="华文宋体" w:hAnsi="华文宋体" w:eastAsia="华文宋体" w:cs="华文宋体"/>
                <w:bCs/>
                <w:color w:val="auto"/>
                <w:sz w:val="18"/>
                <w:szCs w:val="18"/>
              </w:rPr>
              <w:t>1、根据要求需要对相关模块进行系统集成，系统集成应符合国家和行业的相关标准，保证所建设系统网络的正常运行。</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2、网络布线系统符合以太网的要求，符合当前和可预见未来的信息传输要求，布线和系统集成符合会议系统的要求。</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3、5类屏蔽网线、5类水晶头、要求自行设计管材，开挖、回填。</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4、5类网线必须</w:t>
            </w:r>
            <w:r>
              <w:rPr>
                <w:rFonts w:ascii="华文宋体" w:hAnsi="华文宋体" w:eastAsia="华文宋体" w:cs="华文宋体"/>
                <w:bCs/>
                <w:color w:val="auto"/>
                <w:sz w:val="18"/>
                <w:szCs w:val="18"/>
              </w:rPr>
              <w:t>是国优</w:t>
            </w:r>
            <w:r>
              <w:rPr>
                <w:rFonts w:hint="eastAsia" w:ascii="华文宋体" w:hAnsi="华文宋体" w:eastAsia="华文宋体" w:cs="华文宋体"/>
                <w:bCs/>
                <w:color w:val="auto"/>
                <w:sz w:val="18"/>
                <w:szCs w:val="18"/>
              </w:rPr>
              <w:t>级5类网线，音箱线均为国标线材。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功放、音箱</w:t>
            </w:r>
          </w:p>
        </w:tc>
        <w:tc>
          <w:tcPr>
            <w:tcW w:w="709" w:type="dxa"/>
            <w:vAlign w:val="bottom"/>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bottom"/>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套</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1、室外全天候防水音柱对人声、音乐都有还原真实的放大特性，由铝合金材料制成，可抵挡日照雨淋、风沙雪雨，适合户内、户外全天候使用。</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2、安装方式:壁挂式</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接线方法: COM  70V  100V</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额定功率30W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最大功率 60W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灵敏度 92dB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频率响应 130-16KHz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尺寸 145×125×505mm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喇叭单元 3×4″+ 2.5″</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3、功放：</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130W；3路音源输入；2路话筒输出；带默音功能；70V/100V,4-16Ω输出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4、100V、70V定压输出和4欧—16欧定阻输出，1单元LED 电平指示；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5、三路话筒控制、两线输入；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6、RCA插口和XLR插口供方便地环接；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7、输出短路保护及告警、过热告警和饱和失真告警额定输出功率130w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输入灵敏度 1V   0dBV</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等效输入噪声 -95dB</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阻尼系数 200:1</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共摸抑制 不小于  92dB</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频响 90Hz--20KHz  ±3dB</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总谐波失真4/1KHz &lt;0.3%</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上升速率 &gt;15V/microsecond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结构</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套</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1、双立柱标准钢结构、全防水密封箱体、防尘、抗风。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2、屏体结构设计后维护结构，自行设计基础建设、开挖、回填。</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3、破坏路面自行修复，施工期间保障现场安全、文明施工。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4、结构材料及基础材料均符合国家标准。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机柜</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w:t>
            </w:r>
            <w:r>
              <w:rPr>
                <w:rFonts w:ascii="华文宋体" w:hAnsi="华文宋体" w:eastAsia="华文宋体" w:cs="华文宋体"/>
                <w:bCs/>
                <w:color w:val="auto"/>
                <w:sz w:val="18"/>
                <w:szCs w:val="18"/>
              </w:rPr>
              <w:t>2U</w:t>
            </w:r>
            <w:r>
              <w:rPr>
                <w:rFonts w:hint="eastAsia" w:ascii="华文宋体" w:hAnsi="华文宋体" w:eastAsia="华文宋体" w:cs="华文宋体"/>
                <w:bCs/>
                <w:color w:val="auto"/>
                <w:sz w:val="18"/>
                <w:szCs w:val="18"/>
              </w:rPr>
              <w:t>标准机柜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11</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安装辅材</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项</w:t>
            </w:r>
          </w:p>
        </w:tc>
        <w:tc>
          <w:tcPr>
            <w:tcW w:w="5848" w:type="dxa"/>
            <w:gridSpan w:val="2"/>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线管、安装配件等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0195" w:type="dxa"/>
            <w:gridSpan w:val="6"/>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二、视频监控系统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红外高清网络枪机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1、400万像素星光筒型摄像机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2、星光级低照度</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3、400万超清</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4、Smart265</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5、20 dB宽动态 、3D数字降噪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6、1/2.7" Progressive Scan CMOS</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7、2560 × 1440 @25 fps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8、0.005 Lux @（F1.2，AGC ON），0 Lux with IR</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9、智能报警：越界侦测，区域入侵侦测</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10、ROI编码技术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11、萤石云平台接入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12、红外补光，最远可达30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高清半球摄像机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1、400万像素星光半球型摄像机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2、星光级低照度</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3、1/2.7" Progressive Scan CMOS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4、2560 × 1440 @25 fps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5、0.005 Lux @（F1.2，AGC ON），0 Lux with IR</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6、智能报警：越界侦测，区域入侵侦测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7、H.264，Smart264，H.265，Smart265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8、ROI编码技术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9、120 dB宽动态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10、背光补偿，强光抑制，3D数字降噪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11、萤石云平台接入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12、内置1个麦克风，高清拾音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13、红外补光，最远可达30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摄像机电源</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12V2A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枪机支架</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铝合金壁装支架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16路NVR硬盘录像机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1、支持8路1080P解码；</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2、最大支持800万相机接入；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3、支持萤石、Ehome以及GB28181协议，轻松实现平台接入；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4、接口一应俱全，满足各类外设接入需求；</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5、2U 标准机箱，支持机架安装；</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6、16路视频接入，8盘位，最大支持8TB硬盘</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7、支持1个HDMI 4K输出 +1个VGA异源高清1080P输出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9、支持H.265、H.264混合解码，最大支持接入8MP高清IPC</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10、2个千兆网口</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11、自带16进4出报警口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12、2个USB2.0接口+1个USB3.0接口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监控硬盘</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监控级，6T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4K超高清液晶平板电视</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1、HDR显示:支持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2、屏幕比例:16:9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3、光源类型:LED背光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4、操作系统:酷开系统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5、RAM内存（运行内存）：2G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6、ROM存储（存储内存）：16G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7、CPU核数:四核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8、GPU:2核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9、USB2.0端口：2个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10、HDMI2.0接口：2个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11、整机功率（W）：290瓦特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12、待机功率（W）：0.5瓦特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13、电源电压：220伏特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14、支持 多屏互动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千兆交换机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24口千兆交换机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交换机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不少于8口百兆交换机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网线</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箱</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超五类非屏蔽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11</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电源线</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900</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米</w:t>
            </w:r>
          </w:p>
        </w:tc>
        <w:tc>
          <w:tcPr>
            <w:tcW w:w="5848" w:type="dxa"/>
            <w:gridSpan w:val="2"/>
            <w:vAlign w:val="center"/>
          </w:tcPr>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RVV2*1.0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12</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交换机箱</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壁挂换机箱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13</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机柜</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标准机柜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光纤</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500</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米</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室外单模4芯光纤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r>
              <w:rPr>
                <w:rFonts w:ascii="华文宋体" w:hAnsi="华文宋体" w:eastAsia="华文宋体" w:cs="华文宋体"/>
                <w:bCs/>
                <w:color w:val="auto"/>
                <w:sz w:val="18"/>
                <w:szCs w:val="18"/>
              </w:rPr>
              <w:t>5</w:t>
            </w:r>
            <w:r>
              <w:rPr>
                <w:rFonts w:hint="eastAsia" w:ascii="华文宋体" w:hAnsi="华文宋体" w:eastAsia="华文宋体" w:cs="华文宋体"/>
                <w:bCs/>
                <w:color w:val="auto"/>
                <w:sz w:val="18"/>
                <w:szCs w:val="18"/>
              </w:rPr>
              <w:t>　</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立杆</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根</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定制杆高3.5米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r>
              <w:rPr>
                <w:rFonts w:ascii="华文宋体" w:hAnsi="华文宋体" w:eastAsia="华文宋体" w:cs="华文宋体"/>
                <w:bCs/>
                <w:color w:val="auto"/>
                <w:sz w:val="18"/>
                <w:szCs w:val="18"/>
              </w:rPr>
              <w:t>6</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室外防水箱</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r>
              <w:rPr>
                <w:rFonts w:ascii="华文宋体" w:hAnsi="华文宋体" w:eastAsia="华文宋体" w:cs="华文宋体"/>
                <w:bCs/>
                <w:color w:val="auto"/>
                <w:sz w:val="18"/>
                <w:szCs w:val="18"/>
              </w:rPr>
              <w:t>7</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光收发器</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对</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单模单纤、百兆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r>
              <w:rPr>
                <w:rFonts w:ascii="华文宋体" w:hAnsi="华文宋体" w:eastAsia="华文宋体" w:cs="华文宋体"/>
                <w:bCs/>
                <w:color w:val="auto"/>
                <w:sz w:val="18"/>
                <w:szCs w:val="18"/>
              </w:rPr>
              <w:t>8</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安装辅材</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项</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线槽、线管、水晶头、钉子、插头、插座等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0195" w:type="dxa"/>
            <w:gridSpan w:val="6"/>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武利法庭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0195" w:type="dxa"/>
            <w:gridSpan w:val="6"/>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一、户外全彩led显示屏系统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LED户外全彩显示屏</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5.53</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1、像素间距</w:t>
            </w:r>
            <w:r>
              <w:rPr>
                <w:rFonts w:ascii="华文宋体" w:hAnsi="华文宋体" w:eastAsia="华文宋体" w:cs="华文宋体"/>
                <w:bCs/>
                <w:color w:val="auto"/>
                <w:sz w:val="18"/>
                <w:szCs w:val="18"/>
              </w:rPr>
              <w:t>4</w:t>
            </w:r>
            <w:r>
              <w:rPr>
                <w:rFonts w:hint="eastAsia" w:ascii="华文宋体" w:hAnsi="华文宋体" w:eastAsia="华文宋体" w:cs="华文宋体"/>
                <w:bCs/>
                <w:color w:val="auto"/>
                <w:sz w:val="18"/>
                <w:szCs w:val="18"/>
              </w:rPr>
              <w:t>mm</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2、模组尺寸320*</w:t>
            </w:r>
            <w:r>
              <w:rPr>
                <w:rFonts w:ascii="华文宋体" w:hAnsi="华文宋体" w:eastAsia="华文宋体" w:cs="华文宋体"/>
                <w:bCs/>
                <w:color w:val="auto"/>
                <w:sz w:val="18"/>
                <w:szCs w:val="18"/>
              </w:rPr>
              <w:t>1</w:t>
            </w:r>
            <w:r>
              <w:rPr>
                <w:rFonts w:hint="eastAsia" w:ascii="华文宋体" w:hAnsi="华文宋体" w:eastAsia="华文宋体" w:cs="华文宋体"/>
                <w:bCs/>
                <w:color w:val="auto"/>
                <w:sz w:val="18"/>
                <w:szCs w:val="18"/>
              </w:rPr>
              <w:t>60</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3、模块采用</w:t>
            </w:r>
            <w:r>
              <w:rPr>
                <w:rFonts w:ascii="华文宋体" w:hAnsi="华文宋体" w:eastAsia="华文宋体" w:cs="华文宋体"/>
                <w:bCs/>
                <w:color w:val="auto"/>
                <w:sz w:val="18"/>
                <w:szCs w:val="18"/>
              </w:rPr>
              <w:t>高强度塑胶套件，</w:t>
            </w:r>
            <w:r>
              <w:rPr>
                <w:rFonts w:hint="eastAsia" w:ascii="华文宋体" w:hAnsi="华文宋体" w:eastAsia="华文宋体" w:cs="华文宋体"/>
                <w:bCs/>
                <w:color w:val="auto"/>
                <w:sz w:val="18"/>
                <w:szCs w:val="18"/>
              </w:rPr>
              <w:t>产品</w:t>
            </w:r>
            <w:r>
              <w:rPr>
                <w:rFonts w:ascii="华文宋体" w:hAnsi="华文宋体" w:eastAsia="华文宋体" w:cs="华文宋体"/>
                <w:bCs/>
                <w:color w:val="auto"/>
                <w:sz w:val="18"/>
                <w:szCs w:val="18"/>
              </w:rPr>
              <w:t>轻巧安装精度高</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4、采用</w:t>
            </w:r>
            <w:r>
              <w:rPr>
                <w:rFonts w:ascii="华文宋体" w:hAnsi="华文宋体" w:eastAsia="华文宋体" w:cs="华文宋体"/>
                <w:bCs/>
                <w:color w:val="auto"/>
                <w:sz w:val="18"/>
                <w:szCs w:val="18"/>
              </w:rPr>
              <w:t>集成</w:t>
            </w:r>
            <w:r>
              <w:rPr>
                <w:rFonts w:hint="eastAsia" w:ascii="华文宋体" w:hAnsi="华文宋体" w:eastAsia="华文宋体" w:cs="华文宋体"/>
                <w:bCs/>
                <w:color w:val="auto"/>
                <w:sz w:val="18"/>
                <w:szCs w:val="18"/>
              </w:rPr>
              <w:t>HUB接收卡</w:t>
            </w:r>
            <w:r>
              <w:rPr>
                <w:rFonts w:ascii="华文宋体" w:hAnsi="华文宋体" w:eastAsia="华文宋体" w:cs="华文宋体"/>
                <w:bCs/>
                <w:color w:val="auto"/>
                <w:sz w:val="18"/>
                <w:szCs w:val="18"/>
              </w:rPr>
              <w:t>控制</w:t>
            </w:r>
            <w:r>
              <w:rPr>
                <w:rFonts w:hint="eastAsia" w:ascii="华文宋体" w:hAnsi="华文宋体" w:eastAsia="华文宋体" w:cs="华文宋体"/>
                <w:bCs/>
                <w:color w:val="auto"/>
                <w:sz w:val="18"/>
                <w:szCs w:val="18"/>
              </w:rPr>
              <w:t>，</w:t>
            </w:r>
            <w:r>
              <w:rPr>
                <w:rFonts w:ascii="华文宋体" w:hAnsi="华文宋体" w:eastAsia="华文宋体" w:cs="华文宋体"/>
                <w:bCs/>
                <w:color w:val="auto"/>
                <w:sz w:val="18"/>
                <w:szCs w:val="18"/>
              </w:rPr>
              <w:t>支持</w:t>
            </w:r>
            <w:r>
              <w:rPr>
                <w:rFonts w:hint="eastAsia" w:ascii="华文宋体" w:hAnsi="华文宋体" w:eastAsia="华文宋体" w:cs="华文宋体"/>
                <w:bCs/>
                <w:color w:val="auto"/>
                <w:sz w:val="18"/>
                <w:szCs w:val="18"/>
              </w:rPr>
              <w:t>通讯</w:t>
            </w:r>
            <w:r>
              <w:rPr>
                <w:rFonts w:ascii="华文宋体" w:hAnsi="华文宋体" w:eastAsia="华文宋体" w:cs="华文宋体"/>
                <w:bCs/>
                <w:color w:val="auto"/>
                <w:sz w:val="18"/>
                <w:szCs w:val="18"/>
              </w:rPr>
              <w:t>状态监测，高灰度，高</w:t>
            </w:r>
            <w:r>
              <w:rPr>
                <w:rFonts w:hint="eastAsia" w:ascii="华文宋体" w:hAnsi="华文宋体" w:eastAsia="华文宋体" w:cs="华文宋体"/>
                <w:bCs/>
                <w:color w:val="auto"/>
                <w:sz w:val="18"/>
                <w:szCs w:val="18"/>
              </w:rPr>
              <w:t>刷新</w:t>
            </w:r>
            <w:r>
              <w:rPr>
                <w:rFonts w:ascii="华文宋体" w:hAnsi="华文宋体" w:eastAsia="华文宋体" w:cs="华文宋体"/>
                <w:bCs/>
                <w:color w:val="auto"/>
                <w:sz w:val="18"/>
                <w:szCs w:val="18"/>
              </w:rPr>
              <w:t>。</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5、支持接收卡</w:t>
            </w:r>
            <w:r>
              <w:rPr>
                <w:rFonts w:ascii="华文宋体" w:hAnsi="华文宋体" w:eastAsia="华文宋体" w:cs="华文宋体"/>
                <w:bCs/>
                <w:color w:val="auto"/>
                <w:sz w:val="18"/>
                <w:szCs w:val="18"/>
              </w:rPr>
              <w:t>画面</w:t>
            </w:r>
            <w:r>
              <w:rPr>
                <w:rFonts w:hint="eastAsia" w:ascii="华文宋体" w:hAnsi="华文宋体" w:eastAsia="华文宋体" w:cs="华文宋体"/>
                <w:bCs/>
                <w:color w:val="auto"/>
                <w:sz w:val="18"/>
                <w:szCs w:val="18"/>
              </w:rPr>
              <w:t>预置</w:t>
            </w:r>
            <w:r>
              <w:rPr>
                <w:rFonts w:ascii="华文宋体" w:hAnsi="华文宋体" w:eastAsia="华文宋体" w:cs="华文宋体"/>
                <w:bCs/>
                <w:color w:val="auto"/>
                <w:sz w:val="18"/>
                <w:szCs w:val="18"/>
              </w:rPr>
              <w:t>，支持配置文件</w:t>
            </w:r>
            <w:r>
              <w:rPr>
                <w:rFonts w:hint="eastAsia" w:ascii="华文宋体" w:hAnsi="华文宋体" w:eastAsia="华文宋体" w:cs="华文宋体"/>
                <w:bCs/>
                <w:color w:val="auto"/>
                <w:sz w:val="18"/>
                <w:szCs w:val="18"/>
              </w:rPr>
              <w:t>回读</w:t>
            </w:r>
            <w:r>
              <w:rPr>
                <w:rFonts w:ascii="华文宋体" w:hAnsi="华文宋体" w:eastAsia="华文宋体" w:cs="华文宋体"/>
                <w:bCs/>
                <w:color w:val="auto"/>
                <w:sz w:val="18"/>
                <w:szCs w:val="18"/>
              </w:rPr>
              <w:t>。</w:t>
            </w:r>
            <w:r>
              <w:rPr>
                <w:rFonts w:hint="eastAsia" w:ascii="华文宋体" w:hAnsi="华文宋体" w:eastAsia="华文宋体" w:cs="华文宋体"/>
                <w:bCs/>
                <w:color w:val="auto"/>
                <w:sz w:val="18"/>
                <w:szCs w:val="18"/>
              </w:rPr>
              <w:t>单卡</w:t>
            </w:r>
            <w:r>
              <w:rPr>
                <w:rFonts w:ascii="华文宋体" w:hAnsi="华文宋体" w:eastAsia="华文宋体" w:cs="华文宋体"/>
                <w:bCs/>
                <w:color w:val="auto"/>
                <w:sz w:val="18"/>
                <w:szCs w:val="18"/>
              </w:rPr>
              <w:t>支持</w:t>
            </w:r>
            <w:r>
              <w:rPr>
                <w:rFonts w:hint="eastAsia" w:ascii="华文宋体" w:hAnsi="华文宋体" w:eastAsia="华文宋体" w:cs="华文宋体"/>
                <w:bCs/>
                <w:color w:val="auto"/>
                <w:sz w:val="18"/>
                <w:szCs w:val="18"/>
              </w:rPr>
              <w:t>256</w:t>
            </w:r>
            <w:r>
              <w:rPr>
                <w:rFonts w:ascii="华文宋体" w:hAnsi="华文宋体" w:eastAsia="华文宋体" w:cs="华文宋体"/>
                <w:bCs/>
                <w:color w:val="auto"/>
                <w:sz w:val="18"/>
                <w:szCs w:val="18"/>
              </w:rPr>
              <w:t>*256</w:t>
            </w:r>
            <w:r>
              <w:rPr>
                <w:rFonts w:hint="eastAsia" w:ascii="华文宋体" w:hAnsi="华文宋体" w:eastAsia="华文宋体" w:cs="华文宋体"/>
                <w:bCs/>
                <w:color w:val="auto"/>
                <w:sz w:val="18"/>
                <w:szCs w:val="18"/>
              </w:rPr>
              <w:t>像素点</w:t>
            </w:r>
            <w:r>
              <w:rPr>
                <w:rFonts w:ascii="华文宋体" w:hAnsi="华文宋体" w:eastAsia="华文宋体" w:cs="华文宋体"/>
                <w:bCs/>
                <w:color w:val="auto"/>
                <w:sz w:val="18"/>
                <w:szCs w:val="18"/>
              </w:rPr>
              <w:t>，</w:t>
            </w:r>
            <w:r>
              <w:rPr>
                <w:rFonts w:hint="eastAsia" w:ascii="华文宋体" w:hAnsi="华文宋体" w:eastAsia="华文宋体" w:cs="华文宋体"/>
                <w:bCs/>
                <w:color w:val="auto"/>
                <w:sz w:val="18"/>
                <w:szCs w:val="18"/>
              </w:rPr>
              <w:t>带载</w:t>
            </w:r>
            <w:r>
              <w:rPr>
                <w:rFonts w:ascii="华文宋体" w:hAnsi="华文宋体" w:eastAsia="华文宋体" w:cs="华文宋体"/>
                <w:bCs/>
                <w:color w:val="auto"/>
                <w:sz w:val="18"/>
                <w:szCs w:val="18"/>
              </w:rPr>
              <w:t>尺寸更大。</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6、可采用方通背条和箱体结构等多种安装方式，不受安装环境限制</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7、支持单点</w:t>
            </w:r>
            <w:r>
              <w:rPr>
                <w:rFonts w:ascii="华文宋体" w:hAnsi="华文宋体" w:eastAsia="华文宋体" w:cs="华文宋体"/>
                <w:bCs/>
                <w:color w:val="auto"/>
                <w:sz w:val="18"/>
                <w:szCs w:val="18"/>
              </w:rPr>
              <w:t>亮度和色度校正</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8、支持</w:t>
            </w:r>
            <w:r>
              <w:rPr>
                <w:rFonts w:ascii="华文宋体" w:hAnsi="华文宋体" w:eastAsia="华文宋体" w:cs="华文宋体"/>
                <w:bCs/>
                <w:color w:val="auto"/>
                <w:sz w:val="18"/>
                <w:szCs w:val="18"/>
              </w:rPr>
              <w:t>单点亮度和色度校正，</w:t>
            </w:r>
            <w:r>
              <w:rPr>
                <w:rFonts w:hint="eastAsia" w:ascii="华文宋体" w:hAnsi="华文宋体" w:eastAsia="华文宋体" w:cs="华文宋体"/>
                <w:bCs/>
                <w:color w:val="auto"/>
                <w:sz w:val="18"/>
                <w:szCs w:val="18"/>
              </w:rPr>
              <w:t>更换模组，自动回读校正数据</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9、★白平衡亮度≥50</w:t>
            </w:r>
            <w:r>
              <w:rPr>
                <w:rFonts w:ascii="华文宋体" w:hAnsi="华文宋体" w:eastAsia="华文宋体" w:cs="华文宋体"/>
                <w:bCs/>
                <w:color w:val="auto"/>
                <w:sz w:val="18"/>
                <w:szCs w:val="18"/>
              </w:rPr>
              <w:t>00</w:t>
            </w:r>
            <w:r>
              <w:rPr>
                <w:rFonts w:hint="eastAsia" w:ascii="华文宋体" w:hAnsi="华文宋体" w:eastAsia="华文宋体" w:cs="华文宋体"/>
                <w:bCs/>
                <w:color w:val="auto"/>
                <w:sz w:val="18"/>
                <w:szCs w:val="18"/>
              </w:rPr>
              <w:t>cd/㎡</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10、★色温可调范围：20</w:t>
            </w:r>
            <w:r>
              <w:rPr>
                <w:rFonts w:ascii="华文宋体" w:hAnsi="华文宋体" w:eastAsia="华文宋体" w:cs="华文宋体"/>
                <w:bCs/>
                <w:color w:val="auto"/>
                <w:sz w:val="18"/>
                <w:szCs w:val="18"/>
              </w:rPr>
              <w:t>00k~</w:t>
            </w:r>
            <w:r>
              <w:rPr>
                <w:rFonts w:hint="eastAsia" w:ascii="华文宋体" w:hAnsi="华文宋体" w:eastAsia="华文宋体" w:cs="华文宋体"/>
                <w:bCs/>
                <w:color w:val="auto"/>
                <w:sz w:val="18"/>
                <w:szCs w:val="18"/>
              </w:rPr>
              <w:t>150</w:t>
            </w:r>
            <w:r>
              <w:rPr>
                <w:rFonts w:ascii="华文宋体" w:hAnsi="华文宋体" w:eastAsia="华文宋体" w:cs="华文宋体"/>
                <w:bCs/>
                <w:color w:val="auto"/>
                <w:sz w:val="18"/>
                <w:szCs w:val="18"/>
              </w:rPr>
              <w:t>00k</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11、★对比度6</w:t>
            </w:r>
            <w:r>
              <w:rPr>
                <w:rFonts w:ascii="华文宋体" w:hAnsi="华文宋体" w:eastAsia="华文宋体" w:cs="华文宋体"/>
                <w:bCs/>
                <w:color w:val="auto"/>
                <w:sz w:val="18"/>
                <w:szCs w:val="18"/>
              </w:rPr>
              <w:t>0</w:t>
            </w:r>
            <w:r>
              <w:rPr>
                <w:rFonts w:hint="eastAsia" w:ascii="华文宋体" w:hAnsi="华文宋体" w:eastAsia="华文宋体" w:cs="华文宋体"/>
                <w:bCs/>
                <w:color w:val="auto"/>
                <w:sz w:val="18"/>
                <w:szCs w:val="18"/>
              </w:rPr>
              <w:t>00:1</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12、★视角：水平视角≥160°，垂直视角≥140°</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13、★寿命典型值：100000小时</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w:t>
            </w:r>
            <w:r>
              <w:rPr>
                <w:rFonts w:ascii="华文宋体" w:hAnsi="华文宋体" w:eastAsia="华文宋体" w:cs="华文宋体"/>
                <w:bCs/>
                <w:color w:val="auto"/>
                <w:sz w:val="18"/>
                <w:szCs w:val="18"/>
              </w:rPr>
              <w:t>刷新频率</w:t>
            </w:r>
            <w:r>
              <w:rPr>
                <w:rFonts w:hint="eastAsia" w:ascii="华文宋体" w:hAnsi="华文宋体" w:eastAsia="华文宋体" w:cs="华文宋体"/>
                <w:bCs/>
                <w:color w:val="auto"/>
                <w:sz w:val="18"/>
                <w:szCs w:val="18"/>
              </w:rPr>
              <w:t>1920HZ-3840HZ</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15、★换帧频率：60HZ</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16、灰度：16</w:t>
            </w:r>
            <w:r>
              <w:rPr>
                <w:rFonts w:ascii="华文宋体" w:hAnsi="华文宋体" w:eastAsia="华文宋体" w:cs="华文宋体"/>
                <w:bCs/>
                <w:color w:val="auto"/>
                <w:sz w:val="18"/>
                <w:szCs w:val="18"/>
              </w:rPr>
              <w:t>bit</w:t>
            </w:r>
            <w:r>
              <w:rPr>
                <w:rFonts w:hint="eastAsia" w:ascii="华文宋体" w:hAnsi="华文宋体" w:eastAsia="华文宋体" w:cs="华文宋体"/>
                <w:bCs/>
                <w:color w:val="auto"/>
                <w:sz w:val="18"/>
                <w:szCs w:val="18"/>
              </w:rPr>
              <w:t>灰度</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17、模组亮度均匀性≥9</w:t>
            </w:r>
            <w:r>
              <w:rPr>
                <w:rFonts w:ascii="华文宋体" w:hAnsi="华文宋体" w:eastAsia="华文宋体" w:cs="华文宋体"/>
                <w:bCs/>
                <w:color w:val="auto"/>
                <w:sz w:val="18"/>
                <w:szCs w:val="18"/>
              </w:rPr>
              <w:t>7</w:t>
            </w:r>
            <w:r>
              <w:rPr>
                <w:rFonts w:hint="eastAsia" w:ascii="华文宋体" w:hAnsi="华文宋体" w:eastAsia="华文宋体" w:cs="华文宋体"/>
                <w:bCs/>
                <w:color w:val="auto"/>
                <w:sz w:val="18"/>
                <w:szCs w:val="18"/>
              </w:rPr>
              <w:t>%</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18、峰值功耗≤</w:t>
            </w:r>
            <w:r>
              <w:rPr>
                <w:rFonts w:ascii="华文宋体" w:hAnsi="华文宋体" w:eastAsia="华文宋体" w:cs="华文宋体"/>
                <w:bCs/>
                <w:color w:val="auto"/>
                <w:sz w:val="18"/>
                <w:szCs w:val="18"/>
              </w:rPr>
              <w:t>8</w:t>
            </w:r>
            <w:r>
              <w:rPr>
                <w:rFonts w:hint="eastAsia" w:ascii="华文宋体" w:hAnsi="华文宋体" w:eastAsia="华文宋体" w:cs="华文宋体"/>
                <w:bCs/>
                <w:color w:val="auto"/>
                <w:sz w:val="18"/>
                <w:szCs w:val="18"/>
              </w:rPr>
              <w:t>6</w:t>
            </w:r>
            <w:r>
              <w:rPr>
                <w:rFonts w:ascii="华文宋体" w:hAnsi="华文宋体" w:eastAsia="华文宋体" w:cs="华文宋体"/>
                <w:bCs/>
                <w:color w:val="auto"/>
                <w:sz w:val="18"/>
                <w:szCs w:val="18"/>
              </w:rPr>
              <w:t>0</w:t>
            </w:r>
            <w:r>
              <w:rPr>
                <w:rFonts w:hint="eastAsia" w:ascii="华文宋体" w:hAnsi="华文宋体" w:eastAsia="华文宋体" w:cs="华文宋体"/>
                <w:bCs/>
                <w:color w:val="auto"/>
                <w:sz w:val="18"/>
                <w:szCs w:val="18"/>
              </w:rPr>
              <w:t>W/㎡</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19、工作温度范围-10℃-40℃</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20、存储温度范围-20℃-60℃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w:t>
            </w:r>
          </w:p>
        </w:tc>
        <w:tc>
          <w:tcPr>
            <w:tcW w:w="2127" w:type="dxa"/>
            <w:vAlign w:val="center"/>
          </w:tcPr>
          <w:p>
            <w:pPr>
              <w:pStyle w:val="44"/>
              <w:rPr>
                <w:rFonts w:ascii="华文宋体" w:hAnsi="华文宋体" w:eastAsia="华文宋体" w:cs="华文宋体"/>
                <w:bCs/>
                <w:color w:val="auto"/>
                <w:sz w:val="18"/>
                <w:szCs w:val="18"/>
              </w:rPr>
            </w:pPr>
            <w:bookmarkStart w:id="36" w:name="_Hlk55898148"/>
            <w:r>
              <w:rPr>
                <w:rFonts w:hint="eastAsia" w:ascii="华文宋体" w:hAnsi="华文宋体" w:eastAsia="华文宋体" w:cs="华文宋体"/>
                <w:bCs/>
                <w:color w:val="auto"/>
                <w:sz w:val="18"/>
                <w:szCs w:val="18"/>
              </w:rPr>
              <w:t>控制系统</w:t>
            </w:r>
            <w:bookmarkEnd w:id="36"/>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套</w:t>
            </w:r>
          </w:p>
        </w:tc>
        <w:tc>
          <w:tcPr>
            <w:tcW w:w="5848" w:type="dxa"/>
            <w:gridSpan w:val="2"/>
            <w:vAlign w:val="center"/>
          </w:tcPr>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  CPU核心数量不少于八核，运行主频不少于1.5GHz；</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2.  内存不少于2GB；</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3. 存储空间不少于8G；</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4. 视频编码格式至少支持MPEG-1，MPEG-2，MPEG-4，H.263， H.264，AVS， VC-1， VP8，MVC ；</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5.  支持4K高清视频H265解码;</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6. 千兆网络输出接口，带载65万像素点；</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7. 具备USB接口，USB接口支持数据存储，数据导入；</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8. 支持同步异步模式切换，支持千兆网络输入和HDMI输入接口；</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9. 3.5mm标准音频输出接口；</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10. 工作温度-40~80摄氏度；</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11. 工作湿度0%~90%；</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12. WIFI热点支持；</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13. 系统版本不低于Android 5.1</w:t>
            </w:r>
          </w:p>
          <w:p>
            <w:pPr>
              <w:pStyle w:val="44"/>
              <w:rPr>
                <w:rFonts w:ascii="华文宋体" w:hAnsi="华文宋体" w:eastAsia="华文宋体" w:cs="华文宋体"/>
                <w:bCs/>
                <w:color w:val="auto"/>
                <w:sz w:val="18"/>
                <w:szCs w:val="18"/>
                <w:highlight w:val="none"/>
              </w:rPr>
            </w:pPr>
            <w:bookmarkStart w:id="37" w:name="_Hlk55898094"/>
            <w:r>
              <w:rPr>
                <w:rFonts w:hint="eastAsia" w:ascii="华文宋体" w:hAnsi="华文宋体" w:eastAsia="华文宋体" w:cs="华文宋体"/>
                <w:bCs/>
                <w:color w:val="auto"/>
                <w:sz w:val="18"/>
                <w:szCs w:val="18"/>
                <w:highlight w:val="none"/>
              </w:rPr>
              <w:t>★14、提供国家级认证的HDR认证证书，并加盖厂家公章复印件；</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★15、提供厂家 国家级 信息系统安全等级（三级）保护备案证明，并加盖厂家公章</w:t>
            </w:r>
            <w:bookmarkEnd w:id="37"/>
            <w:r>
              <w:rPr>
                <w:rFonts w:hint="eastAsia" w:ascii="华文宋体" w:hAnsi="华文宋体" w:eastAsia="华文宋体" w:cs="华文宋体"/>
                <w:bCs/>
                <w:color w:val="auto"/>
                <w:sz w:val="18"/>
                <w:szCs w:val="18"/>
                <w:highlight w:val="non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播放软件</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套</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 支持多种视频格式、图片、动画、Office文件、文字、时钟、走马灯、天气、计时、温湿度、流媒体、网页、采集卡、摄像头、Rss简讯；</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2.丰富的媒体属性：包括透明、背景颜色、背景图片、透明度、音量、显示比例、出入场特效、特效速度、文字颜色、炫彩效果、字体、风格等；</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 页面支持一个或多个窗口；</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 支持多个窗口个数不同的页面按次数或播放时长切换播放，且切换过程平滑无黑帧；</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 可设置不同的日期和时间播放不同的节目页；</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 可实现多台异地显示屏同步播放；</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 可通过一台计算机的NovaStudio远程控制和发布播放方案到其它显示屏的软件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远程配电柜   </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　</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1、配电柜应包括继电器、开关箱、空开器件、传感器等；</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2、间隔性顺序开启大屏幕，减缓峰值电流；</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3、满足过流、短路、断路、过压、欠压等保护措施；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笔记本控制电脑</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酷睿TM 四核处理器i5-10210U (1.6GHz，Turbo to 4.2GHz ，6MB缓存)/4GB 内存DDR4 2666MHz/128GB 固态硬盘PCIe NVMe SSD+1T机械硬盘/AMD Radeon 620 2G GDDR5独立显卡/802.11 AC 无线网卡+BT/15.6"FHD雾面防眩光屏幕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电源线</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项</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1、户内国标</w:t>
            </w:r>
            <w:r>
              <w:rPr>
                <w:rFonts w:ascii="华文宋体" w:hAnsi="华文宋体" w:eastAsia="华文宋体" w:cs="华文宋体"/>
                <w:bCs/>
                <w:color w:val="auto"/>
                <w:sz w:val="18"/>
                <w:szCs w:val="18"/>
              </w:rPr>
              <w:t xml:space="preserve">YJV </w:t>
            </w:r>
            <w:r>
              <w:rPr>
                <w:rFonts w:hint="eastAsia" w:ascii="华文宋体" w:hAnsi="华文宋体" w:eastAsia="华文宋体" w:cs="华文宋体"/>
                <w:bCs/>
                <w:color w:val="auto"/>
                <w:sz w:val="18"/>
                <w:szCs w:val="18"/>
              </w:rPr>
              <w:t>3</w:t>
            </w:r>
            <w:r>
              <w:rPr>
                <w:rFonts w:ascii="华文宋体" w:hAnsi="华文宋体" w:eastAsia="华文宋体" w:cs="华文宋体"/>
                <w:bCs/>
                <w:color w:val="auto"/>
                <w:sz w:val="18"/>
                <w:szCs w:val="18"/>
              </w:rPr>
              <w:t>*</w:t>
            </w:r>
            <w:r>
              <w:rPr>
                <w:rFonts w:hint="eastAsia" w:ascii="华文宋体" w:hAnsi="华文宋体" w:eastAsia="华文宋体" w:cs="华文宋体"/>
                <w:bCs/>
                <w:color w:val="auto"/>
                <w:sz w:val="18"/>
                <w:szCs w:val="18"/>
              </w:rPr>
              <w:t>6</w:t>
            </w:r>
            <w:r>
              <w:rPr>
                <w:rFonts w:ascii="华文宋体" w:hAnsi="华文宋体" w:eastAsia="华文宋体" w:cs="华文宋体"/>
                <w:bCs/>
                <w:color w:val="auto"/>
                <w:sz w:val="18"/>
                <w:szCs w:val="18"/>
              </w:rPr>
              <w:t>mm</w:t>
            </w:r>
            <w:r>
              <w:rPr>
                <w:rFonts w:hint="eastAsia" w:ascii="华文宋体" w:hAnsi="华文宋体" w:eastAsia="华文宋体" w:cs="华文宋体"/>
                <w:bCs/>
                <w:color w:val="auto"/>
                <w:sz w:val="18"/>
                <w:szCs w:val="18"/>
              </w:rPr>
              <w:t>阻燃电缆；</w:t>
            </w:r>
          </w:p>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2</w:t>
            </w:r>
            <w:r>
              <w:rPr>
                <w:rFonts w:hint="eastAsia" w:ascii="华文宋体" w:hAnsi="华文宋体" w:eastAsia="华文宋体" w:cs="华文宋体"/>
                <w:bCs/>
                <w:color w:val="auto"/>
                <w:sz w:val="18"/>
                <w:szCs w:val="18"/>
              </w:rPr>
              <w:t>、自行设计强电桥架；</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3、电源线必须国优级大品牌；</w:t>
            </w:r>
          </w:p>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4</w:t>
            </w:r>
            <w:r>
              <w:rPr>
                <w:rFonts w:hint="eastAsia" w:ascii="华文宋体" w:hAnsi="华文宋体" w:eastAsia="华文宋体" w:cs="华文宋体"/>
                <w:bCs/>
                <w:color w:val="auto"/>
                <w:sz w:val="18"/>
                <w:szCs w:val="18"/>
              </w:rPr>
              <w:t>、额定电压：0.6/1KV；</w:t>
            </w:r>
          </w:p>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5</w:t>
            </w:r>
            <w:r>
              <w:rPr>
                <w:rFonts w:hint="eastAsia" w:ascii="华文宋体" w:hAnsi="华文宋体" w:eastAsia="华文宋体" w:cs="华文宋体"/>
                <w:bCs/>
                <w:color w:val="auto"/>
                <w:sz w:val="18"/>
                <w:szCs w:val="18"/>
              </w:rPr>
              <w:t>、导体：高纯度无氧铜；</w:t>
            </w:r>
          </w:p>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6</w:t>
            </w:r>
            <w:r>
              <w:rPr>
                <w:rFonts w:hint="eastAsia" w:ascii="华文宋体" w:hAnsi="华文宋体" w:eastAsia="华文宋体" w:cs="华文宋体"/>
                <w:bCs/>
                <w:color w:val="auto"/>
                <w:sz w:val="18"/>
                <w:szCs w:val="18"/>
              </w:rPr>
              <w:t>、绝缘层：优质交联聚乙烯；</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7、YJV系列电缆长期允许工作温度应不超过90℃；</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8、电缆敷设温度应不低于0℃；</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9、为保证设计规范和用电安全，电缆线路中不容许中间接头，电缆必须从配电房至大屏分箱端保护完整无接头；</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10、电缆敷设过程中有对原装修开口或者破坏装修的必须按原样恢复。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通讯线、音箱线</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项</w:t>
            </w:r>
          </w:p>
        </w:tc>
        <w:tc>
          <w:tcPr>
            <w:tcW w:w="5848" w:type="dxa"/>
            <w:gridSpan w:val="2"/>
          </w:tcPr>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 xml:space="preserve"> </w:t>
            </w:r>
            <w:r>
              <w:rPr>
                <w:rFonts w:hint="eastAsia" w:ascii="华文宋体" w:hAnsi="华文宋体" w:eastAsia="华文宋体" w:cs="华文宋体"/>
                <w:bCs/>
                <w:color w:val="auto"/>
                <w:sz w:val="18"/>
                <w:szCs w:val="18"/>
              </w:rPr>
              <w:t>1、根据要求需要对相关模块进行系统集成，系统集成应符合国家和行业的相关标准，保证所建设系统网络的正常运行。</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2、网络布线系统符合以太网的要求，符合当前和可预见未来的信息传输要求，布线和系统集成符合会议系统的要求。</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3、5类屏蔽网线、5类水晶头、要求自行设计管材，开挖、回填。</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4、5类网线必须</w:t>
            </w:r>
            <w:r>
              <w:rPr>
                <w:rFonts w:ascii="华文宋体" w:hAnsi="华文宋体" w:eastAsia="华文宋体" w:cs="华文宋体"/>
                <w:bCs/>
                <w:color w:val="auto"/>
                <w:sz w:val="18"/>
                <w:szCs w:val="18"/>
              </w:rPr>
              <w:t>是国优</w:t>
            </w:r>
            <w:r>
              <w:rPr>
                <w:rFonts w:hint="eastAsia" w:ascii="华文宋体" w:hAnsi="华文宋体" w:eastAsia="华文宋体" w:cs="华文宋体"/>
                <w:bCs/>
                <w:color w:val="auto"/>
                <w:sz w:val="18"/>
                <w:szCs w:val="18"/>
              </w:rPr>
              <w:t>级5类网线，音箱线均为国标线材。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功放、音箱</w:t>
            </w:r>
          </w:p>
        </w:tc>
        <w:tc>
          <w:tcPr>
            <w:tcW w:w="709" w:type="dxa"/>
            <w:vAlign w:val="bottom"/>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bottom"/>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套</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1、室外全天候防水音柱对人声、音乐都有还原真实的放大特性，由铝合金材料制成，可抵挡日照雨淋、风沙雪雨，适合户内、户外全天候使用。</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2、安装方式:壁挂式</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接线方法: COM  70V  100V</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额定功率30W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最大功率 60W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灵敏度 92dB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频率响应 130-16KHz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尺寸 145×125×505mm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喇叭单元 3×4″+ 2.5″</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3、功放：</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130W；3路音源输入；2路话筒输出；带默音功能；70V/100V,4-16Ω输出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4、100V、70V定压输出和4欧—16欧定阻输出，1单元LED 电平指示；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5、三路话筒控制、两线输入；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6、RCA插口和XLR插口供方便地环接；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7、输出短路保护及告警、过热告警和饱和失真告警额定输出功率130w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输入灵敏度 1V   0dBV</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等效输入噪声 -95dB</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阻尼系数 200:1</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共摸抑制 不小于  92dB</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频响 90Hz--20KHz  ±3dB</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总谐波失真4/1KHz &lt;0.3%</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上升速率 &gt;15V/microsecond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结构</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套</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1、双立柱标准钢结构、全防水密封箱体、防尘、抗风。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2、屏体结构设计后维护结构，自行设计基础建设、开挖、回填。</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3、破坏路面自行修复，施工期间保障现场安全、文明施工。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4、结构材料及基础材料均符合国家标准。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机柜</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w:t>
            </w:r>
            <w:r>
              <w:rPr>
                <w:rFonts w:ascii="华文宋体" w:hAnsi="华文宋体" w:eastAsia="华文宋体" w:cs="华文宋体"/>
                <w:bCs/>
                <w:color w:val="auto"/>
                <w:sz w:val="18"/>
                <w:szCs w:val="18"/>
              </w:rPr>
              <w:t>2U</w:t>
            </w:r>
            <w:r>
              <w:rPr>
                <w:rFonts w:hint="eastAsia" w:ascii="华文宋体" w:hAnsi="华文宋体" w:eastAsia="华文宋体" w:cs="华文宋体"/>
                <w:bCs/>
                <w:color w:val="auto"/>
                <w:sz w:val="18"/>
                <w:szCs w:val="18"/>
              </w:rPr>
              <w:t>标准机柜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11</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安装辅材</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项</w:t>
            </w:r>
          </w:p>
        </w:tc>
        <w:tc>
          <w:tcPr>
            <w:tcW w:w="5848" w:type="dxa"/>
            <w:gridSpan w:val="2"/>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线管、安装配件等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195" w:type="dxa"/>
            <w:gridSpan w:val="6"/>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二、视频监控系统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红外高清网络球机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1、400万7寸红外星光球机；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2、最高分辨率可达2560×1440@30fps，支持 1080p@60fps、960p@60fps、720p@60fps 高帧率输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3、支持 Smart265 编码；</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4、支持 120dB 宽动态，支持 3D 数字降噪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5、支持区域入侵侦测、越界侦测、移动侦测等智能侦测功能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6、支持超低照度，0.005Lux/F1.6(彩色),0.001Lux/F1.6(黑白) ,0 Lux with IR；</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7、支持 1 路音频输入和 1 路音频输出；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8、支持最大 256G 的 Micro SD/SDHC/SDXC 卡、NAS 存；</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9、支持宽动态范围达 120dB，适合逆光环境监控；</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10、采用高效红外阵列，低功耗，照射距离最远可达 150m。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红外高清网络枪机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1、400万像素星光筒型摄像机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2、星光级低照度</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3、400万超清</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4、Smart265</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5、20 dB宽动态 、3D数字降噪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6、1/2.7" Progressive Scan CMOS</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7、2560 × 1440 @25 fps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8、0.005 Lux @（F1.2，AGC ON），0 Lux with IR</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9、智能报警：越界侦测，区域入侵侦测</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10、ROI编码技术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11、萤石云平台接入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12、红外补光，最远可达30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红外高清半球摄像机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1、400万像素星光半球型摄像机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2、星光级低照度</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3、1/2.7" Progressive Scan CMOS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4、2560 × 1440 @25 fps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5、0.005 Lux @（F1.2，AGC ON），0 Lux with IR</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6、智能报警：越界侦测，区域入侵侦测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7、H.264，Smart264，H.265，Smart265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8、ROI编码技术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9、120 dB宽动态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10、背光补偿，强光抑制，3D数字降噪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11、萤石云平台接入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12、内置1个麦克风，高清拾音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13、红外补光，最远可达30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球机支架</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壁装支架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枪机支架</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铝合金壁装支架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摄像机电源</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17</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12V2A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32路NVR硬盘录像机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1、解码性能强劲，全系列支持8路1080P解码；</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2、最大支持800万相机接入；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3、支持满配8T硬盘，进一步延长录像时间；</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4、支持萤石、Ehome以及GB28181协议，轻松实现平台接入；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5、2U 标准机箱，支持机架安装；</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6、32路视频接入，8盘位，最大支持8TB硬盘</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7、支持1个HDMI 4K输出 +1个VGA异源高清1080P输出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8、支持8路1080P解码</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9、支持H.265、H.264混合解码，最大支持接入8MP高清IPC</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10、2个千兆网口</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11、自带16进4出报警口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12、2个USB2.0接口+1个USB3.0接口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监控硬盘</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监控级，6T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4K超高清液晶平板电视</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1、HDR显示:支持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2、屏幕比例:16:9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3、光源类型:LED背光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4、操作系统:酷开系统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5、RAM内存（运行内存）：2G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6、ROM存储（存储内存）：16G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7、CPU核数:四核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8、GPU:2核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9、USB2.0端口：2个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10、HDMI2.0接口：2个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11、整机功率（W）：290瓦特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12、待机功率（W）：0.5瓦特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13、电源电压：220伏特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14、支持 多屏互动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千兆交换机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24口千兆交换机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11</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交换机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不少于8口百兆交换机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12</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网线</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箱</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超五类非屏蔽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13</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电源线</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800</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米</w:t>
            </w:r>
          </w:p>
        </w:tc>
        <w:tc>
          <w:tcPr>
            <w:tcW w:w="5848" w:type="dxa"/>
            <w:gridSpan w:val="2"/>
            <w:vAlign w:val="center"/>
          </w:tcPr>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RVV2*1.0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交换机箱</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壁挂换机箱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r>
              <w:rPr>
                <w:rFonts w:ascii="华文宋体" w:hAnsi="华文宋体" w:eastAsia="华文宋体" w:cs="华文宋体"/>
                <w:bCs/>
                <w:color w:val="auto"/>
                <w:sz w:val="18"/>
                <w:szCs w:val="18"/>
              </w:rPr>
              <w:t>5</w:t>
            </w:r>
            <w:r>
              <w:rPr>
                <w:rFonts w:hint="eastAsia" w:ascii="华文宋体" w:hAnsi="华文宋体" w:eastAsia="华文宋体" w:cs="华文宋体"/>
                <w:bCs/>
                <w:color w:val="auto"/>
                <w:sz w:val="18"/>
                <w:szCs w:val="18"/>
              </w:rPr>
              <w:t>　</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机柜</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标准机柜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r>
              <w:rPr>
                <w:rFonts w:ascii="华文宋体" w:hAnsi="华文宋体" w:eastAsia="华文宋体" w:cs="华文宋体"/>
                <w:bCs/>
                <w:color w:val="auto"/>
                <w:sz w:val="18"/>
                <w:szCs w:val="18"/>
              </w:rPr>
              <w:t>6</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安装辅材</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项</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线槽、线管、水晶头、钉子、小电箱、插头插座等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195" w:type="dxa"/>
            <w:gridSpan w:val="6"/>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陆屋法庭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195" w:type="dxa"/>
            <w:gridSpan w:val="6"/>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一、户外全彩led显示屏系统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LED户外全彩显示屏</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5.53</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1、像素间距</w:t>
            </w:r>
            <w:r>
              <w:rPr>
                <w:rFonts w:ascii="华文宋体" w:hAnsi="华文宋体" w:eastAsia="华文宋体" w:cs="华文宋体"/>
                <w:bCs/>
                <w:color w:val="auto"/>
                <w:sz w:val="18"/>
                <w:szCs w:val="18"/>
              </w:rPr>
              <w:t>4</w:t>
            </w:r>
            <w:r>
              <w:rPr>
                <w:rFonts w:hint="eastAsia" w:ascii="华文宋体" w:hAnsi="华文宋体" w:eastAsia="华文宋体" w:cs="华文宋体"/>
                <w:bCs/>
                <w:color w:val="auto"/>
                <w:sz w:val="18"/>
                <w:szCs w:val="18"/>
              </w:rPr>
              <w:t>mm</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2、模组尺寸320*</w:t>
            </w:r>
            <w:r>
              <w:rPr>
                <w:rFonts w:ascii="华文宋体" w:hAnsi="华文宋体" w:eastAsia="华文宋体" w:cs="华文宋体"/>
                <w:bCs/>
                <w:color w:val="auto"/>
                <w:sz w:val="18"/>
                <w:szCs w:val="18"/>
              </w:rPr>
              <w:t>1</w:t>
            </w:r>
            <w:r>
              <w:rPr>
                <w:rFonts w:hint="eastAsia" w:ascii="华文宋体" w:hAnsi="华文宋体" w:eastAsia="华文宋体" w:cs="华文宋体"/>
                <w:bCs/>
                <w:color w:val="auto"/>
                <w:sz w:val="18"/>
                <w:szCs w:val="18"/>
              </w:rPr>
              <w:t>60</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3、模块采用</w:t>
            </w:r>
            <w:r>
              <w:rPr>
                <w:rFonts w:ascii="华文宋体" w:hAnsi="华文宋体" w:eastAsia="华文宋体" w:cs="华文宋体"/>
                <w:bCs/>
                <w:color w:val="auto"/>
                <w:sz w:val="18"/>
                <w:szCs w:val="18"/>
              </w:rPr>
              <w:t>高强度塑胶套件，</w:t>
            </w:r>
            <w:r>
              <w:rPr>
                <w:rFonts w:hint="eastAsia" w:ascii="华文宋体" w:hAnsi="华文宋体" w:eastAsia="华文宋体" w:cs="华文宋体"/>
                <w:bCs/>
                <w:color w:val="auto"/>
                <w:sz w:val="18"/>
                <w:szCs w:val="18"/>
              </w:rPr>
              <w:t>产品</w:t>
            </w:r>
            <w:r>
              <w:rPr>
                <w:rFonts w:ascii="华文宋体" w:hAnsi="华文宋体" w:eastAsia="华文宋体" w:cs="华文宋体"/>
                <w:bCs/>
                <w:color w:val="auto"/>
                <w:sz w:val="18"/>
                <w:szCs w:val="18"/>
              </w:rPr>
              <w:t>轻巧安装精度高</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4、采用</w:t>
            </w:r>
            <w:r>
              <w:rPr>
                <w:rFonts w:ascii="华文宋体" w:hAnsi="华文宋体" w:eastAsia="华文宋体" w:cs="华文宋体"/>
                <w:bCs/>
                <w:color w:val="auto"/>
                <w:sz w:val="18"/>
                <w:szCs w:val="18"/>
              </w:rPr>
              <w:t>集成</w:t>
            </w:r>
            <w:r>
              <w:rPr>
                <w:rFonts w:hint="eastAsia" w:ascii="华文宋体" w:hAnsi="华文宋体" w:eastAsia="华文宋体" w:cs="华文宋体"/>
                <w:bCs/>
                <w:color w:val="auto"/>
                <w:sz w:val="18"/>
                <w:szCs w:val="18"/>
              </w:rPr>
              <w:t>HUB接收卡</w:t>
            </w:r>
            <w:r>
              <w:rPr>
                <w:rFonts w:ascii="华文宋体" w:hAnsi="华文宋体" w:eastAsia="华文宋体" w:cs="华文宋体"/>
                <w:bCs/>
                <w:color w:val="auto"/>
                <w:sz w:val="18"/>
                <w:szCs w:val="18"/>
              </w:rPr>
              <w:t>控制</w:t>
            </w:r>
            <w:r>
              <w:rPr>
                <w:rFonts w:hint="eastAsia" w:ascii="华文宋体" w:hAnsi="华文宋体" w:eastAsia="华文宋体" w:cs="华文宋体"/>
                <w:bCs/>
                <w:color w:val="auto"/>
                <w:sz w:val="18"/>
                <w:szCs w:val="18"/>
              </w:rPr>
              <w:t>，</w:t>
            </w:r>
            <w:r>
              <w:rPr>
                <w:rFonts w:ascii="华文宋体" w:hAnsi="华文宋体" w:eastAsia="华文宋体" w:cs="华文宋体"/>
                <w:bCs/>
                <w:color w:val="auto"/>
                <w:sz w:val="18"/>
                <w:szCs w:val="18"/>
              </w:rPr>
              <w:t>支持</w:t>
            </w:r>
            <w:r>
              <w:rPr>
                <w:rFonts w:hint="eastAsia" w:ascii="华文宋体" w:hAnsi="华文宋体" w:eastAsia="华文宋体" w:cs="华文宋体"/>
                <w:bCs/>
                <w:color w:val="auto"/>
                <w:sz w:val="18"/>
                <w:szCs w:val="18"/>
              </w:rPr>
              <w:t>通讯</w:t>
            </w:r>
            <w:r>
              <w:rPr>
                <w:rFonts w:ascii="华文宋体" w:hAnsi="华文宋体" w:eastAsia="华文宋体" w:cs="华文宋体"/>
                <w:bCs/>
                <w:color w:val="auto"/>
                <w:sz w:val="18"/>
                <w:szCs w:val="18"/>
              </w:rPr>
              <w:t>状态监测，高灰度，高</w:t>
            </w:r>
            <w:r>
              <w:rPr>
                <w:rFonts w:hint="eastAsia" w:ascii="华文宋体" w:hAnsi="华文宋体" w:eastAsia="华文宋体" w:cs="华文宋体"/>
                <w:bCs/>
                <w:color w:val="auto"/>
                <w:sz w:val="18"/>
                <w:szCs w:val="18"/>
              </w:rPr>
              <w:t>刷新</w:t>
            </w:r>
            <w:r>
              <w:rPr>
                <w:rFonts w:ascii="华文宋体" w:hAnsi="华文宋体" w:eastAsia="华文宋体" w:cs="华文宋体"/>
                <w:bCs/>
                <w:color w:val="auto"/>
                <w:sz w:val="18"/>
                <w:szCs w:val="18"/>
              </w:rPr>
              <w:t>。</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5、支持接收卡</w:t>
            </w:r>
            <w:r>
              <w:rPr>
                <w:rFonts w:ascii="华文宋体" w:hAnsi="华文宋体" w:eastAsia="华文宋体" w:cs="华文宋体"/>
                <w:bCs/>
                <w:color w:val="auto"/>
                <w:sz w:val="18"/>
                <w:szCs w:val="18"/>
              </w:rPr>
              <w:t>画面</w:t>
            </w:r>
            <w:r>
              <w:rPr>
                <w:rFonts w:hint="eastAsia" w:ascii="华文宋体" w:hAnsi="华文宋体" w:eastAsia="华文宋体" w:cs="华文宋体"/>
                <w:bCs/>
                <w:color w:val="auto"/>
                <w:sz w:val="18"/>
                <w:szCs w:val="18"/>
              </w:rPr>
              <w:t>预置</w:t>
            </w:r>
            <w:r>
              <w:rPr>
                <w:rFonts w:ascii="华文宋体" w:hAnsi="华文宋体" w:eastAsia="华文宋体" w:cs="华文宋体"/>
                <w:bCs/>
                <w:color w:val="auto"/>
                <w:sz w:val="18"/>
                <w:szCs w:val="18"/>
              </w:rPr>
              <w:t>，支持配置文件</w:t>
            </w:r>
            <w:r>
              <w:rPr>
                <w:rFonts w:hint="eastAsia" w:ascii="华文宋体" w:hAnsi="华文宋体" w:eastAsia="华文宋体" w:cs="华文宋体"/>
                <w:bCs/>
                <w:color w:val="auto"/>
                <w:sz w:val="18"/>
                <w:szCs w:val="18"/>
              </w:rPr>
              <w:t>回读</w:t>
            </w:r>
            <w:r>
              <w:rPr>
                <w:rFonts w:ascii="华文宋体" w:hAnsi="华文宋体" w:eastAsia="华文宋体" w:cs="华文宋体"/>
                <w:bCs/>
                <w:color w:val="auto"/>
                <w:sz w:val="18"/>
                <w:szCs w:val="18"/>
              </w:rPr>
              <w:t>。</w:t>
            </w:r>
            <w:r>
              <w:rPr>
                <w:rFonts w:hint="eastAsia" w:ascii="华文宋体" w:hAnsi="华文宋体" w:eastAsia="华文宋体" w:cs="华文宋体"/>
                <w:bCs/>
                <w:color w:val="auto"/>
                <w:sz w:val="18"/>
                <w:szCs w:val="18"/>
              </w:rPr>
              <w:t>单卡</w:t>
            </w:r>
            <w:r>
              <w:rPr>
                <w:rFonts w:ascii="华文宋体" w:hAnsi="华文宋体" w:eastAsia="华文宋体" w:cs="华文宋体"/>
                <w:bCs/>
                <w:color w:val="auto"/>
                <w:sz w:val="18"/>
                <w:szCs w:val="18"/>
              </w:rPr>
              <w:t>支持</w:t>
            </w:r>
            <w:r>
              <w:rPr>
                <w:rFonts w:hint="eastAsia" w:ascii="华文宋体" w:hAnsi="华文宋体" w:eastAsia="华文宋体" w:cs="华文宋体"/>
                <w:bCs/>
                <w:color w:val="auto"/>
                <w:sz w:val="18"/>
                <w:szCs w:val="18"/>
              </w:rPr>
              <w:t>256</w:t>
            </w:r>
            <w:r>
              <w:rPr>
                <w:rFonts w:ascii="华文宋体" w:hAnsi="华文宋体" w:eastAsia="华文宋体" w:cs="华文宋体"/>
                <w:bCs/>
                <w:color w:val="auto"/>
                <w:sz w:val="18"/>
                <w:szCs w:val="18"/>
              </w:rPr>
              <w:t>*256</w:t>
            </w:r>
            <w:r>
              <w:rPr>
                <w:rFonts w:hint="eastAsia" w:ascii="华文宋体" w:hAnsi="华文宋体" w:eastAsia="华文宋体" w:cs="华文宋体"/>
                <w:bCs/>
                <w:color w:val="auto"/>
                <w:sz w:val="18"/>
                <w:szCs w:val="18"/>
              </w:rPr>
              <w:t>像素点</w:t>
            </w:r>
            <w:r>
              <w:rPr>
                <w:rFonts w:ascii="华文宋体" w:hAnsi="华文宋体" w:eastAsia="华文宋体" w:cs="华文宋体"/>
                <w:bCs/>
                <w:color w:val="auto"/>
                <w:sz w:val="18"/>
                <w:szCs w:val="18"/>
              </w:rPr>
              <w:t>，</w:t>
            </w:r>
            <w:r>
              <w:rPr>
                <w:rFonts w:hint="eastAsia" w:ascii="华文宋体" w:hAnsi="华文宋体" w:eastAsia="华文宋体" w:cs="华文宋体"/>
                <w:bCs/>
                <w:color w:val="auto"/>
                <w:sz w:val="18"/>
                <w:szCs w:val="18"/>
              </w:rPr>
              <w:t>带载</w:t>
            </w:r>
            <w:r>
              <w:rPr>
                <w:rFonts w:ascii="华文宋体" w:hAnsi="华文宋体" w:eastAsia="华文宋体" w:cs="华文宋体"/>
                <w:bCs/>
                <w:color w:val="auto"/>
                <w:sz w:val="18"/>
                <w:szCs w:val="18"/>
              </w:rPr>
              <w:t>尺寸更大。</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6、可采用方通背条和箱体结构等多种安装方式，不受安装环境限制</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7、支持单点</w:t>
            </w:r>
            <w:r>
              <w:rPr>
                <w:rFonts w:ascii="华文宋体" w:hAnsi="华文宋体" w:eastAsia="华文宋体" w:cs="华文宋体"/>
                <w:bCs/>
                <w:color w:val="auto"/>
                <w:sz w:val="18"/>
                <w:szCs w:val="18"/>
              </w:rPr>
              <w:t>亮度和色度校正</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8、支持</w:t>
            </w:r>
            <w:r>
              <w:rPr>
                <w:rFonts w:ascii="华文宋体" w:hAnsi="华文宋体" w:eastAsia="华文宋体" w:cs="华文宋体"/>
                <w:bCs/>
                <w:color w:val="auto"/>
                <w:sz w:val="18"/>
                <w:szCs w:val="18"/>
              </w:rPr>
              <w:t>单点亮度和色度校正，</w:t>
            </w:r>
            <w:r>
              <w:rPr>
                <w:rFonts w:hint="eastAsia" w:ascii="华文宋体" w:hAnsi="华文宋体" w:eastAsia="华文宋体" w:cs="华文宋体"/>
                <w:bCs/>
                <w:color w:val="auto"/>
                <w:sz w:val="18"/>
                <w:szCs w:val="18"/>
              </w:rPr>
              <w:t>更换模组，自动回读校正数据</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9、★白平衡亮度≥50</w:t>
            </w:r>
            <w:r>
              <w:rPr>
                <w:rFonts w:ascii="华文宋体" w:hAnsi="华文宋体" w:eastAsia="华文宋体" w:cs="华文宋体"/>
                <w:bCs/>
                <w:color w:val="auto"/>
                <w:sz w:val="18"/>
                <w:szCs w:val="18"/>
              </w:rPr>
              <w:t>00</w:t>
            </w:r>
            <w:r>
              <w:rPr>
                <w:rFonts w:hint="eastAsia" w:ascii="华文宋体" w:hAnsi="华文宋体" w:eastAsia="华文宋体" w:cs="华文宋体"/>
                <w:bCs/>
                <w:color w:val="auto"/>
                <w:sz w:val="18"/>
                <w:szCs w:val="18"/>
              </w:rPr>
              <w:t>cd/㎡</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10、★色温可调范围：20</w:t>
            </w:r>
            <w:r>
              <w:rPr>
                <w:rFonts w:ascii="华文宋体" w:hAnsi="华文宋体" w:eastAsia="华文宋体" w:cs="华文宋体"/>
                <w:bCs/>
                <w:color w:val="auto"/>
                <w:sz w:val="18"/>
                <w:szCs w:val="18"/>
              </w:rPr>
              <w:t>00k~</w:t>
            </w:r>
            <w:r>
              <w:rPr>
                <w:rFonts w:hint="eastAsia" w:ascii="华文宋体" w:hAnsi="华文宋体" w:eastAsia="华文宋体" w:cs="华文宋体"/>
                <w:bCs/>
                <w:color w:val="auto"/>
                <w:sz w:val="18"/>
                <w:szCs w:val="18"/>
              </w:rPr>
              <w:t>150</w:t>
            </w:r>
            <w:r>
              <w:rPr>
                <w:rFonts w:ascii="华文宋体" w:hAnsi="华文宋体" w:eastAsia="华文宋体" w:cs="华文宋体"/>
                <w:bCs/>
                <w:color w:val="auto"/>
                <w:sz w:val="18"/>
                <w:szCs w:val="18"/>
              </w:rPr>
              <w:t>00k</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11、★对比度6</w:t>
            </w:r>
            <w:r>
              <w:rPr>
                <w:rFonts w:ascii="华文宋体" w:hAnsi="华文宋体" w:eastAsia="华文宋体" w:cs="华文宋体"/>
                <w:bCs/>
                <w:color w:val="auto"/>
                <w:sz w:val="18"/>
                <w:szCs w:val="18"/>
              </w:rPr>
              <w:t>0</w:t>
            </w:r>
            <w:r>
              <w:rPr>
                <w:rFonts w:hint="eastAsia" w:ascii="华文宋体" w:hAnsi="华文宋体" w:eastAsia="华文宋体" w:cs="华文宋体"/>
                <w:bCs/>
                <w:color w:val="auto"/>
                <w:sz w:val="18"/>
                <w:szCs w:val="18"/>
              </w:rPr>
              <w:t>00:1</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12、★视角：水平视角≥160°，垂直视角≥140°</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13、★寿命典型值：100000小时</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w:t>
            </w:r>
            <w:r>
              <w:rPr>
                <w:rFonts w:ascii="华文宋体" w:hAnsi="华文宋体" w:eastAsia="华文宋体" w:cs="华文宋体"/>
                <w:bCs/>
                <w:color w:val="auto"/>
                <w:sz w:val="18"/>
                <w:szCs w:val="18"/>
              </w:rPr>
              <w:t>刷新频率</w:t>
            </w:r>
            <w:r>
              <w:rPr>
                <w:rFonts w:hint="eastAsia" w:ascii="华文宋体" w:hAnsi="华文宋体" w:eastAsia="华文宋体" w:cs="华文宋体"/>
                <w:bCs/>
                <w:color w:val="auto"/>
                <w:sz w:val="18"/>
                <w:szCs w:val="18"/>
              </w:rPr>
              <w:t>1920HZ-3840HZ</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15、★换帧频率：60HZ</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16、灰度：16</w:t>
            </w:r>
            <w:r>
              <w:rPr>
                <w:rFonts w:ascii="华文宋体" w:hAnsi="华文宋体" w:eastAsia="华文宋体" w:cs="华文宋体"/>
                <w:bCs/>
                <w:color w:val="auto"/>
                <w:sz w:val="18"/>
                <w:szCs w:val="18"/>
              </w:rPr>
              <w:t>bit</w:t>
            </w:r>
            <w:r>
              <w:rPr>
                <w:rFonts w:hint="eastAsia" w:ascii="华文宋体" w:hAnsi="华文宋体" w:eastAsia="华文宋体" w:cs="华文宋体"/>
                <w:bCs/>
                <w:color w:val="auto"/>
                <w:sz w:val="18"/>
                <w:szCs w:val="18"/>
              </w:rPr>
              <w:t>灰度</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17、模组亮度均匀性≥9</w:t>
            </w:r>
            <w:r>
              <w:rPr>
                <w:rFonts w:ascii="华文宋体" w:hAnsi="华文宋体" w:eastAsia="华文宋体" w:cs="华文宋体"/>
                <w:bCs/>
                <w:color w:val="auto"/>
                <w:sz w:val="18"/>
                <w:szCs w:val="18"/>
              </w:rPr>
              <w:t>7</w:t>
            </w:r>
            <w:r>
              <w:rPr>
                <w:rFonts w:hint="eastAsia" w:ascii="华文宋体" w:hAnsi="华文宋体" w:eastAsia="华文宋体" w:cs="华文宋体"/>
                <w:bCs/>
                <w:color w:val="auto"/>
                <w:sz w:val="18"/>
                <w:szCs w:val="18"/>
              </w:rPr>
              <w:t>%</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18、峰值功耗≤</w:t>
            </w:r>
            <w:r>
              <w:rPr>
                <w:rFonts w:ascii="华文宋体" w:hAnsi="华文宋体" w:eastAsia="华文宋体" w:cs="华文宋体"/>
                <w:bCs/>
                <w:color w:val="auto"/>
                <w:sz w:val="18"/>
                <w:szCs w:val="18"/>
              </w:rPr>
              <w:t>8</w:t>
            </w:r>
            <w:r>
              <w:rPr>
                <w:rFonts w:hint="eastAsia" w:ascii="华文宋体" w:hAnsi="华文宋体" w:eastAsia="华文宋体" w:cs="华文宋体"/>
                <w:bCs/>
                <w:color w:val="auto"/>
                <w:sz w:val="18"/>
                <w:szCs w:val="18"/>
              </w:rPr>
              <w:t>6</w:t>
            </w:r>
            <w:r>
              <w:rPr>
                <w:rFonts w:ascii="华文宋体" w:hAnsi="华文宋体" w:eastAsia="华文宋体" w:cs="华文宋体"/>
                <w:bCs/>
                <w:color w:val="auto"/>
                <w:sz w:val="18"/>
                <w:szCs w:val="18"/>
              </w:rPr>
              <w:t>0</w:t>
            </w:r>
            <w:r>
              <w:rPr>
                <w:rFonts w:hint="eastAsia" w:ascii="华文宋体" w:hAnsi="华文宋体" w:eastAsia="华文宋体" w:cs="华文宋体"/>
                <w:bCs/>
                <w:color w:val="auto"/>
                <w:sz w:val="18"/>
                <w:szCs w:val="18"/>
              </w:rPr>
              <w:t>W/㎡</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19、工作温度范围-10℃-40℃</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20、存储温度范围-20℃-60℃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控制系统</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套</w:t>
            </w:r>
          </w:p>
        </w:tc>
        <w:tc>
          <w:tcPr>
            <w:tcW w:w="5848" w:type="dxa"/>
            <w:gridSpan w:val="2"/>
            <w:vAlign w:val="center"/>
          </w:tcPr>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  CPU核心数量不少于八核，运行主频不少于1.5GHz；</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2.  内存不少于2GB；</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3. 存储空间不少于8G；</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4. 视频编码格式至少支持MPEG-1，MPEG-2，MPEG-4，H.263， H.264，AVS， VC-1， VP8，MVC ；</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5.  支持4K高清视频H265解码;</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6. 千兆网络输出接口，带载65万像素点；</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7. 具备USB接口，USB接口支持数据存储，数据导入；</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8. 支持同步异步模式切换，支持千兆网络输入和HDMI输入接口；</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9. 3.5mm标准音频输出接口；</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10. 工作温度-40~80摄氏度；</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11. 工作湿度0%~90%；</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12. WIFI热点支持；</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13. 系统版本不低于Android 5.1</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w:t>
            </w:r>
            <w:r>
              <w:rPr>
                <w:rFonts w:hint="eastAsia" w:ascii="华文宋体" w:hAnsi="华文宋体" w:eastAsia="华文宋体" w:cs="华文宋体"/>
                <w:bCs/>
                <w:color w:val="auto"/>
                <w:sz w:val="18"/>
                <w:szCs w:val="18"/>
                <w:highlight w:val="none"/>
              </w:rPr>
              <w:t>14、提供国家级认证的HDR认证证书，并加盖厂家公章复印件；</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★15、提供厂家 国家级 信息系统安全等级（三级）保护备案证明，并加盖厂家公章复印件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播放软件</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套</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 支持多种视频格式、图片、动画、Office文件、文字、时钟、走马灯、天气、计时、温湿度、流媒体、网页、采集卡、摄像头、Rss简讯；</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2.丰富的媒体属性：包括透明、背景颜色、背景图片、透明度、音量、显示比例、出入场特效、特效速度、文字颜色、炫彩效果、字体、风格等；</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 页面支持一个或多个窗口；</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 支持多个窗口个数不同的页面按次数或播放时长切换播放，且切换过程平滑无黑帧；</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 可设置不同的日期和时间播放不同的节目页；</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 可实现多台异地显示屏同步播放；</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 可通过一台计算机的NovaStudio远程控制和发布播放方案到其它显示屏的软件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远程配电柜   </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　</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1、配电柜应包括继电器、开关箱、空开器件、传感器等；</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2、间隔性顺序开启大屏幕，减缓峰值电流；</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3、满足过流、短路、断路、过压、欠压等保护措施；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笔记本控制电脑</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酷睿TM 四核处理器i5-10210U (1.6GHz，Turbo to 4.2GHz ，6MB缓存)/4GB 内存DDR4 2666MHz/128GB 固态硬盘PCIe NVMe SSD+1T机械硬盘/AMD Radeon 620 2G GDDR5独立显卡/802.11 AC 无线网卡+BT/15.6"FHD雾面防眩光屏幕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电源线</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项</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1、户内国标</w:t>
            </w:r>
            <w:r>
              <w:rPr>
                <w:rFonts w:ascii="华文宋体" w:hAnsi="华文宋体" w:eastAsia="华文宋体" w:cs="华文宋体"/>
                <w:bCs/>
                <w:color w:val="auto"/>
                <w:sz w:val="18"/>
                <w:szCs w:val="18"/>
              </w:rPr>
              <w:t xml:space="preserve">YJV </w:t>
            </w:r>
            <w:r>
              <w:rPr>
                <w:rFonts w:hint="eastAsia" w:ascii="华文宋体" w:hAnsi="华文宋体" w:eastAsia="华文宋体" w:cs="华文宋体"/>
                <w:bCs/>
                <w:color w:val="auto"/>
                <w:sz w:val="18"/>
                <w:szCs w:val="18"/>
              </w:rPr>
              <w:t>3</w:t>
            </w:r>
            <w:r>
              <w:rPr>
                <w:rFonts w:ascii="华文宋体" w:hAnsi="华文宋体" w:eastAsia="华文宋体" w:cs="华文宋体"/>
                <w:bCs/>
                <w:color w:val="auto"/>
                <w:sz w:val="18"/>
                <w:szCs w:val="18"/>
              </w:rPr>
              <w:t>*</w:t>
            </w:r>
            <w:r>
              <w:rPr>
                <w:rFonts w:hint="eastAsia" w:ascii="华文宋体" w:hAnsi="华文宋体" w:eastAsia="华文宋体" w:cs="华文宋体"/>
                <w:bCs/>
                <w:color w:val="auto"/>
                <w:sz w:val="18"/>
                <w:szCs w:val="18"/>
              </w:rPr>
              <w:t>6</w:t>
            </w:r>
            <w:r>
              <w:rPr>
                <w:rFonts w:ascii="华文宋体" w:hAnsi="华文宋体" w:eastAsia="华文宋体" w:cs="华文宋体"/>
                <w:bCs/>
                <w:color w:val="auto"/>
                <w:sz w:val="18"/>
                <w:szCs w:val="18"/>
              </w:rPr>
              <w:t>mm</w:t>
            </w:r>
            <w:r>
              <w:rPr>
                <w:rFonts w:hint="eastAsia" w:ascii="华文宋体" w:hAnsi="华文宋体" w:eastAsia="华文宋体" w:cs="华文宋体"/>
                <w:bCs/>
                <w:color w:val="auto"/>
                <w:sz w:val="18"/>
                <w:szCs w:val="18"/>
              </w:rPr>
              <w:t>阻燃电缆；</w:t>
            </w:r>
          </w:p>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2</w:t>
            </w:r>
            <w:r>
              <w:rPr>
                <w:rFonts w:hint="eastAsia" w:ascii="华文宋体" w:hAnsi="华文宋体" w:eastAsia="华文宋体" w:cs="华文宋体"/>
                <w:bCs/>
                <w:color w:val="auto"/>
                <w:sz w:val="18"/>
                <w:szCs w:val="18"/>
              </w:rPr>
              <w:t>、自行设计强电桥架；</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3、电源线必须国优级大品牌；</w:t>
            </w:r>
          </w:p>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4</w:t>
            </w:r>
            <w:r>
              <w:rPr>
                <w:rFonts w:hint="eastAsia" w:ascii="华文宋体" w:hAnsi="华文宋体" w:eastAsia="华文宋体" w:cs="华文宋体"/>
                <w:bCs/>
                <w:color w:val="auto"/>
                <w:sz w:val="18"/>
                <w:szCs w:val="18"/>
              </w:rPr>
              <w:t>、额定电压：0.6/1KV；</w:t>
            </w:r>
          </w:p>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5</w:t>
            </w:r>
            <w:r>
              <w:rPr>
                <w:rFonts w:hint="eastAsia" w:ascii="华文宋体" w:hAnsi="华文宋体" w:eastAsia="华文宋体" w:cs="华文宋体"/>
                <w:bCs/>
                <w:color w:val="auto"/>
                <w:sz w:val="18"/>
                <w:szCs w:val="18"/>
              </w:rPr>
              <w:t>、导体：高纯度无氧铜；</w:t>
            </w:r>
          </w:p>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6</w:t>
            </w:r>
            <w:r>
              <w:rPr>
                <w:rFonts w:hint="eastAsia" w:ascii="华文宋体" w:hAnsi="华文宋体" w:eastAsia="华文宋体" w:cs="华文宋体"/>
                <w:bCs/>
                <w:color w:val="auto"/>
                <w:sz w:val="18"/>
                <w:szCs w:val="18"/>
              </w:rPr>
              <w:t>、绝缘层：优质交联聚乙烯；</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7、YJV系列电缆长期允许工作温度应不超过90℃；</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8、电缆敷设温度应不低于0℃；</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9、为保证设计规范和用电安全，电缆线路中不容许中间接头，电缆必须从配电房至大屏分箱端保护完整无接头；</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10、电缆敷设过程中有对原装修开口或者破坏装修的必须按原样恢复。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通讯线、音箱线</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项</w:t>
            </w:r>
          </w:p>
        </w:tc>
        <w:tc>
          <w:tcPr>
            <w:tcW w:w="5848" w:type="dxa"/>
            <w:gridSpan w:val="2"/>
          </w:tcPr>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 xml:space="preserve"> </w:t>
            </w:r>
            <w:r>
              <w:rPr>
                <w:rFonts w:hint="eastAsia" w:ascii="华文宋体" w:hAnsi="华文宋体" w:eastAsia="华文宋体" w:cs="华文宋体"/>
                <w:bCs/>
                <w:color w:val="auto"/>
                <w:sz w:val="18"/>
                <w:szCs w:val="18"/>
              </w:rPr>
              <w:t>1、根据要求需要对相关模块进行系统集成，系统集成应符合国家和行业的相关标准，保证所建设系统网络的正常运行。</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2、网络布线系统符合以太网的要求，符合当前和可预见未来的信息传输要求，布线和系统集成符合会议系统的要求。</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3、5类屏蔽网线、5类水晶头、要求自行设计管材，开挖、回填。</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4、5类网线必须</w:t>
            </w:r>
            <w:r>
              <w:rPr>
                <w:rFonts w:ascii="华文宋体" w:hAnsi="华文宋体" w:eastAsia="华文宋体" w:cs="华文宋体"/>
                <w:bCs/>
                <w:color w:val="auto"/>
                <w:sz w:val="18"/>
                <w:szCs w:val="18"/>
              </w:rPr>
              <w:t>是国优</w:t>
            </w:r>
            <w:r>
              <w:rPr>
                <w:rFonts w:hint="eastAsia" w:ascii="华文宋体" w:hAnsi="华文宋体" w:eastAsia="华文宋体" w:cs="华文宋体"/>
                <w:bCs/>
                <w:color w:val="auto"/>
                <w:sz w:val="18"/>
                <w:szCs w:val="18"/>
              </w:rPr>
              <w:t>级5类网线，音箱线均为国标线材。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功放、音箱</w:t>
            </w:r>
          </w:p>
        </w:tc>
        <w:tc>
          <w:tcPr>
            <w:tcW w:w="709" w:type="dxa"/>
            <w:vAlign w:val="bottom"/>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bottom"/>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套</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1、室外全天候防水音柱对人声、音乐都有还原真实的放大特性，由铝合金材料制成，可抵挡日照雨淋、风沙雪雨，适合户内、户外全天候使用。</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2、安装方式:壁挂式</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接线方法: COM  70V  100V</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额定功率30W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最大功率 60W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灵敏度 92dB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频率响应 130-16KHz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尺寸 145×125×505mm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喇叭单元 3×4″+ 2.5″</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3、功放：</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130W；3路音源输入；2路话筒输出；带默音功能；70V/100V,4-16Ω输出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4、100V、70V定压输出和4欧—16欧定阻输出，1单元LED 电平指示；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5、三路话筒控制、两线输入；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6、RCA插口和XLR插口供方便地环接；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7、输出短路保护及告警、过热告警和饱和失真告警额定输出功率130w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输入灵敏度 1V   0dBV</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等效输入噪声 -95dB</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阻尼系数 200:1</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共摸抑制 不小于  92dB</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频响 90Hz--20KHz  ±3dB</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总谐波失真4/1KHz &lt;0.3%</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上升速率 &gt;15V/microsecond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结构</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套</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1、双立柱标准钢结构、全防水密封箱体、防尘、抗风。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2、屏体结构设计后维护结构，自行设计基础建设、开挖、回填。</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3、破坏路面自行修复，施工期间保障现场安全、文明施工。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4、结构材料及基础材料均符合国家标准。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机柜</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w:t>
            </w:r>
            <w:r>
              <w:rPr>
                <w:rFonts w:ascii="华文宋体" w:hAnsi="华文宋体" w:eastAsia="华文宋体" w:cs="华文宋体"/>
                <w:bCs/>
                <w:color w:val="auto"/>
                <w:sz w:val="18"/>
                <w:szCs w:val="18"/>
              </w:rPr>
              <w:t>2U</w:t>
            </w:r>
            <w:r>
              <w:rPr>
                <w:rFonts w:hint="eastAsia" w:ascii="华文宋体" w:hAnsi="华文宋体" w:eastAsia="华文宋体" w:cs="华文宋体"/>
                <w:bCs/>
                <w:color w:val="auto"/>
                <w:sz w:val="18"/>
                <w:szCs w:val="18"/>
              </w:rPr>
              <w:t>标准机柜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11</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安装辅材</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项</w:t>
            </w:r>
          </w:p>
        </w:tc>
        <w:tc>
          <w:tcPr>
            <w:tcW w:w="5848" w:type="dxa"/>
            <w:gridSpan w:val="2"/>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线管、安装配件等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0195" w:type="dxa"/>
            <w:gridSpan w:val="6"/>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二、视频监控系统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红外高清网络球机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1、400万7寸红外星光球机；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2、最高分辨率可达2560×1440@30fps，支持 1080p@60fps、960p@60fps、720p@60fps 高帧率输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3、支持 Smart265 编码；</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4、支持 120dB 宽动态，支持 3D 数字降噪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5、支持区域入侵侦测、越界侦测、移动侦测等智能侦测功能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6、支持超低照度，0.005Lux/F1.6(彩色),0.001Lux/F1.6(黑白) ,0 Lux with IR；</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7、支持 1 路音频输入和 1 路音频输出；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8、支持最大 256G 的 Micro SD/SDHC/SDXC 卡、NAS 存；</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9、支持宽动态范围达 120dB，适合逆光环境监控；</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10、采用高效红外阵列，低功耗，照射距离最远可达 150m。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红外高清网络枪机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1、400万像素星光筒型摄像机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2、星光级低照度</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3、400万超清</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4、Smart265</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5、20 dB宽动态 、3D数字降噪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6、1/2.7" Progressive Scan CMOS</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7、2560 × 1440 @25 fps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8、0.005 Lux @（F1.2，AGC ON），0 Lux with IR</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9、智能报警：越界侦测，区域入侵侦测</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10、ROI编码技术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11、萤石云平台接入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12、红外补光，最远可达30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红外高清半球摄像机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1、400万像素星光半球型摄像机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2、星光级低照度</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3、1/2.7" Progressive Scan CMOS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4、2560 × 1440 @25 fps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5、0.005 Lux @（F1.2，AGC ON），0 Lux with IR</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6、智能报警：越界侦测，区域入侵侦测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7、H.264，Smart264，H.265，Smart265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8、ROI编码技术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9、120 dB宽动态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10、背光补偿，强光抑制，3D数字降噪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11、萤石云平台接入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12、内置1个麦克风，高清拾音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13、红外补光，最远可达30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球机支架</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壁装支架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枪机支架</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铝合金壁装支架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摄像机电源</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12V2A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32路NVR硬盘录像机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1、解码性能强劲，全系列支持8路1080P解码；</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2、最大支持800万相机接入；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3、支持满配8T硬盘，进一步延长录像时间；</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4、支持萤石、Ehome以及GB28181协议，轻松实现平台接入；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5、2U 标准机箱，支持机架安装；</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6、32路视频接入，8盘位，最大支持8TB硬盘</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7、支持1个HDMI 4K输出 +1个VGA异源高清1080P输出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8、支持8路1080P解码</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9、支持H.265、H.264混合解码，最大支持接入8MP高清IPC</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10、2个千兆网口</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11、自带16进4出报警口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12、2个USB2.0接口+1个USB3.0接口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监控硬盘</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监控级，6T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4K超高清液晶平板电视</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1、HDR显示:支持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2、屏幕比例:16:9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3、光源类型:LED背光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4、操作系统:酷开系统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5、RAM内存（运行内存）：2G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6、ROM存储（存储内存）：16G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7、CPU核数:四核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8、GPU:2核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9、USB2.0端口：2个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10、HDMI2.0接口：2个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11、整机功率（W）：290瓦特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12、待机功率（W）：0.5瓦特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13、电源电压：220伏特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14、支持 多屏互动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千兆交换机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24口千兆交换机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11</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交换机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不少于8口百兆交换机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12</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网线</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箱</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超五类非屏蔽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13</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电源线</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1000</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米</w:t>
            </w:r>
          </w:p>
        </w:tc>
        <w:tc>
          <w:tcPr>
            <w:tcW w:w="5848" w:type="dxa"/>
            <w:gridSpan w:val="2"/>
            <w:vAlign w:val="center"/>
          </w:tcPr>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RVV2*1.0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交换机箱</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壁挂换机箱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r>
              <w:rPr>
                <w:rFonts w:ascii="华文宋体" w:hAnsi="华文宋体" w:eastAsia="华文宋体" w:cs="华文宋体"/>
                <w:bCs/>
                <w:color w:val="auto"/>
                <w:sz w:val="18"/>
                <w:szCs w:val="18"/>
              </w:rPr>
              <w:t>5</w:t>
            </w:r>
            <w:r>
              <w:rPr>
                <w:rFonts w:hint="eastAsia" w:ascii="华文宋体" w:hAnsi="华文宋体" w:eastAsia="华文宋体" w:cs="华文宋体"/>
                <w:bCs/>
                <w:color w:val="auto"/>
                <w:sz w:val="18"/>
                <w:szCs w:val="18"/>
              </w:rPr>
              <w:t>　</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机柜</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标准机柜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r>
              <w:rPr>
                <w:rFonts w:ascii="华文宋体" w:hAnsi="华文宋体" w:eastAsia="华文宋体" w:cs="华文宋体"/>
                <w:bCs/>
                <w:color w:val="auto"/>
                <w:sz w:val="18"/>
                <w:szCs w:val="18"/>
              </w:rPr>
              <w:t>6</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安装辅材</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项</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线槽、线管、水晶头、钉子、小电箱、插头插座等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0195" w:type="dxa"/>
            <w:gridSpan w:val="6"/>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石塘法庭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195" w:type="dxa"/>
            <w:gridSpan w:val="6"/>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一、视频监控系统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红外高清网络球机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1、400万7寸红外星光球机；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2、最高分辨率可达2560×1440@30fps，支持 1080p@60fps、960p@60fps、720p@60fps 高帧率输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3、支持 Smart265 编码；</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4、支持 120dB 宽动态，支持 3D 数字降噪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5、支持区域入侵侦测、越界侦测、移动侦测等智能侦测功能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6、支持超低照度，0.005Lux/F1.6(彩色),0.001Lux/F1.6(黑白) ,0 Lux with IR；</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7、支持 1 路音频输入和 1 路音频输出；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8、支持最大 256G 的 Micro SD/SDHC/SDXC 卡、NAS 存；</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9、支持宽动态范围达 120dB，适合逆光环境监控；</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10、采用高效红外阵列，低功耗，照射距离最远可达 150m。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红外高清网络枪机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1、400万像素星光筒型摄像机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2、星光级低照度</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3、400万超清</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4、Smart265</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5、20 dB宽动态 、3D数字降噪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6、1/2.7" Progressive Scan CMOS</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7、2560 × 1440 @25 fps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8、0.005 Lux @（F1.2，AGC ON），0 Lux with IR</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9、智能报警：越界侦测，区域入侵侦测</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10、ROI编码技术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11、萤石云平台接入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12、红外补光，最远可达30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红外高清半球摄像机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1、400万像素星光半球型摄像机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2、星光级低照度</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3、1/2.7" Progressive Scan CMOS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4、2560 × 1440 @25 fps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5、0.005 Lux @（F1.2，AGC ON），0 Lux with IR</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6、智能报警：越界侦测，区域入侵侦测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7、H.264，Smart264，H.265，Smart265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8、ROI编码技术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9、120 dB宽动态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10、背光补偿，强光抑制，3D数字降噪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11、萤石云平台接入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12、内置1个麦克风，高清拾音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13、红外补光，最远可达30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球机支架</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壁装支架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枪机支架</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铝合金壁装支架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摄像机电源</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13</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12V2A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32路NVR硬盘录像机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1、解码性能强劲，全系列支持8路1080P解码；</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2、最大支持800万相机接入；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3、支持满配8T硬盘，进一步延长录像时间；</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4、支持萤石、Ehome以及GB28181协议，轻松实现平台接入；</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5、2U 标准机箱，支持机架安装；</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6、32路视频接入，8盘位，最大支持8TB硬盘</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7、支持1个HDMI 4K输出 +1个VGA异源高清1080P输出</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8、支持8路1080P解码</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9、支持H.265、H.264混合解码，最大支持接入8MP高清IPC</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10、2个千兆网口</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11、自带16进4出报警口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12、2个USB2.0接口+1个USB3.0接口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8</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监控硬盘</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5</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监控级，6T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4K超高清液晶平板电视</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1、HDR显示:支持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2、屏幕比例:16:9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3、光源类型:LED背光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4、操作系统:酷开系统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5、RAM内存（运行内存）：2G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6、ROM存储（存储内存）：16G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7、CPU核数:四核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8、GPU:2核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9、USB2.0端口：2个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10、HDMI2.0接口：2个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11、整机功率（W）：290瓦特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12、待机功率（W）：0.5瓦特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 xml:space="preserve">13、电源电压：220伏特 </w:t>
            </w:r>
          </w:p>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14、支持 多屏互动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10</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千兆交换机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24口千兆交换机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11</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交换机</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台</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不少于8口百兆交换机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12</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网线</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4</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箱</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超五类非屏蔽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13</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电源线</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900</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米</w:t>
            </w:r>
          </w:p>
        </w:tc>
        <w:tc>
          <w:tcPr>
            <w:tcW w:w="5848" w:type="dxa"/>
            <w:gridSpan w:val="2"/>
            <w:vAlign w:val="center"/>
          </w:tcPr>
          <w:p>
            <w:pPr>
              <w:pStyle w:val="44"/>
              <w:rPr>
                <w:rFonts w:ascii="华文宋体" w:hAnsi="华文宋体" w:eastAsia="华文宋体" w:cs="华文宋体"/>
                <w:bCs/>
                <w:color w:val="auto"/>
                <w:sz w:val="18"/>
                <w:szCs w:val="18"/>
              </w:rPr>
            </w:pPr>
            <w:r>
              <w:rPr>
                <w:rFonts w:ascii="华文宋体" w:hAnsi="华文宋体" w:eastAsia="华文宋体" w:cs="华文宋体"/>
                <w:bCs/>
                <w:color w:val="auto"/>
                <w:sz w:val="18"/>
                <w:szCs w:val="18"/>
              </w:rPr>
              <w:t>RVV2*1.0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14</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交换机箱</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3</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壁挂换机箱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15</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机柜</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个</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标准机柜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jc w:val="center"/>
        </w:trPr>
        <w:tc>
          <w:tcPr>
            <w:tcW w:w="803"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16</w:t>
            </w:r>
          </w:p>
        </w:tc>
        <w:tc>
          <w:tcPr>
            <w:tcW w:w="2127"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安装辅材</w:t>
            </w:r>
          </w:p>
        </w:tc>
        <w:tc>
          <w:tcPr>
            <w:tcW w:w="709"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1</w:t>
            </w:r>
          </w:p>
        </w:tc>
        <w:tc>
          <w:tcPr>
            <w:tcW w:w="708" w:type="dxa"/>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项</w:t>
            </w:r>
          </w:p>
        </w:tc>
        <w:tc>
          <w:tcPr>
            <w:tcW w:w="5848" w:type="dxa"/>
            <w:gridSpan w:val="2"/>
            <w:vAlign w:val="center"/>
          </w:tcPr>
          <w:p>
            <w:pPr>
              <w:pStyle w:val="44"/>
              <w:rPr>
                <w:rFonts w:ascii="华文宋体" w:hAnsi="华文宋体" w:eastAsia="华文宋体" w:cs="华文宋体"/>
                <w:bCs/>
                <w:color w:val="auto"/>
                <w:sz w:val="18"/>
                <w:szCs w:val="18"/>
              </w:rPr>
            </w:pPr>
            <w:r>
              <w:rPr>
                <w:rFonts w:hint="eastAsia" w:ascii="华文宋体" w:hAnsi="华文宋体" w:eastAsia="华文宋体" w:cs="华文宋体"/>
                <w:bCs/>
                <w:color w:val="auto"/>
                <w:sz w:val="18"/>
                <w:szCs w:val="18"/>
              </w:rPr>
              <w:t>线槽、线管、水晶头、钉子、小电箱、插头插座等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803" w:type="dxa"/>
            <w:vAlign w:val="center"/>
          </w:tcPr>
          <w:p>
            <w:pPr>
              <w:pStyle w:val="44"/>
              <w:rPr>
                <w:rFonts w:ascii="华文宋体" w:hAnsi="华文宋体" w:eastAsia="华文宋体" w:cs="华文宋体"/>
                <w:bCs/>
                <w:color w:val="auto"/>
                <w:sz w:val="18"/>
                <w:szCs w:val="18"/>
                <w:highlight w:val="none"/>
              </w:rPr>
            </w:pP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商</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务</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条</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款</w:t>
            </w:r>
          </w:p>
        </w:tc>
        <w:tc>
          <w:tcPr>
            <w:tcW w:w="9392" w:type="dxa"/>
            <w:gridSpan w:val="5"/>
            <w:vAlign w:val="center"/>
          </w:tcPr>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一、合同签订期：自成交通知书发出之日起</w:t>
            </w:r>
            <w:r>
              <w:rPr>
                <w:rFonts w:ascii="华文宋体" w:hAnsi="华文宋体" w:eastAsia="华文宋体" w:cs="华文宋体"/>
                <w:bCs/>
                <w:color w:val="auto"/>
                <w:sz w:val="18"/>
                <w:szCs w:val="18"/>
                <w:highlight w:val="none"/>
              </w:rPr>
              <w:t>7</w:t>
            </w:r>
            <w:r>
              <w:rPr>
                <w:rFonts w:hint="eastAsia" w:ascii="华文宋体" w:hAnsi="华文宋体" w:eastAsia="华文宋体" w:cs="华文宋体"/>
                <w:bCs/>
                <w:color w:val="auto"/>
                <w:sz w:val="18"/>
                <w:szCs w:val="18"/>
                <w:highlight w:val="none"/>
              </w:rPr>
              <w:t>个日历日内签订。</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二、交付使用期：自合同签订之日起</w:t>
            </w:r>
            <w:r>
              <w:rPr>
                <w:rFonts w:ascii="华文宋体" w:hAnsi="华文宋体" w:eastAsia="华文宋体" w:cs="华文宋体"/>
                <w:bCs/>
                <w:color w:val="auto"/>
                <w:sz w:val="18"/>
                <w:szCs w:val="18"/>
                <w:highlight w:val="none"/>
              </w:rPr>
              <w:t>45</w:t>
            </w:r>
            <w:r>
              <w:rPr>
                <w:rFonts w:hint="eastAsia" w:ascii="华文宋体" w:hAnsi="华文宋体" w:eastAsia="华文宋体" w:cs="华文宋体"/>
                <w:bCs/>
                <w:color w:val="auto"/>
                <w:sz w:val="18"/>
                <w:szCs w:val="18"/>
                <w:highlight w:val="none"/>
              </w:rPr>
              <w:t>个日历日内；交货地点：采购人指定地点。</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三、配套服务要求：</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见本表“服务要求及技术参数要求”，另外必须满足将现有法院内部系统等平台实现无缝对接及实现系统之间互联互通，建议各投标人可自行前往现场踏勘，充分了解现有建设系统相关参数，以确保所投产品实现上述系统无缝对接要求。验收时由采购单位技术人员现场确认无误签字盖章后方可视为验收合格。</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2、</w:t>
            </w:r>
            <w:r>
              <w:rPr>
                <w:rFonts w:hint="eastAsia" w:ascii="华文宋体" w:hAnsi="华文宋体" w:eastAsia="华文宋体"/>
                <w:color w:val="auto"/>
                <w:sz w:val="18"/>
                <w:szCs w:val="18"/>
                <w:highlight w:val="none"/>
              </w:rPr>
              <w:t>成交供应商交货时，如采购单位认为有需要的，可将产品委托市级以上质量技术监督部门或者由具有第三方质量检测资质专业技术人员组成小组按本项目采购文件规定的技术参数和性能要求进行抽样检验（检验费用由成交供应商负责），同时要求成交供应商无偿补齐因抽检而损坏的产品；抽检货物检验报告不合格的采购人不予验收。</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四、售后服务要求：</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★1、提供全面维修和保养服务，提供5×8小时上门服务，7×24小时电话技术支持服务，接到故障报修后，1小时内作出响应，</w:t>
            </w:r>
            <w:r>
              <w:rPr>
                <w:rFonts w:ascii="华文宋体" w:hAnsi="华文宋体" w:eastAsia="华文宋体" w:cs="华文宋体"/>
                <w:bCs/>
                <w:color w:val="auto"/>
                <w:sz w:val="18"/>
                <w:szCs w:val="18"/>
                <w:highlight w:val="none"/>
              </w:rPr>
              <w:t>6</w:t>
            </w:r>
            <w:r>
              <w:rPr>
                <w:rFonts w:hint="eastAsia" w:ascii="华文宋体" w:hAnsi="华文宋体" w:eastAsia="华文宋体" w:cs="华文宋体"/>
                <w:bCs/>
                <w:color w:val="auto"/>
                <w:sz w:val="18"/>
                <w:szCs w:val="18"/>
                <w:highlight w:val="none"/>
              </w:rPr>
              <w:t>小时内到达现场，</w:t>
            </w:r>
            <w:r>
              <w:rPr>
                <w:rFonts w:ascii="华文宋体" w:hAnsi="华文宋体" w:eastAsia="华文宋体" w:cs="华文宋体"/>
                <w:bCs/>
                <w:color w:val="auto"/>
                <w:sz w:val="18"/>
                <w:szCs w:val="18"/>
                <w:highlight w:val="none"/>
              </w:rPr>
              <w:t>12</w:t>
            </w:r>
            <w:r>
              <w:rPr>
                <w:rFonts w:hint="eastAsia" w:ascii="华文宋体" w:hAnsi="华文宋体" w:eastAsia="华文宋体" w:cs="华文宋体"/>
                <w:bCs/>
                <w:color w:val="auto"/>
                <w:sz w:val="18"/>
                <w:szCs w:val="18"/>
                <w:highlight w:val="none"/>
              </w:rPr>
              <w:t>小时内解决问题，超过24小时解决不了，需提供与原设备相同或优于原设备的备用产品，以保证工作能够正常进行。如遇非工作日或重大活动等特殊情况，能够免费提供现场技术支持服务。</w:t>
            </w:r>
          </w:p>
          <w:p>
            <w:pPr>
              <w:pStyle w:val="44"/>
              <w:rPr>
                <w:rFonts w:ascii="华文宋体" w:hAnsi="华文宋体" w:eastAsia="华文宋体" w:cs="华文宋体"/>
                <w:bCs/>
                <w:color w:val="auto"/>
                <w:sz w:val="18"/>
                <w:szCs w:val="18"/>
                <w:highlight w:val="none"/>
              </w:rPr>
            </w:pPr>
            <w:r>
              <w:rPr>
                <w:rFonts w:ascii="华文宋体" w:hAnsi="华文宋体" w:eastAsia="华文宋体" w:cs="华文宋体"/>
                <w:bCs/>
                <w:color w:val="auto"/>
                <w:sz w:val="18"/>
                <w:szCs w:val="18"/>
                <w:highlight w:val="none"/>
              </w:rPr>
              <w:t>2</w:t>
            </w:r>
            <w:r>
              <w:rPr>
                <w:rFonts w:hint="eastAsia" w:ascii="华文宋体" w:hAnsi="华文宋体" w:eastAsia="华文宋体" w:cs="华文宋体"/>
                <w:bCs/>
                <w:color w:val="auto"/>
                <w:sz w:val="18"/>
                <w:szCs w:val="18"/>
                <w:highlight w:val="none"/>
              </w:rPr>
              <w:t>、能够及时提供原厂耗材及维修零配件。</w:t>
            </w:r>
          </w:p>
          <w:p>
            <w:pPr>
              <w:pStyle w:val="44"/>
              <w:rPr>
                <w:rFonts w:ascii="华文宋体" w:hAnsi="华文宋体" w:eastAsia="华文宋体" w:cs="华文宋体"/>
                <w:bCs/>
                <w:color w:val="auto"/>
                <w:sz w:val="18"/>
                <w:szCs w:val="18"/>
                <w:highlight w:val="none"/>
              </w:rPr>
            </w:pPr>
            <w:r>
              <w:rPr>
                <w:rFonts w:ascii="华文宋体" w:hAnsi="华文宋体" w:eastAsia="华文宋体" w:cs="华文宋体"/>
                <w:bCs/>
                <w:color w:val="auto"/>
                <w:sz w:val="18"/>
                <w:szCs w:val="18"/>
                <w:highlight w:val="none"/>
              </w:rPr>
              <w:t>3</w:t>
            </w:r>
            <w:r>
              <w:rPr>
                <w:rFonts w:hint="eastAsia" w:ascii="华文宋体" w:hAnsi="华文宋体" w:eastAsia="华文宋体" w:cs="华文宋体"/>
                <w:bCs/>
                <w:color w:val="auto"/>
                <w:sz w:val="18"/>
                <w:szCs w:val="18"/>
                <w:highlight w:val="none"/>
              </w:rPr>
              <w:t>、设备安装调试结束后，在现场提供技术培训，为操作人员进行详细、全方位的技术培训。</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w:t>
            </w:r>
            <w:r>
              <w:rPr>
                <w:rFonts w:ascii="华文宋体" w:hAnsi="华文宋体" w:eastAsia="华文宋体" w:cs="华文宋体"/>
                <w:bCs/>
                <w:color w:val="auto"/>
                <w:sz w:val="18"/>
                <w:szCs w:val="18"/>
                <w:highlight w:val="none"/>
              </w:rPr>
              <w:t>4</w:t>
            </w:r>
            <w:r>
              <w:rPr>
                <w:rFonts w:hint="eastAsia" w:ascii="华文宋体" w:hAnsi="华文宋体" w:eastAsia="华文宋体" w:cs="华文宋体"/>
                <w:bCs/>
                <w:color w:val="auto"/>
                <w:sz w:val="18"/>
                <w:szCs w:val="18"/>
                <w:highlight w:val="none"/>
              </w:rPr>
              <w:t>、质量保证期为1年，其余按国家有关规定执行。质保期内出现质量问题，免费更换、维修或维护；质保期过后，提供终身有偿维修维护，以低于市场价的优惠价格进行维修维护及更换零配件。</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五、其他要求：</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1、付款方式：合同签订</w:t>
            </w:r>
            <w:r>
              <w:rPr>
                <w:rFonts w:ascii="华文宋体" w:hAnsi="华文宋体" w:eastAsia="华文宋体" w:cs="华文宋体"/>
                <w:bCs/>
                <w:color w:val="auto"/>
                <w:sz w:val="18"/>
                <w:szCs w:val="18"/>
                <w:highlight w:val="none"/>
              </w:rPr>
              <w:t>5</w:t>
            </w:r>
            <w:r>
              <w:rPr>
                <w:rFonts w:hint="eastAsia" w:ascii="华文宋体" w:hAnsi="华文宋体" w:eastAsia="华文宋体" w:cs="华文宋体"/>
                <w:bCs/>
                <w:color w:val="auto"/>
                <w:sz w:val="18"/>
                <w:szCs w:val="18"/>
                <w:highlight w:val="none"/>
              </w:rPr>
              <w:t>个工作日内甲方向乙方预付合同总金额的</w:t>
            </w:r>
            <w:r>
              <w:rPr>
                <w:rFonts w:ascii="华文宋体" w:hAnsi="华文宋体" w:eastAsia="华文宋体" w:cs="华文宋体"/>
                <w:bCs/>
                <w:color w:val="auto"/>
                <w:sz w:val="18"/>
                <w:szCs w:val="18"/>
                <w:highlight w:val="none"/>
              </w:rPr>
              <w:t>40%</w:t>
            </w:r>
            <w:r>
              <w:rPr>
                <w:rFonts w:hint="eastAsia" w:ascii="华文宋体" w:hAnsi="华文宋体" w:eastAsia="华文宋体" w:cs="华文宋体"/>
                <w:bCs/>
                <w:color w:val="auto"/>
                <w:sz w:val="18"/>
                <w:szCs w:val="18"/>
                <w:highlight w:val="none"/>
              </w:rPr>
              <w:t>，安装调试验收完成后再支付</w:t>
            </w:r>
            <w:r>
              <w:rPr>
                <w:rFonts w:ascii="华文宋体" w:hAnsi="华文宋体" w:eastAsia="华文宋体" w:cs="华文宋体"/>
                <w:bCs/>
                <w:color w:val="auto"/>
                <w:sz w:val="18"/>
                <w:szCs w:val="18"/>
                <w:highlight w:val="none"/>
              </w:rPr>
              <w:t>57%</w:t>
            </w:r>
            <w:r>
              <w:rPr>
                <w:rFonts w:hint="eastAsia" w:ascii="华文宋体" w:hAnsi="华文宋体" w:eastAsia="华文宋体" w:cs="华文宋体"/>
                <w:bCs/>
                <w:color w:val="auto"/>
                <w:sz w:val="18"/>
                <w:szCs w:val="18"/>
                <w:highlight w:val="none"/>
              </w:rPr>
              <w:t>，余下的</w:t>
            </w:r>
            <w:r>
              <w:rPr>
                <w:rFonts w:ascii="华文宋体" w:hAnsi="华文宋体" w:eastAsia="华文宋体" w:cs="华文宋体"/>
                <w:bCs/>
                <w:color w:val="auto"/>
                <w:sz w:val="18"/>
                <w:szCs w:val="18"/>
                <w:highlight w:val="none"/>
              </w:rPr>
              <w:t>3%</w:t>
            </w:r>
            <w:r>
              <w:rPr>
                <w:rFonts w:hint="eastAsia" w:ascii="华文宋体" w:hAnsi="华文宋体" w:eastAsia="华文宋体" w:cs="华文宋体"/>
                <w:bCs/>
                <w:color w:val="auto"/>
                <w:sz w:val="18"/>
                <w:szCs w:val="18"/>
                <w:highlight w:val="none"/>
              </w:rPr>
              <w:t>质保金一年后</w:t>
            </w:r>
            <w:r>
              <w:rPr>
                <w:rFonts w:ascii="华文宋体" w:hAnsi="华文宋体" w:eastAsia="华文宋体" w:cs="华文宋体"/>
                <w:bCs/>
                <w:color w:val="auto"/>
                <w:sz w:val="18"/>
                <w:szCs w:val="18"/>
                <w:highlight w:val="none"/>
              </w:rPr>
              <w:t>7</w:t>
            </w:r>
            <w:r>
              <w:rPr>
                <w:rFonts w:hint="eastAsia" w:ascii="华文宋体" w:hAnsi="华文宋体" w:eastAsia="华文宋体" w:cs="华文宋体"/>
                <w:bCs/>
                <w:color w:val="auto"/>
                <w:sz w:val="18"/>
                <w:szCs w:val="18"/>
                <w:highlight w:val="none"/>
              </w:rPr>
              <w:t xml:space="preserve">个工作日内付清。  </w:t>
            </w:r>
          </w:p>
          <w:p>
            <w:pPr>
              <w:pStyle w:val="44"/>
              <w:rPr>
                <w:rFonts w:ascii="华文宋体" w:hAnsi="华文宋体" w:eastAsia="华文宋体" w:cs="华文宋体"/>
                <w:bCs/>
                <w:color w:val="auto"/>
                <w:sz w:val="18"/>
                <w:szCs w:val="18"/>
                <w:highlight w:val="none"/>
              </w:rPr>
            </w:pPr>
            <w:r>
              <w:rPr>
                <w:rFonts w:hint="eastAsia" w:ascii="华文宋体" w:hAnsi="华文宋体" w:eastAsia="华文宋体" w:cs="华文宋体"/>
                <w:bCs/>
                <w:color w:val="auto"/>
                <w:sz w:val="18"/>
                <w:szCs w:val="18"/>
                <w:highlight w:val="none"/>
              </w:rPr>
              <w:t>2、本项目不允许转包、分包。</w:t>
            </w:r>
          </w:p>
        </w:tc>
      </w:tr>
    </w:tbl>
    <w:p>
      <w:pPr>
        <w:pStyle w:val="44"/>
        <w:rPr>
          <w:rFonts w:ascii="华文宋体" w:hAnsi="华文宋体" w:eastAsia="华文宋体" w:cs="华文宋体"/>
          <w:bCs/>
          <w:color w:val="auto"/>
          <w:sz w:val="18"/>
          <w:szCs w:val="18"/>
        </w:rPr>
      </w:pPr>
    </w:p>
    <w:p>
      <w:pPr>
        <w:pStyle w:val="44"/>
        <w:rPr>
          <w:rFonts w:ascii="华文宋体" w:hAnsi="华文宋体" w:eastAsia="华文宋体" w:cs="华文宋体"/>
          <w:bCs/>
          <w:color w:val="auto"/>
          <w:sz w:val="18"/>
          <w:szCs w:val="18"/>
        </w:rPr>
      </w:pPr>
    </w:p>
    <w:p>
      <w:pPr>
        <w:pStyle w:val="44"/>
        <w:rPr>
          <w:rFonts w:ascii="华文宋体" w:hAnsi="华文宋体" w:eastAsia="华文宋体" w:cs="华文宋体"/>
          <w:bCs/>
          <w:color w:val="auto"/>
          <w:sz w:val="18"/>
          <w:szCs w:val="18"/>
        </w:rPr>
      </w:pPr>
    </w:p>
    <w:p>
      <w:pPr>
        <w:pStyle w:val="44"/>
        <w:rPr>
          <w:rFonts w:ascii="华文宋体" w:hAnsi="华文宋体" w:eastAsia="华文宋体" w:cs="华文宋体"/>
          <w:bCs/>
          <w:color w:val="auto"/>
          <w:sz w:val="18"/>
          <w:szCs w:val="18"/>
        </w:rPr>
      </w:pPr>
    </w:p>
    <w:p>
      <w:pPr>
        <w:pStyle w:val="44"/>
        <w:rPr>
          <w:rFonts w:ascii="华文宋体" w:hAnsi="华文宋体" w:eastAsia="华文宋体" w:cs="华文宋体"/>
          <w:bCs/>
          <w:color w:val="auto"/>
          <w:sz w:val="18"/>
          <w:szCs w:val="18"/>
        </w:rPr>
      </w:pPr>
    </w:p>
    <w:p>
      <w:pPr>
        <w:pStyle w:val="44"/>
        <w:rPr>
          <w:rFonts w:ascii="华文宋体" w:hAnsi="华文宋体" w:eastAsia="华文宋体" w:cs="华文宋体"/>
          <w:bCs/>
          <w:color w:val="auto"/>
          <w:sz w:val="18"/>
          <w:szCs w:val="18"/>
        </w:rPr>
      </w:pPr>
    </w:p>
    <w:p>
      <w:pPr>
        <w:pStyle w:val="44"/>
        <w:rPr>
          <w:rFonts w:ascii="华文宋体" w:hAnsi="华文宋体" w:eastAsia="华文宋体" w:cs="华文宋体"/>
          <w:bCs/>
          <w:color w:val="auto"/>
          <w:sz w:val="18"/>
          <w:szCs w:val="18"/>
        </w:rPr>
      </w:pPr>
    </w:p>
    <w:p>
      <w:pPr>
        <w:pStyle w:val="44"/>
        <w:rPr>
          <w:rFonts w:ascii="华文宋体" w:hAnsi="华文宋体" w:eastAsia="华文宋体" w:cs="华文宋体"/>
          <w:bCs/>
          <w:color w:val="auto"/>
          <w:sz w:val="18"/>
          <w:szCs w:val="18"/>
        </w:rPr>
      </w:pPr>
    </w:p>
    <w:p>
      <w:pPr>
        <w:pStyle w:val="44"/>
        <w:rPr>
          <w:rFonts w:ascii="华文宋体" w:hAnsi="华文宋体" w:eastAsia="华文宋体" w:cs="华文宋体"/>
          <w:bCs/>
          <w:color w:val="auto"/>
          <w:sz w:val="18"/>
          <w:szCs w:val="18"/>
        </w:rPr>
      </w:pPr>
    </w:p>
    <w:p>
      <w:pPr>
        <w:pStyle w:val="44"/>
        <w:rPr>
          <w:rFonts w:ascii="华文宋体" w:hAnsi="华文宋体" w:eastAsia="华文宋体" w:cs="华文宋体"/>
          <w:bCs/>
          <w:color w:val="auto"/>
          <w:sz w:val="18"/>
          <w:szCs w:val="18"/>
        </w:rPr>
      </w:pPr>
    </w:p>
    <w:p>
      <w:pPr>
        <w:pStyle w:val="3"/>
        <w:rPr>
          <w:rFonts w:asciiTheme="majorEastAsia" w:hAnsiTheme="majorEastAsia" w:eastAsiaTheme="majorEastAsia"/>
          <w:color w:val="auto"/>
          <w:sz w:val="28"/>
          <w:szCs w:val="28"/>
        </w:rPr>
      </w:pPr>
      <w:bookmarkStart w:id="38" w:name="_Toc29172"/>
      <w:r>
        <w:rPr>
          <w:rFonts w:hint="eastAsia" w:asciiTheme="majorEastAsia" w:hAnsiTheme="majorEastAsia" w:eastAsiaTheme="majorEastAsia"/>
          <w:color w:val="auto"/>
          <w:sz w:val="28"/>
          <w:szCs w:val="28"/>
        </w:rPr>
        <w:t>附表1</w:t>
      </w:r>
    </w:p>
    <w:p>
      <w:pPr>
        <w:pStyle w:val="3"/>
        <w:jc w:val="center"/>
        <w:rPr>
          <w:color w:val="auto"/>
          <w:sz w:val="30"/>
          <w:szCs w:val="30"/>
        </w:rPr>
      </w:pPr>
      <w:r>
        <w:rPr>
          <w:rFonts w:hint="eastAsia"/>
          <w:color w:val="auto"/>
          <w:sz w:val="30"/>
          <w:szCs w:val="30"/>
        </w:rPr>
        <w:t>政府采购项目合同验收报告（格式）</w:t>
      </w:r>
      <w:bookmarkEnd w:id="38"/>
    </w:p>
    <w:p>
      <w:pPr>
        <w:widowControl/>
        <w:snapToGrid w:val="0"/>
        <w:spacing w:before="100" w:beforeAutospacing="1" w:after="100" w:afterAutospacing="1" w:line="440" w:lineRule="exact"/>
        <w:ind w:firstLine="659"/>
        <w:jc w:val="left"/>
        <w:rPr>
          <w:rFonts w:ascii="宋体" w:hAnsi="宋体" w:cs="宋体"/>
          <w:color w:val="auto"/>
          <w:sz w:val="18"/>
          <w:szCs w:val="18"/>
        </w:rPr>
      </w:pPr>
      <w:r>
        <w:rPr>
          <w:rFonts w:hint="eastAsia" w:ascii="宋体" w:hAnsi="宋体" w:cs="宋体"/>
          <w:color w:val="auto"/>
          <w:sz w:val="18"/>
          <w:szCs w:val="18"/>
        </w:rPr>
        <w:t>根据政府采购合同</w:t>
      </w:r>
      <w:r>
        <w:rPr>
          <w:rFonts w:hint="eastAsia" w:ascii="宋体" w:hAnsi="宋体" w:cs="宋体"/>
          <w:color w:val="auto"/>
          <w:sz w:val="18"/>
          <w:szCs w:val="18"/>
          <w:u w:val="single"/>
        </w:rPr>
        <w:t>（采购合同编号：    ）</w:t>
      </w:r>
      <w:r>
        <w:rPr>
          <w:rFonts w:hint="eastAsia" w:ascii="宋体" w:hAnsi="宋体" w:cs="宋体"/>
          <w:color w:val="auto"/>
          <w:sz w:val="18"/>
          <w:szCs w:val="18"/>
        </w:rPr>
        <w:t>的约定，我单位对</w:t>
      </w:r>
      <w:r>
        <w:rPr>
          <w:rFonts w:hint="eastAsia" w:ascii="宋体" w:hAnsi="宋体" w:cs="宋体"/>
          <w:color w:val="auto"/>
          <w:sz w:val="18"/>
          <w:szCs w:val="18"/>
          <w:u w:val="single"/>
        </w:rPr>
        <w:t xml:space="preserve">（项目名称）      </w:t>
      </w:r>
      <w:r>
        <w:rPr>
          <w:rFonts w:hint="eastAsia" w:ascii="宋体" w:hAnsi="宋体" w:cs="宋体"/>
          <w:color w:val="auto"/>
          <w:sz w:val="18"/>
          <w:szCs w:val="18"/>
        </w:rPr>
        <w:t xml:space="preserve"> 政府采购项目</w:t>
      </w:r>
      <w:r>
        <w:rPr>
          <w:rFonts w:hint="eastAsia" w:ascii="宋体" w:hAnsi="宋体" w:cs="宋体"/>
          <w:color w:val="auto"/>
          <w:sz w:val="18"/>
          <w:szCs w:val="18"/>
          <w:u w:val="single"/>
        </w:rPr>
        <w:t xml:space="preserve">中标（或成交）供应商（公司名称）       </w:t>
      </w:r>
      <w:r>
        <w:rPr>
          <w:rFonts w:hint="eastAsia" w:ascii="宋体" w:hAnsi="宋体" w:cs="宋体"/>
          <w:color w:val="auto"/>
          <w:sz w:val="18"/>
          <w:szCs w:val="18"/>
        </w:rPr>
        <w:t>提供</w:t>
      </w:r>
      <w:r>
        <w:rPr>
          <w:rFonts w:hint="eastAsia" w:ascii="宋体" w:hAnsi="宋体" w:cs="宋体"/>
          <w:color w:val="auto"/>
          <w:sz w:val="18"/>
          <w:szCs w:val="18"/>
          <w:u w:val="single"/>
        </w:rPr>
        <w:t>的货物（或服务）</w:t>
      </w:r>
      <w:r>
        <w:rPr>
          <w:rFonts w:hint="eastAsia" w:ascii="宋体" w:hAnsi="宋体" w:cs="宋体"/>
          <w:color w:val="auto"/>
          <w:sz w:val="18"/>
          <w:szCs w:val="18"/>
        </w:rPr>
        <w:t>进行了验收，验收情况如下：</w:t>
      </w:r>
    </w:p>
    <w:tbl>
      <w:tblPr>
        <w:tblStyle w:val="42"/>
        <w:tblW w:w="97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8"/>
        <w:gridCol w:w="1976"/>
        <w:gridCol w:w="1588"/>
        <w:gridCol w:w="1875"/>
        <w:gridCol w:w="664"/>
        <w:gridCol w:w="21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92" w:hRule="atLeast"/>
          <w:jc w:val="center"/>
        </w:trPr>
        <w:tc>
          <w:tcPr>
            <w:tcW w:w="3504" w:type="dxa"/>
            <w:gridSpan w:val="2"/>
            <w:vAlign w:val="center"/>
          </w:tcPr>
          <w:p>
            <w:pPr>
              <w:widowControl/>
              <w:snapToGrid w:val="0"/>
              <w:spacing w:before="100" w:beforeAutospacing="1" w:after="100" w:afterAutospacing="1" w:line="440" w:lineRule="exact"/>
              <w:ind w:firstLine="659"/>
              <w:jc w:val="left"/>
              <w:rPr>
                <w:rFonts w:ascii="宋体" w:hAnsi="宋体" w:cs="宋体"/>
                <w:color w:val="auto"/>
                <w:sz w:val="18"/>
                <w:szCs w:val="18"/>
              </w:rPr>
            </w:pPr>
            <w:r>
              <w:rPr>
                <w:rFonts w:hint="eastAsia" w:ascii="宋体" w:hAnsi="宋体" w:cs="宋体"/>
                <w:color w:val="auto"/>
                <w:sz w:val="18"/>
                <w:szCs w:val="18"/>
              </w:rPr>
              <w:t>验收方式：</w:t>
            </w:r>
          </w:p>
        </w:tc>
        <w:tc>
          <w:tcPr>
            <w:tcW w:w="6256" w:type="dxa"/>
            <w:gridSpan w:val="4"/>
            <w:vAlign w:val="center"/>
          </w:tcPr>
          <w:p>
            <w:pPr>
              <w:widowControl/>
              <w:snapToGrid w:val="0"/>
              <w:spacing w:before="100" w:beforeAutospacing="1" w:after="100" w:afterAutospacing="1" w:line="440" w:lineRule="exact"/>
              <w:ind w:firstLine="659"/>
              <w:jc w:val="left"/>
              <w:rPr>
                <w:rFonts w:ascii="宋体" w:hAnsi="宋体" w:cs="宋体"/>
                <w:color w:val="auto"/>
                <w:sz w:val="18"/>
                <w:szCs w:val="18"/>
              </w:rPr>
            </w:pPr>
            <w:r>
              <w:rPr>
                <w:rFonts w:hint="eastAsia" w:ascii="宋体" w:hAnsi="宋体" w:cs="宋体"/>
                <w:color w:val="auto"/>
                <w:sz w:val="18"/>
                <w:szCs w:val="18"/>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78" w:hRule="atLeast"/>
          <w:jc w:val="center"/>
        </w:trPr>
        <w:tc>
          <w:tcPr>
            <w:tcW w:w="1528" w:type="dxa"/>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序号</w:t>
            </w:r>
          </w:p>
        </w:tc>
        <w:tc>
          <w:tcPr>
            <w:tcW w:w="1976" w:type="dxa"/>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名  称</w:t>
            </w:r>
          </w:p>
        </w:tc>
        <w:tc>
          <w:tcPr>
            <w:tcW w:w="3463" w:type="dxa"/>
            <w:gridSpan w:val="2"/>
            <w:vAlign w:val="center"/>
          </w:tcPr>
          <w:p>
            <w:pPr>
              <w:widowControl/>
              <w:snapToGrid w:val="0"/>
              <w:spacing w:before="100" w:beforeAutospacing="1" w:after="100" w:afterAutospacing="1"/>
              <w:jc w:val="center"/>
              <w:rPr>
                <w:rFonts w:ascii="宋体" w:hAnsi="宋体" w:cs="宋体"/>
                <w:color w:val="auto"/>
                <w:sz w:val="18"/>
                <w:szCs w:val="18"/>
              </w:rPr>
            </w:pPr>
            <w:r>
              <w:rPr>
                <w:rFonts w:hint="eastAsia" w:ascii="宋体" w:hAnsi="宋体" w:cs="宋体"/>
                <w:color w:val="auto"/>
                <w:sz w:val="18"/>
                <w:szCs w:val="18"/>
              </w:rPr>
              <w:t>货物型号规格、标准及配置（或服务内容、标准）</w:t>
            </w:r>
          </w:p>
        </w:tc>
        <w:tc>
          <w:tcPr>
            <w:tcW w:w="664" w:type="dxa"/>
            <w:vAlign w:val="center"/>
          </w:tcPr>
          <w:p>
            <w:pPr>
              <w:widowControl/>
              <w:snapToGrid w:val="0"/>
              <w:spacing w:before="100" w:beforeAutospacing="1" w:after="100" w:afterAutospacing="1"/>
              <w:jc w:val="center"/>
              <w:rPr>
                <w:rFonts w:ascii="宋体" w:hAnsi="宋体" w:cs="宋体"/>
                <w:color w:val="auto"/>
                <w:sz w:val="18"/>
                <w:szCs w:val="18"/>
              </w:rPr>
            </w:pPr>
            <w:r>
              <w:rPr>
                <w:rFonts w:hint="eastAsia" w:ascii="宋体" w:hAnsi="宋体" w:cs="宋体"/>
                <w:color w:val="auto"/>
                <w:sz w:val="18"/>
                <w:szCs w:val="18"/>
              </w:rPr>
              <w:t>数量</w:t>
            </w:r>
          </w:p>
        </w:tc>
        <w:tc>
          <w:tcPr>
            <w:tcW w:w="2129" w:type="dxa"/>
            <w:vAlign w:val="center"/>
          </w:tcPr>
          <w:p>
            <w:pPr>
              <w:widowControl/>
              <w:snapToGrid w:val="0"/>
              <w:spacing w:before="100" w:beforeAutospacing="1" w:after="100" w:afterAutospacing="1"/>
              <w:jc w:val="center"/>
              <w:rPr>
                <w:rFonts w:ascii="宋体" w:hAnsi="宋体" w:cs="宋体"/>
                <w:color w:val="auto"/>
                <w:sz w:val="18"/>
                <w:szCs w:val="18"/>
              </w:rPr>
            </w:pPr>
            <w:r>
              <w:rPr>
                <w:rFonts w:hint="eastAsia" w:ascii="宋体" w:hAnsi="宋体" w:cs="宋体"/>
                <w:color w:val="auto"/>
                <w:sz w:val="18"/>
                <w:szCs w:val="18"/>
              </w:rPr>
              <w:t>与合同约定是否一致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3" w:hRule="atLeast"/>
          <w:jc w:val="center"/>
        </w:trPr>
        <w:tc>
          <w:tcPr>
            <w:tcW w:w="1528" w:type="dxa"/>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tc>
        <w:tc>
          <w:tcPr>
            <w:tcW w:w="1976" w:type="dxa"/>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tc>
        <w:tc>
          <w:tcPr>
            <w:tcW w:w="3463" w:type="dxa"/>
            <w:gridSpan w:val="2"/>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tc>
        <w:tc>
          <w:tcPr>
            <w:tcW w:w="664" w:type="dxa"/>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tc>
        <w:tc>
          <w:tcPr>
            <w:tcW w:w="2129" w:type="dxa"/>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3" w:hRule="atLeast"/>
          <w:jc w:val="center"/>
        </w:trPr>
        <w:tc>
          <w:tcPr>
            <w:tcW w:w="1528" w:type="dxa"/>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tc>
        <w:tc>
          <w:tcPr>
            <w:tcW w:w="1976" w:type="dxa"/>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tc>
        <w:tc>
          <w:tcPr>
            <w:tcW w:w="3463" w:type="dxa"/>
            <w:gridSpan w:val="2"/>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tc>
        <w:tc>
          <w:tcPr>
            <w:tcW w:w="664" w:type="dxa"/>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tc>
        <w:tc>
          <w:tcPr>
            <w:tcW w:w="2129" w:type="dxa"/>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3" w:hRule="atLeast"/>
          <w:jc w:val="center"/>
        </w:trPr>
        <w:tc>
          <w:tcPr>
            <w:tcW w:w="1528" w:type="dxa"/>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tc>
        <w:tc>
          <w:tcPr>
            <w:tcW w:w="1976" w:type="dxa"/>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tc>
        <w:tc>
          <w:tcPr>
            <w:tcW w:w="3463" w:type="dxa"/>
            <w:gridSpan w:val="2"/>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tc>
        <w:tc>
          <w:tcPr>
            <w:tcW w:w="664" w:type="dxa"/>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tc>
        <w:tc>
          <w:tcPr>
            <w:tcW w:w="2129" w:type="dxa"/>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3" w:hRule="atLeast"/>
          <w:jc w:val="center"/>
        </w:trPr>
        <w:tc>
          <w:tcPr>
            <w:tcW w:w="1528" w:type="dxa"/>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tc>
        <w:tc>
          <w:tcPr>
            <w:tcW w:w="1976" w:type="dxa"/>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tc>
        <w:tc>
          <w:tcPr>
            <w:tcW w:w="3463" w:type="dxa"/>
            <w:gridSpan w:val="2"/>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tc>
        <w:tc>
          <w:tcPr>
            <w:tcW w:w="664" w:type="dxa"/>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tc>
        <w:tc>
          <w:tcPr>
            <w:tcW w:w="2129" w:type="dxa"/>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3" w:hRule="atLeast"/>
          <w:jc w:val="center"/>
        </w:trPr>
        <w:tc>
          <w:tcPr>
            <w:tcW w:w="1528" w:type="dxa"/>
            <w:vAlign w:val="center"/>
          </w:tcPr>
          <w:p>
            <w:pPr>
              <w:widowControl/>
              <w:snapToGrid w:val="0"/>
              <w:spacing w:before="100" w:beforeAutospacing="1" w:after="100" w:afterAutospacing="1"/>
              <w:ind w:firstLine="659"/>
              <w:rPr>
                <w:rFonts w:ascii="宋体" w:hAnsi="宋体" w:cs="宋体"/>
                <w:color w:val="auto"/>
                <w:sz w:val="18"/>
                <w:szCs w:val="18"/>
              </w:rPr>
            </w:pPr>
          </w:p>
        </w:tc>
        <w:tc>
          <w:tcPr>
            <w:tcW w:w="1976" w:type="dxa"/>
            <w:vAlign w:val="center"/>
          </w:tcPr>
          <w:p>
            <w:pPr>
              <w:widowControl/>
              <w:snapToGrid w:val="0"/>
              <w:spacing w:before="100" w:beforeAutospacing="1" w:after="100" w:afterAutospacing="1"/>
              <w:ind w:firstLine="659"/>
              <w:rPr>
                <w:rFonts w:ascii="宋体" w:hAnsi="宋体" w:cs="宋体"/>
                <w:color w:val="auto"/>
                <w:sz w:val="18"/>
                <w:szCs w:val="18"/>
              </w:rPr>
            </w:pPr>
          </w:p>
        </w:tc>
        <w:tc>
          <w:tcPr>
            <w:tcW w:w="3463" w:type="dxa"/>
            <w:gridSpan w:val="2"/>
            <w:vAlign w:val="center"/>
          </w:tcPr>
          <w:p>
            <w:pPr>
              <w:widowControl/>
              <w:snapToGrid w:val="0"/>
              <w:spacing w:before="100" w:beforeAutospacing="1" w:after="100" w:afterAutospacing="1"/>
              <w:ind w:firstLine="659"/>
              <w:rPr>
                <w:rFonts w:ascii="宋体" w:hAnsi="宋体" w:cs="宋体"/>
                <w:color w:val="auto"/>
                <w:sz w:val="18"/>
                <w:szCs w:val="18"/>
              </w:rPr>
            </w:pPr>
          </w:p>
        </w:tc>
        <w:tc>
          <w:tcPr>
            <w:tcW w:w="664" w:type="dxa"/>
            <w:vAlign w:val="center"/>
          </w:tcPr>
          <w:p>
            <w:pPr>
              <w:widowControl/>
              <w:snapToGrid w:val="0"/>
              <w:spacing w:before="100" w:beforeAutospacing="1" w:after="100" w:afterAutospacing="1"/>
              <w:ind w:firstLine="659"/>
              <w:rPr>
                <w:rFonts w:ascii="宋体" w:hAnsi="宋体" w:cs="宋体"/>
                <w:color w:val="auto"/>
                <w:sz w:val="18"/>
                <w:szCs w:val="18"/>
              </w:rPr>
            </w:pPr>
          </w:p>
        </w:tc>
        <w:tc>
          <w:tcPr>
            <w:tcW w:w="2129" w:type="dxa"/>
            <w:vAlign w:val="center"/>
          </w:tcPr>
          <w:p>
            <w:pPr>
              <w:widowControl/>
              <w:snapToGrid w:val="0"/>
              <w:spacing w:before="100" w:beforeAutospacing="1" w:after="100" w:afterAutospacing="1"/>
              <w:ind w:firstLine="659"/>
              <w:rPr>
                <w:rFonts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3" w:hRule="atLeast"/>
          <w:jc w:val="center"/>
        </w:trPr>
        <w:tc>
          <w:tcPr>
            <w:tcW w:w="1528" w:type="dxa"/>
            <w:vAlign w:val="center"/>
          </w:tcPr>
          <w:p>
            <w:pPr>
              <w:widowControl/>
              <w:snapToGrid w:val="0"/>
              <w:spacing w:before="100" w:beforeAutospacing="1" w:after="100" w:afterAutospacing="1"/>
              <w:ind w:firstLine="659"/>
              <w:rPr>
                <w:rFonts w:ascii="宋体" w:hAnsi="宋体" w:cs="宋体"/>
                <w:color w:val="auto"/>
                <w:sz w:val="18"/>
                <w:szCs w:val="18"/>
              </w:rPr>
            </w:pPr>
          </w:p>
        </w:tc>
        <w:tc>
          <w:tcPr>
            <w:tcW w:w="1976" w:type="dxa"/>
            <w:vAlign w:val="center"/>
          </w:tcPr>
          <w:p>
            <w:pPr>
              <w:widowControl/>
              <w:snapToGrid w:val="0"/>
              <w:spacing w:before="100" w:beforeAutospacing="1" w:after="100" w:afterAutospacing="1"/>
              <w:ind w:firstLine="659"/>
              <w:rPr>
                <w:rFonts w:ascii="宋体" w:hAnsi="宋体" w:cs="宋体"/>
                <w:color w:val="auto"/>
                <w:sz w:val="18"/>
                <w:szCs w:val="18"/>
              </w:rPr>
            </w:pPr>
          </w:p>
        </w:tc>
        <w:tc>
          <w:tcPr>
            <w:tcW w:w="3463" w:type="dxa"/>
            <w:gridSpan w:val="2"/>
            <w:vAlign w:val="center"/>
          </w:tcPr>
          <w:p>
            <w:pPr>
              <w:widowControl/>
              <w:snapToGrid w:val="0"/>
              <w:spacing w:before="100" w:beforeAutospacing="1" w:after="100" w:afterAutospacing="1"/>
              <w:ind w:firstLine="659"/>
              <w:rPr>
                <w:rFonts w:ascii="宋体" w:hAnsi="宋体" w:cs="宋体"/>
                <w:color w:val="auto"/>
                <w:sz w:val="18"/>
                <w:szCs w:val="18"/>
              </w:rPr>
            </w:pPr>
          </w:p>
        </w:tc>
        <w:tc>
          <w:tcPr>
            <w:tcW w:w="664" w:type="dxa"/>
            <w:vAlign w:val="center"/>
          </w:tcPr>
          <w:p>
            <w:pPr>
              <w:widowControl/>
              <w:snapToGrid w:val="0"/>
              <w:spacing w:before="100" w:beforeAutospacing="1" w:after="100" w:afterAutospacing="1"/>
              <w:ind w:firstLine="659"/>
              <w:rPr>
                <w:rFonts w:ascii="宋体" w:hAnsi="宋体" w:cs="宋体"/>
                <w:color w:val="auto"/>
                <w:sz w:val="18"/>
                <w:szCs w:val="18"/>
              </w:rPr>
            </w:pPr>
          </w:p>
        </w:tc>
        <w:tc>
          <w:tcPr>
            <w:tcW w:w="2129" w:type="dxa"/>
            <w:vAlign w:val="center"/>
          </w:tcPr>
          <w:p>
            <w:pPr>
              <w:widowControl/>
              <w:snapToGrid w:val="0"/>
              <w:spacing w:before="100" w:beforeAutospacing="1" w:after="100" w:afterAutospacing="1"/>
              <w:ind w:firstLine="659"/>
              <w:rPr>
                <w:rFonts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3" w:hRule="atLeast"/>
          <w:jc w:val="center"/>
        </w:trPr>
        <w:tc>
          <w:tcPr>
            <w:tcW w:w="1528" w:type="dxa"/>
            <w:vAlign w:val="center"/>
          </w:tcPr>
          <w:p>
            <w:pPr>
              <w:widowControl/>
              <w:snapToGrid w:val="0"/>
              <w:spacing w:before="100" w:beforeAutospacing="1" w:after="100" w:afterAutospacing="1"/>
              <w:ind w:firstLine="659"/>
              <w:rPr>
                <w:rFonts w:ascii="宋体" w:hAnsi="宋体" w:cs="宋体"/>
                <w:color w:val="auto"/>
                <w:sz w:val="18"/>
                <w:szCs w:val="18"/>
              </w:rPr>
            </w:pPr>
          </w:p>
        </w:tc>
        <w:tc>
          <w:tcPr>
            <w:tcW w:w="1976" w:type="dxa"/>
            <w:vAlign w:val="center"/>
          </w:tcPr>
          <w:p>
            <w:pPr>
              <w:widowControl/>
              <w:snapToGrid w:val="0"/>
              <w:spacing w:before="100" w:beforeAutospacing="1" w:after="100" w:afterAutospacing="1"/>
              <w:ind w:firstLine="659"/>
              <w:rPr>
                <w:rFonts w:ascii="宋体" w:hAnsi="宋体" w:cs="宋体"/>
                <w:color w:val="auto"/>
                <w:sz w:val="18"/>
                <w:szCs w:val="18"/>
              </w:rPr>
            </w:pPr>
          </w:p>
        </w:tc>
        <w:tc>
          <w:tcPr>
            <w:tcW w:w="3463" w:type="dxa"/>
            <w:gridSpan w:val="2"/>
            <w:vAlign w:val="center"/>
          </w:tcPr>
          <w:p>
            <w:pPr>
              <w:widowControl/>
              <w:snapToGrid w:val="0"/>
              <w:spacing w:before="100" w:beforeAutospacing="1" w:after="100" w:afterAutospacing="1"/>
              <w:ind w:firstLine="659"/>
              <w:rPr>
                <w:rFonts w:ascii="宋体" w:hAnsi="宋体" w:cs="宋体"/>
                <w:color w:val="auto"/>
                <w:sz w:val="18"/>
                <w:szCs w:val="18"/>
              </w:rPr>
            </w:pPr>
          </w:p>
        </w:tc>
        <w:tc>
          <w:tcPr>
            <w:tcW w:w="664" w:type="dxa"/>
            <w:vAlign w:val="center"/>
          </w:tcPr>
          <w:p>
            <w:pPr>
              <w:widowControl/>
              <w:snapToGrid w:val="0"/>
              <w:spacing w:before="100" w:beforeAutospacing="1" w:after="100" w:afterAutospacing="1"/>
              <w:ind w:firstLine="659"/>
              <w:rPr>
                <w:rFonts w:ascii="宋体" w:hAnsi="宋体" w:cs="宋体"/>
                <w:color w:val="auto"/>
                <w:sz w:val="18"/>
                <w:szCs w:val="18"/>
              </w:rPr>
            </w:pPr>
          </w:p>
        </w:tc>
        <w:tc>
          <w:tcPr>
            <w:tcW w:w="2129" w:type="dxa"/>
            <w:vAlign w:val="center"/>
          </w:tcPr>
          <w:p>
            <w:pPr>
              <w:widowControl/>
              <w:snapToGrid w:val="0"/>
              <w:spacing w:before="100" w:beforeAutospacing="1" w:after="100" w:afterAutospacing="1"/>
              <w:ind w:firstLine="659"/>
              <w:rPr>
                <w:rFonts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3" w:hRule="atLeast"/>
          <w:jc w:val="center"/>
        </w:trPr>
        <w:tc>
          <w:tcPr>
            <w:tcW w:w="1528" w:type="dxa"/>
            <w:vAlign w:val="center"/>
          </w:tcPr>
          <w:p>
            <w:pPr>
              <w:widowControl/>
              <w:snapToGrid w:val="0"/>
              <w:spacing w:before="100" w:beforeAutospacing="1" w:after="100" w:afterAutospacing="1"/>
              <w:ind w:firstLine="659"/>
              <w:rPr>
                <w:rFonts w:ascii="宋体" w:hAnsi="宋体" w:cs="宋体"/>
                <w:color w:val="auto"/>
                <w:sz w:val="18"/>
                <w:szCs w:val="18"/>
              </w:rPr>
            </w:pPr>
          </w:p>
        </w:tc>
        <w:tc>
          <w:tcPr>
            <w:tcW w:w="1976" w:type="dxa"/>
            <w:vAlign w:val="center"/>
          </w:tcPr>
          <w:p>
            <w:pPr>
              <w:widowControl/>
              <w:snapToGrid w:val="0"/>
              <w:spacing w:before="100" w:beforeAutospacing="1" w:after="100" w:afterAutospacing="1"/>
              <w:ind w:firstLine="659"/>
              <w:rPr>
                <w:rFonts w:ascii="宋体" w:hAnsi="宋体" w:cs="宋体"/>
                <w:color w:val="auto"/>
                <w:sz w:val="18"/>
                <w:szCs w:val="18"/>
              </w:rPr>
            </w:pPr>
          </w:p>
        </w:tc>
        <w:tc>
          <w:tcPr>
            <w:tcW w:w="3463" w:type="dxa"/>
            <w:gridSpan w:val="2"/>
            <w:vAlign w:val="center"/>
          </w:tcPr>
          <w:p>
            <w:pPr>
              <w:widowControl/>
              <w:snapToGrid w:val="0"/>
              <w:spacing w:before="100" w:beforeAutospacing="1" w:after="100" w:afterAutospacing="1"/>
              <w:ind w:firstLine="659"/>
              <w:rPr>
                <w:rFonts w:ascii="宋体" w:hAnsi="宋体" w:cs="宋体"/>
                <w:color w:val="auto"/>
                <w:sz w:val="18"/>
                <w:szCs w:val="18"/>
              </w:rPr>
            </w:pPr>
          </w:p>
        </w:tc>
        <w:tc>
          <w:tcPr>
            <w:tcW w:w="664" w:type="dxa"/>
            <w:vAlign w:val="center"/>
          </w:tcPr>
          <w:p>
            <w:pPr>
              <w:widowControl/>
              <w:snapToGrid w:val="0"/>
              <w:spacing w:before="100" w:beforeAutospacing="1" w:after="100" w:afterAutospacing="1"/>
              <w:ind w:firstLine="659"/>
              <w:rPr>
                <w:rFonts w:ascii="宋体" w:hAnsi="宋体" w:cs="宋体"/>
                <w:color w:val="auto"/>
                <w:sz w:val="18"/>
                <w:szCs w:val="18"/>
              </w:rPr>
            </w:pPr>
          </w:p>
        </w:tc>
        <w:tc>
          <w:tcPr>
            <w:tcW w:w="2129" w:type="dxa"/>
            <w:vAlign w:val="center"/>
          </w:tcPr>
          <w:p>
            <w:pPr>
              <w:widowControl/>
              <w:snapToGrid w:val="0"/>
              <w:spacing w:before="100" w:beforeAutospacing="1" w:after="100" w:afterAutospacing="1"/>
              <w:ind w:firstLine="659"/>
              <w:rPr>
                <w:rFonts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30" w:hRule="atLeast"/>
          <w:jc w:val="center"/>
        </w:trPr>
        <w:tc>
          <w:tcPr>
            <w:tcW w:w="1528" w:type="dxa"/>
            <w:vAlign w:val="center"/>
          </w:tcPr>
          <w:p>
            <w:pPr>
              <w:widowControl/>
              <w:snapToGrid w:val="0"/>
              <w:spacing w:before="100" w:beforeAutospacing="1" w:after="100" w:afterAutospacing="1"/>
              <w:rPr>
                <w:rFonts w:ascii="宋体" w:hAnsi="宋体" w:cs="宋体"/>
                <w:color w:val="auto"/>
                <w:sz w:val="18"/>
                <w:szCs w:val="18"/>
              </w:rPr>
            </w:pPr>
            <w:r>
              <w:rPr>
                <w:rFonts w:hint="eastAsia" w:ascii="宋体" w:hAnsi="宋体" w:cs="宋体"/>
                <w:color w:val="auto"/>
                <w:sz w:val="18"/>
                <w:szCs w:val="18"/>
              </w:rPr>
              <w:t>实际供货日期</w:t>
            </w:r>
          </w:p>
        </w:tc>
        <w:tc>
          <w:tcPr>
            <w:tcW w:w="3564" w:type="dxa"/>
            <w:gridSpan w:val="2"/>
            <w:vAlign w:val="center"/>
          </w:tcPr>
          <w:p>
            <w:pPr>
              <w:widowControl/>
              <w:snapToGrid w:val="0"/>
              <w:spacing w:before="100" w:beforeAutospacing="1" w:after="100" w:afterAutospacing="1"/>
              <w:ind w:firstLine="659"/>
              <w:rPr>
                <w:rFonts w:ascii="宋体" w:hAnsi="宋体" w:cs="宋体"/>
                <w:color w:val="auto"/>
                <w:sz w:val="18"/>
                <w:szCs w:val="18"/>
              </w:rPr>
            </w:pPr>
          </w:p>
        </w:tc>
        <w:tc>
          <w:tcPr>
            <w:tcW w:w="2539" w:type="dxa"/>
            <w:gridSpan w:val="2"/>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合同交货验收日期</w:t>
            </w:r>
          </w:p>
        </w:tc>
        <w:tc>
          <w:tcPr>
            <w:tcW w:w="2129" w:type="dxa"/>
            <w:vAlign w:val="center"/>
          </w:tcPr>
          <w:p>
            <w:pPr>
              <w:widowControl/>
              <w:snapToGrid w:val="0"/>
              <w:spacing w:before="100" w:beforeAutospacing="1" w:after="100" w:afterAutospacing="1"/>
              <w:ind w:firstLine="659"/>
              <w:rPr>
                <w:rFonts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79" w:hRule="atLeast"/>
          <w:jc w:val="center"/>
        </w:trPr>
        <w:tc>
          <w:tcPr>
            <w:tcW w:w="1528" w:type="dxa"/>
            <w:tcMar>
              <w:top w:w="0" w:type="dxa"/>
              <w:left w:w="108" w:type="dxa"/>
              <w:bottom w:w="0" w:type="dxa"/>
              <w:right w:w="108" w:type="dxa"/>
            </w:tcMar>
            <w:vAlign w:val="center"/>
          </w:tcPr>
          <w:p>
            <w:pPr>
              <w:widowControl/>
              <w:snapToGrid w:val="0"/>
              <w:spacing w:before="100" w:beforeAutospacing="1" w:after="100" w:afterAutospacing="1"/>
              <w:rPr>
                <w:rFonts w:ascii="宋体" w:hAnsi="宋体" w:cs="宋体"/>
                <w:color w:val="auto"/>
                <w:sz w:val="18"/>
                <w:szCs w:val="18"/>
              </w:rPr>
            </w:pPr>
            <w:r>
              <w:rPr>
                <w:rFonts w:hint="eastAsia" w:ascii="宋体" w:hAnsi="宋体" w:cs="宋体"/>
                <w:color w:val="auto"/>
                <w:sz w:val="18"/>
                <w:szCs w:val="18"/>
              </w:rPr>
              <w:t>验收具体内容</w:t>
            </w:r>
          </w:p>
        </w:tc>
        <w:tc>
          <w:tcPr>
            <w:tcW w:w="8232" w:type="dxa"/>
            <w:gridSpan w:val="5"/>
            <w:tcMar>
              <w:top w:w="0" w:type="dxa"/>
              <w:left w:w="108" w:type="dxa"/>
              <w:bottom w:w="0" w:type="dxa"/>
              <w:right w:w="108" w:type="dxa"/>
            </w:tcMar>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(按磋商采购文件、竞标响应文件及验收方案等。可附件)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98" w:hRule="atLeast"/>
          <w:jc w:val="center"/>
        </w:trPr>
        <w:tc>
          <w:tcPr>
            <w:tcW w:w="1528" w:type="dxa"/>
            <w:tcMar>
              <w:top w:w="0" w:type="dxa"/>
              <w:left w:w="108" w:type="dxa"/>
              <w:bottom w:w="0" w:type="dxa"/>
              <w:right w:w="108" w:type="dxa"/>
            </w:tcMar>
            <w:vAlign w:val="center"/>
          </w:tcPr>
          <w:p>
            <w:pPr>
              <w:widowControl/>
              <w:snapToGrid w:val="0"/>
              <w:spacing w:before="100" w:beforeAutospacing="1" w:after="100" w:afterAutospacing="1"/>
              <w:rPr>
                <w:rFonts w:ascii="宋体" w:hAnsi="宋体" w:cs="宋体"/>
                <w:color w:val="auto"/>
                <w:sz w:val="18"/>
                <w:szCs w:val="18"/>
              </w:rPr>
            </w:pPr>
            <w:r>
              <w:rPr>
                <w:rFonts w:hint="eastAsia" w:ascii="宋体" w:hAnsi="宋体" w:cs="宋体"/>
                <w:color w:val="auto"/>
                <w:sz w:val="18"/>
                <w:szCs w:val="18"/>
              </w:rPr>
              <w:t>验收小组意见</w:t>
            </w:r>
          </w:p>
        </w:tc>
        <w:tc>
          <w:tcPr>
            <w:tcW w:w="8232" w:type="dxa"/>
            <w:gridSpan w:val="5"/>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01" w:hRule="atLeast"/>
          <w:jc w:val="center"/>
        </w:trPr>
        <w:tc>
          <w:tcPr>
            <w:tcW w:w="9760" w:type="dxa"/>
            <w:gridSpan w:val="6"/>
            <w:tcMar>
              <w:top w:w="0" w:type="dxa"/>
              <w:left w:w="108" w:type="dxa"/>
              <w:bottom w:w="0" w:type="dxa"/>
              <w:right w:w="108" w:type="dxa"/>
            </w:tcMar>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01" w:hRule="atLeast"/>
          <w:jc w:val="center"/>
        </w:trPr>
        <w:tc>
          <w:tcPr>
            <w:tcW w:w="9760" w:type="dxa"/>
            <w:gridSpan w:val="6"/>
            <w:tcMar>
              <w:top w:w="0" w:type="dxa"/>
              <w:left w:w="108" w:type="dxa"/>
              <w:bottom w:w="0" w:type="dxa"/>
              <w:right w:w="108" w:type="dxa"/>
            </w:tcMar>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98" w:hRule="atLeast"/>
          <w:jc w:val="center"/>
        </w:trPr>
        <w:tc>
          <w:tcPr>
            <w:tcW w:w="5092" w:type="dxa"/>
            <w:gridSpan w:val="3"/>
            <w:tcMar>
              <w:top w:w="0" w:type="dxa"/>
              <w:left w:w="108" w:type="dxa"/>
              <w:bottom w:w="0" w:type="dxa"/>
              <w:right w:w="108" w:type="dxa"/>
            </w:tcMar>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供应商签字或盖章：</w:t>
            </w:r>
          </w:p>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联系方式：         年 月 日</w:t>
            </w:r>
          </w:p>
        </w:tc>
        <w:tc>
          <w:tcPr>
            <w:tcW w:w="4668" w:type="dxa"/>
            <w:gridSpan w:val="3"/>
            <w:vAlign w:val="center"/>
          </w:tcPr>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采购单位盖章：</w:t>
            </w:r>
          </w:p>
          <w:p>
            <w:pPr>
              <w:widowControl/>
              <w:snapToGrid w:val="0"/>
              <w:spacing w:before="100" w:beforeAutospacing="1" w:after="100" w:afterAutospacing="1"/>
              <w:ind w:firstLine="659"/>
              <w:rPr>
                <w:rFonts w:ascii="宋体" w:hAnsi="宋体" w:cs="宋体"/>
                <w:color w:val="auto"/>
                <w:sz w:val="18"/>
                <w:szCs w:val="18"/>
              </w:rPr>
            </w:pPr>
            <w:r>
              <w:rPr>
                <w:rFonts w:hint="eastAsia" w:ascii="宋体" w:hAnsi="宋体" w:cs="宋体"/>
                <w:color w:val="auto"/>
                <w:sz w:val="18"/>
                <w:szCs w:val="18"/>
              </w:rPr>
              <w:t>年 月 日</w:t>
            </w:r>
          </w:p>
        </w:tc>
      </w:tr>
    </w:tbl>
    <w:p>
      <w:pPr>
        <w:widowControl/>
        <w:snapToGrid w:val="0"/>
        <w:spacing w:before="100" w:beforeAutospacing="1" w:after="100" w:afterAutospacing="1"/>
        <w:rPr>
          <w:color w:val="auto"/>
          <w:sz w:val="18"/>
          <w:szCs w:val="18"/>
        </w:rPr>
      </w:pPr>
      <w:r>
        <w:rPr>
          <w:rFonts w:hint="eastAsia" w:ascii="宋体" w:hAnsi="宋体" w:cs="宋体"/>
          <w:color w:val="auto"/>
          <w:sz w:val="18"/>
          <w:szCs w:val="18"/>
        </w:rPr>
        <w:t>备注：本报告单一式4份（采购单位1份、供应商1份、采购监督</w:t>
      </w:r>
      <w:bookmarkStart w:id="39" w:name="_Toc13314"/>
      <w:r>
        <w:rPr>
          <w:rFonts w:hint="eastAsia" w:ascii="宋体" w:hAnsi="宋体" w:cs="宋体"/>
          <w:color w:val="auto"/>
          <w:sz w:val="18"/>
          <w:szCs w:val="18"/>
        </w:rPr>
        <w:t>1份）</w:t>
      </w:r>
    </w:p>
    <w:p>
      <w:pPr>
        <w:pStyle w:val="2"/>
        <w:ind w:firstLine="2409" w:firstLineChars="800"/>
        <w:rPr>
          <w:color w:val="auto"/>
          <w:sz w:val="30"/>
          <w:szCs w:val="30"/>
        </w:rPr>
      </w:pPr>
      <w:r>
        <w:rPr>
          <w:rFonts w:hint="eastAsia"/>
          <w:color w:val="auto"/>
          <w:sz w:val="30"/>
          <w:szCs w:val="30"/>
        </w:rPr>
        <w:t>第四章  竞争性磋商响应文件格式</w:t>
      </w:r>
      <w:bookmarkEnd w:id="39"/>
    </w:p>
    <w:p>
      <w:pPr>
        <w:pStyle w:val="3"/>
        <w:jc w:val="center"/>
        <w:rPr>
          <w:color w:val="auto"/>
          <w:sz w:val="30"/>
          <w:szCs w:val="30"/>
        </w:rPr>
      </w:pPr>
      <w:bookmarkStart w:id="40" w:name="_Toc21553"/>
      <w:r>
        <w:rPr>
          <w:rFonts w:hint="eastAsia"/>
          <w:color w:val="auto"/>
          <w:sz w:val="30"/>
          <w:szCs w:val="30"/>
        </w:rPr>
        <w:t>一、 竞争性磋商响应文件外包装封面</w:t>
      </w:r>
      <w:bookmarkEnd w:id="40"/>
    </w:p>
    <w:p>
      <w:pPr>
        <w:pStyle w:val="3"/>
        <w:jc w:val="center"/>
        <w:rPr>
          <w:color w:val="auto"/>
          <w:sz w:val="30"/>
          <w:szCs w:val="30"/>
        </w:rPr>
      </w:pPr>
      <w:bookmarkStart w:id="41" w:name="_Toc15284"/>
      <w:r>
        <w:rPr>
          <w:rFonts w:hint="eastAsia"/>
          <w:color w:val="auto"/>
          <w:sz w:val="30"/>
          <w:szCs w:val="30"/>
        </w:rPr>
        <w:t>及竞争性磋商响应文件封面格式</w:t>
      </w:r>
      <w:bookmarkEnd w:id="41"/>
    </w:p>
    <w:p>
      <w:pPr>
        <w:snapToGrid w:val="0"/>
        <w:spacing w:before="156" w:beforeLines="50" w:after="50" w:line="360" w:lineRule="exact"/>
        <w:rPr>
          <w:rFonts w:ascii="宋体" w:hAnsi="宋体"/>
          <w:b/>
          <w:color w:val="auto"/>
          <w:sz w:val="18"/>
          <w:szCs w:val="18"/>
        </w:rPr>
      </w:pPr>
    </w:p>
    <w:p>
      <w:pPr>
        <w:pStyle w:val="4"/>
        <w:rPr>
          <w:color w:val="auto"/>
          <w:sz w:val="30"/>
          <w:szCs w:val="30"/>
        </w:rPr>
      </w:pPr>
      <w:r>
        <w:rPr>
          <w:rFonts w:hint="eastAsia"/>
          <w:color w:val="auto"/>
          <w:sz w:val="30"/>
          <w:szCs w:val="30"/>
        </w:rPr>
        <w:t xml:space="preserve">一）. 竞争性磋商响应文件的外包装封面格式： </w:t>
      </w:r>
    </w:p>
    <w:p>
      <w:pPr>
        <w:snapToGrid w:val="0"/>
        <w:spacing w:before="156" w:beforeLines="50" w:after="50" w:line="360" w:lineRule="exact"/>
        <w:rPr>
          <w:rFonts w:ascii="宋体" w:hAnsi="宋体"/>
          <w:color w:val="auto"/>
          <w:sz w:val="18"/>
          <w:szCs w:val="18"/>
        </w:rPr>
      </w:pPr>
    </w:p>
    <w:p>
      <w:pPr>
        <w:snapToGrid w:val="0"/>
        <w:spacing w:before="156" w:beforeLines="50" w:after="50" w:line="360" w:lineRule="exact"/>
        <w:ind w:firstLine="1979" w:firstLineChars="1095"/>
        <w:rPr>
          <w:rFonts w:ascii="仿宋_GB2312" w:hAnsi="宋体" w:eastAsia="仿宋_GB2312"/>
          <w:b/>
          <w:color w:val="auto"/>
          <w:sz w:val="18"/>
          <w:szCs w:val="18"/>
        </w:rPr>
      </w:pPr>
    </w:p>
    <w:p>
      <w:pPr>
        <w:snapToGrid w:val="0"/>
        <w:spacing w:before="156" w:beforeLines="50" w:after="50" w:line="360" w:lineRule="exact"/>
        <w:ind w:firstLine="1979" w:firstLineChars="1095"/>
        <w:rPr>
          <w:rFonts w:ascii="宋体" w:hAnsi="宋体"/>
          <w:color w:val="auto"/>
          <w:sz w:val="18"/>
          <w:szCs w:val="18"/>
        </w:rPr>
      </w:pPr>
      <w:r>
        <w:rPr>
          <w:rFonts w:hint="eastAsia" w:ascii="仿宋_GB2312" w:hAnsi="宋体" w:eastAsia="仿宋_GB2312"/>
          <w:b/>
          <w:color w:val="auto"/>
          <w:sz w:val="18"/>
          <w:szCs w:val="18"/>
        </w:rPr>
        <w:t>竞争性磋商响应文件</w:t>
      </w:r>
      <w:r>
        <w:rPr>
          <w:rFonts w:hint="eastAsia" w:ascii="宋体" w:hAnsi="宋体"/>
          <w:b/>
          <w:bCs/>
          <w:color w:val="auto"/>
          <w:sz w:val="18"/>
          <w:szCs w:val="18"/>
        </w:rPr>
        <w:t xml:space="preserve">              </w:t>
      </w:r>
    </w:p>
    <w:p>
      <w:pPr>
        <w:snapToGrid w:val="0"/>
        <w:spacing w:before="156" w:beforeLines="50" w:after="50" w:line="360" w:lineRule="exact"/>
        <w:ind w:firstLine="540" w:firstLineChars="300"/>
        <w:rPr>
          <w:rFonts w:ascii="宋体" w:hAnsi="宋体"/>
          <w:color w:val="auto"/>
          <w:sz w:val="18"/>
          <w:szCs w:val="18"/>
        </w:rPr>
      </w:pPr>
    </w:p>
    <w:p>
      <w:pPr>
        <w:snapToGrid w:val="0"/>
        <w:spacing w:before="156" w:beforeLines="50" w:after="50" w:line="360" w:lineRule="exact"/>
        <w:ind w:firstLine="540" w:firstLineChars="300"/>
        <w:rPr>
          <w:rFonts w:ascii="宋体" w:hAnsi="宋体"/>
          <w:color w:val="auto"/>
          <w:sz w:val="18"/>
          <w:szCs w:val="18"/>
        </w:rPr>
      </w:pPr>
    </w:p>
    <w:p>
      <w:pPr>
        <w:snapToGrid w:val="0"/>
        <w:spacing w:before="156" w:beforeLines="50" w:after="50" w:line="360" w:lineRule="exact"/>
        <w:ind w:firstLine="540" w:firstLineChars="300"/>
        <w:rPr>
          <w:rFonts w:ascii="宋体" w:hAnsi="宋体"/>
          <w:color w:val="auto"/>
          <w:sz w:val="18"/>
          <w:szCs w:val="18"/>
        </w:rPr>
      </w:pPr>
    </w:p>
    <w:p>
      <w:pPr>
        <w:snapToGrid w:val="0"/>
        <w:spacing w:before="156" w:beforeLines="50" w:after="50" w:line="360" w:lineRule="exact"/>
        <w:ind w:firstLine="990" w:firstLineChars="550"/>
        <w:rPr>
          <w:rFonts w:ascii="宋体" w:hAnsi="宋体"/>
          <w:bCs/>
          <w:color w:val="auto"/>
          <w:sz w:val="18"/>
          <w:szCs w:val="18"/>
          <w:u w:val="single"/>
        </w:rPr>
      </w:pPr>
      <w:r>
        <w:rPr>
          <w:rFonts w:hint="eastAsia" w:ascii="宋体" w:hAnsi="宋体"/>
          <w:color w:val="auto"/>
          <w:sz w:val="18"/>
          <w:szCs w:val="18"/>
        </w:rPr>
        <w:t>项目名称</w:t>
      </w:r>
      <w:r>
        <w:rPr>
          <w:rFonts w:hint="eastAsia" w:ascii="宋体" w:hAnsi="宋体"/>
          <w:bCs/>
          <w:color w:val="auto"/>
          <w:sz w:val="18"/>
          <w:szCs w:val="18"/>
        </w:rPr>
        <w:t>：</w:t>
      </w:r>
      <w:r>
        <w:rPr>
          <w:rFonts w:hint="eastAsia" w:ascii="宋体" w:hAnsi="宋体"/>
          <w:bCs/>
          <w:color w:val="auto"/>
          <w:sz w:val="18"/>
          <w:szCs w:val="18"/>
          <w:u w:val="single"/>
        </w:rPr>
        <w:t xml:space="preserve">                      </w:t>
      </w:r>
    </w:p>
    <w:p>
      <w:pPr>
        <w:snapToGrid w:val="0"/>
        <w:spacing w:before="156" w:beforeLines="50" w:after="50" w:line="360" w:lineRule="exact"/>
        <w:ind w:firstLine="540" w:firstLineChars="300"/>
        <w:rPr>
          <w:rFonts w:ascii="宋体" w:hAnsi="宋体"/>
          <w:color w:val="auto"/>
          <w:sz w:val="18"/>
          <w:szCs w:val="18"/>
        </w:rPr>
      </w:pPr>
    </w:p>
    <w:p>
      <w:pPr>
        <w:snapToGrid w:val="0"/>
        <w:spacing w:before="156" w:beforeLines="50" w:after="50" w:line="360" w:lineRule="exact"/>
        <w:ind w:firstLine="540" w:firstLineChars="300"/>
        <w:rPr>
          <w:rFonts w:ascii="宋体" w:hAnsi="宋体"/>
          <w:color w:val="auto"/>
          <w:sz w:val="18"/>
          <w:szCs w:val="18"/>
        </w:rPr>
      </w:pPr>
    </w:p>
    <w:p>
      <w:pPr>
        <w:snapToGrid w:val="0"/>
        <w:spacing w:before="156" w:beforeLines="50" w:after="50" w:line="360" w:lineRule="exact"/>
        <w:ind w:firstLine="900" w:firstLineChars="500"/>
        <w:rPr>
          <w:rFonts w:ascii="宋体" w:hAnsi="宋体"/>
          <w:bCs/>
          <w:color w:val="auto"/>
          <w:sz w:val="18"/>
          <w:szCs w:val="18"/>
          <w:u w:val="single"/>
        </w:rPr>
      </w:pPr>
      <w:r>
        <w:rPr>
          <w:rFonts w:hint="eastAsia" w:ascii="宋体" w:hAnsi="宋体"/>
          <w:color w:val="auto"/>
          <w:sz w:val="18"/>
          <w:szCs w:val="18"/>
        </w:rPr>
        <w:t>项目编号</w:t>
      </w:r>
      <w:r>
        <w:rPr>
          <w:rFonts w:hint="eastAsia" w:ascii="宋体" w:hAnsi="宋体"/>
          <w:bCs/>
          <w:color w:val="auto"/>
          <w:sz w:val="18"/>
          <w:szCs w:val="18"/>
        </w:rPr>
        <w:t>：</w:t>
      </w:r>
      <w:r>
        <w:rPr>
          <w:rFonts w:hint="eastAsia" w:ascii="宋体" w:hAnsi="宋体"/>
          <w:bCs/>
          <w:color w:val="auto"/>
          <w:sz w:val="18"/>
          <w:szCs w:val="18"/>
          <w:u w:val="single"/>
        </w:rPr>
        <w:t xml:space="preserve">                      </w:t>
      </w:r>
      <w:r>
        <w:rPr>
          <w:rFonts w:hint="eastAsia" w:ascii="宋体" w:hAnsi="宋体"/>
          <w:color w:val="auto"/>
          <w:sz w:val="18"/>
          <w:szCs w:val="18"/>
        </w:rPr>
        <w:t xml:space="preserve">                         </w:t>
      </w:r>
    </w:p>
    <w:p>
      <w:pPr>
        <w:pStyle w:val="7"/>
        <w:snapToGrid w:val="0"/>
        <w:spacing w:before="50" w:after="50" w:line="440" w:lineRule="exact"/>
        <w:ind w:firstLine="540" w:firstLineChars="300"/>
        <w:rPr>
          <w:rFonts w:ascii="宋体" w:hAnsi="宋体"/>
          <w:color w:val="auto"/>
          <w:sz w:val="18"/>
          <w:szCs w:val="18"/>
        </w:rPr>
      </w:pPr>
    </w:p>
    <w:p>
      <w:pPr>
        <w:pStyle w:val="7"/>
        <w:snapToGrid w:val="0"/>
        <w:spacing w:before="50" w:after="50" w:line="440" w:lineRule="exact"/>
        <w:ind w:firstLine="360" w:firstLineChars="200"/>
        <w:rPr>
          <w:rFonts w:ascii="宋体" w:hAnsi="宋体"/>
          <w:color w:val="auto"/>
          <w:sz w:val="18"/>
          <w:szCs w:val="18"/>
        </w:rPr>
      </w:pPr>
    </w:p>
    <w:p>
      <w:pPr>
        <w:pStyle w:val="7"/>
        <w:snapToGrid w:val="0"/>
        <w:spacing w:before="50" w:after="50" w:line="440" w:lineRule="exact"/>
        <w:ind w:firstLine="0"/>
        <w:rPr>
          <w:rFonts w:ascii="宋体" w:hAnsi="宋体"/>
          <w:color w:val="auto"/>
          <w:sz w:val="18"/>
          <w:szCs w:val="18"/>
        </w:rPr>
      </w:pPr>
    </w:p>
    <w:p>
      <w:pPr>
        <w:pStyle w:val="7"/>
        <w:snapToGrid w:val="0"/>
        <w:spacing w:before="50" w:after="50" w:line="440" w:lineRule="exact"/>
        <w:ind w:firstLine="810" w:firstLineChars="450"/>
        <w:rPr>
          <w:rFonts w:ascii="宋体" w:hAnsi="宋体"/>
          <w:bCs/>
          <w:color w:val="auto"/>
          <w:sz w:val="18"/>
          <w:szCs w:val="18"/>
          <w:u w:val="single"/>
        </w:rPr>
      </w:pPr>
      <w:r>
        <w:rPr>
          <w:rFonts w:hint="eastAsia" w:ascii="宋体" w:hAnsi="宋体"/>
          <w:color w:val="auto"/>
          <w:sz w:val="18"/>
          <w:szCs w:val="18"/>
        </w:rPr>
        <w:t>供应商名称</w:t>
      </w:r>
      <w:r>
        <w:rPr>
          <w:rFonts w:hint="eastAsia" w:ascii="宋体" w:hAnsi="宋体"/>
          <w:bCs/>
          <w:color w:val="auto"/>
          <w:sz w:val="18"/>
          <w:szCs w:val="18"/>
        </w:rPr>
        <w:t>：</w:t>
      </w:r>
      <w:r>
        <w:rPr>
          <w:rFonts w:hint="eastAsia" w:ascii="宋体" w:hAnsi="宋体"/>
          <w:bCs/>
          <w:color w:val="auto"/>
          <w:sz w:val="18"/>
          <w:szCs w:val="18"/>
          <w:u w:val="single"/>
        </w:rPr>
        <w:t xml:space="preserve">                           </w:t>
      </w:r>
    </w:p>
    <w:p>
      <w:pPr>
        <w:pStyle w:val="7"/>
        <w:snapToGrid w:val="0"/>
        <w:spacing w:before="50" w:after="50" w:line="360" w:lineRule="exact"/>
        <w:ind w:firstLine="540" w:firstLineChars="300"/>
        <w:rPr>
          <w:rFonts w:ascii="宋体" w:hAnsi="宋体"/>
          <w:bCs/>
          <w:color w:val="auto"/>
          <w:sz w:val="18"/>
          <w:szCs w:val="18"/>
        </w:rPr>
      </w:pPr>
    </w:p>
    <w:p>
      <w:pPr>
        <w:pStyle w:val="7"/>
        <w:snapToGrid w:val="0"/>
        <w:spacing w:before="50" w:after="50" w:line="360" w:lineRule="exact"/>
        <w:ind w:firstLine="540" w:firstLineChars="300"/>
        <w:rPr>
          <w:rFonts w:ascii="宋体" w:hAnsi="宋体"/>
          <w:bCs/>
          <w:color w:val="auto"/>
          <w:sz w:val="18"/>
          <w:szCs w:val="18"/>
        </w:rPr>
      </w:pPr>
    </w:p>
    <w:p>
      <w:pPr>
        <w:pStyle w:val="7"/>
        <w:snapToGrid w:val="0"/>
        <w:spacing w:before="50" w:after="50" w:line="360" w:lineRule="exact"/>
        <w:ind w:firstLine="810" w:firstLineChars="450"/>
        <w:rPr>
          <w:rFonts w:ascii="宋体" w:hAnsi="宋体"/>
          <w:bCs/>
          <w:color w:val="auto"/>
          <w:sz w:val="18"/>
          <w:szCs w:val="18"/>
        </w:rPr>
      </w:pPr>
      <w:r>
        <w:rPr>
          <w:rFonts w:hint="eastAsia" w:ascii="宋体" w:hAnsi="宋体"/>
          <w:bCs/>
          <w:color w:val="auto"/>
          <w:sz w:val="18"/>
          <w:szCs w:val="18"/>
        </w:rPr>
        <w:t>（截标时才能启封）</w:t>
      </w:r>
    </w:p>
    <w:p>
      <w:pPr>
        <w:pStyle w:val="7"/>
        <w:snapToGrid w:val="0"/>
        <w:spacing w:before="50" w:after="50" w:line="360" w:lineRule="exact"/>
        <w:ind w:firstLine="540" w:firstLineChars="300"/>
        <w:rPr>
          <w:rFonts w:ascii="宋体" w:hAnsi="宋体"/>
          <w:bCs/>
          <w:color w:val="auto"/>
          <w:sz w:val="18"/>
          <w:szCs w:val="18"/>
        </w:rPr>
      </w:pPr>
    </w:p>
    <w:p>
      <w:pPr>
        <w:snapToGrid w:val="0"/>
        <w:spacing w:before="156" w:beforeLines="50" w:after="50" w:line="360" w:lineRule="exact"/>
        <w:rPr>
          <w:rFonts w:ascii="宋体" w:hAnsi="宋体"/>
          <w:b/>
          <w:color w:val="auto"/>
          <w:sz w:val="18"/>
          <w:szCs w:val="18"/>
        </w:rPr>
      </w:pPr>
    </w:p>
    <w:p>
      <w:pPr>
        <w:pStyle w:val="4"/>
        <w:rPr>
          <w:color w:val="auto"/>
          <w:sz w:val="30"/>
          <w:szCs w:val="30"/>
        </w:rPr>
      </w:pPr>
    </w:p>
    <w:p>
      <w:pPr>
        <w:pStyle w:val="4"/>
        <w:rPr>
          <w:color w:val="auto"/>
          <w:sz w:val="30"/>
          <w:szCs w:val="30"/>
        </w:rPr>
      </w:pPr>
      <w:r>
        <w:rPr>
          <w:rFonts w:hint="eastAsia"/>
          <w:color w:val="auto"/>
          <w:sz w:val="30"/>
          <w:szCs w:val="30"/>
        </w:rPr>
        <w:t xml:space="preserve">二）. 竞争性磋商响应文件封面格式： </w:t>
      </w:r>
    </w:p>
    <w:p>
      <w:pPr>
        <w:snapToGrid w:val="0"/>
        <w:spacing w:before="156" w:beforeLines="50" w:after="50" w:line="360" w:lineRule="exact"/>
        <w:ind w:left="5400" w:hanging="5400" w:hangingChars="3000"/>
        <w:rPr>
          <w:rFonts w:ascii="仿宋_GB2312" w:hAnsi="宋体" w:eastAsia="仿宋_GB2312"/>
          <w:color w:val="auto"/>
          <w:sz w:val="18"/>
          <w:szCs w:val="18"/>
        </w:rPr>
      </w:pPr>
      <w:r>
        <w:rPr>
          <w:rFonts w:hint="eastAsia" w:ascii="仿宋_GB2312" w:hAnsi="宋体" w:eastAsia="仿宋_GB2312"/>
          <w:color w:val="auto"/>
          <w:sz w:val="18"/>
          <w:szCs w:val="18"/>
        </w:rPr>
        <w:t xml:space="preserve">                                                  </w:t>
      </w:r>
    </w:p>
    <w:p>
      <w:pPr>
        <w:snapToGrid w:val="0"/>
        <w:spacing w:before="156" w:beforeLines="50" w:after="50" w:line="360" w:lineRule="exact"/>
        <w:ind w:left="5400" w:hanging="5400" w:hangingChars="3000"/>
        <w:rPr>
          <w:rFonts w:ascii="仿宋_GB2312" w:hAnsi="宋体" w:eastAsia="仿宋_GB2312"/>
          <w:color w:val="auto"/>
          <w:sz w:val="18"/>
          <w:szCs w:val="18"/>
        </w:rPr>
      </w:pPr>
    </w:p>
    <w:p>
      <w:pPr>
        <w:snapToGrid w:val="0"/>
        <w:spacing w:before="156" w:beforeLines="50" w:after="50" w:line="360" w:lineRule="exact"/>
        <w:ind w:left="5400" w:hanging="5400" w:hangingChars="3000"/>
        <w:rPr>
          <w:rFonts w:ascii="仿宋_GB2312" w:hAnsi="宋体" w:eastAsia="仿宋_GB2312"/>
          <w:bCs/>
          <w:color w:val="auto"/>
          <w:sz w:val="18"/>
          <w:szCs w:val="18"/>
        </w:rPr>
      </w:pPr>
      <w:r>
        <w:rPr>
          <w:rFonts w:hint="eastAsia" w:ascii="仿宋_GB2312" w:hAnsi="宋体" w:eastAsia="仿宋_GB2312"/>
          <w:color w:val="auto"/>
          <w:sz w:val="18"/>
          <w:szCs w:val="18"/>
        </w:rPr>
        <w:t xml:space="preserve">                                                                  </w:t>
      </w:r>
      <w:r>
        <w:rPr>
          <w:rFonts w:hint="eastAsia" w:ascii="宋体" w:hAnsi="宋体"/>
          <w:b/>
          <w:bCs/>
          <w:color w:val="auto"/>
          <w:sz w:val="18"/>
          <w:szCs w:val="18"/>
        </w:rPr>
        <w:t>（正/副本）</w:t>
      </w:r>
    </w:p>
    <w:p>
      <w:pPr>
        <w:snapToGrid w:val="0"/>
        <w:spacing w:before="156" w:beforeLines="50" w:after="50" w:line="360" w:lineRule="exact"/>
        <w:ind w:firstLine="1437" w:firstLineChars="795"/>
        <w:rPr>
          <w:rFonts w:ascii="仿宋_GB2312" w:hAnsi="宋体" w:eastAsia="仿宋_GB2312"/>
          <w:b/>
          <w:color w:val="auto"/>
          <w:sz w:val="18"/>
          <w:szCs w:val="18"/>
        </w:rPr>
      </w:pPr>
    </w:p>
    <w:p>
      <w:pPr>
        <w:snapToGrid w:val="0"/>
        <w:spacing w:before="156" w:beforeLines="50" w:after="50" w:line="360" w:lineRule="exact"/>
        <w:ind w:firstLine="1437" w:firstLineChars="795"/>
        <w:rPr>
          <w:rFonts w:ascii="仿宋_GB2312" w:hAnsi="宋体" w:eastAsia="仿宋_GB2312"/>
          <w:bCs/>
          <w:color w:val="auto"/>
          <w:sz w:val="18"/>
          <w:szCs w:val="18"/>
        </w:rPr>
      </w:pPr>
      <w:r>
        <w:rPr>
          <w:rFonts w:hint="eastAsia" w:ascii="仿宋_GB2312" w:hAnsi="宋体" w:eastAsia="仿宋_GB2312"/>
          <w:b/>
          <w:color w:val="auto"/>
          <w:sz w:val="18"/>
          <w:szCs w:val="18"/>
        </w:rPr>
        <w:t>竞争性磋商响应文件（封面）</w:t>
      </w:r>
    </w:p>
    <w:p>
      <w:pPr>
        <w:spacing w:line="500" w:lineRule="exact"/>
        <w:ind w:firstLine="360" w:firstLineChars="200"/>
        <w:rPr>
          <w:rFonts w:ascii="宋体" w:hAnsi="宋体"/>
          <w:color w:val="auto"/>
          <w:sz w:val="18"/>
          <w:szCs w:val="18"/>
        </w:rPr>
      </w:pPr>
    </w:p>
    <w:p>
      <w:pPr>
        <w:spacing w:line="500" w:lineRule="exact"/>
        <w:ind w:firstLine="360" w:firstLineChars="200"/>
        <w:rPr>
          <w:rFonts w:ascii="宋体" w:hAnsi="宋体"/>
          <w:color w:val="auto"/>
          <w:sz w:val="18"/>
          <w:szCs w:val="18"/>
        </w:rPr>
      </w:pPr>
    </w:p>
    <w:p>
      <w:pPr>
        <w:spacing w:line="500" w:lineRule="exact"/>
        <w:ind w:firstLine="360" w:firstLineChars="200"/>
        <w:rPr>
          <w:rFonts w:ascii="宋体" w:hAnsi="宋体"/>
          <w:color w:val="auto"/>
          <w:sz w:val="18"/>
          <w:szCs w:val="18"/>
        </w:rPr>
      </w:pPr>
    </w:p>
    <w:p>
      <w:pPr>
        <w:spacing w:line="500" w:lineRule="exact"/>
        <w:ind w:firstLine="810" w:firstLineChars="450"/>
        <w:rPr>
          <w:rFonts w:ascii="宋体" w:hAnsi="宋体"/>
          <w:color w:val="auto"/>
          <w:sz w:val="18"/>
          <w:szCs w:val="18"/>
          <w:u w:val="single"/>
        </w:rPr>
      </w:pPr>
      <w:r>
        <w:rPr>
          <w:rFonts w:hint="eastAsia" w:ascii="宋体" w:hAnsi="宋体"/>
          <w:color w:val="auto"/>
          <w:sz w:val="18"/>
          <w:szCs w:val="18"/>
        </w:rPr>
        <w:t>项目名称：</w:t>
      </w:r>
      <w:r>
        <w:rPr>
          <w:rFonts w:hint="eastAsia" w:ascii="宋体" w:hAnsi="宋体"/>
          <w:color w:val="auto"/>
          <w:sz w:val="18"/>
          <w:szCs w:val="18"/>
          <w:u w:val="single"/>
        </w:rPr>
        <w:t xml:space="preserve">                       </w:t>
      </w:r>
    </w:p>
    <w:p>
      <w:pPr>
        <w:snapToGrid w:val="0"/>
        <w:spacing w:before="156" w:beforeLines="50" w:after="50" w:line="360" w:lineRule="exact"/>
        <w:ind w:firstLine="360" w:firstLineChars="200"/>
        <w:rPr>
          <w:rFonts w:ascii="宋体" w:hAnsi="宋体"/>
          <w:color w:val="auto"/>
          <w:sz w:val="18"/>
          <w:szCs w:val="18"/>
        </w:rPr>
      </w:pPr>
    </w:p>
    <w:p>
      <w:pPr>
        <w:snapToGrid w:val="0"/>
        <w:spacing w:before="156" w:beforeLines="50" w:after="50" w:line="360" w:lineRule="exact"/>
        <w:ind w:firstLine="360" w:firstLineChars="200"/>
        <w:rPr>
          <w:rFonts w:ascii="宋体" w:hAnsi="宋体"/>
          <w:color w:val="auto"/>
          <w:sz w:val="18"/>
          <w:szCs w:val="18"/>
        </w:rPr>
      </w:pPr>
    </w:p>
    <w:p>
      <w:pPr>
        <w:snapToGrid w:val="0"/>
        <w:spacing w:before="156" w:beforeLines="50" w:after="50" w:line="360" w:lineRule="exact"/>
        <w:ind w:firstLine="810" w:firstLineChars="450"/>
        <w:rPr>
          <w:rFonts w:ascii="宋体" w:hAnsi="宋体"/>
          <w:color w:val="auto"/>
          <w:sz w:val="18"/>
          <w:szCs w:val="18"/>
          <w:u w:val="single"/>
        </w:rPr>
      </w:pPr>
      <w:r>
        <w:rPr>
          <w:rFonts w:hint="eastAsia" w:ascii="宋体" w:hAnsi="宋体"/>
          <w:color w:val="auto"/>
          <w:sz w:val="18"/>
          <w:szCs w:val="18"/>
        </w:rPr>
        <w:t>项目编号</w:t>
      </w:r>
      <w:r>
        <w:rPr>
          <w:rFonts w:hint="eastAsia" w:ascii="宋体" w:hAnsi="宋体"/>
          <w:bCs/>
          <w:color w:val="auto"/>
          <w:sz w:val="18"/>
          <w:szCs w:val="18"/>
        </w:rPr>
        <w:t>：</w:t>
      </w:r>
      <w:r>
        <w:rPr>
          <w:rFonts w:hint="eastAsia" w:ascii="宋体" w:hAnsi="宋体"/>
          <w:color w:val="auto"/>
          <w:sz w:val="18"/>
          <w:szCs w:val="18"/>
          <w:u w:val="single"/>
        </w:rPr>
        <w:t xml:space="preserve">                       </w:t>
      </w:r>
    </w:p>
    <w:p>
      <w:pPr>
        <w:pStyle w:val="7"/>
        <w:snapToGrid w:val="0"/>
        <w:spacing w:before="50" w:after="50" w:line="440" w:lineRule="exact"/>
        <w:ind w:firstLine="360" w:firstLineChars="200"/>
        <w:rPr>
          <w:rFonts w:ascii="宋体" w:hAnsi="宋体"/>
          <w:color w:val="auto"/>
          <w:sz w:val="18"/>
          <w:szCs w:val="18"/>
          <w:u w:val="single"/>
        </w:rPr>
      </w:pPr>
    </w:p>
    <w:p>
      <w:pPr>
        <w:snapToGrid w:val="0"/>
        <w:spacing w:before="156" w:beforeLines="50" w:after="50" w:line="360" w:lineRule="exact"/>
        <w:rPr>
          <w:rFonts w:ascii="宋体" w:hAnsi="宋体"/>
          <w:color w:val="auto"/>
          <w:sz w:val="18"/>
          <w:szCs w:val="18"/>
        </w:rPr>
      </w:pPr>
    </w:p>
    <w:p>
      <w:pPr>
        <w:snapToGrid w:val="0"/>
        <w:spacing w:before="156" w:beforeLines="50" w:after="50" w:line="360" w:lineRule="exact"/>
        <w:ind w:firstLine="360" w:firstLineChars="200"/>
        <w:rPr>
          <w:rFonts w:ascii="宋体" w:hAnsi="宋体"/>
          <w:color w:val="auto"/>
          <w:sz w:val="18"/>
          <w:szCs w:val="18"/>
        </w:rPr>
      </w:pPr>
    </w:p>
    <w:p>
      <w:pPr>
        <w:snapToGrid w:val="0"/>
        <w:spacing w:before="156" w:beforeLines="50" w:after="50" w:line="360" w:lineRule="exact"/>
        <w:ind w:firstLine="720" w:firstLineChars="400"/>
        <w:rPr>
          <w:rFonts w:ascii="宋体" w:hAnsi="宋体"/>
          <w:bCs/>
          <w:color w:val="auto"/>
          <w:sz w:val="18"/>
          <w:szCs w:val="18"/>
        </w:rPr>
      </w:pPr>
      <w:r>
        <w:rPr>
          <w:rFonts w:hint="eastAsia" w:ascii="宋体" w:hAnsi="宋体"/>
          <w:color w:val="auto"/>
          <w:sz w:val="18"/>
          <w:szCs w:val="18"/>
        </w:rPr>
        <w:t>供应商名称</w:t>
      </w:r>
      <w:r>
        <w:rPr>
          <w:rFonts w:hint="eastAsia" w:ascii="宋体" w:hAnsi="宋体"/>
          <w:bCs/>
          <w:color w:val="auto"/>
          <w:sz w:val="18"/>
          <w:szCs w:val="18"/>
        </w:rPr>
        <w:t>：</w:t>
      </w:r>
      <w:r>
        <w:rPr>
          <w:rFonts w:hint="eastAsia" w:ascii="宋体" w:hAnsi="宋体"/>
          <w:color w:val="auto"/>
          <w:sz w:val="18"/>
          <w:szCs w:val="18"/>
          <w:u w:val="single"/>
        </w:rPr>
        <w:t xml:space="preserve">                        </w:t>
      </w:r>
    </w:p>
    <w:p>
      <w:pPr>
        <w:spacing w:line="500" w:lineRule="exact"/>
        <w:jc w:val="center"/>
        <w:rPr>
          <w:rFonts w:ascii="宋体" w:hAnsi="宋体"/>
          <w:color w:val="auto"/>
          <w:sz w:val="18"/>
          <w:szCs w:val="18"/>
        </w:rPr>
      </w:pPr>
      <w:r>
        <w:rPr>
          <w:rFonts w:hint="eastAsia" w:ascii="仿宋_GB2312" w:hAnsi="宋体" w:eastAsia="仿宋_GB2312"/>
          <w:color w:val="auto"/>
          <w:sz w:val="18"/>
          <w:szCs w:val="18"/>
        </w:rPr>
        <w:t xml:space="preserve">                      </w:t>
      </w:r>
    </w:p>
    <w:p>
      <w:pPr>
        <w:snapToGrid w:val="0"/>
        <w:spacing w:before="156" w:beforeLines="50" w:after="50" w:line="360" w:lineRule="exact"/>
        <w:jc w:val="center"/>
        <w:outlineLvl w:val="1"/>
        <w:rPr>
          <w:rFonts w:ascii="宋体" w:hAnsi="宋体"/>
          <w:color w:val="auto"/>
          <w:sz w:val="18"/>
          <w:szCs w:val="18"/>
        </w:rPr>
      </w:pPr>
      <w:r>
        <w:rPr>
          <w:rFonts w:hint="eastAsia" w:ascii="宋体" w:hAnsi="宋体"/>
          <w:color w:val="auto"/>
          <w:sz w:val="18"/>
          <w:szCs w:val="18"/>
        </w:rPr>
        <w:t xml:space="preserve">                                     </w:t>
      </w:r>
    </w:p>
    <w:p>
      <w:pPr>
        <w:snapToGrid w:val="0"/>
        <w:spacing w:before="156" w:beforeLines="50" w:after="50" w:line="360" w:lineRule="exact"/>
        <w:outlineLvl w:val="1"/>
        <w:rPr>
          <w:rFonts w:ascii="宋体" w:hAnsi="宋体"/>
          <w:color w:val="auto"/>
          <w:sz w:val="18"/>
          <w:szCs w:val="18"/>
        </w:rPr>
      </w:pPr>
    </w:p>
    <w:p>
      <w:pPr>
        <w:pStyle w:val="24"/>
        <w:rPr>
          <w:rFonts w:ascii="宋体" w:hAnsi="宋体"/>
          <w:color w:val="auto"/>
          <w:sz w:val="18"/>
          <w:szCs w:val="18"/>
        </w:rPr>
      </w:pPr>
    </w:p>
    <w:p>
      <w:pPr>
        <w:pStyle w:val="24"/>
        <w:rPr>
          <w:rFonts w:ascii="宋体" w:hAnsi="宋体"/>
          <w:color w:val="auto"/>
          <w:sz w:val="18"/>
          <w:szCs w:val="18"/>
        </w:rPr>
      </w:pPr>
    </w:p>
    <w:p>
      <w:pPr>
        <w:snapToGrid w:val="0"/>
        <w:spacing w:before="156" w:beforeLines="50" w:after="50" w:line="360" w:lineRule="exact"/>
        <w:jc w:val="center"/>
        <w:outlineLvl w:val="1"/>
        <w:rPr>
          <w:color w:val="auto"/>
          <w:sz w:val="18"/>
          <w:szCs w:val="18"/>
        </w:rPr>
      </w:pPr>
      <w:r>
        <w:rPr>
          <w:rFonts w:hint="eastAsia" w:ascii="宋体" w:hAnsi="宋体"/>
          <w:color w:val="auto"/>
          <w:sz w:val="18"/>
          <w:szCs w:val="18"/>
        </w:rPr>
        <w:t xml:space="preserve">  </w:t>
      </w:r>
      <w:bookmarkStart w:id="42" w:name="_Toc28583"/>
      <w:r>
        <w:rPr>
          <w:rFonts w:hint="eastAsia" w:ascii="宋体" w:hAnsi="宋体"/>
          <w:color w:val="auto"/>
          <w:sz w:val="18"/>
          <w:szCs w:val="18"/>
        </w:rPr>
        <w:t>年</w:t>
      </w:r>
      <w:r>
        <w:rPr>
          <w:rFonts w:hint="eastAsia" w:ascii="宋体" w:hAnsi="宋体" w:cs="宋体"/>
          <w:color w:val="auto"/>
          <w:sz w:val="18"/>
          <w:szCs w:val="18"/>
        </w:rPr>
        <w:t xml:space="preserve">    </w:t>
      </w:r>
      <w:r>
        <w:rPr>
          <w:rFonts w:hint="eastAsia" w:ascii="宋体" w:hAnsi="宋体"/>
          <w:color w:val="auto"/>
          <w:sz w:val="18"/>
          <w:szCs w:val="18"/>
        </w:rPr>
        <w:t>月    日</w:t>
      </w:r>
      <w:bookmarkEnd w:id="42"/>
    </w:p>
    <w:p>
      <w:pPr>
        <w:pStyle w:val="3"/>
        <w:jc w:val="center"/>
        <w:rPr>
          <w:color w:val="auto"/>
          <w:sz w:val="18"/>
          <w:szCs w:val="18"/>
        </w:rPr>
      </w:pPr>
      <w:bookmarkStart w:id="43" w:name="_Toc3144"/>
    </w:p>
    <w:p>
      <w:pPr>
        <w:pStyle w:val="3"/>
        <w:jc w:val="center"/>
        <w:rPr>
          <w:color w:val="auto"/>
          <w:sz w:val="30"/>
          <w:szCs w:val="30"/>
        </w:rPr>
      </w:pPr>
      <w:r>
        <w:rPr>
          <w:rFonts w:hint="eastAsia"/>
          <w:color w:val="auto"/>
          <w:sz w:val="30"/>
          <w:szCs w:val="30"/>
        </w:rPr>
        <w:t>（一）价格文件部分</w:t>
      </w:r>
      <w:bookmarkEnd w:id="43"/>
    </w:p>
    <w:p>
      <w:pPr>
        <w:spacing w:line="520" w:lineRule="exact"/>
        <w:rPr>
          <w:rFonts w:ascii="宋体" w:hAnsi="宋体"/>
          <w:b/>
          <w:color w:val="auto"/>
          <w:sz w:val="30"/>
          <w:szCs w:val="30"/>
        </w:rPr>
      </w:pPr>
      <w:r>
        <w:rPr>
          <w:rFonts w:hint="eastAsia" w:ascii="宋体" w:hAnsi="宋体"/>
          <w:b/>
          <w:color w:val="auto"/>
          <w:sz w:val="30"/>
          <w:szCs w:val="30"/>
        </w:rPr>
        <w:t>1）磋商书[必须提供]；</w:t>
      </w:r>
    </w:p>
    <w:p>
      <w:pPr>
        <w:spacing w:line="520" w:lineRule="exact"/>
        <w:rPr>
          <w:rFonts w:ascii="宋体" w:hAnsi="宋体"/>
          <w:b/>
          <w:bCs/>
          <w:color w:val="auto"/>
          <w:sz w:val="30"/>
          <w:szCs w:val="30"/>
        </w:rPr>
      </w:pPr>
      <w:r>
        <w:rPr>
          <w:rFonts w:hint="eastAsia" w:ascii="宋体" w:hAnsi="宋体"/>
          <w:b/>
          <w:bCs/>
          <w:color w:val="auto"/>
          <w:sz w:val="30"/>
          <w:szCs w:val="30"/>
        </w:rPr>
        <w:t>附件一</w:t>
      </w:r>
    </w:p>
    <w:p>
      <w:pPr>
        <w:spacing w:line="520" w:lineRule="exact"/>
        <w:jc w:val="center"/>
        <w:rPr>
          <w:rFonts w:ascii="宋体" w:hAnsi="宋体"/>
          <w:b/>
          <w:color w:val="auto"/>
          <w:sz w:val="18"/>
          <w:szCs w:val="18"/>
        </w:rPr>
      </w:pPr>
      <w:r>
        <w:rPr>
          <w:rFonts w:hint="eastAsia" w:ascii="宋体" w:hAnsi="宋体"/>
          <w:b/>
          <w:color w:val="auto"/>
          <w:sz w:val="18"/>
          <w:szCs w:val="18"/>
        </w:rPr>
        <w:t>磋 商 书（格式）</w:t>
      </w:r>
    </w:p>
    <w:p>
      <w:pPr>
        <w:spacing w:line="520" w:lineRule="exact"/>
        <w:jc w:val="center"/>
        <w:rPr>
          <w:rFonts w:ascii="宋体" w:hAnsi="宋体"/>
          <w:b/>
          <w:color w:val="auto"/>
          <w:sz w:val="18"/>
          <w:szCs w:val="18"/>
        </w:rPr>
      </w:pPr>
    </w:p>
    <w:p>
      <w:pPr>
        <w:pStyle w:val="22"/>
        <w:spacing w:line="360" w:lineRule="auto"/>
        <w:rPr>
          <w:rFonts w:hAnsi="宋体"/>
          <w:color w:val="auto"/>
          <w:sz w:val="18"/>
          <w:szCs w:val="18"/>
        </w:rPr>
      </w:pPr>
      <w:r>
        <w:rPr>
          <w:rFonts w:hAnsi="宋体"/>
          <w:color w:val="auto"/>
          <w:sz w:val="18"/>
          <w:szCs w:val="18"/>
        </w:rPr>
        <w:t xml:space="preserve">广西诚华工程造价咨询有限公司  </w:t>
      </w:r>
      <w:r>
        <w:rPr>
          <w:rFonts w:hint="eastAsia" w:hAnsi="宋体"/>
          <w:color w:val="auto"/>
          <w:sz w:val="18"/>
          <w:szCs w:val="18"/>
        </w:rPr>
        <w:t>：</w:t>
      </w:r>
    </w:p>
    <w:p>
      <w:pPr>
        <w:pStyle w:val="22"/>
        <w:spacing w:line="360" w:lineRule="auto"/>
        <w:ind w:firstLine="480"/>
        <w:rPr>
          <w:rFonts w:hAnsi="宋体"/>
          <w:color w:val="auto"/>
          <w:sz w:val="18"/>
          <w:szCs w:val="18"/>
        </w:rPr>
      </w:pPr>
      <w:r>
        <w:rPr>
          <w:rFonts w:hint="eastAsia" w:hAnsi="宋体"/>
          <w:color w:val="auto"/>
          <w:sz w:val="18"/>
          <w:szCs w:val="18"/>
        </w:rPr>
        <w:t>依据贵方</w:t>
      </w:r>
      <w:r>
        <w:rPr>
          <w:rFonts w:hint="eastAsia" w:hAnsi="宋体"/>
          <w:color w:val="auto"/>
          <w:sz w:val="18"/>
          <w:szCs w:val="18"/>
          <w:u w:val="single"/>
        </w:rPr>
        <w:t>（项目名称/项目编号）</w:t>
      </w:r>
      <w:r>
        <w:rPr>
          <w:rFonts w:hint="eastAsia" w:hAnsi="宋体"/>
          <w:color w:val="auto"/>
          <w:sz w:val="18"/>
          <w:szCs w:val="18"/>
        </w:rPr>
        <w:t>项目政府采购的磋商邀请，我方</w:t>
      </w:r>
      <w:r>
        <w:rPr>
          <w:rFonts w:hint="eastAsia" w:hAnsi="宋体"/>
          <w:color w:val="auto"/>
          <w:sz w:val="18"/>
          <w:szCs w:val="18"/>
          <w:u w:val="single"/>
        </w:rPr>
        <w:t>（姓名和职务）</w:t>
      </w:r>
      <w:r>
        <w:rPr>
          <w:rFonts w:hint="eastAsia" w:hAnsi="宋体"/>
          <w:color w:val="auto"/>
          <w:sz w:val="18"/>
          <w:szCs w:val="18"/>
        </w:rPr>
        <w:t>经正式授权并代表本单位</w:t>
      </w:r>
      <w:r>
        <w:rPr>
          <w:rFonts w:hint="eastAsia" w:hAnsi="宋体"/>
          <w:color w:val="auto"/>
          <w:sz w:val="18"/>
          <w:szCs w:val="18"/>
          <w:u w:val="single"/>
        </w:rPr>
        <w:t>（供应商名称、地址）</w:t>
      </w:r>
      <w:r>
        <w:rPr>
          <w:rFonts w:hint="eastAsia" w:hAnsi="宋体"/>
          <w:color w:val="auto"/>
          <w:sz w:val="18"/>
          <w:szCs w:val="18"/>
        </w:rPr>
        <w:t>提交下述竞争性磋商响应文件</w:t>
      </w:r>
      <w:r>
        <w:rPr>
          <w:rFonts w:hint="eastAsia" w:hAnsi="宋体"/>
          <w:b/>
          <w:color w:val="auto"/>
          <w:sz w:val="18"/>
          <w:szCs w:val="18"/>
        </w:rPr>
        <w:t>（价格文件、商务技术文件），其中</w:t>
      </w:r>
      <w:r>
        <w:rPr>
          <w:rFonts w:hint="eastAsia" w:hAnsi="宋体"/>
          <w:color w:val="auto"/>
          <w:sz w:val="18"/>
          <w:szCs w:val="18"/>
        </w:rPr>
        <w:t>正本壹册，副本叁册。</w:t>
      </w:r>
    </w:p>
    <w:p>
      <w:pPr>
        <w:pStyle w:val="22"/>
        <w:spacing w:line="360" w:lineRule="auto"/>
        <w:ind w:firstLine="480"/>
        <w:rPr>
          <w:rFonts w:hAnsi="宋体"/>
          <w:color w:val="auto"/>
          <w:sz w:val="18"/>
          <w:szCs w:val="18"/>
        </w:rPr>
      </w:pPr>
    </w:p>
    <w:p>
      <w:pPr>
        <w:pStyle w:val="22"/>
        <w:spacing w:line="360" w:lineRule="auto"/>
        <w:ind w:firstLine="420"/>
        <w:rPr>
          <w:color w:val="auto"/>
          <w:sz w:val="18"/>
          <w:szCs w:val="18"/>
        </w:rPr>
      </w:pPr>
      <w:r>
        <w:rPr>
          <w:rFonts w:hint="eastAsia"/>
          <w:color w:val="auto"/>
          <w:sz w:val="18"/>
          <w:szCs w:val="18"/>
        </w:rPr>
        <w:t>根据贵方</w:t>
      </w:r>
      <w:r>
        <w:rPr>
          <w:rFonts w:hint="eastAsia"/>
          <w:color w:val="auto"/>
          <w:sz w:val="18"/>
          <w:szCs w:val="18"/>
          <w:u w:val="single"/>
        </w:rPr>
        <w:t xml:space="preserve">         </w:t>
      </w:r>
      <w:r>
        <w:rPr>
          <w:rFonts w:hint="eastAsia"/>
          <w:color w:val="auto"/>
          <w:sz w:val="18"/>
          <w:szCs w:val="18"/>
        </w:rPr>
        <w:t xml:space="preserve">项目磋商文件，项目编号 </w:t>
      </w:r>
      <w:r>
        <w:rPr>
          <w:rFonts w:hint="eastAsia"/>
          <w:color w:val="auto"/>
          <w:sz w:val="18"/>
          <w:szCs w:val="18"/>
          <w:u w:val="single"/>
        </w:rPr>
        <w:t xml:space="preserve">               </w:t>
      </w:r>
      <w:r>
        <w:rPr>
          <w:rFonts w:hint="eastAsia"/>
          <w:color w:val="auto"/>
          <w:sz w:val="18"/>
          <w:szCs w:val="18"/>
        </w:rPr>
        <w:t>，签字代表</w:t>
      </w:r>
      <w:r>
        <w:rPr>
          <w:rFonts w:hint="eastAsia"/>
          <w:color w:val="auto"/>
          <w:sz w:val="18"/>
          <w:szCs w:val="18"/>
          <w:u w:val="single"/>
        </w:rPr>
        <w:t xml:space="preserve">         </w:t>
      </w:r>
      <w:r>
        <w:rPr>
          <w:rFonts w:hint="eastAsia"/>
          <w:color w:val="auto"/>
          <w:sz w:val="18"/>
          <w:szCs w:val="18"/>
        </w:rPr>
        <w:t xml:space="preserve">（姓名）经正式授权并代表供应商 </w:t>
      </w:r>
      <w:r>
        <w:rPr>
          <w:rFonts w:hint="eastAsia"/>
          <w:color w:val="auto"/>
          <w:sz w:val="18"/>
          <w:szCs w:val="18"/>
          <w:u w:val="single"/>
        </w:rPr>
        <w:t xml:space="preserve">                                   （</w:t>
      </w:r>
      <w:r>
        <w:rPr>
          <w:rFonts w:hint="eastAsia" w:hAnsi="宋体"/>
          <w:color w:val="auto"/>
          <w:sz w:val="18"/>
          <w:szCs w:val="18"/>
        </w:rPr>
        <w:t>供应商单位名称</w:t>
      </w:r>
      <w:r>
        <w:rPr>
          <w:rFonts w:hint="eastAsia"/>
          <w:color w:val="auto"/>
          <w:sz w:val="18"/>
          <w:szCs w:val="18"/>
        </w:rPr>
        <w:t>），提交响应文件</w:t>
      </w:r>
      <w:r>
        <w:rPr>
          <w:rFonts w:hint="eastAsia" w:hAnsi="宋体"/>
          <w:color w:val="auto"/>
          <w:sz w:val="18"/>
          <w:szCs w:val="18"/>
        </w:rPr>
        <w:t>正本壹册，副本叁册。</w:t>
      </w:r>
    </w:p>
    <w:p>
      <w:pPr>
        <w:pStyle w:val="22"/>
        <w:spacing w:line="360" w:lineRule="auto"/>
        <w:ind w:firstLine="420"/>
        <w:rPr>
          <w:color w:val="auto"/>
          <w:sz w:val="18"/>
          <w:szCs w:val="18"/>
        </w:rPr>
      </w:pPr>
      <w:r>
        <w:rPr>
          <w:rFonts w:hint="eastAsia"/>
          <w:color w:val="auto"/>
          <w:sz w:val="18"/>
          <w:szCs w:val="18"/>
        </w:rPr>
        <w:t>据此函，签字代表宣布同意如下：</w:t>
      </w:r>
    </w:p>
    <w:p>
      <w:pPr>
        <w:pStyle w:val="22"/>
        <w:spacing w:line="360" w:lineRule="auto"/>
        <w:ind w:firstLine="420"/>
        <w:rPr>
          <w:color w:val="auto"/>
          <w:sz w:val="18"/>
          <w:szCs w:val="18"/>
        </w:rPr>
      </w:pPr>
      <w:r>
        <w:rPr>
          <w:rFonts w:hint="eastAsia"/>
          <w:color w:val="auto"/>
          <w:sz w:val="18"/>
          <w:szCs w:val="18"/>
        </w:rPr>
        <w:t>1.按磋商文件项目需求和磋商报价表：磋商报价（大写）</w:t>
      </w:r>
      <w:r>
        <w:rPr>
          <w:rFonts w:hint="eastAsia"/>
          <w:color w:val="auto"/>
          <w:sz w:val="18"/>
          <w:szCs w:val="18"/>
          <w:u w:val="single"/>
        </w:rPr>
        <w:t xml:space="preserve">               </w:t>
      </w:r>
      <w:r>
        <w:rPr>
          <w:rFonts w:hint="eastAsia"/>
          <w:color w:val="auto"/>
          <w:sz w:val="18"/>
          <w:szCs w:val="18"/>
        </w:rPr>
        <w:t>元人民币(￥</w:t>
      </w:r>
      <w:r>
        <w:rPr>
          <w:rFonts w:hint="eastAsia"/>
          <w:color w:val="auto"/>
          <w:sz w:val="18"/>
          <w:szCs w:val="18"/>
          <w:u w:val="single"/>
        </w:rPr>
        <w:t xml:space="preserve">              </w:t>
      </w:r>
      <w:r>
        <w:rPr>
          <w:rFonts w:hint="eastAsia"/>
          <w:color w:val="auto"/>
          <w:sz w:val="18"/>
          <w:szCs w:val="18"/>
        </w:rPr>
        <w:t>)。</w:t>
      </w:r>
    </w:p>
    <w:p>
      <w:pPr>
        <w:pStyle w:val="22"/>
        <w:spacing w:line="360" w:lineRule="auto"/>
        <w:ind w:firstLine="360"/>
        <w:rPr>
          <w:color w:val="auto"/>
          <w:sz w:val="18"/>
          <w:szCs w:val="18"/>
        </w:rPr>
      </w:pPr>
      <w:r>
        <w:rPr>
          <w:rFonts w:hint="eastAsia"/>
          <w:color w:val="auto"/>
          <w:sz w:val="18"/>
          <w:szCs w:val="18"/>
        </w:rPr>
        <w:t>2.我方承诺已具备磋商文件规定的供应商资格条件。</w:t>
      </w:r>
    </w:p>
    <w:p>
      <w:pPr>
        <w:pStyle w:val="22"/>
        <w:spacing w:line="360" w:lineRule="auto"/>
        <w:ind w:firstLine="360"/>
        <w:rPr>
          <w:color w:val="auto"/>
          <w:sz w:val="18"/>
          <w:szCs w:val="18"/>
        </w:rPr>
      </w:pPr>
      <w:r>
        <w:rPr>
          <w:rFonts w:hint="eastAsia"/>
          <w:color w:val="auto"/>
          <w:sz w:val="18"/>
          <w:szCs w:val="18"/>
        </w:rPr>
        <w:t>3.我方已详细审核磋商文件，包括修改文件（如有的话）和有关附件，将自行承担因对全部磋商文件理解不正确或误解而产生的相应后果。</w:t>
      </w:r>
    </w:p>
    <w:p>
      <w:pPr>
        <w:pStyle w:val="22"/>
        <w:spacing w:line="360" w:lineRule="auto"/>
        <w:ind w:firstLine="420"/>
        <w:rPr>
          <w:color w:val="auto"/>
          <w:sz w:val="18"/>
          <w:szCs w:val="18"/>
        </w:rPr>
      </w:pPr>
      <w:r>
        <w:rPr>
          <w:rFonts w:hint="eastAsia"/>
          <w:color w:val="auto"/>
          <w:sz w:val="18"/>
          <w:szCs w:val="18"/>
        </w:rPr>
        <w:t>4.响应文件有效期为</w:t>
      </w:r>
      <w:r>
        <w:rPr>
          <w:rFonts w:hint="eastAsia" w:hAnsi="宋体"/>
          <w:color w:val="auto"/>
          <w:sz w:val="18"/>
          <w:szCs w:val="18"/>
        </w:rPr>
        <w:t>自响应文件递交截止时间之日起90天。</w:t>
      </w:r>
    </w:p>
    <w:p>
      <w:pPr>
        <w:spacing w:line="360" w:lineRule="auto"/>
        <w:ind w:firstLine="360" w:firstLineChars="200"/>
        <w:rPr>
          <w:rFonts w:ascii="宋体" w:hAnsi="宋体"/>
          <w:color w:val="auto"/>
          <w:sz w:val="18"/>
          <w:szCs w:val="18"/>
        </w:rPr>
      </w:pPr>
      <w:r>
        <w:rPr>
          <w:rFonts w:hint="eastAsia" w:ascii="宋体" w:hAnsi="宋体"/>
          <w:color w:val="auto"/>
          <w:sz w:val="18"/>
          <w:szCs w:val="18"/>
        </w:rPr>
        <w:t>5.磋商保证金有效期为自响应文件递交截止时间之日起90天。</w:t>
      </w:r>
    </w:p>
    <w:p>
      <w:pPr>
        <w:pStyle w:val="22"/>
        <w:spacing w:line="360" w:lineRule="auto"/>
        <w:ind w:firstLine="420"/>
        <w:rPr>
          <w:color w:val="auto"/>
          <w:sz w:val="18"/>
          <w:szCs w:val="18"/>
        </w:rPr>
      </w:pPr>
      <w:r>
        <w:rPr>
          <w:rFonts w:hint="eastAsia"/>
          <w:color w:val="auto"/>
          <w:sz w:val="18"/>
          <w:szCs w:val="18"/>
        </w:rPr>
        <w:t>6.如我方成交：</w:t>
      </w:r>
    </w:p>
    <w:p>
      <w:pPr>
        <w:pStyle w:val="22"/>
        <w:spacing w:line="360" w:lineRule="auto"/>
        <w:ind w:firstLine="420"/>
        <w:rPr>
          <w:color w:val="auto"/>
          <w:sz w:val="18"/>
          <w:szCs w:val="18"/>
        </w:rPr>
      </w:pPr>
      <w:r>
        <w:rPr>
          <w:rFonts w:hint="eastAsia"/>
          <w:color w:val="auto"/>
          <w:sz w:val="18"/>
          <w:szCs w:val="18"/>
        </w:rPr>
        <w:t>（1）我方承诺在收到成交通知书后，在成交通知书规定的期限内与采购人签订合同。</w:t>
      </w:r>
    </w:p>
    <w:p>
      <w:pPr>
        <w:pStyle w:val="22"/>
        <w:spacing w:line="360" w:lineRule="auto"/>
        <w:ind w:firstLine="420"/>
        <w:rPr>
          <w:color w:val="auto"/>
          <w:sz w:val="18"/>
          <w:szCs w:val="18"/>
        </w:rPr>
      </w:pPr>
      <w:r>
        <w:rPr>
          <w:rFonts w:hint="eastAsia"/>
          <w:color w:val="auto"/>
          <w:sz w:val="18"/>
          <w:szCs w:val="18"/>
        </w:rPr>
        <w:t>（2）我方承诺按照磋商文件规定递交履约担保。</w:t>
      </w:r>
    </w:p>
    <w:p>
      <w:pPr>
        <w:pStyle w:val="22"/>
        <w:spacing w:line="360" w:lineRule="auto"/>
        <w:ind w:firstLine="420"/>
        <w:rPr>
          <w:color w:val="auto"/>
          <w:sz w:val="18"/>
          <w:szCs w:val="18"/>
        </w:rPr>
      </w:pPr>
      <w:r>
        <w:rPr>
          <w:rFonts w:hint="eastAsia"/>
          <w:color w:val="auto"/>
          <w:sz w:val="18"/>
          <w:szCs w:val="18"/>
        </w:rPr>
        <w:t>（3）我方承诺本响应文件至本项目合同履行完毕止均保持有效，按磋商文件及政府采购法律、法规的规定履行合同责任和义务。</w:t>
      </w:r>
    </w:p>
    <w:p>
      <w:pPr>
        <w:pStyle w:val="22"/>
        <w:spacing w:line="360" w:lineRule="auto"/>
        <w:ind w:firstLine="420"/>
        <w:rPr>
          <w:color w:val="auto"/>
          <w:sz w:val="18"/>
          <w:szCs w:val="18"/>
        </w:rPr>
      </w:pPr>
      <w:r>
        <w:rPr>
          <w:rFonts w:hint="eastAsia"/>
          <w:color w:val="auto"/>
          <w:sz w:val="18"/>
          <w:szCs w:val="18"/>
        </w:rPr>
        <w:t>与本响应有关的正式通讯地址为：</w:t>
      </w:r>
    </w:p>
    <w:p>
      <w:pPr>
        <w:pStyle w:val="22"/>
        <w:spacing w:line="360" w:lineRule="auto"/>
        <w:ind w:firstLine="420"/>
        <w:rPr>
          <w:color w:val="auto"/>
          <w:sz w:val="18"/>
          <w:szCs w:val="18"/>
        </w:rPr>
      </w:pPr>
    </w:p>
    <w:p>
      <w:pPr>
        <w:pStyle w:val="22"/>
        <w:spacing w:line="360" w:lineRule="auto"/>
        <w:ind w:firstLine="420"/>
        <w:rPr>
          <w:color w:val="auto"/>
          <w:sz w:val="18"/>
          <w:szCs w:val="18"/>
        </w:rPr>
      </w:pPr>
      <w:r>
        <w:rPr>
          <w:rFonts w:hint="eastAsia"/>
          <w:color w:val="auto"/>
          <w:sz w:val="18"/>
          <w:szCs w:val="18"/>
        </w:rPr>
        <w:t>地址：</w:t>
      </w:r>
      <w:r>
        <w:rPr>
          <w:rFonts w:hint="eastAsia"/>
          <w:color w:val="auto"/>
          <w:sz w:val="18"/>
          <w:szCs w:val="18"/>
          <w:u w:val="single"/>
        </w:rPr>
        <w:t xml:space="preserve">                                   </w:t>
      </w:r>
      <w:r>
        <w:rPr>
          <w:rFonts w:hint="eastAsia"/>
          <w:color w:val="auto"/>
          <w:sz w:val="18"/>
          <w:szCs w:val="18"/>
        </w:rPr>
        <w:t xml:space="preserve"> 邮编：</w:t>
      </w:r>
      <w:r>
        <w:rPr>
          <w:rFonts w:hint="eastAsia"/>
          <w:color w:val="auto"/>
          <w:sz w:val="18"/>
          <w:szCs w:val="18"/>
          <w:u w:val="single"/>
        </w:rPr>
        <w:t xml:space="preserve">          </w:t>
      </w:r>
      <w:r>
        <w:rPr>
          <w:rFonts w:hint="eastAsia"/>
          <w:color w:val="auto"/>
          <w:sz w:val="18"/>
          <w:szCs w:val="18"/>
        </w:rPr>
        <w:t xml:space="preserve">  邮箱：</w:t>
      </w:r>
      <w:r>
        <w:rPr>
          <w:rFonts w:hint="eastAsia"/>
          <w:color w:val="auto"/>
          <w:sz w:val="18"/>
          <w:szCs w:val="18"/>
          <w:u w:val="single"/>
        </w:rPr>
        <w:t xml:space="preserve">             </w:t>
      </w:r>
      <w:r>
        <w:rPr>
          <w:rFonts w:hint="eastAsia"/>
          <w:color w:val="auto"/>
          <w:sz w:val="18"/>
          <w:szCs w:val="18"/>
        </w:rPr>
        <w:t xml:space="preserve"> </w:t>
      </w:r>
    </w:p>
    <w:p>
      <w:pPr>
        <w:pStyle w:val="22"/>
        <w:spacing w:line="360" w:lineRule="auto"/>
        <w:ind w:firstLine="420"/>
        <w:rPr>
          <w:color w:val="auto"/>
          <w:sz w:val="18"/>
          <w:szCs w:val="18"/>
          <w:u w:val="single"/>
        </w:rPr>
      </w:pPr>
      <w:r>
        <w:rPr>
          <w:rFonts w:hint="eastAsia"/>
          <w:color w:val="auto"/>
          <w:sz w:val="18"/>
          <w:szCs w:val="18"/>
        </w:rPr>
        <w:t>办公电话：</w:t>
      </w:r>
      <w:r>
        <w:rPr>
          <w:rFonts w:hint="eastAsia"/>
          <w:color w:val="auto"/>
          <w:sz w:val="18"/>
          <w:szCs w:val="18"/>
          <w:u w:val="single"/>
        </w:rPr>
        <w:t xml:space="preserve">                </w:t>
      </w:r>
      <w:r>
        <w:rPr>
          <w:rFonts w:hint="eastAsia"/>
          <w:color w:val="auto"/>
          <w:sz w:val="18"/>
          <w:szCs w:val="18"/>
        </w:rPr>
        <w:t xml:space="preserve">   传真：</w:t>
      </w:r>
      <w:r>
        <w:rPr>
          <w:rFonts w:hint="eastAsia"/>
          <w:color w:val="auto"/>
          <w:sz w:val="18"/>
          <w:szCs w:val="18"/>
          <w:u w:val="single"/>
        </w:rPr>
        <w:t xml:space="preserve">            </w:t>
      </w:r>
    </w:p>
    <w:p>
      <w:pPr>
        <w:pStyle w:val="22"/>
        <w:spacing w:line="360" w:lineRule="auto"/>
        <w:ind w:firstLine="420"/>
        <w:rPr>
          <w:color w:val="auto"/>
          <w:sz w:val="18"/>
          <w:szCs w:val="18"/>
          <w:u w:val="single"/>
        </w:rPr>
      </w:pPr>
      <w:r>
        <w:rPr>
          <w:rFonts w:hint="eastAsia"/>
          <w:color w:val="auto"/>
          <w:sz w:val="18"/>
          <w:szCs w:val="18"/>
        </w:rPr>
        <w:t>委托代理人联系电话：</w:t>
      </w:r>
      <w:r>
        <w:rPr>
          <w:rFonts w:hint="eastAsia"/>
          <w:color w:val="auto"/>
          <w:sz w:val="18"/>
          <w:szCs w:val="18"/>
          <w:u w:val="single"/>
        </w:rPr>
        <w:t xml:space="preserve">                </w:t>
      </w:r>
    </w:p>
    <w:p>
      <w:pPr>
        <w:pStyle w:val="22"/>
        <w:spacing w:line="360" w:lineRule="auto"/>
        <w:ind w:firstLine="420"/>
        <w:rPr>
          <w:color w:val="auto"/>
          <w:sz w:val="18"/>
          <w:szCs w:val="18"/>
        </w:rPr>
      </w:pPr>
      <w:r>
        <w:rPr>
          <w:rFonts w:hint="eastAsia"/>
          <w:color w:val="auto"/>
          <w:sz w:val="18"/>
          <w:szCs w:val="18"/>
        </w:rPr>
        <w:t>开户名称：</w:t>
      </w:r>
      <w:r>
        <w:rPr>
          <w:rFonts w:hint="eastAsia"/>
          <w:color w:val="auto"/>
          <w:sz w:val="18"/>
          <w:szCs w:val="18"/>
          <w:u w:val="single"/>
        </w:rPr>
        <w:t xml:space="preserve">                                        </w:t>
      </w:r>
    </w:p>
    <w:p>
      <w:pPr>
        <w:pStyle w:val="22"/>
        <w:spacing w:line="360" w:lineRule="auto"/>
        <w:ind w:firstLine="420"/>
        <w:rPr>
          <w:color w:val="auto"/>
          <w:sz w:val="18"/>
          <w:szCs w:val="18"/>
        </w:rPr>
      </w:pPr>
      <w:r>
        <w:rPr>
          <w:rFonts w:hint="eastAsia"/>
          <w:color w:val="auto"/>
          <w:sz w:val="18"/>
          <w:szCs w:val="18"/>
        </w:rPr>
        <w:t>开户银行：</w:t>
      </w:r>
      <w:r>
        <w:rPr>
          <w:rFonts w:hint="eastAsia"/>
          <w:color w:val="auto"/>
          <w:sz w:val="18"/>
          <w:szCs w:val="18"/>
          <w:u w:val="single"/>
        </w:rPr>
        <w:t xml:space="preserve">                               　       </w:t>
      </w:r>
    </w:p>
    <w:p>
      <w:pPr>
        <w:pStyle w:val="22"/>
        <w:spacing w:line="360" w:lineRule="auto"/>
        <w:ind w:firstLine="420"/>
        <w:rPr>
          <w:color w:val="auto"/>
          <w:sz w:val="18"/>
          <w:szCs w:val="18"/>
        </w:rPr>
      </w:pPr>
      <w:r>
        <w:rPr>
          <w:rFonts w:hint="eastAsia"/>
          <w:color w:val="auto"/>
          <w:sz w:val="18"/>
          <w:szCs w:val="18"/>
        </w:rPr>
        <w:t>账号：</w:t>
      </w:r>
      <w:r>
        <w:rPr>
          <w:rFonts w:hint="eastAsia"/>
          <w:color w:val="auto"/>
          <w:sz w:val="18"/>
          <w:szCs w:val="18"/>
          <w:u w:val="single"/>
        </w:rPr>
        <w:t xml:space="preserve">                                   　　　   </w:t>
      </w:r>
    </w:p>
    <w:p>
      <w:pPr>
        <w:pStyle w:val="22"/>
        <w:spacing w:line="360" w:lineRule="auto"/>
        <w:ind w:firstLine="420"/>
        <w:rPr>
          <w:rFonts w:hAnsi="宋体"/>
          <w:color w:val="auto"/>
          <w:sz w:val="18"/>
          <w:szCs w:val="18"/>
        </w:rPr>
      </w:pPr>
    </w:p>
    <w:p>
      <w:pPr>
        <w:pStyle w:val="22"/>
        <w:spacing w:line="360" w:lineRule="auto"/>
        <w:ind w:firstLine="420"/>
        <w:rPr>
          <w:rFonts w:hAnsi="宋体"/>
          <w:color w:val="auto"/>
          <w:sz w:val="18"/>
          <w:szCs w:val="18"/>
        </w:rPr>
      </w:pPr>
      <w:r>
        <w:rPr>
          <w:rFonts w:hint="eastAsia" w:hAnsi="宋体"/>
          <w:color w:val="auto"/>
          <w:sz w:val="18"/>
          <w:szCs w:val="18"/>
        </w:rPr>
        <w:t>供应商（公章）：</w:t>
      </w:r>
      <w:r>
        <w:rPr>
          <w:rFonts w:hint="eastAsia" w:hAnsi="宋体"/>
          <w:color w:val="auto"/>
          <w:sz w:val="18"/>
          <w:szCs w:val="18"/>
          <w:u w:val="single"/>
        </w:rPr>
        <w:t xml:space="preserve">                                              </w:t>
      </w:r>
    </w:p>
    <w:p>
      <w:pPr>
        <w:pStyle w:val="22"/>
        <w:spacing w:line="360" w:lineRule="auto"/>
        <w:ind w:firstLine="420"/>
        <w:rPr>
          <w:rFonts w:hAnsi="宋体"/>
          <w:color w:val="auto"/>
          <w:sz w:val="18"/>
          <w:szCs w:val="18"/>
          <w:u w:val="single"/>
        </w:rPr>
      </w:pPr>
      <w:r>
        <w:rPr>
          <w:rFonts w:hint="eastAsia" w:hAnsi="宋体"/>
          <w:color w:val="auto"/>
          <w:sz w:val="18"/>
          <w:szCs w:val="18"/>
        </w:rPr>
        <w:t>法定代表人、负责人或相应的委托代理人签字：</w:t>
      </w:r>
      <w:r>
        <w:rPr>
          <w:rFonts w:hint="eastAsia" w:hAnsi="宋体"/>
          <w:color w:val="auto"/>
          <w:sz w:val="18"/>
          <w:szCs w:val="18"/>
          <w:u w:val="single"/>
        </w:rPr>
        <w:t xml:space="preserve">       </w:t>
      </w:r>
    </w:p>
    <w:p>
      <w:pPr>
        <w:pStyle w:val="22"/>
        <w:spacing w:line="360" w:lineRule="auto"/>
        <w:ind w:firstLine="420"/>
        <w:rPr>
          <w:color w:val="auto"/>
          <w:sz w:val="18"/>
          <w:szCs w:val="18"/>
          <w:u w:val="single"/>
        </w:rPr>
      </w:pPr>
      <w:r>
        <w:rPr>
          <w:rFonts w:hint="eastAsia"/>
          <w:bCs/>
          <w:color w:val="auto"/>
          <w:sz w:val="18"/>
          <w:szCs w:val="18"/>
        </w:rPr>
        <w:t>响应</w:t>
      </w:r>
      <w:r>
        <w:rPr>
          <w:rFonts w:hint="eastAsia"/>
          <w:color w:val="auto"/>
          <w:sz w:val="18"/>
          <w:szCs w:val="18"/>
        </w:rPr>
        <w:t>日期：</w:t>
      </w:r>
      <w:r>
        <w:rPr>
          <w:rFonts w:hint="eastAsia"/>
          <w:color w:val="auto"/>
          <w:sz w:val="18"/>
          <w:szCs w:val="18"/>
          <w:u w:val="single"/>
        </w:rPr>
        <w:t xml:space="preserve">                               </w:t>
      </w:r>
    </w:p>
    <w:p>
      <w:pPr>
        <w:pStyle w:val="22"/>
        <w:spacing w:line="360" w:lineRule="auto"/>
        <w:ind w:firstLine="360" w:firstLineChars="200"/>
        <w:rPr>
          <w:bCs/>
          <w:color w:val="auto"/>
          <w:sz w:val="18"/>
          <w:szCs w:val="18"/>
        </w:rPr>
      </w:pPr>
    </w:p>
    <w:p>
      <w:pPr>
        <w:pStyle w:val="22"/>
        <w:spacing w:line="360" w:lineRule="auto"/>
        <w:ind w:left="780" w:leftChars="200" w:hanging="360" w:hangingChars="200"/>
        <w:rPr>
          <w:bCs/>
          <w:color w:val="auto"/>
          <w:sz w:val="18"/>
          <w:szCs w:val="18"/>
        </w:rPr>
      </w:pPr>
      <w:r>
        <w:rPr>
          <w:rFonts w:hint="eastAsia"/>
          <w:bCs/>
          <w:color w:val="auto"/>
          <w:sz w:val="18"/>
          <w:szCs w:val="18"/>
        </w:rPr>
        <w:t>注：1.未按照本磋商书（格式）要求填报的磋商书将被视为非实质性响应竞争性磋商文件要求，从而导致该响应被拒绝。</w:t>
      </w:r>
    </w:p>
    <w:p>
      <w:pPr>
        <w:pStyle w:val="22"/>
        <w:spacing w:line="360" w:lineRule="auto"/>
        <w:ind w:left="840" w:leftChars="400"/>
        <w:rPr>
          <w:bCs/>
          <w:color w:val="auto"/>
          <w:sz w:val="18"/>
          <w:szCs w:val="18"/>
        </w:rPr>
      </w:pPr>
      <w:r>
        <w:rPr>
          <w:rFonts w:hint="eastAsia" w:hAnsi="宋体"/>
          <w:bCs/>
          <w:color w:val="auto"/>
          <w:sz w:val="18"/>
          <w:szCs w:val="18"/>
        </w:rPr>
        <w:t>2.供应商必须按</w:t>
      </w:r>
      <w:r>
        <w:rPr>
          <w:rFonts w:hint="eastAsia"/>
          <w:bCs/>
          <w:color w:val="auto"/>
          <w:sz w:val="18"/>
          <w:szCs w:val="18"/>
        </w:rPr>
        <w:t>本磋商书（格式）</w:t>
      </w:r>
      <w:r>
        <w:rPr>
          <w:rFonts w:hint="eastAsia" w:hAnsi="宋体"/>
          <w:bCs/>
          <w:color w:val="auto"/>
          <w:sz w:val="18"/>
          <w:szCs w:val="18"/>
        </w:rPr>
        <w:t>要求注明清楚联系方式（包括地址、邮编、邮箱、电话等），从而确保成交结果等相关信息能及时通知到位。</w:t>
      </w:r>
    </w:p>
    <w:p>
      <w:pPr>
        <w:pStyle w:val="22"/>
        <w:spacing w:line="360" w:lineRule="auto"/>
        <w:ind w:left="840" w:leftChars="400"/>
        <w:rPr>
          <w:rFonts w:hAnsi="宋体"/>
          <w:bCs/>
          <w:color w:val="auto"/>
          <w:sz w:val="18"/>
          <w:szCs w:val="18"/>
        </w:rPr>
      </w:pPr>
      <w:r>
        <w:rPr>
          <w:rFonts w:hint="eastAsia"/>
          <w:bCs/>
          <w:color w:val="auto"/>
          <w:sz w:val="18"/>
          <w:szCs w:val="18"/>
        </w:rPr>
        <w:t>3.磋商书</w:t>
      </w:r>
      <w:r>
        <w:rPr>
          <w:rFonts w:hint="eastAsia" w:hAnsi="宋体"/>
          <w:bCs/>
          <w:color w:val="auto"/>
          <w:sz w:val="18"/>
          <w:szCs w:val="18"/>
        </w:rPr>
        <w:t>须由</w:t>
      </w:r>
      <w:r>
        <w:rPr>
          <w:rFonts w:hint="eastAsia" w:hAnsi="宋体"/>
          <w:color w:val="auto"/>
          <w:sz w:val="18"/>
          <w:szCs w:val="18"/>
        </w:rPr>
        <w:t>法定代表人、负责人或相应的</w:t>
      </w:r>
      <w:r>
        <w:rPr>
          <w:rFonts w:hint="eastAsia" w:hAnsi="宋体"/>
          <w:bCs/>
          <w:color w:val="auto"/>
          <w:sz w:val="18"/>
          <w:szCs w:val="18"/>
        </w:rPr>
        <w:t>委托代理人签字并加盖供应商公章。</w:t>
      </w:r>
    </w:p>
    <w:p>
      <w:pPr>
        <w:tabs>
          <w:tab w:val="left" w:pos="1305"/>
        </w:tabs>
        <w:spacing w:line="360" w:lineRule="auto"/>
        <w:ind w:firstLine="361" w:firstLineChars="200"/>
        <w:rPr>
          <w:b/>
          <w:color w:val="auto"/>
          <w:sz w:val="18"/>
          <w:szCs w:val="18"/>
        </w:rPr>
      </w:pPr>
    </w:p>
    <w:p>
      <w:pPr>
        <w:pStyle w:val="22"/>
        <w:spacing w:line="520" w:lineRule="exact"/>
        <w:ind w:firstLine="480"/>
        <w:rPr>
          <w:rFonts w:hAnsi="宋体"/>
          <w:color w:val="auto"/>
          <w:sz w:val="18"/>
          <w:szCs w:val="18"/>
        </w:rPr>
      </w:pPr>
    </w:p>
    <w:p>
      <w:pPr>
        <w:pStyle w:val="22"/>
        <w:spacing w:line="520" w:lineRule="exact"/>
        <w:ind w:firstLine="480"/>
        <w:rPr>
          <w:rFonts w:hAnsi="宋体"/>
          <w:color w:val="auto"/>
          <w:sz w:val="18"/>
          <w:szCs w:val="18"/>
        </w:rPr>
      </w:pPr>
    </w:p>
    <w:p>
      <w:pPr>
        <w:pStyle w:val="22"/>
        <w:spacing w:line="520" w:lineRule="exact"/>
        <w:ind w:firstLine="480"/>
        <w:rPr>
          <w:rFonts w:hAnsi="宋体"/>
          <w:color w:val="auto"/>
          <w:sz w:val="18"/>
          <w:szCs w:val="18"/>
        </w:rPr>
      </w:pPr>
    </w:p>
    <w:p>
      <w:pPr>
        <w:pStyle w:val="22"/>
        <w:spacing w:line="520" w:lineRule="exact"/>
        <w:ind w:firstLine="480"/>
        <w:rPr>
          <w:rFonts w:hAnsi="宋体"/>
          <w:color w:val="auto"/>
          <w:sz w:val="18"/>
          <w:szCs w:val="18"/>
        </w:rPr>
      </w:pPr>
    </w:p>
    <w:p>
      <w:pPr>
        <w:pStyle w:val="22"/>
        <w:spacing w:line="520" w:lineRule="exact"/>
        <w:ind w:firstLine="480"/>
        <w:rPr>
          <w:rFonts w:hAnsi="宋体"/>
          <w:color w:val="auto"/>
          <w:sz w:val="18"/>
          <w:szCs w:val="18"/>
        </w:rPr>
      </w:pPr>
    </w:p>
    <w:p>
      <w:pPr>
        <w:pStyle w:val="22"/>
        <w:spacing w:line="520" w:lineRule="exact"/>
        <w:ind w:firstLine="480"/>
        <w:rPr>
          <w:rFonts w:hAnsi="宋体"/>
          <w:color w:val="auto"/>
          <w:sz w:val="18"/>
          <w:szCs w:val="18"/>
        </w:rPr>
      </w:pPr>
    </w:p>
    <w:p>
      <w:pPr>
        <w:pStyle w:val="22"/>
        <w:spacing w:line="520" w:lineRule="exact"/>
        <w:ind w:firstLine="480"/>
        <w:rPr>
          <w:rFonts w:hAnsi="宋体"/>
          <w:color w:val="auto"/>
          <w:sz w:val="18"/>
          <w:szCs w:val="18"/>
        </w:rPr>
      </w:pPr>
    </w:p>
    <w:p>
      <w:pPr>
        <w:pStyle w:val="22"/>
        <w:spacing w:line="520" w:lineRule="exact"/>
        <w:ind w:firstLine="480"/>
        <w:rPr>
          <w:rFonts w:hAnsi="宋体"/>
          <w:color w:val="auto"/>
          <w:sz w:val="18"/>
          <w:szCs w:val="18"/>
        </w:rPr>
      </w:pPr>
    </w:p>
    <w:p>
      <w:pPr>
        <w:pStyle w:val="22"/>
        <w:spacing w:line="520" w:lineRule="exact"/>
        <w:ind w:firstLine="480"/>
        <w:rPr>
          <w:rFonts w:hAnsi="宋体"/>
          <w:color w:val="auto"/>
          <w:sz w:val="18"/>
          <w:szCs w:val="18"/>
        </w:rPr>
      </w:pPr>
    </w:p>
    <w:p>
      <w:pPr>
        <w:pStyle w:val="22"/>
        <w:spacing w:line="520" w:lineRule="exact"/>
        <w:ind w:firstLine="480"/>
        <w:rPr>
          <w:rFonts w:hAnsi="宋体"/>
          <w:color w:val="auto"/>
          <w:sz w:val="18"/>
          <w:szCs w:val="18"/>
        </w:rPr>
      </w:pPr>
    </w:p>
    <w:p>
      <w:pPr>
        <w:pStyle w:val="22"/>
        <w:spacing w:line="520" w:lineRule="exact"/>
        <w:rPr>
          <w:color w:val="auto"/>
          <w:sz w:val="18"/>
          <w:szCs w:val="18"/>
        </w:rPr>
        <w:sectPr>
          <w:footerReference r:id="rId11" w:type="first"/>
          <w:headerReference r:id="rId9" w:type="default"/>
          <w:footerReference r:id="rId10" w:type="default"/>
          <w:pgSz w:w="11906" w:h="16838"/>
          <w:pgMar w:top="1134" w:right="1133" w:bottom="1247" w:left="1134" w:header="851" w:footer="992" w:gutter="0"/>
          <w:pgNumType w:start="1"/>
          <w:cols w:space="720" w:num="1"/>
          <w:titlePg/>
          <w:docGrid w:type="lines" w:linePitch="312" w:charSpace="0"/>
        </w:sectPr>
      </w:pPr>
    </w:p>
    <w:p>
      <w:pPr>
        <w:spacing w:line="400" w:lineRule="exact"/>
        <w:ind w:firstLine="482" w:firstLineChars="200"/>
        <w:rPr>
          <w:rFonts w:ascii="宋体" w:hAnsi="宋体"/>
          <w:b/>
          <w:color w:val="auto"/>
          <w:sz w:val="24"/>
        </w:rPr>
      </w:pPr>
    </w:p>
    <w:p>
      <w:pPr>
        <w:spacing w:line="400" w:lineRule="exact"/>
        <w:rPr>
          <w:color w:val="auto"/>
          <w:sz w:val="30"/>
          <w:szCs w:val="30"/>
        </w:rPr>
      </w:pPr>
      <w:r>
        <w:rPr>
          <w:rFonts w:hint="eastAsia" w:ascii="宋体" w:hAnsi="宋体"/>
          <w:b/>
          <w:color w:val="auto"/>
          <w:sz w:val="30"/>
          <w:szCs w:val="30"/>
        </w:rPr>
        <w:t>2）磋商报价表（格式见附件二）[必须提供] ；</w:t>
      </w:r>
    </w:p>
    <w:p>
      <w:pPr>
        <w:pStyle w:val="4"/>
        <w:rPr>
          <w:color w:val="auto"/>
          <w:sz w:val="30"/>
          <w:szCs w:val="30"/>
        </w:rPr>
      </w:pPr>
      <w:r>
        <w:rPr>
          <w:rFonts w:hint="eastAsia"/>
          <w:color w:val="auto"/>
          <w:sz w:val="30"/>
          <w:szCs w:val="30"/>
        </w:rPr>
        <w:t>附件二</w:t>
      </w:r>
    </w:p>
    <w:p>
      <w:pPr>
        <w:pStyle w:val="4"/>
        <w:jc w:val="center"/>
        <w:rPr>
          <w:rFonts w:ascii="宋体" w:hAnsi="宋体"/>
          <w:color w:val="auto"/>
          <w:sz w:val="18"/>
          <w:szCs w:val="18"/>
          <w:u w:val="single"/>
        </w:rPr>
      </w:pPr>
      <w:r>
        <w:rPr>
          <w:rFonts w:hint="eastAsia"/>
          <w:color w:val="auto"/>
          <w:sz w:val="18"/>
          <w:szCs w:val="18"/>
        </w:rPr>
        <w:t>磋 商 报  价  表（格式）</w:t>
      </w:r>
    </w:p>
    <w:p>
      <w:pPr>
        <w:spacing w:line="500" w:lineRule="exact"/>
        <w:ind w:firstLine="270" w:firstLineChars="150"/>
        <w:rPr>
          <w:rFonts w:ascii="宋体" w:hAnsi="宋体"/>
          <w:color w:val="auto"/>
          <w:sz w:val="18"/>
          <w:szCs w:val="18"/>
        </w:rPr>
      </w:pPr>
      <w:r>
        <w:rPr>
          <w:rFonts w:hint="eastAsia" w:ascii="宋体" w:hAnsi="宋体"/>
          <w:color w:val="auto"/>
          <w:sz w:val="18"/>
          <w:szCs w:val="18"/>
        </w:rPr>
        <w:t>项目编号:</w:t>
      </w:r>
      <w:r>
        <w:rPr>
          <w:rFonts w:hint="eastAsia" w:ascii="宋体" w:hAnsi="宋体"/>
          <w:color w:val="auto"/>
          <w:sz w:val="18"/>
          <w:szCs w:val="18"/>
          <w:u w:val="single"/>
        </w:rPr>
        <w:t xml:space="preserve">                 </w:t>
      </w:r>
      <w:r>
        <w:rPr>
          <w:rFonts w:hint="eastAsia" w:ascii="宋体" w:hAnsi="宋体"/>
          <w:color w:val="auto"/>
          <w:sz w:val="18"/>
          <w:szCs w:val="18"/>
        </w:rPr>
        <w:t xml:space="preserve">                              </w:t>
      </w:r>
    </w:p>
    <w:tbl>
      <w:tblPr>
        <w:tblStyle w:val="42"/>
        <w:tblW w:w="135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2631"/>
        <w:gridCol w:w="4288"/>
        <w:gridCol w:w="1200"/>
        <w:gridCol w:w="1680"/>
        <w:gridCol w:w="18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1" w:hRule="atLeast"/>
        </w:trPr>
        <w:tc>
          <w:tcPr>
            <w:tcW w:w="19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项目名称</w:t>
            </w:r>
          </w:p>
        </w:tc>
        <w:tc>
          <w:tcPr>
            <w:tcW w:w="2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交付使用时间</w:t>
            </w:r>
          </w:p>
        </w:tc>
        <w:tc>
          <w:tcPr>
            <w:tcW w:w="42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货物内容</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数量</w:t>
            </w:r>
          </w:p>
        </w:tc>
        <w:tc>
          <w:tcPr>
            <w:tcW w:w="1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磋商报价（元）</w:t>
            </w:r>
          </w:p>
        </w:tc>
        <w:tc>
          <w:tcPr>
            <w:tcW w:w="1828" w:type="dxa"/>
            <w:tcBorders>
              <w:bottom w:val="single" w:color="auto" w:sz="4" w:space="0"/>
            </w:tcBorders>
            <w:vAlign w:val="center"/>
          </w:tcPr>
          <w:p>
            <w:pPr>
              <w:spacing w:line="300" w:lineRule="exact"/>
              <w:jc w:val="center"/>
              <w:rPr>
                <w:rFonts w:hAnsi="宋体"/>
                <w:color w:val="auto"/>
                <w:sz w:val="18"/>
                <w:szCs w:val="18"/>
              </w:rPr>
            </w:pPr>
            <w:r>
              <w:rPr>
                <w:rFonts w:hint="eastAsia" w:hAnsi="宋体"/>
                <w:color w:val="auto"/>
                <w:sz w:val="18"/>
                <w:szCs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1" w:hRule="atLeast"/>
        </w:trPr>
        <w:tc>
          <w:tcPr>
            <w:tcW w:w="19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 xml:space="preserve">灵山县人民法院乡镇法庭LED大屏及视频监控系统采购项目      </w:t>
            </w:r>
          </w:p>
        </w:tc>
        <w:tc>
          <w:tcPr>
            <w:tcW w:w="263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kern w:val="0"/>
                <w:sz w:val="18"/>
                <w:szCs w:val="18"/>
              </w:rPr>
            </w:pPr>
          </w:p>
        </w:tc>
        <w:tc>
          <w:tcPr>
            <w:tcW w:w="42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1项</w:t>
            </w:r>
          </w:p>
        </w:tc>
        <w:tc>
          <w:tcPr>
            <w:tcW w:w="1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p>
        </w:tc>
        <w:tc>
          <w:tcPr>
            <w:tcW w:w="1828" w:type="dxa"/>
            <w:tcBorders>
              <w:bottom w:val="single" w:color="auto" w:sz="4" w:space="0"/>
            </w:tcBorders>
            <w:vAlign w:val="center"/>
          </w:tcPr>
          <w:p>
            <w:pPr>
              <w:spacing w:line="300" w:lineRule="exact"/>
              <w:jc w:val="center"/>
              <w:rPr>
                <w:rFonts w:hAnsi="宋体"/>
                <w:color w:val="auto"/>
                <w:sz w:val="18"/>
                <w:szCs w:val="18"/>
              </w:rPr>
            </w:pPr>
            <w:r>
              <w:rPr>
                <w:rFonts w:hint="eastAsia"/>
                <w:color w:val="auto"/>
                <w:sz w:val="18"/>
                <w:szCs w:val="18"/>
              </w:rPr>
              <w:t>供应商必须</w:t>
            </w:r>
            <w:r>
              <w:rPr>
                <w:rFonts w:hint="eastAsia" w:ascii="宋体" w:hAnsi="宋体"/>
                <w:color w:val="auto"/>
                <w:sz w:val="18"/>
                <w:szCs w:val="18"/>
              </w:rPr>
              <w:t>对应磋商报价，提供服务承诺书。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2" w:hRule="atLeast"/>
        </w:trPr>
        <w:tc>
          <w:tcPr>
            <w:tcW w:w="13576" w:type="dxa"/>
            <w:gridSpan w:val="6"/>
            <w:tcBorders>
              <w:top w:val="single" w:color="auto" w:sz="4" w:space="0"/>
              <w:left w:val="single" w:color="auto" w:sz="4" w:space="0"/>
              <w:bottom w:val="single" w:color="auto" w:sz="4" w:space="0"/>
            </w:tcBorders>
            <w:vAlign w:val="center"/>
          </w:tcPr>
          <w:p>
            <w:pPr>
              <w:spacing w:line="300" w:lineRule="exact"/>
              <w:rPr>
                <w:rFonts w:ascii="宋体" w:hAnsi="宋体"/>
                <w:color w:val="auto"/>
                <w:sz w:val="18"/>
                <w:szCs w:val="18"/>
              </w:rPr>
            </w:pPr>
            <w:r>
              <w:rPr>
                <w:rFonts w:hint="eastAsia" w:ascii="宋体" w:hAnsi="宋体"/>
                <w:color w:val="auto"/>
                <w:sz w:val="18"/>
                <w:szCs w:val="18"/>
              </w:rPr>
              <w:t>磋商</w:t>
            </w:r>
            <w:r>
              <w:rPr>
                <w:rFonts w:ascii="宋体" w:hAnsi="宋体"/>
                <w:color w:val="auto"/>
                <w:sz w:val="18"/>
                <w:szCs w:val="18"/>
              </w:rPr>
              <w:t xml:space="preserve">报价（大写）：                                     </w:t>
            </w:r>
            <w:r>
              <w:rPr>
                <w:rFonts w:hint="eastAsia" w:ascii="宋体" w:hAnsi="宋体"/>
                <w:color w:val="auto"/>
                <w:sz w:val="18"/>
                <w:szCs w:val="18"/>
              </w:rPr>
              <w:t xml:space="preserve">                    元</w:t>
            </w:r>
            <w:r>
              <w:rPr>
                <w:rFonts w:ascii="宋体" w:hAnsi="宋体"/>
                <w:color w:val="auto"/>
                <w:sz w:val="18"/>
                <w:szCs w:val="18"/>
              </w:rPr>
              <w:t>人民币（￥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70" w:hRule="atLeast"/>
        </w:trPr>
        <w:tc>
          <w:tcPr>
            <w:tcW w:w="13576" w:type="dxa"/>
            <w:gridSpan w:val="6"/>
            <w:tcBorders>
              <w:top w:val="single" w:color="auto" w:sz="4" w:space="0"/>
              <w:left w:val="single" w:color="auto" w:sz="4" w:space="0"/>
            </w:tcBorders>
            <w:vAlign w:val="center"/>
          </w:tcPr>
          <w:p>
            <w:pPr>
              <w:rPr>
                <w:rFonts w:ascii="宋体" w:hAnsi="宋体"/>
                <w:color w:val="auto"/>
                <w:sz w:val="18"/>
                <w:szCs w:val="18"/>
              </w:rPr>
            </w:pPr>
            <w:r>
              <w:rPr>
                <w:rFonts w:hint="eastAsia" w:ascii="宋体" w:hAnsi="宋体"/>
                <w:color w:val="auto"/>
                <w:sz w:val="18"/>
                <w:szCs w:val="18"/>
              </w:rPr>
              <w:t>1、所有价格均用人民币表示，单位为元，精确到个数位。</w:t>
            </w:r>
          </w:p>
          <w:p>
            <w:pPr>
              <w:rPr>
                <w:color w:val="auto"/>
                <w:sz w:val="18"/>
                <w:szCs w:val="18"/>
              </w:rPr>
            </w:pPr>
            <w:r>
              <w:rPr>
                <w:rFonts w:hint="eastAsia" w:hAnsi="宋体"/>
                <w:bCs/>
                <w:color w:val="auto"/>
                <w:sz w:val="18"/>
                <w:szCs w:val="18"/>
              </w:rPr>
              <w:t>2、报价指服务价款，对设备的维护维保，货物（或配件）价款，随配附件，备品备件，工具，提供维保服务的人员工资、差旅费等，货物运抵指定交货地点、安装、调试的各种费用和售后服务、税金及其它所有成本、费用的总和</w:t>
            </w:r>
            <w:r>
              <w:rPr>
                <w:rFonts w:hint="eastAsia" w:ascii="宋体" w:hAnsi="宋体"/>
                <w:color w:val="auto"/>
                <w:sz w:val="18"/>
                <w:szCs w:val="18"/>
              </w:rPr>
              <w:t>。</w:t>
            </w:r>
          </w:p>
        </w:tc>
      </w:tr>
    </w:tbl>
    <w:p>
      <w:pPr>
        <w:pStyle w:val="22"/>
        <w:spacing w:line="300" w:lineRule="exact"/>
        <w:rPr>
          <w:b/>
          <w:color w:val="auto"/>
          <w:sz w:val="18"/>
          <w:szCs w:val="18"/>
        </w:rPr>
      </w:pPr>
    </w:p>
    <w:p>
      <w:pPr>
        <w:tabs>
          <w:tab w:val="left" w:pos="1305"/>
        </w:tabs>
        <w:spacing w:line="280" w:lineRule="exact"/>
        <w:rPr>
          <w:rFonts w:ascii="宋体" w:hAnsi="宋体"/>
          <w:bCs/>
          <w:color w:val="auto"/>
          <w:sz w:val="18"/>
          <w:szCs w:val="18"/>
        </w:rPr>
      </w:pPr>
      <w:r>
        <w:rPr>
          <w:rFonts w:hint="eastAsia" w:ascii="宋体" w:hAnsi="宋体"/>
          <w:bCs/>
          <w:color w:val="auto"/>
          <w:sz w:val="18"/>
          <w:szCs w:val="18"/>
        </w:rPr>
        <w:t>注</w:t>
      </w:r>
      <w:r>
        <w:rPr>
          <w:rFonts w:hint="eastAsia" w:ascii="宋体" w:hAnsi="宋体"/>
          <w:b/>
          <w:bCs/>
          <w:color w:val="auto"/>
          <w:sz w:val="18"/>
          <w:szCs w:val="18"/>
        </w:rPr>
        <w:t>：</w:t>
      </w:r>
      <w:r>
        <w:rPr>
          <w:rFonts w:hint="eastAsia" w:ascii="宋体" w:hAnsi="宋体"/>
          <w:bCs/>
          <w:color w:val="auto"/>
          <w:sz w:val="18"/>
          <w:szCs w:val="18"/>
        </w:rPr>
        <w:t xml:space="preserve">1. </w:t>
      </w:r>
      <w:r>
        <w:rPr>
          <w:rFonts w:hint="eastAsia"/>
          <w:color w:val="auto"/>
          <w:sz w:val="18"/>
          <w:szCs w:val="18"/>
        </w:rPr>
        <w:t>供应商必须就“项目需求”中所有内容作完整唯一报价，响应文件只允许有一个报价，有选择的或有条件的报价将不予接受。</w:t>
      </w:r>
    </w:p>
    <w:p>
      <w:pPr>
        <w:spacing w:line="280" w:lineRule="exact"/>
        <w:ind w:left="400" w:firstLine="180" w:firstLineChars="100"/>
        <w:rPr>
          <w:color w:val="auto"/>
          <w:sz w:val="18"/>
          <w:szCs w:val="18"/>
        </w:rPr>
      </w:pPr>
      <w:r>
        <w:rPr>
          <w:rFonts w:hint="eastAsia" w:ascii="宋体" w:hAnsi="宋体"/>
          <w:bCs/>
          <w:color w:val="auto"/>
          <w:sz w:val="18"/>
          <w:szCs w:val="18"/>
        </w:rPr>
        <w:t xml:space="preserve">2. </w:t>
      </w:r>
      <w:r>
        <w:rPr>
          <w:rFonts w:hint="eastAsia"/>
          <w:color w:val="auto"/>
          <w:sz w:val="18"/>
          <w:szCs w:val="18"/>
        </w:rPr>
        <w:t>磋商报价表</w:t>
      </w:r>
      <w:r>
        <w:rPr>
          <w:rFonts w:hint="eastAsia" w:ascii="宋体" w:hAnsi="宋体"/>
          <w:bCs/>
          <w:color w:val="auto"/>
          <w:sz w:val="18"/>
          <w:szCs w:val="18"/>
        </w:rPr>
        <w:t>须由法</w:t>
      </w:r>
      <w:r>
        <w:rPr>
          <w:rFonts w:hint="eastAsia"/>
          <w:color w:val="auto"/>
          <w:sz w:val="18"/>
          <w:szCs w:val="18"/>
        </w:rPr>
        <w:t>定代表人、负责人或相应的委托代理人签字并加盖供应商公章。当本表由多页构成时，需逐页加盖供应商公章</w:t>
      </w:r>
    </w:p>
    <w:p>
      <w:pPr>
        <w:spacing w:line="280" w:lineRule="exact"/>
        <w:ind w:left="400"/>
        <w:rPr>
          <w:rFonts w:hAnsi="宋体"/>
          <w:color w:val="auto"/>
          <w:sz w:val="18"/>
          <w:szCs w:val="18"/>
        </w:rPr>
      </w:pPr>
    </w:p>
    <w:p>
      <w:pPr>
        <w:spacing w:line="280" w:lineRule="exact"/>
        <w:ind w:left="400"/>
        <w:rPr>
          <w:rFonts w:hAnsi="宋体"/>
          <w:color w:val="auto"/>
          <w:sz w:val="18"/>
          <w:szCs w:val="18"/>
        </w:rPr>
      </w:pPr>
    </w:p>
    <w:p>
      <w:pPr>
        <w:spacing w:line="280" w:lineRule="exact"/>
        <w:ind w:left="400"/>
        <w:rPr>
          <w:rFonts w:hAnsi="宋体"/>
          <w:color w:val="auto"/>
          <w:sz w:val="18"/>
          <w:szCs w:val="18"/>
          <w:u w:val="single"/>
        </w:rPr>
      </w:pPr>
      <w:r>
        <w:rPr>
          <w:rFonts w:hint="eastAsia" w:hAnsi="宋体"/>
          <w:color w:val="auto"/>
          <w:sz w:val="18"/>
          <w:szCs w:val="18"/>
        </w:rPr>
        <w:t>法定代表人(负责人)或委托代理人（签字）:</w:t>
      </w:r>
      <w:r>
        <w:rPr>
          <w:rFonts w:hint="eastAsia" w:hAnsi="宋体"/>
          <w:color w:val="auto"/>
          <w:sz w:val="18"/>
          <w:szCs w:val="18"/>
          <w:u w:val="single"/>
        </w:rPr>
        <w:t xml:space="preserve">              </w:t>
      </w:r>
    </w:p>
    <w:p>
      <w:pPr>
        <w:pStyle w:val="22"/>
        <w:spacing w:line="500" w:lineRule="exact"/>
        <w:ind w:firstLine="360" w:firstLineChars="200"/>
        <w:rPr>
          <w:rFonts w:hAnsi="宋体"/>
          <w:color w:val="auto"/>
          <w:sz w:val="18"/>
          <w:szCs w:val="18"/>
          <w:u w:val="single"/>
        </w:rPr>
      </w:pPr>
      <w:r>
        <w:rPr>
          <w:rFonts w:hint="eastAsia" w:hAnsi="宋体"/>
          <w:color w:val="auto"/>
          <w:sz w:val="18"/>
          <w:szCs w:val="18"/>
        </w:rPr>
        <w:t>供应商名称（盖章）：</w:t>
      </w:r>
      <w:r>
        <w:rPr>
          <w:rFonts w:hint="eastAsia" w:hAnsi="宋体"/>
          <w:color w:val="auto"/>
          <w:sz w:val="18"/>
          <w:szCs w:val="18"/>
          <w:u w:val="single"/>
        </w:rPr>
        <w:t xml:space="preserve">                    </w:t>
      </w:r>
    </w:p>
    <w:p>
      <w:pPr>
        <w:spacing w:line="500" w:lineRule="exact"/>
        <w:ind w:firstLine="360" w:firstLineChars="200"/>
        <w:rPr>
          <w:rFonts w:hAnsi="宋体"/>
          <w:color w:val="auto"/>
          <w:sz w:val="18"/>
          <w:szCs w:val="18"/>
        </w:rPr>
      </w:pPr>
      <w:r>
        <w:rPr>
          <w:rFonts w:hint="eastAsia" w:hAnsi="宋体"/>
          <w:color w:val="auto"/>
          <w:sz w:val="18"/>
          <w:szCs w:val="18"/>
        </w:rPr>
        <w:t>报价时间：</w:t>
      </w:r>
      <w:r>
        <w:rPr>
          <w:rFonts w:hint="eastAsia" w:hAnsi="宋体"/>
          <w:color w:val="auto"/>
          <w:sz w:val="18"/>
          <w:szCs w:val="18"/>
          <w:u w:val="single"/>
        </w:rPr>
        <w:t xml:space="preserve">     </w:t>
      </w:r>
      <w:r>
        <w:rPr>
          <w:rFonts w:hint="eastAsia" w:hAnsi="宋体"/>
          <w:color w:val="auto"/>
          <w:sz w:val="18"/>
          <w:szCs w:val="18"/>
        </w:rPr>
        <w:t>年</w:t>
      </w:r>
      <w:r>
        <w:rPr>
          <w:rFonts w:hint="eastAsia" w:hAnsi="宋体"/>
          <w:color w:val="auto"/>
          <w:sz w:val="18"/>
          <w:szCs w:val="18"/>
          <w:u w:val="single"/>
        </w:rPr>
        <w:t xml:space="preserve">     </w:t>
      </w:r>
      <w:r>
        <w:rPr>
          <w:rFonts w:hint="eastAsia" w:hAnsi="宋体"/>
          <w:color w:val="auto"/>
          <w:sz w:val="18"/>
          <w:szCs w:val="18"/>
        </w:rPr>
        <w:t>月</w:t>
      </w:r>
      <w:r>
        <w:rPr>
          <w:rFonts w:hint="eastAsia" w:hAnsi="宋体"/>
          <w:color w:val="auto"/>
          <w:sz w:val="18"/>
          <w:szCs w:val="18"/>
          <w:u w:val="single"/>
        </w:rPr>
        <w:t xml:space="preserve">    </w:t>
      </w:r>
      <w:r>
        <w:rPr>
          <w:rFonts w:hint="eastAsia" w:hAnsi="宋体"/>
          <w:color w:val="auto"/>
          <w:sz w:val="18"/>
          <w:szCs w:val="18"/>
        </w:rPr>
        <w:t>日</w:t>
      </w: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sectPr>
          <w:pgSz w:w="16838" w:h="11906" w:orient="landscape"/>
          <w:pgMar w:top="1134" w:right="1134" w:bottom="1134" w:left="1247" w:header="851" w:footer="992" w:gutter="0"/>
          <w:cols w:space="720" w:num="1"/>
          <w:titlePg/>
          <w:docGrid w:type="lines" w:linePitch="321" w:charSpace="0"/>
        </w:sectPr>
      </w:pPr>
    </w:p>
    <w:p>
      <w:pPr>
        <w:pStyle w:val="44"/>
        <w:rPr>
          <w:rFonts w:hAnsi="宋体"/>
          <w:color w:val="auto"/>
        </w:rPr>
      </w:pPr>
    </w:p>
    <w:p>
      <w:pPr>
        <w:adjustRightInd w:val="0"/>
        <w:snapToGrid w:val="0"/>
        <w:spacing w:line="300" w:lineRule="auto"/>
        <w:ind w:left="-88" w:leftChars="-42"/>
        <w:rPr>
          <w:rFonts w:ascii="宋体" w:hAnsi="宋体"/>
          <w:b/>
          <w:color w:val="auto"/>
          <w:sz w:val="30"/>
          <w:szCs w:val="30"/>
        </w:rPr>
      </w:pPr>
      <w:r>
        <w:rPr>
          <w:rFonts w:hint="eastAsia" w:ascii="宋体" w:hAnsi="宋体"/>
          <w:b/>
          <w:color w:val="auto"/>
          <w:sz w:val="30"/>
          <w:szCs w:val="30"/>
        </w:rPr>
        <w:t>3）商务响应表[必须提供]</w:t>
      </w:r>
    </w:p>
    <w:p>
      <w:pPr>
        <w:adjustRightInd w:val="0"/>
        <w:snapToGrid w:val="0"/>
        <w:spacing w:line="300" w:lineRule="auto"/>
        <w:ind w:left="-88" w:leftChars="-42"/>
        <w:rPr>
          <w:rFonts w:ascii="宋体" w:hAnsi="宋体"/>
          <w:color w:val="auto"/>
          <w:sz w:val="30"/>
          <w:szCs w:val="30"/>
        </w:rPr>
      </w:pPr>
    </w:p>
    <w:p>
      <w:pPr>
        <w:pStyle w:val="22"/>
        <w:spacing w:line="360" w:lineRule="exact"/>
        <w:rPr>
          <w:rFonts w:hAnsi="宋体"/>
          <w:b/>
          <w:bCs/>
          <w:color w:val="auto"/>
          <w:sz w:val="30"/>
          <w:szCs w:val="30"/>
        </w:rPr>
      </w:pPr>
      <w:r>
        <w:rPr>
          <w:rFonts w:hint="eastAsia" w:hAnsi="宋体"/>
          <w:b/>
          <w:bCs/>
          <w:color w:val="auto"/>
          <w:sz w:val="30"/>
          <w:szCs w:val="30"/>
        </w:rPr>
        <w:t>附件三</w:t>
      </w:r>
    </w:p>
    <w:p>
      <w:pPr>
        <w:spacing w:line="300" w:lineRule="auto"/>
        <w:ind w:firstLine="2108" w:firstLineChars="700"/>
        <w:rPr>
          <w:rFonts w:ascii="宋体" w:hAnsi="宋体"/>
          <w:b/>
          <w:color w:val="auto"/>
          <w:sz w:val="30"/>
          <w:szCs w:val="30"/>
        </w:rPr>
      </w:pPr>
      <w:r>
        <w:rPr>
          <w:rFonts w:hint="eastAsia" w:ascii="宋体" w:hAnsi="宋体"/>
          <w:b/>
          <w:color w:val="auto"/>
          <w:sz w:val="30"/>
          <w:szCs w:val="30"/>
        </w:rPr>
        <w:t>商务、技术响应、偏离情况说明表（格式）</w:t>
      </w:r>
    </w:p>
    <w:p>
      <w:pPr>
        <w:spacing w:line="500" w:lineRule="exact"/>
        <w:ind w:firstLine="315" w:firstLineChars="150"/>
        <w:rPr>
          <w:rFonts w:ascii="宋体" w:hAnsi="宋体"/>
          <w:color w:val="auto"/>
          <w:szCs w:val="21"/>
          <w:u w:val="single"/>
        </w:rPr>
      </w:pPr>
      <w:r>
        <w:rPr>
          <w:rFonts w:hint="eastAsia" w:ascii="宋体" w:hAnsi="宋体"/>
          <w:color w:val="auto"/>
          <w:szCs w:val="21"/>
        </w:rPr>
        <w:t>项目名称:</w:t>
      </w:r>
      <w:r>
        <w:rPr>
          <w:rFonts w:hint="eastAsia" w:ascii="宋体" w:hAnsi="宋体"/>
          <w:color w:val="auto"/>
          <w:szCs w:val="21"/>
          <w:u w:val="single"/>
        </w:rPr>
        <w:t xml:space="preserve">                 </w:t>
      </w:r>
    </w:p>
    <w:p>
      <w:pPr>
        <w:spacing w:line="500" w:lineRule="exact"/>
        <w:ind w:firstLine="315" w:firstLineChars="150"/>
        <w:rPr>
          <w:rFonts w:ascii="宋体" w:hAnsi="宋体"/>
          <w:color w:val="auto"/>
          <w:szCs w:val="21"/>
          <w:u w:val="single"/>
        </w:rPr>
      </w:pPr>
      <w:r>
        <w:rPr>
          <w:rFonts w:hint="eastAsia" w:ascii="宋体" w:hAnsi="宋体"/>
          <w:color w:val="auto"/>
          <w:szCs w:val="21"/>
        </w:rPr>
        <w:t xml:space="preserve">项目编号:                                    </w:t>
      </w:r>
      <w:r>
        <w:rPr>
          <w:rFonts w:hint="eastAsia" w:ascii="宋体" w:hAnsi="宋体"/>
          <w:color w:val="auto"/>
          <w:szCs w:val="21"/>
          <w:u w:val="single"/>
        </w:rPr>
        <w:t xml:space="preserve"> </w:t>
      </w:r>
    </w:p>
    <w:tbl>
      <w:tblPr>
        <w:tblStyle w:val="42"/>
        <w:tblW w:w="985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9"/>
        <w:gridCol w:w="2153"/>
        <w:gridCol w:w="2126"/>
        <w:gridCol w:w="2977"/>
        <w:gridCol w:w="1275"/>
        <w:gridCol w:w="67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649" w:type="dxa"/>
            <w:vAlign w:val="center"/>
          </w:tcPr>
          <w:p>
            <w:pPr>
              <w:adjustRightInd w:val="0"/>
              <w:snapToGrid w:val="0"/>
              <w:spacing w:line="300" w:lineRule="auto"/>
              <w:jc w:val="center"/>
              <w:outlineLvl w:val="0"/>
              <w:rPr>
                <w:rFonts w:ascii="宋体" w:hAnsi="宋体"/>
                <w:color w:val="auto"/>
                <w:szCs w:val="21"/>
              </w:rPr>
            </w:pPr>
            <w:bookmarkStart w:id="44" w:name="_Toc173211900"/>
            <w:bookmarkStart w:id="45" w:name="_Toc173066401"/>
            <w:bookmarkStart w:id="46" w:name="_Toc254970588"/>
            <w:bookmarkStart w:id="47" w:name="_Toc25899"/>
            <w:bookmarkStart w:id="48" w:name="_Toc254970729"/>
            <w:r>
              <w:rPr>
                <w:rFonts w:hint="eastAsia" w:ascii="宋体" w:hAnsi="宋体"/>
                <w:color w:val="auto"/>
                <w:szCs w:val="21"/>
              </w:rPr>
              <w:t>序号</w:t>
            </w:r>
            <w:bookmarkEnd w:id="44"/>
            <w:bookmarkEnd w:id="45"/>
            <w:bookmarkEnd w:id="46"/>
            <w:bookmarkEnd w:id="47"/>
            <w:bookmarkEnd w:id="48"/>
          </w:p>
        </w:tc>
        <w:tc>
          <w:tcPr>
            <w:tcW w:w="2153" w:type="dxa"/>
            <w:vAlign w:val="center"/>
          </w:tcPr>
          <w:p>
            <w:pPr>
              <w:adjustRightInd w:val="0"/>
              <w:snapToGrid w:val="0"/>
              <w:spacing w:line="300" w:lineRule="auto"/>
              <w:jc w:val="center"/>
              <w:outlineLvl w:val="0"/>
              <w:rPr>
                <w:rFonts w:ascii="宋体" w:hAnsi="宋体"/>
                <w:color w:val="auto"/>
                <w:szCs w:val="21"/>
              </w:rPr>
            </w:pPr>
            <w:bookmarkStart w:id="49" w:name="_Toc1437"/>
            <w:r>
              <w:rPr>
                <w:rFonts w:hint="eastAsia" w:ascii="宋体" w:hAnsi="宋体"/>
                <w:color w:val="auto"/>
                <w:szCs w:val="21"/>
              </w:rPr>
              <w:t>货物名称或技术条款</w:t>
            </w:r>
            <w:bookmarkEnd w:id="49"/>
          </w:p>
        </w:tc>
        <w:tc>
          <w:tcPr>
            <w:tcW w:w="2126" w:type="dxa"/>
            <w:tcBorders>
              <w:right w:val="single" w:color="auto" w:sz="4" w:space="0"/>
            </w:tcBorders>
            <w:vAlign w:val="center"/>
          </w:tcPr>
          <w:p>
            <w:pPr>
              <w:adjustRightInd w:val="0"/>
              <w:snapToGrid w:val="0"/>
              <w:spacing w:line="300" w:lineRule="auto"/>
              <w:jc w:val="center"/>
              <w:outlineLvl w:val="0"/>
              <w:rPr>
                <w:rFonts w:ascii="宋体" w:hAnsi="宋体"/>
                <w:color w:val="auto"/>
                <w:szCs w:val="21"/>
              </w:rPr>
            </w:pPr>
            <w:bookmarkStart w:id="50" w:name="_Toc173211901"/>
            <w:bookmarkStart w:id="51" w:name="_Toc254970730"/>
            <w:bookmarkStart w:id="52" w:name="_Toc173066402"/>
            <w:bookmarkStart w:id="53" w:name="_Toc15526"/>
            <w:bookmarkStart w:id="54" w:name="_Toc254970589"/>
            <w:r>
              <w:rPr>
                <w:rFonts w:hint="eastAsia" w:ascii="宋体" w:hAnsi="宋体"/>
                <w:color w:val="auto"/>
                <w:szCs w:val="21"/>
              </w:rPr>
              <w:t>竞争性磋商文件要求</w:t>
            </w:r>
            <w:bookmarkEnd w:id="50"/>
            <w:bookmarkEnd w:id="51"/>
            <w:bookmarkEnd w:id="52"/>
            <w:bookmarkEnd w:id="53"/>
            <w:bookmarkEnd w:id="54"/>
          </w:p>
        </w:tc>
        <w:tc>
          <w:tcPr>
            <w:tcW w:w="2977" w:type="dxa"/>
            <w:tcBorders>
              <w:left w:val="single" w:color="auto" w:sz="4" w:space="0"/>
            </w:tcBorders>
            <w:vAlign w:val="center"/>
          </w:tcPr>
          <w:p>
            <w:pPr>
              <w:adjustRightInd w:val="0"/>
              <w:snapToGrid w:val="0"/>
              <w:spacing w:line="300" w:lineRule="auto"/>
              <w:jc w:val="center"/>
              <w:outlineLvl w:val="0"/>
              <w:rPr>
                <w:rFonts w:ascii="宋体" w:hAnsi="宋体"/>
                <w:color w:val="auto"/>
                <w:szCs w:val="21"/>
              </w:rPr>
            </w:pPr>
            <w:bookmarkStart w:id="55" w:name="_Toc16731"/>
            <w:bookmarkStart w:id="56" w:name="_Toc254970590"/>
            <w:bookmarkStart w:id="57" w:name="_Toc254970731"/>
            <w:bookmarkStart w:id="58" w:name="_Toc173066403"/>
            <w:bookmarkStart w:id="59" w:name="_Toc173211902"/>
            <w:r>
              <w:rPr>
                <w:rFonts w:hint="eastAsia" w:ascii="宋体" w:hAnsi="宋体"/>
                <w:color w:val="auto"/>
                <w:szCs w:val="21"/>
              </w:rPr>
              <w:t>竞争性磋商响应文件具体响应</w:t>
            </w:r>
            <w:bookmarkEnd w:id="55"/>
            <w:bookmarkEnd w:id="56"/>
            <w:bookmarkEnd w:id="57"/>
            <w:bookmarkEnd w:id="58"/>
            <w:bookmarkEnd w:id="59"/>
          </w:p>
        </w:tc>
        <w:tc>
          <w:tcPr>
            <w:tcW w:w="1275" w:type="dxa"/>
            <w:vAlign w:val="center"/>
          </w:tcPr>
          <w:p>
            <w:pPr>
              <w:adjustRightInd w:val="0"/>
              <w:snapToGrid w:val="0"/>
              <w:spacing w:line="300" w:lineRule="auto"/>
              <w:jc w:val="center"/>
              <w:outlineLvl w:val="0"/>
              <w:rPr>
                <w:rFonts w:ascii="宋体" w:hAnsi="宋体"/>
                <w:color w:val="auto"/>
                <w:szCs w:val="21"/>
              </w:rPr>
            </w:pPr>
            <w:bookmarkStart w:id="60" w:name="_Toc254970591"/>
            <w:bookmarkStart w:id="61" w:name="_Toc254970732"/>
            <w:bookmarkStart w:id="62" w:name="_Toc173066404"/>
            <w:bookmarkStart w:id="63" w:name="_Toc173211903"/>
            <w:bookmarkStart w:id="64" w:name="_Toc7422"/>
            <w:r>
              <w:rPr>
                <w:rFonts w:hint="eastAsia" w:ascii="宋体" w:hAnsi="宋体"/>
                <w:color w:val="auto"/>
                <w:szCs w:val="21"/>
              </w:rPr>
              <w:t>响应/偏离</w:t>
            </w:r>
            <w:bookmarkEnd w:id="60"/>
            <w:bookmarkEnd w:id="61"/>
            <w:bookmarkEnd w:id="62"/>
            <w:bookmarkEnd w:id="63"/>
            <w:bookmarkEnd w:id="64"/>
          </w:p>
        </w:tc>
        <w:tc>
          <w:tcPr>
            <w:tcW w:w="675" w:type="dxa"/>
            <w:vAlign w:val="center"/>
          </w:tcPr>
          <w:p>
            <w:pPr>
              <w:adjustRightInd w:val="0"/>
              <w:snapToGrid w:val="0"/>
              <w:spacing w:line="300" w:lineRule="auto"/>
              <w:jc w:val="center"/>
              <w:outlineLvl w:val="0"/>
              <w:rPr>
                <w:rFonts w:ascii="宋体" w:hAnsi="宋体"/>
                <w:color w:val="auto"/>
                <w:szCs w:val="21"/>
              </w:rPr>
            </w:pPr>
            <w:bookmarkStart w:id="65" w:name="_Toc254970592"/>
            <w:bookmarkStart w:id="66" w:name="_Toc173211904"/>
            <w:bookmarkStart w:id="67" w:name="_Toc254970733"/>
            <w:bookmarkStart w:id="68" w:name="_Toc22341"/>
            <w:bookmarkStart w:id="69" w:name="_Toc173066405"/>
            <w:r>
              <w:rPr>
                <w:rFonts w:hint="eastAsia" w:ascii="宋体" w:hAnsi="宋体"/>
                <w:color w:val="auto"/>
                <w:szCs w:val="21"/>
              </w:rPr>
              <w:t>说明</w:t>
            </w:r>
            <w:bookmarkEnd w:id="65"/>
            <w:bookmarkEnd w:id="66"/>
            <w:bookmarkEnd w:id="67"/>
            <w:bookmarkEnd w:id="68"/>
            <w:bookmarkEnd w:id="69"/>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9855" w:type="dxa"/>
            <w:gridSpan w:val="6"/>
            <w:vAlign w:val="center"/>
          </w:tcPr>
          <w:p>
            <w:pPr>
              <w:adjustRightInd w:val="0"/>
              <w:snapToGrid w:val="0"/>
              <w:spacing w:line="300" w:lineRule="auto"/>
              <w:jc w:val="center"/>
              <w:outlineLvl w:val="0"/>
              <w:rPr>
                <w:rFonts w:ascii="宋体" w:hAnsi="宋体"/>
                <w:color w:val="auto"/>
                <w:szCs w:val="21"/>
                <w:highlight w:val="none"/>
              </w:rPr>
            </w:pPr>
            <w:bookmarkStart w:id="70" w:name="_Toc24973"/>
            <w:r>
              <w:rPr>
                <w:rFonts w:hint="eastAsia" w:ascii="宋体" w:hAnsi="宋体"/>
                <w:color w:val="auto"/>
                <w:szCs w:val="21"/>
                <w:highlight w:val="none"/>
              </w:rPr>
              <w:t>商务部分</w:t>
            </w:r>
            <w:bookmarkEnd w:id="7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649" w:type="dxa"/>
            <w:vAlign w:val="center"/>
          </w:tcPr>
          <w:p>
            <w:pPr>
              <w:adjustRightInd w:val="0"/>
              <w:snapToGrid w:val="0"/>
              <w:spacing w:line="300" w:lineRule="auto"/>
              <w:jc w:val="center"/>
              <w:outlineLvl w:val="0"/>
              <w:rPr>
                <w:rFonts w:ascii="宋体" w:hAnsi="宋体"/>
                <w:color w:val="auto"/>
                <w:szCs w:val="21"/>
                <w:highlight w:val="none"/>
              </w:rPr>
            </w:pPr>
            <w:r>
              <w:rPr>
                <w:rFonts w:hint="eastAsia" w:ascii="华文宋体" w:hAnsi="华文宋体" w:eastAsia="华文宋体" w:cs="华文宋体"/>
                <w:bCs/>
                <w:color w:val="auto"/>
                <w:sz w:val="18"/>
                <w:szCs w:val="18"/>
                <w:highlight w:val="none"/>
              </w:rPr>
              <w:t>一</w:t>
            </w:r>
          </w:p>
        </w:tc>
        <w:tc>
          <w:tcPr>
            <w:tcW w:w="2153" w:type="dxa"/>
            <w:vAlign w:val="center"/>
          </w:tcPr>
          <w:p>
            <w:pPr>
              <w:adjustRightInd w:val="0"/>
              <w:snapToGrid w:val="0"/>
              <w:spacing w:line="300" w:lineRule="auto"/>
              <w:jc w:val="left"/>
              <w:outlineLvl w:val="0"/>
              <w:rPr>
                <w:rFonts w:ascii="宋体" w:hAnsi="宋体"/>
                <w:color w:val="auto"/>
                <w:sz w:val="18"/>
                <w:szCs w:val="18"/>
                <w:highlight w:val="none"/>
              </w:rPr>
            </w:pPr>
            <w:r>
              <w:rPr>
                <w:rFonts w:hint="eastAsia" w:ascii="华文宋体" w:hAnsi="华文宋体" w:eastAsia="华文宋体" w:cs="华文宋体"/>
                <w:bCs/>
                <w:color w:val="auto"/>
                <w:sz w:val="18"/>
                <w:szCs w:val="18"/>
                <w:highlight w:val="none"/>
              </w:rPr>
              <w:t>合同签订期</w:t>
            </w:r>
          </w:p>
        </w:tc>
        <w:tc>
          <w:tcPr>
            <w:tcW w:w="2126" w:type="dxa"/>
            <w:tcBorders>
              <w:righ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2977" w:type="dxa"/>
            <w:tcBorders>
              <w:lef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1275" w:type="dxa"/>
            <w:vAlign w:val="center"/>
          </w:tcPr>
          <w:p>
            <w:pPr>
              <w:adjustRightInd w:val="0"/>
              <w:snapToGrid w:val="0"/>
              <w:spacing w:line="300" w:lineRule="auto"/>
              <w:jc w:val="center"/>
              <w:outlineLvl w:val="0"/>
              <w:rPr>
                <w:rFonts w:ascii="宋体" w:hAnsi="宋体"/>
                <w:color w:val="auto"/>
                <w:szCs w:val="21"/>
                <w:highlight w:val="none"/>
              </w:rPr>
            </w:pPr>
          </w:p>
        </w:tc>
        <w:tc>
          <w:tcPr>
            <w:tcW w:w="675" w:type="dxa"/>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649" w:type="dxa"/>
            <w:vAlign w:val="center"/>
          </w:tcPr>
          <w:p>
            <w:pPr>
              <w:adjustRightInd w:val="0"/>
              <w:snapToGrid w:val="0"/>
              <w:spacing w:line="300" w:lineRule="auto"/>
              <w:jc w:val="center"/>
              <w:outlineLvl w:val="0"/>
              <w:rPr>
                <w:rFonts w:ascii="宋体" w:hAnsi="宋体"/>
                <w:color w:val="auto"/>
                <w:szCs w:val="21"/>
                <w:highlight w:val="none"/>
              </w:rPr>
            </w:pPr>
            <w:r>
              <w:rPr>
                <w:rFonts w:hint="eastAsia" w:ascii="华文宋体" w:hAnsi="华文宋体" w:eastAsia="华文宋体" w:cs="华文宋体"/>
                <w:bCs/>
                <w:color w:val="auto"/>
                <w:sz w:val="18"/>
                <w:szCs w:val="18"/>
                <w:highlight w:val="none"/>
              </w:rPr>
              <w:t>二</w:t>
            </w:r>
          </w:p>
        </w:tc>
        <w:tc>
          <w:tcPr>
            <w:tcW w:w="2153" w:type="dxa"/>
            <w:vAlign w:val="center"/>
          </w:tcPr>
          <w:p>
            <w:pPr>
              <w:adjustRightInd w:val="0"/>
              <w:snapToGrid w:val="0"/>
              <w:spacing w:line="300" w:lineRule="auto"/>
              <w:jc w:val="left"/>
              <w:outlineLvl w:val="0"/>
              <w:rPr>
                <w:rFonts w:ascii="宋体" w:hAnsi="宋体"/>
                <w:color w:val="auto"/>
                <w:sz w:val="18"/>
                <w:szCs w:val="18"/>
                <w:highlight w:val="none"/>
              </w:rPr>
            </w:pPr>
            <w:r>
              <w:rPr>
                <w:rFonts w:hint="eastAsia" w:ascii="华文宋体" w:hAnsi="华文宋体" w:eastAsia="华文宋体" w:cs="华文宋体"/>
                <w:bCs/>
                <w:color w:val="auto"/>
                <w:sz w:val="18"/>
                <w:szCs w:val="18"/>
                <w:highlight w:val="none"/>
              </w:rPr>
              <w:t>交付使用期</w:t>
            </w:r>
          </w:p>
        </w:tc>
        <w:tc>
          <w:tcPr>
            <w:tcW w:w="2126" w:type="dxa"/>
            <w:tcBorders>
              <w:righ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2977" w:type="dxa"/>
            <w:tcBorders>
              <w:lef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1275" w:type="dxa"/>
            <w:vAlign w:val="center"/>
          </w:tcPr>
          <w:p>
            <w:pPr>
              <w:adjustRightInd w:val="0"/>
              <w:snapToGrid w:val="0"/>
              <w:spacing w:line="300" w:lineRule="auto"/>
              <w:jc w:val="center"/>
              <w:outlineLvl w:val="0"/>
              <w:rPr>
                <w:rFonts w:ascii="宋体" w:hAnsi="宋体"/>
                <w:color w:val="auto"/>
                <w:szCs w:val="21"/>
                <w:highlight w:val="none"/>
              </w:rPr>
            </w:pPr>
          </w:p>
        </w:tc>
        <w:tc>
          <w:tcPr>
            <w:tcW w:w="675" w:type="dxa"/>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649" w:type="dxa"/>
            <w:vAlign w:val="center"/>
          </w:tcPr>
          <w:p>
            <w:pPr>
              <w:adjustRightInd w:val="0"/>
              <w:snapToGrid w:val="0"/>
              <w:spacing w:line="300" w:lineRule="auto"/>
              <w:jc w:val="center"/>
              <w:outlineLvl w:val="0"/>
              <w:rPr>
                <w:rFonts w:ascii="宋体" w:hAnsi="宋体"/>
                <w:color w:val="auto"/>
                <w:szCs w:val="21"/>
                <w:highlight w:val="none"/>
              </w:rPr>
            </w:pPr>
            <w:r>
              <w:rPr>
                <w:rFonts w:hint="eastAsia" w:ascii="华文宋体" w:hAnsi="华文宋体" w:eastAsia="华文宋体" w:cs="华文宋体"/>
                <w:bCs/>
                <w:color w:val="auto"/>
                <w:sz w:val="18"/>
                <w:szCs w:val="18"/>
                <w:highlight w:val="none"/>
              </w:rPr>
              <w:t>三</w:t>
            </w:r>
          </w:p>
        </w:tc>
        <w:tc>
          <w:tcPr>
            <w:tcW w:w="2153" w:type="dxa"/>
            <w:vAlign w:val="center"/>
          </w:tcPr>
          <w:p>
            <w:pPr>
              <w:adjustRightInd w:val="0"/>
              <w:snapToGrid w:val="0"/>
              <w:spacing w:line="300" w:lineRule="auto"/>
              <w:jc w:val="left"/>
              <w:outlineLvl w:val="0"/>
              <w:rPr>
                <w:rFonts w:ascii="宋体" w:hAnsi="宋体"/>
                <w:color w:val="auto"/>
                <w:sz w:val="18"/>
                <w:szCs w:val="18"/>
                <w:highlight w:val="none"/>
              </w:rPr>
            </w:pPr>
            <w:r>
              <w:rPr>
                <w:rFonts w:hint="eastAsia" w:ascii="华文宋体" w:hAnsi="华文宋体" w:eastAsia="华文宋体" w:cs="华文宋体"/>
                <w:bCs/>
                <w:color w:val="auto"/>
                <w:sz w:val="18"/>
                <w:szCs w:val="18"/>
                <w:highlight w:val="none"/>
              </w:rPr>
              <w:t>配套服务要求</w:t>
            </w:r>
          </w:p>
        </w:tc>
        <w:tc>
          <w:tcPr>
            <w:tcW w:w="2126" w:type="dxa"/>
            <w:tcBorders>
              <w:righ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2977" w:type="dxa"/>
            <w:tcBorders>
              <w:lef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1275" w:type="dxa"/>
            <w:vAlign w:val="center"/>
          </w:tcPr>
          <w:p>
            <w:pPr>
              <w:adjustRightInd w:val="0"/>
              <w:snapToGrid w:val="0"/>
              <w:spacing w:line="300" w:lineRule="auto"/>
              <w:jc w:val="center"/>
              <w:outlineLvl w:val="0"/>
              <w:rPr>
                <w:rFonts w:ascii="宋体" w:hAnsi="宋体"/>
                <w:color w:val="auto"/>
                <w:szCs w:val="21"/>
                <w:highlight w:val="none"/>
              </w:rPr>
            </w:pPr>
          </w:p>
        </w:tc>
        <w:tc>
          <w:tcPr>
            <w:tcW w:w="675" w:type="dxa"/>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649" w:type="dxa"/>
            <w:vAlign w:val="center"/>
          </w:tcPr>
          <w:p>
            <w:pPr>
              <w:adjustRightInd w:val="0"/>
              <w:snapToGrid w:val="0"/>
              <w:spacing w:line="300" w:lineRule="auto"/>
              <w:jc w:val="center"/>
              <w:outlineLvl w:val="0"/>
              <w:rPr>
                <w:rFonts w:ascii="宋体" w:hAnsi="宋体"/>
                <w:color w:val="auto"/>
                <w:szCs w:val="21"/>
                <w:highlight w:val="none"/>
              </w:rPr>
            </w:pPr>
            <w:r>
              <w:rPr>
                <w:rFonts w:hint="eastAsia" w:ascii="华文宋体" w:hAnsi="华文宋体" w:eastAsia="华文宋体" w:cs="华文宋体"/>
                <w:bCs/>
                <w:color w:val="auto"/>
                <w:sz w:val="18"/>
                <w:szCs w:val="18"/>
                <w:highlight w:val="none"/>
              </w:rPr>
              <w:t>四</w:t>
            </w:r>
          </w:p>
        </w:tc>
        <w:tc>
          <w:tcPr>
            <w:tcW w:w="2153" w:type="dxa"/>
            <w:vAlign w:val="center"/>
          </w:tcPr>
          <w:p>
            <w:pPr>
              <w:adjustRightInd w:val="0"/>
              <w:snapToGrid w:val="0"/>
              <w:spacing w:line="300" w:lineRule="auto"/>
              <w:jc w:val="left"/>
              <w:outlineLvl w:val="0"/>
              <w:rPr>
                <w:rFonts w:ascii="宋体" w:hAnsi="宋体"/>
                <w:color w:val="auto"/>
                <w:sz w:val="18"/>
                <w:szCs w:val="18"/>
                <w:highlight w:val="none"/>
              </w:rPr>
            </w:pPr>
            <w:r>
              <w:rPr>
                <w:rFonts w:hint="eastAsia" w:ascii="华文宋体" w:hAnsi="华文宋体" w:eastAsia="华文宋体" w:cs="华文宋体"/>
                <w:bCs/>
                <w:color w:val="auto"/>
                <w:sz w:val="18"/>
                <w:szCs w:val="18"/>
                <w:highlight w:val="none"/>
              </w:rPr>
              <w:t>售后服务要求</w:t>
            </w:r>
          </w:p>
        </w:tc>
        <w:tc>
          <w:tcPr>
            <w:tcW w:w="2126" w:type="dxa"/>
            <w:tcBorders>
              <w:righ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2977" w:type="dxa"/>
            <w:tcBorders>
              <w:lef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1275" w:type="dxa"/>
            <w:vAlign w:val="center"/>
          </w:tcPr>
          <w:p>
            <w:pPr>
              <w:adjustRightInd w:val="0"/>
              <w:snapToGrid w:val="0"/>
              <w:spacing w:line="300" w:lineRule="auto"/>
              <w:jc w:val="center"/>
              <w:outlineLvl w:val="0"/>
              <w:rPr>
                <w:rFonts w:ascii="宋体" w:hAnsi="宋体"/>
                <w:color w:val="auto"/>
                <w:szCs w:val="21"/>
                <w:highlight w:val="none"/>
              </w:rPr>
            </w:pPr>
          </w:p>
        </w:tc>
        <w:tc>
          <w:tcPr>
            <w:tcW w:w="675" w:type="dxa"/>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649" w:type="dxa"/>
            <w:vAlign w:val="center"/>
          </w:tcPr>
          <w:p>
            <w:pPr>
              <w:adjustRightInd w:val="0"/>
              <w:snapToGrid w:val="0"/>
              <w:spacing w:line="300" w:lineRule="auto"/>
              <w:jc w:val="center"/>
              <w:outlineLvl w:val="0"/>
              <w:rPr>
                <w:rFonts w:ascii="宋体" w:hAnsi="宋体"/>
                <w:color w:val="auto"/>
                <w:szCs w:val="21"/>
                <w:highlight w:val="none"/>
              </w:rPr>
            </w:pPr>
            <w:r>
              <w:rPr>
                <w:rFonts w:hint="eastAsia" w:ascii="华文宋体" w:hAnsi="华文宋体" w:eastAsia="华文宋体" w:cs="华文宋体"/>
                <w:bCs/>
                <w:color w:val="auto"/>
                <w:sz w:val="18"/>
                <w:szCs w:val="18"/>
                <w:highlight w:val="none"/>
              </w:rPr>
              <w:t>五</w:t>
            </w:r>
          </w:p>
        </w:tc>
        <w:tc>
          <w:tcPr>
            <w:tcW w:w="2153" w:type="dxa"/>
            <w:vAlign w:val="center"/>
          </w:tcPr>
          <w:p>
            <w:pPr>
              <w:adjustRightInd w:val="0"/>
              <w:snapToGrid w:val="0"/>
              <w:spacing w:line="300" w:lineRule="auto"/>
              <w:jc w:val="left"/>
              <w:outlineLvl w:val="0"/>
              <w:rPr>
                <w:rFonts w:ascii="宋体" w:hAnsi="宋体"/>
                <w:color w:val="auto"/>
                <w:sz w:val="18"/>
                <w:szCs w:val="18"/>
                <w:highlight w:val="none"/>
              </w:rPr>
            </w:pPr>
            <w:r>
              <w:rPr>
                <w:rFonts w:hint="eastAsia" w:ascii="华文宋体" w:hAnsi="华文宋体" w:eastAsia="华文宋体" w:cs="华文宋体"/>
                <w:bCs/>
                <w:color w:val="auto"/>
                <w:sz w:val="18"/>
                <w:szCs w:val="18"/>
                <w:highlight w:val="none"/>
              </w:rPr>
              <w:t>其他要求</w:t>
            </w:r>
          </w:p>
        </w:tc>
        <w:tc>
          <w:tcPr>
            <w:tcW w:w="2126" w:type="dxa"/>
            <w:tcBorders>
              <w:righ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2977" w:type="dxa"/>
            <w:tcBorders>
              <w:lef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1275" w:type="dxa"/>
            <w:vAlign w:val="center"/>
          </w:tcPr>
          <w:p>
            <w:pPr>
              <w:adjustRightInd w:val="0"/>
              <w:snapToGrid w:val="0"/>
              <w:spacing w:line="300" w:lineRule="auto"/>
              <w:jc w:val="center"/>
              <w:outlineLvl w:val="0"/>
              <w:rPr>
                <w:rFonts w:ascii="宋体" w:hAnsi="宋体"/>
                <w:color w:val="auto"/>
                <w:szCs w:val="21"/>
                <w:highlight w:val="none"/>
              </w:rPr>
            </w:pPr>
          </w:p>
        </w:tc>
        <w:tc>
          <w:tcPr>
            <w:tcW w:w="675" w:type="dxa"/>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9855" w:type="dxa"/>
            <w:gridSpan w:val="6"/>
            <w:vAlign w:val="center"/>
          </w:tcPr>
          <w:p>
            <w:pPr>
              <w:adjustRightInd w:val="0"/>
              <w:snapToGrid w:val="0"/>
              <w:spacing w:line="300" w:lineRule="auto"/>
              <w:jc w:val="center"/>
              <w:outlineLvl w:val="0"/>
              <w:rPr>
                <w:rFonts w:ascii="宋体" w:hAnsi="宋体"/>
                <w:color w:val="auto"/>
                <w:szCs w:val="21"/>
                <w:highlight w:val="none"/>
              </w:rPr>
            </w:pPr>
            <w:bookmarkStart w:id="71" w:name="_Toc31344"/>
            <w:r>
              <w:rPr>
                <w:rFonts w:hint="eastAsia" w:ascii="宋体" w:hAnsi="宋体"/>
                <w:color w:val="auto"/>
                <w:szCs w:val="21"/>
                <w:highlight w:val="none"/>
              </w:rPr>
              <w:t>技术部分</w:t>
            </w:r>
            <w:bookmarkEnd w:id="71"/>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9855" w:type="dxa"/>
            <w:gridSpan w:val="6"/>
            <w:vAlign w:val="center"/>
          </w:tcPr>
          <w:p>
            <w:pPr>
              <w:adjustRightInd w:val="0"/>
              <w:snapToGrid w:val="0"/>
              <w:spacing w:line="300" w:lineRule="auto"/>
              <w:outlineLvl w:val="0"/>
              <w:rPr>
                <w:rFonts w:ascii="宋体" w:hAnsi="宋体"/>
                <w:color w:val="auto"/>
                <w:szCs w:val="21"/>
                <w:highlight w:val="none"/>
              </w:rPr>
            </w:pPr>
            <w:r>
              <w:rPr>
                <w:rFonts w:hint="eastAsia" w:ascii="华文宋体" w:hAnsi="华文宋体" w:eastAsia="华文宋体" w:cs="华文宋体"/>
                <w:bCs/>
                <w:color w:val="auto"/>
                <w:sz w:val="18"/>
                <w:szCs w:val="18"/>
                <w:highlight w:val="none"/>
              </w:rPr>
              <w:t>法院周界报警系统及视频监控系统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9855" w:type="dxa"/>
            <w:gridSpan w:val="6"/>
            <w:vAlign w:val="center"/>
          </w:tcPr>
          <w:p>
            <w:pPr>
              <w:adjustRightInd w:val="0"/>
              <w:snapToGrid w:val="0"/>
              <w:spacing w:line="300" w:lineRule="auto"/>
              <w:outlineLvl w:val="0"/>
              <w:rPr>
                <w:rFonts w:ascii="宋体" w:hAnsi="宋体"/>
                <w:color w:val="auto"/>
                <w:szCs w:val="21"/>
                <w:highlight w:val="none"/>
              </w:rPr>
            </w:pPr>
            <w:r>
              <w:rPr>
                <w:rFonts w:hint="eastAsia" w:ascii="华文宋体" w:hAnsi="华文宋体" w:eastAsia="华文宋体" w:cs="华文宋体"/>
                <w:bCs/>
                <w:color w:val="auto"/>
                <w:sz w:val="18"/>
                <w:szCs w:val="18"/>
                <w:highlight w:val="none"/>
              </w:rPr>
              <w:t>一、周界报警系统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649" w:type="dxa"/>
            <w:vAlign w:val="center"/>
          </w:tcPr>
          <w:p>
            <w:pPr>
              <w:pStyle w:val="44"/>
              <w:rPr>
                <w:rFonts w:hAnsi="宋体"/>
                <w:color w:val="auto"/>
                <w:szCs w:val="21"/>
                <w:highlight w:val="none"/>
              </w:rPr>
            </w:pPr>
            <w:r>
              <w:rPr>
                <w:rFonts w:ascii="华文宋体" w:hAnsi="华文宋体" w:eastAsia="华文宋体" w:cs="华文宋体"/>
                <w:bCs/>
                <w:color w:val="auto"/>
                <w:sz w:val="18"/>
                <w:szCs w:val="18"/>
                <w:highlight w:val="none"/>
              </w:rPr>
              <w:t>1</w:t>
            </w:r>
          </w:p>
        </w:tc>
        <w:tc>
          <w:tcPr>
            <w:tcW w:w="2153" w:type="dxa"/>
            <w:vAlign w:val="center"/>
          </w:tcPr>
          <w:p>
            <w:pPr>
              <w:pStyle w:val="44"/>
              <w:rPr>
                <w:rFonts w:hAnsi="宋体"/>
                <w:color w:val="auto"/>
                <w:szCs w:val="21"/>
                <w:highlight w:val="none"/>
              </w:rPr>
            </w:pPr>
            <w:r>
              <w:rPr>
                <w:rFonts w:hint="eastAsia" w:ascii="华文宋体" w:hAnsi="华文宋体" w:eastAsia="华文宋体" w:cs="华文宋体"/>
                <w:bCs/>
                <w:color w:val="auto"/>
                <w:sz w:val="18"/>
                <w:szCs w:val="18"/>
                <w:highlight w:val="none"/>
              </w:rPr>
              <w:t>总线报警主机</w:t>
            </w:r>
          </w:p>
        </w:tc>
        <w:tc>
          <w:tcPr>
            <w:tcW w:w="2126" w:type="dxa"/>
            <w:tcBorders>
              <w:righ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2977" w:type="dxa"/>
            <w:tcBorders>
              <w:lef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1275" w:type="dxa"/>
            <w:tcBorders>
              <w:righ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675" w:type="dxa"/>
            <w:tcBorders>
              <w:lef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649" w:type="dxa"/>
            <w:vAlign w:val="center"/>
          </w:tcPr>
          <w:p>
            <w:pPr>
              <w:adjustRightInd w:val="0"/>
              <w:snapToGrid w:val="0"/>
              <w:spacing w:line="300" w:lineRule="auto"/>
              <w:jc w:val="center"/>
              <w:outlineLvl w:val="0"/>
              <w:rPr>
                <w:rFonts w:ascii="宋体" w:hAnsi="宋体"/>
                <w:color w:val="auto"/>
                <w:szCs w:val="21"/>
                <w:highlight w:val="none"/>
              </w:rPr>
            </w:pPr>
            <w:r>
              <w:rPr>
                <w:rFonts w:hint="eastAsia" w:ascii="宋体" w:hAnsi="宋体"/>
                <w:color w:val="auto"/>
                <w:szCs w:val="21"/>
                <w:highlight w:val="none"/>
              </w:rPr>
              <w:t>…</w:t>
            </w:r>
          </w:p>
        </w:tc>
        <w:tc>
          <w:tcPr>
            <w:tcW w:w="2153" w:type="dxa"/>
            <w:vAlign w:val="center"/>
          </w:tcPr>
          <w:p>
            <w:pPr>
              <w:adjustRightInd w:val="0"/>
              <w:snapToGrid w:val="0"/>
              <w:spacing w:line="300" w:lineRule="auto"/>
              <w:jc w:val="center"/>
              <w:outlineLvl w:val="0"/>
              <w:rPr>
                <w:rFonts w:ascii="宋体" w:hAnsi="宋体"/>
                <w:color w:val="auto"/>
                <w:szCs w:val="21"/>
                <w:highlight w:val="none"/>
              </w:rPr>
            </w:pPr>
          </w:p>
        </w:tc>
        <w:tc>
          <w:tcPr>
            <w:tcW w:w="2126" w:type="dxa"/>
            <w:tcBorders>
              <w:righ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2977" w:type="dxa"/>
            <w:tcBorders>
              <w:lef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1275" w:type="dxa"/>
            <w:tcBorders>
              <w:righ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675" w:type="dxa"/>
            <w:tcBorders>
              <w:lef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9855" w:type="dxa"/>
            <w:gridSpan w:val="6"/>
            <w:vAlign w:val="center"/>
          </w:tcPr>
          <w:p>
            <w:pPr>
              <w:adjustRightInd w:val="0"/>
              <w:snapToGrid w:val="0"/>
              <w:spacing w:line="300" w:lineRule="auto"/>
              <w:outlineLvl w:val="0"/>
              <w:rPr>
                <w:rFonts w:ascii="宋体" w:hAnsi="宋体"/>
                <w:color w:val="auto"/>
                <w:szCs w:val="21"/>
                <w:highlight w:val="none"/>
              </w:rPr>
            </w:pPr>
            <w:r>
              <w:rPr>
                <w:rFonts w:hint="eastAsia" w:ascii="华文宋体" w:hAnsi="华文宋体" w:eastAsia="华文宋体" w:cs="华文宋体"/>
                <w:bCs/>
                <w:color w:val="auto"/>
                <w:sz w:val="18"/>
                <w:szCs w:val="18"/>
                <w:highlight w:val="none"/>
              </w:rPr>
              <w:t>二、视频监控系统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649" w:type="dxa"/>
            <w:vAlign w:val="center"/>
          </w:tcPr>
          <w:p>
            <w:pPr>
              <w:pStyle w:val="44"/>
              <w:rPr>
                <w:rFonts w:hAnsi="宋体"/>
                <w:color w:val="auto"/>
                <w:szCs w:val="21"/>
                <w:highlight w:val="none"/>
              </w:rPr>
            </w:pPr>
            <w:r>
              <w:rPr>
                <w:rFonts w:hint="eastAsia" w:ascii="华文宋体" w:hAnsi="华文宋体" w:eastAsia="华文宋体" w:cs="华文宋体"/>
                <w:bCs/>
                <w:color w:val="auto"/>
                <w:sz w:val="18"/>
                <w:szCs w:val="18"/>
                <w:highlight w:val="none"/>
              </w:rPr>
              <w:t>1</w:t>
            </w:r>
          </w:p>
        </w:tc>
        <w:tc>
          <w:tcPr>
            <w:tcW w:w="2153" w:type="dxa"/>
            <w:vAlign w:val="center"/>
          </w:tcPr>
          <w:p>
            <w:pPr>
              <w:pStyle w:val="44"/>
              <w:rPr>
                <w:rFonts w:hAnsi="宋体"/>
                <w:color w:val="auto"/>
                <w:szCs w:val="21"/>
                <w:highlight w:val="none"/>
              </w:rPr>
            </w:pPr>
            <w:r>
              <w:rPr>
                <w:rFonts w:hint="eastAsia" w:ascii="华文宋体" w:hAnsi="华文宋体" w:eastAsia="华文宋体" w:cs="华文宋体"/>
                <w:bCs/>
                <w:color w:val="auto"/>
                <w:sz w:val="18"/>
                <w:szCs w:val="18"/>
                <w:highlight w:val="none"/>
              </w:rPr>
              <w:t>法院综合安防管理平台</w:t>
            </w:r>
          </w:p>
        </w:tc>
        <w:tc>
          <w:tcPr>
            <w:tcW w:w="2126" w:type="dxa"/>
            <w:tcBorders>
              <w:righ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2977" w:type="dxa"/>
            <w:tcBorders>
              <w:lef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1275" w:type="dxa"/>
            <w:tcBorders>
              <w:righ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675" w:type="dxa"/>
            <w:tcBorders>
              <w:lef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649" w:type="dxa"/>
            <w:vAlign w:val="center"/>
          </w:tcPr>
          <w:p>
            <w:pPr>
              <w:adjustRightInd w:val="0"/>
              <w:snapToGrid w:val="0"/>
              <w:spacing w:line="300" w:lineRule="auto"/>
              <w:jc w:val="center"/>
              <w:outlineLvl w:val="0"/>
              <w:rPr>
                <w:rFonts w:ascii="宋体" w:hAnsi="宋体"/>
                <w:color w:val="auto"/>
                <w:szCs w:val="21"/>
                <w:highlight w:val="none"/>
              </w:rPr>
            </w:pPr>
            <w:r>
              <w:rPr>
                <w:rFonts w:hint="eastAsia" w:ascii="宋体" w:hAnsi="宋体"/>
                <w:color w:val="auto"/>
                <w:szCs w:val="21"/>
                <w:highlight w:val="none"/>
              </w:rPr>
              <w:t>…</w:t>
            </w:r>
          </w:p>
        </w:tc>
        <w:tc>
          <w:tcPr>
            <w:tcW w:w="2153" w:type="dxa"/>
            <w:vAlign w:val="center"/>
          </w:tcPr>
          <w:p>
            <w:pPr>
              <w:adjustRightInd w:val="0"/>
              <w:snapToGrid w:val="0"/>
              <w:spacing w:line="300" w:lineRule="auto"/>
              <w:jc w:val="center"/>
              <w:outlineLvl w:val="0"/>
              <w:rPr>
                <w:rFonts w:ascii="宋体" w:hAnsi="宋体"/>
                <w:color w:val="auto"/>
                <w:szCs w:val="21"/>
                <w:highlight w:val="none"/>
              </w:rPr>
            </w:pPr>
          </w:p>
        </w:tc>
        <w:tc>
          <w:tcPr>
            <w:tcW w:w="2126" w:type="dxa"/>
            <w:tcBorders>
              <w:righ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2977" w:type="dxa"/>
            <w:tcBorders>
              <w:lef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1275" w:type="dxa"/>
            <w:tcBorders>
              <w:righ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675" w:type="dxa"/>
            <w:tcBorders>
              <w:lef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r>
    </w:tbl>
    <w:p>
      <w:pPr>
        <w:adjustRightInd w:val="0"/>
        <w:snapToGrid w:val="0"/>
        <w:spacing w:line="360" w:lineRule="exact"/>
        <w:rPr>
          <w:rFonts w:ascii="宋体" w:hAnsi="宋体"/>
          <w:color w:val="auto"/>
          <w:szCs w:val="21"/>
        </w:rPr>
      </w:pPr>
    </w:p>
    <w:p>
      <w:pPr>
        <w:adjustRightInd w:val="0"/>
        <w:snapToGrid w:val="0"/>
        <w:spacing w:line="360" w:lineRule="exact"/>
        <w:rPr>
          <w:rFonts w:ascii="宋体" w:hAnsi="宋体"/>
          <w:color w:val="auto"/>
          <w:szCs w:val="21"/>
        </w:rPr>
      </w:pPr>
      <w:r>
        <w:rPr>
          <w:rFonts w:hint="eastAsia" w:ascii="宋体" w:hAnsi="宋体"/>
          <w:color w:val="auto"/>
          <w:szCs w:val="21"/>
        </w:rPr>
        <w:t>说明：</w:t>
      </w:r>
      <w:r>
        <w:rPr>
          <w:rFonts w:hint="eastAsia" w:hAnsi="宋体"/>
          <w:color w:val="auto"/>
        </w:rPr>
        <w:t>1、应写明竞</w:t>
      </w:r>
      <w:r>
        <w:rPr>
          <w:rFonts w:hint="eastAsia" w:ascii="宋体" w:hAnsi="宋体"/>
          <w:color w:val="auto"/>
          <w:szCs w:val="21"/>
        </w:rPr>
        <w:t>争性磋商响应文件对</w:t>
      </w:r>
      <w:r>
        <w:rPr>
          <w:rFonts w:hint="eastAsia"/>
          <w:color w:val="auto"/>
        </w:rPr>
        <w:t>商务</w:t>
      </w:r>
      <w:r>
        <w:rPr>
          <w:rFonts w:hint="eastAsia" w:hAnsi="宋体"/>
          <w:color w:val="auto"/>
        </w:rPr>
        <w:t>与技术要求的</w:t>
      </w:r>
      <w:r>
        <w:rPr>
          <w:rFonts w:hint="eastAsia" w:ascii="宋体" w:hAnsi="宋体"/>
          <w:color w:val="auto"/>
          <w:szCs w:val="21"/>
        </w:rPr>
        <w:t>响应和偏离情况</w:t>
      </w:r>
      <w:r>
        <w:rPr>
          <w:rFonts w:hint="eastAsia"/>
          <w:bCs/>
          <w:color w:val="auto"/>
          <w:szCs w:val="21"/>
        </w:rPr>
        <w:t>；</w:t>
      </w:r>
    </w:p>
    <w:p>
      <w:pPr>
        <w:pStyle w:val="19"/>
        <w:spacing w:line="360" w:lineRule="exact"/>
        <w:ind w:firstLine="630" w:firstLineChars="300"/>
        <w:rPr>
          <w:rFonts w:hAnsi="宋体"/>
          <w:color w:val="auto"/>
        </w:rPr>
      </w:pPr>
      <w:r>
        <w:rPr>
          <w:rFonts w:hint="eastAsia" w:ascii="宋体" w:hAnsi="宋体" w:eastAsia="宋体"/>
          <w:color w:val="auto"/>
          <w:sz w:val="21"/>
          <w:szCs w:val="21"/>
        </w:rPr>
        <w:t>2、应对照竞争性磋商文件“第三章  服务采购需求表”，逐条说明所提供货物和服务已对竞争性磋商文件的商务、技术做出了实质性的响应，并申明商务、技术条文的响应和偏离。特别对有具体商务、技术参数要求的，供应商必须提供对应的详细应答。如果仅注明“符合”、“满足”或简单复制竞争性磋商文件要求，将导致磋商被拒绝。</w:t>
      </w:r>
    </w:p>
    <w:p>
      <w:pPr>
        <w:pStyle w:val="22"/>
        <w:spacing w:line="360" w:lineRule="exact"/>
        <w:ind w:firstLine="1470" w:firstLineChars="700"/>
        <w:rPr>
          <w:rFonts w:hAnsi="宋体"/>
          <w:color w:val="auto"/>
        </w:rPr>
      </w:pPr>
    </w:p>
    <w:p>
      <w:pPr>
        <w:pStyle w:val="22"/>
        <w:spacing w:line="360" w:lineRule="exact"/>
        <w:ind w:firstLine="1470" w:firstLineChars="700"/>
        <w:rPr>
          <w:rFonts w:hAnsi="宋体"/>
          <w:color w:val="auto"/>
        </w:rPr>
      </w:pPr>
      <w:r>
        <w:rPr>
          <w:rFonts w:hint="eastAsia" w:hAnsi="宋体"/>
          <w:color w:val="auto"/>
        </w:rPr>
        <w:t>法定代表人(负责人)或委托代理人签字:</w:t>
      </w:r>
      <w:r>
        <w:rPr>
          <w:rFonts w:hint="eastAsia" w:hAnsi="宋体"/>
          <w:color w:val="auto"/>
          <w:u w:val="single"/>
        </w:rPr>
        <w:t xml:space="preserve">                </w:t>
      </w:r>
      <w:r>
        <w:rPr>
          <w:rFonts w:hint="eastAsia" w:hAnsi="宋体"/>
          <w:color w:val="auto"/>
        </w:rPr>
        <w:t xml:space="preserve">  </w:t>
      </w:r>
    </w:p>
    <w:p>
      <w:pPr>
        <w:pStyle w:val="22"/>
        <w:spacing w:line="500" w:lineRule="exact"/>
        <w:ind w:firstLine="1365" w:firstLineChars="650"/>
        <w:rPr>
          <w:rFonts w:hAnsi="宋体"/>
          <w:color w:val="auto"/>
          <w:u w:val="single"/>
        </w:rPr>
      </w:pPr>
      <w:r>
        <w:rPr>
          <w:rFonts w:hint="eastAsia" w:hAnsi="宋体"/>
          <w:color w:val="auto"/>
        </w:rPr>
        <w:t>供应商名称（盖章）：</w:t>
      </w:r>
      <w:r>
        <w:rPr>
          <w:rFonts w:hint="eastAsia" w:hAnsi="宋体"/>
          <w:color w:val="auto"/>
          <w:u w:val="single"/>
        </w:rPr>
        <w:t xml:space="preserve">       </w:t>
      </w:r>
    </w:p>
    <w:p>
      <w:pPr>
        <w:pStyle w:val="22"/>
        <w:spacing w:line="360" w:lineRule="exact"/>
        <w:ind w:firstLine="1470" w:firstLineChars="700"/>
        <w:rPr>
          <w:rFonts w:hAnsi="宋体"/>
          <w:color w:val="auto"/>
        </w:rPr>
      </w:pPr>
    </w:p>
    <w:p>
      <w:pPr>
        <w:pStyle w:val="22"/>
        <w:spacing w:line="360" w:lineRule="exact"/>
        <w:ind w:firstLine="1365" w:firstLineChars="650"/>
        <w:rPr>
          <w:color w:val="auto"/>
        </w:rPr>
      </w:pP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pPr>
        <w:pStyle w:val="22"/>
        <w:spacing w:line="360" w:lineRule="exact"/>
        <w:ind w:firstLine="2100" w:firstLineChars="700"/>
        <w:rPr>
          <w:rFonts w:hAnsi="宋体"/>
          <w:color w:val="auto"/>
          <w:sz w:val="30"/>
          <w:szCs w:val="30"/>
        </w:rPr>
      </w:pPr>
    </w:p>
    <w:p>
      <w:pPr>
        <w:snapToGrid w:val="0"/>
        <w:spacing w:before="50" w:after="156" w:afterLines="50" w:line="400" w:lineRule="exact"/>
        <w:jc w:val="left"/>
        <w:rPr>
          <w:rFonts w:ascii="宋体"/>
          <w:b/>
          <w:color w:val="auto"/>
          <w:sz w:val="18"/>
          <w:szCs w:val="18"/>
        </w:rPr>
      </w:pPr>
      <w:bookmarkStart w:id="72" w:name="_Toc17627"/>
    </w:p>
    <w:p>
      <w:pPr>
        <w:snapToGrid w:val="0"/>
        <w:spacing w:line="400" w:lineRule="exact"/>
        <w:ind w:firstLine="354" w:firstLineChars="196"/>
        <w:jc w:val="left"/>
        <w:rPr>
          <w:rFonts w:ascii="宋体"/>
          <w:b/>
          <w:color w:val="auto"/>
          <w:sz w:val="18"/>
          <w:szCs w:val="18"/>
        </w:rPr>
      </w:pPr>
    </w:p>
    <w:p>
      <w:pPr>
        <w:pStyle w:val="3"/>
        <w:rPr>
          <w:color w:val="auto"/>
          <w:sz w:val="30"/>
          <w:szCs w:val="30"/>
        </w:rPr>
      </w:pPr>
      <w:r>
        <w:rPr>
          <w:rFonts w:hint="eastAsia"/>
          <w:color w:val="auto"/>
          <w:sz w:val="30"/>
          <w:szCs w:val="30"/>
        </w:rPr>
        <w:t>（二）商务技术文件部分</w:t>
      </w:r>
      <w:bookmarkEnd w:id="72"/>
    </w:p>
    <w:p>
      <w:pPr>
        <w:pStyle w:val="3"/>
        <w:ind w:firstLine="301" w:firstLineChars="100"/>
        <w:rPr>
          <w:rFonts w:ascii="宋体" w:hAnsi="宋体"/>
          <w:color w:val="auto"/>
          <w:sz w:val="30"/>
          <w:szCs w:val="30"/>
        </w:rPr>
      </w:pPr>
      <w:bookmarkStart w:id="73" w:name="_Toc9844"/>
      <w:r>
        <w:rPr>
          <w:rFonts w:hint="eastAsia"/>
          <w:color w:val="auto"/>
          <w:sz w:val="30"/>
          <w:szCs w:val="30"/>
        </w:rPr>
        <w:t>一）资格证明文件部分</w:t>
      </w:r>
      <w:bookmarkEnd w:id="73"/>
    </w:p>
    <w:p>
      <w:pPr>
        <w:pStyle w:val="4"/>
        <w:rPr>
          <w:rFonts w:ascii="宋体" w:hAnsi="宋体"/>
          <w:color w:val="auto"/>
          <w:szCs w:val="24"/>
        </w:rPr>
      </w:pPr>
      <w:r>
        <w:rPr>
          <w:rFonts w:hint="eastAsia"/>
          <w:color w:val="auto"/>
          <w:szCs w:val="24"/>
        </w:rPr>
        <w:t>1）</w:t>
      </w:r>
      <w:r>
        <w:rPr>
          <w:rFonts w:hint="eastAsia" w:ascii="宋体" w:hAnsi="宋体"/>
          <w:color w:val="auto"/>
          <w:szCs w:val="24"/>
        </w:rPr>
        <w:t>法定代表人</w:t>
      </w:r>
      <w:r>
        <w:rPr>
          <w:rFonts w:hint="eastAsia" w:hAnsi="宋体"/>
          <w:color w:val="auto"/>
          <w:szCs w:val="24"/>
        </w:rPr>
        <w:t>(负责人)</w:t>
      </w:r>
      <w:r>
        <w:rPr>
          <w:rFonts w:hint="eastAsia" w:ascii="宋体" w:hAnsi="宋体"/>
          <w:color w:val="auto"/>
          <w:szCs w:val="24"/>
        </w:rPr>
        <w:t>授权委托书原件和委托代理人身份证复印件[委托代理时必须提供]；[格式见附件四]</w:t>
      </w:r>
    </w:p>
    <w:p>
      <w:pPr>
        <w:spacing w:line="300" w:lineRule="auto"/>
        <w:rPr>
          <w:rFonts w:ascii="宋体" w:hAnsi="宋体"/>
          <w:color w:val="auto"/>
          <w:sz w:val="24"/>
        </w:rPr>
      </w:pPr>
      <w:r>
        <w:rPr>
          <w:rFonts w:hint="eastAsia" w:ascii="宋体" w:hAnsi="宋体"/>
          <w:color w:val="auto"/>
          <w:sz w:val="24"/>
        </w:rPr>
        <w:t>附件四</w:t>
      </w:r>
    </w:p>
    <w:p>
      <w:pPr>
        <w:adjustRightInd w:val="0"/>
        <w:snapToGrid w:val="0"/>
        <w:spacing w:line="300" w:lineRule="auto"/>
        <w:jc w:val="center"/>
        <w:rPr>
          <w:rFonts w:ascii="宋体" w:hAnsi="宋体"/>
          <w:b/>
          <w:color w:val="auto"/>
          <w:sz w:val="24"/>
        </w:rPr>
      </w:pPr>
      <w:r>
        <w:rPr>
          <w:rFonts w:hint="eastAsia" w:ascii="宋体" w:hAnsi="宋体"/>
          <w:b/>
          <w:color w:val="auto"/>
          <w:sz w:val="24"/>
        </w:rPr>
        <w:t>法定代表人(负责人)授权委托书（格式）</w:t>
      </w:r>
    </w:p>
    <w:p>
      <w:pPr>
        <w:spacing w:line="520" w:lineRule="exact"/>
        <w:rPr>
          <w:rFonts w:ascii="宋体" w:hAnsi="宋体"/>
          <w:color w:val="auto"/>
          <w:sz w:val="18"/>
          <w:szCs w:val="18"/>
        </w:rPr>
      </w:pPr>
      <w:r>
        <w:rPr>
          <w:rFonts w:ascii="宋体" w:hAnsi="宋体"/>
          <w:color w:val="auto"/>
          <w:sz w:val="18"/>
          <w:szCs w:val="18"/>
          <w:u w:val="single"/>
        </w:rPr>
        <w:t xml:space="preserve">广西诚华工程造价咨询有限公司  </w:t>
      </w:r>
      <w:r>
        <w:rPr>
          <w:rFonts w:hint="eastAsia" w:ascii="宋体" w:hAnsi="宋体"/>
          <w:color w:val="auto"/>
          <w:sz w:val="18"/>
          <w:szCs w:val="18"/>
        </w:rPr>
        <w:t>：</w:t>
      </w:r>
    </w:p>
    <w:p>
      <w:pPr>
        <w:spacing w:line="520" w:lineRule="exact"/>
        <w:ind w:firstLine="360" w:firstLineChars="200"/>
        <w:rPr>
          <w:rFonts w:ascii="宋体" w:hAnsi="宋体"/>
          <w:color w:val="auto"/>
          <w:sz w:val="18"/>
          <w:szCs w:val="18"/>
        </w:rPr>
      </w:pPr>
      <w:r>
        <w:rPr>
          <w:rFonts w:hint="eastAsia" w:ascii="宋体" w:hAnsi="宋体"/>
          <w:color w:val="auto"/>
          <w:sz w:val="18"/>
          <w:szCs w:val="18"/>
        </w:rPr>
        <w:t>兹授权</w:t>
      </w:r>
      <w:r>
        <w:rPr>
          <w:rFonts w:hint="eastAsia" w:ascii="宋体" w:hAnsi="宋体"/>
          <w:color w:val="auto"/>
          <w:sz w:val="18"/>
          <w:szCs w:val="18"/>
          <w:u w:val="single"/>
        </w:rPr>
        <w:t xml:space="preserve">      </w:t>
      </w:r>
      <w:r>
        <w:rPr>
          <w:rFonts w:hint="eastAsia" w:ascii="宋体" w:hAnsi="宋体"/>
          <w:color w:val="auto"/>
          <w:sz w:val="18"/>
          <w:szCs w:val="18"/>
        </w:rPr>
        <w:t>同志为我公司参加贵单位组织的</w:t>
      </w:r>
      <w:r>
        <w:rPr>
          <w:rFonts w:hint="eastAsia" w:ascii="宋体" w:hAnsi="宋体"/>
          <w:color w:val="auto"/>
          <w:sz w:val="18"/>
          <w:szCs w:val="18"/>
          <w:u w:val="single"/>
        </w:rPr>
        <w:t>（项目名称、项目编号）竞争性磋商</w:t>
      </w:r>
      <w:r>
        <w:rPr>
          <w:rFonts w:hint="eastAsia" w:ascii="宋体" w:hAnsi="宋体"/>
          <w:color w:val="auto"/>
          <w:sz w:val="18"/>
          <w:szCs w:val="18"/>
        </w:rPr>
        <w:t>采购活动的委托代理人，全权代表我公司处理在该项目活动中的一切事宜。代理期限从</w:t>
      </w:r>
      <w:r>
        <w:rPr>
          <w:rFonts w:hint="eastAsia" w:ascii="宋体" w:hAnsi="宋体"/>
          <w:color w:val="auto"/>
          <w:sz w:val="18"/>
          <w:szCs w:val="18"/>
          <w:u w:val="single"/>
        </w:rPr>
        <w:t xml:space="preserve">     </w:t>
      </w:r>
      <w:r>
        <w:rPr>
          <w:rFonts w:hint="eastAsia" w:ascii="宋体" w:hAnsi="宋体"/>
          <w:color w:val="auto"/>
          <w:sz w:val="18"/>
          <w:szCs w:val="18"/>
        </w:rPr>
        <w:t>年</w:t>
      </w:r>
      <w:r>
        <w:rPr>
          <w:rFonts w:hint="eastAsia" w:ascii="宋体" w:hAnsi="宋体"/>
          <w:color w:val="auto"/>
          <w:sz w:val="18"/>
          <w:szCs w:val="18"/>
          <w:u w:val="single"/>
        </w:rPr>
        <w:t xml:space="preserve">   </w:t>
      </w:r>
      <w:r>
        <w:rPr>
          <w:rFonts w:hint="eastAsia" w:ascii="宋体" w:hAnsi="宋体"/>
          <w:color w:val="auto"/>
          <w:sz w:val="18"/>
          <w:szCs w:val="18"/>
        </w:rPr>
        <w:t>月</w:t>
      </w:r>
      <w:r>
        <w:rPr>
          <w:rFonts w:hint="eastAsia" w:ascii="宋体" w:hAnsi="宋体"/>
          <w:color w:val="auto"/>
          <w:sz w:val="18"/>
          <w:szCs w:val="18"/>
          <w:u w:val="single"/>
        </w:rPr>
        <w:t xml:space="preserve">   </w:t>
      </w:r>
      <w:r>
        <w:rPr>
          <w:rFonts w:hint="eastAsia" w:ascii="宋体" w:hAnsi="宋体"/>
          <w:color w:val="auto"/>
          <w:sz w:val="18"/>
          <w:szCs w:val="18"/>
        </w:rPr>
        <w:t>日起至</w:t>
      </w:r>
      <w:r>
        <w:rPr>
          <w:rFonts w:hint="eastAsia" w:ascii="宋体" w:hAnsi="宋体"/>
          <w:color w:val="auto"/>
          <w:sz w:val="18"/>
          <w:szCs w:val="18"/>
          <w:u w:val="single"/>
        </w:rPr>
        <w:t xml:space="preserve">     </w:t>
      </w:r>
      <w:r>
        <w:rPr>
          <w:rFonts w:hint="eastAsia" w:ascii="宋体" w:hAnsi="宋体"/>
          <w:color w:val="auto"/>
          <w:sz w:val="18"/>
          <w:szCs w:val="18"/>
        </w:rPr>
        <w:t>年</w:t>
      </w:r>
      <w:r>
        <w:rPr>
          <w:rFonts w:hint="eastAsia" w:ascii="宋体" w:hAnsi="宋体"/>
          <w:color w:val="auto"/>
          <w:sz w:val="18"/>
          <w:szCs w:val="18"/>
          <w:u w:val="single"/>
        </w:rPr>
        <w:t xml:space="preserve">   </w:t>
      </w:r>
      <w:r>
        <w:rPr>
          <w:rFonts w:hint="eastAsia" w:ascii="宋体" w:hAnsi="宋体"/>
          <w:color w:val="auto"/>
          <w:sz w:val="18"/>
          <w:szCs w:val="18"/>
        </w:rPr>
        <w:t>月</w:t>
      </w:r>
      <w:r>
        <w:rPr>
          <w:rFonts w:hint="eastAsia" w:ascii="宋体" w:hAnsi="宋体"/>
          <w:color w:val="auto"/>
          <w:sz w:val="18"/>
          <w:szCs w:val="18"/>
          <w:u w:val="single"/>
        </w:rPr>
        <w:t xml:space="preserve">   </w:t>
      </w:r>
      <w:r>
        <w:rPr>
          <w:rFonts w:hint="eastAsia" w:ascii="宋体" w:hAnsi="宋体"/>
          <w:color w:val="auto"/>
          <w:sz w:val="18"/>
          <w:szCs w:val="18"/>
        </w:rPr>
        <w:t xml:space="preserve">日止。 </w:t>
      </w:r>
    </w:p>
    <w:p>
      <w:pPr>
        <w:spacing w:line="520" w:lineRule="exact"/>
        <w:rPr>
          <w:rFonts w:ascii="宋体" w:hAnsi="宋体"/>
          <w:color w:val="auto"/>
          <w:sz w:val="18"/>
          <w:szCs w:val="18"/>
        </w:rPr>
      </w:pPr>
    </w:p>
    <w:p>
      <w:pPr>
        <w:spacing w:line="520" w:lineRule="exact"/>
        <w:rPr>
          <w:rFonts w:ascii="宋体" w:hAnsi="宋体"/>
          <w:color w:val="auto"/>
          <w:sz w:val="18"/>
          <w:szCs w:val="18"/>
        </w:rPr>
      </w:pPr>
      <w:r>
        <w:rPr>
          <w:rFonts w:hint="eastAsia" w:ascii="宋体" w:hAnsi="宋体"/>
          <w:color w:val="auto"/>
          <w:sz w:val="18"/>
          <w:szCs w:val="18"/>
        </w:rPr>
        <w:t>供应商（盖章）：</w:t>
      </w:r>
      <w:r>
        <w:rPr>
          <w:rFonts w:hint="eastAsia" w:ascii="宋体" w:hAnsi="宋体"/>
          <w:color w:val="auto"/>
          <w:sz w:val="18"/>
          <w:szCs w:val="18"/>
          <w:u w:val="single"/>
        </w:rPr>
        <w:t xml:space="preserve">               </w:t>
      </w:r>
    </w:p>
    <w:p>
      <w:pPr>
        <w:spacing w:line="520" w:lineRule="exact"/>
        <w:rPr>
          <w:rFonts w:ascii="宋体" w:hAnsi="宋体"/>
          <w:color w:val="auto"/>
          <w:sz w:val="18"/>
          <w:szCs w:val="18"/>
        </w:rPr>
      </w:pPr>
      <w:r>
        <w:rPr>
          <w:rFonts w:hint="eastAsia" w:ascii="宋体" w:hAnsi="宋体"/>
          <w:color w:val="auto"/>
          <w:sz w:val="18"/>
          <w:szCs w:val="18"/>
        </w:rPr>
        <w:t>法定代表人</w:t>
      </w:r>
      <w:r>
        <w:rPr>
          <w:rFonts w:hint="eastAsia" w:hAnsi="宋体"/>
          <w:color w:val="auto"/>
          <w:sz w:val="18"/>
          <w:szCs w:val="18"/>
        </w:rPr>
        <w:t>(负责人)</w:t>
      </w:r>
      <w:r>
        <w:rPr>
          <w:rFonts w:hint="eastAsia" w:ascii="宋体" w:hAnsi="宋体"/>
          <w:color w:val="auto"/>
          <w:sz w:val="18"/>
          <w:szCs w:val="18"/>
        </w:rPr>
        <w:t>（签字或盖章）：</w:t>
      </w:r>
      <w:r>
        <w:rPr>
          <w:rFonts w:hint="eastAsia" w:ascii="宋体" w:hAnsi="宋体"/>
          <w:color w:val="auto"/>
          <w:sz w:val="18"/>
          <w:szCs w:val="18"/>
          <w:u w:val="single"/>
        </w:rPr>
        <w:t xml:space="preserve">                </w:t>
      </w:r>
    </w:p>
    <w:p>
      <w:pPr>
        <w:spacing w:line="520" w:lineRule="exact"/>
        <w:rPr>
          <w:rFonts w:ascii="宋体" w:hAnsi="宋体"/>
          <w:color w:val="auto"/>
          <w:sz w:val="18"/>
          <w:szCs w:val="18"/>
        </w:rPr>
      </w:pPr>
      <w:r>
        <w:rPr>
          <w:rFonts w:hint="eastAsia" w:ascii="宋体" w:hAnsi="宋体"/>
          <w:color w:val="auto"/>
          <w:sz w:val="18"/>
          <w:szCs w:val="18"/>
        </w:rPr>
        <w:t>签发日期：</w:t>
      </w:r>
      <w:r>
        <w:rPr>
          <w:rFonts w:hint="eastAsia" w:ascii="宋体" w:hAnsi="宋体"/>
          <w:color w:val="auto"/>
          <w:sz w:val="18"/>
          <w:szCs w:val="18"/>
          <w:u w:val="single"/>
        </w:rPr>
        <w:t xml:space="preserve">      </w:t>
      </w:r>
      <w:r>
        <w:rPr>
          <w:rFonts w:hint="eastAsia" w:ascii="宋体" w:hAnsi="宋体"/>
          <w:color w:val="auto"/>
          <w:sz w:val="18"/>
          <w:szCs w:val="18"/>
        </w:rPr>
        <w:t>年</w:t>
      </w:r>
      <w:r>
        <w:rPr>
          <w:rFonts w:hint="eastAsia" w:ascii="宋体" w:hAnsi="宋体"/>
          <w:color w:val="auto"/>
          <w:sz w:val="18"/>
          <w:szCs w:val="18"/>
          <w:u w:val="single"/>
        </w:rPr>
        <w:t xml:space="preserve">    </w:t>
      </w:r>
      <w:r>
        <w:rPr>
          <w:rFonts w:hint="eastAsia" w:ascii="宋体" w:hAnsi="宋体"/>
          <w:color w:val="auto"/>
          <w:sz w:val="18"/>
          <w:szCs w:val="18"/>
        </w:rPr>
        <w:t>月</w:t>
      </w:r>
      <w:r>
        <w:rPr>
          <w:rFonts w:hint="eastAsia" w:ascii="宋体" w:hAnsi="宋体"/>
          <w:color w:val="auto"/>
          <w:sz w:val="18"/>
          <w:szCs w:val="18"/>
          <w:u w:val="single"/>
        </w:rPr>
        <w:t xml:space="preserve">   </w:t>
      </w:r>
      <w:r>
        <w:rPr>
          <w:rFonts w:hint="eastAsia" w:ascii="宋体" w:hAnsi="宋体"/>
          <w:color w:val="auto"/>
          <w:sz w:val="18"/>
          <w:szCs w:val="18"/>
        </w:rPr>
        <w:t>日</w:t>
      </w:r>
    </w:p>
    <w:p>
      <w:pPr>
        <w:spacing w:line="520" w:lineRule="exact"/>
        <w:rPr>
          <w:rFonts w:ascii="宋体" w:hAnsi="宋体"/>
          <w:color w:val="auto"/>
          <w:sz w:val="18"/>
          <w:szCs w:val="18"/>
        </w:rPr>
      </w:pPr>
    </w:p>
    <w:p>
      <w:pPr>
        <w:spacing w:line="520" w:lineRule="exact"/>
        <w:rPr>
          <w:rFonts w:ascii="宋体" w:hAnsi="宋体"/>
          <w:color w:val="auto"/>
          <w:sz w:val="18"/>
          <w:szCs w:val="18"/>
        </w:rPr>
      </w:pPr>
      <w:r>
        <w:rPr>
          <w:rFonts w:hint="eastAsia" w:ascii="宋体" w:hAnsi="宋体"/>
          <w:color w:val="auto"/>
          <w:sz w:val="18"/>
          <w:szCs w:val="18"/>
        </w:rPr>
        <w:t>附：委托代理人工作单位</w:t>
      </w:r>
      <w:r>
        <w:rPr>
          <w:rFonts w:hint="eastAsia" w:ascii="宋体" w:hAnsi="宋体"/>
          <w:color w:val="auto"/>
          <w:sz w:val="18"/>
          <w:szCs w:val="18"/>
          <w:u w:val="single"/>
        </w:rPr>
        <w:t xml:space="preserve">               </w:t>
      </w:r>
    </w:p>
    <w:p>
      <w:pPr>
        <w:spacing w:line="520" w:lineRule="exact"/>
        <w:ind w:firstLine="360" w:firstLineChars="200"/>
        <w:rPr>
          <w:rFonts w:ascii="宋体" w:hAnsi="宋体"/>
          <w:color w:val="auto"/>
          <w:sz w:val="18"/>
          <w:szCs w:val="18"/>
        </w:rPr>
      </w:pPr>
      <w:r>
        <w:rPr>
          <w:rFonts w:hint="eastAsia" w:ascii="宋体" w:hAnsi="宋体"/>
          <w:color w:val="auto"/>
          <w:sz w:val="18"/>
          <w:szCs w:val="18"/>
        </w:rPr>
        <w:t>职务：</w:t>
      </w:r>
      <w:r>
        <w:rPr>
          <w:rFonts w:hint="eastAsia" w:ascii="宋体" w:hAnsi="宋体"/>
          <w:color w:val="auto"/>
          <w:sz w:val="18"/>
          <w:szCs w:val="18"/>
          <w:u w:val="single"/>
        </w:rPr>
        <w:t xml:space="preserve">                    </w:t>
      </w:r>
      <w:r>
        <w:rPr>
          <w:rFonts w:hint="eastAsia" w:ascii="宋体" w:hAnsi="宋体"/>
          <w:color w:val="auto"/>
          <w:sz w:val="18"/>
          <w:szCs w:val="18"/>
        </w:rPr>
        <w:t xml:space="preserve">      性别：</w:t>
      </w:r>
      <w:r>
        <w:rPr>
          <w:rFonts w:hint="eastAsia" w:ascii="宋体" w:hAnsi="宋体"/>
          <w:color w:val="auto"/>
          <w:sz w:val="18"/>
          <w:szCs w:val="18"/>
          <w:u w:val="single"/>
        </w:rPr>
        <w:t xml:space="preserve">    </w:t>
      </w:r>
    </w:p>
    <w:p>
      <w:pPr>
        <w:adjustRightInd w:val="0"/>
        <w:snapToGrid w:val="0"/>
        <w:spacing w:line="520" w:lineRule="exact"/>
        <w:ind w:firstLine="360" w:firstLineChars="200"/>
        <w:rPr>
          <w:rFonts w:ascii="宋体" w:hAnsi="宋体"/>
          <w:color w:val="auto"/>
          <w:sz w:val="18"/>
          <w:szCs w:val="18"/>
          <w:u w:val="single"/>
        </w:rPr>
      </w:pPr>
      <w:r>
        <w:rPr>
          <w:rFonts w:hint="eastAsia" w:ascii="宋体" w:hAnsi="宋体"/>
          <w:color w:val="auto"/>
          <w:sz w:val="18"/>
          <w:szCs w:val="18"/>
        </w:rPr>
        <w:t>身份证号码：</w:t>
      </w:r>
      <w:r>
        <w:rPr>
          <w:rFonts w:hint="eastAsia" w:ascii="宋体" w:hAnsi="宋体"/>
          <w:color w:val="auto"/>
          <w:sz w:val="18"/>
          <w:szCs w:val="18"/>
          <w:u w:val="single"/>
        </w:rPr>
        <w:t xml:space="preserve">                              </w:t>
      </w:r>
    </w:p>
    <w:tbl>
      <w:tblPr>
        <w:tblStyle w:val="42"/>
        <w:tblW w:w="886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9" w:hRule="atLeast"/>
        </w:trPr>
        <w:tc>
          <w:tcPr>
            <w:tcW w:w="8862" w:type="dxa"/>
          </w:tcPr>
          <w:p>
            <w:pPr>
              <w:spacing w:line="300" w:lineRule="auto"/>
              <w:rPr>
                <w:rFonts w:ascii="宋体" w:hAnsi="宋体"/>
                <w:color w:val="auto"/>
                <w:sz w:val="18"/>
                <w:szCs w:val="18"/>
              </w:rPr>
            </w:pPr>
            <w:r>
              <w:rPr>
                <w:rFonts w:hint="eastAsia" w:ascii="宋体" w:hAnsi="宋体"/>
                <w:color w:val="auto"/>
                <w:sz w:val="18"/>
                <w:szCs w:val="18"/>
              </w:rPr>
              <w:t>粘贴委托代理人的正面及反面身份证复印件</w:t>
            </w:r>
          </w:p>
        </w:tc>
      </w:tr>
    </w:tbl>
    <w:p>
      <w:pPr>
        <w:spacing w:line="300" w:lineRule="auto"/>
        <w:rPr>
          <w:rFonts w:ascii="宋体"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r>
        <w:rPr>
          <w:rFonts w:hint="eastAsia" w:hAnsi="宋体"/>
          <w:color w:val="auto"/>
          <w:sz w:val="18"/>
          <w:szCs w:val="18"/>
        </w:rPr>
        <w:t xml:space="preserve">2）法定代表人(负责人)授权委托书原件和委托代理人身份证复印件[委托代理时必须提供]；[格式见附件]； </w:t>
      </w:r>
    </w:p>
    <w:p>
      <w:pPr>
        <w:pStyle w:val="44"/>
        <w:rPr>
          <w:rFonts w:hAnsi="宋体"/>
          <w:color w:val="auto"/>
          <w:sz w:val="18"/>
          <w:szCs w:val="18"/>
        </w:rPr>
      </w:pPr>
      <w:r>
        <w:rPr>
          <w:rFonts w:hint="eastAsia" w:hAnsi="宋体"/>
          <w:color w:val="auto"/>
          <w:sz w:val="18"/>
          <w:szCs w:val="18"/>
        </w:rPr>
        <w:t>3）法定代表人(负责人)的正面及反面身份证复印件 [必须提供] ；</w:t>
      </w:r>
    </w:p>
    <w:p>
      <w:pPr>
        <w:pStyle w:val="44"/>
        <w:rPr>
          <w:rFonts w:hAnsi="宋体"/>
          <w:color w:val="auto"/>
          <w:sz w:val="18"/>
          <w:szCs w:val="18"/>
        </w:rPr>
      </w:pPr>
      <w:r>
        <w:rPr>
          <w:rFonts w:hint="eastAsia" w:hAnsi="宋体"/>
          <w:color w:val="auto"/>
          <w:sz w:val="18"/>
          <w:szCs w:val="18"/>
        </w:rPr>
        <w:t>4）有效营业执照副本、税务登记证及组织机构代码证复印件或三证合一副本复印件 [必须提供]；</w:t>
      </w:r>
    </w:p>
    <w:p>
      <w:pPr>
        <w:pStyle w:val="44"/>
        <w:rPr>
          <w:rFonts w:hAnsi="宋体"/>
          <w:color w:val="auto"/>
          <w:sz w:val="18"/>
          <w:szCs w:val="18"/>
        </w:rPr>
      </w:pPr>
      <w:r>
        <w:rPr>
          <w:rFonts w:hint="eastAsia" w:hAnsi="宋体"/>
          <w:color w:val="auto"/>
          <w:sz w:val="18"/>
          <w:szCs w:val="18"/>
        </w:rPr>
        <w:t>5）在“信用中国”网站(www.creditchina.gov.cn)、中国政府采购网(www.ccgp.gov.cn )等渠道列入失信被执行人、重大税收违法案件当事人名单、政府采购严重违法失信行为记录名单及其他不符合《中华人民共和国政府采购法》第二十二条规定条件的供应商，将被拒绝参与本次政府采购活动。（供应商可在“信用中国”网站（www.creditchina.gov.cn）或中国政府采购网（www.ccgp.gov.cn）查询相关供应商主体信用记录，同时须将查询结果截图在响应文件中提交，查询时间距响应文件递交截止时间不超过8天）[必须提供] ；</w:t>
      </w:r>
    </w:p>
    <w:p>
      <w:pPr>
        <w:pStyle w:val="44"/>
        <w:rPr>
          <w:rFonts w:hAnsi="宋体"/>
          <w:color w:val="auto"/>
          <w:sz w:val="18"/>
          <w:szCs w:val="18"/>
        </w:rPr>
      </w:pPr>
      <w:r>
        <w:rPr>
          <w:rFonts w:hint="eastAsia" w:hAnsi="宋体"/>
          <w:color w:val="auto"/>
          <w:sz w:val="18"/>
          <w:szCs w:val="18"/>
        </w:rPr>
        <w:t>6）磋商保证金证明（银行转账底单或采购代理机构开具的投标保证金收据扫描件）复印件[必须提供]；</w:t>
      </w:r>
    </w:p>
    <w:p>
      <w:pPr>
        <w:pStyle w:val="44"/>
        <w:rPr>
          <w:rFonts w:hAnsi="宋体"/>
          <w:color w:val="auto"/>
          <w:sz w:val="18"/>
          <w:szCs w:val="18"/>
        </w:rPr>
      </w:pPr>
      <w:r>
        <w:rPr>
          <w:rFonts w:hint="eastAsia" w:hAnsi="宋体"/>
          <w:color w:val="auto"/>
          <w:sz w:val="18"/>
          <w:szCs w:val="18"/>
        </w:rPr>
        <w:t>7) 供应商2018年或2019年的财务报表的资产负债和损益表（格式自拟，若</w:t>
      </w:r>
      <w:r>
        <w:rPr>
          <w:rFonts w:hAnsi="宋体"/>
          <w:color w:val="auto"/>
          <w:sz w:val="18"/>
          <w:szCs w:val="18"/>
        </w:rPr>
        <w:t>为新成立的供应商单位请按实际月份提供</w:t>
      </w:r>
      <w:r>
        <w:rPr>
          <w:rFonts w:hint="eastAsia" w:hAnsi="宋体"/>
          <w:color w:val="auto"/>
          <w:sz w:val="18"/>
          <w:szCs w:val="18"/>
        </w:rPr>
        <w:t xml:space="preserve">。 [必须提供] ； </w:t>
      </w:r>
    </w:p>
    <w:p>
      <w:pPr>
        <w:pStyle w:val="44"/>
        <w:rPr>
          <w:rFonts w:hAnsi="宋体"/>
          <w:color w:val="auto"/>
          <w:sz w:val="18"/>
          <w:szCs w:val="18"/>
        </w:rPr>
      </w:pPr>
      <w:r>
        <w:rPr>
          <w:rFonts w:hint="eastAsia" w:hAnsi="宋体"/>
          <w:color w:val="auto"/>
          <w:sz w:val="18"/>
          <w:szCs w:val="18"/>
        </w:rPr>
        <w:t>8) 供应商提供有效的开标前3个月内的依法缴纳社保费的缴费凭证复印件或供应商所在地社保部门出具的《依法缴纳或依法免缴社保费证明》复印件（社保证明必须经社保部门盖章确认）（若为新成立的供应商单位请按实际依法缴纳的月份提供）[必须提供]；</w:t>
      </w:r>
    </w:p>
    <w:p>
      <w:pPr>
        <w:pStyle w:val="44"/>
        <w:rPr>
          <w:rFonts w:hAnsi="宋体"/>
          <w:color w:val="auto"/>
          <w:sz w:val="18"/>
          <w:szCs w:val="18"/>
        </w:rPr>
      </w:pPr>
      <w:r>
        <w:rPr>
          <w:rFonts w:hint="eastAsia" w:hAnsi="宋体"/>
          <w:color w:val="auto"/>
          <w:sz w:val="18"/>
          <w:szCs w:val="18"/>
        </w:rPr>
        <w:t>9）竞标单位2020年内连续3个月的依法缴纳税收相关证明材料复印件或依法免缴税费的证明复印件（格式自拟，若为新成立的企业，请根据实际情况提供）[必须提供]；</w:t>
      </w:r>
    </w:p>
    <w:p>
      <w:pPr>
        <w:pStyle w:val="44"/>
        <w:rPr>
          <w:rFonts w:hAnsi="宋体"/>
          <w:color w:val="auto"/>
          <w:sz w:val="18"/>
          <w:szCs w:val="18"/>
        </w:rPr>
      </w:pPr>
      <w:r>
        <w:rPr>
          <w:rFonts w:hint="eastAsia" w:hAnsi="宋体"/>
          <w:color w:val="auto"/>
          <w:sz w:val="18"/>
          <w:szCs w:val="18"/>
        </w:rPr>
        <w:t>10）</w:t>
      </w:r>
      <w:r>
        <w:rPr>
          <w:rFonts w:hAnsi="宋体"/>
          <w:color w:val="auto"/>
          <w:sz w:val="18"/>
          <w:szCs w:val="18"/>
        </w:rPr>
        <w:t>参加政府采购活动前</w:t>
      </w:r>
      <w:r>
        <w:rPr>
          <w:rFonts w:hint="eastAsia" w:hAnsi="宋体"/>
          <w:color w:val="auto"/>
          <w:sz w:val="18"/>
          <w:szCs w:val="18"/>
        </w:rPr>
        <w:t>三</w:t>
      </w:r>
      <w:r>
        <w:rPr>
          <w:rFonts w:hAnsi="宋体"/>
          <w:color w:val="auto"/>
          <w:sz w:val="18"/>
          <w:szCs w:val="18"/>
        </w:rPr>
        <w:t>年内在经营活动中没有重大违法记录的书面声明</w:t>
      </w:r>
      <w:r>
        <w:rPr>
          <w:rFonts w:hint="eastAsia" w:hAnsi="宋体"/>
          <w:color w:val="auto"/>
          <w:sz w:val="18"/>
          <w:szCs w:val="18"/>
        </w:rPr>
        <w:t xml:space="preserve"> [格式见附件，必须提供] ；</w:t>
      </w:r>
    </w:p>
    <w:p>
      <w:pPr>
        <w:pStyle w:val="44"/>
        <w:rPr>
          <w:rFonts w:hAnsi="宋体"/>
          <w:color w:val="auto"/>
          <w:sz w:val="18"/>
          <w:szCs w:val="18"/>
        </w:rPr>
      </w:pPr>
      <w:r>
        <w:rPr>
          <w:rFonts w:hint="eastAsia" w:hAnsi="宋体"/>
          <w:color w:val="auto"/>
          <w:sz w:val="18"/>
          <w:szCs w:val="18"/>
        </w:rPr>
        <w:t>11）关于政府采购活动中信用信息记录的书面声明[格式见附件，必须提供] ；</w:t>
      </w: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30"/>
          <w:szCs w:val="30"/>
        </w:rPr>
      </w:pPr>
    </w:p>
    <w:p>
      <w:pPr>
        <w:snapToGrid w:val="0"/>
        <w:spacing w:line="360" w:lineRule="exact"/>
        <w:ind w:left="1162" w:leftChars="196" w:hanging="750" w:hangingChars="250"/>
        <w:jc w:val="left"/>
        <w:rPr>
          <w:rFonts w:ascii="宋体" w:hAnsi="宋体"/>
          <w:color w:val="auto"/>
          <w:sz w:val="30"/>
          <w:szCs w:val="30"/>
        </w:rPr>
      </w:pPr>
    </w:p>
    <w:p>
      <w:pPr>
        <w:snapToGrid w:val="0"/>
        <w:spacing w:line="360" w:lineRule="exact"/>
        <w:ind w:left="1162" w:leftChars="196" w:hanging="750" w:hangingChars="250"/>
        <w:jc w:val="left"/>
        <w:rPr>
          <w:rFonts w:ascii="宋体" w:hAnsi="宋体"/>
          <w:color w:val="auto"/>
          <w:sz w:val="30"/>
          <w:szCs w:val="30"/>
        </w:rPr>
      </w:pPr>
    </w:p>
    <w:p>
      <w:pPr>
        <w:snapToGrid w:val="0"/>
        <w:spacing w:line="360" w:lineRule="exact"/>
        <w:ind w:left="1162" w:leftChars="196" w:hanging="750" w:hangingChars="250"/>
        <w:jc w:val="left"/>
        <w:rPr>
          <w:rFonts w:ascii="宋体" w:hAnsi="宋体"/>
          <w:color w:val="auto"/>
          <w:sz w:val="30"/>
          <w:szCs w:val="30"/>
        </w:rPr>
      </w:pPr>
    </w:p>
    <w:p>
      <w:pPr>
        <w:snapToGrid w:val="0"/>
        <w:spacing w:line="360" w:lineRule="exact"/>
        <w:ind w:left="1162" w:leftChars="196" w:hanging="750" w:hangingChars="250"/>
        <w:jc w:val="left"/>
        <w:rPr>
          <w:rFonts w:ascii="宋体" w:hAnsi="宋体"/>
          <w:color w:val="auto"/>
          <w:sz w:val="30"/>
          <w:szCs w:val="30"/>
        </w:rPr>
      </w:pPr>
    </w:p>
    <w:p>
      <w:pPr>
        <w:snapToGrid w:val="0"/>
        <w:spacing w:line="360" w:lineRule="exact"/>
        <w:ind w:left="1162" w:leftChars="196" w:hanging="750" w:hangingChars="250"/>
        <w:jc w:val="left"/>
        <w:rPr>
          <w:rFonts w:ascii="宋体" w:hAnsi="宋体"/>
          <w:color w:val="auto"/>
          <w:sz w:val="30"/>
          <w:szCs w:val="30"/>
        </w:rPr>
      </w:pPr>
    </w:p>
    <w:p>
      <w:pPr>
        <w:snapToGrid w:val="0"/>
        <w:spacing w:line="360" w:lineRule="exact"/>
        <w:ind w:left="1162" w:leftChars="196" w:hanging="750" w:hangingChars="250"/>
        <w:jc w:val="left"/>
        <w:rPr>
          <w:rFonts w:ascii="宋体" w:hAnsi="宋体"/>
          <w:color w:val="auto"/>
          <w:sz w:val="30"/>
          <w:szCs w:val="30"/>
        </w:rPr>
      </w:pPr>
    </w:p>
    <w:p>
      <w:pPr>
        <w:snapToGrid w:val="0"/>
        <w:spacing w:line="360" w:lineRule="exact"/>
        <w:ind w:left="1162" w:leftChars="196" w:hanging="750" w:hangingChars="250"/>
        <w:jc w:val="left"/>
        <w:rPr>
          <w:rFonts w:ascii="宋体" w:hAnsi="宋体"/>
          <w:color w:val="auto"/>
          <w:sz w:val="30"/>
          <w:szCs w:val="30"/>
        </w:rPr>
      </w:pPr>
    </w:p>
    <w:p>
      <w:pPr>
        <w:snapToGrid w:val="0"/>
        <w:spacing w:line="360" w:lineRule="exact"/>
        <w:ind w:left="1162" w:leftChars="196" w:hanging="750" w:hangingChars="250"/>
        <w:jc w:val="left"/>
        <w:rPr>
          <w:rFonts w:ascii="宋体" w:hAnsi="宋体"/>
          <w:color w:val="auto"/>
          <w:sz w:val="30"/>
          <w:szCs w:val="30"/>
        </w:rPr>
      </w:pPr>
    </w:p>
    <w:p>
      <w:pPr>
        <w:snapToGrid w:val="0"/>
        <w:spacing w:line="360" w:lineRule="exact"/>
        <w:ind w:left="1162" w:leftChars="196" w:hanging="750" w:hangingChars="250"/>
        <w:jc w:val="left"/>
        <w:rPr>
          <w:rFonts w:ascii="宋体" w:hAnsi="宋体"/>
          <w:color w:val="auto"/>
          <w:sz w:val="30"/>
          <w:szCs w:val="30"/>
        </w:rPr>
      </w:pPr>
    </w:p>
    <w:p>
      <w:pPr>
        <w:snapToGrid w:val="0"/>
        <w:spacing w:line="360" w:lineRule="exact"/>
        <w:ind w:left="1162" w:leftChars="196" w:hanging="750" w:hangingChars="250"/>
        <w:jc w:val="left"/>
        <w:rPr>
          <w:rFonts w:ascii="宋体" w:hAnsi="宋体"/>
          <w:color w:val="auto"/>
          <w:sz w:val="30"/>
          <w:szCs w:val="30"/>
        </w:rPr>
      </w:pPr>
    </w:p>
    <w:p>
      <w:pPr>
        <w:snapToGrid w:val="0"/>
        <w:spacing w:line="360" w:lineRule="exact"/>
        <w:ind w:left="1162" w:leftChars="196" w:hanging="750" w:hangingChars="250"/>
        <w:jc w:val="left"/>
        <w:rPr>
          <w:rFonts w:ascii="宋体" w:hAnsi="宋体"/>
          <w:color w:val="auto"/>
          <w:sz w:val="30"/>
          <w:szCs w:val="30"/>
        </w:rPr>
      </w:pPr>
    </w:p>
    <w:p>
      <w:pPr>
        <w:snapToGrid w:val="0"/>
        <w:spacing w:line="360" w:lineRule="exact"/>
        <w:ind w:left="1162" w:leftChars="196" w:hanging="750" w:hangingChars="250"/>
        <w:jc w:val="left"/>
        <w:rPr>
          <w:rFonts w:ascii="宋体" w:hAnsi="宋体"/>
          <w:color w:val="auto"/>
          <w:sz w:val="30"/>
          <w:szCs w:val="30"/>
        </w:rPr>
      </w:pPr>
    </w:p>
    <w:p>
      <w:pPr>
        <w:snapToGrid w:val="0"/>
        <w:spacing w:line="360" w:lineRule="exact"/>
        <w:ind w:left="1162" w:leftChars="196" w:hanging="750" w:hangingChars="250"/>
        <w:jc w:val="left"/>
        <w:rPr>
          <w:rFonts w:ascii="宋体" w:hAnsi="宋体"/>
          <w:color w:val="auto"/>
          <w:sz w:val="30"/>
          <w:szCs w:val="30"/>
        </w:rPr>
      </w:pPr>
    </w:p>
    <w:p>
      <w:pPr>
        <w:snapToGrid w:val="0"/>
        <w:spacing w:line="360" w:lineRule="exact"/>
        <w:ind w:left="1162" w:leftChars="196" w:hanging="750" w:hangingChars="250"/>
        <w:jc w:val="left"/>
        <w:rPr>
          <w:rFonts w:ascii="宋体" w:hAnsi="宋体"/>
          <w:color w:val="auto"/>
          <w:sz w:val="30"/>
          <w:szCs w:val="30"/>
        </w:rPr>
      </w:pPr>
    </w:p>
    <w:p>
      <w:pPr>
        <w:snapToGrid w:val="0"/>
        <w:spacing w:line="360" w:lineRule="exact"/>
        <w:ind w:left="1165" w:leftChars="196" w:hanging="753" w:hangingChars="250"/>
        <w:jc w:val="left"/>
        <w:rPr>
          <w:rFonts w:ascii="宋体" w:hAnsi="宋体"/>
          <w:b/>
          <w:bCs/>
          <w:color w:val="auto"/>
          <w:sz w:val="30"/>
          <w:szCs w:val="30"/>
        </w:rPr>
      </w:pPr>
      <w:r>
        <w:rPr>
          <w:rFonts w:hint="eastAsia" w:ascii="宋体" w:hAnsi="宋体"/>
          <w:b/>
          <w:bCs/>
          <w:color w:val="auto"/>
          <w:sz w:val="30"/>
          <w:szCs w:val="30"/>
        </w:rPr>
        <w:t>附件五</w:t>
      </w:r>
    </w:p>
    <w:p>
      <w:pPr>
        <w:pStyle w:val="22"/>
        <w:spacing w:line="400" w:lineRule="exact"/>
        <w:ind w:firstLine="1126"/>
        <w:jc w:val="center"/>
        <w:rPr>
          <w:b/>
          <w:color w:val="auto"/>
          <w:sz w:val="30"/>
          <w:szCs w:val="30"/>
        </w:rPr>
      </w:pPr>
      <w:r>
        <w:rPr>
          <w:rFonts w:hint="eastAsia"/>
          <w:b/>
          <w:color w:val="auto"/>
          <w:sz w:val="30"/>
          <w:szCs w:val="30"/>
        </w:rPr>
        <w:t>声   明（格式）</w:t>
      </w:r>
    </w:p>
    <w:p>
      <w:pPr>
        <w:snapToGrid w:val="0"/>
        <w:spacing w:line="400" w:lineRule="exact"/>
        <w:outlineLvl w:val="4"/>
        <w:rPr>
          <w:color w:val="auto"/>
          <w:sz w:val="18"/>
          <w:szCs w:val="18"/>
          <w:u w:val="single"/>
        </w:rPr>
      </w:pPr>
      <w:r>
        <w:rPr>
          <w:rFonts w:hint="eastAsia" w:ascii="宋体" w:hAnsi="宋体"/>
          <w:b/>
          <w:color w:val="auto"/>
          <w:sz w:val="18"/>
          <w:szCs w:val="18"/>
        </w:rPr>
        <w:t>致</w:t>
      </w:r>
      <w:r>
        <w:rPr>
          <w:rFonts w:hint="eastAsia" w:ascii="宋体" w:hAnsi="宋体"/>
          <w:color w:val="auto"/>
          <w:sz w:val="18"/>
          <w:szCs w:val="18"/>
        </w:rPr>
        <w:t>：</w:t>
      </w:r>
      <w:r>
        <w:rPr>
          <w:rFonts w:ascii="宋体" w:hAnsi="宋体"/>
          <w:color w:val="auto"/>
          <w:sz w:val="18"/>
          <w:szCs w:val="18"/>
          <w:u w:val="single"/>
        </w:rPr>
        <w:t xml:space="preserve">广西诚华工程造价咨询有限公司  </w:t>
      </w:r>
    </w:p>
    <w:p>
      <w:pPr>
        <w:snapToGrid w:val="0"/>
        <w:spacing w:line="400" w:lineRule="exact"/>
        <w:outlineLvl w:val="4"/>
        <w:rPr>
          <w:rFonts w:ascii="宋体" w:hAnsi="宋体"/>
          <w:color w:val="auto"/>
          <w:sz w:val="18"/>
          <w:szCs w:val="18"/>
          <w:u w:val="single"/>
        </w:rPr>
      </w:pPr>
    </w:p>
    <w:p>
      <w:pPr>
        <w:pStyle w:val="22"/>
        <w:spacing w:line="400" w:lineRule="exact"/>
        <w:ind w:firstLine="360" w:firstLineChars="200"/>
        <w:rPr>
          <w:color w:val="auto"/>
          <w:sz w:val="18"/>
          <w:szCs w:val="18"/>
        </w:rPr>
      </w:pPr>
      <w:r>
        <w:rPr>
          <w:rFonts w:hint="eastAsia" w:hAnsi="宋体"/>
          <w:color w:val="auto"/>
          <w:sz w:val="18"/>
          <w:szCs w:val="18"/>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22"/>
        <w:spacing w:line="400" w:lineRule="exact"/>
        <w:rPr>
          <w:rFonts w:hAnsi="宋体"/>
          <w:color w:val="auto"/>
          <w:sz w:val="18"/>
          <w:szCs w:val="18"/>
        </w:rPr>
      </w:pPr>
    </w:p>
    <w:p>
      <w:pPr>
        <w:snapToGrid w:val="0"/>
        <w:spacing w:line="400" w:lineRule="exact"/>
        <w:outlineLvl w:val="4"/>
        <w:rPr>
          <w:rFonts w:ascii="宋体" w:hAnsi="宋体"/>
          <w:color w:val="auto"/>
          <w:sz w:val="18"/>
          <w:szCs w:val="18"/>
        </w:rPr>
      </w:pPr>
    </w:p>
    <w:p>
      <w:pPr>
        <w:snapToGrid w:val="0"/>
        <w:spacing w:line="400" w:lineRule="exact"/>
        <w:ind w:firstLine="420"/>
        <w:outlineLvl w:val="4"/>
        <w:rPr>
          <w:rFonts w:ascii="宋体" w:hAnsi="宋体"/>
          <w:color w:val="auto"/>
          <w:sz w:val="18"/>
          <w:szCs w:val="18"/>
        </w:rPr>
      </w:pPr>
    </w:p>
    <w:p>
      <w:pPr>
        <w:snapToGrid w:val="0"/>
        <w:spacing w:line="400" w:lineRule="exact"/>
        <w:ind w:firstLine="420"/>
        <w:outlineLvl w:val="4"/>
        <w:rPr>
          <w:rFonts w:ascii="宋体" w:hAnsi="宋体"/>
          <w:color w:val="auto"/>
          <w:sz w:val="18"/>
          <w:szCs w:val="18"/>
          <w:u w:val="single"/>
        </w:rPr>
      </w:pPr>
      <w:r>
        <w:rPr>
          <w:rFonts w:hint="eastAsia" w:ascii="宋体" w:hAnsi="宋体"/>
          <w:color w:val="auto"/>
          <w:sz w:val="18"/>
          <w:szCs w:val="18"/>
        </w:rPr>
        <w:t>供应商（公章）：</w:t>
      </w:r>
      <w:r>
        <w:rPr>
          <w:rFonts w:hint="eastAsia" w:ascii="宋体" w:hAnsi="宋体"/>
          <w:color w:val="auto"/>
          <w:sz w:val="18"/>
          <w:szCs w:val="18"/>
          <w:u w:val="single"/>
        </w:rPr>
        <w:t xml:space="preserve">                                         </w:t>
      </w:r>
    </w:p>
    <w:p>
      <w:pPr>
        <w:snapToGrid w:val="0"/>
        <w:spacing w:line="400" w:lineRule="exact"/>
        <w:ind w:firstLine="420"/>
        <w:outlineLvl w:val="4"/>
        <w:rPr>
          <w:rFonts w:ascii="宋体" w:hAnsi="宋体"/>
          <w:color w:val="auto"/>
          <w:sz w:val="18"/>
          <w:szCs w:val="18"/>
        </w:rPr>
      </w:pPr>
    </w:p>
    <w:p>
      <w:pPr>
        <w:spacing w:line="340" w:lineRule="exact"/>
        <w:ind w:firstLine="360" w:firstLineChars="200"/>
        <w:rPr>
          <w:color w:val="auto"/>
          <w:sz w:val="18"/>
          <w:szCs w:val="18"/>
          <w:u w:val="single"/>
        </w:rPr>
      </w:pPr>
      <w:r>
        <w:rPr>
          <w:rFonts w:hint="eastAsia"/>
          <w:color w:val="auto"/>
          <w:sz w:val="18"/>
          <w:szCs w:val="18"/>
        </w:rPr>
        <w:t>法定代表人(负责人)或授权委托代理人签名 ：</w:t>
      </w:r>
      <w:r>
        <w:rPr>
          <w:rFonts w:hint="eastAsia"/>
          <w:color w:val="auto"/>
          <w:sz w:val="18"/>
          <w:szCs w:val="18"/>
          <w:u w:val="single"/>
        </w:rPr>
        <w:t xml:space="preserve">                        </w:t>
      </w:r>
    </w:p>
    <w:p>
      <w:pPr>
        <w:spacing w:line="340" w:lineRule="exact"/>
        <w:ind w:firstLine="360" w:firstLineChars="200"/>
        <w:rPr>
          <w:color w:val="auto"/>
          <w:sz w:val="18"/>
          <w:szCs w:val="18"/>
        </w:rPr>
      </w:pPr>
    </w:p>
    <w:p>
      <w:pPr>
        <w:spacing w:line="340" w:lineRule="exact"/>
        <w:ind w:firstLine="360" w:firstLineChars="200"/>
        <w:rPr>
          <w:color w:val="auto"/>
          <w:sz w:val="18"/>
          <w:szCs w:val="18"/>
        </w:rPr>
      </w:pPr>
      <w:r>
        <w:rPr>
          <w:rFonts w:hint="eastAsia"/>
          <w:color w:val="auto"/>
          <w:sz w:val="18"/>
          <w:szCs w:val="18"/>
        </w:rPr>
        <w:t>日          期：</w:t>
      </w:r>
      <w:r>
        <w:rPr>
          <w:rFonts w:hint="eastAsia"/>
          <w:color w:val="auto"/>
          <w:sz w:val="18"/>
          <w:szCs w:val="18"/>
          <w:u w:val="single"/>
        </w:rPr>
        <w:t xml:space="preserve">                                         </w:t>
      </w:r>
      <w:r>
        <w:rPr>
          <w:rFonts w:hint="eastAsia"/>
          <w:color w:val="auto"/>
          <w:sz w:val="18"/>
          <w:szCs w:val="18"/>
        </w:rPr>
        <w:t xml:space="preserve">   </w:t>
      </w:r>
    </w:p>
    <w:p>
      <w:pPr>
        <w:snapToGrid w:val="0"/>
        <w:spacing w:line="360" w:lineRule="exact"/>
        <w:ind w:left="862" w:leftChars="196" w:hanging="450" w:hangingChars="250"/>
        <w:jc w:val="left"/>
        <w:rPr>
          <w:rFonts w:ascii="宋体"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snapToGrid w:val="0"/>
        <w:spacing w:line="360" w:lineRule="exact"/>
        <w:ind w:left="864" w:leftChars="196" w:hanging="452" w:hangingChars="250"/>
        <w:jc w:val="left"/>
        <w:rPr>
          <w:rFonts w:ascii="宋体" w:hAnsi="宋体" w:cs="宋体"/>
          <w:b/>
          <w:color w:val="auto"/>
          <w:kern w:val="0"/>
          <w:sz w:val="18"/>
          <w:szCs w:val="18"/>
        </w:rPr>
      </w:pPr>
    </w:p>
    <w:p>
      <w:pPr>
        <w:snapToGrid w:val="0"/>
        <w:spacing w:line="360" w:lineRule="exact"/>
        <w:ind w:left="862" w:leftChars="196" w:hanging="450" w:hangingChars="250"/>
        <w:jc w:val="left"/>
        <w:rPr>
          <w:rFonts w:ascii="宋体" w:hAnsi="宋体"/>
          <w:color w:val="auto"/>
          <w:sz w:val="18"/>
          <w:szCs w:val="18"/>
        </w:rPr>
      </w:pPr>
    </w:p>
    <w:p>
      <w:pPr>
        <w:pStyle w:val="44"/>
        <w:rPr>
          <w:color w:val="auto"/>
          <w:sz w:val="18"/>
          <w:szCs w:val="18"/>
        </w:rPr>
      </w:pPr>
    </w:p>
    <w:p>
      <w:pPr>
        <w:snapToGrid w:val="0"/>
        <w:spacing w:line="360" w:lineRule="exact"/>
        <w:ind w:left="1165" w:leftChars="196" w:hanging="753" w:hangingChars="250"/>
        <w:jc w:val="left"/>
        <w:rPr>
          <w:rFonts w:ascii="宋体" w:hAnsi="宋体"/>
          <w:b/>
          <w:bCs/>
          <w:color w:val="auto"/>
          <w:sz w:val="30"/>
          <w:szCs w:val="30"/>
        </w:rPr>
      </w:pPr>
      <w:r>
        <w:rPr>
          <w:rFonts w:hint="eastAsia" w:ascii="宋体" w:hAnsi="宋体"/>
          <w:b/>
          <w:bCs/>
          <w:color w:val="auto"/>
          <w:sz w:val="30"/>
          <w:szCs w:val="30"/>
        </w:rPr>
        <w:t>附件六</w:t>
      </w:r>
    </w:p>
    <w:p>
      <w:pPr>
        <w:pStyle w:val="44"/>
        <w:rPr>
          <w:color w:val="auto"/>
          <w:sz w:val="18"/>
          <w:szCs w:val="18"/>
        </w:rPr>
      </w:pPr>
    </w:p>
    <w:p>
      <w:pPr>
        <w:pStyle w:val="22"/>
        <w:spacing w:line="400" w:lineRule="exact"/>
        <w:ind w:firstLine="1126"/>
        <w:jc w:val="center"/>
        <w:rPr>
          <w:b/>
          <w:color w:val="auto"/>
          <w:sz w:val="30"/>
          <w:szCs w:val="30"/>
        </w:rPr>
      </w:pPr>
      <w:r>
        <w:rPr>
          <w:rFonts w:hint="eastAsia"/>
          <w:b/>
          <w:color w:val="auto"/>
          <w:sz w:val="30"/>
          <w:szCs w:val="30"/>
        </w:rPr>
        <w:t>声   明（格式）</w:t>
      </w:r>
    </w:p>
    <w:p>
      <w:pPr>
        <w:snapToGrid w:val="0"/>
        <w:spacing w:line="400" w:lineRule="exact"/>
        <w:outlineLvl w:val="4"/>
        <w:rPr>
          <w:color w:val="auto"/>
          <w:sz w:val="18"/>
          <w:szCs w:val="18"/>
          <w:u w:val="single"/>
        </w:rPr>
      </w:pPr>
      <w:r>
        <w:rPr>
          <w:rFonts w:hint="eastAsia" w:ascii="宋体" w:hAnsi="宋体"/>
          <w:b/>
          <w:color w:val="auto"/>
          <w:sz w:val="18"/>
          <w:szCs w:val="18"/>
        </w:rPr>
        <w:t>致</w:t>
      </w:r>
      <w:r>
        <w:rPr>
          <w:rFonts w:hint="eastAsia" w:ascii="宋体" w:hAnsi="宋体"/>
          <w:color w:val="auto"/>
          <w:sz w:val="18"/>
          <w:szCs w:val="18"/>
        </w:rPr>
        <w:t>：</w:t>
      </w:r>
      <w:r>
        <w:rPr>
          <w:rFonts w:ascii="宋体" w:hAnsi="宋体"/>
          <w:color w:val="auto"/>
          <w:sz w:val="18"/>
          <w:szCs w:val="18"/>
          <w:u w:val="single"/>
        </w:rPr>
        <w:t xml:space="preserve">广西诚华工程造价咨询有限公司  </w:t>
      </w:r>
    </w:p>
    <w:p>
      <w:pPr>
        <w:snapToGrid w:val="0"/>
        <w:spacing w:line="360" w:lineRule="exact"/>
        <w:ind w:left="864" w:leftChars="196" w:hanging="452" w:hangingChars="250"/>
        <w:jc w:val="left"/>
        <w:rPr>
          <w:rFonts w:ascii="宋体" w:hAnsi="宋体" w:cs="宋体"/>
          <w:b/>
          <w:color w:val="auto"/>
          <w:kern w:val="0"/>
          <w:sz w:val="18"/>
          <w:szCs w:val="18"/>
        </w:rPr>
      </w:pPr>
    </w:p>
    <w:p>
      <w:pPr>
        <w:snapToGrid w:val="0"/>
        <w:spacing w:line="400" w:lineRule="exact"/>
        <w:ind w:firstLine="420"/>
        <w:outlineLvl w:val="4"/>
        <w:rPr>
          <w:rFonts w:ascii="宋体" w:hAnsi="宋体"/>
          <w:color w:val="auto"/>
          <w:sz w:val="18"/>
          <w:szCs w:val="18"/>
        </w:rPr>
      </w:pPr>
      <w:r>
        <w:rPr>
          <w:rFonts w:hint="eastAsia" w:ascii="宋体" w:hAnsi="Courier New"/>
          <w:color w:val="auto"/>
          <w:kern w:val="0"/>
          <w:sz w:val="18"/>
          <w:szCs w:val="18"/>
        </w:rPr>
        <w:t>我公司郑重声明，在参加政府采购活动中没有被列入失信被执行人、重大税收违法案件当事人名单、政府采购严重违法失信行为记录名单及其他不符合《中华人民共和国政府采购法》第二十二条规定的条件。</w:t>
      </w:r>
    </w:p>
    <w:p>
      <w:pPr>
        <w:snapToGrid w:val="0"/>
        <w:spacing w:line="360" w:lineRule="exact"/>
        <w:ind w:left="862" w:leftChars="196" w:hanging="450" w:hangingChars="250"/>
        <w:jc w:val="left"/>
        <w:rPr>
          <w:rFonts w:ascii="宋体" w:hAnsi="宋体"/>
          <w:color w:val="auto"/>
          <w:sz w:val="18"/>
          <w:szCs w:val="18"/>
        </w:rPr>
      </w:pPr>
    </w:p>
    <w:p>
      <w:pPr>
        <w:snapToGrid w:val="0"/>
        <w:spacing w:line="360" w:lineRule="exact"/>
        <w:ind w:left="862" w:leftChars="196" w:hanging="450" w:hangingChars="250"/>
        <w:jc w:val="left"/>
        <w:rPr>
          <w:rFonts w:ascii="宋体" w:hAnsi="宋体"/>
          <w:color w:val="auto"/>
          <w:sz w:val="18"/>
          <w:szCs w:val="18"/>
        </w:rPr>
      </w:pPr>
    </w:p>
    <w:p>
      <w:pPr>
        <w:snapToGrid w:val="0"/>
        <w:spacing w:line="360" w:lineRule="exact"/>
        <w:ind w:left="862" w:leftChars="196" w:hanging="450" w:hangingChars="250"/>
        <w:jc w:val="left"/>
        <w:rPr>
          <w:rFonts w:ascii="宋体"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snapToGrid w:val="0"/>
        <w:spacing w:line="400" w:lineRule="exact"/>
        <w:ind w:firstLine="420"/>
        <w:outlineLvl w:val="4"/>
        <w:rPr>
          <w:rFonts w:ascii="宋体" w:hAnsi="宋体"/>
          <w:color w:val="auto"/>
          <w:sz w:val="18"/>
          <w:szCs w:val="18"/>
          <w:u w:val="single"/>
        </w:rPr>
      </w:pPr>
      <w:r>
        <w:rPr>
          <w:rFonts w:hint="eastAsia" w:ascii="宋体" w:hAnsi="宋体"/>
          <w:color w:val="auto"/>
          <w:sz w:val="18"/>
          <w:szCs w:val="18"/>
        </w:rPr>
        <w:t>供应商（公章）：</w:t>
      </w:r>
      <w:r>
        <w:rPr>
          <w:rFonts w:hint="eastAsia" w:ascii="宋体" w:hAnsi="宋体"/>
          <w:color w:val="auto"/>
          <w:sz w:val="18"/>
          <w:szCs w:val="18"/>
          <w:u w:val="single"/>
        </w:rPr>
        <w:t xml:space="preserve">                                         </w:t>
      </w:r>
    </w:p>
    <w:p>
      <w:pPr>
        <w:snapToGrid w:val="0"/>
        <w:spacing w:line="400" w:lineRule="exact"/>
        <w:ind w:firstLine="420"/>
        <w:outlineLvl w:val="4"/>
        <w:rPr>
          <w:rFonts w:ascii="宋体" w:hAnsi="宋体"/>
          <w:color w:val="auto"/>
          <w:sz w:val="18"/>
          <w:szCs w:val="18"/>
        </w:rPr>
      </w:pPr>
    </w:p>
    <w:p>
      <w:pPr>
        <w:spacing w:line="340" w:lineRule="exact"/>
        <w:ind w:firstLine="360" w:firstLineChars="200"/>
        <w:rPr>
          <w:color w:val="auto"/>
          <w:sz w:val="18"/>
          <w:szCs w:val="18"/>
          <w:u w:val="single"/>
        </w:rPr>
      </w:pPr>
      <w:r>
        <w:rPr>
          <w:rFonts w:hint="eastAsia"/>
          <w:color w:val="auto"/>
          <w:sz w:val="18"/>
          <w:szCs w:val="18"/>
        </w:rPr>
        <w:t>法定代表人(负责人)或授权委托代理人签名 ：</w:t>
      </w:r>
      <w:r>
        <w:rPr>
          <w:rFonts w:hint="eastAsia"/>
          <w:color w:val="auto"/>
          <w:sz w:val="18"/>
          <w:szCs w:val="18"/>
          <w:u w:val="single"/>
        </w:rPr>
        <w:t xml:space="preserve">                        </w:t>
      </w:r>
    </w:p>
    <w:p>
      <w:pPr>
        <w:spacing w:line="340" w:lineRule="exact"/>
        <w:ind w:firstLine="360" w:firstLineChars="200"/>
        <w:rPr>
          <w:color w:val="auto"/>
          <w:sz w:val="18"/>
          <w:szCs w:val="18"/>
        </w:rPr>
      </w:pPr>
    </w:p>
    <w:p>
      <w:pPr>
        <w:snapToGrid w:val="0"/>
        <w:spacing w:line="360" w:lineRule="exact"/>
        <w:ind w:left="862" w:leftChars="196" w:hanging="450" w:hangingChars="250"/>
        <w:jc w:val="left"/>
        <w:rPr>
          <w:rFonts w:ascii="宋体" w:hAnsi="宋体"/>
          <w:color w:val="auto"/>
          <w:sz w:val="18"/>
          <w:szCs w:val="18"/>
        </w:rPr>
      </w:pPr>
      <w:r>
        <w:rPr>
          <w:rFonts w:hint="eastAsia"/>
          <w:color w:val="auto"/>
          <w:sz w:val="18"/>
          <w:szCs w:val="18"/>
        </w:rPr>
        <w:t>日          期：</w:t>
      </w:r>
      <w:r>
        <w:rPr>
          <w:rFonts w:hint="eastAsia"/>
          <w:color w:val="auto"/>
          <w:sz w:val="18"/>
          <w:szCs w:val="18"/>
          <w:u w:val="single"/>
        </w:rPr>
        <w:t xml:space="preserve">            </w:t>
      </w:r>
    </w:p>
    <w:p>
      <w:pPr>
        <w:snapToGrid w:val="0"/>
        <w:spacing w:line="360" w:lineRule="exact"/>
        <w:jc w:val="left"/>
        <w:rPr>
          <w:rFonts w:ascii="宋体" w:hAnsi="宋体"/>
          <w:color w:val="auto"/>
          <w:sz w:val="18"/>
          <w:szCs w:val="18"/>
        </w:rPr>
      </w:pPr>
    </w:p>
    <w:p>
      <w:pPr>
        <w:snapToGrid w:val="0"/>
        <w:spacing w:line="360" w:lineRule="exact"/>
        <w:jc w:val="left"/>
        <w:rPr>
          <w:rFonts w:ascii="宋体" w:hAnsi="宋体"/>
          <w:color w:val="auto"/>
          <w:sz w:val="18"/>
          <w:szCs w:val="18"/>
        </w:rPr>
      </w:pPr>
    </w:p>
    <w:p>
      <w:pPr>
        <w:snapToGrid w:val="0"/>
        <w:spacing w:line="360" w:lineRule="exact"/>
        <w:jc w:val="left"/>
        <w:rPr>
          <w:rFonts w:ascii="宋体"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44"/>
        <w:rPr>
          <w:rFonts w:hAnsi="宋体"/>
          <w:color w:val="auto"/>
          <w:sz w:val="18"/>
          <w:szCs w:val="18"/>
        </w:rPr>
      </w:pPr>
    </w:p>
    <w:p>
      <w:pPr>
        <w:pStyle w:val="22"/>
        <w:spacing w:line="520" w:lineRule="exact"/>
        <w:ind w:firstLine="151" w:firstLineChars="50"/>
        <w:rPr>
          <w:rFonts w:hAnsi="宋体"/>
          <w:b/>
          <w:color w:val="auto"/>
          <w:sz w:val="30"/>
          <w:szCs w:val="30"/>
        </w:rPr>
      </w:pPr>
    </w:p>
    <w:p>
      <w:pPr>
        <w:pStyle w:val="22"/>
        <w:spacing w:line="520" w:lineRule="exact"/>
        <w:ind w:firstLine="151" w:firstLineChars="50"/>
        <w:rPr>
          <w:rFonts w:hAnsi="宋体"/>
          <w:b/>
          <w:color w:val="auto"/>
          <w:sz w:val="30"/>
          <w:szCs w:val="30"/>
        </w:rPr>
      </w:pPr>
    </w:p>
    <w:p>
      <w:pPr>
        <w:pStyle w:val="22"/>
        <w:spacing w:line="520" w:lineRule="exact"/>
        <w:ind w:firstLine="151" w:firstLineChars="50"/>
        <w:rPr>
          <w:rFonts w:hAnsi="宋体"/>
          <w:b/>
          <w:color w:val="auto"/>
          <w:sz w:val="30"/>
          <w:szCs w:val="30"/>
        </w:rPr>
      </w:pPr>
    </w:p>
    <w:p>
      <w:pPr>
        <w:pStyle w:val="22"/>
        <w:spacing w:line="520" w:lineRule="exact"/>
        <w:ind w:firstLine="151" w:firstLineChars="50"/>
        <w:rPr>
          <w:rFonts w:hAnsi="宋体"/>
          <w:b/>
          <w:color w:val="auto"/>
          <w:sz w:val="30"/>
          <w:szCs w:val="30"/>
        </w:rPr>
      </w:pPr>
    </w:p>
    <w:p>
      <w:pPr>
        <w:pStyle w:val="22"/>
        <w:spacing w:line="520" w:lineRule="exact"/>
        <w:ind w:firstLine="151" w:firstLineChars="50"/>
        <w:rPr>
          <w:rFonts w:hAnsi="宋体"/>
          <w:b/>
          <w:color w:val="auto"/>
          <w:sz w:val="30"/>
          <w:szCs w:val="30"/>
        </w:rPr>
      </w:pPr>
    </w:p>
    <w:p>
      <w:pPr>
        <w:pStyle w:val="22"/>
        <w:spacing w:line="520" w:lineRule="exact"/>
        <w:ind w:firstLine="151" w:firstLineChars="50"/>
        <w:rPr>
          <w:rFonts w:hAnsi="宋体"/>
          <w:b/>
          <w:color w:val="auto"/>
          <w:sz w:val="30"/>
          <w:szCs w:val="30"/>
        </w:rPr>
      </w:pPr>
      <w:r>
        <w:rPr>
          <w:rFonts w:hint="eastAsia" w:hAnsi="宋体"/>
          <w:b/>
          <w:color w:val="auto"/>
          <w:sz w:val="30"/>
          <w:szCs w:val="30"/>
        </w:rPr>
        <w:t>二）技术证明文件部分</w:t>
      </w:r>
    </w:p>
    <w:p>
      <w:pPr>
        <w:snapToGrid w:val="0"/>
        <w:spacing w:line="360" w:lineRule="exact"/>
        <w:ind w:left="862" w:leftChars="196" w:hanging="450" w:hangingChars="250"/>
        <w:jc w:val="left"/>
        <w:rPr>
          <w:rFonts w:ascii="宋体" w:hAnsi="宋体"/>
          <w:color w:val="auto"/>
          <w:sz w:val="18"/>
          <w:szCs w:val="18"/>
        </w:rPr>
      </w:pPr>
    </w:p>
    <w:p>
      <w:pPr>
        <w:pStyle w:val="44"/>
        <w:rPr>
          <w:rFonts w:hAnsi="宋体"/>
          <w:b/>
          <w:color w:val="auto"/>
          <w:sz w:val="18"/>
          <w:szCs w:val="18"/>
        </w:rPr>
      </w:pPr>
      <w:r>
        <w:rPr>
          <w:rFonts w:hint="eastAsia" w:hAnsi="宋体"/>
          <w:b/>
          <w:color w:val="auto"/>
          <w:sz w:val="18"/>
          <w:szCs w:val="18"/>
        </w:rPr>
        <w:t>12）项目实施方案及服务承诺 [格式自拟，必须提供]；</w:t>
      </w:r>
    </w:p>
    <w:p>
      <w:pPr>
        <w:pStyle w:val="44"/>
        <w:rPr>
          <w:rFonts w:hAnsi="宋体"/>
          <w:b/>
          <w:color w:val="auto"/>
          <w:sz w:val="18"/>
          <w:szCs w:val="18"/>
        </w:rPr>
      </w:pPr>
      <w:r>
        <w:rPr>
          <w:rFonts w:hint="eastAsia" w:hAnsi="宋体"/>
          <w:b/>
          <w:color w:val="auto"/>
          <w:sz w:val="18"/>
          <w:szCs w:val="18"/>
        </w:rPr>
        <w:t>13）中小企业声明函（竞标产品或提供服务的供应商如为中小微型企业的，格式见附件七，并提供工商注册地的工业和信息化相关部门出具的相关证明材料为准，否则不予享受优惠政策）；</w:t>
      </w:r>
    </w:p>
    <w:p>
      <w:pPr>
        <w:pStyle w:val="44"/>
        <w:rPr>
          <w:rFonts w:hAnsi="宋体"/>
          <w:b/>
          <w:color w:val="auto"/>
          <w:sz w:val="18"/>
          <w:szCs w:val="18"/>
        </w:rPr>
      </w:pPr>
      <w:r>
        <w:rPr>
          <w:rFonts w:hint="eastAsia" w:hAnsi="宋体"/>
          <w:b/>
          <w:color w:val="auto"/>
          <w:sz w:val="18"/>
          <w:szCs w:val="18"/>
        </w:rPr>
        <w:t>14）监狱企业的证明文件[竞标产品或提供服务的如为监狱企业的，应当提供由省级以上监狱管理局、戒毒管理局（含新疆生产建设兵团）出具的属于监狱企业的证明文件, 否则不予享受优惠政策]；</w:t>
      </w:r>
    </w:p>
    <w:p>
      <w:pPr>
        <w:pStyle w:val="44"/>
        <w:rPr>
          <w:rFonts w:hAnsi="宋体"/>
          <w:b/>
          <w:color w:val="auto"/>
          <w:sz w:val="18"/>
          <w:szCs w:val="18"/>
        </w:rPr>
      </w:pPr>
      <w:r>
        <w:rPr>
          <w:rFonts w:hint="eastAsia" w:hAnsi="宋体"/>
          <w:b/>
          <w:color w:val="auto"/>
          <w:sz w:val="18"/>
          <w:szCs w:val="18"/>
        </w:rPr>
        <w:t>符合条件的残疾人福利性单位在参加政府采购活动时，应当提供《残疾人福利性单位声明函》，并对声明的真实性负责（如有，请提供）</w:t>
      </w:r>
    </w:p>
    <w:p>
      <w:pPr>
        <w:pStyle w:val="44"/>
        <w:rPr>
          <w:rFonts w:hAnsi="宋体"/>
          <w:b/>
          <w:color w:val="auto"/>
          <w:sz w:val="18"/>
          <w:szCs w:val="18"/>
        </w:rPr>
      </w:pPr>
      <w:r>
        <w:rPr>
          <w:rFonts w:hint="eastAsia" w:hAnsi="宋体"/>
          <w:b/>
          <w:color w:val="auto"/>
          <w:sz w:val="18"/>
          <w:szCs w:val="18"/>
        </w:rPr>
        <w:t>15）供应商2017年以来具有类似项目业绩的相关证明材料（无不良记录，以中标、成交通知书或签订的项目合同为准，并能清晰反映项目名称、种类、金额）；</w:t>
      </w:r>
    </w:p>
    <w:p>
      <w:pPr>
        <w:pStyle w:val="44"/>
        <w:rPr>
          <w:rFonts w:hAnsi="宋体"/>
          <w:b/>
          <w:color w:val="auto"/>
          <w:sz w:val="18"/>
          <w:szCs w:val="18"/>
        </w:rPr>
      </w:pPr>
      <w:r>
        <w:rPr>
          <w:rFonts w:hint="eastAsia" w:hAnsi="宋体"/>
          <w:b/>
          <w:color w:val="auto"/>
          <w:sz w:val="18"/>
          <w:szCs w:val="18"/>
        </w:rPr>
        <w:t>16）供应商认为需要提供的有关资料。</w:t>
      </w:r>
    </w:p>
    <w:p>
      <w:pPr>
        <w:pStyle w:val="44"/>
        <w:rPr>
          <w:rFonts w:hAnsi="宋体"/>
          <w:b/>
          <w:color w:val="auto"/>
          <w:sz w:val="18"/>
          <w:szCs w:val="18"/>
        </w:rPr>
      </w:pPr>
      <w:r>
        <w:rPr>
          <w:rFonts w:hint="eastAsia" w:hAnsi="宋体"/>
          <w:b/>
          <w:color w:val="auto"/>
          <w:sz w:val="18"/>
          <w:szCs w:val="18"/>
        </w:rPr>
        <w:t>以上有关材料应真实有效，属于“必须提供”的文件均必须于本项目截标前与竞争性磋商响应文件同时提交，并加盖供应商单位公章（扫描件无效），否则响应文件无效。</w:t>
      </w:r>
    </w:p>
    <w:p>
      <w:pPr>
        <w:pStyle w:val="44"/>
        <w:rPr>
          <w:rFonts w:hAnsi="宋体"/>
          <w:b/>
          <w:color w:val="auto"/>
          <w:sz w:val="18"/>
          <w:szCs w:val="18"/>
        </w:rPr>
      </w:pPr>
      <w:r>
        <w:rPr>
          <w:rFonts w:hint="eastAsia" w:hAnsi="宋体"/>
          <w:b/>
          <w:color w:val="auto"/>
          <w:sz w:val="18"/>
          <w:szCs w:val="18"/>
        </w:rPr>
        <w:t>17）中小企业声明函（竞标产品或提供服务的供应商如为中小微型企业的，格式见附件，并提供工商注册地的工业和信息化相关部门出具的相关证明材料为准，否则不予享受优惠政策）；</w:t>
      </w:r>
    </w:p>
    <w:p>
      <w:pPr>
        <w:pStyle w:val="44"/>
        <w:rPr>
          <w:rFonts w:hAnsi="宋体"/>
          <w:b/>
          <w:color w:val="auto"/>
          <w:sz w:val="18"/>
          <w:szCs w:val="18"/>
        </w:rPr>
      </w:pPr>
      <w:r>
        <w:rPr>
          <w:rFonts w:hint="eastAsia" w:hAnsi="宋体"/>
          <w:b/>
          <w:color w:val="auto"/>
          <w:sz w:val="18"/>
          <w:szCs w:val="18"/>
        </w:rPr>
        <w:t>以上有关材料应真实有效，属于“必须提供”的文件均必须于本项目截标前与竞争性磋商响应文件同时提交，并加盖供应商单位公章（扫描件无效），否则响应文件无效。</w:t>
      </w:r>
    </w:p>
    <w:p>
      <w:pPr>
        <w:pStyle w:val="44"/>
        <w:rPr>
          <w:rFonts w:hAnsi="宋体"/>
          <w:b/>
          <w:color w:val="auto"/>
          <w:sz w:val="18"/>
          <w:szCs w:val="18"/>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jc w:val="left"/>
        <w:rPr>
          <w:rFonts w:ascii="宋体" w:hAnsi="宋体"/>
          <w:b/>
          <w:bCs/>
          <w:color w:val="auto"/>
          <w:sz w:val="24"/>
        </w:rPr>
      </w:pPr>
    </w:p>
    <w:p>
      <w:pPr>
        <w:snapToGrid w:val="0"/>
        <w:spacing w:line="360" w:lineRule="exact"/>
        <w:ind w:left="1014" w:leftChars="196" w:hanging="602" w:hangingChars="250"/>
        <w:jc w:val="left"/>
        <w:rPr>
          <w:rFonts w:ascii="宋体" w:hAnsi="宋体"/>
          <w:b/>
          <w:bCs/>
          <w:color w:val="auto"/>
          <w:sz w:val="24"/>
        </w:rPr>
      </w:pPr>
      <w:r>
        <w:rPr>
          <w:rFonts w:hint="eastAsia" w:ascii="宋体" w:hAnsi="宋体"/>
          <w:b/>
          <w:bCs/>
          <w:color w:val="auto"/>
          <w:sz w:val="24"/>
        </w:rPr>
        <w:t>附件七</w:t>
      </w:r>
    </w:p>
    <w:p>
      <w:pPr>
        <w:spacing w:line="400" w:lineRule="exact"/>
        <w:ind w:firstLine="602" w:firstLineChars="200"/>
        <w:rPr>
          <w:rFonts w:ascii="宋体" w:hAnsi="宋体"/>
          <w:b/>
          <w:color w:val="auto"/>
          <w:sz w:val="30"/>
          <w:szCs w:val="30"/>
        </w:rPr>
      </w:pPr>
    </w:p>
    <w:p>
      <w:pPr>
        <w:shd w:val="clear" w:color="auto" w:fill="FFFFFF"/>
        <w:spacing w:after="240" w:line="360" w:lineRule="atLeast"/>
        <w:ind w:firstLine="480"/>
        <w:jc w:val="center"/>
        <w:rPr>
          <w:rFonts w:ascii="宋体" w:hAnsi="宋体"/>
          <w:b/>
          <w:bCs/>
          <w:color w:val="auto"/>
          <w:kern w:val="0"/>
          <w:sz w:val="30"/>
          <w:szCs w:val="30"/>
        </w:rPr>
      </w:pPr>
      <w:r>
        <w:rPr>
          <w:rFonts w:hint="eastAsia" w:ascii="宋体" w:hAnsi="宋体"/>
          <w:b/>
          <w:bCs/>
          <w:color w:val="auto"/>
          <w:kern w:val="0"/>
          <w:sz w:val="30"/>
          <w:szCs w:val="30"/>
        </w:rPr>
        <w:t>中小企业声明函（格式）</w:t>
      </w:r>
    </w:p>
    <w:p>
      <w:pPr>
        <w:widowControl/>
        <w:shd w:val="clear" w:color="auto" w:fill="FFFFFF"/>
        <w:spacing w:after="240" w:line="360" w:lineRule="atLeast"/>
        <w:ind w:firstLine="480"/>
        <w:jc w:val="left"/>
        <w:rPr>
          <w:rFonts w:ascii="宋体" w:hAnsi="宋体"/>
          <w:color w:val="auto"/>
          <w:kern w:val="0"/>
          <w:sz w:val="18"/>
          <w:szCs w:val="18"/>
        </w:rPr>
      </w:pPr>
      <w:r>
        <w:rPr>
          <w:rFonts w:hint="eastAsia" w:ascii="宋体" w:hAnsi="宋体"/>
          <w:color w:val="auto"/>
          <w:kern w:val="0"/>
          <w:sz w:val="18"/>
          <w:szCs w:val="18"/>
        </w:rPr>
        <w:t>本公司郑重声明，根据《政府采购促进中小企业发展暂行办法》（财库[2011]181号）的规定，本公司为______（请填写：中型、小型、微型）企业。即，本公司同时满足以下条件：</w:t>
      </w:r>
    </w:p>
    <w:p>
      <w:pPr>
        <w:widowControl/>
        <w:shd w:val="clear" w:color="auto" w:fill="FFFFFF"/>
        <w:spacing w:after="240" w:line="360" w:lineRule="atLeast"/>
        <w:ind w:firstLine="480"/>
        <w:jc w:val="left"/>
        <w:rPr>
          <w:rFonts w:ascii="宋体" w:hAnsi="宋体"/>
          <w:color w:val="auto"/>
          <w:kern w:val="0"/>
          <w:sz w:val="18"/>
          <w:szCs w:val="18"/>
        </w:rPr>
      </w:pPr>
      <w:r>
        <w:rPr>
          <w:rFonts w:hint="eastAsia" w:ascii="宋体" w:hAnsi="宋体"/>
          <w:color w:val="auto"/>
          <w:kern w:val="0"/>
          <w:sz w:val="18"/>
          <w:szCs w:val="18"/>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after="240" w:line="360" w:lineRule="atLeast"/>
        <w:ind w:firstLine="480"/>
        <w:jc w:val="left"/>
        <w:rPr>
          <w:rFonts w:ascii="宋体" w:hAnsi="宋体"/>
          <w:color w:val="auto"/>
          <w:kern w:val="0"/>
          <w:sz w:val="18"/>
          <w:szCs w:val="18"/>
        </w:rPr>
      </w:pPr>
      <w:r>
        <w:rPr>
          <w:rFonts w:hint="eastAsia" w:ascii="宋体" w:hAnsi="宋体"/>
          <w:color w:val="auto"/>
          <w:kern w:val="0"/>
          <w:sz w:val="18"/>
          <w:szCs w:val="1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after="240" w:line="360" w:lineRule="atLeast"/>
        <w:ind w:firstLine="480"/>
        <w:jc w:val="left"/>
        <w:rPr>
          <w:rFonts w:ascii="宋体" w:hAnsi="宋体"/>
          <w:color w:val="auto"/>
          <w:kern w:val="0"/>
          <w:sz w:val="18"/>
          <w:szCs w:val="18"/>
        </w:rPr>
      </w:pPr>
      <w:r>
        <w:rPr>
          <w:rFonts w:hint="eastAsia" w:ascii="宋体" w:hAnsi="宋体"/>
          <w:color w:val="auto"/>
          <w:kern w:val="0"/>
          <w:sz w:val="18"/>
          <w:szCs w:val="18"/>
        </w:rPr>
        <w:t>本公司对上述声明的真实性负责。如有虚假，将依法承担相应责任。</w:t>
      </w:r>
    </w:p>
    <w:p>
      <w:pPr>
        <w:widowControl/>
        <w:shd w:val="clear" w:color="auto" w:fill="FFFFFF"/>
        <w:spacing w:after="240" w:line="360" w:lineRule="atLeast"/>
        <w:ind w:firstLine="480"/>
        <w:jc w:val="left"/>
        <w:rPr>
          <w:rFonts w:ascii="宋体" w:hAnsi="宋体"/>
          <w:color w:val="auto"/>
          <w:kern w:val="0"/>
          <w:sz w:val="18"/>
          <w:szCs w:val="18"/>
        </w:rPr>
      </w:pPr>
      <w:r>
        <w:rPr>
          <w:rFonts w:hint="eastAsia" w:ascii="宋体" w:hAnsi="宋体"/>
          <w:color w:val="auto"/>
          <w:kern w:val="0"/>
          <w:sz w:val="18"/>
          <w:szCs w:val="18"/>
        </w:rPr>
        <w:t> </w:t>
      </w:r>
    </w:p>
    <w:p>
      <w:pPr>
        <w:pStyle w:val="44"/>
        <w:rPr>
          <w:rFonts w:hAnsi="宋体"/>
          <w:color w:val="auto"/>
          <w:sz w:val="18"/>
          <w:szCs w:val="18"/>
        </w:rPr>
      </w:pPr>
    </w:p>
    <w:p>
      <w:pPr>
        <w:pStyle w:val="44"/>
        <w:rPr>
          <w:rFonts w:hAnsi="宋体"/>
          <w:color w:val="auto"/>
          <w:sz w:val="18"/>
          <w:szCs w:val="18"/>
        </w:rPr>
      </w:pPr>
    </w:p>
    <w:p>
      <w:pPr>
        <w:widowControl/>
        <w:shd w:val="clear" w:color="auto" w:fill="FFFFFF"/>
        <w:spacing w:after="240" w:line="360" w:lineRule="atLeast"/>
        <w:ind w:firstLine="480"/>
        <w:jc w:val="left"/>
        <w:rPr>
          <w:rFonts w:ascii="宋体" w:hAnsi="宋体"/>
          <w:color w:val="auto"/>
          <w:kern w:val="0"/>
          <w:sz w:val="18"/>
          <w:szCs w:val="18"/>
          <w:u w:val="single"/>
        </w:rPr>
      </w:pPr>
      <w:r>
        <w:rPr>
          <w:rFonts w:hint="eastAsia" w:ascii="宋体" w:hAnsi="宋体"/>
          <w:color w:val="auto"/>
          <w:kern w:val="0"/>
          <w:sz w:val="18"/>
          <w:szCs w:val="18"/>
        </w:rPr>
        <w:t>　　　　　　　　　　　　　　　　　　　　　企业名称（盖章）：</w:t>
      </w:r>
      <w:r>
        <w:rPr>
          <w:rFonts w:hint="eastAsia" w:ascii="宋体" w:hAnsi="宋体"/>
          <w:color w:val="auto"/>
          <w:kern w:val="0"/>
          <w:sz w:val="18"/>
          <w:szCs w:val="18"/>
          <w:u w:val="single"/>
        </w:rPr>
        <w:t xml:space="preserve">             </w:t>
      </w:r>
    </w:p>
    <w:p>
      <w:pPr>
        <w:widowControl/>
        <w:shd w:val="clear" w:color="auto" w:fill="FFFFFF"/>
        <w:spacing w:after="240" w:line="360" w:lineRule="atLeast"/>
        <w:ind w:firstLine="480"/>
        <w:jc w:val="left"/>
        <w:rPr>
          <w:rFonts w:ascii="宋体" w:hAnsi="宋体"/>
          <w:color w:val="auto"/>
          <w:kern w:val="0"/>
          <w:sz w:val="18"/>
          <w:szCs w:val="18"/>
        </w:rPr>
      </w:pPr>
      <w:r>
        <w:rPr>
          <w:rFonts w:hint="eastAsia" w:ascii="宋体" w:hAnsi="宋体"/>
          <w:color w:val="auto"/>
          <w:kern w:val="0"/>
          <w:sz w:val="18"/>
          <w:szCs w:val="18"/>
        </w:rPr>
        <w:t>　　　</w:t>
      </w:r>
    </w:p>
    <w:p>
      <w:pPr>
        <w:widowControl/>
        <w:shd w:val="clear" w:color="auto" w:fill="FFFFFF"/>
        <w:spacing w:after="240" w:line="360" w:lineRule="atLeast"/>
        <w:ind w:firstLine="480"/>
        <w:jc w:val="left"/>
        <w:rPr>
          <w:rFonts w:ascii="宋体" w:hAnsi="宋体"/>
          <w:color w:val="auto"/>
          <w:kern w:val="0"/>
          <w:sz w:val="18"/>
          <w:szCs w:val="18"/>
          <w:u w:val="single"/>
        </w:rPr>
      </w:pPr>
      <w:r>
        <w:rPr>
          <w:rFonts w:hint="eastAsia" w:ascii="宋体" w:hAnsi="宋体"/>
          <w:color w:val="auto"/>
          <w:kern w:val="0"/>
          <w:sz w:val="18"/>
          <w:szCs w:val="18"/>
        </w:rPr>
        <w:t>　　　　　　　　　　　　　　　　日期：</w:t>
      </w:r>
      <w:r>
        <w:rPr>
          <w:rFonts w:hint="eastAsia" w:ascii="宋体" w:hAnsi="宋体"/>
          <w:color w:val="auto"/>
          <w:kern w:val="0"/>
          <w:sz w:val="18"/>
          <w:szCs w:val="18"/>
          <w:u w:val="single"/>
        </w:rPr>
        <w:t xml:space="preserve">                             </w:t>
      </w:r>
    </w:p>
    <w:p>
      <w:pPr>
        <w:widowControl/>
        <w:shd w:val="clear" w:color="auto" w:fill="FFFFFF"/>
        <w:spacing w:after="240" w:line="360" w:lineRule="atLeast"/>
        <w:ind w:firstLine="480"/>
        <w:jc w:val="left"/>
        <w:rPr>
          <w:rFonts w:ascii="宋体" w:hAnsi="宋体"/>
          <w:color w:val="auto"/>
          <w:kern w:val="0"/>
          <w:sz w:val="18"/>
          <w:szCs w:val="18"/>
          <w:u w:val="single"/>
        </w:rPr>
      </w:pPr>
    </w:p>
    <w:p>
      <w:pPr>
        <w:widowControl/>
        <w:shd w:val="clear" w:color="auto" w:fill="FFFFFF"/>
        <w:spacing w:after="240" w:line="360" w:lineRule="atLeast"/>
        <w:jc w:val="left"/>
        <w:rPr>
          <w:rFonts w:ascii="宋体" w:hAnsi="宋体" w:cs="宋体"/>
          <w:color w:val="auto"/>
          <w:kern w:val="0"/>
          <w:sz w:val="18"/>
          <w:szCs w:val="18"/>
        </w:rPr>
      </w:pPr>
      <w:r>
        <w:rPr>
          <w:rFonts w:hint="eastAsia" w:ascii="宋体" w:hAnsi="宋体" w:cs="宋体"/>
          <w:color w:val="auto"/>
          <w:kern w:val="0"/>
          <w:sz w:val="18"/>
          <w:szCs w:val="18"/>
        </w:rPr>
        <w:t>备注：如果竞标产品中有小型或微型企业的产品，应在竞标报价明细表备注栏中注明生产企业名称，</w:t>
      </w:r>
      <w:r>
        <w:rPr>
          <w:rFonts w:hint="eastAsia" w:ascii="宋体" w:hAnsi="宋体"/>
          <w:color w:val="auto"/>
          <w:sz w:val="18"/>
          <w:szCs w:val="18"/>
        </w:rPr>
        <w:t>并提供工商注册地的工业和信息化相关部门出具的相关证明材料。</w:t>
      </w:r>
    </w:p>
    <w:p>
      <w:pPr>
        <w:spacing w:line="400" w:lineRule="exact"/>
        <w:ind w:firstLine="361" w:firstLineChars="200"/>
        <w:rPr>
          <w:rFonts w:ascii="宋体" w:hAnsi="宋体"/>
          <w:b/>
          <w:color w:val="auto"/>
          <w:sz w:val="18"/>
          <w:szCs w:val="18"/>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2" w:leftChars="196" w:hanging="600" w:hangingChars="250"/>
        <w:jc w:val="left"/>
        <w:rPr>
          <w:rFonts w:ascii="宋体" w:hAnsi="宋体"/>
          <w:color w:val="auto"/>
          <w:sz w:val="24"/>
        </w:rPr>
      </w:pPr>
    </w:p>
    <w:p>
      <w:pPr>
        <w:snapToGrid w:val="0"/>
        <w:spacing w:line="360" w:lineRule="exact"/>
        <w:ind w:left="1014" w:leftChars="196" w:hanging="602" w:hangingChars="250"/>
        <w:jc w:val="left"/>
        <w:rPr>
          <w:rFonts w:ascii="宋体" w:hAnsi="宋体"/>
          <w:b/>
          <w:bCs/>
          <w:color w:val="auto"/>
          <w:sz w:val="24"/>
        </w:rPr>
      </w:pPr>
    </w:p>
    <w:p>
      <w:pPr>
        <w:snapToGrid w:val="0"/>
        <w:spacing w:line="360" w:lineRule="exact"/>
        <w:ind w:left="1014" w:leftChars="196" w:hanging="602" w:hangingChars="250"/>
        <w:jc w:val="left"/>
        <w:rPr>
          <w:rFonts w:ascii="宋体" w:hAnsi="宋体"/>
          <w:b/>
          <w:bCs/>
          <w:color w:val="auto"/>
          <w:sz w:val="24"/>
        </w:rPr>
      </w:pPr>
      <w:r>
        <w:rPr>
          <w:rFonts w:hint="eastAsia" w:ascii="宋体" w:hAnsi="宋体"/>
          <w:b/>
          <w:bCs/>
          <w:color w:val="auto"/>
          <w:sz w:val="24"/>
        </w:rPr>
        <w:t>附件八</w:t>
      </w:r>
    </w:p>
    <w:p>
      <w:pPr>
        <w:spacing w:line="200" w:lineRule="exact"/>
        <w:rPr>
          <w:rFonts w:eastAsia="Times New Roman"/>
          <w:color w:val="auto"/>
          <w:sz w:val="18"/>
          <w:szCs w:val="18"/>
        </w:rPr>
      </w:pPr>
    </w:p>
    <w:p>
      <w:pPr>
        <w:spacing w:line="210" w:lineRule="exact"/>
        <w:rPr>
          <w:rFonts w:eastAsia="Times New Roman"/>
          <w:color w:val="auto"/>
          <w:sz w:val="30"/>
          <w:szCs w:val="30"/>
        </w:rPr>
      </w:pPr>
    </w:p>
    <w:p>
      <w:pPr>
        <w:spacing w:line="0" w:lineRule="atLeast"/>
        <w:ind w:firstLine="2108" w:firstLineChars="700"/>
        <w:rPr>
          <w:rFonts w:ascii="宋体" w:hAnsi="宋体"/>
          <w:b/>
          <w:bCs/>
          <w:color w:val="auto"/>
          <w:kern w:val="0"/>
          <w:sz w:val="30"/>
          <w:szCs w:val="30"/>
        </w:rPr>
      </w:pPr>
      <w:r>
        <w:rPr>
          <w:rFonts w:hint="eastAsia" w:ascii="宋体" w:hAnsi="宋体"/>
          <w:b/>
          <w:bCs/>
          <w:color w:val="auto"/>
          <w:kern w:val="0"/>
          <w:sz w:val="30"/>
          <w:szCs w:val="30"/>
        </w:rPr>
        <w:t>残疾人福利性单位声明函（格式）</w:t>
      </w:r>
    </w:p>
    <w:p>
      <w:pPr>
        <w:spacing w:line="200" w:lineRule="exact"/>
        <w:rPr>
          <w:rFonts w:eastAsia="Times New Roman"/>
          <w:color w:val="auto"/>
          <w:sz w:val="18"/>
          <w:szCs w:val="18"/>
        </w:rPr>
      </w:pPr>
    </w:p>
    <w:p>
      <w:pPr>
        <w:spacing w:line="200" w:lineRule="exact"/>
        <w:rPr>
          <w:rFonts w:eastAsia="Times New Roman"/>
          <w:color w:val="auto"/>
          <w:sz w:val="18"/>
          <w:szCs w:val="18"/>
        </w:rPr>
      </w:pPr>
    </w:p>
    <w:p>
      <w:pPr>
        <w:spacing w:line="200" w:lineRule="exact"/>
        <w:rPr>
          <w:rFonts w:eastAsia="Times New Roman"/>
          <w:color w:val="auto"/>
          <w:sz w:val="18"/>
          <w:szCs w:val="18"/>
        </w:rPr>
      </w:pPr>
    </w:p>
    <w:p>
      <w:pPr>
        <w:spacing w:line="236" w:lineRule="exact"/>
        <w:rPr>
          <w:rFonts w:eastAsia="Times New Roman"/>
          <w:color w:val="auto"/>
          <w:sz w:val="18"/>
          <w:szCs w:val="18"/>
        </w:rPr>
      </w:pPr>
    </w:p>
    <w:p>
      <w:pPr>
        <w:spacing w:line="239" w:lineRule="auto"/>
        <w:ind w:left="580"/>
        <w:rPr>
          <w:rFonts w:ascii="宋体" w:hAnsi="宋体"/>
          <w:color w:val="auto"/>
          <w:sz w:val="18"/>
          <w:szCs w:val="18"/>
        </w:rPr>
      </w:pPr>
      <w:r>
        <w:rPr>
          <w:rFonts w:ascii="宋体" w:hAnsi="宋体"/>
          <w:color w:val="auto"/>
          <w:sz w:val="18"/>
          <w:szCs w:val="18"/>
        </w:rPr>
        <w:t>说明：</w:t>
      </w:r>
    </w:p>
    <w:p>
      <w:pPr>
        <w:spacing w:line="122" w:lineRule="exact"/>
        <w:rPr>
          <w:rFonts w:eastAsia="Times New Roman"/>
          <w:color w:val="auto"/>
          <w:sz w:val="18"/>
          <w:szCs w:val="18"/>
        </w:rPr>
      </w:pPr>
    </w:p>
    <w:p>
      <w:pPr>
        <w:spacing w:line="239" w:lineRule="auto"/>
        <w:ind w:left="580"/>
        <w:rPr>
          <w:rFonts w:ascii="宋体" w:hAnsi="宋体"/>
          <w:color w:val="auto"/>
          <w:sz w:val="18"/>
          <w:szCs w:val="18"/>
        </w:rPr>
      </w:pPr>
      <w:r>
        <w:rPr>
          <w:rFonts w:ascii="宋体" w:hAnsi="宋体"/>
          <w:color w:val="auto"/>
          <w:sz w:val="18"/>
          <w:szCs w:val="18"/>
        </w:rPr>
        <w:t>1、本声明函主要供参加政府采购活动的残疾人福利性单位填写，其他企业无需填写。</w:t>
      </w:r>
    </w:p>
    <w:p>
      <w:pPr>
        <w:spacing w:line="150" w:lineRule="exact"/>
        <w:rPr>
          <w:rFonts w:eastAsia="Times New Roman"/>
          <w:color w:val="auto"/>
          <w:sz w:val="18"/>
          <w:szCs w:val="18"/>
        </w:rPr>
      </w:pPr>
    </w:p>
    <w:p>
      <w:pPr>
        <w:spacing w:line="361" w:lineRule="auto"/>
        <w:ind w:firstLine="564"/>
        <w:rPr>
          <w:rFonts w:ascii="宋体" w:hAnsi="宋体"/>
          <w:color w:val="auto"/>
          <w:sz w:val="18"/>
          <w:szCs w:val="18"/>
        </w:rPr>
      </w:pPr>
      <w:r>
        <w:rPr>
          <w:rFonts w:ascii="宋体" w:hAnsi="宋体"/>
          <w:color w:val="auto"/>
          <w:sz w:val="18"/>
          <w:szCs w:val="18"/>
        </w:rPr>
        <w:t>2、在政府采购活动中，残疾人福利性单位视同小型、微型企业，享受预留份额、评审中价格扣除等促进中小企业发展的政府采购政策。残疾人福利性单位属于小型、微型企业的，不重复享受政策。</w:t>
      </w:r>
    </w:p>
    <w:p>
      <w:pPr>
        <w:spacing w:line="394" w:lineRule="exact"/>
        <w:rPr>
          <w:rFonts w:eastAsia="Times New Roman"/>
          <w:color w:val="auto"/>
          <w:sz w:val="18"/>
          <w:szCs w:val="18"/>
        </w:rPr>
      </w:pPr>
    </w:p>
    <w:p>
      <w:pPr>
        <w:spacing w:line="361" w:lineRule="auto"/>
        <w:ind w:firstLine="564"/>
        <w:rPr>
          <w:rFonts w:ascii="宋体" w:hAnsi="宋体"/>
          <w:color w:val="auto"/>
          <w:sz w:val="18"/>
          <w:szCs w:val="18"/>
        </w:rPr>
      </w:pPr>
      <w:r>
        <w:rPr>
          <w:rFonts w:ascii="宋体" w:hAnsi="宋体"/>
          <w:color w:val="auto"/>
          <w:sz w:val="18"/>
          <w:szCs w:val="18"/>
        </w:rPr>
        <w:t>本单位郑重声明，根据《财政部、民政部、中国残疾人联合会关于促进残疾人就业政府采购政策的通知》（财库〔2017〕141 号）的规定，本单位为符合条件的残疾人福利性单位，且本单位参加______</w:t>
      </w:r>
    </w:p>
    <w:p>
      <w:pPr>
        <w:spacing w:line="34" w:lineRule="exact"/>
        <w:rPr>
          <w:rFonts w:eastAsia="Times New Roman"/>
          <w:color w:val="auto"/>
          <w:sz w:val="18"/>
          <w:szCs w:val="18"/>
        </w:rPr>
      </w:pPr>
    </w:p>
    <w:p>
      <w:pPr>
        <w:spacing w:line="332" w:lineRule="auto"/>
        <w:ind w:right="60"/>
        <w:rPr>
          <w:rFonts w:ascii="宋体" w:hAnsi="宋体"/>
          <w:color w:val="auto"/>
          <w:sz w:val="18"/>
          <w:szCs w:val="18"/>
        </w:rPr>
      </w:pPr>
      <w:r>
        <w:rPr>
          <w:rFonts w:ascii="宋体" w:hAnsi="宋体"/>
          <w:color w:val="auto"/>
          <w:sz w:val="18"/>
          <w:szCs w:val="18"/>
        </w:rPr>
        <w:t>单位的______项目采购活动提供本单位制造的货物（由本单位承担工程/提供服务），或者提供其他残疾人福利性单位制造的货物（不包括使用非残疾人福利性单位注册商标的货物）。</w:t>
      </w:r>
    </w:p>
    <w:p>
      <w:pPr>
        <w:spacing w:line="213" w:lineRule="auto"/>
        <w:ind w:left="640"/>
        <w:rPr>
          <w:rFonts w:ascii="宋体" w:hAnsi="宋体"/>
          <w:color w:val="auto"/>
          <w:sz w:val="18"/>
          <w:szCs w:val="18"/>
        </w:rPr>
      </w:pPr>
      <w:r>
        <w:rPr>
          <w:rFonts w:ascii="宋体" w:hAnsi="宋体"/>
          <w:color w:val="auto"/>
          <w:sz w:val="18"/>
          <w:szCs w:val="18"/>
        </w:rPr>
        <w:t>本单位对上述声明的真实性负责。如有虚假，将依法承担相应责任。</w:t>
      </w:r>
    </w:p>
    <w:p>
      <w:pPr>
        <w:spacing w:line="200" w:lineRule="exact"/>
        <w:rPr>
          <w:rFonts w:eastAsia="Times New Roman"/>
          <w:color w:val="auto"/>
          <w:sz w:val="18"/>
          <w:szCs w:val="18"/>
        </w:rPr>
      </w:pPr>
    </w:p>
    <w:p>
      <w:pPr>
        <w:spacing w:line="200" w:lineRule="exact"/>
        <w:rPr>
          <w:rFonts w:eastAsia="Times New Roman"/>
          <w:color w:val="auto"/>
          <w:sz w:val="18"/>
          <w:szCs w:val="18"/>
        </w:rPr>
      </w:pPr>
    </w:p>
    <w:p>
      <w:pPr>
        <w:spacing w:line="200" w:lineRule="exact"/>
        <w:rPr>
          <w:rFonts w:eastAsia="Times New Roman"/>
          <w:color w:val="auto"/>
          <w:sz w:val="18"/>
          <w:szCs w:val="18"/>
        </w:rPr>
      </w:pPr>
    </w:p>
    <w:p>
      <w:pPr>
        <w:spacing w:line="200" w:lineRule="exact"/>
        <w:rPr>
          <w:rFonts w:eastAsia="Times New Roman"/>
          <w:color w:val="auto"/>
          <w:sz w:val="18"/>
          <w:szCs w:val="18"/>
        </w:rPr>
      </w:pPr>
    </w:p>
    <w:p>
      <w:pPr>
        <w:spacing w:line="250" w:lineRule="exact"/>
        <w:rPr>
          <w:rFonts w:eastAsia="Times New Roman"/>
          <w:color w:val="auto"/>
          <w:sz w:val="18"/>
          <w:szCs w:val="18"/>
        </w:rPr>
      </w:pPr>
    </w:p>
    <w:p>
      <w:pPr>
        <w:spacing w:line="239" w:lineRule="auto"/>
        <w:ind w:left="580"/>
        <w:rPr>
          <w:rFonts w:ascii="宋体" w:hAnsi="宋体"/>
          <w:color w:val="auto"/>
          <w:sz w:val="18"/>
          <w:szCs w:val="18"/>
        </w:rPr>
      </w:pPr>
      <w:r>
        <w:rPr>
          <w:rFonts w:ascii="宋体" w:hAnsi="宋体"/>
          <w:color w:val="auto"/>
          <w:sz w:val="18"/>
          <w:szCs w:val="18"/>
        </w:rPr>
        <w:t>竞标人（盖单位公章）： ________________________</w:t>
      </w:r>
    </w:p>
    <w:p>
      <w:pPr>
        <w:spacing w:line="200" w:lineRule="exact"/>
        <w:rPr>
          <w:rFonts w:eastAsia="Times New Roman"/>
          <w:color w:val="auto"/>
          <w:sz w:val="18"/>
          <w:szCs w:val="18"/>
        </w:rPr>
      </w:pPr>
    </w:p>
    <w:p>
      <w:pPr>
        <w:spacing w:line="346" w:lineRule="exact"/>
        <w:rPr>
          <w:rFonts w:eastAsia="Times New Roman"/>
          <w:color w:val="auto"/>
          <w:sz w:val="18"/>
          <w:szCs w:val="18"/>
        </w:rPr>
      </w:pPr>
    </w:p>
    <w:p>
      <w:pPr>
        <w:spacing w:line="239" w:lineRule="auto"/>
        <w:ind w:left="420"/>
        <w:rPr>
          <w:rFonts w:ascii="宋体" w:hAnsi="宋体"/>
          <w:color w:val="auto"/>
          <w:sz w:val="18"/>
          <w:szCs w:val="18"/>
        </w:rPr>
      </w:pPr>
      <w:r>
        <w:rPr>
          <w:rFonts w:ascii="宋体" w:hAnsi="宋体"/>
          <w:color w:val="auto"/>
          <w:sz w:val="18"/>
          <w:szCs w:val="18"/>
        </w:rPr>
        <w:t>法定代表人或其委托代理人（签字或盖章）：________________________</w:t>
      </w:r>
    </w:p>
    <w:p>
      <w:pPr>
        <w:spacing w:line="200" w:lineRule="exact"/>
        <w:rPr>
          <w:rFonts w:eastAsia="Times New Roman"/>
          <w:color w:val="auto"/>
          <w:sz w:val="18"/>
          <w:szCs w:val="18"/>
        </w:rPr>
      </w:pPr>
    </w:p>
    <w:p>
      <w:pPr>
        <w:pStyle w:val="44"/>
        <w:rPr>
          <w:rFonts w:hAnsi="宋体"/>
          <w:b/>
          <w:color w:val="auto"/>
          <w:sz w:val="18"/>
          <w:szCs w:val="18"/>
        </w:rPr>
      </w:pPr>
    </w:p>
    <w:p>
      <w:pPr>
        <w:pStyle w:val="44"/>
        <w:rPr>
          <w:rFonts w:hAnsi="宋体"/>
          <w:b/>
          <w:color w:val="auto"/>
          <w:sz w:val="18"/>
          <w:szCs w:val="18"/>
        </w:rPr>
      </w:pPr>
    </w:p>
    <w:p>
      <w:pPr>
        <w:spacing w:line="400" w:lineRule="exact"/>
        <w:rPr>
          <w:rFonts w:ascii="宋体" w:hAnsi="宋体"/>
          <w:b/>
          <w:color w:val="auto"/>
          <w:sz w:val="18"/>
          <w:szCs w:val="18"/>
        </w:rPr>
      </w:pPr>
    </w:p>
    <w:p>
      <w:pPr>
        <w:spacing w:line="400" w:lineRule="exact"/>
        <w:ind w:firstLine="181" w:firstLineChars="100"/>
        <w:rPr>
          <w:rFonts w:ascii="宋体" w:hAnsi="宋体"/>
          <w:b/>
          <w:color w:val="auto"/>
          <w:sz w:val="18"/>
          <w:szCs w:val="18"/>
        </w:rPr>
      </w:pPr>
      <w:r>
        <w:rPr>
          <w:rFonts w:hint="eastAsia" w:ascii="宋体" w:hAnsi="宋体"/>
          <w:b/>
          <w:color w:val="auto"/>
          <w:sz w:val="18"/>
          <w:szCs w:val="18"/>
        </w:rPr>
        <w:t>监狱企业的证明文件[竞标产品如为监狱企业的，应当提供由省级以上监狱管理局、戒毒管理局（含新疆生产建设兵团）出具的属于监狱企业的证明文件, 否则不予享受优惠政策]；</w:t>
      </w:r>
    </w:p>
    <w:p>
      <w:pPr>
        <w:spacing w:line="400" w:lineRule="exact"/>
        <w:ind w:firstLine="452" w:firstLineChars="250"/>
        <w:rPr>
          <w:rFonts w:ascii="宋体" w:hAnsi="宋体"/>
          <w:b/>
          <w:color w:val="auto"/>
          <w:sz w:val="18"/>
          <w:szCs w:val="18"/>
        </w:rPr>
      </w:pPr>
      <w:r>
        <w:rPr>
          <w:rFonts w:hint="eastAsia" w:ascii="宋体" w:hAnsi="宋体"/>
          <w:b/>
          <w:color w:val="auto"/>
          <w:sz w:val="18"/>
          <w:szCs w:val="18"/>
        </w:rPr>
        <w:t>符合条件的残疾人福利性单位在参加政府采购活动时，应当提供《残疾人福利性单位声明函》，并对声明的真实性负责（如有，请提供）</w:t>
      </w:r>
    </w:p>
    <w:p>
      <w:pPr>
        <w:spacing w:line="400" w:lineRule="exact"/>
        <w:rPr>
          <w:rFonts w:ascii="宋体" w:hAnsi="宋体"/>
          <w:b/>
          <w:color w:val="auto"/>
          <w:sz w:val="18"/>
          <w:szCs w:val="18"/>
        </w:rPr>
      </w:pPr>
    </w:p>
    <w:p>
      <w:pPr>
        <w:spacing w:line="400" w:lineRule="exact"/>
        <w:ind w:firstLine="361" w:firstLineChars="200"/>
        <w:rPr>
          <w:rFonts w:ascii="宋体" w:hAnsi="宋体"/>
          <w:b/>
          <w:color w:val="auto"/>
          <w:sz w:val="18"/>
          <w:szCs w:val="18"/>
        </w:rPr>
      </w:pPr>
    </w:p>
    <w:p>
      <w:pPr>
        <w:pStyle w:val="44"/>
        <w:rPr>
          <w:rFonts w:hAnsi="宋体"/>
          <w:b/>
          <w:color w:val="auto"/>
          <w:sz w:val="18"/>
          <w:szCs w:val="18"/>
        </w:rPr>
      </w:pPr>
    </w:p>
    <w:p>
      <w:pPr>
        <w:spacing w:line="400" w:lineRule="exact"/>
        <w:ind w:firstLine="361" w:firstLineChars="200"/>
        <w:rPr>
          <w:rFonts w:ascii="宋体" w:hAnsi="宋体"/>
          <w:b/>
          <w:color w:val="auto"/>
          <w:sz w:val="18"/>
          <w:szCs w:val="18"/>
        </w:rPr>
      </w:pPr>
    </w:p>
    <w:p>
      <w:pPr>
        <w:pStyle w:val="44"/>
        <w:rPr>
          <w:rFonts w:hAnsi="宋体"/>
          <w:b/>
          <w:color w:val="auto"/>
          <w:sz w:val="18"/>
          <w:szCs w:val="18"/>
        </w:rPr>
      </w:pPr>
    </w:p>
    <w:p>
      <w:pPr>
        <w:pStyle w:val="44"/>
        <w:rPr>
          <w:rFonts w:hAnsi="宋体"/>
          <w:b/>
          <w:color w:val="auto"/>
          <w:sz w:val="18"/>
          <w:szCs w:val="18"/>
        </w:rPr>
      </w:pPr>
    </w:p>
    <w:p>
      <w:pPr>
        <w:spacing w:line="300" w:lineRule="auto"/>
        <w:ind w:left="420" w:hanging="420"/>
        <w:rPr>
          <w:rFonts w:ascii="黑体" w:hAnsi="宋体" w:eastAsia="黑体"/>
          <w:b/>
          <w:color w:val="auto"/>
          <w:kern w:val="0"/>
          <w:sz w:val="18"/>
          <w:szCs w:val="18"/>
        </w:rPr>
      </w:pPr>
    </w:p>
    <w:p>
      <w:pPr>
        <w:spacing w:line="300" w:lineRule="auto"/>
        <w:ind w:left="420" w:hanging="420"/>
        <w:jc w:val="center"/>
        <w:rPr>
          <w:rFonts w:ascii="黑体" w:hAnsi="宋体" w:eastAsia="黑体"/>
          <w:b/>
          <w:color w:val="auto"/>
          <w:kern w:val="0"/>
          <w:sz w:val="18"/>
          <w:szCs w:val="18"/>
        </w:rPr>
      </w:pPr>
    </w:p>
    <w:p>
      <w:pPr>
        <w:spacing w:line="300" w:lineRule="auto"/>
        <w:ind w:left="420" w:hanging="420"/>
        <w:jc w:val="center"/>
        <w:rPr>
          <w:rFonts w:ascii="黑体" w:hAnsi="宋体" w:eastAsia="黑体"/>
          <w:b/>
          <w:color w:val="auto"/>
          <w:kern w:val="0"/>
          <w:sz w:val="18"/>
          <w:szCs w:val="18"/>
        </w:rPr>
      </w:pPr>
    </w:p>
    <w:p>
      <w:pPr>
        <w:spacing w:line="300" w:lineRule="auto"/>
        <w:ind w:left="420" w:hanging="420"/>
        <w:jc w:val="center"/>
        <w:rPr>
          <w:rFonts w:ascii="黑体" w:hAnsi="宋体" w:eastAsia="黑体"/>
          <w:b/>
          <w:color w:val="auto"/>
          <w:kern w:val="0"/>
          <w:sz w:val="18"/>
          <w:szCs w:val="18"/>
        </w:rPr>
      </w:pPr>
    </w:p>
    <w:p>
      <w:pPr>
        <w:spacing w:line="400" w:lineRule="exact"/>
        <w:ind w:firstLine="361" w:firstLineChars="200"/>
        <w:rPr>
          <w:rFonts w:ascii="宋体" w:hAnsi="宋体"/>
          <w:b/>
          <w:color w:val="auto"/>
          <w:sz w:val="18"/>
          <w:szCs w:val="18"/>
        </w:rPr>
      </w:pPr>
    </w:p>
    <w:p>
      <w:pPr>
        <w:spacing w:line="400" w:lineRule="exact"/>
        <w:ind w:firstLine="361" w:firstLineChars="200"/>
        <w:rPr>
          <w:rFonts w:ascii="宋体" w:hAnsi="宋体"/>
          <w:b/>
          <w:color w:val="auto"/>
          <w:sz w:val="18"/>
          <w:szCs w:val="18"/>
        </w:rPr>
      </w:pPr>
    </w:p>
    <w:p>
      <w:pPr>
        <w:spacing w:line="400" w:lineRule="exact"/>
        <w:ind w:firstLine="361" w:firstLineChars="200"/>
        <w:rPr>
          <w:rFonts w:ascii="宋体" w:hAnsi="宋体"/>
          <w:b/>
          <w:color w:val="auto"/>
          <w:sz w:val="18"/>
          <w:szCs w:val="18"/>
        </w:rPr>
      </w:pPr>
    </w:p>
    <w:p>
      <w:pPr>
        <w:spacing w:line="400" w:lineRule="exact"/>
        <w:ind w:firstLine="361" w:firstLineChars="200"/>
        <w:rPr>
          <w:rFonts w:ascii="宋体" w:hAnsi="宋体"/>
          <w:b/>
          <w:color w:val="auto"/>
          <w:sz w:val="18"/>
          <w:szCs w:val="18"/>
        </w:rPr>
      </w:pPr>
      <w:r>
        <w:rPr>
          <w:rFonts w:hint="eastAsia" w:ascii="宋体" w:hAnsi="宋体"/>
          <w:b/>
          <w:color w:val="auto"/>
          <w:sz w:val="18"/>
          <w:szCs w:val="18"/>
        </w:rPr>
        <w:t>18）供应商认为需要提供的有关资料。</w:t>
      </w:r>
    </w:p>
    <w:p>
      <w:pPr>
        <w:spacing w:line="300" w:lineRule="auto"/>
        <w:ind w:left="420" w:hanging="420"/>
        <w:jc w:val="center"/>
        <w:rPr>
          <w:rFonts w:ascii="黑体" w:hAnsi="宋体" w:eastAsia="黑体"/>
          <w:b/>
          <w:color w:val="auto"/>
          <w:kern w:val="0"/>
          <w:sz w:val="18"/>
          <w:szCs w:val="18"/>
        </w:rPr>
      </w:pPr>
    </w:p>
    <w:p>
      <w:pPr>
        <w:pStyle w:val="2"/>
        <w:jc w:val="center"/>
        <w:rPr>
          <w:color w:val="auto"/>
          <w:sz w:val="30"/>
          <w:szCs w:val="30"/>
        </w:rPr>
      </w:pPr>
      <w:bookmarkStart w:id="74" w:name="_Toc16955"/>
    </w:p>
    <w:p>
      <w:pPr>
        <w:pStyle w:val="2"/>
        <w:rPr>
          <w:color w:val="auto"/>
          <w:sz w:val="30"/>
          <w:szCs w:val="30"/>
        </w:rPr>
      </w:pPr>
    </w:p>
    <w:p>
      <w:pPr>
        <w:pStyle w:val="2"/>
        <w:rPr>
          <w:color w:val="auto"/>
          <w:sz w:val="30"/>
          <w:szCs w:val="30"/>
        </w:rPr>
      </w:pPr>
    </w:p>
    <w:p>
      <w:pPr>
        <w:pStyle w:val="2"/>
        <w:rPr>
          <w:color w:val="auto"/>
          <w:sz w:val="30"/>
          <w:szCs w:val="30"/>
        </w:rPr>
      </w:pPr>
    </w:p>
    <w:p>
      <w:pPr>
        <w:pStyle w:val="2"/>
        <w:rPr>
          <w:color w:val="auto"/>
          <w:sz w:val="30"/>
          <w:szCs w:val="30"/>
        </w:rPr>
      </w:pPr>
    </w:p>
    <w:p>
      <w:pPr>
        <w:pStyle w:val="2"/>
        <w:rPr>
          <w:color w:val="auto"/>
          <w:sz w:val="30"/>
          <w:szCs w:val="30"/>
        </w:rPr>
      </w:pPr>
    </w:p>
    <w:p>
      <w:pPr>
        <w:pStyle w:val="2"/>
        <w:rPr>
          <w:color w:val="auto"/>
          <w:sz w:val="30"/>
          <w:szCs w:val="30"/>
        </w:rPr>
      </w:pPr>
    </w:p>
    <w:p>
      <w:pPr>
        <w:pStyle w:val="2"/>
        <w:rPr>
          <w:color w:val="auto"/>
          <w:sz w:val="30"/>
          <w:szCs w:val="30"/>
        </w:rPr>
      </w:pPr>
    </w:p>
    <w:p>
      <w:pPr>
        <w:pStyle w:val="2"/>
        <w:rPr>
          <w:color w:val="auto"/>
          <w:sz w:val="30"/>
          <w:szCs w:val="30"/>
        </w:rPr>
      </w:pPr>
    </w:p>
    <w:bookmarkEnd w:id="74"/>
    <w:p>
      <w:pPr>
        <w:snapToGrid w:val="0"/>
        <w:spacing w:line="360" w:lineRule="auto"/>
        <w:jc w:val="center"/>
        <w:rPr>
          <w:rFonts w:ascii="宋体" w:hAnsi="宋体"/>
          <w:b/>
          <w:bCs/>
          <w:color w:val="auto"/>
          <w:sz w:val="18"/>
          <w:szCs w:val="18"/>
        </w:rPr>
      </w:pPr>
    </w:p>
    <w:p>
      <w:pPr>
        <w:snapToGrid w:val="0"/>
        <w:spacing w:line="360" w:lineRule="auto"/>
        <w:jc w:val="center"/>
        <w:rPr>
          <w:rFonts w:ascii="宋体" w:hAnsi="宋体"/>
          <w:b/>
          <w:bCs/>
          <w:color w:val="auto"/>
          <w:sz w:val="18"/>
          <w:szCs w:val="18"/>
        </w:rPr>
      </w:pPr>
    </w:p>
    <w:p>
      <w:pPr>
        <w:tabs>
          <w:tab w:val="left" w:pos="606"/>
        </w:tabs>
        <w:spacing w:line="320" w:lineRule="exact"/>
        <w:ind w:firstLine="853" w:firstLineChars="250"/>
        <w:rPr>
          <w:rFonts w:ascii="宋体" w:hAnsi="宋体"/>
          <w:b/>
          <w:color w:val="auto"/>
          <w:spacing w:val="20"/>
          <w:sz w:val="30"/>
          <w:szCs w:val="30"/>
        </w:rPr>
      </w:pPr>
    </w:p>
    <w:p>
      <w:pPr>
        <w:pStyle w:val="2"/>
        <w:ind w:firstLine="2560" w:firstLineChars="850"/>
        <w:rPr>
          <w:color w:val="auto"/>
          <w:sz w:val="30"/>
          <w:szCs w:val="30"/>
        </w:rPr>
      </w:pPr>
      <w:r>
        <w:rPr>
          <w:rFonts w:hint="eastAsia"/>
          <w:color w:val="auto"/>
          <w:sz w:val="30"/>
          <w:szCs w:val="30"/>
        </w:rPr>
        <w:t>第五章  政府采购合同（格式）</w:t>
      </w:r>
    </w:p>
    <w:p>
      <w:pPr>
        <w:pStyle w:val="2"/>
        <w:ind w:firstLine="3343" w:firstLineChars="1850"/>
        <w:rPr>
          <w:color w:val="auto"/>
          <w:sz w:val="30"/>
          <w:szCs w:val="30"/>
        </w:rPr>
      </w:pPr>
      <w:r>
        <w:rPr>
          <w:rFonts w:hint="eastAsia" w:ascii="宋体" w:hAnsi="宋体"/>
          <w:bCs w:val="0"/>
          <w:color w:val="auto"/>
          <w:sz w:val="18"/>
          <w:szCs w:val="18"/>
        </w:rPr>
        <w:t>灵山县政府采购合同</w:t>
      </w:r>
      <w:bookmarkStart w:id="75" w:name="_Toc23853"/>
      <w:r>
        <w:rPr>
          <w:rFonts w:hint="eastAsia" w:ascii="宋体"/>
          <w:bCs w:val="0"/>
          <w:color w:val="auto"/>
          <w:sz w:val="18"/>
          <w:szCs w:val="18"/>
        </w:rPr>
        <w:t>（格式）</w:t>
      </w:r>
    </w:p>
    <w:p>
      <w:pPr>
        <w:snapToGrid w:val="0"/>
        <w:spacing w:line="320" w:lineRule="exact"/>
        <w:rPr>
          <w:rFonts w:ascii="宋体"/>
          <w:bCs/>
          <w:color w:val="auto"/>
          <w:sz w:val="18"/>
          <w:szCs w:val="18"/>
          <w:u w:val="single"/>
        </w:rPr>
      </w:pPr>
      <w:r>
        <w:rPr>
          <w:rFonts w:hint="eastAsia" w:ascii="宋体"/>
          <w:bCs/>
          <w:color w:val="auto"/>
          <w:sz w:val="18"/>
          <w:szCs w:val="18"/>
        </w:rPr>
        <w:t>采购单位（甲方）：</w:t>
      </w:r>
      <w:r>
        <w:rPr>
          <w:rFonts w:hint="eastAsia" w:ascii="宋体"/>
          <w:bCs/>
          <w:color w:val="auto"/>
          <w:sz w:val="18"/>
          <w:szCs w:val="18"/>
          <w:u w:val="single"/>
        </w:rPr>
        <w:t xml:space="preserve">灵山县人民法院   </w:t>
      </w:r>
      <w:r>
        <w:rPr>
          <w:rFonts w:hint="eastAsia" w:ascii="宋体"/>
          <w:bCs/>
          <w:color w:val="auto"/>
          <w:sz w:val="18"/>
          <w:szCs w:val="18"/>
        </w:rPr>
        <w:t xml:space="preserve"> </w:t>
      </w:r>
    </w:p>
    <w:p>
      <w:pPr>
        <w:snapToGrid w:val="0"/>
        <w:spacing w:line="320" w:lineRule="exact"/>
        <w:rPr>
          <w:rFonts w:ascii="宋体"/>
          <w:bCs/>
          <w:color w:val="auto"/>
          <w:sz w:val="18"/>
          <w:szCs w:val="18"/>
          <w:u w:val="single"/>
        </w:rPr>
      </w:pPr>
      <w:r>
        <w:rPr>
          <w:rFonts w:hint="eastAsia" w:ascii="宋体"/>
          <w:bCs/>
          <w:color w:val="auto"/>
          <w:sz w:val="18"/>
          <w:szCs w:val="18"/>
        </w:rPr>
        <w:t>供应商（乙方）：</w:t>
      </w:r>
      <w:r>
        <w:rPr>
          <w:rFonts w:hint="eastAsia" w:ascii="宋体"/>
          <w:bCs/>
          <w:color w:val="auto"/>
          <w:sz w:val="18"/>
          <w:szCs w:val="18"/>
          <w:u w:val="single"/>
        </w:rPr>
        <w:t xml:space="preserve">                         </w:t>
      </w:r>
    </w:p>
    <w:p>
      <w:pPr>
        <w:snapToGrid w:val="0"/>
        <w:spacing w:line="320" w:lineRule="exact"/>
        <w:rPr>
          <w:rFonts w:ascii="宋体"/>
          <w:bCs/>
          <w:color w:val="auto"/>
          <w:sz w:val="18"/>
          <w:szCs w:val="18"/>
          <w:u w:val="single"/>
        </w:rPr>
      </w:pPr>
      <w:r>
        <w:rPr>
          <w:rFonts w:hint="eastAsia" w:ascii="宋体"/>
          <w:bCs/>
          <w:color w:val="auto"/>
          <w:sz w:val="18"/>
          <w:szCs w:val="18"/>
        </w:rPr>
        <w:t>采购计划号：</w:t>
      </w:r>
      <w:r>
        <w:rPr>
          <w:rFonts w:hint="eastAsia" w:ascii="宋体"/>
          <w:bCs/>
          <w:color w:val="auto"/>
          <w:sz w:val="18"/>
          <w:szCs w:val="18"/>
          <w:u w:val="single"/>
        </w:rPr>
        <w:t xml:space="preserve">                            </w:t>
      </w:r>
    </w:p>
    <w:p>
      <w:pPr>
        <w:snapToGrid w:val="0"/>
        <w:spacing w:line="320" w:lineRule="exact"/>
        <w:rPr>
          <w:rFonts w:ascii="宋体"/>
          <w:bCs/>
          <w:color w:val="auto"/>
          <w:sz w:val="18"/>
          <w:szCs w:val="18"/>
          <w:u w:val="single"/>
        </w:rPr>
      </w:pPr>
      <w:r>
        <w:rPr>
          <w:rFonts w:hint="eastAsia" w:ascii="宋体"/>
          <w:bCs/>
          <w:color w:val="auto"/>
          <w:sz w:val="18"/>
          <w:szCs w:val="18"/>
        </w:rPr>
        <w:t>项目名称和编号</w:t>
      </w:r>
      <w:r>
        <w:rPr>
          <w:rFonts w:hint="eastAsia" w:ascii="宋体"/>
          <w:bCs/>
          <w:color w:val="auto"/>
          <w:sz w:val="18"/>
          <w:szCs w:val="18"/>
          <w:u w:val="single"/>
        </w:rPr>
        <w:t xml:space="preserve"> 灵山县人民法院乡镇法庭LED大屏及视频监控系统采购项目    QZZC2020-C1-50012-GXCH  </w:t>
      </w:r>
    </w:p>
    <w:p>
      <w:pPr>
        <w:snapToGrid w:val="0"/>
        <w:spacing w:line="320" w:lineRule="exact"/>
        <w:rPr>
          <w:rFonts w:ascii="宋体"/>
          <w:bCs/>
          <w:color w:val="auto"/>
          <w:sz w:val="18"/>
          <w:szCs w:val="18"/>
          <w:u w:val="single"/>
        </w:rPr>
      </w:pPr>
      <w:r>
        <w:rPr>
          <w:rFonts w:hint="eastAsia" w:ascii="宋体"/>
          <w:bCs/>
          <w:color w:val="auto"/>
          <w:sz w:val="18"/>
          <w:szCs w:val="18"/>
        </w:rPr>
        <w:t>签 订 地 点：</w:t>
      </w:r>
      <w:r>
        <w:rPr>
          <w:rFonts w:hint="eastAsia" w:ascii="宋体"/>
          <w:bCs/>
          <w:color w:val="auto"/>
          <w:sz w:val="18"/>
          <w:szCs w:val="18"/>
          <w:u w:val="single"/>
        </w:rPr>
        <w:t xml:space="preserve">                                  </w:t>
      </w:r>
    </w:p>
    <w:p>
      <w:pPr>
        <w:snapToGrid w:val="0"/>
        <w:spacing w:line="320" w:lineRule="exact"/>
        <w:rPr>
          <w:rFonts w:ascii="宋体"/>
          <w:bCs/>
          <w:color w:val="auto"/>
          <w:sz w:val="18"/>
          <w:szCs w:val="18"/>
          <w:u w:val="single"/>
        </w:rPr>
      </w:pPr>
      <w:r>
        <w:rPr>
          <w:rFonts w:hint="eastAsia" w:ascii="宋体"/>
          <w:bCs/>
          <w:color w:val="auto"/>
          <w:sz w:val="18"/>
          <w:szCs w:val="18"/>
        </w:rPr>
        <w:t>签 订 时 间：</w:t>
      </w:r>
      <w:r>
        <w:rPr>
          <w:rFonts w:hint="eastAsia" w:ascii="宋体"/>
          <w:bCs/>
          <w:color w:val="auto"/>
          <w:sz w:val="18"/>
          <w:szCs w:val="18"/>
          <w:u w:val="single"/>
        </w:rPr>
        <w:t xml:space="preserve">                                  </w:t>
      </w:r>
    </w:p>
    <w:p>
      <w:pPr>
        <w:snapToGrid w:val="0"/>
        <w:spacing w:line="320" w:lineRule="exact"/>
        <w:ind w:firstLine="360" w:firstLineChars="200"/>
        <w:rPr>
          <w:rFonts w:ascii="宋体"/>
          <w:bCs/>
          <w:color w:val="auto"/>
          <w:sz w:val="18"/>
          <w:szCs w:val="18"/>
        </w:rPr>
      </w:pPr>
      <w:r>
        <w:rPr>
          <w:rFonts w:hint="eastAsia" w:ascii="宋体"/>
          <w:bCs/>
          <w:color w:val="auto"/>
          <w:sz w:val="18"/>
          <w:szCs w:val="18"/>
        </w:rPr>
        <w:t>根据《中华人民共和国政府采购法》、《中华人民共和国合同法》等法律、法规规定，按照招竞标文件（采购文件）规定条款和中标（成交）供应商承诺，甲乙双方签订本合同。</w:t>
      </w:r>
    </w:p>
    <w:p>
      <w:pPr>
        <w:snapToGrid w:val="0"/>
        <w:spacing w:line="320" w:lineRule="exact"/>
        <w:ind w:firstLine="420"/>
        <w:rPr>
          <w:rFonts w:ascii="宋体"/>
          <w:b/>
          <w:bCs/>
          <w:color w:val="auto"/>
          <w:sz w:val="18"/>
          <w:szCs w:val="18"/>
        </w:rPr>
      </w:pPr>
      <w:r>
        <w:rPr>
          <w:rFonts w:hint="eastAsia" w:ascii="宋体"/>
          <w:b/>
          <w:bCs/>
          <w:color w:val="auto"/>
          <w:sz w:val="18"/>
          <w:szCs w:val="18"/>
        </w:rPr>
        <w:t>第一条  合同标的</w:t>
      </w:r>
    </w:p>
    <w:p>
      <w:pPr>
        <w:numPr>
          <w:ilvl w:val="0"/>
          <w:numId w:val="7"/>
        </w:numPr>
        <w:snapToGrid w:val="0"/>
        <w:spacing w:line="320" w:lineRule="exact"/>
        <w:rPr>
          <w:rFonts w:ascii="宋体"/>
          <w:bCs/>
          <w:color w:val="auto"/>
          <w:sz w:val="18"/>
          <w:szCs w:val="18"/>
        </w:rPr>
      </w:pPr>
      <w:r>
        <w:rPr>
          <w:rFonts w:hint="eastAsia" w:ascii="宋体"/>
          <w:bCs/>
          <w:color w:val="auto"/>
          <w:sz w:val="18"/>
          <w:szCs w:val="18"/>
        </w:rPr>
        <w:t>供货一览表</w:t>
      </w:r>
    </w:p>
    <w:p>
      <w:pPr>
        <w:snapToGrid w:val="0"/>
        <w:spacing w:line="320" w:lineRule="exact"/>
        <w:ind w:left="420"/>
        <w:rPr>
          <w:rFonts w:ascii="宋体"/>
          <w:bCs/>
          <w:color w:val="auto"/>
          <w:sz w:val="18"/>
          <w:szCs w:val="18"/>
        </w:rPr>
      </w:pPr>
    </w:p>
    <w:tbl>
      <w:tblPr>
        <w:tblStyle w:val="42"/>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95"/>
        <w:gridCol w:w="1096"/>
        <w:gridCol w:w="1096"/>
        <w:gridCol w:w="1096"/>
        <w:gridCol w:w="1096"/>
        <w:gridCol w:w="1096"/>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vAlign w:val="center"/>
          </w:tcPr>
          <w:p>
            <w:pPr>
              <w:snapToGrid w:val="0"/>
              <w:spacing w:line="320" w:lineRule="exact"/>
              <w:jc w:val="center"/>
              <w:rPr>
                <w:rFonts w:ascii="宋体" w:cs="Courier New"/>
                <w:color w:val="auto"/>
                <w:sz w:val="18"/>
                <w:szCs w:val="18"/>
                <w:highlight w:val="none"/>
              </w:rPr>
            </w:pPr>
            <w:r>
              <w:rPr>
                <w:rFonts w:hint="eastAsia" w:ascii="宋体" w:cs="Courier New"/>
                <w:color w:val="auto"/>
                <w:sz w:val="18"/>
                <w:szCs w:val="18"/>
                <w:highlight w:val="none"/>
              </w:rPr>
              <w:t>序号</w:t>
            </w:r>
          </w:p>
        </w:tc>
        <w:tc>
          <w:tcPr>
            <w:tcW w:w="1095" w:type="dxa"/>
            <w:vAlign w:val="center"/>
          </w:tcPr>
          <w:p>
            <w:pPr>
              <w:snapToGrid w:val="0"/>
              <w:spacing w:line="320" w:lineRule="exact"/>
              <w:jc w:val="center"/>
              <w:rPr>
                <w:rFonts w:ascii="宋体" w:cs="Courier New"/>
                <w:color w:val="auto"/>
                <w:sz w:val="18"/>
                <w:szCs w:val="18"/>
                <w:highlight w:val="none"/>
              </w:rPr>
            </w:pPr>
            <w:r>
              <w:rPr>
                <w:rFonts w:hint="eastAsia" w:ascii="宋体" w:cs="Courier New"/>
                <w:color w:val="auto"/>
                <w:sz w:val="18"/>
                <w:szCs w:val="18"/>
                <w:highlight w:val="none"/>
              </w:rPr>
              <w:t>产品名称</w:t>
            </w:r>
          </w:p>
        </w:tc>
        <w:tc>
          <w:tcPr>
            <w:tcW w:w="1096" w:type="dxa"/>
            <w:vAlign w:val="center"/>
          </w:tcPr>
          <w:p>
            <w:pPr>
              <w:snapToGrid w:val="0"/>
              <w:spacing w:line="320" w:lineRule="exact"/>
              <w:jc w:val="center"/>
              <w:rPr>
                <w:rFonts w:ascii="宋体" w:cs="Courier New"/>
                <w:color w:val="auto"/>
                <w:sz w:val="18"/>
                <w:szCs w:val="18"/>
                <w:highlight w:val="none"/>
              </w:rPr>
            </w:pPr>
            <w:r>
              <w:rPr>
                <w:rFonts w:hint="eastAsia" w:ascii="宋体" w:cs="Courier New"/>
                <w:color w:val="auto"/>
                <w:sz w:val="18"/>
                <w:szCs w:val="18"/>
                <w:highlight w:val="none"/>
              </w:rPr>
              <w:t>规格型号</w:t>
            </w:r>
          </w:p>
        </w:tc>
        <w:tc>
          <w:tcPr>
            <w:tcW w:w="1096" w:type="dxa"/>
            <w:vAlign w:val="center"/>
          </w:tcPr>
          <w:p>
            <w:pPr>
              <w:snapToGrid w:val="0"/>
              <w:spacing w:line="320" w:lineRule="exact"/>
              <w:jc w:val="center"/>
              <w:rPr>
                <w:rFonts w:ascii="宋体" w:cs="Courier New"/>
                <w:color w:val="auto"/>
                <w:sz w:val="18"/>
                <w:szCs w:val="18"/>
                <w:highlight w:val="none"/>
              </w:rPr>
            </w:pPr>
            <w:r>
              <w:rPr>
                <w:rFonts w:hint="eastAsia" w:ascii="宋体" w:cs="Courier New"/>
                <w:color w:val="auto"/>
                <w:sz w:val="18"/>
                <w:szCs w:val="18"/>
                <w:highlight w:val="none"/>
              </w:rPr>
              <w:t>生产厂家</w:t>
            </w:r>
          </w:p>
        </w:tc>
        <w:tc>
          <w:tcPr>
            <w:tcW w:w="1096" w:type="dxa"/>
            <w:vAlign w:val="center"/>
          </w:tcPr>
          <w:p>
            <w:pPr>
              <w:snapToGrid w:val="0"/>
              <w:spacing w:line="320" w:lineRule="exact"/>
              <w:jc w:val="center"/>
              <w:rPr>
                <w:rFonts w:ascii="宋体" w:cs="Courier New"/>
                <w:color w:val="auto"/>
                <w:sz w:val="18"/>
                <w:szCs w:val="18"/>
                <w:highlight w:val="none"/>
              </w:rPr>
            </w:pPr>
            <w:r>
              <w:rPr>
                <w:rFonts w:hint="eastAsia" w:ascii="宋体" w:cs="Courier New"/>
                <w:color w:val="auto"/>
                <w:sz w:val="18"/>
                <w:szCs w:val="18"/>
                <w:highlight w:val="none"/>
              </w:rPr>
              <w:t>数量</w:t>
            </w:r>
          </w:p>
        </w:tc>
        <w:tc>
          <w:tcPr>
            <w:tcW w:w="1096" w:type="dxa"/>
            <w:vAlign w:val="center"/>
          </w:tcPr>
          <w:p>
            <w:pPr>
              <w:snapToGrid w:val="0"/>
              <w:spacing w:line="320" w:lineRule="exact"/>
              <w:jc w:val="center"/>
              <w:rPr>
                <w:rFonts w:ascii="宋体" w:cs="Courier New"/>
                <w:color w:val="auto"/>
                <w:sz w:val="18"/>
                <w:szCs w:val="18"/>
                <w:highlight w:val="none"/>
              </w:rPr>
            </w:pPr>
            <w:r>
              <w:rPr>
                <w:rFonts w:hint="eastAsia" w:ascii="宋体" w:cs="Courier New"/>
                <w:color w:val="auto"/>
                <w:sz w:val="18"/>
                <w:szCs w:val="18"/>
                <w:highlight w:val="none"/>
              </w:rPr>
              <w:t>单位</w:t>
            </w:r>
          </w:p>
        </w:tc>
        <w:tc>
          <w:tcPr>
            <w:tcW w:w="1096" w:type="dxa"/>
            <w:vAlign w:val="center"/>
          </w:tcPr>
          <w:p>
            <w:pPr>
              <w:snapToGrid w:val="0"/>
              <w:spacing w:line="320" w:lineRule="exact"/>
              <w:jc w:val="center"/>
              <w:rPr>
                <w:rFonts w:ascii="宋体" w:cs="Courier New"/>
                <w:color w:val="auto"/>
                <w:sz w:val="18"/>
                <w:szCs w:val="18"/>
                <w:highlight w:val="none"/>
              </w:rPr>
            </w:pPr>
            <w:r>
              <w:rPr>
                <w:rFonts w:hint="eastAsia" w:ascii="宋体" w:cs="Courier New"/>
                <w:color w:val="auto"/>
                <w:sz w:val="18"/>
                <w:szCs w:val="18"/>
                <w:highlight w:val="none"/>
              </w:rPr>
              <w:t>单价</w:t>
            </w:r>
          </w:p>
          <w:p>
            <w:pPr>
              <w:snapToGrid w:val="0"/>
              <w:spacing w:line="320" w:lineRule="exact"/>
              <w:jc w:val="center"/>
              <w:rPr>
                <w:rFonts w:ascii="宋体" w:cs="Courier New"/>
                <w:color w:val="auto"/>
                <w:sz w:val="18"/>
                <w:szCs w:val="18"/>
                <w:highlight w:val="none"/>
              </w:rPr>
            </w:pPr>
            <w:r>
              <w:rPr>
                <w:rFonts w:hint="eastAsia" w:ascii="宋体" w:cs="Courier New"/>
                <w:color w:val="auto"/>
                <w:sz w:val="18"/>
                <w:szCs w:val="18"/>
                <w:highlight w:val="none"/>
              </w:rPr>
              <w:t>（元）</w:t>
            </w:r>
          </w:p>
        </w:tc>
        <w:tc>
          <w:tcPr>
            <w:tcW w:w="1090" w:type="dxa"/>
            <w:vAlign w:val="center"/>
          </w:tcPr>
          <w:p>
            <w:pPr>
              <w:snapToGrid w:val="0"/>
              <w:spacing w:line="320" w:lineRule="exact"/>
              <w:jc w:val="center"/>
              <w:rPr>
                <w:rFonts w:ascii="宋体" w:cs="Courier New"/>
                <w:color w:val="auto"/>
                <w:sz w:val="18"/>
                <w:szCs w:val="18"/>
                <w:highlight w:val="none"/>
              </w:rPr>
            </w:pPr>
            <w:r>
              <w:rPr>
                <w:rFonts w:hint="eastAsia" w:ascii="宋体" w:cs="Courier New"/>
                <w:color w:val="auto"/>
                <w:sz w:val="18"/>
                <w:szCs w:val="18"/>
                <w:highlight w:val="none"/>
              </w:rPr>
              <w:t>金额</w:t>
            </w:r>
          </w:p>
          <w:p>
            <w:pPr>
              <w:snapToGrid w:val="0"/>
              <w:spacing w:line="320" w:lineRule="exact"/>
              <w:jc w:val="center"/>
              <w:rPr>
                <w:rFonts w:ascii="宋体" w:cs="Courier New"/>
                <w:color w:val="auto"/>
                <w:sz w:val="18"/>
                <w:szCs w:val="18"/>
                <w:highlight w:val="none"/>
              </w:rPr>
            </w:pPr>
            <w:r>
              <w:rPr>
                <w:rFonts w:hint="eastAsia" w:ascii="宋体" w:cs="Courier New"/>
                <w:color w:val="auto"/>
                <w:sz w:val="18"/>
                <w:szCs w:val="1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vAlign w:val="center"/>
          </w:tcPr>
          <w:p>
            <w:pPr>
              <w:snapToGrid w:val="0"/>
              <w:spacing w:line="320" w:lineRule="exact"/>
              <w:jc w:val="center"/>
              <w:rPr>
                <w:rFonts w:ascii="宋体" w:cs="Courier New"/>
                <w:color w:val="auto"/>
                <w:sz w:val="18"/>
                <w:szCs w:val="18"/>
                <w:highlight w:val="none"/>
              </w:rPr>
            </w:pPr>
            <w:r>
              <w:rPr>
                <w:rFonts w:hint="eastAsia" w:ascii="宋体" w:cs="Courier New"/>
                <w:color w:val="auto"/>
                <w:sz w:val="18"/>
                <w:szCs w:val="18"/>
                <w:highlight w:val="none"/>
              </w:rPr>
              <w:t>1</w:t>
            </w:r>
          </w:p>
        </w:tc>
        <w:tc>
          <w:tcPr>
            <w:tcW w:w="1095" w:type="dxa"/>
            <w:vAlign w:val="center"/>
          </w:tcPr>
          <w:p>
            <w:pPr>
              <w:snapToGrid w:val="0"/>
              <w:spacing w:line="320" w:lineRule="exact"/>
              <w:jc w:val="center"/>
              <w:rPr>
                <w:rFonts w:ascii="宋体" w:cs="Courier New"/>
                <w:color w:val="auto"/>
                <w:sz w:val="18"/>
                <w:szCs w:val="18"/>
                <w:highlight w:val="none"/>
              </w:rPr>
            </w:pPr>
          </w:p>
        </w:tc>
        <w:tc>
          <w:tcPr>
            <w:tcW w:w="1096" w:type="dxa"/>
            <w:vAlign w:val="center"/>
          </w:tcPr>
          <w:p>
            <w:pPr>
              <w:snapToGrid w:val="0"/>
              <w:spacing w:line="320" w:lineRule="exact"/>
              <w:jc w:val="center"/>
              <w:rPr>
                <w:rFonts w:ascii="宋体" w:cs="Courier New"/>
                <w:color w:val="auto"/>
                <w:sz w:val="18"/>
                <w:szCs w:val="18"/>
                <w:highlight w:val="none"/>
              </w:rPr>
            </w:pPr>
          </w:p>
        </w:tc>
        <w:tc>
          <w:tcPr>
            <w:tcW w:w="1096" w:type="dxa"/>
            <w:vAlign w:val="center"/>
          </w:tcPr>
          <w:p>
            <w:pPr>
              <w:snapToGrid w:val="0"/>
              <w:spacing w:line="320" w:lineRule="exact"/>
              <w:jc w:val="center"/>
              <w:rPr>
                <w:rFonts w:ascii="宋体" w:cs="Courier New"/>
                <w:color w:val="auto"/>
                <w:sz w:val="18"/>
                <w:szCs w:val="18"/>
                <w:highlight w:val="none"/>
              </w:rPr>
            </w:pPr>
          </w:p>
        </w:tc>
        <w:tc>
          <w:tcPr>
            <w:tcW w:w="1096" w:type="dxa"/>
            <w:vAlign w:val="center"/>
          </w:tcPr>
          <w:p>
            <w:pPr>
              <w:snapToGrid w:val="0"/>
              <w:spacing w:line="320" w:lineRule="exact"/>
              <w:jc w:val="center"/>
              <w:rPr>
                <w:rFonts w:ascii="宋体" w:cs="Courier New"/>
                <w:color w:val="auto"/>
                <w:sz w:val="18"/>
                <w:szCs w:val="18"/>
                <w:highlight w:val="none"/>
              </w:rPr>
            </w:pPr>
          </w:p>
        </w:tc>
        <w:tc>
          <w:tcPr>
            <w:tcW w:w="1096" w:type="dxa"/>
            <w:vAlign w:val="center"/>
          </w:tcPr>
          <w:p>
            <w:pPr>
              <w:snapToGrid w:val="0"/>
              <w:spacing w:line="320" w:lineRule="exact"/>
              <w:jc w:val="center"/>
              <w:rPr>
                <w:rFonts w:ascii="宋体" w:cs="Courier New"/>
                <w:color w:val="auto"/>
                <w:sz w:val="18"/>
                <w:szCs w:val="18"/>
                <w:highlight w:val="none"/>
              </w:rPr>
            </w:pPr>
          </w:p>
        </w:tc>
        <w:tc>
          <w:tcPr>
            <w:tcW w:w="1096" w:type="dxa"/>
            <w:vAlign w:val="center"/>
          </w:tcPr>
          <w:p>
            <w:pPr>
              <w:snapToGrid w:val="0"/>
              <w:spacing w:line="320" w:lineRule="exact"/>
              <w:jc w:val="center"/>
              <w:rPr>
                <w:rFonts w:ascii="宋体" w:cs="Courier New"/>
                <w:color w:val="auto"/>
                <w:sz w:val="18"/>
                <w:szCs w:val="18"/>
                <w:highlight w:val="none"/>
              </w:rPr>
            </w:pPr>
          </w:p>
        </w:tc>
        <w:tc>
          <w:tcPr>
            <w:tcW w:w="1090" w:type="dxa"/>
            <w:vAlign w:val="center"/>
          </w:tcPr>
          <w:p>
            <w:pPr>
              <w:snapToGrid w:val="0"/>
              <w:spacing w:line="320" w:lineRule="exact"/>
              <w:jc w:val="center"/>
              <w:rPr>
                <w:rFonts w:ascii="宋体" w:cs="Courier New"/>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vAlign w:val="center"/>
          </w:tcPr>
          <w:p>
            <w:pPr>
              <w:snapToGrid w:val="0"/>
              <w:spacing w:line="320" w:lineRule="exact"/>
              <w:jc w:val="center"/>
              <w:rPr>
                <w:rFonts w:ascii="宋体" w:cs="Courier New"/>
                <w:color w:val="auto"/>
                <w:sz w:val="18"/>
                <w:szCs w:val="18"/>
                <w:highlight w:val="none"/>
              </w:rPr>
            </w:pPr>
            <w:r>
              <w:rPr>
                <w:rFonts w:hint="eastAsia" w:ascii="宋体" w:cs="Courier New"/>
                <w:color w:val="auto"/>
                <w:sz w:val="18"/>
                <w:szCs w:val="18"/>
                <w:highlight w:val="none"/>
              </w:rPr>
              <w:t>2</w:t>
            </w:r>
          </w:p>
        </w:tc>
        <w:tc>
          <w:tcPr>
            <w:tcW w:w="1095" w:type="dxa"/>
            <w:vAlign w:val="center"/>
          </w:tcPr>
          <w:p>
            <w:pPr>
              <w:snapToGrid w:val="0"/>
              <w:spacing w:line="320" w:lineRule="exact"/>
              <w:jc w:val="center"/>
              <w:rPr>
                <w:rFonts w:ascii="宋体" w:cs="Courier New"/>
                <w:color w:val="auto"/>
                <w:sz w:val="18"/>
                <w:szCs w:val="18"/>
                <w:highlight w:val="none"/>
              </w:rPr>
            </w:pPr>
          </w:p>
        </w:tc>
        <w:tc>
          <w:tcPr>
            <w:tcW w:w="1096" w:type="dxa"/>
            <w:vAlign w:val="center"/>
          </w:tcPr>
          <w:p>
            <w:pPr>
              <w:snapToGrid w:val="0"/>
              <w:spacing w:line="320" w:lineRule="exact"/>
              <w:jc w:val="center"/>
              <w:rPr>
                <w:rFonts w:ascii="宋体" w:cs="Courier New"/>
                <w:color w:val="auto"/>
                <w:sz w:val="18"/>
                <w:szCs w:val="18"/>
                <w:highlight w:val="none"/>
              </w:rPr>
            </w:pPr>
          </w:p>
        </w:tc>
        <w:tc>
          <w:tcPr>
            <w:tcW w:w="1096" w:type="dxa"/>
            <w:vAlign w:val="center"/>
          </w:tcPr>
          <w:p>
            <w:pPr>
              <w:snapToGrid w:val="0"/>
              <w:spacing w:line="320" w:lineRule="exact"/>
              <w:jc w:val="center"/>
              <w:rPr>
                <w:rFonts w:ascii="宋体" w:cs="Courier New"/>
                <w:color w:val="auto"/>
                <w:sz w:val="18"/>
                <w:szCs w:val="18"/>
                <w:highlight w:val="none"/>
              </w:rPr>
            </w:pPr>
          </w:p>
        </w:tc>
        <w:tc>
          <w:tcPr>
            <w:tcW w:w="1096" w:type="dxa"/>
            <w:vAlign w:val="center"/>
          </w:tcPr>
          <w:p>
            <w:pPr>
              <w:snapToGrid w:val="0"/>
              <w:spacing w:line="320" w:lineRule="exact"/>
              <w:jc w:val="center"/>
              <w:rPr>
                <w:rFonts w:ascii="宋体" w:cs="Courier New"/>
                <w:color w:val="auto"/>
                <w:sz w:val="18"/>
                <w:szCs w:val="18"/>
                <w:highlight w:val="none"/>
              </w:rPr>
            </w:pPr>
          </w:p>
        </w:tc>
        <w:tc>
          <w:tcPr>
            <w:tcW w:w="1096" w:type="dxa"/>
            <w:vAlign w:val="center"/>
          </w:tcPr>
          <w:p>
            <w:pPr>
              <w:snapToGrid w:val="0"/>
              <w:spacing w:line="320" w:lineRule="exact"/>
              <w:jc w:val="center"/>
              <w:rPr>
                <w:rFonts w:ascii="宋体" w:cs="Courier New"/>
                <w:color w:val="auto"/>
                <w:sz w:val="18"/>
                <w:szCs w:val="18"/>
                <w:highlight w:val="none"/>
              </w:rPr>
            </w:pPr>
          </w:p>
        </w:tc>
        <w:tc>
          <w:tcPr>
            <w:tcW w:w="1096" w:type="dxa"/>
            <w:vAlign w:val="center"/>
          </w:tcPr>
          <w:p>
            <w:pPr>
              <w:snapToGrid w:val="0"/>
              <w:spacing w:line="320" w:lineRule="exact"/>
              <w:jc w:val="center"/>
              <w:rPr>
                <w:rFonts w:ascii="宋体" w:cs="Courier New"/>
                <w:color w:val="auto"/>
                <w:sz w:val="18"/>
                <w:szCs w:val="18"/>
                <w:highlight w:val="none"/>
              </w:rPr>
            </w:pPr>
          </w:p>
        </w:tc>
        <w:tc>
          <w:tcPr>
            <w:tcW w:w="1090" w:type="dxa"/>
            <w:vAlign w:val="center"/>
          </w:tcPr>
          <w:p>
            <w:pPr>
              <w:snapToGrid w:val="0"/>
              <w:spacing w:line="320" w:lineRule="exact"/>
              <w:jc w:val="center"/>
              <w:rPr>
                <w:rFonts w:ascii="宋体" w:cs="Courier New"/>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vAlign w:val="center"/>
          </w:tcPr>
          <w:p>
            <w:pPr>
              <w:snapToGrid w:val="0"/>
              <w:spacing w:line="320" w:lineRule="exact"/>
              <w:jc w:val="center"/>
              <w:rPr>
                <w:rFonts w:ascii="宋体" w:cs="Courier New"/>
                <w:color w:val="auto"/>
                <w:sz w:val="18"/>
                <w:szCs w:val="18"/>
                <w:highlight w:val="none"/>
              </w:rPr>
            </w:pPr>
            <w:r>
              <w:rPr>
                <w:rFonts w:hint="eastAsia" w:ascii="宋体" w:cs="Courier New"/>
                <w:color w:val="auto"/>
                <w:sz w:val="18"/>
                <w:szCs w:val="18"/>
                <w:highlight w:val="none"/>
              </w:rPr>
              <w:t>3</w:t>
            </w:r>
          </w:p>
        </w:tc>
        <w:tc>
          <w:tcPr>
            <w:tcW w:w="1095" w:type="dxa"/>
            <w:vAlign w:val="center"/>
          </w:tcPr>
          <w:p>
            <w:pPr>
              <w:snapToGrid w:val="0"/>
              <w:spacing w:line="320" w:lineRule="exact"/>
              <w:jc w:val="center"/>
              <w:rPr>
                <w:rFonts w:ascii="宋体" w:cs="Courier New"/>
                <w:color w:val="auto"/>
                <w:sz w:val="18"/>
                <w:szCs w:val="18"/>
                <w:highlight w:val="none"/>
              </w:rPr>
            </w:pPr>
          </w:p>
        </w:tc>
        <w:tc>
          <w:tcPr>
            <w:tcW w:w="1096" w:type="dxa"/>
            <w:vAlign w:val="center"/>
          </w:tcPr>
          <w:p>
            <w:pPr>
              <w:snapToGrid w:val="0"/>
              <w:spacing w:line="320" w:lineRule="exact"/>
              <w:jc w:val="center"/>
              <w:rPr>
                <w:rFonts w:ascii="宋体" w:cs="Courier New"/>
                <w:color w:val="auto"/>
                <w:sz w:val="18"/>
                <w:szCs w:val="18"/>
                <w:highlight w:val="none"/>
              </w:rPr>
            </w:pPr>
          </w:p>
        </w:tc>
        <w:tc>
          <w:tcPr>
            <w:tcW w:w="1096" w:type="dxa"/>
            <w:vAlign w:val="center"/>
          </w:tcPr>
          <w:p>
            <w:pPr>
              <w:snapToGrid w:val="0"/>
              <w:spacing w:line="320" w:lineRule="exact"/>
              <w:jc w:val="center"/>
              <w:rPr>
                <w:rFonts w:ascii="宋体" w:cs="Courier New"/>
                <w:color w:val="auto"/>
                <w:sz w:val="18"/>
                <w:szCs w:val="18"/>
                <w:highlight w:val="none"/>
              </w:rPr>
            </w:pPr>
          </w:p>
        </w:tc>
        <w:tc>
          <w:tcPr>
            <w:tcW w:w="1096" w:type="dxa"/>
            <w:vAlign w:val="center"/>
          </w:tcPr>
          <w:p>
            <w:pPr>
              <w:snapToGrid w:val="0"/>
              <w:spacing w:line="320" w:lineRule="exact"/>
              <w:jc w:val="center"/>
              <w:rPr>
                <w:rFonts w:ascii="宋体" w:cs="Courier New"/>
                <w:color w:val="auto"/>
                <w:sz w:val="18"/>
                <w:szCs w:val="18"/>
                <w:highlight w:val="none"/>
              </w:rPr>
            </w:pPr>
          </w:p>
        </w:tc>
        <w:tc>
          <w:tcPr>
            <w:tcW w:w="1096" w:type="dxa"/>
            <w:vAlign w:val="center"/>
          </w:tcPr>
          <w:p>
            <w:pPr>
              <w:snapToGrid w:val="0"/>
              <w:spacing w:line="320" w:lineRule="exact"/>
              <w:jc w:val="center"/>
              <w:rPr>
                <w:rFonts w:ascii="宋体" w:cs="Courier New"/>
                <w:color w:val="auto"/>
                <w:sz w:val="18"/>
                <w:szCs w:val="18"/>
                <w:highlight w:val="none"/>
              </w:rPr>
            </w:pPr>
          </w:p>
        </w:tc>
        <w:tc>
          <w:tcPr>
            <w:tcW w:w="1096" w:type="dxa"/>
            <w:vAlign w:val="center"/>
          </w:tcPr>
          <w:p>
            <w:pPr>
              <w:snapToGrid w:val="0"/>
              <w:spacing w:line="320" w:lineRule="exact"/>
              <w:jc w:val="center"/>
              <w:rPr>
                <w:rFonts w:ascii="宋体" w:cs="Courier New"/>
                <w:color w:val="auto"/>
                <w:sz w:val="18"/>
                <w:szCs w:val="18"/>
                <w:highlight w:val="none"/>
              </w:rPr>
            </w:pPr>
          </w:p>
        </w:tc>
        <w:tc>
          <w:tcPr>
            <w:tcW w:w="1090" w:type="dxa"/>
            <w:vAlign w:val="center"/>
          </w:tcPr>
          <w:p>
            <w:pPr>
              <w:snapToGrid w:val="0"/>
              <w:spacing w:line="320" w:lineRule="exact"/>
              <w:jc w:val="center"/>
              <w:rPr>
                <w:rFonts w:ascii="宋体" w:cs="Courier New"/>
                <w:color w:val="auto"/>
                <w:sz w:val="18"/>
                <w:szCs w:val="18"/>
                <w:highlight w:val="none"/>
              </w:rPr>
            </w:pPr>
          </w:p>
        </w:tc>
      </w:tr>
    </w:tbl>
    <w:p>
      <w:pPr>
        <w:snapToGrid w:val="0"/>
        <w:spacing w:line="320" w:lineRule="exact"/>
        <w:ind w:firstLine="420"/>
        <w:rPr>
          <w:rFonts w:ascii="宋体" w:cs="Courier New"/>
          <w:color w:val="auto"/>
          <w:sz w:val="18"/>
          <w:szCs w:val="18"/>
          <w:highlight w:val="none"/>
        </w:rPr>
      </w:pPr>
      <w:r>
        <w:rPr>
          <w:rFonts w:hint="eastAsia" w:ascii="宋体" w:cs="Courier New"/>
          <w:color w:val="auto"/>
          <w:sz w:val="18"/>
          <w:szCs w:val="18"/>
          <w:highlight w:val="none"/>
        </w:rPr>
        <w:t>2.合同合计金额包括货物价款，备件、专用工具、安装、调试、检验、技术培训及技术资料和包装、运输等全部费用。如招竞标文件对其另有规定的，从其规定。</w:t>
      </w:r>
    </w:p>
    <w:p>
      <w:pPr>
        <w:snapToGrid w:val="0"/>
        <w:spacing w:line="320" w:lineRule="exact"/>
        <w:ind w:firstLine="420"/>
        <w:rPr>
          <w:rFonts w:ascii="宋体" w:cs="Courier New"/>
          <w:b/>
          <w:color w:val="auto"/>
          <w:sz w:val="18"/>
          <w:szCs w:val="18"/>
        </w:rPr>
      </w:pPr>
      <w:r>
        <w:rPr>
          <w:rFonts w:hint="eastAsia" w:ascii="宋体" w:cs="Courier New"/>
          <w:b/>
          <w:color w:val="auto"/>
          <w:sz w:val="18"/>
          <w:szCs w:val="18"/>
          <w:highlight w:val="none"/>
        </w:rPr>
        <w:t>第二条  质量保证</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1.乙方所提供的货物型号、技术规格、技术参数等质量必须与招竞标文件和承诺相一致。乙方提供的节能和环保产品必须是列入政府采购清单的产品。</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2.乙方所提供的货物必须是全新、未使用的原装产品，且在正常安装、使用和保养条件下，其使用寿命期内各项指标均达到要求。</w:t>
      </w:r>
    </w:p>
    <w:p>
      <w:pPr>
        <w:snapToGrid w:val="0"/>
        <w:spacing w:line="320" w:lineRule="exact"/>
        <w:ind w:firstLine="420"/>
        <w:rPr>
          <w:rFonts w:ascii="宋体" w:cs="Courier New"/>
          <w:b/>
          <w:color w:val="auto"/>
          <w:sz w:val="18"/>
          <w:szCs w:val="18"/>
        </w:rPr>
      </w:pPr>
      <w:r>
        <w:rPr>
          <w:rFonts w:hint="eastAsia" w:ascii="宋体" w:cs="Courier New"/>
          <w:b/>
          <w:color w:val="auto"/>
          <w:sz w:val="18"/>
          <w:szCs w:val="18"/>
        </w:rPr>
        <w:t>第三条  权利保证</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乙方应保证所提供货物在使用时不会侵犯任何第三方的专利权、商标权、工业设计权或者其他权利。</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乙方应按采购文件规定的时间向甲方提供使用货物的有关技术资料。</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乙方保证所交付的货物的所有权完全属于乙方且无任何抵押、质押、查封等产权瑕疵。</w:t>
      </w:r>
    </w:p>
    <w:p>
      <w:pPr>
        <w:snapToGrid w:val="0"/>
        <w:spacing w:line="320" w:lineRule="exact"/>
        <w:ind w:firstLine="420"/>
        <w:rPr>
          <w:rFonts w:ascii="宋体" w:cs="Courier New"/>
          <w:b/>
          <w:color w:val="auto"/>
          <w:sz w:val="18"/>
          <w:szCs w:val="18"/>
        </w:rPr>
      </w:pPr>
      <w:r>
        <w:rPr>
          <w:rFonts w:hint="eastAsia" w:ascii="宋体" w:cs="Courier New"/>
          <w:b/>
          <w:color w:val="auto"/>
          <w:sz w:val="18"/>
          <w:szCs w:val="18"/>
        </w:rPr>
        <w:t>第四条  包装和运输</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1. 乙方提供的货物均应按照招竞标文件要求的包装材料、包装标准、包装方式进行包装，每一包装单元内应附详细的装箱单和质量合格证。</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2. 货物的运输方式：</w:t>
      </w:r>
      <w:r>
        <w:rPr>
          <w:rFonts w:hint="eastAsia" w:ascii="宋体" w:cs="Courier New"/>
          <w:color w:val="auto"/>
          <w:sz w:val="18"/>
          <w:szCs w:val="18"/>
          <w:u w:val="single"/>
        </w:rPr>
        <w:t xml:space="preserve">                                                             </w:t>
      </w:r>
      <w:r>
        <w:rPr>
          <w:rFonts w:hint="eastAsia" w:ascii="宋体" w:cs="Courier New"/>
          <w:color w:val="auto"/>
          <w:sz w:val="18"/>
          <w:szCs w:val="18"/>
        </w:rPr>
        <w:t>。</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3. 乙方负责将货物安全运送到甲方指定地点，运保费用由乙方承担，乙方不向甲方另收任何费用。</w:t>
      </w:r>
    </w:p>
    <w:p>
      <w:pPr>
        <w:snapToGrid w:val="0"/>
        <w:spacing w:line="320" w:lineRule="exact"/>
        <w:ind w:firstLine="420"/>
        <w:rPr>
          <w:rFonts w:ascii="宋体" w:cs="Courier New"/>
          <w:b/>
          <w:color w:val="auto"/>
          <w:sz w:val="18"/>
          <w:szCs w:val="18"/>
        </w:rPr>
      </w:pPr>
      <w:r>
        <w:rPr>
          <w:rFonts w:hint="eastAsia" w:ascii="宋体" w:cs="Courier New"/>
          <w:b/>
          <w:color w:val="auto"/>
          <w:sz w:val="18"/>
          <w:szCs w:val="18"/>
        </w:rPr>
        <w:t>第五条 交付和验收</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1. 交货时间：</w:t>
      </w:r>
      <w:r>
        <w:rPr>
          <w:rFonts w:hint="eastAsia" w:ascii="宋体" w:cs="Courier New"/>
          <w:color w:val="auto"/>
          <w:sz w:val="18"/>
          <w:szCs w:val="18"/>
          <w:u w:val="single"/>
        </w:rPr>
        <w:t xml:space="preserve">                                 </w:t>
      </w:r>
      <w:r>
        <w:rPr>
          <w:rFonts w:hint="eastAsia" w:ascii="宋体" w:cs="Courier New"/>
          <w:color w:val="auto"/>
          <w:sz w:val="18"/>
          <w:szCs w:val="18"/>
        </w:rPr>
        <w:t>、地点：</w:t>
      </w:r>
      <w:r>
        <w:rPr>
          <w:rFonts w:hint="eastAsia" w:ascii="宋体" w:cs="Courier New"/>
          <w:color w:val="auto"/>
          <w:sz w:val="18"/>
          <w:szCs w:val="18"/>
          <w:u w:val="single"/>
        </w:rPr>
        <w:t xml:space="preserve">                                 </w:t>
      </w:r>
      <w:r>
        <w:rPr>
          <w:rFonts w:hint="eastAsia" w:ascii="宋体" w:cs="Courier New"/>
          <w:color w:val="auto"/>
          <w:sz w:val="18"/>
          <w:szCs w:val="18"/>
        </w:rPr>
        <w:t>。</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2. 乙方提供不符合招竞标文件和本合同规定的货物，甲方有权拒绝接受。</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3. 乙方应将所提供货物的装箱清单、用户手册、原厂保修卡、随机资料、工具和备品、备件等交付给甲方，如有缺失应及时补齐，否则视为逾期交货。</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4.甲方应当在到货（安装、调试完）后七个工作日内进行验收，逾期不验收的，乙方可视同验收合格。验收合格后甲乙双方签署货物验收单并加盖采购单位公章，甲乙双方各执一份。</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5.采购单位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6. 甲方对验收有异议的，在验收后五个工作日内以书面形式向乙方提出，乙方应自收到甲方书面异议后</w:t>
      </w:r>
      <w:r>
        <w:rPr>
          <w:rFonts w:hint="eastAsia" w:ascii="宋体" w:cs="Courier New"/>
          <w:color w:val="auto"/>
          <w:sz w:val="18"/>
          <w:szCs w:val="18"/>
          <w:u w:val="single"/>
        </w:rPr>
        <w:t xml:space="preserve"> 5</w:t>
      </w:r>
      <w:r>
        <w:rPr>
          <w:rFonts w:hint="eastAsia" w:ascii="宋体" w:cs="Courier New"/>
          <w:color w:val="auto"/>
          <w:sz w:val="18"/>
          <w:szCs w:val="18"/>
        </w:rPr>
        <w:t>日内及时予以解决。</w:t>
      </w:r>
    </w:p>
    <w:p>
      <w:pPr>
        <w:snapToGrid w:val="0"/>
        <w:spacing w:line="320" w:lineRule="exact"/>
        <w:ind w:firstLine="420"/>
        <w:rPr>
          <w:rFonts w:ascii="宋体" w:cs="Courier New"/>
          <w:b/>
          <w:color w:val="auto"/>
          <w:sz w:val="18"/>
          <w:szCs w:val="18"/>
        </w:rPr>
      </w:pPr>
      <w:r>
        <w:rPr>
          <w:rFonts w:hint="eastAsia" w:ascii="宋体" w:cs="Courier New"/>
          <w:b/>
          <w:color w:val="auto"/>
          <w:sz w:val="18"/>
          <w:szCs w:val="18"/>
        </w:rPr>
        <w:t>第六条 安装和培训</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1.甲方应提供必要安装条件（如场地、电源、水源等）。</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2.乙方负责甲方有关人员的培训。培训时间、地点：</w:t>
      </w:r>
      <w:r>
        <w:rPr>
          <w:rFonts w:hint="eastAsia" w:ascii="宋体" w:cs="Courier New"/>
          <w:color w:val="auto"/>
          <w:sz w:val="18"/>
          <w:szCs w:val="18"/>
          <w:u w:val="single"/>
        </w:rPr>
        <w:t xml:space="preserve">    由甲方根据情况合理安排    </w:t>
      </w:r>
    </w:p>
    <w:p>
      <w:pPr>
        <w:snapToGrid w:val="0"/>
        <w:spacing w:line="320" w:lineRule="exact"/>
        <w:ind w:firstLine="420"/>
        <w:rPr>
          <w:rFonts w:ascii="宋体" w:cs="Courier New"/>
          <w:b/>
          <w:color w:val="auto"/>
          <w:sz w:val="18"/>
          <w:szCs w:val="18"/>
        </w:rPr>
      </w:pPr>
      <w:r>
        <w:rPr>
          <w:rFonts w:hint="eastAsia" w:ascii="宋体" w:cs="Courier New"/>
          <w:b/>
          <w:color w:val="auto"/>
          <w:sz w:val="18"/>
          <w:szCs w:val="18"/>
        </w:rPr>
        <w:t>第七条 售后服务、保修期</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1.乙方应按照国家有关法律法规和“三包”规定以及招竞标文件和本合同所附的《服务承诺》，为甲方提供售后服务。</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2. 货物保修期：</w:t>
      </w:r>
      <w:r>
        <w:rPr>
          <w:rFonts w:hint="eastAsia" w:ascii="宋体" w:cs="Courier New"/>
          <w:color w:val="auto"/>
          <w:sz w:val="18"/>
          <w:szCs w:val="18"/>
          <w:u w:val="single"/>
        </w:rPr>
        <w:t xml:space="preserve">        按竞标文件的承诺               </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3.甲方提供的服务承诺和售后服务及保修期责任等其它具体约定事项。（见合同附件）</w:t>
      </w:r>
    </w:p>
    <w:p>
      <w:pPr>
        <w:snapToGrid w:val="0"/>
        <w:spacing w:line="320" w:lineRule="exact"/>
        <w:ind w:firstLine="420"/>
        <w:rPr>
          <w:rFonts w:ascii="宋体" w:cs="Courier New"/>
          <w:b/>
          <w:color w:val="auto"/>
          <w:sz w:val="18"/>
          <w:szCs w:val="18"/>
        </w:rPr>
      </w:pPr>
      <w:r>
        <w:rPr>
          <w:rFonts w:hint="eastAsia" w:ascii="宋体" w:cs="Courier New"/>
          <w:b/>
          <w:color w:val="auto"/>
          <w:sz w:val="18"/>
          <w:szCs w:val="18"/>
        </w:rPr>
        <w:t>第八条 付款方式和保证金</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1.当采购数量与实际使用数量不一致时，乙方应根据实际使用量供货，合格的最终结算金额按实际使用量乘以成交单价进行计算。</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2.资金性质：专项资金</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3.付款方式：</w:t>
      </w:r>
      <w:r>
        <w:rPr>
          <w:rFonts w:hint="eastAsia" w:ascii="宋体"/>
          <w:color w:val="auto"/>
          <w:sz w:val="18"/>
          <w:szCs w:val="18"/>
        </w:rPr>
        <w:t>详见</w:t>
      </w:r>
      <w:r>
        <w:rPr>
          <w:rFonts w:hint="eastAsia" w:ascii="宋体" w:cs="Courier New"/>
          <w:color w:val="auto"/>
          <w:sz w:val="18"/>
          <w:szCs w:val="18"/>
        </w:rPr>
        <w:t xml:space="preserve"> 《招标项目采购需求》表</w:t>
      </w:r>
    </w:p>
    <w:p>
      <w:pPr>
        <w:snapToGrid w:val="0"/>
        <w:ind w:firstLine="361" w:firstLineChars="200"/>
        <w:rPr>
          <w:rFonts w:ascii="宋体" w:cs="Courier New"/>
          <w:b/>
          <w:color w:val="auto"/>
          <w:sz w:val="18"/>
          <w:szCs w:val="18"/>
        </w:rPr>
      </w:pPr>
      <w:r>
        <w:rPr>
          <w:rFonts w:hint="eastAsia" w:ascii="宋体" w:cs="Courier New"/>
          <w:b/>
          <w:color w:val="auto"/>
          <w:sz w:val="18"/>
          <w:szCs w:val="18"/>
        </w:rPr>
        <w:t>第九条 税费</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本合同执行中相关的一切税费均由乙方负担。</w:t>
      </w:r>
    </w:p>
    <w:p>
      <w:pPr>
        <w:snapToGrid w:val="0"/>
        <w:spacing w:line="320" w:lineRule="exact"/>
        <w:ind w:firstLine="420"/>
        <w:rPr>
          <w:rFonts w:ascii="宋体" w:cs="Courier New"/>
          <w:b/>
          <w:color w:val="auto"/>
          <w:sz w:val="18"/>
          <w:szCs w:val="18"/>
        </w:rPr>
      </w:pPr>
      <w:r>
        <w:rPr>
          <w:rFonts w:hint="eastAsia" w:ascii="宋体" w:cs="Courier New"/>
          <w:b/>
          <w:color w:val="auto"/>
          <w:sz w:val="18"/>
          <w:szCs w:val="18"/>
        </w:rPr>
        <w:t>第十条 质量保证及售后服务</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1.乙方应按采购文件规定的货物性能、技术要求、质量标准向甲方提供未经使用的全新产品。根据实际情况，经双方协商，可按以下办法处理：</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（1）更换：由乙方承担所发生的全部费用。</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（2）贬值处理：由甲乙双方合议定价。</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（3）退货处理：乙方应退还甲方支付的合同款，同时应承担该货物的直接费用（运输、保险、检验、贷款利息及银行手续费等）。</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2.如在使用过程中发生质量问题，乙方在接甲方通知后</w:t>
      </w:r>
      <w:r>
        <w:rPr>
          <w:rFonts w:hint="eastAsia" w:ascii="宋体" w:cs="Courier New"/>
          <w:color w:val="auto"/>
          <w:sz w:val="18"/>
          <w:szCs w:val="18"/>
          <w:u w:val="single"/>
        </w:rPr>
        <w:t xml:space="preserve">      </w:t>
      </w:r>
      <w:r>
        <w:rPr>
          <w:rFonts w:hint="eastAsia" w:ascii="宋体" w:cs="Courier New"/>
          <w:color w:val="auto"/>
          <w:sz w:val="18"/>
          <w:szCs w:val="18"/>
        </w:rPr>
        <w:t>小时内到达甲方现场处理。</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3.在质保期内，乙方应对货物出现的质量及安全问题负责处理解决并承担一切费用。</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4.上述的货物免费保修期限按竞标文件的承诺期限，因人为因素出现的故障不在免费保修范围内。超过保修期的机器设备，终身维修，维修时只收部件成本费。</w:t>
      </w:r>
    </w:p>
    <w:p>
      <w:pPr>
        <w:snapToGrid w:val="0"/>
        <w:spacing w:line="320" w:lineRule="exact"/>
        <w:ind w:firstLine="420"/>
        <w:rPr>
          <w:rFonts w:ascii="宋体" w:cs="Courier New"/>
          <w:b/>
          <w:color w:val="auto"/>
          <w:sz w:val="18"/>
          <w:szCs w:val="18"/>
        </w:rPr>
      </w:pPr>
      <w:r>
        <w:rPr>
          <w:rFonts w:hint="eastAsia" w:ascii="宋体" w:cs="Courier New"/>
          <w:b/>
          <w:color w:val="auto"/>
          <w:sz w:val="18"/>
          <w:szCs w:val="18"/>
        </w:rPr>
        <w:t>第十一条 调试和验收</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1.甲方对乙方提交的货物依据采购文件上的技术规格要求和国家有关质量标准进行现场初步验收，外观、说明书符合采购文件技术要求的，给予签收，初步验收不合格的不予签收。货到后，甲方应当在到货（安装、调试完）后七个工作日内进行验收。</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2.乙方交货前应对产品作出全面检查和验收文件进行整理，并列出清单，作为甲方收货验收和使用的技术调节依据，检验的结果应随货物交甲方。</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3.甲方对乙方提供的货物在使用前进行调试时，乙方需负责安装并培训甲方的使用操作人员，并协助甲方一起调试，直到符合技术要求，甲方才做最终验收。</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4.对技术复杂的货物，甲方应请国家认可的专业检测机构参与初步验收及最终验收，并由其出具质量检测报告。</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5.验收时乙方必须在现场，验收完毕后作出验收结果报告；验收费用由乙方负责。</w:t>
      </w:r>
    </w:p>
    <w:p>
      <w:pPr>
        <w:snapToGrid w:val="0"/>
        <w:spacing w:line="320" w:lineRule="exact"/>
        <w:ind w:firstLine="420"/>
        <w:rPr>
          <w:rFonts w:ascii="宋体" w:cs="Courier New"/>
          <w:b/>
          <w:color w:val="auto"/>
          <w:sz w:val="18"/>
          <w:szCs w:val="18"/>
        </w:rPr>
      </w:pPr>
      <w:r>
        <w:rPr>
          <w:rFonts w:hint="eastAsia" w:ascii="宋体" w:cs="Courier New"/>
          <w:b/>
          <w:color w:val="auto"/>
          <w:sz w:val="18"/>
          <w:szCs w:val="18"/>
        </w:rPr>
        <w:t>第十二条 货物包装、发运及运输</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1.乙方应在货物发运前对其进行满足运输距离、防潮、防震、防锈和防破损装卸等要求包装，以保证货物安装运达甲方指定地点。</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2.使用说明书、质量检验说明书、随配附件和工具以及清单一并附于货物内。</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3.乙方在货物发运手续办理完毕后二十四小时内或货到甲方四十八小时前通知甲方，以准备接货。</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4.货物在规定的交付期限内由乙方送达甲方指定的地点视为交付，乙方同时需通知甲方货物已送达。货物在交付甲方前发生的风险均由乙方负责。</w:t>
      </w:r>
    </w:p>
    <w:p>
      <w:pPr>
        <w:snapToGrid w:val="0"/>
        <w:spacing w:line="330" w:lineRule="exact"/>
        <w:ind w:firstLine="420"/>
        <w:rPr>
          <w:rFonts w:ascii="宋体" w:cs="Courier New"/>
          <w:b/>
          <w:color w:val="auto"/>
          <w:sz w:val="18"/>
          <w:szCs w:val="18"/>
        </w:rPr>
      </w:pPr>
      <w:r>
        <w:rPr>
          <w:rFonts w:hint="eastAsia" w:ascii="宋体" w:cs="Courier New"/>
          <w:b/>
          <w:color w:val="auto"/>
          <w:sz w:val="18"/>
          <w:szCs w:val="18"/>
        </w:rPr>
        <w:t>第十三条 违约责任</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1.乙方所提供的货物规格、技术标准、材料等质量不合格的，应及时更换，更换不及时的按逾期交货处罚；因质量问题甲方不同意接收的或特殊情况甲方同意接收的，乙方应向甲方支付合同金额</w:t>
      </w:r>
      <w:r>
        <w:rPr>
          <w:rFonts w:hint="eastAsia" w:ascii="宋体" w:cs="Courier New"/>
          <w:color w:val="auto"/>
          <w:sz w:val="18"/>
          <w:szCs w:val="18"/>
          <w:u w:val="single"/>
        </w:rPr>
        <w:t>15</w:t>
      </w:r>
      <w:r>
        <w:rPr>
          <w:rFonts w:hint="eastAsia" w:ascii="宋体" w:cs="Courier New"/>
          <w:color w:val="auto"/>
          <w:sz w:val="18"/>
          <w:szCs w:val="18"/>
        </w:rPr>
        <w:t>%违约金并赔偿甲方经济损失。</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2.乙方提供的货物如侵犯了第三方合法权益（包括但不限于知识产权）而引发的任何纠纷或诉讼，均由乙方负责交涉并承担全部责任；由此给甲方造成的损失（包括但不限于侵权赔款、行政罚款、诉讼费、律师费、差旅费等），乙方应当全额赔偿给甲方。</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3.因包装、运输引起的货物损坏，按质量不合格处理。</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4.甲方无故延期接收货物、乙方逾期交货的，每天向对方偿付违约合同金额</w:t>
      </w:r>
      <w:r>
        <w:rPr>
          <w:rFonts w:hint="eastAsia" w:ascii="宋体" w:cs="Courier New"/>
          <w:color w:val="auto"/>
          <w:sz w:val="18"/>
          <w:szCs w:val="18"/>
          <w:u w:val="single"/>
        </w:rPr>
        <w:t>3</w:t>
      </w:r>
      <w:r>
        <w:rPr>
          <w:rFonts w:hint="eastAsia" w:ascii="宋体" w:cs="Courier New"/>
          <w:color w:val="auto"/>
          <w:sz w:val="18"/>
          <w:szCs w:val="18"/>
        </w:rPr>
        <w:t>‰违约金，超过</w:t>
      </w:r>
      <w:r>
        <w:rPr>
          <w:rFonts w:hint="eastAsia" w:ascii="宋体" w:cs="Courier New"/>
          <w:color w:val="auto"/>
          <w:sz w:val="18"/>
          <w:szCs w:val="18"/>
          <w:u w:val="single"/>
        </w:rPr>
        <w:t>20</w:t>
      </w:r>
      <w:r>
        <w:rPr>
          <w:rFonts w:hint="eastAsia" w:ascii="宋体" w:cs="Courier New"/>
          <w:color w:val="auto"/>
          <w:sz w:val="18"/>
          <w:szCs w:val="18"/>
        </w:rPr>
        <w:t>天对方有权解除合同，违约方应向对方支付合同金额</w:t>
      </w:r>
      <w:r>
        <w:rPr>
          <w:rFonts w:hint="eastAsia" w:ascii="宋体" w:cs="Courier New"/>
          <w:color w:val="auto"/>
          <w:sz w:val="18"/>
          <w:szCs w:val="18"/>
          <w:u w:val="single"/>
        </w:rPr>
        <w:t>15</w:t>
      </w:r>
      <w:r>
        <w:rPr>
          <w:rFonts w:hint="eastAsia" w:ascii="宋体" w:cs="Courier New"/>
          <w:color w:val="auto"/>
          <w:sz w:val="18"/>
          <w:szCs w:val="18"/>
        </w:rPr>
        <w:t>%违约金并承担因此给对方造成的经济损失。</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5.乙方未按合同和竞标文件中规定的服务承诺提供售后服务的，每发生一次或每超过24小时不能解决故障的，乙方应按结算货款总额的1%向甲方支付违约金；该违约金由甲方在质量保证金中扣除，质量保证金不足以支付违约金的，乙方应当以现金补足。</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6.乙方提供的货物在质量保证期内，因设计、工艺或材料的缺陷和其他质量原因造成的问题，由乙方负责解决；乙方不及时解决的，甲方有权自行或聘请第三方处理，所需费用从质量保证金中扣除，不足部分乙方另补。</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7.乙方有其他违约行为按结算货款额</w:t>
      </w:r>
      <w:r>
        <w:rPr>
          <w:rFonts w:hint="eastAsia" w:ascii="宋体" w:cs="Courier New"/>
          <w:color w:val="auto"/>
          <w:sz w:val="18"/>
          <w:szCs w:val="18"/>
          <w:u w:val="single"/>
        </w:rPr>
        <w:t>5</w:t>
      </w:r>
      <w:r>
        <w:rPr>
          <w:rFonts w:hint="eastAsia" w:ascii="宋体" w:cs="Courier New"/>
          <w:color w:val="auto"/>
          <w:sz w:val="18"/>
          <w:szCs w:val="18"/>
        </w:rPr>
        <w:t>%向甲方支付违约金并赔偿甲方的经济损失。</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8.因产品质量导致相关人员人身伤害或其它财产损失的（因为甲方人员违反操作规程导致的事故除外），乙方应承担赔偿责任。</w:t>
      </w:r>
    </w:p>
    <w:p>
      <w:pPr>
        <w:snapToGrid w:val="0"/>
        <w:spacing w:line="330" w:lineRule="exact"/>
        <w:ind w:firstLine="420"/>
        <w:rPr>
          <w:rFonts w:ascii="宋体" w:cs="Courier New"/>
          <w:b/>
          <w:color w:val="auto"/>
          <w:sz w:val="18"/>
          <w:szCs w:val="18"/>
        </w:rPr>
      </w:pPr>
      <w:r>
        <w:rPr>
          <w:rFonts w:hint="eastAsia" w:ascii="宋体" w:cs="Courier New"/>
          <w:b/>
          <w:color w:val="auto"/>
          <w:sz w:val="18"/>
          <w:szCs w:val="18"/>
        </w:rPr>
        <w:t>第十四条 不可抗拒力事件处理</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1.在合同有效期内，任何一方因不可抗力事件导致不能履行合同，则合同履行期可延长，其延长期与不可抗力影响期相同。</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2.不可抗力事件发生后，应立即通知对方，并在三天内将不可抗力事由书面送达对方。</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3.不可抗力事件延续一百二十天以上，双方应通过友好协商，确定是否继续履行合同。</w:t>
      </w:r>
    </w:p>
    <w:p>
      <w:pPr>
        <w:snapToGrid w:val="0"/>
        <w:spacing w:line="330" w:lineRule="exact"/>
        <w:ind w:firstLine="420"/>
        <w:rPr>
          <w:rFonts w:ascii="宋体" w:cs="Courier New"/>
          <w:b/>
          <w:color w:val="auto"/>
          <w:sz w:val="18"/>
          <w:szCs w:val="18"/>
        </w:rPr>
      </w:pPr>
      <w:r>
        <w:rPr>
          <w:rFonts w:hint="eastAsia" w:ascii="宋体" w:cs="Courier New"/>
          <w:b/>
          <w:color w:val="auto"/>
          <w:sz w:val="18"/>
          <w:szCs w:val="18"/>
        </w:rPr>
        <w:t>第十五条 合同争议解决</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1.因货物质量问题发生争议的，应邀请国家认可的质量检测机构对货物质量进行鉴定。货物符合标准的，鉴定费由甲方承担；货物不符合标准的，鉴定费由乙方承担。</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2.因履行本合同引起的或与本合同有关的争议，甲乙双方应首先通过有效协商解决，如果协商不能解决，可向合同履行地（甲方住所地）人民法院提起诉讼。</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 xml:space="preserve">3.诉讼期间，本合同继续履行                                                                                                                           </w:t>
      </w:r>
    </w:p>
    <w:p>
      <w:pPr>
        <w:snapToGrid w:val="0"/>
        <w:spacing w:line="330" w:lineRule="exact"/>
        <w:ind w:firstLine="420"/>
        <w:rPr>
          <w:rFonts w:ascii="宋体" w:cs="Courier New"/>
          <w:b/>
          <w:color w:val="auto"/>
          <w:sz w:val="18"/>
          <w:szCs w:val="18"/>
        </w:rPr>
      </w:pPr>
      <w:r>
        <w:rPr>
          <w:rFonts w:hint="eastAsia" w:ascii="宋体" w:cs="Courier New"/>
          <w:b/>
          <w:color w:val="auto"/>
          <w:sz w:val="18"/>
          <w:szCs w:val="18"/>
        </w:rPr>
        <w:t>第十六条 合同生效</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1.本合同经双方法定代表人或授权代表签字并加盖单位公章后生效。</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2.合同执行中涉及采购金额和采购内容修改或补充的，须经财政部门审批，并签书面补充协议报财政部门备案，方可作为主合同不可分割的一部分。</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 xml:space="preserve">3.本合同未尽事宜，遵照《合同法》有关条文执行。                                                                                                                                                                                                                                                                                                                                            </w:t>
      </w:r>
    </w:p>
    <w:p>
      <w:pPr>
        <w:snapToGrid w:val="0"/>
        <w:spacing w:line="330" w:lineRule="exact"/>
        <w:ind w:firstLine="420"/>
        <w:rPr>
          <w:rFonts w:ascii="宋体" w:cs="Courier New"/>
          <w:b/>
          <w:color w:val="auto"/>
          <w:sz w:val="18"/>
          <w:szCs w:val="18"/>
        </w:rPr>
      </w:pPr>
      <w:r>
        <w:rPr>
          <w:rFonts w:hint="eastAsia" w:ascii="宋体" w:cs="Courier New"/>
          <w:b/>
          <w:color w:val="auto"/>
          <w:sz w:val="18"/>
          <w:szCs w:val="18"/>
        </w:rPr>
        <w:t>第十七条 合同的变更、终止与转让</w:t>
      </w:r>
    </w:p>
    <w:p>
      <w:pPr>
        <w:snapToGrid w:val="0"/>
        <w:spacing w:line="330" w:lineRule="exact"/>
        <w:ind w:firstLine="420"/>
        <w:rPr>
          <w:rFonts w:ascii="宋体" w:cs="Courier New"/>
          <w:color w:val="auto"/>
          <w:sz w:val="18"/>
          <w:szCs w:val="18"/>
        </w:rPr>
      </w:pPr>
      <w:r>
        <w:rPr>
          <w:rFonts w:hint="eastAsia" w:ascii="宋体" w:cs="Courier New"/>
          <w:color w:val="auto"/>
          <w:sz w:val="18"/>
          <w:szCs w:val="18"/>
        </w:rPr>
        <w:t>1.除《中华人民共和国政府采购法》第五十条规定的情形外，本合同一经签订，甲乙双方不得擅自变更、中止或终止。</w:t>
      </w:r>
    </w:p>
    <w:p>
      <w:pPr>
        <w:snapToGrid w:val="0"/>
        <w:spacing w:line="400" w:lineRule="atLeast"/>
        <w:ind w:firstLine="420"/>
        <w:rPr>
          <w:rFonts w:ascii="宋体" w:cs="Courier New"/>
          <w:color w:val="auto"/>
          <w:sz w:val="18"/>
          <w:szCs w:val="18"/>
        </w:rPr>
      </w:pPr>
      <w:r>
        <w:rPr>
          <w:rFonts w:hint="eastAsia" w:ascii="宋体" w:cs="Courier New"/>
          <w:color w:val="auto"/>
          <w:sz w:val="18"/>
          <w:szCs w:val="18"/>
        </w:rPr>
        <w:t>2.乙方不得擅自转让（无进口资格的供应商委托进口货物除外）其应履行的合同义务。</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3.合同执行中涉及采购金额和采购内容修改或补充的，须经财政部门审批，并签书面补充协议报财政部门备案，方可作为主合同不可分割的一部分。</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4.本合同未尽事宜，遵照《合同法》有关条文执行。</w:t>
      </w:r>
    </w:p>
    <w:p>
      <w:pPr>
        <w:snapToGrid w:val="0"/>
        <w:spacing w:line="320" w:lineRule="exact"/>
        <w:ind w:firstLine="420"/>
        <w:rPr>
          <w:rFonts w:ascii="宋体" w:cs="Courier New"/>
          <w:b/>
          <w:color w:val="auto"/>
          <w:sz w:val="18"/>
          <w:szCs w:val="18"/>
        </w:rPr>
      </w:pPr>
      <w:r>
        <w:rPr>
          <w:rFonts w:hint="eastAsia" w:ascii="宋体" w:cs="Courier New"/>
          <w:b/>
          <w:color w:val="auto"/>
          <w:sz w:val="18"/>
          <w:szCs w:val="18"/>
        </w:rPr>
        <w:t>第十八条 签订本合同依据</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1.下列文件属于合同附件，是构成本合同不可分割的部分：</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（1）政府采购采购文件；</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（2）乙方提供的采购竞标（或应答）文件；</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（3）竞标承诺书；</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（4）中标或成交通知书。</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2.其他合同附件。</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3.合同附件是本合同的重要组成部分，与本合同具有同等法律效力。</w:t>
      </w:r>
    </w:p>
    <w:p>
      <w:pPr>
        <w:snapToGrid w:val="0"/>
        <w:spacing w:line="320" w:lineRule="exact"/>
        <w:ind w:firstLine="420"/>
        <w:rPr>
          <w:rFonts w:ascii="宋体" w:cs="Courier New"/>
          <w:b/>
          <w:color w:val="auto"/>
          <w:sz w:val="18"/>
          <w:szCs w:val="18"/>
        </w:rPr>
      </w:pPr>
      <w:r>
        <w:rPr>
          <w:rFonts w:hint="eastAsia" w:ascii="宋体" w:cs="Courier New"/>
          <w:b/>
          <w:color w:val="auto"/>
          <w:sz w:val="18"/>
          <w:szCs w:val="18"/>
        </w:rPr>
        <w:t>第十九条 其他</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1.本合同一式六份，具有同等法律效力，财政部门（政府采购监管部门）、公共资源交易中心、采购代理机构各一份，甲方二份，乙方一份。</w:t>
      </w:r>
    </w:p>
    <w:p>
      <w:pPr>
        <w:snapToGrid w:val="0"/>
        <w:spacing w:line="320" w:lineRule="exact"/>
        <w:ind w:firstLine="420"/>
        <w:rPr>
          <w:rFonts w:ascii="宋体" w:cs="Courier New"/>
          <w:color w:val="auto"/>
          <w:sz w:val="18"/>
          <w:szCs w:val="18"/>
        </w:rPr>
      </w:pPr>
      <w:r>
        <w:rPr>
          <w:rFonts w:hint="eastAsia" w:ascii="宋体" w:cs="Courier New"/>
          <w:color w:val="auto"/>
          <w:sz w:val="18"/>
          <w:szCs w:val="18"/>
        </w:rPr>
        <w:t>2.本合同签订之日起七个工作日内，采购单位应当将合同副本报同级财政部门备案。</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snapToGrid w:val="0"/>
              <w:spacing w:line="320" w:lineRule="exact"/>
              <w:rPr>
                <w:rFonts w:ascii="宋体" w:cs="Courier New"/>
                <w:color w:val="auto"/>
                <w:sz w:val="18"/>
                <w:szCs w:val="18"/>
              </w:rPr>
            </w:pPr>
            <w:r>
              <w:rPr>
                <w:rFonts w:hint="eastAsia" w:ascii="宋体" w:cs="Courier New"/>
                <w:color w:val="auto"/>
                <w:sz w:val="18"/>
                <w:szCs w:val="18"/>
              </w:rPr>
              <w:t>甲方（章）：</w:t>
            </w:r>
          </w:p>
          <w:p>
            <w:pPr>
              <w:snapToGrid w:val="0"/>
              <w:spacing w:line="320" w:lineRule="exact"/>
              <w:rPr>
                <w:rFonts w:ascii="宋体" w:cs="Courier New"/>
                <w:color w:val="auto"/>
                <w:sz w:val="18"/>
                <w:szCs w:val="18"/>
              </w:rPr>
            </w:pPr>
          </w:p>
          <w:p>
            <w:pPr>
              <w:snapToGrid w:val="0"/>
              <w:spacing w:line="320" w:lineRule="exact"/>
              <w:ind w:firstLine="420"/>
              <w:jc w:val="right"/>
              <w:rPr>
                <w:rFonts w:ascii="宋体" w:cs="Courier New"/>
                <w:color w:val="auto"/>
                <w:sz w:val="18"/>
                <w:szCs w:val="18"/>
              </w:rPr>
            </w:pPr>
            <w:r>
              <w:rPr>
                <w:rFonts w:hint="eastAsia" w:ascii="宋体" w:cs="Courier New"/>
                <w:color w:val="auto"/>
                <w:sz w:val="18"/>
                <w:szCs w:val="18"/>
              </w:rPr>
              <w:t>年   月   日</w:t>
            </w:r>
          </w:p>
        </w:tc>
        <w:tc>
          <w:tcPr>
            <w:tcW w:w="4927" w:type="dxa"/>
          </w:tcPr>
          <w:p>
            <w:pPr>
              <w:snapToGrid w:val="0"/>
              <w:spacing w:line="320" w:lineRule="exact"/>
              <w:rPr>
                <w:rFonts w:ascii="宋体" w:cs="Courier New"/>
                <w:color w:val="auto"/>
                <w:sz w:val="18"/>
                <w:szCs w:val="18"/>
              </w:rPr>
            </w:pPr>
            <w:r>
              <w:rPr>
                <w:rFonts w:hint="eastAsia" w:ascii="宋体" w:cs="Courier New"/>
                <w:color w:val="auto"/>
                <w:sz w:val="18"/>
                <w:szCs w:val="18"/>
              </w:rPr>
              <w:t>乙方（章）：</w:t>
            </w:r>
          </w:p>
          <w:p>
            <w:pPr>
              <w:snapToGrid w:val="0"/>
              <w:spacing w:line="320" w:lineRule="exact"/>
              <w:jc w:val="right"/>
              <w:rPr>
                <w:rFonts w:ascii="宋体" w:cs="Courier New"/>
                <w:color w:val="auto"/>
                <w:sz w:val="18"/>
                <w:szCs w:val="18"/>
              </w:rPr>
            </w:pPr>
          </w:p>
          <w:p>
            <w:pPr>
              <w:snapToGrid w:val="0"/>
              <w:spacing w:line="320" w:lineRule="exact"/>
              <w:jc w:val="right"/>
              <w:rPr>
                <w:rFonts w:ascii="宋体" w:cs="Courier New"/>
                <w:color w:val="auto"/>
                <w:sz w:val="18"/>
                <w:szCs w:val="18"/>
              </w:rPr>
            </w:pPr>
            <w:r>
              <w:rPr>
                <w:rFonts w:hint="eastAsia" w:ascii="宋体" w:cs="Courier New"/>
                <w:color w:val="auto"/>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snapToGrid w:val="0"/>
              <w:spacing w:line="320" w:lineRule="exact"/>
              <w:rPr>
                <w:rFonts w:ascii="宋体" w:cs="Courier New"/>
                <w:color w:val="auto"/>
                <w:sz w:val="18"/>
                <w:szCs w:val="18"/>
              </w:rPr>
            </w:pPr>
            <w:r>
              <w:rPr>
                <w:rFonts w:hint="eastAsia" w:ascii="宋体" w:cs="Courier New"/>
                <w:color w:val="auto"/>
                <w:sz w:val="18"/>
                <w:szCs w:val="18"/>
              </w:rPr>
              <w:t>单位地址：</w:t>
            </w:r>
          </w:p>
        </w:tc>
        <w:tc>
          <w:tcPr>
            <w:tcW w:w="4927" w:type="dxa"/>
          </w:tcPr>
          <w:p>
            <w:pPr>
              <w:snapToGrid w:val="0"/>
              <w:spacing w:line="320" w:lineRule="exact"/>
              <w:rPr>
                <w:rFonts w:ascii="宋体" w:cs="Courier New"/>
                <w:color w:val="auto"/>
                <w:sz w:val="18"/>
                <w:szCs w:val="18"/>
              </w:rPr>
            </w:pPr>
            <w:r>
              <w:rPr>
                <w:rFonts w:hint="eastAsia" w:ascii="宋体" w:cs="Courier New"/>
                <w:color w:val="auto"/>
                <w:sz w:val="18"/>
                <w:szCs w:val="18"/>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snapToGrid w:val="0"/>
              <w:spacing w:line="320" w:lineRule="exact"/>
              <w:rPr>
                <w:rFonts w:ascii="宋体" w:cs="Courier New"/>
                <w:color w:val="auto"/>
                <w:sz w:val="18"/>
                <w:szCs w:val="18"/>
              </w:rPr>
            </w:pPr>
            <w:r>
              <w:rPr>
                <w:rFonts w:hint="eastAsia" w:ascii="宋体" w:cs="Courier New"/>
                <w:color w:val="auto"/>
                <w:sz w:val="18"/>
                <w:szCs w:val="18"/>
              </w:rPr>
              <w:t>法定代表人：</w:t>
            </w:r>
          </w:p>
        </w:tc>
        <w:tc>
          <w:tcPr>
            <w:tcW w:w="4927" w:type="dxa"/>
          </w:tcPr>
          <w:p>
            <w:pPr>
              <w:snapToGrid w:val="0"/>
              <w:spacing w:line="320" w:lineRule="exact"/>
              <w:rPr>
                <w:rFonts w:ascii="宋体" w:cs="Courier New"/>
                <w:color w:val="auto"/>
                <w:sz w:val="18"/>
                <w:szCs w:val="18"/>
              </w:rPr>
            </w:pPr>
            <w:r>
              <w:rPr>
                <w:rFonts w:hint="eastAsia" w:ascii="宋体" w:cs="Courier New"/>
                <w:color w:val="auto"/>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snapToGrid w:val="0"/>
              <w:spacing w:line="320" w:lineRule="exact"/>
              <w:rPr>
                <w:rFonts w:ascii="宋体" w:cs="Courier New"/>
                <w:color w:val="auto"/>
                <w:sz w:val="18"/>
                <w:szCs w:val="18"/>
              </w:rPr>
            </w:pPr>
            <w:r>
              <w:rPr>
                <w:rFonts w:hint="eastAsia" w:ascii="宋体" w:cs="Courier New"/>
                <w:color w:val="auto"/>
                <w:sz w:val="18"/>
                <w:szCs w:val="18"/>
              </w:rPr>
              <w:t>委托代理人：</w:t>
            </w:r>
          </w:p>
        </w:tc>
        <w:tc>
          <w:tcPr>
            <w:tcW w:w="4927" w:type="dxa"/>
          </w:tcPr>
          <w:p>
            <w:pPr>
              <w:snapToGrid w:val="0"/>
              <w:spacing w:line="320" w:lineRule="exact"/>
              <w:rPr>
                <w:rFonts w:ascii="宋体" w:cs="Courier New"/>
                <w:color w:val="auto"/>
                <w:sz w:val="18"/>
                <w:szCs w:val="18"/>
              </w:rPr>
            </w:pPr>
            <w:r>
              <w:rPr>
                <w:rFonts w:hint="eastAsia" w:ascii="宋体" w:cs="Courier New"/>
                <w:color w:val="auto"/>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snapToGrid w:val="0"/>
              <w:spacing w:line="320" w:lineRule="exact"/>
              <w:rPr>
                <w:rFonts w:ascii="宋体" w:cs="Courier New"/>
                <w:color w:val="auto"/>
                <w:sz w:val="18"/>
                <w:szCs w:val="18"/>
              </w:rPr>
            </w:pPr>
            <w:r>
              <w:rPr>
                <w:rFonts w:hint="eastAsia" w:ascii="宋体" w:cs="Courier New"/>
                <w:color w:val="auto"/>
                <w:sz w:val="18"/>
                <w:szCs w:val="18"/>
              </w:rPr>
              <w:t>电话：</w:t>
            </w:r>
          </w:p>
        </w:tc>
        <w:tc>
          <w:tcPr>
            <w:tcW w:w="4927" w:type="dxa"/>
          </w:tcPr>
          <w:p>
            <w:pPr>
              <w:snapToGrid w:val="0"/>
              <w:spacing w:line="320" w:lineRule="exact"/>
              <w:rPr>
                <w:rFonts w:ascii="宋体" w:cs="Courier New"/>
                <w:color w:val="auto"/>
                <w:sz w:val="18"/>
                <w:szCs w:val="18"/>
              </w:rPr>
            </w:pPr>
            <w:r>
              <w:rPr>
                <w:rFonts w:hint="eastAsia" w:ascii="宋体" w:cs="Courier New"/>
                <w:color w:val="auto"/>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snapToGrid w:val="0"/>
              <w:spacing w:line="320" w:lineRule="exact"/>
              <w:rPr>
                <w:rFonts w:ascii="宋体" w:cs="Courier New"/>
                <w:color w:val="auto"/>
                <w:sz w:val="18"/>
                <w:szCs w:val="18"/>
              </w:rPr>
            </w:pPr>
            <w:r>
              <w:rPr>
                <w:rFonts w:hint="eastAsia" w:ascii="宋体" w:cs="Courier New"/>
                <w:color w:val="auto"/>
                <w:sz w:val="18"/>
                <w:szCs w:val="18"/>
              </w:rPr>
              <w:t>电子邮箱：</w:t>
            </w:r>
          </w:p>
        </w:tc>
        <w:tc>
          <w:tcPr>
            <w:tcW w:w="4927" w:type="dxa"/>
          </w:tcPr>
          <w:p>
            <w:pPr>
              <w:snapToGrid w:val="0"/>
              <w:spacing w:line="320" w:lineRule="exact"/>
              <w:rPr>
                <w:rFonts w:ascii="宋体" w:cs="Courier New"/>
                <w:color w:val="auto"/>
                <w:sz w:val="18"/>
                <w:szCs w:val="18"/>
              </w:rPr>
            </w:pPr>
            <w:r>
              <w:rPr>
                <w:rFonts w:hint="eastAsia" w:ascii="宋体" w:cs="Courier New"/>
                <w:color w:val="auto"/>
                <w:sz w:val="18"/>
                <w:szCs w:val="1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snapToGrid w:val="0"/>
              <w:spacing w:line="320" w:lineRule="exact"/>
              <w:rPr>
                <w:rFonts w:ascii="宋体" w:cs="Courier New"/>
                <w:color w:val="auto"/>
                <w:sz w:val="18"/>
                <w:szCs w:val="18"/>
              </w:rPr>
            </w:pPr>
            <w:r>
              <w:rPr>
                <w:rFonts w:hint="eastAsia" w:ascii="宋体" w:cs="Courier New"/>
                <w:color w:val="auto"/>
                <w:sz w:val="18"/>
                <w:szCs w:val="18"/>
              </w:rPr>
              <w:t>开户银行：</w:t>
            </w:r>
          </w:p>
        </w:tc>
        <w:tc>
          <w:tcPr>
            <w:tcW w:w="4927" w:type="dxa"/>
          </w:tcPr>
          <w:p>
            <w:pPr>
              <w:snapToGrid w:val="0"/>
              <w:spacing w:line="320" w:lineRule="exact"/>
              <w:rPr>
                <w:rFonts w:ascii="宋体" w:cs="Courier New"/>
                <w:color w:val="auto"/>
                <w:sz w:val="18"/>
                <w:szCs w:val="18"/>
              </w:rPr>
            </w:pPr>
            <w:r>
              <w:rPr>
                <w:rFonts w:hint="eastAsia" w:ascii="宋体" w:cs="Courier New"/>
                <w:color w:val="auto"/>
                <w:sz w:val="18"/>
                <w:szCs w:val="18"/>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snapToGrid w:val="0"/>
              <w:spacing w:line="320" w:lineRule="exact"/>
              <w:rPr>
                <w:rFonts w:ascii="宋体" w:cs="Courier New"/>
                <w:color w:val="auto"/>
                <w:sz w:val="18"/>
                <w:szCs w:val="18"/>
              </w:rPr>
            </w:pPr>
            <w:r>
              <w:rPr>
                <w:rFonts w:hint="eastAsia" w:ascii="宋体" w:cs="Courier New"/>
                <w:color w:val="auto"/>
                <w:sz w:val="18"/>
                <w:szCs w:val="18"/>
              </w:rPr>
              <w:t>账号：</w:t>
            </w:r>
          </w:p>
        </w:tc>
        <w:tc>
          <w:tcPr>
            <w:tcW w:w="4927" w:type="dxa"/>
          </w:tcPr>
          <w:p>
            <w:pPr>
              <w:snapToGrid w:val="0"/>
              <w:spacing w:line="320" w:lineRule="exact"/>
              <w:rPr>
                <w:rFonts w:ascii="宋体" w:cs="Courier New"/>
                <w:color w:val="auto"/>
                <w:sz w:val="18"/>
                <w:szCs w:val="18"/>
              </w:rPr>
            </w:pPr>
            <w:r>
              <w:rPr>
                <w:rFonts w:hint="eastAsia" w:ascii="宋体" w:cs="Courier New"/>
                <w:color w:val="auto"/>
                <w:sz w:val="18"/>
                <w:szCs w:val="18"/>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snapToGrid w:val="0"/>
              <w:spacing w:line="320" w:lineRule="exact"/>
              <w:rPr>
                <w:rFonts w:ascii="宋体" w:cs="Courier New"/>
                <w:color w:val="auto"/>
                <w:sz w:val="18"/>
                <w:szCs w:val="18"/>
              </w:rPr>
            </w:pPr>
            <w:r>
              <w:rPr>
                <w:rFonts w:hint="eastAsia" w:ascii="宋体" w:cs="Courier New"/>
                <w:color w:val="auto"/>
                <w:sz w:val="18"/>
                <w:szCs w:val="18"/>
              </w:rPr>
              <w:t>邮政编码：</w:t>
            </w:r>
          </w:p>
        </w:tc>
        <w:tc>
          <w:tcPr>
            <w:tcW w:w="4927" w:type="dxa"/>
          </w:tcPr>
          <w:p>
            <w:pPr>
              <w:snapToGrid w:val="0"/>
              <w:spacing w:line="320" w:lineRule="exact"/>
              <w:rPr>
                <w:rFonts w:ascii="宋体" w:cs="Courier New"/>
                <w:color w:val="auto"/>
                <w:sz w:val="18"/>
                <w:szCs w:val="18"/>
              </w:rPr>
            </w:pPr>
            <w:r>
              <w:rPr>
                <w:rFonts w:hint="eastAsia" w:ascii="宋体" w:cs="Courier New"/>
                <w:color w:val="auto"/>
                <w:sz w:val="18"/>
                <w:szCs w:val="18"/>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gridSpan w:val="2"/>
          </w:tcPr>
          <w:p>
            <w:pPr>
              <w:snapToGrid w:val="0"/>
              <w:spacing w:line="320" w:lineRule="exact"/>
              <w:rPr>
                <w:rFonts w:ascii="宋体" w:cs="Courier New"/>
                <w:color w:val="auto"/>
                <w:sz w:val="18"/>
                <w:szCs w:val="18"/>
              </w:rPr>
            </w:pPr>
            <w:r>
              <w:rPr>
                <w:rFonts w:hint="eastAsia" w:ascii="宋体" w:cs="Courier New"/>
                <w:color w:val="auto"/>
                <w:sz w:val="18"/>
                <w:szCs w:val="18"/>
              </w:rPr>
              <w:t>经办人：</w:t>
            </w:r>
          </w:p>
          <w:p>
            <w:pPr>
              <w:snapToGrid w:val="0"/>
              <w:spacing w:line="320" w:lineRule="exact"/>
              <w:ind w:firstLine="420"/>
              <w:jc w:val="right"/>
              <w:rPr>
                <w:rFonts w:ascii="宋体" w:cs="Courier New"/>
                <w:color w:val="auto"/>
                <w:sz w:val="18"/>
                <w:szCs w:val="18"/>
              </w:rPr>
            </w:pPr>
            <w:r>
              <w:rPr>
                <w:rFonts w:hint="eastAsia" w:ascii="宋体" w:cs="Courier New"/>
                <w:color w:val="auto"/>
                <w:sz w:val="18"/>
                <w:szCs w:val="18"/>
              </w:rPr>
              <w:t>年   月   日</w:t>
            </w:r>
          </w:p>
        </w:tc>
      </w:tr>
    </w:tbl>
    <w:p>
      <w:pPr>
        <w:snapToGrid w:val="0"/>
        <w:spacing w:line="320" w:lineRule="exact"/>
        <w:ind w:firstLine="420"/>
        <w:jc w:val="center"/>
        <w:rPr>
          <w:rFonts w:ascii="宋体" w:cs="Courier New"/>
          <w:b/>
          <w:color w:val="auto"/>
          <w:sz w:val="18"/>
          <w:szCs w:val="18"/>
        </w:rPr>
      </w:pPr>
      <w:r>
        <w:rPr>
          <w:rFonts w:hint="eastAsia" w:ascii="宋体" w:cs="Courier New"/>
          <w:b/>
          <w:color w:val="auto"/>
          <w:sz w:val="18"/>
          <w:szCs w:val="18"/>
        </w:rPr>
        <w:t>合同附件</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9854" w:type="dxa"/>
            <w:gridSpan w:val="2"/>
          </w:tcPr>
          <w:p>
            <w:pPr>
              <w:snapToGrid w:val="0"/>
              <w:spacing w:line="320" w:lineRule="exact"/>
              <w:rPr>
                <w:rFonts w:ascii="宋体" w:cs="Courier New"/>
                <w:color w:val="auto"/>
                <w:sz w:val="18"/>
                <w:szCs w:val="18"/>
              </w:rPr>
            </w:pPr>
            <w:r>
              <w:rPr>
                <w:rFonts w:hint="eastAsia" w:ascii="宋体" w:cs="Courier New"/>
                <w:color w:val="auto"/>
                <w:sz w:val="18"/>
                <w:szCs w:val="18"/>
              </w:rPr>
              <w:t>1.供应商承诺具体事项：</w:t>
            </w:r>
          </w:p>
          <w:p>
            <w:pPr>
              <w:snapToGrid w:val="0"/>
              <w:spacing w:line="320" w:lineRule="exact"/>
              <w:rPr>
                <w:rFonts w:ascii="宋体" w:cs="Courier New"/>
                <w:color w:val="auto"/>
                <w:sz w:val="18"/>
                <w:szCs w:val="18"/>
              </w:rPr>
            </w:pPr>
          </w:p>
          <w:p>
            <w:pPr>
              <w:snapToGrid w:val="0"/>
              <w:spacing w:line="320" w:lineRule="exact"/>
              <w:rPr>
                <w:rFonts w:ascii="宋体" w:cs="Courier New"/>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gridSpan w:val="2"/>
          </w:tcPr>
          <w:p>
            <w:pPr>
              <w:snapToGrid w:val="0"/>
              <w:spacing w:line="320" w:lineRule="exact"/>
              <w:rPr>
                <w:rFonts w:ascii="宋体" w:cs="Courier New"/>
                <w:color w:val="auto"/>
                <w:sz w:val="18"/>
                <w:szCs w:val="18"/>
              </w:rPr>
            </w:pPr>
            <w:r>
              <w:rPr>
                <w:rFonts w:hint="eastAsia" w:ascii="宋体" w:cs="Courier New"/>
                <w:color w:val="auto"/>
                <w:sz w:val="18"/>
                <w:szCs w:val="18"/>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gridSpan w:val="2"/>
          </w:tcPr>
          <w:p>
            <w:pPr>
              <w:snapToGrid w:val="0"/>
              <w:spacing w:line="320" w:lineRule="exact"/>
              <w:rPr>
                <w:rFonts w:ascii="宋体" w:cs="Courier New"/>
                <w:color w:val="auto"/>
                <w:sz w:val="18"/>
                <w:szCs w:val="18"/>
              </w:rPr>
            </w:pPr>
            <w:r>
              <w:rPr>
                <w:rFonts w:hint="eastAsia" w:ascii="宋体" w:cs="Courier New"/>
                <w:color w:val="auto"/>
                <w:sz w:val="18"/>
                <w:szCs w:val="18"/>
              </w:rPr>
              <w:t>3.保修期责任：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gridSpan w:val="2"/>
          </w:tcPr>
          <w:p>
            <w:pPr>
              <w:snapToGrid w:val="0"/>
              <w:spacing w:line="320" w:lineRule="exact"/>
              <w:rPr>
                <w:rFonts w:ascii="宋体" w:cs="Courier New"/>
                <w:color w:val="auto"/>
                <w:sz w:val="18"/>
                <w:szCs w:val="18"/>
              </w:rPr>
            </w:pPr>
            <w:r>
              <w:rPr>
                <w:rFonts w:hint="eastAsia" w:ascii="宋体" w:cs="Courier New"/>
                <w:color w:val="auto"/>
                <w:sz w:val="18"/>
                <w:szCs w:val="18"/>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snapToGrid w:val="0"/>
              <w:spacing w:line="320" w:lineRule="exact"/>
              <w:rPr>
                <w:rFonts w:ascii="宋体" w:cs="Courier New"/>
                <w:color w:val="auto"/>
                <w:sz w:val="18"/>
                <w:szCs w:val="18"/>
              </w:rPr>
            </w:pPr>
            <w:r>
              <w:rPr>
                <w:rFonts w:hint="eastAsia" w:ascii="宋体" w:cs="Courier New"/>
                <w:color w:val="auto"/>
                <w:sz w:val="18"/>
                <w:szCs w:val="18"/>
              </w:rPr>
              <w:t>甲方（章）：</w:t>
            </w:r>
          </w:p>
          <w:p>
            <w:pPr>
              <w:snapToGrid w:val="0"/>
              <w:spacing w:line="320" w:lineRule="exact"/>
              <w:rPr>
                <w:rFonts w:ascii="宋体" w:cs="Courier New"/>
                <w:color w:val="auto"/>
                <w:sz w:val="18"/>
                <w:szCs w:val="18"/>
              </w:rPr>
            </w:pPr>
          </w:p>
          <w:p>
            <w:pPr>
              <w:snapToGrid w:val="0"/>
              <w:spacing w:line="320" w:lineRule="exact"/>
              <w:rPr>
                <w:rFonts w:ascii="宋体" w:cs="Courier New"/>
                <w:color w:val="auto"/>
                <w:sz w:val="18"/>
                <w:szCs w:val="18"/>
              </w:rPr>
            </w:pPr>
            <w:r>
              <w:rPr>
                <w:rFonts w:hint="eastAsia" w:ascii="宋体" w:cs="Courier New"/>
                <w:color w:val="auto"/>
                <w:sz w:val="18"/>
                <w:szCs w:val="18"/>
              </w:rPr>
              <w:t>年   月   日</w:t>
            </w:r>
          </w:p>
        </w:tc>
        <w:tc>
          <w:tcPr>
            <w:tcW w:w="4927" w:type="dxa"/>
          </w:tcPr>
          <w:p>
            <w:pPr>
              <w:snapToGrid w:val="0"/>
              <w:spacing w:line="320" w:lineRule="exact"/>
              <w:rPr>
                <w:rFonts w:ascii="宋体" w:cs="Courier New"/>
                <w:color w:val="auto"/>
                <w:sz w:val="18"/>
                <w:szCs w:val="18"/>
              </w:rPr>
            </w:pPr>
            <w:r>
              <w:rPr>
                <w:rFonts w:hint="eastAsia" w:ascii="宋体" w:cs="Courier New"/>
                <w:color w:val="auto"/>
                <w:sz w:val="18"/>
                <w:szCs w:val="18"/>
              </w:rPr>
              <w:t>乙方（章）：</w:t>
            </w:r>
          </w:p>
          <w:p>
            <w:pPr>
              <w:snapToGrid w:val="0"/>
              <w:spacing w:line="320" w:lineRule="exact"/>
              <w:rPr>
                <w:rFonts w:ascii="宋体" w:cs="Courier New"/>
                <w:color w:val="auto"/>
                <w:sz w:val="18"/>
                <w:szCs w:val="18"/>
              </w:rPr>
            </w:pPr>
          </w:p>
          <w:p>
            <w:pPr>
              <w:snapToGrid w:val="0"/>
              <w:spacing w:line="320" w:lineRule="exact"/>
              <w:rPr>
                <w:rFonts w:ascii="宋体" w:cs="Courier New"/>
                <w:color w:val="auto"/>
                <w:sz w:val="18"/>
                <w:szCs w:val="18"/>
              </w:rPr>
            </w:pPr>
            <w:r>
              <w:rPr>
                <w:rFonts w:hint="eastAsia" w:ascii="宋体" w:cs="Courier New"/>
                <w:color w:val="auto"/>
                <w:sz w:val="18"/>
                <w:szCs w:val="18"/>
              </w:rPr>
              <w:t>年   月   日</w:t>
            </w:r>
          </w:p>
        </w:tc>
      </w:tr>
    </w:tbl>
    <w:p>
      <w:pPr>
        <w:pStyle w:val="2"/>
        <w:numPr>
          <w:ilvl w:val="0"/>
          <w:numId w:val="8"/>
        </w:numPr>
        <w:ind w:firstLine="3463" w:firstLineChars="1150"/>
        <w:rPr>
          <w:color w:val="auto"/>
          <w:sz w:val="30"/>
          <w:szCs w:val="30"/>
        </w:rPr>
      </w:pPr>
      <w:r>
        <w:rPr>
          <w:rFonts w:hint="eastAsia"/>
          <w:color w:val="auto"/>
          <w:sz w:val="30"/>
          <w:szCs w:val="30"/>
        </w:rPr>
        <w:t xml:space="preserve"> 评审方法</w:t>
      </w:r>
      <w:bookmarkEnd w:id="75"/>
    </w:p>
    <w:p>
      <w:pPr>
        <w:rPr>
          <w:color w:val="auto"/>
          <w:sz w:val="18"/>
          <w:szCs w:val="18"/>
        </w:rPr>
      </w:pPr>
      <w:r>
        <w:rPr>
          <w:rFonts w:hint="eastAsia"/>
          <w:color w:val="auto"/>
          <w:sz w:val="18"/>
          <w:szCs w:val="18"/>
        </w:rPr>
        <w:t>一、评标原则</w:t>
      </w:r>
    </w:p>
    <w:p>
      <w:pPr>
        <w:rPr>
          <w:color w:val="auto"/>
          <w:sz w:val="18"/>
          <w:szCs w:val="18"/>
        </w:rPr>
      </w:pPr>
      <w:r>
        <w:rPr>
          <w:rFonts w:hint="eastAsia"/>
          <w:color w:val="auto"/>
          <w:sz w:val="18"/>
          <w:szCs w:val="18"/>
        </w:rPr>
        <w:t>（一）评委组成：本次招标采购项目的评标委员会由采购人代表和有关技术、经济等方面的专家组成，成员人数应当为五人以上单数。其中，技术、经济等方面的专家不得少于成员总数的三分之二。</w:t>
      </w:r>
    </w:p>
    <w:p>
      <w:pPr>
        <w:rPr>
          <w:color w:val="auto"/>
          <w:sz w:val="18"/>
          <w:szCs w:val="18"/>
        </w:rPr>
      </w:pPr>
      <w:r>
        <w:rPr>
          <w:rFonts w:hint="eastAsia"/>
          <w:color w:val="auto"/>
          <w:sz w:val="18"/>
          <w:szCs w:val="18"/>
        </w:rPr>
        <w:t>（二）评标委员会将只对确定为实质上响应竞争性磋商件要求的投标文件进行综合评价和比较，</w:t>
      </w:r>
    </w:p>
    <w:p>
      <w:pPr>
        <w:rPr>
          <w:color w:val="auto"/>
          <w:sz w:val="18"/>
          <w:szCs w:val="18"/>
        </w:rPr>
      </w:pPr>
      <w:r>
        <w:rPr>
          <w:rFonts w:hint="eastAsia"/>
          <w:color w:val="auto"/>
          <w:sz w:val="18"/>
          <w:szCs w:val="18"/>
        </w:rPr>
        <w:t>（三）根据有关规定，对小型和微型企业产品的价格给予</w:t>
      </w:r>
      <w:r>
        <w:rPr>
          <w:color w:val="auto"/>
          <w:sz w:val="18"/>
          <w:szCs w:val="18"/>
        </w:rPr>
        <w:t>6%</w:t>
      </w:r>
      <w:r>
        <w:rPr>
          <w:rFonts w:hint="eastAsia"/>
          <w:color w:val="auto"/>
          <w:sz w:val="18"/>
          <w:szCs w:val="18"/>
        </w:rPr>
        <w:t>的扣除，用扣除后的价格参与评审。</w:t>
      </w:r>
    </w:p>
    <w:p>
      <w:pPr>
        <w:rPr>
          <w:color w:val="auto"/>
          <w:sz w:val="18"/>
          <w:szCs w:val="18"/>
        </w:rPr>
      </w:pPr>
      <w:r>
        <w:rPr>
          <w:color w:val="auto"/>
          <w:sz w:val="18"/>
          <w:szCs w:val="18"/>
        </w:rPr>
        <w:t xml:space="preserve"> (</w:t>
      </w:r>
      <w:r>
        <w:rPr>
          <w:rFonts w:hint="eastAsia"/>
          <w:color w:val="auto"/>
          <w:sz w:val="18"/>
          <w:szCs w:val="18"/>
        </w:rPr>
        <w:t>四</w:t>
      </w:r>
      <w:r>
        <w:rPr>
          <w:color w:val="auto"/>
          <w:sz w:val="18"/>
          <w:szCs w:val="18"/>
        </w:rPr>
        <w:t>)</w:t>
      </w:r>
      <w:r>
        <w:rPr>
          <w:rFonts w:hint="eastAsia"/>
          <w:color w:val="auto"/>
          <w:sz w:val="18"/>
          <w:szCs w:val="18"/>
        </w:rPr>
        <w:t>评标依据：评委将以竞争性磋商件为评标依据，对竞标人的竞标报价、技术、售后服务、业绩方面、政策功能内容按百分制打分。</w:t>
      </w:r>
    </w:p>
    <w:p>
      <w:pPr>
        <w:rPr>
          <w:color w:val="auto"/>
          <w:sz w:val="18"/>
          <w:szCs w:val="18"/>
        </w:rPr>
      </w:pPr>
      <w:r>
        <w:rPr>
          <w:color w:val="auto"/>
          <w:sz w:val="18"/>
          <w:szCs w:val="18"/>
        </w:rPr>
        <w:t>(</w:t>
      </w:r>
      <w:r>
        <w:rPr>
          <w:rFonts w:hint="eastAsia"/>
          <w:color w:val="auto"/>
          <w:sz w:val="18"/>
          <w:szCs w:val="18"/>
        </w:rPr>
        <w:t>三</w:t>
      </w:r>
      <w:r>
        <w:rPr>
          <w:color w:val="auto"/>
          <w:sz w:val="18"/>
          <w:szCs w:val="18"/>
        </w:rPr>
        <w:t>)</w:t>
      </w:r>
      <w:r>
        <w:rPr>
          <w:rFonts w:hint="eastAsia"/>
          <w:color w:val="auto"/>
          <w:sz w:val="18"/>
          <w:szCs w:val="18"/>
        </w:rPr>
        <w:t>评标方式：以封闭方式进行。</w:t>
      </w:r>
    </w:p>
    <w:p>
      <w:pPr>
        <w:rPr>
          <w:color w:val="auto"/>
          <w:sz w:val="18"/>
          <w:szCs w:val="18"/>
        </w:rPr>
      </w:pPr>
      <w:r>
        <w:rPr>
          <w:rFonts w:hint="eastAsia"/>
          <w:color w:val="auto"/>
          <w:sz w:val="18"/>
          <w:szCs w:val="18"/>
        </w:rPr>
        <w:t>二、评定方法</w:t>
      </w:r>
    </w:p>
    <w:p>
      <w:pPr>
        <w:rPr>
          <w:color w:val="auto"/>
          <w:sz w:val="18"/>
          <w:szCs w:val="18"/>
        </w:rPr>
      </w:pPr>
      <w:r>
        <w:rPr>
          <w:color w:val="auto"/>
          <w:sz w:val="18"/>
          <w:szCs w:val="18"/>
        </w:rPr>
        <w:t xml:space="preserve">  </w:t>
      </w:r>
      <w:r>
        <w:rPr>
          <w:rFonts w:hint="eastAsia"/>
          <w:color w:val="auto"/>
          <w:sz w:val="18"/>
          <w:szCs w:val="18"/>
        </w:rPr>
        <w:t>（一）对进入详评的，采用百分制综合评分法。</w:t>
      </w:r>
    </w:p>
    <w:p>
      <w:pPr>
        <w:rPr>
          <w:color w:val="auto"/>
          <w:sz w:val="18"/>
          <w:szCs w:val="18"/>
        </w:rPr>
      </w:pPr>
      <w:r>
        <w:rPr>
          <w:color w:val="auto"/>
          <w:sz w:val="18"/>
          <w:szCs w:val="18"/>
        </w:rPr>
        <w:t xml:space="preserve">  </w:t>
      </w:r>
      <w:r>
        <w:rPr>
          <w:rFonts w:hint="eastAsia"/>
          <w:color w:val="auto"/>
          <w:sz w:val="18"/>
          <w:szCs w:val="18"/>
        </w:rPr>
        <w:t>（二）计分办法（按四舍五入取至百分位）</w:t>
      </w:r>
    </w:p>
    <w:p>
      <w:pPr>
        <w:rPr>
          <w:color w:val="auto"/>
          <w:sz w:val="18"/>
          <w:szCs w:val="18"/>
        </w:rPr>
      </w:pPr>
      <w:r>
        <w:rPr>
          <w:color w:val="auto"/>
          <w:sz w:val="18"/>
          <w:szCs w:val="18"/>
        </w:rPr>
        <w:t>1</w:t>
      </w:r>
      <w:r>
        <w:rPr>
          <w:rFonts w:hint="eastAsia"/>
          <w:color w:val="auto"/>
          <w:sz w:val="18"/>
          <w:szCs w:val="18"/>
        </w:rPr>
        <w:t>、价格分……………………………………………………………………………满分</w:t>
      </w:r>
      <w:r>
        <w:rPr>
          <w:color w:val="auto"/>
          <w:sz w:val="18"/>
          <w:szCs w:val="18"/>
        </w:rPr>
        <w:t>20</w:t>
      </w:r>
      <w:r>
        <w:rPr>
          <w:rFonts w:hint="eastAsia"/>
          <w:color w:val="auto"/>
          <w:sz w:val="18"/>
          <w:szCs w:val="18"/>
        </w:rPr>
        <w:t>分</w:t>
      </w:r>
    </w:p>
    <w:p>
      <w:pPr>
        <w:ind w:firstLine="180" w:firstLineChars="100"/>
        <w:rPr>
          <w:color w:val="auto"/>
          <w:sz w:val="18"/>
          <w:szCs w:val="18"/>
        </w:rPr>
      </w:pPr>
      <w:r>
        <w:rPr>
          <w:rFonts w:hint="eastAsia"/>
          <w:color w:val="auto"/>
          <w:sz w:val="18"/>
          <w:szCs w:val="18"/>
        </w:rPr>
        <w:t>（1）评标价为投标人的投标报价进行政策性扣除后的价格，评标价只是作为评标时使用。最终中标人的中标金额＝投标报价。</w:t>
      </w:r>
    </w:p>
    <w:p>
      <w:pPr>
        <w:ind w:firstLine="180" w:firstLineChars="100"/>
        <w:rPr>
          <w:color w:val="auto"/>
          <w:sz w:val="18"/>
          <w:szCs w:val="18"/>
        </w:rPr>
      </w:pPr>
      <w:r>
        <w:rPr>
          <w:rFonts w:hint="eastAsia"/>
          <w:color w:val="auto"/>
          <w:sz w:val="18"/>
          <w:szCs w:val="18"/>
        </w:rPr>
        <w:t>（2）政策性扣除计算方法。</w:t>
      </w:r>
    </w:p>
    <w:p>
      <w:pPr>
        <w:ind w:firstLine="270" w:firstLineChars="150"/>
        <w:rPr>
          <w:color w:val="auto"/>
          <w:sz w:val="18"/>
          <w:szCs w:val="18"/>
        </w:rPr>
      </w:pPr>
      <w:r>
        <w:rPr>
          <w:rFonts w:hint="eastAsia"/>
          <w:color w:val="auto"/>
          <w:sz w:val="18"/>
          <w:szCs w:val="18"/>
        </w:rPr>
        <w:t>供应商符合小型、微型企业或监狱企业条件的，其投标报价将按相应比例进行扣除，用扣除后的价格参与评审（计算价格分）。小型、微型企业组成联合体参加投标的，联合体视同为小型、微型企业享受扶持政策。</w:t>
      </w:r>
    </w:p>
    <w:p>
      <w:pPr>
        <w:ind w:firstLine="180" w:firstLineChars="100"/>
        <w:rPr>
          <w:color w:val="auto"/>
          <w:sz w:val="18"/>
          <w:szCs w:val="18"/>
        </w:rPr>
      </w:pPr>
      <w:r>
        <w:rPr>
          <w:rFonts w:hint="eastAsia"/>
          <w:color w:val="auto"/>
          <w:sz w:val="18"/>
          <w:szCs w:val="18"/>
        </w:rPr>
        <w:t>（3）按照《财政部、司法部关于政府采购支持监狱企业发展有关问题的通知》（财库〔2014〕68号）之规定，监狱企业视同小型、微型企业。</w:t>
      </w:r>
    </w:p>
    <w:p>
      <w:pPr>
        <w:ind w:firstLine="180" w:firstLineChars="100"/>
        <w:rPr>
          <w:color w:val="auto"/>
          <w:sz w:val="18"/>
          <w:szCs w:val="18"/>
        </w:rPr>
      </w:pPr>
      <w:r>
        <w:rPr>
          <w:rFonts w:hint="eastAsia"/>
          <w:color w:val="auto"/>
          <w:sz w:val="18"/>
          <w:szCs w:val="18"/>
        </w:rPr>
        <w:t>（4）按照《政府采购促进中小企业发展暂行办法》（桂财采〔2020〕49号）之规定，投标产品被认定为小型和微型企业产品（以具有认定职能的部门出具的证明材料为准）的，对小型和微型企业产品的价格给予10%的扣除，扣除后的价格为评标报价，即评标报价=投标价×（1-10%）；评标报价=投标价。</w:t>
      </w:r>
    </w:p>
    <w:p>
      <w:pPr>
        <w:ind w:firstLine="180" w:firstLineChars="100"/>
        <w:rPr>
          <w:color w:val="auto"/>
          <w:sz w:val="18"/>
          <w:szCs w:val="18"/>
        </w:rPr>
      </w:pPr>
      <w:r>
        <w:rPr>
          <w:rFonts w:hint="eastAsia"/>
          <w:color w:val="auto"/>
          <w:sz w:val="18"/>
          <w:szCs w:val="18"/>
        </w:rPr>
        <w:t>（5）价格分以采用低价优先法计算，即满足竞争性磋商件要求且投标价格最低的投标报价为评标基准价，其价格为满分（</w:t>
      </w:r>
      <w:r>
        <w:rPr>
          <w:color w:val="auto"/>
          <w:sz w:val="18"/>
          <w:szCs w:val="18"/>
        </w:rPr>
        <w:t>20</w:t>
      </w:r>
      <w:r>
        <w:rPr>
          <w:rFonts w:hint="eastAsia"/>
          <w:color w:val="auto"/>
          <w:sz w:val="18"/>
          <w:szCs w:val="18"/>
        </w:rPr>
        <w:t>分）。其他投标人的价格分统一按照下列公示计算：</w:t>
      </w:r>
    </w:p>
    <w:p>
      <w:pPr>
        <w:rPr>
          <w:color w:val="auto"/>
          <w:sz w:val="18"/>
          <w:szCs w:val="18"/>
        </w:rPr>
      </w:pPr>
      <w:r>
        <w:rPr>
          <w:rFonts w:hint="eastAsia"/>
          <w:color w:val="auto"/>
          <w:sz w:val="18"/>
          <w:szCs w:val="18"/>
        </w:rPr>
        <w:t>价格分计算公式：投标报价得分=（评标基准价/投标人评标价）×</w:t>
      </w:r>
      <w:r>
        <w:rPr>
          <w:color w:val="auto"/>
          <w:sz w:val="18"/>
          <w:szCs w:val="18"/>
        </w:rPr>
        <w:t>20</w:t>
      </w:r>
      <w:r>
        <w:rPr>
          <w:rFonts w:hint="eastAsia"/>
          <w:color w:val="auto"/>
          <w:sz w:val="18"/>
          <w:szCs w:val="18"/>
        </w:rPr>
        <w:t>分</w:t>
      </w:r>
    </w:p>
    <w:p>
      <w:pPr>
        <w:ind w:firstLine="180" w:firstLineChars="100"/>
        <w:rPr>
          <w:color w:val="auto"/>
          <w:sz w:val="18"/>
          <w:szCs w:val="18"/>
        </w:rPr>
      </w:pPr>
      <w:r>
        <w:rPr>
          <w:rFonts w:hint="eastAsia"/>
          <w:color w:val="auto"/>
          <w:sz w:val="18"/>
          <w:szCs w:val="18"/>
        </w:rPr>
        <w:t>（6）投标人的报价低于采购预算价的80%，应当要求其在评标现场合理的时间内提供书面说明，必要时提交相关证明材料包括所有服务（包括所有服务工作量清单分项价格、总价措施项目费、规费、税金、利润点、管理费、保证金费、预备费、其他等供评审，并附上有乙级以上造价审核资质的第三方机构出据的预算评审证明原件））；投标人不能证明其报价合理性的，磋商小组应当将其作为无效投标处理。</w:t>
      </w:r>
    </w:p>
    <w:p>
      <w:pPr>
        <w:rPr>
          <w:color w:val="auto"/>
          <w:sz w:val="18"/>
          <w:szCs w:val="18"/>
        </w:rPr>
      </w:pPr>
      <w:r>
        <w:rPr>
          <w:rFonts w:hint="eastAsia"/>
          <w:color w:val="auto"/>
          <w:sz w:val="18"/>
          <w:szCs w:val="18"/>
        </w:rPr>
        <w:t>2、技术分……………………………………………………………………………满分</w:t>
      </w:r>
      <w:r>
        <w:rPr>
          <w:color w:val="auto"/>
          <w:sz w:val="18"/>
          <w:szCs w:val="18"/>
        </w:rPr>
        <w:t>31</w:t>
      </w:r>
      <w:r>
        <w:rPr>
          <w:rFonts w:hint="eastAsia"/>
          <w:color w:val="auto"/>
          <w:sz w:val="18"/>
          <w:szCs w:val="18"/>
        </w:rPr>
        <w:t>分</w:t>
      </w:r>
    </w:p>
    <w:p>
      <w:pPr>
        <w:ind w:firstLine="180" w:firstLineChars="100"/>
        <w:rPr>
          <w:color w:val="auto"/>
          <w:sz w:val="18"/>
          <w:szCs w:val="18"/>
        </w:rPr>
      </w:pPr>
      <w:r>
        <w:rPr>
          <w:rFonts w:hint="eastAsia"/>
          <w:color w:val="auto"/>
          <w:sz w:val="18"/>
          <w:szCs w:val="18"/>
        </w:rPr>
        <w:t>（</w:t>
      </w:r>
      <w:r>
        <w:rPr>
          <w:color w:val="auto"/>
          <w:sz w:val="18"/>
          <w:szCs w:val="18"/>
        </w:rPr>
        <w:t>1</w:t>
      </w:r>
      <w:r>
        <w:rPr>
          <w:rFonts w:hint="eastAsia"/>
          <w:color w:val="auto"/>
          <w:sz w:val="18"/>
          <w:szCs w:val="18"/>
        </w:rPr>
        <w:t>）基本分 （满</w:t>
      </w:r>
      <w:r>
        <w:rPr>
          <w:color w:val="auto"/>
          <w:sz w:val="18"/>
          <w:szCs w:val="18"/>
        </w:rPr>
        <w:t>5</w:t>
      </w:r>
      <w:r>
        <w:rPr>
          <w:rFonts w:hint="eastAsia"/>
          <w:color w:val="auto"/>
          <w:sz w:val="18"/>
          <w:szCs w:val="18"/>
        </w:rPr>
        <w:t>分）</w:t>
      </w:r>
    </w:p>
    <w:p>
      <w:pPr>
        <w:ind w:firstLine="450" w:firstLineChars="250"/>
        <w:rPr>
          <w:color w:val="auto"/>
          <w:sz w:val="18"/>
          <w:szCs w:val="18"/>
        </w:rPr>
      </w:pPr>
      <w:r>
        <w:rPr>
          <w:rFonts w:hint="eastAsia"/>
          <w:color w:val="auto"/>
          <w:sz w:val="18"/>
          <w:szCs w:val="18"/>
        </w:rPr>
        <w:fldChar w:fldCharType="begin"/>
      </w:r>
      <w:r>
        <w:rPr>
          <w:rFonts w:hint="eastAsia"/>
          <w:color w:val="auto"/>
          <w:sz w:val="18"/>
          <w:szCs w:val="18"/>
        </w:rPr>
        <w:instrText xml:space="preserve"> = 1 \* GB3 \* MERGEFORMAT </w:instrText>
      </w:r>
      <w:r>
        <w:rPr>
          <w:rFonts w:hint="eastAsia"/>
          <w:color w:val="auto"/>
          <w:sz w:val="18"/>
          <w:szCs w:val="18"/>
        </w:rPr>
        <w:fldChar w:fldCharType="separate"/>
      </w:r>
      <w:r>
        <w:rPr>
          <w:color w:val="auto"/>
          <w:sz w:val="18"/>
          <w:szCs w:val="18"/>
        </w:rPr>
        <w:t>①</w:t>
      </w:r>
      <w:r>
        <w:rPr>
          <w:rFonts w:hint="eastAsia"/>
          <w:color w:val="auto"/>
          <w:sz w:val="18"/>
          <w:szCs w:val="18"/>
        </w:rPr>
        <w:fldChar w:fldCharType="end"/>
      </w:r>
      <w:r>
        <w:rPr>
          <w:rFonts w:hint="eastAsia"/>
          <w:color w:val="auto"/>
          <w:sz w:val="18"/>
          <w:szCs w:val="18"/>
        </w:rPr>
        <w:t>完全满足竞争性磋商文件要求的，即得基本分</w:t>
      </w:r>
      <w:r>
        <w:rPr>
          <w:color w:val="auto"/>
          <w:sz w:val="18"/>
          <w:szCs w:val="18"/>
        </w:rPr>
        <w:t>5</w:t>
      </w:r>
      <w:r>
        <w:rPr>
          <w:rFonts w:hint="eastAsia"/>
          <w:color w:val="auto"/>
          <w:sz w:val="18"/>
          <w:szCs w:val="18"/>
        </w:rPr>
        <w:t>分；</w:t>
      </w:r>
    </w:p>
    <w:p>
      <w:pPr>
        <w:ind w:firstLine="450" w:firstLineChars="250"/>
        <w:rPr>
          <w:color w:val="auto"/>
          <w:sz w:val="18"/>
          <w:szCs w:val="18"/>
        </w:rPr>
      </w:pPr>
      <w:r>
        <w:rPr>
          <w:rFonts w:hint="eastAsia"/>
          <w:color w:val="auto"/>
          <w:sz w:val="18"/>
          <w:szCs w:val="18"/>
        </w:rPr>
        <w:fldChar w:fldCharType="begin"/>
      </w:r>
      <w:r>
        <w:rPr>
          <w:rFonts w:hint="eastAsia"/>
          <w:color w:val="auto"/>
          <w:sz w:val="18"/>
          <w:szCs w:val="18"/>
        </w:rPr>
        <w:instrText xml:space="preserve"> = 2 \* GB3 \* MERGEFORMAT </w:instrText>
      </w:r>
      <w:r>
        <w:rPr>
          <w:rFonts w:hint="eastAsia"/>
          <w:color w:val="auto"/>
          <w:sz w:val="18"/>
          <w:szCs w:val="18"/>
        </w:rPr>
        <w:fldChar w:fldCharType="separate"/>
      </w:r>
      <w:r>
        <w:rPr>
          <w:color w:val="auto"/>
          <w:sz w:val="18"/>
          <w:szCs w:val="18"/>
        </w:rPr>
        <w:t>②</w:t>
      </w:r>
      <w:r>
        <w:rPr>
          <w:rFonts w:hint="eastAsia"/>
          <w:color w:val="auto"/>
          <w:sz w:val="18"/>
          <w:szCs w:val="18"/>
        </w:rPr>
        <w:fldChar w:fldCharType="end"/>
      </w:r>
      <w:r>
        <w:rPr>
          <w:rFonts w:hint="eastAsia"/>
          <w:color w:val="auto"/>
          <w:sz w:val="18"/>
          <w:szCs w:val="18"/>
        </w:rPr>
        <w:t>非“★”项技术参数发生实质性负偏离的，每有一项扣减</w:t>
      </w:r>
      <w:r>
        <w:rPr>
          <w:color w:val="auto"/>
          <w:sz w:val="18"/>
          <w:szCs w:val="18"/>
        </w:rPr>
        <w:t>2</w:t>
      </w:r>
      <w:r>
        <w:rPr>
          <w:rFonts w:hint="eastAsia"/>
          <w:color w:val="auto"/>
          <w:sz w:val="18"/>
          <w:szCs w:val="18"/>
        </w:rPr>
        <w:t>分，扣完为止。</w:t>
      </w:r>
    </w:p>
    <w:p>
      <w:pPr>
        <w:ind w:firstLine="180" w:firstLineChars="100"/>
        <w:rPr>
          <w:color w:val="auto"/>
          <w:sz w:val="18"/>
          <w:szCs w:val="18"/>
        </w:rPr>
      </w:pPr>
      <w:r>
        <w:rPr>
          <w:rFonts w:hint="eastAsia"/>
          <w:color w:val="auto"/>
          <w:sz w:val="18"/>
          <w:szCs w:val="18"/>
        </w:rPr>
        <w:t>（</w:t>
      </w:r>
      <w:r>
        <w:rPr>
          <w:color w:val="auto"/>
          <w:sz w:val="18"/>
          <w:szCs w:val="18"/>
        </w:rPr>
        <w:t>2</w:t>
      </w:r>
      <w:r>
        <w:rPr>
          <w:rFonts w:hint="eastAsia"/>
          <w:color w:val="auto"/>
          <w:sz w:val="18"/>
          <w:szCs w:val="18"/>
        </w:rPr>
        <w:t>）货物性能、配置分（满2</w:t>
      </w:r>
      <w:r>
        <w:rPr>
          <w:color w:val="auto"/>
          <w:sz w:val="18"/>
          <w:szCs w:val="18"/>
        </w:rPr>
        <w:t>6</w:t>
      </w:r>
      <w:r>
        <w:rPr>
          <w:rFonts w:hint="eastAsia"/>
          <w:color w:val="auto"/>
          <w:sz w:val="18"/>
          <w:szCs w:val="18"/>
        </w:rPr>
        <w:t>分）</w:t>
      </w:r>
    </w:p>
    <w:p>
      <w:pPr>
        <w:rPr>
          <w:color w:val="auto"/>
          <w:sz w:val="18"/>
          <w:szCs w:val="18"/>
        </w:rPr>
      </w:pPr>
      <w:r>
        <w:rPr>
          <w:rFonts w:hint="eastAsia"/>
          <w:color w:val="auto"/>
          <w:sz w:val="18"/>
          <w:szCs w:val="18"/>
        </w:rPr>
        <w:t xml:space="preserve">     由评委在打分前根据竞标货物对竞争性磋商文件中货物技术要求的响应程度集体讨论确定各竞标人货物性能所属档次，然后评委在各档次内独立打分。</w:t>
      </w:r>
    </w:p>
    <w:p>
      <w:pPr>
        <w:rPr>
          <w:color w:val="auto"/>
          <w:sz w:val="18"/>
          <w:szCs w:val="18"/>
        </w:rPr>
      </w:pPr>
      <w:r>
        <w:rPr>
          <w:rFonts w:hint="eastAsia"/>
          <w:color w:val="auto"/>
          <w:sz w:val="18"/>
          <w:szCs w:val="18"/>
        </w:rPr>
        <w:t xml:space="preserve">    一档：货物性能、配置基本满足竞争性磋商文件要求，技术指标经评标委员会认定有负偏离项，实际使用性能一般，耐用性能一般，综合评定相对一般（0～</w:t>
      </w:r>
      <w:r>
        <w:rPr>
          <w:color w:val="auto"/>
          <w:sz w:val="18"/>
          <w:szCs w:val="18"/>
        </w:rPr>
        <w:t>9</w:t>
      </w:r>
      <w:r>
        <w:rPr>
          <w:rFonts w:hint="eastAsia"/>
          <w:color w:val="auto"/>
          <w:sz w:val="18"/>
          <w:szCs w:val="18"/>
        </w:rPr>
        <w:t>分）。</w:t>
      </w:r>
    </w:p>
    <w:p>
      <w:pPr>
        <w:rPr>
          <w:color w:val="auto"/>
          <w:sz w:val="18"/>
          <w:szCs w:val="18"/>
        </w:rPr>
      </w:pPr>
      <w:r>
        <w:rPr>
          <w:rFonts w:hint="eastAsia"/>
          <w:color w:val="auto"/>
          <w:sz w:val="18"/>
          <w:szCs w:val="18"/>
        </w:rPr>
        <w:t xml:space="preserve">    二档：货物性能、配置完全满足竞争性磋商文件要求，实际使用性能良好，相比同类产品稳定性好，综合评定相对良好（</w:t>
      </w:r>
      <w:r>
        <w:rPr>
          <w:color w:val="auto"/>
          <w:sz w:val="18"/>
          <w:szCs w:val="18"/>
        </w:rPr>
        <w:t>9</w:t>
      </w:r>
      <w:r>
        <w:rPr>
          <w:rFonts w:hint="eastAsia"/>
          <w:color w:val="auto"/>
          <w:sz w:val="18"/>
          <w:szCs w:val="18"/>
        </w:rPr>
        <w:t>.1～</w:t>
      </w:r>
      <w:r>
        <w:rPr>
          <w:color w:val="auto"/>
          <w:sz w:val="18"/>
          <w:szCs w:val="18"/>
        </w:rPr>
        <w:t>18</w:t>
      </w:r>
      <w:r>
        <w:rPr>
          <w:rFonts w:hint="eastAsia"/>
          <w:color w:val="auto"/>
          <w:sz w:val="18"/>
          <w:szCs w:val="18"/>
        </w:rPr>
        <w:t>分）。</w:t>
      </w:r>
    </w:p>
    <w:p>
      <w:pPr>
        <w:rPr>
          <w:color w:val="auto"/>
          <w:sz w:val="18"/>
          <w:szCs w:val="18"/>
        </w:rPr>
      </w:pPr>
      <w:r>
        <w:rPr>
          <w:rFonts w:hint="eastAsia"/>
          <w:color w:val="auto"/>
          <w:sz w:val="18"/>
          <w:szCs w:val="18"/>
        </w:rPr>
        <w:t xml:space="preserve">    三档：货物性能、配置优于竞争性磋商文件要求，经评标委员会认可的重要技术指标、主要功能等且对用户的使用有实质性的帮助与提高，综合评定相对优秀（1</w:t>
      </w:r>
      <w:r>
        <w:rPr>
          <w:color w:val="auto"/>
          <w:sz w:val="18"/>
          <w:szCs w:val="18"/>
        </w:rPr>
        <w:t>8</w:t>
      </w:r>
      <w:r>
        <w:rPr>
          <w:rFonts w:hint="eastAsia"/>
          <w:color w:val="auto"/>
          <w:sz w:val="18"/>
          <w:szCs w:val="18"/>
        </w:rPr>
        <w:t>.1～2</w:t>
      </w:r>
      <w:r>
        <w:rPr>
          <w:color w:val="auto"/>
          <w:sz w:val="18"/>
          <w:szCs w:val="18"/>
        </w:rPr>
        <w:t>6</w:t>
      </w:r>
      <w:r>
        <w:rPr>
          <w:rFonts w:hint="eastAsia"/>
          <w:color w:val="auto"/>
          <w:sz w:val="18"/>
          <w:szCs w:val="18"/>
        </w:rPr>
        <w:t>分）。</w:t>
      </w:r>
    </w:p>
    <w:p>
      <w:pPr>
        <w:rPr>
          <w:color w:val="auto"/>
          <w:sz w:val="18"/>
          <w:szCs w:val="18"/>
        </w:rPr>
      </w:pPr>
      <w:r>
        <w:rPr>
          <w:rFonts w:hint="eastAsia"/>
          <w:color w:val="auto"/>
          <w:sz w:val="18"/>
          <w:szCs w:val="18"/>
        </w:rPr>
        <w:t>3、项目实施方案分…………………………………………………………………满分1</w:t>
      </w:r>
      <w:r>
        <w:rPr>
          <w:color w:val="auto"/>
          <w:sz w:val="18"/>
          <w:szCs w:val="18"/>
        </w:rPr>
        <w:t>2</w:t>
      </w:r>
      <w:r>
        <w:rPr>
          <w:rFonts w:hint="eastAsia"/>
          <w:color w:val="auto"/>
          <w:sz w:val="18"/>
          <w:szCs w:val="18"/>
        </w:rPr>
        <w:t>分</w:t>
      </w:r>
    </w:p>
    <w:p>
      <w:pPr>
        <w:rPr>
          <w:color w:val="auto"/>
          <w:sz w:val="18"/>
          <w:szCs w:val="18"/>
        </w:rPr>
      </w:pPr>
      <w:r>
        <w:rPr>
          <w:rFonts w:hint="eastAsia"/>
          <w:color w:val="auto"/>
          <w:sz w:val="18"/>
          <w:szCs w:val="18"/>
        </w:rPr>
        <w:t xml:space="preserve">     由评委在打分前根据根据竞标单位对整体实施方案、实施项目队伍等集体讨论确定各竞标人所属档次，然后评委在各档次内独立打分。</w:t>
      </w:r>
    </w:p>
    <w:p>
      <w:pPr>
        <w:rPr>
          <w:color w:val="auto"/>
          <w:sz w:val="18"/>
          <w:szCs w:val="18"/>
        </w:rPr>
      </w:pPr>
      <w:r>
        <w:rPr>
          <w:color w:val="auto"/>
          <w:sz w:val="18"/>
          <w:szCs w:val="18"/>
        </w:rPr>
        <w:t xml:space="preserve">    </w:t>
      </w:r>
      <w:r>
        <w:rPr>
          <w:rFonts w:hint="eastAsia"/>
          <w:color w:val="auto"/>
          <w:sz w:val="18"/>
          <w:szCs w:val="18"/>
        </w:rPr>
        <w:t>一档：设计、实施描述简单，仅满足要求，实施方案一般；（0~</w:t>
      </w:r>
      <w:r>
        <w:rPr>
          <w:color w:val="auto"/>
          <w:sz w:val="18"/>
          <w:szCs w:val="18"/>
        </w:rPr>
        <w:t>4</w:t>
      </w:r>
      <w:r>
        <w:rPr>
          <w:rFonts w:hint="eastAsia"/>
          <w:color w:val="auto"/>
          <w:sz w:val="18"/>
          <w:szCs w:val="18"/>
        </w:rPr>
        <w:t>分）</w:t>
      </w:r>
    </w:p>
    <w:p>
      <w:pPr>
        <w:rPr>
          <w:color w:val="auto"/>
          <w:sz w:val="18"/>
          <w:szCs w:val="18"/>
        </w:rPr>
      </w:pPr>
      <w:r>
        <w:rPr>
          <w:rFonts w:hint="eastAsia"/>
          <w:color w:val="auto"/>
          <w:sz w:val="18"/>
          <w:szCs w:val="18"/>
        </w:rPr>
        <w:t xml:space="preserve">    二档：项目整体实施方案设计及实施有完整性、硬件与软件系统兼容性有一定描述，可行性较好，方案列入二档；（4.1~</w:t>
      </w:r>
      <w:r>
        <w:rPr>
          <w:color w:val="auto"/>
          <w:sz w:val="18"/>
          <w:szCs w:val="18"/>
        </w:rPr>
        <w:t>8</w:t>
      </w:r>
      <w:r>
        <w:rPr>
          <w:rFonts w:hint="eastAsia"/>
          <w:color w:val="auto"/>
          <w:sz w:val="18"/>
          <w:szCs w:val="18"/>
        </w:rPr>
        <w:t>分）</w:t>
      </w:r>
    </w:p>
    <w:p>
      <w:pPr>
        <w:ind w:firstLine="360" w:firstLineChars="200"/>
        <w:rPr>
          <w:color w:val="auto"/>
          <w:sz w:val="18"/>
          <w:szCs w:val="18"/>
        </w:rPr>
      </w:pPr>
      <w:r>
        <w:rPr>
          <w:rFonts w:hint="eastAsia"/>
          <w:color w:val="auto"/>
          <w:sz w:val="18"/>
          <w:szCs w:val="18"/>
        </w:rPr>
        <w:t>三档：项目整体实施方案设计及实施计划较完整，实施项目队伍职责清晰，实施进度清晰，每个实施阶段都有专人负责，硬件与软件系统兼容性描述清晰，可行性高，并且设计实施人员中有工程师和B</w:t>
      </w:r>
      <w:r>
        <w:rPr>
          <w:color w:val="auto"/>
          <w:sz w:val="18"/>
          <w:szCs w:val="18"/>
        </w:rPr>
        <w:t>IM</w:t>
      </w:r>
      <w:r>
        <w:rPr>
          <w:rFonts w:hint="eastAsia"/>
          <w:color w:val="auto"/>
          <w:sz w:val="18"/>
          <w:szCs w:val="18"/>
        </w:rPr>
        <w:t>高级工程师相关证书的，方案列入三档；（8.1~1</w:t>
      </w:r>
      <w:r>
        <w:rPr>
          <w:color w:val="auto"/>
          <w:sz w:val="18"/>
          <w:szCs w:val="18"/>
        </w:rPr>
        <w:t>2</w:t>
      </w:r>
      <w:r>
        <w:rPr>
          <w:rFonts w:hint="eastAsia"/>
          <w:color w:val="auto"/>
          <w:sz w:val="18"/>
          <w:szCs w:val="18"/>
        </w:rPr>
        <w:t>分）</w:t>
      </w:r>
    </w:p>
    <w:p>
      <w:pPr>
        <w:rPr>
          <w:color w:val="auto"/>
          <w:sz w:val="18"/>
          <w:szCs w:val="18"/>
        </w:rPr>
      </w:pPr>
      <w:r>
        <w:rPr>
          <w:color w:val="auto"/>
          <w:sz w:val="18"/>
          <w:szCs w:val="18"/>
        </w:rPr>
        <w:t xml:space="preserve"> </w:t>
      </w:r>
      <w:r>
        <w:rPr>
          <w:rFonts w:hint="eastAsia"/>
          <w:color w:val="auto"/>
          <w:sz w:val="18"/>
          <w:szCs w:val="18"/>
        </w:rPr>
        <w:t>4、售后服务分……………………………………………………………………………满分15分</w:t>
      </w:r>
    </w:p>
    <w:p>
      <w:pPr>
        <w:ind w:firstLine="360" w:firstLineChars="200"/>
        <w:rPr>
          <w:color w:val="auto"/>
          <w:sz w:val="18"/>
          <w:szCs w:val="18"/>
        </w:rPr>
      </w:pPr>
      <w:r>
        <w:rPr>
          <w:rFonts w:hint="eastAsia"/>
          <w:color w:val="auto"/>
          <w:sz w:val="18"/>
          <w:szCs w:val="18"/>
        </w:rPr>
        <w:t>由评委在打分前根据各竞标人的售后服务承诺、针对性维保服务方案以及培训等相关伴随服务实施方案等集体讨论确定其所属档次，并在各档次内独立打分。</w:t>
      </w:r>
    </w:p>
    <w:p>
      <w:pPr>
        <w:ind w:firstLine="360" w:firstLineChars="200"/>
        <w:rPr>
          <w:color w:val="auto"/>
          <w:sz w:val="18"/>
          <w:szCs w:val="18"/>
        </w:rPr>
      </w:pPr>
      <w:r>
        <w:rPr>
          <w:rFonts w:hint="eastAsia"/>
          <w:color w:val="auto"/>
          <w:sz w:val="18"/>
          <w:szCs w:val="18"/>
        </w:rPr>
        <w:t>一档：满足竞争性磋商文件要求，</w:t>
      </w:r>
      <w:r>
        <w:rPr>
          <w:rFonts w:hint="eastAsia"/>
          <w:bCs/>
          <w:color w:val="auto"/>
          <w:kern w:val="0"/>
          <w:sz w:val="18"/>
          <w:szCs w:val="18"/>
        </w:rPr>
        <w:t>缺乏保障响应措施，服务经验，</w:t>
      </w:r>
      <w:r>
        <w:rPr>
          <w:rFonts w:hint="eastAsia" w:hAnsi="宋体"/>
          <w:bCs/>
          <w:color w:val="auto"/>
          <w:sz w:val="18"/>
          <w:szCs w:val="18"/>
        </w:rPr>
        <w:t>评定为一般</w:t>
      </w:r>
      <w:r>
        <w:rPr>
          <w:rFonts w:hint="eastAsia"/>
          <w:color w:val="auto"/>
          <w:sz w:val="18"/>
          <w:szCs w:val="18"/>
        </w:rPr>
        <w:t>；（0~</w:t>
      </w:r>
      <w:r>
        <w:rPr>
          <w:color w:val="auto"/>
          <w:sz w:val="18"/>
          <w:szCs w:val="18"/>
        </w:rPr>
        <w:t>5</w:t>
      </w:r>
      <w:r>
        <w:rPr>
          <w:rFonts w:hint="eastAsia"/>
          <w:color w:val="auto"/>
          <w:sz w:val="18"/>
          <w:szCs w:val="18"/>
        </w:rPr>
        <w:t>分）</w:t>
      </w:r>
    </w:p>
    <w:p>
      <w:pPr>
        <w:ind w:firstLine="360" w:firstLineChars="200"/>
        <w:rPr>
          <w:color w:val="auto"/>
          <w:sz w:val="18"/>
          <w:szCs w:val="18"/>
        </w:rPr>
      </w:pPr>
      <w:r>
        <w:rPr>
          <w:rFonts w:hint="eastAsia"/>
          <w:color w:val="auto"/>
          <w:sz w:val="18"/>
          <w:szCs w:val="18"/>
        </w:rPr>
        <w:t>二档：满足竞争性磋商文件要求</w:t>
      </w:r>
      <w:r>
        <w:rPr>
          <w:color w:val="auto"/>
          <w:sz w:val="18"/>
          <w:szCs w:val="18"/>
        </w:rPr>
        <w:t>,</w:t>
      </w:r>
      <w:r>
        <w:rPr>
          <w:rFonts w:hint="eastAsia" w:hAnsi="宋体"/>
          <w:bCs/>
          <w:color w:val="auto"/>
        </w:rPr>
        <w:t xml:space="preserve"> </w:t>
      </w:r>
      <w:r>
        <w:rPr>
          <w:rFonts w:hint="eastAsia"/>
          <w:bCs/>
          <w:color w:val="auto"/>
          <w:kern w:val="0"/>
          <w:sz w:val="18"/>
          <w:szCs w:val="18"/>
        </w:rPr>
        <w:t>售后服务方案比较细致、合理、可行，保障响应措施较有力，服务经验较丰富</w:t>
      </w:r>
      <w:r>
        <w:rPr>
          <w:rFonts w:hint="eastAsia" w:hAnsi="宋体"/>
          <w:bCs/>
          <w:color w:val="auto"/>
          <w:sz w:val="18"/>
          <w:szCs w:val="18"/>
        </w:rPr>
        <w:t>等情况各投标人之间对比</w:t>
      </w:r>
      <w:r>
        <w:rPr>
          <w:rFonts w:hint="eastAsia"/>
          <w:color w:val="auto"/>
          <w:sz w:val="18"/>
          <w:szCs w:val="18"/>
        </w:rPr>
        <w:t>，</w:t>
      </w:r>
      <w:r>
        <w:rPr>
          <w:rFonts w:hint="eastAsia" w:hAnsi="宋体"/>
          <w:bCs/>
          <w:color w:val="auto"/>
          <w:sz w:val="18"/>
          <w:szCs w:val="18"/>
        </w:rPr>
        <w:t>评定为良好</w:t>
      </w:r>
      <w:r>
        <w:rPr>
          <w:rFonts w:hint="eastAsia"/>
          <w:color w:val="auto"/>
          <w:sz w:val="18"/>
          <w:szCs w:val="18"/>
        </w:rPr>
        <w:t>；（</w:t>
      </w:r>
      <w:r>
        <w:rPr>
          <w:color w:val="auto"/>
          <w:sz w:val="18"/>
          <w:szCs w:val="18"/>
        </w:rPr>
        <w:t>5</w:t>
      </w:r>
      <w:r>
        <w:rPr>
          <w:rFonts w:hint="eastAsia"/>
          <w:color w:val="auto"/>
          <w:sz w:val="18"/>
          <w:szCs w:val="18"/>
        </w:rPr>
        <w:t>.1~</w:t>
      </w:r>
      <w:r>
        <w:rPr>
          <w:color w:val="auto"/>
          <w:sz w:val="18"/>
          <w:szCs w:val="18"/>
        </w:rPr>
        <w:t>10</w:t>
      </w:r>
      <w:r>
        <w:rPr>
          <w:rFonts w:hint="eastAsia"/>
          <w:color w:val="auto"/>
          <w:sz w:val="18"/>
          <w:szCs w:val="18"/>
        </w:rPr>
        <w:t>分）</w:t>
      </w:r>
    </w:p>
    <w:p>
      <w:pPr>
        <w:ind w:firstLine="360" w:firstLineChars="200"/>
        <w:rPr>
          <w:color w:val="auto"/>
          <w:sz w:val="18"/>
          <w:szCs w:val="18"/>
        </w:rPr>
      </w:pPr>
      <w:r>
        <w:rPr>
          <w:rFonts w:hint="eastAsia"/>
          <w:color w:val="auto"/>
          <w:sz w:val="18"/>
          <w:szCs w:val="18"/>
        </w:rPr>
        <w:t>三档：在满足二档基础上，竞标人或竞标产品生产商具备完善的售后服务体系及</w:t>
      </w:r>
      <w:r>
        <w:rPr>
          <w:rFonts w:hint="eastAsia" w:hAnsi="宋体"/>
          <w:bCs/>
          <w:color w:val="auto"/>
          <w:sz w:val="18"/>
          <w:szCs w:val="18"/>
        </w:rPr>
        <w:t>独特实施和深化方案</w:t>
      </w:r>
      <w:r>
        <w:rPr>
          <w:rFonts w:hint="eastAsia"/>
          <w:color w:val="auto"/>
          <w:sz w:val="18"/>
          <w:szCs w:val="18"/>
        </w:rPr>
        <w:t>，</w:t>
      </w:r>
      <w:r>
        <w:rPr>
          <w:rFonts w:hint="eastAsia"/>
          <w:bCs/>
          <w:color w:val="auto"/>
          <w:kern w:val="0"/>
          <w:sz w:val="18"/>
          <w:szCs w:val="18"/>
        </w:rPr>
        <w:t>响应时间短，快捷、迅速，</w:t>
      </w:r>
      <w:r>
        <w:rPr>
          <w:rFonts w:hint="eastAsia"/>
          <w:color w:val="auto"/>
          <w:sz w:val="18"/>
          <w:szCs w:val="18"/>
        </w:rPr>
        <w:t>并且售后服务人员中有广西电子信息协会培训运行维护工程师相关证书，能快速的响应时间的，</w:t>
      </w:r>
      <w:r>
        <w:rPr>
          <w:rFonts w:hint="eastAsia" w:hAnsi="宋体"/>
          <w:bCs/>
          <w:color w:val="auto"/>
          <w:sz w:val="18"/>
          <w:szCs w:val="18"/>
        </w:rPr>
        <w:t>评委认为优秀的</w:t>
      </w:r>
      <w:r>
        <w:rPr>
          <w:rFonts w:hint="eastAsia"/>
          <w:color w:val="auto"/>
          <w:sz w:val="18"/>
          <w:szCs w:val="18"/>
        </w:rPr>
        <w:t>。（</w:t>
      </w:r>
      <w:r>
        <w:rPr>
          <w:color w:val="auto"/>
          <w:sz w:val="18"/>
          <w:szCs w:val="18"/>
        </w:rPr>
        <w:t>10</w:t>
      </w:r>
      <w:r>
        <w:rPr>
          <w:rFonts w:hint="eastAsia"/>
          <w:color w:val="auto"/>
          <w:sz w:val="18"/>
          <w:szCs w:val="18"/>
        </w:rPr>
        <w:t>.1~15分）</w:t>
      </w:r>
    </w:p>
    <w:p>
      <w:pPr>
        <w:rPr>
          <w:color w:val="auto"/>
          <w:sz w:val="18"/>
          <w:szCs w:val="18"/>
        </w:rPr>
      </w:pPr>
      <w:r>
        <w:rPr>
          <w:rFonts w:hint="eastAsia"/>
          <w:color w:val="auto"/>
          <w:sz w:val="18"/>
          <w:szCs w:val="18"/>
        </w:rPr>
        <w:t xml:space="preserve">  5、商务分</w:t>
      </w:r>
      <w:r>
        <w:rPr>
          <w:color w:val="auto"/>
          <w:sz w:val="18"/>
          <w:szCs w:val="18"/>
        </w:rPr>
        <w:t xml:space="preserve"> </w:t>
      </w:r>
      <w:r>
        <w:rPr>
          <w:rFonts w:hint="eastAsia"/>
          <w:color w:val="auto"/>
          <w:sz w:val="18"/>
          <w:szCs w:val="18"/>
        </w:rPr>
        <w:t>………………………………………………………………………………满分</w:t>
      </w:r>
      <w:r>
        <w:rPr>
          <w:color w:val="auto"/>
          <w:sz w:val="18"/>
          <w:szCs w:val="18"/>
        </w:rPr>
        <w:t>2</w:t>
      </w:r>
      <w:r>
        <w:rPr>
          <w:rFonts w:hint="eastAsia"/>
          <w:color w:val="auto"/>
          <w:sz w:val="18"/>
          <w:szCs w:val="18"/>
        </w:rPr>
        <w:t>2分</w:t>
      </w:r>
    </w:p>
    <w:p>
      <w:pPr>
        <w:ind w:firstLine="180" w:firstLineChars="100"/>
        <w:rPr>
          <w:color w:val="auto"/>
        </w:rPr>
      </w:pPr>
      <w:r>
        <w:rPr>
          <w:rFonts w:hint="eastAsia" w:ascii="宋体" w:hAnsi="宋体" w:cs="宋体"/>
          <w:color w:val="auto"/>
          <w:sz w:val="18"/>
          <w:szCs w:val="18"/>
        </w:rPr>
        <w:t>（1）资质荣誉证书</w:t>
      </w:r>
      <w:r>
        <w:rPr>
          <w:rFonts w:hint="eastAsia" w:ascii="宋体" w:hAnsi="宋体" w:cs="宋体"/>
          <w:bCs/>
          <w:color w:val="auto"/>
          <w:sz w:val="18"/>
          <w:szCs w:val="18"/>
        </w:rPr>
        <w:t>（</w:t>
      </w:r>
      <w:r>
        <w:rPr>
          <w:rFonts w:hint="eastAsia"/>
          <w:color w:val="auto"/>
          <w:sz w:val="18"/>
          <w:szCs w:val="18"/>
        </w:rPr>
        <w:t>满分12分</w:t>
      </w:r>
      <w:r>
        <w:rPr>
          <w:rFonts w:hint="eastAsia" w:ascii="宋体" w:hAnsi="宋体" w:cs="宋体"/>
          <w:bCs/>
          <w:color w:val="auto"/>
          <w:sz w:val="18"/>
          <w:szCs w:val="18"/>
        </w:rPr>
        <w:t>）</w:t>
      </w:r>
    </w:p>
    <w:p>
      <w:pPr>
        <w:ind w:left="1" w:firstLine="360" w:firstLineChars="200"/>
        <w:rPr>
          <w:rFonts w:ascii="宋体" w:hAnsi="宋体" w:cs="宋体"/>
          <w:color w:val="auto"/>
          <w:sz w:val="18"/>
          <w:szCs w:val="18"/>
        </w:rPr>
      </w:pPr>
      <w:r>
        <w:rPr>
          <w:rFonts w:hint="eastAsia" w:ascii="宋体" w:hAnsi="宋体" w:cs="宋体"/>
          <w:color w:val="auto"/>
          <w:sz w:val="18"/>
          <w:szCs w:val="18"/>
        </w:rPr>
        <w:t>1）投标人具有I</w:t>
      </w:r>
      <w:r>
        <w:rPr>
          <w:rFonts w:ascii="宋体" w:hAnsi="宋体" w:cs="宋体"/>
          <w:color w:val="auto"/>
          <w:sz w:val="18"/>
          <w:szCs w:val="18"/>
        </w:rPr>
        <w:t>SO9001</w:t>
      </w:r>
      <w:r>
        <w:rPr>
          <w:rFonts w:hint="eastAsia" w:ascii="宋体" w:hAnsi="宋体" w:cs="宋体"/>
          <w:color w:val="auto"/>
          <w:sz w:val="18"/>
          <w:szCs w:val="18"/>
        </w:rPr>
        <w:t>认证证书，信息系统集成能力证书，安防工程企业设计施工维护能力证书，</w:t>
      </w:r>
      <w:r>
        <w:rPr>
          <w:rFonts w:hint="eastAsia" w:hAnsi="宋体" w:cs="宋体"/>
          <w:bCs/>
          <w:color w:val="auto"/>
          <w:sz w:val="18"/>
          <w:szCs w:val="18"/>
        </w:rPr>
        <w:t>每证书得2分</w:t>
      </w:r>
      <w:r>
        <w:rPr>
          <w:rFonts w:hint="eastAsia" w:ascii="宋体" w:hAnsi="宋体" w:cs="宋体"/>
          <w:color w:val="auto"/>
          <w:sz w:val="18"/>
          <w:szCs w:val="18"/>
        </w:rPr>
        <w:t>，最高6分。</w:t>
      </w:r>
    </w:p>
    <w:p>
      <w:pPr>
        <w:ind w:firstLine="360" w:firstLineChars="200"/>
        <w:rPr>
          <w:rFonts w:ascii="宋体" w:hAnsi="宋体" w:cs="宋体"/>
          <w:color w:val="auto"/>
          <w:sz w:val="18"/>
          <w:szCs w:val="18"/>
        </w:rPr>
      </w:pPr>
      <w:r>
        <w:rPr>
          <w:rFonts w:ascii="宋体" w:hAnsi="宋体" w:cs="宋体"/>
          <w:color w:val="auto"/>
          <w:sz w:val="18"/>
          <w:szCs w:val="18"/>
        </w:rPr>
        <w:t>2</w:t>
      </w:r>
      <w:r>
        <w:rPr>
          <w:rFonts w:hint="eastAsia" w:ascii="宋体" w:hAnsi="宋体" w:cs="宋体"/>
          <w:color w:val="auto"/>
          <w:sz w:val="18"/>
          <w:szCs w:val="18"/>
        </w:rPr>
        <w:t>）投标人具有信用等级A</w:t>
      </w:r>
      <w:r>
        <w:rPr>
          <w:rFonts w:ascii="宋体" w:hAnsi="宋体" w:cs="宋体"/>
          <w:color w:val="auto"/>
          <w:sz w:val="18"/>
          <w:szCs w:val="18"/>
        </w:rPr>
        <w:t>AA</w:t>
      </w:r>
      <w:r>
        <w:rPr>
          <w:rFonts w:hint="eastAsia" w:ascii="宋体" w:hAnsi="宋体" w:cs="宋体"/>
          <w:color w:val="auto"/>
          <w:sz w:val="18"/>
          <w:szCs w:val="18"/>
        </w:rPr>
        <w:t>级企业认证证书或企业诚信相关荣誉证书，每个证书加</w:t>
      </w:r>
      <w:r>
        <w:rPr>
          <w:rFonts w:ascii="宋体" w:hAnsi="宋体" w:cs="宋体"/>
          <w:color w:val="auto"/>
          <w:sz w:val="18"/>
          <w:szCs w:val="18"/>
        </w:rPr>
        <w:t>1</w:t>
      </w:r>
      <w:r>
        <w:rPr>
          <w:rFonts w:hint="eastAsia" w:ascii="宋体" w:hAnsi="宋体" w:cs="宋体"/>
          <w:color w:val="auto"/>
          <w:sz w:val="18"/>
          <w:szCs w:val="18"/>
        </w:rPr>
        <w:t>分，最高</w:t>
      </w:r>
      <w:r>
        <w:rPr>
          <w:rFonts w:ascii="宋体" w:hAnsi="宋体" w:cs="宋体"/>
          <w:color w:val="auto"/>
          <w:sz w:val="18"/>
          <w:szCs w:val="18"/>
        </w:rPr>
        <w:t>6</w:t>
      </w:r>
      <w:r>
        <w:rPr>
          <w:rFonts w:hint="eastAsia" w:ascii="宋体" w:hAnsi="宋体" w:cs="宋体"/>
          <w:color w:val="auto"/>
          <w:sz w:val="18"/>
          <w:szCs w:val="18"/>
        </w:rPr>
        <w:t>分；（提供相关证明文件，原件备查）。</w:t>
      </w:r>
    </w:p>
    <w:p>
      <w:pPr>
        <w:ind w:firstLine="180" w:firstLineChars="100"/>
        <w:rPr>
          <w:color w:val="auto"/>
          <w:highlight w:val="none"/>
        </w:rPr>
      </w:pPr>
      <w:r>
        <w:rPr>
          <w:rFonts w:hint="eastAsia" w:ascii="宋体" w:hAnsi="宋体" w:cs="宋体"/>
          <w:color w:val="auto"/>
          <w:sz w:val="18"/>
          <w:szCs w:val="18"/>
        </w:rPr>
        <w:t>（2）类似业绩</w:t>
      </w:r>
      <w:r>
        <w:rPr>
          <w:rFonts w:hint="eastAsia" w:ascii="宋体" w:hAnsi="宋体" w:cs="宋体"/>
          <w:bCs/>
          <w:color w:val="auto"/>
          <w:sz w:val="18"/>
          <w:szCs w:val="18"/>
        </w:rPr>
        <w:t>（</w:t>
      </w:r>
      <w:r>
        <w:rPr>
          <w:rFonts w:hint="eastAsia"/>
          <w:color w:val="auto"/>
          <w:sz w:val="18"/>
          <w:szCs w:val="18"/>
        </w:rPr>
        <w:t>满分10分</w:t>
      </w:r>
      <w:r>
        <w:rPr>
          <w:rFonts w:hint="eastAsia" w:ascii="宋体" w:hAnsi="宋体" w:cs="宋体"/>
          <w:bCs/>
          <w:color w:val="auto"/>
          <w:sz w:val="18"/>
          <w:szCs w:val="18"/>
        </w:rPr>
        <w:t>）</w:t>
      </w:r>
    </w:p>
    <w:p>
      <w:pPr>
        <w:ind w:firstLine="360" w:firstLineChars="200"/>
        <w:rPr>
          <w:color w:val="auto"/>
          <w:sz w:val="18"/>
          <w:szCs w:val="18"/>
        </w:rPr>
      </w:pPr>
      <w:r>
        <w:rPr>
          <w:rFonts w:hint="eastAsia"/>
          <w:color w:val="auto"/>
          <w:sz w:val="18"/>
          <w:szCs w:val="18"/>
          <w:highlight w:val="none"/>
        </w:rPr>
        <w:t>竞标人自201</w:t>
      </w:r>
      <w:r>
        <w:rPr>
          <w:color w:val="auto"/>
          <w:sz w:val="18"/>
          <w:szCs w:val="18"/>
          <w:highlight w:val="none"/>
        </w:rPr>
        <w:t>8</w:t>
      </w:r>
      <w:r>
        <w:rPr>
          <w:rFonts w:hint="eastAsia"/>
          <w:color w:val="auto"/>
          <w:sz w:val="18"/>
          <w:szCs w:val="18"/>
          <w:highlight w:val="none"/>
        </w:rPr>
        <w:t>年以来有类似项目经验，且合同金额≥50万元的，每案例得2分，</w:t>
      </w:r>
      <w:r>
        <w:rPr>
          <w:rFonts w:hint="eastAsia" w:ascii="宋体" w:hAnsi="宋体" w:cs="宋体"/>
          <w:color w:val="auto"/>
          <w:sz w:val="18"/>
          <w:szCs w:val="18"/>
          <w:highlight w:val="none"/>
        </w:rPr>
        <w:t>最</w:t>
      </w:r>
      <w:r>
        <w:rPr>
          <w:rFonts w:hint="eastAsia" w:ascii="宋体" w:hAnsi="宋体" w:cs="宋体"/>
          <w:color w:val="auto"/>
          <w:sz w:val="18"/>
          <w:szCs w:val="18"/>
        </w:rPr>
        <w:t>高</w:t>
      </w:r>
      <w:r>
        <w:rPr>
          <w:rFonts w:hint="eastAsia"/>
          <w:color w:val="auto"/>
          <w:sz w:val="18"/>
          <w:szCs w:val="18"/>
        </w:rPr>
        <w:t>10分。（以合同或中标通知书复印件为准，原件备核）。</w:t>
      </w:r>
    </w:p>
    <w:p>
      <w:pPr>
        <w:rPr>
          <w:color w:val="auto"/>
          <w:sz w:val="18"/>
          <w:szCs w:val="18"/>
        </w:rPr>
      </w:pPr>
      <w:r>
        <w:rPr>
          <w:rFonts w:hint="eastAsia"/>
          <w:color w:val="auto"/>
          <w:sz w:val="18"/>
          <w:szCs w:val="18"/>
        </w:rPr>
        <w:t>（三）总得分</w:t>
      </w:r>
      <w:r>
        <w:rPr>
          <w:color w:val="auto"/>
          <w:sz w:val="18"/>
          <w:szCs w:val="18"/>
        </w:rPr>
        <w:t xml:space="preserve">=1 + 2 + 3 +4 +5 </w:t>
      </w:r>
      <w:r>
        <w:rPr>
          <w:rFonts w:hint="eastAsia"/>
          <w:color w:val="auto"/>
          <w:sz w:val="18"/>
          <w:szCs w:val="18"/>
        </w:rPr>
        <w:t>。</w:t>
      </w:r>
    </w:p>
    <w:p>
      <w:pPr>
        <w:rPr>
          <w:color w:val="auto"/>
          <w:sz w:val="18"/>
          <w:szCs w:val="18"/>
        </w:rPr>
      </w:pPr>
      <w:r>
        <w:rPr>
          <w:color w:val="auto"/>
          <w:sz w:val="18"/>
          <w:szCs w:val="18"/>
        </w:rPr>
        <w:t xml:space="preserve">      </w:t>
      </w:r>
      <w:r>
        <w:rPr>
          <w:rFonts w:hint="eastAsia"/>
          <w:color w:val="auto"/>
          <w:sz w:val="18"/>
          <w:szCs w:val="18"/>
        </w:rPr>
        <w:t>说明：根据《广西壮族自治区人民政府办公厅关于印发招标采购促进广西工业产品产销对接实施细则的通知》（桂政办发【</w:t>
      </w:r>
      <w:r>
        <w:rPr>
          <w:color w:val="auto"/>
          <w:sz w:val="18"/>
          <w:szCs w:val="18"/>
        </w:rPr>
        <w:t>2015</w:t>
      </w:r>
      <w:r>
        <w:rPr>
          <w:rFonts w:hint="eastAsia"/>
          <w:color w:val="auto"/>
          <w:sz w:val="18"/>
          <w:szCs w:val="18"/>
        </w:rPr>
        <w:t>】</w:t>
      </w:r>
      <w:r>
        <w:rPr>
          <w:color w:val="auto"/>
          <w:sz w:val="18"/>
          <w:szCs w:val="18"/>
        </w:rPr>
        <w:t>78</w:t>
      </w:r>
      <w:r>
        <w:rPr>
          <w:rFonts w:hint="eastAsia"/>
          <w:color w:val="auto"/>
          <w:sz w:val="18"/>
          <w:szCs w:val="18"/>
        </w:rPr>
        <w:t>号）的规定，“广西工业产品”是指广西境内生产的工业产品，具体以生产企业的工商营业执照注册所在地为准。“使用广西工业产品</w:t>
      </w:r>
      <w:r>
        <w:rPr>
          <w:color w:val="auto"/>
          <w:sz w:val="18"/>
          <w:szCs w:val="18"/>
        </w:rPr>
        <w:t>80%</w:t>
      </w:r>
      <w:r>
        <w:rPr>
          <w:rFonts w:hint="eastAsia"/>
          <w:color w:val="auto"/>
          <w:sz w:val="18"/>
          <w:szCs w:val="18"/>
        </w:rPr>
        <w:t>以上”是指参加政府采购项目或招标项目时供货范围中采用广西工业产品的金额占本次招标总金额的</w:t>
      </w:r>
      <w:r>
        <w:rPr>
          <w:color w:val="auto"/>
          <w:sz w:val="18"/>
          <w:szCs w:val="18"/>
        </w:rPr>
        <w:t>80%</w:t>
      </w:r>
      <w:r>
        <w:rPr>
          <w:rFonts w:hint="eastAsia"/>
          <w:color w:val="auto"/>
          <w:sz w:val="18"/>
          <w:szCs w:val="18"/>
        </w:rPr>
        <w:t>以上（含）。</w:t>
      </w:r>
    </w:p>
    <w:p>
      <w:pPr>
        <w:rPr>
          <w:color w:val="auto"/>
          <w:sz w:val="18"/>
          <w:szCs w:val="18"/>
        </w:rPr>
      </w:pPr>
      <w:r>
        <w:rPr>
          <w:rFonts w:hint="eastAsia"/>
          <w:color w:val="auto"/>
          <w:sz w:val="18"/>
          <w:szCs w:val="18"/>
        </w:rPr>
        <w:t>三、中标候选人推荐原则</w:t>
      </w:r>
    </w:p>
    <w:p>
      <w:pPr>
        <w:rPr>
          <w:color w:val="auto"/>
          <w:sz w:val="18"/>
          <w:szCs w:val="18"/>
        </w:rPr>
      </w:pPr>
      <w:r>
        <w:rPr>
          <w:rFonts w:hint="eastAsia"/>
          <w:color w:val="auto"/>
          <w:sz w:val="18"/>
          <w:szCs w:val="18"/>
        </w:rPr>
        <w:t>评标委员会将根据得分由高到低排列次序（得分相同时，以竞标报价由低到高顺序排列；得分相同且竞标报价相同的，按技术指标优劣顺序排列）并推荐中标候选供应商。招标采购单位应当确定评审委员会推荐排名第一的中标候选人为中标人。排名第一的中标候选人放弃中标、因不可抗力提出不能履行合同，或者竞争性磋商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p>
    <w:p>
      <w:pPr>
        <w:rPr>
          <w:color w:val="auto"/>
          <w:sz w:val="18"/>
          <w:szCs w:val="18"/>
        </w:rPr>
      </w:pPr>
      <w:r>
        <w:rPr>
          <w:color w:val="auto"/>
          <w:sz w:val="18"/>
          <w:szCs w:val="18"/>
        </w:rPr>
        <w:tab/>
      </w:r>
    </w:p>
    <w:p>
      <w:pPr>
        <w:rPr>
          <w:color w:val="auto"/>
          <w:sz w:val="18"/>
          <w:szCs w:val="18"/>
        </w:rPr>
      </w:pPr>
    </w:p>
    <w:p>
      <w:pPr>
        <w:rPr>
          <w:color w:val="auto"/>
          <w:sz w:val="18"/>
          <w:szCs w:val="18"/>
        </w:rPr>
      </w:pPr>
    </w:p>
    <w:p>
      <w:pPr>
        <w:rPr>
          <w:color w:val="auto"/>
          <w:sz w:val="18"/>
          <w:szCs w:val="18"/>
        </w:rPr>
      </w:pPr>
    </w:p>
    <w:p>
      <w:pPr>
        <w:rPr>
          <w:color w:val="auto"/>
          <w:sz w:val="18"/>
          <w:szCs w:val="18"/>
        </w:rPr>
      </w:pPr>
    </w:p>
    <w:p>
      <w:pPr>
        <w:pStyle w:val="22"/>
        <w:spacing w:line="440" w:lineRule="exact"/>
        <w:rPr>
          <w:color w:val="auto"/>
          <w:sz w:val="18"/>
          <w:szCs w:val="18"/>
        </w:rPr>
      </w:pPr>
    </w:p>
    <w:p>
      <w:pPr>
        <w:pStyle w:val="22"/>
        <w:spacing w:line="440" w:lineRule="exact"/>
        <w:rPr>
          <w:color w:val="auto"/>
          <w:sz w:val="18"/>
          <w:szCs w:val="18"/>
        </w:rPr>
      </w:pPr>
    </w:p>
    <w:p>
      <w:pPr>
        <w:pStyle w:val="22"/>
        <w:spacing w:line="440" w:lineRule="exact"/>
        <w:rPr>
          <w:color w:val="auto"/>
          <w:sz w:val="18"/>
          <w:szCs w:val="18"/>
        </w:rPr>
      </w:pPr>
    </w:p>
    <w:p>
      <w:pPr>
        <w:pStyle w:val="22"/>
        <w:spacing w:line="440" w:lineRule="exact"/>
        <w:rPr>
          <w:color w:val="auto"/>
          <w:sz w:val="18"/>
          <w:szCs w:val="18"/>
        </w:rPr>
      </w:pPr>
    </w:p>
    <w:p>
      <w:pPr>
        <w:numPr>
          <w:ilvl w:val="0"/>
          <w:numId w:val="9"/>
        </w:numPr>
        <w:spacing w:line="360" w:lineRule="auto"/>
        <w:rPr>
          <w:b/>
          <w:bCs/>
          <w:color w:val="auto"/>
          <w:sz w:val="30"/>
          <w:szCs w:val="30"/>
        </w:rPr>
      </w:pPr>
      <w:r>
        <w:rPr>
          <w:rFonts w:hint="eastAsia"/>
          <w:b/>
          <w:bCs/>
          <w:color w:val="auto"/>
          <w:sz w:val="30"/>
          <w:szCs w:val="30"/>
        </w:rPr>
        <w:t>退还保证金申请书（格式）</w:t>
      </w:r>
    </w:p>
    <w:p>
      <w:pPr>
        <w:rPr>
          <w:color w:val="auto"/>
          <w:sz w:val="18"/>
          <w:szCs w:val="18"/>
        </w:rPr>
      </w:pPr>
    </w:p>
    <w:p>
      <w:pPr>
        <w:rPr>
          <w:color w:val="auto"/>
          <w:sz w:val="18"/>
          <w:szCs w:val="18"/>
        </w:rPr>
      </w:pPr>
    </w:p>
    <w:p>
      <w:pPr>
        <w:rPr>
          <w:color w:val="auto"/>
          <w:sz w:val="18"/>
          <w:szCs w:val="18"/>
        </w:rPr>
      </w:pPr>
      <w:r>
        <w:rPr>
          <w:rFonts w:hint="eastAsia"/>
          <w:color w:val="auto"/>
          <w:sz w:val="18"/>
          <w:szCs w:val="18"/>
        </w:rPr>
        <w:t>采购代理单位：</w:t>
      </w:r>
      <w:r>
        <w:rPr>
          <w:rFonts w:hint="eastAsia"/>
          <w:color w:val="auto"/>
          <w:sz w:val="18"/>
          <w:szCs w:val="18"/>
          <w:u w:val="single"/>
        </w:rPr>
        <w:t xml:space="preserve">广西诚华工程造价咨询有限公司    </w:t>
      </w:r>
      <w:r>
        <w:rPr>
          <w:rFonts w:hint="eastAsia"/>
          <w:color w:val="auto"/>
          <w:sz w:val="18"/>
          <w:szCs w:val="18"/>
        </w:rPr>
        <w:t xml:space="preserve">                     </w:t>
      </w:r>
    </w:p>
    <w:p>
      <w:pPr>
        <w:rPr>
          <w:color w:val="auto"/>
          <w:sz w:val="18"/>
          <w:szCs w:val="18"/>
        </w:rPr>
      </w:pPr>
      <w:r>
        <w:rPr>
          <w:rFonts w:hint="eastAsia"/>
          <w:color w:val="auto"/>
          <w:sz w:val="18"/>
          <w:szCs w:val="18"/>
        </w:rPr>
        <w:t>申请单位名称</w:t>
      </w:r>
      <w:r>
        <w:rPr>
          <w:rFonts w:hint="eastAsia"/>
          <w:color w:val="auto"/>
          <w:sz w:val="18"/>
          <w:szCs w:val="18"/>
          <w:u w:val="single"/>
        </w:rPr>
        <w:t xml:space="preserve">：                                                        </w:t>
      </w:r>
      <w:r>
        <w:rPr>
          <w:rFonts w:hint="eastAsia"/>
          <w:color w:val="auto"/>
          <w:sz w:val="18"/>
          <w:szCs w:val="18"/>
        </w:rPr>
        <w:t xml:space="preserve">                            </w:t>
      </w:r>
    </w:p>
    <w:p>
      <w:pPr>
        <w:rPr>
          <w:color w:val="auto"/>
          <w:sz w:val="18"/>
          <w:szCs w:val="18"/>
        </w:rPr>
      </w:pPr>
      <w:r>
        <w:rPr>
          <w:rFonts w:hint="eastAsia"/>
          <w:color w:val="auto"/>
          <w:sz w:val="18"/>
          <w:szCs w:val="18"/>
        </w:rPr>
        <w:t>项目名称及编号</w:t>
      </w:r>
      <w:r>
        <w:rPr>
          <w:rFonts w:hint="eastAsia"/>
          <w:color w:val="auto"/>
          <w:sz w:val="18"/>
          <w:szCs w:val="18"/>
          <w:u w:val="single"/>
        </w:rPr>
        <w:t xml:space="preserve">：                                                         </w:t>
      </w:r>
      <w:r>
        <w:rPr>
          <w:rFonts w:hint="eastAsia"/>
          <w:color w:val="auto"/>
          <w:sz w:val="18"/>
          <w:szCs w:val="18"/>
        </w:rPr>
        <w:t xml:space="preserve">                      </w:t>
      </w:r>
    </w:p>
    <w:p>
      <w:pPr>
        <w:rPr>
          <w:color w:val="auto"/>
          <w:sz w:val="18"/>
          <w:szCs w:val="18"/>
        </w:rPr>
      </w:pPr>
      <w:r>
        <w:rPr>
          <w:rFonts w:hint="eastAsia"/>
          <w:color w:val="auto"/>
          <w:sz w:val="18"/>
          <w:szCs w:val="18"/>
        </w:rPr>
        <w:t xml:space="preserve">保证金数额（人民币）：                                                 </w:t>
      </w:r>
    </w:p>
    <w:p>
      <w:pPr>
        <w:rPr>
          <w:color w:val="auto"/>
          <w:sz w:val="18"/>
          <w:szCs w:val="18"/>
        </w:rPr>
      </w:pPr>
      <w:r>
        <w:rPr>
          <w:rFonts w:hint="eastAsia"/>
          <w:color w:val="auto"/>
          <w:sz w:val="18"/>
          <w:szCs w:val="18"/>
        </w:rPr>
        <w:t xml:space="preserve">申请说明：  □未中标单位           □中标单位，服务费已交并已签订合同   </w:t>
      </w:r>
    </w:p>
    <w:p>
      <w:pPr>
        <w:rPr>
          <w:color w:val="auto"/>
          <w:sz w:val="18"/>
          <w:szCs w:val="18"/>
        </w:rPr>
      </w:pPr>
      <w:r>
        <w:rPr>
          <w:rFonts w:hint="eastAsia"/>
          <w:color w:val="auto"/>
          <w:sz w:val="18"/>
          <w:szCs w:val="18"/>
        </w:rPr>
        <w:t xml:space="preserve">                                                          </w:t>
      </w:r>
    </w:p>
    <w:p>
      <w:pPr>
        <w:rPr>
          <w:color w:val="auto"/>
          <w:sz w:val="18"/>
          <w:szCs w:val="18"/>
        </w:rPr>
      </w:pPr>
      <w:r>
        <w:rPr>
          <w:rFonts w:hint="eastAsia"/>
          <w:color w:val="auto"/>
          <w:sz w:val="18"/>
          <w:szCs w:val="18"/>
        </w:rPr>
        <w:t>法人或代理人签字</w:t>
      </w:r>
      <w:r>
        <w:rPr>
          <w:rFonts w:hint="eastAsia"/>
          <w:color w:val="auto"/>
          <w:sz w:val="18"/>
          <w:szCs w:val="18"/>
          <w:u w:val="single"/>
        </w:rPr>
        <w:t xml:space="preserve">：                                               </w:t>
      </w:r>
      <w:r>
        <w:rPr>
          <w:rFonts w:hint="eastAsia"/>
          <w:color w:val="auto"/>
          <w:sz w:val="18"/>
          <w:szCs w:val="18"/>
        </w:rPr>
        <w:t xml:space="preserve">                                </w:t>
      </w:r>
    </w:p>
    <w:p>
      <w:pPr>
        <w:rPr>
          <w:color w:val="auto"/>
          <w:sz w:val="18"/>
          <w:szCs w:val="18"/>
        </w:rPr>
      </w:pPr>
      <w:r>
        <w:rPr>
          <w:rFonts w:hint="eastAsia"/>
          <w:color w:val="auto"/>
          <w:sz w:val="18"/>
          <w:szCs w:val="18"/>
        </w:rPr>
        <w:t>联系方式</w:t>
      </w:r>
      <w:r>
        <w:rPr>
          <w:rFonts w:hint="eastAsia"/>
          <w:color w:val="auto"/>
          <w:sz w:val="18"/>
          <w:szCs w:val="18"/>
          <w:u w:val="single"/>
        </w:rPr>
        <w:t xml:space="preserve">：                                        </w:t>
      </w:r>
      <w:r>
        <w:rPr>
          <w:rFonts w:hint="eastAsia"/>
          <w:color w:val="auto"/>
          <w:sz w:val="18"/>
          <w:szCs w:val="18"/>
        </w:rPr>
        <w:t xml:space="preserve">                                             </w:t>
      </w:r>
    </w:p>
    <w:p>
      <w:pPr>
        <w:rPr>
          <w:color w:val="auto"/>
          <w:sz w:val="18"/>
          <w:szCs w:val="18"/>
        </w:rPr>
      </w:pPr>
      <w:r>
        <w:rPr>
          <w:rFonts w:hint="eastAsia"/>
          <w:color w:val="auto"/>
          <w:sz w:val="18"/>
          <w:szCs w:val="18"/>
        </w:rPr>
        <w:t xml:space="preserve">                                          </w:t>
      </w:r>
    </w:p>
    <w:p>
      <w:pPr>
        <w:rPr>
          <w:color w:val="auto"/>
          <w:sz w:val="18"/>
          <w:szCs w:val="18"/>
        </w:rPr>
      </w:pPr>
    </w:p>
    <w:p>
      <w:pPr>
        <w:rPr>
          <w:color w:val="auto"/>
          <w:sz w:val="18"/>
          <w:szCs w:val="18"/>
        </w:rPr>
      </w:pPr>
    </w:p>
    <w:p>
      <w:pPr>
        <w:ind w:firstLine="3780" w:firstLineChars="2100"/>
        <w:rPr>
          <w:color w:val="auto"/>
          <w:sz w:val="18"/>
          <w:szCs w:val="18"/>
        </w:rPr>
      </w:pPr>
      <w:r>
        <w:rPr>
          <w:rFonts w:hint="eastAsia"/>
          <w:color w:val="auto"/>
          <w:sz w:val="18"/>
          <w:szCs w:val="18"/>
        </w:rPr>
        <w:t>申请单位（公章）</w:t>
      </w:r>
    </w:p>
    <w:p>
      <w:pPr>
        <w:rPr>
          <w:color w:val="auto"/>
          <w:sz w:val="18"/>
          <w:szCs w:val="18"/>
        </w:rPr>
      </w:pPr>
      <w:r>
        <w:rPr>
          <w:rFonts w:hint="eastAsia"/>
          <w:color w:val="auto"/>
          <w:sz w:val="18"/>
          <w:szCs w:val="18"/>
        </w:rPr>
        <w:t xml:space="preserve">                                            年    月   日</w:t>
      </w:r>
    </w:p>
    <w:p>
      <w:pPr>
        <w:rPr>
          <w:color w:val="auto"/>
          <w:sz w:val="18"/>
          <w:szCs w:val="18"/>
        </w:rPr>
      </w:pPr>
    </w:p>
    <w:p>
      <w:pPr>
        <w:rPr>
          <w:color w:val="auto"/>
          <w:sz w:val="18"/>
          <w:szCs w:val="18"/>
        </w:rPr>
      </w:pPr>
    </w:p>
    <w:p>
      <w:pPr>
        <w:rPr>
          <w:color w:val="auto"/>
          <w:sz w:val="18"/>
          <w:szCs w:val="18"/>
        </w:rPr>
      </w:pPr>
    </w:p>
    <w:p>
      <w:pPr>
        <w:rPr>
          <w:color w:val="auto"/>
          <w:sz w:val="18"/>
          <w:szCs w:val="18"/>
        </w:rPr>
      </w:pPr>
    </w:p>
    <w:p>
      <w:pPr>
        <w:rPr>
          <w:color w:val="auto"/>
          <w:sz w:val="18"/>
          <w:szCs w:val="18"/>
        </w:rPr>
      </w:pPr>
      <w:r>
        <w:rPr>
          <w:rFonts w:hint="eastAsia"/>
          <w:color w:val="auto"/>
          <w:sz w:val="18"/>
          <w:szCs w:val="18"/>
        </w:rPr>
        <w:t>后附：</w:t>
      </w:r>
    </w:p>
    <w:p>
      <w:pPr>
        <w:rPr>
          <w:color w:val="auto"/>
          <w:sz w:val="18"/>
          <w:szCs w:val="18"/>
        </w:rPr>
      </w:pPr>
      <w:r>
        <w:rPr>
          <w:rFonts w:hint="eastAsia"/>
          <w:color w:val="auto"/>
          <w:sz w:val="18"/>
          <w:szCs w:val="18"/>
        </w:rPr>
        <w:t>1、采购代理机构开出保证金收据原件</w:t>
      </w:r>
    </w:p>
    <w:p>
      <w:pPr>
        <w:rPr>
          <w:color w:val="auto"/>
          <w:sz w:val="18"/>
          <w:szCs w:val="18"/>
        </w:rPr>
      </w:pPr>
      <w:r>
        <w:rPr>
          <w:rFonts w:hint="eastAsia"/>
          <w:color w:val="auto"/>
          <w:sz w:val="18"/>
          <w:szCs w:val="18"/>
        </w:rPr>
        <w:t>2、竞标人开户许可证复印件</w:t>
      </w:r>
    </w:p>
    <w:p>
      <w:pPr>
        <w:rPr>
          <w:color w:val="auto"/>
          <w:sz w:val="18"/>
          <w:szCs w:val="18"/>
        </w:rPr>
      </w:pPr>
      <w:r>
        <w:rPr>
          <w:rFonts w:hint="eastAsia"/>
          <w:color w:val="auto"/>
          <w:sz w:val="18"/>
          <w:szCs w:val="18"/>
        </w:rPr>
        <w:t>3、政府采购合同原件1份（中标单位退保证金时提供）</w:t>
      </w:r>
    </w:p>
    <w:p>
      <w:pPr>
        <w:widowControl/>
        <w:snapToGrid w:val="0"/>
        <w:jc w:val="left"/>
        <w:rPr>
          <w:rFonts w:ascii="宋体" w:hAnsi="宋体"/>
          <w:b/>
          <w:color w:val="auto"/>
          <w:sz w:val="18"/>
          <w:szCs w:val="18"/>
        </w:rPr>
      </w:pPr>
    </w:p>
    <w:p>
      <w:pPr>
        <w:pStyle w:val="22"/>
        <w:spacing w:line="440" w:lineRule="exact"/>
        <w:rPr>
          <w:color w:val="auto"/>
          <w:sz w:val="18"/>
          <w:szCs w:val="18"/>
        </w:rPr>
      </w:pPr>
    </w:p>
    <w:p>
      <w:pPr>
        <w:pStyle w:val="22"/>
        <w:spacing w:line="440" w:lineRule="exact"/>
        <w:rPr>
          <w:color w:val="auto"/>
          <w:sz w:val="18"/>
          <w:szCs w:val="18"/>
        </w:rPr>
      </w:pPr>
    </w:p>
    <w:p>
      <w:pPr>
        <w:pStyle w:val="22"/>
        <w:spacing w:line="440" w:lineRule="exact"/>
        <w:rPr>
          <w:color w:val="auto"/>
          <w:sz w:val="18"/>
          <w:szCs w:val="18"/>
        </w:rPr>
      </w:pPr>
    </w:p>
    <w:p>
      <w:pPr>
        <w:pStyle w:val="22"/>
        <w:spacing w:line="440" w:lineRule="exact"/>
        <w:rPr>
          <w:color w:val="auto"/>
          <w:sz w:val="18"/>
          <w:szCs w:val="18"/>
        </w:rPr>
      </w:pPr>
    </w:p>
    <w:p>
      <w:pPr>
        <w:pStyle w:val="22"/>
        <w:spacing w:line="440" w:lineRule="exact"/>
        <w:rPr>
          <w:color w:val="auto"/>
          <w:sz w:val="18"/>
          <w:szCs w:val="18"/>
        </w:rPr>
      </w:pPr>
    </w:p>
    <w:p>
      <w:pPr>
        <w:pStyle w:val="22"/>
        <w:spacing w:line="440" w:lineRule="exact"/>
        <w:rPr>
          <w:color w:val="auto"/>
          <w:sz w:val="18"/>
          <w:szCs w:val="18"/>
        </w:rPr>
      </w:pPr>
    </w:p>
    <w:p>
      <w:pPr>
        <w:pStyle w:val="22"/>
        <w:spacing w:line="440" w:lineRule="exact"/>
        <w:rPr>
          <w:color w:val="auto"/>
          <w:sz w:val="18"/>
          <w:szCs w:val="18"/>
        </w:rPr>
      </w:pPr>
    </w:p>
    <w:p>
      <w:pPr>
        <w:pStyle w:val="22"/>
        <w:spacing w:line="440" w:lineRule="exact"/>
        <w:rPr>
          <w:color w:val="auto"/>
          <w:sz w:val="18"/>
          <w:szCs w:val="18"/>
        </w:rPr>
      </w:pPr>
    </w:p>
    <w:p>
      <w:pPr>
        <w:pStyle w:val="22"/>
        <w:spacing w:line="440" w:lineRule="exact"/>
        <w:rPr>
          <w:color w:val="auto"/>
          <w:sz w:val="18"/>
          <w:szCs w:val="18"/>
        </w:rPr>
      </w:pPr>
    </w:p>
    <w:sectPr>
      <w:pgSz w:w="11906" w:h="16838"/>
      <w:pgMar w:top="1134" w:right="1133" w:bottom="1247"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_GB2312">
    <w:altName w:val="Lucida Console"/>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Lucida Console">
    <w:panose1 w:val="020B0609040504020204"/>
    <w:charset w:val="00"/>
    <w:family w:val="auto"/>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38"/>
      </w:rPr>
    </w:pPr>
    <w:r>
      <w:fldChar w:fldCharType="begin"/>
    </w:r>
    <w:r>
      <w:rPr>
        <w:rStyle w:val="38"/>
      </w:rPr>
      <w:instrText xml:space="preserve">PAGE  </w:instrText>
    </w:r>
    <w:r>
      <w:fldChar w:fldCharType="separate"/>
    </w:r>
    <w:r>
      <w:rPr>
        <w:rStyle w:val="38"/>
      </w:rPr>
      <w:t>2</w: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uiEa8BAABLAwAADgAAAGRycy9lMm9Eb2MueG1srVNLbtswEN0X6B0I&#10;7mvKRhM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s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guiEa8BAABL&#10;AwAADgAAAAAAAAABACAAAAAeAQAAZHJzL2Uyb0RvYy54bWxQSwUGAAAAAAYABgBZAQAAPwUAAAAA&#10;">
              <v:fill on="f" focussize="0,0"/>
              <v:stroke on="f"/>
              <v:imagedata o:title=""/>
              <o:lock v:ext="edit" aspectratio="f"/>
              <v:textbox inset="0mm,0mm,0mm,0mm" style="mso-fit-shape-to-text:t;">
                <w:txbxContent>
                  <w:p>
                    <w:pPr>
                      <w:pStyle w:val="26"/>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both"/>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t xml:space="preserve">第 </w:t>
                          </w:r>
                          <w:r>
                            <w:fldChar w:fldCharType="begin"/>
                          </w:r>
                          <w:r>
                            <w:instrText xml:space="preserve"> PAGE  \* MERGEFORMAT </w:instrText>
                          </w:r>
                          <w:r>
                            <w:fldChar w:fldCharType="separate"/>
                          </w:r>
                          <w:r>
                            <w:t>28</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i/r+q8BAABLAwAADgAAAGRycy9lMm9Eb2MueG1srVPNahsxEL4H+g5C&#10;91prF4J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O/UOK4xRHtH/7sH5/3T7/JeW5PH2KNWbcB89LwzQ845tEf0ZlVDwps/qIe&#10;gnFs9O7UXDkkIvKj+Ww+rzAkMDZeEJ+9Pg8Q03fpLclGQwGnV5rKtzcxHVLHlFzN+SttTJmgce8c&#10;iJk9LHM/cMxWGlbDUdDKtzvU0+PgG+pwMykx1w77mndkNGA0VqOxCaDXHVKbFl4xfN0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6i/r+q8BAABL&#10;AwAADgAAAAAAAAABACAAAAAeAQAAZHJzL2Uyb0RvYy54bWxQSwUGAAAAAAYABgBZAQAAPwUAAAAA&#10;">
              <v:fill on="f" focussize="0,0"/>
              <v:stroke on="f"/>
              <v:imagedata o:title=""/>
              <o:lock v:ext="edit" aspectratio="f"/>
              <v:textbox inset="0mm,0mm,0mm,0mm" style="mso-fit-shape-to-text:t;">
                <w:txbxContent>
                  <w:p>
                    <w:pPr>
                      <w:pStyle w:val="26"/>
                    </w:pPr>
                    <w:r>
                      <w:rPr>
                        <w:rFonts w:hint="eastAsia"/>
                      </w:rPr>
                      <w:t xml:space="preserve">第 </w:t>
                    </w:r>
                    <w:r>
                      <w:fldChar w:fldCharType="begin"/>
                    </w:r>
                    <w:r>
                      <w:instrText xml:space="preserve"> PAGE  \* MERGEFORMAT </w:instrText>
                    </w:r>
                    <w:r>
                      <w:fldChar w:fldCharType="separate"/>
                    </w:r>
                    <w:r>
                      <w:t>28</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right"/>
    </w:pPr>
    <w:r>
      <w:drawing>
        <wp:inline distT="0" distB="0" distL="114300" distR="114300">
          <wp:extent cx="371475" cy="314325"/>
          <wp:effectExtent l="0" t="0" r="9525" b="57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preferRelativeResize="0">
                    <a:picLocks noChangeAspect="1"/>
                  </pic:cNvPicPr>
                </pic:nvPicPr>
                <pic:blipFill>
                  <a:blip r:embed="rId1"/>
                  <a:stretch>
                    <a:fillRect/>
                  </a:stretch>
                </pic:blipFill>
                <pic:spPr>
                  <a:xfrm>
                    <a:off x="0" y="0"/>
                    <a:ext cx="371475" cy="314325"/>
                  </a:xfrm>
                  <a:prstGeom prst="rect">
                    <a:avLst/>
                  </a:prstGeom>
                  <a:noFill/>
                  <a:ln>
                    <a:noFill/>
                  </a:ln>
                </pic:spPr>
              </pic:pic>
            </a:graphicData>
          </a:graphic>
        </wp:inline>
      </w:drawing>
    </w:r>
    <w:r>
      <w:rPr>
        <w:rFonts w:ascii="楷体" w:hAnsi="楷体" w:eastAsia="楷体"/>
      </w:rPr>
      <w:t xml:space="preserve">广西诚华工程造价咨询有限公司  </w:t>
    </w:r>
    <w:r>
      <w:rPr>
        <w:rFonts w:ascii="宋体" w:hAnsi="宋体"/>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szCs w:val="21"/>
        <w:u w:val="single"/>
      </w:rPr>
    </w:pPr>
    <w:r>
      <w:rPr>
        <w:rFonts w:ascii="楷体" w:hAnsi="楷体" w:eastAsia="楷体"/>
        <w:u w:val="single"/>
      </w:rPr>
      <w:t xml:space="preserve">广西诚华工程造价咨询有限公司  </w:t>
    </w:r>
    <w:r>
      <w:rPr>
        <w:rFonts w:hint="eastAsia" w:ascii="楷体" w:hAnsi="楷体" w:eastAsia="楷体"/>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szCs w:val="21"/>
      </w:rPr>
    </w:pPr>
    <w:r>
      <w:rPr>
        <w:rFonts w:ascii="楷体" w:hAnsi="楷体" w:eastAsia="楷体"/>
      </w:rPr>
      <w:t xml:space="preserve">广西诚华工程造价咨询有限公司  </w:t>
    </w:r>
    <w:r>
      <w:rPr>
        <w:rFonts w:hint="eastAsia" w:ascii="楷体" w:hAnsi="楷体" w:eastAsia="楷体"/>
      </w:rPr>
      <w:t xml:space="preserve">                                                              </w:t>
    </w:r>
  </w:p>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D84C63"/>
    <w:multiLevelType w:val="singleLevel"/>
    <w:tmpl w:val="91D84C63"/>
    <w:lvl w:ilvl="0" w:tentative="0">
      <w:start w:val="8"/>
      <w:numFmt w:val="chineseCounting"/>
      <w:suff w:val="nothing"/>
      <w:lvlText w:val="%1、"/>
      <w:lvlJc w:val="left"/>
      <w:rPr>
        <w:rFonts w:hint="eastAsia"/>
      </w:rPr>
    </w:lvl>
  </w:abstractNum>
  <w:abstractNum w:abstractNumId="1">
    <w:nsid w:val="EA81D37E"/>
    <w:multiLevelType w:val="singleLevel"/>
    <w:tmpl w:val="EA81D37E"/>
    <w:lvl w:ilvl="0" w:tentative="0">
      <w:start w:val="2"/>
      <w:numFmt w:val="chineseCounting"/>
      <w:suff w:val="nothing"/>
      <w:lvlText w:val="%1、"/>
      <w:lvlJc w:val="left"/>
      <w:rPr>
        <w:rFonts w:hint="eastAsia"/>
      </w:rPr>
    </w:lvl>
  </w:abstractNum>
  <w:abstractNum w:abstractNumId="2">
    <w:nsid w:val="00000001"/>
    <w:multiLevelType w:val="singleLevel"/>
    <w:tmpl w:val="00000001"/>
    <w:lvl w:ilvl="0" w:tentative="0">
      <w:start w:val="1"/>
      <w:numFmt w:val="decimal"/>
      <w:pStyle w:val="20"/>
      <w:lvlText w:val="%1."/>
      <w:lvlJc w:val="left"/>
      <w:pPr>
        <w:tabs>
          <w:tab w:val="left" w:pos="1200"/>
        </w:tabs>
        <w:ind w:left="1200" w:hanging="360"/>
      </w:pPr>
    </w:lvl>
  </w:abstractNum>
  <w:abstractNum w:abstractNumId="3">
    <w:nsid w:val="00000004"/>
    <w:multiLevelType w:val="multilevel"/>
    <w:tmpl w:val="00000004"/>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pStyle w:val="6"/>
      <w:lvlText w:val=""/>
      <w:lvlJc w:val="left"/>
    </w:lvl>
    <w:lvl w:ilvl="5" w:tentative="0">
      <w:start w:val="1"/>
      <w:numFmt w:val="bullet"/>
      <w:pStyle w:val="8"/>
      <w:lvlText w:val=""/>
      <w:lvlJc w:val="left"/>
    </w:lvl>
    <w:lvl w:ilvl="6" w:tentative="0">
      <w:start w:val="1"/>
      <w:numFmt w:val="bullet"/>
      <w:pStyle w:val="9"/>
      <w:lvlText w:val=""/>
      <w:lvlJc w:val="left"/>
    </w:lvl>
    <w:lvl w:ilvl="7" w:tentative="0">
      <w:start w:val="1"/>
      <w:numFmt w:val="bullet"/>
      <w:pStyle w:val="10"/>
      <w:lvlText w:val=""/>
      <w:lvlJc w:val="left"/>
    </w:lvl>
    <w:lvl w:ilvl="8" w:tentative="0">
      <w:start w:val="1"/>
      <w:numFmt w:val="bullet"/>
      <w:pStyle w:val="11"/>
      <w:lvlText w:val=""/>
      <w:lvlJc w:val="left"/>
    </w:lvl>
  </w:abstractNum>
  <w:abstractNum w:abstractNumId="4">
    <w:nsid w:val="00000009"/>
    <w:multiLevelType w:val="multilevel"/>
    <w:tmpl w:val="00000009"/>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5A46476E"/>
    <w:multiLevelType w:val="singleLevel"/>
    <w:tmpl w:val="5A46476E"/>
    <w:lvl w:ilvl="0" w:tentative="0">
      <w:start w:val="13"/>
      <w:numFmt w:val="decimal"/>
      <w:suff w:val="space"/>
      <w:lvlText w:val="%1."/>
      <w:lvlJc w:val="left"/>
    </w:lvl>
  </w:abstractNum>
  <w:abstractNum w:abstractNumId="6">
    <w:nsid w:val="5F601E02"/>
    <w:multiLevelType w:val="singleLevel"/>
    <w:tmpl w:val="5F601E02"/>
    <w:lvl w:ilvl="0" w:tentative="0">
      <w:start w:val="9"/>
      <w:numFmt w:val="chineseCounting"/>
      <w:suff w:val="nothing"/>
      <w:lvlText w:val="%1、"/>
      <w:lvlJc w:val="left"/>
    </w:lvl>
  </w:abstractNum>
  <w:abstractNum w:abstractNumId="7">
    <w:nsid w:val="5FA37726"/>
    <w:multiLevelType w:val="singleLevel"/>
    <w:tmpl w:val="5FA37726"/>
    <w:lvl w:ilvl="0" w:tentative="0">
      <w:start w:val="6"/>
      <w:numFmt w:val="chineseCounting"/>
      <w:suff w:val="space"/>
      <w:lvlText w:val="第%1章"/>
      <w:lvlJc w:val="left"/>
    </w:lvl>
  </w:abstractNum>
  <w:abstractNum w:abstractNumId="8">
    <w:nsid w:val="7F1F04C2"/>
    <w:multiLevelType w:val="singleLevel"/>
    <w:tmpl w:val="7F1F04C2"/>
    <w:lvl w:ilvl="0" w:tentative="0">
      <w:start w:val="7"/>
      <w:numFmt w:val="chineseCounting"/>
      <w:suff w:val="space"/>
      <w:lvlText w:val="第%1章"/>
      <w:lvlJc w:val="left"/>
      <w:pPr>
        <w:ind w:left="2310" w:firstLine="0"/>
      </w:pPr>
      <w:rPr>
        <w:rFonts w:hint="eastAsia"/>
      </w:rPr>
    </w:lvl>
  </w:abstractNum>
  <w:num w:numId="1">
    <w:abstractNumId w:val="3"/>
  </w:num>
  <w:num w:numId="2">
    <w:abstractNumId w:val="2"/>
  </w:num>
  <w:num w:numId="3">
    <w:abstractNumId w:val="6"/>
  </w:num>
  <w:num w:numId="4">
    <w:abstractNumId w:val="1"/>
  </w:num>
  <w:num w:numId="5">
    <w:abstractNumId w:val="5"/>
  </w:num>
  <w:num w:numId="6">
    <w:abstractNumId w:val="0"/>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NotTrackMoves/>
  <w:documentProtection w:enforcement="0"/>
  <w:defaultTabStop w:val="420"/>
  <w:drawingGridVerticalSpacing w:val="160"/>
  <w:doNotShadeFormData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576"/>
    <w:rsid w:val="00001472"/>
    <w:rsid w:val="000067BD"/>
    <w:rsid w:val="00007D06"/>
    <w:rsid w:val="0002069F"/>
    <w:rsid w:val="00022584"/>
    <w:rsid w:val="00030CD0"/>
    <w:rsid w:val="000356CA"/>
    <w:rsid w:val="00052F22"/>
    <w:rsid w:val="000560E5"/>
    <w:rsid w:val="00062F8D"/>
    <w:rsid w:val="00064106"/>
    <w:rsid w:val="00071D36"/>
    <w:rsid w:val="0008062A"/>
    <w:rsid w:val="00081695"/>
    <w:rsid w:val="00083282"/>
    <w:rsid w:val="0009528D"/>
    <w:rsid w:val="000972D1"/>
    <w:rsid w:val="000B2F69"/>
    <w:rsid w:val="000B365C"/>
    <w:rsid w:val="000D27A3"/>
    <w:rsid w:val="000D74B2"/>
    <w:rsid w:val="000E1D39"/>
    <w:rsid w:val="000E4B24"/>
    <w:rsid w:val="000E6E0C"/>
    <w:rsid w:val="000E7224"/>
    <w:rsid w:val="000F527C"/>
    <w:rsid w:val="001049F0"/>
    <w:rsid w:val="0011206A"/>
    <w:rsid w:val="00125AD9"/>
    <w:rsid w:val="00125DD5"/>
    <w:rsid w:val="00137A75"/>
    <w:rsid w:val="00141519"/>
    <w:rsid w:val="00147D4B"/>
    <w:rsid w:val="0015134B"/>
    <w:rsid w:val="00153DA7"/>
    <w:rsid w:val="00161910"/>
    <w:rsid w:val="00163DE5"/>
    <w:rsid w:val="00164045"/>
    <w:rsid w:val="00170CEF"/>
    <w:rsid w:val="0019177F"/>
    <w:rsid w:val="001946D3"/>
    <w:rsid w:val="00194B35"/>
    <w:rsid w:val="001A4083"/>
    <w:rsid w:val="001B0C86"/>
    <w:rsid w:val="001B2260"/>
    <w:rsid w:val="001B3F45"/>
    <w:rsid w:val="001C0924"/>
    <w:rsid w:val="001C1914"/>
    <w:rsid w:val="001C27D2"/>
    <w:rsid w:val="001D19E6"/>
    <w:rsid w:val="001D613D"/>
    <w:rsid w:val="001F6580"/>
    <w:rsid w:val="001F6D28"/>
    <w:rsid w:val="001F7F3C"/>
    <w:rsid w:val="00213184"/>
    <w:rsid w:val="00215C7B"/>
    <w:rsid w:val="0021764C"/>
    <w:rsid w:val="0022227D"/>
    <w:rsid w:val="002405F3"/>
    <w:rsid w:val="002415BD"/>
    <w:rsid w:val="00244862"/>
    <w:rsid w:val="00257C8A"/>
    <w:rsid w:val="00261B6B"/>
    <w:rsid w:val="00265406"/>
    <w:rsid w:val="00265856"/>
    <w:rsid w:val="00267361"/>
    <w:rsid w:val="002703F6"/>
    <w:rsid w:val="0027212B"/>
    <w:rsid w:val="00272EE5"/>
    <w:rsid w:val="00275173"/>
    <w:rsid w:val="00283318"/>
    <w:rsid w:val="0028547B"/>
    <w:rsid w:val="00285D68"/>
    <w:rsid w:val="002929E5"/>
    <w:rsid w:val="002949EA"/>
    <w:rsid w:val="002A3025"/>
    <w:rsid w:val="002A3D68"/>
    <w:rsid w:val="002A6A2D"/>
    <w:rsid w:val="002A75D3"/>
    <w:rsid w:val="002A7A80"/>
    <w:rsid w:val="002B693D"/>
    <w:rsid w:val="002C7392"/>
    <w:rsid w:val="002D131E"/>
    <w:rsid w:val="002D4466"/>
    <w:rsid w:val="002E0C7F"/>
    <w:rsid w:val="002E15A4"/>
    <w:rsid w:val="002F3502"/>
    <w:rsid w:val="003155E8"/>
    <w:rsid w:val="00317D6D"/>
    <w:rsid w:val="00317FEF"/>
    <w:rsid w:val="0033683C"/>
    <w:rsid w:val="003468AD"/>
    <w:rsid w:val="0035255F"/>
    <w:rsid w:val="00353E6D"/>
    <w:rsid w:val="00354F41"/>
    <w:rsid w:val="003601A1"/>
    <w:rsid w:val="003653C1"/>
    <w:rsid w:val="00371DA9"/>
    <w:rsid w:val="00371E85"/>
    <w:rsid w:val="00390C6C"/>
    <w:rsid w:val="00396F7B"/>
    <w:rsid w:val="003A2DDD"/>
    <w:rsid w:val="003B0389"/>
    <w:rsid w:val="003B5A54"/>
    <w:rsid w:val="003C0406"/>
    <w:rsid w:val="003C4532"/>
    <w:rsid w:val="003D5778"/>
    <w:rsid w:val="003D7DC3"/>
    <w:rsid w:val="003E292E"/>
    <w:rsid w:val="003E6566"/>
    <w:rsid w:val="003E6C33"/>
    <w:rsid w:val="003F6A13"/>
    <w:rsid w:val="003F7B2E"/>
    <w:rsid w:val="00407923"/>
    <w:rsid w:val="00414485"/>
    <w:rsid w:val="00420C35"/>
    <w:rsid w:val="00421E62"/>
    <w:rsid w:val="0042665F"/>
    <w:rsid w:val="004302B0"/>
    <w:rsid w:val="00430902"/>
    <w:rsid w:val="00434F4B"/>
    <w:rsid w:val="0043568C"/>
    <w:rsid w:val="00437C5B"/>
    <w:rsid w:val="00442731"/>
    <w:rsid w:val="00461070"/>
    <w:rsid w:val="004634FC"/>
    <w:rsid w:val="00463919"/>
    <w:rsid w:val="00472CAA"/>
    <w:rsid w:val="0047757C"/>
    <w:rsid w:val="00482B3F"/>
    <w:rsid w:val="004865E1"/>
    <w:rsid w:val="00487E1A"/>
    <w:rsid w:val="004908BC"/>
    <w:rsid w:val="0049136B"/>
    <w:rsid w:val="00495C9A"/>
    <w:rsid w:val="004A05B8"/>
    <w:rsid w:val="004B26A9"/>
    <w:rsid w:val="004B651B"/>
    <w:rsid w:val="004B6773"/>
    <w:rsid w:val="004C17E4"/>
    <w:rsid w:val="004C5CBA"/>
    <w:rsid w:val="004C6863"/>
    <w:rsid w:val="004D0B14"/>
    <w:rsid w:val="004D3775"/>
    <w:rsid w:val="004D40E8"/>
    <w:rsid w:val="004D583F"/>
    <w:rsid w:val="004E5160"/>
    <w:rsid w:val="004E597C"/>
    <w:rsid w:val="004F129A"/>
    <w:rsid w:val="004F28E3"/>
    <w:rsid w:val="005049D2"/>
    <w:rsid w:val="00507F42"/>
    <w:rsid w:val="00523745"/>
    <w:rsid w:val="00526205"/>
    <w:rsid w:val="00526F02"/>
    <w:rsid w:val="00530633"/>
    <w:rsid w:val="00530895"/>
    <w:rsid w:val="00532EDD"/>
    <w:rsid w:val="00533200"/>
    <w:rsid w:val="00550676"/>
    <w:rsid w:val="0055187D"/>
    <w:rsid w:val="0055214C"/>
    <w:rsid w:val="00573E6A"/>
    <w:rsid w:val="005925BE"/>
    <w:rsid w:val="00595F26"/>
    <w:rsid w:val="005A13D0"/>
    <w:rsid w:val="005B1A0E"/>
    <w:rsid w:val="005B2001"/>
    <w:rsid w:val="005B5122"/>
    <w:rsid w:val="005B65A3"/>
    <w:rsid w:val="005B6979"/>
    <w:rsid w:val="005D0FD5"/>
    <w:rsid w:val="005D782F"/>
    <w:rsid w:val="005E5AA5"/>
    <w:rsid w:val="00607246"/>
    <w:rsid w:val="006112AB"/>
    <w:rsid w:val="006133E3"/>
    <w:rsid w:val="006226AD"/>
    <w:rsid w:val="006246D8"/>
    <w:rsid w:val="00624B4A"/>
    <w:rsid w:val="006256C6"/>
    <w:rsid w:val="006509AA"/>
    <w:rsid w:val="006515CB"/>
    <w:rsid w:val="00652DFD"/>
    <w:rsid w:val="00653C09"/>
    <w:rsid w:val="00655DFB"/>
    <w:rsid w:val="00657263"/>
    <w:rsid w:val="006622B9"/>
    <w:rsid w:val="00663FFD"/>
    <w:rsid w:val="00665211"/>
    <w:rsid w:val="00666C65"/>
    <w:rsid w:val="00670AAE"/>
    <w:rsid w:val="00672B65"/>
    <w:rsid w:val="006853D1"/>
    <w:rsid w:val="00687A76"/>
    <w:rsid w:val="00695D18"/>
    <w:rsid w:val="0069742B"/>
    <w:rsid w:val="00697E35"/>
    <w:rsid w:val="006A06F5"/>
    <w:rsid w:val="006B469D"/>
    <w:rsid w:val="006B6377"/>
    <w:rsid w:val="006D0019"/>
    <w:rsid w:val="006D4FBA"/>
    <w:rsid w:val="006E39FC"/>
    <w:rsid w:val="006E652D"/>
    <w:rsid w:val="006F76C9"/>
    <w:rsid w:val="007015D4"/>
    <w:rsid w:val="00703BC7"/>
    <w:rsid w:val="0071551E"/>
    <w:rsid w:val="0071764C"/>
    <w:rsid w:val="00720BC4"/>
    <w:rsid w:val="00721E71"/>
    <w:rsid w:val="00723F14"/>
    <w:rsid w:val="00733A44"/>
    <w:rsid w:val="00740497"/>
    <w:rsid w:val="00743597"/>
    <w:rsid w:val="007509A9"/>
    <w:rsid w:val="00755975"/>
    <w:rsid w:val="00757C92"/>
    <w:rsid w:val="00767DDF"/>
    <w:rsid w:val="00775038"/>
    <w:rsid w:val="00776EFC"/>
    <w:rsid w:val="007842A1"/>
    <w:rsid w:val="00785285"/>
    <w:rsid w:val="0079072D"/>
    <w:rsid w:val="00797E9E"/>
    <w:rsid w:val="007B3013"/>
    <w:rsid w:val="007D5373"/>
    <w:rsid w:val="007D6FE1"/>
    <w:rsid w:val="007E3B01"/>
    <w:rsid w:val="007F31B6"/>
    <w:rsid w:val="007F51D4"/>
    <w:rsid w:val="00814501"/>
    <w:rsid w:val="00823E4D"/>
    <w:rsid w:val="00831F1F"/>
    <w:rsid w:val="00835B9F"/>
    <w:rsid w:val="008535C5"/>
    <w:rsid w:val="0085449A"/>
    <w:rsid w:val="008555EF"/>
    <w:rsid w:val="0085705B"/>
    <w:rsid w:val="00866DAC"/>
    <w:rsid w:val="00870D26"/>
    <w:rsid w:val="00873F09"/>
    <w:rsid w:val="00883606"/>
    <w:rsid w:val="00887F01"/>
    <w:rsid w:val="0089098B"/>
    <w:rsid w:val="00891B8A"/>
    <w:rsid w:val="00892B25"/>
    <w:rsid w:val="008A7735"/>
    <w:rsid w:val="008B0788"/>
    <w:rsid w:val="008B17D8"/>
    <w:rsid w:val="008B63D4"/>
    <w:rsid w:val="008C3E01"/>
    <w:rsid w:val="008C61F1"/>
    <w:rsid w:val="008D194D"/>
    <w:rsid w:val="008E1C6F"/>
    <w:rsid w:val="008E4FB4"/>
    <w:rsid w:val="008F7FB4"/>
    <w:rsid w:val="009030B7"/>
    <w:rsid w:val="00904573"/>
    <w:rsid w:val="00904785"/>
    <w:rsid w:val="00907F2B"/>
    <w:rsid w:val="00922402"/>
    <w:rsid w:val="00922A51"/>
    <w:rsid w:val="0092326C"/>
    <w:rsid w:val="00924576"/>
    <w:rsid w:val="0093350B"/>
    <w:rsid w:val="00940EC2"/>
    <w:rsid w:val="00950ECB"/>
    <w:rsid w:val="0095587F"/>
    <w:rsid w:val="00974F88"/>
    <w:rsid w:val="00975DE7"/>
    <w:rsid w:val="009764A4"/>
    <w:rsid w:val="009768E4"/>
    <w:rsid w:val="0098349A"/>
    <w:rsid w:val="009A1FA6"/>
    <w:rsid w:val="009A2FEA"/>
    <w:rsid w:val="009A3EBE"/>
    <w:rsid w:val="009B144A"/>
    <w:rsid w:val="009B34E9"/>
    <w:rsid w:val="009C1E76"/>
    <w:rsid w:val="009C7280"/>
    <w:rsid w:val="009D2535"/>
    <w:rsid w:val="009E2AA5"/>
    <w:rsid w:val="009E4ADC"/>
    <w:rsid w:val="009E6AE5"/>
    <w:rsid w:val="009F2E5E"/>
    <w:rsid w:val="00A066A5"/>
    <w:rsid w:val="00A07499"/>
    <w:rsid w:val="00A07FCD"/>
    <w:rsid w:val="00A1338B"/>
    <w:rsid w:val="00A14EE3"/>
    <w:rsid w:val="00A347F2"/>
    <w:rsid w:val="00A4033B"/>
    <w:rsid w:val="00A479A4"/>
    <w:rsid w:val="00A51D2F"/>
    <w:rsid w:val="00A56913"/>
    <w:rsid w:val="00A63792"/>
    <w:rsid w:val="00A66310"/>
    <w:rsid w:val="00A6782F"/>
    <w:rsid w:val="00A711DB"/>
    <w:rsid w:val="00A962D0"/>
    <w:rsid w:val="00A97AA8"/>
    <w:rsid w:val="00AA7D5D"/>
    <w:rsid w:val="00AB0D22"/>
    <w:rsid w:val="00AC67E1"/>
    <w:rsid w:val="00AC67E5"/>
    <w:rsid w:val="00AC6B3B"/>
    <w:rsid w:val="00AD1F35"/>
    <w:rsid w:val="00AE1916"/>
    <w:rsid w:val="00AF0895"/>
    <w:rsid w:val="00AF490B"/>
    <w:rsid w:val="00B13DEF"/>
    <w:rsid w:val="00B172A6"/>
    <w:rsid w:val="00B17E4B"/>
    <w:rsid w:val="00B20F54"/>
    <w:rsid w:val="00B22FBB"/>
    <w:rsid w:val="00B24B9F"/>
    <w:rsid w:val="00B46093"/>
    <w:rsid w:val="00B51EA6"/>
    <w:rsid w:val="00B67214"/>
    <w:rsid w:val="00B73B8B"/>
    <w:rsid w:val="00B73DA3"/>
    <w:rsid w:val="00B74331"/>
    <w:rsid w:val="00B80593"/>
    <w:rsid w:val="00B80D77"/>
    <w:rsid w:val="00B9573E"/>
    <w:rsid w:val="00B97C22"/>
    <w:rsid w:val="00BA5883"/>
    <w:rsid w:val="00BC006A"/>
    <w:rsid w:val="00BC0714"/>
    <w:rsid w:val="00BE29FE"/>
    <w:rsid w:val="00BE4185"/>
    <w:rsid w:val="00BE7D2A"/>
    <w:rsid w:val="00BF16A7"/>
    <w:rsid w:val="00BF5262"/>
    <w:rsid w:val="00C0484D"/>
    <w:rsid w:val="00C04D93"/>
    <w:rsid w:val="00C11593"/>
    <w:rsid w:val="00C224ED"/>
    <w:rsid w:val="00C3398D"/>
    <w:rsid w:val="00C3505C"/>
    <w:rsid w:val="00C41361"/>
    <w:rsid w:val="00C45F5D"/>
    <w:rsid w:val="00C4632E"/>
    <w:rsid w:val="00C47A19"/>
    <w:rsid w:val="00C634DD"/>
    <w:rsid w:val="00C75FC2"/>
    <w:rsid w:val="00C82022"/>
    <w:rsid w:val="00CA04ED"/>
    <w:rsid w:val="00CA0CAA"/>
    <w:rsid w:val="00CA3464"/>
    <w:rsid w:val="00CB3F1D"/>
    <w:rsid w:val="00CB5E8C"/>
    <w:rsid w:val="00CC427B"/>
    <w:rsid w:val="00CF5D53"/>
    <w:rsid w:val="00CF7B1F"/>
    <w:rsid w:val="00D007CB"/>
    <w:rsid w:val="00D01584"/>
    <w:rsid w:val="00D01CDE"/>
    <w:rsid w:val="00D0206C"/>
    <w:rsid w:val="00D07690"/>
    <w:rsid w:val="00D132A3"/>
    <w:rsid w:val="00D133CE"/>
    <w:rsid w:val="00D1363C"/>
    <w:rsid w:val="00D2417F"/>
    <w:rsid w:val="00D27A32"/>
    <w:rsid w:val="00D36B86"/>
    <w:rsid w:val="00D37A8D"/>
    <w:rsid w:val="00D408C9"/>
    <w:rsid w:val="00D51B9D"/>
    <w:rsid w:val="00D62A9D"/>
    <w:rsid w:val="00D63203"/>
    <w:rsid w:val="00D66DBE"/>
    <w:rsid w:val="00D67BE8"/>
    <w:rsid w:val="00D731FC"/>
    <w:rsid w:val="00D813CC"/>
    <w:rsid w:val="00D86DFB"/>
    <w:rsid w:val="00DA1735"/>
    <w:rsid w:val="00DA7693"/>
    <w:rsid w:val="00DB2538"/>
    <w:rsid w:val="00DC29B0"/>
    <w:rsid w:val="00DC4C99"/>
    <w:rsid w:val="00DC5BD8"/>
    <w:rsid w:val="00DC653C"/>
    <w:rsid w:val="00DC6EBE"/>
    <w:rsid w:val="00DD4673"/>
    <w:rsid w:val="00DD547E"/>
    <w:rsid w:val="00DE4456"/>
    <w:rsid w:val="00DE65FD"/>
    <w:rsid w:val="00DF1609"/>
    <w:rsid w:val="00E0790D"/>
    <w:rsid w:val="00E17DE7"/>
    <w:rsid w:val="00E3127F"/>
    <w:rsid w:val="00E35A07"/>
    <w:rsid w:val="00E37CE5"/>
    <w:rsid w:val="00E42971"/>
    <w:rsid w:val="00E52369"/>
    <w:rsid w:val="00E54215"/>
    <w:rsid w:val="00E55886"/>
    <w:rsid w:val="00E63542"/>
    <w:rsid w:val="00E636D4"/>
    <w:rsid w:val="00E67C7E"/>
    <w:rsid w:val="00E7189C"/>
    <w:rsid w:val="00E838D6"/>
    <w:rsid w:val="00E83BE2"/>
    <w:rsid w:val="00EA2E84"/>
    <w:rsid w:val="00EA35BA"/>
    <w:rsid w:val="00EA43A7"/>
    <w:rsid w:val="00EB0A53"/>
    <w:rsid w:val="00EB46F3"/>
    <w:rsid w:val="00EB7FB9"/>
    <w:rsid w:val="00EC1AF0"/>
    <w:rsid w:val="00EC1F7D"/>
    <w:rsid w:val="00EE3531"/>
    <w:rsid w:val="00EE4651"/>
    <w:rsid w:val="00EF2F1A"/>
    <w:rsid w:val="00F04E23"/>
    <w:rsid w:val="00F04EC6"/>
    <w:rsid w:val="00F07B70"/>
    <w:rsid w:val="00F13686"/>
    <w:rsid w:val="00F13BAB"/>
    <w:rsid w:val="00F1725A"/>
    <w:rsid w:val="00F20602"/>
    <w:rsid w:val="00F376D4"/>
    <w:rsid w:val="00F402C7"/>
    <w:rsid w:val="00F426F0"/>
    <w:rsid w:val="00F433E4"/>
    <w:rsid w:val="00F54AE2"/>
    <w:rsid w:val="00F56B6F"/>
    <w:rsid w:val="00F57190"/>
    <w:rsid w:val="00F579F9"/>
    <w:rsid w:val="00F64BBC"/>
    <w:rsid w:val="00F77ECB"/>
    <w:rsid w:val="00F80F35"/>
    <w:rsid w:val="00F81FF9"/>
    <w:rsid w:val="00F9652D"/>
    <w:rsid w:val="00F96E05"/>
    <w:rsid w:val="00FA4DB9"/>
    <w:rsid w:val="00FA56B3"/>
    <w:rsid w:val="00FC403C"/>
    <w:rsid w:val="00FC46DF"/>
    <w:rsid w:val="00FD3E1D"/>
    <w:rsid w:val="00FF38AB"/>
    <w:rsid w:val="00FF41FA"/>
    <w:rsid w:val="00FF469E"/>
    <w:rsid w:val="01E042A8"/>
    <w:rsid w:val="020743F8"/>
    <w:rsid w:val="022D479F"/>
    <w:rsid w:val="02352F45"/>
    <w:rsid w:val="023E00C6"/>
    <w:rsid w:val="024851F5"/>
    <w:rsid w:val="02B82774"/>
    <w:rsid w:val="02E13A50"/>
    <w:rsid w:val="034B46A9"/>
    <w:rsid w:val="045970C0"/>
    <w:rsid w:val="05085D1E"/>
    <w:rsid w:val="05A70418"/>
    <w:rsid w:val="066529D7"/>
    <w:rsid w:val="06AE5B33"/>
    <w:rsid w:val="06BB0B3E"/>
    <w:rsid w:val="06D7222E"/>
    <w:rsid w:val="077204A1"/>
    <w:rsid w:val="08C87C08"/>
    <w:rsid w:val="096E4B65"/>
    <w:rsid w:val="09BD7A1D"/>
    <w:rsid w:val="09DC7DA7"/>
    <w:rsid w:val="0AC0002D"/>
    <w:rsid w:val="0AC43C26"/>
    <w:rsid w:val="0AE46665"/>
    <w:rsid w:val="0B6247B1"/>
    <w:rsid w:val="0C12059C"/>
    <w:rsid w:val="0C7C15A4"/>
    <w:rsid w:val="0C815B03"/>
    <w:rsid w:val="0CB615AD"/>
    <w:rsid w:val="0CE97029"/>
    <w:rsid w:val="0D1A1266"/>
    <w:rsid w:val="0D5A73B4"/>
    <w:rsid w:val="0D6C2C74"/>
    <w:rsid w:val="0E613210"/>
    <w:rsid w:val="0E776773"/>
    <w:rsid w:val="0EF45973"/>
    <w:rsid w:val="0F0A5D1F"/>
    <w:rsid w:val="0F380CC4"/>
    <w:rsid w:val="0FA43FB4"/>
    <w:rsid w:val="0FCE5548"/>
    <w:rsid w:val="0FF70A71"/>
    <w:rsid w:val="101D488F"/>
    <w:rsid w:val="106541A3"/>
    <w:rsid w:val="10763828"/>
    <w:rsid w:val="108C74E3"/>
    <w:rsid w:val="1149588D"/>
    <w:rsid w:val="126D0FF4"/>
    <w:rsid w:val="12C6171B"/>
    <w:rsid w:val="12CA4CF6"/>
    <w:rsid w:val="13811C1D"/>
    <w:rsid w:val="138D4C2C"/>
    <w:rsid w:val="13CA2696"/>
    <w:rsid w:val="149A722B"/>
    <w:rsid w:val="14D701D8"/>
    <w:rsid w:val="14F3034B"/>
    <w:rsid w:val="151125EB"/>
    <w:rsid w:val="16083972"/>
    <w:rsid w:val="16261CF8"/>
    <w:rsid w:val="16670564"/>
    <w:rsid w:val="1740278A"/>
    <w:rsid w:val="1764581E"/>
    <w:rsid w:val="17914350"/>
    <w:rsid w:val="17AC183B"/>
    <w:rsid w:val="18BA5373"/>
    <w:rsid w:val="191A13B5"/>
    <w:rsid w:val="19630635"/>
    <w:rsid w:val="196E72E7"/>
    <w:rsid w:val="19AC049C"/>
    <w:rsid w:val="1A004C9B"/>
    <w:rsid w:val="1A1F2635"/>
    <w:rsid w:val="1A3D0C36"/>
    <w:rsid w:val="1A3D106D"/>
    <w:rsid w:val="1A431994"/>
    <w:rsid w:val="1BA347B8"/>
    <w:rsid w:val="1BB74B86"/>
    <w:rsid w:val="1BDF7F78"/>
    <w:rsid w:val="1C017291"/>
    <w:rsid w:val="1C054085"/>
    <w:rsid w:val="1D0676EA"/>
    <w:rsid w:val="1D1B2021"/>
    <w:rsid w:val="1D631280"/>
    <w:rsid w:val="1DB113F5"/>
    <w:rsid w:val="1DE41071"/>
    <w:rsid w:val="1E254A7E"/>
    <w:rsid w:val="1E4063AD"/>
    <w:rsid w:val="1E5C456A"/>
    <w:rsid w:val="1E821D56"/>
    <w:rsid w:val="1F7C310D"/>
    <w:rsid w:val="1F84177A"/>
    <w:rsid w:val="1FFA70F6"/>
    <w:rsid w:val="200F6931"/>
    <w:rsid w:val="205F395A"/>
    <w:rsid w:val="20DF71EE"/>
    <w:rsid w:val="20E70FFF"/>
    <w:rsid w:val="20EB2A84"/>
    <w:rsid w:val="21310DCE"/>
    <w:rsid w:val="21610AC4"/>
    <w:rsid w:val="2173756E"/>
    <w:rsid w:val="217C14D6"/>
    <w:rsid w:val="219F0CA5"/>
    <w:rsid w:val="21A96971"/>
    <w:rsid w:val="221D6596"/>
    <w:rsid w:val="222A04C4"/>
    <w:rsid w:val="225174C6"/>
    <w:rsid w:val="22874A70"/>
    <w:rsid w:val="22E47EEE"/>
    <w:rsid w:val="22EA75C7"/>
    <w:rsid w:val="2308699E"/>
    <w:rsid w:val="23233B35"/>
    <w:rsid w:val="23E10CE0"/>
    <w:rsid w:val="2407366D"/>
    <w:rsid w:val="24916161"/>
    <w:rsid w:val="24AA484B"/>
    <w:rsid w:val="24C3188A"/>
    <w:rsid w:val="25033157"/>
    <w:rsid w:val="25BC38CB"/>
    <w:rsid w:val="260D133A"/>
    <w:rsid w:val="2694018E"/>
    <w:rsid w:val="270059FB"/>
    <w:rsid w:val="270B2BB9"/>
    <w:rsid w:val="273656CD"/>
    <w:rsid w:val="28C825F7"/>
    <w:rsid w:val="296D3DE6"/>
    <w:rsid w:val="297C74EE"/>
    <w:rsid w:val="29A04BD6"/>
    <w:rsid w:val="29DC0739"/>
    <w:rsid w:val="2A4F5E91"/>
    <w:rsid w:val="2A811C38"/>
    <w:rsid w:val="2A8613B3"/>
    <w:rsid w:val="2AD53E3B"/>
    <w:rsid w:val="2AE569CF"/>
    <w:rsid w:val="2AFD6660"/>
    <w:rsid w:val="2B265C1C"/>
    <w:rsid w:val="2B9444DE"/>
    <w:rsid w:val="2B99168C"/>
    <w:rsid w:val="2C546EC4"/>
    <w:rsid w:val="2C5B2D58"/>
    <w:rsid w:val="2C8D4493"/>
    <w:rsid w:val="2C904DDF"/>
    <w:rsid w:val="2D31072F"/>
    <w:rsid w:val="2DB54F18"/>
    <w:rsid w:val="2DC25A79"/>
    <w:rsid w:val="2DCD2BED"/>
    <w:rsid w:val="2E967BB8"/>
    <w:rsid w:val="2F6E4894"/>
    <w:rsid w:val="2F7C62D5"/>
    <w:rsid w:val="2F9A06F8"/>
    <w:rsid w:val="2FBC3E90"/>
    <w:rsid w:val="301C6A51"/>
    <w:rsid w:val="301E3C60"/>
    <w:rsid w:val="30250749"/>
    <w:rsid w:val="30510FC1"/>
    <w:rsid w:val="305D602B"/>
    <w:rsid w:val="30B11026"/>
    <w:rsid w:val="30B24851"/>
    <w:rsid w:val="30F72F23"/>
    <w:rsid w:val="310F33DB"/>
    <w:rsid w:val="31891DB2"/>
    <w:rsid w:val="324413E5"/>
    <w:rsid w:val="326648F0"/>
    <w:rsid w:val="327840ED"/>
    <w:rsid w:val="3296466F"/>
    <w:rsid w:val="329E1C3A"/>
    <w:rsid w:val="32C45593"/>
    <w:rsid w:val="33032D79"/>
    <w:rsid w:val="349E0DAD"/>
    <w:rsid w:val="34AC1C15"/>
    <w:rsid w:val="34B77FA5"/>
    <w:rsid w:val="35215C00"/>
    <w:rsid w:val="35245B38"/>
    <w:rsid w:val="35A1630B"/>
    <w:rsid w:val="36223FD2"/>
    <w:rsid w:val="37041CD5"/>
    <w:rsid w:val="37FA019B"/>
    <w:rsid w:val="384373FD"/>
    <w:rsid w:val="385E2F03"/>
    <w:rsid w:val="38AB6FA3"/>
    <w:rsid w:val="392F0587"/>
    <w:rsid w:val="393C2A8C"/>
    <w:rsid w:val="395A656F"/>
    <w:rsid w:val="3A667AB6"/>
    <w:rsid w:val="3B8704E5"/>
    <w:rsid w:val="3B967623"/>
    <w:rsid w:val="3C154281"/>
    <w:rsid w:val="3C2F3BE7"/>
    <w:rsid w:val="3C8462BD"/>
    <w:rsid w:val="3D776F98"/>
    <w:rsid w:val="3D792226"/>
    <w:rsid w:val="3D99444D"/>
    <w:rsid w:val="3EC61C1E"/>
    <w:rsid w:val="3EEF4D83"/>
    <w:rsid w:val="3EFB5264"/>
    <w:rsid w:val="3F4613DF"/>
    <w:rsid w:val="3F496374"/>
    <w:rsid w:val="3F6541B1"/>
    <w:rsid w:val="400A50B1"/>
    <w:rsid w:val="4086394F"/>
    <w:rsid w:val="410609EB"/>
    <w:rsid w:val="41172470"/>
    <w:rsid w:val="418D58FC"/>
    <w:rsid w:val="41F31290"/>
    <w:rsid w:val="41F80DF4"/>
    <w:rsid w:val="42D84AB4"/>
    <w:rsid w:val="43CA4BEB"/>
    <w:rsid w:val="43EA35FD"/>
    <w:rsid w:val="4441000C"/>
    <w:rsid w:val="44790DF5"/>
    <w:rsid w:val="449E35CA"/>
    <w:rsid w:val="44A72DD8"/>
    <w:rsid w:val="44EC0490"/>
    <w:rsid w:val="45465342"/>
    <w:rsid w:val="45800359"/>
    <w:rsid w:val="45A65686"/>
    <w:rsid w:val="45DA3058"/>
    <w:rsid w:val="46FA7CA7"/>
    <w:rsid w:val="47AD7857"/>
    <w:rsid w:val="47B5248A"/>
    <w:rsid w:val="48B06CEF"/>
    <w:rsid w:val="48B2670A"/>
    <w:rsid w:val="48D15F46"/>
    <w:rsid w:val="48E82866"/>
    <w:rsid w:val="49485514"/>
    <w:rsid w:val="495E27F5"/>
    <w:rsid w:val="49F5003C"/>
    <w:rsid w:val="49FC4CFB"/>
    <w:rsid w:val="4B6F5A66"/>
    <w:rsid w:val="4B9C22E3"/>
    <w:rsid w:val="4C083E5F"/>
    <w:rsid w:val="4C356B71"/>
    <w:rsid w:val="4C5206BB"/>
    <w:rsid w:val="4C9463B1"/>
    <w:rsid w:val="4CFE2145"/>
    <w:rsid w:val="4CFF6975"/>
    <w:rsid w:val="4D2D0CB8"/>
    <w:rsid w:val="4D58134D"/>
    <w:rsid w:val="4DB611CC"/>
    <w:rsid w:val="4E1D659A"/>
    <w:rsid w:val="4E2A64ED"/>
    <w:rsid w:val="4EBD06F9"/>
    <w:rsid w:val="4F2014ED"/>
    <w:rsid w:val="4F9D626D"/>
    <w:rsid w:val="4FCA622F"/>
    <w:rsid w:val="50577DD1"/>
    <w:rsid w:val="51731390"/>
    <w:rsid w:val="517864D2"/>
    <w:rsid w:val="51982A79"/>
    <w:rsid w:val="51E96EC0"/>
    <w:rsid w:val="51EB6DC5"/>
    <w:rsid w:val="52797507"/>
    <w:rsid w:val="538E4F02"/>
    <w:rsid w:val="53A72B10"/>
    <w:rsid w:val="5498188C"/>
    <w:rsid w:val="550E2BF5"/>
    <w:rsid w:val="551A13CF"/>
    <w:rsid w:val="55EA77FC"/>
    <w:rsid w:val="56E5732D"/>
    <w:rsid w:val="575E1A50"/>
    <w:rsid w:val="585F4660"/>
    <w:rsid w:val="58CB6392"/>
    <w:rsid w:val="59254CA6"/>
    <w:rsid w:val="59652ACD"/>
    <w:rsid w:val="59DE20B9"/>
    <w:rsid w:val="5B7E4F3E"/>
    <w:rsid w:val="5BD07502"/>
    <w:rsid w:val="5C054693"/>
    <w:rsid w:val="5C061AC0"/>
    <w:rsid w:val="5CA13808"/>
    <w:rsid w:val="5D074475"/>
    <w:rsid w:val="5D9215D2"/>
    <w:rsid w:val="5DAA4072"/>
    <w:rsid w:val="5E251234"/>
    <w:rsid w:val="5E812AD0"/>
    <w:rsid w:val="5E937E96"/>
    <w:rsid w:val="5EBA7F67"/>
    <w:rsid w:val="5FB72BD7"/>
    <w:rsid w:val="601F580B"/>
    <w:rsid w:val="60297A0F"/>
    <w:rsid w:val="60454154"/>
    <w:rsid w:val="613D1B19"/>
    <w:rsid w:val="618805FB"/>
    <w:rsid w:val="61E64014"/>
    <w:rsid w:val="62B45B4A"/>
    <w:rsid w:val="62BF252B"/>
    <w:rsid w:val="62FD2B57"/>
    <w:rsid w:val="63E92F33"/>
    <w:rsid w:val="642869B6"/>
    <w:rsid w:val="6441180A"/>
    <w:rsid w:val="652313A2"/>
    <w:rsid w:val="659C3804"/>
    <w:rsid w:val="65B52BA1"/>
    <w:rsid w:val="65CC7E10"/>
    <w:rsid w:val="66180A2D"/>
    <w:rsid w:val="670F08E7"/>
    <w:rsid w:val="675057FE"/>
    <w:rsid w:val="675D65EB"/>
    <w:rsid w:val="676C55A5"/>
    <w:rsid w:val="680C4F66"/>
    <w:rsid w:val="68990630"/>
    <w:rsid w:val="68FF55C2"/>
    <w:rsid w:val="69752BFC"/>
    <w:rsid w:val="6A942E4C"/>
    <w:rsid w:val="6A9D28CF"/>
    <w:rsid w:val="6B0C1F8A"/>
    <w:rsid w:val="6B531521"/>
    <w:rsid w:val="6B8A316D"/>
    <w:rsid w:val="6BD24B2F"/>
    <w:rsid w:val="6BDC3041"/>
    <w:rsid w:val="6BF80CF4"/>
    <w:rsid w:val="6C8E4C7E"/>
    <w:rsid w:val="6CCA7E16"/>
    <w:rsid w:val="6CDF702A"/>
    <w:rsid w:val="6CF13327"/>
    <w:rsid w:val="6CF6634C"/>
    <w:rsid w:val="6D69669A"/>
    <w:rsid w:val="6DA668D8"/>
    <w:rsid w:val="6DCD3A86"/>
    <w:rsid w:val="6E9465EC"/>
    <w:rsid w:val="6EAC3BCE"/>
    <w:rsid w:val="6FAC694B"/>
    <w:rsid w:val="700535A9"/>
    <w:rsid w:val="7030681E"/>
    <w:rsid w:val="70965EDE"/>
    <w:rsid w:val="70C86FD3"/>
    <w:rsid w:val="70C96590"/>
    <w:rsid w:val="712903E3"/>
    <w:rsid w:val="714659E7"/>
    <w:rsid w:val="716B53AA"/>
    <w:rsid w:val="71C21EB3"/>
    <w:rsid w:val="7235077F"/>
    <w:rsid w:val="728E1017"/>
    <w:rsid w:val="73204C02"/>
    <w:rsid w:val="73441DAF"/>
    <w:rsid w:val="73B11555"/>
    <w:rsid w:val="73B65803"/>
    <w:rsid w:val="73EC6906"/>
    <w:rsid w:val="740C1A4E"/>
    <w:rsid w:val="74101E63"/>
    <w:rsid w:val="7419487F"/>
    <w:rsid w:val="744323D7"/>
    <w:rsid w:val="74443F70"/>
    <w:rsid w:val="747638DD"/>
    <w:rsid w:val="75E00843"/>
    <w:rsid w:val="76763852"/>
    <w:rsid w:val="769F3136"/>
    <w:rsid w:val="76D62F36"/>
    <w:rsid w:val="77C85150"/>
    <w:rsid w:val="77DE1392"/>
    <w:rsid w:val="7865733D"/>
    <w:rsid w:val="78A5607B"/>
    <w:rsid w:val="797349AE"/>
    <w:rsid w:val="79A375A8"/>
    <w:rsid w:val="7A6355AB"/>
    <w:rsid w:val="7A863273"/>
    <w:rsid w:val="7AD0252A"/>
    <w:rsid w:val="7AED0D58"/>
    <w:rsid w:val="7B143194"/>
    <w:rsid w:val="7B6E1AEB"/>
    <w:rsid w:val="7BE85CCC"/>
    <w:rsid w:val="7CD31492"/>
    <w:rsid w:val="7CD81769"/>
    <w:rsid w:val="7DA20D33"/>
    <w:rsid w:val="7E294AE7"/>
    <w:rsid w:val="7E6D14BD"/>
    <w:rsid w:val="7F406D02"/>
    <w:rsid w:val="7FB46373"/>
    <w:rsid w:val="7FCE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4"/>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70"/>
    <w:qFormat/>
    <w:uiPriority w:val="0"/>
    <w:pPr>
      <w:keepNext/>
      <w:keepLines/>
      <w:spacing w:line="360" w:lineRule="auto"/>
      <w:outlineLvl w:val="2"/>
    </w:pPr>
    <w:rPr>
      <w:rFonts w:eastAsia="黑体"/>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36">
    <w:name w:val="Default Paragraph Font"/>
    <w:unhideWhenUsed/>
    <w:qFormat/>
    <w:uiPriority w:val="1"/>
  </w:style>
  <w:style w:type="table" w:default="1" w:styleId="42">
    <w:name w:val="Normal Table"/>
    <w:unhideWhenUsed/>
    <w:qFormat/>
    <w:uiPriority w:val="99"/>
    <w:tblPr>
      <w:tblLayout w:type="fixed"/>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annotation subject"/>
    <w:basedOn w:val="13"/>
    <w:next w:val="13"/>
    <w:link w:val="78"/>
    <w:qFormat/>
    <w:uiPriority w:val="0"/>
    <w:rPr>
      <w:b/>
      <w:bCs/>
    </w:rPr>
  </w:style>
  <w:style w:type="paragraph" w:styleId="13">
    <w:name w:val="annotation text"/>
    <w:basedOn w:val="1"/>
    <w:link w:val="66"/>
    <w:qFormat/>
    <w:uiPriority w:val="0"/>
    <w:pPr>
      <w:jc w:val="left"/>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Body Text 3"/>
    <w:basedOn w:val="1"/>
    <w:qFormat/>
    <w:uiPriority w:val="0"/>
    <w:pPr>
      <w:spacing w:line="500" w:lineRule="exact"/>
    </w:pPr>
    <w:rPr>
      <w:b/>
      <w:bCs/>
      <w:sz w:val="24"/>
    </w:rPr>
  </w:style>
  <w:style w:type="paragraph" w:styleId="18">
    <w:name w:val="Body Text"/>
    <w:basedOn w:val="1"/>
    <w:qFormat/>
    <w:uiPriority w:val="0"/>
    <w:pPr>
      <w:spacing w:line="380" w:lineRule="exact"/>
    </w:pPr>
    <w:rPr>
      <w:sz w:val="24"/>
    </w:rPr>
  </w:style>
  <w:style w:type="paragraph" w:styleId="19">
    <w:name w:val="Body Text Indent"/>
    <w:basedOn w:val="1"/>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Plain Text"/>
    <w:basedOn w:val="1"/>
    <w:link w:val="75"/>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qFormat/>
    <w:uiPriority w:val="0"/>
    <w:rPr>
      <w:sz w:val="18"/>
      <w:szCs w:val="18"/>
    </w:rPr>
  </w:style>
  <w:style w:type="paragraph" w:styleId="26">
    <w:name w:val="footer"/>
    <w:basedOn w:val="1"/>
    <w:link w:val="77"/>
    <w:qFormat/>
    <w:uiPriority w:val="0"/>
    <w:pPr>
      <w:tabs>
        <w:tab w:val="center" w:pos="4153"/>
        <w:tab w:val="right" w:pos="8306"/>
      </w:tabs>
      <w:snapToGrid w:val="0"/>
      <w:jc w:val="left"/>
    </w:pPr>
    <w:rPr>
      <w:sz w:val="18"/>
      <w:szCs w:val="18"/>
    </w:rPr>
  </w:style>
  <w:style w:type="paragraph" w:styleId="27">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unhideWhenUsed/>
    <w:qFormat/>
    <w:uiPriority w:val="39"/>
    <w:pPr>
      <w:ind w:left="420" w:leftChars="200"/>
    </w:pPr>
  </w:style>
  <w:style w:type="paragraph" w:styleId="32">
    <w:name w:val="Body Text 2"/>
    <w:basedOn w:val="1"/>
    <w:qFormat/>
    <w:uiPriority w:val="0"/>
    <w:pPr>
      <w:spacing w:after="120" w:line="480" w:lineRule="auto"/>
    </w:pPr>
  </w:style>
  <w:style w:type="paragraph" w:styleId="33">
    <w:name w:val="HTML Preformatted"/>
    <w:basedOn w:val="1"/>
    <w:link w:val="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qFormat/>
    <w:uiPriority w:val="0"/>
    <w:pPr>
      <w:spacing w:line="400" w:lineRule="exact"/>
      <w:ind w:firstLine="420" w:firstLineChars="200"/>
    </w:pPr>
    <w:rPr>
      <w:rFonts w:ascii="宋体" w:hAnsi="Courier New"/>
      <w:b/>
      <w:szCs w:val="20"/>
    </w:rPr>
  </w:style>
  <w:style w:type="character" w:styleId="37">
    <w:name w:val="Strong"/>
    <w:basedOn w:val="36"/>
    <w:qFormat/>
    <w:uiPriority w:val="0"/>
    <w:rPr>
      <w:rFonts w:ascii="Times New Roman" w:hAnsi="Times New Roman" w:eastAsia="宋体"/>
      <w:b/>
      <w:bCs/>
    </w:rPr>
  </w:style>
  <w:style w:type="character" w:styleId="38">
    <w:name w:val="page number"/>
    <w:basedOn w:val="36"/>
    <w:qFormat/>
    <w:uiPriority w:val="0"/>
    <w:rPr>
      <w:rFonts w:ascii="Times New Roman" w:hAnsi="Times New Roman" w:eastAsia="宋体"/>
    </w:rPr>
  </w:style>
  <w:style w:type="character" w:styleId="39">
    <w:name w:val="FollowedHyperlink"/>
    <w:qFormat/>
    <w:uiPriority w:val="0"/>
    <w:rPr>
      <w:rFonts w:ascii="Times New Roman" w:hAnsi="Times New Roman" w:eastAsia="宋体"/>
      <w:color w:val="800080"/>
      <w:u w:val="single"/>
    </w:rPr>
  </w:style>
  <w:style w:type="character" w:styleId="40">
    <w:name w:val="Hyperlink"/>
    <w:qFormat/>
    <w:uiPriority w:val="0"/>
    <w:rPr>
      <w:rFonts w:ascii="Times New Roman" w:hAnsi="Times New Roman" w:eastAsia="宋体"/>
      <w:color w:val="0000FF"/>
      <w:u w:val="single"/>
    </w:rPr>
  </w:style>
  <w:style w:type="character" w:styleId="41">
    <w:name w:val="annotation reference"/>
    <w:qFormat/>
    <w:uiPriority w:val="0"/>
    <w:rPr>
      <w:rFonts w:ascii="Times New Roman" w:hAnsi="Times New Roman" w:eastAsia="宋体"/>
      <w:sz w:val="21"/>
      <w:szCs w:val="21"/>
    </w:rPr>
  </w:style>
  <w:style w:type="paragraph" w:customStyle="1" w:styleId="43">
    <w:name w:val="表格文字"/>
    <w:basedOn w:val="1"/>
    <w:qFormat/>
    <w:uiPriority w:val="0"/>
    <w:pPr>
      <w:spacing w:before="25" w:after="25"/>
    </w:pPr>
    <w:rPr>
      <w:bCs/>
      <w:spacing w:val="10"/>
      <w:kern w:val="0"/>
    </w:rPr>
  </w:style>
  <w:style w:type="paragraph" w:customStyle="1" w:styleId="4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_Style 35"/>
    <w:basedOn w:val="16"/>
    <w:qFormat/>
    <w:uiPriority w:val="0"/>
    <w:pPr>
      <w:widowControl/>
      <w:ind w:firstLine="454"/>
      <w:jc w:val="left"/>
    </w:pPr>
  </w:style>
  <w:style w:type="paragraph" w:customStyle="1" w:styleId="48">
    <w:name w:val="1"/>
    <w:basedOn w:val="1"/>
    <w:next w:val="22"/>
    <w:qFormat/>
    <w:uiPriority w:val="0"/>
    <w:rPr>
      <w:rFonts w:ascii="宋体" w:hAnsi="Courier New"/>
      <w:szCs w:val="20"/>
    </w:rPr>
  </w:style>
  <w:style w:type="paragraph" w:customStyle="1" w:styleId="4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50">
    <w:name w:val="1ji"/>
    <w:basedOn w:val="2"/>
    <w:link w:val="63"/>
    <w:qFormat/>
    <w:uiPriority w:val="0"/>
    <w:pPr>
      <w:widowControl/>
      <w:spacing w:before="0" w:after="0" w:line="240" w:lineRule="auto"/>
      <w:jc w:val="center"/>
    </w:pPr>
    <w:rPr>
      <w:rFonts w:ascii="宋体" w:hAnsi="宋体"/>
      <w:sz w:val="36"/>
    </w:rPr>
  </w:style>
  <w:style w:type="paragraph" w:customStyle="1" w:styleId="51">
    <w:name w:val="Char"/>
    <w:basedOn w:val="16"/>
    <w:qFormat/>
    <w:uiPriority w:val="0"/>
    <w:pPr>
      <w:widowControl/>
      <w:ind w:firstLine="454"/>
      <w:jc w:val="left"/>
    </w:pPr>
    <w:rPr>
      <w:rFonts w:ascii="Tahoma" w:hAnsi="Tahoma" w:cs="宋体"/>
      <w:kern w:val="0"/>
      <w:sz w:val="24"/>
      <w:szCs w:val="20"/>
    </w:rPr>
  </w:style>
  <w:style w:type="paragraph" w:customStyle="1" w:styleId="52">
    <w:name w:val="中等深浅网格 1 - 强调文字颜色 21"/>
    <w:basedOn w:val="1"/>
    <w:qFormat/>
    <w:uiPriority w:val="0"/>
    <w:pPr>
      <w:widowControl/>
      <w:ind w:firstLine="420" w:firstLineChars="200"/>
      <w:jc w:val="left"/>
    </w:pPr>
    <w:rPr>
      <w:rFonts w:ascii="宋体" w:hAnsi="宋体" w:cs="宋体"/>
      <w:kern w:val="0"/>
      <w:sz w:val="24"/>
    </w:rPr>
  </w:style>
  <w:style w:type="paragraph" w:customStyle="1" w:styleId="5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54">
    <w:name w:val="默认段落字体 Para Char Char Char Char Char Char Char Char Char1 Char Char Char Char"/>
    <w:basedOn w:val="1"/>
    <w:qFormat/>
    <w:uiPriority w:val="0"/>
    <w:rPr>
      <w:rFonts w:ascii="Tahoma" w:hAnsi="Tahoma"/>
      <w:sz w:val="24"/>
      <w:szCs w:val="20"/>
    </w:rPr>
  </w:style>
  <w:style w:type="paragraph" w:customStyle="1" w:styleId="55">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56">
    <w:name w:val="正文段"/>
    <w:basedOn w:val="1"/>
    <w:qFormat/>
    <w:uiPriority w:val="0"/>
    <w:pPr>
      <w:widowControl/>
      <w:snapToGrid w:val="0"/>
      <w:spacing w:afterLines="50"/>
      <w:ind w:firstLine="200" w:firstLineChars="200"/>
    </w:pPr>
    <w:rPr>
      <w:kern w:val="0"/>
      <w:sz w:val="24"/>
      <w:szCs w:val="20"/>
    </w:rPr>
  </w:style>
  <w:style w:type="paragraph" w:customStyle="1" w:styleId="57">
    <w:name w:val="Char1"/>
    <w:basedOn w:val="16"/>
    <w:qFormat/>
    <w:uiPriority w:val="0"/>
    <w:pPr>
      <w:widowControl/>
      <w:ind w:firstLine="454"/>
      <w:jc w:val="left"/>
    </w:pPr>
    <w:rPr>
      <w:rFonts w:ascii="Tahoma" w:hAnsi="Tahoma" w:cs="宋体"/>
      <w:kern w:val="0"/>
      <w:sz w:val="24"/>
      <w:szCs w:val="20"/>
    </w:rPr>
  </w:style>
  <w:style w:type="paragraph" w:customStyle="1" w:styleId="58">
    <w:name w:val="列出段落1"/>
    <w:basedOn w:val="1"/>
    <w:qFormat/>
    <w:uiPriority w:val="0"/>
    <w:pPr>
      <w:ind w:firstLine="420" w:firstLineChars="200"/>
    </w:pPr>
    <w:rPr>
      <w:rFonts w:ascii="Calibri" w:hAnsi="Calibri"/>
      <w:szCs w:val="22"/>
    </w:rPr>
  </w:style>
  <w:style w:type="paragraph" w:customStyle="1" w:styleId="59">
    <w:name w:val="正文缩进1"/>
    <w:basedOn w:val="1"/>
    <w:qFormat/>
    <w:uiPriority w:val="0"/>
    <w:pPr>
      <w:ind w:firstLine="420"/>
    </w:pPr>
    <w:rPr>
      <w:rFonts w:ascii="Calibri" w:hAnsi="Calibri"/>
      <w:szCs w:val="20"/>
    </w:rPr>
  </w:style>
  <w:style w:type="character" w:customStyle="1" w:styleId="60">
    <w:name w:val="displayarti"/>
    <w:basedOn w:val="36"/>
    <w:qFormat/>
    <w:uiPriority w:val="0"/>
    <w:rPr>
      <w:color w:val="FFFFFF"/>
      <w:shd w:val="clear" w:color="auto" w:fill="A00000"/>
    </w:rPr>
  </w:style>
  <w:style w:type="character" w:customStyle="1" w:styleId="61">
    <w:name w:val="普通文字 Char Char2"/>
    <w:qFormat/>
    <w:uiPriority w:val="0"/>
    <w:rPr>
      <w:rFonts w:ascii="宋体" w:hAnsi="Courier New" w:eastAsia="宋体"/>
      <w:kern w:val="2"/>
      <w:sz w:val="21"/>
      <w:lang w:val="en-US" w:eastAsia="zh-CN" w:bidi="ar-SA"/>
    </w:rPr>
  </w:style>
  <w:style w:type="character" w:customStyle="1" w:styleId="62">
    <w:name w:val="标题 4 字符"/>
    <w:link w:val="5"/>
    <w:qFormat/>
    <w:uiPriority w:val="0"/>
    <w:rPr>
      <w:rFonts w:ascii="Cambria" w:hAnsi="Cambria" w:eastAsia="宋体" w:cs="Times New Roman"/>
      <w:b/>
      <w:bCs/>
      <w:kern w:val="2"/>
      <w:sz w:val="28"/>
      <w:szCs w:val="28"/>
    </w:rPr>
  </w:style>
  <w:style w:type="character" w:customStyle="1" w:styleId="63">
    <w:name w:val="1ji Char"/>
    <w:link w:val="50"/>
    <w:qFormat/>
    <w:uiPriority w:val="0"/>
    <w:rPr>
      <w:rFonts w:ascii="宋体" w:hAnsi="宋体" w:eastAsia="宋体"/>
      <w:b/>
      <w:bCs/>
      <w:kern w:val="44"/>
      <w:sz w:val="36"/>
      <w:szCs w:val="44"/>
      <w:lang w:val="en-US" w:eastAsia="zh-CN" w:bidi="ar-SA"/>
    </w:rPr>
  </w:style>
  <w:style w:type="character" w:customStyle="1" w:styleId="64">
    <w:name w:val="标题 2 字符"/>
    <w:link w:val="3"/>
    <w:qFormat/>
    <w:uiPriority w:val="0"/>
    <w:rPr>
      <w:rFonts w:ascii="Cambria" w:hAnsi="Cambria" w:eastAsia="宋体" w:cs="Times New Roman"/>
      <w:b/>
      <w:bCs/>
      <w:kern w:val="2"/>
      <w:sz w:val="32"/>
      <w:szCs w:val="32"/>
    </w:rPr>
  </w:style>
  <w:style w:type="character" w:customStyle="1" w:styleId="65">
    <w:name w:val="页眉 字符"/>
    <w:link w:val="27"/>
    <w:qFormat/>
    <w:uiPriority w:val="0"/>
    <w:rPr>
      <w:rFonts w:ascii="Times New Roman" w:hAnsi="Times New Roman" w:eastAsia="宋体"/>
      <w:kern w:val="2"/>
      <w:sz w:val="18"/>
      <w:szCs w:val="18"/>
    </w:rPr>
  </w:style>
  <w:style w:type="character" w:customStyle="1" w:styleId="66">
    <w:name w:val="批注文字 字符"/>
    <w:link w:val="13"/>
    <w:qFormat/>
    <w:uiPriority w:val="0"/>
    <w:rPr>
      <w:rFonts w:ascii="Times New Roman" w:hAnsi="Times New Roman" w:eastAsia="宋体"/>
      <w:kern w:val="2"/>
      <w:sz w:val="21"/>
      <w:szCs w:val="24"/>
    </w:rPr>
  </w:style>
  <w:style w:type="character" w:customStyle="1" w:styleId="67">
    <w:name w:val="标题 1 字符"/>
    <w:link w:val="2"/>
    <w:qFormat/>
    <w:uiPriority w:val="0"/>
    <w:rPr>
      <w:rFonts w:ascii="Times New Roman" w:hAnsi="Times New Roman" w:eastAsia="宋体"/>
      <w:b/>
      <w:bCs/>
      <w:kern w:val="44"/>
      <w:sz w:val="44"/>
      <w:szCs w:val="44"/>
      <w:lang w:val="en-US" w:eastAsia="zh-CN" w:bidi="ar-SA"/>
    </w:rPr>
  </w:style>
  <w:style w:type="character" w:customStyle="1" w:styleId="68">
    <w:name w:val="gjfg"/>
    <w:basedOn w:val="36"/>
    <w:qFormat/>
    <w:uiPriority w:val="0"/>
  </w:style>
  <w:style w:type="character" w:customStyle="1" w:styleId="69">
    <w:name w:val="HTML 预设格式 字符"/>
    <w:link w:val="33"/>
    <w:qFormat/>
    <w:uiPriority w:val="0"/>
    <w:rPr>
      <w:rFonts w:ascii="宋体" w:hAnsi="宋体" w:eastAsia="宋体" w:cs="宋体"/>
      <w:sz w:val="24"/>
      <w:szCs w:val="24"/>
    </w:rPr>
  </w:style>
  <w:style w:type="character" w:customStyle="1" w:styleId="70">
    <w:name w:val="标题 3 字符"/>
    <w:link w:val="4"/>
    <w:qFormat/>
    <w:uiPriority w:val="0"/>
    <w:rPr>
      <w:rFonts w:ascii="Times New Roman" w:hAnsi="Times New Roman" w:eastAsia="黑体"/>
      <w:b/>
      <w:bCs/>
      <w:kern w:val="2"/>
      <w:sz w:val="24"/>
      <w:szCs w:val="32"/>
      <w:lang w:val="en-US" w:eastAsia="zh-CN" w:bidi="ar-SA"/>
    </w:rPr>
  </w:style>
  <w:style w:type="character" w:customStyle="1" w:styleId="71">
    <w:name w:val="普通文字 Char Char3"/>
    <w:qFormat/>
    <w:uiPriority w:val="0"/>
    <w:rPr>
      <w:rFonts w:ascii="宋体" w:hAnsi="Courier New" w:eastAsia="宋体" w:cs="Courier New"/>
      <w:kern w:val="2"/>
      <w:sz w:val="21"/>
      <w:szCs w:val="21"/>
      <w:lang w:val="en-US" w:eastAsia="zh-CN" w:bidi="ar-SA"/>
    </w:rPr>
  </w:style>
  <w:style w:type="character" w:customStyle="1" w:styleId="72">
    <w:name w:val="redfilenumber"/>
    <w:basedOn w:val="36"/>
    <w:qFormat/>
    <w:uiPriority w:val="0"/>
    <w:rPr>
      <w:color w:val="BA2636"/>
      <w:sz w:val="18"/>
      <w:szCs w:val="18"/>
    </w:rPr>
  </w:style>
  <w:style w:type="character" w:customStyle="1" w:styleId="73">
    <w:name w:val="redfilefwwh"/>
    <w:basedOn w:val="36"/>
    <w:qFormat/>
    <w:uiPriority w:val="0"/>
    <w:rPr>
      <w:color w:val="BA2636"/>
      <w:sz w:val="18"/>
      <w:szCs w:val="18"/>
    </w:rPr>
  </w:style>
  <w:style w:type="character" w:customStyle="1" w:styleId="74">
    <w:name w:val="qxdate"/>
    <w:basedOn w:val="36"/>
    <w:qFormat/>
    <w:uiPriority w:val="0"/>
    <w:rPr>
      <w:color w:val="333333"/>
      <w:sz w:val="18"/>
      <w:szCs w:val="18"/>
    </w:rPr>
  </w:style>
  <w:style w:type="character" w:customStyle="1" w:styleId="75">
    <w:name w:val="纯文本 字符"/>
    <w:link w:val="22"/>
    <w:qFormat/>
    <w:uiPriority w:val="0"/>
    <w:rPr>
      <w:rFonts w:ascii="宋体" w:hAnsi="Courier New" w:eastAsia="宋体" w:cs="Courier New"/>
      <w:kern w:val="2"/>
      <w:sz w:val="21"/>
      <w:szCs w:val="21"/>
      <w:lang w:val="en-US" w:eastAsia="zh-CN" w:bidi="ar-SA"/>
    </w:rPr>
  </w:style>
  <w:style w:type="character" w:customStyle="1" w:styleId="76">
    <w:name w:val="cfdate"/>
    <w:basedOn w:val="36"/>
    <w:qFormat/>
    <w:uiPriority w:val="0"/>
    <w:rPr>
      <w:color w:val="333333"/>
      <w:sz w:val="18"/>
      <w:szCs w:val="18"/>
    </w:rPr>
  </w:style>
  <w:style w:type="character" w:customStyle="1" w:styleId="77">
    <w:name w:val="页脚 字符"/>
    <w:link w:val="26"/>
    <w:qFormat/>
    <w:uiPriority w:val="0"/>
    <w:rPr>
      <w:rFonts w:ascii="Times New Roman" w:hAnsi="Times New Roman" w:eastAsia="宋体"/>
      <w:kern w:val="2"/>
      <w:sz w:val="18"/>
      <w:szCs w:val="18"/>
    </w:rPr>
  </w:style>
  <w:style w:type="character" w:customStyle="1" w:styleId="78">
    <w:name w:val="批注主题 字符"/>
    <w:link w:val="12"/>
    <w:qFormat/>
    <w:uiPriority w:val="0"/>
    <w:rPr>
      <w:rFonts w:ascii="Times New Roman" w:hAnsi="Times New Roman" w:eastAsia="宋体"/>
      <w:b/>
      <w:bCs/>
      <w:kern w:val="2"/>
      <w:sz w:val="21"/>
      <w:szCs w:val="24"/>
    </w:rPr>
  </w:style>
  <w:style w:type="paragraph" w:customStyle="1" w:styleId="79">
    <w:name w:val="Char2"/>
    <w:basedOn w:val="16"/>
    <w:qFormat/>
    <w:uiPriority w:val="0"/>
    <w:pPr>
      <w:widowControl/>
      <w:ind w:firstLine="454"/>
      <w:jc w:val="left"/>
    </w:pPr>
  </w:style>
  <w:style w:type="paragraph" w:customStyle="1" w:styleId="80">
    <w:name w:val="_Style 4"/>
    <w:basedOn w:val="1"/>
    <w:qFormat/>
    <w:uiPriority w:val="0"/>
    <w:pPr>
      <w:ind w:firstLine="420" w:firstLineChars="200"/>
    </w:pPr>
  </w:style>
  <w:style w:type="paragraph" w:customStyle="1" w:styleId="81">
    <w:name w:val="Plain Text1"/>
    <w:basedOn w:val="1"/>
    <w:qFormat/>
    <w:uiPriority w:val="0"/>
    <w:rPr>
      <w:rFonts w:ascii="??_GB2312" w:hAnsi="??????" w:eastAsia="Times New Roman"/>
    </w:rPr>
  </w:style>
  <w:style w:type="paragraph" w:customStyle="1" w:styleId="82">
    <w:name w:val="_Style 5"/>
    <w:basedOn w:val="1"/>
    <w:qFormat/>
    <w:uiPriority w:val="0"/>
    <w:pPr>
      <w:ind w:firstLine="420" w:firstLineChars="200"/>
    </w:pPr>
  </w:style>
  <w:style w:type="paragraph" w:customStyle="1" w:styleId="83">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816261-8AEF-42C2-AA78-F57949B36A77}">
  <ds:schemaRefs/>
</ds:datastoreItem>
</file>

<file path=docProps/app.xml><?xml version="1.0" encoding="utf-8"?>
<Properties xmlns="http://schemas.openxmlformats.org/officeDocument/2006/extended-properties" xmlns:vt="http://schemas.openxmlformats.org/officeDocument/2006/docPropsVTypes">
  <Template>Normal.dotm</Template>
  <Pages>57</Pages>
  <Words>7917</Words>
  <Characters>45131</Characters>
  <Lines>376</Lines>
  <Paragraphs>105</Paragraphs>
  <ScaleCrop>false</ScaleCrop>
  <LinksUpToDate>false</LinksUpToDate>
  <CharactersWithSpaces>52943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2018-07-09T09:05:00Z</dcterms:created>
  <dc:creator>聂泉源</dc:creator>
  <cp:lastModifiedBy>Administrator</cp:lastModifiedBy>
  <cp:lastPrinted>2018-07-16T09:59:00Z</cp:lastPrinted>
  <dcterms:modified xsi:type="dcterms:W3CDTF">2020-11-16T08:02:05Z</dcterms:modified>
  <dc:title>3</dc:title>
  <cp:revision>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