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rPr>
          <w:color w:val="auto"/>
          <w:highlight w:val="none"/>
        </w:rPr>
      </w:pPr>
    </w:p>
    <w:p>
      <w:pPr>
        <w:jc w:val="center"/>
        <w:rPr>
          <w:rFonts w:ascii="黑体" w:eastAsia="黑体"/>
          <w:color w:val="auto"/>
          <w:spacing w:val="30"/>
          <w:sz w:val="44"/>
          <w:szCs w:val="44"/>
          <w:highlight w:val="none"/>
        </w:rPr>
      </w:pPr>
      <w:r>
        <w:rPr>
          <w:color w:val="auto"/>
          <w:highlight w:val="none"/>
        </w:rPr>
        <w:drawing>
          <wp:anchor distT="0" distB="0" distL="114300" distR="114300" simplePos="0" relativeHeight="251659264" behindDoc="0" locked="0" layoutInCell="1" allowOverlap="1">
            <wp:simplePos x="0" y="0"/>
            <wp:positionH relativeFrom="margin">
              <wp:posOffset>371475</wp:posOffset>
            </wp:positionH>
            <wp:positionV relativeFrom="margin">
              <wp:posOffset>518795</wp:posOffset>
            </wp:positionV>
            <wp:extent cx="659765" cy="631190"/>
            <wp:effectExtent l="19050" t="0" r="6985" b="0"/>
            <wp:wrapSquare wrapText="bothSides"/>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
                    <pic:cNvPicPr>
                      <a:picLocks noChangeAspect="1" noChangeArrowheads="1"/>
                    </pic:cNvPicPr>
                  </pic:nvPicPr>
                  <pic:blipFill>
                    <a:blip r:embed="rId25"/>
                    <a:srcRect/>
                    <a:stretch>
                      <a:fillRect/>
                    </a:stretch>
                  </pic:blipFill>
                  <pic:spPr>
                    <a:xfrm>
                      <a:off x="0" y="0"/>
                      <a:ext cx="659765" cy="631190"/>
                    </a:xfrm>
                    <a:prstGeom prst="rect">
                      <a:avLst/>
                    </a:prstGeom>
                    <a:noFill/>
                    <a:ln w="9525">
                      <a:noFill/>
                      <a:miter lim="800000"/>
                      <a:headEnd/>
                      <a:tailEnd/>
                    </a:ln>
                  </pic:spPr>
                </pic:pic>
              </a:graphicData>
            </a:graphic>
          </wp:anchor>
        </w:drawing>
      </w:r>
      <w:r>
        <w:rPr>
          <w:rFonts w:hint="eastAsia" w:ascii="黑体" w:eastAsia="黑体"/>
          <w:color w:val="auto"/>
          <w:spacing w:val="30"/>
          <w:sz w:val="44"/>
          <w:szCs w:val="44"/>
          <w:highlight w:val="none"/>
        </w:rPr>
        <w:t>广西中信恒泰工程顾问有限公司</w:t>
      </w:r>
    </w:p>
    <w:p>
      <w:pPr>
        <w:jc w:val="center"/>
        <w:rPr>
          <w:rFonts w:ascii="幼圆" w:eastAsia="幼圆"/>
          <w:color w:val="auto"/>
          <w:spacing w:val="30"/>
          <w:sz w:val="30"/>
          <w:szCs w:val="30"/>
          <w:highlight w:val="none"/>
        </w:rPr>
      </w:pPr>
      <w:r>
        <w:rPr>
          <w:rFonts w:ascii="幼圆" w:eastAsia="幼圆"/>
          <w:color w:val="auto"/>
          <w:spacing w:val="30"/>
          <w:sz w:val="30"/>
          <w:szCs w:val="30"/>
          <w:highlight w:val="none"/>
        </w:rPr>
        <w:t>Guangxi Zhongxinhengtai Engineering ConsultingCo.,Led</w:t>
      </w:r>
    </w:p>
    <w:p>
      <w:pPr>
        <w:jc w:val="center"/>
        <w:rPr>
          <w:rFonts w:ascii="幼圆" w:eastAsia="幼圆"/>
          <w:b/>
          <w:color w:val="auto"/>
          <w:spacing w:val="30"/>
          <w:sz w:val="48"/>
          <w:szCs w:val="48"/>
          <w:highlight w:val="none"/>
        </w:rPr>
      </w:pPr>
    </w:p>
    <w:p>
      <w:pPr>
        <w:pStyle w:val="2"/>
        <w:rPr>
          <w:rFonts w:ascii="宋体" w:hAnsi="宋体"/>
          <w:color w:val="auto"/>
          <w:sz w:val="144"/>
          <w:highlight w:val="none"/>
        </w:rPr>
      </w:pPr>
    </w:p>
    <w:p>
      <w:pPr>
        <w:pStyle w:val="2"/>
        <w:jc w:val="center"/>
        <w:rPr>
          <w:rFonts w:ascii="黑体" w:hAnsi="宋体" w:eastAsia="黑体"/>
          <w:color w:val="auto"/>
          <w:sz w:val="96"/>
          <w:szCs w:val="96"/>
          <w:highlight w:val="none"/>
        </w:rPr>
      </w:pPr>
      <w:r>
        <w:rPr>
          <w:rFonts w:hint="eastAsia" w:ascii="黑体" w:hAnsi="宋体" w:eastAsia="黑体"/>
          <w:color w:val="auto"/>
          <w:sz w:val="96"/>
          <w:szCs w:val="96"/>
          <w:highlight w:val="none"/>
        </w:rPr>
        <w:t xml:space="preserve"> 公开招标文件</w:t>
      </w:r>
    </w:p>
    <w:p>
      <w:pPr>
        <w:pStyle w:val="2"/>
        <w:rPr>
          <w:color w:val="auto"/>
          <w:szCs w:val="21"/>
          <w:highlight w:val="none"/>
        </w:rPr>
      </w:pPr>
    </w:p>
    <w:p>
      <w:pPr>
        <w:pStyle w:val="2"/>
        <w:rPr>
          <w:color w:val="auto"/>
          <w:szCs w:val="21"/>
          <w:highlight w:val="none"/>
        </w:rPr>
      </w:pPr>
    </w:p>
    <w:p>
      <w:pPr>
        <w:pStyle w:val="2"/>
        <w:rPr>
          <w:color w:val="auto"/>
          <w:szCs w:val="21"/>
          <w:highlight w:val="none"/>
        </w:rPr>
      </w:pPr>
    </w:p>
    <w:p>
      <w:pPr>
        <w:pStyle w:val="2"/>
        <w:rPr>
          <w:color w:val="auto"/>
          <w:szCs w:val="21"/>
          <w:highlight w:val="none"/>
        </w:rPr>
      </w:pPr>
    </w:p>
    <w:p>
      <w:pPr>
        <w:pStyle w:val="2"/>
        <w:rPr>
          <w:color w:val="auto"/>
          <w:sz w:val="32"/>
          <w:highlight w:val="none"/>
        </w:rPr>
      </w:pPr>
    </w:p>
    <w:p>
      <w:pPr>
        <w:pStyle w:val="2"/>
        <w:spacing w:line="600" w:lineRule="exact"/>
        <w:ind w:right="-260" w:rightChars="-124" w:firstLine="849" w:firstLineChars="283"/>
        <w:rPr>
          <w:rFonts w:ascii="宋体" w:hAnsi="宋体"/>
          <w:color w:val="auto"/>
          <w:sz w:val="30"/>
          <w:szCs w:val="30"/>
          <w:highlight w:val="none"/>
        </w:rPr>
      </w:pPr>
      <w:r>
        <w:rPr>
          <w:rFonts w:hint="eastAsia" w:ascii="宋体" w:hAnsi="宋体"/>
          <w:color w:val="auto"/>
          <w:sz w:val="30"/>
          <w:szCs w:val="30"/>
          <w:highlight w:val="none"/>
        </w:rPr>
        <w:t>项目名称：</w:t>
      </w:r>
      <w:r>
        <w:rPr>
          <w:rFonts w:hint="eastAsia"/>
          <w:color w:val="auto"/>
          <w:sz w:val="28"/>
          <w:szCs w:val="28"/>
          <w:highlight w:val="none"/>
        </w:rPr>
        <w:t>梧州市人民医院医疗设备维修和保养服务采购</w:t>
      </w:r>
    </w:p>
    <w:p>
      <w:pPr>
        <w:pStyle w:val="2"/>
        <w:spacing w:line="600" w:lineRule="exact"/>
        <w:ind w:right="-260" w:rightChars="-124" w:firstLine="849" w:firstLineChars="283"/>
        <w:rPr>
          <w:rFonts w:ascii="宋体" w:hAnsi="宋体"/>
          <w:color w:val="auto"/>
          <w:sz w:val="32"/>
          <w:highlight w:val="none"/>
        </w:rPr>
      </w:pPr>
      <w:r>
        <w:rPr>
          <w:rFonts w:hint="eastAsia" w:ascii="宋体" w:hAnsi="宋体"/>
          <w:color w:val="auto"/>
          <w:sz w:val="30"/>
          <w:szCs w:val="30"/>
          <w:highlight w:val="none"/>
        </w:rPr>
        <w:t>项目编号：WZZC2019-G3-016444-ZXHT</w:t>
      </w:r>
    </w:p>
    <w:p>
      <w:pPr>
        <w:pStyle w:val="2"/>
        <w:spacing w:line="600" w:lineRule="exact"/>
        <w:ind w:right="-260" w:rightChars="-124" w:firstLine="594" w:firstLineChars="283"/>
        <w:jc w:val="left"/>
        <w:rPr>
          <w:rFonts w:ascii="宋体" w:hAnsi="宋体"/>
          <w:color w:val="auto"/>
          <w:highlight w:val="none"/>
        </w:rPr>
      </w:pPr>
      <w:r>
        <w:rPr>
          <w:color w:val="auto"/>
          <w:highlight w:val="none"/>
        </w:rPr>
        <mc:AlternateContent>
          <mc:Choice Requires="wps">
            <w:drawing>
              <wp:anchor distT="0" distB="0" distL="114300" distR="114300" simplePos="0" relativeHeight="251656192" behindDoc="0" locked="0" layoutInCell="1" allowOverlap="1">
                <wp:simplePos x="0" y="0"/>
                <wp:positionH relativeFrom="column">
                  <wp:posOffset>275590</wp:posOffset>
                </wp:positionH>
                <wp:positionV relativeFrom="paragraph">
                  <wp:posOffset>194945</wp:posOffset>
                </wp:positionV>
                <wp:extent cx="5896610" cy="3175"/>
                <wp:effectExtent l="0" t="13970" r="8890" b="20955"/>
                <wp:wrapNone/>
                <wp:docPr id="3" name="直线 3"/>
                <wp:cNvGraphicFramePr/>
                <a:graphic xmlns:a="http://schemas.openxmlformats.org/drawingml/2006/main">
                  <a:graphicData uri="http://schemas.microsoft.com/office/word/2010/wordprocessingShape">
                    <wps:wsp>
                      <wps:cNvCnPr>
                        <a:cxnSpLocks noChangeShapeType="1"/>
                      </wps:cNvCnPr>
                      <wps:spPr bwMode="auto">
                        <a:xfrm>
                          <a:off x="0" y="0"/>
                          <a:ext cx="5896610" cy="3175"/>
                        </a:xfrm>
                        <a:prstGeom prst="line">
                          <a:avLst/>
                        </a:prstGeom>
                        <a:noFill/>
                        <a:ln w="28575">
                          <a:solidFill>
                            <a:srgbClr val="000000"/>
                          </a:solidFill>
                          <a:round/>
                        </a:ln>
                        <a:effectLst/>
                      </wps:spPr>
                      <wps:bodyPr/>
                    </wps:wsp>
                  </a:graphicData>
                </a:graphic>
              </wp:anchor>
            </w:drawing>
          </mc:Choice>
          <mc:Fallback>
            <w:pict>
              <v:line id="直线 3" o:spid="_x0000_s1026" o:spt="20" style="position:absolute;left:0pt;margin-left:21.7pt;margin-top:15.35pt;height:0.25pt;width:464.3pt;z-index:251656192;mso-width-relative:page;mso-height-relative:page;" filled="f" stroked="t" coordsize="21600,21600" o:gfxdata="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Kg/CC2AAAAAgBAAAPAAAAAAAAAAEAIAAAACIAAABkcnMvZG93bnJl&#10;di54bWxQSwECFAAUAAAACACHTuJAltVhKsQBAABlAwAADgAAAAAAAAABACAAAAAnAQAAZHJzL2Uy&#10;b0RvYy54bWxQSwUGAAAAAAYABgBZAQAAXQUAAAAA&#10;">
                <v:fill on="f" focussize="0,0"/>
                <v:stroke weight="2.25pt" color="#000000" joinstyle="round"/>
                <v:imagedata o:title=""/>
                <o:lock v:ext="edit" aspectratio="f"/>
              </v:line>
            </w:pict>
          </mc:Fallback>
        </mc:AlternateContent>
      </w:r>
    </w:p>
    <w:p>
      <w:pPr>
        <w:pStyle w:val="2"/>
        <w:spacing w:line="600" w:lineRule="exact"/>
        <w:ind w:right="-260" w:rightChars="-124" w:firstLine="795" w:firstLineChars="265"/>
        <w:rPr>
          <w:rFonts w:ascii="宋体" w:hAnsi="宋体"/>
          <w:color w:val="auto"/>
          <w:sz w:val="30"/>
          <w:szCs w:val="30"/>
          <w:highlight w:val="none"/>
        </w:rPr>
      </w:pPr>
      <w:r>
        <w:rPr>
          <w:rFonts w:hint="eastAsia" w:ascii="宋体" w:hAnsi="宋体"/>
          <w:color w:val="auto"/>
          <w:sz w:val="30"/>
          <w:szCs w:val="30"/>
          <w:highlight w:val="none"/>
        </w:rPr>
        <w:t>采购人：梧州市人民医院</w:t>
      </w:r>
    </w:p>
    <w:p>
      <w:pPr>
        <w:pStyle w:val="2"/>
        <w:spacing w:line="600" w:lineRule="exact"/>
        <w:ind w:right="-260" w:rightChars="-124" w:firstLine="795" w:firstLineChars="265"/>
        <w:rPr>
          <w:rFonts w:ascii="宋体" w:hAnsi="宋体"/>
          <w:color w:val="auto"/>
          <w:sz w:val="30"/>
          <w:szCs w:val="30"/>
          <w:highlight w:val="none"/>
        </w:rPr>
      </w:pPr>
      <w:r>
        <w:rPr>
          <w:rFonts w:hint="eastAsia" w:ascii="宋体" w:hAnsi="宋体"/>
          <w:color w:val="auto"/>
          <w:sz w:val="30"/>
          <w:szCs w:val="30"/>
          <w:highlight w:val="none"/>
        </w:rPr>
        <w:t>采购代理机构：广西中信恒泰工程顾问有限公司</w:t>
      </w:r>
    </w:p>
    <w:p>
      <w:pPr>
        <w:pStyle w:val="2"/>
        <w:spacing w:line="600" w:lineRule="exact"/>
        <w:ind w:right="-260" w:rightChars="-124"/>
        <w:jc w:val="center"/>
        <w:rPr>
          <w:rFonts w:ascii="宋体" w:hAnsi="宋体"/>
          <w:color w:val="auto"/>
          <w:sz w:val="28"/>
          <w:szCs w:val="28"/>
          <w:highlight w:val="none"/>
        </w:rPr>
      </w:pPr>
      <w:r>
        <w:rPr>
          <w:rFonts w:hint="eastAsia" w:ascii="宋体" w:hAnsi="宋体"/>
          <w:color w:val="auto"/>
          <w:sz w:val="28"/>
          <w:szCs w:val="28"/>
          <w:highlight w:val="none"/>
        </w:rPr>
        <w:t>二〇二〇年一月</w:t>
      </w:r>
    </w:p>
    <w:p>
      <w:pPr>
        <w:widowControl/>
        <w:jc w:val="left"/>
        <w:rPr>
          <w:rFonts w:ascii="宋体" w:hAnsi="宋体" w:cs="宋体"/>
          <w:color w:val="auto"/>
          <w:kern w:val="0"/>
          <w:sz w:val="24"/>
          <w:highlight w:val="none"/>
        </w:rPr>
        <w:sectPr>
          <w:headerReference r:id="rId3" w:type="default"/>
          <w:footerReference r:id="rId4" w:type="default"/>
          <w:footerReference r:id="rId5" w:type="even"/>
          <w:pgSz w:w="11906" w:h="16838"/>
          <w:pgMar w:top="1134" w:right="1134" w:bottom="1134" w:left="1134" w:header="720" w:footer="720" w:gutter="0"/>
          <w:pgNumType w:start="0"/>
          <w:cols w:space="720" w:num="1"/>
          <w:docGrid w:type="lines" w:linePitch="331" w:charSpace="0"/>
        </w:sectPr>
      </w:pPr>
    </w:p>
    <w:p>
      <w:pPr>
        <w:pStyle w:val="16"/>
        <w:ind w:firstLine="3614" w:firstLineChars="750"/>
        <w:rPr>
          <w:rFonts w:ascii="Times New Roman" w:hAnsi="Times New Roman"/>
          <w:b/>
          <w:color w:val="auto"/>
          <w:sz w:val="48"/>
          <w:szCs w:val="48"/>
          <w:highlight w:val="none"/>
        </w:rPr>
      </w:pPr>
      <w:bookmarkStart w:id="0" w:name="_Toc139967217"/>
      <w:bookmarkStart w:id="1" w:name="_Toc139966433"/>
      <w:bookmarkStart w:id="2" w:name="_Toc213206171"/>
      <w:bookmarkStart w:id="3" w:name="_Toc213325920"/>
      <w:bookmarkStart w:id="4" w:name="_Toc139967210"/>
      <w:bookmarkStart w:id="5" w:name="_Toc139966426"/>
      <w:r>
        <w:rPr>
          <w:rFonts w:hint="eastAsia" w:ascii="Times New Roman" w:hAnsi="Times New Roman"/>
          <w:b/>
          <w:color w:val="auto"/>
          <w:sz w:val="48"/>
          <w:szCs w:val="48"/>
          <w:highlight w:val="none"/>
        </w:rPr>
        <w:t>目录</w:t>
      </w:r>
    </w:p>
    <w:p>
      <w:pPr>
        <w:pStyle w:val="23"/>
        <w:tabs>
          <w:tab w:val="right" w:leader="dot" w:pos="9344"/>
        </w:tabs>
        <w:rPr>
          <w:b w:val="0"/>
          <w:bCs w:val="0"/>
          <w:caps w:val="0"/>
          <w:color w:val="auto"/>
          <w:sz w:val="28"/>
          <w:szCs w:val="28"/>
          <w:highlight w:val="none"/>
        </w:rPr>
      </w:pPr>
      <w:r>
        <w:rPr>
          <w:rFonts w:ascii="宋体" w:hAnsi="宋体"/>
          <w:bCs w:val="0"/>
          <w:caps w:val="0"/>
          <w:color w:val="auto"/>
          <w:sz w:val="28"/>
          <w:szCs w:val="28"/>
          <w:highlight w:val="none"/>
        </w:rPr>
        <w:fldChar w:fldCharType="begin"/>
      </w:r>
      <w:r>
        <w:rPr>
          <w:rFonts w:ascii="宋体" w:hAnsi="宋体"/>
          <w:bCs w:val="0"/>
          <w:caps w:val="0"/>
          <w:color w:val="auto"/>
          <w:sz w:val="28"/>
          <w:szCs w:val="28"/>
          <w:highlight w:val="none"/>
        </w:rPr>
        <w:instrText xml:space="preserve"> TOC \o "1-1" \h \z \u </w:instrText>
      </w:r>
      <w:r>
        <w:rPr>
          <w:rFonts w:ascii="宋体" w:hAnsi="宋体"/>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"_Toc527537986" </w:instrText>
      </w:r>
      <w:r>
        <w:rPr>
          <w:color w:val="auto"/>
          <w:highlight w:val="none"/>
        </w:rPr>
        <w:fldChar w:fldCharType="separate"/>
      </w:r>
      <w:r>
        <w:rPr>
          <w:rStyle w:val="40"/>
          <w:rFonts w:hint="eastAsia"/>
          <w:color w:val="auto"/>
          <w:sz w:val="28"/>
          <w:szCs w:val="28"/>
          <w:highlight w:val="none"/>
        </w:rPr>
        <w:t>第一章招标公告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_Toc527537986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23"/>
        <w:tabs>
          <w:tab w:val="right" w:leader="dot" w:pos="9344"/>
        </w:tabs>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"_Toc527537987" </w:instrText>
      </w:r>
      <w:r>
        <w:rPr>
          <w:color w:val="auto"/>
          <w:highlight w:val="none"/>
        </w:rPr>
        <w:fldChar w:fldCharType="separate"/>
      </w:r>
      <w:r>
        <w:rPr>
          <w:rStyle w:val="40"/>
          <w:rFonts w:hint="eastAsia"/>
          <w:color w:val="auto"/>
          <w:sz w:val="28"/>
          <w:szCs w:val="28"/>
          <w:highlight w:val="none"/>
        </w:rPr>
        <w:t>第二章投标人须知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_Toc527537987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pPr>
        <w:pStyle w:val="23"/>
        <w:tabs>
          <w:tab w:val="right" w:leader="dot" w:pos="9344"/>
        </w:tabs>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"_Toc527537988" </w:instrText>
      </w:r>
      <w:r>
        <w:rPr>
          <w:color w:val="auto"/>
          <w:highlight w:val="none"/>
        </w:rPr>
        <w:fldChar w:fldCharType="separate"/>
      </w:r>
      <w:r>
        <w:rPr>
          <w:rStyle w:val="40"/>
          <w:rFonts w:hint="eastAsia"/>
          <w:color w:val="auto"/>
          <w:sz w:val="28"/>
          <w:szCs w:val="28"/>
          <w:highlight w:val="none"/>
        </w:rPr>
        <w:t>第三章评</w:t>
      </w:r>
      <w:bookmarkStart w:id="6" w:name="_Hlt16756440"/>
      <w:bookmarkStart w:id="7" w:name="_Hlt20642265"/>
      <w:bookmarkStart w:id="8" w:name="_Hlt20642266"/>
      <w:r>
        <w:rPr>
          <w:rStyle w:val="40"/>
          <w:rFonts w:hint="eastAsia"/>
          <w:color w:val="auto"/>
          <w:sz w:val="28"/>
          <w:szCs w:val="28"/>
          <w:highlight w:val="none"/>
        </w:rPr>
        <w:t>标</w:t>
      </w:r>
      <w:bookmarkEnd w:id="6"/>
      <w:bookmarkEnd w:id="7"/>
      <w:bookmarkEnd w:id="8"/>
      <w:bookmarkStart w:id="9" w:name="_Hlt533588624"/>
      <w:bookmarkStart w:id="10" w:name="_Hlt533588623"/>
      <w:r>
        <w:rPr>
          <w:rStyle w:val="40"/>
          <w:rFonts w:hint="eastAsia"/>
          <w:color w:val="auto"/>
          <w:sz w:val="28"/>
          <w:szCs w:val="28"/>
          <w:highlight w:val="none"/>
        </w:rPr>
        <w:t>方</w:t>
      </w:r>
      <w:bookmarkEnd w:id="9"/>
      <w:bookmarkEnd w:id="10"/>
      <w:bookmarkStart w:id="11" w:name="_Hlt6843653"/>
      <w:bookmarkStart w:id="12" w:name="_Hlt6843654"/>
      <w:r>
        <w:rPr>
          <w:rStyle w:val="40"/>
          <w:rFonts w:hint="eastAsia"/>
          <w:color w:val="auto"/>
          <w:sz w:val="28"/>
          <w:szCs w:val="28"/>
          <w:highlight w:val="none"/>
        </w:rPr>
        <w:t>法</w:t>
      </w:r>
      <w:bookmarkEnd w:id="11"/>
      <w:bookmarkEnd w:id="12"/>
      <w:bookmarkStart w:id="13" w:name="_Hlt528055716"/>
      <w:bookmarkStart w:id="14" w:name="_Hlt528055717"/>
      <w:r>
        <w:rPr>
          <w:color w:val="auto"/>
          <w:sz w:val="28"/>
          <w:szCs w:val="28"/>
          <w:highlight w:val="none"/>
        </w:rPr>
        <w:tab/>
      </w:r>
      <w:bookmarkEnd w:id="13"/>
      <w:bookmarkEnd w:id="14"/>
      <w:r>
        <w:rPr>
          <w:color w:val="auto"/>
          <w:sz w:val="28"/>
          <w:szCs w:val="28"/>
          <w:highlight w:val="none"/>
        </w:rPr>
        <w:fldChar w:fldCharType="begin"/>
      </w:r>
      <w:r>
        <w:rPr>
          <w:color w:val="auto"/>
          <w:sz w:val="28"/>
          <w:szCs w:val="28"/>
          <w:highlight w:val="none"/>
        </w:rPr>
        <w:instrText xml:space="preserve"> PAGEREF _Toc527537988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pPr>
        <w:pStyle w:val="23"/>
        <w:tabs>
          <w:tab w:val="right" w:leader="dot" w:pos="9344"/>
        </w:tabs>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"_Toc527537989" </w:instrText>
      </w:r>
      <w:r>
        <w:rPr>
          <w:color w:val="auto"/>
          <w:highlight w:val="none"/>
        </w:rPr>
        <w:fldChar w:fldCharType="separate"/>
      </w:r>
      <w:r>
        <w:rPr>
          <w:rStyle w:val="40"/>
          <w:rFonts w:hint="eastAsia"/>
          <w:color w:val="auto"/>
          <w:sz w:val="28"/>
          <w:szCs w:val="28"/>
          <w:highlight w:val="none"/>
        </w:rPr>
        <w:t>第四章</w:t>
      </w:r>
      <w:bookmarkStart w:id="15" w:name="_Hlt532828198"/>
      <w:r>
        <w:rPr>
          <w:rStyle w:val="40"/>
          <w:rFonts w:hint="eastAsia"/>
          <w:color w:val="auto"/>
          <w:sz w:val="28"/>
          <w:szCs w:val="28"/>
          <w:highlight w:val="none"/>
        </w:rPr>
        <w:t>服务需</w:t>
      </w:r>
      <w:bookmarkEnd w:id="15"/>
      <w:bookmarkStart w:id="16" w:name="_Hlt532894824"/>
      <w:r>
        <w:rPr>
          <w:rStyle w:val="40"/>
          <w:rFonts w:hint="eastAsia"/>
          <w:color w:val="auto"/>
          <w:sz w:val="28"/>
          <w:szCs w:val="28"/>
          <w:highlight w:val="none"/>
        </w:rPr>
        <w:t>求</w:t>
      </w:r>
      <w:bookmarkEnd w:id="16"/>
      <w:r>
        <w:rPr>
          <w:rStyle w:val="40"/>
          <w:rFonts w:hint="eastAsia"/>
          <w:color w:val="auto"/>
          <w:sz w:val="28"/>
          <w:szCs w:val="28"/>
          <w:highlight w:val="none"/>
        </w:rPr>
        <w:t>一</w:t>
      </w:r>
      <w:bookmarkStart w:id="17" w:name="_Hlt532894964"/>
      <w:r>
        <w:rPr>
          <w:rStyle w:val="40"/>
          <w:rFonts w:hint="eastAsia"/>
          <w:color w:val="auto"/>
          <w:sz w:val="28"/>
          <w:szCs w:val="28"/>
          <w:highlight w:val="none"/>
        </w:rPr>
        <w:t>览</w:t>
      </w:r>
      <w:bookmarkEnd w:id="17"/>
      <w:r>
        <w:rPr>
          <w:rStyle w:val="40"/>
          <w:rFonts w:hint="eastAsia"/>
          <w:color w:val="auto"/>
          <w:sz w:val="28"/>
          <w:szCs w:val="28"/>
          <w:highlight w:val="none"/>
        </w:rPr>
        <w:t>表</w:t>
      </w:r>
      <w:bookmarkStart w:id="18" w:name="_Hlt2004830"/>
      <w:bookmarkStart w:id="19" w:name="_Hlt2004831"/>
      <w:r>
        <w:rPr>
          <w:color w:val="auto"/>
          <w:sz w:val="28"/>
          <w:szCs w:val="28"/>
          <w:highlight w:val="none"/>
        </w:rPr>
        <w:tab/>
      </w:r>
      <w:bookmarkEnd w:id="18"/>
      <w:bookmarkEnd w:id="19"/>
      <w:r>
        <w:rPr>
          <w:color w:val="auto"/>
          <w:sz w:val="28"/>
          <w:szCs w:val="28"/>
          <w:highlight w:val="none"/>
        </w:rPr>
        <w:fldChar w:fldCharType="begin"/>
      </w:r>
      <w:r>
        <w:rPr>
          <w:color w:val="auto"/>
          <w:sz w:val="28"/>
          <w:szCs w:val="28"/>
          <w:highlight w:val="none"/>
        </w:rPr>
        <w:instrText xml:space="preserve"> PAGEREF _Toc527537989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pPr>
        <w:pStyle w:val="23"/>
        <w:tabs>
          <w:tab w:val="right" w:leader="dot" w:pos="9344"/>
        </w:tabs>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"_Toc527537990" </w:instrText>
      </w:r>
      <w:r>
        <w:rPr>
          <w:color w:val="auto"/>
          <w:highlight w:val="none"/>
        </w:rPr>
        <w:fldChar w:fldCharType="separate"/>
      </w:r>
      <w:r>
        <w:rPr>
          <w:rStyle w:val="40"/>
          <w:rFonts w:hint="eastAsia"/>
          <w:color w:val="auto"/>
          <w:sz w:val="28"/>
          <w:szCs w:val="28"/>
          <w:highlight w:val="none"/>
        </w:rPr>
        <w:t>第五章投标文</w:t>
      </w:r>
      <w:bookmarkStart w:id="20" w:name="_Hlt21447723"/>
      <w:r>
        <w:rPr>
          <w:rStyle w:val="40"/>
          <w:rFonts w:hint="eastAsia"/>
          <w:color w:val="auto"/>
          <w:sz w:val="28"/>
          <w:szCs w:val="28"/>
          <w:highlight w:val="none"/>
        </w:rPr>
        <w:t>件</w:t>
      </w:r>
      <w:bookmarkEnd w:id="20"/>
      <w:bookmarkStart w:id="21" w:name="_Hlt533063506"/>
      <w:r>
        <w:rPr>
          <w:rStyle w:val="40"/>
          <w:rFonts w:hint="eastAsia"/>
          <w:color w:val="auto"/>
          <w:sz w:val="28"/>
          <w:szCs w:val="28"/>
          <w:highlight w:val="none"/>
        </w:rPr>
        <w:t>格</w:t>
      </w:r>
      <w:bookmarkEnd w:id="21"/>
      <w:r>
        <w:rPr>
          <w:rStyle w:val="40"/>
          <w:rFonts w:hint="eastAsia"/>
          <w:color w:val="auto"/>
          <w:sz w:val="28"/>
          <w:szCs w:val="28"/>
          <w:highlight w:val="none"/>
        </w:rPr>
        <w:t>式</w:t>
      </w:r>
      <w:bookmarkStart w:id="22" w:name="_Hlt18663682"/>
      <w:bookmarkStart w:id="23" w:name="_Hlt18663683"/>
      <w:r>
        <w:rPr>
          <w:color w:val="auto"/>
          <w:sz w:val="28"/>
          <w:szCs w:val="28"/>
          <w:highlight w:val="none"/>
        </w:rPr>
        <w:tab/>
      </w:r>
      <w:bookmarkEnd w:id="22"/>
      <w:bookmarkEnd w:id="23"/>
      <w:r>
        <w:rPr>
          <w:color w:val="auto"/>
          <w:sz w:val="28"/>
          <w:szCs w:val="28"/>
          <w:highlight w:val="none"/>
        </w:rPr>
        <w:fldChar w:fldCharType="begin"/>
      </w:r>
      <w:r>
        <w:rPr>
          <w:color w:val="auto"/>
          <w:sz w:val="28"/>
          <w:szCs w:val="28"/>
          <w:highlight w:val="none"/>
        </w:rPr>
        <w:instrText xml:space="preserve"> PAGEREF _Toc527537990 \h </w:instrText>
      </w:r>
      <w:r>
        <w:rPr>
          <w:color w:val="auto"/>
          <w:sz w:val="28"/>
          <w:szCs w:val="28"/>
          <w:highlight w:val="none"/>
        </w:rPr>
        <w:fldChar w:fldCharType="separate"/>
      </w:r>
      <w:r>
        <w:rPr>
          <w:color w:val="auto"/>
          <w:sz w:val="28"/>
          <w:szCs w:val="28"/>
          <w:highlight w:val="none"/>
        </w:rPr>
        <w:t>25</w:t>
      </w:r>
      <w:r>
        <w:rPr>
          <w:color w:val="auto"/>
          <w:sz w:val="28"/>
          <w:szCs w:val="28"/>
          <w:highlight w:val="none"/>
        </w:rPr>
        <w:fldChar w:fldCharType="end"/>
      </w:r>
      <w:r>
        <w:rPr>
          <w:color w:val="auto"/>
          <w:sz w:val="28"/>
          <w:szCs w:val="28"/>
          <w:highlight w:val="none"/>
        </w:rPr>
        <w:fldChar w:fldCharType="end"/>
      </w:r>
    </w:p>
    <w:p>
      <w:pPr>
        <w:pStyle w:val="23"/>
        <w:tabs>
          <w:tab w:val="right" w:leader="dot" w:pos="9344"/>
        </w:tabs>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"_Toc527537991" </w:instrText>
      </w:r>
      <w:r>
        <w:rPr>
          <w:color w:val="auto"/>
          <w:highlight w:val="none"/>
        </w:rPr>
        <w:fldChar w:fldCharType="separate"/>
      </w:r>
      <w:r>
        <w:rPr>
          <w:rStyle w:val="40"/>
          <w:rFonts w:hint="eastAsia"/>
          <w:color w:val="auto"/>
          <w:sz w:val="28"/>
          <w:szCs w:val="28"/>
          <w:highlight w:val="none"/>
        </w:rPr>
        <w:t>第六章合同条款及格式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_Toc527537991 \h </w:instrText>
      </w:r>
      <w:r>
        <w:rPr>
          <w:color w:val="auto"/>
          <w:sz w:val="28"/>
          <w:szCs w:val="28"/>
          <w:highlight w:val="none"/>
        </w:rPr>
        <w:fldChar w:fldCharType="separate"/>
      </w:r>
      <w:r>
        <w:rPr>
          <w:color w:val="auto"/>
          <w:sz w:val="28"/>
          <w:szCs w:val="28"/>
          <w:highlight w:val="none"/>
        </w:rPr>
        <w:t>39</w:t>
      </w:r>
      <w:r>
        <w:rPr>
          <w:color w:val="auto"/>
          <w:sz w:val="28"/>
          <w:szCs w:val="28"/>
          <w:highlight w:val="none"/>
        </w:rPr>
        <w:fldChar w:fldCharType="end"/>
      </w:r>
      <w:r>
        <w:rPr>
          <w:color w:val="auto"/>
          <w:sz w:val="28"/>
          <w:szCs w:val="28"/>
          <w:highlight w:val="none"/>
        </w:rPr>
        <w:fldChar w:fldCharType="end"/>
      </w:r>
    </w:p>
    <w:p>
      <w:pPr>
        <w:pStyle w:val="16"/>
        <w:snapToGrid w:val="0"/>
        <w:rPr>
          <w:bCs/>
          <w:caps/>
          <w:color w:val="auto"/>
          <w:sz w:val="32"/>
          <w:szCs w:val="32"/>
          <w:highlight w:val="none"/>
        </w:rPr>
      </w:pPr>
      <w:r>
        <w:rPr>
          <w:bCs/>
          <w:caps/>
          <w:color w:val="auto"/>
          <w:sz w:val="28"/>
          <w:szCs w:val="28"/>
          <w:highlight w:val="none"/>
        </w:rPr>
        <w:fldChar w:fldCharType="end"/>
      </w:r>
    </w:p>
    <w:p>
      <w:pPr>
        <w:pStyle w:val="16"/>
        <w:tabs>
          <w:tab w:val="left" w:pos="6060"/>
        </w:tabs>
        <w:snapToGrid w:val="0"/>
        <w:jc w:val="left"/>
        <w:rPr>
          <w:bCs/>
          <w:caps/>
          <w:color w:val="auto"/>
          <w:sz w:val="32"/>
          <w:szCs w:val="32"/>
          <w:highlight w:val="none"/>
        </w:rPr>
      </w:pPr>
    </w:p>
    <w:p>
      <w:pPr>
        <w:pStyle w:val="16"/>
        <w:tabs>
          <w:tab w:val="left" w:pos="6060"/>
        </w:tabs>
        <w:snapToGrid w:val="0"/>
        <w:jc w:val="left"/>
        <w:rPr>
          <w:bCs/>
          <w:caps/>
          <w:color w:val="auto"/>
          <w:sz w:val="32"/>
          <w:szCs w:val="32"/>
          <w:highlight w:val="none"/>
        </w:rPr>
      </w:pPr>
    </w:p>
    <w:p>
      <w:pPr>
        <w:pStyle w:val="16"/>
        <w:tabs>
          <w:tab w:val="left" w:pos="6060"/>
        </w:tabs>
        <w:snapToGrid w:val="0"/>
        <w:jc w:val="left"/>
        <w:rPr>
          <w:bCs/>
          <w:caps/>
          <w:color w:val="auto"/>
          <w:sz w:val="32"/>
          <w:szCs w:val="32"/>
          <w:highlight w:val="none"/>
        </w:rPr>
      </w:pPr>
    </w:p>
    <w:p>
      <w:pPr>
        <w:widowControl/>
        <w:jc w:val="left"/>
        <w:rPr>
          <w:rFonts w:ascii="宋体" w:hAnsi="宋体" w:cs="宋体"/>
          <w:bCs/>
          <w:caps/>
          <w:color w:val="auto"/>
          <w:sz w:val="32"/>
          <w:szCs w:val="32"/>
          <w:highlight w:val="none"/>
        </w:rPr>
        <w:sectPr>
          <w:pgSz w:w="11906" w:h="16838"/>
          <w:pgMar w:top="1418" w:right="1134" w:bottom="1418" w:left="1418" w:header="851" w:footer="992" w:gutter="0"/>
          <w:pgNumType w:start="0"/>
          <w:cols w:space="720" w:num="1"/>
          <w:docGrid w:type="lines" w:linePitch="312" w:charSpace="0"/>
        </w:sectPr>
      </w:pPr>
    </w:p>
    <w:p>
      <w:pPr>
        <w:pStyle w:val="32"/>
        <w:rPr>
          <w:color w:val="auto"/>
          <w:highlight w:val="none"/>
        </w:rPr>
      </w:pPr>
      <w:bookmarkStart w:id="24" w:name="_Toc271529367"/>
      <w:bookmarkStart w:id="25" w:name="_Toc497900237"/>
      <w:bookmarkStart w:id="26" w:name="_Toc527537986"/>
      <w:r>
        <w:rPr>
          <w:rFonts w:hint="eastAsia"/>
          <w:color w:val="auto"/>
          <w:highlight w:val="none"/>
        </w:rPr>
        <w:t>第一章</w:t>
      </w:r>
      <w:bookmarkEnd w:id="0"/>
      <w:bookmarkEnd w:id="1"/>
      <w:bookmarkEnd w:id="2"/>
      <w:bookmarkEnd w:id="3"/>
      <w:bookmarkEnd w:id="24"/>
      <w:r>
        <w:rPr>
          <w:rFonts w:hint="eastAsia"/>
          <w:color w:val="auto"/>
          <w:highlight w:val="none"/>
        </w:rPr>
        <w:t>招标公告</w:t>
      </w:r>
      <w:bookmarkEnd w:id="25"/>
      <w:bookmarkEnd w:id="26"/>
    </w:p>
    <w:p>
      <w:pPr>
        <w:spacing w:line="360" w:lineRule="auto"/>
        <w:ind w:firstLine="420" w:firstLineChars="200"/>
        <w:jc w:val="left"/>
        <w:rPr>
          <w:color w:val="auto"/>
          <w:szCs w:val="21"/>
          <w:highlight w:val="none"/>
        </w:rPr>
      </w:pPr>
      <w:bookmarkStart w:id="27" w:name="_Toc139967215"/>
      <w:bookmarkStart w:id="28" w:name="_Toc139966431"/>
      <w:bookmarkStart w:id="29" w:name="_Toc213325921"/>
      <w:bookmarkStart w:id="30" w:name="_Toc213206172"/>
    </w:p>
    <w:p>
      <w:pPr>
        <w:spacing w:line="360" w:lineRule="auto"/>
        <w:jc w:val="center"/>
        <w:rPr>
          <w:b/>
          <w:color w:val="auto"/>
          <w:szCs w:val="21"/>
          <w:highlight w:val="none"/>
        </w:rPr>
      </w:pPr>
      <w:r>
        <w:rPr>
          <w:rFonts w:hint="eastAsia"/>
          <w:b/>
          <w:color w:val="auto"/>
          <w:szCs w:val="21"/>
          <w:highlight w:val="none"/>
        </w:rPr>
        <w:t>广西中信恒泰工程顾问有限公司</w:t>
      </w:r>
    </w:p>
    <w:p>
      <w:pPr>
        <w:spacing w:line="360" w:lineRule="auto"/>
        <w:jc w:val="center"/>
        <w:rPr>
          <w:b/>
          <w:color w:val="auto"/>
          <w:szCs w:val="21"/>
          <w:highlight w:val="none"/>
        </w:rPr>
      </w:pPr>
      <w:r>
        <w:rPr>
          <w:rFonts w:hint="eastAsia"/>
          <w:color w:val="auto"/>
          <w:szCs w:val="21"/>
          <w:highlight w:val="none"/>
        </w:rPr>
        <w:t>梧州市人民医院医疗设备维修和保养服务采购</w:t>
      </w:r>
      <w:r>
        <w:rPr>
          <w:rFonts w:hint="eastAsia"/>
          <w:b/>
          <w:color w:val="auto"/>
          <w:szCs w:val="21"/>
          <w:highlight w:val="none"/>
        </w:rPr>
        <w:t>（</w:t>
      </w:r>
      <w:r>
        <w:rPr>
          <w:b/>
          <w:color w:val="auto"/>
          <w:szCs w:val="21"/>
          <w:highlight w:val="none"/>
        </w:rPr>
        <w:t>WZZC2019-G3-016444-ZXHT</w:t>
      </w:r>
      <w:r>
        <w:rPr>
          <w:rFonts w:hint="eastAsia"/>
          <w:b/>
          <w:color w:val="auto"/>
          <w:szCs w:val="21"/>
          <w:highlight w:val="none"/>
        </w:rPr>
        <w:t>）</w:t>
      </w:r>
    </w:p>
    <w:p>
      <w:pPr>
        <w:spacing w:line="360" w:lineRule="auto"/>
        <w:jc w:val="center"/>
        <w:rPr>
          <w:b/>
          <w:color w:val="auto"/>
          <w:szCs w:val="21"/>
          <w:highlight w:val="none"/>
        </w:rPr>
      </w:pPr>
      <w:r>
        <w:rPr>
          <w:rFonts w:hint="eastAsia"/>
          <w:b/>
          <w:color w:val="auto"/>
          <w:szCs w:val="21"/>
          <w:highlight w:val="none"/>
        </w:rPr>
        <w:t>公开招标公告</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广西中信恒泰工程顾问有限公司受梧州市人民医院委托，对</w:t>
      </w:r>
      <w:r>
        <w:rPr>
          <w:rFonts w:hint="eastAsia"/>
          <w:color w:val="auto"/>
          <w:szCs w:val="21"/>
          <w:highlight w:val="none"/>
        </w:rPr>
        <w:t>梧州市人民医院医疗设备维修和保养服务采购</w:t>
      </w:r>
      <w:r>
        <w:rPr>
          <w:rFonts w:hint="eastAsia" w:ascii="宋体" w:hAnsi="宋体"/>
          <w:color w:val="auto"/>
          <w:szCs w:val="21"/>
          <w:highlight w:val="none"/>
        </w:rPr>
        <w:t>项目进行公开招标采购。本次招标项目经有关部门批准，已具备招标条件，现将有关事项公告如下：</w:t>
      </w:r>
    </w:p>
    <w:p>
      <w:pPr>
        <w:spacing w:line="360" w:lineRule="auto"/>
        <w:ind w:firstLine="422" w:firstLineChars="200"/>
        <w:jc w:val="left"/>
        <w:rPr>
          <w:rFonts w:ascii="宋体" w:hAnsi="宋体"/>
          <w:color w:val="auto"/>
          <w:szCs w:val="21"/>
          <w:highlight w:val="none"/>
        </w:rPr>
      </w:pPr>
      <w:r>
        <w:rPr>
          <w:rFonts w:hint="eastAsia" w:ascii="宋体" w:hAnsi="宋体"/>
          <w:b/>
          <w:color w:val="auto"/>
          <w:szCs w:val="21"/>
          <w:highlight w:val="none"/>
        </w:rPr>
        <w:t>一、项目名称：</w:t>
      </w:r>
      <w:r>
        <w:rPr>
          <w:rFonts w:hint="eastAsia"/>
          <w:color w:val="auto"/>
          <w:szCs w:val="21"/>
          <w:highlight w:val="none"/>
        </w:rPr>
        <w:t>梧州市人民医院医疗设备维修和保养服务采购</w:t>
      </w:r>
    </w:p>
    <w:p>
      <w:pPr>
        <w:spacing w:line="360" w:lineRule="auto"/>
        <w:ind w:firstLine="843" w:firstLineChars="400"/>
        <w:jc w:val="left"/>
        <w:rPr>
          <w:rFonts w:ascii="宋体" w:hAnsi="宋体"/>
          <w:color w:val="auto"/>
          <w:szCs w:val="21"/>
          <w:highlight w:val="none"/>
        </w:rPr>
      </w:pPr>
      <w:r>
        <w:rPr>
          <w:rFonts w:hint="eastAsia" w:ascii="宋体" w:hAnsi="宋体"/>
          <w:b/>
          <w:color w:val="auto"/>
          <w:szCs w:val="21"/>
          <w:highlight w:val="none"/>
        </w:rPr>
        <w:t>项目编号：</w:t>
      </w:r>
      <w:r>
        <w:rPr>
          <w:rFonts w:ascii="宋体" w:hAnsi="宋体"/>
          <w:color w:val="auto"/>
          <w:szCs w:val="21"/>
          <w:highlight w:val="none"/>
        </w:rPr>
        <w:t>WZZC2019-G3-016444-ZXHT</w:t>
      </w:r>
    </w:p>
    <w:p>
      <w:pPr>
        <w:spacing w:line="360" w:lineRule="auto"/>
        <w:ind w:firstLine="422" w:firstLineChars="200"/>
        <w:jc w:val="left"/>
        <w:rPr>
          <w:rFonts w:ascii="宋体" w:hAnsi="宋体"/>
          <w:color w:val="auto"/>
          <w:szCs w:val="21"/>
          <w:highlight w:val="none"/>
        </w:rPr>
      </w:pPr>
      <w:r>
        <w:rPr>
          <w:rFonts w:hint="eastAsia" w:ascii="宋体" w:hAnsi="宋体"/>
          <w:b/>
          <w:color w:val="auto"/>
          <w:szCs w:val="21"/>
          <w:highlight w:val="none"/>
        </w:rPr>
        <w:t>二、采购方式：</w:t>
      </w:r>
      <w:r>
        <w:rPr>
          <w:rFonts w:hint="eastAsia" w:ascii="宋体" w:hAnsi="宋体"/>
          <w:color w:val="auto"/>
          <w:szCs w:val="21"/>
          <w:highlight w:val="none"/>
        </w:rPr>
        <w:t>公开招标；</w:t>
      </w:r>
    </w:p>
    <w:p>
      <w:pPr>
        <w:spacing w:line="360" w:lineRule="auto"/>
        <w:ind w:firstLine="422" w:firstLineChars="200"/>
        <w:jc w:val="left"/>
        <w:rPr>
          <w:rFonts w:ascii="宋体" w:hAnsi="宋体"/>
          <w:color w:val="auto"/>
          <w:szCs w:val="21"/>
          <w:highlight w:val="none"/>
        </w:rPr>
      </w:pPr>
      <w:r>
        <w:rPr>
          <w:rFonts w:hint="eastAsia" w:ascii="宋体" w:hAnsi="宋体"/>
          <w:b/>
          <w:color w:val="auto"/>
          <w:szCs w:val="21"/>
          <w:highlight w:val="none"/>
        </w:rPr>
        <w:t>三、采购内容、数量及简要技术要求：</w:t>
      </w:r>
      <w:r>
        <w:rPr>
          <w:rFonts w:hint="eastAsia" w:ascii="宋体" w:hAnsi="宋体"/>
          <w:color w:val="auto"/>
          <w:szCs w:val="21"/>
          <w:highlight w:val="none"/>
        </w:rPr>
        <w:t>采购预算：人民币132万元。</w:t>
      </w:r>
    </w:p>
    <w:tbl>
      <w:tblPr>
        <w:tblStyle w:val="34"/>
        <w:tblW w:w="8930"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506"/>
        <w:gridCol w:w="4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50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487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506" w:type="dxa"/>
            <w:vAlign w:val="center"/>
          </w:tcPr>
          <w:p>
            <w:pPr>
              <w:spacing w:line="360" w:lineRule="auto"/>
              <w:rPr>
                <w:rFonts w:ascii="宋体" w:hAnsi="宋体"/>
                <w:color w:val="auto"/>
                <w:szCs w:val="21"/>
                <w:highlight w:val="none"/>
              </w:rPr>
            </w:pPr>
            <w:r>
              <w:rPr>
                <w:rFonts w:hint="eastAsia"/>
                <w:color w:val="auto"/>
                <w:szCs w:val="21"/>
                <w:highlight w:val="none"/>
              </w:rPr>
              <w:t>梧州市人民医院医疗设备维修和保养服务采购</w:t>
            </w:r>
          </w:p>
        </w:tc>
        <w:tc>
          <w:tcPr>
            <w:tcW w:w="4877" w:type="dxa"/>
          </w:tcPr>
          <w:p>
            <w:pPr>
              <w:spacing w:line="360" w:lineRule="auto"/>
              <w:jc w:val="left"/>
              <w:rPr>
                <w:rFonts w:ascii="宋体" w:hAnsi="宋体"/>
                <w:color w:val="auto"/>
                <w:szCs w:val="21"/>
                <w:highlight w:val="none"/>
              </w:rPr>
            </w:pPr>
            <w:r>
              <w:rPr>
                <w:rFonts w:hint="eastAsia" w:ascii="宋体" w:hAnsi="宋体"/>
                <w:color w:val="auto"/>
                <w:szCs w:val="21"/>
                <w:highlight w:val="none"/>
              </w:rPr>
              <w:t>提供GE INNOVA 3100 DSA、DISC XR656 DR、PT800数字胃肠机、OEC 9900 Elite的技术维护服务。</w:t>
            </w:r>
          </w:p>
        </w:tc>
      </w:tr>
    </w:tbl>
    <w:p>
      <w:pPr>
        <w:spacing w:line="360" w:lineRule="auto"/>
        <w:ind w:firstLine="840" w:firstLineChars="400"/>
        <w:jc w:val="left"/>
        <w:rPr>
          <w:rFonts w:ascii="宋体" w:hAnsi="宋体"/>
          <w:b/>
          <w:color w:val="auto"/>
          <w:szCs w:val="21"/>
          <w:highlight w:val="none"/>
        </w:rPr>
      </w:pPr>
      <w:r>
        <w:rPr>
          <w:rFonts w:hint="eastAsia" w:ascii="宋体" w:hAnsi="宋体"/>
          <w:color w:val="auto"/>
          <w:szCs w:val="21"/>
          <w:highlight w:val="none"/>
        </w:rPr>
        <w:t>具体内容详</w:t>
      </w:r>
      <w:r>
        <w:rPr>
          <w:rFonts w:ascii="宋体" w:hAnsi="宋体"/>
          <w:color w:val="auto"/>
          <w:szCs w:val="21"/>
          <w:highlight w:val="none"/>
        </w:rPr>
        <w:t>见招标文件货物需求一览表。</w:t>
      </w:r>
    </w:p>
    <w:p>
      <w:pPr>
        <w:spacing w:line="360" w:lineRule="auto"/>
        <w:ind w:firstLine="422" w:firstLineChars="200"/>
        <w:jc w:val="left"/>
        <w:rPr>
          <w:rFonts w:ascii="宋体" w:hAnsi="宋体"/>
          <w:color w:val="auto"/>
          <w:szCs w:val="21"/>
          <w:highlight w:val="none"/>
        </w:rPr>
      </w:pPr>
      <w:bookmarkStart w:id="31" w:name="_toc338662909"/>
      <w:bookmarkStart w:id="32" w:name="_toc355996183"/>
      <w:r>
        <w:rPr>
          <w:rFonts w:hint="eastAsia" w:ascii="宋体" w:hAnsi="宋体"/>
          <w:b/>
          <w:color w:val="auto"/>
          <w:szCs w:val="21"/>
          <w:highlight w:val="none"/>
        </w:rPr>
        <w:t>四</w:t>
      </w:r>
      <w:r>
        <w:rPr>
          <w:rFonts w:hint="eastAsia" w:ascii="宋体" w:hAnsi="宋体"/>
          <w:b/>
          <w:color w:val="auto"/>
          <w:szCs w:val="21"/>
          <w:highlight w:val="none"/>
          <w:lang w:eastAsia="zh-CN"/>
        </w:rPr>
        <w:t>、</w:t>
      </w:r>
      <w:r>
        <w:rPr>
          <w:rFonts w:hint="eastAsia" w:ascii="宋体" w:hAnsi="宋体"/>
          <w:b/>
          <w:color w:val="auto"/>
          <w:szCs w:val="21"/>
          <w:highlight w:val="none"/>
        </w:rPr>
        <w:t>本项目需要落实政策：</w:t>
      </w:r>
      <w:r>
        <w:rPr>
          <w:rFonts w:hint="eastAsia" w:ascii="宋体" w:hAnsi="宋体"/>
          <w:color w:val="auto"/>
          <w:szCs w:val="21"/>
          <w:highlight w:val="none"/>
        </w:rPr>
        <w:t>《政府采购促进中小企业发展暂行办法》（财库〔2011〕181号）、《关于我区政府采购支持监狱企业发展有关问题的通知》（桂财采〔2015〕24号）、《三部门联合发布关于促进残疾人就业政府采购政策的通知》（财库〔2017〕141号）、强制或优先采购节能产品、优先采购环境标志产品。</w:t>
      </w:r>
    </w:p>
    <w:p>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五、投标人的资格要求：</w:t>
      </w:r>
      <w:bookmarkEnd w:id="31"/>
      <w:bookmarkEnd w:id="3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1、国内注册或登记（指按国家有关规定要求注册或登记的），能够满足本次所采购服务内容，持有具有医疗器械经营许可证及经营范围中有医疗设备维修，具备维修保养或经营所需的证件齐全的的投标人；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2、符合《中华人民共和国政府采购法》第二十二条的规定；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3、对在“信用中国”网站、中国政府采购网等渠道列入失信被执行人、重大税收违法案件当事人名单、政府采购严重违法失信行为记录名单的，不得参与政府采购活动；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4、本项目不接受联合体投标。</w:t>
      </w:r>
    </w:p>
    <w:p>
      <w:pPr>
        <w:pStyle w:val="2"/>
        <w:ind w:firstLine="420" w:firstLineChars="200"/>
        <w:rPr>
          <w:color w:val="auto"/>
          <w:highlight w:val="none"/>
        </w:rPr>
      </w:pPr>
      <w:r>
        <w:rPr>
          <w:rFonts w:hint="eastAsia" w:ascii="宋体" w:hAnsi="宋体"/>
          <w:color w:val="auto"/>
          <w:szCs w:val="21"/>
          <w:highlight w:val="none"/>
        </w:rPr>
        <w:t>5、单位负责人为同一人或者存在直接控股、管理关系的不同投标人，不得参加同一合同项下的政府采购</w:t>
      </w:r>
      <w:r>
        <w:rPr>
          <w:rFonts w:hint="eastAsia"/>
          <w:color w:val="auto"/>
          <w:highlight w:val="none"/>
        </w:rPr>
        <w:t>活动；</w:t>
      </w:r>
    </w:p>
    <w:p>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六、招标文件的获取：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b/>
          <w:bCs/>
          <w:color w:val="auto"/>
          <w:szCs w:val="21"/>
          <w:highlight w:val="none"/>
        </w:rPr>
        <w:t>获取招标文件时间：</w:t>
      </w:r>
      <w:r>
        <w:rPr>
          <w:rFonts w:hint="eastAsia" w:ascii="宋体" w:hAnsi="宋体"/>
          <w:color w:val="auto"/>
          <w:szCs w:val="21"/>
          <w:highlight w:val="none"/>
        </w:rPr>
        <w:t>2020年</w:t>
      </w:r>
      <w:r>
        <w:rPr>
          <w:rFonts w:hint="eastAsia" w:ascii="宋体" w:hAnsi="宋体"/>
          <w:color w:val="auto"/>
          <w:szCs w:val="21"/>
          <w:highlight w:val="none"/>
          <w:lang w:val="en-US" w:eastAsia="zh-CN"/>
        </w:rPr>
        <w:t>1</w:t>
      </w:r>
      <w:r>
        <w:rPr>
          <w:rFonts w:hint="eastAsia" w:ascii="宋体" w:hAnsi="宋体"/>
          <w:color w:val="auto"/>
          <w:szCs w:val="21"/>
          <w:highlight w:val="none"/>
        </w:rPr>
        <w:t>月</w:t>
      </w:r>
      <w:r>
        <w:rPr>
          <w:rFonts w:hint="eastAsia" w:ascii="宋体" w:hAnsi="宋体"/>
          <w:color w:val="auto"/>
          <w:szCs w:val="21"/>
          <w:highlight w:val="none"/>
          <w:lang w:val="en-US" w:eastAsia="zh-CN"/>
        </w:rPr>
        <w:t>17</w:t>
      </w:r>
      <w:r>
        <w:rPr>
          <w:rFonts w:hint="eastAsia" w:ascii="宋体" w:hAnsi="宋体"/>
          <w:color w:val="auto"/>
          <w:szCs w:val="21"/>
          <w:highlight w:val="none"/>
        </w:rPr>
        <w:t>日</w:t>
      </w:r>
      <w:r>
        <w:rPr>
          <w:rFonts w:hint="eastAsia" w:ascii="宋体" w:hAnsi="宋体"/>
          <w:bCs/>
          <w:color w:val="auto"/>
          <w:szCs w:val="21"/>
          <w:highlight w:val="none"/>
        </w:rPr>
        <w:t>至</w:t>
      </w:r>
      <w:r>
        <w:rPr>
          <w:rFonts w:hint="eastAsia" w:ascii="宋体" w:hAnsi="宋体"/>
          <w:color w:val="auto"/>
          <w:szCs w:val="21"/>
          <w:highlight w:val="none"/>
        </w:rPr>
        <w:t>2020年</w:t>
      </w:r>
      <w:r>
        <w:rPr>
          <w:rFonts w:hint="eastAsia" w:ascii="宋体" w:hAnsi="宋体"/>
          <w:color w:val="auto"/>
          <w:szCs w:val="21"/>
          <w:highlight w:val="none"/>
          <w:lang w:val="en-US" w:eastAsia="zh-CN"/>
        </w:rPr>
        <w:t>1</w:t>
      </w:r>
      <w:r>
        <w:rPr>
          <w:rFonts w:hint="eastAsia" w:ascii="宋体" w:hAnsi="宋体"/>
          <w:color w:val="auto"/>
          <w:szCs w:val="21"/>
          <w:highlight w:val="none"/>
        </w:rPr>
        <w:t>月</w:t>
      </w:r>
      <w:r>
        <w:rPr>
          <w:rFonts w:hint="eastAsia" w:ascii="宋体" w:hAnsi="宋体"/>
          <w:color w:val="auto"/>
          <w:szCs w:val="21"/>
          <w:highlight w:val="none"/>
          <w:lang w:val="en-US" w:eastAsia="zh-CN"/>
        </w:rPr>
        <w:t>23</w:t>
      </w:r>
      <w:r>
        <w:rPr>
          <w:rFonts w:hint="eastAsia" w:ascii="宋体" w:hAnsi="宋体"/>
          <w:color w:val="auto"/>
          <w:szCs w:val="21"/>
          <w:highlight w:val="none"/>
        </w:rPr>
        <w:t>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2、获取招标文件方式：有意参加的投标人请于2020年</w:t>
      </w:r>
      <w:r>
        <w:rPr>
          <w:rFonts w:hint="eastAsia" w:ascii="宋体" w:hAnsi="宋体"/>
          <w:color w:val="auto"/>
          <w:szCs w:val="21"/>
          <w:highlight w:val="none"/>
          <w:lang w:val="en-US" w:eastAsia="zh-CN"/>
        </w:rPr>
        <w:t>1</w:t>
      </w:r>
      <w:r>
        <w:rPr>
          <w:rFonts w:hint="eastAsia" w:ascii="宋体" w:hAnsi="宋体"/>
          <w:color w:val="auto"/>
          <w:szCs w:val="21"/>
          <w:highlight w:val="none"/>
        </w:rPr>
        <w:t>月</w:t>
      </w:r>
      <w:r>
        <w:rPr>
          <w:rFonts w:hint="eastAsia" w:ascii="宋体" w:hAnsi="宋体"/>
          <w:color w:val="auto"/>
          <w:szCs w:val="21"/>
          <w:highlight w:val="none"/>
          <w:lang w:val="en-US" w:eastAsia="zh-CN"/>
        </w:rPr>
        <w:t>17</w:t>
      </w:r>
      <w:r>
        <w:rPr>
          <w:rFonts w:hint="eastAsia" w:ascii="宋体" w:hAnsi="宋体"/>
          <w:color w:val="auto"/>
          <w:szCs w:val="21"/>
          <w:highlight w:val="none"/>
        </w:rPr>
        <w:t>日</w:t>
      </w:r>
      <w:r>
        <w:rPr>
          <w:rFonts w:hint="eastAsia" w:ascii="宋体" w:hAnsi="宋体"/>
          <w:bCs/>
          <w:color w:val="auto"/>
          <w:szCs w:val="21"/>
          <w:highlight w:val="none"/>
        </w:rPr>
        <w:t>至</w:t>
      </w:r>
      <w:r>
        <w:rPr>
          <w:rFonts w:hint="eastAsia" w:ascii="宋体" w:hAnsi="宋体"/>
          <w:color w:val="auto"/>
          <w:szCs w:val="21"/>
          <w:highlight w:val="none"/>
        </w:rPr>
        <w:t>2020年</w:t>
      </w:r>
      <w:r>
        <w:rPr>
          <w:rFonts w:hint="eastAsia" w:ascii="宋体" w:hAnsi="宋体"/>
          <w:color w:val="auto"/>
          <w:szCs w:val="21"/>
          <w:highlight w:val="none"/>
          <w:lang w:val="en-US" w:eastAsia="zh-CN"/>
        </w:rPr>
        <w:t>1</w:t>
      </w:r>
      <w:r>
        <w:rPr>
          <w:rFonts w:hint="eastAsia" w:ascii="宋体" w:hAnsi="宋体"/>
          <w:color w:val="auto"/>
          <w:szCs w:val="21"/>
          <w:highlight w:val="none"/>
        </w:rPr>
        <w:t>月</w:t>
      </w:r>
      <w:r>
        <w:rPr>
          <w:rFonts w:hint="eastAsia" w:ascii="宋体" w:hAnsi="宋体"/>
          <w:color w:val="auto"/>
          <w:szCs w:val="21"/>
          <w:highlight w:val="none"/>
          <w:lang w:val="en-US" w:eastAsia="zh-CN"/>
        </w:rPr>
        <w:t>23</w:t>
      </w:r>
      <w:r>
        <w:rPr>
          <w:rFonts w:hint="eastAsia" w:ascii="宋体" w:hAnsi="宋体"/>
          <w:color w:val="auto"/>
          <w:szCs w:val="21"/>
          <w:highlight w:val="none"/>
        </w:rPr>
        <w:t>日18时00分前登录政府采购云平台www.zcygov.cn</w:t>
      </w:r>
      <w:r>
        <w:rPr>
          <w:rFonts w:hint="eastAsia" w:ascii="宋体" w:hAnsi="宋体"/>
          <w:bCs/>
          <w:color w:val="auto"/>
          <w:szCs w:val="21"/>
          <w:highlight w:val="none"/>
        </w:rPr>
        <w:t>进行投标人获取招标文件登记并下载招标文件</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在规定的时间内按上述方式成功获取招标文件的供应商才具有投标资格，否则投标无效。</w:t>
      </w:r>
    </w:p>
    <w:p>
      <w:pPr>
        <w:spacing w:line="360" w:lineRule="auto"/>
        <w:ind w:firstLine="422" w:firstLineChars="200"/>
        <w:jc w:val="left"/>
        <w:rPr>
          <w:rFonts w:ascii="宋体" w:hAnsi="宋体"/>
          <w:color w:val="auto"/>
          <w:szCs w:val="21"/>
          <w:highlight w:val="none"/>
        </w:rPr>
      </w:pPr>
      <w:r>
        <w:rPr>
          <w:rFonts w:hint="eastAsia" w:ascii="宋体" w:hAnsi="宋体"/>
          <w:b/>
          <w:color w:val="auto"/>
          <w:szCs w:val="21"/>
          <w:highlight w:val="none"/>
        </w:rPr>
        <w:t>七、投标保证金金额：</w:t>
      </w:r>
      <w:r>
        <w:rPr>
          <w:rFonts w:hint="eastAsia" w:ascii="宋体" w:hAnsi="宋体"/>
          <w:color w:val="auto"/>
          <w:szCs w:val="21"/>
          <w:highlight w:val="none"/>
        </w:rPr>
        <w:t>人民币</w:t>
      </w:r>
      <w:r>
        <w:rPr>
          <w:rFonts w:hint="eastAsia" w:ascii="宋体" w:hAnsi="宋体"/>
          <w:b/>
          <w:color w:val="auto"/>
          <w:szCs w:val="21"/>
          <w:highlight w:val="none"/>
        </w:rPr>
        <w:t>贰万陆仟元整（¥26000.00元），须足额缴纳。</w:t>
      </w:r>
    </w:p>
    <w:p>
      <w:pPr>
        <w:spacing w:line="360" w:lineRule="auto"/>
        <w:ind w:firstLine="420" w:firstLineChars="200"/>
        <w:jc w:val="left"/>
        <w:rPr>
          <w:rFonts w:ascii="宋体" w:hAnsi="宋体"/>
          <w:b/>
          <w:color w:val="auto"/>
          <w:szCs w:val="21"/>
          <w:highlight w:val="none"/>
        </w:rPr>
      </w:pPr>
      <w:r>
        <w:rPr>
          <w:rFonts w:hint="eastAsia" w:ascii="宋体" w:hAnsi="宋体"/>
          <w:color w:val="auto"/>
          <w:szCs w:val="21"/>
          <w:highlight w:val="none"/>
        </w:rPr>
        <w:t>（保证金缴纳方式及账户信息详见招标文件第二章投标人须知前附表第12项）。</w:t>
      </w:r>
    </w:p>
    <w:p>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八、投标截止时间和地点：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1、投标截止和开标时间：</w:t>
      </w:r>
      <w:r>
        <w:rPr>
          <w:rFonts w:hint="eastAsia" w:ascii="宋体" w:hAnsi="宋体"/>
          <w:b/>
          <w:bCs/>
          <w:color w:val="auto"/>
          <w:szCs w:val="21"/>
          <w:highlight w:val="none"/>
        </w:rPr>
        <w:t>2020年</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月</w:t>
      </w:r>
      <w:r>
        <w:rPr>
          <w:rFonts w:hint="eastAsia" w:ascii="宋体" w:hAnsi="宋体"/>
          <w:b/>
          <w:bCs/>
          <w:color w:val="auto"/>
          <w:szCs w:val="21"/>
          <w:highlight w:val="none"/>
          <w:lang w:val="en-US" w:eastAsia="zh-CN"/>
        </w:rPr>
        <w:t>11</w:t>
      </w:r>
      <w:r>
        <w:rPr>
          <w:rFonts w:hint="eastAsia" w:ascii="宋体" w:hAnsi="宋体"/>
          <w:b/>
          <w:bCs/>
          <w:color w:val="auto"/>
          <w:szCs w:val="21"/>
          <w:highlight w:val="none"/>
        </w:rPr>
        <w:t>日9时30分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2、递交投标文件和开标地点：梧州市公共资源交易中心（梧州市政府采购中心）开标室（具体开标室详见LED屏幕指引）。</w:t>
      </w:r>
    </w:p>
    <w:p>
      <w:pPr>
        <w:pStyle w:val="2"/>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3、投标人应于投标截止前将投标文件密封送交到梧州市公共资源交易中心[梧州市三龙大道红岭大厦8楼（具体开标室根据电子屏幕显示的安排）]，逾期送达或投标文件的包装未按要求密封、盖章、标记将予以拒收或作无效投标文件处理。</w:t>
      </w:r>
    </w:p>
    <w:p>
      <w:pPr>
        <w:snapToGrid w:val="0"/>
        <w:spacing w:line="360" w:lineRule="auto"/>
        <w:ind w:firstLine="422" w:firstLineChars="200"/>
        <w:jc w:val="left"/>
        <w:rPr>
          <w:rFonts w:ascii="宋体" w:hAnsi="宋体"/>
          <w:color w:val="auto"/>
          <w:sz w:val="24"/>
          <w:highlight w:val="none"/>
        </w:rPr>
      </w:pPr>
      <w:r>
        <w:rPr>
          <w:rFonts w:hint="eastAsia" w:ascii="宋体" w:hAnsi="宋体"/>
          <w:b/>
          <w:color w:val="auto"/>
          <w:szCs w:val="21"/>
          <w:highlight w:val="none"/>
        </w:rPr>
        <w:t>九、</w:t>
      </w:r>
      <w:r>
        <w:rPr>
          <w:rFonts w:hint="eastAsia" w:ascii="宋体" w:hAnsi="宋体"/>
          <w:b/>
          <w:bCs/>
          <w:color w:val="auto"/>
          <w:sz w:val="24"/>
          <w:highlight w:val="none"/>
        </w:rPr>
        <w:t>开标时间及地点</w:t>
      </w:r>
      <w:r>
        <w:rPr>
          <w:rFonts w:hint="eastAsia" w:ascii="宋体" w:hAnsi="宋体"/>
          <w:color w:val="auto"/>
          <w:sz w:val="24"/>
          <w:highlight w:val="none"/>
        </w:rPr>
        <w:t>：</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本次招标将于</w:t>
      </w:r>
      <w:r>
        <w:rPr>
          <w:rFonts w:hint="eastAsia" w:ascii="宋体" w:hAnsi="宋体"/>
          <w:b/>
          <w:bCs/>
          <w:color w:val="auto"/>
          <w:szCs w:val="21"/>
          <w:highlight w:val="none"/>
        </w:rPr>
        <w:t>2020年</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月</w:t>
      </w:r>
      <w:r>
        <w:rPr>
          <w:rFonts w:hint="eastAsia" w:ascii="宋体" w:hAnsi="宋体"/>
          <w:b/>
          <w:bCs/>
          <w:color w:val="auto"/>
          <w:szCs w:val="21"/>
          <w:highlight w:val="none"/>
          <w:lang w:val="en-US" w:eastAsia="zh-CN"/>
        </w:rPr>
        <w:t>11</w:t>
      </w:r>
      <w:r>
        <w:rPr>
          <w:rFonts w:hint="eastAsia" w:ascii="宋体" w:hAnsi="宋体"/>
          <w:b/>
          <w:bCs/>
          <w:color w:val="auto"/>
          <w:szCs w:val="21"/>
          <w:highlight w:val="none"/>
        </w:rPr>
        <w:t>日9时30分</w:t>
      </w:r>
      <w:r>
        <w:rPr>
          <w:rFonts w:hint="eastAsia" w:ascii="宋体" w:hAnsi="宋体"/>
          <w:color w:val="auto"/>
          <w:szCs w:val="21"/>
          <w:highlight w:val="none"/>
        </w:rPr>
        <w:t>整在梧州市公共资源交易中心开标[梧州市三龙大道红岭大厦8楼（具体开标室根据电子屏幕显示的安排）]，投标人可以派授权代表出席开标会议（携带本人身份证原件，委托代理人出席应携带单位授权委托书原件）。</w:t>
      </w:r>
    </w:p>
    <w:p>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十、网上公告媒体查询：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中国政府采购网（www.ccgp.gov.cn）、广西壮族自治区政府采购网（</w:t>
      </w:r>
      <w:r>
        <w:rPr>
          <w:rFonts w:ascii="宋体" w:hAnsi="宋体"/>
          <w:bCs/>
          <w:color w:val="auto"/>
          <w:szCs w:val="21"/>
          <w:highlight w:val="none"/>
        </w:rPr>
        <w:t>http://zfcg.gxzf.gov.cn/</w:t>
      </w:r>
      <w:r>
        <w:rPr>
          <w:rFonts w:hint="eastAsia" w:ascii="宋体" w:hAnsi="宋体"/>
          <w:bCs/>
          <w:color w:val="auto"/>
          <w:szCs w:val="21"/>
          <w:highlight w:val="none"/>
        </w:rPr>
        <w:t>）</w:t>
      </w:r>
      <w:r>
        <w:rPr>
          <w:rFonts w:hint="eastAsia" w:ascii="宋体" w:hAnsi="宋体"/>
          <w:color w:val="auto"/>
          <w:szCs w:val="21"/>
          <w:highlight w:val="none"/>
        </w:rPr>
        <w:t>、梧州市政府采购网（www.wuzhou.gov.cn:8090/zfcgw）、广西壮族自治区公共资源交易中心网（http://gxggzy.gxzf.gov.cn/gxzbw/）、梧州市公共资源交易中心网（http://www.wzggzy.cn/gxwzzbw/）。</w:t>
      </w:r>
    </w:p>
    <w:p>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十一、联系方式：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1、采购人名称：梧州市人民医院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bCs/>
          <w:color w:val="auto"/>
          <w:szCs w:val="21"/>
          <w:highlight w:val="none"/>
        </w:rPr>
        <w:t>梧州市三龙大道139号</w:t>
      </w:r>
    </w:p>
    <w:p>
      <w:pPr>
        <w:pStyle w:val="16"/>
        <w:spacing w:line="360" w:lineRule="auto"/>
        <w:ind w:firstLine="420" w:firstLineChars="200"/>
        <w:rPr>
          <w:color w:val="auto"/>
          <w:spacing w:val="6"/>
          <w:kern w:val="48"/>
          <w:szCs w:val="21"/>
          <w:highlight w:val="none"/>
        </w:rPr>
      </w:pPr>
      <w:r>
        <w:rPr>
          <w:rFonts w:hint="eastAsia"/>
          <w:color w:val="auto"/>
          <w:szCs w:val="21"/>
          <w:highlight w:val="none"/>
        </w:rPr>
        <w:t>联系人：</w:t>
      </w:r>
      <w:r>
        <w:rPr>
          <w:rFonts w:hint="eastAsia"/>
          <w:color w:val="auto"/>
          <w:spacing w:val="6"/>
          <w:kern w:val="48"/>
          <w:szCs w:val="21"/>
          <w:highlight w:val="none"/>
        </w:rPr>
        <w:t>覃先生</w:t>
      </w:r>
      <w:r>
        <w:rPr>
          <w:rFonts w:hint="eastAsia"/>
          <w:color w:val="auto"/>
          <w:szCs w:val="21"/>
          <w:highlight w:val="none"/>
        </w:rPr>
        <w:t xml:space="preserve">         联系电话：</w:t>
      </w:r>
      <w:r>
        <w:rPr>
          <w:color w:val="auto"/>
          <w:kern w:val="0"/>
          <w:szCs w:val="21"/>
          <w:highlight w:val="none"/>
        </w:rPr>
        <w:t>0774-2833676</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2、采购代理机构：广西中信恒泰工程顾问有限公司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联系地址：梧州市新兴三路30号神冠豪都B幢2单元1805房</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联系人：林工         联系电话：0774-5826268    邮箱：</w:t>
      </w:r>
      <w:r>
        <w:rPr>
          <w:rFonts w:ascii="宋体" w:hAnsi="宋体"/>
          <w:color w:val="auto"/>
          <w:szCs w:val="21"/>
          <w:highlight w:val="none"/>
        </w:rPr>
        <w:t>wzzxht@126.com</w:t>
      </w:r>
    </w:p>
    <w:p>
      <w:pPr>
        <w:spacing w:line="360" w:lineRule="auto"/>
        <w:ind w:firstLine="420" w:firstLineChars="200"/>
        <w:jc w:val="left"/>
        <w:rPr>
          <w:rFonts w:ascii="宋体" w:hAnsi="宋体" w:cs="宋体"/>
          <w:bCs/>
          <w:color w:val="auto"/>
          <w:szCs w:val="21"/>
          <w:highlight w:val="none"/>
        </w:rPr>
      </w:pPr>
      <w:r>
        <w:rPr>
          <w:rFonts w:hint="eastAsia" w:ascii="宋体" w:hAnsi="宋体"/>
          <w:color w:val="auto"/>
          <w:szCs w:val="21"/>
          <w:highlight w:val="none"/>
        </w:rPr>
        <w:t>3、</w:t>
      </w:r>
      <w:r>
        <w:rPr>
          <w:rFonts w:hint="eastAsia" w:ascii="宋体" w:hAnsi="宋体" w:cs="宋体"/>
          <w:bCs/>
          <w:color w:val="auto"/>
          <w:szCs w:val="21"/>
          <w:highlight w:val="none"/>
        </w:rPr>
        <w:t>监督部门：梧州市财政局政府采购监督管理科</w:t>
      </w:r>
    </w:p>
    <w:p>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地址：梧州市长洲区三龙大道99号红岭大厦22楼   电话：0774-3866434</w:t>
      </w:r>
    </w:p>
    <w:p>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4、交易平台：梧州市公共资源交易中心（梧州市政府采购中心）</w:t>
      </w:r>
    </w:p>
    <w:p>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地址：梧州市长洲区三龙大道99号红岭大厦8楼</w:t>
      </w:r>
    </w:p>
    <w:p>
      <w:pPr>
        <w:spacing w:line="360" w:lineRule="auto"/>
        <w:ind w:firstLine="420" w:firstLineChars="200"/>
        <w:jc w:val="left"/>
        <w:rPr>
          <w:rFonts w:ascii="宋体" w:hAnsi="宋体"/>
          <w:color w:val="auto"/>
          <w:szCs w:val="21"/>
          <w:highlight w:val="none"/>
        </w:rPr>
      </w:pPr>
      <w:r>
        <w:rPr>
          <w:rFonts w:hint="eastAsia" w:ascii="宋体" w:hAnsi="宋体" w:cs="宋体"/>
          <w:bCs/>
          <w:color w:val="auto"/>
          <w:szCs w:val="21"/>
          <w:highlight w:val="none"/>
        </w:rPr>
        <w:t>5、</w:t>
      </w:r>
      <w:r>
        <w:rPr>
          <w:rFonts w:hint="eastAsia" w:ascii="宋体" w:hAnsi="宋体"/>
          <w:color w:val="auto"/>
          <w:szCs w:val="21"/>
          <w:highlight w:val="none"/>
        </w:rPr>
        <w:t>政府采购云平台咨询：</w:t>
      </w:r>
      <w:r>
        <w:rPr>
          <w:rFonts w:hint="eastAsia" w:ascii="宋体" w:hAnsi="宋体" w:cs="宋体"/>
          <w:bCs/>
          <w:color w:val="auto"/>
          <w:szCs w:val="21"/>
          <w:highlight w:val="none"/>
        </w:rPr>
        <w:t>可在政采云平台的“帮助中心”内查看相关供应商注册及获取招标文件教程，咨询电话：400-881-7190。</w:t>
      </w:r>
    </w:p>
    <w:p>
      <w:pPr>
        <w:spacing w:line="360" w:lineRule="auto"/>
        <w:ind w:firstLine="420" w:firstLineChars="2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rPr>
      </w:pPr>
    </w:p>
    <w:p>
      <w:pPr>
        <w:spacing w:line="360" w:lineRule="auto"/>
        <w:ind w:firstLine="5460" w:firstLineChars="2600"/>
        <w:rPr>
          <w:rFonts w:ascii="宋体" w:hAnsi="宋体"/>
          <w:color w:val="auto"/>
          <w:szCs w:val="21"/>
          <w:highlight w:val="none"/>
        </w:rPr>
      </w:pPr>
      <w:r>
        <w:rPr>
          <w:rFonts w:hint="eastAsia" w:ascii="宋体" w:hAnsi="宋体"/>
          <w:color w:val="auto"/>
          <w:szCs w:val="21"/>
          <w:highlight w:val="none"/>
        </w:rPr>
        <w:t>采购人：梧州市人民医院</w:t>
      </w:r>
    </w:p>
    <w:p>
      <w:pPr>
        <w:spacing w:line="360" w:lineRule="auto"/>
        <w:ind w:firstLine="3780" w:firstLineChars="1800"/>
        <w:jc w:val="right"/>
        <w:rPr>
          <w:rFonts w:ascii="宋体" w:hAnsi="宋体"/>
          <w:color w:val="auto"/>
          <w:szCs w:val="21"/>
          <w:highlight w:val="none"/>
        </w:rPr>
      </w:pPr>
      <w:r>
        <w:rPr>
          <w:rFonts w:hint="eastAsia" w:ascii="宋体" w:hAnsi="宋体"/>
          <w:color w:val="auto"/>
          <w:szCs w:val="21"/>
          <w:highlight w:val="none"/>
        </w:rPr>
        <w:t>采购代理机构：广西中信恒泰工程顾问有限公司</w:t>
      </w:r>
    </w:p>
    <w:p>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 xml:space="preserve">                                   2020年</w:t>
      </w:r>
      <w:r>
        <w:rPr>
          <w:rFonts w:hint="eastAsia" w:ascii="宋体" w:hAnsi="宋体"/>
          <w:color w:val="auto"/>
          <w:szCs w:val="21"/>
          <w:highlight w:val="none"/>
          <w:lang w:val="en-US" w:eastAsia="zh-CN"/>
        </w:rPr>
        <w:t>1</w:t>
      </w:r>
      <w:r>
        <w:rPr>
          <w:rFonts w:hint="eastAsia" w:ascii="宋体" w:hAnsi="宋体"/>
          <w:color w:val="auto"/>
          <w:szCs w:val="21"/>
          <w:highlight w:val="none"/>
        </w:rPr>
        <w:t>月</w:t>
      </w:r>
      <w:r>
        <w:rPr>
          <w:rFonts w:hint="eastAsia" w:ascii="宋体" w:hAnsi="宋体"/>
          <w:color w:val="auto"/>
          <w:szCs w:val="21"/>
          <w:highlight w:val="none"/>
          <w:lang w:val="en-US" w:eastAsia="zh-CN"/>
        </w:rPr>
        <w:t>17</w:t>
      </w:r>
      <w:r>
        <w:rPr>
          <w:rFonts w:hint="eastAsia" w:ascii="宋体" w:hAnsi="宋体"/>
          <w:color w:val="auto"/>
          <w:szCs w:val="21"/>
          <w:highlight w:val="none"/>
        </w:rPr>
        <w:t>日</w:t>
      </w:r>
    </w:p>
    <w:p>
      <w:pPr>
        <w:pStyle w:val="32"/>
        <w:rPr>
          <w:rFonts w:ascii="宋体" w:hAnsi="宋体"/>
          <w:bCs w:val="0"/>
          <w:color w:val="auto"/>
          <w:szCs w:val="21"/>
          <w:highlight w:val="none"/>
        </w:rPr>
      </w:pPr>
    </w:p>
    <w:p>
      <w:pPr>
        <w:rPr>
          <w:color w:val="auto"/>
          <w:highlight w:val="none"/>
        </w:rPr>
        <w:sectPr>
          <w:headerReference r:id="rId8" w:type="first"/>
          <w:footerReference r:id="rId11" w:type="first"/>
          <w:headerReference r:id="rId6" w:type="default"/>
          <w:footerReference r:id="rId9" w:type="default"/>
          <w:headerReference r:id="rId7" w:type="even"/>
          <w:footerReference r:id="rId10" w:type="even"/>
          <w:pgSz w:w="11906" w:h="16838"/>
          <w:pgMar w:top="1134" w:right="964" w:bottom="1134" w:left="1134" w:header="720" w:footer="720" w:gutter="0"/>
          <w:pgNumType w:start="1"/>
          <w:cols w:space="720" w:num="1"/>
          <w:docGrid w:linePitch="312" w:charSpace="0"/>
        </w:sectPr>
      </w:pPr>
    </w:p>
    <w:bookmarkEnd w:id="27"/>
    <w:bookmarkEnd w:id="28"/>
    <w:bookmarkEnd w:id="29"/>
    <w:bookmarkEnd w:id="30"/>
    <w:p>
      <w:pPr>
        <w:pStyle w:val="32"/>
        <w:rPr>
          <w:color w:val="auto"/>
          <w:highlight w:val="none"/>
        </w:rPr>
      </w:pPr>
      <w:bookmarkStart w:id="33" w:name="_Toc527537987"/>
      <w:bookmarkStart w:id="34" w:name="_Toc271529382"/>
      <w:bookmarkStart w:id="35" w:name="_Toc213206174"/>
      <w:bookmarkStart w:id="36" w:name="_Toc497900272"/>
      <w:bookmarkStart w:id="37" w:name="_Toc213325923"/>
      <w:r>
        <w:rPr>
          <w:rFonts w:hint="eastAsia"/>
          <w:color w:val="auto"/>
          <w:highlight w:val="none"/>
        </w:rPr>
        <w:t>第二章投标人须知</w:t>
      </w:r>
      <w:bookmarkEnd w:id="4"/>
      <w:bookmarkEnd w:id="5"/>
      <w:bookmarkEnd w:id="33"/>
      <w:bookmarkEnd w:id="34"/>
      <w:bookmarkEnd w:id="35"/>
      <w:bookmarkEnd w:id="36"/>
      <w:bookmarkEnd w:id="37"/>
      <w:r>
        <w:rPr>
          <w:rFonts w:hint="eastAsia"/>
          <w:vanish/>
          <w:color w:val="auto"/>
          <w:highlight w:val="none"/>
        </w:rPr>
        <w:t>{ TC "第四章投标人须知" \f C \l "1"</w:t>
      </w:r>
      <w:r>
        <w:rPr>
          <w:rFonts w:hint="eastAsia" w:ascii="黑体" w:eastAsia="黑体"/>
          <w:vanish/>
          <w:color w:val="auto"/>
          <w:highlight w:val="none"/>
        </w:rPr>
        <w:t>}</w:t>
      </w:r>
    </w:p>
    <w:p>
      <w:pPr>
        <w:pStyle w:val="16"/>
        <w:snapToGrid w:val="0"/>
        <w:spacing w:line="360" w:lineRule="auto"/>
        <w:jc w:val="center"/>
        <w:rPr>
          <w:rFonts w:ascii="Times New Roman"/>
          <w:bCs/>
          <w:color w:val="auto"/>
          <w:sz w:val="30"/>
          <w:szCs w:val="30"/>
          <w:highlight w:val="none"/>
        </w:rPr>
      </w:pPr>
      <w:r>
        <w:rPr>
          <w:rFonts w:hint="eastAsia" w:ascii="Times New Roman"/>
          <w:bCs/>
          <w:color w:val="auto"/>
          <w:sz w:val="30"/>
          <w:szCs w:val="30"/>
          <w:highlight w:val="none"/>
        </w:rPr>
        <w:t>投标人须知前附表</w:t>
      </w:r>
    </w:p>
    <w:tbl>
      <w:tblPr>
        <w:tblStyle w:val="34"/>
        <w:tblW w:w="985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7"/>
        <w:gridCol w:w="3243"/>
        <w:gridCol w:w="55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360" w:lineRule="auto"/>
              <w:jc w:val="center"/>
              <w:rPr>
                <w:bCs/>
                <w:color w:val="auto"/>
                <w:szCs w:val="21"/>
                <w:highlight w:val="none"/>
              </w:rPr>
            </w:pPr>
            <w:r>
              <w:rPr>
                <w:rFonts w:hint="eastAsia"/>
                <w:bCs/>
                <w:color w:val="auto"/>
                <w:szCs w:val="21"/>
                <w:highlight w:val="none"/>
              </w:rPr>
              <w:t>序号</w:t>
            </w:r>
          </w:p>
        </w:tc>
        <w:tc>
          <w:tcPr>
            <w:tcW w:w="3243"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bCs/>
                <w:color w:val="auto"/>
                <w:szCs w:val="21"/>
                <w:highlight w:val="none"/>
              </w:rPr>
            </w:pPr>
            <w:r>
              <w:rPr>
                <w:rFonts w:hint="eastAsia"/>
                <w:bCs/>
                <w:color w:val="auto"/>
                <w:szCs w:val="21"/>
                <w:highlight w:val="none"/>
              </w:rPr>
              <w:t>条款名称</w:t>
            </w:r>
          </w:p>
        </w:tc>
        <w:tc>
          <w:tcPr>
            <w:tcW w:w="5532" w:type="dxa"/>
            <w:tcBorders>
              <w:top w:val="single" w:color="auto" w:sz="4" w:space="0"/>
              <w:left w:val="single" w:color="auto" w:sz="4" w:space="0"/>
              <w:bottom w:val="single" w:color="auto" w:sz="4" w:space="0"/>
              <w:right w:val="single" w:color="auto" w:sz="4" w:space="0"/>
            </w:tcBorders>
          </w:tcPr>
          <w:p>
            <w:pPr>
              <w:pStyle w:val="16"/>
              <w:spacing w:line="360" w:lineRule="auto"/>
              <w:jc w:val="center"/>
              <w:rPr>
                <w:bCs/>
                <w:color w:val="auto"/>
                <w:szCs w:val="21"/>
                <w:highlight w:val="none"/>
              </w:rPr>
            </w:pPr>
            <w:r>
              <w:rPr>
                <w:rFonts w:hint="eastAsia"/>
                <w:bCs/>
                <w:color w:val="auto"/>
                <w:szCs w:val="21"/>
                <w:highlight w:val="none"/>
              </w:rPr>
              <w:t>详细内容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color w:val="auto"/>
                <w:szCs w:val="21"/>
                <w:highlight w:val="none"/>
              </w:rPr>
            </w:pPr>
            <w:r>
              <w:rPr>
                <w:rFonts w:hint="eastAsia"/>
                <w:color w:val="auto"/>
                <w:szCs w:val="21"/>
                <w:highlight w:val="none"/>
              </w:rPr>
              <w:t>采购人</w:t>
            </w:r>
          </w:p>
        </w:tc>
        <w:tc>
          <w:tcPr>
            <w:tcW w:w="553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bCs/>
                <w:color w:val="auto"/>
                <w:szCs w:val="21"/>
                <w:highlight w:val="none"/>
              </w:rPr>
            </w:pPr>
            <w:r>
              <w:rPr>
                <w:rFonts w:hint="eastAsia"/>
                <w:bCs/>
                <w:color w:val="auto"/>
                <w:szCs w:val="21"/>
                <w:highlight w:val="none"/>
              </w:rPr>
              <w:t>采购人名称：梧州市人民医院</w:t>
            </w:r>
          </w:p>
          <w:p>
            <w:pPr>
              <w:pStyle w:val="16"/>
              <w:spacing w:line="360" w:lineRule="auto"/>
              <w:rPr>
                <w:bCs/>
                <w:color w:val="auto"/>
                <w:szCs w:val="21"/>
                <w:highlight w:val="none"/>
              </w:rPr>
            </w:pPr>
            <w:r>
              <w:rPr>
                <w:rFonts w:hint="eastAsia"/>
                <w:bCs/>
                <w:color w:val="auto"/>
                <w:szCs w:val="21"/>
                <w:highlight w:val="none"/>
              </w:rPr>
              <w:t>地址：梧州市三龙大道139号</w:t>
            </w:r>
          </w:p>
          <w:p>
            <w:pPr>
              <w:pStyle w:val="16"/>
              <w:spacing w:line="360" w:lineRule="auto"/>
              <w:rPr>
                <w:bCs/>
                <w:color w:val="auto"/>
                <w:szCs w:val="21"/>
                <w:highlight w:val="none"/>
              </w:rPr>
            </w:pPr>
            <w:r>
              <w:rPr>
                <w:rFonts w:hint="eastAsia"/>
                <w:bCs/>
                <w:color w:val="auto"/>
                <w:szCs w:val="21"/>
                <w:highlight w:val="none"/>
              </w:rPr>
              <w:t>联系人：覃先生</w:t>
            </w:r>
          </w:p>
          <w:p>
            <w:pPr>
              <w:pStyle w:val="16"/>
              <w:spacing w:line="360" w:lineRule="auto"/>
              <w:rPr>
                <w:color w:val="auto"/>
                <w:spacing w:val="6"/>
                <w:kern w:val="48"/>
                <w:szCs w:val="21"/>
                <w:highlight w:val="none"/>
              </w:rPr>
            </w:pPr>
            <w:r>
              <w:rPr>
                <w:rFonts w:hint="eastAsia"/>
                <w:bCs/>
                <w:color w:val="auto"/>
                <w:szCs w:val="21"/>
                <w:highlight w:val="none"/>
              </w:rPr>
              <w:t>电话：</w:t>
            </w:r>
            <w:r>
              <w:rPr>
                <w:color w:val="auto"/>
                <w:kern w:val="0"/>
                <w:szCs w:val="21"/>
                <w:highlight w:val="none"/>
              </w:rPr>
              <w:t>0774-2833676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color w:val="auto"/>
                <w:szCs w:val="21"/>
                <w:highlight w:val="none"/>
              </w:rPr>
            </w:pPr>
            <w:r>
              <w:rPr>
                <w:rFonts w:hint="eastAsia"/>
                <w:color w:val="auto"/>
                <w:szCs w:val="21"/>
                <w:highlight w:val="none"/>
              </w:rPr>
              <w:t>采购代理机构</w:t>
            </w:r>
          </w:p>
        </w:tc>
        <w:tc>
          <w:tcPr>
            <w:tcW w:w="553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color w:val="auto"/>
                <w:szCs w:val="21"/>
                <w:highlight w:val="none"/>
              </w:rPr>
            </w:pPr>
            <w:r>
              <w:rPr>
                <w:rFonts w:hint="eastAsia"/>
                <w:color w:val="auto"/>
                <w:szCs w:val="21"/>
                <w:highlight w:val="none"/>
              </w:rPr>
              <w:t>名称：</w:t>
            </w:r>
            <w:r>
              <w:rPr>
                <w:rFonts w:hint="eastAsia" w:cs="仿宋_GB2312"/>
                <w:color w:val="auto"/>
                <w:kern w:val="0"/>
                <w:szCs w:val="21"/>
                <w:highlight w:val="none"/>
              </w:rPr>
              <w:t>广西中信恒泰工程顾问有限公司</w:t>
            </w:r>
          </w:p>
          <w:p>
            <w:pPr>
              <w:pStyle w:val="16"/>
              <w:spacing w:line="360" w:lineRule="auto"/>
              <w:rPr>
                <w:rFonts w:cs="仿宋_GB2312"/>
                <w:color w:val="auto"/>
                <w:kern w:val="0"/>
                <w:szCs w:val="21"/>
                <w:highlight w:val="none"/>
              </w:rPr>
            </w:pPr>
            <w:r>
              <w:rPr>
                <w:rFonts w:hint="eastAsia" w:cs="仿宋_GB2312"/>
                <w:color w:val="auto"/>
                <w:kern w:val="0"/>
                <w:szCs w:val="21"/>
                <w:highlight w:val="none"/>
              </w:rPr>
              <w:t>联系地址：</w:t>
            </w:r>
            <w:r>
              <w:rPr>
                <w:rFonts w:hint="eastAsia"/>
                <w:color w:val="auto"/>
                <w:szCs w:val="21"/>
                <w:highlight w:val="none"/>
              </w:rPr>
              <w:t>梧州市新兴三路30号神冠豪都B幢2单元1805房</w:t>
            </w:r>
          </w:p>
          <w:p>
            <w:pPr>
              <w:pStyle w:val="16"/>
              <w:spacing w:line="360" w:lineRule="auto"/>
              <w:rPr>
                <w:color w:val="auto"/>
                <w:szCs w:val="21"/>
                <w:highlight w:val="none"/>
              </w:rPr>
            </w:pPr>
            <w:r>
              <w:rPr>
                <w:rFonts w:hint="eastAsia"/>
                <w:color w:val="auto"/>
                <w:szCs w:val="21"/>
                <w:highlight w:val="none"/>
              </w:rPr>
              <w:t>联系人：</w:t>
            </w:r>
            <w:r>
              <w:rPr>
                <w:rFonts w:hint="eastAsia"/>
                <w:color w:val="auto"/>
                <w:kern w:val="48"/>
                <w:szCs w:val="21"/>
                <w:highlight w:val="none"/>
              </w:rPr>
              <w:t>林工</w:t>
            </w:r>
          </w:p>
          <w:p>
            <w:pPr>
              <w:pStyle w:val="16"/>
              <w:spacing w:line="360" w:lineRule="auto"/>
              <w:rPr>
                <w:color w:val="auto"/>
                <w:szCs w:val="21"/>
                <w:highlight w:val="none"/>
              </w:rPr>
            </w:pPr>
            <w:r>
              <w:rPr>
                <w:rFonts w:hint="eastAsia"/>
                <w:color w:val="auto"/>
                <w:szCs w:val="21"/>
                <w:highlight w:val="none"/>
              </w:rPr>
              <w:t>电话：0774-5826268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pStyle w:val="16"/>
              <w:jc w:val="center"/>
              <w:rPr>
                <w:color w:val="auto"/>
                <w:szCs w:val="21"/>
                <w:highlight w:val="none"/>
              </w:rPr>
            </w:pPr>
            <w:r>
              <w:rPr>
                <w:rFonts w:hint="eastAsia"/>
                <w:color w:val="auto"/>
                <w:szCs w:val="21"/>
                <w:highlight w:val="none"/>
              </w:rPr>
              <w:t>项目名称</w:t>
            </w:r>
          </w:p>
        </w:tc>
        <w:tc>
          <w:tcPr>
            <w:tcW w:w="5532" w:type="dxa"/>
            <w:tcBorders>
              <w:top w:val="single" w:color="auto" w:sz="4" w:space="0"/>
              <w:left w:val="single" w:color="auto" w:sz="4" w:space="0"/>
              <w:bottom w:val="single" w:color="auto" w:sz="4" w:space="0"/>
              <w:right w:val="single" w:color="auto" w:sz="4" w:space="0"/>
            </w:tcBorders>
            <w:vAlign w:val="center"/>
          </w:tcPr>
          <w:p>
            <w:pPr>
              <w:pStyle w:val="16"/>
              <w:rPr>
                <w:color w:val="auto"/>
                <w:szCs w:val="21"/>
                <w:highlight w:val="none"/>
              </w:rPr>
            </w:pPr>
            <w:r>
              <w:rPr>
                <w:rFonts w:hint="eastAsia"/>
                <w:color w:val="auto"/>
                <w:szCs w:val="21"/>
                <w:highlight w:val="none"/>
              </w:rPr>
              <w:t>梧州市人民医院医疗设备维修和保养服务采购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pStyle w:val="16"/>
              <w:jc w:val="center"/>
              <w:rPr>
                <w:color w:val="auto"/>
                <w:szCs w:val="21"/>
                <w:highlight w:val="none"/>
              </w:rPr>
            </w:pPr>
            <w:r>
              <w:rPr>
                <w:rFonts w:hint="eastAsia"/>
                <w:color w:val="auto"/>
                <w:szCs w:val="21"/>
                <w:highlight w:val="none"/>
              </w:rPr>
              <w:t>项目编号</w:t>
            </w:r>
          </w:p>
        </w:tc>
        <w:tc>
          <w:tcPr>
            <w:tcW w:w="5532" w:type="dxa"/>
            <w:tcBorders>
              <w:top w:val="single" w:color="auto" w:sz="4" w:space="0"/>
              <w:left w:val="single" w:color="auto" w:sz="4" w:space="0"/>
              <w:bottom w:val="single" w:color="auto" w:sz="4" w:space="0"/>
              <w:right w:val="single" w:color="auto" w:sz="4" w:space="0"/>
            </w:tcBorders>
            <w:vAlign w:val="center"/>
          </w:tcPr>
          <w:p>
            <w:pPr>
              <w:pStyle w:val="16"/>
              <w:rPr>
                <w:color w:val="auto"/>
                <w:szCs w:val="21"/>
                <w:highlight w:val="none"/>
              </w:rPr>
            </w:pPr>
            <w:r>
              <w:rPr>
                <w:color w:val="auto"/>
                <w:szCs w:val="21"/>
                <w:highlight w:val="none"/>
              </w:rPr>
              <w:t>WZZC2019-G3-016444-ZXHT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color w:val="auto"/>
                <w:szCs w:val="21"/>
                <w:highlight w:val="none"/>
              </w:rPr>
            </w:pPr>
            <w:r>
              <w:rPr>
                <w:rFonts w:hint="eastAsia"/>
                <w:bCs/>
                <w:color w:val="auto"/>
                <w:szCs w:val="21"/>
                <w:highlight w:val="none"/>
              </w:rPr>
              <w:t>投标人应具备的特定条件</w:t>
            </w:r>
          </w:p>
        </w:tc>
        <w:tc>
          <w:tcPr>
            <w:tcW w:w="5532" w:type="dxa"/>
            <w:tcBorders>
              <w:top w:val="single" w:color="auto" w:sz="4" w:space="0"/>
              <w:left w:val="single" w:color="auto" w:sz="4" w:space="0"/>
              <w:bottom w:val="single" w:color="auto" w:sz="4" w:space="0"/>
              <w:right w:val="single" w:color="auto" w:sz="4" w:space="0"/>
            </w:tcBorders>
            <w:vAlign w:val="center"/>
          </w:tcPr>
          <w:p>
            <w:pPr>
              <w:pStyle w:val="12"/>
              <w:tabs>
                <w:tab w:val="left" w:pos="0"/>
              </w:tabs>
              <w:spacing w:line="380" w:lineRule="exact"/>
              <w:ind w:firstLine="130"/>
              <w:rPr>
                <w:rFonts w:ascii="Times New Roman" w:hAnsi="Times New Roman" w:cs="Times New Roman"/>
                <w:color w:val="auto"/>
                <w:spacing w:val="0"/>
                <w:sz w:val="21"/>
                <w:szCs w:val="21"/>
                <w:highlight w:val="none"/>
              </w:rPr>
            </w:pPr>
            <w:r>
              <w:rPr>
                <w:rFonts w:hint="eastAsia" w:ascii="Times New Roman" w:hAnsi="Times New Roman" w:cs="Times New Roman"/>
                <w:color w:val="auto"/>
                <w:spacing w:val="0"/>
                <w:sz w:val="21"/>
                <w:szCs w:val="21"/>
                <w:highlight w:val="none"/>
              </w:rPr>
              <w:t>1、国内注册或登记（指按国家有关规定要求注册或登记的），设能够满足本次所采购服务内容，持有具有医疗器械经营许可证及经营范围中有医疗设备维修，具备维修保养或经营所需的证件齐全的投标人；</w:t>
            </w:r>
          </w:p>
          <w:p>
            <w:pPr>
              <w:pStyle w:val="12"/>
              <w:tabs>
                <w:tab w:val="left" w:pos="0"/>
              </w:tabs>
              <w:spacing w:line="380" w:lineRule="exact"/>
              <w:ind w:firstLine="130"/>
              <w:rPr>
                <w:rFonts w:ascii="Times New Roman" w:hAnsi="Times New Roman" w:cs="Times New Roman"/>
                <w:color w:val="auto"/>
                <w:spacing w:val="0"/>
                <w:sz w:val="21"/>
                <w:szCs w:val="21"/>
                <w:highlight w:val="none"/>
              </w:rPr>
            </w:pPr>
            <w:r>
              <w:rPr>
                <w:rFonts w:hint="eastAsia" w:ascii="Times New Roman" w:hAnsi="Times New Roman" w:cs="Times New Roman"/>
                <w:color w:val="auto"/>
                <w:spacing w:val="0"/>
                <w:sz w:val="21"/>
                <w:szCs w:val="21"/>
                <w:highlight w:val="none"/>
              </w:rPr>
              <w:t>2、符合《中华人民共和国政府采购法》第二十二条的规定；</w:t>
            </w:r>
          </w:p>
          <w:p>
            <w:pPr>
              <w:pStyle w:val="12"/>
              <w:tabs>
                <w:tab w:val="left" w:pos="0"/>
              </w:tabs>
              <w:spacing w:line="380" w:lineRule="exact"/>
              <w:ind w:firstLine="130"/>
              <w:rPr>
                <w:rFonts w:ascii="Times New Roman" w:hAnsi="Times New Roman" w:cs="Times New Roman"/>
                <w:color w:val="auto"/>
                <w:spacing w:val="0"/>
                <w:sz w:val="21"/>
                <w:szCs w:val="21"/>
                <w:highlight w:val="none"/>
              </w:rPr>
            </w:pPr>
            <w:r>
              <w:rPr>
                <w:rFonts w:hint="eastAsia" w:ascii="Times New Roman" w:hAnsi="Times New Roman" w:cs="Times New Roman"/>
                <w:color w:val="auto"/>
                <w:spacing w:val="0"/>
                <w:sz w:val="21"/>
                <w:szCs w:val="21"/>
                <w:highlight w:val="none"/>
              </w:rPr>
              <w:t>3、对在“信用中国”网站、中国政府采购网等渠道列入失信被执行人、重大税收违法案件当事人名单、政府采购严重违法失信行为记录名单的，不得参与政府采购活动；</w:t>
            </w:r>
          </w:p>
          <w:p>
            <w:pPr>
              <w:pStyle w:val="12"/>
              <w:tabs>
                <w:tab w:val="left" w:pos="0"/>
              </w:tabs>
              <w:spacing w:line="380" w:lineRule="exact"/>
              <w:ind w:firstLine="130"/>
              <w:rPr>
                <w:rFonts w:ascii="Times New Roman" w:hAnsi="Times New Roman" w:cs="Times New Roman"/>
                <w:color w:val="auto"/>
                <w:spacing w:val="0"/>
                <w:sz w:val="21"/>
                <w:szCs w:val="21"/>
                <w:highlight w:val="none"/>
              </w:rPr>
            </w:pPr>
            <w:r>
              <w:rPr>
                <w:rFonts w:hint="eastAsia" w:ascii="Times New Roman" w:hAnsi="Times New Roman" w:cs="Times New Roman"/>
                <w:color w:val="auto"/>
                <w:spacing w:val="0"/>
                <w:sz w:val="21"/>
                <w:szCs w:val="21"/>
                <w:highlight w:val="none"/>
              </w:rPr>
              <w:t>4、本项目不接受联合体投标。</w:t>
            </w:r>
          </w:p>
          <w:p>
            <w:pPr>
              <w:pStyle w:val="12"/>
              <w:tabs>
                <w:tab w:val="left" w:pos="0"/>
              </w:tabs>
              <w:spacing w:line="380" w:lineRule="exact"/>
              <w:ind w:firstLine="130"/>
              <w:rPr>
                <w:color w:val="auto"/>
                <w:sz w:val="21"/>
                <w:szCs w:val="21"/>
                <w:highlight w:val="none"/>
              </w:rPr>
            </w:pPr>
            <w:r>
              <w:rPr>
                <w:rFonts w:hint="eastAsia" w:ascii="Times New Roman" w:hAnsi="Times New Roman" w:cs="Times New Roman"/>
                <w:color w:val="auto"/>
                <w:spacing w:val="0"/>
                <w:sz w:val="21"/>
                <w:szCs w:val="21"/>
                <w:highlight w:val="none"/>
              </w:rPr>
              <w:t>5、单位负责人为同一人或者存在直接控股、管理关系的不同投标人，不得参加同一合同项下的政府采购活动；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color w:val="auto"/>
                <w:szCs w:val="21"/>
                <w:highlight w:val="none"/>
              </w:rPr>
            </w:pPr>
            <w:r>
              <w:rPr>
                <w:rFonts w:hint="eastAsia"/>
                <w:color w:val="auto"/>
                <w:szCs w:val="21"/>
                <w:highlight w:val="none"/>
              </w:rPr>
              <w:t>是否接受联合体投标</w:t>
            </w:r>
          </w:p>
        </w:tc>
        <w:tc>
          <w:tcPr>
            <w:tcW w:w="553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color w:val="auto"/>
                <w:szCs w:val="21"/>
                <w:highlight w:val="none"/>
              </w:rPr>
            </w:pPr>
            <w:r>
              <w:rPr>
                <w:rFonts w:hint="eastAsia"/>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color w:val="auto"/>
                <w:szCs w:val="21"/>
                <w:highlight w:val="none"/>
              </w:rPr>
            </w:pPr>
            <w:r>
              <w:rPr>
                <w:rFonts w:hint="eastAsia"/>
                <w:color w:val="auto"/>
                <w:kern w:val="0"/>
                <w:szCs w:val="21"/>
                <w:highlight w:val="none"/>
              </w:rPr>
              <w:t>投标人要求澄清的时间</w:t>
            </w:r>
          </w:p>
        </w:tc>
        <w:tc>
          <w:tcPr>
            <w:tcW w:w="553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color w:val="auto"/>
                <w:kern w:val="0"/>
                <w:szCs w:val="21"/>
                <w:highlight w:val="none"/>
              </w:rPr>
            </w:pPr>
            <w:r>
              <w:rPr>
                <w:rFonts w:hint="eastAsia"/>
                <w:color w:val="auto"/>
                <w:kern w:val="0"/>
                <w:szCs w:val="21"/>
                <w:highlight w:val="none"/>
              </w:rPr>
              <w:t>在收到招标文件7个工作日内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color w:val="auto"/>
                <w:szCs w:val="21"/>
                <w:highlight w:val="none"/>
              </w:rPr>
            </w:pPr>
            <w:r>
              <w:rPr>
                <w:rFonts w:hint="eastAsia"/>
                <w:color w:val="auto"/>
                <w:szCs w:val="21"/>
                <w:highlight w:val="none"/>
              </w:rPr>
              <w:t>投标文件份数</w:t>
            </w:r>
          </w:p>
        </w:tc>
        <w:tc>
          <w:tcPr>
            <w:tcW w:w="553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color w:val="auto"/>
                <w:kern w:val="0"/>
                <w:szCs w:val="21"/>
                <w:highlight w:val="none"/>
              </w:rPr>
            </w:pPr>
            <w:r>
              <w:rPr>
                <w:rFonts w:hint="eastAsia"/>
                <w:color w:val="auto"/>
                <w:kern w:val="0"/>
                <w:szCs w:val="21"/>
                <w:highlight w:val="none"/>
              </w:rPr>
              <w:t>投标文件正本1份，副本4份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color w:val="auto"/>
                <w:szCs w:val="21"/>
                <w:highlight w:val="none"/>
              </w:rPr>
            </w:pPr>
            <w:r>
              <w:rPr>
                <w:rFonts w:hint="eastAsia"/>
                <w:color w:val="auto"/>
                <w:szCs w:val="21"/>
                <w:highlight w:val="none"/>
              </w:rPr>
              <w:t>装订要求</w:t>
            </w:r>
          </w:p>
        </w:tc>
        <w:tc>
          <w:tcPr>
            <w:tcW w:w="553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color w:val="auto"/>
                <w:szCs w:val="21"/>
                <w:highlight w:val="none"/>
              </w:rPr>
            </w:pPr>
            <w:r>
              <w:rPr>
                <w:rFonts w:hint="eastAsia"/>
                <w:bCs/>
                <w:color w:val="auto"/>
                <w:szCs w:val="21"/>
                <w:highlight w:val="none"/>
              </w:rPr>
              <w:t>投标文件应尽量使用胶装并包边，使用活页夹、订书钉、胶圈、梳式装订等可能导致投标文件散落或脱页、失散、不完整的装订方式，可能会影响评审，投标人应充分考虑该情况存在的风险并自行承担其后果。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1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color w:val="auto"/>
                <w:kern w:val="0"/>
                <w:szCs w:val="21"/>
                <w:highlight w:val="none"/>
              </w:rPr>
            </w:pPr>
            <w:r>
              <w:rPr>
                <w:rFonts w:hint="eastAsia" w:ascii="宋体" w:hAnsi="宋体"/>
                <w:color w:val="auto"/>
                <w:kern w:val="0"/>
                <w:szCs w:val="21"/>
                <w:highlight w:val="none"/>
              </w:rPr>
              <w:t>代理服务费</w:t>
            </w:r>
          </w:p>
        </w:tc>
        <w:tc>
          <w:tcPr>
            <w:tcW w:w="553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color w:val="auto"/>
                <w:szCs w:val="21"/>
                <w:highlight w:val="none"/>
              </w:rPr>
            </w:pPr>
            <w:r>
              <w:rPr>
                <w:rFonts w:hint="eastAsia"/>
                <w:color w:val="auto"/>
                <w:szCs w:val="21"/>
                <w:highlight w:val="none"/>
              </w:rPr>
              <w:t>发出中标通知书前，中标供应商向采购代理机构一次付清代理服务费。采购代理服务费</w:t>
            </w:r>
            <w:r>
              <w:rPr>
                <w:rFonts w:hint="eastAsia"/>
                <w:color w:val="auto"/>
                <w:highlight w:val="none"/>
              </w:rPr>
              <w:t>按照收费标准向中标供应商收取。供应商的投标报价应包含此项费用。</w:t>
            </w:r>
          </w:p>
          <w:p>
            <w:pPr>
              <w:pStyle w:val="16"/>
              <w:spacing w:line="360" w:lineRule="exact"/>
              <w:ind w:firstLine="420" w:firstLineChars="200"/>
              <w:rPr>
                <w:color w:val="auto"/>
                <w:highlight w:val="none"/>
              </w:rPr>
            </w:pPr>
            <w:r>
              <w:rPr>
                <w:rFonts w:hint="eastAsia"/>
                <w:color w:val="auto"/>
                <w:highlight w:val="none"/>
              </w:rPr>
              <w:t>代理服务收费标准：</w:t>
            </w:r>
          </w:p>
          <w:tbl>
            <w:tblPr>
              <w:tblStyle w:val="34"/>
              <w:tblW w:w="473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9"/>
              <w:gridCol w:w="909"/>
              <w:gridCol w:w="969"/>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1" w:hRule="atLeast"/>
                <w:jc w:val="center"/>
              </w:trPr>
              <w:tc>
                <w:tcPr>
                  <w:tcW w:w="1909" w:type="dxa"/>
                  <w:vAlign w:val="bottom"/>
                </w:tcPr>
                <w:p>
                  <w:pPr>
                    <w:widowControl/>
                    <w:ind w:left="1155" w:leftChars="400" w:hanging="315" w:hangingChars="150"/>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57216" behindDoc="0" locked="0" layoutInCell="1" allowOverlap="1">
                            <wp:simplePos x="0" y="0"/>
                            <wp:positionH relativeFrom="column">
                              <wp:posOffset>334010</wp:posOffset>
                            </wp:positionH>
                            <wp:positionV relativeFrom="paragraph">
                              <wp:posOffset>4445</wp:posOffset>
                            </wp:positionV>
                            <wp:extent cx="799465" cy="848995"/>
                            <wp:effectExtent l="3175" t="3175" r="16510" b="5080"/>
                            <wp:wrapNone/>
                            <wp:docPr id="2" name="AutoShape 3"/>
                            <wp:cNvGraphicFramePr/>
                            <a:graphic xmlns:a="http://schemas.openxmlformats.org/drawingml/2006/main">
                              <a:graphicData uri="http://schemas.microsoft.com/office/word/2010/wordprocessingShape">
                                <wps:wsp>
                                  <wps:cNvCnPr>
                                    <a:cxnSpLocks noChangeShapeType="1"/>
                                  </wps:cNvCnPr>
                                  <wps:spPr bwMode="auto">
                                    <a:xfrm flipH="1" flipV="1">
                                      <a:off x="0" y="0"/>
                                      <a:ext cx="799465" cy="848995"/>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flip:x y;margin-left:26.3pt;margin-top:0.35pt;height:66.85pt;width:62.95pt;z-index:251657216;mso-width-relative:page;mso-height-relative:page;" filled="f" stroked="t" coordsize="21600,21600" o:gfxdata="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i/Il9gAAAAHAQAADwAAAAAAAAABACAAAAAiAAAA&#10;ZHJzL2Rvd25yZXYueG1sUEsBAhQAFAAAAAgAh07iQG3+c/vOAQAAigMAAA4AAAAAAAAAAQAgAAAA&#10;JwEAAGRycy9lMm9Eb2MueG1sUEsFBgAAAAAGAAYAWQEAAGcFAAAAAA==&#10;">
                            <v:fill on="f" focussize="0,0"/>
                            <v:stroke color="#000000" joinstyle="round"/>
                            <v:imagedata o:title=""/>
                            <o:lock v:ext="edit" aspectratio="f"/>
                          </v:shape>
                        </w:pict>
                      </mc:Fallback>
                    </mc:AlternateContent>
                  </w:r>
                  <w:r>
                    <w:rPr>
                      <w:rFonts w:hint="eastAsia" w:ascii="宋体" w:hAnsi="宋体" w:cs="宋体"/>
                      <w:color w:val="auto"/>
                      <w:kern w:val="0"/>
                      <w:szCs w:val="21"/>
                      <w:highlight w:val="none"/>
                    </w:rPr>
                    <w:t>服务类型</w:t>
                  </w:r>
                </w:p>
                <w:p>
                  <w:pPr>
                    <w:widowControl/>
                    <w:ind w:left="1155" w:hanging="1155" w:hangingChars="5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费率           </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58240" behindDoc="0" locked="0" layoutInCell="1" allowOverlap="1">
                            <wp:simplePos x="0" y="0"/>
                            <wp:positionH relativeFrom="column">
                              <wp:posOffset>-73660</wp:posOffset>
                            </wp:positionH>
                            <wp:positionV relativeFrom="paragraph">
                              <wp:posOffset>90805</wp:posOffset>
                            </wp:positionV>
                            <wp:extent cx="1207135" cy="416560"/>
                            <wp:effectExtent l="1270" t="4445" r="10795" b="17145"/>
                            <wp:wrapNone/>
                            <wp:docPr id="1" name="自选图形 39"/>
                            <wp:cNvGraphicFramePr/>
                            <a:graphic xmlns:a="http://schemas.openxmlformats.org/drawingml/2006/main">
                              <a:graphicData uri="http://schemas.microsoft.com/office/word/2010/wordprocessingShape">
                                <wps:wsp>
                                  <wps:cNvCnPr>
                                    <a:cxnSpLocks noChangeShapeType="1"/>
                                  </wps:cNvCnPr>
                                  <wps:spPr bwMode="auto">
                                    <a:xfrm>
                                      <a:off x="0" y="0"/>
                                      <a:ext cx="1207135" cy="416560"/>
                                    </a:xfrm>
                                    <a:prstGeom prst="straightConnector1">
                                      <a:avLst/>
                                    </a:prstGeom>
                                    <a:noFill/>
                                    <a:ln w="9525">
                                      <a:solidFill>
                                        <a:srgbClr val="000000"/>
                                      </a:solidFill>
                                      <a:round/>
                                    </a:ln>
                                    <a:effectLst/>
                                  </wps:spPr>
                                  <wps:bodyPr/>
                                </wps:wsp>
                              </a:graphicData>
                            </a:graphic>
                          </wp:anchor>
                        </w:drawing>
                      </mc:Choice>
                      <mc:Fallback>
                        <w:pict>
                          <v:shape id="自选图形 39" o:spid="_x0000_s1026" o:spt="32" type="#_x0000_t32" style="position:absolute;left:0pt;margin-left:-5.8pt;margin-top:7.15pt;height:32.8pt;width:95.05pt;z-index:251658240;mso-width-relative:page;mso-height-relative:page;" filled="f" stroked="t" coordsize="21600,21600" o:gfxdata="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NBxc7YAAAACQEAAA8A&#10;AAAAAAAAAQAgAAAAIgAAAGRycy9kb3ducmV2LnhtbFBLAQIUABQAAAAIAIdO4kDZAhrz3gEAAHsD&#10;AAAOAAAAAAAAAAEAIAAAACcBAABkcnMvZTJvRG9jLnhtbFBLBQYAAAAABgAGAFkBAAB3BQAAAAA=&#10;">
                            <v:fill on="f" focussize="0,0"/>
                            <v:stroke color="#000000" joinstyle="round"/>
                            <v:imagedata o:title=""/>
                            <o:lock v:ext="edit" aspectratio="f"/>
                          </v:shape>
                        </w:pict>
                      </mc:Fallback>
                    </mc:AlternateContent>
                  </w:r>
                </w:p>
                <w:p>
                  <w:pPr>
                    <w:widowControl/>
                    <w:jc w:val="left"/>
                    <w:rPr>
                      <w:rFonts w:ascii="宋体" w:hAnsi="宋体" w:cs="宋体"/>
                      <w:color w:val="auto"/>
                      <w:kern w:val="0"/>
                      <w:szCs w:val="21"/>
                      <w:highlight w:val="none"/>
                    </w:rPr>
                  </w:pPr>
                </w:p>
                <w:p>
                  <w:pPr>
                    <w:widowControl/>
                    <w:jc w:val="left"/>
                    <w:rPr>
                      <w:rFonts w:ascii="宋体" w:hAnsi="宋体" w:cs="宋体"/>
                      <w:color w:val="auto"/>
                      <w:kern w:val="0"/>
                      <w:szCs w:val="21"/>
                      <w:highlight w:val="none"/>
                    </w:rPr>
                  </w:pP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中标金额（万元）</w:t>
                  </w:r>
                </w:p>
              </w:tc>
              <w:tc>
                <w:tcPr>
                  <w:tcW w:w="909"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货物</w:t>
                  </w:r>
                </w:p>
                <w:p>
                  <w:pPr>
                    <w:jc w:val="center"/>
                    <w:rPr>
                      <w:rFonts w:ascii="宋体" w:hAnsi="宋体" w:cs="宋体"/>
                      <w:color w:val="auto"/>
                      <w:kern w:val="0"/>
                      <w:szCs w:val="21"/>
                      <w:highlight w:val="none"/>
                    </w:rPr>
                  </w:pPr>
                  <w:r>
                    <w:rPr>
                      <w:rFonts w:hint="eastAsia" w:ascii="宋体" w:hAnsi="宋体" w:cs="宋体"/>
                      <w:color w:val="auto"/>
                      <w:kern w:val="0"/>
                      <w:szCs w:val="21"/>
                      <w:highlight w:val="none"/>
                    </w:rPr>
                    <w:t>招标</w:t>
                  </w:r>
                </w:p>
              </w:tc>
              <w:tc>
                <w:tcPr>
                  <w:tcW w:w="969"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服务</w:t>
                  </w:r>
                </w:p>
                <w:p>
                  <w:pPr>
                    <w:jc w:val="center"/>
                    <w:rPr>
                      <w:rFonts w:ascii="宋体" w:hAnsi="宋体" w:cs="宋体"/>
                      <w:color w:val="auto"/>
                      <w:kern w:val="0"/>
                      <w:szCs w:val="21"/>
                      <w:highlight w:val="none"/>
                    </w:rPr>
                  </w:pPr>
                  <w:r>
                    <w:rPr>
                      <w:rFonts w:hint="eastAsia" w:ascii="宋体" w:hAnsi="宋体" w:cs="宋体"/>
                      <w:color w:val="auto"/>
                      <w:kern w:val="0"/>
                      <w:szCs w:val="21"/>
                      <w:highlight w:val="none"/>
                    </w:rPr>
                    <w:t>招标</w:t>
                  </w:r>
                </w:p>
              </w:tc>
              <w:tc>
                <w:tcPr>
                  <w:tcW w:w="948"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工程</w:t>
                  </w:r>
                </w:p>
                <w:p>
                  <w:pPr>
                    <w:jc w:val="center"/>
                    <w:rPr>
                      <w:rFonts w:ascii="宋体" w:hAnsi="宋体" w:cs="宋体"/>
                      <w:color w:val="auto"/>
                      <w:kern w:val="0"/>
                      <w:szCs w:val="21"/>
                      <w:highlight w:val="none"/>
                    </w:rPr>
                  </w:pPr>
                  <w:r>
                    <w:rPr>
                      <w:rFonts w:hint="eastAsia" w:ascii="宋体" w:hAnsi="宋体" w:cs="宋体"/>
                      <w:color w:val="auto"/>
                      <w:kern w:val="0"/>
                      <w:szCs w:val="21"/>
                      <w:highlight w:val="none"/>
                    </w:rPr>
                    <w:t>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1909" w:type="dxa"/>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100</w:t>
                  </w:r>
                  <w:r>
                    <w:rPr>
                      <w:rFonts w:hint="eastAsia" w:ascii="宋体" w:hAnsi="宋体" w:cs="宋体"/>
                      <w:color w:val="auto"/>
                      <w:kern w:val="0"/>
                      <w:szCs w:val="21"/>
                      <w:highlight w:val="none"/>
                    </w:rPr>
                    <w:t>以下</w:t>
                  </w:r>
                </w:p>
              </w:tc>
              <w:tc>
                <w:tcPr>
                  <w:tcW w:w="909"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1.50%</w:t>
                  </w:r>
                </w:p>
              </w:tc>
              <w:tc>
                <w:tcPr>
                  <w:tcW w:w="969"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1.50%</w:t>
                  </w:r>
                </w:p>
              </w:tc>
              <w:tc>
                <w:tcPr>
                  <w:tcW w:w="948"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1909" w:type="dxa"/>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100</w:t>
                  </w:r>
                  <w:r>
                    <w:rPr>
                      <w:rFonts w:hint="eastAsia" w:ascii="宋体" w:hAnsi="宋体" w:cs="宋体"/>
                      <w:color w:val="auto"/>
                      <w:kern w:val="0"/>
                      <w:szCs w:val="21"/>
                      <w:highlight w:val="none"/>
                    </w:rPr>
                    <w:t>—</w:t>
                  </w:r>
                  <w:r>
                    <w:rPr>
                      <w:rFonts w:ascii="宋体" w:hAnsi="宋体" w:cs="宋体"/>
                      <w:color w:val="auto"/>
                      <w:kern w:val="0"/>
                      <w:szCs w:val="21"/>
                      <w:highlight w:val="none"/>
                    </w:rPr>
                    <w:t>500</w:t>
                  </w:r>
                </w:p>
              </w:tc>
              <w:tc>
                <w:tcPr>
                  <w:tcW w:w="909"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1.10%</w:t>
                  </w:r>
                </w:p>
              </w:tc>
              <w:tc>
                <w:tcPr>
                  <w:tcW w:w="969"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0.80%</w:t>
                  </w:r>
                </w:p>
              </w:tc>
              <w:tc>
                <w:tcPr>
                  <w:tcW w:w="948"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jc w:val="center"/>
              </w:trPr>
              <w:tc>
                <w:tcPr>
                  <w:tcW w:w="1909" w:type="dxa"/>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500</w:t>
                  </w:r>
                  <w:r>
                    <w:rPr>
                      <w:rFonts w:hint="eastAsia" w:ascii="宋体" w:hAnsi="宋体" w:cs="宋体"/>
                      <w:color w:val="auto"/>
                      <w:kern w:val="0"/>
                      <w:szCs w:val="21"/>
                      <w:highlight w:val="none"/>
                    </w:rPr>
                    <w:t>—</w:t>
                  </w:r>
                  <w:r>
                    <w:rPr>
                      <w:rFonts w:ascii="宋体" w:hAnsi="宋体" w:cs="宋体"/>
                      <w:color w:val="auto"/>
                      <w:kern w:val="0"/>
                      <w:szCs w:val="21"/>
                      <w:highlight w:val="none"/>
                    </w:rPr>
                    <w:t>1000</w:t>
                  </w:r>
                </w:p>
              </w:tc>
              <w:tc>
                <w:tcPr>
                  <w:tcW w:w="909"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0.80%</w:t>
                  </w:r>
                </w:p>
              </w:tc>
              <w:tc>
                <w:tcPr>
                  <w:tcW w:w="969"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0.45%</w:t>
                  </w:r>
                </w:p>
              </w:tc>
              <w:tc>
                <w:tcPr>
                  <w:tcW w:w="948"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jc w:val="center"/>
              </w:trPr>
              <w:tc>
                <w:tcPr>
                  <w:tcW w:w="1909" w:type="dxa"/>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1000</w:t>
                  </w:r>
                  <w:r>
                    <w:rPr>
                      <w:rFonts w:hint="eastAsia" w:ascii="宋体" w:hAnsi="宋体" w:cs="宋体"/>
                      <w:color w:val="auto"/>
                      <w:kern w:val="0"/>
                      <w:szCs w:val="21"/>
                      <w:highlight w:val="none"/>
                    </w:rPr>
                    <w:t>—</w:t>
                  </w:r>
                  <w:r>
                    <w:rPr>
                      <w:rFonts w:ascii="宋体" w:hAnsi="宋体" w:cs="宋体"/>
                      <w:color w:val="auto"/>
                      <w:kern w:val="0"/>
                      <w:szCs w:val="21"/>
                      <w:highlight w:val="none"/>
                    </w:rPr>
                    <w:t>5000</w:t>
                  </w:r>
                </w:p>
              </w:tc>
              <w:tc>
                <w:tcPr>
                  <w:tcW w:w="909"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0.50%</w:t>
                  </w:r>
                </w:p>
              </w:tc>
              <w:tc>
                <w:tcPr>
                  <w:tcW w:w="969"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0.25%</w:t>
                  </w:r>
                </w:p>
              </w:tc>
              <w:tc>
                <w:tcPr>
                  <w:tcW w:w="948"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jc w:val="center"/>
              </w:trPr>
              <w:tc>
                <w:tcPr>
                  <w:tcW w:w="1909" w:type="dxa"/>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5000</w:t>
                  </w:r>
                  <w:r>
                    <w:rPr>
                      <w:rFonts w:hint="eastAsia" w:ascii="宋体" w:hAnsi="宋体" w:cs="宋体"/>
                      <w:color w:val="auto"/>
                      <w:kern w:val="0"/>
                      <w:szCs w:val="21"/>
                      <w:highlight w:val="none"/>
                    </w:rPr>
                    <w:t>—</w:t>
                  </w:r>
                  <w:r>
                    <w:rPr>
                      <w:rFonts w:ascii="宋体" w:hAnsi="宋体" w:cs="宋体"/>
                      <w:color w:val="auto"/>
                      <w:kern w:val="0"/>
                      <w:szCs w:val="21"/>
                      <w:highlight w:val="none"/>
                    </w:rPr>
                    <w:t>10000</w:t>
                  </w:r>
                </w:p>
              </w:tc>
              <w:tc>
                <w:tcPr>
                  <w:tcW w:w="909"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0.25%</w:t>
                  </w:r>
                </w:p>
              </w:tc>
              <w:tc>
                <w:tcPr>
                  <w:tcW w:w="969"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0.10%</w:t>
                  </w:r>
                </w:p>
              </w:tc>
              <w:tc>
                <w:tcPr>
                  <w:tcW w:w="948"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0" w:hRule="atLeast"/>
                <w:jc w:val="center"/>
              </w:trPr>
              <w:tc>
                <w:tcPr>
                  <w:tcW w:w="1909" w:type="dxa"/>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10000</w:t>
                  </w:r>
                  <w:r>
                    <w:rPr>
                      <w:rFonts w:hint="eastAsia" w:ascii="宋体" w:hAnsi="宋体" w:cs="宋体"/>
                      <w:color w:val="auto"/>
                      <w:kern w:val="0"/>
                      <w:szCs w:val="21"/>
                      <w:highlight w:val="none"/>
                    </w:rPr>
                    <w:t>——</w:t>
                  </w:r>
                  <w:r>
                    <w:rPr>
                      <w:rFonts w:ascii="宋体" w:hAnsi="宋体" w:cs="宋体"/>
                      <w:color w:val="auto"/>
                      <w:kern w:val="0"/>
                      <w:szCs w:val="21"/>
                      <w:highlight w:val="none"/>
                    </w:rPr>
                    <w:t>100000</w:t>
                  </w:r>
                </w:p>
              </w:tc>
              <w:tc>
                <w:tcPr>
                  <w:tcW w:w="909"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0.05%</w:t>
                  </w:r>
                </w:p>
              </w:tc>
              <w:tc>
                <w:tcPr>
                  <w:tcW w:w="969"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0.05%</w:t>
                  </w:r>
                </w:p>
              </w:tc>
              <w:tc>
                <w:tcPr>
                  <w:tcW w:w="948"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7" w:hRule="atLeast"/>
                <w:jc w:val="center"/>
              </w:trPr>
              <w:tc>
                <w:tcPr>
                  <w:tcW w:w="1909" w:type="dxa"/>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1000000</w:t>
                  </w:r>
                  <w:r>
                    <w:rPr>
                      <w:rFonts w:hint="eastAsia" w:ascii="宋体" w:hAnsi="宋体" w:cs="宋体"/>
                      <w:color w:val="auto"/>
                      <w:kern w:val="0"/>
                      <w:szCs w:val="21"/>
                      <w:highlight w:val="none"/>
                    </w:rPr>
                    <w:t>以上</w:t>
                  </w:r>
                </w:p>
              </w:tc>
              <w:tc>
                <w:tcPr>
                  <w:tcW w:w="909"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0.01%</w:t>
                  </w:r>
                </w:p>
              </w:tc>
              <w:tc>
                <w:tcPr>
                  <w:tcW w:w="969"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0.01%</w:t>
                  </w:r>
                </w:p>
              </w:tc>
              <w:tc>
                <w:tcPr>
                  <w:tcW w:w="948" w:type="dxa"/>
                  <w:vAlign w:val="bottom"/>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0.01%</w:t>
                  </w:r>
                </w:p>
              </w:tc>
            </w:tr>
          </w:tbl>
          <w:p>
            <w:pPr>
              <w:pStyle w:val="16"/>
              <w:spacing w:line="360" w:lineRule="auto"/>
              <w:rPr>
                <w:color w:val="auto"/>
                <w:highlight w:val="none"/>
              </w:rPr>
            </w:pPr>
            <w:r>
              <w:rPr>
                <w:rFonts w:hint="eastAsia"/>
                <w:color w:val="auto"/>
                <w:highlight w:val="none"/>
              </w:rPr>
              <w:t>注：采购代理服务收费按差额定率累进法计算。</w:t>
            </w:r>
          </w:p>
          <w:p>
            <w:pPr>
              <w:pStyle w:val="16"/>
              <w:spacing w:line="360" w:lineRule="auto"/>
              <w:rPr>
                <w:bCs/>
                <w:color w:val="auto"/>
                <w:szCs w:val="21"/>
                <w:highlight w:val="none"/>
              </w:rPr>
            </w:pPr>
            <w:r>
              <w:rPr>
                <w:rFonts w:hint="eastAsia"/>
                <w:bCs/>
                <w:color w:val="auto"/>
                <w:szCs w:val="21"/>
                <w:highlight w:val="none"/>
              </w:rPr>
              <w:t>例如：某货物招标代理业务中标金额为500万元，计算招标代理服务收费额如下：</w:t>
            </w:r>
          </w:p>
          <w:p>
            <w:pPr>
              <w:pStyle w:val="16"/>
              <w:spacing w:line="360" w:lineRule="auto"/>
              <w:rPr>
                <w:bCs/>
                <w:color w:val="auto"/>
                <w:szCs w:val="21"/>
                <w:highlight w:val="none"/>
              </w:rPr>
            </w:pPr>
            <w:r>
              <w:rPr>
                <w:rFonts w:hint="eastAsia"/>
                <w:bCs/>
                <w:color w:val="auto"/>
                <w:szCs w:val="21"/>
                <w:highlight w:val="none"/>
              </w:rPr>
              <w:t>100 万元×1.50%=1.5万元</w:t>
            </w:r>
          </w:p>
          <w:p>
            <w:pPr>
              <w:pStyle w:val="16"/>
              <w:spacing w:line="360" w:lineRule="auto"/>
              <w:rPr>
                <w:bCs/>
                <w:color w:val="auto"/>
                <w:szCs w:val="21"/>
                <w:highlight w:val="none"/>
              </w:rPr>
            </w:pPr>
            <w:r>
              <w:rPr>
                <w:rFonts w:hint="eastAsia"/>
                <w:bCs/>
                <w:color w:val="auto"/>
                <w:szCs w:val="21"/>
                <w:highlight w:val="none"/>
              </w:rPr>
              <w:t>（500-100）万元×1.10%= 4.4万元</w:t>
            </w:r>
          </w:p>
          <w:p>
            <w:pPr>
              <w:pStyle w:val="16"/>
              <w:spacing w:line="360" w:lineRule="auto"/>
              <w:rPr>
                <w:bCs/>
                <w:color w:val="auto"/>
                <w:szCs w:val="21"/>
                <w:highlight w:val="none"/>
              </w:rPr>
            </w:pPr>
            <w:r>
              <w:rPr>
                <w:rFonts w:hint="eastAsia"/>
                <w:bCs/>
                <w:color w:val="auto"/>
                <w:szCs w:val="21"/>
                <w:highlight w:val="none"/>
              </w:rPr>
              <w:t>合计收费=1.5+4.4=5.9（万元）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color w:val="auto"/>
                <w:szCs w:val="21"/>
                <w:highlight w:val="none"/>
              </w:rPr>
            </w:pPr>
            <w:r>
              <w:rPr>
                <w:rFonts w:hint="eastAsia"/>
                <w:color w:val="auto"/>
                <w:szCs w:val="21"/>
                <w:highlight w:val="none"/>
              </w:rPr>
              <w:t>投标有效期</w:t>
            </w:r>
          </w:p>
        </w:tc>
        <w:tc>
          <w:tcPr>
            <w:tcW w:w="553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color w:val="auto"/>
                <w:szCs w:val="21"/>
                <w:highlight w:val="none"/>
              </w:rPr>
            </w:pPr>
            <w:r>
              <w:rPr>
                <w:rFonts w:hint="eastAsia"/>
                <w:color w:val="auto"/>
                <w:szCs w:val="21"/>
                <w:highlight w:val="none"/>
              </w:rPr>
              <w:t>自投标截止时间起</w:t>
            </w:r>
            <w:r>
              <w:rPr>
                <w:rFonts w:hint="eastAsia"/>
                <w:color w:val="auto"/>
                <w:szCs w:val="21"/>
                <w:highlight w:val="none"/>
                <w:u w:val="single"/>
              </w:rPr>
              <w:t>90</w:t>
            </w:r>
            <w:r>
              <w:rPr>
                <w:rFonts w:hint="eastAsia"/>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color w:val="auto"/>
                <w:szCs w:val="21"/>
                <w:highlight w:val="none"/>
              </w:rPr>
            </w:pPr>
            <w:r>
              <w:rPr>
                <w:rFonts w:hint="eastAsia"/>
                <w:color w:val="auto"/>
                <w:szCs w:val="21"/>
                <w:highlight w:val="none"/>
              </w:rPr>
              <w:t>投标保证金金额</w:t>
            </w:r>
          </w:p>
        </w:tc>
        <w:tc>
          <w:tcPr>
            <w:tcW w:w="5532" w:type="dxa"/>
            <w:tcBorders>
              <w:top w:val="single" w:color="auto" w:sz="4" w:space="0"/>
              <w:left w:val="single" w:color="auto" w:sz="4" w:space="0"/>
              <w:bottom w:val="single" w:color="auto" w:sz="4" w:space="0"/>
              <w:right w:val="single" w:color="auto" w:sz="4" w:space="0"/>
            </w:tcBorders>
            <w:vAlign w:val="center"/>
          </w:tcPr>
          <w:p>
            <w:pPr>
              <w:spacing w:line="360" w:lineRule="auto"/>
              <w:ind w:left="1260" w:hanging="1260" w:hangingChars="600"/>
              <w:jc w:val="left"/>
              <w:rPr>
                <w:rFonts w:ascii="宋体" w:hAnsi="宋体"/>
                <w:color w:val="auto"/>
                <w:szCs w:val="21"/>
                <w:highlight w:val="none"/>
              </w:rPr>
            </w:pPr>
            <w:r>
              <w:rPr>
                <w:rFonts w:hint="eastAsia" w:ascii="宋体" w:hAnsi="宋体"/>
                <w:color w:val="auto"/>
                <w:szCs w:val="21"/>
                <w:highlight w:val="none"/>
              </w:rPr>
              <w:t>投标保证金：人民币</w:t>
            </w:r>
            <w:r>
              <w:rPr>
                <w:rFonts w:hint="eastAsia" w:ascii="宋体" w:hAnsi="宋体"/>
                <w:b/>
                <w:color w:val="auto"/>
                <w:szCs w:val="21"/>
                <w:highlight w:val="none"/>
              </w:rPr>
              <w:t>贰万陆仟元整（¥26000.00元）</w:t>
            </w:r>
          </w:p>
          <w:p>
            <w:pPr>
              <w:spacing w:line="360" w:lineRule="auto"/>
              <w:rPr>
                <w:rFonts w:ascii="宋体" w:hAnsi="宋体"/>
                <w:color w:val="auto"/>
                <w:szCs w:val="21"/>
                <w:highlight w:val="none"/>
              </w:rPr>
            </w:pPr>
            <w:r>
              <w:rPr>
                <w:rFonts w:hint="eastAsia" w:ascii="宋体" w:hAnsi="宋体"/>
                <w:color w:val="auto"/>
                <w:szCs w:val="21"/>
                <w:highlight w:val="none"/>
              </w:rPr>
              <w:t>投标保证金的形式：可以是</w:t>
            </w:r>
            <w:r>
              <w:rPr>
                <w:rFonts w:hint="eastAsia" w:ascii="宋体" w:hAnsi="宋体"/>
                <w:b/>
                <w:color w:val="auto"/>
                <w:szCs w:val="21"/>
                <w:highlight w:val="none"/>
              </w:rPr>
              <w:t>转账或电汇、支票、汇票、本票、保函等非现金方式</w:t>
            </w:r>
          </w:p>
          <w:p>
            <w:pPr>
              <w:spacing w:line="360" w:lineRule="auto"/>
              <w:rPr>
                <w:rFonts w:ascii="宋体" w:hAnsi="宋体"/>
                <w:color w:val="auto"/>
                <w:szCs w:val="21"/>
                <w:highlight w:val="none"/>
              </w:rPr>
            </w:pPr>
            <w:r>
              <w:rPr>
                <w:rFonts w:hint="eastAsia" w:ascii="宋体" w:hAnsi="宋体"/>
                <w:color w:val="auto"/>
                <w:szCs w:val="21"/>
                <w:highlight w:val="none"/>
              </w:rPr>
              <w:t>（1）采用转账或电汇形式：投标保证金必须在本项目截标时间前递交并到达广西中信恒泰工程顾问有限公司梧州分公司投标保证金专用账户，请在银行进账单或电汇单的用途或空白栏上注明：项目名称+项目编号（可简写，如不注明字样，查不到帐概不负责）。开标前经查实投标保证金没有到账的，其投标将被拒绝 。缴纳方法如下：</w:t>
            </w:r>
          </w:p>
          <w:p>
            <w:pPr>
              <w:spacing w:line="360" w:lineRule="auto"/>
              <w:rPr>
                <w:rFonts w:ascii="宋体" w:hAnsi="宋体"/>
                <w:color w:val="auto"/>
                <w:szCs w:val="21"/>
                <w:highlight w:val="none"/>
              </w:rPr>
            </w:pPr>
            <w:r>
              <w:rPr>
                <w:rFonts w:hint="eastAsia" w:ascii="宋体" w:hAnsi="宋体"/>
                <w:color w:val="auto"/>
                <w:szCs w:val="21"/>
                <w:highlight w:val="none"/>
              </w:rPr>
              <w:t>必须在本公司的对公账户中转账至广西中信恒泰工程顾问有限公司梧州分公司的投标保证金专用账户。</w:t>
            </w:r>
          </w:p>
          <w:p>
            <w:pPr>
              <w:spacing w:line="360" w:lineRule="auto"/>
              <w:rPr>
                <w:rFonts w:ascii="宋体" w:hAnsi="宋体"/>
                <w:color w:val="auto"/>
                <w:szCs w:val="21"/>
                <w:highlight w:val="none"/>
              </w:rPr>
            </w:pPr>
            <w:r>
              <w:rPr>
                <w:rFonts w:hint="eastAsia" w:ascii="宋体" w:hAnsi="宋体"/>
                <w:color w:val="auto"/>
                <w:szCs w:val="21"/>
                <w:highlight w:val="none"/>
              </w:rPr>
              <w:t>开户名称：广西中信恒泰工程顾问有限公司梧州分公司</w:t>
            </w:r>
          </w:p>
          <w:p>
            <w:pPr>
              <w:spacing w:line="360" w:lineRule="auto"/>
              <w:rPr>
                <w:rFonts w:ascii="宋体" w:hAnsi="宋体"/>
                <w:color w:val="auto"/>
                <w:szCs w:val="21"/>
                <w:highlight w:val="none"/>
              </w:rPr>
            </w:pPr>
            <w:r>
              <w:rPr>
                <w:rFonts w:hint="eastAsia" w:ascii="宋体" w:hAnsi="宋体"/>
                <w:color w:val="auto"/>
                <w:szCs w:val="21"/>
                <w:highlight w:val="none"/>
              </w:rPr>
              <w:t>开户银行：</w:t>
            </w:r>
            <w:r>
              <w:rPr>
                <w:rFonts w:hint="eastAsia"/>
                <w:color w:val="auto"/>
                <w:highlight w:val="none"/>
              </w:rPr>
              <w:t>建设银行梧州神冠豪都支行</w:t>
            </w:r>
          </w:p>
          <w:p>
            <w:pPr>
              <w:pStyle w:val="16"/>
              <w:spacing w:line="360" w:lineRule="auto"/>
              <w:rPr>
                <w:rFonts w:cs="Courier New"/>
                <w:b/>
                <w:color w:val="auto"/>
                <w:sz w:val="24"/>
                <w:szCs w:val="24"/>
                <w:highlight w:val="none"/>
                <w:u w:val="single"/>
              </w:rPr>
            </w:pPr>
            <w:r>
              <w:rPr>
                <w:rFonts w:hint="eastAsia"/>
                <w:b/>
                <w:color w:val="auto"/>
                <w:sz w:val="24"/>
                <w:szCs w:val="24"/>
                <w:highlight w:val="none"/>
                <w:u w:val="single"/>
              </w:rPr>
              <w:t>银行账号：</w:t>
            </w:r>
            <w:r>
              <w:rPr>
                <w:rFonts w:hint="eastAsia" w:cs="Courier New"/>
                <w:b/>
                <w:color w:val="auto"/>
                <w:sz w:val="24"/>
                <w:szCs w:val="24"/>
                <w:highlight w:val="none"/>
                <w:u w:val="single"/>
              </w:rPr>
              <w:t>4505 0164 0042 0000 0344</w:t>
            </w:r>
          </w:p>
          <w:p>
            <w:pPr>
              <w:pStyle w:val="16"/>
              <w:spacing w:line="360" w:lineRule="auto"/>
              <w:rPr>
                <w:rFonts w:cs="Courier New"/>
                <w:color w:val="auto"/>
                <w:szCs w:val="21"/>
                <w:highlight w:val="none"/>
              </w:rPr>
            </w:pPr>
            <w:r>
              <w:rPr>
                <w:rFonts w:hint="eastAsia" w:cs="Courier New"/>
                <w:color w:val="auto"/>
                <w:szCs w:val="21"/>
                <w:highlight w:val="none"/>
              </w:rPr>
              <w:t>（2）采用支票、汇票、本票、保函形式：必须为无条件的支票/汇票/本票/保函（应注明“项目名称+项目编号”，保函格式自拟），足额提交，有效期不得低于投标有效期【备注：开标现场投标人将支票/汇票/本票/保函原件提交给采购人，由采购人核验票据信息，确认是否有效后交由采购代理机构保管，复印件需加盖投标人单位公章并装订入投标文件】，否则采购人有权拒绝接受投标或记录在案并在评标阶段由评标委员会做否决投标处理。</w:t>
            </w:r>
          </w:p>
          <w:p>
            <w:pPr>
              <w:pStyle w:val="16"/>
              <w:spacing w:line="360" w:lineRule="auto"/>
              <w:rPr>
                <w:rFonts w:cs="Courier New"/>
                <w:color w:val="auto"/>
                <w:szCs w:val="21"/>
                <w:highlight w:val="none"/>
              </w:rPr>
            </w:pPr>
            <w:r>
              <w:rPr>
                <w:rFonts w:hint="eastAsia" w:cs="Courier New"/>
                <w:color w:val="auto"/>
                <w:szCs w:val="21"/>
                <w:highlight w:val="none"/>
              </w:rPr>
              <w:t>保证金支票/汇票/本票/保函原件递交截止时间：同投标截止时间，逾时不再接收，视为供应商没有缴纳投标保证金。</w:t>
            </w:r>
          </w:p>
          <w:p>
            <w:pPr>
              <w:pStyle w:val="16"/>
              <w:spacing w:line="360" w:lineRule="auto"/>
              <w:rPr>
                <w:color w:val="auto"/>
                <w:szCs w:val="21"/>
                <w:highlight w:val="none"/>
              </w:rPr>
            </w:pPr>
            <w:r>
              <w:rPr>
                <w:rFonts w:hint="eastAsia"/>
                <w:color w:val="auto"/>
                <w:szCs w:val="21"/>
                <w:highlight w:val="none"/>
              </w:rPr>
              <w:t>（3）投标保证金应在投标有效期内保持有效。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color w:val="auto"/>
                <w:szCs w:val="21"/>
                <w:highlight w:val="none"/>
              </w:rPr>
            </w:pPr>
            <w:r>
              <w:rPr>
                <w:rFonts w:hint="eastAsia"/>
                <w:color w:val="auto"/>
                <w:szCs w:val="21"/>
                <w:highlight w:val="none"/>
              </w:rPr>
              <w:t>现场踏勘</w:t>
            </w:r>
          </w:p>
        </w:tc>
        <w:tc>
          <w:tcPr>
            <w:tcW w:w="55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不组织。投标人若有需要可自行到梧州市人民医院新院现场踏勘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pStyle w:val="16"/>
              <w:jc w:val="center"/>
              <w:rPr>
                <w:color w:val="auto"/>
                <w:szCs w:val="21"/>
                <w:highlight w:val="none"/>
              </w:rPr>
            </w:pPr>
            <w:r>
              <w:rPr>
                <w:rFonts w:hint="eastAsia"/>
                <w:color w:val="auto"/>
                <w:szCs w:val="21"/>
                <w:highlight w:val="none"/>
              </w:rPr>
              <w:t>投标截止时间（开标时间）</w:t>
            </w:r>
          </w:p>
        </w:tc>
        <w:tc>
          <w:tcPr>
            <w:tcW w:w="553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b/>
                <w:bCs/>
                <w:color w:val="auto"/>
                <w:szCs w:val="21"/>
                <w:highlight w:val="none"/>
              </w:rPr>
            </w:pPr>
            <w:r>
              <w:rPr>
                <w:rFonts w:hint="eastAsia" w:ascii="宋体" w:hAnsi="宋体"/>
                <w:b/>
                <w:bCs/>
                <w:color w:val="auto"/>
                <w:szCs w:val="21"/>
                <w:highlight w:val="none"/>
              </w:rPr>
              <w:t>2020年</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月</w:t>
            </w:r>
            <w:r>
              <w:rPr>
                <w:rFonts w:hint="eastAsia" w:ascii="宋体" w:hAnsi="宋体"/>
                <w:b/>
                <w:bCs/>
                <w:color w:val="auto"/>
                <w:szCs w:val="21"/>
                <w:highlight w:val="none"/>
                <w:lang w:val="en-US" w:eastAsia="zh-CN"/>
              </w:rPr>
              <w:t>11</w:t>
            </w:r>
            <w:r>
              <w:rPr>
                <w:rFonts w:hint="eastAsia" w:ascii="宋体" w:hAnsi="宋体"/>
                <w:b/>
                <w:bCs/>
                <w:color w:val="auto"/>
                <w:szCs w:val="21"/>
                <w:highlight w:val="none"/>
              </w:rPr>
              <w:t>日9时30分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pStyle w:val="16"/>
              <w:jc w:val="center"/>
              <w:rPr>
                <w:color w:val="auto"/>
                <w:szCs w:val="21"/>
                <w:highlight w:val="none"/>
              </w:rPr>
            </w:pPr>
            <w:r>
              <w:rPr>
                <w:rFonts w:hint="eastAsia"/>
                <w:color w:val="auto"/>
                <w:szCs w:val="21"/>
                <w:highlight w:val="none"/>
              </w:rPr>
              <w:t>递交投标文件和开标地点</w:t>
            </w:r>
          </w:p>
        </w:tc>
        <w:tc>
          <w:tcPr>
            <w:tcW w:w="553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color w:val="auto"/>
                <w:szCs w:val="21"/>
                <w:highlight w:val="none"/>
              </w:rPr>
            </w:pPr>
            <w:r>
              <w:rPr>
                <w:rFonts w:hint="eastAsia"/>
                <w:color w:val="auto"/>
                <w:highlight w:val="none"/>
              </w:rPr>
              <w:t>梧州市公共资源交易中心（梧州市政府采购中心）开标室（具体开标室详见LED屏幕指引）（</w:t>
            </w:r>
            <w:r>
              <w:rPr>
                <w:rFonts w:hint="eastAsia"/>
                <w:bCs/>
                <w:color w:val="auto"/>
                <w:szCs w:val="21"/>
                <w:highlight w:val="none"/>
              </w:rPr>
              <w:t>地址：梧州市长洲区三龙大道99号红岭大厦8楼</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pStyle w:val="16"/>
              <w:jc w:val="center"/>
              <w:rPr>
                <w:color w:val="auto"/>
                <w:szCs w:val="21"/>
                <w:highlight w:val="none"/>
              </w:rPr>
            </w:pPr>
            <w:r>
              <w:rPr>
                <w:rFonts w:hint="eastAsia"/>
                <w:color w:val="auto"/>
                <w:szCs w:val="21"/>
                <w:highlight w:val="none"/>
              </w:rPr>
              <w:t>开标会</w:t>
            </w:r>
          </w:p>
        </w:tc>
        <w:tc>
          <w:tcPr>
            <w:tcW w:w="553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color w:val="auto"/>
                <w:szCs w:val="21"/>
                <w:highlight w:val="none"/>
              </w:rPr>
            </w:pPr>
            <w:r>
              <w:rPr>
                <w:rFonts w:hint="eastAsia"/>
                <w:b/>
                <w:color w:val="auto"/>
                <w:szCs w:val="21"/>
                <w:highlight w:val="none"/>
              </w:rPr>
              <w:t>投标人的法定代表人或其委托代理人持有效证件</w:t>
            </w:r>
            <w:r>
              <w:rPr>
                <w:rFonts w:hint="eastAsia"/>
                <w:color w:val="auto"/>
                <w:szCs w:val="21"/>
                <w:highlight w:val="none"/>
              </w:rPr>
              <w:t>[法定代表人凭《法定代表人（负责人）身份证明书》及本人身份证，代理人凭《授权委托书》及本人身份证原件]、</w:t>
            </w:r>
            <w:r>
              <w:rPr>
                <w:rFonts w:hint="eastAsia"/>
                <w:b/>
                <w:color w:val="auto"/>
                <w:szCs w:val="21"/>
                <w:highlight w:val="none"/>
              </w:rPr>
              <w:t>投标保证金声明原件或保证金支票/汇票/本票/保函原件参加开标会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pStyle w:val="16"/>
              <w:jc w:val="center"/>
              <w:rPr>
                <w:color w:val="auto"/>
                <w:szCs w:val="21"/>
                <w:highlight w:val="none"/>
              </w:rPr>
            </w:pPr>
            <w:r>
              <w:rPr>
                <w:rFonts w:hint="eastAsia"/>
                <w:color w:val="auto"/>
                <w:szCs w:val="21"/>
                <w:highlight w:val="none"/>
              </w:rPr>
              <w:t>采购人或采购代理机构查询供应商的主体信用记录</w:t>
            </w:r>
          </w:p>
        </w:tc>
        <w:tc>
          <w:tcPr>
            <w:tcW w:w="5532" w:type="dxa"/>
            <w:tcBorders>
              <w:top w:val="single" w:color="auto" w:sz="4" w:space="0"/>
              <w:left w:val="single" w:color="auto" w:sz="4" w:space="0"/>
              <w:bottom w:val="single" w:color="auto" w:sz="4" w:space="0"/>
              <w:right w:val="single" w:color="auto" w:sz="4" w:space="0"/>
            </w:tcBorders>
            <w:vAlign w:val="center"/>
          </w:tcPr>
          <w:p>
            <w:pPr>
              <w:spacing w:line="30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1）信用信息查询渠道：采购人或采购代理机构在“信用中国”网站（ www.creditchina.gov.cn）及中国政府采购网（ www.ccgp.gov.cn）查询相关供应商主体信用记录。</w:t>
            </w:r>
          </w:p>
          <w:p>
            <w:pPr>
              <w:spacing w:line="30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2）信用信息查询截止时点：采购人或采购代理机构在文件递交截止时间后评标或评审结束前查询相关供应商主体信用记录查询结果，记录内容溯及时限为文件递交截止之日前三年；</w:t>
            </w:r>
          </w:p>
          <w:p>
            <w:pPr>
              <w:spacing w:line="30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3）信用信息查询记录和证据留存的具体方式：采购人或采购代理机构在上述指定时段内在“信用中国”网站（ www.creditchina.gov.cn）及中国政府采购网（ www.ccgp.gov.cn）等两个网站查询相关供应商主体信用记录，同时将两个网站的查询结果网页打印件为证据留存；</w:t>
            </w:r>
          </w:p>
          <w:p>
            <w:pPr>
              <w:spacing w:line="30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4）信用信息的使用规则：执行资格审查的主体核验具体供应商的主体信用记录，被列入失信被执行人、重大税收违法案件当事人名单、政府采购严重违法失信行为记录名单及其他不符合《中华人民共和国政府采购法》第二十二条规定条件的供应商，将被拒绝其参与本次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6"/>
              <w:spacing w:line="360" w:lineRule="auto"/>
              <w:ind w:firstLine="420" w:firstLineChars="200"/>
              <w:rPr>
                <w:color w:val="auto"/>
                <w:highlight w:val="none"/>
              </w:rPr>
            </w:pPr>
            <w:r>
              <w:rPr>
                <w:rFonts w:hint="eastAsia"/>
                <w:color w:val="auto"/>
                <w:kern w:val="0"/>
                <w:szCs w:val="21"/>
                <w:highlight w:val="none"/>
              </w:rPr>
              <w:t>供应商为事业单位、社会团体、个体工商户或非企业法人单位的其他组织，无法查询到主体信用的，评标或评审期间不再对此类供应商的诚信状况进行查询。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pStyle w:val="16"/>
              <w:jc w:val="center"/>
              <w:rPr>
                <w:color w:val="auto"/>
                <w:szCs w:val="21"/>
                <w:highlight w:val="none"/>
              </w:rPr>
            </w:pPr>
            <w:r>
              <w:rPr>
                <w:rFonts w:hint="eastAsia"/>
                <w:color w:val="auto"/>
                <w:szCs w:val="21"/>
                <w:highlight w:val="none"/>
              </w:rPr>
              <w:t>采购人或采购代理机构查询供应商的行贿犯罪记录</w:t>
            </w:r>
          </w:p>
        </w:tc>
        <w:tc>
          <w:tcPr>
            <w:tcW w:w="553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color w:val="auto"/>
                <w:highlight w:val="none"/>
              </w:rPr>
            </w:pPr>
            <w:r>
              <w:rPr>
                <w:rFonts w:hint="eastAsia"/>
                <w:color w:val="auto"/>
                <w:kern w:val="0"/>
                <w:szCs w:val="21"/>
                <w:highlight w:val="none"/>
              </w:rPr>
              <w:t>采购人或采购代理机构于中国裁判文书网（http://wenshu.court.gov.cn）查询供应商单位、法定代表人及拟投入本项目负责人（如有）的行贿犯罪档案查询结果网页截图作为证明材料(查询时间在文件递交截止时间之日起至评标结束之日前)，供应商单位、供应商法定代表人、拟投入项目负责人（如有）之一存在行贿犯罪记录的，其投标文件无效。行贿犯罪、重大违法刑事判决以外的民事诉讼、行政诉讼判决结果不作为判定响应文件无效的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pStyle w:val="16"/>
              <w:jc w:val="center"/>
              <w:rPr>
                <w:color w:val="auto"/>
                <w:szCs w:val="21"/>
                <w:highlight w:val="none"/>
              </w:rPr>
            </w:pPr>
            <w:r>
              <w:rPr>
                <w:rFonts w:hint="eastAsia"/>
                <w:color w:val="auto"/>
                <w:szCs w:val="21"/>
                <w:highlight w:val="none"/>
              </w:rPr>
              <w:t>评标方法</w:t>
            </w:r>
          </w:p>
        </w:tc>
        <w:tc>
          <w:tcPr>
            <w:tcW w:w="553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color w:val="auto"/>
                <w:szCs w:val="21"/>
                <w:highlight w:val="none"/>
              </w:rPr>
            </w:pPr>
            <w:r>
              <w:rPr>
                <w:rFonts w:hint="eastAsia"/>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rPr>
                <w:rFonts w:ascii="宋体" w:hAnsi="宋体" w:cs="宋体"/>
                <w:color w:val="auto"/>
                <w:kern w:val="0"/>
                <w:szCs w:val="21"/>
                <w:highlight w:val="none"/>
              </w:rPr>
            </w:pPr>
            <w:r>
              <w:rPr>
                <w:rFonts w:hint="eastAsia" w:ascii="宋体" w:hAnsi="宋体"/>
                <w:color w:val="auto"/>
                <w:kern w:val="0"/>
                <w:szCs w:val="21"/>
                <w:highlight w:val="none"/>
              </w:rPr>
              <w:t>是否授权评标委员会确定中标人</w:t>
            </w:r>
          </w:p>
        </w:tc>
        <w:tc>
          <w:tcPr>
            <w:tcW w:w="553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color w:val="auto"/>
                <w:szCs w:val="21"/>
                <w:highlight w:val="none"/>
              </w:rPr>
            </w:pPr>
            <w:r>
              <w:rPr>
                <w:rFonts w:hint="eastAsia"/>
                <w:color w:val="auto"/>
                <w:szCs w:val="21"/>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8"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履约保证金金额</w:t>
            </w:r>
          </w:p>
        </w:tc>
        <w:tc>
          <w:tcPr>
            <w:tcW w:w="55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b/>
                <w:bCs/>
                <w:color w:val="auto"/>
                <w:kern w:val="0"/>
                <w:szCs w:val="21"/>
                <w:highlight w:val="none"/>
              </w:rPr>
              <w:t>履约保证金由中标供应商的投标保证金自动转成。</w:t>
            </w:r>
            <w:r>
              <w:rPr>
                <w:rFonts w:hint="eastAsia" w:ascii="宋体" w:hAnsi="宋体"/>
                <w:bCs/>
                <w:color w:val="auto"/>
                <w:kern w:val="0"/>
                <w:szCs w:val="21"/>
                <w:highlight w:val="none"/>
              </w:rPr>
              <w:t>如中标供应商不按双方签订的合同规定履约，则对其全部履约保证金不予退还，履约保证金不足以赔偿损失的，按实际损失赔偿。</w:t>
            </w:r>
            <w:r>
              <w:rPr>
                <w:rFonts w:hint="eastAsia"/>
                <w:color w:val="auto"/>
                <w:szCs w:val="21"/>
                <w:highlight w:val="none"/>
              </w:rPr>
              <w:t>履约保证金在中标供应商按合同约定交货验收合格之日后，由中标供应商向采购代理机构出具政府采购项目履约保证金退付意见书（详见附件格式），采购代理机构在收到意见书后7个工作日内予以退还，没有提供意见书的采购代理机构将不予办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3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adjustRightInd w:val="0"/>
              <w:spacing w:line="360" w:lineRule="auto"/>
              <w:jc w:val="center"/>
              <w:rPr>
                <w:color w:val="auto"/>
                <w:szCs w:val="21"/>
                <w:highlight w:val="none"/>
              </w:rPr>
            </w:pPr>
          </w:p>
        </w:tc>
        <w:tc>
          <w:tcPr>
            <w:tcW w:w="324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553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auto"/>
                <w:szCs w:val="21"/>
                <w:highlight w:val="none"/>
              </w:rPr>
            </w:pPr>
            <w:r>
              <w:rPr>
                <w:rFonts w:hint="eastAsia" w:ascii="宋体" w:hAnsi="宋体"/>
                <w:color w:val="auto"/>
                <w:szCs w:val="21"/>
                <w:highlight w:val="none"/>
              </w:rPr>
              <w:t>为每一季度结算期并付款一次，即签订合同执行日起，每季度根据乙方为甲方提供的服务内容，进行核算；由乙方开具季度的全额费用发票，甲方在一个月内付全款给乙方。</w:t>
            </w:r>
          </w:p>
        </w:tc>
      </w:tr>
    </w:tbl>
    <w:p>
      <w:pPr>
        <w:jc w:val="center"/>
        <w:rPr>
          <w:color w:val="auto"/>
          <w:sz w:val="32"/>
          <w:szCs w:val="32"/>
          <w:highlight w:val="none"/>
        </w:rPr>
      </w:pPr>
      <w:r>
        <w:rPr>
          <w:rFonts w:hint="eastAsia"/>
          <w:color w:val="auto"/>
          <w:sz w:val="28"/>
          <w:szCs w:val="28"/>
          <w:highlight w:val="none"/>
        </w:rPr>
        <w:br w:type="page"/>
      </w:r>
      <w:bookmarkStart w:id="38" w:name="_Toc271529383"/>
      <w:r>
        <w:rPr>
          <w:rFonts w:hint="eastAsia"/>
          <w:color w:val="auto"/>
          <w:sz w:val="32"/>
          <w:szCs w:val="32"/>
          <w:highlight w:val="none"/>
        </w:rPr>
        <w:t>一总则</w:t>
      </w:r>
      <w:bookmarkEnd w:id="38"/>
    </w:p>
    <w:p>
      <w:pPr>
        <w:pStyle w:val="16"/>
        <w:snapToGrid w:val="0"/>
        <w:spacing w:line="360" w:lineRule="auto"/>
        <w:ind w:left="212" w:hanging="212" w:hangingChars="101"/>
        <w:jc w:val="left"/>
        <w:rPr>
          <w:bCs/>
          <w:color w:val="auto"/>
          <w:szCs w:val="21"/>
          <w:highlight w:val="none"/>
        </w:rPr>
      </w:pPr>
      <w:r>
        <w:rPr>
          <w:rFonts w:hint="eastAsia"/>
          <w:bCs/>
          <w:color w:val="auto"/>
          <w:szCs w:val="21"/>
          <w:highlight w:val="none"/>
        </w:rPr>
        <w:t>1. 项目概况</w:t>
      </w:r>
    </w:p>
    <w:p>
      <w:pPr>
        <w:pStyle w:val="16"/>
        <w:snapToGrid w:val="0"/>
        <w:spacing w:line="360" w:lineRule="auto"/>
        <w:ind w:left="2" w:firstLine="358"/>
        <w:jc w:val="left"/>
        <w:rPr>
          <w:bCs/>
          <w:color w:val="auto"/>
          <w:szCs w:val="21"/>
          <w:highlight w:val="none"/>
        </w:rPr>
      </w:pPr>
      <w:r>
        <w:rPr>
          <w:rFonts w:hint="eastAsia"/>
          <w:bCs/>
          <w:color w:val="auto"/>
          <w:szCs w:val="21"/>
          <w:highlight w:val="none"/>
        </w:rPr>
        <w:t>1.1  采购人：见投标人须知前附表。</w:t>
      </w:r>
    </w:p>
    <w:p>
      <w:pPr>
        <w:pStyle w:val="16"/>
        <w:snapToGrid w:val="0"/>
        <w:spacing w:line="360" w:lineRule="auto"/>
        <w:ind w:left="2" w:firstLine="358"/>
        <w:jc w:val="left"/>
        <w:rPr>
          <w:rFonts w:ascii="文鼎CS楷体" w:eastAsia="文鼎CS楷体"/>
          <w:color w:val="auto"/>
          <w:szCs w:val="21"/>
          <w:highlight w:val="none"/>
        </w:rPr>
      </w:pPr>
      <w:r>
        <w:rPr>
          <w:rFonts w:hint="eastAsia"/>
          <w:bCs/>
          <w:color w:val="auto"/>
          <w:szCs w:val="21"/>
          <w:highlight w:val="none"/>
        </w:rPr>
        <w:t>1.2  采购代理机构：见投标人须知前附表。</w:t>
      </w:r>
    </w:p>
    <w:p>
      <w:pPr>
        <w:pStyle w:val="16"/>
        <w:snapToGrid w:val="0"/>
        <w:spacing w:line="360" w:lineRule="auto"/>
        <w:ind w:left="2" w:firstLine="358"/>
        <w:jc w:val="left"/>
        <w:rPr>
          <w:rFonts w:ascii="文鼎CS楷体" w:eastAsia="文鼎CS楷体"/>
          <w:color w:val="auto"/>
          <w:szCs w:val="21"/>
          <w:highlight w:val="none"/>
        </w:rPr>
      </w:pPr>
      <w:r>
        <w:rPr>
          <w:rFonts w:hint="eastAsia" w:ascii="文鼎CS楷体" w:eastAsia="文鼎CS楷体"/>
          <w:color w:val="auto"/>
          <w:szCs w:val="21"/>
          <w:highlight w:val="none"/>
        </w:rPr>
        <w:t>1.3  项目名称：</w:t>
      </w:r>
      <w:r>
        <w:rPr>
          <w:rFonts w:hint="eastAsia"/>
          <w:bCs/>
          <w:color w:val="auto"/>
          <w:szCs w:val="21"/>
          <w:highlight w:val="none"/>
        </w:rPr>
        <w:t>见投标人须知前附表。</w:t>
      </w:r>
    </w:p>
    <w:p>
      <w:pPr>
        <w:pStyle w:val="16"/>
        <w:snapToGrid w:val="0"/>
        <w:spacing w:line="360" w:lineRule="auto"/>
        <w:ind w:left="2" w:firstLine="358"/>
        <w:jc w:val="left"/>
        <w:rPr>
          <w:bCs/>
          <w:color w:val="auto"/>
          <w:szCs w:val="21"/>
          <w:highlight w:val="none"/>
        </w:rPr>
      </w:pPr>
      <w:r>
        <w:rPr>
          <w:rFonts w:hint="eastAsia" w:ascii="文鼎CS楷体" w:eastAsia="文鼎CS楷体"/>
          <w:color w:val="auto"/>
          <w:szCs w:val="21"/>
          <w:highlight w:val="none"/>
        </w:rPr>
        <w:t>1.4  项目编号：</w:t>
      </w:r>
      <w:r>
        <w:rPr>
          <w:rFonts w:hint="eastAsia"/>
          <w:bCs/>
          <w:color w:val="auto"/>
          <w:szCs w:val="21"/>
          <w:highlight w:val="none"/>
        </w:rPr>
        <w:t>见投标人须知前附表。</w:t>
      </w:r>
    </w:p>
    <w:p>
      <w:pPr>
        <w:pStyle w:val="16"/>
        <w:snapToGrid w:val="0"/>
        <w:spacing w:line="360" w:lineRule="auto"/>
        <w:jc w:val="left"/>
        <w:rPr>
          <w:bCs/>
          <w:color w:val="auto"/>
          <w:szCs w:val="21"/>
          <w:highlight w:val="none"/>
        </w:rPr>
      </w:pPr>
      <w:r>
        <w:rPr>
          <w:rFonts w:hint="eastAsia"/>
          <w:bCs/>
          <w:color w:val="auto"/>
          <w:szCs w:val="21"/>
          <w:highlight w:val="none"/>
        </w:rPr>
        <w:t>2.  政府采购信息发布媒体：</w:t>
      </w:r>
    </w:p>
    <w:p>
      <w:pPr>
        <w:pStyle w:val="16"/>
        <w:snapToGrid w:val="0"/>
        <w:spacing w:line="360" w:lineRule="auto"/>
        <w:ind w:firstLine="359" w:firstLineChars="171"/>
        <w:rPr>
          <w:bCs/>
          <w:color w:val="auto"/>
          <w:szCs w:val="21"/>
          <w:highlight w:val="none"/>
        </w:rPr>
      </w:pPr>
      <w:r>
        <w:rPr>
          <w:rFonts w:hint="eastAsia"/>
          <w:bCs/>
          <w:color w:val="auto"/>
          <w:szCs w:val="21"/>
          <w:highlight w:val="none"/>
        </w:rPr>
        <w:t>2.1  与本项目相关的政府采购业务信息（包括公开招标公告、中标公告及其更正事项等）将在以下媒体上发布：</w:t>
      </w:r>
      <w:r>
        <w:rPr>
          <w:rFonts w:hint="eastAsia"/>
          <w:color w:val="auto"/>
          <w:szCs w:val="21"/>
          <w:highlight w:val="none"/>
        </w:rPr>
        <w:t>中国政府采购网（www.ccgp.gov.cn）、广西壮族自治区政府采购网（</w:t>
      </w:r>
      <w:r>
        <w:rPr>
          <w:bCs/>
          <w:color w:val="auto"/>
          <w:szCs w:val="21"/>
          <w:highlight w:val="none"/>
        </w:rPr>
        <w:t>http://zfcg.gxzf.gov.cn/</w:t>
      </w:r>
      <w:r>
        <w:rPr>
          <w:rFonts w:hint="eastAsia"/>
          <w:bCs/>
          <w:color w:val="auto"/>
          <w:szCs w:val="21"/>
          <w:highlight w:val="none"/>
        </w:rPr>
        <w:t>）</w:t>
      </w:r>
      <w:r>
        <w:rPr>
          <w:rFonts w:hint="eastAsia"/>
          <w:color w:val="auto"/>
          <w:szCs w:val="21"/>
          <w:highlight w:val="none"/>
        </w:rPr>
        <w:t>、梧州市政府采购网（www.wuzhou.gov.cn:8090/zfcgw）、广西壮族自治区公共资源交易中心网（http://gxggzy.gxzf.gov.cn/gxzbw/）、梧州市公共资源交易中心网（http://www.wzggzy.cn/gxwzzbw/）。</w:t>
      </w:r>
    </w:p>
    <w:p>
      <w:pPr>
        <w:pStyle w:val="16"/>
        <w:snapToGrid w:val="0"/>
        <w:spacing w:line="360" w:lineRule="auto"/>
        <w:ind w:left="212" w:hanging="212" w:hangingChars="101"/>
        <w:jc w:val="left"/>
        <w:rPr>
          <w:bCs/>
          <w:color w:val="auto"/>
          <w:szCs w:val="21"/>
          <w:highlight w:val="none"/>
        </w:rPr>
      </w:pPr>
      <w:r>
        <w:rPr>
          <w:rFonts w:hint="eastAsia"/>
          <w:bCs/>
          <w:color w:val="auto"/>
          <w:szCs w:val="21"/>
          <w:highlight w:val="none"/>
        </w:rPr>
        <w:t>3. 投标人资格要求：</w:t>
      </w:r>
    </w:p>
    <w:p>
      <w:pPr>
        <w:pStyle w:val="16"/>
        <w:snapToGrid w:val="0"/>
        <w:spacing w:line="360" w:lineRule="auto"/>
        <w:ind w:firstLine="360"/>
        <w:rPr>
          <w:bCs/>
          <w:color w:val="auto"/>
          <w:szCs w:val="21"/>
          <w:highlight w:val="none"/>
        </w:rPr>
      </w:pPr>
      <w:r>
        <w:rPr>
          <w:rFonts w:hint="eastAsia"/>
          <w:bCs/>
          <w:color w:val="auto"/>
          <w:szCs w:val="21"/>
          <w:highlight w:val="none"/>
        </w:rPr>
        <w:t>3.1  投标人应具备下列条件：</w:t>
      </w:r>
    </w:p>
    <w:p>
      <w:pPr>
        <w:pStyle w:val="16"/>
        <w:snapToGrid w:val="0"/>
        <w:spacing w:line="360" w:lineRule="auto"/>
        <w:ind w:firstLine="720"/>
        <w:rPr>
          <w:bCs/>
          <w:color w:val="auto"/>
          <w:szCs w:val="21"/>
          <w:highlight w:val="none"/>
        </w:rPr>
      </w:pPr>
      <w:r>
        <w:rPr>
          <w:rFonts w:hint="eastAsia"/>
          <w:bCs/>
          <w:color w:val="auto"/>
          <w:szCs w:val="21"/>
          <w:highlight w:val="none"/>
        </w:rPr>
        <w:t>（1）具有独立承担民事责任的能力；</w:t>
      </w:r>
    </w:p>
    <w:p>
      <w:pPr>
        <w:pStyle w:val="16"/>
        <w:snapToGrid w:val="0"/>
        <w:spacing w:line="360" w:lineRule="auto"/>
        <w:ind w:firstLine="720"/>
        <w:rPr>
          <w:bCs/>
          <w:color w:val="auto"/>
          <w:szCs w:val="21"/>
          <w:highlight w:val="none"/>
        </w:rPr>
      </w:pPr>
      <w:r>
        <w:rPr>
          <w:rFonts w:hint="eastAsia"/>
          <w:bCs/>
          <w:color w:val="auto"/>
          <w:szCs w:val="21"/>
          <w:highlight w:val="none"/>
        </w:rPr>
        <w:t>（2）具有良好的商业信誉和健全的财务会计制度；</w:t>
      </w:r>
    </w:p>
    <w:p>
      <w:pPr>
        <w:pStyle w:val="16"/>
        <w:snapToGrid w:val="0"/>
        <w:spacing w:line="360" w:lineRule="auto"/>
        <w:ind w:firstLine="720"/>
        <w:rPr>
          <w:bCs/>
          <w:color w:val="auto"/>
          <w:szCs w:val="21"/>
          <w:highlight w:val="none"/>
        </w:rPr>
      </w:pPr>
      <w:r>
        <w:rPr>
          <w:rFonts w:hint="eastAsia"/>
          <w:bCs/>
          <w:color w:val="auto"/>
          <w:szCs w:val="21"/>
          <w:highlight w:val="none"/>
        </w:rPr>
        <w:t>（3）具有履行合同所必需的设备和专业技术能力；</w:t>
      </w:r>
    </w:p>
    <w:p>
      <w:pPr>
        <w:pStyle w:val="16"/>
        <w:snapToGrid w:val="0"/>
        <w:spacing w:line="360" w:lineRule="auto"/>
        <w:ind w:firstLine="720"/>
        <w:rPr>
          <w:bCs/>
          <w:color w:val="auto"/>
          <w:szCs w:val="21"/>
          <w:highlight w:val="none"/>
        </w:rPr>
      </w:pPr>
      <w:r>
        <w:rPr>
          <w:rFonts w:hint="eastAsia"/>
          <w:bCs/>
          <w:color w:val="auto"/>
          <w:szCs w:val="21"/>
          <w:highlight w:val="none"/>
        </w:rPr>
        <w:t>（4）有依法缴纳税收和社会保障资金的良好记录；</w:t>
      </w:r>
    </w:p>
    <w:p>
      <w:pPr>
        <w:pStyle w:val="16"/>
        <w:snapToGrid w:val="0"/>
        <w:spacing w:line="360" w:lineRule="auto"/>
        <w:ind w:firstLine="720"/>
        <w:rPr>
          <w:bCs/>
          <w:color w:val="auto"/>
          <w:szCs w:val="21"/>
          <w:highlight w:val="none"/>
        </w:rPr>
      </w:pPr>
      <w:r>
        <w:rPr>
          <w:rFonts w:hint="eastAsia"/>
          <w:bCs/>
          <w:color w:val="auto"/>
          <w:szCs w:val="21"/>
          <w:highlight w:val="none"/>
        </w:rPr>
        <w:t>（5）参加政府采购活动前三年内，在经营活动中没有重大违法记录；</w:t>
      </w:r>
    </w:p>
    <w:p>
      <w:pPr>
        <w:pStyle w:val="16"/>
        <w:snapToGrid w:val="0"/>
        <w:spacing w:line="360" w:lineRule="auto"/>
        <w:ind w:firstLine="720"/>
        <w:rPr>
          <w:bCs/>
          <w:color w:val="auto"/>
          <w:szCs w:val="21"/>
          <w:highlight w:val="none"/>
        </w:rPr>
      </w:pPr>
      <w:r>
        <w:rPr>
          <w:rFonts w:hint="eastAsia"/>
          <w:bCs/>
          <w:color w:val="auto"/>
          <w:szCs w:val="21"/>
          <w:highlight w:val="none"/>
        </w:rPr>
        <w:t>（6）法律、行政法规规定的其他条件。</w:t>
      </w:r>
    </w:p>
    <w:p>
      <w:pPr>
        <w:pStyle w:val="16"/>
        <w:snapToGrid w:val="0"/>
        <w:spacing w:line="360" w:lineRule="auto"/>
        <w:ind w:firstLine="360"/>
        <w:rPr>
          <w:bCs/>
          <w:color w:val="auto"/>
          <w:szCs w:val="21"/>
          <w:highlight w:val="none"/>
        </w:rPr>
      </w:pPr>
      <w:r>
        <w:rPr>
          <w:rFonts w:hint="eastAsia"/>
          <w:bCs/>
          <w:color w:val="auto"/>
          <w:szCs w:val="21"/>
          <w:highlight w:val="none"/>
        </w:rPr>
        <w:t>3.2  针对本项目，投标人应具备的特定条件：见投标人须知前附表。</w:t>
      </w:r>
    </w:p>
    <w:p>
      <w:pPr>
        <w:pStyle w:val="16"/>
        <w:snapToGrid w:val="0"/>
        <w:spacing w:line="360" w:lineRule="auto"/>
        <w:ind w:firstLine="360"/>
        <w:rPr>
          <w:bCs/>
          <w:color w:val="auto"/>
          <w:szCs w:val="21"/>
          <w:highlight w:val="none"/>
        </w:rPr>
      </w:pPr>
      <w:r>
        <w:rPr>
          <w:rFonts w:hint="eastAsia"/>
          <w:bCs/>
          <w:color w:val="auto"/>
          <w:szCs w:val="21"/>
          <w:highlight w:val="none"/>
        </w:rPr>
        <w:t>3.3  联合体投标：不接受联合体投标。</w:t>
      </w:r>
    </w:p>
    <w:p>
      <w:pPr>
        <w:pStyle w:val="16"/>
        <w:snapToGrid w:val="0"/>
        <w:spacing w:line="360" w:lineRule="auto"/>
        <w:ind w:firstLine="360"/>
        <w:rPr>
          <w:color w:val="auto"/>
          <w:szCs w:val="21"/>
          <w:highlight w:val="none"/>
        </w:rPr>
      </w:pPr>
      <w:r>
        <w:rPr>
          <w:rFonts w:hint="eastAsia"/>
          <w:bCs/>
          <w:color w:val="auto"/>
          <w:szCs w:val="21"/>
          <w:highlight w:val="none"/>
        </w:rPr>
        <w:t xml:space="preserve">3.4  </w:t>
      </w:r>
      <w:r>
        <w:rPr>
          <w:rFonts w:hint="eastAsia"/>
          <w:color w:val="auto"/>
          <w:szCs w:val="21"/>
          <w:highlight w:val="none"/>
        </w:rPr>
        <w:t xml:space="preserve">投标人不得直接或间接地与为本次采购的项目内容进行设计、编制规范和其他文件的咨询公司、采购代理机构或其附属机构有任何关联。 </w:t>
      </w:r>
    </w:p>
    <w:p>
      <w:pPr>
        <w:pStyle w:val="16"/>
        <w:snapToGrid w:val="0"/>
        <w:spacing w:line="360" w:lineRule="auto"/>
        <w:ind w:firstLine="360"/>
        <w:rPr>
          <w:color w:val="auto"/>
          <w:szCs w:val="21"/>
          <w:highlight w:val="none"/>
        </w:rPr>
      </w:pPr>
      <w:r>
        <w:rPr>
          <w:rFonts w:hint="eastAsia"/>
          <w:bCs/>
          <w:color w:val="auto"/>
          <w:szCs w:val="21"/>
          <w:highlight w:val="none"/>
        </w:rPr>
        <w:t>3.5</w:t>
      </w:r>
      <w:r>
        <w:rPr>
          <w:rFonts w:hint="eastAsia"/>
          <w:color w:val="auto"/>
          <w:szCs w:val="21"/>
          <w:highlight w:val="none"/>
        </w:rPr>
        <w:t>投标人应在投标文件中须主动填报投标之前三年内有无受各级管理部门的处分或处罚（含其授权服务的子公司、分公司等），如果不主动填报而被事后发现的，将取消其投标资格，并按有关规定从重处理。</w:t>
      </w:r>
    </w:p>
    <w:p>
      <w:pPr>
        <w:pStyle w:val="16"/>
        <w:spacing w:line="360" w:lineRule="auto"/>
        <w:ind w:firstLine="360"/>
        <w:rPr>
          <w:bCs/>
          <w:color w:val="auto"/>
          <w:szCs w:val="21"/>
          <w:highlight w:val="none"/>
        </w:rPr>
      </w:pPr>
      <w:r>
        <w:rPr>
          <w:rFonts w:hint="eastAsia"/>
          <w:bCs/>
          <w:color w:val="auto"/>
          <w:szCs w:val="21"/>
          <w:highlight w:val="none"/>
        </w:rPr>
        <w:t>3.6凡两家或以上供应商参加同一项目采购，有如下情形的，一经发现，将视为串标处理：</w:t>
      </w:r>
    </w:p>
    <w:p>
      <w:pPr>
        <w:pStyle w:val="16"/>
        <w:spacing w:line="360" w:lineRule="auto"/>
        <w:ind w:firstLine="360"/>
        <w:rPr>
          <w:bCs/>
          <w:color w:val="auto"/>
          <w:szCs w:val="21"/>
          <w:highlight w:val="none"/>
        </w:rPr>
      </w:pPr>
      <w:r>
        <w:rPr>
          <w:rFonts w:hint="eastAsia"/>
          <w:bCs/>
          <w:color w:val="auto"/>
          <w:szCs w:val="21"/>
          <w:highlight w:val="none"/>
        </w:rPr>
        <w:t>（1）为同一法人代表的；</w:t>
      </w:r>
    </w:p>
    <w:p>
      <w:pPr>
        <w:pStyle w:val="16"/>
        <w:spacing w:line="360" w:lineRule="auto"/>
        <w:ind w:firstLine="360"/>
        <w:rPr>
          <w:bCs/>
          <w:color w:val="auto"/>
          <w:szCs w:val="21"/>
          <w:highlight w:val="none"/>
        </w:rPr>
      </w:pPr>
      <w:r>
        <w:rPr>
          <w:rFonts w:hint="eastAsia"/>
          <w:bCs/>
          <w:color w:val="auto"/>
          <w:szCs w:val="21"/>
          <w:highlight w:val="none"/>
        </w:rPr>
        <w:t>（2）为同一股东控股的；</w:t>
      </w:r>
    </w:p>
    <w:p>
      <w:pPr>
        <w:pStyle w:val="16"/>
        <w:spacing w:line="360" w:lineRule="auto"/>
        <w:ind w:firstLine="360"/>
        <w:rPr>
          <w:bCs/>
          <w:color w:val="auto"/>
          <w:szCs w:val="21"/>
          <w:highlight w:val="none"/>
        </w:rPr>
      </w:pPr>
      <w:r>
        <w:rPr>
          <w:rFonts w:hint="eastAsia"/>
          <w:bCs/>
          <w:color w:val="auto"/>
          <w:szCs w:val="21"/>
          <w:highlight w:val="none"/>
        </w:rPr>
        <w:t>（3）其中一家公司为其他公司最大股东的。</w:t>
      </w:r>
    </w:p>
    <w:p>
      <w:pPr>
        <w:pStyle w:val="16"/>
        <w:spacing w:line="360" w:lineRule="auto"/>
        <w:ind w:firstLine="360"/>
        <w:rPr>
          <w:bCs/>
          <w:color w:val="auto"/>
          <w:szCs w:val="21"/>
          <w:highlight w:val="none"/>
        </w:rPr>
      </w:pPr>
      <w:r>
        <w:rPr>
          <w:rFonts w:hint="eastAsia"/>
          <w:bCs/>
          <w:color w:val="auto"/>
          <w:szCs w:val="21"/>
          <w:highlight w:val="none"/>
        </w:rPr>
        <w:t>3.7关联供应商不得参加同一合同项下政府采购活动，否则投标文件将被视为无效。</w:t>
      </w:r>
    </w:p>
    <w:p>
      <w:pPr>
        <w:pStyle w:val="16"/>
        <w:spacing w:line="360" w:lineRule="auto"/>
        <w:ind w:firstLine="360"/>
        <w:rPr>
          <w:bCs/>
          <w:color w:val="auto"/>
          <w:szCs w:val="21"/>
          <w:highlight w:val="none"/>
        </w:rPr>
      </w:pPr>
      <w:r>
        <w:rPr>
          <w:rFonts w:hint="eastAsia"/>
          <w:bCs/>
          <w:color w:val="auto"/>
          <w:szCs w:val="21"/>
          <w:highlight w:val="none"/>
        </w:rPr>
        <w:t>1）单位负责人为同一人或者存在直接控股、管理关系的不同的供应商，不得参加同一合同项下的政府采购活动;</w:t>
      </w:r>
    </w:p>
    <w:p>
      <w:pPr>
        <w:pStyle w:val="16"/>
        <w:spacing w:line="360" w:lineRule="auto"/>
        <w:ind w:firstLine="360"/>
        <w:rPr>
          <w:bCs/>
          <w:color w:val="auto"/>
          <w:szCs w:val="21"/>
          <w:highlight w:val="none"/>
        </w:rPr>
      </w:pPr>
      <w:r>
        <w:rPr>
          <w:rFonts w:hint="eastAsia"/>
          <w:bCs/>
          <w:color w:val="auto"/>
          <w:szCs w:val="21"/>
          <w:highlight w:val="none"/>
        </w:rPr>
        <w:t>2）生产厂商授权给供应商后自己不得参加同一合同项下的政府采购活动；生产厂商对同一品牌同一型号的货物，仅能委托一个代理商参加投标。</w:t>
      </w:r>
    </w:p>
    <w:p>
      <w:pPr>
        <w:pStyle w:val="16"/>
        <w:snapToGrid w:val="0"/>
        <w:spacing w:line="360" w:lineRule="auto"/>
        <w:ind w:left="212" w:hanging="212" w:hangingChars="101"/>
        <w:jc w:val="left"/>
        <w:rPr>
          <w:bCs/>
          <w:color w:val="auto"/>
          <w:szCs w:val="21"/>
          <w:highlight w:val="none"/>
        </w:rPr>
      </w:pPr>
      <w:r>
        <w:rPr>
          <w:rFonts w:hint="eastAsia"/>
          <w:bCs/>
          <w:color w:val="auto"/>
          <w:szCs w:val="21"/>
          <w:highlight w:val="none"/>
        </w:rPr>
        <w:t>4. 质疑</w:t>
      </w:r>
    </w:p>
    <w:p>
      <w:pPr>
        <w:pStyle w:val="16"/>
        <w:snapToGrid w:val="0"/>
        <w:spacing w:line="360" w:lineRule="auto"/>
        <w:ind w:left="2" w:firstLine="360"/>
        <w:jc w:val="left"/>
        <w:rPr>
          <w:bCs/>
          <w:color w:val="auto"/>
          <w:szCs w:val="21"/>
          <w:highlight w:val="none"/>
        </w:rPr>
      </w:pPr>
      <w:r>
        <w:rPr>
          <w:rFonts w:hint="eastAsia"/>
          <w:bCs/>
          <w:color w:val="auto"/>
          <w:szCs w:val="21"/>
          <w:highlight w:val="none"/>
        </w:rPr>
        <w:t>4.1  投标人认为招标文件使自己的权益受到损害的，可以在获取招标文件</w:t>
      </w:r>
      <w:r>
        <w:rPr>
          <w:rFonts w:hint="eastAsia"/>
          <w:color w:val="auto"/>
          <w:szCs w:val="21"/>
          <w:highlight w:val="none"/>
        </w:rPr>
        <w:t>之日起七个工作日内</w:t>
      </w:r>
      <w:r>
        <w:rPr>
          <w:rFonts w:hint="eastAsia"/>
          <w:bCs/>
          <w:color w:val="auto"/>
          <w:szCs w:val="21"/>
          <w:highlight w:val="none"/>
        </w:rPr>
        <w:t>以书面形式向采购人委托的采购代理机构质疑；投标截止时间后，采购代理机构不再受理对招标文件的质疑。投标人认为</w:t>
      </w:r>
      <w:r>
        <w:rPr>
          <w:rFonts w:hint="eastAsia"/>
          <w:color w:val="auto"/>
          <w:szCs w:val="21"/>
          <w:highlight w:val="none"/>
        </w:rPr>
        <w:t>采购过程和中标、成交结果使自己的权益受到损害的，可</w:t>
      </w:r>
      <w:r>
        <w:rPr>
          <w:rFonts w:hint="eastAsia"/>
          <w:bCs/>
          <w:color w:val="auto"/>
          <w:szCs w:val="21"/>
          <w:highlight w:val="none"/>
        </w:rPr>
        <w:t>以</w:t>
      </w:r>
      <w:r>
        <w:rPr>
          <w:rFonts w:hint="eastAsia"/>
          <w:color w:val="auto"/>
          <w:szCs w:val="21"/>
          <w:highlight w:val="none"/>
        </w:rPr>
        <w:t>在知道或者应知其权益受到损害之日起七个工作日内，以书面形式向采购人委托的采购代理机构质疑。</w:t>
      </w:r>
    </w:p>
    <w:p>
      <w:pPr>
        <w:pStyle w:val="16"/>
        <w:snapToGrid w:val="0"/>
        <w:spacing w:line="360" w:lineRule="auto"/>
        <w:ind w:left="2" w:firstLine="360"/>
        <w:jc w:val="left"/>
        <w:rPr>
          <w:bCs/>
          <w:color w:val="auto"/>
          <w:szCs w:val="21"/>
          <w:highlight w:val="none"/>
        </w:rPr>
      </w:pPr>
      <w:r>
        <w:rPr>
          <w:rFonts w:hint="eastAsia"/>
          <w:bCs/>
          <w:color w:val="auto"/>
          <w:szCs w:val="21"/>
          <w:highlight w:val="none"/>
        </w:rPr>
        <w:t>4.2  供应商质疑实行实名制，其质疑应当有具体的质疑事项及事实根据，不得进行虚假、恶意质疑。</w:t>
      </w:r>
    </w:p>
    <w:p>
      <w:pPr>
        <w:pStyle w:val="16"/>
        <w:snapToGrid w:val="0"/>
        <w:spacing w:line="360" w:lineRule="auto"/>
        <w:ind w:left="2" w:firstLine="360"/>
        <w:jc w:val="left"/>
        <w:rPr>
          <w:bCs/>
          <w:color w:val="auto"/>
          <w:szCs w:val="21"/>
          <w:highlight w:val="none"/>
        </w:rPr>
      </w:pPr>
      <w:r>
        <w:rPr>
          <w:rFonts w:hint="eastAsia"/>
          <w:bCs/>
          <w:color w:val="auto"/>
          <w:szCs w:val="21"/>
          <w:highlight w:val="none"/>
        </w:rPr>
        <w:t>4.3  供应商质疑时，应当提交质疑书原件，质疑书应当包括下列主要内容：</w:t>
      </w:r>
    </w:p>
    <w:p>
      <w:pPr>
        <w:pStyle w:val="16"/>
        <w:snapToGrid w:val="0"/>
        <w:spacing w:line="360" w:lineRule="auto"/>
        <w:ind w:left="2" w:firstLine="718"/>
        <w:jc w:val="left"/>
        <w:rPr>
          <w:color w:val="auto"/>
          <w:szCs w:val="21"/>
          <w:highlight w:val="none"/>
        </w:rPr>
      </w:pPr>
      <w:r>
        <w:rPr>
          <w:rFonts w:hint="eastAsia"/>
          <w:color w:val="auto"/>
          <w:szCs w:val="21"/>
          <w:highlight w:val="none"/>
        </w:rPr>
        <w:t>（1）质疑供应商和被质疑的采购人或采购人委托的采购代理机构名称、地址、电话、邮编等；</w:t>
      </w:r>
    </w:p>
    <w:p>
      <w:pPr>
        <w:pStyle w:val="16"/>
        <w:snapToGrid w:val="0"/>
        <w:spacing w:line="360" w:lineRule="auto"/>
        <w:ind w:left="2" w:firstLine="718"/>
        <w:jc w:val="left"/>
        <w:rPr>
          <w:color w:val="auto"/>
          <w:szCs w:val="21"/>
          <w:highlight w:val="none"/>
        </w:rPr>
      </w:pPr>
      <w:r>
        <w:rPr>
          <w:rFonts w:hint="eastAsia"/>
          <w:color w:val="auto"/>
          <w:szCs w:val="21"/>
          <w:highlight w:val="none"/>
        </w:rPr>
        <w:t>（2）质疑项目的名称、编号；</w:t>
      </w:r>
    </w:p>
    <w:p>
      <w:pPr>
        <w:pStyle w:val="16"/>
        <w:snapToGrid w:val="0"/>
        <w:spacing w:line="360" w:lineRule="auto"/>
        <w:ind w:left="2" w:firstLine="718"/>
        <w:jc w:val="left"/>
        <w:rPr>
          <w:color w:val="auto"/>
          <w:szCs w:val="21"/>
          <w:highlight w:val="none"/>
        </w:rPr>
      </w:pPr>
      <w:r>
        <w:rPr>
          <w:rFonts w:hint="eastAsia"/>
          <w:color w:val="auto"/>
          <w:szCs w:val="21"/>
          <w:highlight w:val="none"/>
        </w:rPr>
        <w:t>（3）权益受到损害的事实和理由；</w:t>
      </w:r>
    </w:p>
    <w:p>
      <w:pPr>
        <w:pStyle w:val="16"/>
        <w:snapToGrid w:val="0"/>
        <w:spacing w:line="360" w:lineRule="auto"/>
        <w:ind w:left="2" w:firstLine="718"/>
        <w:jc w:val="left"/>
        <w:rPr>
          <w:color w:val="auto"/>
          <w:szCs w:val="21"/>
          <w:highlight w:val="none"/>
        </w:rPr>
      </w:pPr>
      <w:r>
        <w:rPr>
          <w:rFonts w:hint="eastAsia"/>
          <w:color w:val="auto"/>
          <w:szCs w:val="21"/>
          <w:highlight w:val="none"/>
        </w:rPr>
        <w:t>（4）相关证明材料；</w:t>
      </w:r>
    </w:p>
    <w:p>
      <w:pPr>
        <w:pStyle w:val="16"/>
        <w:snapToGrid w:val="0"/>
        <w:spacing w:line="360" w:lineRule="auto"/>
        <w:ind w:left="2" w:firstLine="718"/>
        <w:jc w:val="left"/>
        <w:rPr>
          <w:color w:val="auto"/>
          <w:szCs w:val="21"/>
          <w:highlight w:val="none"/>
        </w:rPr>
      </w:pPr>
      <w:r>
        <w:rPr>
          <w:rFonts w:hint="eastAsia"/>
          <w:color w:val="auto"/>
          <w:szCs w:val="21"/>
          <w:highlight w:val="none"/>
        </w:rPr>
        <w:t>（5）提起质疑的日期。</w:t>
      </w:r>
    </w:p>
    <w:p>
      <w:pPr>
        <w:pStyle w:val="16"/>
        <w:snapToGrid w:val="0"/>
        <w:spacing w:line="360" w:lineRule="auto"/>
        <w:rPr>
          <w:color w:val="auto"/>
          <w:szCs w:val="21"/>
          <w:highlight w:val="none"/>
        </w:rPr>
      </w:pPr>
      <w:r>
        <w:rPr>
          <w:rFonts w:hint="eastAsia"/>
          <w:color w:val="auto"/>
          <w:szCs w:val="21"/>
          <w:highlight w:val="none"/>
        </w:rPr>
        <w:t xml:space="preserve">    质疑书应当署名。质疑供应商为自然人的，应当由本人签字；质疑供应商为法人或者其他组织的，应当由法定代表人或者主要负责人签字或签章并加盖公章。</w:t>
      </w:r>
    </w:p>
    <w:p>
      <w:pPr>
        <w:pStyle w:val="16"/>
        <w:snapToGrid w:val="0"/>
        <w:spacing w:line="360" w:lineRule="auto"/>
        <w:ind w:left="2" w:firstLine="360"/>
        <w:rPr>
          <w:bCs/>
          <w:color w:val="auto"/>
          <w:szCs w:val="21"/>
          <w:highlight w:val="none"/>
        </w:rPr>
      </w:pPr>
      <w:r>
        <w:rPr>
          <w:rFonts w:hint="eastAsia"/>
          <w:bCs/>
          <w:color w:val="auto"/>
          <w:szCs w:val="21"/>
          <w:highlight w:val="none"/>
        </w:rPr>
        <w:t>4.4  质疑供应商可以委托代理人办理质疑事务。代理人办理质疑事务时，除提交质疑书外，还应当提交质疑供应商的授权委托书，授权委托书应当载明委托代理的具体权限和事项。</w:t>
      </w:r>
    </w:p>
    <w:p>
      <w:pPr>
        <w:pStyle w:val="16"/>
        <w:snapToGrid w:val="0"/>
        <w:spacing w:line="360" w:lineRule="auto"/>
        <w:ind w:left="2" w:firstLine="360"/>
        <w:rPr>
          <w:bCs/>
          <w:color w:val="auto"/>
          <w:szCs w:val="21"/>
          <w:highlight w:val="none"/>
        </w:rPr>
      </w:pPr>
      <w:r>
        <w:rPr>
          <w:rFonts w:hint="eastAsia"/>
          <w:bCs/>
          <w:color w:val="auto"/>
          <w:szCs w:val="21"/>
          <w:highlight w:val="none"/>
        </w:rPr>
        <w:t>4.5  质疑供应商提起质疑应当符合下列条件：</w:t>
      </w:r>
    </w:p>
    <w:p>
      <w:pPr>
        <w:snapToGrid w:val="0"/>
        <w:spacing w:line="360" w:lineRule="auto"/>
        <w:ind w:firstLine="720"/>
        <w:rPr>
          <w:rFonts w:ascii="宋体" w:hAnsi="宋体"/>
          <w:color w:val="auto"/>
          <w:szCs w:val="21"/>
          <w:highlight w:val="none"/>
        </w:rPr>
      </w:pPr>
      <w:r>
        <w:rPr>
          <w:rFonts w:hint="eastAsia" w:ascii="宋体" w:hAnsi="宋体"/>
          <w:color w:val="auto"/>
          <w:szCs w:val="21"/>
          <w:highlight w:val="none"/>
        </w:rPr>
        <w:t>（1）质疑供应商是参与所质疑政府采购活动的供应商；</w:t>
      </w:r>
    </w:p>
    <w:p>
      <w:pPr>
        <w:snapToGrid w:val="0"/>
        <w:spacing w:line="360" w:lineRule="auto"/>
        <w:ind w:firstLine="720"/>
        <w:rPr>
          <w:rFonts w:ascii="宋体" w:hAnsi="宋体"/>
          <w:color w:val="auto"/>
          <w:szCs w:val="21"/>
          <w:highlight w:val="none"/>
        </w:rPr>
      </w:pPr>
      <w:r>
        <w:rPr>
          <w:rFonts w:hint="eastAsia" w:ascii="宋体" w:hAnsi="宋体"/>
          <w:color w:val="auto"/>
          <w:szCs w:val="21"/>
          <w:highlight w:val="none"/>
        </w:rPr>
        <w:t>（2）质疑书内容符合本章第4.3项的规定；</w:t>
      </w:r>
    </w:p>
    <w:p>
      <w:pPr>
        <w:snapToGrid w:val="0"/>
        <w:spacing w:line="360" w:lineRule="auto"/>
        <w:ind w:firstLine="720"/>
        <w:rPr>
          <w:rFonts w:ascii="宋体" w:hAnsi="宋体"/>
          <w:color w:val="auto"/>
          <w:szCs w:val="21"/>
          <w:highlight w:val="none"/>
        </w:rPr>
      </w:pPr>
      <w:r>
        <w:rPr>
          <w:rFonts w:hint="eastAsia" w:ascii="宋体" w:hAnsi="宋体"/>
          <w:color w:val="auto"/>
          <w:szCs w:val="21"/>
          <w:highlight w:val="none"/>
        </w:rPr>
        <w:t>（3）在质疑有效期限内提起质疑；</w:t>
      </w:r>
    </w:p>
    <w:p>
      <w:pPr>
        <w:snapToGrid w:val="0"/>
        <w:spacing w:line="360" w:lineRule="auto"/>
        <w:ind w:firstLine="720"/>
        <w:rPr>
          <w:rFonts w:ascii="宋体" w:hAnsi="宋体"/>
          <w:color w:val="auto"/>
          <w:szCs w:val="21"/>
          <w:highlight w:val="none"/>
        </w:rPr>
      </w:pPr>
      <w:r>
        <w:rPr>
          <w:rFonts w:hint="eastAsia" w:ascii="宋体" w:hAnsi="宋体"/>
          <w:color w:val="auto"/>
          <w:szCs w:val="21"/>
          <w:highlight w:val="none"/>
        </w:rPr>
        <w:t>（4）属于所质疑的采购人或采购人委托的采购代理机构组织的采购活动；</w:t>
      </w:r>
    </w:p>
    <w:p>
      <w:pPr>
        <w:snapToGrid w:val="0"/>
        <w:spacing w:line="360" w:lineRule="auto"/>
        <w:ind w:firstLine="720"/>
        <w:rPr>
          <w:rFonts w:ascii="宋体" w:hAnsi="宋体"/>
          <w:color w:val="auto"/>
          <w:szCs w:val="21"/>
          <w:highlight w:val="none"/>
        </w:rPr>
      </w:pPr>
      <w:r>
        <w:rPr>
          <w:rFonts w:hint="eastAsia" w:ascii="宋体" w:hAnsi="宋体"/>
          <w:color w:val="auto"/>
          <w:szCs w:val="21"/>
          <w:highlight w:val="none"/>
        </w:rPr>
        <w:t>（5）同一质疑事项未经采购人或采购人委托的采购代理机构质疑处理；</w:t>
      </w:r>
    </w:p>
    <w:p>
      <w:pPr>
        <w:snapToGrid w:val="0"/>
        <w:spacing w:line="360" w:lineRule="auto"/>
        <w:ind w:firstLine="720"/>
        <w:rPr>
          <w:rFonts w:ascii="宋体" w:hAnsi="宋体"/>
          <w:color w:val="auto"/>
          <w:szCs w:val="21"/>
          <w:highlight w:val="none"/>
        </w:rPr>
      </w:pPr>
      <w:r>
        <w:rPr>
          <w:rFonts w:hint="eastAsia" w:ascii="宋体" w:hAnsi="宋体"/>
          <w:color w:val="auto"/>
          <w:szCs w:val="21"/>
          <w:highlight w:val="none"/>
        </w:rPr>
        <w:t>（6）财政部门规定的其他条件。</w:t>
      </w:r>
    </w:p>
    <w:p>
      <w:pPr>
        <w:snapToGrid w:val="0"/>
        <w:spacing w:line="360" w:lineRule="auto"/>
        <w:ind w:firstLine="360"/>
        <w:rPr>
          <w:rFonts w:ascii="宋体" w:hAnsi="宋体"/>
          <w:color w:val="auto"/>
          <w:szCs w:val="21"/>
          <w:highlight w:val="none"/>
        </w:rPr>
      </w:pPr>
      <w:r>
        <w:rPr>
          <w:rFonts w:hint="eastAsia" w:ascii="宋体" w:hAnsi="宋体"/>
          <w:color w:val="auto"/>
          <w:szCs w:val="21"/>
          <w:highlight w:val="none"/>
        </w:rPr>
        <w:t>4.6  采购</w:t>
      </w:r>
      <w:r>
        <w:rPr>
          <w:rFonts w:hint="eastAsia" w:hAnsi="宋体"/>
          <w:color w:val="auto"/>
          <w:szCs w:val="21"/>
          <w:highlight w:val="none"/>
        </w:rPr>
        <w:t>人或采购人委托的</w:t>
      </w:r>
      <w:r>
        <w:rPr>
          <w:rFonts w:hint="eastAsia" w:ascii="宋体" w:hAnsi="宋体"/>
          <w:color w:val="auto"/>
          <w:szCs w:val="21"/>
          <w:highlight w:val="none"/>
        </w:rPr>
        <w:t>采购代理机构</w:t>
      </w:r>
      <w:r>
        <w:rPr>
          <w:rFonts w:hint="eastAsia" w:hAnsi="宋体"/>
          <w:color w:val="auto"/>
          <w:szCs w:val="21"/>
          <w:highlight w:val="none"/>
        </w:rPr>
        <w:t>自受理质疑之日起七个工作日内，对质疑事项作出答复，并以书面形式通知质疑供应商及其他有关供应商。</w:t>
      </w:r>
    </w:p>
    <w:p>
      <w:pPr>
        <w:pStyle w:val="16"/>
        <w:snapToGrid w:val="0"/>
        <w:spacing w:line="360" w:lineRule="auto"/>
        <w:ind w:left="212" w:hanging="212" w:hangingChars="101"/>
        <w:jc w:val="left"/>
        <w:rPr>
          <w:bCs/>
          <w:color w:val="auto"/>
          <w:szCs w:val="21"/>
          <w:highlight w:val="none"/>
        </w:rPr>
      </w:pPr>
      <w:r>
        <w:rPr>
          <w:rFonts w:hint="eastAsia"/>
          <w:bCs/>
          <w:color w:val="auto"/>
          <w:szCs w:val="21"/>
          <w:highlight w:val="none"/>
        </w:rPr>
        <w:t>5.  投诉</w:t>
      </w:r>
    </w:p>
    <w:p>
      <w:pPr>
        <w:pStyle w:val="16"/>
        <w:snapToGrid w:val="0"/>
        <w:spacing w:line="360" w:lineRule="auto"/>
        <w:ind w:left="2" w:firstLine="357" w:firstLineChars="170"/>
        <w:jc w:val="left"/>
        <w:rPr>
          <w:bCs/>
          <w:color w:val="auto"/>
          <w:szCs w:val="21"/>
          <w:highlight w:val="none"/>
        </w:rPr>
      </w:pPr>
      <w:r>
        <w:rPr>
          <w:rFonts w:hint="eastAsia"/>
          <w:bCs/>
          <w:color w:val="auto"/>
          <w:szCs w:val="21"/>
          <w:highlight w:val="none"/>
        </w:rPr>
        <w:t>5.1  供应商认为招标文件、采购过程、中标和成交结果使自己的合法权益受到损害的，应当首先依法向采购人或采购人委托的</w:t>
      </w:r>
      <w:r>
        <w:rPr>
          <w:rFonts w:hint="eastAsia"/>
          <w:color w:val="auto"/>
          <w:szCs w:val="21"/>
          <w:highlight w:val="none"/>
        </w:rPr>
        <w:t>采购代理机构</w:t>
      </w:r>
      <w:r>
        <w:rPr>
          <w:rFonts w:hint="eastAsia"/>
          <w:bCs/>
          <w:color w:val="auto"/>
          <w:szCs w:val="21"/>
          <w:highlight w:val="none"/>
        </w:rPr>
        <w:t>提出质疑。对采购人、</w:t>
      </w:r>
      <w:r>
        <w:rPr>
          <w:rFonts w:hint="eastAsia"/>
          <w:color w:val="auto"/>
          <w:szCs w:val="21"/>
          <w:highlight w:val="none"/>
        </w:rPr>
        <w:t>采购代理机构</w:t>
      </w:r>
      <w:r>
        <w:rPr>
          <w:rFonts w:hint="eastAsia"/>
          <w:bCs/>
          <w:color w:val="auto"/>
          <w:szCs w:val="21"/>
          <w:highlight w:val="none"/>
        </w:rPr>
        <w:t>的答复不满意，或者采购人、</w:t>
      </w:r>
      <w:r>
        <w:rPr>
          <w:rFonts w:hint="eastAsia"/>
          <w:color w:val="auto"/>
          <w:szCs w:val="21"/>
          <w:highlight w:val="none"/>
        </w:rPr>
        <w:t>采购代理机构</w:t>
      </w:r>
      <w:r>
        <w:rPr>
          <w:rFonts w:hint="eastAsia"/>
          <w:bCs/>
          <w:color w:val="auto"/>
          <w:szCs w:val="21"/>
          <w:highlight w:val="none"/>
        </w:rPr>
        <w:t>未在规定期限内做出答复的，供应商可以在答复期满后十五个工作日内向梧州市政府采购监督管理部门提起投诉。</w:t>
      </w:r>
    </w:p>
    <w:p>
      <w:pPr>
        <w:pStyle w:val="16"/>
        <w:snapToGrid w:val="0"/>
        <w:spacing w:line="360" w:lineRule="auto"/>
        <w:ind w:left="2" w:firstLine="357" w:firstLineChars="170"/>
        <w:jc w:val="left"/>
        <w:rPr>
          <w:color w:val="auto"/>
          <w:szCs w:val="21"/>
          <w:highlight w:val="none"/>
        </w:rPr>
      </w:pPr>
      <w:r>
        <w:rPr>
          <w:rFonts w:hint="eastAsia"/>
          <w:color w:val="auto"/>
          <w:szCs w:val="21"/>
          <w:highlight w:val="none"/>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6"/>
        <w:snapToGrid w:val="0"/>
        <w:spacing w:line="360" w:lineRule="auto"/>
        <w:ind w:left="2" w:firstLine="716" w:firstLineChars="341"/>
        <w:jc w:val="left"/>
        <w:rPr>
          <w:color w:val="auto"/>
          <w:szCs w:val="21"/>
          <w:highlight w:val="none"/>
        </w:rPr>
      </w:pPr>
      <w:r>
        <w:rPr>
          <w:rFonts w:hint="eastAsia"/>
          <w:color w:val="auto"/>
          <w:szCs w:val="21"/>
          <w:highlight w:val="none"/>
        </w:rPr>
        <w:t xml:space="preserve">（1）投诉人和被投诉人的名称、地址、电话等； </w:t>
      </w:r>
    </w:p>
    <w:p>
      <w:pPr>
        <w:pStyle w:val="16"/>
        <w:snapToGrid w:val="0"/>
        <w:spacing w:line="360" w:lineRule="auto"/>
        <w:ind w:left="2" w:firstLine="716" w:firstLineChars="341"/>
        <w:jc w:val="left"/>
        <w:rPr>
          <w:color w:val="auto"/>
          <w:szCs w:val="21"/>
          <w:highlight w:val="none"/>
        </w:rPr>
      </w:pPr>
      <w:r>
        <w:rPr>
          <w:rFonts w:hint="eastAsia"/>
          <w:color w:val="auto"/>
          <w:szCs w:val="21"/>
          <w:highlight w:val="none"/>
        </w:rPr>
        <w:t>（2）具体的投诉事项及事实依据；</w:t>
      </w:r>
    </w:p>
    <w:p>
      <w:pPr>
        <w:pStyle w:val="16"/>
        <w:snapToGrid w:val="0"/>
        <w:spacing w:line="360" w:lineRule="auto"/>
        <w:ind w:left="2" w:firstLine="716" w:firstLineChars="341"/>
        <w:jc w:val="left"/>
        <w:rPr>
          <w:color w:val="auto"/>
          <w:szCs w:val="21"/>
          <w:highlight w:val="none"/>
        </w:rPr>
      </w:pPr>
      <w:r>
        <w:rPr>
          <w:rFonts w:hint="eastAsia"/>
          <w:color w:val="auto"/>
          <w:szCs w:val="21"/>
          <w:highlight w:val="none"/>
        </w:rPr>
        <w:t xml:space="preserve">（3）质疑和质疑答复情况及相关证明材料； </w:t>
      </w:r>
    </w:p>
    <w:p>
      <w:pPr>
        <w:pStyle w:val="16"/>
        <w:snapToGrid w:val="0"/>
        <w:spacing w:line="360" w:lineRule="auto"/>
        <w:ind w:left="2" w:firstLine="716" w:firstLineChars="341"/>
        <w:jc w:val="left"/>
        <w:rPr>
          <w:color w:val="auto"/>
          <w:szCs w:val="21"/>
          <w:highlight w:val="none"/>
        </w:rPr>
      </w:pPr>
      <w:r>
        <w:rPr>
          <w:rFonts w:hint="eastAsia"/>
          <w:color w:val="auto"/>
          <w:szCs w:val="21"/>
          <w:highlight w:val="none"/>
        </w:rPr>
        <w:t>（4）提起投诉的日期。</w:t>
      </w:r>
    </w:p>
    <w:p>
      <w:pPr>
        <w:pStyle w:val="16"/>
        <w:snapToGrid w:val="0"/>
        <w:spacing w:line="360" w:lineRule="auto"/>
        <w:rPr>
          <w:color w:val="auto"/>
          <w:szCs w:val="21"/>
          <w:highlight w:val="none"/>
        </w:rPr>
      </w:pPr>
      <w:r>
        <w:rPr>
          <w:rFonts w:hint="eastAsia"/>
          <w:color w:val="auto"/>
          <w:szCs w:val="21"/>
          <w:highlight w:val="none"/>
        </w:rPr>
        <w:t xml:space="preserve">    投诉书应当署名。投诉人为自然人的，应当由本人签字；投诉人为法人或者其他组织的，应当由法定代表人或者主要负责人签字盖章并加盖公章。</w:t>
      </w:r>
    </w:p>
    <w:p>
      <w:pPr>
        <w:pStyle w:val="16"/>
        <w:snapToGrid w:val="0"/>
        <w:spacing w:line="360" w:lineRule="auto"/>
        <w:ind w:firstLine="359" w:firstLineChars="171"/>
        <w:rPr>
          <w:color w:val="auto"/>
          <w:szCs w:val="21"/>
          <w:highlight w:val="none"/>
        </w:rPr>
      </w:pPr>
      <w:r>
        <w:rPr>
          <w:rFonts w:hint="eastAsia"/>
          <w:color w:val="auto"/>
          <w:szCs w:val="21"/>
          <w:highlight w:val="none"/>
        </w:rPr>
        <w:t>5.3  投诉人可以委托代理人办理投诉事务。代理人办理投诉事务时，除提交投诉书外，还应当提交投诉人的授权委托书，授权委托书应当载明委托代理的具体权限和事项。</w:t>
      </w:r>
    </w:p>
    <w:p>
      <w:pPr>
        <w:pStyle w:val="16"/>
        <w:snapToGrid w:val="0"/>
        <w:spacing w:line="360" w:lineRule="auto"/>
        <w:ind w:firstLine="359" w:firstLineChars="171"/>
        <w:rPr>
          <w:color w:val="auto"/>
          <w:szCs w:val="21"/>
          <w:highlight w:val="none"/>
        </w:rPr>
      </w:pPr>
      <w:r>
        <w:rPr>
          <w:rFonts w:hint="eastAsia"/>
          <w:color w:val="auto"/>
          <w:szCs w:val="21"/>
          <w:highlight w:val="none"/>
        </w:rPr>
        <w:t>5.4  投诉人提起投诉应当符合下列条件：</w:t>
      </w:r>
    </w:p>
    <w:p>
      <w:pPr>
        <w:snapToGrid w:val="0"/>
        <w:spacing w:line="360" w:lineRule="auto"/>
        <w:ind w:firstLine="720"/>
        <w:rPr>
          <w:rFonts w:ascii="宋体" w:hAnsi="宋体"/>
          <w:color w:val="auto"/>
          <w:szCs w:val="21"/>
          <w:highlight w:val="none"/>
        </w:rPr>
      </w:pPr>
      <w:r>
        <w:rPr>
          <w:rFonts w:hint="eastAsia" w:ascii="宋体" w:hAnsi="宋体"/>
          <w:color w:val="auto"/>
          <w:szCs w:val="21"/>
          <w:highlight w:val="none"/>
        </w:rPr>
        <w:t>（1）投诉人是参与所投诉政府采购活动的供应商；</w:t>
      </w:r>
    </w:p>
    <w:p>
      <w:pPr>
        <w:snapToGrid w:val="0"/>
        <w:spacing w:line="360" w:lineRule="auto"/>
        <w:ind w:firstLine="720"/>
        <w:rPr>
          <w:rFonts w:ascii="宋体" w:hAnsi="宋体"/>
          <w:color w:val="auto"/>
          <w:szCs w:val="21"/>
          <w:highlight w:val="none"/>
        </w:rPr>
      </w:pPr>
      <w:r>
        <w:rPr>
          <w:rFonts w:hint="eastAsia" w:ascii="宋体" w:hAnsi="宋体"/>
          <w:color w:val="auto"/>
          <w:szCs w:val="21"/>
          <w:highlight w:val="none"/>
        </w:rPr>
        <w:t>（2）提起投诉前已依法进行质疑；</w:t>
      </w:r>
    </w:p>
    <w:p>
      <w:pPr>
        <w:snapToGrid w:val="0"/>
        <w:spacing w:line="360" w:lineRule="auto"/>
        <w:ind w:firstLine="720"/>
        <w:rPr>
          <w:rFonts w:ascii="宋体" w:hAnsi="宋体"/>
          <w:color w:val="auto"/>
          <w:szCs w:val="21"/>
          <w:highlight w:val="none"/>
        </w:rPr>
      </w:pPr>
      <w:r>
        <w:rPr>
          <w:rFonts w:hint="eastAsia" w:ascii="宋体" w:hAnsi="宋体"/>
          <w:color w:val="auto"/>
          <w:szCs w:val="21"/>
          <w:highlight w:val="none"/>
        </w:rPr>
        <w:t>（3）投诉书内容符合本章第5.2项的规定；</w:t>
      </w:r>
    </w:p>
    <w:p>
      <w:pPr>
        <w:snapToGrid w:val="0"/>
        <w:spacing w:line="360" w:lineRule="auto"/>
        <w:ind w:firstLine="720"/>
        <w:rPr>
          <w:rFonts w:ascii="宋体" w:hAnsi="宋体"/>
          <w:color w:val="auto"/>
          <w:szCs w:val="21"/>
          <w:highlight w:val="none"/>
        </w:rPr>
      </w:pPr>
      <w:r>
        <w:rPr>
          <w:rFonts w:hint="eastAsia" w:ascii="宋体" w:hAnsi="宋体"/>
          <w:color w:val="auto"/>
          <w:szCs w:val="21"/>
          <w:highlight w:val="none"/>
        </w:rPr>
        <w:t>（4）在投诉有效期限内提起投诉；</w:t>
      </w:r>
    </w:p>
    <w:p>
      <w:pPr>
        <w:snapToGrid w:val="0"/>
        <w:spacing w:line="360" w:lineRule="auto"/>
        <w:ind w:firstLine="720"/>
        <w:rPr>
          <w:rFonts w:ascii="宋体" w:hAnsi="宋体"/>
          <w:color w:val="auto"/>
          <w:szCs w:val="21"/>
          <w:highlight w:val="none"/>
        </w:rPr>
      </w:pPr>
      <w:r>
        <w:rPr>
          <w:rFonts w:hint="eastAsia" w:ascii="宋体" w:hAnsi="宋体"/>
          <w:color w:val="auto"/>
          <w:szCs w:val="21"/>
          <w:highlight w:val="none"/>
        </w:rPr>
        <w:t>（5）属于梧州市政府采购监督管理部门管辖；</w:t>
      </w:r>
    </w:p>
    <w:p>
      <w:pPr>
        <w:snapToGrid w:val="0"/>
        <w:spacing w:line="360" w:lineRule="auto"/>
        <w:ind w:firstLine="720"/>
        <w:rPr>
          <w:rFonts w:ascii="宋体" w:hAnsi="宋体"/>
          <w:color w:val="auto"/>
          <w:szCs w:val="21"/>
          <w:highlight w:val="none"/>
        </w:rPr>
      </w:pPr>
      <w:r>
        <w:rPr>
          <w:rFonts w:hint="eastAsia" w:ascii="宋体" w:hAnsi="宋体"/>
          <w:color w:val="auto"/>
          <w:szCs w:val="21"/>
          <w:highlight w:val="none"/>
        </w:rPr>
        <w:t>（6）同一投诉事项未经</w:t>
      </w:r>
      <w:r>
        <w:rPr>
          <w:rFonts w:hint="eastAsia" w:ascii="宋体" w:hAnsi="宋体"/>
          <w:bCs/>
          <w:color w:val="auto"/>
          <w:szCs w:val="21"/>
          <w:highlight w:val="none"/>
        </w:rPr>
        <w:t>梧州市政府采购监督管理部门</w:t>
      </w:r>
      <w:r>
        <w:rPr>
          <w:rFonts w:hint="eastAsia" w:ascii="宋体" w:hAnsi="宋体"/>
          <w:color w:val="auto"/>
          <w:szCs w:val="21"/>
          <w:highlight w:val="none"/>
        </w:rPr>
        <w:t>投诉处理；</w:t>
      </w:r>
    </w:p>
    <w:p>
      <w:pPr>
        <w:snapToGrid w:val="0"/>
        <w:spacing w:line="360" w:lineRule="auto"/>
        <w:ind w:firstLine="720"/>
        <w:rPr>
          <w:rFonts w:ascii="宋体" w:hAnsi="宋体"/>
          <w:color w:val="auto"/>
          <w:szCs w:val="21"/>
          <w:highlight w:val="none"/>
        </w:rPr>
      </w:pPr>
      <w:r>
        <w:rPr>
          <w:rFonts w:hint="eastAsia" w:ascii="宋体" w:hAnsi="宋体"/>
          <w:color w:val="auto"/>
          <w:szCs w:val="21"/>
          <w:highlight w:val="none"/>
        </w:rPr>
        <w:t>（7）国务院财政部门规定的其他条件。</w:t>
      </w:r>
    </w:p>
    <w:p>
      <w:pPr>
        <w:snapToGrid w:val="0"/>
        <w:spacing w:line="360" w:lineRule="auto"/>
        <w:ind w:firstLine="360"/>
        <w:rPr>
          <w:rFonts w:ascii="宋体" w:hAnsi="宋体"/>
          <w:color w:val="auto"/>
          <w:szCs w:val="21"/>
          <w:highlight w:val="none"/>
        </w:rPr>
      </w:pPr>
      <w:r>
        <w:rPr>
          <w:rFonts w:hint="eastAsia" w:ascii="宋体" w:hAnsi="宋体"/>
          <w:color w:val="auto"/>
          <w:szCs w:val="21"/>
          <w:highlight w:val="none"/>
        </w:rPr>
        <w:t>5.5  梧州市政府采购监督管理部门</w:t>
      </w:r>
      <w:r>
        <w:rPr>
          <w:rFonts w:hint="eastAsia" w:hAnsi="宋体"/>
          <w:color w:val="auto"/>
          <w:szCs w:val="21"/>
          <w:highlight w:val="none"/>
        </w:rPr>
        <w:t>自受理投诉之日起三十个工作日内，对投诉事项作出处理决定，并以书面形式通知投诉人、被投诉人及其他与投诉处理结果有利害关系的政府采购当</w:t>
      </w:r>
      <w:r>
        <w:rPr>
          <w:rFonts w:hint="eastAsia" w:ascii="宋体" w:hAnsi="宋体"/>
          <w:color w:val="auto"/>
          <w:szCs w:val="21"/>
          <w:highlight w:val="none"/>
        </w:rPr>
        <w:t>事人。</w:t>
      </w:r>
    </w:p>
    <w:p>
      <w:pPr>
        <w:snapToGrid w:val="0"/>
        <w:spacing w:line="360" w:lineRule="auto"/>
        <w:ind w:firstLine="360"/>
        <w:rPr>
          <w:rFonts w:ascii="宋体" w:hAnsi="宋体"/>
          <w:color w:val="auto"/>
          <w:szCs w:val="21"/>
          <w:highlight w:val="none"/>
        </w:rPr>
      </w:pPr>
      <w:r>
        <w:rPr>
          <w:rFonts w:hint="eastAsia" w:ascii="宋体" w:hAnsi="宋体"/>
          <w:color w:val="auto"/>
          <w:szCs w:val="21"/>
          <w:highlight w:val="none"/>
        </w:rPr>
        <w:t>5.6  梧州市政府采购监督管理部门在处理投诉事项期间，可以视具体情况暂停采购活动。</w:t>
      </w:r>
    </w:p>
    <w:p>
      <w:pPr>
        <w:widowControl/>
        <w:spacing w:line="360" w:lineRule="auto"/>
        <w:jc w:val="left"/>
        <w:rPr>
          <w:rFonts w:hAnsi="宋体" w:cs="宋体"/>
          <w:bCs/>
          <w:color w:val="auto"/>
          <w:sz w:val="32"/>
          <w:szCs w:val="32"/>
          <w:highlight w:val="none"/>
        </w:rPr>
        <w:sectPr>
          <w:pgSz w:w="11906" w:h="16838"/>
          <w:pgMar w:top="1134" w:right="964" w:bottom="1134" w:left="1134" w:header="851" w:footer="992" w:gutter="0"/>
          <w:cols w:space="720" w:num="1"/>
          <w:docGrid w:linePitch="312" w:charSpace="0"/>
        </w:sectPr>
      </w:pPr>
    </w:p>
    <w:p>
      <w:pPr>
        <w:jc w:val="center"/>
        <w:rPr>
          <w:color w:val="auto"/>
          <w:sz w:val="32"/>
          <w:szCs w:val="32"/>
          <w:highlight w:val="none"/>
        </w:rPr>
      </w:pPr>
      <w:bookmarkStart w:id="39" w:name="_Toc271529384"/>
      <w:r>
        <w:rPr>
          <w:rFonts w:hint="eastAsia"/>
          <w:color w:val="auto"/>
          <w:sz w:val="32"/>
          <w:szCs w:val="32"/>
          <w:highlight w:val="none"/>
        </w:rPr>
        <w:t>二招标文件</w:t>
      </w:r>
      <w:bookmarkEnd w:id="39"/>
    </w:p>
    <w:p>
      <w:pPr>
        <w:pStyle w:val="16"/>
        <w:snapToGrid w:val="0"/>
        <w:spacing w:line="360" w:lineRule="auto"/>
        <w:rPr>
          <w:bCs/>
          <w:color w:val="auto"/>
          <w:szCs w:val="21"/>
          <w:highlight w:val="none"/>
        </w:rPr>
      </w:pPr>
      <w:r>
        <w:rPr>
          <w:rFonts w:hint="eastAsia"/>
          <w:bCs/>
          <w:color w:val="auto"/>
          <w:szCs w:val="21"/>
          <w:highlight w:val="none"/>
        </w:rPr>
        <w:t>6.  招标文件的组成</w:t>
      </w:r>
    </w:p>
    <w:p>
      <w:pPr>
        <w:pStyle w:val="16"/>
        <w:snapToGrid w:val="0"/>
        <w:spacing w:line="360" w:lineRule="auto"/>
        <w:ind w:firstLine="359" w:firstLineChars="171"/>
        <w:rPr>
          <w:color w:val="auto"/>
          <w:szCs w:val="21"/>
          <w:highlight w:val="none"/>
        </w:rPr>
      </w:pPr>
      <w:r>
        <w:rPr>
          <w:rFonts w:hint="eastAsia"/>
          <w:color w:val="auto"/>
          <w:szCs w:val="21"/>
          <w:highlight w:val="none"/>
        </w:rPr>
        <w:t>6.1  本</w:t>
      </w:r>
      <w:r>
        <w:rPr>
          <w:rFonts w:hint="eastAsia"/>
          <w:bCs/>
          <w:color w:val="auto"/>
          <w:szCs w:val="21"/>
          <w:highlight w:val="none"/>
        </w:rPr>
        <w:t>招标文件</w:t>
      </w:r>
      <w:r>
        <w:rPr>
          <w:rFonts w:hint="eastAsia"/>
          <w:color w:val="auto"/>
          <w:szCs w:val="21"/>
          <w:highlight w:val="none"/>
        </w:rPr>
        <w:t>包括六个章节，各章的内容如下：</w:t>
      </w:r>
    </w:p>
    <w:p>
      <w:pPr>
        <w:pStyle w:val="16"/>
        <w:snapToGrid w:val="0"/>
        <w:spacing w:line="360" w:lineRule="auto"/>
        <w:ind w:firstLine="718" w:firstLineChars="342"/>
        <w:rPr>
          <w:color w:val="auto"/>
          <w:szCs w:val="21"/>
          <w:highlight w:val="none"/>
        </w:rPr>
      </w:pPr>
      <w:r>
        <w:rPr>
          <w:rFonts w:hint="eastAsia"/>
          <w:color w:val="auto"/>
          <w:szCs w:val="21"/>
          <w:highlight w:val="none"/>
        </w:rPr>
        <w:t>第一章  招标公告</w:t>
      </w:r>
    </w:p>
    <w:p>
      <w:pPr>
        <w:pStyle w:val="16"/>
        <w:snapToGrid w:val="0"/>
        <w:spacing w:line="360" w:lineRule="auto"/>
        <w:ind w:firstLine="718" w:firstLineChars="342"/>
        <w:rPr>
          <w:color w:val="auto"/>
          <w:szCs w:val="21"/>
          <w:highlight w:val="none"/>
        </w:rPr>
      </w:pPr>
      <w:r>
        <w:rPr>
          <w:rFonts w:hint="eastAsia"/>
          <w:color w:val="auto"/>
          <w:szCs w:val="21"/>
          <w:highlight w:val="none"/>
        </w:rPr>
        <w:t>第二章  投标人须知</w:t>
      </w:r>
    </w:p>
    <w:p>
      <w:pPr>
        <w:pStyle w:val="16"/>
        <w:snapToGrid w:val="0"/>
        <w:spacing w:line="360" w:lineRule="auto"/>
        <w:ind w:firstLine="718" w:firstLineChars="342"/>
        <w:rPr>
          <w:color w:val="auto"/>
          <w:szCs w:val="21"/>
          <w:highlight w:val="none"/>
        </w:rPr>
      </w:pPr>
      <w:r>
        <w:rPr>
          <w:rFonts w:hint="eastAsia"/>
          <w:color w:val="auto"/>
          <w:szCs w:val="21"/>
          <w:highlight w:val="none"/>
        </w:rPr>
        <w:t>第三章  评标方法</w:t>
      </w:r>
    </w:p>
    <w:p>
      <w:pPr>
        <w:pStyle w:val="16"/>
        <w:snapToGrid w:val="0"/>
        <w:spacing w:line="360" w:lineRule="auto"/>
        <w:ind w:firstLine="718" w:firstLineChars="342"/>
        <w:rPr>
          <w:color w:val="auto"/>
          <w:szCs w:val="21"/>
          <w:highlight w:val="none"/>
        </w:rPr>
      </w:pPr>
      <w:r>
        <w:rPr>
          <w:rFonts w:hint="eastAsia"/>
          <w:color w:val="auto"/>
          <w:szCs w:val="21"/>
          <w:highlight w:val="none"/>
        </w:rPr>
        <w:t>第四章  货物需求一览表</w:t>
      </w:r>
    </w:p>
    <w:p>
      <w:pPr>
        <w:pStyle w:val="16"/>
        <w:snapToGrid w:val="0"/>
        <w:spacing w:line="360" w:lineRule="auto"/>
        <w:ind w:firstLine="718" w:firstLineChars="342"/>
        <w:rPr>
          <w:color w:val="auto"/>
          <w:szCs w:val="21"/>
          <w:highlight w:val="none"/>
        </w:rPr>
      </w:pPr>
      <w:r>
        <w:rPr>
          <w:rFonts w:hint="eastAsia"/>
          <w:color w:val="auto"/>
          <w:szCs w:val="21"/>
          <w:highlight w:val="none"/>
        </w:rPr>
        <w:t>第五章  投标文件格式</w:t>
      </w:r>
    </w:p>
    <w:p>
      <w:pPr>
        <w:pStyle w:val="16"/>
        <w:snapToGrid w:val="0"/>
        <w:spacing w:line="360" w:lineRule="auto"/>
        <w:ind w:firstLine="718" w:firstLineChars="342"/>
        <w:rPr>
          <w:color w:val="auto"/>
          <w:szCs w:val="21"/>
          <w:highlight w:val="none"/>
        </w:rPr>
      </w:pPr>
      <w:r>
        <w:rPr>
          <w:rFonts w:hint="eastAsia"/>
          <w:color w:val="auto"/>
          <w:szCs w:val="21"/>
          <w:highlight w:val="none"/>
        </w:rPr>
        <w:t>第六章  合同条款及格式</w:t>
      </w:r>
    </w:p>
    <w:p>
      <w:pPr>
        <w:pStyle w:val="16"/>
        <w:snapToGrid w:val="0"/>
        <w:spacing w:line="360" w:lineRule="auto"/>
        <w:ind w:firstLine="359" w:firstLineChars="171"/>
        <w:rPr>
          <w:color w:val="auto"/>
          <w:szCs w:val="21"/>
          <w:highlight w:val="none"/>
        </w:rPr>
      </w:pPr>
      <w:r>
        <w:rPr>
          <w:rFonts w:hint="eastAsia"/>
          <w:color w:val="auto"/>
          <w:szCs w:val="21"/>
          <w:highlight w:val="none"/>
        </w:rPr>
        <w:t>6.2  根据本章第7.2项、第7.3项的规定对招标文件所做的澄清、修改，构成招标文件的组成部分。当招标文件与招标文件的澄清和修改就同一内容的表述不一致时，以最后发出的书面文件为准。</w:t>
      </w:r>
    </w:p>
    <w:p>
      <w:pPr>
        <w:pStyle w:val="16"/>
        <w:snapToGrid w:val="0"/>
        <w:spacing w:line="360" w:lineRule="auto"/>
        <w:rPr>
          <w:bCs/>
          <w:color w:val="auto"/>
          <w:szCs w:val="21"/>
          <w:highlight w:val="none"/>
        </w:rPr>
      </w:pPr>
      <w:r>
        <w:rPr>
          <w:rFonts w:hint="eastAsia"/>
          <w:bCs/>
          <w:color w:val="auto"/>
          <w:szCs w:val="21"/>
          <w:highlight w:val="none"/>
        </w:rPr>
        <w:t>7.  招标文件的澄清和修改</w:t>
      </w:r>
    </w:p>
    <w:p>
      <w:pPr>
        <w:pStyle w:val="16"/>
        <w:snapToGrid w:val="0"/>
        <w:spacing w:line="360" w:lineRule="auto"/>
        <w:ind w:left="2" w:firstLine="360"/>
        <w:rPr>
          <w:color w:val="auto"/>
          <w:szCs w:val="21"/>
          <w:highlight w:val="none"/>
        </w:rPr>
      </w:pPr>
      <w:r>
        <w:rPr>
          <w:rFonts w:hint="eastAsia"/>
          <w:color w:val="auto"/>
          <w:szCs w:val="21"/>
          <w:highlight w:val="none"/>
        </w:rPr>
        <w:t>7.1  投标人应认真审阅本招标文件，如有疑问，或发现其中有误或有要求不合理的，应在投标人须知前附表规定的</w:t>
      </w:r>
      <w:r>
        <w:rPr>
          <w:rFonts w:hint="eastAsia"/>
          <w:color w:val="auto"/>
          <w:kern w:val="0"/>
          <w:szCs w:val="21"/>
          <w:highlight w:val="none"/>
        </w:rPr>
        <w:t>时间内</w:t>
      </w:r>
      <w:r>
        <w:rPr>
          <w:rFonts w:hint="eastAsia"/>
          <w:color w:val="auto"/>
          <w:szCs w:val="21"/>
          <w:highlight w:val="none"/>
        </w:rPr>
        <w:t>以书面形式要求采购人或采购代理机构对招标文件予以澄清；否则，由此产生的后果由投标人自行负责。</w:t>
      </w:r>
    </w:p>
    <w:p>
      <w:pPr>
        <w:pStyle w:val="16"/>
        <w:snapToGrid w:val="0"/>
        <w:spacing w:line="360" w:lineRule="auto"/>
        <w:ind w:left="2" w:firstLine="360"/>
        <w:jc w:val="left"/>
        <w:rPr>
          <w:color w:val="auto"/>
          <w:szCs w:val="21"/>
          <w:highlight w:val="none"/>
        </w:rPr>
      </w:pPr>
      <w:r>
        <w:rPr>
          <w:rFonts w:hint="eastAsia"/>
          <w:color w:val="auto"/>
          <w:szCs w:val="21"/>
          <w:highlight w:val="none"/>
        </w:rPr>
        <w:t>7.2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16"/>
        <w:snapToGrid w:val="0"/>
        <w:spacing w:line="360" w:lineRule="auto"/>
        <w:ind w:left="2" w:firstLine="360"/>
        <w:jc w:val="left"/>
        <w:rPr>
          <w:color w:val="auto"/>
          <w:szCs w:val="21"/>
          <w:highlight w:val="none"/>
        </w:rPr>
      </w:pPr>
      <w:r>
        <w:rPr>
          <w:rFonts w:hint="eastAsia"/>
          <w:color w:val="auto"/>
          <w:szCs w:val="21"/>
          <w:highlight w:val="none"/>
        </w:rPr>
        <w:t>7.3  澄清或者修改的内容可能影响投标文件编制的，采购人或者采购代理机构应当在投标截止时间至少15日前，以发布书面公告形式通知所有获取招标文件的潜在投标人；不足15日的，采购人或者采购代理机构应当顺延提交投标文件的截止时间。发布之日起视为投标人已收到该澄清或更正。投标人未及时关注采购人在网站上发布的澄清文件或更正公告造成的损失，由投标人自行负责。</w:t>
      </w:r>
    </w:p>
    <w:p>
      <w:pPr>
        <w:pStyle w:val="16"/>
        <w:snapToGrid w:val="0"/>
        <w:spacing w:line="360" w:lineRule="auto"/>
        <w:ind w:left="2" w:firstLine="360"/>
        <w:jc w:val="left"/>
        <w:rPr>
          <w:color w:val="auto"/>
          <w:szCs w:val="21"/>
          <w:highlight w:val="none"/>
        </w:rPr>
      </w:pPr>
      <w:r>
        <w:rPr>
          <w:rFonts w:hint="eastAsia"/>
          <w:color w:val="auto"/>
          <w:szCs w:val="21"/>
          <w:highlight w:val="none"/>
        </w:rPr>
        <w:t>7.4  采购人和采购代理机构可以视采购具体情况，延长投标截止时间和开标时间，但至少应当在投标截止时间3日前，在</w:t>
      </w:r>
      <w:r>
        <w:rPr>
          <w:rFonts w:hint="eastAsia"/>
          <w:color w:val="auto"/>
          <w:kern w:val="0"/>
          <w:szCs w:val="21"/>
          <w:highlight w:val="none"/>
        </w:rPr>
        <w:t>本章第2.1项规定的政府采购信息发布媒体上</w:t>
      </w:r>
      <w:r>
        <w:rPr>
          <w:rFonts w:hint="eastAsia"/>
          <w:color w:val="auto"/>
          <w:szCs w:val="21"/>
          <w:highlight w:val="none"/>
        </w:rPr>
        <w:t>发布变更公告。</w:t>
      </w:r>
    </w:p>
    <w:p>
      <w:pPr>
        <w:widowControl/>
        <w:spacing w:line="360" w:lineRule="auto"/>
        <w:jc w:val="left"/>
        <w:rPr>
          <w:rFonts w:hAnsi="宋体" w:cs="宋体"/>
          <w:bCs/>
          <w:color w:val="auto"/>
          <w:sz w:val="32"/>
          <w:szCs w:val="32"/>
          <w:highlight w:val="none"/>
        </w:rPr>
        <w:sectPr>
          <w:pgSz w:w="11906" w:h="16838"/>
          <w:pgMar w:top="1134" w:right="964" w:bottom="1134" w:left="1134" w:header="851" w:footer="992" w:gutter="0"/>
          <w:cols w:space="720" w:num="1"/>
          <w:docGrid w:linePitch="312" w:charSpace="0"/>
        </w:sectPr>
      </w:pPr>
    </w:p>
    <w:p>
      <w:pPr>
        <w:jc w:val="center"/>
        <w:rPr>
          <w:color w:val="auto"/>
          <w:sz w:val="32"/>
          <w:szCs w:val="32"/>
          <w:highlight w:val="none"/>
        </w:rPr>
      </w:pPr>
      <w:bookmarkStart w:id="40" w:name="_Toc271529385"/>
      <w:r>
        <w:rPr>
          <w:rFonts w:hint="eastAsia"/>
          <w:color w:val="auto"/>
          <w:sz w:val="32"/>
          <w:szCs w:val="32"/>
          <w:highlight w:val="none"/>
        </w:rPr>
        <w:t>三投标文件</w:t>
      </w:r>
      <w:bookmarkEnd w:id="40"/>
    </w:p>
    <w:p>
      <w:pPr>
        <w:pStyle w:val="16"/>
        <w:snapToGrid w:val="0"/>
        <w:spacing w:line="360" w:lineRule="auto"/>
        <w:rPr>
          <w:bCs/>
          <w:color w:val="auto"/>
          <w:szCs w:val="21"/>
          <w:highlight w:val="none"/>
        </w:rPr>
      </w:pPr>
      <w:r>
        <w:rPr>
          <w:rFonts w:hint="eastAsia"/>
          <w:bCs/>
          <w:color w:val="auto"/>
          <w:szCs w:val="21"/>
          <w:highlight w:val="none"/>
        </w:rPr>
        <w:t>8.  投标文件的编制</w:t>
      </w:r>
    </w:p>
    <w:p>
      <w:pPr>
        <w:pStyle w:val="16"/>
        <w:snapToGrid w:val="0"/>
        <w:spacing w:line="360" w:lineRule="auto"/>
        <w:ind w:left="2" w:firstLine="360"/>
        <w:jc w:val="left"/>
        <w:rPr>
          <w:color w:val="auto"/>
          <w:szCs w:val="21"/>
          <w:highlight w:val="none"/>
        </w:rPr>
      </w:pPr>
      <w:r>
        <w:rPr>
          <w:rFonts w:hint="eastAsia"/>
          <w:color w:val="auto"/>
          <w:szCs w:val="21"/>
          <w:highlight w:val="none"/>
        </w:rPr>
        <w:t>8.1  投标人应仔细阅读招标文件，在充分了解招标的内容、服务参数要求和商务条款以及实质性要求和条件后，编写投标文件。</w:t>
      </w:r>
    </w:p>
    <w:p>
      <w:pPr>
        <w:pStyle w:val="16"/>
        <w:snapToGrid w:val="0"/>
        <w:spacing w:line="360" w:lineRule="auto"/>
        <w:ind w:left="2" w:firstLine="360"/>
        <w:jc w:val="left"/>
        <w:rPr>
          <w:color w:val="auto"/>
          <w:szCs w:val="21"/>
          <w:highlight w:val="none"/>
        </w:rPr>
      </w:pPr>
      <w:r>
        <w:rPr>
          <w:rFonts w:hint="eastAsia"/>
          <w:color w:val="auto"/>
          <w:szCs w:val="21"/>
          <w:highlight w:val="none"/>
        </w:rPr>
        <w:t>8.2  对招标文件的实质性要求和条件作出响应是指投标人必须对招标文件中技术条款、商务条款及其它内容</w:t>
      </w:r>
      <w:r>
        <w:rPr>
          <w:rFonts w:hint="eastAsia"/>
          <w:bCs/>
          <w:color w:val="auto"/>
          <w:szCs w:val="21"/>
          <w:highlight w:val="none"/>
        </w:rPr>
        <w:t>作出满足或者优于原要求和条件的承诺</w:t>
      </w:r>
      <w:r>
        <w:rPr>
          <w:rFonts w:hint="eastAsia"/>
          <w:color w:val="auto"/>
          <w:szCs w:val="21"/>
          <w:highlight w:val="none"/>
        </w:rPr>
        <w:t>。</w:t>
      </w:r>
    </w:p>
    <w:p>
      <w:pPr>
        <w:pStyle w:val="16"/>
        <w:snapToGrid w:val="0"/>
        <w:spacing w:line="360" w:lineRule="auto"/>
        <w:ind w:left="2" w:firstLine="360"/>
        <w:jc w:val="left"/>
        <w:rPr>
          <w:color w:val="auto"/>
          <w:szCs w:val="21"/>
          <w:highlight w:val="none"/>
        </w:rPr>
      </w:pPr>
      <w:r>
        <w:rPr>
          <w:rFonts w:hint="eastAsia"/>
          <w:color w:val="auto"/>
          <w:szCs w:val="21"/>
          <w:highlight w:val="none"/>
        </w:rPr>
        <w:t>8.3  投标文件应用不褪色的材料书写或打印，保证其清楚、工整，相关材料的复印件应清晰可辨认。投标文件字迹潦草、表达不清、模糊无法辨认而导致非唯一理解是投标人的风险，很可能导致该投标被拒绝。</w:t>
      </w:r>
    </w:p>
    <w:p>
      <w:pPr>
        <w:pStyle w:val="16"/>
        <w:snapToGrid w:val="0"/>
        <w:spacing w:line="360" w:lineRule="auto"/>
        <w:ind w:left="2" w:firstLine="360"/>
        <w:rPr>
          <w:color w:val="auto"/>
          <w:szCs w:val="21"/>
          <w:highlight w:val="none"/>
        </w:rPr>
      </w:pPr>
      <w:r>
        <w:rPr>
          <w:rFonts w:hint="eastAsia"/>
          <w:color w:val="auto"/>
          <w:szCs w:val="21"/>
          <w:highlight w:val="none"/>
        </w:rPr>
        <w:t>8.4  第五章“投标文件格式”中规定了投标文件格式的，应按相应格式要求编写。</w:t>
      </w:r>
    </w:p>
    <w:p>
      <w:pPr>
        <w:pStyle w:val="16"/>
        <w:snapToGrid w:val="0"/>
        <w:spacing w:line="360" w:lineRule="auto"/>
        <w:ind w:left="2" w:firstLine="360"/>
        <w:jc w:val="left"/>
        <w:rPr>
          <w:color w:val="auto"/>
          <w:szCs w:val="21"/>
          <w:highlight w:val="none"/>
        </w:rPr>
      </w:pPr>
      <w:r>
        <w:rPr>
          <w:rFonts w:hint="eastAsia"/>
          <w:color w:val="auto"/>
          <w:szCs w:val="21"/>
          <w:highlight w:val="none"/>
        </w:rPr>
        <w:t>8.5  投标文件应由投标人的法定代表人或其委托代理人在凡规定签章处逐一签字或签章并加盖单位公章。投标文件应尽量避免涂改、行间插字或删除。如果出现上述情况，改动之处应加盖单位公章或由投标人的法定代表人或其委托代理人签字或签章确认。</w:t>
      </w:r>
    </w:p>
    <w:p>
      <w:pPr>
        <w:pStyle w:val="16"/>
        <w:snapToGrid w:val="0"/>
        <w:spacing w:line="360" w:lineRule="auto"/>
        <w:ind w:left="2" w:firstLine="360"/>
        <w:jc w:val="left"/>
        <w:rPr>
          <w:color w:val="auto"/>
          <w:szCs w:val="21"/>
          <w:highlight w:val="none"/>
        </w:rPr>
      </w:pPr>
      <w:r>
        <w:rPr>
          <w:rFonts w:hint="eastAsia"/>
          <w:color w:val="auto"/>
          <w:szCs w:val="21"/>
          <w:highlight w:val="none"/>
        </w:rPr>
        <w:t>8.6  投标文件的正本和副本应分别装订成册，封面上应清楚地标记“正本”或“副本”字样，并标明项目名称、项目编号、投标人名称等内容。副本可以采用正本的复印件，当副本和正本不一致时，以正本为准，副本份数见投标人须知前附表。</w:t>
      </w:r>
    </w:p>
    <w:p>
      <w:pPr>
        <w:pStyle w:val="16"/>
        <w:snapToGrid w:val="0"/>
        <w:spacing w:line="360" w:lineRule="auto"/>
        <w:rPr>
          <w:bCs/>
          <w:color w:val="auto"/>
          <w:szCs w:val="21"/>
          <w:highlight w:val="none"/>
        </w:rPr>
      </w:pPr>
      <w:r>
        <w:rPr>
          <w:rFonts w:hint="eastAsia"/>
          <w:bCs/>
          <w:color w:val="auto"/>
          <w:szCs w:val="21"/>
          <w:highlight w:val="none"/>
        </w:rPr>
        <w:t>9.  投标语言文字及计量单位</w:t>
      </w:r>
    </w:p>
    <w:p>
      <w:pPr>
        <w:pStyle w:val="16"/>
        <w:snapToGrid w:val="0"/>
        <w:spacing w:line="360" w:lineRule="auto"/>
        <w:ind w:firstLine="360"/>
        <w:rPr>
          <w:color w:val="auto"/>
          <w:szCs w:val="21"/>
          <w:highlight w:val="none"/>
        </w:rPr>
      </w:pPr>
      <w:r>
        <w:rPr>
          <w:rFonts w:hint="eastAsia"/>
          <w:color w:val="auto"/>
          <w:szCs w:val="21"/>
          <w:highlight w:val="none"/>
        </w:rPr>
        <w:t>9.1  投标人的投标文件以及投标人与采购人、采购代理机构就有关投标的所有往来函电统一使用中文（特别规定除外）。</w:t>
      </w:r>
    </w:p>
    <w:p>
      <w:pPr>
        <w:pStyle w:val="16"/>
        <w:snapToGrid w:val="0"/>
        <w:spacing w:line="360" w:lineRule="auto"/>
        <w:ind w:firstLine="360"/>
        <w:rPr>
          <w:color w:val="auto"/>
          <w:szCs w:val="21"/>
          <w:highlight w:val="none"/>
        </w:rPr>
      </w:pPr>
      <w:r>
        <w:rPr>
          <w:rFonts w:hint="eastAsia"/>
          <w:color w:val="auto"/>
          <w:szCs w:val="21"/>
          <w:highlight w:val="none"/>
        </w:rPr>
        <w:t>9.2  对不同文字文本投标文件的解释发生异议的，以中文文本为准。</w:t>
      </w:r>
    </w:p>
    <w:p>
      <w:pPr>
        <w:pStyle w:val="16"/>
        <w:snapToGrid w:val="0"/>
        <w:spacing w:line="360" w:lineRule="auto"/>
        <w:ind w:firstLine="360"/>
        <w:jc w:val="left"/>
        <w:rPr>
          <w:color w:val="auto"/>
          <w:szCs w:val="21"/>
          <w:highlight w:val="none"/>
        </w:rPr>
      </w:pPr>
      <w:r>
        <w:rPr>
          <w:rFonts w:hint="eastAsia"/>
          <w:color w:val="auto"/>
          <w:szCs w:val="21"/>
          <w:highlight w:val="none"/>
        </w:rPr>
        <w:t>9.3  投标文件使用的计量单位除招标文件中有特殊规定外，一律使用中华人民共和国法定计量单位。</w:t>
      </w:r>
    </w:p>
    <w:p>
      <w:pPr>
        <w:spacing w:line="360" w:lineRule="auto"/>
        <w:rPr>
          <w:rFonts w:ascii="宋体" w:hAnsi="宋体"/>
          <w:bCs/>
          <w:color w:val="auto"/>
          <w:szCs w:val="21"/>
          <w:highlight w:val="none"/>
        </w:rPr>
      </w:pPr>
      <w:r>
        <w:rPr>
          <w:rFonts w:hint="eastAsia" w:ascii="宋体" w:hAnsi="宋体"/>
          <w:bCs/>
          <w:color w:val="auto"/>
          <w:szCs w:val="21"/>
          <w:highlight w:val="none"/>
        </w:rPr>
        <w:t>10.  投标文件的组成</w:t>
      </w:r>
    </w:p>
    <w:p>
      <w:pPr>
        <w:spacing w:line="360" w:lineRule="auto"/>
        <w:ind w:firstLine="360"/>
        <w:rPr>
          <w:rFonts w:ascii="宋体" w:hAnsi="宋体"/>
          <w:color w:val="auto"/>
          <w:szCs w:val="21"/>
          <w:highlight w:val="none"/>
        </w:rPr>
      </w:pPr>
      <w:r>
        <w:rPr>
          <w:rFonts w:hint="eastAsia" w:ascii="宋体" w:hAnsi="宋体"/>
          <w:color w:val="auto"/>
          <w:szCs w:val="21"/>
          <w:highlight w:val="none"/>
        </w:rPr>
        <w:t>10.1投标人应按下列说明编写和提供。应递交的有关文件如未特别注明为复印件的，须提供原件，所有文件在凡规定盖章处加盖单位公章</w:t>
      </w:r>
      <w:r>
        <w:rPr>
          <w:rFonts w:hint="eastAsia" w:ascii="宋体" w:hAnsi="宋体"/>
          <w:bCs/>
          <w:color w:val="auto"/>
          <w:szCs w:val="21"/>
          <w:highlight w:val="none"/>
        </w:rPr>
        <w:t>（其他替代章如业务专用章、合同专用章、报价专用章等视为投标无效）</w:t>
      </w:r>
      <w:r>
        <w:rPr>
          <w:rFonts w:hint="eastAsia" w:ascii="宋体" w:hAnsi="宋体"/>
          <w:color w:val="auto"/>
          <w:szCs w:val="21"/>
          <w:highlight w:val="none"/>
        </w:rPr>
        <w:t>。</w:t>
      </w:r>
      <w:r>
        <w:rPr>
          <w:rFonts w:hint="eastAsia" w:ascii="宋体" w:hAnsi="Courier New"/>
          <w:bCs/>
          <w:color w:val="auto"/>
          <w:szCs w:val="21"/>
          <w:highlight w:val="none"/>
        </w:rPr>
        <w:t>属必须提供的必须提供，否则报价无效，</w:t>
      </w:r>
      <w:r>
        <w:rPr>
          <w:rFonts w:hint="eastAsia" w:ascii="宋体" w:hAnsi="宋体"/>
          <w:b/>
          <w:color w:val="auto"/>
          <w:szCs w:val="21"/>
          <w:highlight w:val="none"/>
        </w:rPr>
        <w:t>投标文件包括：</w:t>
      </w:r>
    </w:p>
    <w:p>
      <w:pPr>
        <w:snapToGrid w:val="0"/>
        <w:spacing w:line="360" w:lineRule="auto"/>
        <w:ind w:firstLine="211" w:firstLineChars="100"/>
        <w:rPr>
          <w:rFonts w:ascii="宋体" w:hAnsi="Courier New"/>
          <w:color w:val="auto"/>
          <w:szCs w:val="21"/>
          <w:highlight w:val="none"/>
        </w:rPr>
      </w:pPr>
      <w:r>
        <w:rPr>
          <w:rFonts w:hint="eastAsia"/>
          <w:b/>
          <w:color w:val="auto"/>
          <w:highlight w:val="none"/>
        </w:rPr>
        <w:t>一、资格资信证明文件</w:t>
      </w:r>
    </w:p>
    <w:p>
      <w:pPr>
        <w:snapToGrid w:val="0"/>
        <w:spacing w:line="360" w:lineRule="auto"/>
        <w:ind w:firstLine="210" w:firstLineChars="100"/>
        <w:rPr>
          <w:rFonts w:ascii="宋体" w:hAnsi="Courier New"/>
          <w:color w:val="auto"/>
          <w:szCs w:val="21"/>
          <w:highlight w:val="none"/>
        </w:rPr>
      </w:pPr>
      <w:r>
        <w:rPr>
          <w:rFonts w:hint="eastAsia" w:ascii="宋体" w:hAnsi="Courier New"/>
          <w:color w:val="auto"/>
          <w:szCs w:val="21"/>
          <w:highlight w:val="none"/>
        </w:rPr>
        <w:t>（1）开标一览表(按第五章“投标文件格式”提供的“开标一览表（格式）”的要求填写)</w:t>
      </w:r>
      <w:r>
        <w:rPr>
          <w:rFonts w:hint="eastAsia" w:ascii="宋体" w:hAnsi="Courier New"/>
          <w:bCs/>
          <w:color w:val="auto"/>
          <w:szCs w:val="21"/>
          <w:highlight w:val="none"/>
        </w:rPr>
        <w:t xml:space="preserve"> ，</w:t>
      </w:r>
      <w:r>
        <w:rPr>
          <w:rFonts w:hint="eastAsia" w:ascii="宋体" w:hAnsi="Courier New"/>
          <w:b/>
          <w:bCs/>
          <w:color w:val="auto"/>
          <w:szCs w:val="21"/>
          <w:highlight w:val="none"/>
        </w:rPr>
        <w:t>必须提供；</w:t>
      </w:r>
    </w:p>
    <w:p>
      <w:pPr>
        <w:snapToGrid w:val="0"/>
        <w:spacing w:line="360" w:lineRule="auto"/>
        <w:ind w:firstLine="210" w:firstLineChars="100"/>
        <w:rPr>
          <w:rFonts w:ascii="宋体" w:hAnsi="Courier New"/>
          <w:b/>
          <w:bCs/>
          <w:color w:val="auto"/>
          <w:szCs w:val="21"/>
          <w:highlight w:val="none"/>
        </w:rPr>
      </w:pPr>
      <w:r>
        <w:rPr>
          <w:rFonts w:hint="eastAsia" w:ascii="宋体" w:hAnsi="Courier New"/>
          <w:color w:val="auto"/>
          <w:szCs w:val="21"/>
          <w:highlight w:val="none"/>
        </w:rPr>
        <w:t>（2）投标保证金声明原件（按第五章“投标文件格式”提供的“投标保证金声明（格式）”的要求提供)或保证金支票/汇票/本票/保函复印件</w:t>
      </w:r>
      <w:r>
        <w:rPr>
          <w:rFonts w:hint="eastAsia" w:ascii="宋体" w:hAnsi="Courier New"/>
          <w:bCs/>
          <w:color w:val="auto"/>
          <w:szCs w:val="21"/>
          <w:highlight w:val="none"/>
        </w:rPr>
        <w:t>，</w:t>
      </w:r>
      <w:r>
        <w:rPr>
          <w:rFonts w:hint="eastAsia" w:ascii="宋体" w:hAnsi="Courier New"/>
          <w:b/>
          <w:bCs/>
          <w:color w:val="auto"/>
          <w:szCs w:val="21"/>
          <w:highlight w:val="none"/>
        </w:rPr>
        <w:t>必须提供；</w:t>
      </w:r>
    </w:p>
    <w:p>
      <w:pPr>
        <w:snapToGrid w:val="0"/>
        <w:spacing w:line="360" w:lineRule="auto"/>
        <w:ind w:firstLine="210" w:firstLineChars="100"/>
        <w:rPr>
          <w:rFonts w:ascii="宋体" w:hAnsi="Courier New"/>
          <w:color w:val="auto"/>
          <w:szCs w:val="21"/>
          <w:highlight w:val="none"/>
        </w:rPr>
      </w:pPr>
      <w:r>
        <w:rPr>
          <w:rFonts w:hint="eastAsia" w:ascii="宋体" w:hAnsi="Courier New"/>
          <w:color w:val="auto"/>
          <w:szCs w:val="21"/>
          <w:highlight w:val="none"/>
        </w:rPr>
        <w:t>（3）营业执照副本复印件，须清晰反映证件内容，</w:t>
      </w:r>
      <w:r>
        <w:rPr>
          <w:rFonts w:hint="eastAsia" w:ascii="宋体" w:hAnsi="Courier New"/>
          <w:b/>
          <w:color w:val="auto"/>
          <w:szCs w:val="21"/>
          <w:highlight w:val="none"/>
        </w:rPr>
        <w:t>必须提供</w:t>
      </w:r>
      <w:r>
        <w:rPr>
          <w:rFonts w:hint="eastAsia" w:ascii="宋体" w:hAnsi="Courier New"/>
          <w:color w:val="auto"/>
          <w:szCs w:val="21"/>
          <w:highlight w:val="none"/>
        </w:rPr>
        <w:t>；</w:t>
      </w:r>
    </w:p>
    <w:p>
      <w:pPr>
        <w:pStyle w:val="2"/>
        <w:ind w:firstLine="210" w:firstLineChars="100"/>
        <w:rPr>
          <w:b/>
          <w:color w:val="auto"/>
          <w:highlight w:val="none"/>
        </w:rPr>
      </w:pPr>
      <w:r>
        <w:rPr>
          <w:rFonts w:hint="eastAsia" w:ascii="宋体" w:hAnsi="Courier New"/>
          <w:color w:val="auto"/>
          <w:szCs w:val="21"/>
          <w:highlight w:val="none"/>
        </w:rPr>
        <w:t>（4）投标人有效的《医疗器械经营企业许可证》复印件，</w:t>
      </w:r>
      <w:r>
        <w:rPr>
          <w:rFonts w:hint="eastAsia" w:ascii="宋体" w:hAnsi="Courier New"/>
          <w:b/>
          <w:color w:val="auto"/>
          <w:szCs w:val="21"/>
          <w:highlight w:val="none"/>
        </w:rPr>
        <w:t>必须提供</w:t>
      </w:r>
      <w:r>
        <w:rPr>
          <w:rFonts w:hint="eastAsia" w:ascii="宋体" w:hAnsi="Courier New"/>
          <w:color w:val="auto"/>
          <w:szCs w:val="21"/>
          <w:highlight w:val="none"/>
        </w:rPr>
        <w:t>；</w:t>
      </w:r>
    </w:p>
    <w:p>
      <w:pPr>
        <w:snapToGrid w:val="0"/>
        <w:spacing w:line="360" w:lineRule="auto"/>
        <w:ind w:firstLine="210" w:firstLineChars="100"/>
        <w:rPr>
          <w:rFonts w:ascii="宋体" w:hAnsi="Courier New"/>
          <w:color w:val="auto"/>
          <w:szCs w:val="21"/>
          <w:highlight w:val="none"/>
        </w:rPr>
      </w:pPr>
      <w:r>
        <w:rPr>
          <w:rFonts w:hint="eastAsia" w:ascii="宋体" w:hAnsi="Courier New"/>
          <w:color w:val="auto"/>
          <w:szCs w:val="21"/>
          <w:highlight w:val="none"/>
        </w:rPr>
        <w:t>（5）法定代表人（负责人）身份证明书，附</w:t>
      </w:r>
      <w:r>
        <w:rPr>
          <w:rFonts w:hint="eastAsia"/>
          <w:color w:val="auto"/>
          <w:szCs w:val="21"/>
          <w:highlight w:val="none"/>
        </w:rPr>
        <w:t>法定代表人（负责人）身份证复印件（第二代身份证正、反面复印件），如法定代表人（负责人）非中国国籍应提供护照复印件，要求证件有效并与营业执照中的法定代表人（负责人）相符</w:t>
      </w:r>
      <w:r>
        <w:rPr>
          <w:rFonts w:hint="eastAsia"/>
          <w:bCs/>
          <w:color w:val="auto"/>
          <w:szCs w:val="21"/>
          <w:highlight w:val="none"/>
        </w:rPr>
        <w:t>，</w:t>
      </w:r>
      <w:r>
        <w:rPr>
          <w:rFonts w:hint="eastAsia" w:hAnsi="Courier New"/>
          <w:b/>
          <w:bCs/>
          <w:color w:val="auto"/>
          <w:szCs w:val="21"/>
          <w:highlight w:val="none"/>
        </w:rPr>
        <w:t>必须提供；</w:t>
      </w:r>
    </w:p>
    <w:p>
      <w:pPr>
        <w:snapToGrid w:val="0"/>
        <w:spacing w:line="360" w:lineRule="auto"/>
        <w:ind w:firstLine="210" w:firstLineChars="100"/>
        <w:rPr>
          <w:rFonts w:ascii="宋体" w:hAnsi="Courier New"/>
          <w:color w:val="auto"/>
          <w:szCs w:val="21"/>
          <w:highlight w:val="none"/>
        </w:rPr>
      </w:pPr>
      <w:r>
        <w:rPr>
          <w:rFonts w:hint="eastAsia"/>
          <w:color w:val="auto"/>
          <w:szCs w:val="21"/>
          <w:highlight w:val="none"/>
        </w:rPr>
        <w:t>（6）</w:t>
      </w:r>
      <w:r>
        <w:rPr>
          <w:rFonts w:hint="eastAsia" w:ascii="宋体" w:hAnsi="Courier New"/>
          <w:color w:val="auto"/>
          <w:szCs w:val="21"/>
          <w:highlight w:val="none"/>
        </w:rPr>
        <w:t>授权委托代理书：按第五章“投标文件格式”提供的“授权委托代理书（格式）”的要求填写，</w:t>
      </w:r>
      <w:r>
        <w:rPr>
          <w:rFonts w:hint="eastAsia" w:ascii="宋体" w:hAnsi="Courier New"/>
          <w:b/>
          <w:bCs/>
          <w:color w:val="auto"/>
          <w:szCs w:val="21"/>
          <w:highlight w:val="none"/>
        </w:rPr>
        <w:t>委托代理时必须提供；</w:t>
      </w:r>
    </w:p>
    <w:p>
      <w:pPr>
        <w:pStyle w:val="16"/>
        <w:snapToGrid w:val="0"/>
        <w:spacing w:line="360" w:lineRule="auto"/>
        <w:ind w:firstLine="210" w:firstLineChars="100"/>
        <w:rPr>
          <w:color w:val="auto"/>
          <w:szCs w:val="21"/>
          <w:highlight w:val="none"/>
        </w:rPr>
      </w:pPr>
      <w:r>
        <w:rPr>
          <w:rFonts w:hint="eastAsia"/>
          <w:color w:val="auto"/>
          <w:szCs w:val="21"/>
          <w:highlight w:val="none"/>
        </w:rPr>
        <w:t>（7）委托代理人身份证明复印件：第二代身份证正、反面复印件，如委托代理人非中国国籍应提供护照复印件，要求证件有效并与法定代表人授权委托书中的委托代理人相符，</w:t>
      </w:r>
      <w:r>
        <w:rPr>
          <w:rFonts w:hint="eastAsia"/>
          <w:bCs/>
          <w:color w:val="auto"/>
          <w:szCs w:val="21"/>
          <w:highlight w:val="none"/>
        </w:rPr>
        <w:t>委托代理时必须提供；</w:t>
      </w:r>
    </w:p>
    <w:p>
      <w:pPr>
        <w:snapToGrid w:val="0"/>
        <w:spacing w:line="360" w:lineRule="auto"/>
        <w:ind w:firstLine="210" w:firstLineChars="100"/>
        <w:rPr>
          <w:rFonts w:ascii="宋体" w:hAnsi="Courier New"/>
          <w:color w:val="auto"/>
          <w:szCs w:val="21"/>
          <w:highlight w:val="none"/>
        </w:rPr>
      </w:pPr>
      <w:r>
        <w:rPr>
          <w:rFonts w:hint="eastAsia" w:ascii="宋体" w:hAnsi="Courier New"/>
          <w:color w:val="auto"/>
          <w:szCs w:val="21"/>
          <w:highlight w:val="none"/>
        </w:rPr>
        <w:t>（8）</w:t>
      </w:r>
      <w:r>
        <w:rPr>
          <w:rFonts w:hint="eastAsia" w:ascii="宋体" w:hAnsi="Courier New"/>
          <w:bCs/>
          <w:color w:val="auto"/>
          <w:szCs w:val="21"/>
          <w:highlight w:val="none"/>
        </w:rPr>
        <w:t>投标声明书</w:t>
      </w:r>
      <w:r>
        <w:rPr>
          <w:rFonts w:hint="eastAsia" w:ascii="宋体" w:hAnsi="Courier New"/>
          <w:color w:val="auto"/>
          <w:szCs w:val="21"/>
          <w:highlight w:val="none"/>
        </w:rPr>
        <w:t>：按第五章“投标文件格式”提供的“</w:t>
      </w:r>
      <w:r>
        <w:rPr>
          <w:rFonts w:hint="eastAsia" w:ascii="宋体" w:hAnsi="Courier New"/>
          <w:bCs/>
          <w:color w:val="auto"/>
          <w:szCs w:val="21"/>
          <w:highlight w:val="none"/>
        </w:rPr>
        <w:t>投标声明书</w:t>
      </w:r>
      <w:r>
        <w:rPr>
          <w:rFonts w:hint="eastAsia" w:ascii="宋体" w:hAnsi="Courier New"/>
          <w:color w:val="auto"/>
          <w:szCs w:val="21"/>
          <w:highlight w:val="none"/>
        </w:rPr>
        <w:t>（格式）”的要求填写</w:t>
      </w:r>
      <w:r>
        <w:rPr>
          <w:rFonts w:hint="eastAsia" w:ascii="宋体" w:hAnsi="Courier New"/>
          <w:bCs/>
          <w:color w:val="auto"/>
          <w:szCs w:val="21"/>
          <w:highlight w:val="none"/>
        </w:rPr>
        <w:t>，</w:t>
      </w:r>
      <w:r>
        <w:rPr>
          <w:rFonts w:hint="eastAsia" w:ascii="宋体" w:hAnsi="Courier New"/>
          <w:b/>
          <w:bCs/>
          <w:color w:val="auto"/>
          <w:szCs w:val="21"/>
          <w:highlight w:val="none"/>
        </w:rPr>
        <w:t>必须提供；</w:t>
      </w:r>
    </w:p>
    <w:p>
      <w:pPr>
        <w:spacing w:line="360" w:lineRule="auto"/>
        <w:ind w:firstLine="210" w:firstLineChars="100"/>
        <w:rPr>
          <w:rFonts w:ascii="宋体" w:hAnsi="Courier New"/>
          <w:bCs/>
          <w:color w:val="auto"/>
          <w:szCs w:val="21"/>
          <w:highlight w:val="none"/>
        </w:rPr>
      </w:pPr>
      <w:r>
        <w:rPr>
          <w:rFonts w:hint="eastAsia" w:ascii="宋体" w:hAnsi="Courier New"/>
          <w:bCs/>
          <w:color w:val="auto"/>
          <w:szCs w:val="21"/>
          <w:highlight w:val="none"/>
        </w:rPr>
        <w:t>（9）投标人依法交纳社会保障费（投标截止时间前半年内连续三个月）或</w:t>
      </w:r>
      <w:r>
        <w:rPr>
          <w:rFonts w:hint="eastAsia" w:ascii="宋体" w:hAnsi="宋体"/>
          <w:color w:val="auto"/>
          <w:szCs w:val="21"/>
          <w:highlight w:val="none"/>
        </w:rPr>
        <w:t>依法免缴</w:t>
      </w:r>
      <w:r>
        <w:rPr>
          <w:rFonts w:hint="eastAsia" w:ascii="宋体" w:hAnsi="Courier New"/>
          <w:bCs/>
          <w:color w:val="auto"/>
          <w:szCs w:val="21"/>
          <w:highlight w:val="none"/>
        </w:rPr>
        <w:t>社会保障</w:t>
      </w:r>
      <w:r>
        <w:rPr>
          <w:rFonts w:hint="eastAsia" w:ascii="宋体" w:hAnsi="宋体"/>
          <w:color w:val="auto"/>
          <w:szCs w:val="21"/>
          <w:highlight w:val="none"/>
        </w:rPr>
        <w:t>费</w:t>
      </w:r>
      <w:r>
        <w:rPr>
          <w:rFonts w:hint="eastAsia" w:ascii="宋体" w:hAnsi="Courier New"/>
          <w:bCs/>
          <w:color w:val="auto"/>
          <w:szCs w:val="21"/>
          <w:highlight w:val="none"/>
        </w:rPr>
        <w:t>的证明文件复印件，</w:t>
      </w:r>
      <w:r>
        <w:rPr>
          <w:rFonts w:hint="eastAsia" w:ascii="宋体" w:hAnsi="Courier New"/>
          <w:color w:val="auto"/>
          <w:szCs w:val="21"/>
          <w:highlight w:val="none"/>
        </w:rPr>
        <w:t>无缴费记录的，应提供由投标人所在地社保主管部门出具的《依法缴纳或依法免缴社保费证明》，</w:t>
      </w:r>
      <w:r>
        <w:rPr>
          <w:rFonts w:hint="eastAsia" w:ascii="宋体" w:hAnsi="Courier New"/>
          <w:b/>
          <w:bCs/>
          <w:color w:val="auto"/>
          <w:szCs w:val="21"/>
          <w:highlight w:val="none"/>
        </w:rPr>
        <w:t>必须提供；</w:t>
      </w:r>
    </w:p>
    <w:p>
      <w:pPr>
        <w:spacing w:line="360" w:lineRule="auto"/>
        <w:ind w:firstLine="210" w:firstLineChars="100"/>
        <w:rPr>
          <w:rFonts w:ascii="宋体" w:hAnsi="Courier New"/>
          <w:b/>
          <w:bCs/>
          <w:color w:val="auto"/>
          <w:szCs w:val="21"/>
          <w:highlight w:val="none"/>
        </w:rPr>
      </w:pPr>
      <w:r>
        <w:rPr>
          <w:rFonts w:hint="eastAsia" w:ascii="宋体" w:hAnsi="Courier New"/>
          <w:color w:val="auto"/>
          <w:szCs w:val="21"/>
          <w:highlight w:val="none"/>
        </w:rPr>
        <w:t>（10）投标人依法</w:t>
      </w:r>
      <w:r>
        <w:rPr>
          <w:rFonts w:hint="eastAsia" w:ascii="宋体" w:hAnsi="宋体"/>
          <w:bCs/>
          <w:color w:val="auto"/>
          <w:szCs w:val="21"/>
          <w:highlight w:val="none"/>
        </w:rPr>
        <w:t>纳税或报税证明文件复印件（</w:t>
      </w:r>
      <w:r>
        <w:rPr>
          <w:rFonts w:hint="eastAsia" w:ascii="宋体" w:hAnsi="Courier New"/>
          <w:bCs/>
          <w:color w:val="auto"/>
          <w:szCs w:val="21"/>
          <w:highlight w:val="none"/>
        </w:rPr>
        <w:t>投标截止时间前半年内连续三个月</w:t>
      </w:r>
      <w:r>
        <w:rPr>
          <w:rFonts w:hint="eastAsia" w:ascii="宋体" w:hAnsi="宋体"/>
          <w:bCs/>
          <w:color w:val="auto"/>
          <w:szCs w:val="21"/>
          <w:highlight w:val="none"/>
        </w:rPr>
        <w:t>），</w:t>
      </w:r>
      <w:r>
        <w:rPr>
          <w:rFonts w:hint="eastAsia" w:ascii="宋体" w:hAnsi="Courier New"/>
          <w:bCs/>
          <w:color w:val="auto"/>
          <w:szCs w:val="21"/>
          <w:highlight w:val="none"/>
        </w:rPr>
        <w:t>若为新成立的公司请投标人出具相关证明文件，</w:t>
      </w:r>
      <w:r>
        <w:rPr>
          <w:rFonts w:hint="eastAsia" w:ascii="宋体" w:hAnsi="Courier New"/>
          <w:b/>
          <w:bCs/>
          <w:color w:val="auto"/>
          <w:szCs w:val="21"/>
          <w:highlight w:val="none"/>
        </w:rPr>
        <w:t>必须提供；</w:t>
      </w: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（11）</w:t>
      </w:r>
      <w:r>
        <w:rPr>
          <w:rFonts w:hint="eastAsia"/>
          <w:color w:val="auto"/>
          <w:szCs w:val="21"/>
          <w:highlight w:val="none"/>
        </w:rPr>
        <w:t>投标人提供依法</w:t>
      </w:r>
      <w:r>
        <w:rPr>
          <w:color w:val="auto"/>
          <w:szCs w:val="21"/>
          <w:highlight w:val="none"/>
        </w:rPr>
        <w:t>经审计的</w:t>
      </w:r>
      <w:r>
        <w:rPr>
          <w:rFonts w:hint="eastAsia"/>
          <w:color w:val="auto"/>
          <w:szCs w:val="21"/>
          <w:highlight w:val="none"/>
        </w:rPr>
        <w:t>2018年度</w:t>
      </w:r>
      <w:r>
        <w:rPr>
          <w:color w:val="auto"/>
          <w:szCs w:val="21"/>
          <w:highlight w:val="none"/>
        </w:rPr>
        <w:t>财务报表复印件【</w:t>
      </w:r>
      <w:r>
        <w:rPr>
          <w:rFonts w:hint="eastAsia" w:hAnsi="宋体" w:cs="宋体"/>
          <w:color w:val="auto"/>
          <w:szCs w:val="21"/>
          <w:highlight w:val="none"/>
        </w:rPr>
        <w:t>①</w:t>
      </w:r>
      <w:r>
        <w:rPr>
          <w:color w:val="auto"/>
          <w:szCs w:val="21"/>
          <w:highlight w:val="none"/>
        </w:rPr>
        <w:t>如无经会计师事务所审计的财务报表，则需提交本公司出具的财务报表和承诺书，承诺该财务报表数据真实可靠（格式自拟）；</w:t>
      </w:r>
      <w:r>
        <w:rPr>
          <w:rFonts w:hint="eastAsia" w:hAnsi="宋体" w:cs="宋体"/>
          <w:color w:val="auto"/>
          <w:szCs w:val="21"/>
          <w:highlight w:val="none"/>
        </w:rPr>
        <w:t>②</w:t>
      </w:r>
      <w:r>
        <w:rPr>
          <w:color w:val="auto"/>
          <w:szCs w:val="21"/>
          <w:highlight w:val="none"/>
        </w:rPr>
        <w:t>201</w:t>
      </w:r>
      <w:r>
        <w:rPr>
          <w:rFonts w:hint="eastAsia"/>
          <w:color w:val="auto"/>
          <w:szCs w:val="21"/>
          <w:highlight w:val="none"/>
        </w:rPr>
        <w:t>9</w:t>
      </w:r>
      <w:r>
        <w:rPr>
          <w:color w:val="auto"/>
          <w:szCs w:val="21"/>
          <w:highlight w:val="none"/>
        </w:rPr>
        <w:t>年新近成立的公司可根据其成立的时间提交财务报表和承诺书，承诺该财务报表数据真实可靠（格式自拟）】或银行出具</w:t>
      </w:r>
      <w:r>
        <w:rPr>
          <w:rFonts w:ascii="宋体" w:hAnsi="宋体"/>
          <w:color w:val="auto"/>
          <w:szCs w:val="21"/>
          <w:highlight w:val="none"/>
        </w:rPr>
        <w:t>的资信证明</w:t>
      </w:r>
      <w:r>
        <w:rPr>
          <w:rFonts w:hint="eastAsia" w:ascii="宋体" w:hAnsi="宋体"/>
          <w:color w:val="auto"/>
          <w:szCs w:val="21"/>
          <w:highlight w:val="none"/>
        </w:rPr>
        <w:t>复印件</w:t>
      </w:r>
      <w:r>
        <w:rPr>
          <w:rFonts w:ascii="宋体" w:hAnsi="宋体"/>
          <w:color w:val="auto"/>
          <w:szCs w:val="21"/>
          <w:highlight w:val="none"/>
        </w:rPr>
        <w:t>（资信证明须</w:t>
      </w:r>
      <w:r>
        <w:rPr>
          <w:rFonts w:hint="eastAsia" w:ascii="宋体" w:hAnsi="宋体"/>
          <w:color w:val="auto"/>
          <w:szCs w:val="21"/>
          <w:highlight w:val="none"/>
        </w:rPr>
        <w:t>显示有投标人</w:t>
      </w:r>
      <w:r>
        <w:rPr>
          <w:rFonts w:ascii="宋体" w:hAnsi="宋体"/>
          <w:color w:val="auto"/>
          <w:szCs w:val="21"/>
          <w:highlight w:val="none"/>
        </w:rPr>
        <w:t>开户行银行公章）</w:t>
      </w:r>
      <w:r>
        <w:rPr>
          <w:rFonts w:hint="eastAsia" w:ascii="宋体" w:hAnsi="宋体"/>
          <w:color w:val="auto"/>
          <w:szCs w:val="21"/>
          <w:highlight w:val="none"/>
        </w:rPr>
        <w:t>（</w:t>
      </w:r>
      <w:r>
        <w:rPr>
          <w:rFonts w:hint="eastAsia" w:ascii="宋体" w:hAnsi="宋体"/>
          <w:b/>
          <w:color w:val="auto"/>
          <w:szCs w:val="21"/>
          <w:highlight w:val="none"/>
        </w:rPr>
        <w:t>必须提供</w:t>
      </w:r>
      <w:r>
        <w:rPr>
          <w:rFonts w:hint="eastAsia" w:ascii="宋体" w:hAnsi="宋体"/>
          <w:color w:val="auto"/>
          <w:szCs w:val="21"/>
          <w:highlight w:val="none"/>
        </w:rPr>
        <w:t>）</w:t>
      </w:r>
      <w:r>
        <w:rPr>
          <w:rFonts w:ascii="宋体" w:hAnsi="宋体"/>
          <w:color w:val="auto"/>
          <w:szCs w:val="21"/>
          <w:highlight w:val="none"/>
        </w:rPr>
        <w:t>；</w:t>
      </w:r>
    </w:p>
    <w:p>
      <w:pPr>
        <w:spacing w:line="360" w:lineRule="auto"/>
        <w:ind w:firstLine="210" w:firstLineChars="100"/>
        <w:rPr>
          <w:b/>
          <w:bCs/>
          <w:color w:val="auto"/>
          <w:szCs w:val="21"/>
          <w:highlight w:val="none"/>
        </w:rPr>
      </w:pPr>
      <w:r>
        <w:rPr>
          <w:rFonts w:hint="eastAsia" w:ascii="宋体" w:hAnsi="宋体"/>
          <w:bCs/>
          <w:color w:val="auto"/>
          <w:szCs w:val="21"/>
          <w:highlight w:val="none"/>
        </w:rPr>
        <w:t>（12）参加政府采购活</w:t>
      </w:r>
      <w:r>
        <w:rPr>
          <w:rFonts w:hint="eastAsia"/>
          <w:bCs/>
          <w:color w:val="auto"/>
          <w:szCs w:val="21"/>
          <w:highlight w:val="none"/>
        </w:rPr>
        <w:t>动前3年内在经营活动中没有重大违法记录的书面声明原件，</w:t>
      </w:r>
      <w:r>
        <w:rPr>
          <w:rFonts w:hint="eastAsia"/>
          <w:b/>
          <w:bCs/>
          <w:color w:val="auto"/>
          <w:szCs w:val="21"/>
          <w:highlight w:val="none"/>
        </w:rPr>
        <w:t>必须提供；</w:t>
      </w:r>
    </w:p>
    <w:p>
      <w:pPr>
        <w:pStyle w:val="2"/>
        <w:ind w:firstLine="315" w:firstLineChars="150"/>
        <w:rPr>
          <w:color w:val="auto"/>
          <w:highlight w:val="none"/>
        </w:rPr>
      </w:pPr>
      <w:r>
        <w:rPr>
          <w:rFonts w:hint="eastAsia"/>
          <w:color w:val="auto"/>
          <w:highlight w:val="none"/>
        </w:rPr>
        <w:t>(13)满足《服务需求一览表》中要求提供技术参数的资格证明文件，如有要求，必须提供；</w:t>
      </w:r>
    </w:p>
    <w:p>
      <w:pPr>
        <w:spacing w:line="360" w:lineRule="auto"/>
        <w:ind w:firstLine="211" w:firstLineChars="100"/>
        <w:rPr>
          <w:rFonts w:ascii="宋体" w:hAnsi="宋体"/>
          <w:b/>
          <w:color w:val="auto"/>
          <w:szCs w:val="21"/>
          <w:highlight w:val="none"/>
        </w:rPr>
      </w:pPr>
      <w:r>
        <w:rPr>
          <w:rFonts w:hint="eastAsia" w:ascii="宋体" w:hAnsi="宋体"/>
          <w:b/>
          <w:color w:val="auto"/>
          <w:szCs w:val="21"/>
          <w:highlight w:val="none"/>
        </w:rPr>
        <w:t>二、报价及商务文件</w:t>
      </w:r>
    </w:p>
    <w:p>
      <w:pPr>
        <w:spacing w:line="360" w:lineRule="auto"/>
        <w:ind w:firstLine="210" w:firstLineChars="100"/>
        <w:rPr>
          <w:rFonts w:ascii="宋体" w:hAnsi="Courier New"/>
          <w:b/>
          <w:bCs/>
          <w:color w:val="auto"/>
          <w:szCs w:val="21"/>
          <w:highlight w:val="none"/>
        </w:rPr>
      </w:pPr>
      <w:r>
        <w:rPr>
          <w:rFonts w:hint="eastAsia" w:ascii="宋体" w:hAnsi="Courier New"/>
          <w:color w:val="auto"/>
          <w:szCs w:val="21"/>
          <w:highlight w:val="none"/>
        </w:rPr>
        <w:t>（1）投标函：按第五章“投标文件格式”提供的“投标函（格式）”的要求填写</w:t>
      </w:r>
      <w:r>
        <w:rPr>
          <w:rFonts w:hint="eastAsia" w:ascii="宋体" w:hAnsi="Courier New"/>
          <w:bCs/>
          <w:color w:val="auto"/>
          <w:szCs w:val="21"/>
          <w:highlight w:val="none"/>
        </w:rPr>
        <w:t>，</w:t>
      </w:r>
      <w:r>
        <w:rPr>
          <w:rFonts w:hint="eastAsia" w:ascii="宋体" w:hAnsi="Courier New"/>
          <w:b/>
          <w:bCs/>
          <w:color w:val="auto"/>
          <w:szCs w:val="21"/>
          <w:highlight w:val="none"/>
        </w:rPr>
        <w:t>必须提供；</w:t>
      </w:r>
    </w:p>
    <w:p>
      <w:pPr>
        <w:spacing w:line="360" w:lineRule="auto"/>
        <w:ind w:firstLine="210" w:firstLineChars="100"/>
        <w:rPr>
          <w:rFonts w:ascii="宋体" w:hAnsi="Courier New"/>
          <w:b/>
          <w:bCs/>
          <w:color w:val="auto"/>
          <w:szCs w:val="21"/>
          <w:highlight w:val="none"/>
        </w:rPr>
      </w:pPr>
      <w:r>
        <w:rPr>
          <w:rFonts w:hint="eastAsia" w:ascii="宋体" w:hAnsi="Courier New"/>
          <w:color w:val="auto"/>
          <w:szCs w:val="21"/>
          <w:highlight w:val="none"/>
        </w:rPr>
        <w:t>（2）投标报价明细表：按第五章“投标文件格式”提供的“投标报价明细表（格式）”的要求填写</w:t>
      </w:r>
      <w:r>
        <w:rPr>
          <w:rFonts w:hint="eastAsia" w:ascii="宋体" w:hAnsi="Courier New"/>
          <w:bCs/>
          <w:color w:val="auto"/>
          <w:szCs w:val="21"/>
          <w:highlight w:val="none"/>
        </w:rPr>
        <w:t>，</w:t>
      </w:r>
      <w:r>
        <w:rPr>
          <w:rFonts w:hint="eastAsia" w:ascii="宋体" w:hAnsi="Courier New"/>
          <w:b/>
          <w:bCs/>
          <w:color w:val="auto"/>
          <w:szCs w:val="21"/>
          <w:highlight w:val="none"/>
        </w:rPr>
        <w:t>必须提供；</w:t>
      </w:r>
    </w:p>
    <w:p>
      <w:pPr>
        <w:spacing w:line="360" w:lineRule="auto"/>
        <w:ind w:firstLine="210" w:firstLineChars="100"/>
        <w:rPr>
          <w:rFonts w:ascii="宋体" w:hAnsi="宋体"/>
          <w:b/>
          <w:color w:val="auto"/>
          <w:szCs w:val="21"/>
          <w:highlight w:val="none"/>
        </w:rPr>
      </w:pPr>
      <w:r>
        <w:rPr>
          <w:rFonts w:hint="eastAsia" w:ascii="宋体" w:hAnsi="Courier New"/>
          <w:color w:val="auto"/>
          <w:szCs w:val="21"/>
          <w:highlight w:val="none"/>
        </w:rPr>
        <w:t>（3）</w:t>
      </w:r>
      <w:r>
        <w:rPr>
          <w:rFonts w:hint="eastAsia" w:ascii="宋体" w:hAnsi="宋体"/>
          <w:color w:val="auto"/>
          <w:szCs w:val="21"/>
          <w:highlight w:val="none"/>
        </w:rPr>
        <w:t>商务条款偏离表：按第五章“投标文件格式”提供的“商务条款偏离表（格式）” 的要求填写</w:t>
      </w:r>
      <w:r>
        <w:rPr>
          <w:rFonts w:hint="eastAsia" w:ascii="宋体" w:hAnsi="Courier New"/>
          <w:bCs/>
          <w:color w:val="auto"/>
          <w:szCs w:val="21"/>
          <w:highlight w:val="none"/>
        </w:rPr>
        <w:t>，</w:t>
      </w:r>
      <w:r>
        <w:rPr>
          <w:rFonts w:hint="eastAsia" w:ascii="宋体" w:hAnsi="Courier New"/>
          <w:b/>
          <w:bCs/>
          <w:color w:val="auto"/>
          <w:szCs w:val="21"/>
          <w:highlight w:val="none"/>
        </w:rPr>
        <w:t>必须提供；</w:t>
      </w:r>
    </w:p>
    <w:p>
      <w:pPr>
        <w:spacing w:line="360" w:lineRule="auto"/>
        <w:ind w:firstLine="211" w:firstLineChars="100"/>
        <w:rPr>
          <w:rFonts w:ascii="宋体" w:hAnsi="宋体"/>
          <w:b/>
          <w:color w:val="auto"/>
          <w:szCs w:val="21"/>
          <w:highlight w:val="none"/>
        </w:rPr>
      </w:pPr>
      <w:r>
        <w:rPr>
          <w:rFonts w:hint="eastAsia" w:ascii="宋体" w:hAnsi="宋体"/>
          <w:b/>
          <w:color w:val="auto"/>
          <w:szCs w:val="21"/>
          <w:highlight w:val="none"/>
        </w:rPr>
        <w:t>三、技术文件</w:t>
      </w:r>
    </w:p>
    <w:p>
      <w:pPr>
        <w:spacing w:line="360" w:lineRule="auto"/>
        <w:ind w:firstLine="210" w:firstLineChars="100"/>
        <w:rPr>
          <w:rFonts w:ascii="宋体" w:hAnsi="Courier New"/>
          <w:b/>
          <w:color w:val="auto"/>
          <w:szCs w:val="21"/>
          <w:highlight w:val="none"/>
        </w:rPr>
      </w:pPr>
      <w:r>
        <w:rPr>
          <w:rFonts w:hint="eastAsia" w:ascii="宋体" w:hAnsi="Courier New"/>
          <w:color w:val="auto"/>
          <w:szCs w:val="21"/>
          <w:highlight w:val="none"/>
        </w:rPr>
        <w:t>（1）服务方案（按第五章“投标文件格式”提供的“技术方案（格式）”的要求提供)，</w:t>
      </w:r>
      <w:r>
        <w:rPr>
          <w:rFonts w:hint="eastAsia" w:ascii="宋体" w:hAnsi="Courier New"/>
          <w:b/>
          <w:color w:val="auto"/>
          <w:szCs w:val="21"/>
          <w:highlight w:val="none"/>
        </w:rPr>
        <w:t>必须提供；</w:t>
      </w:r>
    </w:p>
    <w:p>
      <w:pPr>
        <w:spacing w:line="360" w:lineRule="auto"/>
        <w:ind w:firstLine="210" w:firstLineChars="100"/>
        <w:rPr>
          <w:rFonts w:ascii="宋体" w:hAnsi="Courier New"/>
          <w:color w:val="auto"/>
          <w:szCs w:val="21"/>
          <w:highlight w:val="none"/>
        </w:rPr>
      </w:pPr>
      <w:r>
        <w:rPr>
          <w:rFonts w:hint="eastAsia" w:ascii="宋体" w:hAnsi="Courier New"/>
          <w:color w:val="auto"/>
          <w:szCs w:val="21"/>
          <w:highlight w:val="none"/>
        </w:rPr>
        <w:t>（2）证明货物和手续合格性的证明文件：生产、销售许可证（如国家实行强制性要求的）；投标产品获奖证书等（如有，请提供）；</w:t>
      </w:r>
    </w:p>
    <w:p>
      <w:pPr>
        <w:spacing w:line="360" w:lineRule="auto"/>
        <w:ind w:firstLine="210" w:firstLineChars="100"/>
        <w:rPr>
          <w:rFonts w:ascii="宋体" w:hAnsi="Courier New"/>
          <w:color w:val="auto"/>
          <w:szCs w:val="21"/>
          <w:highlight w:val="none"/>
        </w:rPr>
      </w:pPr>
      <w:r>
        <w:rPr>
          <w:rFonts w:hint="eastAsia" w:ascii="宋体" w:hAnsi="Courier New"/>
          <w:color w:val="auto"/>
          <w:szCs w:val="21"/>
          <w:highlight w:val="none"/>
        </w:rPr>
        <w:t>（3）投标人认为需要提供的其它技术资料（如有，由投标人根据自己实际情况提供）。</w:t>
      </w:r>
    </w:p>
    <w:p>
      <w:pPr>
        <w:spacing w:line="360" w:lineRule="auto"/>
        <w:ind w:firstLine="211" w:firstLineChars="100"/>
        <w:rPr>
          <w:rFonts w:ascii="宋体" w:hAnsi="宋体"/>
          <w:b/>
          <w:color w:val="auto"/>
          <w:szCs w:val="21"/>
          <w:highlight w:val="none"/>
        </w:rPr>
      </w:pPr>
      <w:r>
        <w:rPr>
          <w:rFonts w:hint="eastAsia" w:ascii="宋体" w:hAnsi="宋体"/>
          <w:b/>
          <w:color w:val="auto"/>
          <w:szCs w:val="21"/>
          <w:highlight w:val="none"/>
        </w:rPr>
        <w:t>四、投标人认为其他必须提供的信誉证明材料（如业绩、证书、获奖情况等）。</w:t>
      </w:r>
    </w:p>
    <w:p>
      <w:pPr>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10.2</w:t>
      </w:r>
      <w:r>
        <w:rPr>
          <w:rFonts w:hint="eastAsia" w:ascii="宋体" w:hAnsi="宋体"/>
          <w:b/>
          <w:color w:val="auto"/>
          <w:szCs w:val="21"/>
          <w:highlight w:val="none"/>
        </w:rPr>
        <w:t>投标文件应尽量使用胶装并包边，使用活页夹、订书钉、胶圈、梳式装订等可能导致投标文件散落或脱页、失散、不完整的装订方式，可能会影响评审，投标人应充分考虑该情况存在的风险并自行承担其后果。</w:t>
      </w:r>
    </w:p>
    <w:p>
      <w:pPr>
        <w:pStyle w:val="16"/>
        <w:snapToGrid w:val="0"/>
        <w:spacing w:line="360" w:lineRule="auto"/>
        <w:rPr>
          <w:bCs/>
          <w:color w:val="auto"/>
          <w:szCs w:val="21"/>
          <w:highlight w:val="none"/>
        </w:rPr>
      </w:pPr>
      <w:r>
        <w:rPr>
          <w:rFonts w:hint="eastAsia"/>
          <w:bCs/>
          <w:color w:val="auto"/>
          <w:szCs w:val="21"/>
          <w:highlight w:val="none"/>
        </w:rPr>
        <w:t>11.  投标报价</w:t>
      </w:r>
    </w:p>
    <w:p>
      <w:pPr>
        <w:pStyle w:val="16"/>
        <w:snapToGrid w:val="0"/>
        <w:spacing w:line="360" w:lineRule="auto"/>
        <w:ind w:firstLine="360"/>
        <w:rPr>
          <w:color w:val="auto"/>
          <w:szCs w:val="21"/>
          <w:highlight w:val="none"/>
        </w:rPr>
      </w:pPr>
      <w:r>
        <w:rPr>
          <w:rFonts w:hint="eastAsia"/>
          <w:color w:val="auto"/>
          <w:szCs w:val="21"/>
          <w:highlight w:val="none"/>
        </w:rPr>
        <w:t>11.1  投标人应以人民币报价。</w:t>
      </w:r>
    </w:p>
    <w:p>
      <w:pPr>
        <w:pStyle w:val="16"/>
        <w:spacing w:line="360" w:lineRule="auto"/>
        <w:ind w:firstLine="360"/>
        <w:rPr>
          <w:b/>
          <w:color w:val="auto"/>
          <w:szCs w:val="21"/>
          <w:highlight w:val="none"/>
        </w:rPr>
      </w:pPr>
      <w:r>
        <w:rPr>
          <w:rFonts w:hint="eastAsia"/>
          <w:color w:val="auto"/>
          <w:szCs w:val="21"/>
          <w:highlight w:val="none"/>
        </w:rPr>
        <w:t>11.2  投标人的报价必须是唯一的报价。</w:t>
      </w:r>
    </w:p>
    <w:p>
      <w:pPr>
        <w:pStyle w:val="16"/>
        <w:snapToGrid w:val="0"/>
        <w:spacing w:line="360" w:lineRule="auto"/>
        <w:ind w:firstLine="360"/>
        <w:rPr>
          <w:color w:val="auto"/>
          <w:szCs w:val="21"/>
          <w:highlight w:val="none"/>
        </w:rPr>
      </w:pPr>
      <w:r>
        <w:rPr>
          <w:rFonts w:hint="eastAsia"/>
          <w:color w:val="auto"/>
          <w:szCs w:val="21"/>
          <w:highlight w:val="none"/>
        </w:rPr>
        <w:t>11.3  投标总报价为采购人指定地点的维保服务价，其组成部分详见第四章“服务需求一览表”。采购人不再向中标供应商支付其投标总报价之外的任何费用。</w:t>
      </w:r>
    </w:p>
    <w:p>
      <w:pPr>
        <w:pStyle w:val="16"/>
        <w:snapToGrid w:val="0"/>
        <w:spacing w:line="360" w:lineRule="auto"/>
        <w:ind w:firstLine="360"/>
        <w:rPr>
          <w:color w:val="auto"/>
          <w:szCs w:val="21"/>
          <w:highlight w:val="none"/>
        </w:rPr>
      </w:pPr>
      <w:r>
        <w:rPr>
          <w:rFonts w:hint="eastAsia"/>
          <w:color w:val="auto"/>
          <w:szCs w:val="21"/>
          <w:highlight w:val="none"/>
        </w:rPr>
        <w:t>11.4  本项目的采购代理服务费按物价部门核准的收费标准执行，见投标人须知前附表。</w:t>
      </w:r>
    </w:p>
    <w:p>
      <w:pPr>
        <w:pStyle w:val="16"/>
        <w:snapToGrid w:val="0"/>
        <w:spacing w:line="360" w:lineRule="auto"/>
        <w:ind w:firstLine="360"/>
        <w:rPr>
          <w:color w:val="auto"/>
          <w:szCs w:val="21"/>
          <w:highlight w:val="none"/>
        </w:rPr>
      </w:pPr>
      <w:r>
        <w:rPr>
          <w:rFonts w:hint="eastAsia"/>
          <w:color w:val="auto"/>
          <w:szCs w:val="21"/>
          <w:highlight w:val="none"/>
        </w:rPr>
        <w:t>11.5  不论投标结果如何，投标人均应自行承担与编制和递交投标文件有关的全部费用。</w:t>
      </w:r>
    </w:p>
    <w:p>
      <w:pPr>
        <w:pStyle w:val="16"/>
        <w:snapToGrid w:val="0"/>
        <w:spacing w:line="360" w:lineRule="auto"/>
        <w:rPr>
          <w:bCs/>
          <w:color w:val="auto"/>
          <w:szCs w:val="21"/>
          <w:highlight w:val="none"/>
        </w:rPr>
      </w:pPr>
      <w:r>
        <w:rPr>
          <w:rFonts w:hint="eastAsia"/>
          <w:bCs/>
          <w:color w:val="auto"/>
          <w:szCs w:val="21"/>
          <w:highlight w:val="none"/>
        </w:rPr>
        <w:t>12.  投标有效期</w:t>
      </w:r>
    </w:p>
    <w:p>
      <w:pPr>
        <w:pStyle w:val="16"/>
        <w:snapToGrid w:val="0"/>
        <w:spacing w:line="360" w:lineRule="auto"/>
        <w:ind w:firstLine="360"/>
        <w:rPr>
          <w:bCs/>
          <w:color w:val="auto"/>
          <w:szCs w:val="21"/>
          <w:highlight w:val="none"/>
        </w:rPr>
      </w:pPr>
      <w:r>
        <w:rPr>
          <w:rFonts w:hint="eastAsia"/>
          <w:color w:val="auto"/>
          <w:szCs w:val="21"/>
          <w:highlight w:val="none"/>
        </w:rPr>
        <w:t>12.1  在投标人须知前附表规定的投标有效期内，投标人不得要求撤销或修改其投标文件。</w:t>
      </w:r>
    </w:p>
    <w:p>
      <w:pPr>
        <w:pStyle w:val="16"/>
        <w:snapToGrid w:val="0"/>
        <w:spacing w:line="360" w:lineRule="auto"/>
        <w:ind w:firstLine="360"/>
        <w:rPr>
          <w:color w:val="auto"/>
          <w:szCs w:val="21"/>
          <w:highlight w:val="none"/>
        </w:rPr>
      </w:pPr>
      <w:r>
        <w:rPr>
          <w:rFonts w:hint="eastAsia"/>
          <w:color w:val="auto"/>
          <w:szCs w:val="21"/>
          <w:highlight w:val="none"/>
        </w:rPr>
        <w:t>12.2  在特殊情况下，采购人或采购代理机构可与投标人协商延长投标有效期，这种要求与答复均应使用书面形式。投标人同意延长的，应相应延长其投标保证金的有效期，但不得要求或被允许修改或撤销其投标文件；投标人拒绝延长的，其投标失效，但投标人有权收回其投标保证金。</w:t>
      </w:r>
    </w:p>
    <w:p>
      <w:pPr>
        <w:pStyle w:val="16"/>
        <w:snapToGrid w:val="0"/>
        <w:spacing w:line="360" w:lineRule="auto"/>
        <w:rPr>
          <w:bCs/>
          <w:color w:val="auto"/>
          <w:szCs w:val="21"/>
          <w:highlight w:val="none"/>
        </w:rPr>
      </w:pPr>
      <w:r>
        <w:rPr>
          <w:rFonts w:hint="eastAsia"/>
          <w:bCs/>
          <w:color w:val="auto"/>
          <w:szCs w:val="21"/>
          <w:highlight w:val="none"/>
        </w:rPr>
        <w:t>13.  投标保证金</w:t>
      </w:r>
    </w:p>
    <w:p>
      <w:pPr>
        <w:pStyle w:val="16"/>
        <w:tabs>
          <w:tab w:val="left" w:pos="0"/>
        </w:tabs>
        <w:snapToGrid w:val="0"/>
        <w:spacing w:line="360" w:lineRule="auto"/>
        <w:ind w:firstLine="359" w:firstLineChars="171"/>
        <w:rPr>
          <w:color w:val="auto"/>
          <w:szCs w:val="21"/>
          <w:highlight w:val="none"/>
        </w:rPr>
      </w:pPr>
      <w:r>
        <w:rPr>
          <w:rFonts w:hint="eastAsia"/>
          <w:color w:val="auto"/>
          <w:szCs w:val="21"/>
          <w:highlight w:val="none"/>
        </w:rPr>
        <w:t>13.1  投标保证金递交截止时间见投标人须知前附表。</w:t>
      </w:r>
    </w:p>
    <w:p>
      <w:pPr>
        <w:pStyle w:val="16"/>
        <w:tabs>
          <w:tab w:val="left" w:pos="0"/>
        </w:tabs>
        <w:snapToGrid w:val="0"/>
        <w:spacing w:line="360" w:lineRule="auto"/>
        <w:ind w:firstLine="359" w:firstLineChars="171"/>
        <w:rPr>
          <w:color w:val="auto"/>
          <w:szCs w:val="21"/>
          <w:highlight w:val="none"/>
        </w:rPr>
      </w:pPr>
      <w:r>
        <w:rPr>
          <w:rFonts w:hint="eastAsia"/>
          <w:color w:val="auto"/>
          <w:szCs w:val="21"/>
          <w:highlight w:val="none"/>
        </w:rPr>
        <w:t>13.2  投标保证金交纳方式见投标人须知前附表。</w:t>
      </w:r>
    </w:p>
    <w:p>
      <w:pPr>
        <w:pStyle w:val="16"/>
        <w:tabs>
          <w:tab w:val="left" w:pos="0"/>
        </w:tabs>
        <w:snapToGrid w:val="0"/>
        <w:spacing w:line="360" w:lineRule="auto"/>
        <w:ind w:firstLine="359" w:firstLineChars="171"/>
        <w:rPr>
          <w:color w:val="auto"/>
          <w:szCs w:val="21"/>
          <w:highlight w:val="none"/>
        </w:rPr>
      </w:pPr>
      <w:r>
        <w:rPr>
          <w:rFonts w:hint="eastAsia"/>
          <w:color w:val="auto"/>
          <w:szCs w:val="21"/>
          <w:highlight w:val="none"/>
        </w:rPr>
        <w:t>13.3  投标人在投标文件中需附投标保证金缴纳凭证或保证金支票/汇票/本票/保函复印件一份并加盖单位公章。</w:t>
      </w:r>
    </w:p>
    <w:p>
      <w:pPr>
        <w:pStyle w:val="16"/>
        <w:tabs>
          <w:tab w:val="left" w:pos="0"/>
        </w:tabs>
        <w:snapToGrid w:val="0"/>
        <w:spacing w:line="360" w:lineRule="auto"/>
        <w:ind w:firstLine="359" w:firstLineChars="171"/>
        <w:rPr>
          <w:color w:val="auto"/>
          <w:szCs w:val="21"/>
          <w:highlight w:val="none"/>
        </w:rPr>
      </w:pPr>
      <w:r>
        <w:rPr>
          <w:rFonts w:hint="eastAsia"/>
          <w:color w:val="auto"/>
          <w:szCs w:val="21"/>
          <w:highlight w:val="none"/>
        </w:rPr>
        <w:t>13.4  未中标供应商的投标保证金，除本章第13.6项规定的不予退还的情形外，由采购代理机构在中标通知书发出后五个工作日内以转账或电汇方式无息退还（注：办理退付投标保证金时只退回投标人的对公账户，代理机构将根据投标保证金声明中提供的账户信息退回，请投标人提供正确的账户信息）。采用支票/汇票/本票/保函方式缴纳投标保证金的，采购代理机构将通知投标人代表领取票据原件。</w:t>
      </w:r>
    </w:p>
    <w:p>
      <w:pPr>
        <w:pStyle w:val="16"/>
        <w:tabs>
          <w:tab w:val="left" w:pos="0"/>
        </w:tabs>
        <w:snapToGrid w:val="0"/>
        <w:spacing w:line="360" w:lineRule="auto"/>
        <w:ind w:firstLine="359" w:firstLineChars="171"/>
        <w:rPr>
          <w:color w:val="auto"/>
          <w:szCs w:val="21"/>
          <w:highlight w:val="none"/>
        </w:rPr>
      </w:pPr>
      <w:r>
        <w:rPr>
          <w:rFonts w:hint="eastAsia"/>
          <w:color w:val="auto"/>
          <w:szCs w:val="21"/>
          <w:highlight w:val="none"/>
        </w:rPr>
        <w:t>13.5 涉及质疑和投诉的供应商，在质疑和投诉调查处理结束前其投标保证金暂不退还。</w:t>
      </w:r>
    </w:p>
    <w:p>
      <w:pPr>
        <w:pStyle w:val="16"/>
        <w:tabs>
          <w:tab w:val="left" w:pos="0"/>
        </w:tabs>
        <w:snapToGrid w:val="0"/>
        <w:spacing w:line="360" w:lineRule="auto"/>
        <w:ind w:firstLine="359" w:firstLineChars="171"/>
        <w:rPr>
          <w:color w:val="auto"/>
          <w:szCs w:val="21"/>
          <w:highlight w:val="none"/>
        </w:rPr>
      </w:pPr>
      <w:r>
        <w:rPr>
          <w:rFonts w:hint="eastAsia"/>
          <w:color w:val="auto"/>
          <w:szCs w:val="21"/>
          <w:highlight w:val="none"/>
        </w:rPr>
        <w:t>13.6 投标人有下列情形之一的，采购代理机构不予退还其交纳的投标保证金：</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（1）投标人在投标有效期内撤回投标文件的；</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（2）未按规定提交履约保证金的；</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（3）投标人在投标过程中弄虚作假，提供虚假材料的；</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（4）中标人无正当理由不与采购人签订合同的；</w:t>
      </w:r>
    </w:p>
    <w:p>
      <w:pPr>
        <w:snapToGrid w:val="0"/>
        <w:spacing w:line="360" w:lineRule="auto"/>
        <w:ind w:firstLine="411" w:firstLineChars="196"/>
        <w:rPr>
          <w:rFonts w:ascii="宋体" w:hAnsi="宋体"/>
          <w:b/>
          <w:color w:val="auto"/>
          <w:szCs w:val="21"/>
          <w:highlight w:val="none"/>
        </w:rPr>
      </w:pPr>
      <w:r>
        <w:rPr>
          <w:rFonts w:hint="eastAsia" w:ascii="宋体" w:hAnsi="宋体"/>
          <w:color w:val="auto"/>
          <w:szCs w:val="21"/>
          <w:highlight w:val="none"/>
        </w:rPr>
        <w:t>（5）</w:t>
      </w:r>
      <w:r>
        <w:rPr>
          <w:rFonts w:hint="eastAsia" w:ascii="宋体" w:hAnsi="宋体"/>
          <w:bCs/>
          <w:color w:val="auto"/>
          <w:szCs w:val="21"/>
          <w:highlight w:val="none"/>
        </w:rPr>
        <w:t>将中标项目转让给他人或者在投标文件中未说明且未经招标采购单位同意，将中标项目分包给他人的；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（6）拒绝履行合同义务的；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（7）其他严重扰乱招投标程序的；</w:t>
      </w:r>
    </w:p>
    <w:p>
      <w:pPr>
        <w:pStyle w:val="16"/>
        <w:snapToGrid w:val="0"/>
        <w:spacing w:line="360" w:lineRule="auto"/>
        <w:ind w:left="2" w:firstLine="718" w:firstLineChars="342"/>
        <w:rPr>
          <w:color w:val="auto"/>
          <w:szCs w:val="21"/>
          <w:highlight w:val="none"/>
        </w:rPr>
      </w:pPr>
    </w:p>
    <w:p>
      <w:pPr>
        <w:widowControl/>
        <w:spacing w:line="360" w:lineRule="auto"/>
        <w:jc w:val="left"/>
        <w:rPr>
          <w:rFonts w:hAnsi="宋体" w:cs="宋体"/>
          <w:bCs/>
          <w:color w:val="auto"/>
          <w:sz w:val="32"/>
          <w:szCs w:val="32"/>
          <w:highlight w:val="none"/>
        </w:rPr>
        <w:sectPr>
          <w:pgSz w:w="11906" w:h="16838"/>
          <w:pgMar w:top="1134" w:right="964" w:bottom="1134" w:left="1134" w:header="851" w:footer="992" w:gutter="0"/>
          <w:cols w:space="720" w:num="1"/>
          <w:docGrid w:linePitch="312" w:charSpace="0"/>
        </w:sectPr>
      </w:pPr>
    </w:p>
    <w:p>
      <w:pPr>
        <w:jc w:val="center"/>
        <w:rPr>
          <w:color w:val="auto"/>
          <w:sz w:val="32"/>
          <w:szCs w:val="32"/>
          <w:highlight w:val="none"/>
        </w:rPr>
      </w:pPr>
      <w:bookmarkStart w:id="41" w:name="_Toc271529386"/>
      <w:r>
        <w:rPr>
          <w:rFonts w:hint="eastAsia"/>
          <w:color w:val="auto"/>
          <w:sz w:val="32"/>
          <w:szCs w:val="32"/>
          <w:highlight w:val="none"/>
        </w:rPr>
        <w:t>四投标</w:t>
      </w:r>
      <w:bookmarkEnd w:id="41"/>
    </w:p>
    <w:p>
      <w:pPr>
        <w:pStyle w:val="16"/>
        <w:snapToGrid w:val="0"/>
        <w:spacing w:line="360" w:lineRule="auto"/>
        <w:rPr>
          <w:bCs/>
          <w:color w:val="auto"/>
          <w:szCs w:val="21"/>
          <w:highlight w:val="none"/>
        </w:rPr>
      </w:pPr>
      <w:r>
        <w:rPr>
          <w:rFonts w:hint="eastAsia"/>
          <w:bCs/>
          <w:color w:val="auto"/>
          <w:szCs w:val="21"/>
          <w:highlight w:val="none"/>
        </w:rPr>
        <w:t>14.  投标文件的密封与标记</w:t>
      </w:r>
    </w:p>
    <w:p>
      <w:pPr>
        <w:pStyle w:val="16"/>
        <w:snapToGrid w:val="0"/>
        <w:spacing w:line="360" w:lineRule="auto"/>
        <w:ind w:left="2" w:firstLine="360"/>
        <w:rPr>
          <w:b/>
          <w:color w:val="auto"/>
          <w:szCs w:val="21"/>
          <w:highlight w:val="none"/>
        </w:rPr>
      </w:pPr>
      <w:r>
        <w:rPr>
          <w:rFonts w:hint="eastAsia"/>
          <w:color w:val="auto"/>
          <w:szCs w:val="21"/>
          <w:highlight w:val="none"/>
        </w:rPr>
        <w:t>14.1</w:t>
      </w:r>
      <w:r>
        <w:rPr>
          <w:rFonts w:hint="eastAsia"/>
          <w:b/>
          <w:color w:val="auto"/>
          <w:szCs w:val="21"/>
          <w:highlight w:val="none"/>
        </w:rPr>
        <w:t>投标人应将投标文件（正本一份，副本四份）一并装入一个投标文件袋（投标文件袋自备）中加以密封，并在封口处加盖单位公章。</w:t>
      </w:r>
    </w:p>
    <w:p>
      <w:pPr>
        <w:pStyle w:val="16"/>
        <w:snapToGrid w:val="0"/>
        <w:spacing w:line="360" w:lineRule="auto"/>
        <w:ind w:firstLine="420"/>
        <w:rPr>
          <w:color w:val="auto"/>
          <w:szCs w:val="21"/>
          <w:highlight w:val="none"/>
        </w:rPr>
      </w:pPr>
      <w:r>
        <w:rPr>
          <w:rFonts w:hint="eastAsia"/>
          <w:color w:val="auto"/>
          <w:szCs w:val="21"/>
          <w:highlight w:val="none"/>
        </w:rPr>
        <w:t>14.2投标文件袋上应写明：</w:t>
      </w:r>
    </w:p>
    <w:p>
      <w:pPr>
        <w:pStyle w:val="16"/>
        <w:snapToGrid w:val="0"/>
        <w:spacing w:line="360" w:lineRule="auto"/>
        <w:ind w:firstLine="420"/>
        <w:rPr>
          <w:color w:val="auto"/>
          <w:szCs w:val="21"/>
          <w:highlight w:val="none"/>
          <w:u w:val="single"/>
        </w:rPr>
      </w:pPr>
      <w:r>
        <w:rPr>
          <w:rFonts w:hint="eastAsia"/>
          <w:color w:val="auto"/>
          <w:szCs w:val="21"/>
          <w:highlight w:val="none"/>
        </w:rPr>
        <w:t>“项目名称：</w:t>
      </w:r>
    </w:p>
    <w:p>
      <w:pPr>
        <w:pStyle w:val="16"/>
        <w:snapToGrid w:val="0"/>
        <w:spacing w:line="360" w:lineRule="auto"/>
        <w:ind w:firstLine="630" w:firstLineChars="300"/>
        <w:rPr>
          <w:color w:val="auto"/>
          <w:szCs w:val="21"/>
          <w:highlight w:val="none"/>
          <w:u w:val="single"/>
        </w:rPr>
      </w:pPr>
      <w:r>
        <w:rPr>
          <w:rFonts w:hint="eastAsia"/>
          <w:color w:val="auto"/>
          <w:szCs w:val="21"/>
          <w:highlight w:val="none"/>
        </w:rPr>
        <w:t>项目编号：</w:t>
      </w:r>
    </w:p>
    <w:p>
      <w:pPr>
        <w:pStyle w:val="16"/>
        <w:snapToGrid w:val="0"/>
        <w:spacing w:line="360" w:lineRule="auto"/>
        <w:ind w:firstLine="630" w:firstLineChars="300"/>
        <w:rPr>
          <w:color w:val="auto"/>
          <w:szCs w:val="21"/>
          <w:highlight w:val="none"/>
          <w:u w:val="single"/>
        </w:rPr>
      </w:pPr>
      <w:r>
        <w:rPr>
          <w:rFonts w:hint="eastAsia"/>
          <w:color w:val="auto"/>
          <w:szCs w:val="21"/>
          <w:highlight w:val="none"/>
        </w:rPr>
        <w:t>投标人名称：</w:t>
      </w:r>
    </w:p>
    <w:p>
      <w:pPr>
        <w:pStyle w:val="16"/>
        <w:snapToGrid w:val="0"/>
        <w:spacing w:line="360" w:lineRule="auto"/>
        <w:ind w:firstLine="630" w:firstLineChars="300"/>
        <w:rPr>
          <w:color w:val="auto"/>
          <w:szCs w:val="21"/>
          <w:highlight w:val="none"/>
          <w:u w:val="single"/>
        </w:rPr>
      </w:pPr>
      <w:r>
        <w:rPr>
          <w:rFonts w:hint="eastAsia"/>
          <w:color w:val="auto"/>
          <w:szCs w:val="21"/>
          <w:highlight w:val="none"/>
        </w:rPr>
        <w:t>联系人：</w:t>
      </w:r>
    </w:p>
    <w:p>
      <w:pPr>
        <w:pStyle w:val="16"/>
        <w:snapToGrid w:val="0"/>
        <w:spacing w:line="360" w:lineRule="auto"/>
        <w:ind w:firstLine="630" w:firstLineChars="300"/>
        <w:rPr>
          <w:color w:val="auto"/>
          <w:szCs w:val="21"/>
          <w:highlight w:val="none"/>
          <w:u w:val="single"/>
        </w:rPr>
      </w:pPr>
      <w:r>
        <w:rPr>
          <w:rFonts w:hint="eastAsia"/>
          <w:color w:val="auto"/>
          <w:szCs w:val="21"/>
          <w:highlight w:val="none"/>
        </w:rPr>
        <w:t>联系地址：</w:t>
      </w:r>
    </w:p>
    <w:p>
      <w:pPr>
        <w:pStyle w:val="16"/>
        <w:snapToGrid w:val="0"/>
        <w:spacing w:line="360" w:lineRule="auto"/>
        <w:ind w:firstLine="630" w:firstLineChars="300"/>
        <w:rPr>
          <w:color w:val="auto"/>
          <w:szCs w:val="21"/>
          <w:highlight w:val="none"/>
        </w:rPr>
      </w:pPr>
      <w:r>
        <w:rPr>
          <w:rFonts w:hint="eastAsia"/>
          <w:color w:val="auto"/>
          <w:szCs w:val="21"/>
          <w:highlight w:val="none"/>
        </w:rPr>
        <w:t>XXXX年XX月XX日XX时XX分前不得开启”</w:t>
      </w:r>
    </w:p>
    <w:p>
      <w:pPr>
        <w:pStyle w:val="16"/>
        <w:snapToGrid w:val="0"/>
        <w:spacing w:line="360" w:lineRule="auto"/>
        <w:ind w:firstLine="630" w:firstLineChars="300"/>
        <w:rPr>
          <w:color w:val="auto"/>
          <w:szCs w:val="21"/>
          <w:highlight w:val="none"/>
        </w:rPr>
      </w:pPr>
      <w:r>
        <w:rPr>
          <w:rFonts w:hint="eastAsia"/>
          <w:color w:val="auto"/>
          <w:szCs w:val="21"/>
          <w:highlight w:val="none"/>
        </w:rPr>
        <w:t>（备注：XXXX年XX月XX日XX时XX分是指截标时间），</w:t>
      </w:r>
      <w:r>
        <w:rPr>
          <w:rFonts w:hint="eastAsia"/>
          <w:b/>
          <w:color w:val="auto"/>
          <w:szCs w:val="21"/>
          <w:highlight w:val="none"/>
        </w:rPr>
        <w:t>同时加盖投标人单位公章。</w:t>
      </w:r>
    </w:p>
    <w:p>
      <w:pPr>
        <w:pStyle w:val="16"/>
        <w:snapToGrid w:val="0"/>
        <w:spacing w:line="360" w:lineRule="auto"/>
        <w:rPr>
          <w:bCs/>
          <w:color w:val="auto"/>
          <w:szCs w:val="21"/>
          <w:highlight w:val="none"/>
        </w:rPr>
      </w:pPr>
      <w:r>
        <w:rPr>
          <w:rFonts w:hint="eastAsia"/>
          <w:bCs/>
          <w:color w:val="auto"/>
          <w:szCs w:val="21"/>
          <w:highlight w:val="none"/>
        </w:rPr>
        <w:t>15.  投标文件及投标样品的递交</w:t>
      </w:r>
    </w:p>
    <w:p>
      <w:pPr>
        <w:pStyle w:val="16"/>
        <w:snapToGrid w:val="0"/>
        <w:spacing w:line="360" w:lineRule="auto"/>
        <w:ind w:firstLine="360"/>
        <w:rPr>
          <w:color w:val="auto"/>
          <w:szCs w:val="21"/>
          <w:highlight w:val="none"/>
        </w:rPr>
      </w:pPr>
      <w:r>
        <w:rPr>
          <w:rFonts w:hint="eastAsia"/>
          <w:color w:val="auto"/>
          <w:szCs w:val="21"/>
          <w:highlight w:val="none"/>
        </w:rPr>
        <w:t>15.1  投标人投标截止时间：见投标人须知前附表。</w:t>
      </w:r>
    </w:p>
    <w:p>
      <w:pPr>
        <w:pStyle w:val="16"/>
        <w:snapToGrid w:val="0"/>
        <w:spacing w:line="360" w:lineRule="auto"/>
        <w:ind w:firstLine="360"/>
        <w:rPr>
          <w:color w:val="auto"/>
          <w:szCs w:val="21"/>
          <w:highlight w:val="none"/>
        </w:rPr>
      </w:pPr>
      <w:r>
        <w:rPr>
          <w:rFonts w:hint="eastAsia"/>
          <w:color w:val="auto"/>
          <w:szCs w:val="21"/>
          <w:highlight w:val="none"/>
        </w:rPr>
        <w:t>15.2  投标人递交投标文件地点：见投标人须知前附表。</w:t>
      </w:r>
    </w:p>
    <w:p>
      <w:pPr>
        <w:pStyle w:val="16"/>
        <w:snapToGrid w:val="0"/>
        <w:spacing w:line="360" w:lineRule="auto"/>
        <w:ind w:firstLine="360"/>
        <w:rPr>
          <w:color w:val="auto"/>
          <w:szCs w:val="21"/>
          <w:highlight w:val="none"/>
        </w:rPr>
      </w:pPr>
      <w:r>
        <w:rPr>
          <w:rFonts w:hint="eastAsia"/>
          <w:color w:val="auto"/>
          <w:szCs w:val="21"/>
          <w:highlight w:val="none"/>
        </w:rPr>
        <w:t>15.3  投标人递交投标样品截止时间：见投标人须知前附表。</w:t>
      </w:r>
    </w:p>
    <w:p>
      <w:pPr>
        <w:pStyle w:val="16"/>
        <w:snapToGrid w:val="0"/>
        <w:spacing w:line="360" w:lineRule="auto"/>
        <w:ind w:firstLine="360"/>
        <w:rPr>
          <w:color w:val="auto"/>
          <w:szCs w:val="21"/>
          <w:highlight w:val="none"/>
        </w:rPr>
      </w:pPr>
      <w:r>
        <w:rPr>
          <w:rFonts w:hint="eastAsia"/>
          <w:color w:val="auto"/>
          <w:szCs w:val="21"/>
          <w:highlight w:val="none"/>
        </w:rPr>
        <w:t>15.4  投标人递交投标样品地点（如有时）：见投标人须知前附表。</w:t>
      </w:r>
    </w:p>
    <w:p>
      <w:pPr>
        <w:pStyle w:val="16"/>
        <w:snapToGrid w:val="0"/>
        <w:spacing w:line="360" w:lineRule="auto"/>
        <w:rPr>
          <w:bCs/>
          <w:color w:val="auto"/>
          <w:szCs w:val="21"/>
          <w:highlight w:val="none"/>
        </w:rPr>
      </w:pPr>
      <w:r>
        <w:rPr>
          <w:rFonts w:hint="eastAsia"/>
          <w:bCs/>
          <w:color w:val="auto"/>
          <w:szCs w:val="21"/>
          <w:highlight w:val="none"/>
        </w:rPr>
        <w:t>16.投标文件的修改和撤回</w:t>
      </w:r>
    </w:p>
    <w:p>
      <w:pPr>
        <w:pStyle w:val="16"/>
        <w:snapToGrid w:val="0"/>
        <w:spacing w:line="360" w:lineRule="auto"/>
        <w:ind w:firstLine="360"/>
        <w:rPr>
          <w:color w:val="auto"/>
          <w:szCs w:val="21"/>
          <w:highlight w:val="none"/>
        </w:rPr>
      </w:pPr>
      <w:r>
        <w:rPr>
          <w:rFonts w:hint="eastAsia"/>
          <w:color w:val="auto"/>
          <w:szCs w:val="21"/>
          <w:highlight w:val="none"/>
        </w:rPr>
        <w:t>16.1投标人在递交投标文件以后，在规定的投标截止时间之前，可以书面形式向采购人递交请求修改或撤回其投标文件的通知。但在投标截止日期以后，不能修改或撤回投标文件。</w:t>
      </w:r>
    </w:p>
    <w:p>
      <w:pPr>
        <w:pStyle w:val="16"/>
        <w:snapToGrid w:val="0"/>
        <w:spacing w:line="360" w:lineRule="auto"/>
        <w:ind w:firstLine="360"/>
        <w:rPr>
          <w:color w:val="auto"/>
          <w:szCs w:val="21"/>
          <w:highlight w:val="none"/>
        </w:rPr>
      </w:pPr>
      <w:r>
        <w:rPr>
          <w:rFonts w:hint="eastAsia"/>
          <w:color w:val="auto"/>
          <w:szCs w:val="21"/>
          <w:highlight w:val="none"/>
        </w:rPr>
        <w:t>16.2投标人修改后的投标文件或撤回通知，应按本须知14条的规定编制、密封、标志和递交，并在内层注明“修改”的字样。</w:t>
      </w:r>
    </w:p>
    <w:p>
      <w:pPr>
        <w:pStyle w:val="16"/>
        <w:snapToGrid w:val="0"/>
        <w:spacing w:line="360" w:lineRule="auto"/>
        <w:ind w:firstLine="360"/>
        <w:rPr>
          <w:color w:val="auto"/>
          <w:szCs w:val="21"/>
          <w:highlight w:val="none"/>
        </w:rPr>
        <w:sectPr>
          <w:pgSz w:w="11906" w:h="16838"/>
          <w:pgMar w:top="1418" w:right="1134" w:bottom="1418" w:left="1418" w:header="851" w:footer="992" w:gutter="0"/>
          <w:cols w:space="720" w:num="1"/>
          <w:docGrid w:type="lines" w:linePitch="312" w:charSpace="0"/>
        </w:sectPr>
      </w:pPr>
      <w:r>
        <w:rPr>
          <w:rFonts w:hint="eastAsia"/>
          <w:color w:val="auto"/>
          <w:szCs w:val="21"/>
          <w:highlight w:val="none"/>
        </w:rPr>
        <w:t>16.3在投标截止日期与投标书规定的投标有效期终止日之间这段时间内，投标人不能撤回投标文件。</w:t>
      </w:r>
    </w:p>
    <w:p>
      <w:pPr>
        <w:pStyle w:val="16"/>
        <w:snapToGrid w:val="0"/>
        <w:spacing w:line="360" w:lineRule="auto"/>
        <w:ind w:firstLine="360"/>
        <w:rPr>
          <w:color w:val="auto"/>
          <w:szCs w:val="21"/>
          <w:highlight w:val="none"/>
        </w:rPr>
      </w:pPr>
    </w:p>
    <w:p>
      <w:pPr>
        <w:jc w:val="center"/>
        <w:rPr>
          <w:color w:val="auto"/>
          <w:sz w:val="32"/>
          <w:szCs w:val="32"/>
          <w:highlight w:val="none"/>
        </w:rPr>
      </w:pPr>
      <w:bookmarkStart w:id="42" w:name="_Toc271529387"/>
      <w:r>
        <w:rPr>
          <w:rFonts w:hint="eastAsia"/>
          <w:color w:val="auto"/>
          <w:sz w:val="32"/>
          <w:szCs w:val="32"/>
          <w:highlight w:val="none"/>
        </w:rPr>
        <w:t>五开标与评标</w:t>
      </w:r>
      <w:bookmarkEnd w:id="42"/>
    </w:p>
    <w:p>
      <w:pPr>
        <w:pStyle w:val="16"/>
        <w:snapToGrid w:val="0"/>
        <w:spacing w:line="360" w:lineRule="auto"/>
        <w:rPr>
          <w:bCs/>
          <w:color w:val="auto"/>
          <w:szCs w:val="21"/>
          <w:highlight w:val="none"/>
        </w:rPr>
      </w:pPr>
      <w:r>
        <w:rPr>
          <w:rFonts w:hint="eastAsia"/>
          <w:bCs/>
          <w:color w:val="auto"/>
          <w:szCs w:val="21"/>
          <w:highlight w:val="none"/>
        </w:rPr>
        <w:t>16.  开标</w:t>
      </w:r>
    </w:p>
    <w:p>
      <w:pPr>
        <w:pStyle w:val="16"/>
        <w:snapToGrid w:val="0"/>
        <w:spacing w:line="360" w:lineRule="auto"/>
        <w:ind w:firstLine="359" w:firstLineChars="171"/>
        <w:rPr>
          <w:color w:val="auto"/>
          <w:szCs w:val="21"/>
          <w:highlight w:val="none"/>
        </w:rPr>
      </w:pPr>
      <w:r>
        <w:rPr>
          <w:rFonts w:hint="eastAsia"/>
          <w:color w:val="auto"/>
          <w:szCs w:val="21"/>
          <w:highlight w:val="none"/>
        </w:rPr>
        <w:t>16.1  采购代理机构将在本章第15.1项规定的投标截止时间（即开标时间）和投标人须知前附表规定的地点公开开标，</w:t>
      </w:r>
      <w:r>
        <w:rPr>
          <w:rFonts w:hint="eastAsia"/>
          <w:b/>
          <w:color w:val="auto"/>
          <w:szCs w:val="21"/>
          <w:highlight w:val="none"/>
        </w:rPr>
        <w:t>投标人的法定代表人或其委托代理人持有效证件[法定代表人凭《法定代表人（负责人）身份证明书》及本人身份证，代理人凭《授权委托书》及本人身份证原件]、投标保证金声明原件或保证金支票/汇票/本票/保函原件参加开标会</w:t>
      </w:r>
      <w:r>
        <w:rPr>
          <w:rFonts w:hint="eastAsia"/>
          <w:color w:val="auto"/>
          <w:szCs w:val="21"/>
          <w:highlight w:val="none"/>
        </w:rPr>
        <w:t>。参加开标的代表应签到并接受身份验证。</w:t>
      </w:r>
      <w:r>
        <w:rPr>
          <w:rFonts w:hint="eastAsia"/>
          <w:bCs/>
          <w:color w:val="auto"/>
          <w:szCs w:val="21"/>
          <w:highlight w:val="none"/>
        </w:rPr>
        <w:t>如未按时签到或不提供身份证明，由此产生的后果由投标人自行负责</w:t>
      </w:r>
      <w:r>
        <w:rPr>
          <w:rFonts w:hint="eastAsia"/>
          <w:color w:val="auto"/>
          <w:szCs w:val="21"/>
          <w:highlight w:val="none"/>
        </w:rPr>
        <w:t>。</w:t>
      </w:r>
    </w:p>
    <w:p>
      <w:pPr>
        <w:pStyle w:val="16"/>
        <w:snapToGrid w:val="0"/>
        <w:spacing w:line="360" w:lineRule="auto"/>
        <w:rPr>
          <w:color w:val="auto"/>
          <w:szCs w:val="21"/>
          <w:highlight w:val="none"/>
        </w:rPr>
      </w:pPr>
      <w:r>
        <w:rPr>
          <w:rFonts w:hint="eastAsia"/>
          <w:color w:val="auto"/>
          <w:szCs w:val="21"/>
          <w:highlight w:val="none"/>
        </w:rPr>
        <w:t xml:space="preserve">16.2  开标程序： </w:t>
      </w:r>
    </w:p>
    <w:p>
      <w:pPr>
        <w:pStyle w:val="16"/>
        <w:snapToGrid w:val="0"/>
        <w:spacing w:line="360" w:lineRule="auto"/>
        <w:ind w:firstLine="420" w:firstLineChars="200"/>
        <w:rPr>
          <w:color w:val="auto"/>
          <w:szCs w:val="21"/>
          <w:highlight w:val="none"/>
        </w:rPr>
      </w:pPr>
      <w:r>
        <w:rPr>
          <w:rFonts w:hint="eastAsia"/>
          <w:color w:val="auto"/>
          <w:szCs w:val="21"/>
          <w:highlight w:val="none"/>
        </w:rPr>
        <w:t>（1）开标会由采购代理机构主持，主持人宣布开标会议开始；</w:t>
      </w:r>
    </w:p>
    <w:p>
      <w:pPr>
        <w:pStyle w:val="16"/>
        <w:snapToGrid w:val="0"/>
        <w:spacing w:line="360" w:lineRule="auto"/>
        <w:ind w:firstLine="420" w:firstLineChars="200"/>
        <w:rPr>
          <w:color w:val="auto"/>
          <w:szCs w:val="21"/>
          <w:highlight w:val="none"/>
        </w:rPr>
      </w:pPr>
      <w:r>
        <w:rPr>
          <w:rFonts w:hint="eastAsia"/>
          <w:color w:val="auto"/>
          <w:szCs w:val="21"/>
          <w:highlight w:val="none"/>
        </w:rPr>
        <w:t>（2）公布在投标截止时间前递交投标文件的投标人名称，并点名确认投标人是否派人到场；</w:t>
      </w:r>
    </w:p>
    <w:p>
      <w:pPr>
        <w:pStyle w:val="16"/>
        <w:snapToGrid w:val="0"/>
        <w:spacing w:line="360" w:lineRule="auto"/>
        <w:ind w:firstLine="420" w:firstLineChars="200"/>
        <w:rPr>
          <w:color w:val="auto"/>
          <w:szCs w:val="21"/>
          <w:highlight w:val="none"/>
        </w:rPr>
      </w:pPr>
      <w:r>
        <w:rPr>
          <w:rFonts w:hint="eastAsia"/>
          <w:color w:val="auto"/>
          <w:szCs w:val="21"/>
          <w:highlight w:val="none"/>
        </w:rPr>
        <w:t>（3）宣布参会人员；</w:t>
      </w:r>
    </w:p>
    <w:p>
      <w:pPr>
        <w:pStyle w:val="16"/>
        <w:snapToGrid w:val="0"/>
        <w:spacing w:line="360" w:lineRule="auto"/>
        <w:ind w:firstLine="420" w:firstLineChars="200"/>
        <w:rPr>
          <w:color w:val="auto"/>
          <w:szCs w:val="21"/>
          <w:highlight w:val="none"/>
        </w:rPr>
      </w:pPr>
      <w:r>
        <w:rPr>
          <w:rFonts w:hint="eastAsia"/>
          <w:color w:val="auto"/>
          <w:szCs w:val="21"/>
          <w:highlight w:val="none"/>
        </w:rPr>
        <w:t>（4）投标人代表按本章第14项的规定检查投标文件的密封情况，并签字确认；</w:t>
      </w:r>
    </w:p>
    <w:p>
      <w:pPr>
        <w:pStyle w:val="16"/>
        <w:snapToGrid w:val="0"/>
        <w:spacing w:line="360" w:lineRule="auto"/>
        <w:ind w:firstLine="420" w:firstLineChars="200"/>
        <w:rPr>
          <w:color w:val="auto"/>
          <w:szCs w:val="21"/>
          <w:highlight w:val="none"/>
        </w:rPr>
      </w:pPr>
      <w:r>
        <w:rPr>
          <w:rFonts w:hint="eastAsia"/>
          <w:color w:val="auto"/>
          <w:szCs w:val="21"/>
          <w:highlight w:val="none"/>
        </w:rPr>
        <w:t>（5）按各投标人递交投标文件时间的先后顺序当众拆封投标文件，由唱标人宣读投标人名称、投标报价等以及采购代理机构认为有必要宣读的其他内容，并检验投标人的投标保证金交纳证明，由采购代理机构做好开标记录；</w:t>
      </w:r>
    </w:p>
    <w:p>
      <w:pPr>
        <w:pStyle w:val="16"/>
        <w:snapToGrid w:val="0"/>
        <w:spacing w:line="360" w:lineRule="auto"/>
        <w:ind w:firstLine="420" w:firstLineChars="200"/>
        <w:rPr>
          <w:color w:val="auto"/>
          <w:szCs w:val="21"/>
          <w:highlight w:val="none"/>
        </w:rPr>
      </w:pPr>
      <w:r>
        <w:rPr>
          <w:rFonts w:hint="eastAsia"/>
          <w:color w:val="auto"/>
          <w:szCs w:val="21"/>
          <w:highlight w:val="none"/>
        </w:rPr>
        <w:t>（6）相关人员在开标记录上签字确认；</w:t>
      </w:r>
      <w:r>
        <w:rPr>
          <w:rFonts w:hint="eastAsia"/>
          <w:b/>
          <w:color w:val="auto"/>
          <w:highlight w:val="none"/>
        </w:rPr>
        <w:t>唱标结束后，参加开标会的投标人的法定代表人</w:t>
      </w:r>
      <w:r>
        <w:rPr>
          <w:rFonts w:hint="eastAsia"/>
          <w:b/>
          <w:color w:val="auto"/>
          <w:szCs w:val="21"/>
          <w:highlight w:val="none"/>
        </w:rPr>
        <w:t>（负责人）</w:t>
      </w:r>
      <w:r>
        <w:rPr>
          <w:rFonts w:hint="eastAsia"/>
          <w:b/>
          <w:color w:val="auto"/>
          <w:highlight w:val="none"/>
        </w:rPr>
        <w:t>或其委托代理人必须在开标(唱标)记录上签字确认，否则视为认可开标结果。</w:t>
      </w:r>
    </w:p>
    <w:p>
      <w:pPr>
        <w:pStyle w:val="16"/>
        <w:snapToGrid w:val="0"/>
        <w:spacing w:line="360" w:lineRule="auto"/>
        <w:ind w:firstLine="420" w:firstLineChars="200"/>
        <w:rPr>
          <w:color w:val="auto"/>
          <w:szCs w:val="21"/>
          <w:highlight w:val="none"/>
        </w:rPr>
      </w:pPr>
      <w:r>
        <w:rPr>
          <w:rFonts w:hint="eastAsia"/>
          <w:color w:val="auto"/>
          <w:szCs w:val="21"/>
          <w:highlight w:val="none"/>
        </w:rPr>
        <w:t>（7）宣布评标期间的有关事项；</w:t>
      </w:r>
    </w:p>
    <w:p>
      <w:pPr>
        <w:pStyle w:val="16"/>
        <w:snapToGrid w:val="0"/>
        <w:spacing w:line="360" w:lineRule="auto"/>
        <w:ind w:firstLine="420" w:firstLineChars="200"/>
        <w:rPr>
          <w:color w:val="auto"/>
          <w:szCs w:val="21"/>
          <w:highlight w:val="none"/>
        </w:rPr>
      </w:pPr>
      <w:r>
        <w:rPr>
          <w:rFonts w:hint="eastAsia"/>
          <w:color w:val="auto"/>
          <w:szCs w:val="21"/>
          <w:highlight w:val="none"/>
        </w:rPr>
        <w:t>（8）开标结束。</w:t>
      </w:r>
    </w:p>
    <w:p>
      <w:pPr>
        <w:pStyle w:val="16"/>
        <w:snapToGrid w:val="0"/>
        <w:spacing w:line="360" w:lineRule="auto"/>
        <w:rPr>
          <w:bCs/>
          <w:color w:val="auto"/>
          <w:szCs w:val="21"/>
          <w:highlight w:val="none"/>
        </w:rPr>
      </w:pPr>
      <w:r>
        <w:rPr>
          <w:rFonts w:hint="eastAsia"/>
          <w:bCs/>
          <w:color w:val="auto"/>
          <w:szCs w:val="21"/>
          <w:highlight w:val="none"/>
        </w:rPr>
        <w:t>17.  评标</w:t>
      </w:r>
    </w:p>
    <w:p>
      <w:pPr>
        <w:pStyle w:val="16"/>
        <w:snapToGrid w:val="0"/>
        <w:spacing w:line="360" w:lineRule="auto"/>
        <w:ind w:firstLine="360"/>
        <w:rPr>
          <w:color w:val="auto"/>
          <w:szCs w:val="21"/>
          <w:highlight w:val="none"/>
        </w:rPr>
      </w:pPr>
      <w:r>
        <w:rPr>
          <w:rFonts w:hint="eastAsia"/>
          <w:b/>
          <w:color w:val="auto"/>
          <w:highlight w:val="none"/>
        </w:rPr>
        <w:t>本项目是以政府采购预算价（采购人的控制价）为最高限价，当投标人的投标报价超出政府采购预算价时，且采购人不能支付的，评标委员会对其投标文件将不予以评审。</w:t>
      </w:r>
    </w:p>
    <w:p>
      <w:pPr>
        <w:pStyle w:val="16"/>
        <w:snapToGrid w:val="0"/>
        <w:spacing w:line="360" w:lineRule="auto"/>
        <w:ind w:firstLine="360"/>
        <w:rPr>
          <w:color w:val="auto"/>
          <w:szCs w:val="21"/>
          <w:highlight w:val="none"/>
        </w:rPr>
      </w:pPr>
      <w:r>
        <w:rPr>
          <w:rFonts w:hint="eastAsia"/>
          <w:color w:val="auto"/>
          <w:szCs w:val="21"/>
          <w:highlight w:val="none"/>
        </w:rPr>
        <w:t>17.1  评标委员会：评标由依法组建的评标委员会负责。评标委员会由采购人代表和有关技术、经济等方面的专家共五人单数组成。采购人根据本项目的特点，从财政部门设立的政府采购评审专家库中，通过随机方式抽取专家。</w:t>
      </w:r>
    </w:p>
    <w:p>
      <w:pPr>
        <w:pStyle w:val="16"/>
        <w:snapToGrid w:val="0"/>
        <w:spacing w:line="360" w:lineRule="auto"/>
        <w:ind w:firstLine="360"/>
        <w:rPr>
          <w:color w:val="auto"/>
          <w:szCs w:val="21"/>
          <w:highlight w:val="none"/>
        </w:rPr>
      </w:pPr>
      <w:r>
        <w:rPr>
          <w:rFonts w:hint="eastAsia"/>
          <w:color w:val="auto"/>
          <w:szCs w:val="21"/>
          <w:highlight w:val="none"/>
        </w:rPr>
        <w:t>17.2  评标原则：评标活动遵循公平、公正、科学和择优的原则。</w:t>
      </w:r>
    </w:p>
    <w:p>
      <w:pPr>
        <w:pStyle w:val="16"/>
        <w:snapToGrid w:val="0"/>
        <w:spacing w:line="360" w:lineRule="auto"/>
        <w:ind w:firstLine="360"/>
        <w:rPr>
          <w:color w:val="auto"/>
          <w:szCs w:val="21"/>
          <w:highlight w:val="none"/>
        </w:rPr>
      </w:pPr>
      <w:r>
        <w:rPr>
          <w:rFonts w:hint="eastAsia"/>
          <w:color w:val="auto"/>
          <w:szCs w:val="21"/>
          <w:highlight w:val="none"/>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6"/>
        <w:snapToGrid w:val="0"/>
        <w:spacing w:line="360" w:lineRule="auto"/>
        <w:ind w:firstLine="359" w:firstLineChars="171"/>
        <w:rPr>
          <w:color w:val="auto"/>
          <w:szCs w:val="21"/>
          <w:highlight w:val="none"/>
        </w:rPr>
      </w:pPr>
      <w:r>
        <w:rPr>
          <w:rFonts w:hint="eastAsia"/>
          <w:color w:val="auto"/>
          <w:szCs w:val="21"/>
          <w:highlight w:val="none"/>
        </w:rPr>
        <w:t>17.4  评标程序：</w:t>
      </w:r>
    </w:p>
    <w:p>
      <w:pPr>
        <w:pStyle w:val="16"/>
        <w:snapToGrid w:val="0"/>
        <w:spacing w:line="360" w:lineRule="auto"/>
        <w:ind w:firstLine="359" w:firstLineChars="171"/>
        <w:rPr>
          <w:color w:val="auto"/>
          <w:szCs w:val="21"/>
          <w:highlight w:val="none"/>
        </w:rPr>
      </w:pPr>
      <w:r>
        <w:rPr>
          <w:rFonts w:hint="eastAsia"/>
          <w:color w:val="auto"/>
          <w:szCs w:val="21"/>
          <w:highlight w:val="none"/>
        </w:rPr>
        <w:t>17.4.1  采购代理机构项目负责人宣读评标现场纪律要求，集中管理通讯工具，询问在场人员是否申请回避；</w:t>
      </w:r>
    </w:p>
    <w:p>
      <w:pPr>
        <w:pStyle w:val="16"/>
        <w:snapToGrid w:val="0"/>
        <w:spacing w:line="360" w:lineRule="auto"/>
        <w:ind w:firstLine="359" w:firstLineChars="171"/>
        <w:rPr>
          <w:color w:val="auto"/>
          <w:szCs w:val="21"/>
          <w:highlight w:val="none"/>
        </w:rPr>
      </w:pPr>
      <w:r>
        <w:rPr>
          <w:rFonts w:hint="eastAsia"/>
          <w:color w:val="auto"/>
          <w:szCs w:val="21"/>
          <w:highlight w:val="none"/>
        </w:rPr>
        <w:t>17.4.2  采购代理机构项目负责人介绍项目概况及评标委员会组成情况，推选评标组长（原则上采购人不得担任评标组长）；</w:t>
      </w:r>
    </w:p>
    <w:p>
      <w:pPr>
        <w:pStyle w:val="16"/>
        <w:snapToGrid w:val="0"/>
        <w:spacing w:line="360" w:lineRule="auto"/>
        <w:ind w:firstLine="359" w:firstLineChars="171"/>
        <w:rPr>
          <w:color w:val="auto"/>
          <w:szCs w:val="21"/>
          <w:highlight w:val="none"/>
        </w:rPr>
      </w:pPr>
      <w:r>
        <w:rPr>
          <w:rFonts w:hint="eastAsia"/>
          <w:color w:val="auto"/>
          <w:szCs w:val="21"/>
          <w:highlight w:val="none"/>
        </w:rPr>
        <w:t>17.4.3  评标委员会按分工开展评标工作：</w:t>
      </w:r>
    </w:p>
    <w:p>
      <w:pPr>
        <w:pStyle w:val="16"/>
        <w:snapToGrid w:val="0"/>
        <w:spacing w:line="360" w:lineRule="auto"/>
        <w:ind w:firstLine="359" w:firstLineChars="171"/>
        <w:rPr>
          <w:color w:val="auto"/>
          <w:szCs w:val="21"/>
          <w:highlight w:val="none"/>
        </w:rPr>
      </w:pPr>
      <w:r>
        <w:rPr>
          <w:rFonts w:hint="eastAsia"/>
          <w:color w:val="auto"/>
          <w:szCs w:val="21"/>
          <w:highlight w:val="none"/>
        </w:rPr>
        <w:t>（1）投标文件初审。初审分为资格性检查和符合性检查。</w:t>
      </w:r>
    </w:p>
    <w:p>
      <w:pPr>
        <w:pStyle w:val="16"/>
        <w:snapToGrid w:val="0"/>
        <w:spacing w:line="360" w:lineRule="auto"/>
        <w:ind w:firstLine="420" w:firstLineChars="200"/>
        <w:rPr>
          <w:color w:val="auto"/>
          <w:szCs w:val="21"/>
          <w:highlight w:val="none"/>
        </w:rPr>
      </w:pPr>
      <w:r>
        <w:rPr>
          <w:rFonts w:hint="eastAsia"/>
          <w:color w:val="auto"/>
          <w:szCs w:val="21"/>
          <w:highlight w:val="none"/>
        </w:rPr>
        <w:t>资格性检查：开标结束后，由采购人依据法律法规和招标文件的规定对投标人的资格进行审查，以确定投标人是否具备投标资格。它所涉及到的主要文件和内容为本章投标人须知第10条所述的资格资信证明文件内容。如果投标人不具备投标资格，不满足招标文件所规定的资格条件或缺少任何一项或有任何一项不合格的，视为资格审查不合格，其不再进入评审。</w:t>
      </w:r>
    </w:p>
    <w:p>
      <w:pPr>
        <w:pStyle w:val="16"/>
        <w:snapToGrid w:val="0"/>
        <w:spacing w:line="360" w:lineRule="auto"/>
        <w:ind w:firstLine="420" w:firstLineChars="200"/>
        <w:rPr>
          <w:color w:val="auto"/>
          <w:szCs w:val="21"/>
          <w:highlight w:val="none"/>
        </w:rPr>
      </w:pPr>
      <w:r>
        <w:rPr>
          <w:rFonts w:hint="eastAsia"/>
          <w:color w:val="auto"/>
          <w:szCs w:val="21"/>
          <w:highlight w:val="none"/>
        </w:rPr>
        <w:t>符合性检查：依据招标文件的规定，从投标文件的有效性、完整性和对招标文件的响应程度、所投货物型号规格、技术参数、性能配置、报价及商务文件部分、技术文件部分等进行审查，以确定是否对招标文件的实质性要求和条件作出响应。</w:t>
      </w:r>
    </w:p>
    <w:p>
      <w:pPr>
        <w:pStyle w:val="16"/>
        <w:snapToGrid w:val="0"/>
        <w:spacing w:line="360" w:lineRule="auto"/>
        <w:ind w:firstLine="359" w:firstLineChars="171"/>
        <w:rPr>
          <w:color w:val="auto"/>
          <w:szCs w:val="21"/>
          <w:highlight w:val="none"/>
        </w:rPr>
      </w:pPr>
      <w:r>
        <w:rPr>
          <w:rFonts w:hint="eastAsia"/>
          <w:color w:val="auto"/>
          <w:szCs w:val="21"/>
          <w:highlight w:val="none"/>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签章确认，且不得超出投标文件的范围或者改变投标文件的实质性内容。该澄清、说明或者纠正是投标文件的组成部分。</w:t>
      </w:r>
    </w:p>
    <w:p>
      <w:pPr>
        <w:pStyle w:val="16"/>
        <w:snapToGrid w:val="0"/>
        <w:spacing w:line="360" w:lineRule="auto"/>
        <w:ind w:firstLine="359" w:firstLineChars="171"/>
        <w:rPr>
          <w:color w:val="auto"/>
          <w:szCs w:val="21"/>
          <w:highlight w:val="none"/>
        </w:rPr>
      </w:pPr>
      <w:r>
        <w:rPr>
          <w:rFonts w:hint="eastAsia"/>
          <w:color w:val="auto"/>
          <w:szCs w:val="21"/>
          <w:highlight w:val="none"/>
        </w:rPr>
        <w:t>（3）比较与评价。按招标文件中规定的评标方法和标准，对资格性检查和符合性检查合格的投标文件进行商务和技术评估，综合比较与评价。</w:t>
      </w:r>
    </w:p>
    <w:p>
      <w:pPr>
        <w:pStyle w:val="16"/>
        <w:snapToGrid w:val="0"/>
        <w:spacing w:line="360" w:lineRule="auto"/>
        <w:ind w:firstLine="359" w:firstLineChars="171"/>
        <w:rPr>
          <w:color w:val="auto"/>
          <w:szCs w:val="21"/>
          <w:highlight w:val="none"/>
        </w:rPr>
      </w:pPr>
      <w:r>
        <w:rPr>
          <w:rFonts w:hint="eastAsia"/>
          <w:color w:val="auto"/>
          <w:szCs w:val="21"/>
          <w:highlight w:val="none"/>
        </w:rPr>
        <w:t>（4）推荐中标候选供应商名单。</w:t>
      </w:r>
    </w:p>
    <w:p>
      <w:pPr>
        <w:pStyle w:val="16"/>
        <w:snapToGrid w:val="0"/>
        <w:spacing w:line="360" w:lineRule="auto"/>
        <w:ind w:firstLine="359" w:firstLineChars="171"/>
        <w:rPr>
          <w:color w:val="auto"/>
          <w:szCs w:val="21"/>
          <w:highlight w:val="none"/>
        </w:rPr>
      </w:pPr>
      <w:r>
        <w:rPr>
          <w:rFonts w:hint="eastAsia"/>
          <w:color w:val="auto"/>
          <w:szCs w:val="21"/>
          <w:highlight w:val="none"/>
        </w:rPr>
        <w:t>（5）编写评标报告。</w:t>
      </w:r>
    </w:p>
    <w:p>
      <w:pPr>
        <w:pStyle w:val="16"/>
        <w:snapToGrid w:val="0"/>
        <w:spacing w:line="360" w:lineRule="auto"/>
        <w:ind w:firstLine="359" w:firstLineChars="171"/>
        <w:rPr>
          <w:color w:val="auto"/>
          <w:szCs w:val="21"/>
          <w:highlight w:val="none"/>
        </w:rPr>
      </w:pPr>
      <w:r>
        <w:rPr>
          <w:rFonts w:hint="eastAsia"/>
          <w:color w:val="auto"/>
          <w:szCs w:val="21"/>
          <w:highlight w:val="none"/>
        </w:rPr>
        <w:t>17.4.4  采购代理机构对评标过程和评分、评标结论进行核对和复核，如有错漏，请当事评委进行校正，按校正后的结果确定中标供应商。</w:t>
      </w:r>
    </w:p>
    <w:p>
      <w:pPr>
        <w:pStyle w:val="16"/>
        <w:snapToGrid w:val="0"/>
        <w:spacing w:line="360" w:lineRule="auto"/>
        <w:ind w:firstLine="359" w:firstLineChars="171"/>
        <w:rPr>
          <w:color w:val="auto"/>
          <w:szCs w:val="21"/>
          <w:highlight w:val="none"/>
        </w:rPr>
      </w:pPr>
      <w:r>
        <w:rPr>
          <w:rFonts w:hint="eastAsia"/>
          <w:color w:val="auto"/>
          <w:szCs w:val="21"/>
          <w:highlight w:val="none"/>
        </w:rPr>
        <w:t>17.5  在确定中标供应商前，采购人或采购代理机构不得与投标人就投标价格、投标方案等实质性内容进行谈判。</w:t>
      </w:r>
    </w:p>
    <w:p>
      <w:pPr>
        <w:pStyle w:val="16"/>
        <w:snapToGrid w:val="0"/>
        <w:spacing w:line="360" w:lineRule="auto"/>
        <w:ind w:firstLine="359" w:firstLineChars="171"/>
        <w:rPr>
          <w:color w:val="auto"/>
          <w:szCs w:val="21"/>
          <w:highlight w:val="none"/>
        </w:rPr>
      </w:pPr>
      <w:r>
        <w:rPr>
          <w:rFonts w:hint="eastAsia"/>
          <w:color w:val="auto"/>
          <w:szCs w:val="21"/>
          <w:highlight w:val="none"/>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6"/>
        <w:snapToGrid w:val="0"/>
        <w:spacing w:line="360" w:lineRule="auto"/>
        <w:rPr>
          <w:bCs/>
          <w:color w:val="auto"/>
          <w:szCs w:val="21"/>
          <w:highlight w:val="none"/>
        </w:rPr>
      </w:pPr>
      <w:r>
        <w:rPr>
          <w:rFonts w:hint="eastAsia"/>
          <w:bCs/>
          <w:color w:val="auto"/>
          <w:szCs w:val="21"/>
          <w:highlight w:val="none"/>
        </w:rPr>
        <w:t>18.  投标文件的修正</w:t>
      </w:r>
    </w:p>
    <w:p>
      <w:pPr>
        <w:pStyle w:val="16"/>
        <w:snapToGrid w:val="0"/>
        <w:spacing w:line="360" w:lineRule="auto"/>
        <w:ind w:firstLine="359" w:firstLineChars="171"/>
        <w:rPr>
          <w:color w:val="auto"/>
          <w:szCs w:val="21"/>
          <w:highlight w:val="none"/>
        </w:rPr>
      </w:pPr>
      <w:r>
        <w:rPr>
          <w:rFonts w:hint="eastAsia"/>
          <w:color w:val="auto"/>
          <w:szCs w:val="21"/>
          <w:highlight w:val="none"/>
        </w:rPr>
        <w:t>18.1  如果出现计算或表达上的错误，修正的原则如下：</w:t>
      </w:r>
    </w:p>
    <w:p>
      <w:pPr>
        <w:pStyle w:val="16"/>
        <w:spacing w:line="360" w:lineRule="auto"/>
        <w:ind w:firstLine="720"/>
        <w:rPr>
          <w:bCs/>
          <w:color w:val="auto"/>
          <w:szCs w:val="21"/>
          <w:highlight w:val="none"/>
        </w:rPr>
      </w:pPr>
      <w:r>
        <w:rPr>
          <w:rFonts w:hint="eastAsia"/>
          <w:color w:val="auto"/>
          <w:szCs w:val="21"/>
          <w:highlight w:val="none"/>
        </w:rPr>
        <w:t>（1）开标时，投标文件中开标一览表内容与投标文件中明细表内容不一致的，以开标一览表为准；</w:t>
      </w:r>
    </w:p>
    <w:p>
      <w:pPr>
        <w:pStyle w:val="16"/>
        <w:spacing w:line="360" w:lineRule="auto"/>
        <w:ind w:firstLine="720"/>
        <w:rPr>
          <w:bCs/>
          <w:color w:val="auto"/>
          <w:szCs w:val="21"/>
          <w:highlight w:val="none"/>
        </w:rPr>
      </w:pPr>
      <w:r>
        <w:rPr>
          <w:rFonts w:hint="eastAsia"/>
          <w:color w:val="auto"/>
          <w:szCs w:val="21"/>
          <w:highlight w:val="none"/>
        </w:rPr>
        <w:t>（2）投标文件的大写金额和小写金额不一致的，以大写金额为准；</w:t>
      </w:r>
    </w:p>
    <w:p>
      <w:pPr>
        <w:pStyle w:val="16"/>
        <w:spacing w:line="360" w:lineRule="auto"/>
        <w:ind w:firstLine="720"/>
        <w:rPr>
          <w:bCs/>
          <w:color w:val="auto"/>
          <w:szCs w:val="21"/>
          <w:highlight w:val="none"/>
        </w:rPr>
      </w:pPr>
      <w:r>
        <w:rPr>
          <w:rFonts w:hint="eastAsia"/>
          <w:color w:val="auto"/>
          <w:szCs w:val="21"/>
          <w:highlight w:val="none"/>
        </w:rPr>
        <w:t>（3）总价金额与按单价汇总金额不一致的，以单价金额计算结果为准；</w:t>
      </w:r>
    </w:p>
    <w:p>
      <w:pPr>
        <w:pStyle w:val="16"/>
        <w:spacing w:line="360" w:lineRule="auto"/>
        <w:ind w:firstLine="720"/>
        <w:rPr>
          <w:color w:val="auto"/>
          <w:szCs w:val="21"/>
          <w:highlight w:val="none"/>
        </w:rPr>
      </w:pPr>
      <w:r>
        <w:rPr>
          <w:rFonts w:hint="eastAsia"/>
          <w:color w:val="auto"/>
          <w:szCs w:val="21"/>
          <w:highlight w:val="none"/>
        </w:rPr>
        <w:t>（4）单价金额小数点有明显错位的，应以总价为准，并修改单价。</w:t>
      </w:r>
    </w:p>
    <w:p>
      <w:pPr>
        <w:pStyle w:val="16"/>
        <w:snapToGrid w:val="0"/>
        <w:spacing w:line="360" w:lineRule="auto"/>
        <w:ind w:firstLine="720"/>
        <w:rPr>
          <w:bCs/>
          <w:color w:val="auto"/>
          <w:szCs w:val="21"/>
          <w:highlight w:val="none"/>
        </w:rPr>
      </w:pPr>
      <w:r>
        <w:rPr>
          <w:rFonts w:hint="eastAsia"/>
          <w:color w:val="auto"/>
          <w:szCs w:val="21"/>
          <w:highlight w:val="none"/>
        </w:rPr>
        <w:t>（5）对不同文字文本投标文件的解释发生异议的，以中文文本为准。</w:t>
      </w:r>
    </w:p>
    <w:p>
      <w:pPr>
        <w:pStyle w:val="16"/>
        <w:snapToGrid w:val="0"/>
        <w:spacing w:line="360" w:lineRule="auto"/>
        <w:ind w:firstLine="360"/>
        <w:rPr>
          <w:color w:val="auto"/>
          <w:szCs w:val="21"/>
          <w:highlight w:val="none"/>
        </w:rPr>
      </w:pPr>
      <w:r>
        <w:rPr>
          <w:rFonts w:hint="eastAsia"/>
          <w:color w:val="auto"/>
          <w:szCs w:val="21"/>
          <w:highlight w:val="none"/>
        </w:rPr>
        <w:t>18.2  按上述修正原则修正后的投标报价经投标人书面确认后对投标人具有约束力。如果投标人不接受修正后的投标报价，则其投标无效且其投标保证金不予退回。</w:t>
      </w:r>
    </w:p>
    <w:p>
      <w:pPr>
        <w:pStyle w:val="16"/>
        <w:snapToGrid w:val="0"/>
        <w:spacing w:line="360" w:lineRule="auto"/>
        <w:rPr>
          <w:bCs/>
          <w:color w:val="auto"/>
          <w:szCs w:val="21"/>
          <w:highlight w:val="none"/>
        </w:rPr>
      </w:pPr>
      <w:r>
        <w:rPr>
          <w:rFonts w:hint="eastAsia"/>
          <w:bCs/>
          <w:color w:val="auto"/>
          <w:szCs w:val="21"/>
          <w:highlight w:val="none"/>
        </w:rPr>
        <w:t>19.  拒绝接收</w:t>
      </w:r>
    </w:p>
    <w:p>
      <w:pPr>
        <w:pStyle w:val="16"/>
        <w:snapToGrid w:val="0"/>
        <w:spacing w:line="360" w:lineRule="auto"/>
        <w:ind w:firstLine="360"/>
        <w:rPr>
          <w:color w:val="auto"/>
          <w:szCs w:val="21"/>
          <w:highlight w:val="none"/>
        </w:rPr>
      </w:pPr>
      <w:r>
        <w:rPr>
          <w:rFonts w:hint="eastAsia"/>
          <w:color w:val="auto"/>
          <w:szCs w:val="21"/>
          <w:highlight w:val="none"/>
        </w:rPr>
        <w:t>19.1  属下列情形之一的，采购代理机构应当拒绝接收投标人的投标文件：</w:t>
      </w:r>
    </w:p>
    <w:p>
      <w:pPr>
        <w:pStyle w:val="16"/>
        <w:snapToGrid w:val="0"/>
        <w:spacing w:line="360" w:lineRule="auto"/>
        <w:ind w:firstLine="720"/>
        <w:rPr>
          <w:color w:val="auto"/>
          <w:szCs w:val="21"/>
          <w:highlight w:val="none"/>
        </w:rPr>
      </w:pPr>
      <w:r>
        <w:rPr>
          <w:rFonts w:hint="eastAsia"/>
          <w:color w:val="auto"/>
          <w:szCs w:val="21"/>
          <w:highlight w:val="none"/>
        </w:rPr>
        <w:t>（1）在本章第15.1项规定的投标截止时间之后送达的；</w:t>
      </w:r>
    </w:p>
    <w:p>
      <w:pPr>
        <w:pStyle w:val="16"/>
        <w:snapToGrid w:val="0"/>
        <w:spacing w:line="360" w:lineRule="auto"/>
        <w:ind w:firstLine="720"/>
        <w:rPr>
          <w:color w:val="auto"/>
          <w:szCs w:val="21"/>
          <w:highlight w:val="none"/>
        </w:rPr>
      </w:pPr>
      <w:r>
        <w:rPr>
          <w:rFonts w:hint="eastAsia"/>
          <w:color w:val="auto"/>
          <w:szCs w:val="21"/>
          <w:highlight w:val="none"/>
        </w:rPr>
        <w:t>（2）未送达至本章第15.2项指定的递交投标文件地点的；</w:t>
      </w:r>
    </w:p>
    <w:p>
      <w:pPr>
        <w:pStyle w:val="16"/>
        <w:snapToGrid w:val="0"/>
        <w:spacing w:line="360" w:lineRule="auto"/>
        <w:ind w:firstLine="360"/>
        <w:rPr>
          <w:color w:val="auto"/>
          <w:szCs w:val="21"/>
          <w:highlight w:val="none"/>
        </w:rPr>
      </w:pPr>
      <w:r>
        <w:rPr>
          <w:rFonts w:hint="eastAsia"/>
          <w:color w:val="auto"/>
          <w:szCs w:val="21"/>
          <w:highlight w:val="none"/>
        </w:rPr>
        <w:t>19.2  属下列情形之一的，采购代理机构应当拒绝接收投标人的投标样品：</w:t>
      </w:r>
    </w:p>
    <w:p>
      <w:pPr>
        <w:pStyle w:val="16"/>
        <w:snapToGrid w:val="0"/>
        <w:spacing w:line="360" w:lineRule="auto"/>
        <w:ind w:firstLine="720"/>
        <w:rPr>
          <w:color w:val="auto"/>
          <w:szCs w:val="21"/>
          <w:highlight w:val="none"/>
        </w:rPr>
      </w:pPr>
      <w:r>
        <w:rPr>
          <w:rFonts w:hint="eastAsia"/>
          <w:color w:val="auto"/>
          <w:szCs w:val="21"/>
          <w:highlight w:val="none"/>
        </w:rPr>
        <w:t>（1）在本章第15.3项规定的递交投标样品截止时间之后送达的；</w:t>
      </w:r>
    </w:p>
    <w:p>
      <w:pPr>
        <w:pStyle w:val="16"/>
        <w:snapToGrid w:val="0"/>
        <w:spacing w:line="360" w:lineRule="auto"/>
        <w:ind w:firstLine="720"/>
        <w:rPr>
          <w:color w:val="auto"/>
          <w:szCs w:val="21"/>
          <w:highlight w:val="none"/>
        </w:rPr>
      </w:pPr>
      <w:r>
        <w:rPr>
          <w:rFonts w:hint="eastAsia"/>
          <w:color w:val="auto"/>
          <w:szCs w:val="21"/>
          <w:highlight w:val="none"/>
        </w:rPr>
        <w:t>（2）未送达至本章第15.4项指定的递交投标样品地点的。</w:t>
      </w:r>
    </w:p>
    <w:p>
      <w:pPr>
        <w:pStyle w:val="16"/>
        <w:snapToGrid w:val="0"/>
        <w:spacing w:line="360" w:lineRule="auto"/>
        <w:rPr>
          <w:bCs/>
          <w:color w:val="auto"/>
          <w:szCs w:val="21"/>
          <w:highlight w:val="none"/>
        </w:rPr>
      </w:pPr>
      <w:r>
        <w:rPr>
          <w:rFonts w:hint="eastAsia"/>
          <w:bCs/>
          <w:color w:val="auto"/>
          <w:szCs w:val="21"/>
          <w:highlight w:val="none"/>
        </w:rPr>
        <w:t xml:space="preserve">20.  </w:t>
      </w:r>
      <w:r>
        <w:rPr>
          <w:rFonts w:hint="eastAsia"/>
          <w:color w:val="auto"/>
          <w:szCs w:val="21"/>
          <w:highlight w:val="none"/>
        </w:rPr>
        <w:t>投标无效的情形</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实质上没有响应招标文件要求的投标将被视为无效投标。投标人不得通过修正或撤消不符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13" w:firstLineChars="196"/>
        <w:rPr>
          <w:rFonts w:ascii="宋体" w:hAnsi="宋体"/>
          <w:b/>
          <w:bCs/>
          <w:color w:val="auto"/>
          <w:szCs w:val="21"/>
          <w:highlight w:val="none"/>
        </w:rPr>
      </w:pPr>
      <w:r>
        <w:rPr>
          <w:rFonts w:hint="eastAsia" w:ascii="宋体" w:hAnsi="宋体"/>
          <w:b/>
          <w:bCs/>
          <w:color w:val="auto"/>
          <w:szCs w:val="21"/>
          <w:highlight w:val="none"/>
        </w:rPr>
        <w:t>1.在资格和符合性审查时，如发现下列情形之一的，投标文件将被视为无效：</w:t>
      </w:r>
    </w:p>
    <w:p>
      <w:pPr>
        <w:snapToGrid w:val="0"/>
        <w:spacing w:line="360" w:lineRule="auto"/>
        <w:ind w:firstLine="411" w:firstLineChars="196"/>
        <w:rPr>
          <w:rFonts w:hAnsi="宋体"/>
          <w:color w:val="auto"/>
          <w:highlight w:val="none"/>
        </w:rPr>
      </w:pPr>
      <w:r>
        <w:rPr>
          <w:rFonts w:hint="eastAsia" w:ascii="宋体" w:hAnsi="宋体"/>
          <w:color w:val="auto"/>
          <w:szCs w:val="21"/>
          <w:highlight w:val="none"/>
        </w:rPr>
        <w:t>（1）</w:t>
      </w:r>
      <w:r>
        <w:rPr>
          <w:rFonts w:hint="eastAsia" w:hAnsi="宋体"/>
          <w:color w:val="auto"/>
          <w:highlight w:val="none"/>
        </w:rPr>
        <w:t>未按规定的时间及方式获取招标文件的，未按规定交纳投标保证金的；</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（2）超出经营范围投标的；</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（3）资格证明文件不全的，或者不符合招标文件标明的资格要求的；</w:t>
      </w:r>
    </w:p>
    <w:p>
      <w:pPr>
        <w:snapToGrid w:val="0"/>
        <w:spacing w:line="360" w:lineRule="auto"/>
        <w:ind w:firstLine="411" w:firstLineChars="196"/>
        <w:rPr>
          <w:rFonts w:ascii="宋体" w:hAnsi="宋体"/>
          <w:bCs/>
          <w:color w:val="auto"/>
          <w:kern w:val="0"/>
          <w:szCs w:val="21"/>
          <w:highlight w:val="none"/>
        </w:rPr>
      </w:pPr>
      <w:r>
        <w:rPr>
          <w:rFonts w:hint="eastAsia" w:ascii="宋体" w:hAnsi="宋体"/>
          <w:color w:val="auto"/>
          <w:szCs w:val="21"/>
          <w:highlight w:val="none"/>
        </w:rPr>
        <w:t>（4）投标文件无法定代表人（负责人）签字,或未</w:t>
      </w:r>
      <w:r>
        <w:rPr>
          <w:rFonts w:hint="eastAsia" w:ascii="宋体" w:hAnsi="宋体"/>
          <w:bCs/>
          <w:color w:val="auto"/>
          <w:kern w:val="0"/>
          <w:szCs w:val="21"/>
          <w:highlight w:val="none"/>
        </w:rPr>
        <w:t>提供授权委托书、投标声明书或者填写项目不齐全的；</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 xml:space="preserve">（5）投标代表人未能出具身份证明或与授权委托代理人身份不符的； </w:t>
      </w:r>
    </w:p>
    <w:p>
      <w:pPr>
        <w:pStyle w:val="12"/>
        <w:snapToGrid w:val="0"/>
        <w:spacing w:line="360" w:lineRule="auto"/>
        <w:ind w:firstLine="395" w:firstLineChars="196"/>
        <w:rPr>
          <w:snapToGrid w:val="0"/>
          <w:color w:val="auto"/>
          <w:sz w:val="21"/>
          <w:szCs w:val="21"/>
          <w:highlight w:val="none"/>
        </w:rPr>
      </w:pPr>
      <w:r>
        <w:rPr>
          <w:rFonts w:hint="eastAsia"/>
          <w:color w:val="auto"/>
          <w:sz w:val="21"/>
          <w:szCs w:val="21"/>
          <w:highlight w:val="none"/>
        </w:rPr>
        <w:t>（</w:t>
      </w:r>
      <w:r>
        <w:rPr>
          <w:rFonts w:hint="eastAsia"/>
          <w:snapToGrid w:val="0"/>
          <w:color w:val="auto"/>
          <w:sz w:val="21"/>
          <w:szCs w:val="21"/>
          <w:highlight w:val="none"/>
        </w:rPr>
        <w:t>6）</w:t>
      </w:r>
      <w:r>
        <w:rPr>
          <w:rFonts w:hint="eastAsia"/>
          <w:color w:val="auto"/>
          <w:sz w:val="21"/>
          <w:szCs w:val="21"/>
          <w:highlight w:val="none"/>
        </w:rPr>
        <w:t>投标文件格式不规范、项目不齐全或者内容虚假的；</w:t>
      </w:r>
    </w:p>
    <w:p>
      <w:pPr>
        <w:pStyle w:val="12"/>
        <w:snapToGrid w:val="0"/>
        <w:spacing w:line="360" w:lineRule="auto"/>
        <w:ind w:firstLine="395" w:firstLineChars="196"/>
        <w:rPr>
          <w:snapToGrid w:val="0"/>
          <w:color w:val="auto"/>
          <w:sz w:val="21"/>
          <w:szCs w:val="21"/>
          <w:highlight w:val="none"/>
        </w:rPr>
      </w:pPr>
      <w:r>
        <w:rPr>
          <w:rFonts w:hint="eastAsia"/>
          <w:color w:val="auto"/>
          <w:sz w:val="21"/>
          <w:szCs w:val="21"/>
          <w:highlight w:val="none"/>
        </w:rPr>
        <w:t>（7）投标文件的实质性内容未使用中文表述、意思表述不明确、前后矛盾或者使用计量单位不符合招标文件要求的（经评标委员会认定并允许其当场更正的笔误除外）；</w:t>
      </w:r>
    </w:p>
    <w:p>
      <w:pPr>
        <w:pStyle w:val="12"/>
        <w:snapToGrid w:val="0"/>
        <w:spacing w:line="360" w:lineRule="auto"/>
        <w:ind w:firstLine="395" w:firstLineChars="196"/>
        <w:rPr>
          <w:snapToGrid w:val="0"/>
          <w:color w:val="auto"/>
          <w:sz w:val="21"/>
          <w:szCs w:val="21"/>
          <w:highlight w:val="none"/>
        </w:rPr>
      </w:pPr>
      <w:r>
        <w:rPr>
          <w:rFonts w:hint="eastAsia"/>
          <w:color w:val="auto"/>
          <w:sz w:val="21"/>
          <w:szCs w:val="21"/>
          <w:highlight w:val="none"/>
        </w:rPr>
        <w:t>（</w:t>
      </w:r>
      <w:r>
        <w:rPr>
          <w:rFonts w:hint="eastAsia"/>
          <w:snapToGrid w:val="0"/>
          <w:color w:val="auto"/>
          <w:sz w:val="21"/>
          <w:szCs w:val="21"/>
          <w:highlight w:val="none"/>
        </w:rPr>
        <w:t>8）投标有效期、服务期限等商务条款不能满足招标文件要求的；</w:t>
      </w:r>
    </w:p>
    <w:p>
      <w:pPr>
        <w:pStyle w:val="12"/>
        <w:snapToGrid w:val="0"/>
        <w:spacing w:line="360" w:lineRule="auto"/>
        <w:ind w:firstLine="395" w:firstLineChars="196"/>
        <w:rPr>
          <w:color w:val="auto"/>
          <w:sz w:val="21"/>
          <w:szCs w:val="21"/>
          <w:highlight w:val="none"/>
        </w:rPr>
      </w:pPr>
      <w:r>
        <w:rPr>
          <w:rFonts w:hint="eastAsia"/>
          <w:color w:val="auto"/>
          <w:sz w:val="21"/>
          <w:szCs w:val="21"/>
          <w:highlight w:val="none"/>
        </w:rPr>
        <w:t>（9）未实质性响应招标文件要求或者投标文件有招标方不能接受的附加条件的；</w:t>
      </w:r>
    </w:p>
    <w:p>
      <w:pPr>
        <w:pStyle w:val="12"/>
        <w:snapToGrid w:val="0"/>
        <w:spacing w:line="360" w:lineRule="auto"/>
        <w:ind w:firstLine="395" w:firstLineChars="196"/>
        <w:rPr>
          <w:color w:val="auto"/>
          <w:sz w:val="21"/>
          <w:szCs w:val="21"/>
          <w:highlight w:val="none"/>
        </w:rPr>
      </w:pPr>
      <w:r>
        <w:rPr>
          <w:rFonts w:hint="eastAsia"/>
          <w:color w:val="auto"/>
          <w:sz w:val="21"/>
          <w:szCs w:val="21"/>
          <w:highlight w:val="none"/>
        </w:rPr>
        <w:t>（10）经信用中国、中国政府采购网查询，投标人被列入失信被执行人、重大税收违法案件当事人名单、政府采购严重违法失信行为记录名单的；</w:t>
      </w:r>
    </w:p>
    <w:p>
      <w:pPr>
        <w:pStyle w:val="12"/>
        <w:snapToGrid w:val="0"/>
        <w:spacing w:line="360" w:lineRule="auto"/>
        <w:ind w:firstLine="395" w:firstLineChars="196"/>
        <w:rPr>
          <w:color w:val="auto"/>
          <w:sz w:val="21"/>
          <w:szCs w:val="21"/>
          <w:highlight w:val="none"/>
        </w:rPr>
      </w:pPr>
      <w:r>
        <w:rPr>
          <w:rFonts w:hint="eastAsia"/>
          <w:color w:val="auto"/>
          <w:sz w:val="21"/>
          <w:szCs w:val="21"/>
          <w:highlight w:val="none"/>
        </w:rPr>
        <w:t>（11）经中国裁判文书网查询，投标人及其法定代表人或拟投入项目负责人存在行贿受贿犯罪记录的。</w:t>
      </w:r>
    </w:p>
    <w:p>
      <w:pPr>
        <w:pStyle w:val="12"/>
        <w:snapToGrid w:val="0"/>
        <w:spacing w:line="360" w:lineRule="auto"/>
        <w:ind w:firstLine="398" w:firstLineChars="196"/>
        <w:rPr>
          <w:b/>
          <w:bCs/>
          <w:color w:val="auto"/>
          <w:sz w:val="21"/>
          <w:szCs w:val="21"/>
          <w:highlight w:val="none"/>
        </w:rPr>
      </w:pPr>
      <w:r>
        <w:rPr>
          <w:rFonts w:hint="eastAsia"/>
          <w:b/>
          <w:bCs/>
          <w:color w:val="auto"/>
          <w:sz w:val="21"/>
          <w:szCs w:val="21"/>
          <w:highlight w:val="none"/>
        </w:rPr>
        <w:t>2.在技术评审时，如发现下列情形之一的，投标文件将被视为无效：</w:t>
      </w:r>
    </w:p>
    <w:p>
      <w:pPr>
        <w:pStyle w:val="12"/>
        <w:snapToGrid w:val="0"/>
        <w:spacing w:line="360" w:lineRule="auto"/>
        <w:ind w:firstLine="404" w:firstLineChars="200"/>
        <w:rPr>
          <w:color w:val="auto"/>
          <w:sz w:val="21"/>
          <w:szCs w:val="21"/>
          <w:highlight w:val="none"/>
        </w:rPr>
      </w:pPr>
      <w:r>
        <w:rPr>
          <w:rFonts w:hint="eastAsia"/>
          <w:color w:val="auto"/>
          <w:sz w:val="21"/>
          <w:szCs w:val="21"/>
          <w:highlight w:val="none"/>
        </w:rPr>
        <w:t>（1）未提供或未如实提供投标服务的技术参数，或者投标文件标明的响应或偏离与事实不符或虚假投标的；</w:t>
      </w:r>
    </w:p>
    <w:p>
      <w:pPr>
        <w:pStyle w:val="12"/>
        <w:snapToGrid w:val="0"/>
        <w:spacing w:line="360" w:lineRule="auto"/>
        <w:ind w:firstLine="404" w:firstLineChars="200"/>
        <w:rPr>
          <w:color w:val="auto"/>
          <w:sz w:val="21"/>
          <w:szCs w:val="21"/>
          <w:highlight w:val="none"/>
        </w:rPr>
      </w:pPr>
      <w:r>
        <w:rPr>
          <w:rFonts w:hint="eastAsia"/>
          <w:color w:val="auto"/>
          <w:sz w:val="21"/>
          <w:szCs w:val="21"/>
          <w:highlight w:val="none"/>
        </w:rPr>
        <w:t>（2）明显不符合招标文件要求的服务参数要求、质量标准，或者与招标文件中标识“★”或“*”要求的技术指标不能满足的、主要功能项目发生实质性负偏离的达1项（含）以上的；</w:t>
      </w:r>
    </w:p>
    <w:p>
      <w:pPr>
        <w:pStyle w:val="12"/>
        <w:snapToGrid w:val="0"/>
        <w:spacing w:line="360" w:lineRule="auto"/>
        <w:ind w:firstLine="404" w:firstLineChars="200"/>
        <w:rPr>
          <w:color w:val="auto"/>
          <w:sz w:val="21"/>
          <w:szCs w:val="21"/>
          <w:highlight w:val="none"/>
        </w:rPr>
      </w:pPr>
      <w:r>
        <w:rPr>
          <w:rFonts w:hint="eastAsia"/>
          <w:color w:val="auto"/>
          <w:sz w:val="21"/>
          <w:szCs w:val="21"/>
          <w:highlight w:val="none"/>
        </w:rPr>
        <w:t>（3）投标服务方案不明确，存在一个或一个以上备选（替代）投标方案的；</w:t>
      </w:r>
    </w:p>
    <w:p>
      <w:pPr>
        <w:pStyle w:val="12"/>
        <w:snapToGrid w:val="0"/>
        <w:spacing w:line="360" w:lineRule="auto"/>
        <w:ind w:firstLine="404" w:firstLineChars="200"/>
        <w:rPr>
          <w:color w:val="auto"/>
          <w:sz w:val="21"/>
          <w:szCs w:val="21"/>
          <w:highlight w:val="none"/>
        </w:rPr>
      </w:pPr>
      <w:r>
        <w:rPr>
          <w:rFonts w:hint="eastAsia"/>
          <w:color w:val="auto"/>
          <w:sz w:val="21"/>
          <w:szCs w:val="21"/>
          <w:highlight w:val="none"/>
        </w:rPr>
        <w:t>（4）与其他参加本次投标供应商的投标文件（技术文件）的文字表述内容相同连续20行以上或者差错相同2处以上的；</w:t>
      </w:r>
    </w:p>
    <w:p>
      <w:pPr>
        <w:pStyle w:val="12"/>
        <w:snapToGrid w:val="0"/>
        <w:spacing w:line="360" w:lineRule="auto"/>
        <w:ind w:firstLine="404" w:firstLineChars="200"/>
        <w:rPr>
          <w:color w:val="auto"/>
          <w:sz w:val="21"/>
          <w:szCs w:val="21"/>
          <w:highlight w:val="none"/>
        </w:rPr>
      </w:pPr>
      <w:r>
        <w:rPr>
          <w:rFonts w:hint="eastAsia"/>
          <w:color w:val="auto"/>
          <w:sz w:val="21"/>
          <w:szCs w:val="21"/>
          <w:highlight w:val="none"/>
        </w:rPr>
        <w:t>（5）采购货物中含有政府强制采购的节能产品时，投标人所投的货物没有使用政府强制采购的节能产品的；</w:t>
      </w:r>
    </w:p>
    <w:p>
      <w:pPr>
        <w:pStyle w:val="12"/>
        <w:snapToGrid w:val="0"/>
        <w:spacing w:line="360" w:lineRule="auto"/>
        <w:ind w:firstLine="398" w:firstLineChars="196"/>
        <w:rPr>
          <w:b/>
          <w:bCs/>
          <w:color w:val="auto"/>
          <w:sz w:val="21"/>
          <w:szCs w:val="21"/>
          <w:highlight w:val="none"/>
        </w:rPr>
      </w:pPr>
      <w:r>
        <w:rPr>
          <w:rFonts w:hint="eastAsia"/>
          <w:b/>
          <w:bCs/>
          <w:color w:val="auto"/>
          <w:sz w:val="21"/>
          <w:szCs w:val="21"/>
          <w:highlight w:val="none"/>
        </w:rPr>
        <w:t>3.在报价评审时，如发现下列情形之一的，投标文件将被视为无效：</w:t>
      </w:r>
    </w:p>
    <w:p>
      <w:pPr>
        <w:pStyle w:val="12"/>
        <w:snapToGrid w:val="0"/>
        <w:spacing w:line="360" w:lineRule="auto"/>
        <w:ind w:firstLine="395" w:firstLineChars="196"/>
        <w:rPr>
          <w:color w:val="auto"/>
          <w:sz w:val="21"/>
          <w:szCs w:val="21"/>
          <w:highlight w:val="none"/>
        </w:rPr>
      </w:pPr>
      <w:r>
        <w:rPr>
          <w:rFonts w:hint="eastAsia"/>
          <w:color w:val="auto"/>
          <w:sz w:val="21"/>
          <w:szCs w:val="21"/>
          <w:highlight w:val="none"/>
        </w:rPr>
        <w:t>（1）未采用人民币报价或者未按照招标文件标明的币种报价的；</w:t>
      </w:r>
    </w:p>
    <w:p>
      <w:pPr>
        <w:pStyle w:val="12"/>
        <w:snapToGrid w:val="0"/>
        <w:spacing w:line="360" w:lineRule="auto"/>
        <w:ind w:firstLine="395" w:firstLineChars="196"/>
        <w:rPr>
          <w:color w:val="auto"/>
          <w:sz w:val="21"/>
          <w:szCs w:val="21"/>
          <w:highlight w:val="none"/>
        </w:rPr>
      </w:pPr>
      <w:r>
        <w:rPr>
          <w:rFonts w:hint="eastAsia"/>
          <w:color w:val="auto"/>
          <w:sz w:val="21"/>
          <w:szCs w:val="21"/>
          <w:highlight w:val="none"/>
        </w:rPr>
        <w:t>（2）报价超出最高限价，或者超出采购预算金额(自主创新产品除外)，采购人不能支付的；</w:t>
      </w:r>
    </w:p>
    <w:p>
      <w:pPr>
        <w:pStyle w:val="12"/>
        <w:snapToGrid w:val="0"/>
        <w:spacing w:line="360" w:lineRule="auto"/>
        <w:ind w:firstLine="404" w:firstLineChars="200"/>
        <w:rPr>
          <w:color w:val="auto"/>
          <w:sz w:val="21"/>
          <w:szCs w:val="21"/>
          <w:highlight w:val="none"/>
        </w:rPr>
      </w:pPr>
      <w:r>
        <w:rPr>
          <w:rFonts w:hint="eastAsia"/>
          <w:color w:val="auto"/>
          <w:sz w:val="21"/>
          <w:szCs w:val="21"/>
          <w:highlight w:val="none"/>
        </w:rPr>
        <w:t>（3）投标报价具有选择性，或者开标价格与投标文件承诺的优惠（折扣）价格不一致的；</w:t>
      </w:r>
    </w:p>
    <w:p>
      <w:pPr>
        <w:pStyle w:val="12"/>
        <w:snapToGrid w:val="0"/>
        <w:spacing w:line="360" w:lineRule="auto"/>
        <w:ind w:firstLine="404" w:firstLineChars="200"/>
        <w:rPr>
          <w:color w:val="auto"/>
          <w:sz w:val="21"/>
          <w:szCs w:val="21"/>
          <w:highlight w:val="none"/>
        </w:rPr>
      </w:pPr>
      <w:r>
        <w:rPr>
          <w:rFonts w:hint="eastAsia"/>
          <w:color w:val="auto"/>
          <w:sz w:val="21"/>
          <w:szCs w:val="21"/>
          <w:highlight w:val="none"/>
        </w:rPr>
        <w:t>（4）投标报价明细表总额与开标一览表总价不一致，且高于总价5％的；</w:t>
      </w:r>
    </w:p>
    <w:p>
      <w:pPr>
        <w:pStyle w:val="12"/>
        <w:snapToGrid w:val="0"/>
        <w:spacing w:line="360" w:lineRule="auto"/>
        <w:ind w:firstLine="404" w:firstLineChars="200"/>
        <w:rPr>
          <w:color w:val="auto"/>
          <w:sz w:val="21"/>
          <w:szCs w:val="21"/>
          <w:highlight w:val="none"/>
        </w:rPr>
      </w:pPr>
      <w:r>
        <w:rPr>
          <w:rFonts w:hint="eastAsia"/>
          <w:color w:val="auto"/>
          <w:sz w:val="21"/>
          <w:szCs w:val="21"/>
          <w:highlight w:val="none"/>
        </w:rPr>
        <w:t>（5）评标委员会认为投标人的有效投标报价明显低于其他通过符合性审查投标人的报价，且投标人不能在评标现场合理的时间内提供书面说明证明其报价合理性的。</w:t>
      </w:r>
    </w:p>
    <w:p>
      <w:pPr>
        <w:pStyle w:val="16"/>
        <w:snapToGrid w:val="0"/>
        <w:spacing w:line="360" w:lineRule="auto"/>
        <w:ind w:firstLine="424" w:firstLineChars="201"/>
        <w:rPr>
          <w:color w:val="auto"/>
          <w:szCs w:val="21"/>
          <w:highlight w:val="none"/>
        </w:rPr>
      </w:pPr>
      <w:r>
        <w:rPr>
          <w:rFonts w:hint="eastAsia"/>
          <w:b/>
          <w:color w:val="auto"/>
          <w:szCs w:val="21"/>
          <w:highlight w:val="none"/>
        </w:rPr>
        <w:t>4.被拒绝的投标文件为无效。</w:t>
      </w:r>
    </w:p>
    <w:p>
      <w:pPr>
        <w:pStyle w:val="16"/>
        <w:snapToGrid w:val="0"/>
        <w:spacing w:line="360" w:lineRule="auto"/>
        <w:rPr>
          <w:bCs/>
          <w:color w:val="auto"/>
          <w:szCs w:val="21"/>
          <w:highlight w:val="none"/>
        </w:rPr>
      </w:pPr>
      <w:r>
        <w:rPr>
          <w:rFonts w:hint="eastAsia"/>
          <w:bCs/>
          <w:color w:val="auto"/>
          <w:szCs w:val="21"/>
          <w:highlight w:val="none"/>
        </w:rPr>
        <w:t>21.  废标</w:t>
      </w:r>
    </w:p>
    <w:p>
      <w:pPr>
        <w:pStyle w:val="16"/>
        <w:snapToGrid w:val="0"/>
        <w:spacing w:line="360" w:lineRule="auto"/>
        <w:ind w:firstLine="359" w:firstLineChars="171"/>
        <w:rPr>
          <w:color w:val="auto"/>
          <w:szCs w:val="21"/>
          <w:highlight w:val="none"/>
        </w:rPr>
      </w:pPr>
      <w:r>
        <w:rPr>
          <w:rFonts w:hint="eastAsia"/>
          <w:color w:val="auto"/>
          <w:szCs w:val="21"/>
          <w:highlight w:val="none"/>
        </w:rPr>
        <w:t>21.1  在招标过程中，出现下列情形之一的，予以废标：</w:t>
      </w:r>
    </w:p>
    <w:p>
      <w:pPr>
        <w:pStyle w:val="16"/>
        <w:snapToGrid w:val="0"/>
        <w:spacing w:line="360" w:lineRule="auto"/>
        <w:ind w:firstLine="720"/>
        <w:rPr>
          <w:color w:val="auto"/>
          <w:szCs w:val="21"/>
          <w:highlight w:val="none"/>
        </w:rPr>
      </w:pPr>
      <w:r>
        <w:rPr>
          <w:rFonts w:hint="eastAsia"/>
          <w:color w:val="auto"/>
          <w:szCs w:val="21"/>
          <w:highlight w:val="none"/>
        </w:rPr>
        <w:t>（1）符合专业条件的供应商或者对招标文件作实质响应的供应商不足三家的；</w:t>
      </w:r>
    </w:p>
    <w:p>
      <w:pPr>
        <w:pStyle w:val="16"/>
        <w:snapToGrid w:val="0"/>
        <w:spacing w:line="360" w:lineRule="auto"/>
        <w:ind w:firstLine="720"/>
        <w:rPr>
          <w:bCs/>
          <w:color w:val="auto"/>
          <w:szCs w:val="21"/>
          <w:highlight w:val="none"/>
        </w:rPr>
      </w:pPr>
      <w:r>
        <w:rPr>
          <w:rFonts w:hint="eastAsia"/>
          <w:color w:val="auto"/>
          <w:szCs w:val="21"/>
          <w:highlight w:val="none"/>
        </w:rPr>
        <w:t>（2）出现影响采购公正的违法、违规行为的；</w:t>
      </w:r>
    </w:p>
    <w:p>
      <w:pPr>
        <w:pStyle w:val="16"/>
        <w:snapToGrid w:val="0"/>
        <w:spacing w:line="360" w:lineRule="auto"/>
        <w:ind w:firstLine="720"/>
        <w:rPr>
          <w:color w:val="auto"/>
          <w:szCs w:val="21"/>
          <w:highlight w:val="none"/>
        </w:rPr>
      </w:pPr>
      <w:r>
        <w:rPr>
          <w:rFonts w:hint="eastAsia"/>
          <w:color w:val="auto"/>
          <w:szCs w:val="21"/>
          <w:highlight w:val="none"/>
        </w:rPr>
        <w:t>（3）投标人的报价均超过了采购预算，采购人不能支付的；</w:t>
      </w:r>
    </w:p>
    <w:p>
      <w:pPr>
        <w:pStyle w:val="16"/>
        <w:snapToGrid w:val="0"/>
        <w:spacing w:line="360" w:lineRule="auto"/>
        <w:ind w:firstLine="720"/>
        <w:rPr>
          <w:color w:val="auto"/>
          <w:szCs w:val="21"/>
          <w:highlight w:val="none"/>
        </w:rPr>
      </w:pPr>
      <w:r>
        <w:rPr>
          <w:rFonts w:hint="eastAsia"/>
          <w:color w:val="auto"/>
          <w:szCs w:val="21"/>
          <w:highlight w:val="none"/>
        </w:rPr>
        <w:t>（4）因重大变故，采购任务取消的。</w:t>
      </w:r>
    </w:p>
    <w:p>
      <w:pPr>
        <w:pStyle w:val="16"/>
        <w:snapToGrid w:val="0"/>
        <w:spacing w:line="360" w:lineRule="auto"/>
        <w:ind w:firstLine="420" w:firstLineChars="200"/>
        <w:rPr>
          <w:color w:val="auto"/>
          <w:szCs w:val="21"/>
          <w:highlight w:val="none"/>
        </w:rPr>
      </w:pPr>
      <w:r>
        <w:rPr>
          <w:rFonts w:hint="eastAsia"/>
          <w:color w:val="auto"/>
          <w:szCs w:val="21"/>
          <w:highlight w:val="none"/>
        </w:rPr>
        <w:t>21.2废标后，采购代理机构将在本章第2.1项规定的政府采购信息发布媒体上公告废标理由，不再另行通知。</w:t>
      </w:r>
    </w:p>
    <w:p>
      <w:pPr>
        <w:jc w:val="center"/>
        <w:rPr>
          <w:color w:val="auto"/>
          <w:sz w:val="32"/>
          <w:szCs w:val="32"/>
          <w:highlight w:val="none"/>
        </w:rPr>
      </w:pPr>
      <w:bookmarkStart w:id="43" w:name="_Toc271529388"/>
      <w:r>
        <w:rPr>
          <w:rFonts w:hint="eastAsia"/>
          <w:color w:val="auto"/>
          <w:sz w:val="32"/>
          <w:szCs w:val="32"/>
          <w:highlight w:val="none"/>
        </w:rPr>
        <w:t>六合同授予</w:t>
      </w:r>
      <w:bookmarkEnd w:id="43"/>
    </w:p>
    <w:p>
      <w:pPr>
        <w:pStyle w:val="16"/>
        <w:snapToGrid w:val="0"/>
        <w:spacing w:line="360" w:lineRule="auto"/>
        <w:rPr>
          <w:bCs/>
          <w:color w:val="auto"/>
          <w:szCs w:val="21"/>
          <w:highlight w:val="none"/>
        </w:rPr>
      </w:pPr>
      <w:r>
        <w:rPr>
          <w:rFonts w:hint="eastAsia"/>
          <w:bCs/>
          <w:color w:val="auto"/>
          <w:szCs w:val="21"/>
          <w:highlight w:val="none"/>
        </w:rPr>
        <w:t>22.  中标供应商的确定</w:t>
      </w:r>
    </w:p>
    <w:p>
      <w:pPr>
        <w:snapToGrid w:val="0"/>
        <w:spacing w:line="360" w:lineRule="auto"/>
        <w:ind w:firstLine="360"/>
        <w:rPr>
          <w:rFonts w:ascii="宋体" w:hAnsi="宋体"/>
          <w:color w:val="auto"/>
          <w:szCs w:val="21"/>
          <w:highlight w:val="none"/>
        </w:rPr>
      </w:pPr>
      <w:r>
        <w:rPr>
          <w:rFonts w:hint="eastAsia" w:ascii="宋体" w:hAnsi="宋体"/>
          <w:color w:val="auto"/>
          <w:szCs w:val="21"/>
          <w:highlight w:val="none"/>
        </w:rPr>
        <w:t>22.1  投标人须知前附表规定采购人授权评标委员会直接确定中标供应商，评标委员会按第三章“评标方法”的规定推荐中标候选供应商顺序。</w:t>
      </w:r>
    </w:p>
    <w:p>
      <w:pPr>
        <w:pStyle w:val="16"/>
        <w:snapToGrid w:val="0"/>
        <w:spacing w:line="360" w:lineRule="auto"/>
        <w:rPr>
          <w:bCs/>
          <w:color w:val="auto"/>
          <w:szCs w:val="21"/>
          <w:highlight w:val="none"/>
        </w:rPr>
      </w:pPr>
      <w:r>
        <w:rPr>
          <w:rFonts w:hint="eastAsia"/>
          <w:bCs/>
          <w:color w:val="auto"/>
          <w:szCs w:val="21"/>
          <w:highlight w:val="none"/>
        </w:rPr>
        <w:t>23.  中标通知书</w:t>
      </w:r>
    </w:p>
    <w:p>
      <w:pPr>
        <w:pStyle w:val="16"/>
        <w:snapToGrid w:val="0"/>
        <w:spacing w:line="360" w:lineRule="auto"/>
        <w:ind w:firstLine="360"/>
        <w:rPr>
          <w:color w:val="auto"/>
          <w:kern w:val="0"/>
          <w:szCs w:val="21"/>
          <w:highlight w:val="none"/>
        </w:rPr>
      </w:pPr>
      <w:r>
        <w:rPr>
          <w:rFonts w:hint="eastAsia"/>
          <w:color w:val="auto"/>
          <w:szCs w:val="21"/>
          <w:highlight w:val="none"/>
        </w:rPr>
        <w:t xml:space="preserve">23.1  </w:t>
      </w:r>
      <w:r>
        <w:rPr>
          <w:rFonts w:hint="eastAsia"/>
          <w:color w:val="auto"/>
          <w:kern w:val="0"/>
          <w:szCs w:val="21"/>
          <w:highlight w:val="none"/>
        </w:rPr>
        <w:t>中标供应商确定后，中标结果由采购代理机构于2个工作日内在本章第2.1项规定的政府采购信息发布媒体上公告，同时向中标供应商发出中标通知书。</w:t>
      </w:r>
    </w:p>
    <w:p>
      <w:pPr>
        <w:pStyle w:val="16"/>
        <w:snapToGrid w:val="0"/>
        <w:spacing w:line="360" w:lineRule="auto"/>
        <w:ind w:firstLine="360"/>
        <w:rPr>
          <w:color w:val="auto"/>
          <w:kern w:val="0"/>
          <w:szCs w:val="21"/>
          <w:highlight w:val="none"/>
        </w:rPr>
      </w:pPr>
      <w:r>
        <w:rPr>
          <w:rFonts w:hint="eastAsia"/>
          <w:color w:val="auto"/>
          <w:kern w:val="0"/>
          <w:szCs w:val="21"/>
          <w:highlight w:val="none"/>
        </w:rPr>
        <w:t>23.2  中标通知书对采购人和中标供应商具有同等法律效力。中标通知书发出后，采购人改变中标结果，或者中标供应商放弃中标，应当承担相应的法律责任。</w:t>
      </w:r>
    </w:p>
    <w:p>
      <w:pPr>
        <w:pStyle w:val="16"/>
        <w:snapToGrid w:val="0"/>
        <w:spacing w:line="360" w:lineRule="auto"/>
        <w:rPr>
          <w:bCs/>
          <w:color w:val="auto"/>
          <w:szCs w:val="21"/>
          <w:highlight w:val="none"/>
        </w:rPr>
      </w:pPr>
      <w:r>
        <w:rPr>
          <w:rFonts w:hint="eastAsia"/>
          <w:bCs/>
          <w:color w:val="auto"/>
          <w:szCs w:val="21"/>
          <w:highlight w:val="none"/>
        </w:rPr>
        <w:t>24.  投标文件及投标样品的退回</w:t>
      </w:r>
    </w:p>
    <w:p>
      <w:pPr>
        <w:pStyle w:val="16"/>
        <w:snapToGrid w:val="0"/>
        <w:spacing w:line="360" w:lineRule="auto"/>
        <w:ind w:firstLine="360"/>
        <w:rPr>
          <w:color w:val="auto"/>
          <w:szCs w:val="21"/>
          <w:highlight w:val="none"/>
        </w:rPr>
      </w:pPr>
      <w:r>
        <w:rPr>
          <w:rFonts w:hint="eastAsia"/>
          <w:color w:val="auto"/>
          <w:szCs w:val="21"/>
          <w:highlight w:val="none"/>
        </w:rPr>
        <w:t>24.1  采购人及采购代理机构无义务向未中标供应商退回投标文件。</w:t>
      </w:r>
    </w:p>
    <w:p>
      <w:pPr>
        <w:pStyle w:val="16"/>
        <w:snapToGrid w:val="0"/>
        <w:spacing w:line="360" w:lineRule="auto"/>
        <w:ind w:firstLine="360"/>
        <w:rPr>
          <w:color w:val="auto"/>
          <w:szCs w:val="21"/>
          <w:highlight w:val="none"/>
        </w:rPr>
      </w:pPr>
      <w:r>
        <w:rPr>
          <w:rFonts w:hint="eastAsia"/>
          <w:color w:val="auto"/>
          <w:szCs w:val="21"/>
          <w:highlight w:val="none"/>
        </w:rPr>
        <w:t>24.2  招标文件中要求提供样品时，中标供应商的投标样品由采购人保管，做为验收的依据，验收后由采购人退回。未中标供应商的投标样品由供应商在中标结果公布后两个工作日内领回，否则按无主物品处理。</w:t>
      </w:r>
    </w:p>
    <w:p>
      <w:pPr>
        <w:pStyle w:val="16"/>
        <w:snapToGrid w:val="0"/>
        <w:spacing w:line="360" w:lineRule="auto"/>
        <w:rPr>
          <w:bCs/>
          <w:color w:val="auto"/>
          <w:szCs w:val="21"/>
          <w:highlight w:val="none"/>
        </w:rPr>
      </w:pPr>
      <w:r>
        <w:rPr>
          <w:rFonts w:hint="eastAsia"/>
          <w:bCs/>
          <w:color w:val="auto"/>
          <w:szCs w:val="21"/>
          <w:highlight w:val="none"/>
        </w:rPr>
        <w:t>25.   签订合同</w:t>
      </w:r>
    </w:p>
    <w:p>
      <w:pPr>
        <w:pStyle w:val="16"/>
        <w:snapToGrid w:val="0"/>
        <w:spacing w:line="360" w:lineRule="auto"/>
        <w:ind w:firstLine="360"/>
        <w:rPr>
          <w:color w:val="auto"/>
          <w:szCs w:val="21"/>
          <w:highlight w:val="none"/>
        </w:rPr>
      </w:pPr>
      <w:r>
        <w:rPr>
          <w:rFonts w:hint="eastAsia"/>
          <w:color w:val="auto"/>
          <w:szCs w:val="21"/>
          <w:highlight w:val="none"/>
        </w:rPr>
        <w:t>25.1  采购人和中标供应商应当在第四章“服务需求一览表”中商务条款要求载明的合同签订期内，根据招标文件、中标人的投标文件及有关澄清承诺书的要求订立书面合同。</w:t>
      </w:r>
    </w:p>
    <w:p>
      <w:pPr>
        <w:pStyle w:val="16"/>
        <w:snapToGrid w:val="0"/>
        <w:spacing w:line="360" w:lineRule="auto"/>
        <w:ind w:firstLine="360"/>
        <w:rPr>
          <w:color w:val="auto"/>
          <w:szCs w:val="21"/>
          <w:highlight w:val="none"/>
        </w:rPr>
      </w:pPr>
      <w:r>
        <w:rPr>
          <w:rFonts w:hint="eastAsia"/>
          <w:color w:val="auto"/>
          <w:szCs w:val="21"/>
          <w:highlight w:val="none"/>
        </w:rPr>
        <w:t>25.2  发出中标通知书后，中标供应商无正当理由拒签合同的，取消其中标资格，其投标保证金不予退还；给采购人造成的损失超过投标保证金数额的，中标供应商还应当对超过部分予以赔偿。</w:t>
      </w:r>
    </w:p>
    <w:p>
      <w:pPr>
        <w:pStyle w:val="16"/>
        <w:snapToGrid w:val="0"/>
        <w:spacing w:line="360" w:lineRule="auto"/>
        <w:ind w:firstLine="360"/>
        <w:rPr>
          <w:color w:val="auto"/>
          <w:szCs w:val="21"/>
          <w:highlight w:val="none"/>
        </w:rPr>
      </w:pPr>
      <w:r>
        <w:rPr>
          <w:rFonts w:hint="eastAsia"/>
          <w:color w:val="auto"/>
          <w:szCs w:val="21"/>
          <w:highlight w:val="none"/>
        </w:rPr>
        <w:t>25.3  发出中标通知书后，采购人无正当理由拒签合同的，采购代理机构向中标供应商退还投标保证金；采购人给中标供应商造成损失的，应当赔偿损失。</w:t>
      </w:r>
    </w:p>
    <w:p>
      <w:pPr>
        <w:pStyle w:val="16"/>
        <w:snapToGrid w:val="0"/>
        <w:spacing w:line="360" w:lineRule="auto"/>
        <w:ind w:firstLine="360"/>
        <w:rPr>
          <w:color w:val="auto"/>
          <w:szCs w:val="21"/>
          <w:highlight w:val="none"/>
        </w:rPr>
      </w:pPr>
      <w:r>
        <w:rPr>
          <w:rFonts w:hint="eastAsia"/>
          <w:color w:val="auto"/>
          <w:szCs w:val="21"/>
          <w:highlight w:val="none"/>
        </w:rPr>
        <w:t>25.4  中标供应商因不可抗力或者自身原因不能履行政府采购合同的，采购人可以与排位在中标供应商之后第一位的中标候选供应商签订政府采购合同，以此类推。</w:t>
      </w:r>
    </w:p>
    <w:p>
      <w:pPr>
        <w:pStyle w:val="16"/>
        <w:snapToGrid w:val="0"/>
        <w:spacing w:line="360" w:lineRule="auto"/>
        <w:ind w:firstLine="360"/>
        <w:rPr>
          <w:color w:val="auto"/>
          <w:szCs w:val="21"/>
          <w:highlight w:val="none"/>
        </w:rPr>
      </w:pPr>
      <w:r>
        <w:rPr>
          <w:rFonts w:hint="eastAsia"/>
          <w:color w:val="auto"/>
          <w:szCs w:val="21"/>
          <w:highlight w:val="none"/>
        </w:rPr>
        <w:t>25.5  自采购合同签订之日起七个工作日内，采购人应当将合同一份报梧州市政府采购监督管理部门备案。</w:t>
      </w:r>
    </w:p>
    <w:p>
      <w:pPr>
        <w:pStyle w:val="16"/>
        <w:snapToGrid w:val="0"/>
        <w:spacing w:line="360" w:lineRule="auto"/>
        <w:rPr>
          <w:bCs/>
          <w:color w:val="auto"/>
          <w:szCs w:val="21"/>
          <w:highlight w:val="none"/>
        </w:rPr>
      </w:pPr>
      <w:r>
        <w:rPr>
          <w:rFonts w:hint="eastAsia"/>
          <w:bCs/>
          <w:color w:val="auto"/>
          <w:szCs w:val="21"/>
          <w:highlight w:val="none"/>
        </w:rPr>
        <w:t>26.  履约保证金</w:t>
      </w:r>
    </w:p>
    <w:p>
      <w:pPr>
        <w:pStyle w:val="16"/>
        <w:snapToGrid w:val="0"/>
        <w:spacing w:line="360" w:lineRule="auto"/>
        <w:ind w:firstLine="359" w:firstLineChars="171"/>
        <w:rPr>
          <w:color w:val="auto"/>
          <w:szCs w:val="21"/>
          <w:highlight w:val="none"/>
        </w:rPr>
      </w:pPr>
      <w:r>
        <w:rPr>
          <w:rFonts w:hint="eastAsia"/>
          <w:color w:val="auto"/>
          <w:szCs w:val="21"/>
          <w:highlight w:val="none"/>
        </w:rPr>
        <w:t xml:space="preserve">26.1  </w:t>
      </w:r>
      <w:r>
        <w:rPr>
          <w:rFonts w:hint="eastAsia"/>
          <w:bCs/>
          <w:color w:val="auto"/>
          <w:kern w:val="0"/>
          <w:szCs w:val="21"/>
          <w:highlight w:val="none"/>
        </w:rPr>
        <w:t>履约</w:t>
      </w:r>
      <w:r>
        <w:rPr>
          <w:rFonts w:hint="eastAsia" w:cs="黑体"/>
          <w:color w:val="auto"/>
          <w:kern w:val="0"/>
          <w:szCs w:val="21"/>
          <w:highlight w:val="none"/>
        </w:rPr>
        <w:t>保证</w:t>
      </w:r>
      <w:r>
        <w:rPr>
          <w:rFonts w:hint="eastAsia"/>
          <w:bCs/>
          <w:color w:val="auto"/>
          <w:kern w:val="0"/>
          <w:szCs w:val="21"/>
          <w:highlight w:val="none"/>
        </w:rPr>
        <w:t>金金额详见投标人须知前附表</w:t>
      </w:r>
      <w:r>
        <w:rPr>
          <w:rFonts w:hint="eastAsia"/>
          <w:color w:val="auto"/>
          <w:szCs w:val="21"/>
          <w:highlight w:val="none"/>
        </w:rPr>
        <w:t>。</w:t>
      </w:r>
    </w:p>
    <w:p>
      <w:pPr>
        <w:pStyle w:val="16"/>
        <w:snapToGrid w:val="0"/>
        <w:spacing w:line="360" w:lineRule="auto"/>
        <w:ind w:firstLine="359" w:firstLineChars="171"/>
        <w:rPr>
          <w:color w:val="auto"/>
          <w:szCs w:val="21"/>
          <w:highlight w:val="none"/>
        </w:rPr>
      </w:pPr>
      <w:r>
        <w:rPr>
          <w:rFonts w:hint="eastAsia"/>
          <w:color w:val="auto"/>
          <w:szCs w:val="21"/>
          <w:highlight w:val="none"/>
        </w:rPr>
        <w:t>26.2  签订合同后，如中标供应商不按双方签订合同约定履约，则没收其全部履约保证金，履约保证金不足以赔偿损失的，按实际损失赔偿。</w:t>
      </w:r>
    </w:p>
    <w:p>
      <w:pPr>
        <w:pStyle w:val="16"/>
        <w:snapToGrid w:val="0"/>
        <w:spacing w:line="360" w:lineRule="auto"/>
        <w:ind w:firstLine="359" w:firstLineChars="171"/>
        <w:rPr>
          <w:color w:val="auto"/>
          <w:szCs w:val="21"/>
          <w:highlight w:val="none"/>
        </w:rPr>
      </w:pPr>
      <w:r>
        <w:rPr>
          <w:rFonts w:hint="eastAsia"/>
          <w:color w:val="auto"/>
          <w:szCs w:val="21"/>
          <w:highlight w:val="none"/>
        </w:rPr>
        <w:t xml:space="preserve">26.3  履约保证金在中标供应商按合同约定交货验收合格之日后，由中标供应商向采购代理机构出具政府采购项目履约保证金退付意见书（详见附件格式），采购代理机构在收到意见书后7个工作日内予以退还，没有提供意见书的采购代理机构将不予办理。 </w:t>
      </w:r>
    </w:p>
    <w:p>
      <w:pPr>
        <w:jc w:val="center"/>
        <w:rPr>
          <w:color w:val="auto"/>
          <w:sz w:val="32"/>
          <w:szCs w:val="32"/>
          <w:highlight w:val="none"/>
        </w:rPr>
      </w:pPr>
      <w:bookmarkStart w:id="44" w:name="_Toc271529389"/>
    </w:p>
    <w:p>
      <w:pPr>
        <w:jc w:val="center"/>
        <w:rPr>
          <w:color w:val="auto"/>
          <w:sz w:val="32"/>
          <w:szCs w:val="32"/>
          <w:highlight w:val="none"/>
        </w:rPr>
      </w:pPr>
    </w:p>
    <w:p>
      <w:pPr>
        <w:jc w:val="center"/>
        <w:rPr>
          <w:color w:val="auto"/>
          <w:sz w:val="32"/>
          <w:szCs w:val="32"/>
          <w:highlight w:val="none"/>
        </w:rPr>
      </w:pPr>
      <w:r>
        <w:rPr>
          <w:rFonts w:hint="eastAsia"/>
          <w:color w:val="auto"/>
          <w:sz w:val="32"/>
          <w:szCs w:val="32"/>
          <w:highlight w:val="none"/>
        </w:rPr>
        <w:t>七其他事项</w:t>
      </w:r>
      <w:bookmarkEnd w:id="44"/>
    </w:p>
    <w:p>
      <w:pPr>
        <w:pStyle w:val="16"/>
        <w:snapToGrid w:val="0"/>
        <w:spacing w:line="360" w:lineRule="auto"/>
        <w:rPr>
          <w:bCs/>
          <w:color w:val="auto"/>
          <w:szCs w:val="21"/>
          <w:highlight w:val="none"/>
        </w:rPr>
      </w:pPr>
      <w:r>
        <w:rPr>
          <w:rFonts w:hint="eastAsia"/>
          <w:bCs/>
          <w:color w:val="auto"/>
          <w:szCs w:val="21"/>
          <w:highlight w:val="none"/>
        </w:rPr>
        <w:t>27.  解释权</w:t>
      </w:r>
    </w:p>
    <w:p>
      <w:pPr>
        <w:pStyle w:val="16"/>
        <w:snapToGrid w:val="0"/>
        <w:spacing w:line="360" w:lineRule="auto"/>
        <w:ind w:firstLine="360"/>
        <w:jc w:val="left"/>
        <w:rPr>
          <w:color w:val="auto"/>
          <w:szCs w:val="21"/>
          <w:highlight w:val="none"/>
        </w:rPr>
      </w:pPr>
      <w:r>
        <w:rPr>
          <w:rFonts w:hint="eastAsia"/>
          <w:color w:val="auto"/>
          <w:szCs w:val="21"/>
          <w:highlight w:val="none"/>
        </w:rPr>
        <w:t>27.1  本招标文件根据《中华人民共和国政府采购法》、《中华人民共和国招标投标法》及相关法律法规编制，解释权属采购代理机构。</w:t>
      </w:r>
    </w:p>
    <w:p>
      <w:pPr>
        <w:pStyle w:val="16"/>
        <w:snapToGrid w:val="0"/>
        <w:spacing w:line="360" w:lineRule="auto"/>
        <w:jc w:val="left"/>
        <w:rPr>
          <w:color w:val="auto"/>
          <w:szCs w:val="21"/>
          <w:highlight w:val="none"/>
        </w:rPr>
      </w:pPr>
      <w:r>
        <w:rPr>
          <w:rFonts w:hint="eastAsia"/>
          <w:color w:val="auto"/>
          <w:szCs w:val="21"/>
          <w:highlight w:val="none"/>
        </w:rPr>
        <w:t>28.  需要补充的其他内容</w:t>
      </w:r>
    </w:p>
    <w:p>
      <w:pPr>
        <w:pStyle w:val="16"/>
        <w:snapToGrid w:val="0"/>
        <w:spacing w:line="360" w:lineRule="auto"/>
        <w:ind w:firstLine="360"/>
        <w:jc w:val="left"/>
        <w:rPr>
          <w:color w:val="auto"/>
          <w:szCs w:val="21"/>
          <w:highlight w:val="none"/>
        </w:rPr>
      </w:pPr>
      <w:r>
        <w:rPr>
          <w:rFonts w:hint="eastAsia"/>
          <w:color w:val="auto"/>
          <w:szCs w:val="21"/>
          <w:highlight w:val="none"/>
        </w:rPr>
        <w:t>28.1  需要补充的其他内容：见投标人须知前附表。</w:t>
      </w:r>
    </w:p>
    <w:p>
      <w:pPr>
        <w:snapToGrid w:val="0"/>
        <w:spacing w:line="360" w:lineRule="auto"/>
        <w:jc w:val="center"/>
        <w:outlineLvl w:val="0"/>
        <w:rPr>
          <w:b/>
          <w:color w:val="auto"/>
          <w:sz w:val="36"/>
          <w:szCs w:val="36"/>
          <w:highlight w:val="none"/>
        </w:rPr>
      </w:pPr>
      <w:r>
        <w:rPr>
          <w:rFonts w:hint="eastAsia"/>
          <w:color w:val="auto"/>
          <w:highlight w:val="none"/>
        </w:rPr>
        <w:br w:type="page"/>
      </w:r>
      <w:bookmarkStart w:id="45" w:name="_Toc527537988"/>
      <w:bookmarkStart w:id="46" w:name="_Toc497900238"/>
      <w:bookmarkStart w:id="47" w:name="_Toc213206175"/>
      <w:bookmarkStart w:id="48" w:name="_Toc213325924"/>
      <w:bookmarkStart w:id="49" w:name="_Toc497900273"/>
      <w:bookmarkStart w:id="50" w:name="_Toc271529390"/>
      <w:r>
        <w:rPr>
          <w:rFonts w:hint="eastAsia"/>
          <w:b/>
          <w:color w:val="auto"/>
          <w:sz w:val="36"/>
          <w:szCs w:val="36"/>
          <w:highlight w:val="none"/>
        </w:rPr>
        <w:t>第三章评标方法</w:t>
      </w:r>
      <w:bookmarkEnd w:id="45"/>
    </w:p>
    <w:p>
      <w:pPr>
        <w:spacing w:line="360" w:lineRule="auto"/>
        <w:ind w:firstLine="482" w:firstLineChars="200"/>
        <w:rPr>
          <w:b/>
          <w:color w:val="auto"/>
          <w:sz w:val="24"/>
          <w:highlight w:val="none"/>
        </w:rPr>
      </w:pPr>
      <w:bookmarkStart w:id="51" w:name="_Toc263847708"/>
      <w:bookmarkStart w:id="52" w:name="_Toc254850509"/>
      <w:bookmarkStart w:id="53" w:name="_Toc237682150"/>
      <w:bookmarkStart w:id="54" w:name="_Toc316459104"/>
      <w:r>
        <w:rPr>
          <w:rFonts w:hint="eastAsia"/>
          <w:b/>
          <w:color w:val="auto"/>
          <w:sz w:val="24"/>
          <w:highlight w:val="none"/>
        </w:rPr>
        <w:t>评标原则</w:t>
      </w:r>
    </w:p>
    <w:p>
      <w:pPr>
        <w:spacing w:line="360" w:lineRule="auto"/>
        <w:ind w:firstLine="420" w:firstLineChars="200"/>
        <w:rPr>
          <w:color w:val="auto"/>
          <w:szCs w:val="21"/>
          <w:highlight w:val="none"/>
        </w:rPr>
      </w:pPr>
      <w:r>
        <w:rPr>
          <w:rFonts w:hint="eastAsia"/>
          <w:color w:val="auto"/>
          <w:szCs w:val="21"/>
          <w:highlight w:val="none"/>
        </w:rPr>
        <w:t>（一）评标委员会构成：本项目的评标委员会由招标人代表和有关技术、商务等方面的专家组成。成员人数应当为五人以上（含五人）单数。其中，技术、商务等方面的专家不得少于成员总数的三分之二。</w:t>
      </w:r>
    </w:p>
    <w:p>
      <w:pPr>
        <w:spacing w:line="360" w:lineRule="auto"/>
        <w:ind w:firstLine="420" w:firstLineChars="200"/>
        <w:rPr>
          <w:color w:val="auto"/>
          <w:szCs w:val="21"/>
          <w:highlight w:val="none"/>
        </w:rPr>
      </w:pPr>
      <w:r>
        <w:rPr>
          <w:rFonts w:hint="eastAsia"/>
          <w:color w:val="auto"/>
          <w:szCs w:val="21"/>
          <w:highlight w:val="none"/>
        </w:rPr>
        <w:t>（二）评标依据：评标委员会将以招标文件和投标文件为评定依据进行评审。</w:t>
      </w:r>
    </w:p>
    <w:p>
      <w:pPr>
        <w:spacing w:line="360" w:lineRule="auto"/>
        <w:ind w:firstLine="420" w:firstLineChars="200"/>
        <w:rPr>
          <w:color w:val="auto"/>
          <w:szCs w:val="21"/>
          <w:highlight w:val="none"/>
        </w:rPr>
      </w:pPr>
      <w:r>
        <w:rPr>
          <w:rFonts w:hint="eastAsia"/>
          <w:color w:val="auto"/>
          <w:szCs w:val="21"/>
          <w:highlight w:val="none"/>
        </w:rPr>
        <w:t>（三）</w:t>
      </w:r>
      <w:r>
        <w:rPr>
          <w:rFonts w:hint="eastAsia" w:cs="宋体"/>
          <w:color w:val="auto"/>
          <w:kern w:val="0"/>
          <w:szCs w:val="21"/>
          <w:highlight w:val="none"/>
          <w:lang w:val="zh-CN"/>
        </w:rPr>
        <w:t>评标</w:t>
      </w:r>
      <w:r>
        <w:rPr>
          <w:rFonts w:hint="eastAsia"/>
          <w:color w:val="auto"/>
          <w:szCs w:val="21"/>
          <w:highlight w:val="none"/>
        </w:rPr>
        <w:t>原则</w:t>
      </w:r>
    </w:p>
    <w:p>
      <w:pPr>
        <w:spacing w:line="360" w:lineRule="auto"/>
        <w:ind w:firstLine="420" w:firstLineChars="200"/>
        <w:rPr>
          <w:color w:val="auto"/>
          <w:szCs w:val="21"/>
          <w:highlight w:val="none"/>
        </w:rPr>
      </w:pPr>
      <w:r>
        <w:rPr>
          <w:rFonts w:hint="eastAsia"/>
          <w:color w:val="auto"/>
          <w:szCs w:val="21"/>
          <w:highlight w:val="none"/>
        </w:rPr>
        <w:t>本项目招标采用</w:t>
      </w:r>
      <w:r>
        <w:rPr>
          <w:rFonts w:hint="eastAsia"/>
          <w:color w:val="auto"/>
          <w:szCs w:val="21"/>
          <w:highlight w:val="none"/>
          <w:u w:val="single"/>
        </w:rPr>
        <w:t>综合评分法</w:t>
      </w:r>
      <w:r>
        <w:rPr>
          <w:rFonts w:hint="eastAsia"/>
          <w:color w:val="auto"/>
          <w:szCs w:val="21"/>
          <w:highlight w:val="none"/>
        </w:rPr>
        <w:t>，标记“★”的为重要必须符合的实质性条款，在投标人符合标记“★”的实质性条款的要求后才继续通过对资格审查和实质性响应招标文件要求的投标文件的综合比较，各评委单独打分，然后汇总各评委分数的平均值作为投标人的综合得分（各项指标的最终分数计算四舍五入，取小数点后两位）。</w:t>
      </w:r>
    </w:p>
    <w:bookmarkEnd w:id="51"/>
    <w:bookmarkEnd w:id="52"/>
    <w:bookmarkEnd w:id="53"/>
    <w:bookmarkEnd w:id="54"/>
    <w:p>
      <w:pPr>
        <w:tabs>
          <w:tab w:val="right" w:leader="dot" w:pos="9185"/>
        </w:tabs>
        <w:adjustRightInd w:val="0"/>
        <w:spacing w:line="440" w:lineRule="exact"/>
        <w:textAlignment w:val="baseline"/>
        <w:rPr>
          <w:rFonts w:ascii="宋体" w:hAnsi="宋体"/>
          <w:b/>
          <w:bCs/>
          <w:color w:val="auto"/>
          <w:kern w:val="0"/>
          <w:szCs w:val="20"/>
          <w:highlight w:val="none"/>
        </w:rPr>
      </w:pPr>
      <w:r>
        <w:rPr>
          <w:rFonts w:hint="eastAsia" w:ascii="宋体" w:hAnsi="宋体"/>
          <w:b/>
          <w:bCs/>
          <w:color w:val="auto"/>
          <w:kern w:val="0"/>
          <w:szCs w:val="20"/>
          <w:highlight w:val="none"/>
        </w:rPr>
        <w:t>二、评标方法</w:t>
      </w:r>
    </w:p>
    <w:p>
      <w:pPr>
        <w:tabs>
          <w:tab w:val="right" w:leader="dot" w:pos="9185"/>
        </w:tabs>
        <w:adjustRightInd w:val="0"/>
        <w:spacing w:line="440" w:lineRule="exact"/>
        <w:ind w:firstLine="315" w:firstLineChars="150"/>
        <w:textAlignment w:val="baseline"/>
        <w:rPr>
          <w:rFonts w:ascii="宋体" w:hAnsi="宋体"/>
          <w:bCs/>
          <w:color w:val="auto"/>
          <w:kern w:val="0"/>
          <w:szCs w:val="20"/>
          <w:highlight w:val="none"/>
        </w:rPr>
      </w:pPr>
      <w:r>
        <w:rPr>
          <w:rFonts w:hint="eastAsia" w:ascii="宋体" w:hAnsi="宋体"/>
          <w:bCs/>
          <w:color w:val="auto"/>
          <w:kern w:val="0"/>
          <w:szCs w:val="20"/>
          <w:highlight w:val="none"/>
        </w:rPr>
        <w:t>（一）对进入详评的，采用百分制综合评分法。</w:t>
      </w:r>
    </w:p>
    <w:p>
      <w:pPr>
        <w:tabs>
          <w:tab w:val="right" w:leader="dot" w:pos="9185"/>
        </w:tabs>
        <w:adjustRightInd w:val="0"/>
        <w:spacing w:line="440" w:lineRule="exact"/>
        <w:ind w:firstLine="315" w:firstLineChars="150"/>
        <w:textAlignment w:val="baseline"/>
        <w:rPr>
          <w:rFonts w:ascii="宋体" w:hAnsi="宋体"/>
          <w:color w:val="auto"/>
          <w:kern w:val="0"/>
          <w:szCs w:val="21"/>
          <w:highlight w:val="none"/>
        </w:rPr>
      </w:pPr>
      <w:r>
        <w:rPr>
          <w:rFonts w:hint="eastAsia" w:ascii="宋体" w:hAnsi="宋体"/>
          <w:bCs/>
          <w:color w:val="auto"/>
          <w:kern w:val="0"/>
          <w:szCs w:val="20"/>
          <w:highlight w:val="none"/>
        </w:rPr>
        <w:t>（二）计分办法（按四舍五入取至百分位）：</w:t>
      </w:r>
    </w:p>
    <w:p>
      <w:pPr>
        <w:spacing w:line="440" w:lineRule="exact"/>
        <w:outlineLvl w:val="0"/>
        <w:rPr>
          <w:rFonts w:ascii="宋体" w:hAnsi="宋体" w:cs="Courier New"/>
          <w:b/>
          <w:color w:val="auto"/>
          <w:szCs w:val="21"/>
          <w:highlight w:val="none"/>
        </w:rPr>
      </w:pPr>
      <w:bookmarkStart w:id="55" w:name="_Toc377722435"/>
      <w:r>
        <w:rPr>
          <w:rFonts w:hint="eastAsia" w:ascii="宋体" w:hAnsi="宋体" w:cs="Courier New"/>
          <w:b/>
          <w:bCs/>
          <w:color w:val="auto"/>
          <w:szCs w:val="21"/>
          <w:highlight w:val="none"/>
        </w:rPr>
        <w:t>1、</w:t>
      </w:r>
      <w:r>
        <w:rPr>
          <w:rFonts w:hint="eastAsia" w:ascii="宋体" w:hAnsi="宋体" w:cs="Courier New"/>
          <w:b/>
          <w:color w:val="auto"/>
          <w:szCs w:val="21"/>
          <w:highlight w:val="none"/>
        </w:rPr>
        <w:t xml:space="preserve"> 价格分</w:t>
      </w:r>
      <w:r>
        <w:rPr>
          <w:rFonts w:ascii="宋体" w:hAnsi="宋体" w:cs="Courier New"/>
          <w:b/>
          <w:color w:val="auto"/>
          <w:szCs w:val="21"/>
          <w:highlight w:val="none"/>
        </w:rPr>
        <w:t>………………………………………………………………………………</w:t>
      </w:r>
      <w:r>
        <w:rPr>
          <w:rFonts w:hint="eastAsia" w:ascii="宋体" w:hAnsi="宋体" w:cs="Courier New"/>
          <w:b/>
          <w:color w:val="auto"/>
          <w:szCs w:val="21"/>
          <w:highlight w:val="none"/>
        </w:rPr>
        <w:t>30分</w:t>
      </w:r>
      <w:bookmarkEnd w:id="55"/>
    </w:p>
    <w:p>
      <w:pPr>
        <w:spacing w:line="360" w:lineRule="auto"/>
        <w:ind w:firstLine="420"/>
        <w:rPr>
          <w:rFonts w:ascii="宋体" w:hAnsi="宋体" w:cs="Courier New"/>
          <w:color w:val="auto"/>
          <w:szCs w:val="21"/>
          <w:highlight w:val="none"/>
        </w:rPr>
      </w:pPr>
      <w:r>
        <w:rPr>
          <w:rFonts w:hint="eastAsia" w:ascii="宋体" w:hAnsi="宋体" w:cs="Courier New"/>
          <w:color w:val="auto"/>
          <w:szCs w:val="21"/>
          <w:highlight w:val="none"/>
        </w:rPr>
        <w:t>（1）投标产品提供企业按《政府采购促进中小企业发展暂行办法》（财库</w:t>
      </w:r>
      <w:r>
        <w:rPr>
          <w:rFonts w:hint="eastAsia"/>
          <w:color w:val="auto"/>
          <w:highlight w:val="none"/>
        </w:rPr>
        <w:t>〔</w:t>
      </w:r>
      <w:r>
        <w:rPr>
          <w:rFonts w:hint="eastAsia"/>
          <w:color w:val="auto"/>
          <w:highlight w:val="none"/>
          <w:lang w:val="en-US" w:eastAsia="zh-CN"/>
        </w:rPr>
        <w:t>2011</w:t>
      </w:r>
      <w:r>
        <w:rPr>
          <w:rFonts w:hint="eastAsia"/>
          <w:color w:val="auto"/>
          <w:highlight w:val="none"/>
        </w:rPr>
        <w:t>〕</w:t>
      </w:r>
      <w:r>
        <w:rPr>
          <w:rFonts w:hint="eastAsia" w:ascii="宋体" w:hAnsi="宋体" w:cs="Courier New"/>
          <w:color w:val="auto"/>
          <w:szCs w:val="21"/>
          <w:highlight w:val="none"/>
        </w:rPr>
        <w:t>181号）认定为小型和微型企业的</w:t>
      </w:r>
      <w:r>
        <w:rPr>
          <w:rFonts w:hint="eastAsia" w:ascii="宋体" w:hAnsi="宋体" w:cs="Courier New"/>
          <w:bCs/>
          <w:color w:val="auto"/>
          <w:szCs w:val="21"/>
          <w:highlight w:val="none"/>
        </w:rPr>
        <w:t>[投标人须提供所投产品生产企业所在地的县级以上中小企业主管部门相关证明材料</w:t>
      </w:r>
      <w:r>
        <w:rPr>
          <w:rFonts w:hint="eastAsia" w:ascii="宋体" w:hAnsi="宋体" w:cs="Courier New"/>
          <w:color w:val="auto"/>
          <w:szCs w:val="21"/>
          <w:highlight w:val="none"/>
        </w:rPr>
        <w:t>复印件</w:t>
      </w:r>
      <w:r>
        <w:rPr>
          <w:rFonts w:hint="eastAsia" w:ascii="宋体" w:hAnsi="宋体" w:cs="Courier New"/>
          <w:bCs/>
          <w:color w:val="auto"/>
          <w:szCs w:val="21"/>
          <w:highlight w:val="none"/>
        </w:rPr>
        <w:t>，并对证明材料的真实性负责，并如实递交中小企业声明函，否则不予价格扣除]</w:t>
      </w:r>
      <w:r>
        <w:rPr>
          <w:rFonts w:hint="eastAsia" w:ascii="宋体" w:hAnsi="宋体" w:cs="Courier New"/>
          <w:color w:val="auto"/>
          <w:szCs w:val="21"/>
          <w:highlight w:val="none"/>
        </w:rPr>
        <w:t>，对其投标价给予6%的扣除，扣除后的价格为评标价，即评标价=投标价×（1-6%）；大中型企业与小型、微型企业组成联合体投标，其中小型、微型企业的协议合同金额占到联合体协议合同总金额30%以上的，联合体投标价给予2%的扣除，扣除后的价格为评标价，即评标价=投标价×（1-2%）；除上述情况外，评标价=投标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投标产品提供企业按《关于政府采购支持监狱企业发展有关问题的通知》</w:t>
      </w:r>
      <w:r>
        <w:rPr>
          <w:rFonts w:ascii="宋体" w:hAnsi="宋体"/>
          <w:color w:val="auto"/>
          <w:szCs w:val="21"/>
          <w:highlight w:val="none"/>
        </w:rPr>
        <w:t>(</w:t>
      </w:r>
      <w:r>
        <w:rPr>
          <w:rFonts w:hint="eastAsia" w:ascii="宋体" w:hAnsi="宋体"/>
          <w:color w:val="auto"/>
          <w:szCs w:val="21"/>
          <w:highlight w:val="none"/>
        </w:rPr>
        <w:t>财库</w:t>
      </w:r>
      <w:r>
        <w:rPr>
          <w:rFonts w:hint="eastAsia"/>
          <w:color w:val="auto"/>
          <w:highlight w:val="none"/>
        </w:rPr>
        <w:t>〔</w:t>
      </w:r>
      <w:r>
        <w:rPr>
          <w:rFonts w:hint="eastAsia"/>
          <w:color w:val="auto"/>
          <w:highlight w:val="none"/>
          <w:lang w:val="en-US" w:eastAsia="zh-CN"/>
        </w:rPr>
        <w:t>2014</w:t>
      </w:r>
      <w:r>
        <w:rPr>
          <w:rFonts w:hint="eastAsia"/>
          <w:color w:val="auto"/>
          <w:highlight w:val="none"/>
        </w:rPr>
        <w:t>〕</w:t>
      </w:r>
      <w:r>
        <w:rPr>
          <w:rFonts w:ascii="宋体" w:hAnsi="宋体"/>
          <w:color w:val="auto"/>
          <w:szCs w:val="21"/>
          <w:highlight w:val="none"/>
        </w:rPr>
        <w:t>68</w:t>
      </w:r>
      <w:r>
        <w:rPr>
          <w:rFonts w:hint="eastAsia" w:ascii="宋体" w:hAnsi="宋体"/>
          <w:color w:val="auto"/>
          <w:szCs w:val="21"/>
          <w:highlight w:val="none"/>
        </w:rPr>
        <w:t>号</w:t>
      </w:r>
      <w:r>
        <w:rPr>
          <w:rFonts w:ascii="宋体" w:hAnsi="宋体"/>
          <w:color w:val="auto"/>
          <w:szCs w:val="21"/>
          <w:highlight w:val="none"/>
        </w:rPr>
        <w:t>)</w:t>
      </w:r>
      <w:r>
        <w:rPr>
          <w:rFonts w:hint="eastAsia" w:ascii="宋体" w:hAnsi="宋体"/>
          <w:color w:val="auto"/>
          <w:szCs w:val="21"/>
          <w:highlight w:val="none"/>
        </w:rPr>
        <w:t>认定为监狱企业的，在政府采购活动中，监狱企业视同小型、微型企业。监狱企业参加政府采购活动时，应当提供由省级以上监狱管理局、戒毒管理局</w:t>
      </w:r>
      <w:r>
        <w:rPr>
          <w:rFonts w:ascii="宋体" w:hAnsi="宋体"/>
          <w:color w:val="auto"/>
          <w:szCs w:val="21"/>
          <w:highlight w:val="none"/>
        </w:rPr>
        <w:t>(</w:t>
      </w:r>
      <w:r>
        <w:rPr>
          <w:rFonts w:hint="eastAsia" w:ascii="宋体" w:hAnsi="宋体"/>
          <w:color w:val="auto"/>
          <w:szCs w:val="21"/>
          <w:highlight w:val="none"/>
        </w:rPr>
        <w:t>含新疆生产建设兵团</w:t>
      </w:r>
      <w:r>
        <w:rPr>
          <w:rFonts w:ascii="宋体" w:hAnsi="宋体"/>
          <w:color w:val="auto"/>
          <w:szCs w:val="21"/>
          <w:highlight w:val="none"/>
        </w:rPr>
        <w:t>)</w:t>
      </w:r>
      <w:r>
        <w:rPr>
          <w:rFonts w:hint="eastAsia" w:ascii="宋体" w:hAnsi="宋体"/>
          <w:color w:val="auto"/>
          <w:szCs w:val="21"/>
          <w:highlight w:val="none"/>
        </w:rPr>
        <w:t>出具的属于监狱企业的证明文件。根据《关于促进残疾人就业政府采购政策的通知》（财库〔2017〕141号）的要求，残疾人福利性单位视同小型、微型企业（监狱企业、残疾人福利性单位已经享受小微企业6%价格折扣的，不再重复扣除）。</w:t>
      </w:r>
    </w:p>
    <w:p>
      <w:pPr>
        <w:tabs>
          <w:tab w:val="right" w:leader="dot" w:pos="9185"/>
        </w:tabs>
        <w:adjustRightInd w:val="0"/>
        <w:spacing w:line="440" w:lineRule="exact"/>
        <w:ind w:firstLine="420" w:firstLineChars="200"/>
        <w:textAlignment w:val="baseline"/>
        <w:rPr>
          <w:rFonts w:ascii="宋体" w:hAnsi="宋体"/>
          <w:color w:val="auto"/>
          <w:kern w:val="0"/>
          <w:szCs w:val="21"/>
          <w:highlight w:val="none"/>
        </w:rPr>
      </w:pPr>
      <w:r>
        <w:rPr>
          <w:rFonts w:hint="eastAsia" w:ascii="宋体" w:hAnsi="宋体"/>
          <w:color w:val="auto"/>
          <w:kern w:val="0"/>
          <w:szCs w:val="21"/>
          <w:highlight w:val="none"/>
        </w:rPr>
        <w:t>（2）实质上响应满足招标文件要求的最低投标报价为</w:t>
      </w:r>
      <w:r>
        <w:rPr>
          <w:rFonts w:hint="eastAsia" w:ascii="宋体" w:hAnsi="宋体"/>
          <w:color w:val="auto"/>
          <w:kern w:val="0"/>
          <w:szCs w:val="21"/>
          <w:highlight w:val="none"/>
          <w:u w:val="single"/>
        </w:rPr>
        <w:t>30</w:t>
      </w:r>
      <w:r>
        <w:rPr>
          <w:rFonts w:hint="eastAsia" w:ascii="宋体" w:hAnsi="宋体"/>
          <w:color w:val="auto"/>
          <w:kern w:val="0"/>
          <w:szCs w:val="21"/>
          <w:highlight w:val="none"/>
        </w:rPr>
        <w:t>分。</w:t>
      </w:r>
    </w:p>
    <w:p>
      <w:pPr>
        <w:spacing w:line="44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（3）某投标人价格分</w:t>
      </w:r>
      <w:r>
        <w:rPr>
          <w:rFonts w:ascii="宋体" w:hAnsi="宋体" w:cs="Courier New"/>
          <w:color w:val="auto"/>
          <w:szCs w:val="21"/>
          <w:highlight w:val="none"/>
        </w:rPr>
        <w:t xml:space="preserve"> = </w:t>
      </w:r>
      <w:r>
        <w:rPr>
          <w:rFonts w:hint="eastAsia" w:ascii="宋体" w:hAnsi="宋体" w:cs="Courier New"/>
          <w:bCs/>
          <w:color w:val="auto"/>
          <w:szCs w:val="21"/>
          <w:highlight w:val="none"/>
        </w:rPr>
        <w:t>投标人最低报价（金额）</w:t>
      </w:r>
      <w:r>
        <w:rPr>
          <w:rFonts w:ascii="宋体" w:hAnsi="宋体" w:cs="Courier New"/>
          <w:bCs/>
          <w:color w:val="auto"/>
          <w:szCs w:val="21"/>
          <w:highlight w:val="none"/>
        </w:rPr>
        <w:t>/</w:t>
      </w:r>
      <w:r>
        <w:rPr>
          <w:rFonts w:hint="eastAsia" w:ascii="宋体" w:hAnsi="宋体" w:cs="Courier New"/>
          <w:bCs/>
          <w:color w:val="auto"/>
          <w:szCs w:val="21"/>
          <w:highlight w:val="none"/>
        </w:rPr>
        <w:t>某投标人报价（金额）</w:t>
      </w:r>
      <w:r>
        <w:rPr>
          <w:rFonts w:hint="eastAsia" w:ascii="宋体" w:hAnsi="宋体" w:cs="Courier New"/>
          <w:color w:val="auto"/>
          <w:szCs w:val="21"/>
          <w:highlight w:val="none"/>
        </w:rPr>
        <w:t>×3</w:t>
      </w:r>
      <w:r>
        <w:rPr>
          <w:rFonts w:ascii="宋体" w:hAnsi="宋体" w:cs="Courier New"/>
          <w:color w:val="auto"/>
          <w:szCs w:val="21"/>
          <w:highlight w:val="none"/>
        </w:rPr>
        <w:t>0</w:t>
      </w:r>
      <w:r>
        <w:rPr>
          <w:rFonts w:hint="eastAsia" w:ascii="宋体" w:hAnsi="宋体" w:cs="Courier New"/>
          <w:color w:val="auto"/>
          <w:szCs w:val="21"/>
          <w:highlight w:val="none"/>
        </w:rPr>
        <w:t>分</w:t>
      </w:r>
    </w:p>
    <w:p>
      <w:pPr>
        <w:spacing w:line="440" w:lineRule="exact"/>
        <w:rPr>
          <w:rFonts w:ascii="宋体" w:hAnsi="宋体" w:cs="Courier New"/>
          <w:b/>
          <w:bCs/>
          <w:color w:val="auto"/>
          <w:szCs w:val="21"/>
          <w:highlight w:val="none"/>
        </w:rPr>
      </w:pPr>
      <w:r>
        <w:rPr>
          <w:rFonts w:hint="eastAsia" w:ascii="宋体" w:hAnsi="宋体" w:cs="Courier New"/>
          <w:b/>
          <w:bCs/>
          <w:color w:val="auto"/>
          <w:szCs w:val="21"/>
          <w:highlight w:val="none"/>
        </w:rPr>
        <w:t>2、服务方案分</w:t>
      </w:r>
      <w:r>
        <w:rPr>
          <w:rFonts w:ascii="宋体" w:hAnsi="宋体" w:cs="Courier New"/>
          <w:b/>
          <w:bCs/>
          <w:color w:val="auto"/>
          <w:szCs w:val="21"/>
          <w:highlight w:val="none"/>
        </w:rPr>
        <w:t>…………………………………………………………………………</w:t>
      </w:r>
      <w:r>
        <w:rPr>
          <w:rFonts w:hint="eastAsia" w:ascii="宋体" w:hAnsi="宋体" w:cs="Courier New"/>
          <w:b/>
          <w:bCs/>
          <w:color w:val="auto"/>
          <w:szCs w:val="21"/>
          <w:highlight w:val="none"/>
        </w:rPr>
        <w:t>30分</w:t>
      </w:r>
    </w:p>
    <w:p>
      <w:pPr>
        <w:spacing w:line="440" w:lineRule="exact"/>
        <w:ind w:firstLine="430"/>
        <w:rPr>
          <w:rFonts w:ascii="宋体" w:hAnsi="Courier New" w:cs="Courier New"/>
          <w:color w:val="auto"/>
          <w:szCs w:val="21"/>
          <w:highlight w:val="none"/>
        </w:rPr>
      </w:pPr>
      <w:r>
        <w:rPr>
          <w:rFonts w:ascii="宋体" w:hAnsi="Courier New" w:cs="Courier New"/>
          <w:color w:val="auto"/>
          <w:szCs w:val="21"/>
          <w:highlight w:val="none"/>
        </w:rPr>
        <w:t>一档</w:t>
      </w:r>
      <w:r>
        <w:rPr>
          <w:rFonts w:hint="eastAsia" w:ascii="宋体" w:hAnsi="Courier New" w:cs="Courier New"/>
          <w:color w:val="auto"/>
          <w:szCs w:val="21"/>
          <w:highlight w:val="none"/>
        </w:rPr>
        <w:t>（0～10）</w:t>
      </w:r>
      <w:r>
        <w:rPr>
          <w:rFonts w:ascii="宋体" w:hAnsi="Courier New" w:cs="Courier New"/>
          <w:color w:val="auto"/>
          <w:szCs w:val="21"/>
          <w:highlight w:val="none"/>
        </w:rPr>
        <w:t xml:space="preserve">：投标人整体维修保养服务方案、服务质量保证方案（服务方式、流程等）维护服务实施方案、 对具体方案设计合理性一般；组织计划、技术规范和质量保证措施、安全保障措施等方面内容基本齐全、 规范及方案、进度及目标、预期达到的效果、管理、组织协调、实施细则等，陈述简单，无针对性、操作性的。 </w:t>
      </w:r>
    </w:p>
    <w:p>
      <w:pPr>
        <w:spacing w:line="440" w:lineRule="exact"/>
        <w:ind w:firstLine="430"/>
        <w:rPr>
          <w:rFonts w:ascii="宋体" w:hAnsi="Courier New" w:cs="Courier New"/>
          <w:color w:val="auto"/>
          <w:szCs w:val="21"/>
          <w:highlight w:val="none"/>
        </w:rPr>
      </w:pPr>
      <w:r>
        <w:rPr>
          <w:rFonts w:ascii="宋体" w:hAnsi="Courier New" w:cs="Courier New"/>
          <w:color w:val="auto"/>
          <w:szCs w:val="21"/>
          <w:highlight w:val="none"/>
        </w:rPr>
        <w:t>二档</w:t>
      </w:r>
      <w:r>
        <w:rPr>
          <w:rFonts w:hint="eastAsia" w:ascii="宋体" w:hAnsi="Courier New" w:cs="Courier New"/>
          <w:color w:val="auto"/>
          <w:szCs w:val="21"/>
          <w:highlight w:val="none"/>
        </w:rPr>
        <w:t>（10.1～20）</w:t>
      </w:r>
      <w:r>
        <w:rPr>
          <w:rFonts w:ascii="宋体" w:hAnsi="Courier New" w:cs="Courier New"/>
          <w:color w:val="auto"/>
          <w:szCs w:val="21"/>
          <w:highlight w:val="none"/>
        </w:rPr>
        <w:t>：投标人整体维修保养服务方案、服务质量保证方案（服务方式、流程等）维护服务实施方案、 对具体方案设计合理性较好；组织计划、技术规范和质量保证措施、安全保障措施等方面内容齐全、规 范及方案、进度及目标、预期达到的效果、管理、组织协调、实施细则等，陈述较详细，针对性、操作性一般的。</w:t>
      </w:r>
    </w:p>
    <w:p>
      <w:pPr>
        <w:spacing w:line="440" w:lineRule="exact"/>
        <w:ind w:firstLine="430"/>
        <w:rPr>
          <w:rFonts w:ascii="宋体" w:hAnsi="宋体" w:cs="Courier New"/>
          <w:bCs/>
          <w:color w:val="auto"/>
          <w:szCs w:val="21"/>
          <w:highlight w:val="none"/>
        </w:rPr>
      </w:pPr>
      <w:r>
        <w:rPr>
          <w:rFonts w:ascii="宋体" w:hAnsi="Courier New" w:cs="Courier New"/>
          <w:color w:val="auto"/>
          <w:szCs w:val="21"/>
          <w:highlight w:val="none"/>
        </w:rPr>
        <w:t>三档</w:t>
      </w:r>
      <w:r>
        <w:rPr>
          <w:rFonts w:hint="eastAsia" w:ascii="宋体" w:hAnsi="Courier New" w:cs="Courier New"/>
          <w:color w:val="auto"/>
          <w:szCs w:val="21"/>
          <w:highlight w:val="none"/>
        </w:rPr>
        <w:t>（20.1～30）</w:t>
      </w:r>
      <w:r>
        <w:rPr>
          <w:rFonts w:ascii="宋体" w:hAnsi="Courier New" w:cs="Courier New"/>
          <w:color w:val="auto"/>
          <w:szCs w:val="21"/>
          <w:highlight w:val="none"/>
        </w:rPr>
        <w:t>：投标人整体维修保养服务方案、服务质量保证方案（服务方式、流程等）维护服务实施方案、 对具体方案设计合理性优秀。组织计划、技术规范和质量保证措施、安全保障措施等方面内容齐全、规 范及方案、进度及目标、预期达到的效果、管理、组织协调、实施细则等，陈述详细，针对性、操作性 强且科学合理的。</w:t>
      </w:r>
    </w:p>
    <w:p>
      <w:pPr>
        <w:spacing w:line="440" w:lineRule="exact"/>
        <w:rPr>
          <w:rFonts w:ascii="宋体" w:hAnsi="宋体" w:cs="Courier New"/>
          <w:b/>
          <w:bCs/>
          <w:color w:val="auto"/>
          <w:szCs w:val="21"/>
          <w:highlight w:val="none"/>
        </w:rPr>
      </w:pPr>
      <w:r>
        <w:rPr>
          <w:rFonts w:ascii="宋体" w:hAnsi="Courier New" w:cs="Courier New"/>
          <w:b/>
          <w:color w:val="auto"/>
          <w:szCs w:val="21"/>
          <w:highlight w:val="none"/>
        </w:rPr>
        <w:t>3、项目</w:t>
      </w:r>
      <w:r>
        <w:rPr>
          <w:rFonts w:hint="eastAsia" w:ascii="宋体" w:hAnsi="Courier New" w:cs="Courier New"/>
          <w:b/>
          <w:color w:val="auto"/>
          <w:szCs w:val="21"/>
          <w:highlight w:val="none"/>
        </w:rPr>
        <w:t>实施的能力及</w:t>
      </w:r>
      <w:r>
        <w:rPr>
          <w:rFonts w:ascii="宋体" w:hAnsi="Courier New" w:cs="Courier New"/>
          <w:b/>
          <w:color w:val="auto"/>
          <w:szCs w:val="21"/>
          <w:highlight w:val="none"/>
        </w:rPr>
        <w:t>人员配备情况分</w:t>
      </w:r>
      <w:r>
        <w:rPr>
          <w:rFonts w:ascii="宋体" w:hAnsi="宋体" w:cs="Courier New"/>
          <w:b/>
          <w:bCs/>
          <w:color w:val="auto"/>
          <w:szCs w:val="21"/>
          <w:highlight w:val="none"/>
        </w:rPr>
        <w:t>…………………………………………………24</w:t>
      </w:r>
      <w:r>
        <w:rPr>
          <w:rFonts w:hint="eastAsia" w:ascii="宋体" w:hAnsi="宋体" w:cs="Courier New"/>
          <w:b/>
          <w:bCs/>
          <w:color w:val="auto"/>
          <w:szCs w:val="21"/>
          <w:highlight w:val="none"/>
        </w:rPr>
        <w:t>分</w:t>
      </w:r>
    </w:p>
    <w:p>
      <w:pPr>
        <w:spacing w:line="440" w:lineRule="exact"/>
        <w:rPr>
          <w:rFonts w:ascii="宋体" w:hAnsi="Courier New" w:cs="Courier New"/>
          <w:color w:val="auto"/>
          <w:szCs w:val="21"/>
          <w:highlight w:val="none"/>
        </w:rPr>
      </w:pPr>
      <w:r>
        <w:rPr>
          <w:rFonts w:ascii="宋体" w:hAnsi="Courier New" w:cs="Courier New"/>
          <w:color w:val="auto"/>
          <w:szCs w:val="21"/>
          <w:highlight w:val="none"/>
        </w:rPr>
        <w:t>一档</w:t>
      </w:r>
      <w:r>
        <w:rPr>
          <w:rFonts w:hint="eastAsia" w:ascii="宋体" w:hAnsi="Courier New" w:cs="Courier New"/>
          <w:color w:val="auto"/>
          <w:szCs w:val="21"/>
          <w:highlight w:val="none"/>
        </w:rPr>
        <w:t>（0～</w:t>
      </w:r>
      <w:r>
        <w:rPr>
          <w:rFonts w:ascii="宋体" w:hAnsi="Courier New" w:cs="Courier New"/>
          <w:color w:val="auto"/>
          <w:szCs w:val="21"/>
          <w:highlight w:val="none"/>
        </w:rPr>
        <w:t>8</w:t>
      </w:r>
      <w:r>
        <w:rPr>
          <w:rFonts w:hint="eastAsia" w:ascii="宋体" w:hAnsi="Courier New" w:cs="Courier New"/>
          <w:color w:val="auto"/>
          <w:szCs w:val="21"/>
          <w:highlight w:val="none"/>
        </w:rPr>
        <w:t>）</w:t>
      </w:r>
      <w:r>
        <w:rPr>
          <w:rFonts w:ascii="宋体" w:hAnsi="Courier New" w:cs="Courier New"/>
          <w:color w:val="auto"/>
          <w:szCs w:val="21"/>
          <w:highlight w:val="none"/>
        </w:rPr>
        <w:t>：经评委综合评定组织机构设置不够合理，项目班子成员较少，拟投入的技术力量一般，人员 技术资格水平差。提供实施服务的工程师</w:t>
      </w:r>
      <w:r>
        <w:rPr>
          <w:rFonts w:hint="eastAsia" w:ascii="宋体" w:hAnsi="Courier New" w:cs="Courier New"/>
          <w:color w:val="auto"/>
          <w:szCs w:val="21"/>
          <w:highlight w:val="none"/>
        </w:rPr>
        <w:t>不能提供所维保</w:t>
      </w:r>
      <w:r>
        <w:rPr>
          <w:rFonts w:ascii="宋体" w:hAnsi="Courier New" w:cs="Courier New"/>
          <w:color w:val="auto"/>
          <w:szCs w:val="21"/>
          <w:highlight w:val="none"/>
        </w:rPr>
        <w:t xml:space="preserve">设备厂家技术培训资质证明材料。 </w:t>
      </w:r>
    </w:p>
    <w:p>
      <w:pPr>
        <w:spacing w:line="440" w:lineRule="exact"/>
        <w:rPr>
          <w:rFonts w:ascii="宋体" w:hAnsi="Courier New" w:cs="Courier New"/>
          <w:color w:val="auto"/>
          <w:szCs w:val="21"/>
          <w:highlight w:val="none"/>
        </w:rPr>
      </w:pPr>
      <w:r>
        <w:rPr>
          <w:rFonts w:ascii="宋体" w:hAnsi="Courier New" w:cs="Courier New"/>
          <w:color w:val="auto"/>
          <w:szCs w:val="21"/>
          <w:highlight w:val="none"/>
        </w:rPr>
        <w:t>二档</w:t>
      </w:r>
      <w:r>
        <w:rPr>
          <w:rFonts w:hint="eastAsia" w:ascii="宋体" w:hAnsi="Courier New" w:cs="Courier New"/>
          <w:color w:val="auto"/>
          <w:szCs w:val="21"/>
          <w:highlight w:val="none"/>
        </w:rPr>
        <w:t>（</w:t>
      </w:r>
      <w:r>
        <w:rPr>
          <w:rFonts w:ascii="宋体" w:hAnsi="Courier New" w:cs="Courier New"/>
          <w:color w:val="auto"/>
          <w:szCs w:val="21"/>
          <w:highlight w:val="none"/>
        </w:rPr>
        <w:t>8</w:t>
      </w:r>
      <w:r>
        <w:rPr>
          <w:rFonts w:hint="eastAsia" w:ascii="宋体" w:hAnsi="Courier New" w:cs="Courier New"/>
          <w:color w:val="auto"/>
          <w:szCs w:val="21"/>
          <w:highlight w:val="none"/>
        </w:rPr>
        <w:t>.1～1</w:t>
      </w:r>
      <w:r>
        <w:rPr>
          <w:rFonts w:ascii="宋体" w:hAnsi="Courier New" w:cs="Courier New"/>
          <w:color w:val="auto"/>
          <w:szCs w:val="21"/>
          <w:highlight w:val="none"/>
        </w:rPr>
        <w:t>6</w:t>
      </w:r>
      <w:r>
        <w:rPr>
          <w:rFonts w:hint="eastAsia" w:ascii="宋体" w:hAnsi="Courier New" w:cs="Courier New"/>
          <w:color w:val="auto"/>
          <w:szCs w:val="21"/>
          <w:highlight w:val="none"/>
        </w:rPr>
        <w:t>）</w:t>
      </w:r>
      <w:r>
        <w:rPr>
          <w:rFonts w:ascii="宋体" w:hAnsi="Courier New" w:cs="Courier New"/>
          <w:color w:val="auto"/>
          <w:szCs w:val="21"/>
          <w:highlight w:val="none"/>
        </w:rPr>
        <w:t>：</w:t>
      </w:r>
      <w:bookmarkStart w:id="56" w:name="_Hlk20438695"/>
      <w:r>
        <w:rPr>
          <w:rFonts w:hint="eastAsia" w:ascii="宋体" w:hAnsi="Courier New" w:cs="Courier New"/>
          <w:color w:val="auto"/>
          <w:szCs w:val="21"/>
          <w:highlight w:val="none"/>
        </w:rPr>
        <w:t>有辐射安全许可证，能提供证书复印件和</w:t>
      </w:r>
      <w:bookmarkEnd w:id="56"/>
      <w:r>
        <w:rPr>
          <w:rFonts w:ascii="宋体" w:hAnsi="Courier New" w:cs="Courier New"/>
          <w:color w:val="auto"/>
          <w:szCs w:val="21"/>
          <w:highlight w:val="none"/>
        </w:rPr>
        <w:t>本项目人员组织机构设置基本合理，项目人员配备基本齐全，配置较为合理，素质较高，技 术力量一般，基本能满足项目实施要求，人员技术资格水平较好。能够提供实施服务的工程师具有</w:t>
      </w:r>
      <w:r>
        <w:rPr>
          <w:rFonts w:hint="eastAsia" w:ascii="宋体" w:hAnsi="Courier New" w:cs="Courier New"/>
          <w:color w:val="auto"/>
          <w:szCs w:val="21"/>
          <w:highlight w:val="none"/>
        </w:rPr>
        <w:t>所维保</w:t>
      </w:r>
      <w:r>
        <w:rPr>
          <w:rFonts w:ascii="宋体" w:hAnsi="Courier New" w:cs="Courier New"/>
          <w:color w:val="auto"/>
          <w:szCs w:val="21"/>
          <w:highlight w:val="none"/>
        </w:rPr>
        <w:t xml:space="preserve">设备厂家技术培训资质证明材料复印件 1-2 名。 </w:t>
      </w:r>
    </w:p>
    <w:p>
      <w:pPr>
        <w:spacing w:line="440" w:lineRule="exact"/>
        <w:rPr>
          <w:rFonts w:ascii="宋体" w:hAnsi="宋体" w:cs="Courier New"/>
          <w:b/>
          <w:bCs/>
          <w:color w:val="auto"/>
          <w:szCs w:val="21"/>
          <w:highlight w:val="none"/>
        </w:rPr>
      </w:pPr>
      <w:r>
        <w:rPr>
          <w:rFonts w:ascii="宋体" w:hAnsi="Courier New" w:cs="Courier New"/>
          <w:color w:val="auto"/>
          <w:szCs w:val="21"/>
          <w:highlight w:val="none"/>
        </w:rPr>
        <w:t>三档</w:t>
      </w:r>
      <w:r>
        <w:rPr>
          <w:rFonts w:hint="eastAsia" w:ascii="宋体" w:hAnsi="Courier New" w:cs="Courier New"/>
          <w:color w:val="auto"/>
          <w:szCs w:val="21"/>
          <w:highlight w:val="none"/>
        </w:rPr>
        <w:t>（1</w:t>
      </w:r>
      <w:r>
        <w:rPr>
          <w:rFonts w:ascii="宋体" w:hAnsi="Courier New" w:cs="Courier New"/>
          <w:color w:val="auto"/>
          <w:szCs w:val="21"/>
          <w:highlight w:val="none"/>
        </w:rPr>
        <w:t>6</w:t>
      </w:r>
      <w:r>
        <w:rPr>
          <w:rFonts w:hint="eastAsia" w:ascii="宋体" w:hAnsi="Courier New" w:cs="Courier New"/>
          <w:color w:val="auto"/>
          <w:szCs w:val="21"/>
          <w:highlight w:val="none"/>
        </w:rPr>
        <w:t>.1～2</w:t>
      </w:r>
      <w:r>
        <w:rPr>
          <w:rFonts w:ascii="宋体" w:hAnsi="Courier New" w:cs="Courier New"/>
          <w:color w:val="auto"/>
          <w:szCs w:val="21"/>
          <w:highlight w:val="none"/>
        </w:rPr>
        <w:t>4</w:t>
      </w:r>
      <w:r>
        <w:rPr>
          <w:rFonts w:hint="eastAsia" w:ascii="宋体" w:hAnsi="Courier New" w:cs="Courier New"/>
          <w:color w:val="auto"/>
          <w:szCs w:val="21"/>
          <w:highlight w:val="none"/>
        </w:rPr>
        <w:t>）</w:t>
      </w:r>
      <w:r>
        <w:rPr>
          <w:rFonts w:ascii="宋体" w:hAnsi="Courier New" w:cs="Courier New"/>
          <w:color w:val="auto"/>
          <w:szCs w:val="21"/>
          <w:highlight w:val="none"/>
        </w:rPr>
        <w:t>：</w:t>
      </w:r>
      <w:r>
        <w:rPr>
          <w:rFonts w:hint="eastAsia" w:ascii="宋体" w:hAnsi="Courier New" w:cs="Courier New"/>
          <w:color w:val="auto"/>
          <w:szCs w:val="21"/>
          <w:highlight w:val="none"/>
        </w:rPr>
        <w:t>有辐射安全许可证，能提供证书复印件和</w:t>
      </w:r>
      <w:r>
        <w:rPr>
          <w:rFonts w:ascii="宋体" w:hAnsi="Courier New" w:cs="Courier New"/>
          <w:color w:val="auto"/>
          <w:szCs w:val="21"/>
          <w:highlight w:val="none"/>
        </w:rPr>
        <w:t>本项目人员组织机构设置合理，项目人员配备充裕，人员技术力量雄厚，配置合理，人员技 术资格水平优，完全能满足项目实施要求。能够提供实施服务的工程师具有</w:t>
      </w:r>
      <w:r>
        <w:rPr>
          <w:rFonts w:hint="eastAsia" w:ascii="宋体" w:hAnsi="Courier New" w:cs="Courier New"/>
          <w:color w:val="auto"/>
          <w:szCs w:val="21"/>
          <w:highlight w:val="none"/>
        </w:rPr>
        <w:t>所维保</w:t>
      </w:r>
      <w:r>
        <w:rPr>
          <w:rFonts w:ascii="宋体" w:hAnsi="Courier New" w:cs="Courier New"/>
          <w:color w:val="auto"/>
          <w:szCs w:val="21"/>
          <w:highlight w:val="none"/>
        </w:rPr>
        <w:t>设备厂家技术培训资质证明材料复印件至少 3 名，且在</w:t>
      </w:r>
      <w:r>
        <w:rPr>
          <w:rFonts w:hint="eastAsia" w:ascii="宋体" w:hAnsi="Courier New" w:cs="Courier New"/>
          <w:color w:val="auto"/>
          <w:szCs w:val="21"/>
          <w:highlight w:val="none"/>
        </w:rPr>
        <w:t>省内</w:t>
      </w:r>
      <w:r>
        <w:rPr>
          <w:rFonts w:ascii="宋体" w:hAnsi="Courier New" w:cs="Courier New"/>
          <w:color w:val="auto"/>
          <w:szCs w:val="21"/>
          <w:highlight w:val="none"/>
        </w:rPr>
        <w:t>设有维修站，能够提供本地化服务（提供人员社保证明2019年</w:t>
      </w:r>
      <w:r>
        <w:rPr>
          <w:rFonts w:hint="eastAsia" w:ascii="宋体" w:hAnsi="Courier New" w:cs="Courier New"/>
          <w:color w:val="auto"/>
          <w:szCs w:val="21"/>
          <w:highlight w:val="none"/>
        </w:rPr>
        <w:t>连续3个月</w:t>
      </w:r>
      <w:r>
        <w:rPr>
          <w:rFonts w:ascii="宋体" w:hAnsi="Courier New" w:cs="Courier New"/>
          <w:color w:val="auto"/>
          <w:szCs w:val="21"/>
          <w:highlight w:val="none"/>
        </w:rPr>
        <w:t>）</w:t>
      </w:r>
    </w:p>
    <w:p>
      <w:pPr>
        <w:spacing w:line="440" w:lineRule="exact"/>
        <w:rPr>
          <w:rFonts w:ascii="宋体" w:hAnsi="宋体" w:cs="Courier New"/>
          <w:color w:val="auto"/>
          <w:szCs w:val="21"/>
          <w:highlight w:val="none"/>
        </w:rPr>
      </w:pPr>
      <w:r>
        <w:rPr>
          <w:rFonts w:ascii="宋体" w:hAnsi="Courier New" w:cs="Courier New"/>
          <w:b/>
          <w:color w:val="auto"/>
          <w:szCs w:val="21"/>
          <w:highlight w:val="none"/>
        </w:rPr>
        <w:t xml:space="preserve">4、业绩分 </w:t>
      </w:r>
      <w:r>
        <w:rPr>
          <w:rFonts w:ascii="宋体" w:hAnsi="宋体" w:cs="Courier New"/>
          <w:b/>
          <w:bCs/>
          <w:color w:val="auto"/>
          <w:szCs w:val="21"/>
          <w:highlight w:val="none"/>
        </w:rPr>
        <w:t>…………………………………………………………………………………</w:t>
      </w:r>
      <w:r>
        <w:rPr>
          <w:rFonts w:hint="eastAsia" w:ascii="宋体" w:hAnsi="宋体" w:cs="Courier New"/>
          <w:b/>
          <w:bCs/>
          <w:color w:val="auto"/>
          <w:szCs w:val="21"/>
          <w:highlight w:val="none"/>
          <w:lang w:val="en-US" w:eastAsia="zh-CN"/>
        </w:rPr>
        <w:t>6</w:t>
      </w:r>
      <w:r>
        <w:rPr>
          <w:rFonts w:hint="eastAsia" w:ascii="宋体" w:hAnsi="宋体" w:cs="Courier New"/>
          <w:b/>
          <w:bCs/>
          <w:color w:val="auto"/>
          <w:szCs w:val="21"/>
          <w:highlight w:val="none"/>
        </w:rPr>
        <w:t>分</w:t>
      </w:r>
    </w:p>
    <w:p>
      <w:pPr>
        <w:spacing w:line="440" w:lineRule="exact"/>
        <w:ind w:firstLine="210" w:firstLineChars="100"/>
        <w:rPr>
          <w:rFonts w:ascii="宋体" w:hAnsi="宋体" w:cs="Courier New"/>
          <w:color w:val="auto"/>
          <w:szCs w:val="21"/>
          <w:highlight w:val="none"/>
        </w:rPr>
      </w:pPr>
      <w:r>
        <w:rPr>
          <w:rFonts w:ascii="宋体" w:hAnsi="Courier New" w:cs="Courier New"/>
          <w:color w:val="auto"/>
          <w:szCs w:val="21"/>
          <w:highlight w:val="none"/>
        </w:rPr>
        <w:t>投标人能够提供</w:t>
      </w:r>
      <w:r>
        <w:rPr>
          <w:rFonts w:hint="eastAsia" w:ascii="宋体" w:hAnsi="Courier New" w:cs="Courier New"/>
          <w:color w:val="auto"/>
          <w:szCs w:val="21"/>
          <w:highlight w:val="none"/>
        </w:rPr>
        <w:t>近三年（2016年1月1日-2019年12月31日）省内类似项目保修期内的合同（必需是</w:t>
      </w:r>
      <w:r>
        <w:rPr>
          <w:rFonts w:ascii="宋体" w:hAnsi="Courier New" w:cs="Courier New"/>
          <w:color w:val="auto"/>
          <w:szCs w:val="21"/>
          <w:highlight w:val="none"/>
        </w:rPr>
        <w:t>与采购人同品牌</w:t>
      </w:r>
      <w:r>
        <w:rPr>
          <w:rFonts w:hint="eastAsia" w:ascii="宋体" w:hAnsi="Courier New" w:cs="Courier New"/>
          <w:color w:val="auto"/>
          <w:szCs w:val="21"/>
          <w:highlight w:val="none"/>
        </w:rPr>
        <w:t>同型号的</w:t>
      </w:r>
      <w:r>
        <w:rPr>
          <w:rFonts w:ascii="宋体" w:hAnsi="Courier New" w:cs="Courier New"/>
          <w:color w:val="auto"/>
          <w:szCs w:val="21"/>
          <w:highlight w:val="none"/>
        </w:rPr>
        <w:t>保修合同</w:t>
      </w:r>
      <w:r>
        <w:rPr>
          <w:rFonts w:hint="eastAsia" w:ascii="宋体" w:hAnsi="Courier New" w:cs="Courier New"/>
          <w:color w:val="auto"/>
          <w:szCs w:val="21"/>
          <w:highlight w:val="none"/>
        </w:rPr>
        <w:t>才有效）</w:t>
      </w:r>
      <w:r>
        <w:rPr>
          <w:rFonts w:ascii="宋体" w:hAnsi="Courier New" w:cs="Courier New"/>
          <w:color w:val="auto"/>
          <w:szCs w:val="21"/>
          <w:highlight w:val="none"/>
        </w:rPr>
        <w:t>，</w:t>
      </w:r>
      <w:r>
        <w:rPr>
          <w:rFonts w:hint="eastAsia" w:ascii="宋体" w:hAnsi="Courier New" w:cs="Courier New"/>
          <w:color w:val="auto"/>
          <w:szCs w:val="21"/>
          <w:highlight w:val="none"/>
          <w:lang w:eastAsia="zh-CN"/>
        </w:rPr>
        <w:t>每提供一份得</w:t>
      </w:r>
      <w:r>
        <w:rPr>
          <w:rFonts w:hint="eastAsia" w:ascii="宋体" w:hAnsi="Courier New" w:cs="Courier New"/>
          <w:color w:val="auto"/>
          <w:szCs w:val="21"/>
          <w:highlight w:val="none"/>
          <w:lang w:val="en-US" w:eastAsia="zh-CN"/>
        </w:rPr>
        <w:t>2分，满分6分</w:t>
      </w:r>
      <w:r>
        <w:rPr>
          <w:rFonts w:ascii="宋体" w:hAnsi="Courier New" w:cs="Courier New"/>
          <w:color w:val="auto"/>
          <w:szCs w:val="21"/>
          <w:highlight w:val="none"/>
        </w:rPr>
        <w:t>（提供合同复印件</w:t>
      </w:r>
      <w:r>
        <w:rPr>
          <w:rFonts w:hint="eastAsia" w:ascii="宋体" w:hAnsi="Courier New" w:cs="Courier New"/>
          <w:color w:val="auto"/>
          <w:szCs w:val="21"/>
          <w:highlight w:val="none"/>
        </w:rPr>
        <w:t>带原件备查</w:t>
      </w:r>
      <w:r>
        <w:rPr>
          <w:rFonts w:ascii="宋体" w:hAnsi="Courier New" w:cs="Courier New"/>
          <w:color w:val="auto"/>
          <w:szCs w:val="21"/>
          <w:highlight w:val="none"/>
        </w:rPr>
        <w:t>）。</w:t>
      </w:r>
    </w:p>
    <w:p>
      <w:pPr>
        <w:spacing w:line="440" w:lineRule="exact"/>
        <w:rPr>
          <w:rFonts w:ascii="宋体" w:hAnsi="宋体" w:cs="Courier New"/>
          <w:b/>
          <w:bCs/>
          <w:color w:val="auto"/>
          <w:szCs w:val="21"/>
          <w:highlight w:val="none"/>
        </w:rPr>
      </w:pPr>
      <w:r>
        <w:rPr>
          <w:rFonts w:hint="eastAsia" w:ascii="宋体" w:hAnsi="Courier New" w:cs="Courier New"/>
          <w:b/>
          <w:color w:val="auto"/>
          <w:szCs w:val="21"/>
          <w:highlight w:val="none"/>
        </w:rPr>
        <w:t>5</w:t>
      </w:r>
      <w:r>
        <w:rPr>
          <w:rFonts w:ascii="宋体" w:hAnsi="Courier New" w:cs="Courier New"/>
          <w:b/>
          <w:color w:val="auto"/>
          <w:szCs w:val="21"/>
          <w:highlight w:val="none"/>
        </w:rPr>
        <w:t>、</w:t>
      </w:r>
      <w:r>
        <w:rPr>
          <w:rFonts w:hint="eastAsia" w:ascii="宋体" w:hAnsi="Courier New" w:cs="Courier New"/>
          <w:b/>
          <w:color w:val="auto"/>
          <w:szCs w:val="21"/>
          <w:highlight w:val="none"/>
        </w:rPr>
        <w:t>维修反应速度及</w:t>
      </w:r>
      <w:r>
        <w:rPr>
          <w:rFonts w:ascii="宋体" w:hAnsi="Courier New" w:cs="Courier New"/>
          <w:b/>
          <w:color w:val="auto"/>
          <w:szCs w:val="21"/>
          <w:highlight w:val="none"/>
        </w:rPr>
        <w:t>零备件</w:t>
      </w:r>
      <w:r>
        <w:rPr>
          <w:rFonts w:hint="eastAsia" w:ascii="宋体" w:hAnsi="Courier New" w:cs="Courier New"/>
          <w:b/>
          <w:color w:val="auto"/>
          <w:szCs w:val="21"/>
          <w:highlight w:val="none"/>
        </w:rPr>
        <w:t>保证</w:t>
      </w:r>
      <w:r>
        <w:rPr>
          <w:rFonts w:ascii="宋体" w:hAnsi="Courier New" w:cs="Courier New"/>
          <w:b/>
          <w:color w:val="auto"/>
          <w:szCs w:val="21"/>
          <w:highlight w:val="none"/>
        </w:rPr>
        <w:t xml:space="preserve">分 </w:t>
      </w:r>
      <w:r>
        <w:rPr>
          <w:rFonts w:ascii="宋体" w:hAnsi="宋体" w:cs="Courier New"/>
          <w:b/>
          <w:bCs/>
          <w:color w:val="auto"/>
          <w:szCs w:val="21"/>
          <w:highlight w:val="none"/>
        </w:rPr>
        <w:t>………………………………………………………</w:t>
      </w:r>
      <w:r>
        <w:rPr>
          <w:rFonts w:hint="eastAsia" w:ascii="宋体" w:hAnsi="宋体" w:cs="Courier New"/>
          <w:b/>
          <w:bCs/>
          <w:color w:val="auto"/>
          <w:szCs w:val="21"/>
          <w:highlight w:val="none"/>
          <w:lang w:val="en-US" w:eastAsia="zh-CN"/>
        </w:rPr>
        <w:t>10</w:t>
      </w:r>
      <w:r>
        <w:rPr>
          <w:rFonts w:hint="eastAsia" w:ascii="宋体" w:hAnsi="宋体" w:cs="Courier New"/>
          <w:b/>
          <w:bCs/>
          <w:color w:val="auto"/>
          <w:szCs w:val="21"/>
          <w:highlight w:val="none"/>
        </w:rPr>
        <w:t>分</w:t>
      </w:r>
    </w:p>
    <w:p>
      <w:pPr>
        <w:spacing w:line="440" w:lineRule="exact"/>
        <w:ind w:firstLine="210" w:firstLineChars="100"/>
        <w:rPr>
          <w:rFonts w:hint="eastAsia" w:ascii="宋体" w:hAnsi="Courier New" w:cs="Courier New"/>
          <w:color w:val="auto"/>
          <w:szCs w:val="21"/>
          <w:highlight w:val="none"/>
          <w:lang w:val="en-US" w:eastAsia="zh-CN"/>
        </w:rPr>
      </w:pPr>
      <w:r>
        <w:rPr>
          <w:rFonts w:hint="eastAsia" w:ascii="宋体" w:hAnsi="Courier New" w:cs="Courier New"/>
          <w:color w:val="auto"/>
          <w:szCs w:val="21"/>
          <w:highlight w:val="none"/>
          <w:lang w:val="en-US" w:eastAsia="zh-CN"/>
        </w:rPr>
        <w:t>（1）维修反应速度：满分（7分）</w:t>
      </w:r>
    </w:p>
    <w:p>
      <w:pPr>
        <w:spacing w:line="440" w:lineRule="exact"/>
        <w:ind w:firstLine="210" w:firstLineChars="100"/>
        <w:rPr>
          <w:rFonts w:hint="eastAsia" w:ascii="宋体" w:hAnsi="Courier New" w:cs="Courier New"/>
          <w:color w:val="auto"/>
          <w:szCs w:val="21"/>
          <w:highlight w:val="none"/>
          <w:lang w:val="en-US" w:eastAsia="zh-CN"/>
        </w:rPr>
      </w:pPr>
      <w:r>
        <w:rPr>
          <w:rFonts w:hint="eastAsia" w:ascii="宋体" w:hAnsi="Courier New" w:cs="Courier New"/>
          <w:color w:val="auto"/>
          <w:szCs w:val="21"/>
          <w:highlight w:val="none"/>
          <w:lang w:val="en-US" w:eastAsia="zh-CN"/>
        </w:rPr>
        <w:t>一档（1.5分）：响应时间小于2小时</w:t>
      </w:r>
      <w:r>
        <w:rPr>
          <w:rFonts w:hint="eastAsia" w:ascii="宋体" w:hAnsi="Courier New" w:cs="Courier New"/>
          <w:color w:val="auto"/>
          <w:szCs w:val="21"/>
          <w:highlight w:val="none"/>
        </w:rPr>
        <w:t>作出响应</w:t>
      </w:r>
      <w:r>
        <w:rPr>
          <w:rFonts w:hint="eastAsia" w:ascii="宋体" w:hAnsi="Courier New" w:cs="Courier New"/>
          <w:color w:val="auto"/>
          <w:szCs w:val="21"/>
          <w:highlight w:val="none"/>
          <w:lang w:eastAsia="zh-CN"/>
        </w:rPr>
        <w:t>，</w:t>
      </w:r>
      <w:r>
        <w:rPr>
          <w:rFonts w:hint="eastAsia" w:ascii="宋体" w:hAnsi="Courier New" w:cs="Courier New"/>
          <w:color w:val="auto"/>
          <w:szCs w:val="21"/>
          <w:highlight w:val="none"/>
        </w:rPr>
        <w:t>工程师</w:t>
      </w:r>
      <w:r>
        <w:rPr>
          <w:rFonts w:hint="eastAsia" w:ascii="宋体" w:hAnsi="Courier New" w:cs="Courier New"/>
          <w:color w:val="auto"/>
          <w:szCs w:val="21"/>
          <w:highlight w:val="none"/>
          <w:lang w:eastAsia="zh-CN"/>
        </w:rPr>
        <w:t>到场时间小</w:t>
      </w:r>
      <w:bookmarkStart w:id="77" w:name="_GoBack"/>
      <w:bookmarkEnd w:id="77"/>
      <w:r>
        <w:rPr>
          <w:rFonts w:hint="eastAsia" w:ascii="宋体" w:hAnsi="Courier New" w:cs="Courier New"/>
          <w:color w:val="auto"/>
          <w:szCs w:val="21"/>
          <w:highlight w:val="none"/>
          <w:lang w:eastAsia="zh-CN"/>
        </w:rPr>
        <w:t>于</w:t>
      </w:r>
      <w:r>
        <w:rPr>
          <w:rFonts w:hint="eastAsia" w:ascii="宋体" w:hAnsi="Courier New" w:cs="Courier New"/>
          <w:color w:val="auto"/>
          <w:szCs w:val="21"/>
          <w:highlight w:val="none"/>
          <w:lang w:val="en-US" w:eastAsia="zh-CN"/>
        </w:rPr>
        <w:t>6</w:t>
      </w:r>
      <w:r>
        <w:rPr>
          <w:rFonts w:hint="eastAsia" w:ascii="宋体" w:hAnsi="Courier New" w:cs="Courier New"/>
          <w:color w:val="auto"/>
          <w:szCs w:val="21"/>
          <w:highlight w:val="none"/>
        </w:rPr>
        <w:t xml:space="preserve"> 小时内赶到现场处理故障</w:t>
      </w:r>
      <w:r>
        <w:rPr>
          <w:rFonts w:hint="eastAsia" w:ascii="宋体" w:hAnsi="Courier New" w:cs="Courier New"/>
          <w:color w:val="auto"/>
          <w:szCs w:val="21"/>
          <w:highlight w:val="none"/>
          <w:lang w:eastAsia="zh-CN"/>
        </w:rPr>
        <w:t>，故障时间小于</w:t>
      </w:r>
      <w:r>
        <w:rPr>
          <w:rFonts w:hint="eastAsia" w:ascii="宋体" w:hAnsi="Courier New" w:cs="Courier New"/>
          <w:color w:val="auto"/>
          <w:szCs w:val="21"/>
          <w:highlight w:val="none"/>
          <w:lang w:val="en-US" w:eastAsia="zh-CN"/>
        </w:rPr>
        <w:t>24小时的，得1.5分；</w:t>
      </w:r>
    </w:p>
    <w:p>
      <w:pPr>
        <w:spacing w:line="440" w:lineRule="exact"/>
        <w:ind w:firstLine="210" w:firstLineChars="100"/>
        <w:rPr>
          <w:rFonts w:hint="eastAsia" w:ascii="宋体" w:hAnsi="Courier New" w:cs="Courier New"/>
          <w:color w:val="auto"/>
          <w:szCs w:val="21"/>
          <w:highlight w:val="none"/>
          <w:lang w:val="en-US" w:eastAsia="zh-CN"/>
        </w:rPr>
      </w:pPr>
      <w:r>
        <w:rPr>
          <w:rFonts w:hint="eastAsia" w:ascii="宋体" w:hAnsi="Courier New" w:cs="Courier New"/>
          <w:color w:val="auto"/>
          <w:szCs w:val="21"/>
          <w:highlight w:val="none"/>
          <w:lang w:val="en-US" w:eastAsia="zh-CN"/>
        </w:rPr>
        <w:t>二档（3分）：响应时间小于1小时</w:t>
      </w:r>
      <w:r>
        <w:rPr>
          <w:rFonts w:hint="eastAsia" w:ascii="宋体" w:hAnsi="Courier New" w:cs="Courier New"/>
          <w:color w:val="auto"/>
          <w:szCs w:val="21"/>
          <w:highlight w:val="none"/>
        </w:rPr>
        <w:t>作出响应</w:t>
      </w:r>
      <w:r>
        <w:rPr>
          <w:rFonts w:hint="eastAsia" w:ascii="宋体" w:hAnsi="Courier New" w:cs="Courier New"/>
          <w:color w:val="auto"/>
          <w:szCs w:val="21"/>
          <w:highlight w:val="none"/>
          <w:lang w:eastAsia="zh-CN"/>
        </w:rPr>
        <w:t>，</w:t>
      </w:r>
      <w:r>
        <w:rPr>
          <w:rFonts w:hint="eastAsia" w:ascii="宋体" w:hAnsi="Courier New" w:cs="Courier New"/>
          <w:color w:val="auto"/>
          <w:szCs w:val="21"/>
          <w:highlight w:val="none"/>
        </w:rPr>
        <w:t>工程师</w:t>
      </w:r>
      <w:r>
        <w:rPr>
          <w:rFonts w:hint="eastAsia" w:ascii="宋体" w:hAnsi="Courier New" w:cs="Courier New"/>
          <w:color w:val="auto"/>
          <w:szCs w:val="21"/>
          <w:highlight w:val="none"/>
          <w:lang w:eastAsia="zh-CN"/>
        </w:rPr>
        <w:t>到场时间小于</w:t>
      </w:r>
      <w:r>
        <w:rPr>
          <w:rFonts w:hint="eastAsia" w:ascii="宋体" w:hAnsi="Courier New" w:cs="Courier New"/>
          <w:color w:val="auto"/>
          <w:szCs w:val="21"/>
          <w:highlight w:val="none"/>
          <w:lang w:val="en-US" w:eastAsia="zh-CN"/>
        </w:rPr>
        <w:t>4</w:t>
      </w:r>
      <w:r>
        <w:rPr>
          <w:rFonts w:hint="eastAsia" w:ascii="宋体" w:hAnsi="Courier New" w:cs="Courier New"/>
          <w:color w:val="auto"/>
          <w:szCs w:val="21"/>
          <w:highlight w:val="none"/>
        </w:rPr>
        <w:t>小时内赶到现场处理故障</w:t>
      </w:r>
      <w:r>
        <w:rPr>
          <w:rFonts w:hint="eastAsia" w:ascii="宋体" w:hAnsi="Courier New" w:cs="Courier New"/>
          <w:color w:val="auto"/>
          <w:szCs w:val="21"/>
          <w:highlight w:val="none"/>
          <w:lang w:eastAsia="zh-CN"/>
        </w:rPr>
        <w:t>，故障时间小于</w:t>
      </w:r>
      <w:r>
        <w:rPr>
          <w:rFonts w:hint="eastAsia" w:ascii="宋体" w:hAnsi="Courier New" w:cs="Courier New"/>
          <w:color w:val="auto"/>
          <w:szCs w:val="21"/>
          <w:highlight w:val="none"/>
          <w:lang w:val="en-US" w:eastAsia="zh-CN"/>
        </w:rPr>
        <w:t>12小时的，得3分；</w:t>
      </w:r>
    </w:p>
    <w:p>
      <w:pPr>
        <w:spacing w:line="440" w:lineRule="exact"/>
        <w:ind w:firstLine="210" w:firstLineChars="100"/>
        <w:rPr>
          <w:rFonts w:hint="eastAsia" w:ascii="宋体" w:hAnsi="Courier New" w:cs="Courier New"/>
          <w:color w:val="auto"/>
          <w:szCs w:val="21"/>
          <w:highlight w:val="none"/>
          <w:lang w:val="en-US" w:eastAsia="zh-CN"/>
        </w:rPr>
      </w:pPr>
      <w:r>
        <w:rPr>
          <w:rFonts w:hint="eastAsia" w:ascii="宋体" w:hAnsi="Courier New" w:cs="Courier New"/>
          <w:color w:val="auto"/>
          <w:szCs w:val="21"/>
          <w:highlight w:val="none"/>
          <w:lang w:val="en-US" w:eastAsia="zh-CN"/>
        </w:rPr>
        <w:t>三档（7分）：响应时间小于0.5小时</w:t>
      </w:r>
      <w:r>
        <w:rPr>
          <w:rFonts w:hint="eastAsia" w:ascii="宋体" w:hAnsi="Courier New" w:cs="Courier New"/>
          <w:color w:val="auto"/>
          <w:szCs w:val="21"/>
          <w:highlight w:val="none"/>
        </w:rPr>
        <w:t>作出响应</w:t>
      </w:r>
      <w:r>
        <w:rPr>
          <w:rFonts w:hint="eastAsia" w:ascii="宋体" w:hAnsi="Courier New" w:cs="Courier New"/>
          <w:color w:val="auto"/>
          <w:szCs w:val="21"/>
          <w:highlight w:val="none"/>
          <w:lang w:eastAsia="zh-CN"/>
        </w:rPr>
        <w:t>，</w:t>
      </w:r>
      <w:r>
        <w:rPr>
          <w:rFonts w:hint="eastAsia" w:ascii="宋体" w:hAnsi="Courier New" w:cs="Courier New"/>
          <w:color w:val="auto"/>
          <w:szCs w:val="21"/>
          <w:highlight w:val="none"/>
        </w:rPr>
        <w:t>工程师</w:t>
      </w:r>
      <w:r>
        <w:rPr>
          <w:rFonts w:hint="eastAsia" w:ascii="宋体" w:hAnsi="Courier New" w:cs="Courier New"/>
          <w:color w:val="auto"/>
          <w:szCs w:val="21"/>
          <w:highlight w:val="none"/>
          <w:lang w:eastAsia="zh-CN"/>
        </w:rPr>
        <w:t>到场时间小于</w:t>
      </w:r>
      <w:r>
        <w:rPr>
          <w:rFonts w:hint="eastAsia" w:ascii="宋体" w:hAnsi="Courier New" w:cs="Courier New"/>
          <w:color w:val="auto"/>
          <w:szCs w:val="21"/>
          <w:highlight w:val="none"/>
          <w:lang w:val="en-US" w:eastAsia="zh-CN"/>
        </w:rPr>
        <w:t>2</w:t>
      </w:r>
      <w:r>
        <w:rPr>
          <w:rFonts w:hint="eastAsia" w:ascii="宋体" w:hAnsi="Courier New" w:cs="Courier New"/>
          <w:color w:val="auto"/>
          <w:szCs w:val="21"/>
          <w:highlight w:val="none"/>
        </w:rPr>
        <w:t>小时内赶到现场处理故障</w:t>
      </w:r>
      <w:r>
        <w:rPr>
          <w:rFonts w:hint="eastAsia" w:ascii="宋体" w:hAnsi="Courier New" w:cs="Courier New"/>
          <w:color w:val="auto"/>
          <w:szCs w:val="21"/>
          <w:highlight w:val="none"/>
          <w:lang w:eastAsia="zh-CN"/>
        </w:rPr>
        <w:t>，故障时间小于</w:t>
      </w:r>
      <w:r>
        <w:rPr>
          <w:rFonts w:hint="eastAsia" w:ascii="宋体" w:hAnsi="Courier New" w:cs="Courier New"/>
          <w:color w:val="auto"/>
          <w:szCs w:val="21"/>
          <w:highlight w:val="none"/>
          <w:lang w:val="en-US" w:eastAsia="zh-CN"/>
        </w:rPr>
        <w:t>8小时的，得7分；</w:t>
      </w:r>
    </w:p>
    <w:p>
      <w:pPr>
        <w:spacing w:line="440" w:lineRule="exact"/>
        <w:ind w:firstLine="210" w:firstLineChars="100"/>
        <w:rPr>
          <w:rFonts w:ascii="宋体" w:hAnsi="Courier New" w:cs="Courier New"/>
          <w:color w:val="auto"/>
          <w:szCs w:val="21"/>
          <w:highlight w:val="none"/>
        </w:rPr>
      </w:pPr>
      <w:r>
        <w:rPr>
          <w:rFonts w:hint="eastAsia" w:ascii="宋体" w:hAnsi="Courier New" w:cs="Courier New"/>
          <w:color w:val="auto"/>
          <w:szCs w:val="21"/>
          <w:highlight w:val="none"/>
          <w:lang w:eastAsia="zh-CN"/>
        </w:rPr>
        <w:t>（</w:t>
      </w:r>
      <w:r>
        <w:rPr>
          <w:rFonts w:hint="eastAsia" w:ascii="宋体" w:hAnsi="Courier New" w:cs="Courier New"/>
          <w:color w:val="auto"/>
          <w:szCs w:val="21"/>
          <w:highlight w:val="none"/>
          <w:lang w:val="en-US" w:eastAsia="zh-CN"/>
        </w:rPr>
        <w:t>2</w:t>
      </w:r>
      <w:r>
        <w:rPr>
          <w:rFonts w:hint="eastAsia" w:ascii="宋体" w:hAnsi="Courier New" w:cs="Courier New"/>
          <w:color w:val="auto"/>
          <w:szCs w:val="21"/>
          <w:highlight w:val="none"/>
          <w:lang w:eastAsia="zh-CN"/>
        </w:rPr>
        <w:t>）</w:t>
      </w:r>
      <w:r>
        <w:rPr>
          <w:rFonts w:ascii="宋体" w:hAnsi="Courier New" w:cs="Courier New"/>
          <w:color w:val="auto"/>
          <w:szCs w:val="21"/>
          <w:highlight w:val="none"/>
        </w:rPr>
        <w:t>投标人在</w:t>
      </w:r>
      <w:r>
        <w:rPr>
          <w:rFonts w:hint="eastAsia" w:ascii="宋体" w:hAnsi="Courier New" w:cs="Courier New"/>
          <w:color w:val="auto"/>
          <w:szCs w:val="21"/>
          <w:highlight w:val="none"/>
        </w:rPr>
        <w:t>省</w:t>
      </w:r>
      <w:r>
        <w:rPr>
          <w:rFonts w:ascii="宋体" w:hAnsi="Courier New" w:cs="Courier New"/>
          <w:color w:val="auto"/>
          <w:szCs w:val="21"/>
          <w:highlight w:val="none"/>
        </w:rPr>
        <w:t>设有</w:t>
      </w:r>
      <w:r>
        <w:rPr>
          <w:rFonts w:hint="eastAsia" w:ascii="宋体" w:hAnsi="Courier New" w:cs="Courier New"/>
          <w:color w:val="auto"/>
          <w:szCs w:val="21"/>
          <w:highlight w:val="none"/>
        </w:rPr>
        <w:t>配件</w:t>
      </w:r>
      <w:r>
        <w:rPr>
          <w:rFonts w:ascii="宋体" w:hAnsi="Courier New" w:cs="Courier New"/>
          <w:color w:val="auto"/>
          <w:szCs w:val="21"/>
          <w:highlight w:val="none"/>
        </w:rPr>
        <w:t>仓库（提供相应证明材料，如租赁合同等）得</w:t>
      </w:r>
      <w:r>
        <w:rPr>
          <w:rFonts w:hint="eastAsia" w:ascii="宋体" w:hAnsi="Courier New" w:cs="Courier New"/>
          <w:color w:val="auto"/>
          <w:szCs w:val="21"/>
          <w:highlight w:val="none"/>
          <w:lang w:val="en-US" w:eastAsia="zh-CN"/>
        </w:rPr>
        <w:t>3</w:t>
      </w:r>
      <w:r>
        <w:rPr>
          <w:rFonts w:ascii="宋体" w:hAnsi="Courier New" w:cs="Courier New"/>
          <w:color w:val="auto"/>
          <w:szCs w:val="21"/>
          <w:highlight w:val="none"/>
        </w:rPr>
        <w:t>分；</w:t>
      </w:r>
    </w:p>
    <w:p>
      <w:pPr>
        <w:tabs>
          <w:tab w:val="left" w:pos="900"/>
        </w:tabs>
        <w:spacing w:line="440" w:lineRule="exact"/>
        <w:ind w:firstLine="422" w:firstLineChars="200"/>
        <w:jc w:val="left"/>
        <w:rPr>
          <w:rFonts w:ascii="宋体" w:hAnsi="宋体" w:cs="Courier New"/>
          <w:b/>
          <w:color w:val="auto"/>
          <w:szCs w:val="21"/>
          <w:highlight w:val="none"/>
        </w:rPr>
      </w:pPr>
      <w:r>
        <w:rPr>
          <w:rFonts w:hint="eastAsia" w:ascii="宋体" w:hAnsi="宋体" w:cs="Courier New"/>
          <w:b/>
          <w:color w:val="auto"/>
          <w:kern w:val="0"/>
          <w:szCs w:val="21"/>
          <w:highlight w:val="none"/>
        </w:rPr>
        <w:t>综合得分</w:t>
      </w:r>
      <w:r>
        <w:rPr>
          <w:rFonts w:hint="eastAsia" w:ascii="宋体" w:hAnsi="宋体" w:cs="Courier New"/>
          <w:b/>
          <w:color w:val="auto"/>
          <w:szCs w:val="21"/>
          <w:highlight w:val="none"/>
        </w:rPr>
        <w:t>＝ 1 + 2 + 3 + 4＋5</w:t>
      </w:r>
    </w:p>
    <w:p>
      <w:pPr>
        <w:spacing w:line="400" w:lineRule="exact"/>
        <w:outlineLvl w:val="0"/>
        <w:rPr>
          <w:rFonts w:ascii="宋体" w:hAnsi="宋体" w:cs="Courier New"/>
          <w:b/>
          <w:bCs/>
          <w:color w:val="auto"/>
          <w:szCs w:val="21"/>
          <w:highlight w:val="none"/>
        </w:rPr>
      </w:pPr>
      <w:bookmarkStart w:id="57" w:name="_Toc316459105"/>
      <w:bookmarkStart w:id="58" w:name="_Toc377722436"/>
      <w:bookmarkStart w:id="59" w:name="_Toc254850510"/>
      <w:bookmarkStart w:id="60" w:name="_Toc263847709"/>
      <w:bookmarkStart w:id="61" w:name="_Toc237682151"/>
      <w:r>
        <w:rPr>
          <w:rFonts w:hint="eastAsia" w:ascii="宋体" w:hAnsi="宋体" w:cs="Courier New"/>
          <w:b/>
          <w:bCs/>
          <w:color w:val="auto"/>
          <w:szCs w:val="21"/>
          <w:highlight w:val="none"/>
        </w:rPr>
        <w:t>三、中标候选人推荐原则</w:t>
      </w:r>
    </w:p>
    <w:p>
      <w:pPr>
        <w:spacing w:line="440" w:lineRule="exact"/>
        <w:ind w:firstLine="420" w:firstLineChars="200"/>
        <w:outlineLvl w:val="0"/>
        <w:rPr>
          <w:rFonts w:ascii="宋体" w:hAnsi="宋体" w:cs="Courier New"/>
          <w:b/>
          <w:bCs/>
          <w:color w:val="auto"/>
          <w:szCs w:val="21"/>
          <w:highlight w:val="none"/>
        </w:rPr>
      </w:pPr>
      <w:r>
        <w:rPr>
          <w:rFonts w:hint="eastAsia" w:ascii="宋体" w:hAnsi="宋体" w:cs="Courier New"/>
          <w:bCs/>
          <w:color w:val="auto"/>
          <w:szCs w:val="21"/>
          <w:highlight w:val="none"/>
        </w:rPr>
        <w:t>（一）</w:t>
      </w:r>
      <w:r>
        <w:rPr>
          <w:rFonts w:hint="eastAsia" w:ascii="宋体" w:hAnsi="宋体" w:cs="Courier New"/>
          <w:b/>
          <w:color w:val="auto"/>
          <w:spacing w:val="-6"/>
          <w:szCs w:val="21"/>
          <w:highlight w:val="none"/>
        </w:rPr>
        <w:t>评标委员会按照各分标得分由高到低顺序排列。得分相同的，按投标报价由低到高顺序排列，得分且投标报价相同的，按技术指标优劣顺序排列，排名第一的中标侯选供应商应被确认为中标人，若排名第一的中标侯选供应商自愿放弃资格或由于不可抗力的原因不能按合同规定履约的，则排名第二的中标侯选供应商应被确认为中标人，依次类推。</w:t>
      </w:r>
      <w:bookmarkEnd w:id="57"/>
      <w:bookmarkEnd w:id="58"/>
      <w:bookmarkEnd w:id="59"/>
      <w:bookmarkEnd w:id="60"/>
      <w:bookmarkEnd w:id="61"/>
      <w:r>
        <w:rPr>
          <w:rFonts w:hint="eastAsia" w:ascii="宋体" w:hAnsi="宋体" w:cs="Courier New"/>
          <w:b/>
          <w:bCs/>
          <w:color w:val="auto"/>
          <w:szCs w:val="21"/>
          <w:highlight w:val="none"/>
        </w:rPr>
        <w:t>采购人也可以决定重新采购。</w:t>
      </w:r>
    </w:p>
    <w:p>
      <w:pPr>
        <w:spacing w:line="400" w:lineRule="exact"/>
        <w:ind w:firstLine="525" w:firstLineChars="250"/>
        <w:rPr>
          <w:rFonts w:ascii="宋体" w:hAnsi="宋体" w:cs="Courier New"/>
          <w:color w:val="auto"/>
          <w:szCs w:val="21"/>
          <w:highlight w:val="none"/>
        </w:rPr>
      </w:pPr>
      <w:r>
        <w:rPr>
          <w:rFonts w:hint="eastAsia" w:ascii="宋体" w:hAnsi="宋体" w:cs="Courier New"/>
          <w:bCs/>
          <w:color w:val="auto"/>
          <w:szCs w:val="21"/>
          <w:highlight w:val="none"/>
        </w:rPr>
        <w:t>（二）评标委员会认为，某投标人的有效投标报价或者某些分项报价明显低于其他通过符合性审查投标人的报价，有可能影响服务质量和不能诚信履约的，应要求其在规定的期限内提供书面文件予以解释说明，并提交相关证明材料，</w:t>
      </w:r>
      <w:r>
        <w:rPr>
          <w:rFonts w:hint="eastAsia" w:ascii="宋体" w:hAnsi="宋体" w:cs="Courier New"/>
          <w:b/>
          <w:bCs/>
          <w:color w:val="auto"/>
          <w:szCs w:val="21"/>
          <w:highlight w:val="none"/>
        </w:rPr>
        <w:t>否则，评标委员会不推荐该投标人为中标候选人。</w:t>
      </w:r>
    </w:p>
    <w:p>
      <w:pPr>
        <w:pStyle w:val="32"/>
        <w:rPr>
          <w:color w:val="auto"/>
          <w:highlight w:val="none"/>
        </w:rPr>
      </w:pPr>
    </w:p>
    <w:p>
      <w:pPr>
        <w:rPr>
          <w:color w:val="auto"/>
          <w:highlight w:val="none"/>
        </w:rPr>
        <w:sectPr>
          <w:headerReference r:id="rId14" w:type="first"/>
          <w:footerReference r:id="rId17" w:type="first"/>
          <w:headerReference r:id="rId12" w:type="default"/>
          <w:footerReference r:id="rId15" w:type="default"/>
          <w:headerReference r:id="rId13" w:type="even"/>
          <w:footerReference r:id="rId16" w:type="even"/>
          <w:pgSz w:w="11906" w:h="16838"/>
          <w:pgMar w:top="1134" w:right="964" w:bottom="1134" w:left="1134" w:header="720" w:footer="720" w:gutter="0"/>
          <w:cols w:space="720" w:num="1"/>
          <w:docGrid w:linePitch="312" w:charSpace="0"/>
        </w:sectPr>
      </w:pPr>
    </w:p>
    <w:p>
      <w:pPr>
        <w:pStyle w:val="32"/>
        <w:rPr>
          <w:color w:val="auto"/>
          <w:highlight w:val="none"/>
        </w:rPr>
      </w:pPr>
      <w:bookmarkStart w:id="62" w:name="_Toc527537989"/>
      <w:r>
        <w:rPr>
          <w:rFonts w:hint="eastAsia"/>
          <w:color w:val="auto"/>
          <w:highlight w:val="none"/>
        </w:rPr>
        <w:t>第四章服务需求一览表</w:t>
      </w:r>
      <w:bookmarkEnd w:id="46"/>
      <w:bookmarkEnd w:id="62"/>
    </w:p>
    <w:p>
      <w:pPr>
        <w:widowControl/>
        <w:spacing w:line="323" w:lineRule="auto"/>
        <w:ind w:firstLine="421"/>
        <w:jc w:val="left"/>
        <w:rPr>
          <w:rFonts w:ascii="宋体" w:hAnsi="宋体"/>
          <w:color w:val="auto"/>
          <w:highlight w:val="none"/>
        </w:rPr>
      </w:pPr>
    </w:p>
    <w:p>
      <w:pPr>
        <w:widowControl/>
        <w:spacing w:line="323" w:lineRule="auto"/>
        <w:ind w:firstLine="421"/>
        <w:jc w:val="left"/>
        <w:rPr>
          <w:rFonts w:ascii="宋体" w:hAnsi="宋体" w:cs="Arial"/>
          <w:color w:val="auto"/>
          <w:kern w:val="0"/>
          <w:szCs w:val="20"/>
          <w:highlight w:val="none"/>
        </w:rPr>
      </w:pPr>
      <w:r>
        <w:rPr>
          <w:rFonts w:hint="eastAsia" w:ascii="宋体" w:hAnsi="宋体"/>
          <w:color w:val="auto"/>
          <w:highlight w:val="none"/>
        </w:rPr>
        <w:t>招标</w:t>
      </w:r>
      <w:r>
        <w:rPr>
          <w:rFonts w:ascii="宋体" w:hAnsi="宋体" w:cs="Arial"/>
          <w:color w:val="auto"/>
          <w:kern w:val="0"/>
          <w:szCs w:val="20"/>
          <w:highlight w:val="none"/>
        </w:rPr>
        <w:t>文件成交注</w:t>
      </w:r>
      <w:r>
        <w:rPr>
          <w:rFonts w:ascii="Arial" w:hAnsi="Arial" w:eastAsia="Arial" w:cs="Arial"/>
          <w:color w:val="auto"/>
          <w:kern w:val="0"/>
          <w:szCs w:val="20"/>
          <w:highlight w:val="none"/>
        </w:rPr>
        <w:t>“</w:t>
      </w:r>
      <w:r>
        <w:rPr>
          <w:rFonts w:hint="eastAsia"/>
          <w:color w:val="auto"/>
          <w:szCs w:val="21"/>
          <w:highlight w:val="none"/>
        </w:rPr>
        <w:t>★</w:t>
      </w:r>
      <w:r>
        <w:rPr>
          <w:rFonts w:ascii="Arial" w:hAnsi="Arial" w:eastAsia="Arial" w:cs="Arial"/>
          <w:color w:val="auto"/>
          <w:kern w:val="0"/>
          <w:szCs w:val="20"/>
          <w:highlight w:val="none"/>
        </w:rPr>
        <w:t>”</w:t>
      </w:r>
      <w:r>
        <w:rPr>
          <w:rFonts w:ascii="宋体" w:hAnsi="宋体" w:cs="Arial"/>
          <w:color w:val="auto"/>
          <w:kern w:val="0"/>
          <w:szCs w:val="20"/>
          <w:highlight w:val="none"/>
        </w:rPr>
        <w:t>号的条款为实质性条款或指标、要求，必须满足（无偏离）或优于（正偏离），否则其投标作否决投标处理。</w:t>
      </w:r>
    </w:p>
    <w:p>
      <w:pPr>
        <w:widowControl/>
        <w:spacing w:line="394" w:lineRule="exact"/>
        <w:jc w:val="left"/>
        <w:rPr>
          <w:rFonts w:eastAsia="Times New Roman" w:cs="Arial"/>
          <w:color w:val="auto"/>
          <w:kern w:val="0"/>
          <w:sz w:val="20"/>
          <w:szCs w:val="20"/>
          <w:highlight w:val="none"/>
        </w:rPr>
      </w:pPr>
    </w:p>
    <w:p>
      <w:pPr>
        <w:widowControl/>
        <w:numPr>
          <w:ilvl w:val="0"/>
          <w:numId w:val="2"/>
        </w:numPr>
        <w:spacing w:line="239" w:lineRule="auto"/>
        <w:jc w:val="left"/>
        <w:rPr>
          <w:rFonts w:ascii="宋体" w:hAnsi="宋体" w:cs="Arial"/>
          <w:b/>
          <w:color w:val="auto"/>
          <w:kern w:val="0"/>
          <w:szCs w:val="20"/>
          <w:highlight w:val="none"/>
        </w:rPr>
      </w:pPr>
      <w:r>
        <w:rPr>
          <w:rFonts w:hint="eastAsia" w:ascii="宋体" w:hAnsi="宋体" w:cs="Arial"/>
          <w:b/>
          <w:color w:val="auto"/>
          <w:kern w:val="0"/>
          <w:szCs w:val="20"/>
          <w:highlight w:val="none"/>
        </w:rPr>
        <w:t>数字化医疗设备维保清单</w:t>
      </w:r>
    </w:p>
    <w:p>
      <w:pPr>
        <w:widowControl/>
        <w:spacing w:line="239" w:lineRule="auto"/>
        <w:ind w:left="676"/>
        <w:jc w:val="left"/>
        <w:rPr>
          <w:rFonts w:ascii="宋体" w:hAnsi="宋体" w:cs="Arial"/>
          <w:b/>
          <w:color w:val="auto"/>
          <w:kern w:val="0"/>
          <w:szCs w:val="20"/>
          <w:highlight w:val="none"/>
        </w:rPr>
      </w:pPr>
    </w:p>
    <w:tbl>
      <w:tblPr>
        <w:tblStyle w:val="34"/>
        <w:tblW w:w="9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
        <w:gridCol w:w="1977"/>
        <w:gridCol w:w="2661"/>
        <w:gridCol w:w="1361"/>
        <w:gridCol w:w="1329"/>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4" w:hRule="atLeast"/>
          <w:jc w:val="center"/>
        </w:trPr>
        <w:tc>
          <w:tcPr>
            <w:tcW w:w="510" w:type="dxa"/>
            <w:tcMar>
              <w:top w:w="15" w:type="dxa"/>
              <w:left w:w="15" w:type="dxa"/>
              <w:bottom w:w="0" w:type="dxa"/>
              <w:right w:w="15" w:type="dxa"/>
            </w:tcMar>
            <w:vAlign w:val="center"/>
          </w:tcPr>
          <w:p>
            <w:pPr>
              <w:spacing w:line="300" w:lineRule="exact"/>
              <w:jc w:val="center"/>
              <w:rPr>
                <w:rFonts w:ascii="宋体" w:hAnsi="宋体"/>
                <w:color w:val="auto"/>
                <w:szCs w:val="21"/>
                <w:highlight w:val="none"/>
              </w:rPr>
            </w:pPr>
            <w:r>
              <w:rPr>
                <w:rFonts w:ascii="宋体" w:hAnsi="宋体"/>
                <w:color w:val="auto"/>
                <w:szCs w:val="21"/>
                <w:highlight w:val="none"/>
              </w:rPr>
              <w:t>1</w:t>
            </w:r>
          </w:p>
        </w:tc>
        <w:tc>
          <w:tcPr>
            <w:tcW w:w="1977" w:type="dxa"/>
            <w:tcMar>
              <w:top w:w="15" w:type="dxa"/>
              <w:left w:w="15" w:type="dxa"/>
              <w:bottom w:w="0" w:type="dxa"/>
              <w:right w:w="15" w:type="dxa"/>
            </w:tcMar>
            <w:vAlign w:val="center"/>
          </w:tcPr>
          <w:p>
            <w:pPr>
              <w:jc w:val="center"/>
              <w:rPr>
                <w:rFonts w:ascii="宋体" w:hAnsi="宋体"/>
                <w:color w:val="auto"/>
                <w:szCs w:val="21"/>
                <w:highlight w:val="none"/>
              </w:rPr>
            </w:pPr>
            <w:r>
              <w:rPr>
                <w:rFonts w:hint="eastAsia" w:ascii="宋体" w:hAnsi="宋体"/>
                <w:color w:val="auto"/>
                <w:szCs w:val="21"/>
                <w:highlight w:val="none"/>
              </w:rPr>
              <w:t>平板数字血管造影机</w:t>
            </w:r>
          </w:p>
        </w:tc>
        <w:tc>
          <w:tcPr>
            <w:tcW w:w="2661" w:type="dxa"/>
            <w:tcMar>
              <w:top w:w="15" w:type="dxa"/>
              <w:left w:w="15" w:type="dxa"/>
              <w:bottom w:w="0" w:type="dxa"/>
              <w:right w:w="15" w:type="dxa"/>
            </w:tcMar>
            <w:vAlign w:val="center"/>
          </w:tcPr>
          <w:p>
            <w:pPr>
              <w:jc w:val="center"/>
              <w:rPr>
                <w:rFonts w:ascii="宋体" w:hAnsi="宋体"/>
                <w:color w:val="auto"/>
                <w:szCs w:val="21"/>
                <w:highlight w:val="none"/>
              </w:rPr>
            </w:pPr>
            <w:r>
              <w:rPr>
                <w:rFonts w:ascii="宋体" w:hAnsi="宋体"/>
                <w:color w:val="auto"/>
                <w:szCs w:val="21"/>
                <w:highlight w:val="none"/>
              </w:rPr>
              <w:t>INNOVA 3100</w:t>
            </w:r>
          </w:p>
        </w:tc>
        <w:tc>
          <w:tcPr>
            <w:tcW w:w="1361" w:type="dxa"/>
            <w:vAlign w:val="center"/>
          </w:tcPr>
          <w:p>
            <w:pPr>
              <w:jc w:val="center"/>
              <w:rPr>
                <w:rFonts w:ascii="宋体" w:hAnsi="宋体"/>
                <w:color w:val="auto"/>
                <w:highlight w:val="none"/>
              </w:rPr>
            </w:pPr>
            <w:r>
              <w:rPr>
                <w:rFonts w:hint="eastAsia" w:ascii="宋体" w:hAnsi="宋体"/>
                <w:color w:val="auto"/>
                <w:szCs w:val="21"/>
                <w:highlight w:val="none"/>
              </w:rPr>
              <w:t>技术保</w:t>
            </w:r>
          </w:p>
        </w:tc>
        <w:tc>
          <w:tcPr>
            <w:tcW w:w="1329" w:type="dxa"/>
            <w:vAlign w:val="center"/>
          </w:tcPr>
          <w:p>
            <w:pPr>
              <w:jc w:val="center"/>
              <w:rPr>
                <w:rFonts w:ascii="宋体" w:hAnsi="宋体"/>
                <w:color w:val="auto"/>
                <w:highlight w:val="none"/>
              </w:rPr>
            </w:pPr>
            <w:r>
              <w:rPr>
                <w:rFonts w:hint="eastAsia" w:ascii="宋体" w:hAnsi="宋体"/>
                <w:color w:val="auto"/>
                <w:szCs w:val="21"/>
                <w:highlight w:val="none"/>
              </w:rPr>
              <w:t>三年</w:t>
            </w:r>
          </w:p>
        </w:tc>
        <w:tc>
          <w:tcPr>
            <w:tcW w:w="1298" w:type="dxa"/>
            <w:vAlign w:val="center"/>
          </w:tcPr>
          <w:p>
            <w:pPr>
              <w:rPr>
                <w:rFonts w:ascii="宋体" w:hAnsi="宋体"/>
                <w:color w:val="auto"/>
                <w:highlight w:val="none"/>
              </w:rPr>
            </w:pPr>
            <w:r>
              <w:rPr>
                <w:rFonts w:hint="eastAsia" w:ascii="宋体" w:hAnsi="宋体"/>
                <w:color w:val="auto"/>
                <w:szCs w:val="21"/>
                <w:highlight w:val="none"/>
              </w:rPr>
              <w:t>不含配件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4" w:hRule="atLeast"/>
          <w:jc w:val="center"/>
        </w:trPr>
        <w:tc>
          <w:tcPr>
            <w:tcW w:w="510" w:type="dxa"/>
            <w:tcMar>
              <w:top w:w="15" w:type="dxa"/>
              <w:left w:w="15" w:type="dxa"/>
              <w:bottom w:w="0" w:type="dxa"/>
              <w:right w:w="15" w:type="dxa"/>
            </w:tcMar>
            <w:vAlign w:val="center"/>
          </w:tcPr>
          <w:p>
            <w:pPr>
              <w:spacing w:line="300" w:lineRule="exact"/>
              <w:jc w:val="center"/>
              <w:rPr>
                <w:rFonts w:ascii="宋体" w:hAnsi="宋体"/>
                <w:color w:val="auto"/>
                <w:szCs w:val="21"/>
                <w:highlight w:val="none"/>
              </w:rPr>
            </w:pPr>
            <w:r>
              <w:rPr>
                <w:rFonts w:ascii="宋体" w:hAnsi="宋体"/>
                <w:color w:val="auto"/>
                <w:szCs w:val="21"/>
                <w:highlight w:val="none"/>
              </w:rPr>
              <w:t>2</w:t>
            </w:r>
          </w:p>
        </w:tc>
        <w:tc>
          <w:tcPr>
            <w:tcW w:w="1977" w:type="dxa"/>
            <w:tcMar>
              <w:top w:w="15" w:type="dxa"/>
              <w:left w:w="15" w:type="dxa"/>
              <w:bottom w:w="0" w:type="dxa"/>
              <w:right w:w="15" w:type="dxa"/>
            </w:tcMar>
            <w:vAlign w:val="center"/>
          </w:tcPr>
          <w:p>
            <w:pPr>
              <w:widowControl/>
              <w:jc w:val="center"/>
              <w:rPr>
                <w:rFonts w:ascii="宋体" w:hAnsi="宋体"/>
                <w:color w:val="auto"/>
                <w:szCs w:val="21"/>
                <w:highlight w:val="none"/>
              </w:rPr>
            </w:pPr>
            <w:r>
              <w:rPr>
                <w:rFonts w:hint="eastAsia" w:ascii="宋体" w:hAnsi="宋体"/>
                <w:color w:val="auto"/>
                <w:szCs w:val="21"/>
                <w:highlight w:val="none"/>
              </w:rPr>
              <w:t>数字化拍片机</w:t>
            </w:r>
          </w:p>
        </w:tc>
        <w:tc>
          <w:tcPr>
            <w:tcW w:w="2661" w:type="dxa"/>
            <w:tcMar>
              <w:top w:w="15" w:type="dxa"/>
              <w:left w:w="15" w:type="dxa"/>
              <w:bottom w:w="0" w:type="dxa"/>
              <w:right w:w="15" w:type="dxa"/>
            </w:tcMar>
            <w:vAlign w:val="center"/>
          </w:tcPr>
          <w:p>
            <w:pPr>
              <w:widowControl/>
              <w:jc w:val="center"/>
              <w:rPr>
                <w:rFonts w:ascii="宋体" w:hAnsi="宋体"/>
                <w:color w:val="auto"/>
                <w:kern w:val="0"/>
                <w:szCs w:val="21"/>
                <w:highlight w:val="none"/>
              </w:rPr>
            </w:pPr>
            <w:r>
              <w:rPr>
                <w:rFonts w:ascii="宋体" w:hAnsi="宋体"/>
                <w:color w:val="auto"/>
                <w:szCs w:val="21"/>
                <w:highlight w:val="none"/>
              </w:rPr>
              <w:t>DISC XR656</w:t>
            </w:r>
          </w:p>
        </w:tc>
        <w:tc>
          <w:tcPr>
            <w:tcW w:w="1361" w:type="dxa"/>
            <w:vAlign w:val="center"/>
          </w:tcPr>
          <w:p>
            <w:pPr>
              <w:jc w:val="center"/>
              <w:rPr>
                <w:rFonts w:ascii="宋体" w:hAnsi="宋体"/>
                <w:color w:val="auto"/>
                <w:highlight w:val="none"/>
              </w:rPr>
            </w:pPr>
            <w:r>
              <w:rPr>
                <w:rFonts w:hint="eastAsia" w:ascii="宋体" w:hAnsi="宋体"/>
                <w:color w:val="auto"/>
                <w:szCs w:val="21"/>
                <w:highlight w:val="none"/>
              </w:rPr>
              <w:t>技术保</w:t>
            </w:r>
          </w:p>
        </w:tc>
        <w:tc>
          <w:tcPr>
            <w:tcW w:w="1329" w:type="dxa"/>
            <w:vAlign w:val="center"/>
          </w:tcPr>
          <w:p>
            <w:pPr>
              <w:jc w:val="center"/>
              <w:rPr>
                <w:rFonts w:ascii="宋体" w:hAnsi="宋体"/>
                <w:color w:val="auto"/>
                <w:highlight w:val="none"/>
              </w:rPr>
            </w:pPr>
            <w:r>
              <w:rPr>
                <w:rFonts w:hint="eastAsia" w:ascii="宋体" w:hAnsi="宋体"/>
                <w:color w:val="auto"/>
                <w:szCs w:val="21"/>
                <w:highlight w:val="none"/>
              </w:rPr>
              <w:t>三年</w:t>
            </w:r>
          </w:p>
        </w:tc>
        <w:tc>
          <w:tcPr>
            <w:tcW w:w="1298" w:type="dxa"/>
            <w:vAlign w:val="center"/>
          </w:tcPr>
          <w:p>
            <w:pPr>
              <w:rPr>
                <w:rFonts w:ascii="宋体" w:hAnsi="宋体"/>
                <w:color w:val="auto"/>
                <w:highlight w:val="none"/>
              </w:rPr>
            </w:pPr>
            <w:r>
              <w:rPr>
                <w:rFonts w:hint="eastAsia" w:ascii="宋体" w:hAnsi="宋体"/>
                <w:color w:val="auto"/>
                <w:szCs w:val="21"/>
                <w:highlight w:val="none"/>
              </w:rPr>
              <w:t>不含配件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4" w:hRule="atLeast"/>
          <w:jc w:val="center"/>
        </w:trPr>
        <w:tc>
          <w:tcPr>
            <w:tcW w:w="510" w:type="dxa"/>
            <w:tcMar>
              <w:top w:w="15" w:type="dxa"/>
              <w:left w:w="15" w:type="dxa"/>
              <w:bottom w:w="0" w:type="dxa"/>
              <w:right w:w="15" w:type="dxa"/>
            </w:tcMar>
            <w:vAlign w:val="center"/>
          </w:tcPr>
          <w:p>
            <w:pPr>
              <w:spacing w:line="300" w:lineRule="exact"/>
              <w:jc w:val="center"/>
              <w:rPr>
                <w:rFonts w:ascii="宋体" w:hAnsi="宋体"/>
                <w:color w:val="auto"/>
                <w:szCs w:val="21"/>
                <w:highlight w:val="none"/>
              </w:rPr>
            </w:pPr>
            <w:r>
              <w:rPr>
                <w:rFonts w:ascii="宋体" w:hAnsi="宋体"/>
                <w:color w:val="auto"/>
                <w:szCs w:val="21"/>
                <w:highlight w:val="none"/>
              </w:rPr>
              <w:t>3</w:t>
            </w:r>
          </w:p>
        </w:tc>
        <w:tc>
          <w:tcPr>
            <w:tcW w:w="1977" w:type="dxa"/>
            <w:tcMar>
              <w:top w:w="15" w:type="dxa"/>
              <w:left w:w="15" w:type="dxa"/>
              <w:bottom w:w="0" w:type="dxa"/>
              <w:right w:w="15" w:type="dxa"/>
            </w:tcMar>
            <w:vAlign w:val="center"/>
          </w:tcPr>
          <w:p>
            <w:pPr>
              <w:widowControl/>
              <w:jc w:val="center"/>
              <w:rPr>
                <w:rFonts w:ascii="宋体" w:hAnsi="宋体"/>
                <w:color w:val="auto"/>
                <w:szCs w:val="21"/>
                <w:highlight w:val="none"/>
              </w:rPr>
            </w:pPr>
            <w:r>
              <w:rPr>
                <w:rFonts w:hint="eastAsia" w:ascii="宋体" w:hAnsi="宋体"/>
                <w:color w:val="auto"/>
                <w:szCs w:val="21"/>
                <w:highlight w:val="none"/>
              </w:rPr>
              <w:t>数字胃肠机</w:t>
            </w:r>
          </w:p>
        </w:tc>
        <w:tc>
          <w:tcPr>
            <w:tcW w:w="2661" w:type="dxa"/>
            <w:tcMar>
              <w:top w:w="15" w:type="dxa"/>
              <w:left w:w="15" w:type="dxa"/>
              <w:bottom w:w="0" w:type="dxa"/>
              <w:right w:w="15" w:type="dxa"/>
            </w:tcMar>
            <w:vAlign w:val="center"/>
          </w:tcPr>
          <w:p>
            <w:pPr>
              <w:widowControl/>
              <w:jc w:val="center"/>
              <w:rPr>
                <w:rFonts w:ascii="宋体" w:hAnsi="宋体"/>
                <w:color w:val="auto"/>
                <w:szCs w:val="21"/>
                <w:highlight w:val="none"/>
              </w:rPr>
            </w:pPr>
            <w:r>
              <w:rPr>
                <w:rFonts w:hint="eastAsia" w:ascii="宋体" w:hAnsi="宋体"/>
                <w:color w:val="auto"/>
                <w:szCs w:val="21"/>
                <w:highlight w:val="none"/>
              </w:rPr>
              <w:t>P</w:t>
            </w:r>
            <w:r>
              <w:rPr>
                <w:rFonts w:ascii="宋体" w:hAnsi="宋体"/>
                <w:color w:val="auto"/>
                <w:szCs w:val="21"/>
                <w:highlight w:val="none"/>
              </w:rPr>
              <w:t>T800</w:t>
            </w:r>
          </w:p>
        </w:tc>
        <w:tc>
          <w:tcPr>
            <w:tcW w:w="1361" w:type="dxa"/>
            <w:vAlign w:val="center"/>
          </w:tcPr>
          <w:p>
            <w:pPr>
              <w:jc w:val="center"/>
              <w:rPr>
                <w:rFonts w:ascii="宋体" w:hAnsi="宋体"/>
                <w:color w:val="auto"/>
                <w:highlight w:val="none"/>
              </w:rPr>
            </w:pPr>
            <w:r>
              <w:rPr>
                <w:rFonts w:hint="eastAsia" w:ascii="宋体" w:hAnsi="宋体"/>
                <w:color w:val="auto"/>
                <w:szCs w:val="21"/>
                <w:highlight w:val="none"/>
              </w:rPr>
              <w:t>技术保</w:t>
            </w:r>
          </w:p>
        </w:tc>
        <w:tc>
          <w:tcPr>
            <w:tcW w:w="1329" w:type="dxa"/>
            <w:vAlign w:val="center"/>
          </w:tcPr>
          <w:p>
            <w:pPr>
              <w:jc w:val="center"/>
              <w:rPr>
                <w:rFonts w:ascii="宋体" w:hAnsi="宋体"/>
                <w:color w:val="auto"/>
                <w:highlight w:val="none"/>
              </w:rPr>
            </w:pPr>
            <w:r>
              <w:rPr>
                <w:rFonts w:hint="eastAsia" w:ascii="宋体" w:hAnsi="宋体"/>
                <w:color w:val="auto"/>
                <w:highlight w:val="none"/>
              </w:rPr>
              <w:t>三年</w:t>
            </w:r>
          </w:p>
        </w:tc>
        <w:tc>
          <w:tcPr>
            <w:tcW w:w="1298" w:type="dxa"/>
            <w:vAlign w:val="center"/>
          </w:tcPr>
          <w:p>
            <w:pPr>
              <w:rPr>
                <w:rFonts w:ascii="宋体" w:hAnsi="宋体"/>
                <w:color w:val="auto"/>
                <w:highlight w:val="none"/>
              </w:rPr>
            </w:pPr>
            <w:r>
              <w:rPr>
                <w:rFonts w:hint="eastAsia" w:ascii="宋体" w:hAnsi="宋体"/>
                <w:color w:val="auto"/>
                <w:szCs w:val="21"/>
                <w:highlight w:val="none"/>
              </w:rPr>
              <w:t>不含配件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4" w:hRule="atLeast"/>
          <w:jc w:val="center"/>
        </w:trPr>
        <w:tc>
          <w:tcPr>
            <w:tcW w:w="510" w:type="dxa"/>
            <w:tcMar>
              <w:top w:w="15" w:type="dxa"/>
              <w:left w:w="15" w:type="dxa"/>
              <w:bottom w:w="0" w:type="dxa"/>
              <w:right w:w="15" w:type="dxa"/>
            </w:tcMar>
            <w:vAlign w:val="center"/>
          </w:tcPr>
          <w:p>
            <w:pPr>
              <w:spacing w:line="300" w:lineRule="exact"/>
              <w:jc w:val="center"/>
              <w:rPr>
                <w:rFonts w:ascii="宋体" w:hAnsi="宋体"/>
                <w:color w:val="auto"/>
                <w:szCs w:val="21"/>
                <w:highlight w:val="none"/>
              </w:rPr>
            </w:pPr>
            <w:r>
              <w:rPr>
                <w:rFonts w:ascii="宋体" w:hAnsi="宋体"/>
                <w:color w:val="auto"/>
                <w:szCs w:val="21"/>
                <w:highlight w:val="none"/>
              </w:rPr>
              <w:t>4</w:t>
            </w:r>
          </w:p>
        </w:tc>
        <w:tc>
          <w:tcPr>
            <w:tcW w:w="1977" w:type="dxa"/>
            <w:tcMar>
              <w:top w:w="15" w:type="dxa"/>
              <w:left w:w="15" w:type="dxa"/>
              <w:bottom w:w="0" w:type="dxa"/>
              <w:right w:w="15" w:type="dxa"/>
            </w:tcMar>
            <w:vAlign w:val="center"/>
          </w:tcPr>
          <w:p>
            <w:pPr>
              <w:widowControl/>
              <w:jc w:val="center"/>
              <w:rPr>
                <w:rFonts w:ascii="宋体" w:hAnsi="宋体"/>
                <w:color w:val="auto"/>
                <w:szCs w:val="21"/>
                <w:highlight w:val="none"/>
                <w:u w:val="single"/>
              </w:rPr>
            </w:pPr>
            <w:r>
              <w:rPr>
                <w:rFonts w:hint="eastAsia" w:ascii="宋体" w:hAnsi="宋体"/>
                <w:color w:val="auto"/>
                <w:szCs w:val="21"/>
                <w:highlight w:val="none"/>
              </w:rPr>
              <w:t>移动C臂</w:t>
            </w:r>
          </w:p>
        </w:tc>
        <w:tc>
          <w:tcPr>
            <w:tcW w:w="2661" w:type="dxa"/>
            <w:tcMar>
              <w:top w:w="15" w:type="dxa"/>
              <w:left w:w="15" w:type="dxa"/>
              <w:bottom w:w="0" w:type="dxa"/>
              <w:right w:w="15" w:type="dxa"/>
            </w:tcMar>
            <w:vAlign w:val="center"/>
          </w:tcPr>
          <w:p>
            <w:pPr>
              <w:widowControl/>
              <w:jc w:val="center"/>
              <w:rPr>
                <w:rFonts w:ascii="宋体" w:hAnsi="宋体"/>
                <w:color w:val="auto"/>
                <w:szCs w:val="21"/>
                <w:highlight w:val="none"/>
                <w:u w:val="single"/>
              </w:rPr>
            </w:pPr>
            <w:r>
              <w:rPr>
                <w:rFonts w:hint="eastAsia" w:ascii="宋体" w:hAnsi="宋体"/>
                <w:color w:val="auto"/>
                <w:kern w:val="0"/>
                <w:szCs w:val="21"/>
                <w:highlight w:val="none"/>
              </w:rPr>
              <w:t>OEC 9900 Elite</w:t>
            </w:r>
          </w:p>
        </w:tc>
        <w:tc>
          <w:tcPr>
            <w:tcW w:w="1361" w:type="dxa"/>
            <w:vAlign w:val="center"/>
          </w:tcPr>
          <w:p>
            <w:pPr>
              <w:jc w:val="center"/>
              <w:rPr>
                <w:rFonts w:ascii="宋体" w:hAnsi="宋体"/>
                <w:color w:val="auto"/>
                <w:highlight w:val="none"/>
              </w:rPr>
            </w:pPr>
            <w:r>
              <w:rPr>
                <w:rFonts w:hint="eastAsia" w:ascii="宋体" w:hAnsi="宋体"/>
                <w:color w:val="auto"/>
                <w:szCs w:val="21"/>
                <w:highlight w:val="none"/>
              </w:rPr>
              <w:t>技术保</w:t>
            </w:r>
          </w:p>
        </w:tc>
        <w:tc>
          <w:tcPr>
            <w:tcW w:w="1329" w:type="dxa"/>
            <w:vAlign w:val="center"/>
          </w:tcPr>
          <w:p>
            <w:pPr>
              <w:jc w:val="center"/>
              <w:rPr>
                <w:rFonts w:ascii="宋体" w:hAnsi="宋体"/>
                <w:color w:val="auto"/>
                <w:highlight w:val="none"/>
              </w:rPr>
            </w:pPr>
            <w:r>
              <w:rPr>
                <w:rFonts w:hint="eastAsia" w:ascii="宋体" w:hAnsi="宋体"/>
                <w:color w:val="auto"/>
                <w:szCs w:val="21"/>
                <w:highlight w:val="none"/>
              </w:rPr>
              <w:t>三年</w:t>
            </w:r>
          </w:p>
        </w:tc>
        <w:tc>
          <w:tcPr>
            <w:tcW w:w="1298" w:type="dxa"/>
            <w:vAlign w:val="center"/>
          </w:tcPr>
          <w:p>
            <w:pPr>
              <w:rPr>
                <w:rFonts w:ascii="宋体" w:hAnsi="宋体"/>
                <w:color w:val="auto"/>
                <w:highlight w:val="none"/>
              </w:rPr>
            </w:pPr>
            <w:r>
              <w:rPr>
                <w:rFonts w:hint="eastAsia" w:ascii="宋体" w:hAnsi="宋体"/>
                <w:color w:val="auto"/>
                <w:szCs w:val="21"/>
                <w:highlight w:val="none"/>
              </w:rPr>
              <w:t>不含配件</w:t>
            </w:r>
          </w:p>
        </w:tc>
      </w:tr>
    </w:tbl>
    <w:p>
      <w:pPr>
        <w:spacing w:line="380" w:lineRule="exact"/>
        <w:rPr>
          <w:rFonts w:ascii="宋体" w:hAnsi="Courier New"/>
          <w:b/>
          <w:color w:val="auto"/>
          <w:sz w:val="24"/>
          <w:highlight w:val="none"/>
        </w:rPr>
      </w:pPr>
    </w:p>
    <w:p>
      <w:pPr>
        <w:spacing w:line="380" w:lineRule="exact"/>
        <w:rPr>
          <w:rFonts w:ascii="宋体" w:hAnsi="宋体"/>
          <w:b/>
          <w:color w:val="auto"/>
          <w:szCs w:val="21"/>
          <w:highlight w:val="none"/>
        </w:rPr>
      </w:pPr>
      <w:r>
        <w:rPr>
          <w:rFonts w:hint="eastAsia" w:ascii="宋体" w:hAnsi="宋体"/>
          <w:b/>
          <w:color w:val="auto"/>
          <w:szCs w:val="21"/>
          <w:highlight w:val="none"/>
        </w:rPr>
        <w:t>二、数字化医疗设备维保要求</w:t>
      </w:r>
    </w:p>
    <w:p>
      <w:pPr>
        <w:ind w:left="210" w:leftChars="100"/>
        <w:rPr>
          <w:rFonts w:ascii="宋体" w:hAnsi="宋体"/>
          <w:color w:val="auto"/>
          <w:szCs w:val="21"/>
          <w:highlight w:val="none"/>
        </w:rPr>
      </w:pPr>
      <w:r>
        <w:rPr>
          <w:rFonts w:hint="eastAsia" w:ascii="宋体" w:hAnsi="宋体"/>
          <w:color w:val="auto"/>
          <w:szCs w:val="21"/>
          <w:highlight w:val="none"/>
        </w:rPr>
        <w:t>1、提供 365 天 24 小时咨询和响应，由专业工程师提供每年不少于 4 次对系统专业保养，包括设备安全检查，性能测试，影像质量检查，设备除尘保养，运行状态检查，确保服务质量。并提供定期维护保养报告交采购人。</w:t>
      </w:r>
    </w:p>
    <w:p>
      <w:pPr>
        <w:ind w:left="210" w:leftChars="100"/>
        <w:rPr>
          <w:rFonts w:ascii="宋体" w:hAnsi="宋体"/>
          <w:color w:val="auto"/>
          <w:szCs w:val="21"/>
          <w:highlight w:val="none"/>
        </w:rPr>
      </w:pPr>
      <w:r>
        <w:rPr>
          <w:rFonts w:hint="eastAsia" w:ascii="宋体" w:hAnsi="宋体"/>
          <w:color w:val="auto"/>
          <w:szCs w:val="21"/>
          <w:highlight w:val="none"/>
        </w:rPr>
        <w:t>2、提供该机不限次的紧急维修，承诺 30 分钟以内作出响应工程师必须 2 小时内赶到现场处理故障。；</w:t>
      </w:r>
    </w:p>
    <w:p>
      <w:pPr>
        <w:ind w:left="210" w:hanging="210" w:hangingChars="10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 xml:space="preserve">3、能够有偿提供该批设备损坏后的所有配件(含所有球管、探测器、工作站保修及软件升级)并安装，确保提供的配件与厂家一致或优于的，确保更换后设备正常运行。 </w:t>
      </w:r>
    </w:p>
    <w:p>
      <w:pPr>
        <w:ind w:firstLine="210" w:firstLineChars="100"/>
        <w:rPr>
          <w:rFonts w:ascii="宋体" w:hAnsi="宋体"/>
          <w:color w:val="auto"/>
          <w:szCs w:val="21"/>
          <w:highlight w:val="none"/>
        </w:rPr>
      </w:pPr>
      <w:r>
        <w:rPr>
          <w:rFonts w:hint="eastAsia" w:ascii="宋体" w:hAnsi="宋体"/>
          <w:color w:val="auto"/>
          <w:szCs w:val="21"/>
          <w:highlight w:val="none"/>
        </w:rPr>
        <w:t>4. 无限次数的远程故障诊断，无限次数的现场技术故障诊断及维修。</w:t>
      </w:r>
    </w:p>
    <w:p>
      <w:pPr>
        <w:ind w:firstLine="210" w:firstLineChars="100"/>
        <w:rPr>
          <w:rFonts w:ascii="宋体" w:hAnsi="宋体"/>
          <w:color w:val="auto"/>
          <w:szCs w:val="21"/>
          <w:highlight w:val="none"/>
        </w:rPr>
      </w:pPr>
      <w:r>
        <w:rPr>
          <w:rFonts w:hint="eastAsia" w:ascii="宋体" w:hAnsi="宋体"/>
          <w:color w:val="auto"/>
          <w:szCs w:val="21"/>
          <w:highlight w:val="none"/>
        </w:rPr>
        <w:t>5.常规性保养：每年度内提供不少于4次的设备保养, 以保证设备处于最佳运行状态，包括：</w:t>
      </w:r>
    </w:p>
    <w:p>
      <w:pPr>
        <w:rPr>
          <w:rFonts w:ascii="宋体" w:hAnsi="宋体"/>
          <w:color w:val="auto"/>
          <w:szCs w:val="21"/>
          <w:highlight w:val="none"/>
        </w:rPr>
      </w:pPr>
      <w:r>
        <w:rPr>
          <w:rFonts w:hint="eastAsia" w:ascii="宋体" w:hAnsi="宋体"/>
          <w:color w:val="auto"/>
          <w:szCs w:val="21"/>
          <w:highlight w:val="none"/>
        </w:rPr>
        <w:t>（1）记录并安排保养时间</w:t>
      </w:r>
    </w:p>
    <w:p>
      <w:pPr>
        <w:rPr>
          <w:rFonts w:ascii="宋体" w:hAnsi="宋体"/>
          <w:color w:val="auto"/>
          <w:szCs w:val="21"/>
          <w:highlight w:val="none"/>
        </w:rPr>
      </w:pPr>
      <w:r>
        <w:rPr>
          <w:rFonts w:hint="eastAsia" w:ascii="宋体" w:hAnsi="宋体"/>
          <w:color w:val="auto"/>
          <w:szCs w:val="21"/>
          <w:highlight w:val="none"/>
        </w:rPr>
        <w:t>（2）保养计划更换损耗部件</w:t>
      </w:r>
    </w:p>
    <w:p>
      <w:pPr>
        <w:rPr>
          <w:rFonts w:ascii="宋体" w:hAnsi="宋体"/>
          <w:color w:val="auto"/>
          <w:szCs w:val="21"/>
          <w:highlight w:val="none"/>
        </w:rPr>
      </w:pPr>
      <w:r>
        <w:rPr>
          <w:rFonts w:hint="eastAsia" w:ascii="宋体" w:hAnsi="宋体"/>
          <w:color w:val="auto"/>
          <w:szCs w:val="21"/>
          <w:highlight w:val="none"/>
        </w:rPr>
        <w:t>（3）做常规检测</w:t>
      </w:r>
    </w:p>
    <w:p>
      <w:pPr>
        <w:rPr>
          <w:rFonts w:ascii="宋体" w:hAnsi="宋体"/>
          <w:color w:val="auto"/>
          <w:szCs w:val="21"/>
          <w:highlight w:val="none"/>
        </w:rPr>
      </w:pPr>
      <w:r>
        <w:rPr>
          <w:rFonts w:hint="eastAsia" w:ascii="宋体" w:hAnsi="宋体"/>
          <w:color w:val="auto"/>
          <w:szCs w:val="21"/>
          <w:highlight w:val="none"/>
        </w:rPr>
        <w:t>（4）按照厂家标准进行调校</w:t>
      </w:r>
    </w:p>
    <w:p>
      <w:pPr>
        <w:rPr>
          <w:rFonts w:ascii="宋体" w:hAnsi="宋体"/>
          <w:color w:val="auto"/>
          <w:szCs w:val="21"/>
          <w:highlight w:val="none"/>
        </w:rPr>
      </w:pPr>
      <w:r>
        <w:rPr>
          <w:rFonts w:hint="eastAsia" w:ascii="宋体" w:hAnsi="宋体"/>
          <w:color w:val="auto"/>
          <w:szCs w:val="21"/>
          <w:highlight w:val="none"/>
        </w:rPr>
        <w:t>（5）确认各项技术指标及性能</w:t>
      </w:r>
    </w:p>
    <w:p>
      <w:pPr>
        <w:rPr>
          <w:rFonts w:ascii="宋体" w:hAnsi="宋体"/>
          <w:color w:val="auto"/>
          <w:szCs w:val="21"/>
          <w:highlight w:val="none"/>
        </w:rPr>
      </w:pPr>
      <w:r>
        <w:rPr>
          <w:rFonts w:hint="eastAsia" w:ascii="宋体" w:hAnsi="宋体"/>
          <w:color w:val="auto"/>
          <w:szCs w:val="21"/>
          <w:highlight w:val="none"/>
        </w:rPr>
        <w:t>（6）记录设备状况</w:t>
      </w:r>
    </w:p>
    <w:p>
      <w:pPr>
        <w:rPr>
          <w:rFonts w:ascii="宋体" w:hAnsi="宋体"/>
          <w:color w:val="auto"/>
          <w:szCs w:val="21"/>
          <w:highlight w:val="none"/>
        </w:rPr>
      </w:pPr>
      <w:r>
        <w:rPr>
          <w:rFonts w:hint="eastAsia" w:ascii="宋体" w:hAnsi="宋体"/>
          <w:color w:val="auto"/>
          <w:szCs w:val="21"/>
          <w:highlight w:val="none"/>
        </w:rPr>
        <w:t>（7）提供设备保养内容清单。</w:t>
      </w:r>
    </w:p>
    <w:p>
      <w:pPr>
        <w:ind w:firstLine="210" w:firstLineChars="100"/>
        <w:rPr>
          <w:rFonts w:ascii="宋体" w:hAnsi="宋体"/>
          <w:color w:val="auto"/>
          <w:szCs w:val="21"/>
          <w:highlight w:val="none"/>
        </w:rPr>
      </w:pPr>
      <w:r>
        <w:rPr>
          <w:rFonts w:hint="eastAsia" w:ascii="宋体" w:hAnsi="宋体"/>
          <w:color w:val="auto"/>
          <w:szCs w:val="21"/>
          <w:highlight w:val="none"/>
        </w:rPr>
        <w:t>6.安全检查：安全检查将按照厂家标准及当地规定执行，在每次设备保养时，具体包括：</w:t>
      </w:r>
    </w:p>
    <w:p>
      <w:pPr>
        <w:rPr>
          <w:rFonts w:ascii="宋体" w:hAnsi="宋体"/>
          <w:color w:val="auto"/>
          <w:szCs w:val="21"/>
          <w:highlight w:val="none"/>
        </w:rPr>
      </w:pPr>
      <w:r>
        <w:rPr>
          <w:rFonts w:hint="eastAsia" w:ascii="宋体" w:hAnsi="宋体"/>
          <w:color w:val="auto"/>
          <w:szCs w:val="21"/>
          <w:highlight w:val="none"/>
        </w:rPr>
        <w:t>（1）制定检查计划</w:t>
      </w:r>
    </w:p>
    <w:p>
      <w:pPr>
        <w:rPr>
          <w:rFonts w:ascii="宋体" w:hAnsi="宋体"/>
          <w:color w:val="auto"/>
          <w:szCs w:val="21"/>
          <w:highlight w:val="none"/>
        </w:rPr>
      </w:pPr>
      <w:r>
        <w:rPr>
          <w:rFonts w:hint="eastAsia" w:ascii="宋体" w:hAnsi="宋体"/>
          <w:color w:val="auto"/>
          <w:szCs w:val="21"/>
          <w:highlight w:val="none"/>
        </w:rPr>
        <w:t>（2）机械安全检查</w:t>
      </w:r>
    </w:p>
    <w:p>
      <w:pPr>
        <w:rPr>
          <w:rFonts w:ascii="宋体" w:hAnsi="宋体"/>
          <w:color w:val="auto"/>
          <w:szCs w:val="21"/>
          <w:highlight w:val="none"/>
        </w:rPr>
      </w:pPr>
      <w:r>
        <w:rPr>
          <w:rFonts w:hint="eastAsia" w:ascii="宋体" w:hAnsi="宋体"/>
          <w:color w:val="auto"/>
          <w:szCs w:val="21"/>
          <w:highlight w:val="none"/>
        </w:rPr>
        <w:t>（3）电气安全检查</w:t>
      </w:r>
    </w:p>
    <w:p>
      <w:pPr>
        <w:rPr>
          <w:rFonts w:ascii="宋体" w:hAnsi="宋体"/>
          <w:color w:val="auto"/>
          <w:szCs w:val="21"/>
          <w:highlight w:val="none"/>
        </w:rPr>
      </w:pPr>
      <w:r>
        <w:rPr>
          <w:rFonts w:hint="eastAsia" w:ascii="宋体" w:hAnsi="宋体"/>
          <w:color w:val="auto"/>
          <w:szCs w:val="21"/>
          <w:highlight w:val="none"/>
        </w:rPr>
        <w:t>（4）记录检查结果</w:t>
      </w:r>
    </w:p>
    <w:p>
      <w:pPr>
        <w:rPr>
          <w:rFonts w:ascii="宋体" w:hAnsi="宋体"/>
          <w:color w:val="auto"/>
          <w:szCs w:val="21"/>
          <w:highlight w:val="none"/>
        </w:rPr>
      </w:pPr>
      <w:r>
        <w:rPr>
          <w:rFonts w:hint="eastAsia" w:ascii="宋体" w:hAnsi="宋体"/>
          <w:color w:val="auto"/>
          <w:szCs w:val="21"/>
          <w:highlight w:val="none"/>
        </w:rPr>
        <w:t>（5）出具安全检测报告</w:t>
      </w:r>
    </w:p>
    <w:p>
      <w:pPr>
        <w:ind w:firstLine="210" w:firstLineChars="100"/>
        <w:rPr>
          <w:rFonts w:ascii="宋体" w:hAnsi="宋体"/>
          <w:color w:val="auto"/>
          <w:szCs w:val="21"/>
          <w:highlight w:val="none"/>
        </w:rPr>
      </w:pPr>
      <w:r>
        <w:rPr>
          <w:rFonts w:hint="eastAsia" w:ascii="宋体" w:hAnsi="宋体"/>
          <w:color w:val="auto"/>
          <w:szCs w:val="21"/>
          <w:highlight w:val="none"/>
        </w:rPr>
        <w:t>7.维保质量：必须达到厂家标准和用户临床诊断要求。</w:t>
      </w:r>
    </w:p>
    <w:p>
      <w:pPr>
        <w:ind w:firstLine="210" w:firstLineChars="100"/>
        <w:rPr>
          <w:rFonts w:ascii="宋体" w:hAnsi="宋体"/>
          <w:color w:val="auto"/>
          <w:szCs w:val="21"/>
          <w:highlight w:val="none"/>
        </w:rPr>
      </w:pPr>
      <w:r>
        <w:rPr>
          <w:rFonts w:hint="eastAsia" w:ascii="宋体" w:hAnsi="宋体"/>
          <w:color w:val="auto"/>
          <w:szCs w:val="21"/>
          <w:highlight w:val="none"/>
        </w:rPr>
        <w:t>8、质量保证：</w:t>
      </w:r>
    </w:p>
    <w:p>
      <w:pPr>
        <w:rPr>
          <w:rFonts w:ascii="宋体" w:hAnsi="宋体"/>
          <w:color w:val="auto"/>
          <w:szCs w:val="21"/>
          <w:highlight w:val="none"/>
        </w:rPr>
      </w:pPr>
      <w:r>
        <w:rPr>
          <w:rFonts w:hint="eastAsia" w:ascii="宋体" w:hAnsi="宋体"/>
          <w:color w:val="auto"/>
          <w:szCs w:val="21"/>
          <w:highlight w:val="none"/>
        </w:rPr>
        <w:t>（1）制定检查计划</w:t>
      </w:r>
    </w:p>
    <w:p>
      <w:pPr>
        <w:rPr>
          <w:rFonts w:ascii="宋体" w:hAnsi="宋体"/>
          <w:color w:val="auto"/>
          <w:szCs w:val="21"/>
          <w:highlight w:val="none"/>
        </w:rPr>
      </w:pPr>
      <w:r>
        <w:rPr>
          <w:rFonts w:hint="eastAsia" w:ascii="宋体" w:hAnsi="宋体"/>
          <w:color w:val="auto"/>
          <w:szCs w:val="21"/>
          <w:highlight w:val="none"/>
        </w:rPr>
        <w:t>（2）图象质量（效果）检查</w:t>
      </w:r>
    </w:p>
    <w:p>
      <w:pPr>
        <w:rPr>
          <w:rFonts w:ascii="宋体" w:hAnsi="宋体"/>
          <w:color w:val="auto"/>
          <w:szCs w:val="21"/>
          <w:highlight w:val="none"/>
        </w:rPr>
      </w:pPr>
      <w:r>
        <w:rPr>
          <w:rFonts w:hint="eastAsia" w:ascii="宋体" w:hAnsi="宋体"/>
          <w:color w:val="auto"/>
          <w:szCs w:val="21"/>
          <w:highlight w:val="none"/>
        </w:rPr>
        <w:t>（3）评判参数结果</w:t>
      </w:r>
    </w:p>
    <w:p>
      <w:pPr>
        <w:rPr>
          <w:rFonts w:ascii="宋体" w:hAnsi="宋体"/>
          <w:color w:val="auto"/>
          <w:szCs w:val="21"/>
          <w:highlight w:val="none"/>
        </w:rPr>
      </w:pPr>
      <w:r>
        <w:rPr>
          <w:rFonts w:hint="eastAsia" w:ascii="宋体" w:hAnsi="宋体"/>
          <w:color w:val="auto"/>
          <w:szCs w:val="21"/>
          <w:highlight w:val="none"/>
        </w:rPr>
        <w:t>（4）调整 / 校准</w:t>
      </w:r>
    </w:p>
    <w:p>
      <w:pPr>
        <w:rPr>
          <w:rFonts w:ascii="宋体" w:hAnsi="宋体"/>
          <w:color w:val="auto"/>
          <w:szCs w:val="21"/>
          <w:highlight w:val="none"/>
        </w:rPr>
      </w:pPr>
      <w:r>
        <w:rPr>
          <w:rFonts w:hint="eastAsia" w:ascii="宋体" w:hAnsi="宋体"/>
          <w:color w:val="auto"/>
          <w:szCs w:val="21"/>
          <w:highlight w:val="none"/>
        </w:rPr>
        <w:t>（5）记录检查结果</w:t>
      </w:r>
    </w:p>
    <w:p>
      <w:pPr>
        <w:rPr>
          <w:rFonts w:ascii="宋体" w:hAnsi="宋体"/>
          <w:color w:val="auto"/>
          <w:szCs w:val="21"/>
          <w:highlight w:val="none"/>
        </w:rPr>
      </w:pPr>
      <w:r>
        <w:rPr>
          <w:rFonts w:hint="eastAsia" w:ascii="宋体" w:hAnsi="宋体"/>
          <w:color w:val="auto"/>
          <w:szCs w:val="21"/>
          <w:highlight w:val="none"/>
        </w:rPr>
        <w:t>9.图像质量控制：具有检验与校正图像质量的工具和能力，保证图像达到出厂标准。</w:t>
      </w:r>
    </w:p>
    <w:p>
      <w:pPr>
        <w:rPr>
          <w:rFonts w:ascii="宋体" w:hAnsi="宋体"/>
          <w:color w:val="auto"/>
          <w:szCs w:val="21"/>
          <w:highlight w:val="none"/>
        </w:rPr>
      </w:pPr>
      <w:r>
        <w:rPr>
          <w:rFonts w:hint="eastAsia" w:ascii="宋体" w:hAnsi="宋体"/>
          <w:color w:val="auto"/>
          <w:szCs w:val="21"/>
          <w:highlight w:val="none"/>
        </w:rPr>
        <w:t>10. 设备使用安全保证：具备关键部件更换之后的接地和漏电安全检查需要的设备和能力</w:t>
      </w:r>
    </w:p>
    <w:p>
      <w:pPr>
        <w:rPr>
          <w:rFonts w:ascii="宋体" w:hAnsi="宋体"/>
          <w:color w:val="auto"/>
          <w:szCs w:val="21"/>
          <w:highlight w:val="none"/>
        </w:rPr>
      </w:pPr>
      <w:bookmarkStart w:id="63" w:name="_Hlk28189122"/>
      <w:r>
        <w:rPr>
          <w:rFonts w:hint="eastAsia"/>
          <w:color w:val="auto"/>
          <w:szCs w:val="21"/>
          <w:highlight w:val="none"/>
        </w:rPr>
        <w:t>★</w:t>
      </w:r>
      <w:r>
        <w:rPr>
          <w:rFonts w:hint="eastAsia" w:ascii="宋体" w:hAnsi="宋体"/>
          <w:color w:val="auto"/>
          <w:szCs w:val="21"/>
          <w:highlight w:val="none"/>
        </w:rPr>
        <w:t xml:space="preserve">11．具有相应的辐射安全许可证，保证所从事的维修保养活动符合放射性污染防治法及射线  装置安全和防护条例等法律法规的规定。 </w:t>
      </w:r>
    </w:p>
    <w:p>
      <w:pPr>
        <w:rPr>
          <w:rFonts w:ascii="宋体" w:hAnsi="宋体"/>
          <w:color w:val="auto"/>
          <w:szCs w:val="21"/>
          <w:highlight w:val="none"/>
        </w:rPr>
      </w:pPr>
      <w:r>
        <w:rPr>
          <w:rFonts w:hint="eastAsia" w:ascii="宋体" w:hAnsi="宋体"/>
          <w:color w:val="auto"/>
          <w:szCs w:val="21"/>
          <w:highlight w:val="none"/>
        </w:rPr>
        <w:t>12.投标方在国内设有备件库（需提供详细地址），要求备件能在6小时内到达用户。</w:t>
      </w:r>
    </w:p>
    <w:p>
      <w:pPr>
        <w:rPr>
          <w:rFonts w:ascii="宋体" w:hAnsi="宋体"/>
          <w:color w:val="auto"/>
          <w:szCs w:val="21"/>
          <w:highlight w:val="none"/>
        </w:rPr>
      </w:pPr>
      <w:r>
        <w:rPr>
          <w:rFonts w:hint="eastAsia" w:ascii="宋体" w:hAnsi="宋体"/>
          <w:color w:val="auto"/>
          <w:szCs w:val="21"/>
          <w:highlight w:val="none"/>
        </w:rPr>
        <w:t>13.投标方在国内设立有维修中心（需提供详细地址），要求工程师能在6小时内到达现场提供有效的维修服务。</w:t>
      </w:r>
    </w:p>
    <w:p>
      <w:pPr>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 xml:space="preserve">14．服务期间提供远程诊断工具，自行负责安装调试完成交付科室使用，满足科室远程紧急维修要求。 </w:t>
      </w:r>
    </w:p>
    <w:p>
      <w:pPr>
        <w:rPr>
          <w:rFonts w:ascii="宋体" w:hAnsi="宋体"/>
          <w:color w:val="auto"/>
          <w:szCs w:val="21"/>
          <w:highlight w:val="none"/>
        </w:rPr>
      </w:pPr>
      <w:r>
        <w:rPr>
          <w:rFonts w:hint="eastAsia" w:ascii="宋体" w:hAnsi="宋体"/>
          <w:color w:val="auto"/>
          <w:szCs w:val="21"/>
          <w:highlight w:val="none"/>
        </w:rPr>
        <w:t>15.配件保证：</w:t>
      </w:r>
    </w:p>
    <w:p>
      <w:pPr>
        <w:ind w:left="210" w:leftChars="100"/>
        <w:rPr>
          <w:rFonts w:ascii="宋体" w:hAnsi="宋体"/>
          <w:color w:val="auto"/>
          <w:szCs w:val="21"/>
          <w:highlight w:val="none"/>
        </w:rPr>
      </w:pPr>
      <w:r>
        <w:rPr>
          <w:rFonts w:hint="eastAsia" w:ascii="宋体" w:hAnsi="宋体"/>
          <w:color w:val="auto"/>
          <w:szCs w:val="21"/>
          <w:highlight w:val="none"/>
        </w:rPr>
        <w:t>在合同期内能够保证100%配件供应或维修，除配件供应时间扣除外，需保证设备开机率不低于95%，如每低于一个百分点,合同期限将相应延长7个日历日。</w:t>
      </w:r>
    </w:p>
    <w:bookmarkEnd w:id="63"/>
    <w:p>
      <w:pPr>
        <w:widowControl/>
        <w:spacing w:line="35" w:lineRule="exact"/>
        <w:jc w:val="left"/>
        <w:rPr>
          <w:rFonts w:ascii="宋体" w:hAnsi="宋体" w:cs="Arial"/>
          <w:color w:val="auto"/>
          <w:kern w:val="0"/>
          <w:szCs w:val="21"/>
          <w:highlight w:val="none"/>
        </w:rPr>
      </w:pPr>
    </w:p>
    <w:p>
      <w:pPr>
        <w:widowControl/>
        <w:numPr>
          <w:ilvl w:val="0"/>
          <w:numId w:val="3"/>
        </w:numPr>
        <w:spacing w:line="237" w:lineRule="auto"/>
        <w:rPr>
          <w:rFonts w:ascii="宋体" w:hAnsi="宋体" w:cs="Arial"/>
          <w:color w:val="auto"/>
          <w:kern w:val="0"/>
          <w:szCs w:val="21"/>
          <w:highlight w:val="none"/>
        </w:rPr>
      </w:pPr>
      <w:r>
        <w:rPr>
          <w:rFonts w:hint="eastAsia" w:ascii="宋体" w:hAnsi="宋体" w:cs="Arial"/>
          <w:color w:val="auto"/>
          <w:kern w:val="0"/>
          <w:szCs w:val="21"/>
          <w:highlight w:val="none"/>
        </w:rPr>
        <w:t>服务期限：3 年</w:t>
      </w:r>
      <w:bookmarkStart w:id="64" w:name="_Hlk28189587"/>
    </w:p>
    <w:p>
      <w:pPr>
        <w:widowControl/>
        <w:numPr>
          <w:ilvl w:val="0"/>
          <w:numId w:val="3"/>
        </w:numPr>
        <w:spacing w:line="237" w:lineRule="auto"/>
        <w:rPr>
          <w:rFonts w:ascii="宋体" w:hAnsi="宋体" w:cs="Arial"/>
          <w:color w:val="auto"/>
          <w:kern w:val="0"/>
          <w:szCs w:val="21"/>
          <w:highlight w:val="none"/>
        </w:rPr>
      </w:pPr>
      <w:r>
        <w:rPr>
          <w:rFonts w:hint="eastAsia" w:ascii="宋体" w:hAnsi="宋体" w:cs="Arial"/>
          <w:color w:val="auto"/>
          <w:kern w:val="0"/>
          <w:szCs w:val="21"/>
          <w:highlight w:val="none"/>
        </w:rPr>
        <w:t>采购预算（人民币）：132万元</w:t>
      </w:r>
    </w:p>
    <w:bookmarkEnd w:id="64"/>
    <w:p>
      <w:pPr>
        <w:widowControl/>
        <w:numPr>
          <w:ilvl w:val="0"/>
          <w:numId w:val="3"/>
        </w:numPr>
        <w:spacing w:line="237" w:lineRule="auto"/>
        <w:rPr>
          <w:rFonts w:ascii="宋体" w:hAnsi="宋体"/>
          <w:color w:val="auto"/>
          <w:szCs w:val="21"/>
          <w:highlight w:val="none"/>
        </w:rPr>
      </w:pPr>
      <w:r>
        <w:rPr>
          <w:rFonts w:hint="eastAsia" w:ascii="宋体" w:hAnsi="宋体"/>
          <w:color w:val="auto"/>
          <w:szCs w:val="21"/>
          <w:highlight w:val="none"/>
        </w:rPr>
        <w:t>其它事项</w:t>
      </w:r>
    </w:p>
    <w:p>
      <w:pPr>
        <w:ind w:firstLine="420" w:firstLineChars="200"/>
        <w:rPr>
          <w:rFonts w:ascii="宋体" w:hAnsi="宋体"/>
          <w:color w:val="auto"/>
          <w:szCs w:val="21"/>
          <w:highlight w:val="none"/>
        </w:rPr>
      </w:pPr>
      <w:r>
        <w:rPr>
          <w:rFonts w:hint="eastAsia" w:ascii="宋体" w:hAnsi="宋体"/>
          <w:color w:val="auto"/>
          <w:szCs w:val="21"/>
          <w:highlight w:val="none"/>
        </w:rPr>
        <w:t>1、付款方式：先服务后支付费用方式。每一季度结算及付款一次，即从本合同执行日起，每季度根据成交中标方为采购人提供的服务内容，进行考核；由中标方开具上季度的相对应的维保款发票后，采购人在一个月内付给成交供应商上季度维保款。</w:t>
      </w:r>
    </w:p>
    <w:p>
      <w:pPr>
        <w:ind w:firstLine="420" w:firstLineChars="20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2、投标人在投标文件中必须承诺5年内没发生过重大维修事故且没有被食品药品监督部门处罚过的公司。</w:t>
      </w:r>
    </w:p>
    <w:p>
      <w:pPr>
        <w:ind w:firstLine="420" w:firstLineChars="200"/>
        <w:rPr>
          <w:rFonts w:ascii="宋体" w:hAnsi="宋体"/>
          <w:color w:val="auto"/>
          <w:szCs w:val="21"/>
          <w:highlight w:val="none"/>
        </w:rPr>
      </w:pPr>
      <w:r>
        <w:rPr>
          <w:rFonts w:hint="eastAsia" w:ascii="宋体" w:hAnsi="宋体"/>
          <w:color w:val="auto"/>
          <w:szCs w:val="21"/>
          <w:highlight w:val="none"/>
        </w:rPr>
        <w:t>3、服务期间要提供有上级专家进行业务指导的远程诊断系统服务并</w:t>
      </w:r>
      <w:bookmarkStart w:id="65" w:name="_Hlk28189173"/>
      <w:r>
        <w:rPr>
          <w:rFonts w:hint="eastAsia" w:ascii="宋体" w:hAnsi="宋体"/>
          <w:color w:val="auto"/>
          <w:szCs w:val="21"/>
          <w:highlight w:val="none"/>
        </w:rPr>
        <w:t>满足科室远程阅片的相应要求，自行负责安装调试完成交付科室使用。</w:t>
      </w:r>
      <w:bookmarkEnd w:id="65"/>
    </w:p>
    <w:p>
      <w:pPr>
        <w:rPr>
          <w:rFonts w:ascii="宋体" w:hAnsi="宋体"/>
          <w:b/>
          <w:bCs/>
          <w:color w:val="auto"/>
          <w:sz w:val="28"/>
          <w:szCs w:val="28"/>
          <w:highlight w:val="none"/>
        </w:rPr>
        <w:sectPr>
          <w:pgSz w:w="11906" w:h="16838"/>
          <w:pgMar w:top="1134" w:right="964" w:bottom="1134" w:left="1134" w:header="851" w:footer="992" w:gutter="0"/>
          <w:cols w:space="720" w:num="1"/>
          <w:docGrid w:linePitch="312" w:charSpace="0"/>
        </w:sectPr>
      </w:pPr>
    </w:p>
    <w:p>
      <w:pPr>
        <w:pStyle w:val="32"/>
        <w:rPr>
          <w:color w:val="auto"/>
          <w:sz w:val="44"/>
          <w:szCs w:val="44"/>
          <w:highlight w:val="none"/>
        </w:rPr>
      </w:pPr>
      <w:bookmarkStart w:id="66" w:name="_Toc527537990"/>
      <w:r>
        <w:rPr>
          <w:rFonts w:hint="eastAsia"/>
          <w:color w:val="auto"/>
          <w:sz w:val="44"/>
          <w:szCs w:val="44"/>
          <w:highlight w:val="none"/>
        </w:rPr>
        <w:t>第五章投标文件格式</w:t>
      </w:r>
      <w:bookmarkEnd w:id="47"/>
      <w:bookmarkEnd w:id="48"/>
      <w:bookmarkEnd w:id="49"/>
      <w:bookmarkEnd w:id="50"/>
      <w:bookmarkEnd w:id="66"/>
      <w:bookmarkStart w:id="67" w:name="_Toc139967211"/>
      <w:bookmarkStart w:id="68" w:name="_Toc139966427"/>
    </w:p>
    <w:p>
      <w:pPr>
        <w:spacing w:line="360" w:lineRule="auto"/>
        <w:jc w:val="center"/>
        <w:rPr>
          <w:rFonts w:ascii="宋体" w:hAnsi="宋体"/>
          <w:color w:val="auto"/>
          <w:sz w:val="24"/>
          <w:highlight w:val="none"/>
        </w:rPr>
      </w:pPr>
    </w:p>
    <w:p>
      <w:pPr>
        <w:spacing w:line="360" w:lineRule="auto"/>
        <w:jc w:val="center"/>
        <w:rPr>
          <w:rFonts w:ascii="宋体" w:hAnsi="宋体"/>
          <w:color w:val="auto"/>
          <w:sz w:val="36"/>
          <w:szCs w:val="36"/>
          <w:highlight w:val="none"/>
        </w:rPr>
      </w:pPr>
      <w:r>
        <w:rPr>
          <w:rFonts w:hint="eastAsia" w:ascii="宋体" w:hAnsi="宋体"/>
          <w:color w:val="auto"/>
          <w:sz w:val="24"/>
          <w:highlight w:val="none"/>
        </w:rPr>
        <w:t>（封面格式）</w:t>
      </w:r>
    </w:p>
    <w:p>
      <w:pPr>
        <w:pStyle w:val="9"/>
        <w:ind w:firstLine="416" w:firstLineChars="130"/>
        <w:jc w:val="left"/>
        <w:rPr>
          <w:color w:val="auto"/>
          <w:sz w:val="32"/>
          <w:szCs w:val="32"/>
          <w:highlight w:val="none"/>
        </w:rPr>
      </w:pPr>
    </w:p>
    <w:p>
      <w:pPr>
        <w:pStyle w:val="9"/>
        <w:ind w:firstLine="7371" w:firstLineChars="2457"/>
        <w:jc w:val="left"/>
        <w:rPr>
          <w:color w:val="auto"/>
          <w:sz w:val="32"/>
          <w:szCs w:val="32"/>
          <w:highlight w:val="none"/>
        </w:rPr>
      </w:pPr>
      <w:r>
        <w:rPr>
          <w:rFonts w:hint="eastAsia" w:ascii="宋体" w:hAnsi="宋体"/>
          <w:color w:val="auto"/>
          <w:sz w:val="30"/>
          <w:highlight w:val="none"/>
        </w:rPr>
        <w:t>（正本或副本）</w:t>
      </w:r>
    </w:p>
    <w:p>
      <w:pPr>
        <w:pStyle w:val="9"/>
        <w:ind w:firstLine="416" w:firstLineChars="130"/>
        <w:jc w:val="left"/>
        <w:rPr>
          <w:color w:val="auto"/>
          <w:sz w:val="32"/>
          <w:szCs w:val="32"/>
          <w:highlight w:val="none"/>
        </w:rPr>
      </w:pPr>
    </w:p>
    <w:p>
      <w:pPr>
        <w:pStyle w:val="9"/>
        <w:ind w:firstLine="416" w:firstLineChars="130"/>
        <w:jc w:val="left"/>
        <w:rPr>
          <w:rFonts w:ascii="宋体" w:hAnsi="宋体"/>
          <w:bCs/>
          <w:color w:val="auto"/>
          <w:sz w:val="32"/>
          <w:szCs w:val="32"/>
          <w:highlight w:val="none"/>
        </w:rPr>
      </w:pPr>
      <w:r>
        <w:rPr>
          <w:rFonts w:hint="eastAsia"/>
          <w:color w:val="auto"/>
          <w:sz w:val="32"/>
          <w:szCs w:val="32"/>
          <w:highlight w:val="none"/>
        </w:rPr>
        <w:t>项目名称：</w:t>
      </w:r>
    </w:p>
    <w:p>
      <w:pPr>
        <w:pStyle w:val="9"/>
        <w:ind w:firstLine="416" w:firstLineChars="130"/>
        <w:jc w:val="left"/>
        <w:rPr>
          <w:rFonts w:ascii="宋体" w:hAnsi="宋体"/>
          <w:bCs/>
          <w:color w:val="auto"/>
          <w:sz w:val="32"/>
          <w:highlight w:val="none"/>
        </w:rPr>
      </w:pPr>
      <w:r>
        <w:rPr>
          <w:rFonts w:hint="eastAsia" w:ascii="宋体" w:hAnsi="宋体"/>
          <w:bCs/>
          <w:color w:val="auto"/>
          <w:sz w:val="32"/>
          <w:highlight w:val="none"/>
        </w:rPr>
        <w:t>项目编号：</w:t>
      </w:r>
    </w:p>
    <w:p>
      <w:pPr>
        <w:pStyle w:val="9"/>
        <w:rPr>
          <w:rFonts w:ascii="宋体" w:hAnsi="宋体"/>
          <w:color w:val="auto"/>
          <w:highlight w:val="none"/>
        </w:rPr>
      </w:pPr>
    </w:p>
    <w:p>
      <w:pPr>
        <w:pStyle w:val="9"/>
        <w:rPr>
          <w:rFonts w:ascii="宋体" w:hAnsi="宋体"/>
          <w:color w:val="auto"/>
          <w:highlight w:val="none"/>
        </w:rPr>
      </w:pPr>
    </w:p>
    <w:p>
      <w:pPr>
        <w:pStyle w:val="9"/>
        <w:ind w:firstLine="4762" w:firstLineChars="2268"/>
        <w:jc w:val="left"/>
        <w:rPr>
          <w:rFonts w:ascii="宋体" w:hAnsi="宋体"/>
          <w:color w:val="auto"/>
          <w:highlight w:val="none"/>
        </w:rPr>
      </w:pPr>
    </w:p>
    <w:p>
      <w:pPr>
        <w:pStyle w:val="9"/>
        <w:rPr>
          <w:rFonts w:ascii="宋体" w:hAnsi="宋体"/>
          <w:color w:val="auto"/>
          <w:highlight w:val="none"/>
        </w:rPr>
      </w:pPr>
    </w:p>
    <w:p>
      <w:pPr>
        <w:rPr>
          <w:rFonts w:ascii="宋体" w:hAnsi="宋体"/>
          <w:color w:val="auto"/>
          <w:sz w:val="48"/>
          <w:szCs w:val="48"/>
          <w:highlight w:val="none"/>
        </w:rPr>
      </w:pPr>
    </w:p>
    <w:p>
      <w:pPr>
        <w:pStyle w:val="4"/>
        <w:keepNext w:val="0"/>
        <w:spacing w:line="412" w:lineRule="auto"/>
        <w:ind w:left="0" w:firstLine="0"/>
        <w:jc w:val="center"/>
        <w:rPr>
          <w:rFonts w:ascii="宋体" w:hAnsi="宋体" w:eastAsia="宋体"/>
          <w:color w:val="auto"/>
          <w:sz w:val="72"/>
          <w:szCs w:val="72"/>
          <w:highlight w:val="none"/>
        </w:rPr>
      </w:pPr>
      <w:r>
        <w:rPr>
          <w:rFonts w:hint="eastAsia" w:ascii="宋体" w:hAnsi="宋体" w:eastAsia="宋体"/>
          <w:color w:val="auto"/>
          <w:sz w:val="72"/>
          <w:szCs w:val="72"/>
          <w:highlight w:val="none"/>
        </w:rPr>
        <w:t>投 标 文 件</w:t>
      </w:r>
    </w:p>
    <w:p>
      <w:pPr>
        <w:pStyle w:val="9"/>
        <w:rPr>
          <w:rFonts w:ascii="宋体" w:hAnsi="宋体"/>
          <w:color w:val="auto"/>
          <w:highlight w:val="none"/>
        </w:rPr>
      </w:pPr>
    </w:p>
    <w:p>
      <w:pPr>
        <w:pStyle w:val="9"/>
        <w:ind w:firstLine="3967" w:firstLineChars="1417"/>
        <w:rPr>
          <w:rFonts w:ascii="宋体" w:hAnsi="宋体"/>
          <w:color w:val="auto"/>
          <w:sz w:val="28"/>
          <w:szCs w:val="28"/>
          <w:highlight w:val="none"/>
        </w:rPr>
      </w:pPr>
    </w:p>
    <w:p>
      <w:pPr>
        <w:pStyle w:val="9"/>
        <w:rPr>
          <w:rFonts w:ascii="宋体" w:hAnsi="宋体"/>
          <w:color w:val="auto"/>
          <w:highlight w:val="none"/>
        </w:rPr>
      </w:pPr>
    </w:p>
    <w:p>
      <w:pPr>
        <w:pStyle w:val="9"/>
        <w:rPr>
          <w:rFonts w:ascii="宋体" w:hAnsi="宋体"/>
          <w:color w:val="auto"/>
          <w:highlight w:val="none"/>
        </w:rPr>
      </w:pPr>
    </w:p>
    <w:p>
      <w:pPr>
        <w:pStyle w:val="9"/>
        <w:rPr>
          <w:rFonts w:ascii="宋体" w:hAnsi="宋体"/>
          <w:color w:val="auto"/>
          <w:highlight w:val="none"/>
        </w:rPr>
      </w:pPr>
    </w:p>
    <w:p>
      <w:pPr>
        <w:pStyle w:val="9"/>
        <w:rPr>
          <w:rFonts w:ascii="宋体" w:hAnsi="宋体"/>
          <w:color w:val="auto"/>
          <w:highlight w:val="none"/>
        </w:rPr>
      </w:pPr>
    </w:p>
    <w:p>
      <w:pPr>
        <w:pStyle w:val="9"/>
        <w:rPr>
          <w:rFonts w:ascii="宋体" w:hAnsi="宋体"/>
          <w:color w:val="auto"/>
          <w:highlight w:val="none"/>
        </w:rPr>
      </w:pPr>
    </w:p>
    <w:p>
      <w:pPr>
        <w:pStyle w:val="9"/>
        <w:rPr>
          <w:rFonts w:ascii="宋体" w:hAnsi="宋体"/>
          <w:color w:val="auto"/>
          <w:highlight w:val="none"/>
        </w:rPr>
      </w:pPr>
    </w:p>
    <w:p>
      <w:pPr>
        <w:pStyle w:val="9"/>
        <w:rPr>
          <w:rFonts w:ascii="宋体" w:hAnsi="宋体"/>
          <w:color w:val="auto"/>
          <w:highlight w:val="none"/>
        </w:rPr>
      </w:pPr>
    </w:p>
    <w:p>
      <w:pPr>
        <w:pStyle w:val="9"/>
        <w:spacing w:line="360" w:lineRule="auto"/>
        <w:ind w:firstLine="1046" w:firstLineChars="327"/>
        <w:rPr>
          <w:rFonts w:ascii="宋体" w:hAnsi="宋体"/>
          <w:bCs/>
          <w:color w:val="auto"/>
          <w:sz w:val="32"/>
          <w:highlight w:val="none"/>
        </w:rPr>
      </w:pPr>
      <w:r>
        <w:rPr>
          <w:rFonts w:hint="eastAsia" w:ascii="宋体" w:hAnsi="宋体"/>
          <w:bCs/>
          <w:color w:val="auto"/>
          <w:sz w:val="32"/>
          <w:highlight w:val="none"/>
        </w:rPr>
        <w:t xml:space="preserve">投标人（加盖公章）： </w:t>
      </w:r>
    </w:p>
    <w:p>
      <w:pPr>
        <w:pStyle w:val="9"/>
        <w:spacing w:line="360" w:lineRule="auto"/>
        <w:ind w:firstLine="1046" w:firstLineChars="327"/>
        <w:rPr>
          <w:rFonts w:ascii="宋体" w:hAnsi="宋体"/>
          <w:color w:val="auto"/>
          <w:sz w:val="32"/>
          <w:szCs w:val="32"/>
          <w:highlight w:val="none"/>
        </w:rPr>
      </w:pPr>
      <w:r>
        <w:rPr>
          <w:rFonts w:hint="eastAsia" w:ascii="宋体" w:hAnsi="宋体"/>
          <w:color w:val="auto"/>
          <w:sz w:val="32"/>
          <w:szCs w:val="32"/>
          <w:highlight w:val="none"/>
        </w:rPr>
        <w:t xml:space="preserve">法定代表人（负责人）或委托代理人（签字或签章）： </w:t>
      </w:r>
    </w:p>
    <w:p>
      <w:pPr>
        <w:pStyle w:val="9"/>
        <w:spacing w:line="360" w:lineRule="auto"/>
        <w:ind w:firstLine="1046" w:firstLineChars="327"/>
        <w:rPr>
          <w:rFonts w:ascii="宋体" w:hAnsi="宋体"/>
          <w:color w:val="auto"/>
          <w:sz w:val="32"/>
          <w:szCs w:val="32"/>
          <w:highlight w:val="none"/>
        </w:rPr>
      </w:pPr>
      <w:r>
        <w:rPr>
          <w:rFonts w:hint="eastAsia" w:ascii="宋体" w:hAnsi="宋体"/>
          <w:color w:val="auto"/>
          <w:sz w:val="32"/>
          <w:szCs w:val="32"/>
          <w:highlight w:val="none"/>
        </w:rPr>
        <w:t>联系地址：</w:t>
      </w:r>
    </w:p>
    <w:p>
      <w:pPr>
        <w:pStyle w:val="16"/>
        <w:spacing w:line="500" w:lineRule="exact"/>
        <w:ind w:firstLine="2832" w:firstLineChars="885"/>
        <w:rPr>
          <w:color w:val="auto"/>
          <w:sz w:val="32"/>
          <w:szCs w:val="32"/>
          <w:highlight w:val="none"/>
          <w:u w:val="single"/>
        </w:rPr>
      </w:pPr>
    </w:p>
    <w:p>
      <w:pPr>
        <w:pStyle w:val="16"/>
        <w:spacing w:line="500" w:lineRule="exact"/>
        <w:ind w:firstLine="2832" w:firstLineChars="885"/>
        <w:rPr>
          <w:color w:val="auto"/>
          <w:sz w:val="32"/>
          <w:szCs w:val="32"/>
          <w:highlight w:val="none"/>
        </w:rPr>
      </w:pPr>
      <w:r>
        <w:rPr>
          <w:rFonts w:hint="eastAsia"/>
          <w:color w:val="auto"/>
          <w:sz w:val="32"/>
          <w:szCs w:val="32"/>
          <w:highlight w:val="none"/>
        </w:rPr>
        <w:t>年月日</w:t>
      </w:r>
    </w:p>
    <w:p>
      <w:pPr>
        <w:widowControl/>
        <w:jc w:val="left"/>
        <w:rPr>
          <w:rFonts w:cs="宋体"/>
          <w:b/>
          <w:bCs/>
          <w:color w:val="auto"/>
          <w:sz w:val="30"/>
          <w:szCs w:val="30"/>
          <w:highlight w:val="none"/>
        </w:rPr>
        <w:sectPr>
          <w:pgSz w:w="11906" w:h="16838"/>
          <w:pgMar w:top="1134" w:right="964" w:bottom="1134" w:left="1134" w:header="851" w:footer="992" w:gutter="0"/>
          <w:cols w:space="720" w:num="1"/>
          <w:docGrid w:linePitch="312" w:charSpace="0"/>
        </w:sectPr>
      </w:pPr>
    </w:p>
    <w:p>
      <w:pPr>
        <w:pStyle w:val="16"/>
        <w:spacing w:line="500" w:lineRule="exact"/>
        <w:jc w:val="left"/>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资格资信证明文件格式</w:t>
      </w:r>
    </w:p>
    <w:p>
      <w:pPr>
        <w:pStyle w:val="16"/>
        <w:spacing w:line="500" w:lineRule="exact"/>
        <w:jc w:val="center"/>
        <w:rPr>
          <w:rFonts w:ascii="Times New Roman" w:hAnsi="Times New Roman"/>
          <w:b/>
          <w:bCs/>
          <w:color w:val="auto"/>
          <w:sz w:val="30"/>
          <w:szCs w:val="30"/>
          <w:highlight w:val="none"/>
        </w:rPr>
      </w:pPr>
    </w:p>
    <w:p>
      <w:pPr>
        <w:pStyle w:val="16"/>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开标一览表（格式）</w:t>
      </w:r>
    </w:p>
    <w:p>
      <w:pPr>
        <w:pStyle w:val="16"/>
        <w:spacing w:line="500" w:lineRule="exact"/>
        <w:rPr>
          <w:b/>
          <w:bCs/>
          <w:color w:val="auto"/>
          <w:sz w:val="28"/>
          <w:szCs w:val="28"/>
          <w:highlight w:val="none"/>
        </w:rPr>
      </w:pPr>
    </w:p>
    <w:p>
      <w:pPr>
        <w:pStyle w:val="16"/>
        <w:spacing w:line="500" w:lineRule="exact"/>
        <w:rPr>
          <w:bCs/>
          <w:color w:val="auto"/>
          <w:sz w:val="28"/>
          <w:szCs w:val="28"/>
          <w:highlight w:val="none"/>
        </w:rPr>
      </w:pPr>
      <w:r>
        <w:rPr>
          <w:rFonts w:hint="eastAsia"/>
          <w:bCs/>
          <w:color w:val="auto"/>
          <w:sz w:val="28"/>
          <w:szCs w:val="28"/>
          <w:highlight w:val="none"/>
        </w:rPr>
        <w:t xml:space="preserve">项目编号： </w:t>
      </w:r>
    </w:p>
    <w:p>
      <w:pPr>
        <w:pStyle w:val="16"/>
        <w:spacing w:line="720" w:lineRule="auto"/>
        <w:rPr>
          <w:bCs/>
          <w:color w:val="auto"/>
          <w:sz w:val="28"/>
          <w:szCs w:val="28"/>
          <w:highlight w:val="none"/>
        </w:rPr>
      </w:pPr>
      <w:r>
        <w:rPr>
          <w:rFonts w:hint="eastAsia"/>
          <w:bCs/>
          <w:color w:val="auto"/>
          <w:sz w:val="28"/>
          <w:szCs w:val="28"/>
          <w:highlight w:val="none"/>
        </w:rPr>
        <w:t xml:space="preserve">项目名称： </w:t>
      </w:r>
    </w:p>
    <w:p>
      <w:pPr>
        <w:pStyle w:val="16"/>
        <w:spacing w:line="360" w:lineRule="auto"/>
        <w:ind w:firstLine="480" w:firstLineChars="200"/>
        <w:rPr>
          <w:color w:val="auto"/>
          <w:sz w:val="24"/>
          <w:szCs w:val="24"/>
          <w:highlight w:val="none"/>
        </w:rPr>
      </w:pPr>
      <w:r>
        <w:rPr>
          <w:rFonts w:hint="eastAsia"/>
          <w:color w:val="auto"/>
          <w:sz w:val="24"/>
          <w:szCs w:val="24"/>
          <w:highlight w:val="none"/>
        </w:rPr>
        <w:t>我方愿意以：人民币（大写）（¥</w:t>
      </w:r>
      <w:r>
        <w:rPr>
          <w:rFonts w:hint="eastAsia"/>
          <w:color w:val="auto"/>
          <w:sz w:val="24"/>
          <w:szCs w:val="24"/>
          <w:highlight w:val="none"/>
          <w:u w:val="single"/>
        </w:rPr>
        <w:t xml:space="preserve">           元</w:t>
      </w:r>
      <w:r>
        <w:rPr>
          <w:rFonts w:hint="eastAsia"/>
          <w:color w:val="auto"/>
          <w:sz w:val="24"/>
          <w:szCs w:val="24"/>
          <w:highlight w:val="none"/>
        </w:rPr>
        <w:t>），服务期限：，服务地点：；按合同约定提供本项目招标文件第四章“货物需求一览表”中的采购内容。</w:t>
      </w:r>
    </w:p>
    <w:p>
      <w:pPr>
        <w:snapToGrid w:val="0"/>
        <w:spacing w:line="360" w:lineRule="auto"/>
        <w:jc w:val="left"/>
        <w:rPr>
          <w:rFonts w:ascii="宋体" w:hAnsi="宋体"/>
          <w:color w:val="auto"/>
          <w:szCs w:val="21"/>
          <w:highlight w:val="none"/>
        </w:rPr>
      </w:pP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注: 1报价一经涂改，应在涂改处加盖单位公章或者由法定代表人或授权委托人签字或签章，否则其投标作无效标处理。</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2、以上报价应与投标报价明细表报价一致。</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3、报价中必须包含</w:t>
      </w:r>
    </w:p>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3.1投标货币为人民币报价。</w:t>
      </w:r>
    </w:p>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3.2本项目投标报价应包括：完成本项目范围内的全部货物实施内容所发生的服务费、人工费、零备件更换费、交通费、食宿费、税费等一切费用（激光相机、空调及高压注射器等第三方外围设备费除外）和采购合同包含的所有风险、责任等完成本次招标项下的全部费用。</w:t>
      </w:r>
    </w:p>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3.3投标人应充分考虑项目实施期间各类可调材料的市场价格变化和可能的国家政策性调整，确定风险系数，对本项目所包含的所有内容及本招标文件涉及到的范围内的实施进行总承包报价。</w:t>
      </w:r>
    </w:p>
    <w:p>
      <w:pPr>
        <w:snapToGrid w:val="0"/>
        <w:spacing w:line="360" w:lineRule="auto"/>
        <w:ind w:firstLine="420" w:firstLineChars="200"/>
        <w:jc w:val="left"/>
        <w:rPr>
          <w:rFonts w:ascii="宋体" w:hAnsi="宋体"/>
          <w:color w:val="auto"/>
          <w:szCs w:val="21"/>
          <w:highlight w:val="none"/>
        </w:rPr>
      </w:pPr>
    </w:p>
    <w:p>
      <w:pPr>
        <w:pStyle w:val="16"/>
        <w:spacing w:line="720" w:lineRule="auto"/>
        <w:ind w:firstLine="424" w:firstLineChars="202"/>
        <w:rPr>
          <w:rFonts w:ascii="Times New Roman" w:hAnsi="Times New Roman"/>
          <w:color w:val="auto"/>
          <w:szCs w:val="21"/>
          <w:highlight w:val="none"/>
          <w:u w:val="single"/>
        </w:rPr>
      </w:pPr>
      <w:r>
        <w:rPr>
          <w:rFonts w:hint="eastAsia" w:ascii="Times New Roman" w:hAnsi="Times New Roman"/>
          <w:color w:val="auto"/>
          <w:szCs w:val="21"/>
          <w:highlight w:val="none"/>
        </w:rPr>
        <w:t>投标人（加盖单位公章）：</w:t>
      </w:r>
    </w:p>
    <w:p>
      <w:pPr>
        <w:pStyle w:val="16"/>
        <w:spacing w:line="720" w:lineRule="auto"/>
        <w:ind w:firstLine="424" w:firstLineChars="202"/>
        <w:rPr>
          <w:rFonts w:ascii="Times New Roman" w:hAnsi="Times New Roman"/>
          <w:color w:val="auto"/>
          <w:szCs w:val="21"/>
          <w:highlight w:val="none"/>
          <w:u w:val="single"/>
        </w:rPr>
      </w:pPr>
      <w:r>
        <w:rPr>
          <w:rFonts w:hint="eastAsia" w:ascii="Times New Roman" w:hAnsi="Times New Roman"/>
          <w:color w:val="auto"/>
          <w:szCs w:val="21"/>
          <w:highlight w:val="none"/>
        </w:rPr>
        <w:t>法定代表人（负责人）或其委托代理人（签字或签章）：</w:t>
      </w:r>
    </w:p>
    <w:p>
      <w:pPr>
        <w:spacing w:line="720" w:lineRule="auto"/>
        <w:ind w:firstLine="424" w:firstLineChars="202"/>
        <w:rPr>
          <w:rFonts w:ascii="宋体" w:hAnsi="宋体"/>
          <w:color w:val="auto"/>
          <w:sz w:val="24"/>
          <w:highlight w:val="none"/>
        </w:rPr>
      </w:pPr>
      <w:r>
        <w:rPr>
          <w:rFonts w:hint="eastAsia"/>
          <w:color w:val="auto"/>
          <w:szCs w:val="21"/>
          <w:highlight w:val="none"/>
        </w:rPr>
        <w:t>日期：</w:t>
      </w:r>
    </w:p>
    <w:p>
      <w:pPr>
        <w:pStyle w:val="16"/>
        <w:spacing w:line="360" w:lineRule="auto"/>
        <w:ind w:firstLine="420"/>
        <w:jc w:val="center"/>
        <w:rPr>
          <w:color w:val="auto"/>
          <w:sz w:val="28"/>
          <w:szCs w:val="28"/>
          <w:highlight w:val="none"/>
        </w:rPr>
        <w:sectPr>
          <w:pgSz w:w="11906" w:h="16838"/>
          <w:pgMar w:top="1134" w:right="964" w:bottom="1134" w:left="1134" w:header="851" w:footer="992" w:gutter="0"/>
          <w:cols w:space="720" w:num="1"/>
          <w:docGrid w:linePitch="312" w:charSpace="0"/>
        </w:sectPr>
      </w:pPr>
    </w:p>
    <w:p>
      <w:pPr>
        <w:pStyle w:val="16"/>
        <w:spacing w:line="360" w:lineRule="auto"/>
        <w:ind w:firstLine="420"/>
        <w:jc w:val="center"/>
        <w:rPr>
          <w:b/>
          <w:color w:val="auto"/>
          <w:sz w:val="28"/>
          <w:szCs w:val="28"/>
          <w:highlight w:val="none"/>
        </w:rPr>
      </w:pPr>
      <w:r>
        <w:rPr>
          <w:rFonts w:hint="eastAsia"/>
          <w:b/>
          <w:color w:val="auto"/>
          <w:sz w:val="28"/>
          <w:szCs w:val="28"/>
          <w:highlight w:val="none"/>
        </w:rPr>
        <w:t>投标保证金声明（格式，采用转账或电汇形式适用）</w:t>
      </w:r>
    </w:p>
    <w:p>
      <w:pPr>
        <w:pStyle w:val="16"/>
        <w:spacing w:line="360" w:lineRule="auto"/>
        <w:ind w:firstLine="420" w:firstLineChars="200"/>
        <w:rPr>
          <w:color w:val="auto"/>
          <w:szCs w:val="21"/>
          <w:highlight w:val="none"/>
        </w:rPr>
      </w:pPr>
    </w:p>
    <w:p>
      <w:pPr>
        <w:pStyle w:val="16"/>
        <w:spacing w:line="360" w:lineRule="auto"/>
        <w:rPr>
          <w:color w:val="auto"/>
          <w:szCs w:val="21"/>
          <w:highlight w:val="none"/>
        </w:rPr>
      </w:pPr>
      <w:r>
        <w:rPr>
          <w:rFonts w:hint="eastAsia"/>
          <w:color w:val="auto"/>
          <w:szCs w:val="21"/>
          <w:highlight w:val="none"/>
        </w:rPr>
        <w:t>广西中信恒泰工程顾问有限公司：</w:t>
      </w:r>
    </w:p>
    <w:p>
      <w:pPr>
        <w:pStyle w:val="16"/>
        <w:spacing w:line="360" w:lineRule="auto"/>
        <w:ind w:firstLine="420" w:firstLineChars="200"/>
        <w:jc w:val="left"/>
        <w:rPr>
          <w:color w:val="auto"/>
          <w:szCs w:val="21"/>
          <w:highlight w:val="none"/>
        </w:rPr>
      </w:pPr>
      <w:r>
        <w:rPr>
          <w:rFonts w:hint="eastAsia"/>
          <w:color w:val="auto"/>
          <w:szCs w:val="21"/>
          <w:highlight w:val="none"/>
        </w:rPr>
        <w:t>我方参加</w:t>
      </w:r>
      <w:r>
        <w:rPr>
          <w:rFonts w:hint="eastAsia"/>
          <w:color w:val="auto"/>
          <w:szCs w:val="21"/>
          <w:highlight w:val="none"/>
          <w:u w:val="single"/>
        </w:rPr>
        <w:t>（项目名称、项目编号）　</w:t>
      </w:r>
      <w:r>
        <w:rPr>
          <w:rFonts w:hint="eastAsia"/>
          <w:color w:val="auto"/>
          <w:szCs w:val="21"/>
          <w:highlight w:val="none"/>
        </w:rPr>
        <w:t>的公开招标采购活动，缴纳投标保证金人民币</w:t>
      </w:r>
      <w:r>
        <w:rPr>
          <w:rFonts w:hint="eastAsia"/>
          <w:color w:val="auto"/>
          <w:szCs w:val="21"/>
          <w:highlight w:val="none"/>
          <w:u w:val="single"/>
        </w:rPr>
        <w:t xml:space="preserve">        （¥     元）</w:t>
      </w:r>
      <w:r>
        <w:rPr>
          <w:rFonts w:hint="eastAsia"/>
          <w:color w:val="auto"/>
          <w:szCs w:val="21"/>
          <w:highlight w:val="none"/>
        </w:rPr>
        <w:t>。若我方成交，同意你方将投标保证金转为履约保证金，若没有成交，请贵方在退付投标保证金时转到以下对公账户：</w:t>
      </w:r>
    </w:p>
    <w:p>
      <w:pPr>
        <w:pStyle w:val="16"/>
        <w:spacing w:line="360" w:lineRule="auto"/>
        <w:ind w:firstLine="420" w:firstLineChars="200"/>
        <w:rPr>
          <w:color w:val="auto"/>
          <w:szCs w:val="21"/>
          <w:highlight w:val="none"/>
          <w:u w:val="single"/>
        </w:rPr>
      </w:pPr>
      <w:r>
        <w:rPr>
          <w:rFonts w:hint="eastAsia"/>
          <w:color w:val="auto"/>
          <w:szCs w:val="21"/>
          <w:highlight w:val="none"/>
        </w:rPr>
        <w:t>开户名称：</w:t>
      </w:r>
    </w:p>
    <w:p>
      <w:pPr>
        <w:pStyle w:val="16"/>
        <w:spacing w:line="360" w:lineRule="auto"/>
        <w:ind w:firstLine="420" w:firstLineChars="200"/>
        <w:rPr>
          <w:color w:val="auto"/>
          <w:szCs w:val="21"/>
          <w:highlight w:val="none"/>
          <w:u w:val="single"/>
        </w:rPr>
      </w:pPr>
      <w:r>
        <w:rPr>
          <w:rFonts w:hint="eastAsia"/>
          <w:color w:val="auto"/>
          <w:szCs w:val="21"/>
          <w:highlight w:val="none"/>
        </w:rPr>
        <w:t>开户银行：</w:t>
      </w:r>
    </w:p>
    <w:p>
      <w:pPr>
        <w:pStyle w:val="16"/>
        <w:spacing w:line="360" w:lineRule="auto"/>
        <w:ind w:firstLine="420" w:firstLineChars="200"/>
        <w:rPr>
          <w:color w:val="auto"/>
          <w:szCs w:val="21"/>
          <w:highlight w:val="none"/>
          <w:u w:val="single"/>
        </w:rPr>
      </w:pPr>
      <w:r>
        <w:rPr>
          <w:rFonts w:hint="eastAsia"/>
          <w:color w:val="auto"/>
          <w:szCs w:val="21"/>
          <w:highlight w:val="none"/>
        </w:rPr>
        <w:t>银行账号：</w:t>
      </w:r>
    </w:p>
    <w:p>
      <w:pPr>
        <w:pStyle w:val="16"/>
        <w:spacing w:line="360" w:lineRule="auto"/>
        <w:ind w:firstLine="420" w:firstLineChars="200"/>
        <w:rPr>
          <w:color w:val="auto"/>
          <w:szCs w:val="21"/>
          <w:highlight w:val="none"/>
        </w:rPr>
      </w:pPr>
      <w:r>
        <w:rPr>
          <w:rFonts w:hint="eastAsia"/>
          <w:color w:val="auto"/>
          <w:szCs w:val="21"/>
          <w:highlight w:val="none"/>
        </w:rPr>
        <w:t>联系人：</w:t>
      </w:r>
    </w:p>
    <w:p>
      <w:pPr>
        <w:pStyle w:val="16"/>
        <w:spacing w:line="360" w:lineRule="auto"/>
        <w:ind w:firstLine="420" w:firstLineChars="200"/>
        <w:rPr>
          <w:color w:val="auto"/>
          <w:szCs w:val="21"/>
          <w:highlight w:val="none"/>
        </w:rPr>
      </w:pPr>
      <w:r>
        <w:rPr>
          <w:rFonts w:hint="eastAsia"/>
          <w:color w:val="auto"/>
          <w:szCs w:val="21"/>
          <w:highlight w:val="none"/>
        </w:rPr>
        <w:t>联系电话（手机）：</w:t>
      </w:r>
    </w:p>
    <w:p>
      <w:pPr>
        <w:pStyle w:val="16"/>
        <w:spacing w:line="360" w:lineRule="auto"/>
        <w:ind w:firstLine="420" w:firstLineChars="200"/>
        <w:rPr>
          <w:color w:val="auto"/>
          <w:szCs w:val="21"/>
          <w:highlight w:val="none"/>
        </w:rPr>
      </w:pPr>
    </w:p>
    <w:p>
      <w:pPr>
        <w:pStyle w:val="16"/>
        <w:spacing w:line="360" w:lineRule="auto"/>
        <w:ind w:firstLine="420" w:firstLineChars="200"/>
        <w:rPr>
          <w:color w:val="auto"/>
          <w:szCs w:val="21"/>
          <w:highlight w:val="none"/>
        </w:rPr>
      </w:pPr>
      <w:r>
        <w:rPr>
          <w:rFonts w:hint="eastAsia"/>
          <w:color w:val="auto"/>
          <w:szCs w:val="21"/>
          <w:highlight w:val="none"/>
        </w:rPr>
        <w:t>特此声明！</w:t>
      </w:r>
    </w:p>
    <w:p>
      <w:pPr>
        <w:pStyle w:val="16"/>
        <w:spacing w:line="360" w:lineRule="auto"/>
        <w:ind w:firstLine="420" w:firstLineChars="200"/>
        <w:rPr>
          <w:color w:val="auto"/>
          <w:szCs w:val="21"/>
          <w:highlight w:val="none"/>
        </w:rPr>
      </w:pPr>
    </w:p>
    <w:p>
      <w:pPr>
        <w:pStyle w:val="16"/>
        <w:spacing w:line="360" w:lineRule="auto"/>
        <w:ind w:firstLine="5103" w:firstLineChars="2430"/>
        <w:rPr>
          <w:color w:val="auto"/>
          <w:szCs w:val="21"/>
          <w:highlight w:val="none"/>
          <w:u w:val="single"/>
        </w:rPr>
      </w:pPr>
      <w:r>
        <w:rPr>
          <w:rFonts w:hint="eastAsia"/>
          <w:color w:val="auto"/>
          <w:szCs w:val="21"/>
          <w:highlight w:val="none"/>
        </w:rPr>
        <w:t>投标人名称（加盖公章）：</w:t>
      </w:r>
    </w:p>
    <w:p>
      <w:pPr>
        <w:pStyle w:val="16"/>
        <w:spacing w:line="360" w:lineRule="auto"/>
        <w:ind w:firstLine="5103" w:firstLineChars="2430"/>
        <w:rPr>
          <w:color w:val="auto"/>
          <w:szCs w:val="21"/>
          <w:highlight w:val="none"/>
        </w:rPr>
      </w:pPr>
      <w:r>
        <w:rPr>
          <w:rFonts w:hint="eastAsia"/>
          <w:color w:val="auto"/>
          <w:szCs w:val="21"/>
          <w:highlight w:val="none"/>
        </w:rPr>
        <w:t>日期：年月日</w:t>
      </w:r>
    </w:p>
    <w:p>
      <w:pPr>
        <w:pStyle w:val="16"/>
        <w:spacing w:line="360" w:lineRule="auto"/>
        <w:ind w:firstLine="420" w:firstLineChars="200"/>
        <w:rPr>
          <w:color w:val="auto"/>
          <w:szCs w:val="21"/>
          <w:highlight w:val="none"/>
        </w:rPr>
      </w:pPr>
    </w:p>
    <w:p>
      <w:pPr>
        <w:pStyle w:val="16"/>
        <w:spacing w:line="360" w:lineRule="auto"/>
        <w:ind w:firstLine="420" w:firstLineChars="200"/>
        <w:rPr>
          <w:color w:val="auto"/>
          <w:szCs w:val="21"/>
          <w:highlight w:val="none"/>
        </w:rPr>
      </w:pPr>
    </w:p>
    <w:tbl>
      <w:tblPr>
        <w:tblStyle w:val="34"/>
        <w:tblW w:w="10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8" w:hRule="atLeast"/>
        </w:trPr>
        <w:tc>
          <w:tcPr>
            <w:tcW w:w="10024" w:type="dxa"/>
            <w:vAlign w:val="center"/>
          </w:tcPr>
          <w:p>
            <w:pPr>
              <w:pStyle w:val="16"/>
              <w:spacing w:line="360" w:lineRule="auto"/>
              <w:jc w:val="center"/>
              <w:rPr>
                <w:color w:val="auto"/>
                <w:szCs w:val="21"/>
                <w:highlight w:val="none"/>
                <w:u w:val="single"/>
              </w:rPr>
            </w:pPr>
            <w:r>
              <w:rPr>
                <w:rFonts w:hint="eastAsia"/>
                <w:color w:val="auto"/>
                <w:szCs w:val="21"/>
                <w:highlight w:val="none"/>
              </w:rPr>
              <w:t>（粘贴谈判保证金缴纳凭证复印件）</w:t>
            </w:r>
          </w:p>
        </w:tc>
      </w:tr>
    </w:tbl>
    <w:p>
      <w:pPr>
        <w:pStyle w:val="16"/>
        <w:spacing w:line="360" w:lineRule="auto"/>
        <w:ind w:firstLine="420"/>
        <w:rPr>
          <w:color w:val="auto"/>
          <w:szCs w:val="21"/>
          <w:highlight w:val="none"/>
          <w:u w:val="single"/>
        </w:rPr>
      </w:pPr>
    </w:p>
    <w:p>
      <w:pPr>
        <w:pStyle w:val="16"/>
        <w:jc w:val="center"/>
        <w:rPr>
          <w:b/>
          <w:color w:val="auto"/>
          <w:szCs w:val="21"/>
          <w:highlight w:val="none"/>
        </w:rPr>
      </w:pPr>
      <w:r>
        <w:rPr>
          <w:rFonts w:hint="eastAsia"/>
          <w:b/>
          <w:color w:val="auto"/>
          <w:szCs w:val="21"/>
          <w:highlight w:val="none"/>
        </w:rPr>
        <w:t>备注：1、供应商应另备一份谈判保证金声明原件，在开标会上备查；</w:t>
      </w:r>
    </w:p>
    <w:p>
      <w:pPr>
        <w:pStyle w:val="16"/>
        <w:spacing w:line="360" w:lineRule="auto"/>
        <w:ind w:firstLine="420"/>
        <w:rPr>
          <w:color w:val="auto"/>
          <w:szCs w:val="21"/>
          <w:highlight w:val="none"/>
        </w:rPr>
      </w:pPr>
      <w:r>
        <w:rPr>
          <w:rFonts w:hint="eastAsia"/>
          <w:b/>
          <w:color w:val="auto"/>
          <w:szCs w:val="21"/>
          <w:highlight w:val="none"/>
        </w:rPr>
        <w:t>2、采用支票/汇票/本票/保函形式缴纳保证金的，不用提供。</w:t>
      </w:r>
    </w:p>
    <w:p>
      <w:pPr>
        <w:pStyle w:val="16"/>
        <w:snapToGrid w:val="0"/>
        <w:spacing w:line="500" w:lineRule="exact"/>
        <w:rPr>
          <w:bCs/>
          <w:color w:val="auto"/>
          <w:sz w:val="28"/>
          <w:szCs w:val="28"/>
          <w:highlight w:val="none"/>
        </w:rPr>
      </w:pPr>
    </w:p>
    <w:p>
      <w:pPr>
        <w:spacing w:line="400" w:lineRule="exact"/>
        <w:jc w:val="center"/>
        <w:rPr>
          <w:b/>
          <w:color w:val="auto"/>
          <w:sz w:val="32"/>
          <w:szCs w:val="32"/>
          <w:highlight w:val="none"/>
        </w:rPr>
      </w:pPr>
      <w:r>
        <w:rPr>
          <w:bCs/>
          <w:color w:val="auto"/>
          <w:sz w:val="28"/>
          <w:szCs w:val="28"/>
          <w:highlight w:val="none"/>
        </w:rPr>
        <w:br w:type="page"/>
      </w:r>
      <w:r>
        <w:rPr>
          <w:rFonts w:hint="eastAsia"/>
          <w:b/>
          <w:color w:val="auto"/>
          <w:sz w:val="32"/>
          <w:szCs w:val="32"/>
          <w:highlight w:val="none"/>
        </w:rPr>
        <w:t>法定代表人（负责人）身份证明书（格式）</w:t>
      </w:r>
    </w:p>
    <w:p>
      <w:pPr>
        <w:spacing w:line="500" w:lineRule="exact"/>
        <w:ind w:firstLine="480" w:firstLineChars="200"/>
        <w:rPr>
          <w:rFonts w:ascii="宋体" w:hAnsi="宋体"/>
          <w:color w:val="auto"/>
          <w:sz w:val="24"/>
          <w:highlight w:val="none"/>
          <w:u w:val="single"/>
        </w:rPr>
      </w:pPr>
    </w:p>
    <w:p>
      <w:pPr>
        <w:spacing w:line="540" w:lineRule="exact"/>
        <w:ind w:firstLine="480" w:firstLineChars="200"/>
        <w:rPr>
          <w:rFonts w:ascii="Arial" w:hAnsi="Arial" w:cs="Arial"/>
          <w:color w:val="auto"/>
          <w:sz w:val="24"/>
          <w:highlight w:val="none"/>
        </w:rPr>
      </w:pPr>
      <w:r>
        <w:rPr>
          <w:rFonts w:ascii="Arial" w:hAnsi="Arial" w:cs="Arial"/>
          <w:color w:val="auto"/>
          <w:sz w:val="24"/>
          <w:highlight w:val="none"/>
        </w:rPr>
        <w:t>投标人名称：</w:t>
      </w:r>
    </w:p>
    <w:p>
      <w:pPr>
        <w:spacing w:line="540" w:lineRule="exact"/>
        <w:ind w:firstLine="480" w:firstLineChars="200"/>
        <w:rPr>
          <w:rFonts w:ascii="Arial" w:hAnsi="Arial" w:cs="Arial"/>
          <w:color w:val="auto"/>
          <w:sz w:val="24"/>
          <w:highlight w:val="none"/>
        </w:rPr>
      </w:pPr>
      <w:r>
        <w:rPr>
          <w:rFonts w:ascii="Arial" w:hAnsi="Arial" w:cs="Arial"/>
          <w:color w:val="auto"/>
          <w:sz w:val="24"/>
          <w:highlight w:val="none"/>
        </w:rPr>
        <w:t>单位性质：</w:t>
      </w:r>
    </w:p>
    <w:p>
      <w:pPr>
        <w:spacing w:line="540" w:lineRule="exact"/>
        <w:ind w:firstLine="480" w:firstLineChars="200"/>
        <w:rPr>
          <w:rFonts w:ascii="Arial" w:hAnsi="Arial" w:cs="Arial"/>
          <w:color w:val="auto"/>
          <w:sz w:val="24"/>
          <w:highlight w:val="none"/>
        </w:rPr>
      </w:pPr>
      <w:r>
        <w:rPr>
          <w:rFonts w:ascii="Arial" w:hAnsi="Arial" w:cs="Arial"/>
          <w:color w:val="auto"/>
          <w:sz w:val="24"/>
          <w:highlight w:val="none"/>
        </w:rPr>
        <w:t>地址：</w:t>
      </w:r>
    </w:p>
    <w:p>
      <w:pPr>
        <w:spacing w:line="540" w:lineRule="exact"/>
        <w:ind w:firstLine="480" w:firstLineChars="200"/>
        <w:rPr>
          <w:rFonts w:ascii="Arial" w:hAnsi="Arial" w:cs="Arial"/>
          <w:color w:val="auto"/>
          <w:sz w:val="24"/>
          <w:highlight w:val="none"/>
          <w:u w:val="single"/>
        </w:rPr>
      </w:pPr>
      <w:r>
        <w:rPr>
          <w:rFonts w:ascii="Arial" w:hAnsi="Arial" w:cs="Arial"/>
          <w:color w:val="auto"/>
          <w:sz w:val="24"/>
          <w:highlight w:val="none"/>
        </w:rPr>
        <w:t>成立时间：</w:t>
      </w:r>
      <w:r>
        <w:rPr>
          <w:rFonts w:ascii="Arial" w:hAnsi="Arial" w:cs="Arial"/>
          <w:color w:val="auto"/>
          <w:sz w:val="24"/>
          <w:highlight w:val="none"/>
          <w:u w:val="single"/>
        </w:rPr>
        <w:t>年月日</w:t>
      </w:r>
    </w:p>
    <w:p>
      <w:pPr>
        <w:spacing w:line="540" w:lineRule="exact"/>
        <w:ind w:firstLine="480" w:firstLineChars="200"/>
        <w:rPr>
          <w:rFonts w:ascii="Arial" w:hAnsi="Arial" w:cs="Arial"/>
          <w:color w:val="auto"/>
          <w:sz w:val="24"/>
          <w:highlight w:val="none"/>
        </w:rPr>
      </w:pPr>
      <w:r>
        <w:rPr>
          <w:rFonts w:ascii="Arial" w:hAnsi="Arial" w:cs="Arial"/>
          <w:color w:val="auto"/>
          <w:sz w:val="24"/>
          <w:highlight w:val="none"/>
        </w:rPr>
        <w:t>经营期限：</w:t>
      </w:r>
    </w:p>
    <w:p>
      <w:pPr>
        <w:spacing w:line="540" w:lineRule="exact"/>
        <w:ind w:firstLine="480" w:firstLineChars="200"/>
        <w:rPr>
          <w:rFonts w:ascii="Arial" w:hAnsi="Arial" w:cs="Arial"/>
          <w:color w:val="auto"/>
          <w:sz w:val="24"/>
          <w:highlight w:val="none"/>
        </w:rPr>
      </w:pPr>
      <w:r>
        <w:rPr>
          <w:rFonts w:ascii="Arial" w:hAnsi="Arial" w:cs="Arial"/>
          <w:color w:val="auto"/>
          <w:sz w:val="24"/>
          <w:highlight w:val="none"/>
        </w:rPr>
        <w:t>姓名：性别：年龄：</w:t>
      </w:r>
    </w:p>
    <w:p>
      <w:pPr>
        <w:spacing w:line="540" w:lineRule="exact"/>
        <w:ind w:firstLine="480" w:firstLineChars="200"/>
        <w:rPr>
          <w:rFonts w:ascii="Arial" w:hAnsi="Arial" w:cs="Arial"/>
          <w:color w:val="auto"/>
          <w:sz w:val="24"/>
          <w:highlight w:val="none"/>
        </w:rPr>
      </w:pPr>
      <w:r>
        <w:rPr>
          <w:rFonts w:ascii="Arial" w:hAnsi="Arial" w:cs="Arial"/>
          <w:color w:val="auto"/>
          <w:sz w:val="24"/>
          <w:highlight w:val="none"/>
        </w:rPr>
        <w:t>职务：身份证：</w:t>
      </w:r>
    </w:p>
    <w:p>
      <w:pPr>
        <w:spacing w:line="540" w:lineRule="exact"/>
        <w:ind w:firstLine="480" w:firstLineChars="200"/>
        <w:rPr>
          <w:rFonts w:ascii="Arial" w:hAnsi="Arial" w:cs="Arial"/>
          <w:color w:val="auto"/>
          <w:sz w:val="24"/>
          <w:highlight w:val="none"/>
        </w:rPr>
      </w:pPr>
      <w:r>
        <w:rPr>
          <w:rFonts w:ascii="Arial" w:hAnsi="Arial" w:cs="Arial"/>
          <w:color w:val="auto"/>
          <w:sz w:val="24"/>
          <w:highlight w:val="none"/>
        </w:rPr>
        <w:t>系（投标人名称）的法定代表人</w:t>
      </w:r>
      <w:r>
        <w:rPr>
          <w:rFonts w:hint="eastAsia" w:ascii="Arial" w:hAnsi="Arial" w:cs="Arial"/>
          <w:color w:val="auto"/>
          <w:sz w:val="24"/>
          <w:highlight w:val="none"/>
        </w:rPr>
        <w:t>（负责人）</w:t>
      </w:r>
      <w:r>
        <w:rPr>
          <w:rFonts w:ascii="Arial" w:hAnsi="Arial" w:cs="Arial"/>
          <w:color w:val="auto"/>
          <w:sz w:val="24"/>
          <w:highlight w:val="none"/>
        </w:rPr>
        <w:t>。</w:t>
      </w:r>
    </w:p>
    <w:p>
      <w:pPr>
        <w:spacing w:line="540" w:lineRule="exact"/>
        <w:ind w:firstLine="480" w:firstLineChars="200"/>
        <w:rPr>
          <w:rFonts w:ascii="Arial" w:hAnsi="Arial" w:cs="Arial"/>
          <w:color w:val="auto"/>
          <w:sz w:val="24"/>
          <w:highlight w:val="none"/>
        </w:rPr>
      </w:pPr>
      <w:r>
        <w:rPr>
          <w:rFonts w:ascii="Arial" w:hAnsi="Arial" w:cs="Arial"/>
          <w:color w:val="auto"/>
          <w:sz w:val="24"/>
          <w:highlight w:val="none"/>
        </w:rPr>
        <w:t>特此证明。</w:t>
      </w:r>
    </w:p>
    <w:p>
      <w:pPr>
        <w:tabs>
          <w:tab w:val="left" w:leader="hyphen" w:pos="7088"/>
        </w:tabs>
        <w:snapToGrid w:val="0"/>
        <w:spacing w:line="500" w:lineRule="exact"/>
        <w:ind w:firstLine="504" w:firstLineChars="210"/>
        <w:rPr>
          <w:rFonts w:ascii="宋体" w:hAnsi="宋体"/>
          <w:bCs/>
          <w:color w:val="auto"/>
          <w:sz w:val="24"/>
          <w:highlight w:val="none"/>
        </w:rPr>
      </w:pPr>
    </w:p>
    <w:p>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附件：法定代表人（负责人）有效身份证正反面复印件</w:t>
      </w:r>
    </w:p>
    <w:p>
      <w:pPr>
        <w:pStyle w:val="16"/>
        <w:rPr>
          <w:bCs/>
          <w:color w:val="auto"/>
          <w:sz w:val="24"/>
          <w:szCs w:val="24"/>
          <w:highlight w:val="none"/>
        </w:rPr>
      </w:pPr>
    </w:p>
    <w:p>
      <w:pPr>
        <w:pStyle w:val="16"/>
        <w:rPr>
          <w:bCs/>
          <w:color w:val="auto"/>
          <w:sz w:val="24"/>
          <w:szCs w:val="24"/>
          <w:highlight w:val="none"/>
        </w:rPr>
      </w:pPr>
    </w:p>
    <w:p>
      <w:pPr>
        <w:pStyle w:val="16"/>
        <w:rPr>
          <w:bCs/>
          <w:color w:val="auto"/>
          <w:sz w:val="24"/>
          <w:szCs w:val="24"/>
          <w:highlight w:val="none"/>
        </w:rPr>
      </w:pPr>
    </w:p>
    <w:p>
      <w:pPr>
        <w:pStyle w:val="16"/>
        <w:rPr>
          <w:bCs/>
          <w:color w:val="auto"/>
          <w:sz w:val="24"/>
          <w:szCs w:val="24"/>
          <w:highlight w:val="none"/>
        </w:rPr>
      </w:pPr>
    </w:p>
    <w:p>
      <w:pPr>
        <w:pStyle w:val="16"/>
        <w:ind w:firstLine="3360" w:firstLineChars="1400"/>
        <w:rPr>
          <w:color w:val="auto"/>
          <w:sz w:val="24"/>
          <w:szCs w:val="24"/>
          <w:highlight w:val="none"/>
          <w:u w:val="single"/>
        </w:rPr>
      </w:pPr>
      <w:r>
        <w:rPr>
          <w:rFonts w:hint="eastAsia"/>
          <w:color w:val="auto"/>
          <w:sz w:val="24"/>
          <w:szCs w:val="24"/>
          <w:highlight w:val="none"/>
        </w:rPr>
        <w:t>投标人（加盖公章）：</w:t>
      </w:r>
    </w:p>
    <w:p>
      <w:pPr>
        <w:pStyle w:val="16"/>
        <w:snapToGrid w:val="0"/>
        <w:spacing w:line="600" w:lineRule="exact"/>
        <w:jc w:val="center"/>
        <w:rPr>
          <w:bCs/>
          <w:color w:val="auto"/>
          <w:sz w:val="28"/>
          <w:szCs w:val="28"/>
          <w:highlight w:val="none"/>
        </w:rPr>
      </w:pPr>
      <w:r>
        <w:rPr>
          <w:rFonts w:hint="eastAsia"/>
          <w:color w:val="auto"/>
          <w:sz w:val="24"/>
          <w:szCs w:val="24"/>
          <w:highlight w:val="none"/>
        </w:rPr>
        <w:t xml:space="preserve">   日  期：</w:t>
      </w:r>
      <w:r>
        <w:rPr>
          <w:rFonts w:hint="eastAsia"/>
          <w:color w:val="auto"/>
          <w:sz w:val="24"/>
          <w:szCs w:val="24"/>
          <w:highlight w:val="none"/>
          <w:u w:val="single"/>
        </w:rPr>
        <w:t xml:space="preserve">       年    月    日</w:t>
      </w:r>
    </w:p>
    <w:p>
      <w:pPr>
        <w:pStyle w:val="16"/>
        <w:snapToGrid w:val="0"/>
        <w:spacing w:line="600" w:lineRule="exact"/>
        <w:jc w:val="center"/>
        <w:rPr>
          <w:bCs/>
          <w:color w:val="auto"/>
          <w:sz w:val="28"/>
          <w:szCs w:val="28"/>
          <w:highlight w:val="none"/>
        </w:rPr>
        <w:sectPr>
          <w:pgSz w:w="11906" w:h="16838"/>
          <w:pgMar w:top="1134" w:right="964" w:bottom="1134" w:left="1134" w:header="851" w:footer="992" w:gutter="0"/>
          <w:cols w:space="720" w:num="1"/>
          <w:docGrid w:linePitch="312" w:charSpace="0"/>
        </w:sectPr>
      </w:pPr>
    </w:p>
    <w:p>
      <w:pPr>
        <w:pStyle w:val="16"/>
        <w:snapToGrid w:val="0"/>
        <w:spacing w:line="600" w:lineRule="exact"/>
        <w:jc w:val="center"/>
        <w:rPr>
          <w:b/>
          <w:bCs/>
          <w:color w:val="auto"/>
          <w:sz w:val="28"/>
          <w:szCs w:val="28"/>
          <w:highlight w:val="none"/>
        </w:rPr>
      </w:pPr>
      <w:r>
        <w:rPr>
          <w:rFonts w:hint="eastAsia"/>
          <w:b/>
          <w:bCs/>
          <w:color w:val="auto"/>
          <w:sz w:val="28"/>
          <w:szCs w:val="28"/>
          <w:highlight w:val="none"/>
        </w:rPr>
        <w:t>授权委托代理书（格式）</w:t>
      </w:r>
    </w:p>
    <w:p>
      <w:pPr>
        <w:pStyle w:val="16"/>
        <w:snapToGrid w:val="0"/>
        <w:spacing w:line="360" w:lineRule="auto"/>
        <w:rPr>
          <w:color w:val="auto"/>
          <w:sz w:val="24"/>
          <w:highlight w:val="none"/>
          <w:u w:val="single"/>
        </w:rPr>
      </w:pPr>
    </w:p>
    <w:p>
      <w:pPr>
        <w:snapToGrid w:val="0"/>
        <w:spacing w:line="360" w:lineRule="auto"/>
        <w:jc w:val="center"/>
        <w:rPr>
          <w:rFonts w:ascii="宋体" w:hAnsi="宋体"/>
          <w:b/>
          <w:color w:val="auto"/>
          <w:sz w:val="24"/>
          <w:szCs w:val="20"/>
          <w:highlight w:val="none"/>
        </w:rPr>
      </w:pPr>
    </w:p>
    <w:p>
      <w:pPr>
        <w:snapToGrid w:val="0"/>
        <w:spacing w:line="360" w:lineRule="auto"/>
        <w:rPr>
          <w:rFonts w:ascii="宋体" w:hAnsi="宋体"/>
          <w:b/>
          <w:bCs/>
          <w:color w:val="auto"/>
          <w:sz w:val="24"/>
          <w:szCs w:val="20"/>
          <w:highlight w:val="none"/>
        </w:rPr>
      </w:pPr>
      <w:r>
        <w:rPr>
          <w:rFonts w:hint="eastAsia" w:ascii="宋体" w:hAnsi="宋体"/>
          <w:bCs/>
          <w:color w:val="auto"/>
          <w:sz w:val="24"/>
          <w:highlight w:val="none"/>
          <w:u w:val="single"/>
        </w:rPr>
        <w:t>（采购人名称）</w:t>
      </w:r>
      <w:r>
        <w:rPr>
          <w:rFonts w:hint="eastAsia" w:ascii="宋体" w:hAnsi="宋体"/>
          <w:bCs/>
          <w:color w:val="auto"/>
          <w:sz w:val="24"/>
          <w:highlight w:val="none"/>
        </w:rPr>
        <w:t>：</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我（姓名）系（投标人名称）的法定代表人（负责人），现授权委托本单位在职职工 （姓名）以我方的名义参加项目（项目编号：）的投标活动，并代表我方全权办理针对上述项目的投标、开标、评标、签约等具体事务和签署相关文件。</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 xml:space="preserve">    我方对被授权人的签名事项负全部责任。</w:t>
      </w:r>
    </w:p>
    <w:p>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pPr>
        <w:snapToGrid w:val="0"/>
        <w:spacing w:line="360" w:lineRule="auto"/>
        <w:rPr>
          <w:rFonts w:ascii="宋体" w:hAnsi="宋体"/>
          <w:color w:val="auto"/>
          <w:sz w:val="24"/>
          <w:szCs w:val="20"/>
          <w:highlight w:val="none"/>
        </w:rPr>
      </w:pPr>
    </w:p>
    <w:p>
      <w:pPr>
        <w:snapToGrid w:val="0"/>
        <w:spacing w:line="360" w:lineRule="auto"/>
        <w:rPr>
          <w:rFonts w:ascii="宋体" w:hAnsi="宋体"/>
          <w:color w:val="auto"/>
          <w:sz w:val="24"/>
          <w:szCs w:val="20"/>
          <w:highlight w:val="none"/>
          <w:u w:val="single"/>
        </w:rPr>
      </w:pPr>
      <w:r>
        <w:rPr>
          <w:rFonts w:hint="eastAsia" w:ascii="宋体" w:hAnsi="宋体"/>
          <w:color w:val="auto"/>
          <w:sz w:val="24"/>
          <w:highlight w:val="none"/>
        </w:rPr>
        <w:t>被授权人签字：                 法定代表人（负责人）签字或签章：</w:t>
      </w:r>
    </w:p>
    <w:p>
      <w:pPr>
        <w:snapToGrid w:val="0"/>
        <w:spacing w:line="360" w:lineRule="auto"/>
        <w:ind w:firstLine="960" w:firstLineChars="400"/>
        <w:rPr>
          <w:rFonts w:ascii="宋体" w:hAnsi="宋体"/>
          <w:color w:val="auto"/>
          <w:sz w:val="24"/>
          <w:szCs w:val="20"/>
          <w:highlight w:val="none"/>
        </w:rPr>
      </w:pPr>
      <w:r>
        <w:rPr>
          <w:rFonts w:hint="eastAsia" w:ascii="宋体" w:hAnsi="宋体"/>
          <w:color w:val="auto"/>
          <w:sz w:val="24"/>
          <w:highlight w:val="none"/>
        </w:rPr>
        <w:t>职务：                          职务：</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被授权人身份证号码：</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 xml:space="preserve">                                         投标人名称（加盖公章）：</w:t>
      </w:r>
    </w:p>
    <w:p>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 xml:space="preserve">                                        年    月    日</w:t>
      </w:r>
    </w:p>
    <w:p>
      <w:pPr>
        <w:pStyle w:val="16"/>
        <w:snapToGrid w:val="0"/>
        <w:spacing w:line="360" w:lineRule="auto"/>
        <w:ind w:firstLine="420"/>
        <w:rPr>
          <w:color w:val="auto"/>
          <w:szCs w:val="21"/>
          <w:highlight w:val="none"/>
          <w:u w:val="single"/>
        </w:rPr>
      </w:pPr>
    </w:p>
    <w:p>
      <w:pPr>
        <w:pStyle w:val="16"/>
        <w:snapToGrid w:val="0"/>
        <w:spacing w:line="360" w:lineRule="auto"/>
        <w:ind w:firstLine="420"/>
        <w:rPr>
          <w:color w:val="auto"/>
          <w:szCs w:val="21"/>
          <w:highlight w:val="none"/>
          <w:u w:val="single"/>
        </w:rPr>
      </w:pPr>
    </w:p>
    <w:p>
      <w:pPr>
        <w:pStyle w:val="16"/>
        <w:snapToGrid w:val="0"/>
        <w:spacing w:line="360" w:lineRule="auto"/>
        <w:ind w:firstLine="420"/>
        <w:rPr>
          <w:color w:val="auto"/>
          <w:szCs w:val="21"/>
          <w:highlight w:val="none"/>
          <w:u w:val="single"/>
        </w:rPr>
      </w:pPr>
      <w:r>
        <w:rPr>
          <w:rFonts w:hint="eastAsia"/>
          <w:color w:val="auto"/>
          <w:szCs w:val="21"/>
          <w:highlight w:val="none"/>
          <w:u w:val="single"/>
        </w:rPr>
        <w:t>附：法定代表人（负责人）及代理人的身份证正反面复印件</w:t>
      </w:r>
    </w:p>
    <w:p>
      <w:pPr>
        <w:pStyle w:val="16"/>
        <w:snapToGrid w:val="0"/>
        <w:spacing w:line="360" w:lineRule="auto"/>
        <w:ind w:firstLine="420"/>
        <w:rPr>
          <w:color w:val="auto"/>
          <w:szCs w:val="21"/>
          <w:highlight w:val="none"/>
          <w:u w:val="single"/>
        </w:rPr>
      </w:pPr>
    </w:p>
    <w:p>
      <w:pPr>
        <w:pStyle w:val="16"/>
        <w:snapToGrid w:val="0"/>
        <w:spacing w:line="360" w:lineRule="auto"/>
        <w:ind w:firstLine="420"/>
        <w:rPr>
          <w:color w:val="auto"/>
          <w:szCs w:val="21"/>
          <w:highlight w:val="none"/>
          <w:u w:val="single"/>
        </w:rPr>
      </w:pPr>
    </w:p>
    <w:p>
      <w:pPr>
        <w:pStyle w:val="16"/>
        <w:snapToGrid w:val="0"/>
        <w:spacing w:line="360" w:lineRule="auto"/>
        <w:ind w:firstLine="420"/>
        <w:rPr>
          <w:color w:val="auto"/>
          <w:szCs w:val="21"/>
          <w:highlight w:val="none"/>
          <w:u w:val="single"/>
        </w:rPr>
      </w:pPr>
    </w:p>
    <w:p>
      <w:pPr>
        <w:pStyle w:val="16"/>
        <w:spacing w:line="360" w:lineRule="auto"/>
        <w:ind w:firstLine="420"/>
        <w:rPr>
          <w:color w:val="auto"/>
          <w:szCs w:val="21"/>
          <w:highlight w:val="none"/>
          <w:u w:val="single"/>
        </w:rPr>
      </w:pPr>
    </w:p>
    <w:p>
      <w:pPr>
        <w:pStyle w:val="16"/>
        <w:snapToGrid w:val="0"/>
        <w:spacing w:line="360" w:lineRule="auto"/>
        <w:ind w:firstLine="420"/>
        <w:rPr>
          <w:color w:val="auto"/>
          <w:szCs w:val="21"/>
          <w:highlight w:val="none"/>
          <w:u w:val="single"/>
        </w:rPr>
      </w:pPr>
    </w:p>
    <w:p>
      <w:pPr>
        <w:pStyle w:val="16"/>
        <w:snapToGrid w:val="0"/>
        <w:spacing w:line="500" w:lineRule="exact"/>
        <w:jc w:val="center"/>
        <w:rPr>
          <w:bCs/>
          <w:color w:val="auto"/>
          <w:sz w:val="28"/>
          <w:szCs w:val="28"/>
          <w:highlight w:val="none"/>
        </w:rPr>
      </w:pPr>
    </w:p>
    <w:p>
      <w:pPr>
        <w:pStyle w:val="16"/>
        <w:snapToGrid w:val="0"/>
        <w:spacing w:line="500" w:lineRule="exact"/>
        <w:rPr>
          <w:color w:val="auto"/>
          <w:szCs w:val="21"/>
          <w:highlight w:val="none"/>
          <w:u w:val="single"/>
        </w:rPr>
      </w:pPr>
    </w:p>
    <w:p>
      <w:pPr>
        <w:pStyle w:val="16"/>
        <w:snapToGrid w:val="0"/>
        <w:spacing w:line="360" w:lineRule="auto"/>
        <w:ind w:firstLine="420"/>
        <w:jc w:val="right"/>
        <w:rPr>
          <w:color w:val="auto"/>
          <w:szCs w:val="21"/>
          <w:highlight w:val="none"/>
          <w:u w:val="single"/>
        </w:rPr>
      </w:pPr>
    </w:p>
    <w:p>
      <w:pPr>
        <w:snapToGrid w:val="0"/>
        <w:spacing w:line="360" w:lineRule="auto"/>
        <w:jc w:val="center"/>
        <w:rPr>
          <w:rFonts w:ascii="宋体" w:hAnsi="宋体"/>
          <w:b/>
          <w:color w:val="auto"/>
          <w:sz w:val="28"/>
          <w:szCs w:val="28"/>
          <w:highlight w:val="none"/>
        </w:rPr>
      </w:pPr>
      <w:r>
        <w:rPr>
          <w:rFonts w:hint="eastAsia" w:ascii="黑体" w:eastAsia="黑体"/>
          <w:bCs/>
          <w:color w:val="auto"/>
          <w:highlight w:val="none"/>
        </w:rPr>
        <w:br w:type="page"/>
      </w:r>
      <w:r>
        <w:rPr>
          <w:rFonts w:hint="eastAsia" w:ascii="宋体" w:hAnsi="宋体"/>
          <w:b/>
          <w:color w:val="auto"/>
          <w:sz w:val="28"/>
          <w:szCs w:val="28"/>
          <w:highlight w:val="none"/>
        </w:rPr>
        <w:t>投标声明书（格式）</w:t>
      </w:r>
    </w:p>
    <w:p>
      <w:pPr>
        <w:snapToGrid w:val="0"/>
        <w:spacing w:before="50" w:afterLines="50"/>
        <w:jc w:val="left"/>
        <w:rPr>
          <w:rFonts w:ascii="仿宋_GB2312" w:hAnsi="宋体" w:eastAsia="仿宋_GB2312"/>
          <w:color w:val="auto"/>
          <w:sz w:val="24"/>
          <w:highlight w:val="none"/>
        </w:rPr>
      </w:pPr>
    </w:p>
    <w:p>
      <w:pPr>
        <w:snapToGrid w:val="0"/>
        <w:spacing w:beforeLines="50" w:after="50"/>
        <w:rPr>
          <w:rFonts w:ascii="仿宋_GB2312" w:hAnsi="宋体" w:eastAsia="仿宋_GB2312"/>
          <w:color w:val="auto"/>
          <w:sz w:val="24"/>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u w:val="single"/>
        </w:rPr>
        <w:t>（采购人名称）</w:t>
      </w:r>
      <w:r>
        <w:rPr>
          <w:rFonts w:hint="eastAsia" w:ascii="宋体" w:hAnsi="宋体"/>
          <w:color w:val="auto"/>
          <w:szCs w:val="21"/>
          <w:highlight w:val="none"/>
        </w:rPr>
        <w:t>：</w:t>
      </w:r>
    </w:p>
    <w:p>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u w:val="single"/>
        </w:rPr>
        <w:t>_______     _</w:t>
      </w:r>
      <w:r>
        <w:rPr>
          <w:rFonts w:hint="eastAsia" w:ascii="宋体" w:hAnsi="宋体"/>
          <w:color w:val="auto"/>
          <w:szCs w:val="21"/>
          <w:highlight w:val="none"/>
        </w:rPr>
        <w:t>_（投标人名称）系中华人民共和国合法企业，经营地址。</w:t>
      </w:r>
    </w:p>
    <w:p>
      <w:pPr>
        <w:snapToGrid w:val="0"/>
        <w:spacing w:line="360" w:lineRule="auto"/>
        <w:ind w:firstLine="645"/>
        <w:rPr>
          <w:rFonts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___    _</w:t>
      </w:r>
      <w:r>
        <w:rPr>
          <w:rFonts w:hint="eastAsia" w:ascii="宋体" w:hAnsi="宋体"/>
          <w:color w:val="auto"/>
          <w:szCs w:val="21"/>
          <w:highlight w:val="none"/>
        </w:rPr>
        <w:t>_（姓名）系</w:t>
      </w:r>
      <w:r>
        <w:rPr>
          <w:rFonts w:hint="eastAsia" w:ascii="宋体" w:hAnsi="宋体"/>
          <w:color w:val="auto"/>
          <w:szCs w:val="21"/>
          <w:highlight w:val="none"/>
          <w:u w:val="single"/>
        </w:rPr>
        <w:t>_______     _</w:t>
      </w:r>
      <w:r>
        <w:rPr>
          <w:rFonts w:hint="eastAsia" w:ascii="宋体" w:hAnsi="宋体"/>
          <w:color w:val="auto"/>
          <w:szCs w:val="21"/>
          <w:highlight w:val="none"/>
        </w:rPr>
        <w:t>_（投标人名称）的法定代表人（负责人），我方愿意参加采购代理机构组织的</w:t>
      </w:r>
      <w:r>
        <w:rPr>
          <w:rFonts w:hint="eastAsia" w:ascii="宋体" w:hAnsi="宋体"/>
          <w:color w:val="auto"/>
          <w:szCs w:val="21"/>
          <w:highlight w:val="none"/>
          <w:u w:val="single"/>
        </w:rPr>
        <w:t>______              _     _</w:t>
      </w:r>
      <w:r>
        <w:rPr>
          <w:rFonts w:hint="eastAsia" w:ascii="宋体" w:hAnsi="宋体"/>
          <w:color w:val="auto"/>
          <w:szCs w:val="21"/>
          <w:highlight w:val="none"/>
        </w:rPr>
        <w:t>_（项目名称和项目编号）项目的投标，为便于贵方公正、择优地确定中标供应商及其投标产品和服务，我方就本次投标有关事项郑重声明如下：</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3.我方此次向贵方提供的服务名称为： ，服务期限为：。</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4.我方诚意提请贵方关注：近期有关该服务项目售后服务以及性能等方面的重大决策和事项有：</w:t>
      </w:r>
    </w:p>
    <w:p>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　　　　　　　　　　　　　　　　　　　　　　　　　　　</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w:t>
      </w:r>
    </w:p>
    <w:p>
      <w:pPr>
        <w:pStyle w:val="12"/>
        <w:snapToGrid w:val="0"/>
        <w:spacing w:line="360" w:lineRule="auto"/>
        <w:ind w:firstLine="404" w:firstLineChars="200"/>
        <w:rPr>
          <w:color w:val="auto"/>
          <w:sz w:val="21"/>
          <w:szCs w:val="21"/>
          <w:highlight w:val="none"/>
        </w:rPr>
      </w:pPr>
      <w:r>
        <w:rPr>
          <w:rFonts w:hint="eastAsia"/>
          <w:color w:val="auto"/>
          <w:sz w:val="21"/>
          <w:szCs w:val="21"/>
          <w:highlight w:val="none"/>
        </w:rPr>
        <w:t>5.我方及由本人担任法定代表人（负责人）的其他机构最近三年内被通报或者被处罚的违法行为有：</w:t>
      </w:r>
    </w:p>
    <w:p>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　　　　　　　　　　　　　　　　　　　　　　　　　　　</w:t>
      </w:r>
    </w:p>
    <w:p>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　　　　　　　　　　　　　　　　　　　　　　　　　　　</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6.以上事项如有虚假或隐瞒，我方愿意承担一切后果，并不再寻求任何旨在减轻或免除法律责任的辩解。</w:t>
      </w:r>
    </w:p>
    <w:p>
      <w:pPr>
        <w:pStyle w:val="13"/>
        <w:tabs>
          <w:tab w:val="left" w:pos="939"/>
        </w:tabs>
        <w:snapToGrid w:val="0"/>
        <w:spacing w:line="360" w:lineRule="auto"/>
        <w:ind w:left="716" w:leftChars="150" w:hanging="401" w:hangingChars="191"/>
        <w:rPr>
          <w:rFonts w:ascii="宋体" w:hAnsi="宋体"/>
          <w:color w:val="auto"/>
          <w:sz w:val="21"/>
          <w:szCs w:val="21"/>
          <w:highlight w:val="none"/>
        </w:rPr>
      </w:pPr>
    </w:p>
    <w:p>
      <w:pPr>
        <w:pStyle w:val="91"/>
        <w:snapToGrid w:val="0"/>
        <w:spacing w:line="360" w:lineRule="auto"/>
        <w:ind w:firstLine="200"/>
        <w:rPr>
          <w:rFonts w:ascii="宋体" w:hAnsi="宋体"/>
          <w:color w:val="auto"/>
          <w:sz w:val="21"/>
          <w:szCs w:val="21"/>
          <w:highlight w:val="none"/>
        </w:rPr>
      </w:pPr>
    </w:p>
    <w:p>
      <w:pPr>
        <w:snapToGrid w:val="0"/>
        <w:spacing w:line="360" w:lineRule="auto"/>
        <w:ind w:firstLine="200"/>
        <w:rPr>
          <w:rFonts w:ascii="宋体" w:hAnsi="宋体"/>
          <w:color w:val="auto"/>
          <w:szCs w:val="21"/>
          <w:highlight w:val="none"/>
          <w:u w:val="single"/>
        </w:rPr>
      </w:pPr>
      <w:r>
        <w:rPr>
          <w:rFonts w:hint="eastAsia" w:ascii="宋体" w:hAnsi="宋体"/>
          <w:color w:val="auto"/>
          <w:szCs w:val="21"/>
          <w:highlight w:val="none"/>
        </w:rPr>
        <w:t>法定代表人（负责人）或委托代理人（签字或签章）：</w:t>
      </w:r>
    </w:p>
    <w:p>
      <w:pPr>
        <w:snapToGrid w:val="0"/>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投标人名称（加盖公章）：</w:t>
      </w:r>
    </w:p>
    <w:p>
      <w:pPr>
        <w:snapToGrid w:val="0"/>
        <w:spacing w:line="360" w:lineRule="auto"/>
        <w:ind w:firstLine="991" w:firstLineChars="472"/>
        <w:jc w:val="left"/>
        <w:rPr>
          <w:rFonts w:ascii="宋体" w:hAnsi="宋体"/>
          <w:color w:val="auto"/>
          <w:szCs w:val="21"/>
          <w:highlight w:val="none"/>
        </w:rPr>
      </w:pPr>
      <w:r>
        <w:rPr>
          <w:rFonts w:hint="eastAsia" w:ascii="宋体" w:hAnsi="宋体"/>
          <w:color w:val="auto"/>
          <w:szCs w:val="21"/>
          <w:highlight w:val="none"/>
        </w:rPr>
        <w:t>年    月    日</w:t>
      </w:r>
    </w:p>
    <w:p>
      <w:pPr>
        <w:snapToGrid w:val="0"/>
        <w:spacing w:line="360" w:lineRule="auto"/>
        <w:ind w:firstLine="4800" w:firstLineChars="2000"/>
        <w:rPr>
          <w:rFonts w:ascii="仿宋_GB2312" w:hAnsi="宋体" w:eastAsia="仿宋_GB2312"/>
          <w:color w:val="auto"/>
          <w:sz w:val="24"/>
          <w:szCs w:val="20"/>
          <w:highlight w:val="none"/>
        </w:rPr>
      </w:pPr>
    </w:p>
    <w:p>
      <w:pPr>
        <w:pStyle w:val="16"/>
        <w:snapToGrid w:val="0"/>
        <w:spacing w:line="500" w:lineRule="exact"/>
        <w:jc w:val="center"/>
        <w:rPr>
          <w:rFonts w:ascii="黑体" w:eastAsia="黑体"/>
          <w:bCs/>
          <w:color w:val="auto"/>
          <w:highlight w:val="none"/>
        </w:rPr>
      </w:pPr>
    </w:p>
    <w:p>
      <w:pPr>
        <w:pStyle w:val="16"/>
        <w:snapToGrid w:val="0"/>
        <w:spacing w:line="500" w:lineRule="exact"/>
        <w:jc w:val="center"/>
        <w:rPr>
          <w:rFonts w:ascii="黑体" w:eastAsia="黑体"/>
          <w:bCs/>
          <w:color w:val="auto"/>
          <w:highlight w:val="none"/>
        </w:rPr>
      </w:pPr>
    </w:p>
    <w:p>
      <w:pPr>
        <w:pStyle w:val="16"/>
        <w:snapToGrid w:val="0"/>
        <w:spacing w:line="500" w:lineRule="exact"/>
        <w:jc w:val="center"/>
        <w:rPr>
          <w:rFonts w:ascii="黑体" w:eastAsia="黑体"/>
          <w:bCs/>
          <w:color w:val="auto"/>
          <w:highlight w:val="none"/>
        </w:rPr>
      </w:pPr>
    </w:p>
    <w:p>
      <w:pPr>
        <w:pStyle w:val="16"/>
        <w:snapToGrid w:val="0"/>
        <w:spacing w:line="500" w:lineRule="exact"/>
        <w:jc w:val="center"/>
        <w:rPr>
          <w:rFonts w:ascii="黑体" w:eastAsia="黑体"/>
          <w:bCs/>
          <w:color w:val="auto"/>
          <w:highlight w:val="none"/>
        </w:rPr>
      </w:pPr>
    </w:p>
    <w:p>
      <w:pPr>
        <w:pStyle w:val="16"/>
        <w:snapToGrid w:val="0"/>
        <w:spacing w:before="295" w:after="295"/>
        <w:jc w:val="center"/>
        <w:rPr>
          <w:color w:val="auto"/>
          <w:sz w:val="28"/>
          <w:szCs w:val="28"/>
          <w:highlight w:val="none"/>
        </w:rPr>
        <w:sectPr>
          <w:pgSz w:w="11906" w:h="16838"/>
          <w:pgMar w:top="1134" w:right="964" w:bottom="1134" w:left="1134" w:header="851" w:footer="992" w:gutter="0"/>
          <w:cols w:space="720" w:num="1"/>
          <w:docGrid w:linePitch="312" w:charSpace="0"/>
        </w:sectPr>
      </w:pPr>
    </w:p>
    <w:p>
      <w:pPr>
        <w:shd w:val="clear" w:color="auto" w:fill="FFFFFF"/>
        <w:spacing w:after="50" w:line="400" w:lineRule="exact"/>
        <w:jc w:val="center"/>
        <w:rPr>
          <w:b/>
          <w:bCs/>
          <w:color w:val="auto"/>
          <w:sz w:val="30"/>
          <w:szCs w:val="30"/>
          <w:highlight w:val="none"/>
        </w:rPr>
      </w:pPr>
      <w:r>
        <w:rPr>
          <w:rFonts w:hint="eastAsia"/>
          <w:b/>
          <w:bCs/>
          <w:color w:val="auto"/>
          <w:sz w:val="30"/>
          <w:szCs w:val="30"/>
          <w:highlight w:val="none"/>
        </w:rPr>
        <w:t>无重大违法记录声明书（格式）</w:t>
      </w:r>
    </w:p>
    <w:p>
      <w:pPr>
        <w:pStyle w:val="16"/>
        <w:snapToGrid w:val="0"/>
        <w:spacing w:line="600" w:lineRule="exact"/>
        <w:rPr>
          <w:bCs/>
          <w:color w:val="auto"/>
          <w:sz w:val="24"/>
          <w:highlight w:val="none"/>
        </w:rPr>
      </w:pPr>
    </w:p>
    <w:p>
      <w:pPr>
        <w:pStyle w:val="16"/>
        <w:snapToGrid w:val="0"/>
        <w:spacing w:line="600" w:lineRule="exact"/>
        <w:rPr>
          <w:bCs/>
          <w:color w:val="auto"/>
          <w:sz w:val="24"/>
          <w:highlight w:val="none"/>
        </w:rPr>
      </w:pPr>
      <w:r>
        <w:rPr>
          <w:rFonts w:hint="eastAsia"/>
          <w:bCs/>
          <w:color w:val="auto"/>
          <w:sz w:val="24"/>
          <w:highlight w:val="none"/>
          <w:u w:val="single"/>
        </w:rPr>
        <w:t>（采购人名称）</w:t>
      </w:r>
      <w:r>
        <w:rPr>
          <w:rFonts w:hint="eastAsia"/>
          <w:bCs/>
          <w:color w:val="auto"/>
          <w:sz w:val="24"/>
          <w:highlight w:val="none"/>
        </w:rPr>
        <w:t>：</w:t>
      </w:r>
    </w:p>
    <w:p>
      <w:pPr>
        <w:pStyle w:val="16"/>
        <w:snapToGrid w:val="0"/>
        <w:spacing w:line="600" w:lineRule="exact"/>
        <w:ind w:firstLine="480" w:firstLineChars="200"/>
        <w:rPr>
          <w:color w:val="auto"/>
          <w:kern w:val="0"/>
          <w:sz w:val="24"/>
          <w:highlight w:val="none"/>
        </w:rPr>
      </w:pPr>
      <w:r>
        <w:rPr>
          <w:rFonts w:hint="eastAsia"/>
          <w:bCs/>
          <w:color w:val="auto"/>
          <w:sz w:val="24"/>
          <w:highlight w:val="none"/>
        </w:rPr>
        <w:t>我公司参加采购代理机构组织的：项目的政府采购活动。我公司在此郑重声明，我公司参加本项目的政府采购活动前三年在经营中没有重大违法记录，符合《</w:t>
      </w:r>
      <w:r>
        <w:rPr>
          <w:color w:val="auto"/>
          <w:kern w:val="0"/>
          <w:sz w:val="24"/>
          <w:highlight w:val="none"/>
        </w:rPr>
        <w:t>中华人民共和国政府采购法</w:t>
      </w:r>
      <w:r>
        <w:rPr>
          <w:rFonts w:hint="eastAsia"/>
          <w:bCs/>
          <w:color w:val="auto"/>
          <w:sz w:val="24"/>
          <w:highlight w:val="none"/>
        </w:rPr>
        <w:t>》及</w:t>
      </w:r>
      <w:r>
        <w:rPr>
          <w:color w:val="auto"/>
          <w:kern w:val="0"/>
          <w:sz w:val="24"/>
          <w:highlight w:val="none"/>
        </w:rPr>
        <w:t>《中华人民共和国政府采购法</w:t>
      </w:r>
      <w:r>
        <w:rPr>
          <w:rFonts w:hint="eastAsia"/>
          <w:color w:val="auto"/>
          <w:kern w:val="0"/>
          <w:sz w:val="24"/>
          <w:highlight w:val="none"/>
        </w:rPr>
        <w:t>实施条例</w:t>
      </w:r>
      <w:r>
        <w:rPr>
          <w:color w:val="auto"/>
          <w:kern w:val="0"/>
          <w:sz w:val="24"/>
          <w:highlight w:val="none"/>
        </w:rPr>
        <w:t>》</w:t>
      </w:r>
      <w:r>
        <w:rPr>
          <w:rFonts w:hint="eastAsia"/>
          <w:color w:val="auto"/>
          <w:kern w:val="0"/>
          <w:sz w:val="24"/>
          <w:highlight w:val="none"/>
        </w:rPr>
        <w:t>的供应商条件，我公司对此声明负全部法律责任。</w:t>
      </w:r>
    </w:p>
    <w:p>
      <w:pPr>
        <w:pStyle w:val="16"/>
        <w:snapToGrid w:val="0"/>
        <w:spacing w:line="600" w:lineRule="exact"/>
        <w:ind w:left="141" w:leftChars="67" w:firstLine="537" w:firstLineChars="224"/>
        <w:rPr>
          <w:color w:val="auto"/>
          <w:kern w:val="0"/>
          <w:sz w:val="24"/>
          <w:highlight w:val="none"/>
        </w:rPr>
      </w:pPr>
      <w:r>
        <w:rPr>
          <w:rFonts w:hint="eastAsia"/>
          <w:color w:val="auto"/>
          <w:kern w:val="0"/>
          <w:sz w:val="24"/>
          <w:highlight w:val="none"/>
        </w:rPr>
        <w:t>特此承诺。</w:t>
      </w:r>
    </w:p>
    <w:p>
      <w:pPr>
        <w:pStyle w:val="16"/>
        <w:snapToGrid w:val="0"/>
        <w:spacing w:line="600" w:lineRule="exact"/>
        <w:ind w:left="567" w:leftChars="270" w:firstLine="232" w:firstLineChars="97"/>
        <w:rPr>
          <w:color w:val="auto"/>
          <w:kern w:val="0"/>
          <w:sz w:val="24"/>
          <w:highlight w:val="none"/>
        </w:rPr>
      </w:pPr>
    </w:p>
    <w:p>
      <w:pPr>
        <w:pStyle w:val="16"/>
        <w:snapToGrid w:val="0"/>
        <w:spacing w:line="600" w:lineRule="exact"/>
        <w:ind w:left="567" w:leftChars="270" w:firstLine="232" w:firstLineChars="97"/>
        <w:rPr>
          <w:color w:val="auto"/>
          <w:kern w:val="0"/>
          <w:sz w:val="24"/>
          <w:highlight w:val="none"/>
        </w:rPr>
      </w:pPr>
    </w:p>
    <w:p>
      <w:pPr>
        <w:pStyle w:val="16"/>
        <w:snapToGrid w:val="0"/>
        <w:spacing w:line="600" w:lineRule="exact"/>
        <w:ind w:left="567" w:leftChars="270" w:firstLine="232" w:firstLineChars="97"/>
        <w:rPr>
          <w:color w:val="auto"/>
          <w:kern w:val="0"/>
          <w:sz w:val="24"/>
          <w:highlight w:val="none"/>
        </w:rPr>
      </w:pPr>
    </w:p>
    <w:p>
      <w:pPr>
        <w:pStyle w:val="16"/>
        <w:snapToGrid w:val="0"/>
        <w:spacing w:line="600" w:lineRule="exact"/>
        <w:ind w:left="141" w:leftChars="67" w:firstLine="480" w:firstLineChars="200"/>
        <w:rPr>
          <w:color w:val="auto"/>
          <w:kern w:val="0"/>
          <w:sz w:val="24"/>
          <w:highlight w:val="none"/>
        </w:rPr>
      </w:pPr>
      <w:r>
        <w:rPr>
          <w:rFonts w:hint="eastAsia"/>
          <w:color w:val="auto"/>
          <w:kern w:val="0"/>
          <w:sz w:val="24"/>
          <w:highlight w:val="none"/>
        </w:rPr>
        <w:t>投标人名称（加盖公章）：</w:t>
      </w:r>
    </w:p>
    <w:p>
      <w:pPr>
        <w:pStyle w:val="16"/>
        <w:snapToGrid w:val="0"/>
        <w:spacing w:line="600" w:lineRule="exact"/>
        <w:ind w:left="141" w:leftChars="67" w:firstLine="480" w:firstLineChars="200"/>
        <w:rPr>
          <w:color w:val="auto"/>
          <w:kern w:val="0"/>
          <w:sz w:val="24"/>
          <w:highlight w:val="none"/>
        </w:rPr>
      </w:pPr>
      <w:r>
        <w:rPr>
          <w:rFonts w:hint="eastAsia"/>
          <w:color w:val="auto"/>
          <w:kern w:val="0"/>
          <w:sz w:val="24"/>
          <w:highlight w:val="none"/>
        </w:rPr>
        <w:t>法定代表人（负责人）或委托代理人（签字或签章）：</w:t>
      </w:r>
    </w:p>
    <w:p>
      <w:pPr>
        <w:pStyle w:val="16"/>
        <w:snapToGrid w:val="0"/>
        <w:spacing w:line="500" w:lineRule="exact"/>
        <w:ind w:firstLine="600" w:firstLineChars="250"/>
        <w:jc w:val="left"/>
        <w:rPr>
          <w:color w:val="auto"/>
          <w:sz w:val="24"/>
          <w:highlight w:val="none"/>
        </w:rPr>
      </w:pPr>
      <w:r>
        <w:rPr>
          <w:rFonts w:hint="eastAsia"/>
          <w:color w:val="auto"/>
          <w:kern w:val="0"/>
          <w:sz w:val="24"/>
          <w:highlight w:val="none"/>
        </w:rPr>
        <w:t>日期：     年   月   日</w:t>
      </w:r>
    </w:p>
    <w:p>
      <w:pPr>
        <w:pStyle w:val="16"/>
        <w:snapToGrid w:val="0"/>
        <w:spacing w:line="500" w:lineRule="exact"/>
        <w:jc w:val="left"/>
        <w:rPr>
          <w:bCs/>
          <w:color w:val="auto"/>
          <w:sz w:val="28"/>
          <w:szCs w:val="28"/>
          <w:highlight w:val="none"/>
        </w:rPr>
        <w:sectPr>
          <w:pgSz w:w="11906" w:h="16838"/>
          <w:pgMar w:top="1134" w:right="964" w:bottom="1134" w:left="1134" w:header="851" w:footer="992" w:gutter="0"/>
          <w:cols w:space="720" w:num="1"/>
          <w:docGrid w:linePitch="312" w:charSpace="0"/>
        </w:sectPr>
      </w:pPr>
    </w:p>
    <w:p>
      <w:pPr>
        <w:pStyle w:val="16"/>
        <w:snapToGrid w:val="0"/>
        <w:spacing w:line="360" w:lineRule="auto"/>
        <w:jc w:val="left"/>
        <w:rPr>
          <w:b/>
          <w:bCs/>
          <w:color w:val="auto"/>
          <w:sz w:val="28"/>
          <w:szCs w:val="28"/>
          <w:highlight w:val="none"/>
        </w:rPr>
      </w:pPr>
      <w:r>
        <w:rPr>
          <w:rFonts w:hint="eastAsia"/>
          <w:b/>
          <w:bCs/>
          <w:color w:val="auto"/>
          <w:sz w:val="28"/>
          <w:szCs w:val="28"/>
          <w:highlight w:val="none"/>
        </w:rPr>
        <w:t>报价及商务文件格式</w:t>
      </w:r>
    </w:p>
    <w:p>
      <w:pPr>
        <w:pStyle w:val="16"/>
        <w:snapToGrid w:val="0"/>
        <w:spacing w:line="360" w:lineRule="auto"/>
        <w:jc w:val="center"/>
        <w:rPr>
          <w:b/>
          <w:color w:val="auto"/>
          <w:szCs w:val="21"/>
          <w:highlight w:val="none"/>
        </w:rPr>
      </w:pPr>
      <w:r>
        <w:rPr>
          <w:rFonts w:hint="eastAsia"/>
          <w:b/>
          <w:bCs/>
          <w:color w:val="auto"/>
          <w:sz w:val="28"/>
          <w:szCs w:val="28"/>
          <w:highlight w:val="none"/>
        </w:rPr>
        <w:t>投标函（格式）</w:t>
      </w:r>
    </w:p>
    <w:p>
      <w:pPr>
        <w:pStyle w:val="16"/>
        <w:snapToGrid w:val="0"/>
        <w:spacing w:line="360" w:lineRule="auto"/>
        <w:rPr>
          <w:color w:val="auto"/>
          <w:szCs w:val="21"/>
          <w:highlight w:val="none"/>
          <w:u w:val="single"/>
        </w:rPr>
      </w:pPr>
      <w:r>
        <w:rPr>
          <w:rFonts w:hint="eastAsia"/>
          <w:color w:val="auto"/>
          <w:szCs w:val="21"/>
          <w:highlight w:val="none"/>
          <w:u w:val="single"/>
        </w:rPr>
        <w:t>（采购人名称）</w:t>
      </w:r>
      <w:r>
        <w:rPr>
          <w:rFonts w:hint="eastAsia"/>
          <w:color w:val="auto"/>
          <w:szCs w:val="21"/>
          <w:highlight w:val="none"/>
        </w:rPr>
        <w:t>：</w:t>
      </w:r>
    </w:p>
    <w:p>
      <w:pPr>
        <w:pStyle w:val="16"/>
        <w:spacing w:line="460" w:lineRule="exact"/>
        <w:ind w:firstLine="460" w:firstLineChars="200"/>
        <w:rPr>
          <w:color w:val="auto"/>
          <w:spacing w:val="10"/>
          <w:szCs w:val="21"/>
          <w:highlight w:val="none"/>
        </w:rPr>
      </w:pPr>
      <w:r>
        <w:rPr>
          <w:rFonts w:hint="eastAsia"/>
          <w:color w:val="auto"/>
          <w:spacing w:val="10"/>
          <w:szCs w:val="21"/>
          <w:highlight w:val="none"/>
        </w:rPr>
        <w:t>根据采购代理机构项目招标文件，项目编号，正式授权下述签字人（姓名和职务）代表投标人（投标人名称），提交的投标文件正本一份，副本四份。</w:t>
      </w:r>
    </w:p>
    <w:p>
      <w:pPr>
        <w:pStyle w:val="16"/>
        <w:spacing w:line="460" w:lineRule="exact"/>
        <w:ind w:firstLine="420" w:firstLineChars="200"/>
        <w:rPr>
          <w:color w:val="auto"/>
          <w:highlight w:val="none"/>
        </w:rPr>
      </w:pPr>
      <w:r>
        <w:rPr>
          <w:rFonts w:hint="eastAsia"/>
          <w:color w:val="auto"/>
          <w:highlight w:val="none"/>
        </w:rPr>
        <w:t>据此函，签字人兹宣布同意如下：</w:t>
      </w:r>
    </w:p>
    <w:p>
      <w:pPr>
        <w:pStyle w:val="16"/>
        <w:spacing w:line="440" w:lineRule="exact"/>
        <w:ind w:firstLine="482"/>
        <w:rPr>
          <w:rFonts w:ascii="Times New Roman" w:hAnsi="Times New Roman"/>
          <w:color w:val="auto"/>
          <w:highlight w:val="none"/>
        </w:rPr>
      </w:pPr>
      <w:r>
        <w:rPr>
          <w:rFonts w:hint="eastAsia"/>
          <w:color w:val="auto"/>
          <w:highlight w:val="none"/>
        </w:rPr>
        <w:t>1、我方愿意以人民币（大写）（¥元）的投标报价，服务期限：，服务地点：，提供本项目招标文件第四章“货物需求一览表”中的采购内容。</w:t>
      </w:r>
    </w:p>
    <w:p>
      <w:pPr>
        <w:pStyle w:val="16"/>
        <w:spacing w:line="460" w:lineRule="exact"/>
        <w:ind w:firstLine="420" w:firstLineChars="200"/>
        <w:rPr>
          <w:color w:val="auto"/>
          <w:highlight w:val="none"/>
        </w:rPr>
      </w:pPr>
      <w:r>
        <w:rPr>
          <w:rFonts w:hint="eastAsia"/>
          <w:color w:val="auto"/>
          <w:highlight w:val="none"/>
        </w:rPr>
        <w:t>2、我方同意在投标人须知规定的截标日期起遵循本投标文件，在投标人须知前附表第11条规定的投标有效期满之前均具有约束力，并按时到场参加投标。</w:t>
      </w:r>
    </w:p>
    <w:p>
      <w:pPr>
        <w:pStyle w:val="16"/>
        <w:spacing w:line="460" w:lineRule="exact"/>
        <w:ind w:firstLine="420" w:firstLineChars="200"/>
        <w:rPr>
          <w:color w:val="auto"/>
          <w:highlight w:val="none"/>
        </w:rPr>
      </w:pPr>
      <w:r>
        <w:rPr>
          <w:rFonts w:hint="eastAsia"/>
          <w:color w:val="auto"/>
          <w:highlight w:val="none"/>
        </w:rPr>
        <w:t>3、我方承诺已经具备《中华人民共和国政府采购法》中规定的参加政府采购活动的供应商应当具备的条件：</w:t>
      </w:r>
    </w:p>
    <w:p>
      <w:pPr>
        <w:pStyle w:val="16"/>
        <w:spacing w:line="460" w:lineRule="exact"/>
        <w:ind w:firstLine="420" w:firstLineChars="200"/>
        <w:rPr>
          <w:color w:val="auto"/>
          <w:highlight w:val="none"/>
        </w:rPr>
      </w:pPr>
      <w:r>
        <w:rPr>
          <w:rFonts w:hint="eastAsia"/>
          <w:color w:val="auto"/>
          <w:highlight w:val="none"/>
        </w:rPr>
        <w:t>（1）具有独立承担民事责任的能力；</w:t>
      </w:r>
    </w:p>
    <w:p>
      <w:pPr>
        <w:pStyle w:val="16"/>
        <w:spacing w:line="460" w:lineRule="exact"/>
        <w:ind w:firstLine="420" w:firstLineChars="200"/>
        <w:rPr>
          <w:color w:val="auto"/>
          <w:highlight w:val="none"/>
        </w:rPr>
      </w:pPr>
      <w:r>
        <w:rPr>
          <w:rFonts w:hint="eastAsia"/>
          <w:color w:val="auto"/>
          <w:highlight w:val="none"/>
        </w:rPr>
        <w:t>（2）具有良好的商业信誉和健全的财务会计制度；</w:t>
      </w:r>
    </w:p>
    <w:p>
      <w:pPr>
        <w:pStyle w:val="16"/>
        <w:spacing w:line="460" w:lineRule="exact"/>
        <w:ind w:firstLine="420" w:firstLineChars="200"/>
        <w:rPr>
          <w:color w:val="auto"/>
          <w:highlight w:val="none"/>
        </w:rPr>
      </w:pPr>
      <w:r>
        <w:rPr>
          <w:rFonts w:hint="eastAsia"/>
          <w:color w:val="auto"/>
          <w:highlight w:val="none"/>
        </w:rPr>
        <w:t>（3）具有履行合同所必需的设备和专业技术能力；</w:t>
      </w:r>
    </w:p>
    <w:p>
      <w:pPr>
        <w:pStyle w:val="16"/>
        <w:spacing w:line="460" w:lineRule="exact"/>
        <w:ind w:firstLine="420" w:firstLineChars="200"/>
        <w:rPr>
          <w:color w:val="auto"/>
          <w:highlight w:val="none"/>
        </w:rPr>
      </w:pPr>
      <w:r>
        <w:rPr>
          <w:rFonts w:hint="eastAsia"/>
          <w:color w:val="auto"/>
          <w:highlight w:val="none"/>
        </w:rPr>
        <w:t>（4）有依法缴纳税收和社会保障资金的良好记录；</w:t>
      </w:r>
    </w:p>
    <w:p>
      <w:pPr>
        <w:pStyle w:val="16"/>
        <w:spacing w:line="460" w:lineRule="exact"/>
        <w:ind w:firstLine="420" w:firstLineChars="200"/>
        <w:rPr>
          <w:color w:val="auto"/>
          <w:highlight w:val="none"/>
        </w:rPr>
      </w:pPr>
      <w:r>
        <w:rPr>
          <w:rFonts w:hint="eastAsia"/>
          <w:color w:val="auto"/>
          <w:highlight w:val="none"/>
        </w:rPr>
        <w:t>（5）参加此项采购活动前三年内，在经营活动中没有重大违法记录。</w:t>
      </w:r>
    </w:p>
    <w:p>
      <w:pPr>
        <w:pStyle w:val="16"/>
        <w:spacing w:line="460" w:lineRule="exact"/>
        <w:ind w:firstLine="420" w:firstLineChars="200"/>
        <w:rPr>
          <w:color w:val="auto"/>
          <w:highlight w:val="none"/>
        </w:rPr>
      </w:pPr>
      <w:r>
        <w:rPr>
          <w:rFonts w:hint="eastAsia"/>
          <w:color w:val="auto"/>
          <w:highlight w:val="none"/>
        </w:rPr>
        <w:t>4、我方根据招标文件的规定，承担完成合同的责任和义务。</w:t>
      </w:r>
    </w:p>
    <w:p>
      <w:pPr>
        <w:pStyle w:val="16"/>
        <w:spacing w:line="460" w:lineRule="exact"/>
        <w:ind w:firstLine="420" w:firstLineChars="200"/>
        <w:rPr>
          <w:color w:val="auto"/>
          <w:highlight w:val="none"/>
        </w:rPr>
      </w:pPr>
      <w:r>
        <w:rPr>
          <w:rFonts w:hint="eastAsia"/>
          <w:color w:val="auto"/>
          <w:highlight w:val="none"/>
        </w:rPr>
        <w:t>5、我方已详细审核招标文件，我方知道必须放弃提出含糊不清或误解问题的权利。</w:t>
      </w:r>
    </w:p>
    <w:p>
      <w:pPr>
        <w:pStyle w:val="16"/>
        <w:spacing w:line="460" w:lineRule="exact"/>
        <w:ind w:firstLine="420" w:firstLineChars="200"/>
        <w:rPr>
          <w:color w:val="auto"/>
          <w:highlight w:val="none"/>
        </w:rPr>
      </w:pPr>
      <w:r>
        <w:rPr>
          <w:rFonts w:hint="eastAsia"/>
          <w:color w:val="auto"/>
          <w:highlight w:val="none"/>
        </w:rPr>
        <w:t>6、如果在投标截止时间后的投标有效期内撤回投标或者有其他违约行为，贵方可对我方的投标保证金不予退还。</w:t>
      </w:r>
    </w:p>
    <w:p>
      <w:pPr>
        <w:pStyle w:val="16"/>
        <w:spacing w:line="460" w:lineRule="exact"/>
        <w:ind w:firstLine="420" w:firstLineChars="200"/>
        <w:rPr>
          <w:color w:val="auto"/>
          <w:highlight w:val="none"/>
        </w:rPr>
      </w:pPr>
      <w:r>
        <w:rPr>
          <w:rFonts w:hint="eastAsia"/>
          <w:color w:val="auto"/>
          <w:highlight w:val="none"/>
        </w:rPr>
        <w:t>7、同意向贵方提供贵方可能要求的与本投标有关的任何数据或资料。</w:t>
      </w:r>
    </w:p>
    <w:p>
      <w:pPr>
        <w:pStyle w:val="16"/>
        <w:spacing w:line="460" w:lineRule="exact"/>
        <w:ind w:firstLine="420" w:firstLineChars="200"/>
        <w:rPr>
          <w:color w:val="auto"/>
          <w:highlight w:val="none"/>
        </w:rPr>
      </w:pPr>
      <w:r>
        <w:rPr>
          <w:rFonts w:hint="eastAsia"/>
          <w:color w:val="auto"/>
          <w:highlight w:val="none"/>
        </w:rPr>
        <w:t>8、我方完全理解贵方不一定要接受最低报价的投标人为中标供应商。</w:t>
      </w:r>
    </w:p>
    <w:p>
      <w:pPr>
        <w:pStyle w:val="16"/>
        <w:spacing w:line="460" w:lineRule="exact"/>
        <w:ind w:firstLine="420" w:firstLineChars="200"/>
        <w:rPr>
          <w:color w:val="auto"/>
          <w:highlight w:val="none"/>
        </w:rPr>
      </w:pPr>
      <w:r>
        <w:rPr>
          <w:rFonts w:hint="eastAsia"/>
          <w:color w:val="auto"/>
          <w:highlight w:val="none"/>
        </w:rPr>
        <w:t>9、若贵方需要，我方愿意提供我方作出的一切承诺的证明材料。</w:t>
      </w:r>
    </w:p>
    <w:p>
      <w:pPr>
        <w:pStyle w:val="16"/>
        <w:spacing w:line="460" w:lineRule="exact"/>
        <w:ind w:firstLine="420" w:firstLineChars="200"/>
        <w:rPr>
          <w:color w:val="auto"/>
          <w:highlight w:val="none"/>
        </w:rPr>
      </w:pPr>
      <w:r>
        <w:rPr>
          <w:rFonts w:hint="eastAsia"/>
          <w:color w:val="auto"/>
          <w:highlight w:val="none"/>
        </w:rPr>
        <w:t>10、我方将严格遵守《中华人民共和国政府采购法》第七十七条规定，供应商有下列情形之一的，处以采购金额5</w:t>
      </w:r>
      <w:r>
        <w:rPr>
          <w:color w:val="auto"/>
          <w:highlight w:val="none"/>
        </w:rPr>
        <w:t>‰</w:t>
      </w:r>
      <w:r>
        <w:rPr>
          <w:rFonts w:hint="eastAsia"/>
          <w:color w:val="auto"/>
          <w:highlight w:val="none"/>
        </w:rPr>
        <w:t>以上10</w:t>
      </w:r>
      <w:r>
        <w:rPr>
          <w:color w:val="auto"/>
          <w:highlight w:val="none"/>
        </w:rPr>
        <w:t>‰</w:t>
      </w:r>
      <w:r>
        <w:rPr>
          <w:rFonts w:hint="eastAsia"/>
          <w:color w:val="auto"/>
          <w:highlight w:val="none"/>
        </w:rPr>
        <w:t>以下的罚款，列入不良行为记录名单，在一到三年内禁止参加政府采购活动，有违法所得的，并处没收违法所得，情节严重的，由工商行政管理机关吊销营业执照；构成犯罪的，依法追究刑事责任：</w:t>
      </w:r>
    </w:p>
    <w:p>
      <w:pPr>
        <w:pStyle w:val="16"/>
        <w:spacing w:line="460" w:lineRule="exact"/>
        <w:ind w:firstLine="420" w:firstLineChars="200"/>
        <w:rPr>
          <w:color w:val="auto"/>
          <w:highlight w:val="none"/>
        </w:rPr>
      </w:pPr>
      <w:r>
        <w:rPr>
          <w:rFonts w:hint="eastAsia"/>
          <w:color w:val="auto"/>
          <w:highlight w:val="none"/>
        </w:rPr>
        <w:t>（1）提供虚假材料谋取中标、成交的；</w:t>
      </w:r>
    </w:p>
    <w:p>
      <w:pPr>
        <w:pStyle w:val="16"/>
        <w:spacing w:line="460" w:lineRule="exact"/>
        <w:ind w:firstLine="420" w:firstLineChars="200"/>
        <w:rPr>
          <w:color w:val="auto"/>
          <w:highlight w:val="none"/>
        </w:rPr>
      </w:pPr>
      <w:r>
        <w:rPr>
          <w:rFonts w:hint="eastAsia"/>
          <w:color w:val="auto"/>
          <w:highlight w:val="none"/>
        </w:rPr>
        <w:t>（2）采取不正当手段诋毁、排挤其他投标人的；</w:t>
      </w:r>
    </w:p>
    <w:p>
      <w:pPr>
        <w:pStyle w:val="16"/>
        <w:spacing w:line="460" w:lineRule="exact"/>
        <w:ind w:firstLine="420" w:firstLineChars="200"/>
        <w:rPr>
          <w:color w:val="auto"/>
          <w:highlight w:val="none"/>
        </w:rPr>
      </w:pPr>
      <w:r>
        <w:rPr>
          <w:rFonts w:hint="eastAsia"/>
          <w:color w:val="auto"/>
          <w:highlight w:val="none"/>
        </w:rPr>
        <w:t>（3）与采购人、其他投标人或者采购代理机构恶意串通的；</w:t>
      </w:r>
    </w:p>
    <w:p>
      <w:pPr>
        <w:pStyle w:val="16"/>
        <w:spacing w:line="460" w:lineRule="exact"/>
        <w:ind w:firstLine="420" w:firstLineChars="200"/>
        <w:rPr>
          <w:color w:val="auto"/>
          <w:highlight w:val="none"/>
        </w:rPr>
      </w:pPr>
      <w:r>
        <w:rPr>
          <w:rFonts w:hint="eastAsia"/>
          <w:color w:val="auto"/>
          <w:highlight w:val="none"/>
        </w:rPr>
        <w:t>（4）向采购人、采购代理机构行贿或者提供其他不正当利益的；</w:t>
      </w:r>
    </w:p>
    <w:p>
      <w:pPr>
        <w:pStyle w:val="16"/>
        <w:spacing w:line="460" w:lineRule="exact"/>
        <w:ind w:firstLine="420" w:firstLineChars="200"/>
        <w:rPr>
          <w:color w:val="auto"/>
          <w:highlight w:val="none"/>
        </w:rPr>
      </w:pPr>
      <w:r>
        <w:rPr>
          <w:rFonts w:hint="eastAsia"/>
          <w:color w:val="auto"/>
          <w:highlight w:val="none"/>
        </w:rPr>
        <w:t>（5）未经采购人同意，在采购过程中与采购人进行协商谈判的；</w:t>
      </w:r>
    </w:p>
    <w:p>
      <w:pPr>
        <w:pStyle w:val="16"/>
        <w:spacing w:line="460" w:lineRule="exact"/>
        <w:ind w:firstLine="420" w:firstLineChars="200"/>
        <w:rPr>
          <w:color w:val="auto"/>
          <w:highlight w:val="none"/>
        </w:rPr>
      </w:pPr>
      <w:r>
        <w:rPr>
          <w:rFonts w:hint="eastAsia"/>
          <w:color w:val="auto"/>
          <w:highlight w:val="none"/>
        </w:rPr>
        <w:t>（6）拒绝有关部门监督检查或提供虚假情况的。</w:t>
      </w:r>
    </w:p>
    <w:p>
      <w:pPr>
        <w:pStyle w:val="16"/>
        <w:spacing w:line="460" w:lineRule="exact"/>
        <w:ind w:firstLine="420" w:firstLineChars="200"/>
        <w:rPr>
          <w:color w:val="auto"/>
          <w:highlight w:val="none"/>
        </w:rPr>
      </w:pPr>
      <w:r>
        <w:rPr>
          <w:rFonts w:hint="eastAsia"/>
          <w:color w:val="auto"/>
          <w:highlight w:val="none"/>
        </w:rPr>
        <w:t>与本投标有关的正式通讯地址为：</w:t>
      </w:r>
    </w:p>
    <w:p>
      <w:pPr>
        <w:pStyle w:val="16"/>
        <w:spacing w:line="500" w:lineRule="exact"/>
        <w:ind w:firstLine="420"/>
        <w:rPr>
          <w:color w:val="auto"/>
          <w:highlight w:val="none"/>
        </w:rPr>
      </w:pPr>
      <w:r>
        <w:rPr>
          <w:rFonts w:hint="eastAsia"/>
          <w:color w:val="auto"/>
          <w:highlight w:val="none"/>
        </w:rPr>
        <w:t>地址： 邮政编码：</w:t>
      </w:r>
    </w:p>
    <w:p>
      <w:pPr>
        <w:pStyle w:val="16"/>
        <w:spacing w:line="500" w:lineRule="exact"/>
        <w:ind w:firstLine="420"/>
        <w:rPr>
          <w:color w:val="auto"/>
          <w:highlight w:val="none"/>
          <w:u w:val="single"/>
        </w:rPr>
      </w:pPr>
      <w:r>
        <w:rPr>
          <w:rFonts w:hint="eastAsia"/>
          <w:color w:val="auto"/>
          <w:highlight w:val="none"/>
        </w:rPr>
        <w:t>电话、电报、传真或电传：</w:t>
      </w:r>
    </w:p>
    <w:p>
      <w:pPr>
        <w:pStyle w:val="16"/>
        <w:spacing w:line="500" w:lineRule="exact"/>
        <w:ind w:firstLine="420"/>
        <w:rPr>
          <w:color w:val="auto"/>
          <w:highlight w:val="none"/>
        </w:rPr>
      </w:pPr>
      <w:r>
        <w:rPr>
          <w:rFonts w:hint="eastAsia"/>
          <w:color w:val="auto"/>
          <w:highlight w:val="none"/>
        </w:rPr>
        <w:t>开户名称：</w:t>
      </w:r>
    </w:p>
    <w:p>
      <w:pPr>
        <w:pStyle w:val="16"/>
        <w:spacing w:line="500" w:lineRule="exact"/>
        <w:ind w:firstLine="420"/>
        <w:rPr>
          <w:color w:val="auto"/>
          <w:highlight w:val="none"/>
        </w:rPr>
      </w:pPr>
      <w:r>
        <w:rPr>
          <w:rFonts w:hint="eastAsia"/>
          <w:color w:val="auto"/>
          <w:highlight w:val="none"/>
        </w:rPr>
        <w:t>开户银行：</w:t>
      </w:r>
    </w:p>
    <w:p>
      <w:pPr>
        <w:pStyle w:val="16"/>
        <w:spacing w:line="500" w:lineRule="exact"/>
        <w:ind w:firstLine="420"/>
        <w:rPr>
          <w:color w:val="auto"/>
          <w:highlight w:val="none"/>
        </w:rPr>
      </w:pPr>
      <w:r>
        <w:rPr>
          <w:rFonts w:hint="eastAsia"/>
          <w:color w:val="auto"/>
          <w:highlight w:val="none"/>
        </w:rPr>
        <w:t>银行帐号：</w:t>
      </w:r>
    </w:p>
    <w:p>
      <w:pPr>
        <w:pStyle w:val="16"/>
        <w:spacing w:line="500" w:lineRule="exact"/>
        <w:ind w:firstLine="630" w:firstLineChars="300"/>
        <w:rPr>
          <w:color w:val="auto"/>
          <w:highlight w:val="none"/>
        </w:rPr>
      </w:pPr>
    </w:p>
    <w:p>
      <w:pPr>
        <w:pStyle w:val="16"/>
        <w:spacing w:line="600" w:lineRule="exact"/>
        <w:ind w:firstLine="2520" w:firstLineChars="1200"/>
        <w:rPr>
          <w:color w:val="auto"/>
          <w:highlight w:val="none"/>
          <w:u w:val="single"/>
        </w:rPr>
      </w:pPr>
      <w:r>
        <w:rPr>
          <w:rFonts w:hint="eastAsia"/>
          <w:color w:val="auto"/>
          <w:highlight w:val="none"/>
        </w:rPr>
        <w:t>投标人名称（加盖公章）：</w:t>
      </w:r>
    </w:p>
    <w:p>
      <w:pPr>
        <w:pStyle w:val="16"/>
        <w:spacing w:line="600" w:lineRule="exact"/>
        <w:ind w:firstLine="2520" w:firstLineChars="1200"/>
        <w:rPr>
          <w:color w:val="auto"/>
          <w:highlight w:val="none"/>
          <w:u w:val="single"/>
        </w:rPr>
      </w:pPr>
      <w:r>
        <w:rPr>
          <w:rFonts w:hint="eastAsia"/>
          <w:color w:val="auto"/>
          <w:highlight w:val="none"/>
        </w:rPr>
        <w:t>法定代表人（负责人）或委托代理人（签字或签章）：</w:t>
      </w:r>
    </w:p>
    <w:p>
      <w:pPr>
        <w:pStyle w:val="16"/>
        <w:spacing w:line="600" w:lineRule="exact"/>
        <w:ind w:firstLine="2520" w:firstLineChars="1200"/>
        <w:rPr>
          <w:color w:val="auto"/>
          <w:highlight w:val="none"/>
        </w:rPr>
      </w:pPr>
      <w:r>
        <w:rPr>
          <w:rFonts w:hint="eastAsia"/>
          <w:color w:val="auto"/>
          <w:highlight w:val="none"/>
        </w:rPr>
        <w:t>投标日期：年月日</w:t>
      </w:r>
    </w:p>
    <w:p>
      <w:pPr>
        <w:pStyle w:val="16"/>
        <w:spacing w:line="500" w:lineRule="exact"/>
        <w:ind w:left="101" w:leftChars="48" w:firstLine="520" w:firstLineChars="248"/>
        <w:rPr>
          <w:color w:val="auto"/>
          <w:highlight w:val="none"/>
        </w:rPr>
      </w:pPr>
    </w:p>
    <w:p>
      <w:pPr>
        <w:pStyle w:val="16"/>
        <w:spacing w:line="460" w:lineRule="exact"/>
        <w:ind w:left="101" w:leftChars="48" w:firstLine="520" w:firstLineChars="248"/>
        <w:rPr>
          <w:color w:val="auto"/>
          <w:highlight w:val="none"/>
        </w:rPr>
      </w:pPr>
    </w:p>
    <w:p>
      <w:pPr>
        <w:pStyle w:val="16"/>
        <w:snapToGrid w:val="0"/>
        <w:spacing w:before="295" w:after="295"/>
        <w:jc w:val="center"/>
        <w:rPr>
          <w:color w:val="auto"/>
          <w:sz w:val="28"/>
          <w:szCs w:val="28"/>
          <w:highlight w:val="none"/>
        </w:rPr>
        <w:sectPr>
          <w:pgSz w:w="11906" w:h="16838"/>
          <w:pgMar w:top="1134" w:right="964" w:bottom="1134" w:left="1134" w:header="851" w:footer="992" w:gutter="0"/>
          <w:cols w:space="720" w:num="1"/>
          <w:docGrid w:linePitch="312" w:charSpace="0"/>
        </w:sectPr>
      </w:pPr>
      <w:r>
        <w:rPr>
          <w:rFonts w:hint="eastAsia"/>
          <w:b/>
          <w:color w:val="auto"/>
          <w:highlight w:val="none"/>
        </w:rPr>
        <w:t>注：未按照本投标函要求填报的投标函将被视为非实质响应投标，从而导致该投标被拒绝。</w:t>
      </w:r>
    </w:p>
    <w:p>
      <w:pPr>
        <w:pStyle w:val="16"/>
        <w:snapToGrid w:val="0"/>
        <w:spacing w:before="295" w:after="295"/>
        <w:jc w:val="center"/>
        <w:rPr>
          <w:b/>
          <w:bCs/>
          <w:color w:val="auto"/>
          <w:sz w:val="28"/>
          <w:szCs w:val="28"/>
          <w:highlight w:val="none"/>
        </w:rPr>
      </w:pPr>
      <w:r>
        <w:rPr>
          <w:rFonts w:hint="eastAsia"/>
          <w:color w:val="auto"/>
          <w:sz w:val="28"/>
          <w:szCs w:val="28"/>
          <w:highlight w:val="none"/>
        </w:rPr>
        <w:t> </w:t>
      </w:r>
      <w:r>
        <w:rPr>
          <w:rFonts w:hint="eastAsia"/>
          <w:b/>
          <w:color w:val="auto"/>
          <w:sz w:val="28"/>
          <w:szCs w:val="28"/>
          <w:highlight w:val="none"/>
        </w:rPr>
        <w:t>投标报价明细表</w:t>
      </w:r>
      <w:r>
        <w:rPr>
          <w:rFonts w:hint="eastAsia"/>
          <w:b/>
          <w:bCs/>
          <w:color w:val="auto"/>
          <w:sz w:val="28"/>
          <w:szCs w:val="28"/>
          <w:highlight w:val="none"/>
        </w:rPr>
        <w:t>（格式）</w:t>
      </w:r>
    </w:p>
    <w:p>
      <w:pPr>
        <w:pStyle w:val="16"/>
        <w:snapToGrid w:val="0"/>
        <w:spacing w:line="360" w:lineRule="auto"/>
        <w:rPr>
          <w:color w:val="auto"/>
          <w:szCs w:val="21"/>
          <w:highlight w:val="none"/>
        </w:rPr>
      </w:pPr>
      <w:r>
        <w:rPr>
          <w:rFonts w:hint="eastAsia"/>
          <w:color w:val="auto"/>
          <w:szCs w:val="21"/>
          <w:highlight w:val="none"/>
        </w:rPr>
        <w:t xml:space="preserve">                                                               金额单位：人民币（元）</w:t>
      </w:r>
    </w:p>
    <w:tbl>
      <w:tblPr>
        <w:tblStyle w:val="34"/>
        <w:tblW w:w="1021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724"/>
        <w:gridCol w:w="2268"/>
        <w:gridCol w:w="2133"/>
        <w:gridCol w:w="1384"/>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2" w:hRule="atLeast"/>
        </w:trPr>
        <w:tc>
          <w:tcPr>
            <w:tcW w:w="679" w:type="dxa"/>
            <w:tcBorders>
              <w:top w:val="single" w:color="auto" w:sz="4" w:space="0"/>
              <w:left w:val="single" w:color="auto" w:sz="4" w:space="0"/>
              <w:right w:val="single" w:color="auto" w:sz="4" w:space="0"/>
            </w:tcBorders>
            <w:vAlign w:val="center"/>
          </w:tcPr>
          <w:p>
            <w:pPr>
              <w:pStyle w:val="16"/>
              <w:jc w:val="center"/>
              <w:rPr>
                <w:color w:val="auto"/>
                <w:spacing w:val="-20"/>
                <w:highlight w:val="none"/>
              </w:rPr>
            </w:pPr>
            <w:r>
              <w:rPr>
                <w:rFonts w:hint="eastAsia"/>
                <w:color w:val="auto"/>
                <w:spacing w:val="-20"/>
                <w:highlight w:val="none"/>
              </w:rPr>
              <w:t>序号</w:t>
            </w:r>
          </w:p>
        </w:tc>
        <w:tc>
          <w:tcPr>
            <w:tcW w:w="2724" w:type="dxa"/>
            <w:tcBorders>
              <w:top w:val="single" w:color="auto" w:sz="4" w:space="0"/>
              <w:left w:val="single" w:color="auto" w:sz="4" w:space="0"/>
              <w:right w:val="single" w:color="auto" w:sz="4" w:space="0"/>
            </w:tcBorders>
            <w:vAlign w:val="center"/>
          </w:tcPr>
          <w:p>
            <w:pPr>
              <w:pStyle w:val="16"/>
              <w:jc w:val="center"/>
              <w:rPr>
                <w:color w:val="auto"/>
                <w:spacing w:val="-20"/>
                <w:highlight w:val="none"/>
              </w:rPr>
            </w:pPr>
            <w:r>
              <w:rPr>
                <w:rFonts w:hint="eastAsia"/>
                <w:color w:val="auto"/>
                <w:spacing w:val="-20"/>
                <w:highlight w:val="none"/>
              </w:rPr>
              <w:t>项目</w:t>
            </w:r>
          </w:p>
        </w:tc>
        <w:tc>
          <w:tcPr>
            <w:tcW w:w="2268" w:type="dxa"/>
            <w:tcBorders>
              <w:top w:val="single" w:color="auto" w:sz="4" w:space="0"/>
              <w:left w:val="single" w:color="auto" w:sz="4" w:space="0"/>
              <w:right w:val="single" w:color="auto" w:sz="4" w:space="0"/>
            </w:tcBorders>
            <w:vAlign w:val="center"/>
          </w:tcPr>
          <w:p>
            <w:pPr>
              <w:pStyle w:val="16"/>
              <w:jc w:val="center"/>
              <w:rPr>
                <w:color w:val="auto"/>
                <w:spacing w:val="-20"/>
                <w:highlight w:val="none"/>
              </w:rPr>
            </w:pPr>
            <w:r>
              <w:rPr>
                <w:rFonts w:hint="eastAsia"/>
                <w:color w:val="auto"/>
                <w:spacing w:val="-20"/>
                <w:highlight w:val="none"/>
              </w:rPr>
              <w:t>数量①</w:t>
            </w:r>
          </w:p>
        </w:tc>
        <w:tc>
          <w:tcPr>
            <w:tcW w:w="2133" w:type="dxa"/>
            <w:tcBorders>
              <w:top w:val="single" w:color="auto" w:sz="4" w:space="0"/>
              <w:left w:val="single" w:color="auto" w:sz="4" w:space="0"/>
              <w:right w:val="single" w:color="auto" w:sz="4" w:space="0"/>
            </w:tcBorders>
            <w:vAlign w:val="center"/>
          </w:tcPr>
          <w:p>
            <w:pPr>
              <w:pStyle w:val="16"/>
              <w:rPr>
                <w:color w:val="auto"/>
                <w:highlight w:val="none"/>
              </w:rPr>
            </w:pPr>
            <w:r>
              <w:rPr>
                <w:rFonts w:hint="eastAsia"/>
                <w:color w:val="auto"/>
                <w:highlight w:val="none"/>
              </w:rPr>
              <w:t>单价(元)②</w:t>
            </w:r>
          </w:p>
        </w:tc>
        <w:tc>
          <w:tcPr>
            <w:tcW w:w="1384" w:type="dxa"/>
            <w:tcBorders>
              <w:top w:val="single" w:color="auto" w:sz="4" w:space="0"/>
              <w:left w:val="single" w:color="auto" w:sz="4" w:space="0"/>
              <w:bottom w:val="single" w:color="auto" w:sz="4" w:space="0"/>
              <w:right w:val="single" w:color="auto" w:sz="4" w:space="0"/>
            </w:tcBorders>
            <w:vAlign w:val="center"/>
          </w:tcPr>
          <w:p>
            <w:pPr>
              <w:pStyle w:val="16"/>
              <w:jc w:val="center"/>
              <w:rPr>
                <w:color w:val="auto"/>
                <w:highlight w:val="none"/>
              </w:rPr>
            </w:pPr>
            <w:r>
              <w:rPr>
                <w:rFonts w:hint="eastAsia"/>
                <w:color w:val="auto"/>
                <w:highlight w:val="none"/>
              </w:rPr>
              <w:t>单项合价</w:t>
            </w:r>
          </w:p>
          <w:p>
            <w:pPr>
              <w:pStyle w:val="16"/>
              <w:jc w:val="center"/>
              <w:rPr>
                <w:color w:val="auto"/>
                <w:highlight w:val="none"/>
              </w:rPr>
            </w:pPr>
            <w:r>
              <w:rPr>
                <w:rFonts w:hint="eastAsia"/>
                <w:color w:val="auto"/>
                <w:highlight w:val="none"/>
              </w:rPr>
              <w:t>（元）</w:t>
            </w:r>
          </w:p>
          <w:p>
            <w:pPr>
              <w:pStyle w:val="16"/>
              <w:jc w:val="center"/>
              <w:rPr>
                <w:color w:val="auto"/>
                <w:highlight w:val="none"/>
              </w:rPr>
            </w:pPr>
            <w:r>
              <w:rPr>
                <w:rFonts w:hint="eastAsia"/>
                <w:color w:val="auto"/>
                <w:highlight w:val="none"/>
              </w:rPr>
              <w:t>③＝①×②</w:t>
            </w:r>
          </w:p>
        </w:tc>
        <w:tc>
          <w:tcPr>
            <w:tcW w:w="1031" w:type="dxa"/>
            <w:tcBorders>
              <w:top w:val="single" w:color="auto" w:sz="4" w:space="0"/>
              <w:left w:val="single" w:color="auto" w:sz="4" w:space="0"/>
              <w:bottom w:val="single" w:color="auto" w:sz="4" w:space="0"/>
              <w:right w:val="single" w:color="auto" w:sz="4" w:space="0"/>
            </w:tcBorders>
            <w:vAlign w:val="center"/>
          </w:tcPr>
          <w:p>
            <w:pPr>
              <w:pStyle w:val="16"/>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679" w:type="dxa"/>
            <w:tcBorders>
              <w:top w:val="single" w:color="auto" w:sz="4" w:space="0"/>
              <w:left w:val="single" w:color="auto" w:sz="4" w:space="0"/>
              <w:bottom w:val="single" w:color="auto" w:sz="4" w:space="0"/>
              <w:right w:val="single" w:color="auto" w:sz="4" w:space="0"/>
            </w:tcBorders>
            <w:vAlign w:val="center"/>
          </w:tcPr>
          <w:p>
            <w:pPr>
              <w:pStyle w:val="16"/>
              <w:jc w:val="center"/>
              <w:rPr>
                <w:color w:val="auto"/>
                <w:highlight w:val="none"/>
              </w:rPr>
            </w:pPr>
            <w:r>
              <w:rPr>
                <w:rFonts w:hint="eastAsia"/>
                <w:color w:val="auto"/>
                <w:highlight w:val="none"/>
              </w:rPr>
              <w:t>1</w:t>
            </w:r>
          </w:p>
        </w:tc>
        <w:tc>
          <w:tcPr>
            <w:tcW w:w="2724" w:type="dxa"/>
            <w:tcBorders>
              <w:top w:val="single" w:color="auto" w:sz="4" w:space="0"/>
              <w:left w:val="single" w:color="auto" w:sz="4" w:space="0"/>
              <w:bottom w:val="single" w:color="auto" w:sz="4" w:space="0"/>
              <w:right w:val="single" w:color="auto" w:sz="4" w:space="0"/>
            </w:tcBorders>
            <w:vAlign w:val="center"/>
          </w:tcPr>
          <w:p>
            <w:pPr>
              <w:pStyle w:val="16"/>
              <w:rPr>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6"/>
              <w:rPr>
                <w:color w:val="auto"/>
                <w:highlight w:val="none"/>
              </w:rPr>
            </w:pPr>
          </w:p>
        </w:tc>
        <w:tc>
          <w:tcPr>
            <w:tcW w:w="2133" w:type="dxa"/>
            <w:tcBorders>
              <w:top w:val="single" w:color="auto" w:sz="4" w:space="0"/>
              <w:left w:val="single" w:color="auto" w:sz="4" w:space="0"/>
              <w:bottom w:val="single" w:color="auto" w:sz="4" w:space="0"/>
              <w:right w:val="single" w:color="auto" w:sz="4" w:space="0"/>
            </w:tcBorders>
            <w:vAlign w:val="center"/>
          </w:tcPr>
          <w:p>
            <w:pPr>
              <w:pStyle w:val="16"/>
              <w:rPr>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pStyle w:val="16"/>
              <w:rPr>
                <w:color w:val="auto"/>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16"/>
              <w:rPr>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679" w:type="dxa"/>
            <w:tcBorders>
              <w:top w:val="single" w:color="auto" w:sz="4" w:space="0"/>
              <w:left w:val="single" w:color="auto" w:sz="4" w:space="0"/>
              <w:bottom w:val="single" w:color="auto" w:sz="4" w:space="0"/>
              <w:right w:val="single" w:color="auto" w:sz="4" w:space="0"/>
            </w:tcBorders>
            <w:vAlign w:val="center"/>
          </w:tcPr>
          <w:p>
            <w:pPr>
              <w:pStyle w:val="16"/>
              <w:jc w:val="center"/>
              <w:rPr>
                <w:color w:val="auto"/>
                <w:highlight w:val="none"/>
              </w:rPr>
            </w:pPr>
            <w:r>
              <w:rPr>
                <w:rFonts w:hint="eastAsia"/>
                <w:color w:val="auto"/>
                <w:highlight w:val="none"/>
              </w:rPr>
              <w:t>2</w:t>
            </w:r>
          </w:p>
        </w:tc>
        <w:tc>
          <w:tcPr>
            <w:tcW w:w="2724" w:type="dxa"/>
            <w:tcBorders>
              <w:top w:val="single" w:color="auto" w:sz="4" w:space="0"/>
              <w:left w:val="single" w:color="auto" w:sz="4" w:space="0"/>
              <w:bottom w:val="single" w:color="auto" w:sz="4" w:space="0"/>
              <w:right w:val="single" w:color="auto" w:sz="4" w:space="0"/>
            </w:tcBorders>
            <w:vAlign w:val="center"/>
          </w:tcPr>
          <w:p>
            <w:pPr>
              <w:pStyle w:val="16"/>
              <w:rPr>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6"/>
              <w:rPr>
                <w:color w:val="auto"/>
                <w:highlight w:val="none"/>
              </w:rPr>
            </w:pPr>
          </w:p>
        </w:tc>
        <w:tc>
          <w:tcPr>
            <w:tcW w:w="2133" w:type="dxa"/>
            <w:tcBorders>
              <w:top w:val="single" w:color="auto" w:sz="4" w:space="0"/>
              <w:left w:val="single" w:color="auto" w:sz="4" w:space="0"/>
              <w:bottom w:val="single" w:color="auto" w:sz="4" w:space="0"/>
              <w:right w:val="single" w:color="auto" w:sz="4" w:space="0"/>
            </w:tcBorders>
            <w:vAlign w:val="center"/>
          </w:tcPr>
          <w:p>
            <w:pPr>
              <w:pStyle w:val="16"/>
              <w:rPr>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pStyle w:val="16"/>
              <w:rPr>
                <w:color w:val="auto"/>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16"/>
              <w:rPr>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679" w:type="dxa"/>
            <w:tcBorders>
              <w:top w:val="single" w:color="auto" w:sz="4" w:space="0"/>
              <w:left w:val="single" w:color="auto" w:sz="4" w:space="0"/>
              <w:bottom w:val="single" w:color="auto" w:sz="4" w:space="0"/>
              <w:right w:val="single" w:color="auto" w:sz="4" w:space="0"/>
            </w:tcBorders>
            <w:vAlign w:val="center"/>
          </w:tcPr>
          <w:p>
            <w:pPr>
              <w:pStyle w:val="16"/>
              <w:jc w:val="center"/>
              <w:rPr>
                <w:color w:val="auto"/>
                <w:highlight w:val="none"/>
              </w:rPr>
            </w:pPr>
            <w:r>
              <w:rPr>
                <w:rFonts w:hint="eastAsia"/>
                <w:color w:val="auto"/>
                <w:highlight w:val="none"/>
              </w:rPr>
              <w:t>...</w:t>
            </w:r>
          </w:p>
        </w:tc>
        <w:tc>
          <w:tcPr>
            <w:tcW w:w="2724" w:type="dxa"/>
            <w:tcBorders>
              <w:top w:val="single" w:color="auto" w:sz="4" w:space="0"/>
              <w:left w:val="single" w:color="auto" w:sz="4" w:space="0"/>
              <w:bottom w:val="single" w:color="auto" w:sz="4" w:space="0"/>
              <w:right w:val="single" w:color="auto" w:sz="4" w:space="0"/>
            </w:tcBorders>
            <w:vAlign w:val="center"/>
          </w:tcPr>
          <w:p>
            <w:pPr>
              <w:pStyle w:val="16"/>
              <w:rPr>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6"/>
              <w:rPr>
                <w:color w:val="auto"/>
                <w:highlight w:val="none"/>
              </w:rPr>
            </w:pPr>
          </w:p>
        </w:tc>
        <w:tc>
          <w:tcPr>
            <w:tcW w:w="2133" w:type="dxa"/>
            <w:tcBorders>
              <w:top w:val="single" w:color="auto" w:sz="4" w:space="0"/>
              <w:left w:val="single" w:color="auto" w:sz="4" w:space="0"/>
              <w:bottom w:val="single" w:color="auto" w:sz="4" w:space="0"/>
              <w:right w:val="single" w:color="auto" w:sz="4" w:space="0"/>
            </w:tcBorders>
            <w:vAlign w:val="center"/>
          </w:tcPr>
          <w:p>
            <w:pPr>
              <w:pStyle w:val="16"/>
              <w:rPr>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pStyle w:val="16"/>
              <w:rPr>
                <w:color w:val="auto"/>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16"/>
              <w:rPr>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679" w:type="dxa"/>
            <w:tcBorders>
              <w:top w:val="single" w:color="auto" w:sz="4" w:space="0"/>
              <w:left w:val="single" w:color="auto" w:sz="4" w:space="0"/>
              <w:bottom w:val="single" w:color="auto" w:sz="4" w:space="0"/>
              <w:right w:val="single" w:color="auto" w:sz="4" w:space="0"/>
            </w:tcBorders>
            <w:vAlign w:val="center"/>
          </w:tcPr>
          <w:p>
            <w:pPr>
              <w:pStyle w:val="16"/>
              <w:jc w:val="center"/>
              <w:rPr>
                <w:color w:val="auto"/>
                <w:highlight w:val="none"/>
              </w:rPr>
            </w:pPr>
            <w:r>
              <w:rPr>
                <w:rFonts w:hint="eastAsia"/>
                <w:color w:val="auto"/>
                <w:highlight w:val="none"/>
              </w:rPr>
              <w:t>N</w:t>
            </w:r>
          </w:p>
        </w:tc>
        <w:tc>
          <w:tcPr>
            <w:tcW w:w="2724" w:type="dxa"/>
            <w:tcBorders>
              <w:top w:val="single" w:color="auto" w:sz="4" w:space="0"/>
              <w:left w:val="single" w:color="auto" w:sz="4" w:space="0"/>
              <w:bottom w:val="single" w:color="auto" w:sz="4" w:space="0"/>
              <w:right w:val="single" w:color="auto" w:sz="4" w:space="0"/>
            </w:tcBorders>
            <w:vAlign w:val="center"/>
          </w:tcPr>
          <w:p>
            <w:pPr>
              <w:pStyle w:val="16"/>
              <w:rPr>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6"/>
              <w:rPr>
                <w:color w:val="auto"/>
                <w:highlight w:val="none"/>
              </w:rPr>
            </w:pPr>
          </w:p>
        </w:tc>
        <w:tc>
          <w:tcPr>
            <w:tcW w:w="2133" w:type="dxa"/>
            <w:tcBorders>
              <w:top w:val="single" w:color="auto" w:sz="4" w:space="0"/>
              <w:left w:val="single" w:color="auto" w:sz="4" w:space="0"/>
              <w:bottom w:val="single" w:color="auto" w:sz="4" w:space="0"/>
              <w:right w:val="single" w:color="auto" w:sz="4" w:space="0"/>
            </w:tcBorders>
            <w:vAlign w:val="center"/>
          </w:tcPr>
          <w:p>
            <w:pPr>
              <w:pStyle w:val="16"/>
              <w:rPr>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pStyle w:val="16"/>
              <w:rPr>
                <w:color w:val="auto"/>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16"/>
              <w:rPr>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4" w:hRule="atLeast"/>
        </w:trPr>
        <w:tc>
          <w:tcPr>
            <w:tcW w:w="10219" w:type="dxa"/>
            <w:gridSpan w:val="6"/>
            <w:tcBorders>
              <w:top w:val="single" w:color="auto" w:sz="4" w:space="0"/>
              <w:left w:val="single" w:color="auto" w:sz="4" w:space="0"/>
              <w:bottom w:val="single" w:color="auto" w:sz="4" w:space="0"/>
              <w:right w:val="single" w:color="auto" w:sz="4" w:space="0"/>
            </w:tcBorders>
            <w:vAlign w:val="center"/>
          </w:tcPr>
          <w:p>
            <w:pPr>
              <w:pStyle w:val="16"/>
              <w:rPr>
                <w:color w:val="auto"/>
                <w:spacing w:val="-6"/>
                <w:highlight w:val="none"/>
              </w:rPr>
            </w:pPr>
            <w:r>
              <w:rPr>
                <w:rFonts w:hint="eastAsia"/>
                <w:color w:val="auto"/>
                <w:highlight w:val="none"/>
              </w:rPr>
              <w:t>总报价：</w:t>
            </w:r>
            <w:r>
              <w:rPr>
                <w:rFonts w:hint="eastAsia"/>
                <w:color w:val="auto"/>
                <w:spacing w:val="-6"/>
                <w:highlight w:val="none"/>
              </w:rPr>
              <w:t>（大写）人民币（¥元）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0219" w:type="dxa"/>
            <w:gridSpan w:val="6"/>
            <w:tcBorders>
              <w:top w:val="single" w:color="auto" w:sz="4" w:space="0"/>
              <w:left w:val="single" w:color="auto" w:sz="4" w:space="0"/>
              <w:bottom w:val="single" w:color="auto" w:sz="4" w:space="0"/>
              <w:right w:val="single" w:color="auto" w:sz="4" w:space="0"/>
            </w:tcBorders>
            <w:vAlign w:val="center"/>
          </w:tcPr>
          <w:p>
            <w:pPr>
              <w:pStyle w:val="16"/>
              <w:rPr>
                <w:color w:val="auto"/>
                <w:spacing w:val="-6"/>
                <w:highlight w:val="none"/>
                <w:u w:val="single"/>
              </w:rPr>
            </w:pPr>
            <w:r>
              <w:rPr>
                <w:rFonts w:hint="eastAsia"/>
                <w:color w:val="auto"/>
                <w:spacing w:val="-6"/>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0219" w:type="dxa"/>
            <w:gridSpan w:val="6"/>
            <w:tcBorders>
              <w:top w:val="single" w:color="auto" w:sz="4" w:space="0"/>
              <w:left w:val="single" w:color="auto" w:sz="4" w:space="0"/>
              <w:bottom w:val="single" w:color="auto" w:sz="4" w:space="0"/>
              <w:right w:val="single" w:color="auto" w:sz="4" w:space="0"/>
            </w:tcBorders>
            <w:vAlign w:val="center"/>
          </w:tcPr>
          <w:p>
            <w:pPr>
              <w:pStyle w:val="16"/>
              <w:rPr>
                <w:color w:val="auto"/>
                <w:spacing w:val="-6"/>
                <w:highlight w:val="none"/>
              </w:rPr>
            </w:pPr>
            <w:r>
              <w:rPr>
                <w:rFonts w:hint="eastAsia"/>
                <w:color w:val="auto"/>
                <w:spacing w:val="-6"/>
                <w:highlight w:val="none"/>
              </w:rPr>
              <w:t>服务地点：</w:t>
            </w:r>
          </w:p>
        </w:tc>
      </w:tr>
    </w:tbl>
    <w:p>
      <w:pPr>
        <w:snapToGrid w:val="0"/>
        <w:spacing w:line="440" w:lineRule="atLeast"/>
        <w:rPr>
          <w:rFonts w:hAnsi="宋体"/>
          <w:color w:val="auto"/>
          <w:szCs w:val="21"/>
          <w:highlight w:val="none"/>
        </w:rPr>
      </w:pPr>
      <w:r>
        <w:rPr>
          <w:rFonts w:hint="eastAsia" w:hAnsi="宋体"/>
          <w:color w:val="auto"/>
          <w:szCs w:val="21"/>
          <w:highlight w:val="none"/>
        </w:rPr>
        <w:t>注：表格内容均需按要求如实填写，否则按投标无效处理。</w:t>
      </w:r>
    </w:p>
    <w:p>
      <w:pPr>
        <w:snapToGrid w:val="0"/>
        <w:spacing w:line="440" w:lineRule="atLeast"/>
        <w:rPr>
          <w:bCs/>
          <w:color w:val="auto"/>
          <w:szCs w:val="21"/>
          <w:highlight w:val="none"/>
        </w:rPr>
      </w:pPr>
    </w:p>
    <w:p>
      <w:pPr>
        <w:pStyle w:val="16"/>
        <w:snapToGrid w:val="0"/>
        <w:rPr>
          <w:rFonts w:ascii="Times New Roman"/>
          <w:color w:val="auto"/>
          <w:szCs w:val="21"/>
          <w:highlight w:val="none"/>
        </w:rPr>
      </w:pPr>
      <w:r>
        <w:rPr>
          <w:rFonts w:hint="eastAsia" w:ascii="Times New Roman"/>
          <w:color w:val="auto"/>
          <w:szCs w:val="21"/>
          <w:highlight w:val="none"/>
        </w:rPr>
        <w:t>投标人名称（加盖单位公章）：</w:t>
      </w:r>
    </w:p>
    <w:p>
      <w:pPr>
        <w:pStyle w:val="16"/>
        <w:snapToGrid w:val="0"/>
        <w:spacing w:line="500" w:lineRule="exact"/>
        <w:rPr>
          <w:color w:val="auto"/>
          <w:szCs w:val="21"/>
          <w:highlight w:val="none"/>
        </w:rPr>
      </w:pPr>
      <w:r>
        <w:rPr>
          <w:rFonts w:hint="eastAsia" w:ascii="Times New Roman"/>
          <w:color w:val="auto"/>
          <w:szCs w:val="21"/>
          <w:highlight w:val="none"/>
        </w:rPr>
        <w:t>法定代表人（负责人）或其委托代理人（签字或签章）：</w:t>
      </w:r>
    </w:p>
    <w:p>
      <w:pPr>
        <w:pStyle w:val="16"/>
        <w:snapToGrid w:val="0"/>
        <w:spacing w:line="500" w:lineRule="exact"/>
        <w:rPr>
          <w:color w:val="auto"/>
          <w:szCs w:val="21"/>
          <w:highlight w:val="none"/>
          <w:u w:val="single"/>
        </w:rPr>
      </w:pPr>
      <w:r>
        <w:rPr>
          <w:rFonts w:hint="eastAsia"/>
          <w:color w:val="auto"/>
          <w:szCs w:val="21"/>
          <w:highlight w:val="none"/>
        </w:rPr>
        <w:t>日期：</w:t>
      </w:r>
    </w:p>
    <w:p>
      <w:pPr>
        <w:pStyle w:val="16"/>
        <w:snapToGrid w:val="0"/>
        <w:spacing w:line="500" w:lineRule="exact"/>
        <w:rPr>
          <w:color w:val="auto"/>
          <w:szCs w:val="21"/>
          <w:highlight w:val="none"/>
          <w:u w:val="single"/>
        </w:rPr>
        <w:sectPr>
          <w:pgSz w:w="11906" w:h="16838"/>
          <w:pgMar w:top="851" w:right="964" w:bottom="1134" w:left="1134" w:header="567" w:footer="567" w:gutter="0"/>
          <w:cols w:space="720" w:num="1"/>
          <w:docGrid w:linePitch="312" w:charSpace="0"/>
        </w:sectPr>
      </w:pPr>
    </w:p>
    <w:p>
      <w:pPr>
        <w:pStyle w:val="16"/>
        <w:spacing w:line="600" w:lineRule="exact"/>
        <w:jc w:val="center"/>
        <w:rPr>
          <w:b/>
          <w:bCs/>
          <w:color w:val="auto"/>
          <w:sz w:val="28"/>
          <w:szCs w:val="28"/>
          <w:highlight w:val="none"/>
        </w:rPr>
      </w:pPr>
      <w:r>
        <w:rPr>
          <w:rFonts w:hint="eastAsia"/>
          <w:b/>
          <w:bCs/>
          <w:color w:val="auto"/>
          <w:sz w:val="28"/>
          <w:szCs w:val="28"/>
          <w:highlight w:val="none"/>
        </w:rPr>
        <w:t>商务条款偏离表（格式）</w:t>
      </w:r>
    </w:p>
    <w:p>
      <w:pPr>
        <w:pStyle w:val="16"/>
        <w:ind w:firstLine="420"/>
        <w:rPr>
          <w:color w:val="auto"/>
          <w:szCs w:val="21"/>
          <w:highlight w:val="none"/>
        </w:rPr>
      </w:pPr>
      <w:r>
        <w:rPr>
          <w:rFonts w:hint="eastAsia"/>
          <w:color w:val="auto"/>
          <w:szCs w:val="21"/>
          <w:highlight w:val="none"/>
        </w:rPr>
        <w:t>请逐条对应本项目招标文件第四章“服务需求一览表”中商务条款的要求，如实填写该表。“偏离说明”一栏选择“正偏离”、“负偏离”或“无偏离”进行填写。</w:t>
      </w:r>
    </w:p>
    <w:p>
      <w:pPr>
        <w:pStyle w:val="16"/>
        <w:ind w:firstLine="420"/>
        <w:rPr>
          <w:color w:val="auto"/>
          <w:szCs w:val="21"/>
          <w:highlight w:val="none"/>
        </w:rPr>
      </w:pPr>
    </w:p>
    <w:tbl>
      <w:tblPr>
        <w:tblStyle w:val="3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103"/>
        <w:gridCol w:w="113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jc w:val="center"/>
              <w:rPr>
                <w:color w:val="auto"/>
                <w:szCs w:val="21"/>
                <w:highlight w:val="none"/>
              </w:rPr>
            </w:pPr>
            <w:r>
              <w:rPr>
                <w:rFonts w:hint="eastAsia"/>
                <w:color w:val="auto"/>
                <w:szCs w:val="21"/>
                <w:highlight w:val="none"/>
              </w:rPr>
              <w:t>序号</w:t>
            </w:r>
          </w:p>
        </w:tc>
        <w:tc>
          <w:tcPr>
            <w:tcW w:w="5103"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jc w:val="center"/>
              <w:rPr>
                <w:color w:val="auto"/>
                <w:szCs w:val="21"/>
                <w:highlight w:val="none"/>
              </w:rPr>
            </w:pPr>
            <w:r>
              <w:rPr>
                <w:rFonts w:hint="eastAsia"/>
                <w:color w:val="auto"/>
                <w:szCs w:val="21"/>
                <w:highlight w:val="none"/>
              </w:rPr>
              <w:t>商务条款要求</w:t>
            </w:r>
          </w:p>
        </w:tc>
        <w:tc>
          <w:tcPr>
            <w:tcW w:w="1134"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rPr>
                <w:color w:val="auto"/>
                <w:szCs w:val="21"/>
                <w:highlight w:val="none"/>
              </w:rPr>
            </w:pPr>
            <w:r>
              <w:rPr>
                <w:rFonts w:hint="eastAsia"/>
                <w:color w:val="auto"/>
                <w:szCs w:val="21"/>
                <w:highlight w:val="none"/>
              </w:rPr>
              <w:t>是否响应</w:t>
            </w:r>
          </w:p>
        </w:tc>
        <w:tc>
          <w:tcPr>
            <w:tcW w:w="2835"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jc w:val="center"/>
              <w:rPr>
                <w:color w:val="auto"/>
                <w:szCs w:val="21"/>
                <w:highlight w:val="none"/>
              </w:rPr>
            </w:pPr>
            <w:r>
              <w:rPr>
                <w:rFonts w:hint="eastAsia"/>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jc w:val="center"/>
              <w:rPr>
                <w:color w:val="auto"/>
                <w:szCs w:val="21"/>
                <w:highlight w:val="none"/>
              </w:rPr>
            </w:pPr>
            <w:r>
              <w:rPr>
                <w:color w:val="auto"/>
                <w:szCs w:val="21"/>
                <w:highlight w:val="none"/>
              </w:rPr>
              <w:t>1</w:t>
            </w:r>
          </w:p>
        </w:tc>
        <w:tc>
          <w:tcPr>
            <w:tcW w:w="5103"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rPr>
                <w:color w:val="auto"/>
                <w:szCs w:val="21"/>
                <w:highlight w:val="none"/>
              </w:rPr>
            </w:pPr>
            <w:r>
              <w:rPr>
                <w:rFonts w:hint="eastAsia"/>
                <w:color w:val="auto"/>
                <w:szCs w:val="21"/>
                <w:highlight w:val="none"/>
              </w:rPr>
              <w:t>完全理解并接受合同条款要求</w:t>
            </w:r>
          </w:p>
        </w:tc>
        <w:tc>
          <w:tcPr>
            <w:tcW w:w="1134"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rPr>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jc w:val="center"/>
              <w:rPr>
                <w:color w:val="auto"/>
                <w:szCs w:val="21"/>
                <w:highlight w:val="none"/>
              </w:rPr>
            </w:pPr>
            <w:r>
              <w:rPr>
                <w:color w:val="auto"/>
                <w:szCs w:val="21"/>
                <w:highlight w:val="none"/>
              </w:rPr>
              <w:t>2</w:t>
            </w:r>
          </w:p>
        </w:tc>
        <w:tc>
          <w:tcPr>
            <w:tcW w:w="5103"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jc w:val="left"/>
              <w:rPr>
                <w:color w:val="auto"/>
                <w:szCs w:val="21"/>
                <w:highlight w:val="none"/>
              </w:rPr>
            </w:pPr>
            <w:r>
              <w:rPr>
                <w:rFonts w:hint="eastAsia"/>
                <w:color w:val="auto"/>
                <w:szCs w:val="21"/>
                <w:highlight w:val="none"/>
              </w:rPr>
              <w:t>服务期限：3年</w:t>
            </w:r>
          </w:p>
        </w:tc>
        <w:tc>
          <w:tcPr>
            <w:tcW w:w="1134"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rPr>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jc w:val="center"/>
              <w:rPr>
                <w:color w:val="auto"/>
                <w:szCs w:val="21"/>
                <w:highlight w:val="none"/>
              </w:rPr>
            </w:pPr>
            <w:r>
              <w:rPr>
                <w:color w:val="auto"/>
                <w:szCs w:val="21"/>
                <w:highlight w:val="none"/>
              </w:rPr>
              <w:t>3</w:t>
            </w:r>
          </w:p>
        </w:tc>
        <w:tc>
          <w:tcPr>
            <w:tcW w:w="5103"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jc w:val="left"/>
              <w:rPr>
                <w:color w:val="auto"/>
                <w:szCs w:val="21"/>
                <w:highlight w:val="none"/>
              </w:rPr>
            </w:pPr>
            <w:r>
              <w:rPr>
                <w:rFonts w:hint="eastAsia"/>
                <w:color w:val="auto"/>
                <w:szCs w:val="21"/>
                <w:highlight w:val="none"/>
              </w:rPr>
              <w:t>投标有效期：投标截止日期后60天。</w:t>
            </w:r>
          </w:p>
          <w:p>
            <w:pPr>
              <w:pStyle w:val="16"/>
              <w:spacing w:line="380" w:lineRule="atLeast"/>
              <w:jc w:val="left"/>
              <w:rPr>
                <w:color w:val="auto"/>
                <w:szCs w:val="21"/>
                <w:highlight w:val="none"/>
              </w:rPr>
            </w:pPr>
            <w:r>
              <w:rPr>
                <w:rFonts w:hint="eastAsia"/>
                <w:color w:val="auto"/>
                <w:szCs w:val="21"/>
                <w:highlight w:val="none"/>
              </w:rPr>
              <w:t>[注：投标保证金有效期应比投标有效期延长25日。]</w:t>
            </w:r>
          </w:p>
        </w:tc>
        <w:tc>
          <w:tcPr>
            <w:tcW w:w="1134"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rPr>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jc w:val="center"/>
              <w:rPr>
                <w:color w:val="auto"/>
                <w:szCs w:val="21"/>
                <w:highlight w:val="none"/>
              </w:rPr>
            </w:pPr>
            <w:r>
              <w:rPr>
                <w:rFonts w:hint="eastAsia"/>
                <w:color w:val="auto"/>
                <w:szCs w:val="21"/>
                <w:highlight w:val="none"/>
              </w:rPr>
              <w:t>4</w:t>
            </w:r>
          </w:p>
        </w:tc>
        <w:tc>
          <w:tcPr>
            <w:tcW w:w="5103"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jc w:val="center"/>
              <w:rPr>
                <w:color w:val="auto"/>
                <w:szCs w:val="21"/>
                <w:highlight w:val="none"/>
              </w:rPr>
            </w:pPr>
            <w:r>
              <w:rPr>
                <w:rFonts w:hint="eastAsia"/>
                <w:color w:val="auto"/>
                <w:szCs w:val="21"/>
                <w:highlight w:val="none"/>
              </w:rPr>
              <w:t>付款方式：</w:t>
            </w:r>
            <w:r>
              <w:rPr>
                <w:rFonts w:hint="eastAsia"/>
                <w:bCs/>
                <w:color w:val="auto"/>
                <w:szCs w:val="21"/>
                <w:highlight w:val="none"/>
              </w:rPr>
              <w:t>为每一季度结算期并付款一次，即签订合同执行日起，每季度根据乙方为甲方提供的服务内容，进行核算；由乙方开具季度的全额费用发票，甲方在一个月内付全款给乙方。</w:t>
            </w:r>
          </w:p>
        </w:tc>
        <w:tc>
          <w:tcPr>
            <w:tcW w:w="1134"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rPr>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7" w:hRule="atLeast"/>
        </w:trPr>
        <w:tc>
          <w:tcPr>
            <w:tcW w:w="675"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jc w:val="center"/>
              <w:rPr>
                <w:color w:val="auto"/>
                <w:szCs w:val="21"/>
                <w:highlight w:val="none"/>
              </w:rPr>
            </w:pPr>
            <w:r>
              <w:rPr>
                <w:rFonts w:hint="eastAsia"/>
                <w:color w:val="auto"/>
                <w:szCs w:val="21"/>
                <w:highlight w:val="none"/>
              </w:rPr>
              <w:t>5</w:t>
            </w:r>
          </w:p>
        </w:tc>
        <w:tc>
          <w:tcPr>
            <w:tcW w:w="5103"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jc w:val="left"/>
              <w:rPr>
                <w:color w:val="auto"/>
                <w:szCs w:val="21"/>
                <w:highlight w:val="none"/>
              </w:rPr>
            </w:pPr>
            <w:r>
              <w:rPr>
                <w:color w:val="auto"/>
                <w:szCs w:val="21"/>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rPr>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16"/>
              <w:spacing w:line="380" w:lineRule="atLeast"/>
              <w:jc w:val="center"/>
              <w:rPr>
                <w:color w:val="auto"/>
                <w:szCs w:val="21"/>
                <w:highlight w:val="none"/>
              </w:rPr>
            </w:pPr>
          </w:p>
        </w:tc>
      </w:tr>
    </w:tbl>
    <w:p>
      <w:pPr>
        <w:pStyle w:val="16"/>
        <w:spacing w:line="276" w:lineRule="auto"/>
        <w:ind w:firstLine="283" w:firstLineChars="135"/>
        <w:rPr>
          <w:color w:val="auto"/>
          <w:szCs w:val="21"/>
          <w:highlight w:val="none"/>
        </w:rPr>
      </w:pPr>
    </w:p>
    <w:p>
      <w:pPr>
        <w:pStyle w:val="16"/>
        <w:spacing w:line="276" w:lineRule="auto"/>
        <w:ind w:firstLine="283" w:firstLineChars="135"/>
        <w:rPr>
          <w:color w:val="auto"/>
          <w:szCs w:val="21"/>
          <w:highlight w:val="none"/>
          <w:u w:val="single"/>
        </w:rPr>
      </w:pPr>
      <w:r>
        <w:rPr>
          <w:rFonts w:hint="eastAsia"/>
          <w:color w:val="auto"/>
          <w:szCs w:val="21"/>
          <w:highlight w:val="none"/>
        </w:rPr>
        <w:t>投标人名称（盖单位公章）：</w:t>
      </w:r>
    </w:p>
    <w:p>
      <w:pPr>
        <w:pStyle w:val="16"/>
        <w:spacing w:line="276" w:lineRule="auto"/>
        <w:ind w:firstLine="283" w:firstLineChars="135"/>
        <w:rPr>
          <w:color w:val="auto"/>
          <w:szCs w:val="21"/>
          <w:highlight w:val="none"/>
          <w:u w:val="single"/>
        </w:rPr>
      </w:pPr>
    </w:p>
    <w:p>
      <w:pPr>
        <w:pStyle w:val="16"/>
        <w:spacing w:line="276" w:lineRule="auto"/>
        <w:ind w:firstLine="283" w:firstLineChars="135"/>
        <w:rPr>
          <w:color w:val="auto"/>
          <w:szCs w:val="21"/>
          <w:highlight w:val="none"/>
          <w:u w:val="single"/>
        </w:rPr>
      </w:pPr>
      <w:r>
        <w:rPr>
          <w:rFonts w:hint="eastAsia"/>
          <w:color w:val="auto"/>
          <w:szCs w:val="21"/>
          <w:highlight w:val="none"/>
        </w:rPr>
        <w:t>法定代表人（负责人）或其委托代理人（签字或签章）：</w:t>
      </w:r>
    </w:p>
    <w:p>
      <w:pPr>
        <w:pStyle w:val="16"/>
        <w:spacing w:line="276" w:lineRule="auto"/>
        <w:ind w:firstLine="283" w:firstLineChars="135"/>
        <w:jc w:val="left"/>
        <w:rPr>
          <w:color w:val="auto"/>
          <w:szCs w:val="21"/>
          <w:highlight w:val="none"/>
        </w:rPr>
      </w:pPr>
    </w:p>
    <w:p>
      <w:pPr>
        <w:pStyle w:val="16"/>
        <w:spacing w:line="276" w:lineRule="auto"/>
        <w:ind w:firstLine="283" w:firstLineChars="135"/>
        <w:rPr>
          <w:color w:val="auto"/>
          <w:szCs w:val="21"/>
          <w:highlight w:val="none"/>
        </w:rPr>
      </w:pPr>
      <w:bookmarkStart w:id="69" w:name="_Toc316459124"/>
      <w:bookmarkStart w:id="70" w:name="_Toc263847726"/>
      <w:r>
        <w:rPr>
          <w:rFonts w:hint="eastAsia"/>
          <w:color w:val="auto"/>
          <w:szCs w:val="21"/>
          <w:highlight w:val="none"/>
        </w:rPr>
        <w:t>日期：</w:t>
      </w:r>
      <w:bookmarkEnd w:id="69"/>
      <w:bookmarkEnd w:id="70"/>
    </w:p>
    <w:p>
      <w:pPr>
        <w:rPr>
          <w:color w:val="auto"/>
          <w:highlight w:val="none"/>
        </w:rPr>
      </w:pPr>
    </w:p>
    <w:p>
      <w:pPr>
        <w:spacing w:line="320" w:lineRule="exact"/>
        <w:ind w:left="944" w:hanging="944" w:hangingChars="448"/>
        <w:rPr>
          <w:b/>
          <w:bCs/>
          <w:color w:val="auto"/>
          <w:highlight w:val="none"/>
        </w:rPr>
      </w:pPr>
      <w:r>
        <w:rPr>
          <w:rFonts w:hint="eastAsia"/>
          <w:b/>
          <w:bCs/>
          <w:color w:val="auto"/>
          <w:highlight w:val="none"/>
        </w:rPr>
        <w:t>说明：</w:t>
      </w:r>
    </w:p>
    <w:p>
      <w:pPr>
        <w:pStyle w:val="16"/>
        <w:spacing w:line="320" w:lineRule="exact"/>
        <w:ind w:left="315" w:hanging="315" w:hangingChars="150"/>
        <w:jc w:val="left"/>
        <w:rPr>
          <w:color w:val="auto"/>
          <w:highlight w:val="none"/>
          <w:lang w:val="en-GB"/>
        </w:rPr>
      </w:pPr>
      <w:r>
        <w:rPr>
          <w:rFonts w:hint="eastAsia"/>
          <w:color w:val="auto"/>
          <w:highlight w:val="none"/>
          <w:lang w:val="en-GB"/>
        </w:rPr>
        <w:t>1、对于上述要求，如投标人完全响应，则请在“是否响应”栏内打“√”，</w:t>
      </w:r>
      <w:r>
        <w:rPr>
          <w:rFonts w:hint="eastAsia"/>
          <w:color w:val="auto"/>
          <w:highlight w:val="none"/>
        </w:rPr>
        <w:t>“偏离说明”一栏填写“无偏离”。</w:t>
      </w:r>
      <w:r>
        <w:rPr>
          <w:rFonts w:hint="eastAsia"/>
          <w:color w:val="auto"/>
          <w:highlight w:val="none"/>
          <w:lang w:val="en-GB"/>
        </w:rPr>
        <w:t>空白或打“×”视为存在偏离情况，请在</w:t>
      </w:r>
      <w:r>
        <w:rPr>
          <w:rFonts w:hint="eastAsia"/>
          <w:color w:val="auto"/>
          <w:highlight w:val="none"/>
        </w:rPr>
        <w:t>“偏离说明”</w:t>
      </w:r>
      <w:r>
        <w:rPr>
          <w:rFonts w:hint="eastAsia"/>
          <w:color w:val="auto"/>
          <w:highlight w:val="none"/>
          <w:lang w:val="en-GB"/>
        </w:rPr>
        <w:t>栏</w:t>
      </w:r>
      <w:r>
        <w:rPr>
          <w:rFonts w:hint="eastAsia"/>
          <w:color w:val="auto"/>
          <w:highlight w:val="none"/>
        </w:rPr>
        <w:t>选择“正偏离”或“负偏离”填写，并</w:t>
      </w:r>
      <w:r>
        <w:rPr>
          <w:rFonts w:hint="eastAsia"/>
          <w:color w:val="auto"/>
          <w:highlight w:val="none"/>
          <w:lang w:val="en-GB"/>
        </w:rPr>
        <w:t>扼要说明偏离情况。</w:t>
      </w:r>
    </w:p>
    <w:p>
      <w:pPr>
        <w:pStyle w:val="16"/>
        <w:spacing w:line="320" w:lineRule="exact"/>
        <w:ind w:left="315" w:hanging="315" w:hangingChars="150"/>
        <w:jc w:val="left"/>
        <w:rPr>
          <w:color w:val="auto"/>
          <w:highlight w:val="none"/>
        </w:rPr>
      </w:pPr>
      <w:r>
        <w:rPr>
          <w:rFonts w:hint="eastAsia"/>
          <w:color w:val="auto"/>
          <w:highlight w:val="none"/>
        </w:rPr>
        <w:t>2、</w:t>
      </w:r>
      <w:r>
        <w:rPr>
          <w:rFonts w:hint="eastAsia"/>
          <w:color w:val="auto"/>
          <w:highlight w:val="none"/>
          <w:lang w:val="en-GB"/>
        </w:rPr>
        <w:t>本表内容</w:t>
      </w:r>
      <w:r>
        <w:rPr>
          <w:rFonts w:hint="eastAsia"/>
          <w:color w:val="auto"/>
          <w:highlight w:val="none"/>
        </w:rPr>
        <w:t>不得</w:t>
      </w:r>
      <w:r>
        <w:rPr>
          <w:rFonts w:hint="eastAsia"/>
          <w:color w:val="auto"/>
          <w:highlight w:val="none"/>
          <w:lang w:val="en-GB"/>
        </w:rPr>
        <w:t>擅自修改，否则</w:t>
      </w:r>
      <w:r>
        <w:rPr>
          <w:rFonts w:hint="eastAsia"/>
          <w:color w:val="auto"/>
          <w:highlight w:val="none"/>
        </w:rPr>
        <w:t>该投标文件视为无效。</w:t>
      </w:r>
    </w:p>
    <w:p>
      <w:pPr>
        <w:pStyle w:val="16"/>
        <w:spacing w:line="320" w:lineRule="exact"/>
        <w:ind w:left="315" w:hanging="315" w:hangingChars="150"/>
        <w:jc w:val="left"/>
        <w:rPr>
          <w:color w:val="auto"/>
          <w:szCs w:val="21"/>
          <w:highlight w:val="none"/>
        </w:rPr>
      </w:pPr>
    </w:p>
    <w:p>
      <w:pPr>
        <w:pStyle w:val="16"/>
        <w:spacing w:line="276" w:lineRule="auto"/>
        <w:ind w:firstLine="283" w:firstLineChars="135"/>
        <w:rPr>
          <w:color w:val="auto"/>
          <w:szCs w:val="21"/>
          <w:highlight w:val="none"/>
        </w:rPr>
      </w:pPr>
    </w:p>
    <w:p>
      <w:pPr>
        <w:pStyle w:val="16"/>
        <w:spacing w:line="276" w:lineRule="auto"/>
        <w:ind w:firstLine="283" w:firstLineChars="135"/>
        <w:rPr>
          <w:color w:val="auto"/>
          <w:szCs w:val="21"/>
          <w:highlight w:val="none"/>
        </w:rPr>
      </w:pPr>
    </w:p>
    <w:p>
      <w:pPr>
        <w:pStyle w:val="16"/>
        <w:spacing w:line="500" w:lineRule="exact"/>
        <w:jc w:val="center"/>
        <w:rPr>
          <w:b/>
          <w:color w:val="auto"/>
          <w:sz w:val="28"/>
          <w:szCs w:val="28"/>
          <w:highlight w:val="none"/>
        </w:rPr>
        <w:sectPr>
          <w:pgSz w:w="11906" w:h="16838"/>
          <w:pgMar w:top="1134" w:right="964" w:bottom="1134" w:left="1134" w:header="851" w:footer="992" w:gutter="0"/>
          <w:cols w:space="720" w:num="1"/>
          <w:docGrid w:linePitch="312" w:charSpace="0"/>
        </w:sectPr>
      </w:pPr>
    </w:p>
    <w:p>
      <w:pPr>
        <w:pStyle w:val="16"/>
        <w:spacing w:line="500" w:lineRule="exact"/>
        <w:jc w:val="left"/>
        <w:rPr>
          <w:b/>
          <w:color w:val="auto"/>
          <w:sz w:val="28"/>
          <w:szCs w:val="28"/>
          <w:highlight w:val="none"/>
        </w:rPr>
      </w:pPr>
      <w:r>
        <w:rPr>
          <w:rFonts w:hint="eastAsia"/>
          <w:b/>
          <w:color w:val="auto"/>
          <w:sz w:val="28"/>
          <w:szCs w:val="28"/>
          <w:highlight w:val="none"/>
        </w:rPr>
        <w:t>技术文件格式</w:t>
      </w:r>
    </w:p>
    <w:p>
      <w:pPr>
        <w:pStyle w:val="16"/>
        <w:spacing w:line="600" w:lineRule="exact"/>
        <w:jc w:val="center"/>
        <w:rPr>
          <w:b/>
          <w:color w:val="auto"/>
          <w:sz w:val="36"/>
          <w:szCs w:val="36"/>
          <w:highlight w:val="none"/>
        </w:rPr>
      </w:pPr>
    </w:p>
    <w:p>
      <w:pPr>
        <w:pStyle w:val="16"/>
        <w:spacing w:line="600" w:lineRule="exact"/>
        <w:jc w:val="center"/>
        <w:rPr>
          <w:b/>
          <w:color w:val="auto"/>
          <w:sz w:val="36"/>
          <w:szCs w:val="36"/>
          <w:highlight w:val="none"/>
        </w:rPr>
      </w:pPr>
    </w:p>
    <w:p>
      <w:pPr>
        <w:pStyle w:val="16"/>
        <w:spacing w:line="600" w:lineRule="exact"/>
        <w:jc w:val="center"/>
        <w:rPr>
          <w:b/>
          <w:color w:val="auto"/>
          <w:sz w:val="36"/>
          <w:szCs w:val="36"/>
          <w:highlight w:val="none"/>
        </w:rPr>
      </w:pPr>
    </w:p>
    <w:p>
      <w:pPr>
        <w:pStyle w:val="16"/>
        <w:spacing w:line="600" w:lineRule="exact"/>
        <w:jc w:val="center"/>
        <w:rPr>
          <w:b/>
          <w:color w:val="auto"/>
          <w:sz w:val="36"/>
          <w:szCs w:val="36"/>
          <w:highlight w:val="none"/>
        </w:rPr>
      </w:pPr>
    </w:p>
    <w:p>
      <w:pPr>
        <w:pStyle w:val="16"/>
        <w:spacing w:line="600" w:lineRule="exact"/>
        <w:jc w:val="center"/>
        <w:rPr>
          <w:b/>
          <w:color w:val="auto"/>
          <w:sz w:val="36"/>
          <w:szCs w:val="36"/>
          <w:highlight w:val="none"/>
        </w:rPr>
      </w:pPr>
      <w:r>
        <w:rPr>
          <w:rFonts w:hint="eastAsia"/>
          <w:b/>
          <w:color w:val="auto"/>
          <w:sz w:val="36"/>
          <w:szCs w:val="36"/>
          <w:highlight w:val="none"/>
        </w:rPr>
        <w:t>服务方案</w:t>
      </w:r>
    </w:p>
    <w:p>
      <w:pPr>
        <w:pStyle w:val="16"/>
        <w:spacing w:line="600" w:lineRule="exact"/>
        <w:jc w:val="left"/>
        <w:rPr>
          <w:color w:val="auto"/>
          <w:szCs w:val="21"/>
          <w:highlight w:val="none"/>
        </w:rPr>
      </w:pPr>
      <w:r>
        <w:rPr>
          <w:rFonts w:hint="eastAsia"/>
          <w:color w:val="auto"/>
          <w:szCs w:val="21"/>
          <w:highlight w:val="none"/>
        </w:rPr>
        <w:t>(由投标人按本项目招标文件要求并结合自身实际自行编制，如：</w:t>
      </w:r>
      <w:r>
        <w:rPr>
          <w:rFonts w:hint="eastAsia"/>
          <w:color w:val="auto"/>
          <w:sz w:val="22"/>
          <w:szCs w:val="22"/>
          <w:highlight w:val="none"/>
        </w:rPr>
        <w:t>服务工作大纲、</w:t>
      </w:r>
      <w:r>
        <w:rPr>
          <w:rFonts w:hint="eastAsia"/>
          <w:bCs/>
          <w:color w:val="auto"/>
          <w:sz w:val="22"/>
          <w:szCs w:val="22"/>
          <w:highlight w:val="none"/>
        </w:rPr>
        <w:t>整体规划方案、维保实施</w:t>
      </w:r>
      <w:r>
        <w:rPr>
          <w:rFonts w:hint="eastAsia"/>
          <w:bCs/>
          <w:color w:val="auto"/>
          <w:sz w:val="22"/>
          <w:szCs w:val="22"/>
          <w:highlight w:val="none"/>
          <w:lang w:val="zh-CN"/>
        </w:rPr>
        <w:t>方案、服务承诺及后续服务工作安排</w:t>
      </w:r>
      <w:r>
        <w:rPr>
          <w:rFonts w:hint="eastAsia"/>
          <w:color w:val="auto"/>
          <w:sz w:val="22"/>
          <w:szCs w:val="22"/>
          <w:highlight w:val="none"/>
        </w:rPr>
        <w:t>等</w:t>
      </w:r>
      <w:r>
        <w:rPr>
          <w:rFonts w:hint="eastAsia"/>
          <w:color w:val="auto"/>
          <w:szCs w:val="21"/>
          <w:highlight w:val="none"/>
        </w:rPr>
        <w:t>)</w:t>
      </w:r>
    </w:p>
    <w:p>
      <w:pPr>
        <w:pStyle w:val="16"/>
        <w:spacing w:line="600" w:lineRule="exact"/>
        <w:jc w:val="center"/>
        <w:rPr>
          <w:color w:val="auto"/>
          <w:szCs w:val="21"/>
          <w:highlight w:val="none"/>
        </w:rPr>
      </w:pPr>
    </w:p>
    <w:p>
      <w:pPr>
        <w:pStyle w:val="16"/>
        <w:spacing w:line="600" w:lineRule="exact"/>
        <w:jc w:val="center"/>
        <w:rPr>
          <w:color w:val="auto"/>
          <w:szCs w:val="21"/>
          <w:highlight w:val="none"/>
        </w:rPr>
      </w:pPr>
    </w:p>
    <w:p>
      <w:pPr>
        <w:pStyle w:val="16"/>
        <w:spacing w:line="600" w:lineRule="exact"/>
        <w:jc w:val="center"/>
        <w:rPr>
          <w:color w:val="auto"/>
          <w:szCs w:val="21"/>
          <w:highlight w:val="none"/>
        </w:rPr>
      </w:pPr>
    </w:p>
    <w:p>
      <w:pPr>
        <w:pStyle w:val="16"/>
        <w:spacing w:line="600" w:lineRule="exact"/>
        <w:jc w:val="center"/>
        <w:rPr>
          <w:color w:val="auto"/>
          <w:szCs w:val="21"/>
          <w:highlight w:val="none"/>
        </w:rPr>
      </w:pPr>
    </w:p>
    <w:p>
      <w:pPr>
        <w:pStyle w:val="16"/>
        <w:spacing w:line="600" w:lineRule="exact"/>
        <w:jc w:val="center"/>
        <w:rPr>
          <w:color w:val="auto"/>
          <w:szCs w:val="21"/>
          <w:highlight w:val="none"/>
        </w:rPr>
      </w:pPr>
    </w:p>
    <w:p>
      <w:pPr>
        <w:pStyle w:val="16"/>
        <w:spacing w:line="600" w:lineRule="exact"/>
        <w:jc w:val="center"/>
        <w:rPr>
          <w:color w:val="auto"/>
          <w:szCs w:val="21"/>
          <w:highlight w:val="none"/>
        </w:rPr>
      </w:pPr>
    </w:p>
    <w:p>
      <w:pPr>
        <w:pStyle w:val="16"/>
        <w:spacing w:line="600" w:lineRule="exact"/>
        <w:jc w:val="center"/>
        <w:rPr>
          <w:color w:val="auto"/>
          <w:szCs w:val="21"/>
          <w:highlight w:val="none"/>
        </w:rPr>
      </w:pPr>
    </w:p>
    <w:p>
      <w:pPr>
        <w:pStyle w:val="16"/>
        <w:spacing w:line="600" w:lineRule="exact"/>
        <w:ind w:firstLine="707" w:firstLineChars="337"/>
        <w:rPr>
          <w:color w:val="auto"/>
          <w:szCs w:val="21"/>
          <w:highlight w:val="none"/>
          <w:u w:val="single"/>
        </w:rPr>
      </w:pPr>
      <w:r>
        <w:rPr>
          <w:rFonts w:hint="eastAsia"/>
          <w:color w:val="auto"/>
          <w:szCs w:val="21"/>
          <w:highlight w:val="none"/>
        </w:rPr>
        <w:t>投标人名称（加盖公章）：</w:t>
      </w:r>
    </w:p>
    <w:p>
      <w:pPr>
        <w:pStyle w:val="16"/>
        <w:spacing w:line="600" w:lineRule="exact"/>
        <w:ind w:firstLine="707" w:firstLineChars="337"/>
        <w:rPr>
          <w:color w:val="auto"/>
          <w:szCs w:val="21"/>
          <w:highlight w:val="none"/>
          <w:u w:val="single"/>
        </w:rPr>
      </w:pPr>
      <w:r>
        <w:rPr>
          <w:rFonts w:hint="eastAsia"/>
          <w:color w:val="auto"/>
          <w:szCs w:val="21"/>
          <w:highlight w:val="none"/>
        </w:rPr>
        <w:t>法定代表人（负责人）或委托代理人（签字或签章）：</w:t>
      </w:r>
    </w:p>
    <w:p>
      <w:pPr>
        <w:pStyle w:val="16"/>
        <w:spacing w:line="600" w:lineRule="exact"/>
        <w:ind w:firstLine="707" w:firstLineChars="337"/>
        <w:rPr>
          <w:color w:val="auto"/>
          <w:szCs w:val="21"/>
          <w:highlight w:val="none"/>
          <w:u w:val="single"/>
        </w:rPr>
      </w:pPr>
      <w:r>
        <w:rPr>
          <w:rFonts w:hint="eastAsia"/>
          <w:color w:val="auto"/>
          <w:szCs w:val="21"/>
          <w:highlight w:val="none"/>
        </w:rPr>
        <w:t>投标日期：</w:t>
      </w:r>
      <w:r>
        <w:rPr>
          <w:rFonts w:hint="eastAsia"/>
          <w:color w:val="auto"/>
          <w:szCs w:val="21"/>
          <w:highlight w:val="none"/>
          <w:u w:val="single"/>
        </w:rPr>
        <w:t xml:space="preserve">        年     月     日</w:t>
      </w:r>
    </w:p>
    <w:p>
      <w:pPr>
        <w:pStyle w:val="16"/>
        <w:spacing w:line="600" w:lineRule="exact"/>
        <w:rPr>
          <w:b/>
          <w:color w:val="auto"/>
          <w:sz w:val="36"/>
          <w:szCs w:val="36"/>
          <w:highlight w:val="none"/>
        </w:rPr>
      </w:pPr>
    </w:p>
    <w:p>
      <w:pPr>
        <w:pStyle w:val="16"/>
        <w:spacing w:line="600" w:lineRule="exact"/>
        <w:jc w:val="center"/>
        <w:rPr>
          <w:b/>
          <w:bCs/>
          <w:color w:val="auto"/>
          <w:sz w:val="28"/>
          <w:szCs w:val="28"/>
          <w:highlight w:val="none"/>
        </w:rPr>
        <w:sectPr>
          <w:headerReference r:id="rId20" w:type="first"/>
          <w:footerReference r:id="rId23" w:type="first"/>
          <w:headerReference r:id="rId18" w:type="default"/>
          <w:footerReference r:id="rId21" w:type="default"/>
          <w:headerReference r:id="rId19" w:type="even"/>
          <w:footerReference r:id="rId22" w:type="even"/>
          <w:pgSz w:w="11906" w:h="16838"/>
          <w:pgMar w:top="1134" w:right="964" w:bottom="1134" w:left="1134" w:header="851" w:footer="992" w:gutter="0"/>
          <w:cols w:space="720" w:num="1"/>
          <w:docGrid w:linePitch="312" w:charSpace="0"/>
        </w:sectPr>
      </w:pPr>
    </w:p>
    <w:p>
      <w:pPr>
        <w:pStyle w:val="16"/>
        <w:spacing w:line="400" w:lineRule="exact"/>
        <w:rPr>
          <w:b/>
          <w:color w:val="auto"/>
          <w:sz w:val="30"/>
          <w:szCs w:val="30"/>
          <w:highlight w:val="none"/>
        </w:rPr>
      </w:pPr>
      <w:r>
        <w:rPr>
          <w:rFonts w:hint="eastAsia"/>
          <w:b/>
          <w:color w:val="auto"/>
          <w:sz w:val="30"/>
          <w:szCs w:val="30"/>
          <w:highlight w:val="none"/>
        </w:rPr>
        <w:t>附件：</w:t>
      </w:r>
    </w:p>
    <w:p>
      <w:pPr>
        <w:pStyle w:val="16"/>
        <w:spacing w:line="400" w:lineRule="exact"/>
        <w:rPr>
          <w:color w:val="auto"/>
          <w:highlight w:val="none"/>
        </w:rPr>
      </w:pPr>
    </w:p>
    <w:p>
      <w:pPr>
        <w:pStyle w:val="16"/>
        <w:spacing w:line="400" w:lineRule="exact"/>
        <w:rPr>
          <w:color w:val="auto"/>
          <w:highlight w:val="none"/>
        </w:rPr>
      </w:pPr>
    </w:p>
    <w:p>
      <w:pPr>
        <w:jc w:val="center"/>
        <w:rPr>
          <w:rFonts w:ascii="宋体" w:hAnsi="宋体"/>
          <w:b/>
          <w:color w:val="auto"/>
          <w:sz w:val="28"/>
          <w:szCs w:val="28"/>
          <w:highlight w:val="none"/>
        </w:rPr>
      </w:pPr>
      <w:r>
        <w:rPr>
          <w:rFonts w:hint="eastAsia" w:ascii="宋体" w:hAnsi="宋体"/>
          <w:b/>
          <w:color w:val="auto"/>
          <w:sz w:val="28"/>
          <w:szCs w:val="28"/>
          <w:highlight w:val="none"/>
        </w:rPr>
        <w:t>中小企业声明函（格式，中小微企业适用）</w:t>
      </w:r>
    </w:p>
    <w:p>
      <w:pPr>
        <w:spacing w:line="360" w:lineRule="auto"/>
        <w:ind w:firstLine="420" w:firstLineChars="2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本公司郑重声明，根据《政府采购促进中小企业发展暂行办法》（财库[2011]181号）的规定，本公司为（请填写：中型、小型、微型）企业。即，本公司同时满足以下条件：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2.本公司参加单位的项目采购活动提供本企业制造的货物，由本企业承担工程、提供服务，或者提供其他（请填写：中型、小型、微型）企业制造货物。本条所称货物不包括使用大型企业注册商标的货物。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本公司对上述声明的真实性负责。如有虚报，将依法承担相应责任。</w:t>
      </w:r>
    </w:p>
    <w:p>
      <w:pPr>
        <w:spacing w:line="360" w:lineRule="auto"/>
        <w:ind w:firstLine="420" w:firstLineChars="200"/>
        <w:jc w:val="left"/>
        <w:rPr>
          <w:rFonts w:ascii="宋体" w:hAnsi="宋体"/>
          <w:color w:val="auto"/>
          <w:szCs w:val="21"/>
          <w:highlight w:val="none"/>
        </w:rPr>
      </w:pPr>
    </w:p>
    <w:p>
      <w:pPr>
        <w:spacing w:line="360" w:lineRule="auto"/>
        <w:ind w:firstLine="6237" w:firstLineChars="2970"/>
        <w:jc w:val="left"/>
        <w:rPr>
          <w:rFonts w:ascii="宋体" w:hAnsi="宋体"/>
          <w:color w:val="auto"/>
          <w:szCs w:val="21"/>
          <w:highlight w:val="none"/>
        </w:rPr>
      </w:pPr>
      <w:r>
        <w:rPr>
          <w:rFonts w:hint="eastAsia" w:ascii="宋体" w:hAnsi="宋体"/>
          <w:color w:val="auto"/>
          <w:szCs w:val="21"/>
          <w:highlight w:val="none"/>
        </w:rPr>
        <w:t>企业名称（盖章）：</w:t>
      </w:r>
    </w:p>
    <w:p>
      <w:pPr>
        <w:spacing w:line="360" w:lineRule="auto"/>
        <w:ind w:firstLine="6237" w:firstLineChars="2970"/>
        <w:jc w:val="left"/>
        <w:rPr>
          <w:rFonts w:ascii="宋体" w:hAnsi="宋体"/>
          <w:color w:val="auto"/>
          <w:szCs w:val="21"/>
          <w:highlight w:val="none"/>
        </w:rPr>
      </w:pPr>
      <w:r>
        <w:rPr>
          <w:rFonts w:hint="eastAsia" w:ascii="宋体" w:hAnsi="宋体"/>
          <w:color w:val="auto"/>
          <w:szCs w:val="21"/>
          <w:highlight w:val="none"/>
        </w:rPr>
        <w:t>日期：</w:t>
      </w:r>
    </w:p>
    <w:p>
      <w:pPr>
        <w:spacing w:line="360" w:lineRule="auto"/>
        <w:ind w:firstLine="6237" w:firstLineChars="2970"/>
        <w:jc w:val="left"/>
        <w:rPr>
          <w:rFonts w:ascii="宋体" w:hAnsi="宋体"/>
          <w:color w:val="auto"/>
          <w:szCs w:val="21"/>
          <w:highlight w:val="none"/>
        </w:rPr>
      </w:pPr>
    </w:p>
    <w:p>
      <w:pPr>
        <w:spacing w:line="360" w:lineRule="auto"/>
        <w:jc w:val="left"/>
        <w:rPr>
          <w:rFonts w:ascii="宋体" w:hAnsi="宋体"/>
          <w:b/>
          <w:color w:val="auto"/>
          <w:szCs w:val="21"/>
          <w:highlight w:val="none"/>
        </w:rPr>
      </w:pPr>
    </w:p>
    <w:p>
      <w:pPr>
        <w:pStyle w:val="16"/>
        <w:ind w:firstLine="420" w:firstLineChars="200"/>
        <w:jc w:val="left"/>
        <w:rPr>
          <w:color w:val="auto"/>
          <w:szCs w:val="21"/>
          <w:highlight w:val="none"/>
        </w:rPr>
      </w:pPr>
      <w:r>
        <w:rPr>
          <w:rFonts w:hint="eastAsia"/>
          <w:color w:val="auto"/>
          <w:szCs w:val="21"/>
          <w:highlight w:val="none"/>
        </w:rPr>
        <w:t>备注：1、</w:t>
      </w:r>
      <w:r>
        <w:rPr>
          <w:rFonts w:hint="eastAsia"/>
          <w:color w:val="auto"/>
          <w:highlight w:val="none"/>
        </w:rPr>
        <w:t>请供应商根据自己的真实情况出具本声明函，</w:t>
      </w:r>
      <w:r>
        <w:rPr>
          <w:rFonts w:hint="eastAsia"/>
          <w:color w:val="auto"/>
          <w:szCs w:val="21"/>
          <w:highlight w:val="none"/>
        </w:rPr>
        <w:t>供应商不符合中小企业划型标准的，不用提供。</w:t>
      </w:r>
    </w:p>
    <w:p>
      <w:pPr>
        <w:spacing w:line="360" w:lineRule="auto"/>
        <w:ind w:firstLine="420" w:firstLineChars="200"/>
        <w:jc w:val="left"/>
        <w:rPr>
          <w:rFonts w:ascii="宋体" w:hAnsi="宋体"/>
          <w:color w:val="auto"/>
          <w:szCs w:val="21"/>
          <w:highlight w:val="none"/>
        </w:rPr>
      </w:pPr>
      <w:r>
        <w:rPr>
          <w:rFonts w:hint="eastAsia" w:hAnsi="宋体"/>
          <w:color w:val="auto"/>
          <w:szCs w:val="21"/>
          <w:highlight w:val="none"/>
        </w:rPr>
        <w:t xml:space="preserve">      2、供应商应对此声明函的真实性负责。</w:t>
      </w:r>
    </w:p>
    <w:p>
      <w:pPr>
        <w:spacing w:line="360" w:lineRule="auto"/>
        <w:jc w:val="left"/>
        <w:rPr>
          <w:rFonts w:ascii="宋体" w:hAnsi="宋体"/>
          <w:color w:val="auto"/>
          <w:szCs w:val="21"/>
          <w:highlight w:val="none"/>
        </w:rPr>
        <w:sectPr>
          <w:pgSz w:w="11906" w:h="16838"/>
          <w:pgMar w:top="1134" w:right="964" w:bottom="1134" w:left="1134" w:header="851" w:footer="992" w:gutter="0"/>
          <w:cols w:space="720" w:num="1"/>
          <w:docGrid w:linePitch="312" w:charSpace="0"/>
        </w:sectPr>
      </w:pPr>
    </w:p>
    <w:p>
      <w:pPr>
        <w:spacing w:line="588" w:lineRule="exact"/>
        <w:jc w:val="center"/>
        <w:rPr>
          <w:rFonts w:ascii="宋体" w:hAnsi="宋体"/>
          <w:b/>
          <w:color w:val="auto"/>
          <w:spacing w:val="6"/>
          <w:sz w:val="28"/>
          <w:szCs w:val="28"/>
          <w:highlight w:val="none"/>
        </w:rPr>
      </w:pPr>
    </w:p>
    <w:p>
      <w:pPr>
        <w:spacing w:line="588" w:lineRule="exact"/>
        <w:jc w:val="center"/>
        <w:rPr>
          <w:rFonts w:ascii="宋体" w:hAnsi="宋体"/>
          <w:b/>
          <w:color w:val="auto"/>
          <w:spacing w:val="6"/>
          <w:sz w:val="28"/>
          <w:szCs w:val="28"/>
          <w:highlight w:val="none"/>
        </w:rPr>
      </w:pPr>
      <w:r>
        <w:rPr>
          <w:rFonts w:hint="eastAsia" w:ascii="宋体" w:hAnsi="宋体"/>
          <w:b/>
          <w:color w:val="auto"/>
          <w:spacing w:val="6"/>
          <w:sz w:val="28"/>
          <w:szCs w:val="28"/>
          <w:highlight w:val="none"/>
        </w:rPr>
        <w:t>残疾人福利性单位声明函（格式，残疾人福利性单位适用）</w:t>
      </w:r>
    </w:p>
    <w:p>
      <w:pPr>
        <w:spacing w:line="588" w:lineRule="exact"/>
        <w:jc w:val="center"/>
        <w:rPr>
          <w:rFonts w:ascii="宋体" w:hAnsi="宋体"/>
          <w:b/>
          <w:color w:val="auto"/>
          <w:spacing w:val="6"/>
          <w:sz w:val="28"/>
          <w:szCs w:val="28"/>
          <w:highlight w:val="none"/>
        </w:rPr>
      </w:pPr>
    </w:p>
    <w:p>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 民政部 中国残疾人联合会关于促进残疾人就业政府采购政策的通知》（财库</w:t>
      </w:r>
      <w:r>
        <w:rPr>
          <w:rFonts w:hint="eastAsia" w:ascii="宋体" w:hAnsi="宋体"/>
          <w:color w:val="auto"/>
          <w:szCs w:val="21"/>
          <w:highlight w:val="none"/>
        </w:rPr>
        <w:t>〔2017〕 141</w:t>
      </w:r>
      <w:r>
        <w:rPr>
          <w:rFonts w:hint="eastAsia" w:ascii="宋体" w:hAnsi="宋体"/>
          <w:color w:val="auto"/>
          <w:spacing w:val="6"/>
          <w:szCs w:val="21"/>
          <w:highlight w:val="none"/>
        </w:rPr>
        <w:t>号）的规定，本单位为符合条件的残疾人福利性单位，且本单位参加</w:t>
      </w:r>
      <w:r>
        <w:rPr>
          <w:rFonts w:hint="eastAsia" w:ascii="宋体" w:hAnsi="宋体"/>
          <w:color w:val="auto"/>
          <w:spacing w:val="6"/>
          <w:szCs w:val="21"/>
          <w:highlight w:val="none"/>
          <w:u w:val="single"/>
        </w:rPr>
        <w:t>______</w:t>
      </w:r>
      <w:r>
        <w:rPr>
          <w:rFonts w:hint="eastAsia" w:ascii="宋体" w:hAnsi="宋体"/>
          <w:color w:val="auto"/>
          <w:spacing w:val="6"/>
          <w:szCs w:val="21"/>
          <w:highlight w:val="none"/>
        </w:rPr>
        <w:t>单位的</w:t>
      </w:r>
      <w:r>
        <w:rPr>
          <w:rFonts w:hint="eastAsia" w:ascii="宋体" w:hAnsi="宋体"/>
          <w:color w:val="auto"/>
          <w:spacing w:val="6"/>
          <w:szCs w:val="21"/>
          <w:highlight w:val="none"/>
          <w:u w:val="single"/>
        </w:rPr>
        <w:t>______</w:t>
      </w:r>
      <w:r>
        <w:rPr>
          <w:rFonts w:hint="eastAsia" w:ascii="宋体" w:hAnsi="宋体"/>
          <w:color w:val="auto"/>
          <w:spacing w:val="6"/>
          <w:szCs w:val="21"/>
          <w:highlight w:val="none"/>
        </w:rPr>
        <w:t>项目采购活动提供本单位制造的货物（或由本单位承担工程/提供服务），或者提供其他残疾人福利性单位制造的货物（不包括使用非残疾人福利性单位注册商标的货物）。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spacing w:line="588" w:lineRule="exact"/>
        <w:ind w:firstLine="444" w:firstLineChars="200"/>
        <w:rPr>
          <w:rFonts w:ascii="宋体" w:hAnsi="宋体"/>
          <w:color w:val="auto"/>
          <w:spacing w:val="6"/>
          <w:szCs w:val="21"/>
          <w:highlight w:val="none"/>
        </w:rPr>
      </w:pPr>
    </w:p>
    <w:p>
      <w:pPr>
        <w:spacing w:line="588" w:lineRule="exact"/>
        <w:ind w:firstLine="444" w:firstLineChars="200"/>
        <w:rPr>
          <w:rFonts w:ascii="宋体" w:hAnsi="宋体"/>
          <w:color w:val="auto"/>
          <w:spacing w:val="6"/>
          <w:szCs w:val="21"/>
          <w:highlight w:val="none"/>
        </w:rPr>
      </w:pPr>
    </w:p>
    <w:p>
      <w:pPr>
        <w:tabs>
          <w:tab w:val="left" w:pos="4860"/>
        </w:tabs>
        <w:spacing w:line="588" w:lineRule="exact"/>
        <w:ind w:right="1560" w:firstLine="4961" w:firstLineChars="2235"/>
        <w:jc w:val="left"/>
        <w:rPr>
          <w:rFonts w:ascii="宋体" w:hAnsi="宋体"/>
          <w:color w:val="auto"/>
          <w:spacing w:val="6"/>
          <w:szCs w:val="21"/>
          <w:highlight w:val="none"/>
        </w:rPr>
      </w:pPr>
      <w:r>
        <w:rPr>
          <w:rFonts w:hint="eastAsia" w:ascii="宋体" w:hAnsi="宋体"/>
          <w:color w:val="auto"/>
          <w:spacing w:val="6"/>
          <w:szCs w:val="21"/>
          <w:highlight w:val="none"/>
        </w:rPr>
        <w:t>单位名称（盖章）：</w:t>
      </w:r>
    </w:p>
    <w:p>
      <w:pPr>
        <w:spacing w:line="360" w:lineRule="auto"/>
        <w:ind w:firstLine="4961" w:firstLineChars="2235"/>
        <w:jc w:val="left"/>
        <w:rPr>
          <w:rFonts w:ascii="宋体" w:hAnsi="宋体"/>
          <w:color w:val="auto"/>
          <w:spacing w:val="6"/>
          <w:szCs w:val="21"/>
          <w:highlight w:val="none"/>
        </w:rPr>
      </w:pPr>
      <w:r>
        <w:rPr>
          <w:rFonts w:hint="eastAsia" w:ascii="宋体" w:hAnsi="宋体"/>
          <w:color w:val="auto"/>
          <w:spacing w:val="6"/>
          <w:szCs w:val="21"/>
          <w:highlight w:val="none"/>
        </w:rPr>
        <w:t>日  期：</w:t>
      </w:r>
    </w:p>
    <w:p>
      <w:pPr>
        <w:pStyle w:val="16"/>
        <w:ind w:firstLine="420" w:firstLineChars="200"/>
        <w:jc w:val="left"/>
        <w:rPr>
          <w:color w:val="auto"/>
          <w:szCs w:val="21"/>
          <w:highlight w:val="none"/>
        </w:rPr>
      </w:pPr>
    </w:p>
    <w:p>
      <w:pPr>
        <w:pStyle w:val="16"/>
        <w:ind w:firstLine="420" w:firstLineChars="200"/>
        <w:jc w:val="left"/>
        <w:rPr>
          <w:color w:val="auto"/>
          <w:szCs w:val="21"/>
          <w:highlight w:val="none"/>
        </w:rPr>
      </w:pPr>
    </w:p>
    <w:p>
      <w:pPr>
        <w:pStyle w:val="16"/>
        <w:ind w:firstLine="420" w:firstLineChars="200"/>
        <w:jc w:val="left"/>
        <w:rPr>
          <w:color w:val="auto"/>
          <w:szCs w:val="21"/>
          <w:highlight w:val="none"/>
        </w:rPr>
      </w:pPr>
      <w:r>
        <w:rPr>
          <w:rFonts w:hint="eastAsia"/>
          <w:color w:val="auto"/>
          <w:szCs w:val="21"/>
          <w:highlight w:val="none"/>
        </w:rPr>
        <w:t>备注：1、</w:t>
      </w:r>
      <w:r>
        <w:rPr>
          <w:rFonts w:hint="eastAsia"/>
          <w:color w:val="auto"/>
          <w:highlight w:val="none"/>
        </w:rPr>
        <w:t>请供应商根据自己的真实情况出具本声明函，</w:t>
      </w:r>
      <w:r>
        <w:rPr>
          <w:rFonts w:hint="eastAsia"/>
          <w:color w:val="auto"/>
          <w:szCs w:val="21"/>
          <w:highlight w:val="none"/>
        </w:rPr>
        <w:t>供应商不属于残疾人福利性单位的，不用提供。</w:t>
      </w:r>
    </w:p>
    <w:p>
      <w:pPr>
        <w:pStyle w:val="2"/>
        <w:ind w:firstLine="420" w:firstLineChars="200"/>
        <w:rPr>
          <w:color w:val="auto"/>
          <w:highlight w:val="none"/>
        </w:rPr>
      </w:pPr>
      <w:r>
        <w:rPr>
          <w:rFonts w:hint="eastAsia" w:hAnsi="宋体"/>
          <w:color w:val="auto"/>
          <w:szCs w:val="21"/>
          <w:highlight w:val="none"/>
        </w:rPr>
        <w:t xml:space="preserve">      2、供应商应对此声明函的真实性负责。</w:t>
      </w:r>
    </w:p>
    <w:p>
      <w:pPr>
        <w:spacing w:line="360" w:lineRule="auto"/>
        <w:jc w:val="left"/>
        <w:rPr>
          <w:rFonts w:ascii="宋体" w:hAnsi="宋体"/>
          <w:color w:val="auto"/>
          <w:spacing w:val="6"/>
          <w:szCs w:val="21"/>
          <w:highlight w:val="none"/>
        </w:rPr>
        <w:sectPr>
          <w:pgSz w:w="11906" w:h="16838"/>
          <w:pgMar w:top="1134" w:right="964" w:bottom="1134" w:left="1134" w:header="851" w:footer="992" w:gutter="0"/>
          <w:cols w:space="720" w:num="1"/>
          <w:docGrid w:linePitch="312" w:charSpace="0"/>
        </w:sectPr>
      </w:pPr>
    </w:p>
    <w:p>
      <w:pPr>
        <w:spacing w:line="360" w:lineRule="auto"/>
        <w:jc w:val="left"/>
        <w:rPr>
          <w:rFonts w:ascii="宋体" w:hAnsi="宋体"/>
          <w:color w:val="auto"/>
          <w:szCs w:val="21"/>
          <w:highlight w:val="none"/>
        </w:rPr>
      </w:pPr>
    </w:p>
    <w:p>
      <w:pPr>
        <w:jc w:val="center"/>
        <w:rPr>
          <w:rFonts w:hAnsi="宋体"/>
          <w:b/>
          <w:color w:val="auto"/>
          <w:sz w:val="32"/>
          <w:szCs w:val="32"/>
          <w:highlight w:val="none"/>
        </w:rPr>
      </w:pPr>
    </w:p>
    <w:p>
      <w:pPr>
        <w:rPr>
          <w:color w:val="auto"/>
          <w:highlight w:val="none"/>
        </w:rPr>
      </w:pPr>
      <w:bookmarkStart w:id="71" w:name="_Toc271529395"/>
      <w:bookmarkStart w:id="72" w:name="_Toc213206176"/>
      <w:bookmarkStart w:id="73" w:name="_Toc213325925"/>
    </w:p>
    <w:p>
      <w:pPr>
        <w:pStyle w:val="32"/>
        <w:rPr>
          <w:color w:val="auto"/>
          <w:highlight w:val="none"/>
          <w:u w:val="single"/>
        </w:rPr>
      </w:pPr>
      <w:bookmarkStart w:id="74" w:name="_Toc497900274"/>
      <w:bookmarkStart w:id="75" w:name="_Toc527537991"/>
      <w:r>
        <w:rPr>
          <w:rFonts w:hint="eastAsia"/>
          <w:color w:val="auto"/>
          <w:highlight w:val="none"/>
        </w:rPr>
        <w:t>第六章合同条款及格式</w:t>
      </w:r>
      <w:bookmarkEnd w:id="67"/>
      <w:bookmarkEnd w:id="68"/>
      <w:bookmarkEnd w:id="71"/>
      <w:bookmarkEnd w:id="72"/>
      <w:bookmarkEnd w:id="73"/>
      <w:bookmarkEnd w:id="74"/>
      <w:bookmarkEnd w:id="75"/>
    </w:p>
    <w:p>
      <w:pPr>
        <w:snapToGrid w:val="0"/>
        <w:spacing w:line="360" w:lineRule="auto"/>
        <w:ind w:firstLine="880" w:firstLineChars="200"/>
        <w:rPr>
          <w:rFonts w:ascii="宋体" w:hAnsi="宋体"/>
          <w:color w:val="auto"/>
          <w:sz w:val="44"/>
          <w:szCs w:val="44"/>
          <w:highlight w:val="none"/>
        </w:rPr>
      </w:pPr>
      <w:r>
        <w:rPr>
          <w:rFonts w:hint="eastAsia" w:ascii="宋体" w:hAnsi="宋体"/>
          <w:color w:val="auto"/>
          <w:sz w:val="44"/>
          <w:szCs w:val="44"/>
          <w:highlight w:val="none"/>
        </w:rPr>
        <w:t> </w:t>
      </w:r>
    </w:p>
    <w:p>
      <w:pPr>
        <w:spacing w:line="360" w:lineRule="auto"/>
        <w:jc w:val="center"/>
        <w:rPr>
          <w:rFonts w:ascii="宋体"/>
          <w:b/>
          <w:bCs/>
          <w:color w:val="auto"/>
          <w:sz w:val="52"/>
          <w:highlight w:val="none"/>
        </w:rPr>
      </w:pPr>
      <w:r>
        <w:rPr>
          <w:rFonts w:hint="eastAsia" w:ascii="宋体" w:hAnsi="宋体"/>
          <w:color w:val="auto"/>
          <w:sz w:val="44"/>
          <w:szCs w:val="44"/>
          <w:highlight w:val="none"/>
        </w:rPr>
        <w:t> </w:t>
      </w:r>
      <w:r>
        <w:rPr>
          <w:rFonts w:hint="eastAsia" w:ascii="宋体"/>
          <w:b/>
          <w:bCs/>
          <w:color w:val="auto"/>
          <w:sz w:val="52"/>
          <w:highlight w:val="none"/>
        </w:rPr>
        <w:t>梧州市政府采购合同</w:t>
      </w: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jc w:val="center"/>
        <w:rPr>
          <w:rFonts w:ascii="宋体"/>
          <w:b/>
          <w:bCs/>
          <w:color w:val="auto"/>
          <w:sz w:val="44"/>
          <w:highlight w:val="none"/>
        </w:rPr>
      </w:pPr>
      <w:r>
        <w:rPr>
          <w:rFonts w:hint="eastAsia" w:ascii="宋体"/>
          <w:b/>
          <w:bCs/>
          <w:color w:val="auto"/>
          <w:sz w:val="44"/>
          <w:highlight w:val="none"/>
          <w:u w:val="single"/>
        </w:rPr>
        <w:t>（项目名称）</w:t>
      </w:r>
    </w:p>
    <w:p>
      <w:pPr>
        <w:spacing w:line="360" w:lineRule="auto"/>
        <w:ind w:firstLine="420" w:firstLineChars="200"/>
        <w:rPr>
          <w:rFonts w:ascii="宋体"/>
          <w:color w:val="auto"/>
          <w:highlight w:val="none"/>
        </w:rPr>
      </w:pPr>
    </w:p>
    <w:p>
      <w:pPr>
        <w:spacing w:line="360" w:lineRule="auto"/>
        <w:ind w:firstLine="3507" w:firstLineChars="794"/>
        <w:rPr>
          <w:rFonts w:ascii="宋体"/>
          <w:b/>
          <w:bCs/>
          <w:color w:val="auto"/>
          <w:sz w:val="44"/>
          <w:highlight w:val="none"/>
        </w:rPr>
      </w:pPr>
    </w:p>
    <w:p>
      <w:pPr>
        <w:spacing w:line="360" w:lineRule="auto"/>
        <w:ind w:firstLine="3507" w:firstLineChars="794"/>
        <w:rPr>
          <w:rFonts w:ascii="宋体"/>
          <w:b/>
          <w:bCs/>
          <w:color w:val="auto"/>
          <w:sz w:val="44"/>
          <w:highlight w:val="none"/>
        </w:rPr>
      </w:pPr>
    </w:p>
    <w:p>
      <w:pPr>
        <w:spacing w:line="360" w:lineRule="auto"/>
        <w:jc w:val="center"/>
        <w:rPr>
          <w:rFonts w:ascii="宋体"/>
          <w:b/>
          <w:bCs/>
          <w:color w:val="auto"/>
          <w:sz w:val="44"/>
          <w:highlight w:val="none"/>
        </w:rPr>
      </w:pPr>
    </w:p>
    <w:p>
      <w:pPr>
        <w:rPr>
          <w:rFonts w:ascii="宋体" w:hAnsi="宋体"/>
          <w:b/>
          <w:color w:val="auto"/>
          <w:sz w:val="36"/>
          <w:szCs w:val="36"/>
          <w:highlight w:val="none"/>
          <w:u w:val="single"/>
        </w:rPr>
      </w:pPr>
      <w:r>
        <w:rPr>
          <w:rFonts w:hint="eastAsia" w:ascii="宋体" w:hAnsi="宋体"/>
          <w:b/>
          <w:color w:val="auto"/>
          <w:sz w:val="36"/>
          <w:szCs w:val="36"/>
          <w:highlight w:val="none"/>
        </w:rPr>
        <w:t xml:space="preserve">             项目编号：</w:t>
      </w:r>
    </w:p>
    <w:p>
      <w:pPr>
        <w:rPr>
          <w:rFonts w:ascii="宋体" w:hAnsi="宋体"/>
          <w:b/>
          <w:color w:val="auto"/>
          <w:sz w:val="36"/>
          <w:szCs w:val="36"/>
          <w:highlight w:val="none"/>
        </w:rPr>
      </w:pPr>
    </w:p>
    <w:p>
      <w:pPr>
        <w:ind w:firstLine="2860" w:firstLineChars="650"/>
        <w:rPr>
          <w:rFonts w:ascii="宋体"/>
          <w:color w:val="auto"/>
          <w:sz w:val="44"/>
          <w:highlight w:val="none"/>
        </w:rPr>
      </w:pPr>
    </w:p>
    <w:p>
      <w:pPr>
        <w:spacing w:line="360" w:lineRule="auto"/>
        <w:ind w:firstLine="880" w:firstLineChars="200"/>
        <w:rPr>
          <w:rFonts w:ascii="宋体"/>
          <w:color w:val="auto"/>
          <w:sz w:val="44"/>
          <w:highlight w:val="none"/>
        </w:rPr>
      </w:pPr>
    </w:p>
    <w:p>
      <w:pPr>
        <w:tabs>
          <w:tab w:val="left" w:pos="7200"/>
        </w:tabs>
        <w:spacing w:line="360" w:lineRule="auto"/>
        <w:ind w:firstLine="1438" w:firstLineChars="398"/>
        <w:rPr>
          <w:rFonts w:ascii="宋体" w:hAnsi="宋体"/>
          <w:b/>
          <w:color w:val="auto"/>
          <w:sz w:val="36"/>
          <w:szCs w:val="36"/>
          <w:highlight w:val="none"/>
          <w:u w:val="single"/>
        </w:rPr>
      </w:pPr>
      <w:r>
        <w:rPr>
          <w:rFonts w:hint="eastAsia" w:ascii="宋体" w:hAnsi="宋体"/>
          <w:b/>
          <w:color w:val="auto"/>
          <w:sz w:val="36"/>
          <w:szCs w:val="36"/>
          <w:highlight w:val="none"/>
        </w:rPr>
        <w:t xml:space="preserve">     采购人：</w:t>
      </w:r>
    </w:p>
    <w:p>
      <w:pPr>
        <w:tabs>
          <w:tab w:val="left" w:pos="7380"/>
        </w:tabs>
        <w:spacing w:line="360" w:lineRule="auto"/>
        <w:ind w:firstLine="1438" w:firstLineChars="398"/>
        <w:rPr>
          <w:rFonts w:ascii="宋体"/>
          <w:b/>
          <w:bCs/>
          <w:color w:val="auto"/>
          <w:sz w:val="44"/>
          <w:highlight w:val="none"/>
        </w:rPr>
      </w:pPr>
      <w:r>
        <w:rPr>
          <w:rFonts w:hint="eastAsia" w:ascii="宋体" w:hAnsi="宋体"/>
          <w:b/>
          <w:color w:val="auto"/>
          <w:sz w:val="36"/>
          <w:szCs w:val="36"/>
          <w:highlight w:val="none"/>
        </w:rPr>
        <w:t xml:space="preserve">     中标供应商：</w:t>
      </w:r>
    </w:p>
    <w:p>
      <w:pPr>
        <w:spacing w:line="360" w:lineRule="auto"/>
        <w:ind w:firstLine="420" w:firstLineChars="200"/>
        <w:rPr>
          <w:rFonts w:ascii="宋体"/>
          <w:color w:val="auto"/>
          <w:highlight w:val="none"/>
        </w:rPr>
      </w:pPr>
    </w:p>
    <w:p>
      <w:pPr>
        <w:snapToGrid w:val="0"/>
        <w:spacing w:line="360" w:lineRule="auto"/>
        <w:rPr>
          <w:rFonts w:ascii="宋体" w:hAnsi="宋体"/>
          <w:color w:val="auto"/>
          <w:sz w:val="44"/>
          <w:szCs w:val="44"/>
          <w:highlight w:val="none"/>
        </w:rPr>
      </w:pPr>
    </w:p>
    <w:p>
      <w:pPr>
        <w:snapToGrid w:val="0"/>
        <w:spacing w:line="360" w:lineRule="auto"/>
        <w:rPr>
          <w:rFonts w:ascii="宋体" w:hAnsi="宋体"/>
          <w:color w:val="auto"/>
          <w:sz w:val="44"/>
          <w:szCs w:val="44"/>
          <w:highlight w:val="none"/>
        </w:rPr>
        <w:sectPr>
          <w:pgSz w:w="11906" w:h="16838"/>
          <w:pgMar w:top="1134" w:right="964" w:bottom="1134" w:left="1134" w:header="851" w:footer="992" w:gutter="0"/>
          <w:cols w:space="720" w:num="1"/>
          <w:docGrid w:linePitch="312" w:charSpace="0"/>
        </w:sectPr>
      </w:pPr>
    </w:p>
    <w:p>
      <w:pPr>
        <w:spacing w:line="360" w:lineRule="auto"/>
        <w:jc w:val="center"/>
        <w:rPr>
          <w:rFonts w:ascii="宋体" w:hAnsi="宋体"/>
          <w:color w:val="auto"/>
          <w:sz w:val="28"/>
          <w:szCs w:val="28"/>
          <w:highlight w:val="none"/>
        </w:rPr>
      </w:pPr>
      <w:r>
        <w:rPr>
          <w:rFonts w:hint="eastAsia"/>
          <w:b/>
          <w:color w:val="auto"/>
          <w:sz w:val="30"/>
          <w:szCs w:val="30"/>
          <w:highlight w:val="none"/>
        </w:rPr>
        <w:t>梧州市政府采购合同书</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  （甲方）</w:t>
      </w:r>
      <w:r>
        <w:rPr>
          <w:rFonts w:hint="eastAsia" w:ascii="宋体" w:hAnsi="宋体"/>
          <w:color w:val="auto"/>
          <w:spacing w:val="-20"/>
          <w:szCs w:val="21"/>
          <w:highlight w:val="none"/>
        </w:rPr>
        <w:t>项  目  编  号</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pacing w:val="-20"/>
          <w:szCs w:val="21"/>
          <w:highlight w:val="none"/>
        </w:rPr>
        <w:t>项  目  名  称</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签  订  地  点    签 订 时 间</w:t>
      </w:r>
    </w:p>
    <w:p>
      <w:pPr>
        <w:snapToGrid w:val="0"/>
        <w:spacing w:line="360" w:lineRule="auto"/>
        <w:ind w:firstLine="420" w:firstLineChars="200"/>
        <w:rPr>
          <w:rFonts w:ascii="宋体" w:hAnsi="宋体"/>
          <w:color w:val="auto"/>
          <w:szCs w:val="21"/>
          <w:highlight w:val="none"/>
        </w:rPr>
      </w:pPr>
    </w:p>
    <w:p>
      <w:pPr>
        <w:pStyle w:val="29"/>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根据年月日梧州市政府采购项目的采购结果，甲方接受乙方对本项目的投标，甲、乙双方同意签署本合同（以下简称合同）。</w:t>
      </w:r>
    </w:p>
    <w:p>
      <w:pPr>
        <w:pStyle w:val="29"/>
        <w:spacing w:line="360" w:lineRule="auto"/>
        <w:ind w:firstLine="422" w:firstLineChars="200"/>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一、合同文件</w:t>
      </w:r>
    </w:p>
    <w:p>
      <w:pPr>
        <w:pStyle w:val="16"/>
        <w:spacing w:line="360" w:lineRule="auto"/>
        <w:ind w:firstLine="420"/>
        <w:rPr>
          <w:color w:val="auto"/>
          <w:highlight w:val="none"/>
        </w:rPr>
      </w:pPr>
      <w:r>
        <w:rPr>
          <w:rFonts w:hint="eastAsia"/>
          <w:color w:val="auto"/>
          <w:highlight w:val="none"/>
        </w:rPr>
        <w:t>1、本合同所附下列文件是构成本合同不可分割的部分：</w:t>
      </w:r>
    </w:p>
    <w:p>
      <w:pPr>
        <w:pStyle w:val="16"/>
        <w:spacing w:line="360" w:lineRule="auto"/>
        <w:ind w:firstLine="630" w:firstLineChars="300"/>
        <w:rPr>
          <w:color w:val="auto"/>
          <w:highlight w:val="none"/>
        </w:rPr>
      </w:pPr>
      <w:r>
        <w:rPr>
          <w:rFonts w:hint="eastAsia"/>
          <w:color w:val="auto"/>
          <w:highlight w:val="none"/>
        </w:rPr>
        <w:t>⑴招标文件、⑵中标供应商提交的投标文件、⑶中标通知书、⑷甲、乙双方商定的补充协议。</w:t>
      </w:r>
    </w:p>
    <w:p>
      <w:pPr>
        <w:pStyle w:val="16"/>
        <w:spacing w:line="360" w:lineRule="auto"/>
        <w:ind w:firstLine="420"/>
        <w:rPr>
          <w:color w:val="auto"/>
          <w:highlight w:val="none"/>
        </w:rPr>
      </w:pPr>
      <w:r>
        <w:rPr>
          <w:rFonts w:hint="eastAsia"/>
          <w:color w:val="auto"/>
          <w:highlight w:val="none"/>
        </w:rPr>
        <w:t>2、合同范围和条件：本合同的范围和条件应与上述合同文件的规定相一致。</w:t>
      </w:r>
    </w:p>
    <w:p>
      <w:pPr>
        <w:pStyle w:val="16"/>
        <w:spacing w:line="360" w:lineRule="auto"/>
        <w:ind w:firstLine="420"/>
        <w:rPr>
          <w:color w:val="auto"/>
          <w:highlight w:val="none"/>
        </w:rPr>
      </w:pPr>
      <w:r>
        <w:rPr>
          <w:rFonts w:hint="eastAsia"/>
          <w:color w:val="auto"/>
          <w:highlight w:val="none"/>
        </w:rPr>
        <w:t>3、合同金额：本合同的总金额为人民币（大写）：（￥ ）。</w:t>
      </w:r>
    </w:p>
    <w:p>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二、服务内容：</w:t>
      </w:r>
    </w:p>
    <w:p>
      <w:pPr>
        <w:pStyle w:val="29"/>
        <w:spacing w:line="360" w:lineRule="auto"/>
        <w:ind w:firstLine="420"/>
        <w:rPr>
          <w:rFonts w:ascii="宋体" w:hAnsi="宋体" w:eastAsia="宋体"/>
          <w:b/>
          <w:color w:val="auto"/>
          <w:sz w:val="21"/>
          <w:szCs w:val="21"/>
          <w:highlight w:val="none"/>
        </w:rPr>
      </w:pPr>
    </w:p>
    <w:p>
      <w:pPr>
        <w:pStyle w:val="29"/>
        <w:spacing w:line="360" w:lineRule="auto"/>
        <w:ind w:firstLine="420"/>
        <w:rPr>
          <w:rFonts w:ascii="宋体" w:hAnsi="宋体" w:eastAsia="宋体"/>
          <w:color w:val="auto"/>
          <w:kern w:val="2"/>
          <w:sz w:val="21"/>
          <w:szCs w:val="21"/>
          <w:highlight w:val="none"/>
        </w:rPr>
      </w:pPr>
      <w:r>
        <w:rPr>
          <w:rFonts w:hint="eastAsia" w:ascii="宋体" w:hAnsi="宋体" w:eastAsia="宋体"/>
          <w:b/>
          <w:color w:val="auto"/>
          <w:sz w:val="21"/>
          <w:szCs w:val="21"/>
          <w:highlight w:val="none"/>
        </w:rPr>
        <w:t>三</w:t>
      </w:r>
      <w:r>
        <w:rPr>
          <w:rFonts w:hint="eastAsia" w:ascii="宋体" w:hAnsi="宋体" w:eastAsia="宋体"/>
          <w:b/>
          <w:color w:val="auto"/>
          <w:kern w:val="2"/>
          <w:sz w:val="21"/>
          <w:szCs w:val="21"/>
          <w:highlight w:val="none"/>
        </w:rPr>
        <w:t>、服务期限</w:t>
      </w:r>
      <w:r>
        <w:rPr>
          <w:rFonts w:hint="eastAsia" w:ascii="宋体" w:hAnsi="宋体" w:eastAsia="宋体"/>
          <w:color w:val="auto"/>
          <w:kern w:val="2"/>
          <w:sz w:val="21"/>
          <w:szCs w:val="21"/>
          <w:highlight w:val="none"/>
        </w:rPr>
        <w:t>：3年，自</w:t>
      </w:r>
      <w:r>
        <w:rPr>
          <w:rFonts w:ascii="宋体" w:hAnsi="宋体" w:eastAsia="宋体"/>
          <w:color w:val="auto"/>
          <w:sz w:val="21"/>
          <w:szCs w:val="21"/>
          <w:highlight w:val="none"/>
        </w:rPr>
        <w:t>20</w:t>
      </w:r>
      <w:r>
        <w:rPr>
          <w:rFonts w:hint="eastAsia" w:ascii="宋体" w:hAnsi="宋体" w:eastAsia="宋体"/>
          <w:color w:val="auto"/>
          <w:sz w:val="21"/>
          <w:szCs w:val="21"/>
          <w:highlight w:val="none"/>
        </w:rPr>
        <w:t>1 年　月　日起至</w:t>
      </w:r>
      <w:r>
        <w:rPr>
          <w:rFonts w:ascii="宋体" w:hAnsi="宋体" w:eastAsia="宋体"/>
          <w:color w:val="auto"/>
          <w:sz w:val="21"/>
          <w:szCs w:val="21"/>
          <w:highlight w:val="none"/>
        </w:rPr>
        <w:t>201</w:t>
      </w:r>
      <w:r>
        <w:rPr>
          <w:rFonts w:hint="eastAsia" w:ascii="宋体" w:hAnsi="宋体" w:eastAsia="宋体"/>
          <w:color w:val="auto"/>
          <w:sz w:val="21"/>
          <w:szCs w:val="21"/>
          <w:highlight w:val="none"/>
        </w:rPr>
        <w:t xml:space="preserve"> 年　月　日止</w:t>
      </w:r>
      <w:r>
        <w:rPr>
          <w:rFonts w:hint="eastAsia" w:ascii="宋体" w:hAnsi="宋体" w:eastAsia="宋体"/>
          <w:color w:val="auto"/>
          <w:kern w:val="2"/>
          <w:sz w:val="21"/>
          <w:szCs w:val="21"/>
          <w:highlight w:val="none"/>
        </w:rPr>
        <w:t>。</w:t>
      </w:r>
    </w:p>
    <w:p>
      <w:pPr>
        <w:tabs>
          <w:tab w:val="left" w:pos="5835"/>
        </w:tabs>
        <w:spacing w:line="360" w:lineRule="auto"/>
        <w:ind w:left="842" w:leftChars="150" w:hanging="527" w:hangingChars="250"/>
        <w:rPr>
          <w:rFonts w:ascii="宋体" w:hAnsi="宋体"/>
          <w:b/>
          <w:color w:val="auto"/>
          <w:szCs w:val="21"/>
          <w:highlight w:val="none"/>
        </w:rPr>
      </w:pPr>
      <w:r>
        <w:rPr>
          <w:rFonts w:hint="eastAsia" w:ascii="宋体" w:hAnsi="宋体"/>
          <w:b/>
          <w:color w:val="auto"/>
          <w:szCs w:val="21"/>
          <w:highlight w:val="none"/>
        </w:rPr>
        <w:t>四、付款方式：</w:t>
      </w:r>
    </w:p>
    <w:p>
      <w:pPr>
        <w:pStyle w:val="16"/>
        <w:spacing w:line="360" w:lineRule="auto"/>
        <w:ind w:firstLine="420" w:firstLineChars="200"/>
        <w:rPr>
          <w:color w:val="auto"/>
          <w:highlight w:val="none"/>
        </w:rPr>
      </w:pPr>
      <w:r>
        <w:rPr>
          <w:rFonts w:hint="eastAsia"/>
          <w:color w:val="auto"/>
          <w:highlight w:val="none"/>
        </w:rPr>
        <w:t>4.1每季度付款一次，合同签定后医院按每季度收到发票后一个月内付款。</w:t>
      </w:r>
    </w:p>
    <w:p>
      <w:pPr>
        <w:pStyle w:val="16"/>
        <w:spacing w:line="360" w:lineRule="auto"/>
        <w:ind w:firstLine="420"/>
        <w:rPr>
          <w:color w:val="auto"/>
          <w:highlight w:val="none"/>
        </w:rPr>
      </w:pPr>
      <w:r>
        <w:rPr>
          <w:rFonts w:hint="eastAsia"/>
          <w:color w:val="auto"/>
          <w:highlight w:val="none"/>
        </w:rPr>
        <w:t>4.2.收款方、出具发票方、合同乙方均必须与中标人名称一致。</w:t>
      </w:r>
    </w:p>
    <w:p>
      <w:pPr>
        <w:pStyle w:val="29"/>
        <w:spacing w:line="360" w:lineRule="auto"/>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五、本合同解除的条件：在合同有效期限内，甲乙双方的任何一方由于不可抗力的原因不能履行合同时，应及时向对方通报不能履行或不能完全履行的理由；在取得有关权威机关证明以后，经双方协商允许延期履行、部分履行、或者不履行合同，并根据情况可部分或全部免予承担违约责任。                                          </w:t>
      </w:r>
    </w:p>
    <w:p>
      <w:pPr>
        <w:pStyle w:val="16"/>
        <w:spacing w:line="360" w:lineRule="auto"/>
        <w:ind w:firstLine="420"/>
        <w:rPr>
          <w:color w:val="auto"/>
          <w:highlight w:val="none"/>
        </w:rPr>
      </w:pPr>
      <w:r>
        <w:rPr>
          <w:rFonts w:hint="eastAsia"/>
          <w:color w:val="auto"/>
          <w:highlight w:val="none"/>
        </w:rPr>
        <w:t>六、违约责任：</w:t>
      </w:r>
    </w:p>
    <w:p>
      <w:pPr>
        <w:pStyle w:val="29"/>
        <w:spacing w:line="360" w:lineRule="auto"/>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1、甲方违约，造成乙方损失的，甲方应按《合同法》有关规定向乙方赔偿损失。</w:t>
      </w:r>
    </w:p>
    <w:p>
      <w:pPr>
        <w:pStyle w:val="29"/>
        <w:spacing w:line="360" w:lineRule="auto"/>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2、乙方违约，甲方视乙方违约情况，可没收乙方的履约保证金，直至终止协议。</w:t>
      </w:r>
    </w:p>
    <w:p>
      <w:pPr>
        <w:pStyle w:val="29"/>
        <w:spacing w:line="360" w:lineRule="auto"/>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3、按日历天计算，保证机器全年开机率≥95</w:t>
      </w:r>
      <w:r>
        <w:rPr>
          <w:rFonts w:hint="eastAsia" w:ascii="宋体" w:hAnsi="宋体" w:eastAsia="宋体" w:cs="宋体"/>
          <w:color w:val="auto"/>
          <w:sz w:val="21"/>
          <w:szCs w:val="21"/>
          <w:highlight w:val="none"/>
        </w:rPr>
        <w:t>℅，</w:t>
      </w:r>
      <w:r>
        <w:rPr>
          <w:rFonts w:hint="eastAsia" w:ascii="宋体" w:hAnsi="宋体" w:eastAsia="宋体"/>
          <w:color w:val="auto"/>
          <w:spacing w:val="-4"/>
          <w:sz w:val="21"/>
          <w:szCs w:val="21"/>
          <w:highlight w:val="none"/>
        </w:rPr>
        <w:t>低于95%开机率时，</w:t>
      </w:r>
      <w:r>
        <w:rPr>
          <w:rFonts w:hint="eastAsia" w:ascii="宋体" w:hAnsi="宋体" w:eastAsia="宋体"/>
          <w:color w:val="auto"/>
          <w:spacing w:val="-4"/>
          <w:sz w:val="21"/>
          <w:szCs w:val="21"/>
          <w:highlight w:val="none"/>
          <w:lang w:val="zh-CN"/>
        </w:rPr>
        <w:t>完全停机超过一天延长五天保修期。</w:t>
      </w:r>
      <w:r>
        <w:rPr>
          <w:rFonts w:hint="eastAsia" w:ascii="宋体" w:hAnsi="宋体" w:eastAsia="宋体"/>
          <w:color w:val="auto"/>
          <w:spacing w:val="-4"/>
          <w:sz w:val="21"/>
          <w:szCs w:val="21"/>
          <w:highlight w:val="none"/>
        </w:rPr>
        <w:t>低于90%开机率时，</w:t>
      </w:r>
      <w:r>
        <w:rPr>
          <w:rFonts w:hint="eastAsia" w:ascii="宋体" w:hAnsi="宋体" w:eastAsia="宋体"/>
          <w:color w:val="auto"/>
          <w:spacing w:val="-2"/>
          <w:sz w:val="21"/>
          <w:szCs w:val="21"/>
          <w:highlight w:val="none"/>
        </w:rPr>
        <w:t>并扣除保修费</w:t>
      </w:r>
      <w:r>
        <w:rPr>
          <w:rFonts w:hint="eastAsia" w:ascii="宋体" w:hAnsi="宋体" w:eastAsia="宋体"/>
          <w:color w:val="auto"/>
          <w:sz w:val="21"/>
          <w:szCs w:val="21"/>
          <w:highlight w:val="none"/>
        </w:rPr>
        <w:t>3000元人民币/天。</w:t>
      </w:r>
    </w:p>
    <w:p>
      <w:pPr>
        <w:pStyle w:val="29"/>
        <w:spacing w:line="360" w:lineRule="auto"/>
        <w:ind w:firstLine="42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 xml:space="preserve">4、乙方应保证提供给甲方的配件是与医院设备相一致、全新、未使用过的产品， 且完全符合国家行业要求和本项目招标文件规定的质量、性能和规格的要求。如果甲方发现乙方使用不合格配件，甲方有权终止乙方本合同。如果因乙方使用不合格配件，而致甲方造成损失，甲方有权要求乙方赔偿由此造成的损失。 </w:t>
      </w:r>
    </w:p>
    <w:p>
      <w:pPr>
        <w:pStyle w:val="29"/>
        <w:spacing w:line="360" w:lineRule="auto"/>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七、合同争议的解决方式：</w:t>
      </w:r>
      <w:r>
        <w:rPr>
          <w:rFonts w:hint="eastAsia" w:ascii="宋体" w:hAnsi="宋体" w:eastAsia="宋体"/>
          <w:color w:val="auto"/>
          <w:kern w:val="2"/>
          <w:sz w:val="21"/>
          <w:szCs w:val="21"/>
          <w:highlight w:val="none"/>
        </w:rPr>
        <w:t>本合同在履行过程中发生的争议，由双方当事人协商解决；也可由当地工商行政管理部门调解；协商或调解不成的，提交合同履行地仲裁机构仲裁委员会仲裁或</w:t>
      </w:r>
      <w:r>
        <w:rPr>
          <w:rFonts w:hint="eastAsia" w:ascii="宋体" w:hAnsi="宋体" w:eastAsia="宋体"/>
          <w:color w:val="auto"/>
          <w:sz w:val="21"/>
          <w:szCs w:val="21"/>
          <w:highlight w:val="none"/>
        </w:rPr>
        <w:t>依法向梧州市长洲区人民法院起诉。</w:t>
      </w:r>
    </w:p>
    <w:p>
      <w:pPr>
        <w:pStyle w:val="29"/>
        <w:spacing w:line="360" w:lineRule="auto"/>
        <w:ind w:firstLine="420"/>
        <w:rPr>
          <w:rFonts w:ascii="宋体" w:hAnsi="宋体" w:eastAsia="宋体"/>
          <w:color w:val="auto"/>
          <w:kern w:val="2"/>
          <w:sz w:val="21"/>
          <w:szCs w:val="21"/>
          <w:highlight w:val="none"/>
        </w:rPr>
      </w:pPr>
      <w:r>
        <w:rPr>
          <w:rFonts w:hint="eastAsia" w:ascii="宋体" w:hAnsi="宋体" w:eastAsia="宋体"/>
          <w:color w:val="auto"/>
          <w:sz w:val="21"/>
          <w:szCs w:val="21"/>
          <w:highlight w:val="none"/>
        </w:rPr>
        <w:t>八、</w:t>
      </w:r>
      <w:r>
        <w:rPr>
          <w:rFonts w:hint="eastAsia" w:ascii="宋体" w:hAnsi="宋体" w:eastAsia="宋体"/>
          <w:color w:val="auto"/>
          <w:kern w:val="2"/>
          <w:sz w:val="21"/>
          <w:szCs w:val="21"/>
          <w:highlight w:val="none"/>
        </w:rPr>
        <w:t>本合同正本一式四份，甲乙双方各执一份，采购代理机构一份，政府采购监督管理部门一份，自双方法定代表人或委托代理人签字并加盖单位公章之日起生效。</w:t>
      </w:r>
    </w:p>
    <w:p>
      <w:pPr>
        <w:pStyle w:val="16"/>
        <w:spacing w:line="360" w:lineRule="auto"/>
        <w:ind w:firstLine="420"/>
        <w:rPr>
          <w:color w:val="auto"/>
          <w:highlight w:val="none"/>
        </w:rPr>
      </w:pPr>
      <w:r>
        <w:rPr>
          <w:rFonts w:hint="eastAsia"/>
          <w:color w:val="auto"/>
          <w:highlight w:val="none"/>
        </w:rPr>
        <w:t>九、其他约定事项：合同履行中，如需修改或补充合同内容，由双方协商另签署书面修改或补充协议作为本合同不可分割的一部分。</w:t>
      </w:r>
    </w:p>
    <w:tbl>
      <w:tblPr>
        <w:tblStyle w:val="34"/>
        <w:tblW w:w="90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jc w:val="center"/>
        </w:trPr>
        <w:tc>
          <w:tcPr>
            <w:tcW w:w="4516" w:type="dxa"/>
            <w:vAlign w:val="center"/>
          </w:tcPr>
          <w:p>
            <w:pPr>
              <w:snapToGrid w:val="0"/>
              <w:rPr>
                <w:rFonts w:ascii="宋体" w:hAnsi="宋体"/>
                <w:color w:val="auto"/>
                <w:szCs w:val="21"/>
                <w:highlight w:val="none"/>
              </w:rPr>
            </w:pPr>
            <w:r>
              <w:rPr>
                <w:rFonts w:hint="eastAsia" w:ascii="宋体" w:hAnsi="宋体"/>
                <w:color w:val="auto"/>
                <w:szCs w:val="21"/>
                <w:highlight w:val="none"/>
              </w:rPr>
              <w:t xml:space="preserve">甲方（章）           </w:t>
            </w:r>
          </w:p>
          <w:p>
            <w:pPr>
              <w:snapToGrid w:val="0"/>
              <w:rPr>
                <w:rFonts w:ascii="宋体" w:hAnsi="宋体"/>
                <w:color w:val="auto"/>
                <w:szCs w:val="21"/>
                <w:highlight w:val="none"/>
              </w:rPr>
            </w:pPr>
          </w:p>
          <w:p>
            <w:pPr>
              <w:snapToGrid w:val="0"/>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vAlign w:val="center"/>
          </w:tcPr>
          <w:p>
            <w:pPr>
              <w:snapToGrid w:val="0"/>
              <w:rPr>
                <w:rFonts w:ascii="宋体" w:hAnsi="宋体"/>
                <w:color w:val="auto"/>
                <w:szCs w:val="21"/>
                <w:highlight w:val="none"/>
              </w:rPr>
            </w:pPr>
            <w:r>
              <w:rPr>
                <w:rFonts w:hint="eastAsia" w:ascii="宋体" w:hAnsi="宋体"/>
                <w:color w:val="auto"/>
                <w:szCs w:val="21"/>
                <w:highlight w:val="none"/>
              </w:rPr>
              <w:t xml:space="preserve">乙方（章）              </w:t>
            </w:r>
          </w:p>
          <w:p>
            <w:pPr>
              <w:snapToGrid w:val="0"/>
              <w:rPr>
                <w:rFonts w:ascii="宋体" w:hAnsi="宋体"/>
                <w:color w:val="auto"/>
                <w:szCs w:val="21"/>
                <w:highlight w:val="none"/>
              </w:rPr>
            </w:pPr>
          </w:p>
          <w:p>
            <w:pPr>
              <w:snapToGrid w:val="0"/>
              <w:jc w:val="right"/>
              <w:rPr>
                <w:rFonts w:ascii="宋体" w:hAnsi="宋体"/>
                <w:color w:val="auto"/>
                <w:szCs w:val="21"/>
                <w:highlight w:val="none"/>
              </w:rPr>
            </w:pPr>
            <w:r>
              <w:rPr>
                <w:rFonts w:hint="eastAsia" w:ascii="宋体"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4516" w:type="dxa"/>
            <w:vAlign w:val="center"/>
          </w:tcPr>
          <w:p>
            <w:pPr>
              <w:snapToGrid w:val="0"/>
              <w:rPr>
                <w:rFonts w:ascii="宋体" w:hAnsi="宋体"/>
                <w:color w:val="auto"/>
                <w:szCs w:val="21"/>
                <w:highlight w:val="none"/>
              </w:rPr>
            </w:pPr>
            <w:r>
              <w:rPr>
                <w:rFonts w:hint="eastAsia" w:ascii="宋体" w:hAnsi="宋体"/>
                <w:color w:val="auto"/>
                <w:szCs w:val="21"/>
                <w:highlight w:val="none"/>
              </w:rPr>
              <w:t>单位地址：</w:t>
            </w:r>
          </w:p>
        </w:tc>
        <w:tc>
          <w:tcPr>
            <w:tcW w:w="4517" w:type="dxa"/>
            <w:vAlign w:val="center"/>
          </w:tcPr>
          <w:p>
            <w:pPr>
              <w:snapToGrid w:val="0"/>
              <w:rPr>
                <w:rFonts w:ascii="宋体" w:hAns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4516" w:type="dxa"/>
            <w:vAlign w:val="center"/>
          </w:tcPr>
          <w:p>
            <w:pPr>
              <w:snapToGrid w:val="0"/>
              <w:rPr>
                <w:rFonts w:ascii="宋体" w:hAnsi="宋体"/>
                <w:color w:val="auto"/>
                <w:szCs w:val="21"/>
                <w:highlight w:val="none"/>
              </w:rPr>
            </w:pPr>
            <w:r>
              <w:rPr>
                <w:rFonts w:hint="eastAsia" w:ascii="宋体" w:hAnsi="宋体"/>
                <w:color w:val="auto"/>
                <w:szCs w:val="21"/>
                <w:highlight w:val="none"/>
              </w:rPr>
              <w:t>法定代表人（负责人）：</w:t>
            </w:r>
          </w:p>
        </w:tc>
        <w:tc>
          <w:tcPr>
            <w:tcW w:w="4517" w:type="dxa"/>
            <w:vAlign w:val="center"/>
          </w:tcPr>
          <w:p>
            <w:pPr>
              <w:snapToGrid w:val="0"/>
              <w:rPr>
                <w:rFonts w:ascii="宋体" w:hAnsi="宋体"/>
                <w:color w:val="auto"/>
                <w:szCs w:val="21"/>
                <w:highlight w:val="none"/>
              </w:rPr>
            </w:pPr>
            <w:r>
              <w:rPr>
                <w:rFonts w:hint="eastAsia" w:ascii="宋体" w:hAnsi="宋体"/>
                <w:color w:val="auto"/>
                <w:szCs w:val="21"/>
                <w:highlight w:val="none"/>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4516" w:type="dxa"/>
            <w:vAlign w:val="center"/>
          </w:tcPr>
          <w:p>
            <w:pPr>
              <w:snapToGrid w:val="0"/>
              <w:rPr>
                <w:rFonts w:ascii="宋体" w:hAnsi="宋体"/>
                <w:color w:val="auto"/>
                <w:szCs w:val="21"/>
                <w:highlight w:val="none"/>
              </w:rPr>
            </w:pPr>
            <w:r>
              <w:rPr>
                <w:rFonts w:hint="eastAsia" w:ascii="宋体" w:hAnsi="宋体"/>
                <w:color w:val="auto"/>
                <w:szCs w:val="21"/>
                <w:highlight w:val="none"/>
              </w:rPr>
              <w:t>委托代理人：</w:t>
            </w:r>
          </w:p>
        </w:tc>
        <w:tc>
          <w:tcPr>
            <w:tcW w:w="4517" w:type="dxa"/>
            <w:vAlign w:val="center"/>
          </w:tcPr>
          <w:p>
            <w:pPr>
              <w:snapToGrid w:val="0"/>
              <w:rPr>
                <w:rFonts w:ascii="宋体" w:hAnsi="宋体"/>
                <w:color w:val="auto"/>
                <w:szCs w:val="21"/>
                <w:highlight w:val="none"/>
              </w:rPr>
            </w:pPr>
            <w:r>
              <w:rPr>
                <w:rFonts w:hint="eastAsia" w:ascii="宋体" w:hAns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4516" w:type="dxa"/>
            <w:vAlign w:val="center"/>
          </w:tcPr>
          <w:p>
            <w:pPr>
              <w:snapToGrid w:val="0"/>
              <w:rPr>
                <w:rFonts w:ascii="宋体" w:hAnsi="宋体"/>
                <w:color w:val="auto"/>
                <w:szCs w:val="21"/>
                <w:highlight w:val="none"/>
              </w:rPr>
            </w:pPr>
            <w:r>
              <w:rPr>
                <w:rFonts w:hint="eastAsia" w:ascii="宋体" w:hAnsi="宋体"/>
                <w:color w:val="auto"/>
                <w:szCs w:val="21"/>
                <w:highlight w:val="none"/>
              </w:rPr>
              <w:t>电话：</w:t>
            </w:r>
          </w:p>
        </w:tc>
        <w:tc>
          <w:tcPr>
            <w:tcW w:w="4517" w:type="dxa"/>
            <w:vAlign w:val="center"/>
          </w:tcPr>
          <w:p>
            <w:pPr>
              <w:snapToGrid w:val="0"/>
              <w:rPr>
                <w:rFonts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4516" w:type="dxa"/>
            <w:vAlign w:val="center"/>
          </w:tcPr>
          <w:p>
            <w:pPr>
              <w:snapToGrid w:val="0"/>
              <w:rPr>
                <w:rFonts w:ascii="宋体" w:hAnsi="宋体"/>
                <w:color w:val="auto"/>
                <w:szCs w:val="21"/>
                <w:highlight w:val="none"/>
              </w:rPr>
            </w:pPr>
            <w:r>
              <w:rPr>
                <w:rFonts w:hint="eastAsia" w:ascii="宋体" w:hAnsi="宋体"/>
                <w:color w:val="auto"/>
                <w:szCs w:val="21"/>
                <w:highlight w:val="none"/>
              </w:rPr>
              <w:t>电子邮箱：</w:t>
            </w:r>
          </w:p>
        </w:tc>
        <w:tc>
          <w:tcPr>
            <w:tcW w:w="4517" w:type="dxa"/>
            <w:vAlign w:val="center"/>
          </w:tcPr>
          <w:p>
            <w:pPr>
              <w:snapToGrid w:val="0"/>
              <w:rPr>
                <w:rFonts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516" w:type="dxa"/>
            <w:vAlign w:val="center"/>
          </w:tcPr>
          <w:p>
            <w:pPr>
              <w:snapToGrid w:val="0"/>
              <w:rPr>
                <w:rFonts w:ascii="宋体" w:hAnsi="宋体"/>
                <w:color w:val="auto"/>
                <w:szCs w:val="21"/>
                <w:highlight w:val="none"/>
              </w:rPr>
            </w:pPr>
            <w:r>
              <w:rPr>
                <w:rFonts w:hint="eastAsia" w:ascii="宋体" w:hAnsi="宋体"/>
                <w:color w:val="auto"/>
                <w:szCs w:val="21"/>
                <w:highlight w:val="none"/>
              </w:rPr>
              <w:t>开户银行：</w:t>
            </w:r>
          </w:p>
        </w:tc>
        <w:tc>
          <w:tcPr>
            <w:tcW w:w="4517" w:type="dxa"/>
            <w:vAlign w:val="center"/>
          </w:tcPr>
          <w:p>
            <w:pPr>
              <w:snapToGrid w:val="0"/>
              <w:rPr>
                <w:rFonts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4516" w:type="dxa"/>
            <w:vAlign w:val="center"/>
          </w:tcPr>
          <w:p>
            <w:pPr>
              <w:snapToGrid w:val="0"/>
              <w:rPr>
                <w:rFonts w:ascii="宋体" w:hAnsi="宋体"/>
                <w:color w:val="auto"/>
                <w:szCs w:val="21"/>
                <w:highlight w:val="none"/>
              </w:rPr>
            </w:pPr>
            <w:r>
              <w:rPr>
                <w:rFonts w:hint="eastAsia" w:ascii="宋体" w:hAnsi="宋体"/>
                <w:color w:val="auto"/>
                <w:szCs w:val="21"/>
                <w:highlight w:val="none"/>
              </w:rPr>
              <w:t>账号：</w:t>
            </w:r>
          </w:p>
        </w:tc>
        <w:tc>
          <w:tcPr>
            <w:tcW w:w="4517" w:type="dxa"/>
            <w:vAlign w:val="center"/>
          </w:tcPr>
          <w:p>
            <w:pPr>
              <w:snapToGrid w:val="0"/>
              <w:rPr>
                <w:rFonts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4516" w:type="dxa"/>
            <w:vAlign w:val="center"/>
          </w:tcPr>
          <w:p>
            <w:pPr>
              <w:snapToGrid w:val="0"/>
              <w:rPr>
                <w:rFonts w:ascii="宋体" w:hAnsi="宋体"/>
                <w:color w:val="auto"/>
                <w:szCs w:val="21"/>
                <w:highlight w:val="none"/>
              </w:rPr>
            </w:pPr>
            <w:r>
              <w:rPr>
                <w:rFonts w:hint="eastAsia" w:ascii="宋体" w:hAnsi="宋体"/>
                <w:color w:val="auto"/>
                <w:szCs w:val="21"/>
                <w:highlight w:val="none"/>
              </w:rPr>
              <w:t>邮政编码：</w:t>
            </w:r>
          </w:p>
        </w:tc>
        <w:tc>
          <w:tcPr>
            <w:tcW w:w="4517" w:type="dxa"/>
            <w:vAlign w:val="center"/>
          </w:tcPr>
          <w:p>
            <w:pPr>
              <w:snapToGrid w:val="0"/>
              <w:rPr>
                <w:rFonts w:ascii="宋体" w:hAnsi="宋体"/>
                <w:color w:val="auto"/>
                <w:szCs w:val="21"/>
                <w:highlight w:val="none"/>
              </w:rPr>
            </w:pPr>
            <w:r>
              <w:rPr>
                <w:rFonts w:hint="eastAsia" w:ascii="宋体" w:hAnsi="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7" w:hRule="atLeast"/>
          <w:jc w:val="center"/>
        </w:trPr>
        <w:tc>
          <w:tcPr>
            <w:tcW w:w="9033" w:type="dxa"/>
            <w:gridSpan w:val="2"/>
          </w:tcPr>
          <w:p>
            <w:pPr>
              <w:snapToGrid w:val="0"/>
              <w:rPr>
                <w:rFonts w:ascii="宋体" w:hAnsi="宋体"/>
                <w:color w:val="auto"/>
                <w:szCs w:val="21"/>
                <w:highlight w:val="none"/>
              </w:rPr>
            </w:pPr>
          </w:p>
          <w:p>
            <w:pPr>
              <w:snapToGrid w:val="0"/>
              <w:rPr>
                <w:rFonts w:ascii="宋体" w:hAnsi="宋体"/>
                <w:color w:val="auto"/>
                <w:szCs w:val="21"/>
                <w:highlight w:val="none"/>
              </w:rPr>
            </w:pPr>
            <w:r>
              <w:rPr>
                <w:rFonts w:hint="eastAsia" w:ascii="宋体" w:hAnsi="宋体"/>
                <w:color w:val="auto"/>
                <w:szCs w:val="21"/>
                <w:highlight w:val="none"/>
              </w:rPr>
              <w:t>采购代理机构：广西中信恒泰工程顾问有限公司</w:t>
            </w:r>
          </w:p>
          <w:p>
            <w:pPr>
              <w:snapToGrid w:val="0"/>
              <w:rPr>
                <w:rFonts w:ascii="宋体" w:hAnsi="宋体"/>
                <w:color w:val="auto"/>
                <w:szCs w:val="21"/>
                <w:highlight w:val="none"/>
              </w:rPr>
            </w:pPr>
            <w:r>
              <w:rPr>
                <w:rFonts w:hint="eastAsia" w:ascii="宋体" w:hAnsi="宋体"/>
                <w:color w:val="auto"/>
                <w:szCs w:val="21"/>
                <w:highlight w:val="none"/>
              </w:rPr>
              <w:t>经办人：</w:t>
            </w:r>
          </w:p>
          <w:p>
            <w:pPr>
              <w:snapToGrid w:val="0"/>
              <w:ind w:left="2430" w:leftChars="1007" w:hanging="315" w:hangingChars="150"/>
              <w:rPr>
                <w:rFonts w:ascii="宋体" w:hAnsi="宋体"/>
                <w:color w:val="auto"/>
                <w:szCs w:val="21"/>
                <w:highlight w:val="none"/>
              </w:rPr>
            </w:pPr>
          </w:p>
          <w:p>
            <w:pPr>
              <w:snapToGrid w:val="0"/>
              <w:ind w:firstLine="630" w:firstLineChars="300"/>
              <w:jc w:val="right"/>
              <w:rPr>
                <w:rFonts w:ascii="宋体" w:hAnsi="宋体"/>
                <w:color w:val="auto"/>
                <w:szCs w:val="21"/>
                <w:highlight w:val="none"/>
              </w:rPr>
            </w:pPr>
            <w:r>
              <w:rPr>
                <w:rFonts w:hint="eastAsia" w:ascii="宋体" w:hAnsi="宋体"/>
                <w:color w:val="auto"/>
                <w:szCs w:val="21"/>
                <w:highlight w:val="none"/>
              </w:rPr>
              <w:t>年    月    日</w:t>
            </w:r>
          </w:p>
        </w:tc>
      </w:tr>
    </w:tbl>
    <w:p>
      <w:pPr>
        <w:snapToGrid w:val="0"/>
        <w:spacing w:line="360" w:lineRule="auto"/>
        <w:ind w:firstLine="434" w:firstLineChars="135"/>
        <w:rPr>
          <w:rFonts w:ascii="宋体" w:hAnsi="宋体"/>
          <w:b/>
          <w:bCs/>
          <w:color w:val="auto"/>
          <w:sz w:val="32"/>
          <w:highlight w:val="none"/>
        </w:rPr>
      </w:pPr>
    </w:p>
    <w:p>
      <w:pPr>
        <w:snapToGrid w:val="0"/>
        <w:spacing w:line="360" w:lineRule="auto"/>
        <w:jc w:val="center"/>
        <w:rPr>
          <w:color w:val="auto"/>
          <w:highlight w:val="none"/>
        </w:rPr>
        <w:sectPr>
          <w:pgSz w:w="11906" w:h="16838"/>
          <w:pgMar w:top="1134" w:right="964" w:bottom="1134" w:left="1134" w:header="851" w:footer="992" w:gutter="0"/>
          <w:cols w:space="720" w:num="1"/>
          <w:docGrid w:linePitch="312" w:charSpace="0"/>
        </w:sectPr>
      </w:pPr>
    </w:p>
    <w:p>
      <w:pPr>
        <w:jc w:val="left"/>
        <w:rPr>
          <w:color w:val="auto"/>
          <w:sz w:val="32"/>
          <w:szCs w:val="32"/>
          <w:highlight w:val="none"/>
        </w:rPr>
      </w:pPr>
      <w:r>
        <w:rPr>
          <w:rFonts w:hint="eastAsia"/>
          <w:color w:val="auto"/>
          <w:sz w:val="32"/>
          <w:szCs w:val="32"/>
          <w:highlight w:val="none"/>
        </w:rPr>
        <w:t>附件：</w:t>
      </w:r>
    </w:p>
    <w:p>
      <w:pPr>
        <w:jc w:val="center"/>
        <w:rPr>
          <w:color w:val="auto"/>
          <w:highlight w:val="none"/>
        </w:rPr>
      </w:pPr>
      <w:r>
        <w:rPr>
          <w:rFonts w:hint="eastAsia"/>
          <w:color w:val="auto"/>
          <w:sz w:val="32"/>
          <w:szCs w:val="32"/>
          <w:highlight w:val="none"/>
        </w:rPr>
        <w:t>政府采购项目履约保证金退付意见书</w:t>
      </w:r>
    </w:p>
    <w:tbl>
      <w:tblPr>
        <w:tblStyle w:val="34"/>
        <w:tblpPr w:leftFromText="180" w:rightFromText="180" w:vertAnchor="page" w:horzAnchor="margin" w:tblpXSpec="center" w:tblpY="268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8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05"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color w:val="auto"/>
                <w:sz w:val="28"/>
                <w:szCs w:val="28"/>
                <w:highlight w:val="none"/>
              </w:rPr>
            </w:pPr>
            <w:r>
              <w:rPr>
                <w:rFonts w:hint="eastAsia"/>
                <w:color w:val="auto"/>
                <w:sz w:val="28"/>
                <w:szCs w:val="28"/>
                <w:highlight w:val="none"/>
              </w:rPr>
              <w:t>供应商申请</w:t>
            </w:r>
          </w:p>
        </w:tc>
        <w:tc>
          <w:tcPr>
            <w:tcW w:w="8884"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u w:val="single"/>
              </w:rPr>
            </w:pPr>
            <w:r>
              <w:rPr>
                <w:rFonts w:hint="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8"/>
                <w:szCs w:val="28"/>
                <w:highlight w:val="none"/>
              </w:rPr>
            </w:pPr>
          </w:p>
        </w:tc>
        <w:tc>
          <w:tcPr>
            <w:tcW w:w="8884"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u w:val="single"/>
              </w:rPr>
            </w:pPr>
            <w:r>
              <w:rPr>
                <w:rFonts w:hint="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8"/>
                <w:szCs w:val="28"/>
                <w:highlight w:val="none"/>
              </w:rPr>
            </w:pPr>
          </w:p>
        </w:tc>
        <w:tc>
          <w:tcPr>
            <w:tcW w:w="8884"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r>
              <w:rPr>
                <w:rFonts w:hint="eastAsia"/>
                <w:color w:val="auto"/>
                <w:sz w:val="24"/>
                <w:highlight w:val="none"/>
              </w:rPr>
              <w:t>中标货物或项目：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5" w:hRule="atLeast"/>
        </w:trPr>
        <w:tc>
          <w:tcPr>
            <w:tcW w:w="10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8"/>
                <w:szCs w:val="28"/>
                <w:highlight w:val="none"/>
              </w:rPr>
            </w:pPr>
          </w:p>
        </w:tc>
        <w:tc>
          <w:tcPr>
            <w:tcW w:w="888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color w:val="auto"/>
                <w:sz w:val="24"/>
                <w:highlight w:val="none"/>
                <w:u w:val="single"/>
              </w:rPr>
            </w:pPr>
            <w:r>
              <w:rPr>
                <w:rFonts w:hint="eastAsia"/>
                <w:color w:val="auto"/>
                <w:sz w:val="24"/>
                <w:highlight w:val="none"/>
              </w:rPr>
              <w:t>该项目已于</w:t>
            </w:r>
            <w:r>
              <w:rPr>
                <w:rFonts w:hint="eastAsia"/>
                <w:color w:val="auto"/>
                <w:sz w:val="24"/>
                <w:highlight w:val="none"/>
                <w:u w:val="single"/>
              </w:rPr>
              <w:t>年月日</w:t>
            </w:r>
            <w:r>
              <w:rPr>
                <w:rFonts w:hint="eastAsia"/>
                <w:color w:val="auto"/>
                <w:sz w:val="24"/>
                <w:highlight w:val="none"/>
              </w:rPr>
              <w:t>验收合格并交付使用，根据合同内容，该项目的履约保证金限期于</w:t>
            </w:r>
            <w:r>
              <w:rPr>
                <w:rFonts w:hint="eastAsia"/>
                <w:color w:val="auto"/>
                <w:sz w:val="24"/>
                <w:highlight w:val="none"/>
                <w:u w:val="single"/>
              </w:rPr>
              <w:t>年月日</w:t>
            </w:r>
            <w:r>
              <w:rPr>
                <w:rFonts w:hint="eastAsia"/>
                <w:color w:val="auto"/>
                <w:sz w:val="24"/>
                <w:highlight w:val="none"/>
              </w:rPr>
              <w:t>已满，现申请将履约保证金（大写）人民币（</w:t>
            </w:r>
            <w:r>
              <w:rPr>
                <w:rFonts w:hint="eastAsia" w:ascii="宋体" w:hAnsi="宋体" w:cs="宋体"/>
                <w:color w:val="auto"/>
                <w:kern w:val="0"/>
                <w:sz w:val="24"/>
                <w:highlight w:val="none"/>
              </w:rPr>
              <w:t>¥</w:t>
            </w:r>
            <w:r>
              <w:rPr>
                <w:rFonts w:hint="eastAsia"/>
                <w:color w:val="auto"/>
                <w:sz w:val="24"/>
                <w:highlight w:val="none"/>
                <w:u w:val="single"/>
              </w:rPr>
              <w:t>元</w:t>
            </w:r>
            <w:r>
              <w:rPr>
                <w:rFonts w:hint="eastAsia"/>
                <w:color w:val="auto"/>
                <w:sz w:val="24"/>
                <w:highlight w:val="none"/>
              </w:rPr>
              <w:t>）退付到以上账户：</w:t>
            </w:r>
          </w:p>
          <w:p>
            <w:pPr>
              <w:spacing w:line="360" w:lineRule="auto"/>
              <w:ind w:firstLine="435"/>
              <w:rPr>
                <w:color w:val="auto"/>
                <w:sz w:val="24"/>
                <w:highlight w:val="none"/>
                <w:u w:val="single"/>
              </w:rPr>
            </w:pPr>
            <w:r>
              <w:rPr>
                <w:rFonts w:hint="eastAsia"/>
                <w:color w:val="auto"/>
                <w:sz w:val="24"/>
                <w:highlight w:val="none"/>
              </w:rPr>
              <w:t>单位名称：</w:t>
            </w:r>
          </w:p>
          <w:p>
            <w:pPr>
              <w:spacing w:line="360" w:lineRule="auto"/>
              <w:ind w:firstLine="435"/>
              <w:rPr>
                <w:color w:val="auto"/>
                <w:sz w:val="24"/>
                <w:highlight w:val="none"/>
                <w:u w:val="single"/>
              </w:rPr>
            </w:pPr>
            <w:r>
              <w:rPr>
                <w:rFonts w:hint="eastAsia"/>
                <w:color w:val="auto"/>
                <w:sz w:val="24"/>
                <w:highlight w:val="none"/>
              </w:rPr>
              <w:t>开户银行：</w:t>
            </w:r>
          </w:p>
          <w:p>
            <w:pPr>
              <w:spacing w:line="360" w:lineRule="auto"/>
              <w:ind w:firstLine="435"/>
              <w:rPr>
                <w:color w:val="auto"/>
                <w:sz w:val="24"/>
                <w:highlight w:val="none"/>
                <w:u w:val="single"/>
              </w:rPr>
            </w:pPr>
            <w:r>
              <w:rPr>
                <w:rFonts w:hint="eastAsia"/>
                <w:color w:val="auto"/>
                <w:sz w:val="24"/>
                <w:highlight w:val="none"/>
              </w:rPr>
              <w:t>银行账号：</w:t>
            </w:r>
          </w:p>
          <w:p>
            <w:pPr>
              <w:spacing w:line="360" w:lineRule="auto"/>
              <w:ind w:firstLine="435"/>
              <w:rPr>
                <w:color w:val="auto"/>
                <w:sz w:val="24"/>
                <w:highlight w:val="none"/>
                <w:u w:val="single"/>
              </w:rPr>
            </w:pPr>
            <w:r>
              <w:rPr>
                <w:rFonts w:hint="eastAsia"/>
                <w:color w:val="auto"/>
                <w:sz w:val="24"/>
                <w:highlight w:val="none"/>
              </w:rPr>
              <w:t>联系人：</w:t>
            </w:r>
          </w:p>
          <w:p>
            <w:pPr>
              <w:spacing w:line="360" w:lineRule="auto"/>
              <w:ind w:firstLine="435"/>
              <w:rPr>
                <w:color w:val="auto"/>
                <w:sz w:val="24"/>
                <w:highlight w:val="none"/>
                <w:u w:val="single"/>
              </w:rPr>
            </w:pPr>
            <w:r>
              <w:rPr>
                <w:rFonts w:hint="eastAsia"/>
                <w:color w:val="auto"/>
                <w:sz w:val="24"/>
                <w:highlight w:val="none"/>
              </w:rPr>
              <w:t>联系电话：</w:t>
            </w:r>
          </w:p>
          <w:p>
            <w:pPr>
              <w:spacing w:line="360" w:lineRule="auto"/>
              <w:rPr>
                <w:color w:val="auto"/>
                <w:sz w:val="24"/>
                <w:highlight w:val="none"/>
                <w:u w:val="single"/>
              </w:rPr>
            </w:pPr>
          </w:p>
          <w:p>
            <w:pPr>
              <w:ind w:firstLine="4632" w:firstLineChars="1930"/>
              <w:rPr>
                <w:color w:val="auto"/>
                <w:sz w:val="24"/>
                <w:highlight w:val="none"/>
              </w:rPr>
            </w:pPr>
            <w:r>
              <w:rPr>
                <w:rFonts w:hint="eastAsia"/>
                <w:color w:val="auto"/>
                <w:sz w:val="24"/>
                <w:highlight w:val="none"/>
              </w:rPr>
              <w:t>供应商签章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8" w:hRule="atLeast"/>
        </w:trPr>
        <w:tc>
          <w:tcPr>
            <w:tcW w:w="1005"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color w:val="auto"/>
                <w:sz w:val="28"/>
                <w:szCs w:val="28"/>
                <w:highlight w:val="none"/>
              </w:rPr>
            </w:pPr>
            <w:r>
              <w:rPr>
                <w:rFonts w:hint="eastAsia"/>
                <w:color w:val="auto"/>
                <w:sz w:val="28"/>
                <w:szCs w:val="28"/>
                <w:highlight w:val="none"/>
              </w:rPr>
              <w:t>采购人意见</w:t>
            </w:r>
          </w:p>
        </w:tc>
        <w:tc>
          <w:tcPr>
            <w:tcW w:w="8884"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r>
              <w:rPr>
                <w:rFonts w:hint="eastAsia"/>
                <w:color w:val="auto"/>
                <w:sz w:val="24"/>
                <w:highlight w:val="none"/>
              </w:rPr>
              <w:t>验收意见：同意退付履约保证金</w:t>
            </w:r>
          </w:p>
          <w:p>
            <w:pPr>
              <w:rPr>
                <w:color w:val="auto"/>
                <w:sz w:val="24"/>
                <w:highlight w:val="none"/>
              </w:rPr>
            </w:pPr>
          </w:p>
          <w:p>
            <w:pPr>
              <w:rPr>
                <w:color w:val="auto"/>
                <w:sz w:val="24"/>
                <w:highlight w:val="none"/>
              </w:rPr>
            </w:pPr>
            <w:r>
              <w:rPr>
                <w:rFonts w:hint="eastAsia"/>
                <w:color w:val="auto"/>
                <w:sz w:val="24"/>
                <w:highlight w:val="none"/>
              </w:rPr>
              <w:t>联系人：</w:t>
            </w:r>
          </w:p>
          <w:p>
            <w:pPr>
              <w:rPr>
                <w:color w:val="auto"/>
                <w:sz w:val="24"/>
                <w:highlight w:val="none"/>
              </w:rPr>
            </w:pPr>
            <w:r>
              <w:rPr>
                <w:rFonts w:hint="eastAsia"/>
                <w:color w:val="auto"/>
                <w:sz w:val="24"/>
                <w:highlight w:val="none"/>
              </w:rPr>
              <w:t>联系电话：</w:t>
            </w:r>
          </w:p>
          <w:p>
            <w:pPr>
              <w:rPr>
                <w:color w:val="auto"/>
                <w:sz w:val="24"/>
                <w:highlight w:val="none"/>
              </w:rPr>
            </w:pPr>
          </w:p>
          <w:p>
            <w:pPr>
              <w:ind w:firstLine="4920" w:firstLineChars="2050"/>
              <w:rPr>
                <w:color w:val="auto"/>
                <w:sz w:val="24"/>
                <w:highlight w:val="none"/>
              </w:rPr>
            </w:pPr>
            <w:r>
              <w:rPr>
                <w:rFonts w:hint="eastAsia"/>
                <w:color w:val="auto"/>
                <w:sz w:val="24"/>
                <w:highlight w:val="none"/>
              </w:rPr>
              <w:t>采购人盖章</w:t>
            </w:r>
          </w:p>
          <w:p>
            <w:pPr>
              <w:ind w:firstLine="4920" w:firstLineChars="2050"/>
              <w:rPr>
                <w:color w:val="auto"/>
                <w:sz w:val="24"/>
                <w:highlight w:val="none"/>
              </w:rPr>
            </w:pPr>
            <w:r>
              <w:rPr>
                <w:rFonts w:hint="eastAsia"/>
                <w:color w:val="auto"/>
                <w:sz w:val="24"/>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625" w:hRule="atLeast"/>
        </w:trPr>
        <w:tc>
          <w:tcPr>
            <w:tcW w:w="9889"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（保证金缴纳凭证）</w:t>
            </w:r>
          </w:p>
        </w:tc>
      </w:tr>
    </w:tbl>
    <w:p>
      <w:pPr>
        <w:pStyle w:val="16"/>
        <w:spacing w:line="600" w:lineRule="exact"/>
        <w:ind w:firstLine="411" w:firstLineChars="196"/>
        <w:rPr>
          <w:color w:val="auto"/>
          <w:szCs w:val="21"/>
          <w:highlight w:val="none"/>
        </w:rPr>
      </w:pPr>
      <w:bookmarkStart w:id="76" w:name="_Toc524081086"/>
      <w:r>
        <w:rPr>
          <w:rFonts w:hint="eastAsia"/>
          <w:color w:val="auto"/>
          <w:szCs w:val="21"/>
          <w:highlight w:val="none"/>
        </w:rPr>
        <w:t>注：此表用于中标供应商退付履约保证金</w:t>
      </w:r>
      <w:bookmarkEnd w:id="76"/>
    </w:p>
    <w:p>
      <w:pPr>
        <w:pStyle w:val="16"/>
        <w:spacing w:line="360" w:lineRule="auto"/>
        <w:rPr>
          <w:b/>
          <w:color w:val="auto"/>
          <w:highlight w:val="none"/>
        </w:rPr>
      </w:pPr>
    </w:p>
    <w:sectPr>
      <w:pgSz w:w="11906" w:h="16838"/>
      <w:pgMar w:top="851" w:right="964" w:bottom="1134" w:left="1134" w:header="454"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20F0302020204030204"/>
    <w:charset w:val="00"/>
    <w:family w:val="swiss"/>
    <w:pitch w:val="default"/>
    <w:sig w:usb0="00000000" w:usb1="00000000" w:usb2="00000000" w:usb3="00000000" w:csb0="0000019F" w:csb1="00000000"/>
  </w:font>
  <w:font w:name="Consolas">
    <w:panose1 w:val="020B0609020204030204"/>
    <w:charset w:val="00"/>
    <w:family w:val="modern"/>
    <w:pitch w:val="default"/>
    <w:sig w:usb0="A00002EF" w:usb1="4000204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文鼎CS楷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4500" w:firstLineChars="250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rPr>
    </w:pPr>
    <w:r>
      <w:fldChar w:fldCharType="begin"/>
    </w:r>
    <w:r>
      <w:rPr>
        <w:rStyle w:val="37"/>
      </w:rPr>
      <w:instrText xml:space="preserve">PAGE  </w:instrText>
    </w:r>
    <w:r>
      <w:fldChar w:fldCharType="separate"/>
    </w:r>
    <w:r>
      <w:rPr>
        <w:rStyle w:val="37"/>
      </w:rPr>
      <w:t>25</w:t>
    </w:r>
    <w:r>
      <w:fldChar w:fldCharType="end"/>
    </w:r>
  </w:p>
  <w:p>
    <w:pPr>
      <w:pStyle w:val="2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rPr>
    </w:pPr>
    <w:r>
      <w:fldChar w:fldCharType="begin"/>
    </w:r>
    <w:r>
      <w:rPr>
        <w:rStyle w:val="37"/>
      </w:rPr>
      <w:instrText xml:space="preserve">PAGE  </w:instrText>
    </w:r>
    <w:r>
      <w:fldChar w:fldCharType="separate"/>
    </w:r>
    <w:r>
      <w:rPr>
        <w:rStyle w:val="37"/>
      </w:rPr>
      <w:t>0</w: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14</w:t>
    </w:r>
    <w:r>
      <w:rPr>
        <w:lang w:val="zh-CN"/>
      </w:rPr>
      <w:fldChar w:fldCharType="end"/>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rPr>
    </w:pPr>
    <w:r>
      <w:fldChar w:fldCharType="begin"/>
    </w:r>
    <w:r>
      <w:rPr>
        <w:rStyle w:val="37"/>
      </w:rPr>
      <w:instrText xml:space="preserve">PAGE  </w:instrText>
    </w:r>
    <w:r>
      <w:fldChar w:fldCharType="separate"/>
    </w:r>
    <w:r>
      <w:rPr>
        <w:rStyle w:val="37"/>
      </w:rPr>
      <w:t>0</w:t>
    </w:r>
    <w:r>
      <w:fldChar w:fldCharType="end"/>
    </w:r>
  </w:p>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21</w:t>
    </w:r>
    <w:r>
      <w:rPr>
        <w:lang w:val="zh-CN"/>
      </w:rPr>
      <w:fldChar w:fldCharType="end"/>
    </w:r>
  </w:p>
  <w:p>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rPr>
    </w:pPr>
    <w:r>
      <w:fldChar w:fldCharType="begin"/>
    </w:r>
    <w:r>
      <w:rPr>
        <w:rStyle w:val="37"/>
      </w:rPr>
      <w:instrText xml:space="preserve">PAGE  </w:instrText>
    </w:r>
    <w:r>
      <w:fldChar w:fldCharType="separate"/>
    </w:r>
    <w:r>
      <w:rPr>
        <w:rStyle w:val="37"/>
      </w:rPr>
      <w:t>0</w:t>
    </w:r>
    <w:r>
      <w:fldChar w:fldCharType="end"/>
    </w:r>
  </w:p>
  <w:p>
    <w:pPr>
      <w:pStyle w:val="2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rPr>
    </w:pPr>
    <w:r>
      <w:fldChar w:fldCharType="begin"/>
    </w:r>
    <w:r>
      <w:rPr>
        <w:rStyle w:val="37"/>
      </w:rPr>
      <w:instrText xml:space="preserve">PAGE  </w:instrText>
    </w:r>
    <w:r>
      <w:fldChar w:fldCharType="separate"/>
    </w:r>
    <w:r>
      <w:rPr>
        <w:rStyle w:val="37"/>
      </w:rPr>
      <w:t>41</w:t>
    </w:r>
    <w: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01E"/>
    <w:multiLevelType w:val="multilevel"/>
    <w:tmpl w:val="2246101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2702E9C"/>
    <w:multiLevelType w:val="multilevel"/>
    <w:tmpl w:val="32702E9C"/>
    <w:lvl w:ilvl="0" w:tentative="0">
      <w:start w:val="1"/>
      <w:numFmt w:val="japaneseCounting"/>
      <w:lvlText w:val="%1、"/>
      <w:lvlJc w:val="left"/>
      <w:pPr>
        <w:ind w:left="676" w:hanging="456"/>
      </w:pPr>
      <w:rPr>
        <w:rFonts w:hint="default"/>
      </w:r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2">
    <w:nsid w:val="75580530"/>
    <w:multiLevelType w:val="multilevel"/>
    <w:tmpl w:val="75580530"/>
    <w:lvl w:ilvl="0" w:tentative="0">
      <w:start w:val="3"/>
      <w:numFmt w:val="japaneseCounting"/>
      <w:lvlText w:val="%1、"/>
      <w:lvlJc w:val="left"/>
      <w:pPr>
        <w:ind w:left="1108" w:hanging="432"/>
      </w:pPr>
      <w:rPr>
        <w:rFonts w:hint="default"/>
      </w:rPr>
    </w:lvl>
    <w:lvl w:ilvl="1" w:tentative="0">
      <w:start w:val="1"/>
      <w:numFmt w:val="lowerLetter"/>
      <w:lvlText w:val="%2)"/>
      <w:lvlJc w:val="left"/>
      <w:pPr>
        <w:ind w:left="1516" w:hanging="420"/>
      </w:pPr>
    </w:lvl>
    <w:lvl w:ilvl="2" w:tentative="0">
      <w:start w:val="1"/>
      <w:numFmt w:val="lowerRoman"/>
      <w:lvlText w:val="%3."/>
      <w:lvlJc w:val="right"/>
      <w:pPr>
        <w:ind w:left="1936" w:hanging="420"/>
      </w:pPr>
    </w:lvl>
    <w:lvl w:ilvl="3" w:tentative="0">
      <w:start w:val="1"/>
      <w:numFmt w:val="decimal"/>
      <w:lvlText w:val="%4."/>
      <w:lvlJc w:val="left"/>
      <w:pPr>
        <w:ind w:left="2356" w:hanging="420"/>
      </w:pPr>
    </w:lvl>
    <w:lvl w:ilvl="4" w:tentative="0">
      <w:start w:val="1"/>
      <w:numFmt w:val="lowerLetter"/>
      <w:lvlText w:val="%5)"/>
      <w:lvlJc w:val="left"/>
      <w:pPr>
        <w:ind w:left="2776" w:hanging="420"/>
      </w:pPr>
    </w:lvl>
    <w:lvl w:ilvl="5" w:tentative="0">
      <w:start w:val="1"/>
      <w:numFmt w:val="lowerRoman"/>
      <w:lvlText w:val="%6."/>
      <w:lvlJc w:val="right"/>
      <w:pPr>
        <w:ind w:left="3196" w:hanging="420"/>
      </w:pPr>
    </w:lvl>
    <w:lvl w:ilvl="6" w:tentative="0">
      <w:start w:val="1"/>
      <w:numFmt w:val="decimal"/>
      <w:lvlText w:val="%7."/>
      <w:lvlJc w:val="left"/>
      <w:pPr>
        <w:ind w:left="3616" w:hanging="420"/>
      </w:pPr>
    </w:lvl>
    <w:lvl w:ilvl="7" w:tentative="0">
      <w:start w:val="1"/>
      <w:numFmt w:val="lowerLetter"/>
      <w:lvlText w:val="%8)"/>
      <w:lvlJc w:val="left"/>
      <w:pPr>
        <w:ind w:left="4036" w:hanging="420"/>
      </w:pPr>
    </w:lvl>
    <w:lvl w:ilvl="8" w:tentative="0">
      <w:start w:val="1"/>
      <w:numFmt w:val="lowerRoman"/>
      <w:lvlText w:val="%9."/>
      <w:lvlJc w:val="right"/>
      <w:pPr>
        <w:ind w:left="4456" w:hanging="420"/>
      </w:pPr>
    </w:lvl>
  </w:abstractNum>
  <w:num w:numId="1">
    <w:abstractNumId w:val="0"/>
  </w:num>
  <w:num w:numId="2">
    <w:abstractNumId w:val="1"/>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9A"/>
    <w:rsid w:val="00001160"/>
    <w:rsid w:val="00002620"/>
    <w:rsid w:val="00002DC9"/>
    <w:rsid w:val="00004103"/>
    <w:rsid w:val="00005C43"/>
    <w:rsid w:val="00005DCF"/>
    <w:rsid w:val="00006E94"/>
    <w:rsid w:val="00012DE2"/>
    <w:rsid w:val="000141F9"/>
    <w:rsid w:val="0002113D"/>
    <w:rsid w:val="0002542C"/>
    <w:rsid w:val="00025C9B"/>
    <w:rsid w:val="000270CD"/>
    <w:rsid w:val="000277D5"/>
    <w:rsid w:val="00027831"/>
    <w:rsid w:val="00030572"/>
    <w:rsid w:val="000329C3"/>
    <w:rsid w:val="00037228"/>
    <w:rsid w:val="00040D26"/>
    <w:rsid w:val="00046B7F"/>
    <w:rsid w:val="00050A14"/>
    <w:rsid w:val="00052F0C"/>
    <w:rsid w:val="00055457"/>
    <w:rsid w:val="000563C8"/>
    <w:rsid w:val="00056D80"/>
    <w:rsid w:val="0006413B"/>
    <w:rsid w:val="00064303"/>
    <w:rsid w:val="00066458"/>
    <w:rsid w:val="00066A05"/>
    <w:rsid w:val="00067B76"/>
    <w:rsid w:val="00067E25"/>
    <w:rsid w:val="00070902"/>
    <w:rsid w:val="00071FFE"/>
    <w:rsid w:val="0007250A"/>
    <w:rsid w:val="000730A9"/>
    <w:rsid w:val="000735C3"/>
    <w:rsid w:val="00076D33"/>
    <w:rsid w:val="00077E77"/>
    <w:rsid w:val="00080EE0"/>
    <w:rsid w:val="00082AB6"/>
    <w:rsid w:val="00083156"/>
    <w:rsid w:val="000836BF"/>
    <w:rsid w:val="00083EAE"/>
    <w:rsid w:val="00085386"/>
    <w:rsid w:val="00085A62"/>
    <w:rsid w:val="00085B08"/>
    <w:rsid w:val="00086806"/>
    <w:rsid w:val="000868C5"/>
    <w:rsid w:val="0009017F"/>
    <w:rsid w:val="00090886"/>
    <w:rsid w:val="000937A7"/>
    <w:rsid w:val="000A0299"/>
    <w:rsid w:val="000A07FA"/>
    <w:rsid w:val="000A0944"/>
    <w:rsid w:val="000A0F82"/>
    <w:rsid w:val="000B149D"/>
    <w:rsid w:val="000B355B"/>
    <w:rsid w:val="000B3E81"/>
    <w:rsid w:val="000B3FA9"/>
    <w:rsid w:val="000B781A"/>
    <w:rsid w:val="000C0A88"/>
    <w:rsid w:val="000C0CFC"/>
    <w:rsid w:val="000C185E"/>
    <w:rsid w:val="000C1FFA"/>
    <w:rsid w:val="000C2ED5"/>
    <w:rsid w:val="000C3A77"/>
    <w:rsid w:val="000C46D7"/>
    <w:rsid w:val="000C6A7E"/>
    <w:rsid w:val="000C7385"/>
    <w:rsid w:val="000C7A17"/>
    <w:rsid w:val="000D0600"/>
    <w:rsid w:val="000D11FF"/>
    <w:rsid w:val="000D1E58"/>
    <w:rsid w:val="000D21E3"/>
    <w:rsid w:val="000D41E8"/>
    <w:rsid w:val="000D4A69"/>
    <w:rsid w:val="000D4EA2"/>
    <w:rsid w:val="000D5670"/>
    <w:rsid w:val="000D77B4"/>
    <w:rsid w:val="000D7DB8"/>
    <w:rsid w:val="000E0DF8"/>
    <w:rsid w:val="000E13A2"/>
    <w:rsid w:val="000E3784"/>
    <w:rsid w:val="000E3D8C"/>
    <w:rsid w:val="000E500B"/>
    <w:rsid w:val="000E6DEF"/>
    <w:rsid w:val="000E7E55"/>
    <w:rsid w:val="000F347E"/>
    <w:rsid w:val="000F44A1"/>
    <w:rsid w:val="000F4F45"/>
    <w:rsid w:val="000F69F3"/>
    <w:rsid w:val="000F7C77"/>
    <w:rsid w:val="00100E7E"/>
    <w:rsid w:val="00101E17"/>
    <w:rsid w:val="00102472"/>
    <w:rsid w:val="00102A19"/>
    <w:rsid w:val="00102F23"/>
    <w:rsid w:val="00102FFF"/>
    <w:rsid w:val="00103101"/>
    <w:rsid w:val="00103587"/>
    <w:rsid w:val="0010496B"/>
    <w:rsid w:val="001052CC"/>
    <w:rsid w:val="00107A5D"/>
    <w:rsid w:val="001104D3"/>
    <w:rsid w:val="00110663"/>
    <w:rsid w:val="001116E6"/>
    <w:rsid w:val="001133D8"/>
    <w:rsid w:val="001156DD"/>
    <w:rsid w:val="00117E27"/>
    <w:rsid w:val="00122825"/>
    <w:rsid w:val="00130CF9"/>
    <w:rsid w:val="00131084"/>
    <w:rsid w:val="00137A44"/>
    <w:rsid w:val="00137E2F"/>
    <w:rsid w:val="00141648"/>
    <w:rsid w:val="00142B91"/>
    <w:rsid w:val="001438F8"/>
    <w:rsid w:val="001452DF"/>
    <w:rsid w:val="00145330"/>
    <w:rsid w:val="001471C5"/>
    <w:rsid w:val="00147890"/>
    <w:rsid w:val="00151BA0"/>
    <w:rsid w:val="00152392"/>
    <w:rsid w:val="00153390"/>
    <w:rsid w:val="0015608C"/>
    <w:rsid w:val="001567C3"/>
    <w:rsid w:val="001607F5"/>
    <w:rsid w:val="00160D45"/>
    <w:rsid w:val="00164197"/>
    <w:rsid w:val="00164608"/>
    <w:rsid w:val="00165516"/>
    <w:rsid w:val="00171AF2"/>
    <w:rsid w:val="00174D2F"/>
    <w:rsid w:val="00177774"/>
    <w:rsid w:val="00180CB9"/>
    <w:rsid w:val="00182B49"/>
    <w:rsid w:val="0018362E"/>
    <w:rsid w:val="00183C04"/>
    <w:rsid w:val="001856BA"/>
    <w:rsid w:val="0018603A"/>
    <w:rsid w:val="00186177"/>
    <w:rsid w:val="00190BAD"/>
    <w:rsid w:val="00190EE0"/>
    <w:rsid w:val="0019305C"/>
    <w:rsid w:val="00193257"/>
    <w:rsid w:val="001937BA"/>
    <w:rsid w:val="0019668F"/>
    <w:rsid w:val="00197703"/>
    <w:rsid w:val="00197FD7"/>
    <w:rsid w:val="001A0DA5"/>
    <w:rsid w:val="001A3152"/>
    <w:rsid w:val="001A37DB"/>
    <w:rsid w:val="001A3869"/>
    <w:rsid w:val="001A4631"/>
    <w:rsid w:val="001B0CE3"/>
    <w:rsid w:val="001B10F4"/>
    <w:rsid w:val="001B162F"/>
    <w:rsid w:val="001B1DAC"/>
    <w:rsid w:val="001B266D"/>
    <w:rsid w:val="001B271B"/>
    <w:rsid w:val="001B494F"/>
    <w:rsid w:val="001B58B1"/>
    <w:rsid w:val="001B7B67"/>
    <w:rsid w:val="001C2EFD"/>
    <w:rsid w:val="001C374B"/>
    <w:rsid w:val="001C3F18"/>
    <w:rsid w:val="001C7696"/>
    <w:rsid w:val="001D0B1D"/>
    <w:rsid w:val="001D176B"/>
    <w:rsid w:val="001D4683"/>
    <w:rsid w:val="001D4A7A"/>
    <w:rsid w:val="001D76E3"/>
    <w:rsid w:val="001D7FF3"/>
    <w:rsid w:val="001E1A92"/>
    <w:rsid w:val="001E4EAC"/>
    <w:rsid w:val="001F2B61"/>
    <w:rsid w:val="001F30C4"/>
    <w:rsid w:val="001F31BC"/>
    <w:rsid w:val="001F693B"/>
    <w:rsid w:val="001F7743"/>
    <w:rsid w:val="001F7E1C"/>
    <w:rsid w:val="002007E4"/>
    <w:rsid w:val="00200D26"/>
    <w:rsid w:val="0020378E"/>
    <w:rsid w:val="0020598B"/>
    <w:rsid w:val="00207F88"/>
    <w:rsid w:val="002128DE"/>
    <w:rsid w:val="00212A65"/>
    <w:rsid w:val="00217C9A"/>
    <w:rsid w:val="00220953"/>
    <w:rsid w:val="002212A0"/>
    <w:rsid w:val="00226BCB"/>
    <w:rsid w:val="00227C79"/>
    <w:rsid w:val="00230781"/>
    <w:rsid w:val="0023092C"/>
    <w:rsid w:val="00230EC0"/>
    <w:rsid w:val="0023133D"/>
    <w:rsid w:val="00231571"/>
    <w:rsid w:val="002324CA"/>
    <w:rsid w:val="0023416C"/>
    <w:rsid w:val="00234414"/>
    <w:rsid w:val="002352A3"/>
    <w:rsid w:val="0023790C"/>
    <w:rsid w:val="00237F8B"/>
    <w:rsid w:val="002407BF"/>
    <w:rsid w:val="00242E99"/>
    <w:rsid w:val="002451FA"/>
    <w:rsid w:val="00246B19"/>
    <w:rsid w:val="00247B59"/>
    <w:rsid w:val="002509F9"/>
    <w:rsid w:val="00250C75"/>
    <w:rsid w:val="00251EA1"/>
    <w:rsid w:val="0025230D"/>
    <w:rsid w:val="00252B70"/>
    <w:rsid w:val="00256B80"/>
    <w:rsid w:val="002606AB"/>
    <w:rsid w:val="002608D2"/>
    <w:rsid w:val="00260D79"/>
    <w:rsid w:val="00261E5F"/>
    <w:rsid w:val="0026279D"/>
    <w:rsid w:val="002629C8"/>
    <w:rsid w:val="00264804"/>
    <w:rsid w:val="002667EC"/>
    <w:rsid w:val="002710E8"/>
    <w:rsid w:val="00271454"/>
    <w:rsid w:val="00271E11"/>
    <w:rsid w:val="00275DCC"/>
    <w:rsid w:val="00276AE5"/>
    <w:rsid w:val="00277A44"/>
    <w:rsid w:val="00280DC0"/>
    <w:rsid w:val="00281AE5"/>
    <w:rsid w:val="00284FF8"/>
    <w:rsid w:val="0028738C"/>
    <w:rsid w:val="002926B2"/>
    <w:rsid w:val="002962EF"/>
    <w:rsid w:val="00296878"/>
    <w:rsid w:val="00296C4A"/>
    <w:rsid w:val="00297646"/>
    <w:rsid w:val="00297C9A"/>
    <w:rsid w:val="00297CB3"/>
    <w:rsid w:val="002A0255"/>
    <w:rsid w:val="002A0708"/>
    <w:rsid w:val="002A1064"/>
    <w:rsid w:val="002A2A88"/>
    <w:rsid w:val="002A3A2E"/>
    <w:rsid w:val="002A515D"/>
    <w:rsid w:val="002A68DA"/>
    <w:rsid w:val="002A6984"/>
    <w:rsid w:val="002A7429"/>
    <w:rsid w:val="002A7C56"/>
    <w:rsid w:val="002B7FA5"/>
    <w:rsid w:val="002C01EF"/>
    <w:rsid w:val="002C104F"/>
    <w:rsid w:val="002C1098"/>
    <w:rsid w:val="002C3C4D"/>
    <w:rsid w:val="002C531D"/>
    <w:rsid w:val="002C63AE"/>
    <w:rsid w:val="002C641C"/>
    <w:rsid w:val="002C719D"/>
    <w:rsid w:val="002D12D3"/>
    <w:rsid w:val="002D1714"/>
    <w:rsid w:val="002D1F1A"/>
    <w:rsid w:val="002D4062"/>
    <w:rsid w:val="002D4174"/>
    <w:rsid w:val="002D5EA4"/>
    <w:rsid w:val="002D6997"/>
    <w:rsid w:val="002E1304"/>
    <w:rsid w:val="002E1993"/>
    <w:rsid w:val="002E1B8D"/>
    <w:rsid w:val="002E2368"/>
    <w:rsid w:val="002E346D"/>
    <w:rsid w:val="002E3E50"/>
    <w:rsid w:val="002E4980"/>
    <w:rsid w:val="002F0EAE"/>
    <w:rsid w:val="002F20F1"/>
    <w:rsid w:val="002F42C1"/>
    <w:rsid w:val="002F4643"/>
    <w:rsid w:val="00300576"/>
    <w:rsid w:val="00300818"/>
    <w:rsid w:val="003009CB"/>
    <w:rsid w:val="0030516D"/>
    <w:rsid w:val="00306EC7"/>
    <w:rsid w:val="003116A3"/>
    <w:rsid w:val="00312F61"/>
    <w:rsid w:val="00314699"/>
    <w:rsid w:val="00314FF2"/>
    <w:rsid w:val="0031574C"/>
    <w:rsid w:val="003171AD"/>
    <w:rsid w:val="003246D1"/>
    <w:rsid w:val="00325554"/>
    <w:rsid w:val="00326297"/>
    <w:rsid w:val="00330375"/>
    <w:rsid w:val="00331262"/>
    <w:rsid w:val="00331F03"/>
    <w:rsid w:val="003323BB"/>
    <w:rsid w:val="003346EB"/>
    <w:rsid w:val="00334A09"/>
    <w:rsid w:val="00337532"/>
    <w:rsid w:val="00341721"/>
    <w:rsid w:val="00344BDE"/>
    <w:rsid w:val="003459A4"/>
    <w:rsid w:val="0034641F"/>
    <w:rsid w:val="00346FC1"/>
    <w:rsid w:val="0034766D"/>
    <w:rsid w:val="00351518"/>
    <w:rsid w:val="00352908"/>
    <w:rsid w:val="00355A2B"/>
    <w:rsid w:val="00357F4E"/>
    <w:rsid w:val="00360427"/>
    <w:rsid w:val="003620D6"/>
    <w:rsid w:val="003631FD"/>
    <w:rsid w:val="003644C2"/>
    <w:rsid w:val="003647F7"/>
    <w:rsid w:val="00365193"/>
    <w:rsid w:val="003659D6"/>
    <w:rsid w:val="003659FA"/>
    <w:rsid w:val="00365CB5"/>
    <w:rsid w:val="00370B16"/>
    <w:rsid w:val="00374FC7"/>
    <w:rsid w:val="003766E2"/>
    <w:rsid w:val="00382E1E"/>
    <w:rsid w:val="003836CD"/>
    <w:rsid w:val="00386F48"/>
    <w:rsid w:val="00387862"/>
    <w:rsid w:val="00390130"/>
    <w:rsid w:val="0039038C"/>
    <w:rsid w:val="003916E9"/>
    <w:rsid w:val="003922F6"/>
    <w:rsid w:val="003930C3"/>
    <w:rsid w:val="00396B44"/>
    <w:rsid w:val="00397237"/>
    <w:rsid w:val="003A066B"/>
    <w:rsid w:val="003A18E1"/>
    <w:rsid w:val="003A20D5"/>
    <w:rsid w:val="003A244D"/>
    <w:rsid w:val="003A2B63"/>
    <w:rsid w:val="003A35C9"/>
    <w:rsid w:val="003A4D85"/>
    <w:rsid w:val="003A5B04"/>
    <w:rsid w:val="003A7728"/>
    <w:rsid w:val="003B0650"/>
    <w:rsid w:val="003B1D19"/>
    <w:rsid w:val="003B27F9"/>
    <w:rsid w:val="003B32F3"/>
    <w:rsid w:val="003B7551"/>
    <w:rsid w:val="003C0F10"/>
    <w:rsid w:val="003C16F1"/>
    <w:rsid w:val="003C29C4"/>
    <w:rsid w:val="003C47A9"/>
    <w:rsid w:val="003C5763"/>
    <w:rsid w:val="003C7C8F"/>
    <w:rsid w:val="003C7EF6"/>
    <w:rsid w:val="003D0CFC"/>
    <w:rsid w:val="003D1837"/>
    <w:rsid w:val="003D428A"/>
    <w:rsid w:val="003E040C"/>
    <w:rsid w:val="003E0A7D"/>
    <w:rsid w:val="003E331D"/>
    <w:rsid w:val="003E45D2"/>
    <w:rsid w:val="003E57A1"/>
    <w:rsid w:val="003E5AF4"/>
    <w:rsid w:val="003E5C23"/>
    <w:rsid w:val="003E6FE9"/>
    <w:rsid w:val="003E7573"/>
    <w:rsid w:val="003F0458"/>
    <w:rsid w:val="003F0EFC"/>
    <w:rsid w:val="003F4391"/>
    <w:rsid w:val="003F4441"/>
    <w:rsid w:val="003F4604"/>
    <w:rsid w:val="003F5250"/>
    <w:rsid w:val="003F544C"/>
    <w:rsid w:val="003F73A8"/>
    <w:rsid w:val="003F7468"/>
    <w:rsid w:val="003F7DC6"/>
    <w:rsid w:val="00400068"/>
    <w:rsid w:val="004008D3"/>
    <w:rsid w:val="004018CE"/>
    <w:rsid w:val="00403E2D"/>
    <w:rsid w:val="00404281"/>
    <w:rsid w:val="00405D78"/>
    <w:rsid w:val="0040612A"/>
    <w:rsid w:val="0041099D"/>
    <w:rsid w:val="00410A31"/>
    <w:rsid w:val="00415F57"/>
    <w:rsid w:val="00420026"/>
    <w:rsid w:val="0042077D"/>
    <w:rsid w:val="00420F3E"/>
    <w:rsid w:val="00421658"/>
    <w:rsid w:val="0042338E"/>
    <w:rsid w:val="00424139"/>
    <w:rsid w:val="0043120F"/>
    <w:rsid w:val="00433D72"/>
    <w:rsid w:val="00434300"/>
    <w:rsid w:val="0043587A"/>
    <w:rsid w:val="0043589A"/>
    <w:rsid w:val="00437532"/>
    <w:rsid w:val="00440A78"/>
    <w:rsid w:val="004411D8"/>
    <w:rsid w:val="0044238C"/>
    <w:rsid w:val="00443039"/>
    <w:rsid w:val="00443F2E"/>
    <w:rsid w:val="00443F33"/>
    <w:rsid w:val="00445990"/>
    <w:rsid w:val="00445C14"/>
    <w:rsid w:val="00447242"/>
    <w:rsid w:val="00450523"/>
    <w:rsid w:val="00450ECF"/>
    <w:rsid w:val="004551B5"/>
    <w:rsid w:val="0045677B"/>
    <w:rsid w:val="0045688C"/>
    <w:rsid w:val="00456AED"/>
    <w:rsid w:val="004637A8"/>
    <w:rsid w:val="004640E4"/>
    <w:rsid w:val="004656F2"/>
    <w:rsid w:val="00466E62"/>
    <w:rsid w:val="00466EE2"/>
    <w:rsid w:val="00471865"/>
    <w:rsid w:val="0047343F"/>
    <w:rsid w:val="004745FD"/>
    <w:rsid w:val="004768C7"/>
    <w:rsid w:val="004839DB"/>
    <w:rsid w:val="0048429D"/>
    <w:rsid w:val="004849AB"/>
    <w:rsid w:val="004855E4"/>
    <w:rsid w:val="00485748"/>
    <w:rsid w:val="004858CF"/>
    <w:rsid w:val="00486DE3"/>
    <w:rsid w:val="0048743B"/>
    <w:rsid w:val="004904FB"/>
    <w:rsid w:val="00491C10"/>
    <w:rsid w:val="004938B4"/>
    <w:rsid w:val="0049734E"/>
    <w:rsid w:val="00497C1C"/>
    <w:rsid w:val="004A1736"/>
    <w:rsid w:val="004A56A4"/>
    <w:rsid w:val="004A5DB2"/>
    <w:rsid w:val="004A6971"/>
    <w:rsid w:val="004A717D"/>
    <w:rsid w:val="004A71E5"/>
    <w:rsid w:val="004A7406"/>
    <w:rsid w:val="004B2D93"/>
    <w:rsid w:val="004B76AF"/>
    <w:rsid w:val="004B7E22"/>
    <w:rsid w:val="004C0813"/>
    <w:rsid w:val="004C095D"/>
    <w:rsid w:val="004C0FB4"/>
    <w:rsid w:val="004C47AD"/>
    <w:rsid w:val="004C5462"/>
    <w:rsid w:val="004C5525"/>
    <w:rsid w:val="004D1EA7"/>
    <w:rsid w:val="004D24BE"/>
    <w:rsid w:val="004D2757"/>
    <w:rsid w:val="004D747B"/>
    <w:rsid w:val="004D75A5"/>
    <w:rsid w:val="004E0191"/>
    <w:rsid w:val="004E3D34"/>
    <w:rsid w:val="004E6AC2"/>
    <w:rsid w:val="004E7BB5"/>
    <w:rsid w:val="004E7F5E"/>
    <w:rsid w:val="004F1016"/>
    <w:rsid w:val="004F1C36"/>
    <w:rsid w:val="004F28F3"/>
    <w:rsid w:val="004F521B"/>
    <w:rsid w:val="004F5746"/>
    <w:rsid w:val="00502A17"/>
    <w:rsid w:val="00504D42"/>
    <w:rsid w:val="005057F9"/>
    <w:rsid w:val="0051036E"/>
    <w:rsid w:val="0051090E"/>
    <w:rsid w:val="00510B48"/>
    <w:rsid w:val="005111BF"/>
    <w:rsid w:val="00512B3F"/>
    <w:rsid w:val="00514130"/>
    <w:rsid w:val="0051538B"/>
    <w:rsid w:val="00524A72"/>
    <w:rsid w:val="00524CB3"/>
    <w:rsid w:val="00524FAA"/>
    <w:rsid w:val="00526077"/>
    <w:rsid w:val="0052619C"/>
    <w:rsid w:val="00526C70"/>
    <w:rsid w:val="00530BA1"/>
    <w:rsid w:val="00535627"/>
    <w:rsid w:val="005424FF"/>
    <w:rsid w:val="00544BF8"/>
    <w:rsid w:val="00545492"/>
    <w:rsid w:val="0054589F"/>
    <w:rsid w:val="005460E1"/>
    <w:rsid w:val="00546517"/>
    <w:rsid w:val="00547D13"/>
    <w:rsid w:val="00550E66"/>
    <w:rsid w:val="005551BD"/>
    <w:rsid w:val="00555F5B"/>
    <w:rsid w:val="005569DB"/>
    <w:rsid w:val="00556C9E"/>
    <w:rsid w:val="00560398"/>
    <w:rsid w:val="00560E64"/>
    <w:rsid w:val="00562927"/>
    <w:rsid w:val="005648AB"/>
    <w:rsid w:val="00565F96"/>
    <w:rsid w:val="005712D7"/>
    <w:rsid w:val="00571E38"/>
    <w:rsid w:val="0057274E"/>
    <w:rsid w:val="00575A68"/>
    <w:rsid w:val="00577C59"/>
    <w:rsid w:val="00583937"/>
    <w:rsid w:val="00585536"/>
    <w:rsid w:val="0058770F"/>
    <w:rsid w:val="0059262E"/>
    <w:rsid w:val="005930E1"/>
    <w:rsid w:val="005962CF"/>
    <w:rsid w:val="005965B8"/>
    <w:rsid w:val="005A14FC"/>
    <w:rsid w:val="005A3A38"/>
    <w:rsid w:val="005A5AB4"/>
    <w:rsid w:val="005A6B5C"/>
    <w:rsid w:val="005B2CF0"/>
    <w:rsid w:val="005B3175"/>
    <w:rsid w:val="005B34A6"/>
    <w:rsid w:val="005B51BD"/>
    <w:rsid w:val="005B53CD"/>
    <w:rsid w:val="005B58A6"/>
    <w:rsid w:val="005B5DAE"/>
    <w:rsid w:val="005B60DC"/>
    <w:rsid w:val="005B6E4B"/>
    <w:rsid w:val="005C1571"/>
    <w:rsid w:val="005C229F"/>
    <w:rsid w:val="005C2952"/>
    <w:rsid w:val="005C4480"/>
    <w:rsid w:val="005C72E4"/>
    <w:rsid w:val="005C7C9C"/>
    <w:rsid w:val="005D000E"/>
    <w:rsid w:val="005D10ED"/>
    <w:rsid w:val="005D122A"/>
    <w:rsid w:val="005D46FE"/>
    <w:rsid w:val="005D5F79"/>
    <w:rsid w:val="005E1832"/>
    <w:rsid w:val="005E1EE6"/>
    <w:rsid w:val="005E2507"/>
    <w:rsid w:val="005E4178"/>
    <w:rsid w:val="005E50C0"/>
    <w:rsid w:val="005E6697"/>
    <w:rsid w:val="005F2A1B"/>
    <w:rsid w:val="005F2CF8"/>
    <w:rsid w:val="005F39FB"/>
    <w:rsid w:val="005F5248"/>
    <w:rsid w:val="005F580F"/>
    <w:rsid w:val="005F582F"/>
    <w:rsid w:val="005F58E6"/>
    <w:rsid w:val="005F5B25"/>
    <w:rsid w:val="006020B7"/>
    <w:rsid w:val="00602515"/>
    <w:rsid w:val="00602BC9"/>
    <w:rsid w:val="006043AA"/>
    <w:rsid w:val="00604567"/>
    <w:rsid w:val="0060641C"/>
    <w:rsid w:val="0060657E"/>
    <w:rsid w:val="00612FAC"/>
    <w:rsid w:val="0061388C"/>
    <w:rsid w:val="006148C4"/>
    <w:rsid w:val="00616560"/>
    <w:rsid w:val="00616FC4"/>
    <w:rsid w:val="0061726D"/>
    <w:rsid w:val="00621A8A"/>
    <w:rsid w:val="00621F88"/>
    <w:rsid w:val="0062213F"/>
    <w:rsid w:val="00622B39"/>
    <w:rsid w:val="00625711"/>
    <w:rsid w:val="00626A40"/>
    <w:rsid w:val="006271B6"/>
    <w:rsid w:val="006343C5"/>
    <w:rsid w:val="00636C43"/>
    <w:rsid w:val="006376A4"/>
    <w:rsid w:val="00644C00"/>
    <w:rsid w:val="0064596C"/>
    <w:rsid w:val="00645BF3"/>
    <w:rsid w:val="0064675C"/>
    <w:rsid w:val="00646B25"/>
    <w:rsid w:val="00647F46"/>
    <w:rsid w:val="0065017F"/>
    <w:rsid w:val="006503A4"/>
    <w:rsid w:val="006508CC"/>
    <w:rsid w:val="006509A5"/>
    <w:rsid w:val="00650E18"/>
    <w:rsid w:val="00651888"/>
    <w:rsid w:val="006520E1"/>
    <w:rsid w:val="00652A92"/>
    <w:rsid w:val="00653F33"/>
    <w:rsid w:val="00654399"/>
    <w:rsid w:val="006556EA"/>
    <w:rsid w:val="00660677"/>
    <w:rsid w:val="006607BE"/>
    <w:rsid w:val="00664F92"/>
    <w:rsid w:val="0066568D"/>
    <w:rsid w:val="00667557"/>
    <w:rsid w:val="006676E5"/>
    <w:rsid w:val="006715CA"/>
    <w:rsid w:val="00672911"/>
    <w:rsid w:val="00673C8F"/>
    <w:rsid w:val="0067482E"/>
    <w:rsid w:val="00675967"/>
    <w:rsid w:val="0067691F"/>
    <w:rsid w:val="00677069"/>
    <w:rsid w:val="00677454"/>
    <w:rsid w:val="00677FCB"/>
    <w:rsid w:val="00680254"/>
    <w:rsid w:val="006806B9"/>
    <w:rsid w:val="00682F97"/>
    <w:rsid w:val="0068303D"/>
    <w:rsid w:val="00686A4A"/>
    <w:rsid w:val="00686EB8"/>
    <w:rsid w:val="00690D37"/>
    <w:rsid w:val="006921A6"/>
    <w:rsid w:val="00692692"/>
    <w:rsid w:val="00695F2D"/>
    <w:rsid w:val="00696CBC"/>
    <w:rsid w:val="006970A0"/>
    <w:rsid w:val="006A1B7A"/>
    <w:rsid w:val="006A283A"/>
    <w:rsid w:val="006A3407"/>
    <w:rsid w:val="006A3CD0"/>
    <w:rsid w:val="006A420F"/>
    <w:rsid w:val="006B1265"/>
    <w:rsid w:val="006B26B2"/>
    <w:rsid w:val="006B589A"/>
    <w:rsid w:val="006B67C5"/>
    <w:rsid w:val="006B6902"/>
    <w:rsid w:val="006C1836"/>
    <w:rsid w:val="006C21D5"/>
    <w:rsid w:val="006C3F77"/>
    <w:rsid w:val="006C56BA"/>
    <w:rsid w:val="006C57DD"/>
    <w:rsid w:val="006C5B06"/>
    <w:rsid w:val="006D23DF"/>
    <w:rsid w:val="006D2ED0"/>
    <w:rsid w:val="006D6D34"/>
    <w:rsid w:val="006D78A5"/>
    <w:rsid w:val="006E213A"/>
    <w:rsid w:val="006E4278"/>
    <w:rsid w:val="006E4756"/>
    <w:rsid w:val="006E631A"/>
    <w:rsid w:val="006F06DB"/>
    <w:rsid w:val="006F1F0C"/>
    <w:rsid w:val="006F2626"/>
    <w:rsid w:val="006F2875"/>
    <w:rsid w:val="006F304C"/>
    <w:rsid w:val="006F30AC"/>
    <w:rsid w:val="006F316C"/>
    <w:rsid w:val="006F5021"/>
    <w:rsid w:val="006F52E5"/>
    <w:rsid w:val="0070107D"/>
    <w:rsid w:val="00705158"/>
    <w:rsid w:val="007051F9"/>
    <w:rsid w:val="00711E5A"/>
    <w:rsid w:val="00715AE4"/>
    <w:rsid w:val="00715B77"/>
    <w:rsid w:val="00716B82"/>
    <w:rsid w:val="007205D6"/>
    <w:rsid w:val="007210DC"/>
    <w:rsid w:val="007232C8"/>
    <w:rsid w:val="007234F4"/>
    <w:rsid w:val="0073027D"/>
    <w:rsid w:val="00730D81"/>
    <w:rsid w:val="00730DB3"/>
    <w:rsid w:val="00734BD6"/>
    <w:rsid w:val="00734E1E"/>
    <w:rsid w:val="00737B8C"/>
    <w:rsid w:val="00737DC4"/>
    <w:rsid w:val="00737E68"/>
    <w:rsid w:val="00741586"/>
    <w:rsid w:val="00742F70"/>
    <w:rsid w:val="00745BE2"/>
    <w:rsid w:val="0074628D"/>
    <w:rsid w:val="007513B9"/>
    <w:rsid w:val="007517C6"/>
    <w:rsid w:val="00751CF0"/>
    <w:rsid w:val="00752554"/>
    <w:rsid w:val="00752AE1"/>
    <w:rsid w:val="00754A18"/>
    <w:rsid w:val="0075536A"/>
    <w:rsid w:val="00755A7C"/>
    <w:rsid w:val="0075624E"/>
    <w:rsid w:val="00757B6A"/>
    <w:rsid w:val="00762440"/>
    <w:rsid w:val="00762491"/>
    <w:rsid w:val="00763A50"/>
    <w:rsid w:val="00766F47"/>
    <w:rsid w:val="00770950"/>
    <w:rsid w:val="00772A64"/>
    <w:rsid w:val="0077323F"/>
    <w:rsid w:val="00775845"/>
    <w:rsid w:val="0078031B"/>
    <w:rsid w:val="00783777"/>
    <w:rsid w:val="00784E8E"/>
    <w:rsid w:val="0078575D"/>
    <w:rsid w:val="00790EEF"/>
    <w:rsid w:val="00791514"/>
    <w:rsid w:val="0079178B"/>
    <w:rsid w:val="00793275"/>
    <w:rsid w:val="00793D4A"/>
    <w:rsid w:val="00797182"/>
    <w:rsid w:val="0079733A"/>
    <w:rsid w:val="007A4E9F"/>
    <w:rsid w:val="007A6D89"/>
    <w:rsid w:val="007B1BCD"/>
    <w:rsid w:val="007B2943"/>
    <w:rsid w:val="007B420A"/>
    <w:rsid w:val="007B57FA"/>
    <w:rsid w:val="007B6E5C"/>
    <w:rsid w:val="007B6EBA"/>
    <w:rsid w:val="007C1239"/>
    <w:rsid w:val="007C12AA"/>
    <w:rsid w:val="007D139E"/>
    <w:rsid w:val="007D2703"/>
    <w:rsid w:val="007D592E"/>
    <w:rsid w:val="007D5B52"/>
    <w:rsid w:val="007D6A41"/>
    <w:rsid w:val="007D7EA0"/>
    <w:rsid w:val="007E03BC"/>
    <w:rsid w:val="007E0C1F"/>
    <w:rsid w:val="007E15E7"/>
    <w:rsid w:val="007E3D93"/>
    <w:rsid w:val="007E5732"/>
    <w:rsid w:val="007E596A"/>
    <w:rsid w:val="007E6558"/>
    <w:rsid w:val="007F19FF"/>
    <w:rsid w:val="007F383F"/>
    <w:rsid w:val="007F3F4B"/>
    <w:rsid w:val="007F59D0"/>
    <w:rsid w:val="007F6AC8"/>
    <w:rsid w:val="00802404"/>
    <w:rsid w:val="0080328B"/>
    <w:rsid w:val="00804DF5"/>
    <w:rsid w:val="00804FA6"/>
    <w:rsid w:val="0080565D"/>
    <w:rsid w:val="00810145"/>
    <w:rsid w:val="00810F88"/>
    <w:rsid w:val="00811035"/>
    <w:rsid w:val="008115DB"/>
    <w:rsid w:val="00812B5F"/>
    <w:rsid w:val="00813CCC"/>
    <w:rsid w:val="00815129"/>
    <w:rsid w:val="00820A53"/>
    <w:rsid w:val="00821FE2"/>
    <w:rsid w:val="00822277"/>
    <w:rsid w:val="00822F15"/>
    <w:rsid w:val="008245E8"/>
    <w:rsid w:val="0083050D"/>
    <w:rsid w:val="00832ACC"/>
    <w:rsid w:val="008344A2"/>
    <w:rsid w:val="00835EC4"/>
    <w:rsid w:val="0083750C"/>
    <w:rsid w:val="00840654"/>
    <w:rsid w:val="00841862"/>
    <w:rsid w:val="00842062"/>
    <w:rsid w:val="008444F6"/>
    <w:rsid w:val="00850C9F"/>
    <w:rsid w:val="00851EE2"/>
    <w:rsid w:val="00852AC3"/>
    <w:rsid w:val="008550A7"/>
    <w:rsid w:val="00855B36"/>
    <w:rsid w:val="00861230"/>
    <w:rsid w:val="00863D66"/>
    <w:rsid w:val="00863D6A"/>
    <w:rsid w:val="0086614E"/>
    <w:rsid w:val="00866B17"/>
    <w:rsid w:val="00867212"/>
    <w:rsid w:val="00871E43"/>
    <w:rsid w:val="00871E6B"/>
    <w:rsid w:val="00872F4D"/>
    <w:rsid w:val="008736C8"/>
    <w:rsid w:val="008737C1"/>
    <w:rsid w:val="00875B12"/>
    <w:rsid w:val="008761E2"/>
    <w:rsid w:val="008765F3"/>
    <w:rsid w:val="00877162"/>
    <w:rsid w:val="008801D2"/>
    <w:rsid w:val="00880F63"/>
    <w:rsid w:val="008814A7"/>
    <w:rsid w:val="0088211D"/>
    <w:rsid w:val="00887B9D"/>
    <w:rsid w:val="00890AE3"/>
    <w:rsid w:val="008925F0"/>
    <w:rsid w:val="00892F7F"/>
    <w:rsid w:val="008939D6"/>
    <w:rsid w:val="00897A1E"/>
    <w:rsid w:val="008A2AA7"/>
    <w:rsid w:val="008A399A"/>
    <w:rsid w:val="008A43E0"/>
    <w:rsid w:val="008A446E"/>
    <w:rsid w:val="008A53EA"/>
    <w:rsid w:val="008A7D4F"/>
    <w:rsid w:val="008B24C7"/>
    <w:rsid w:val="008B3036"/>
    <w:rsid w:val="008B3148"/>
    <w:rsid w:val="008B4AED"/>
    <w:rsid w:val="008B5316"/>
    <w:rsid w:val="008B618C"/>
    <w:rsid w:val="008B6376"/>
    <w:rsid w:val="008B7B83"/>
    <w:rsid w:val="008C001C"/>
    <w:rsid w:val="008C0F05"/>
    <w:rsid w:val="008C2E20"/>
    <w:rsid w:val="008C454C"/>
    <w:rsid w:val="008C4B68"/>
    <w:rsid w:val="008C737C"/>
    <w:rsid w:val="008D04E3"/>
    <w:rsid w:val="008D0C44"/>
    <w:rsid w:val="008D1D2D"/>
    <w:rsid w:val="008D2F12"/>
    <w:rsid w:val="008D6317"/>
    <w:rsid w:val="008D6B80"/>
    <w:rsid w:val="008E1B3D"/>
    <w:rsid w:val="008E42FF"/>
    <w:rsid w:val="008E4846"/>
    <w:rsid w:val="008F19A5"/>
    <w:rsid w:val="008F1F76"/>
    <w:rsid w:val="008F2A44"/>
    <w:rsid w:val="008F2B54"/>
    <w:rsid w:val="008F2D77"/>
    <w:rsid w:val="008F3AD8"/>
    <w:rsid w:val="008F5F8E"/>
    <w:rsid w:val="008F777D"/>
    <w:rsid w:val="008F7858"/>
    <w:rsid w:val="0090051B"/>
    <w:rsid w:val="00900CA2"/>
    <w:rsid w:val="009030E6"/>
    <w:rsid w:val="009054A0"/>
    <w:rsid w:val="00905BBD"/>
    <w:rsid w:val="00905F89"/>
    <w:rsid w:val="00910097"/>
    <w:rsid w:val="00910CBA"/>
    <w:rsid w:val="009116F3"/>
    <w:rsid w:val="00912618"/>
    <w:rsid w:val="0091338A"/>
    <w:rsid w:val="00913D38"/>
    <w:rsid w:val="00914E25"/>
    <w:rsid w:val="009171FC"/>
    <w:rsid w:val="00921A93"/>
    <w:rsid w:val="009222A9"/>
    <w:rsid w:val="0092416B"/>
    <w:rsid w:val="009242A6"/>
    <w:rsid w:val="00930078"/>
    <w:rsid w:val="00933888"/>
    <w:rsid w:val="00935034"/>
    <w:rsid w:val="00940537"/>
    <w:rsid w:val="00941D3E"/>
    <w:rsid w:val="00941E41"/>
    <w:rsid w:val="00945E79"/>
    <w:rsid w:val="00946CBA"/>
    <w:rsid w:val="0095214D"/>
    <w:rsid w:val="00952481"/>
    <w:rsid w:val="00953DC0"/>
    <w:rsid w:val="009548C6"/>
    <w:rsid w:val="00954C8E"/>
    <w:rsid w:val="00956E63"/>
    <w:rsid w:val="00956E6B"/>
    <w:rsid w:val="00957222"/>
    <w:rsid w:val="009576BD"/>
    <w:rsid w:val="00964A6A"/>
    <w:rsid w:val="00965E15"/>
    <w:rsid w:val="00966AA0"/>
    <w:rsid w:val="00967239"/>
    <w:rsid w:val="00967514"/>
    <w:rsid w:val="0096784E"/>
    <w:rsid w:val="00970806"/>
    <w:rsid w:val="00970C14"/>
    <w:rsid w:val="009739FF"/>
    <w:rsid w:val="009746B4"/>
    <w:rsid w:val="009747CB"/>
    <w:rsid w:val="0097690E"/>
    <w:rsid w:val="009775FE"/>
    <w:rsid w:val="00980655"/>
    <w:rsid w:val="00982411"/>
    <w:rsid w:val="009830F5"/>
    <w:rsid w:val="00983B4B"/>
    <w:rsid w:val="00984AF3"/>
    <w:rsid w:val="00985C1E"/>
    <w:rsid w:val="009909E6"/>
    <w:rsid w:val="00990B64"/>
    <w:rsid w:val="00991585"/>
    <w:rsid w:val="00991BA4"/>
    <w:rsid w:val="0099721E"/>
    <w:rsid w:val="009A085E"/>
    <w:rsid w:val="009A1977"/>
    <w:rsid w:val="009A350B"/>
    <w:rsid w:val="009A3A9E"/>
    <w:rsid w:val="009A75B2"/>
    <w:rsid w:val="009A7986"/>
    <w:rsid w:val="009A7BFC"/>
    <w:rsid w:val="009B2CB3"/>
    <w:rsid w:val="009B723A"/>
    <w:rsid w:val="009C4238"/>
    <w:rsid w:val="009C6BE4"/>
    <w:rsid w:val="009D078F"/>
    <w:rsid w:val="009D0950"/>
    <w:rsid w:val="009D34CF"/>
    <w:rsid w:val="009D3F5F"/>
    <w:rsid w:val="009D5D0E"/>
    <w:rsid w:val="009D779E"/>
    <w:rsid w:val="009D7C62"/>
    <w:rsid w:val="009E289A"/>
    <w:rsid w:val="009E2BE0"/>
    <w:rsid w:val="009E2EEB"/>
    <w:rsid w:val="009E397A"/>
    <w:rsid w:val="009E43C3"/>
    <w:rsid w:val="009F15E8"/>
    <w:rsid w:val="009F1E62"/>
    <w:rsid w:val="009F38F5"/>
    <w:rsid w:val="009F3F41"/>
    <w:rsid w:val="009F4B38"/>
    <w:rsid w:val="009F59D4"/>
    <w:rsid w:val="009F77D9"/>
    <w:rsid w:val="00A00CEA"/>
    <w:rsid w:val="00A01F0F"/>
    <w:rsid w:val="00A06280"/>
    <w:rsid w:val="00A10FB2"/>
    <w:rsid w:val="00A11F72"/>
    <w:rsid w:val="00A127C3"/>
    <w:rsid w:val="00A20881"/>
    <w:rsid w:val="00A22219"/>
    <w:rsid w:val="00A23892"/>
    <w:rsid w:val="00A23894"/>
    <w:rsid w:val="00A238A3"/>
    <w:rsid w:val="00A23AD1"/>
    <w:rsid w:val="00A24390"/>
    <w:rsid w:val="00A24ABD"/>
    <w:rsid w:val="00A25502"/>
    <w:rsid w:val="00A26839"/>
    <w:rsid w:val="00A310F9"/>
    <w:rsid w:val="00A31979"/>
    <w:rsid w:val="00A33D0E"/>
    <w:rsid w:val="00A34911"/>
    <w:rsid w:val="00A37A03"/>
    <w:rsid w:val="00A44598"/>
    <w:rsid w:val="00A451BC"/>
    <w:rsid w:val="00A46926"/>
    <w:rsid w:val="00A46FEF"/>
    <w:rsid w:val="00A47890"/>
    <w:rsid w:val="00A47FD3"/>
    <w:rsid w:val="00A51D5D"/>
    <w:rsid w:val="00A53CC6"/>
    <w:rsid w:val="00A57699"/>
    <w:rsid w:val="00A57C43"/>
    <w:rsid w:val="00A61DC2"/>
    <w:rsid w:val="00A621C4"/>
    <w:rsid w:val="00A62959"/>
    <w:rsid w:val="00A632A2"/>
    <w:rsid w:val="00A6585C"/>
    <w:rsid w:val="00A66F94"/>
    <w:rsid w:val="00A671FE"/>
    <w:rsid w:val="00A70185"/>
    <w:rsid w:val="00A70A05"/>
    <w:rsid w:val="00A71C92"/>
    <w:rsid w:val="00A7271C"/>
    <w:rsid w:val="00A72DEF"/>
    <w:rsid w:val="00A7457C"/>
    <w:rsid w:val="00A7498F"/>
    <w:rsid w:val="00A74995"/>
    <w:rsid w:val="00A8006B"/>
    <w:rsid w:val="00A82A9D"/>
    <w:rsid w:val="00A835DF"/>
    <w:rsid w:val="00A85B12"/>
    <w:rsid w:val="00A86822"/>
    <w:rsid w:val="00A8715A"/>
    <w:rsid w:val="00A879BD"/>
    <w:rsid w:val="00A87DAC"/>
    <w:rsid w:val="00A90FE5"/>
    <w:rsid w:val="00A912AB"/>
    <w:rsid w:val="00A926CC"/>
    <w:rsid w:val="00A93D93"/>
    <w:rsid w:val="00A944F9"/>
    <w:rsid w:val="00A96C58"/>
    <w:rsid w:val="00A97175"/>
    <w:rsid w:val="00AA02F3"/>
    <w:rsid w:val="00AA09CA"/>
    <w:rsid w:val="00AA2058"/>
    <w:rsid w:val="00AA7C6E"/>
    <w:rsid w:val="00AB173C"/>
    <w:rsid w:val="00AB5A25"/>
    <w:rsid w:val="00AB6E7D"/>
    <w:rsid w:val="00AC4064"/>
    <w:rsid w:val="00AC61D2"/>
    <w:rsid w:val="00AC6E4F"/>
    <w:rsid w:val="00AC7092"/>
    <w:rsid w:val="00AD37AA"/>
    <w:rsid w:val="00AD51B9"/>
    <w:rsid w:val="00AD7759"/>
    <w:rsid w:val="00AE0FFD"/>
    <w:rsid w:val="00AE11A9"/>
    <w:rsid w:val="00AE1F9B"/>
    <w:rsid w:val="00AE2872"/>
    <w:rsid w:val="00AE66BA"/>
    <w:rsid w:val="00AE7119"/>
    <w:rsid w:val="00AF03E1"/>
    <w:rsid w:val="00AF04EF"/>
    <w:rsid w:val="00AF1451"/>
    <w:rsid w:val="00AF1BDA"/>
    <w:rsid w:val="00AF1F91"/>
    <w:rsid w:val="00AF3CE9"/>
    <w:rsid w:val="00AF5077"/>
    <w:rsid w:val="00AF5FBC"/>
    <w:rsid w:val="00B001F4"/>
    <w:rsid w:val="00B01F95"/>
    <w:rsid w:val="00B0345D"/>
    <w:rsid w:val="00B04EC4"/>
    <w:rsid w:val="00B0553E"/>
    <w:rsid w:val="00B0607F"/>
    <w:rsid w:val="00B06DA9"/>
    <w:rsid w:val="00B11110"/>
    <w:rsid w:val="00B1378C"/>
    <w:rsid w:val="00B13806"/>
    <w:rsid w:val="00B15B42"/>
    <w:rsid w:val="00B17F96"/>
    <w:rsid w:val="00B20413"/>
    <w:rsid w:val="00B2157B"/>
    <w:rsid w:val="00B23DAE"/>
    <w:rsid w:val="00B24194"/>
    <w:rsid w:val="00B248A8"/>
    <w:rsid w:val="00B254A3"/>
    <w:rsid w:val="00B25895"/>
    <w:rsid w:val="00B25B0A"/>
    <w:rsid w:val="00B2637F"/>
    <w:rsid w:val="00B26427"/>
    <w:rsid w:val="00B268FB"/>
    <w:rsid w:val="00B26E92"/>
    <w:rsid w:val="00B30366"/>
    <w:rsid w:val="00B3178B"/>
    <w:rsid w:val="00B31971"/>
    <w:rsid w:val="00B322D7"/>
    <w:rsid w:val="00B32A56"/>
    <w:rsid w:val="00B32AA9"/>
    <w:rsid w:val="00B32E72"/>
    <w:rsid w:val="00B33523"/>
    <w:rsid w:val="00B34208"/>
    <w:rsid w:val="00B342F8"/>
    <w:rsid w:val="00B3472F"/>
    <w:rsid w:val="00B35281"/>
    <w:rsid w:val="00B36BE9"/>
    <w:rsid w:val="00B3763F"/>
    <w:rsid w:val="00B37CCE"/>
    <w:rsid w:val="00B40D90"/>
    <w:rsid w:val="00B42F24"/>
    <w:rsid w:val="00B43211"/>
    <w:rsid w:val="00B43B48"/>
    <w:rsid w:val="00B44106"/>
    <w:rsid w:val="00B45D03"/>
    <w:rsid w:val="00B538CB"/>
    <w:rsid w:val="00B54A36"/>
    <w:rsid w:val="00B5540C"/>
    <w:rsid w:val="00B57219"/>
    <w:rsid w:val="00B628A9"/>
    <w:rsid w:val="00B633D3"/>
    <w:rsid w:val="00B65AD6"/>
    <w:rsid w:val="00B6658E"/>
    <w:rsid w:val="00B6737D"/>
    <w:rsid w:val="00B70EB0"/>
    <w:rsid w:val="00B743FF"/>
    <w:rsid w:val="00B75F77"/>
    <w:rsid w:val="00B7603B"/>
    <w:rsid w:val="00B77B58"/>
    <w:rsid w:val="00B81940"/>
    <w:rsid w:val="00B82066"/>
    <w:rsid w:val="00B82612"/>
    <w:rsid w:val="00B83C1C"/>
    <w:rsid w:val="00B869C5"/>
    <w:rsid w:val="00B90B7A"/>
    <w:rsid w:val="00B914D2"/>
    <w:rsid w:val="00B92610"/>
    <w:rsid w:val="00BA0370"/>
    <w:rsid w:val="00BA04E7"/>
    <w:rsid w:val="00BA097B"/>
    <w:rsid w:val="00BA16D1"/>
    <w:rsid w:val="00BA3258"/>
    <w:rsid w:val="00BA5680"/>
    <w:rsid w:val="00BA59A2"/>
    <w:rsid w:val="00BB28A7"/>
    <w:rsid w:val="00BB319E"/>
    <w:rsid w:val="00BB59FF"/>
    <w:rsid w:val="00BB5FA5"/>
    <w:rsid w:val="00BB7032"/>
    <w:rsid w:val="00BB7B43"/>
    <w:rsid w:val="00BC1C24"/>
    <w:rsid w:val="00BC4043"/>
    <w:rsid w:val="00BC53C1"/>
    <w:rsid w:val="00BC5965"/>
    <w:rsid w:val="00BD0EBC"/>
    <w:rsid w:val="00BD1287"/>
    <w:rsid w:val="00BD1355"/>
    <w:rsid w:val="00BD1B7B"/>
    <w:rsid w:val="00BD1DE6"/>
    <w:rsid w:val="00BD1E53"/>
    <w:rsid w:val="00BD4C54"/>
    <w:rsid w:val="00BD5533"/>
    <w:rsid w:val="00BE0610"/>
    <w:rsid w:val="00BE0991"/>
    <w:rsid w:val="00BE14A3"/>
    <w:rsid w:val="00BE26EC"/>
    <w:rsid w:val="00BF090D"/>
    <w:rsid w:val="00BF09E7"/>
    <w:rsid w:val="00BF135D"/>
    <w:rsid w:val="00BF1601"/>
    <w:rsid w:val="00BF1915"/>
    <w:rsid w:val="00BF2252"/>
    <w:rsid w:val="00BF376E"/>
    <w:rsid w:val="00BF56B3"/>
    <w:rsid w:val="00BF66F1"/>
    <w:rsid w:val="00BF6713"/>
    <w:rsid w:val="00BF7FCE"/>
    <w:rsid w:val="00C001B0"/>
    <w:rsid w:val="00C040ED"/>
    <w:rsid w:val="00C041D8"/>
    <w:rsid w:val="00C04DD1"/>
    <w:rsid w:val="00C07EE1"/>
    <w:rsid w:val="00C102BC"/>
    <w:rsid w:val="00C12091"/>
    <w:rsid w:val="00C12369"/>
    <w:rsid w:val="00C164DA"/>
    <w:rsid w:val="00C17EC6"/>
    <w:rsid w:val="00C216C8"/>
    <w:rsid w:val="00C2261E"/>
    <w:rsid w:val="00C27E4C"/>
    <w:rsid w:val="00C31DEF"/>
    <w:rsid w:val="00C32184"/>
    <w:rsid w:val="00C376D9"/>
    <w:rsid w:val="00C37D2A"/>
    <w:rsid w:val="00C408DB"/>
    <w:rsid w:val="00C40E0C"/>
    <w:rsid w:val="00C41288"/>
    <w:rsid w:val="00C42AA9"/>
    <w:rsid w:val="00C43E35"/>
    <w:rsid w:val="00C47E2E"/>
    <w:rsid w:val="00C502D1"/>
    <w:rsid w:val="00C525D0"/>
    <w:rsid w:val="00C52EE1"/>
    <w:rsid w:val="00C53E9F"/>
    <w:rsid w:val="00C56398"/>
    <w:rsid w:val="00C56E5C"/>
    <w:rsid w:val="00C60BCA"/>
    <w:rsid w:val="00C61450"/>
    <w:rsid w:val="00C6267F"/>
    <w:rsid w:val="00C62B07"/>
    <w:rsid w:val="00C648D6"/>
    <w:rsid w:val="00C65BF5"/>
    <w:rsid w:val="00C6652E"/>
    <w:rsid w:val="00C677B0"/>
    <w:rsid w:val="00C67E80"/>
    <w:rsid w:val="00C70B11"/>
    <w:rsid w:val="00C72FD3"/>
    <w:rsid w:val="00C737E1"/>
    <w:rsid w:val="00C74583"/>
    <w:rsid w:val="00C74F71"/>
    <w:rsid w:val="00C76C40"/>
    <w:rsid w:val="00C82269"/>
    <w:rsid w:val="00C82DCB"/>
    <w:rsid w:val="00C836EB"/>
    <w:rsid w:val="00C83B35"/>
    <w:rsid w:val="00C84E4C"/>
    <w:rsid w:val="00C86236"/>
    <w:rsid w:val="00C86530"/>
    <w:rsid w:val="00C86ECB"/>
    <w:rsid w:val="00C8783B"/>
    <w:rsid w:val="00C92307"/>
    <w:rsid w:val="00C92D20"/>
    <w:rsid w:val="00C936EC"/>
    <w:rsid w:val="00C93D00"/>
    <w:rsid w:val="00C94A99"/>
    <w:rsid w:val="00CA17D7"/>
    <w:rsid w:val="00CA27E5"/>
    <w:rsid w:val="00CA6551"/>
    <w:rsid w:val="00CA6912"/>
    <w:rsid w:val="00CA6C80"/>
    <w:rsid w:val="00CA7546"/>
    <w:rsid w:val="00CA75B2"/>
    <w:rsid w:val="00CA7674"/>
    <w:rsid w:val="00CB3363"/>
    <w:rsid w:val="00CB393F"/>
    <w:rsid w:val="00CB5FD0"/>
    <w:rsid w:val="00CC1AB2"/>
    <w:rsid w:val="00CC26E5"/>
    <w:rsid w:val="00CC3C72"/>
    <w:rsid w:val="00CC3E4A"/>
    <w:rsid w:val="00CC441B"/>
    <w:rsid w:val="00CC4D16"/>
    <w:rsid w:val="00CC76ED"/>
    <w:rsid w:val="00CD085D"/>
    <w:rsid w:val="00CD1226"/>
    <w:rsid w:val="00CD4ECE"/>
    <w:rsid w:val="00CD5465"/>
    <w:rsid w:val="00CD6847"/>
    <w:rsid w:val="00CD70A8"/>
    <w:rsid w:val="00CD7843"/>
    <w:rsid w:val="00CD79E1"/>
    <w:rsid w:val="00CE1454"/>
    <w:rsid w:val="00CE1FD5"/>
    <w:rsid w:val="00CE2E02"/>
    <w:rsid w:val="00CE5123"/>
    <w:rsid w:val="00CE678E"/>
    <w:rsid w:val="00CE6934"/>
    <w:rsid w:val="00CE6A78"/>
    <w:rsid w:val="00CE79DB"/>
    <w:rsid w:val="00CF0C0A"/>
    <w:rsid w:val="00CF1D88"/>
    <w:rsid w:val="00CF1F9C"/>
    <w:rsid w:val="00CF4E3D"/>
    <w:rsid w:val="00CF590C"/>
    <w:rsid w:val="00CF6042"/>
    <w:rsid w:val="00CF64A6"/>
    <w:rsid w:val="00D01442"/>
    <w:rsid w:val="00D069E4"/>
    <w:rsid w:val="00D06AC3"/>
    <w:rsid w:val="00D06C11"/>
    <w:rsid w:val="00D07272"/>
    <w:rsid w:val="00D07542"/>
    <w:rsid w:val="00D1050E"/>
    <w:rsid w:val="00D12BED"/>
    <w:rsid w:val="00D12F3E"/>
    <w:rsid w:val="00D167DA"/>
    <w:rsid w:val="00D17036"/>
    <w:rsid w:val="00D17C51"/>
    <w:rsid w:val="00D17CDE"/>
    <w:rsid w:val="00D2433B"/>
    <w:rsid w:val="00D30858"/>
    <w:rsid w:val="00D32915"/>
    <w:rsid w:val="00D34246"/>
    <w:rsid w:val="00D3569C"/>
    <w:rsid w:val="00D37BC7"/>
    <w:rsid w:val="00D415BF"/>
    <w:rsid w:val="00D41AA3"/>
    <w:rsid w:val="00D42FBE"/>
    <w:rsid w:val="00D46876"/>
    <w:rsid w:val="00D46FC9"/>
    <w:rsid w:val="00D50279"/>
    <w:rsid w:val="00D50FC4"/>
    <w:rsid w:val="00D526BD"/>
    <w:rsid w:val="00D53702"/>
    <w:rsid w:val="00D541D9"/>
    <w:rsid w:val="00D550A2"/>
    <w:rsid w:val="00D561F2"/>
    <w:rsid w:val="00D5692B"/>
    <w:rsid w:val="00D56CBD"/>
    <w:rsid w:val="00D56EEF"/>
    <w:rsid w:val="00D600DF"/>
    <w:rsid w:val="00D6067A"/>
    <w:rsid w:val="00D60810"/>
    <w:rsid w:val="00D60A55"/>
    <w:rsid w:val="00D61A3E"/>
    <w:rsid w:val="00D626F4"/>
    <w:rsid w:val="00D637AF"/>
    <w:rsid w:val="00D64FFF"/>
    <w:rsid w:val="00D65603"/>
    <w:rsid w:val="00D66E01"/>
    <w:rsid w:val="00D7225E"/>
    <w:rsid w:val="00D723EF"/>
    <w:rsid w:val="00D72880"/>
    <w:rsid w:val="00D74237"/>
    <w:rsid w:val="00D7440D"/>
    <w:rsid w:val="00D81053"/>
    <w:rsid w:val="00D81B2F"/>
    <w:rsid w:val="00D81FE1"/>
    <w:rsid w:val="00D8485F"/>
    <w:rsid w:val="00D87246"/>
    <w:rsid w:val="00D9010A"/>
    <w:rsid w:val="00D9136E"/>
    <w:rsid w:val="00D93A38"/>
    <w:rsid w:val="00D93C5D"/>
    <w:rsid w:val="00D93D10"/>
    <w:rsid w:val="00D9458D"/>
    <w:rsid w:val="00D962E8"/>
    <w:rsid w:val="00D9677A"/>
    <w:rsid w:val="00DA04DD"/>
    <w:rsid w:val="00DA0C7E"/>
    <w:rsid w:val="00DA27FF"/>
    <w:rsid w:val="00DA496C"/>
    <w:rsid w:val="00DA4BE6"/>
    <w:rsid w:val="00DA4C21"/>
    <w:rsid w:val="00DA55E0"/>
    <w:rsid w:val="00DB0C55"/>
    <w:rsid w:val="00DB15F8"/>
    <w:rsid w:val="00DB354A"/>
    <w:rsid w:val="00DB48B9"/>
    <w:rsid w:val="00DB596C"/>
    <w:rsid w:val="00DB61A3"/>
    <w:rsid w:val="00DB71E8"/>
    <w:rsid w:val="00DB72B1"/>
    <w:rsid w:val="00DC0F2A"/>
    <w:rsid w:val="00DC211A"/>
    <w:rsid w:val="00DC39F8"/>
    <w:rsid w:val="00DC470E"/>
    <w:rsid w:val="00DC52AF"/>
    <w:rsid w:val="00DD05D8"/>
    <w:rsid w:val="00DD07FC"/>
    <w:rsid w:val="00DD2180"/>
    <w:rsid w:val="00DD42FE"/>
    <w:rsid w:val="00DD5153"/>
    <w:rsid w:val="00DD51D8"/>
    <w:rsid w:val="00DD5A2D"/>
    <w:rsid w:val="00DD6096"/>
    <w:rsid w:val="00DE19EF"/>
    <w:rsid w:val="00DE2505"/>
    <w:rsid w:val="00DE3578"/>
    <w:rsid w:val="00DE54A4"/>
    <w:rsid w:val="00DE5589"/>
    <w:rsid w:val="00DE5B57"/>
    <w:rsid w:val="00DE5CAE"/>
    <w:rsid w:val="00DE7872"/>
    <w:rsid w:val="00DE7D3A"/>
    <w:rsid w:val="00DF0BE3"/>
    <w:rsid w:val="00DF1D48"/>
    <w:rsid w:val="00DF3989"/>
    <w:rsid w:val="00DF3FA7"/>
    <w:rsid w:val="00DF5BF9"/>
    <w:rsid w:val="00DF64BD"/>
    <w:rsid w:val="00DF7ABA"/>
    <w:rsid w:val="00E016E6"/>
    <w:rsid w:val="00E02E3C"/>
    <w:rsid w:val="00E035B0"/>
    <w:rsid w:val="00E035F4"/>
    <w:rsid w:val="00E059A7"/>
    <w:rsid w:val="00E06A79"/>
    <w:rsid w:val="00E10ED8"/>
    <w:rsid w:val="00E1111F"/>
    <w:rsid w:val="00E1143F"/>
    <w:rsid w:val="00E17E5B"/>
    <w:rsid w:val="00E221EB"/>
    <w:rsid w:val="00E27F16"/>
    <w:rsid w:val="00E312D4"/>
    <w:rsid w:val="00E320A7"/>
    <w:rsid w:val="00E34C4C"/>
    <w:rsid w:val="00E362B6"/>
    <w:rsid w:val="00E3689F"/>
    <w:rsid w:val="00E3691F"/>
    <w:rsid w:val="00E37D27"/>
    <w:rsid w:val="00E40369"/>
    <w:rsid w:val="00E428F4"/>
    <w:rsid w:val="00E429C7"/>
    <w:rsid w:val="00E438BF"/>
    <w:rsid w:val="00E44E66"/>
    <w:rsid w:val="00E45565"/>
    <w:rsid w:val="00E45A39"/>
    <w:rsid w:val="00E50201"/>
    <w:rsid w:val="00E51FD6"/>
    <w:rsid w:val="00E52A7E"/>
    <w:rsid w:val="00E52C48"/>
    <w:rsid w:val="00E540BB"/>
    <w:rsid w:val="00E56987"/>
    <w:rsid w:val="00E604F9"/>
    <w:rsid w:val="00E618F1"/>
    <w:rsid w:val="00E61F86"/>
    <w:rsid w:val="00E61F89"/>
    <w:rsid w:val="00E623BC"/>
    <w:rsid w:val="00E62D16"/>
    <w:rsid w:val="00E63EE7"/>
    <w:rsid w:val="00E64801"/>
    <w:rsid w:val="00E652C8"/>
    <w:rsid w:val="00E65C8F"/>
    <w:rsid w:val="00E66EA0"/>
    <w:rsid w:val="00E71311"/>
    <w:rsid w:val="00E71372"/>
    <w:rsid w:val="00E72EC3"/>
    <w:rsid w:val="00E738E8"/>
    <w:rsid w:val="00E73DE2"/>
    <w:rsid w:val="00E742F6"/>
    <w:rsid w:val="00E758D7"/>
    <w:rsid w:val="00E76E86"/>
    <w:rsid w:val="00E813B1"/>
    <w:rsid w:val="00E850A8"/>
    <w:rsid w:val="00E87286"/>
    <w:rsid w:val="00E87E43"/>
    <w:rsid w:val="00E91243"/>
    <w:rsid w:val="00E9178A"/>
    <w:rsid w:val="00E933CB"/>
    <w:rsid w:val="00E95712"/>
    <w:rsid w:val="00E95E45"/>
    <w:rsid w:val="00E9628E"/>
    <w:rsid w:val="00E9629D"/>
    <w:rsid w:val="00EA2616"/>
    <w:rsid w:val="00EA2E32"/>
    <w:rsid w:val="00EA3072"/>
    <w:rsid w:val="00EB1200"/>
    <w:rsid w:val="00EB1715"/>
    <w:rsid w:val="00EB1FAC"/>
    <w:rsid w:val="00EB2814"/>
    <w:rsid w:val="00EB283B"/>
    <w:rsid w:val="00EB3782"/>
    <w:rsid w:val="00EB385E"/>
    <w:rsid w:val="00EB7A83"/>
    <w:rsid w:val="00EC016C"/>
    <w:rsid w:val="00EC1FA8"/>
    <w:rsid w:val="00EC2516"/>
    <w:rsid w:val="00EC605E"/>
    <w:rsid w:val="00EC61F8"/>
    <w:rsid w:val="00EC77C8"/>
    <w:rsid w:val="00ED1969"/>
    <w:rsid w:val="00ED2105"/>
    <w:rsid w:val="00ED2585"/>
    <w:rsid w:val="00ED36B2"/>
    <w:rsid w:val="00ED3C27"/>
    <w:rsid w:val="00ED426B"/>
    <w:rsid w:val="00ED42E8"/>
    <w:rsid w:val="00EE02D8"/>
    <w:rsid w:val="00EE1B0C"/>
    <w:rsid w:val="00EE2E30"/>
    <w:rsid w:val="00EE35CB"/>
    <w:rsid w:val="00EE396C"/>
    <w:rsid w:val="00EE4E04"/>
    <w:rsid w:val="00EE5222"/>
    <w:rsid w:val="00EE6189"/>
    <w:rsid w:val="00EE66E7"/>
    <w:rsid w:val="00EF263E"/>
    <w:rsid w:val="00EF2F12"/>
    <w:rsid w:val="00EF4E8C"/>
    <w:rsid w:val="00EF7BEB"/>
    <w:rsid w:val="00F00ACF"/>
    <w:rsid w:val="00F033CA"/>
    <w:rsid w:val="00F0352E"/>
    <w:rsid w:val="00F03CE3"/>
    <w:rsid w:val="00F04C09"/>
    <w:rsid w:val="00F050E4"/>
    <w:rsid w:val="00F05A16"/>
    <w:rsid w:val="00F075CE"/>
    <w:rsid w:val="00F11299"/>
    <w:rsid w:val="00F113B5"/>
    <w:rsid w:val="00F11454"/>
    <w:rsid w:val="00F114A5"/>
    <w:rsid w:val="00F12AC0"/>
    <w:rsid w:val="00F12CF9"/>
    <w:rsid w:val="00F13193"/>
    <w:rsid w:val="00F1585F"/>
    <w:rsid w:val="00F15E64"/>
    <w:rsid w:val="00F1772D"/>
    <w:rsid w:val="00F24902"/>
    <w:rsid w:val="00F272B2"/>
    <w:rsid w:val="00F30A59"/>
    <w:rsid w:val="00F404DF"/>
    <w:rsid w:val="00F40DDD"/>
    <w:rsid w:val="00F41CD4"/>
    <w:rsid w:val="00F46772"/>
    <w:rsid w:val="00F50EBA"/>
    <w:rsid w:val="00F51004"/>
    <w:rsid w:val="00F51EFD"/>
    <w:rsid w:val="00F5232A"/>
    <w:rsid w:val="00F53F97"/>
    <w:rsid w:val="00F54DA8"/>
    <w:rsid w:val="00F55818"/>
    <w:rsid w:val="00F562F0"/>
    <w:rsid w:val="00F565AC"/>
    <w:rsid w:val="00F60849"/>
    <w:rsid w:val="00F6276E"/>
    <w:rsid w:val="00F62BE2"/>
    <w:rsid w:val="00F647DB"/>
    <w:rsid w:val="00F65D29"/>
    <w:rsid w:val="00F665EB"/>
    <w:rsid w:val="00F66A45"/>
    <w:rsid w:val="00F7072A"/>
    <w:rsid w:val="00F70997"/>
    <w:rsid w:val="00F71899"/>
    <w:rsid w:val="00F719E9"/>
    <w:rsid w:val="00F724B7"/>
    <w:rsid w:val="00F728B5"/>
    <w:rsid w:val="00F72D8C"/>
    <w:rsid w:val="00F74767"/>
    <w:rsid w:val="00F7672B"/>
    <w:rsid w:val="00F769F7"/>
    <w:rsid w:val="00F76F1E"/>
    <w:rsid w:val="00F818F6"/>
    <w:rsid w:val="00F85EB7"/>
    <w:rsid w:val="00F87B87"/>
    <w:rsid w:val="00F9081C"/>
    <w:rsid w:val="00F918C9"/>
    <w:rsid w:val="00F93D88"/>
    <w:rsid w:val="00F94F7F"/>
    <w:rsid w:val="00F96CFA"/>
    <w:rsid w:val="00F972DA"/>
    <w:rsid w:val="00F97F25"/>
    <w:rsid w:val="00FA3A1F"/>
    <w:rsid w:val="00FA3FC7"/>
    <w:rsid w:val="00FA49A3"/>
    <w:rsid w:val="00FA7052"/>
    <w:rsid w:val="00FA72B9"/>
    <w:rsid w:val="00FB4227"/>
    <w:rsid w:val="00FC0C7F"/>
    <w:rsid w:val="00FC36B0"/>
    <w:rsid w:val="00FC7CC0"/>
    <w:rsid w:val="00FC7F84"/>
    <w:rsid w:val="00FD0E8F"/>
    <w:rsid w:val="00FD1838"/>
    <w:rsid w:val="00FD39D1"/>
    <w:rsid w:val="00FD4820"/>
    <w:rsid w:val="00FD6F9E"/>
    <w:rsid w:val="00FE1E9B"/>
    <w:rsid w:val="00FE3289"/>
    <w:rsid w:val="00FE38F0"/>
    <w:rsid w:val="00FE476F"/>
    <w:rsid w:val="00FE4E28"/>
    <w:rsid w:val="00FF4917"/>
    <w:rsid w:val="00FF523E"/>
    <w:rsid w:val="03CA087A"/>
    <w:rsid w:val="03FF68DF"/>
    <w:rsid w:val="043D1C99"/>
    <w:rsid w:val="059216C1"/>
    <w:rsid w:val="095E68EF"/>
    <w:rsid w:val="096571E3"/>
    <w:rsid w:val="0A1A5EFB"/>
    <w:rsid w:val="0A8C370E"/>
    <w:rsid w:val="0B9001DB"/>
    <w:rsid w:val="0B9C35B8"/>
    <w:rsid w:val="0D141921"/>
    <w:rsid w:val="0D4936D2"/>
    <w:rsid w:val="0DAF28F6"/>
    <w:rsid w:val="0DBC0B89"/>
    <w:rsid w:val="0F83665C"/>
    <w:rsid w:val="0FB40AE5"/>
    <w:rsid w:val="107E4B20"/>
    <w:rsid w:val="12E174B2"/>
    <w:rsid w:val="13AE47C9"/>
    <w:rsid w:val="14A74618"/>
    <w:rsid w:val="18725B9E"/>
    <w:rsid w:val="188743A4"/>
    <w:rsid w:val="19361C95"/>
    <w:rsid w:val="1A5748F4"/>
    <w:rsid w:val="1B436F5F"/>
    <w:rsid w:val="1EB14C6D"/>
    <w:rsid w:val="1EF476DF"/>
    <w:rsid w:val="1F767102"/>
    <w:rsid w:val="203B77F0"/>
    <w:rsid w:val="224E3A2A"/>
    <w:rsid w:val="245D185F"/>
    <w:rsid w:val="27162E0D"/>
    <w:rsid w:val="2A86374A"/>
    <w:rsid w:val="2D5D5291"/>
    <w:rsid w:val="2EA15137"/>
    <w:rsid w:val="2EAE52BB"/>
    <w:rsid w:val="2EFD5A17"/>
    <w:rsid w:val="2FE47F15"/>
    <w:rsid w:val="2FF466EF"/>
    <w:rsid w:val="31862C5E"/>
    <w:rsid w:val="33585B53"/>
    <w:rsid w:val="33805D4D"/>
    <w:rsid w:val="33BA6B7A"/>
    <w:rsid w:val="3443691B"/>
    <w:rsid w:val="36CA5487"/>
    <w:rsid w:val="37976C3D"/>
    <w:rsid w:val="38157DED"/>
    <w:rsid w:val="3843483E"/>
    <w:rsid w:val="3E871AD9"/>
    <w:rsid w:val="3FE66406"/>
    <w:rsid w:val="4014221F"/>
    <w:rsid w:val="43C965CC"/>
    <w:rsid w:val="44351030"/>
    <w:rsid w:val="48AD473E"/>
    <w:rsid w:val="48C039E5"/>
    <w:rsid w:val="49CB21E9"/>
    <w:rsid w:val="4AD740EE"/>
    <w:rsid w:val="4EAA7C1A"/>
    <w:rsid w:val="4F4A3218"/>
    <w:rsid w:val="4F9C200E"/>
    <w:rsid w:val="50711DF6"/>
    <w:rsid w:val="52036A99"/>
    <w:rsid w:val="538A7FB4"/>
    <w:rsid w:val="53A503D4"/>
    <w:rsid w:val="54E22B67"/>
    <w:rsid w:val="55AF3F48"/>
    <w:rsid w:val="57625A27"/>
    <w:rsid w:val="59C23ED7"/>
    <w:rsid w:val="5A6D4450"/>
    <w:rsid w:val="5B2130E0"/>
    <w:rsid w:val="5B37561B"/>
    <w:rsid w:val="5BC31B61"/>
    <w:rsid w:val="5C097846"/>
    <w:rsid w:val="5D194E34"/>
    <w:rsid w:val="5D937A7F"/>
    <w:rsid w:val="5DE96D04"/>
    <w:rsid w:val="60993EA4"/>
    <w:rsid w:val="618403FF"/>
    <w:rsid w:val="62240310"/>
    <w:rsid w:val="62775FF1"/>
    <w:rsid w:val="64287DE1"/>
    <w:rsid w:val="64CB10DC"/>
    <w:rsid w:val="65576C4A"/>
    <w:rsid w:val="6752706F"/>
    <w:rsid w:val="67F92AEB"/>
    <w:rsid w:val="689A4037"/>
    <w:rsid w:val="68B347A6"/>
    <w:rsid w:val="691C0981"/>
    <w:rsid w:val="6A6D0934"/>
    <w:rsid w:val="6D843F02"/>
    <w:rsid w:val="742F359D"/>
    <w:rsid w:val="74856558"/>
    <w:rsid w:val="75020046"/>
    <w:rsid w:val="75E85991"/>
    <w:rsid w:val="76401479"/>
    <w:rsid w:val="76B90ED9"/>
    <w:rsid w:val="78611435"/>
    <w:rsid w:val="7B2C64F0"/>
    <w:rsid w:val="7CDF584B"/>
    <w:rsid w:val="7D2E1376"/>
    <w:rsid w:val="7D922F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360"/>
        <w:tab w:val="left" w:pos="786"/>
      </w:tabs>
      <w:adjustRightInd w:val="0"/>
      <w:spacing w:before="120" w:line="360" w:lineRule="auto"/>
      <w:ind w:left="710" w:hanging="284"/>
      <w:outlineLvl w:val="0"/>
    </w:pPr>
    <w:rPr>
      <w:rFonts w:eastAsia="黑体"/>
      <w:kern w:val="44"/>
      <w:sz w:val="28"/>
      <w:szCs w:val="20"/>
    </w:rPr>
  </w:style>
  <w:style w:type="paragraph" w:styleId="4">
    <w:name w:val="heading 2"/>
    <w:basedOn w:val="1"/>
    <w:next w:val="1"/>
    <w:qFormat/>
    <w:uiPriority w:val="0"/>
    <w:pPr>
      <w:keepNext/>
      <w:tabs>
        <w:tab w:val="left" w:pos="1021"/>
        <w:tab w:val="left" w:pos="1447"/>
      </w:tabs>
      <w:adjustRightInd w:val="0"/>
      <w:spacing w:before="120" w:line="360" w:lineRule="auto"/>
      <w:ind w:left="1447" w:hanging="596"/>
      <w:outlineLvl w:val="1"/>
    </w:pPr>
    <w:rPr>
      <w:rFonts w:eastAsia="黑体"/>
      <w:b/>
      <w:kern w:val="0"/>
      <w:sz w:val="28"/>
      <w:szCs w:val="20"/>
    </w:rPr>
  </w:style>
  <w:style w:type="paragraph" w:styleId="5">
    <w:name w:val="heading 3"/>
    <w:basedOn w:val="1"/>
    <w:next w:val="1"/>
    <w:qFormat/>
    <w:uiPriority w:val="0"/>
    <w:pPr>
      <w:tabs>
        <w:tab w:val="left" w:pos="900"/>
        <w:tab w:val="left" w:pos="1588"/>
        <w:tab w:val="left" w:pos="2014"/>
      </w:tabs>
      <w:adjustRightInd w:val="0"/>
      <w:spacing w:before="120" w:line="360" w:lineRule="auto"/>
      <w:ind w:left="2014" w:hanging="737"/>
      <w:outlineLvl w:val="2"/>
    </w:pPr>
    <w:rPr>
      <w:rFonts w:eastAsia="黑体"/>
      <w:b/>
      <w:kern w:val="0"/>
      <w:sz w:val="28"/>
      <w:szCs w:val="20"/>
    </w:rPr>
  </w:style>
  <w:style w:type="paragraph" w:styleId="6">
    <w:name w:val="heading 4"/>
    <w:basedOn w:val="1"/>
    <w:next w:val="1"/>
    <w:qFormat/>
    <w:uiPriority w:val="0"/>
    <w:pPr>
      <w:tabs>
        <w:tab w:val="left" w:pos="2155"/>
        <w:tab w:val="left" w:pos="2581"/>
      </w:tabs>
      <w:adjustRightInd w:val="0"/>
      <w:spacing w:before="120" w:line="360" w:lineRule="auto"/>
      <w:ind w:left="2581" w:hanging="1078"/>
      <w:outlineLvl w:val="3"/>
    </w:pPr>
    <w:rPr>
      <w:rFonts w:ascii="Arial" w:eastAsia="黑体"/>
      <w:kern w:val="0"/>
      <w:sz w:val="28"/>
      <w:szCs w:val="20"/>
    </w:rPr>
  </w:style>
  <w:style w:type="paragraph" w:styleId="7">
    <w:name w:val="heading 5"/>
    <w:basedOn w:val="1"/>
    <w:next w:val="1"/>
    <w:link w:val="57"/>
    <w:qFormat/>
    <w:uiPriority w:val="0"/>
    <w:pPr>
      <w:keepNext/>
      <w:keepLines/>
      <w:spacing w:before="280" w:after="290" w:line="374" w:lineRule="auto"/>
      <w:outlineLvl w:val="4"/>
    </w:pPr>
    <w:rPr>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8">
    <w:name w:val="toc 7"/>
    <w:basedOn w:val="1"/>
    <w:next w:val="1"/>
    <w:qFormat/>
    <w:uiPriority w:val="0"/>
    <w:pPr>
      <w:ind w:left="1260"/>
      <w:jc w:val="left"/>
    </w:pPr>
    <w:rPr>
      <w:rFonts w:ascii="Calibri" w:hAnsi="Calibri"/>
      <w:sz w:val="18"/>
      <w:szCs w:val="18"/>
    </w:rPr>
  </w:style>
  <w:style w:type="paragraph" w:styleId="9">
    <w:name w:val="Normal Indent"/>
    <w:basedOn w:val="1"/>
    <w:link w:val="59"/>
    <w:qFormat/>
    <w:uiPriority w:val="0"/>
    <w:pPr>
      <w:ind w:firstLine="420" w:firstLineChars="200"/>
    </w:pPr>
  </w:style>
  <w:style w:type="paragraph" w:styleId="10">
    <w:name w:val="Document Map"/>
    <w:basedOn w:val="1"/>
    <w:qFormat/>
    <w:uiPriority w:val="0"/>
    <w:pPr>
      <w:shd w:val="clear" w:color="auto" w:fill="000080"/>
    </w:pPr>
  </w:style>
  <w:style w:type="paragraph" w:styleId="11">
    <w:name w:val="annotation text"/>
    <w:basedOn w:val="1"/>
    <w:link w:val="44"/>
    <w:qFormat/>
    <w:uiPriority w:val="0"/>
    <w:pPr>
      <w:jc w:val="left"/>
    </w:pPr>
  </w:style>
  <w:style w:type="paragraph" w:styleId="12">
    <w:name w:val="Body Text Indent"/>
    <w:basedOn w:val="1"/>
    <w:qFormat/>
    <w:uiPriority w:val="0"/>
    <w:pPr>
      <w:spacing w:line="200" w:lineRule="exact"/>
      <w:ind w:firstLine="301"/>
    </w:pPr>
    <w:rPr>
      <w:rFonts w:ascii="宋体" w:hAnsi="宋体" w:cs="宋体"/>
      <w:spacing w:val="-4"/>
      <w:sz w:val="18"/>
      <w:szCs w:val="20"/>
    </w:rPr>
  </w:style>
  <w:style w:type="paragraph" w:styleId="13">
    <w:name w:val="List 2"/>
    <w:basedOn w:val="1"/>
    <w:qFormat/>
    <w:uiPriority w:val="0"/>
    <w:pPr>
      <w:ind w:left="200" w:leftChars="200" w:hanging="200" w:hangingChars="200"/>
    </w:pPr>
    <w:rPr>
      <w:sz w:val="28"/>
    </w:rPr>
  </w:style>
  <w:style w:type="paragraph" w:styleId="14">
    <w:name w:val="toc 5"/>
    <w:basedOn w:val="1"/>
    <w:next w:val="1"/>
    <w:qFormat/>
    <w:uiPriority w:val="0"/>
    <w:pPr>
      <w:ind w:left="840"/>
      <w:jc w:val="left"/>
    </w:pPr>
    <w:rPr>
      <w:rFonts w:ascii="Calibri" w:hAnsi="Calibri"/>
      <w:sz w:val="18"/>
      <w:szCs w:val="18"/>
    </w:rPr>
  </w:style>
  <w:style w:type="paragraph" w:styleId="15">
    <w:name w:val="toc 3"/>
    <w:basedOn w:val="1"/>
    <w:next w:val="1"/>
    <w:unhideWhenUsed/>
    <w:qFormat/>
    <w:uiPriority w:val="0"/>
    <w:pPr>
      <w:ind w:left="420"/>
      <w:jc w:val="left"/>
    </w:pPr>
    <w:rPr>
      <w:rFonts w:ascii="Calibri" w:hAnsi="Calibri"/>
      <w:i/>
      <w:iCs/>
      <w:sz w:val="20"/>
      <w:szCs w:val="20"/>
    </w:rPr>
  </w:style>
  <w:style w:type="paragraph" w:styleId="16">
    <w:name w:val="Plain Text"/>
    <w:basedOn w:val="1"/>
    <w:link w:val="43"/>
    <w:qFormat/>
    <w:uiPriority w:val="0"/>
    <w:rPr>
      <w:rFonts w:ascii="宋体" w:hAnsi="宋体" w:cs="宋体"/>
      <w:szCs w:val="20"/>
    </w:rPr>
  </w:style>
  <w:style w:type="paragraph" w:styleId="17">
    <w:name w:val="toc 8"/>
    <w:basedOn w:val="1"/>
    <w:next w:val="1"/>
    <w:qFormat/>
    <w:uiPriority w:val="0"/>
    <w:pPr>
      <w:ind w:left="1470"/>
      <w:jc w:val="left"/>
    </w:pPr>
    <w:rPr>
      <w:rFonts w:ascii="Calibri" w:hAnsi="Calibri"/>
      <w:sz w:val="18"/>
      <w:szCs w:val="18"/>
    </w:rPr>
  </w:style>
  <w:style w:type="paragraph" w:styleId="18">
    <w:name w:val="Date"/>
    <w:basedOn w:val="1"/>
    <w:next w:val="1"/>
    <w:link w:val="47"/>
    <w:qFormat/>
    <w:uiPriority w:val="0"/>
    <w:pPr>
      <w:ind w:left="2500" w:leftChars="2500"/>
    </w:pPr>
  </w:style>
  <w:style w:type="paragraph" w:styleId="19">
    <w:name w:val="Body Text Indent 2"/>
    <w:basedOn w:val="1"/>
    <w:qFormat/>
    <w:uiPriority w:val="0"/>
    <w:pPr>
      <w:spacing w:after="120" w:line="480" w:lineRule="auto"/>
      <w:ind w:left="200" w:leftChars="200"/>
    </w:pPr>
  </w:style>
  <w:style w:type="paragraph" w:styleId="20">
    <w:name w:val="Balloon Text"/>
    <w:basedOn w:val="1"/>
    <w:link w:val="68"/>
    <w:qFormat/>
    <w:uiPriority w:val="0"/>
    <w:rPr>
      <w:sz w:val="18"/>
      <w:szCs w:val="18"/>
    </w:rPr>
  </w:style>
  <w:style w:type="paragraph" w:styleId="21">
    <w:name w:val="footer"/>
    <w:basedOn w:val="1"/>
    <w:link w:val="46"/>
    <w:qFormat/>
    <w:uiPriority w:val="0"/>
    <w:pPr>
      <w:tabs>
        <w:tab w:val="center" w:pos="4153"/>
        <w:tab w:val="right" w:pos="8306"/>
      </w:tabs>
      <w:snapToGrid w:val="0"/>
      <w:jc w:val="left"/>
    </w:pPr>
    <w:rPr>
      <w:sz w:val="18"/>
      <w:szCs w:val="18"/>
    </w:rPr>
  </w:style>
  <w:style w:type="paragraph" w:styleId="22">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Calibri" w:hAnsi="Calibri"/>
      <w:b/>
      <w:bCs/>
      <w:caps/>
      <w:sz w:val="20"/>
      <w:szCs w:val="20"/>
    </w:rPr>
  </w:style>
  <w:style w:type="paragraph" w:styleId="24">
    <w:name w:val="toc 4"/>
    <w:basedOn w:val="1"/>
    <w:next w:val="1"/>
    <w:qFormat/>
    <w:uiPriority w:val="0"/>
    <w:pPr>
      <w:ind w:left="630"/>
      <w:jc w:val="left"/>
    </w:pPr>
    <w:rPr>
      <w:rFonts w:ascii="Calibri" w:hAnsi="Calibri"/>
      <w:sz w:val="18"/>
      <w:szCs w:val="18"/>
    </w:rPr>
  </w:style>
  <w:style w:type="paragraph" w:styleId="25">
    <w:name w:val="toc 6"/>
    <w:basedOn w:val="1"/>
    <w:next w:val="1"/>
    <w:qFormat/>
    <w:uiPriority w:val="0"/>
    <w:pPr>
      <w:ind w:left="1050"/>
      <w:jc w:val="left"/>
    </w:pPr>
    <w:rPr>
      <w:rFonts w:ascii="Calibri" w:hAnsi="Calibri"/>
      <w:sz w:val="18"/>
      <w:szCs w:val="18"/>
    </w:rPr>
  </w:style>
  <w:style w:type="paragraph" w:styleId="26">
    <w:name w:val="table of figures"/>
    <w:basedOn w:val="1"/>
    <w:next w:val="1"/>
    <w:qFormat/>
    <w:uiPriority w:val="0"/>
    <w:pPr>
      <w:ind w:left="200" w:leftChars="200" w:hanging="200" w:hangingChars="200"/>
    </w:pPr>
  </w:style>
  <w:style w:type="paragraph" w:styleId="27">
    <w:name w:val="toc 2"/>
    <w:basedOn w:val="1"/>
    <w:next w:val="1"/>
    <w:qFormat/>
    <w:uiPriority w:val="39"/>
    <w:pPr>
      <w:ind w:left="210"/>
      <w:jc w:val="left"/>
    </w:pPr>
    <w:rPr>
      <w:rFonts w:ascii="Calibri" w:hAnsi="Calibri"/>
      <w:smallCaps/>
      <w:sz w:val="20"/>
      <w:szCs w:val="20"/>
    </w:rPr>
  </w:style>
  <w:style w:type="paragraph" w:styleId="28">
    <w:name w:val="toc 9"/>
    <w:basedOn w:val="1"/>
    <w:next w:val="1"/>
    <w:qFormat/>
    <w:uiPriority w:val="0"/>
    <w:pPr>
      <w:ind w:left="1680"/>
      <w:jc w:val="left"/>
    </w:pPr>
    <w:rPr>
      <w:rFonts w:ascii="Calibri" w:hAnsi="Calibri"/>
      <w:sz w:val="18"/>
      <w:szCs w:val="18"/>
    </w:rPr>
  </w:style>
  <w:style w:type="paragraph" w:styleId="29">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1">
    <w:name w:val="index 1"/>
    <w:basedOn w:val="1"/>
    <w:next w:val="1"/>
    <w:qFormat/>
    <w:uiPriority w:val="0"/>
    <w:pPr>
      <w:spacing w:line="360" w:lineRule="auto"/>
    </w:pPr>
    <w:rPr>
      <w:rFonts w:ascii="宋体" w:hAnsi="宋体"/>
      <w:bCs/>
      <w:szCs w:val="21"/>
    </w:rPr>
  </w:style>
  <w:style w:type="paragraph" w:styleId="32">
    <w:name w:val="Title"/>
    <w:basedOn w:val="1"/>
    <w:next w:val="1"/>
    <w:link w:val="69"/>
    <w:qFormat/>
    <w:uiPriority w:val="0"/>
    <w:pPr>
      <w:spacing w:before="240" w:after="60"/>
      <w:jc w:val="center"/>
      <w:outlineLvl w:val="0"/>
    </w:pPr>
    <w:rPr>
      <w:rFonts w:ascii="Calibri Light" w:hAnsi="Calibri Light"/>
      <w:b/>
      <w:bCs/>
      <w:sz w:val="32"/>
      <w:szCs w:val="32"/>
    </w:rPr>
  </w:style>
  <w:style w:type="paragraph" w:styleId="33">
    <w:name w:val="annotation subject"/>
    <w:basedOn w:val="11"/>
    <w:next w:val="11"/>
    <w:link w:val="61"/>
    <w:qFormat/>
    <w:uiPriority w:val="0"/>
    <w:rPr>
      <w:b/>
      <w:bCs/>
    </w:rPr>
  </w:style>
  <w:style w:type="table" w:styleId="35">
    <w:name w:val="Table Grid"/>
    <w:basedOn w:val="3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7">
    <w:name w:val="page number"/>
    <w:basedOn w:val="36"/>
    <w:qFormat/>
    <w:uiPriority w:val="0"/>
  </w:style>
  <w:style w:type="character" w:styleId="38">
    <w:name w:val="FollowedHyperlink"/>
    <w:qFormat/>
    <w:uiPriority w:val="0"/>
    <w:rPr>
      <w:color w:val="800080"/>
      <w:u w:val="single"/>
    </w:rPr>
  </w:style>
  <w:style w:type="character" w:styleId="39">
    <w:name w:val="Emphasis"/>
    <w:qFormat/>
    <w:uiPriority w:val="0"/>
  </w:style>
  <w:style w:type="character" w:styleId="40">
    <w:name w:val="Hyperlink"/>
    <w:basedOn w:val="36"/>
    <w:qFormat/>
    <w:uiPriority w:val="99"/>
    <w:rPr>
      <w:color w:val="0000FF"/>
      <w:u w:val="single"/>
    </w:rPr>
  </w:style>
  <w:style w:type="character" w:styleId="41">
    <w:name w:val="annotation reference"/>
    <w:qFormat/>
    <w:uiPriority w:val="0"/>
    <w:rPr>
      <w:sz w:val="21"/>
      <w:szCs w:val="21"/>
    </w:rPr>
  </w:style>
  <w:style w:type="character" w:styleId="42">
    <w:name w:val="HTML Sample"/>
    <w:basedOn w:val="36"/>
    <w:unhideWhenUsed/>
    <w:qFormat/>
    <w:uiPriority w:val="0"/>
    <w:rPr>
      <w:rFonts w:ascii="Consolas" w:hAnsi="Consolas" w:eastAsia="Consolas" w:cs="Consolas"/>
      <w:sz w:val="21"/>
      <w:szCs w:val="21"/>
    </w:rPr>
  </w:style>
  <w:style w:type="character" w:customStyle="1" w:styleId="43">
    <w:name w:val="纯文本 Char"/>
    <w:link w:val="16"/>
    <w:qFormat/>
    <w:locked/>
    <w:uiPriority w:val="0"/>
    <w:rPr>
      <w:rFonts w:ascii="宋体" w:hAnsi="宋体" w:eastAsia="宋体" w:cs="宋体"/>
      <w:kern w:val="2"/>
      <w:sz w:val="21"/>
      <w:lang w:val="en-US" w:eastAsia="zh-CN" w:bidi="ar-SA"/>
    </w:rPr>
  </w:style>
  <w:style w:type="character" w:customStyle="1" w:styleId="44">
    <w:name w:val="批注文字 Char"/>
    <w:link w:val="11"/>
    <w:qFormat/>
    <w:uiPriority w:val="0"/>
    <w:rPr>
      <w:kern w:val="2"/>
      <w:sz w:val="21"/>
      <w:szCs w:val="24"/>
    </w:rPr>
  </w:style>
  <w:style w:type="character" w:customStyle="1" w:styleId="45">
    <w:name w:val="纯文本 Char2"/>
    <w:qFormat/>
    <w:locked/>
    <w:uiPriority w:val="0"/>
    <w:rPr>
      <w:rFonts w:ascii="宋体" w:hAnsi="宋体" w:eastAsia="宋体" w:cs="宋体"/>
      <w:kern w:val="2"/>
      <w:sz w:val="21"/>
      <w:lang w:val="en-US" w:eastAsia="zh-CN" w:bidi="ar-SA"/>
    </w:rPr>
  </w:style>
  <w:style w:type="character" w:customStyle="1" w:styleId="46">
    <w:name w:val="页脚 Char"/>
    <w:link w:val="21"/>
    <w:qFormat/>
    <w:locked/>
    <w:uiPriority w:val="0"/>
    <w:rPr>
      <w:kern w:val="2"/>
      <w:sz w:val="18"/>
      <w:szCs w:val="18"/>
      <w:lang w:bidi="ar-SA"/>
    </w:rPr>
  </w:style>
  <w:style w:type="character" w:customStyle="1" w:styleId="47">
    <w:name w:val="日期 Char"/>
    <w:link w:val="18"/>
    <w:qFormat/>
    <w:locked/>
    <w:uiPriority w:val="0"/>
    <w:rPr>
      <w:kern w:val="2"/>
      <w:sz w:val="21"/>
      <w:szCs w:val="24"/>
    </w:rPr>
  </w:style>
  <w:style w:type="character" w:customStyle="1" w:styleId="48">
    <w:name w:val="search_content1"/>
    <w:qFormat/>
    <w:uiPriority w:val="0"/>
    <w:rPr>
      <w:sz w:val="20"/>
      <w:szCs w:val="20"/>
    </w:rPr>
  </w:style>
  <w:style w:type="character" w:customStyle="1" w:styleId="49">
    <w:name w:val="普通文字 Char Char4"/>
    <w:qFormat/>
    <w:uiPriority w:val="0"/>
    <w:rPr>
      <w:rFonts w:ascii="宋体" w:hAnsi="宋体" w:eastAsia="宋体" w:cs="宋体"/>
      <w:kern w:val="2"/>
      <w:sz w:val="21"/>
      <w:lang w:val="en-US" w:eastAsia="zh-CN" w:bidi="ar-SA"/>
    </w:rPr>
  </w:style>
  <w:style w:type="character" w:customStyle="1" w:styleId="50">
    <w:name w:val="页眉 Char"/>
    <w:link w:val="22"/>
    <w:qFormat/>
    <w:locked/>
    <w:uiPriority w:val="0"/>
    <w:rPr>
      <w:kern w:val="2"/>
      <w:sz w:val="18"/>
      <w:szCs w:val="18"/>
      <w:lang w:bidi="ar-SA"/>
    </w:rPr>
  </w:style>
  <w:style w:type="character" w:customStyle="1" w:styleId="51">
    <w:name w:val="font61"/>
    <w:basedOn w:val="36"/>
    <w:qFormat/>
    <w:uiPriority w:val="0"/>
    <w:rPr>
      <w:rFonts w:hint="default" w:ascii="Times New Roman" w:hAnsi="Times New Roman" w:cs="Times New Roman"/>
      <w:b/>
      <w:color w:val="000000"/>
      <w:sz w:val="21"/>
      <w:szCs w:val="21"/>
      <w:u w:val="none"/>
    </w:rPr>
  </w:style>
  <w:style w:type="character" w:customStyle="1" w:styleId="52">
    <w:name w:val="批注框文本 Char1"/>
    <w:qFormat/>
    <w:uiPriority w:val="0"/>
    <w:rPr>
      <w:kern w:val="2"/>
      <w:sz w:val="18"/>
      <w:szCs w:val="18"/>
    </w:rPr>
  </w:style>
  <w:style w:type="character" w:customStyle="1" w:styleId="53">
    <w:name w:val="style131"/>
    <w:qFormat/>
    <w:uiPriority w:val="0"/>
    <w:rPr>
      <w:b/>
      <w:bCs/>
      <w:color w:val="0190A0"/>
      <w:sz w:val="21"/>
      <w:szCs w:val="21"/>
    </w:rPr>
  </w:style>
  <w:style w:type="character" w:customStyle="1" w:styleId="54">
    <w:name w:val="列出段落 Char"/>
    <w:link w:val="55"/>
    <w:qFormat/>
    <w:locked/>
    <w:uiPriority w:val="0"/>
    <w:rPr>
      <w:rFonts w:ascii="Calibri" w:hAnsi="Calibri" w:eastAsia="宋体"/>
      <w:kern w:val="2"/>
      <w:sz w:val="21"/>
      <w:lang w:val="en-US" w:eastAsia="zh-CN" w:bidi="ar-SA"/>
    </w:rPr>
  </w:style>
  <w:style w:type="paragraph" w:styleId="55">
    <w:name w:val="List Paragraph"/>
    <w:basedOn w:val="1"/>
    <w:link w:val="54"/>
    <w:qFormat/>
    <w:uiPriority w:val="0"/>
    <w:pPr>
      <w:ind w:firstLine="420" w:firstLineChars="200"/>
    </w:pPr>
    <w:rPr>
      <w:rFonts w:ascii="Calibri" w:hAnsi="Calibri"/>
      <w:szCs w:val="20"/>
    </w:rPr>
  </w:style>
  <w:style w:type="character" w:customStyle="1" w:styleId="56">
    <w:name w:val="Char Char2"/>
    <w:qFormat/>
    <w:uiPriority w:val="0"/>
    <w:rPr>
      <w:kern w:val="2"/>
      <w:sz w:val="18"/>
      <w:szCs w:val="18"/>
    </w:rPr>
  </w:style>
  <w:style w:type="character" w:customStyle="1" w:styleId="57">
    <w:name w:val="标题 5 Char"/>
    <w:link w:val="7"/>
    <w:qFormat/>
    <w:uiPriority w:val="0"/>
    <w:rPr>
      <w:b/>
      <w:bCs/>
      <w:kern w:val="2"/>
      <w:sz w:val="28"/>
      <w:szCs w:val="28"/>
    </w:rPr>
  </w:style>
  <w:style w:type="character" w:customStyle="1" w:styleId="58">
    <w:name w:val="font31"/>
    <w:basedOn w:val="36"/>
    <w:qFormat/>
    <w:uiPriority w:val="0"/>
    <w:rPr>
      <w:rFonts w:hint="eastAsia" w:ascii="宋体" w:hAnsi="宋体" w:eastAsia="宋体" w:cs="宋体"/>
      <w:color w:val="000000"/>
      <w:sz w:val="21"/>
      <w:szCs w:val="21"/>
      <w:u w:val="none"/>
    </w:rPr>
  </w:style>
  <w:style w:type="character" w:customStyle="1" w:styleId="59">
    <w:name w:val="正文缩进 Char"/>
    <w:link w:val="9"/>
    <w:qFormat/>
    <w:locked/>
    <w:uiPriority w:val="0"/>
    <w:rPr>
      <w:kern w:val="2"/>
      <w:sz w:val="21"/>
      <w:szCs w:val="24"/>
    </w:rPr>
  </w:style>
  <w:style w:type="character" w:customStyle="1" w:styleId="60">
    <w:name w:val="普通文字 Char Char2"/>
    <w:qFormat/>
    <w:uiPriority w:val="0"/>
    <w:rPr>
      <w:rFonts w:hint="eastAsia" w:ascii="宋体" w:hAnsi="Courier New" w:eastAsia="宋体"/>
      <w:kern w:val="2"/>
      <w:sz w:val="21"/>
      <w:lang w:val="en-US" w:eastAsia="zh-CN" w:bidi="ar-SA"/>
    </w:rPr>
  </w:style>
  <w:style w:type="character" w:customStyle="1" w:styleId="61">
    <w:name w:val="批注主题 Char"/>
    <w:link w:val="33"/>
    <w:qFormat/>
    <w:uiPriority w:val="0"/>
    <w:rPr>
      <w:b/>
      <w:bCs/>
      <w:kern w:val="2"/>
      <w:sz w:val="21"/>
      <w:szCs w:val="24"/>
    </w:rPr>
  </w:style>
  <w:style w:type="character" w:customStyle="1" w:styleId="62">
    <w:name w:val="zi51"/>
    <w:qFormat/>
    <w:uiPriority w:val="0"/>
    <w:rPr>
      <w:color w:val="000000"/>
    </w:rPr>
  </w:style>
  <w:style w:type="character" w:customStyle="1" w:styleId="63">
    <w:name w:val="纯文本 Char1"/>
    <w:qFormat/>
    <w:uiPriority w:val="0"/>
    <w:rPr>
      <w:rFonts w:hint="eastAsia" w:ascii="宋体" w:hAnsi="Courier New" w:eastAsia="宋体"/>
      <w:kern w:val="2"/>
      <w:sz w:val="21"/>
      <w:lang w:val="en-US" w:eastAsia="zh-CN" w:bidi="ar-SA"/>
    </w:rPr>
  </w:style>
  <w:style w:type="character" w:customStyle="1" w:styleId="64">
    <w:name w:val="short_text1"/>
    <w:qFormat/>
    <w:uiPriority w:val="0"/>
    <w:rPr>
      <w:sz w:val="26"/>
    </w:rPr>
  </w:style>
  <w:style w:type="character" w:customStyle="1" w:styleId="65">
    <w:name w:val="font41"/>
    <w:basedOn w:val="36"/>
    <w:qFormat/>
    <w:uiPriority w:val="0"/>
    <w:rPr>
      <w:rFonts w:hint="eastAsia" w:ascii="宋体" w:hAnsi="宋体" w:eastAsia="宋体" w:cs="宋体"/>
      <w:b/>
      <w:color w:val="000000"/>
      <w:sz w:val="21"/>
      <w:szCs w:val="21"/>
      <w:u w:val="none"/>
    </w:rPr>
  </w:style>
  <w:style w:type="character" w:customStyle="1" w:styleId="66">
    <w:name w:val="font71"/>
    <w:basedOn w:val="36"/>
    <w:qFormat/>
    <w:uiPriority w:val="0"/>
    <w:rPr>
      <w:rFonts w:ascii="Calibri" w:hAnsi="Calibri" w:cs="Calibri"/>
      <w:color w:val="000000"/>
      <w:sz w:val="21"/>
      <w:szCs w:val="21"/>
      <w:u w:val="none"/>
    </w:rPr>
  </w:style>
  <w:style w:type="character" w:customStyle="1" w:styleId="67">
    <w:name w:val="font91"/>
    <w:basedOn w:val="36"/>
    <w:qFormat/>
    <w:uiPriority w:val="0"/>
    <w:rPr>
      <w:rFonts w:hint="default" w:ascii="Times New Roman" w:hAnsi="Times New Roman" w:cs="Times New Roman"/>
      <w:color w:val="000000"/>
      <w:sz w:val="21"/>
      <w:szCs w:val="21"/>
      <w:u w:val="none"/>
    </w:rPr>
  </w:style>
  <w:style w:type="character" w:customStyle="1" w:styleId="68">
    <w:name w:val="批注框文本 Char"/>
    <w:link w:val="20"/>
    <w:qFormat/>
    <w:uiPriority w:val="0"/>
    <w:rPr>
      <w:kern w:val="2"/>
      <w:sz w:val="18"/>
      <w:szCs w:val="18"/>
    </w:rPr>
  </w:style>
  <w:style w:type="character" w:customStyle="1" w:styleId="69">
    <w:name w:val="标题 Char"/>
    <w:link w:val="32"/>
    <w:qFormat/>
    <w:uiPriority w:val="0"/>
    <w:rPr>
      <w:rFonts w:ascii="Calibri Light" w:hAnsi="Calibri Light" w:cs="Times New Roman"/>
      <w:b/>
      <w:bCs/>
      <w:kern w:val="2"/>
      <w:sz w:val="32"/>
      <w:szCs w:val="32"/>
    </w:rPr>
  </w:style>
  <w:style w:type="character" w:customStyle="1" w:styleId="70">
    <w:name w:val="small"/>
    <w:basedOn w:val="36"/>
    <w:qFormat/>
    <w:uiPriority w:val="0"/>
  </w:style>
  <w:style w:type="paragraph" w:customStyle="1" w:styleId="7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纯文本1"/>
    <w:basedOn w:val="1"/>
    <w:qFormat/>
    <w:uiPriority w:val="0"/>
    <w:pPr>
      <w:adjustRightInd w:val="0"/>
      <w:jc w:val="left"/>
      <w:textAlignment w:val="baseline"/>
    </w:pPr>
    <w:rPr>
      <w:rFonts w:ascii="宋体" w:hAnsi="Courier New"/>
      <w:szCs w:val="20"/>
    </w:rPr>
  </w:style>
  <w:style w:type="paragraph" w:customStyle="1" w:styleId="73">
    <w:name w:val="Char Char Char Char Char Char Char Char Char Char Char Char Char Char Char Char"/>
    <w:basedOn w:val="1"/>
    <w:qFormat/>
    <w:uiPriority w:val="0"/>
    <w:pPr>
      <w:widowControl/>
      <w:spacing w:after="160" w:line="240" w:lineRule="exact"/>
      <w:jc w:val="left"/>
    </w:pPr>
    <w:rPr>
      <w:szCs w:val="20"/>
    </w:rPr>
  </w:style>
  <w:style w:type="paragraph" w:customStyle="1" w:styleId="74">
    <w:name w:val="_Style 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Char Char Char"/>
    <w:basedOn w:val="1"/>
    <w:qFormat/>
    <w:uiPriority w:val="0"/>
    <w:pPr>
      <w:widowControl/>
      <w:spacing w:after="160" w:line="240" w:lineRule="exact"/>
      <w:jc w:val="left"/>
    </w:pPr>
  </w:style>
  <w:style w:type="paragraph" w:customStyle="1" w:styleId="76">
    <w:name w:val="正文1"/>
    <w:qFormat/>
    <w:uiPriority w:val="0"/>
    <w:pPr>
      <w:widowControl w:val="0"/>
      <w:adjustRightInd w:val="0"/>
      <w:spacing w:line="360" w:lineRule="atLeast"/>
      <w:jc w:val="both"/>
    </w:pPr>
    <w:rPr>
      <w:rFonts w:ascii="宋体" w:hAnsi="Times New Roman" w:eastAsia="宋体" w:cs="Times New Roman"/>
      <w:sz w:val="24"/>
      <w:lang w:val="en-US" w:eastAsia="zh-CN" w:bidi="ar-SA"/>
    </w:rPr>
  </w:style>
  <w:style w:type="paragraph" w:customStyle="1" w:styleId="77">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8">
    <w:name w:val="样式 样式 小四 行距: 1.5 倍行距 + 首行缩进:  3 字符"/>
    <w:basedOn w:val="1"/>
    <w:qFormat/>
    <w:uiPriority w:val="0"/>
    <w:rPr>
      <w:rFonts w:ascii="仿宋" w:hAnsi="仿宋" w:eastAsia="仿宋" w:cs="Arial"/>
      <w:bCs/>
      <w:iCs/>
      <w:szCs w:val="21"/>
    </w:rPr>
  </w:style>
  <w:style w:type="paragraph" w:customStyle="1" w:styleId="79">
    <w:name w:val="默认段落字体 Para Char Char Char Char Char Char Char Char Char Char"/>
    <w:basedOn w:val="1"/>
    <w:qFormat/>
    <w:uiPriority w:val="0"/>
    <w:rPr>
      <w:szCs w:val="20"/>
    </w:rPr>
  </w:style>
  <w:style w:type="paragraph" w:customStyle="1" w:styleId="8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
    <w:name w:val="Char1"/>
    <w:basedOn w:val="1"/>
    <w:qFormat/>
    <w:uiPriority w:val="0"/>
    <w:pPr>
      <w:tabs>
        <w:tab w:val="left" w:pos="360"/>
      </w:tabs>
    </w:pPr>
    <w:rPr>
      <w:sz w:val="24"/>
    </w:rPr>
  </w:style>
  <w:style w:type="paragraph" w:customStyle="1" w:styleId="82">
    <w:name w:val="5 Char Char Char Char Char Char Char Char Char Char"/>
    <w:basedOn w:val="1"/>
    <w:qFormat/>
    <w:uiPriority w:val="0"/>
  </w:style>
  <w:style w:type="paragraph" w:customStyle="1" w:styleId="83">
    <w:name w:val="列出段落1"/>
    <w:basedOn w:val="1"/>
    <w:qFormat/>
    <w:uiPriority w:val="0"/>
    <w:pPr>
      <w:ind w:firstLine="420" w:firstLineChars="200"/>
    </w:pPr>
    <w:rPr>
      <w:sz w:val="24"/>
    </w:rPr>
  </w:style>
  <w:style w:type="paragraph" w:customStyle="1" w:styleId="84">
    <w:name w:val="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reader-word-layer reader-word-s2-19"/>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TOC 标题1"/>
    <w:basedOn w:val="3"/>
    <w:next w:val="1"/>
    <w:qFormat/>
    <w:uiPriority w:val="39"/>
    <w:pPr>
      <w:widowControl/>
      <w:adjustRightInd/>
      <w:spacing w:before="240" w:line="259" w:lineRule="auto"/>
      <w:ind w:left="0" w:firstLine="0"/>
      <w:jc w:val="left"/>
      <w:outlineLvl w:val="9"/>
    </w:pPr>
    <w:rPr>
      <w:rFonts w:ascii="Calibri Light" w:hAnsi="Calibri Light" w:eastAsia="宋体"/>
      <w:color w:val="2E74B5"/>
      <w:kern w:val="0"/>
      <w:sz w:val="32"/>
      <w:szCs w:val="32"/>
    </w:rPr>
  </w:style>
  <w:style w:type="paragraph" w:customStyle="1" w:styleId="8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88">
    <w:name w:val="Char Char Char Char Char Char Char Char Char Char Char Char Char Char Char Char1"/>
    <w:basedOn w:val="1"/>
    <w:qFormat/>
    <w:uiPriority w:val="0"/>
    <w:pPr>
      <w:tabs>
        <w:tab w:val="left" w:pos="360"/>
      </w:tabs>
      <w:spacing w:line="360" w:lineRule="auto"/>
      <w:ind w:left="482" w:firstLine="200" w:firstLineChars="200"/>
    </w:pPr>
  </w:style>
  <w:style w:type="paragraph" w:customStyle="1" w:styleId="89">
    <w:name w:val="Char Char Char Char Char Char Char Char Char Char Char Char Char Char Char Char2"/>
    <w:basedOn w:val="1"/>
    <w:qFormat/>
    <w:uiPriority w:val="0"/>
    <w:pPr>
      <w:widowControl/>
      <w:spacing w:after="160" w:line="240" w:lineRule="exact"/>
      <w:jc w:val="left"/>
    </w:pPr>
    <w:rPr>
      <w:szCs w:val="20"/>
    </w:rPr>
  </w:style>
  <w:style w:type="paragraph" w:customStyle="1" w:styleId="90">
    <w:name w:val="Char"/>
    <w:basedOn w:val="1"/>
    <w:qFormat/>
    <w:uiPriority w:val="0"/>
    <w:pPr>
      <w:widowControl/>
      <w:spacing w:after="160" w:line="240" w:lineRule="exact"/>
      <w:jc w:val="left"/>
    </w:pPr>
    <w:rPr>
      <w:szCs w:val="20"/>
    </w:rPr>
  </w:style>
  <w:style w:type="paragraph" w:customStyle="1" w:styleId="91">
    <w:name w:val="默认段落字体 Para Char Char Char Char Char Char Char Char Char1 Char Char Char Char"/>
    <w:basedOn w:val="1"/>
    <w:qFormat/>
    <w:uiPriority w:val="0"/>
    <w:rPr>
      <w:rFonts w:ascii="Tahoma" w:hAnsi="Tahoma"/>
      <w:sz w:val="24"/>
      <w:szCs w:val="20"/>
    </w:rPr>
  </w:style>
  <w:style w:type="paragraph" w:customStyle="1" w:styleId="92">
    <w:name w:val="表内文字"/>
    <w:basedOn w:val="1"/>
    <w:qFormat/>
    <w:uiPriority w:val="0"/>
    <w:pPr>
      <w:snapToGrid w:val="0"/>
      <w:spacing w:before="50" w:after="50"/>
      <w:jc w:val="center"/>
    </w:pPr>
    <w:rPr>
      <w:rFonts w:ascii="仿宋_GB2312" w:hAnsi="宋体" w:eastAsia="仿宋_GB2312"/>
      <w:color w:val="000000"/>
      <w:sz w:val="32"/>
      <w:szCs w:val="32"/>
    </w:rPr>
  </w:style>
  <w:style w:type="paragraph" w:customStyle="1" w:styleId="93">
    <w:name w:val="列出段落11"/>
    <w:basedOn w:val="1"/>
    <w:qFormat/>
    <w:uiPriority w:val="34"/>
    <w:pPr>
      <w:ind w:firstLine="420" w:firstLineChars="200"/>
    </w:pPr>
    <w:rPr>
      <w:rFonts w:ascii="Calibri" w:hAnsi="Calibri"/>
      <w:szCs w:val="22"/>
    </w:rPr>
  </w:style>
  <w:style w:type="character" w:customStyle="1" w:styleId="94">
    <w:name w:val="HTML 预设格式 Char"/>
    <w:link w:val="29"/>
    <w:qFormat/>
    <w:uiPriority w:val="0"/>
    <w:rPr>
      <w:rFonts w:ascii="黑体" w:hAnsi="Courier New" w:eastAsia="黑体" w:cs="Courier New"/>
    </w:rPr>
  </w:style>
  <w:style w:type="character" w:customStyle="1" w:styleId="95">
    <w:name w:val="HTML 预设格式 Char1"/>
    <w:basedOn w:val="36"/>
    <w:qFormat/>
    <w:uiPriority w:val="0"/>
    <w:rPr>
      <w:rFonts w:ascii="Courier New" w:hAnsi="Courier New" w:cs="Courier New"/>
      <w:kern w:val="2"/>
    </w:rPr>
  </w:style>
  <w:style w:type="character" w:customStyle="1" w:styleId="96">
    <w:name w:val="批注文字 Char3"/>
    <w:basedOn w:val="36"/>
    <w:qFormat/>
    <w:uiPriority w:val="0"/>
    <w:rPr>
      <w:rFonts w:ascii="Verdana" w:hAnsi="Verdana"/>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F07F41-E058-4F60-B571-484D3E77B62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43</Pages>
  <Words>4233</Words>
  <Characters>24131</Characters>
  <Lines>201</Lines>
  <Paragraphs>56</Paragraphs>
  <TotalTime>280</TotalTime>
  <ScaleCrop>false</ScaleCrop>
  <LinksUpToDate>false</LinksUpToDate>
  <CharactersWithSpaces>28308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2020-01-10T02:42:00Z</dcterms:created>
  <dc:creator>User</dc:creator>
  <cp:lastModifiedBy>WPS_1559701792</cp:lastModifiedBy>
  <cp:lastPrinted>2020-01-16T03:59:00Z</cp:lastPrinted>
  <dcterms:modified xsi:type="dcterms:W3CDTF">2020-01-16T08:35:03Z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