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新魏" w:hAnsi="宋体" w:eastAsia="华文新魏"/>
          <w:b/>
          <w:sz w:val="52"/>
          <w:szCs w:val="52"/>
        </w:rPr>
      </w:pPr>
      <w:bookmarkStart w:id="0" w:name="_Toc1142"/>
      <w:bookmarkStart w:id="1" w:name="_Toc520968683"/>
      <w:r>
        <w:rPr>
          <w:rFonts w:hint="eastAsia" w:ascii="华文新魏" w:hAnsi="宋体" w:eastAsia="华文新魏"/>
          <w:b/>
          <w:sz w:val="52"/>
          <w:szCs w:val="52"/>
        </w:rPr>
        <w:t>广西同泽工程项目管理股份有限公司</w:t>
      </w:r>
    </w:p>
    <w:p>
      <w:pPr>
        <w:rPr>
          <w:rFonts w:ascii="宋体" w:hAnsi="宋体" w:cs="宋体"/>
          <w:b/>
          <w:bCs/>
          <w:sz w:val="60"/>
          <w:szCs w:val="60"/>
        </w:rPr>
      </w:pPr>
    </w:p>
    <w:p>
      <w:pPr>
        <w:spacing w:before="8"/>
        <w:rPr>
          <w:rFonts w:ascii="宋体" w:hAnsi="宋体" w:cs="宋体"/>
          <w:b/>
          <w:bCs/>
          <w:sz w:val="57"/>
          <w:szCs w:val="57"/>
        </w:rPr>
      </w:pPr>
    </w:p>
    <w:p>
      <w:pPr>
        <w:ind w:left="292" w:right="101"/>
        <w:jc w:val="center"/>
        <w:rPr>
          <w:rFonts w:ascii="宋体" w:hAnsi="宋体" w:cs="宋体"/>
          <w:sz w:val="84"/>
          <w:szCs w:val="84"/>
        </w:rPr>
      </w:pPr>
      <w:r>
        <w:rPr>
          <w:rFonts w:ascii="宋体" w:hAnsi="宋体" w:cs="宋体"/>
          <w:b/>
          <w:bCs/>
          <w:spacing w:val="2"/>
          <w:sz w:val="84"/>
          <w:szCs w:val="84"/>
        </w:rPr>
        <w:t>竞争性磋商文件</w:t>
      </w:r>
    </w:p>
    <w:p>
      <w:pPr>
        <w:rPr>
          <w:rFonts w:ascii="宋体" w:hAnsi="宋体" w:cs="宋体"/>
          <w:b/>
          <w:bCs/>
          <w:sz w:val="84"/>
          <w:szCs w:val="84"/>
        </w:rPr>
      </w:pPr>
    </w:p>
    <w:p>
      <w:pPr>
        <w:pStyle w:val="15"/>
        <w:rPr>
          <w:rFonts w:hAnsi="宋体" w:cs="宋体"/>
          <w:b/>
          <w:bCs/>
          <w:sz w:val="84"/>
          <w:szCs w:val="84"/>
        </w:rPr>
      </w:pPr>
    </w:p>
    <w:p>
      <w:pPr>
        <w:pStyle w:val="9"/>
        <w:rPr>
          <w:rFonts w:ascii="宋体" w:hAnsi="宋体" w:cs="宋体"/>
          <w:b/>
          <w:bCs/>
          <w:sz w:val="84"/>
          <w:szCs w:val="84"/>
        </w:rPr>
      </w:pPr>
    </w:p>
    <w:p/>
    <w:p>
      <w:pPr>
        <w:rPr>
          <w:rFonts w:ascii="宋体" w:hAnsi="宋体" w:cs="宋体"/>
          <w:b/>
          <w:bCs/>
          <w:sz w:val="84"/>
          <w:szCs w:val="84"/>
        </w:rPr>
      </w:pPr>
    </w:p>
    <w:p>
      <w:pPr>
        <w:spacing w:line="720" w:lineRule="auto"/>
        <w:rPr>
          <w:sz w:val="36"/>
          <w:szCs w:val="36"/>
        </w:rPr>
      </w:pPr>
      <w:r>
        <w:rPr>
          <w:rFonts w:hint="eastAsia"/>
          <w:sz w:val="36"/>
          <w:szCs w:val="36"/>
        </w:rPr>
        <w:t>项目名称：社会救助及特困人员开展入户核查评估服务采购</w:t>
      </w:r>
    </w:p>
    <w:p>
      <w:pPr>
        <w:spacing w:line="720" w:lineRule="auto"/>
        <w:rPr>
          <w:sz w:val="36"/>
          <w:szCs w:val="36"/>
        </w:rPr>
      </w:pPr>
      <w:r>
        <w:rPr>
          <w:rFonts w:hint="eastAsia"/>
          <w:sz w:val="36"/>
          <w:szCs w:val="36"/>
        </w:rPr>
        <w:t>项目编号：GLZC2020-C3-990545-GXTZ</w:t>
      </w:r>
    </w:p>
    <w:p>
      <w:pPr>
        <w:spacing w:line="720" w:lineRule="auto"/>
        <w:rPr>
          <w:sz w:val="36"/>
          <w:szCs w:val="36"/>
        </w:rPr>
      </w:pPr>
      <w:r>
        <w:rPr>
          <w:rFonts w:hint="eastAsia"/>
          <w:sz w:val="36"/>
          <w:szCs w:val="36"/>
        </w:rPr>
        <w:t>采购代理机构：广西同泽工程项目管理股份有限公司</w:t>
      </w:r>
    </w:p>
    <w:p>
      <w:pPr>
        <w:spacing w:line="720" w:lineRule="auto"/>
        <w:jc w:val="center"/>
        <w:rPr>
          <w:sz w:val="36"/>
          <w:szCs w:val="36"/>
        </w:rPr>
      </w:pPr>
      <w:r>
        <w:rPr>
          <w:rFonts w:hint="eastAsia"/>
          <w:sz w:val="36"/>
          <w:szCs w:val="36"/>
        </w:rPr>
        <w:t>2020 年 12月</w:t>
      </w:r>
    </w:p>
    <w:p>
      <w:pPr>
        <w:spacing w:line="720" w:lineRule="auto"/>
        <w:rPr>
          <w:sz w:val="36"/>
          <w:szCs w:val="36"/>
        </w:rPr>
        <w:sectPr>
          <w:footerReference r:id="rId3" w:type="default"/>
          <w:pgSz w:w="11910" w:h="16840"/>
          <w:pgMar w:top="1580" w:right="1000" w:bottom="1140" w:left="1680" w:header="720" w:footer="958" w:gutter="0"/>
          <w:pgNumType w:start="1"/>
          <w:cols w:space="720" w:num="1"/>
        </w:sectPr>
      </w:pPr>
    </w:p>
    <w:p>
      <w:pPr>
        <w:pStyle w:val="66"/>
        <w:jc w:val="center"/>
        <w:rPr>
          <w:rFonts w:ascii="宋体" w:hAnsi="宋体" w:eastAsia="宋体" w:cs="宋体"/>
          <w:color w:val="auto"/>
          <w:sz w:val="44"/>
          <w:szCs w:val="44"/>
        </w:rPr>
      </w:pPr>
      <w:r>
        <w:rPr>
          <w:rFonts w:hint="eastAsia" w:ascii="宋体" w:hAnsi="宋体" w:eastAsia="宋体" w:cs="宋体"/>
          <w:color w:val="auto"/>
          <w:sz w:val="44"/>
          <w:szCs w:val="44"/>
          <w:lang w:val="zh-CN"/>
        </w:rPr>
        <w:t>目录</w:t>
      </w:r>
      <w:bookmarkEnd w:id="0"/>
    </w:p>
    <w:p>
      <w:pPr>
        <w:pStyle w:val="15"/>
        <w:rPr>
          <w:rFonts w:hAnsi="宋体" w:cs="宋体"/>
        </w:rPr>
      </w:pPr>
    </w:p>
    <w:p>
      <w:pPr>
        <w:pStyle w:val="19"/>
        <w:tabs>
          <w:tab w:val="right" w:leader="dot" w:pos="9486"/>
        </w:tabs>
        <w:rPr>
          <w:sz w:val="28"/>
          <w:szCs w:val="36"/>
        </w:rPr>
      </w:pPr>
      <w:bookmarkStart w:id="2" w:name="_Toc22219473"/>
      <w:bookmarkStart w:id="3" w:name="_Toc22219415"/>
      <w:bookmarkStart w:id="4" w:name="_Toc24678_WPSOffice_Level1"/>
      <w:r>
        <w:rPr>
          <w:rFonts w:hint="eastAsia" w:ascii="宋体" w:hAnsi="宋体" w:cs="宋体"/>
          <w:sz w:val="28"/>
          <w:szCs w:val="36"/>
        </w:rPr>
        <w:fldChar w:fldCharType="begin"/>
      </w:r>
      <w:r>
        <w:rPr>
          <w:rFonts w:hint="eastAsia" w:ascii="宋体" w:hAnsi="宋体" w:cs="宋体"/>
          <w:sz w:val="28"/>
          <w:szCs w:val="36"/>
        </w:rPr>
        <w:instrText xml:space="preserve">TOC \o "1-1" \h \u </w:instrText>
      </w:r>
      <w:r>
        <w:rPr>
          <w:rFonts w:hint="eastAsia" w:ascii="宋体" w:hAnsi="宋体" w:cs="宋体"/>
          <w:sz w:val="28"/>
          <w:szCs w:val="36"/>
        </w:rPr>
        <w:fldChar w:fldCharType="separate"/>
      </w:r>
      <w:r>
        <w:fldChar w:fldCharType="begin"/>
      </w:r>
      <w:r>
        <w:instrText xml:space="preserve"> HYPERLINK \l "_Toc5337" </w:instrText>
      </w:r>
      <w:r>
        <w:fldChar w:fldCharType="separate"/>
      </w:r>
      <w:r>
        <w:rPr>
          <w:rFonts w:hint="eastAsia" w:ascii="宋体" w:hAnsi="宋体" w:cs="宋体"/>
          <w:sz w:val="28"/>
          <w:szCs w:val="36"/>
        </w:rPr>
        <w:t>第一章  竞争性磋商公告</w:t>
      </w:r>
      <w:r>
        <w:rPr>
          <w:sz w:val="28"/>
          <w:szCs w:val="36"/>
        </w:rPr>
        <w:tab/>
      </w:r>
      <w:r>
        <w:rPr>
          <w:sz w:val="28"/>
          <w:szCs w:val="36"/>
        </w:rPr>
        <w:fldChar w:fldCharType="begin"/>
      </w:r>
      <w:r>
        <w:rPr>
          <w:sz w:val="28"/>
          <w:szCs w:val="36"/>
        </w:rPr>
        <w:instrText xml:space="preserve"> PAGEREF _Toc5337 </w:instrText>
      </w:r>
      <w:r>
        <w:rPr>
          <w:sz w:val="28"/>
          <w:szCs w:val="36"/>
        </w:rPr>
        <w:fldChar w:fldCharType="separate"/>
      </w:r>
      <w:r>
        <w:rPr>
          <w:sz w:val="28"/>
          <w:szCs w:val="36"/>
        </w:rPr>
        <w:t>1</w:t>
      </w:r>
      <w:r>
        <w:rPr>
          <w:sz w:val="28"/>
          <w:szCs w:val="36"/>
        </w:rPr>
        <w:fldChar w:fldCharType="end"/>
      </w:r>
      <w:r>
        <w:rPr>
          <w:sz w:val="28"/>
          <w:szCs w:val="36"/>
        </w:rPr>
        <w:fldChar w:fldCharType="end"/>
      </w:r>
    </w:p>
    <w:p>
      <w:pPr>
        <w:pStyle w:val="19"/>
        <w:tabs>
          <w:tab w:val="right" w:leader="dot" w:pos="9486"/>
        </w:tabs>
        <w:rPr>
          <w:sz w:val="28"/>
          <w:szCs w:val="36"/>
        </w:rPr>
      </w:pPr>
      <w:r>
        <w:fldChar w:fldCharType="begin"/>
      </w:r>
      <w:r>
        <w:instrText xml:space="preserve"> HYPERLINK \l "_Toc27627" </w:instrText>
      </w:r>
      <w:r>
        <w:fldChar w:fldCharType="separate"/>
      </w:r>
      <w:r>
        <w:rPr>
          <w:rFonts w:hint="eastAsia" w:ascii="宋体" w:hAnsi="宋体" w:cs="宋体"/>
          <w:sz w:val="28"/>
          <w:szCs w:val="36"/>
        </w:rPr>
        <w:t>第二章  供应商须知</w:t>
      </w:r>
      <w:r>
        <w:rPr>
          <w:sz w:val="28"/>
          <w:szCs w:val="36"/>
        </w:rPr>
        <w:tab/>
      </w:r>
      <w:r>
        <w:rPr>
          <w:sz w:val="28"/>
          <w:szCs w:val="36"/>
        </w:rPr>
        <w:fldChar w:fldCharType="begin"/>
      </w:r>
      <w:r>
        <w:rPr>
          <w:sz w:val="28"/>
          <w:szCs w:val="36"/>
        </w:rPr>
        <w:instrText xml:space="preserve"> PAGEREF _Toc27627 </w:instrText>
      </w:r>
      <w:r>
        <w:rPr>
          <w:sz w:val="28"/>
          <w:szCs w:val="36"/>
        </w:rPr>
        <w:fldChar w:fldCharType="separate"/>
      </w:r>
      <w:r>
        <w:rPr>
          <w:sz w:val="28"/>
          <w:szCs w:val="36"/>
        </w:rPr>
        <w:t>3</w:t>
      </w:r>
      <w:r>
        <w:rPr>
          <w:sz w:val="28"/>
          <w:szCs w:val="36"/>
        </w:rPr>
        <w:fldChar w:fldCharType="end"/>
      </w:r>
      <w:r>
        <w:rPr>
          <w:sz w:val="28"/>
          <w:szCs w:val="36"/>
        </w:rPr>
        <w:fldChar w:fldCharType="end"/>
      </w:r>
    </w:p>
    <w:p>
      <w:pPr>
        <w:pStyle w:val="19"/>
        <w:tabs>
          <w:tab w:val="right" w:leader="dot" w:pos="9486"/>
        </w:tabs>
        <w:rPr>
          <w:sz w:val="28"/>
          <w:szCs w:val="36"/>
        </w:rPr>
      </w:pPr>
      <w:r>
        <w:fldChar w:fldCharType="begin"/>
      </w:r>
      <w:r>
        <w:instrText xml:space="preserve"> HYPERLINK \l "_Toc28592" </w:instrText>
      </w:r>
      <w:r>
        <w:fldChar w:fldCharType="separate"/>
      </w:r>
      <w:r>
        <w:rPr>
          <w:rFonts w:hint="eastAsia" w:ascii="宋体" w:hAnsi="宋体" w:cs="宋体"/>
          <w:sz w:val="28"/>
          <w:szCs w:val="36"/>
        </w:rPr>
        <w:t>第三章  采购需求</w:t>
      </w:r>
      <w:r>
        <w:rPr>
          <w:sz w:val="28"/>
          <w:szCs w:val="36"/>
        </w:rPr>
        <w:tab/>
      </w:r>
      <w:r>
        <w:rPr>
          <w:sz w:val="28"/>
          <w:szCs w:val="36"/>
        </w:rPr>
        <w:fldChar w:fldCharType="begin"/>
      </w:r>
      <w:r>
        <w:rPr>
          <w:sz w:val="28"/>
          <w:szCs w:val="36"/>
        </w:rPr>
        <w:instrText xml:space="preserve"> PAGEREF _Toc28592 </w:instrText>
      </w:r>
      <w:r>
        <w:rPr>
          <w:sz w:val="28"/>
          <w:szCs w:val="36"/>
        </w:rPr>
        <w:fldChar w:fldCharType="separate"/>
      </w:r>
      <w:r>
        <w:rPr>
          <w:sz w:val="28"/>
          <w:szCs w:val="36"/>
        </w:rPr>
        <w:t>22</w:t>
      </w:r>
      <w:r>
        <w:rPr>
          <w:sz w:val="28"/>
          <w:szCs w:val="36"/>
        </w:rPr>
        <w:fldChar w:fldCharType="end"/>
      </w:r>
      <w:r>
        <w:rPr>
          <w:sz w:val="28"/>
          <w:szCs w:val="36"/>
        </w:rPr>
        <w:fldChar w:fldCharType="end"/>
      </w:r>
    </w:p>
    <w:p>
      <w:pPr>
        <w:pStyle w:val="19"/>
        <w:tabs>
          <w:tab w:val="right" w:leader="dot" w:pos="9486"/>
        </w:tabs>
        <w:rPr>
          <w:sz w:val="28"/>
          <w:szCs w:val="36"/>
        </w:rPr>
      </w:pPr>
      <w:r>
        <w:fldChar w:fldCharType="begin"/>
      </w:r>
      <w:r>
        <w:instrText xml:space="preserve"> HYPERLINK \l "_Toc9315" </w:instrText>
      </w:r>
      <w:r>
        <w:fldChar w:fldCharType="separate"/>
      </w:r>
      <w:r>
        <w:rPr>
          <w:rFonts w:hint="eastAsia" w:ascii="宋体" w:hAnsi="宋体" w:cs="宋体"/>
          <w:bCs/>
          <w:kern w:val="44"/>
          <w:sz w:val="28"/>
          <w:szCs w:val="56"/>
        </w:rPr>
        <w:t>第四章  评审办法</w:t>
      </w:r>
      <w:r>
        <w:rPr>
          <w:sz w:val="28"/>
          <w:szCs w:val="36"/>
        </w:rPr>
        <w:tab/>
      </w:r>
      <w:r>
        <w:rPr>
          <w:sz w:val="28"/>
          <w:szCs w:val="36"/>
        </w:rPr>
        <w:fldChar w:fldCharType="begin"/>
      </w:r>
      <w:r>
        <w:rPr>
          <w:sz w:val="28"/>
          <w:szCs w:val="36"/>
        </w:rPr>
        <w:instrText xml:space="preserve"> PAGEREF _Toc9315 </w:instrText>
      </w:r>
      <w:r>
        <w:rPr>
          <w:sz w:val="28"/>
          <w:szCs w:val="36"/>
        </w:rPr>
        <w:fldChar w:fldCharType="separate"/>
      </w:r>
      <w:r>
        <w:rPr>
          <w:sz w:val="28"/>
          <w:szCs w:val="36"/>
        </w:rPr>
        <w:t>25</w:t>
      </w:r>
      <w:r>
        <w:rPr>
          <w:sz w:val="28"/>
          <w:szCs w:val="36"/>
        </w:rPr>
        <w:fldChar w:fldCharType="end"/>
      </w:r>
      <w:r>
        <w:rPr>
          <w:sz w:val="28"/>
          <w:szCs w:val="36"/>
        </w:rPr>
        <w:fldChar w:fldCharType="end"/>
      </w:r>
    </w:p>
    <w:p>
      <w:pPr>
        <w:pStyle w:val="19"/>
        <w:tabs>
          <w:tab w:val="right" w:leader="dot" w:pos="9486"/>
        </w:tabs>
        <w:rPr>
          <w:sz w:val="28"/>
          <w:szCs w:val="36"/>
        </w:rPr>
      </w:pPr>
      <w:r>
        <w:fldChar w:fldCharType="begin"/>
      </w:r>
      <w:r>
        <w:instrText xml:space="preserve"> HYPERLINK \l "_Toc30069" </w:instrText>
      </w:r>
      <w:r>
        <w:fldChar w:fldCharType="separate"/>
      </w:r>
      <w:r>
        <w:rPr>
          <w:rFonts w:hint="eastAsia" w:ascii="宋体" w:hAnsi="宋体" w:cs="宋体"/>
          <w:sz w:val="28"/>
          <w:szCs w:val="36"/>
        </w:rPr>
        <w:t>第五章  政府采购合同（合同主要条款及格式）</w:t>
      </w:r>
      <w:r>
        <w:rPr>
          <w:sz w:val="28"/>
          <w:szCs w:val="36"/>
        </w:rPr>
        <w:tab/>
      </w:r>
      <w:r>
        <w:rPr>
          <w:sz w:val="28"/>
          <w:szCs w:val="36"/>
        </w:rPr>
        <w:fldChar w:fldCharType="begin"/>
      </w:r>
      <w:r>
        <w:rPr>
          <w:sz w:val="28"/>
          <w:szCs w:val="36"/>
        </w:rPr>
        <w:instrText xml:space="preserve"> PAGEREF _Toc30069 </w:instrText>
      </w:r>
      <w:r>
        <w:rPr>
          <w:sz w:val="28"/>
          <w:szCs w:val="36"/>
        </w:rPr>
        <w:fldChar w:fldCharType="separate"/>
      </w:r>
      <w:r>
        <w:rPr>
          <w:sz w:val="28"/>
          <w:szCs w:val="36"/>
        </w:rPr>
        <w:t>28</w:t>
      </w:r>
      <w:r>
        <w:rPr>
          <w:sz w:val="28"/>
          <w:szCs w:val="36"/>
        </w:rPr>
        <w:fldChar w:fldCharType="end"/>
      </w:r>
      <w:r>
        <w:rPr>
          <w:sz w:val="28"/>
          <w:szCs w:val="36"/>
        </w:rPr>
        <w:fldChar w:fldCharType="end"/>
      </w:r>
    </w:p>
    <w:p>
      <w:pPr>
        <w:pStyle w:val="19"/>
        <w:tabs>
          <w:tab w:val="right" w:leader="dot" w:pos="9486"/>
        </w:tabs>
        <w:rPr>
          <w:sz w:val="28"/>
          <w:szCs w:val="36"/>
        </w:rPr>
      </w:pPr>
      <w:r>
        <w:fldChar w:fldCharType="begin"/>
      </w:r>
      <w:r>
        <w:instrText xml:space="preserve"> HYPERLINK \l "_Toc26417" </w:instrText>
      </w:r>
      <w:r>
        <w:fldChar w:fldCharType="separate"/>
      </w:r>
      <w:r>
        <w:rPr>
          <w:rFonts w:hint="eastAsia" w:ascii="宋体" w:hAnsi="宋体" w:cs="宋体"/>
          <w:sz w:val="28"/>
          <w:szCs w:val="36"/>
        </w:rPr>
        <w:t>第六章  响应文件（格式）</w:t>
      </w:r>
      <w:r>
        <w:rPr>
          <w:sz w:val="28"/>
          <w:szCs w:val="36"/>
        </w:rPr>
        <w:tab/>
      </w:r>
      <w:r>
        <w:rPr>
          <w:sz w:val="28"/>
          <w:szCs w:val="36"/>
        </w:rPr>
        <w:fldChar w:fldCharType="begin"/>
      </w:r>
      <w:r>
        <w:rPr>
          <w:sz w:val="28"/>
          <w:szCs w:val="36"/>
        </w:rPr>
        <w:instrText xml:space="preserve"> PAGEREF _Toc26417 </w:instrText>
      </w:r>
      <w:r>
        <w:rPr>
          <w:sz w:val="28"/>
          <w:szCs w:val="36"/>
        </w:rPr>
        <w:fldChar w:fldCharType="separate"/>
      </w:r>
      <w:r>
        <w:rPr>
          <w:sz w:val="28"/>
          <w:szCs w:val="36"/>
        </w:rPr>
        <w:t>31</w:t>
      </w:r>
      <w:r>
        <w:rPr>
          <w:sz w:val="28"/>
          <w:szCs w:val="36"/>
        </w:rPr>
        <w:fldChar w:fldCharType="end"/>
      </w:r>
      <w:r>
        <w:rPr>
          <w:sz w:val="28"/>
          <w:szCs w:val="36"/>
        </w:rPr>
        <w:fldChar w:fldCharType="end"/>
      </w:r>
    </w:p>
    <w:p>
      <w:pPr>
        <w:pStyle w:val="3"/>
        <w:jc w:val="center"/>
        <w:rPr>
          <w:rFonts w:ascii="宋体" w:hAnsi="宋体" w:cs="宋体"/>
        </w:rPr>
        <w:sectPr>
          <w:headerReference r:id="rId5" w:type="first"/>
          <w:footerReference r:id="rId7" w:type="first"/>
          <w:headerReference r:id="rId4" w:type="default"/>
          <w:footerReference r:id="rId6" w:type="default"/>
          <w:pgSz w:w="11906" w:h="16838"/>
          <w:pgMar w:top="1134" w:right="1286" w:bottom="1134" w:left="1134" w:header="720" w:footer="720" w:gutter="0"/>
          <w:pgNumType w:start="1"/>
          <w:cols w:space="720" w:num="1"/>
          <w:titlePg/>
          <w:docGrid w:type="linesAndChars" w:linePitch="331" w:charSpace="0"/>
        </w:sectPr>
      </w:pPr>
      <w:r>
        <w:rPr>
          <w:rFonts w:hint="eastAsia" w:ascii="宋体" w:hAnsi="宋体" w:cs="宋体"/>
          <w:sz w:val="56"/>
          <w:szCs w:val="56"/>
        </w:rPr>
        <w:fldChar w:fldCharType="end"/>
      </w:r>
    </w:p>
    <w:p>
      <w:pPr>
        <w:pStyle w:val="3"/>
        <w:jc w:val="center"/>
        <w:rPr>
          <w:rFonts w:ascii="宋体" w:hAnsi="宋体" w:cs="宋体"/>
        </w:rPr>
      </w:pPr>
      <w:bookmarkStart w:id="5" w:name="_Toc5337"/>
      <w:r>
        <w:rPr>
          <w:rFonts w:hint="eastAsia" w:ascii="宋体" w:hAnsi="宋体" w:cs="宋体"/>
        </w:rPr>
        <w:t>第一章   竞争性磋商公告</w:t>
      </w:r>
      <w:bookmarkEnd w:id="2"/>
      <w:bookmarkEnd w:id="3"/>
      <w:bookmarkEnd w:id="4"/>
      <w:bookmarkEnd w:id="5"/>
    </w:p>
    <w:p>
      <w:pPr>
        <w:pStyle w:val="12"/>
        <w:spacing w:before="0" w:line="360" w:lineRule="auto"/>
        <w:ind w:right="221" w:firstLine="420"/>
      </w:pPr>
      <w:r>
        <w:rPr>
          <w:rFonts w:hint="eastAsia"/>
        </w:rPr>
        <w:t>广西同泽工程项目管理股份有限公司</w:t>
      </w:r>
      <w:r>
        <w:t>受</w:t>
      </w:r>
      <w:r>
        <w:rPr>
          <w:u w:val="single"/>
        </w:rPr>
        <w:t>桂林市秀峰区民政局</w:t>
      </w:r>
      <w:r>
        <w:t>委托，根据《中华人民共和国政府采购法》、《中华人民共和国政府采购法实施条例》、《政府采购竞争性磋商采购方式管理暂行办法》等规定，就</w:t>
      </w:r>
      <w:r>
        <w:rPr>
          <w:rFonts w:hint="eastAsia"/>
          <w:u w:val="single"/>
        </w:rPr>
        <w:t>社会救助及特困人员开展入户核查评估服务采购</w:t>
      </w:r>
      <w:r>
        <w:rPr>
          <w:u w:val="single"/>
        </w:rPr>
        <w:t>项目</w:t>
      </w:r>
      <w:r>
        <w:t>进行竞争性磋商采购，欢迎符合条件的供应商前来参加</w:t>
      </w:r>
      <w:r>
        <w:rPr>
          <w:spacing w:val="-1"/>
          <w:w w:val="95"/>
        </w:rPr>
        <w:t>磋</w:t>
      </w:r>
      <w:r>
        <w:t>商活动，现将有关事项公告如下：</w:t>
      </w:r>
    </w:p>
    <w:p>
      <w:pPr>
        <w:pStyle w:val="12"/>
        <w:numPr>
          <w:ilvl w:val="0"/>
          <w:numId w:val="1"/>
        </w:numPr>
        <w:spacing w:before="15" w:line="360" w:lineRule="auto"/>
        <w:ind w:right="70"/>
      </w:pPr>
      <w:r>
        <w:t>项目名称：</w:t>
      </w:r>
      <w:r>
        <w:rPr>
          <w:rFonts w:hint="eastAsia"/>
        </w:rPr>
        <w:t>社会救助及特困人员开展入户核查评估服务采购</w:t>
      </w:r>
    </w:p>
    <w:p>
      <w:pPr>
        <w:pStyle w:val="12"/>
        <w:numPr>
          <w:ilvl w:val="0"/>
          <w:numId w:val="1"/>
        </w:numPr>
        <w:spacing w:before="17" w:line="360" w:lineRule="auto"/>
        <w:ind w:right="864"/>
        <w:rPr>
          <w:rFonts w:hint="eastAsia"/>
        </w:rPr>
      </w:pPr>
      <w:r>
        <w:rPr>
          <w:rFonts w:hint="eastAsia"/>
        </w:rPr>
        <w:t>二、项目编号：GLZC2020-C3-990545-GXTZ</w:t>
      </w:r>
    </w:p>
    <w:p>
      <w:pPr>
        <w:pStyle w:val="12"/>
        <w:numPr>
          <w:ilvl w:val="0"/>
          <w:numId w:val="1"/>
        </w:numPr>
        <w:spacing w:before="17" w:line="360" w:lineRule="auto"/>
        <w:ind w:right="864"/>
      </w:pPr>
      <w:r>
        <w:t>采购货物名称、数量、简要规格描述或项目基本概况介绍：</w:t>
      </w:r>
    </w:p>
    <w:tbl>
      <w:tblPr>
        <w:tblStyle w:val="24"/>
        <w:tblpPr w:leftFromText="180" w:rightFromText="180" w:vertAnchor="text" w:horzAnchor="page" w:tblpXSpec="center" w:tblpY="33"/>
        <w:tblOverlap w:val="never"/>
        <w:tblW w:w="0" w:type="auto"/>
        <w:jc w:val="center"/>
        <w:tblLayout w:type="fixed"/>
        <w:tblCellMar>
          <w:top w:w="0" w:type="dxa"/>
          <w:left w:w="0" w:type="dxa"/>
          <w:bottom w:w="0" w:type="dxa"/>
          <w:right w:w="0" w:type="dxa"/>
        </w:tblCellMar>
      </w:tblPr>
      <w:tblGrid>
        <w:gridCol w:w="444"/>
        <w:gridCol w:w="3345"/>
        <w:gridCol w:w="570"/>
        <w:gridCol w:w="690"/>
        <w:gridCol w:w="3210"/>
      </w:tblGrid>
      <w:tr>
        <w:tblPrEx>
          <w:tblCellMar>
            <w:top w:w="0" w:type="dxa"/>
            <w:left w:w="0" w:type="dxa"/>
            <w:bottom w:w="0" w:type="dxa"/>
            <w:right w:w="0" w:type="dxa"/>
          </w:tblCellMar>
        </w:tblPrEx>
        <w:trPr>
          <w:trHeight w:val="666" w:hRule="exact"/>
          <w:jc w:val="center"/>
        </w:trPr>
        <w:tc>
          <w:tcPr>
            <w:tcW w:w="444" w:type="dxa"/>
            <w:tcBorders>
              <w:top w:val="single" w:color="000000" w:sz="4" w:space="0"/>
              <w:left w:val="single" w:color="000000" w:sz="4" w:space="0"/>
              <w:bottom w:val="single" w:color="000000" w:sz="4" w:space="0"/>
              <w:right w:val="single" w:color="000000" w:sz="4" w:space="0"/>
            </w:tcBorders>
            <w:vAlign w:val="center"/>
          </w:tcPr>
          <w:p>
            <w:pPr>
              <w:pStyle w:val="72"/>
              <w:jc w:val="center"/>
              <w:rPr>
                <w:rFonts w:ascii="宋体" w:hAnsi="宋体" w:cs="宋体"/>
                <w:szCs w:val="21"/>
              </w:rPr>
            </w:pPr>
            <w:r>
              <w:rPr>
                <w:rFonts w:ascii="宋体" w:hAnsi="宋体" w:cs="宋体"/>
                <w:b/>
                <w:bCs/>
                <w:szCs w:val="21"/>
              </w:rPr>
              <w:t>项号</w:t>
            </w:r>
          </w:p>
        </w:tc>
        <w:tc>
          <w:tcPr>
            <w:tcW w:w="3345" w:type="dxa"/>
            <w:tcBorders>
              <w:top w:val="single" w:color="000000" w:sz="4" w:space="0"/>
              <w:left w:val="single" w:color="000000" w:sz="4" w:space="0"/>
              <w:bottom w:val="single" w:color="000000" w:sz="4" w:space="0"/>
              <w:right w:val="single" w:color="000000" w:sz="4" w:space="0"/>
            </w:tcBorders>
            <w:vAlign w:val="center"/>
          </w:tcPr>
          <w:p>
            <w:pPr>
              <w:pStyle w:val="72"/>
              <w:jc w:val="center"/>
              <w:rPr>
                <w:rFonts w:ascii="宋体" w:hAnsi="宋体" w:cs="宋体"/>
                <w:szCs w:val="21"/>
              </w:rPr>
            </w:pPr>
            <w:r>
              <w:rPr>
                <w:rFonts w:ascii="宋体" w:hAnsi="宋体" w:cs="宋体"/>
                <w:b/>
                <w:bCs/>
                <w:szCs w:val="21"/>
              </w:rPr>
              <w:t>服务名称</w:t>
            </w:r>
          </w:p>
        </w:tc>
        <w:tc>
          <w:tcPr>
            <w:tcW w:w="570" w:type="dxa"/>
            <w:tcBorders>
              <w:top w:val="single" w:color="000000" w:sz="4" w:space="0"/>
              <w:left w:val="single" w:color="000000" w:sz="4" w:space="0"/>
              <w:bottom w:val="single" w:color="000000" w:sz="4" w:space="0"/>
              <w:right w:val="single" w:color="000000" w:sz="4" w:space="0"/>
            </w:tcBorders>
            <w:vAlign w:val="center"/>
          </w:tcPr>
          <w:p>
            <w:pPr>
              <w:pStyle w:val="72"/>
              <w:jc w:val="center"/>
              <w:rPr>
                <w:rFonts w:ascii="宋体" w:hAnsi="宋体" w:cs="宋体"/>
                <w:szCs w:val="21"/>
              </w:rPr>
            </w:pPr>
            <w:r>
              <w:rPr>
                <w:rFonts w:ascii="宋体" w:hAnsi="宋体" w:cs="宋体"/>
                <w:b/>
                <w:bCs/>
                <w:szCs w:val="21"/>
              </w:rPr>
              <w:t>数量</w:t>
            </w:r>
          </w:p>
        </w:tc>
        <w:tc>
          <w:tcPr>
            <w:tcW w:w="690" w:type="dxa"/>
            <w:tcBorders>
              <w:top w:val="single" w:color="000000" w:sz="4" w:space="0"/>
              <w:left w:val="single" w:color="000000" w:sz="4" w:space="0"/>
              <w:bottom w:val="single" w:color="000000" w:sz="4" w:space="0"/>
              <w:right w:val="single" w:color="000000" w:sz="4" w:space="0"/>
            </w:tcBorders>
            <w:vAlign w:val="center"/>
          </w:tcPr>
          <w:p>
            <w:pPr>
              <w:pStyle w:val="72"/>
              <w:ind w:left="154"/>
              <w:jc w:val="center"/>
              <w:rPr>
                <w:rFonts w:ascii="宋体" w:hAnsi="宋体" w:cs="宋体"/>
                <w:szCs w:val="21"/>
              </w:rPr>
            </w:pPr>
            <w:r>
              <w:rPr>
                <w:rFonts w:ascii="宋体" w:hAnsi="宋体" w:cs="宋体"/>
                <w:b/>
                <w:bCs/>
                <w:szCs w:val="21"/>
              </w:rPr>
              <w:t>单位</w:t>
            </w:r>
          </w:p>
        </w:tc>
        <w:tc>
          <w:tcPr>
            <w:tcW w:w="3210" w:type="dxa"/>
            <w:tcBorders>
              <w:top w:val="single" w:color="000000" w:sz="4" w:space="0"/>
              <w:left w:val="single" w:color="000000" w:sz="4" w:space="0"/>
              <w:bottom w:val="single" w:color="000000" w:sz="4" w:space="0"/>
              <w:right w:val="single" w:color="000000" w:sz="4" w:space="0"/>
            </w:tcBorders>
            <w:vAlign w:val="center"/>
          </w:tcPr>
          <w:p>
            <w:pPr>
              <w:pStyle w:val="72"/>
              <w:ind w:left="230"/>
              <w:jc w:val="center"/>
              <w:rPr>
                <w:rFonts w:ascii="宋体" w:hAnsi="宋体" w:cs="宋体"/>
                <w:szCs w:val="21"/>
              </w:rPr>
            </w:pPr>
            <w:r>
              <w:rPr>
                <w:rFonts w:ascii="宋体" w:hAnsi="宋体" w:cs="宋体"/>
                <w:b/>
                <w:bCs/>
                <w:szCs w:val="21"/>
              </w:rPr>
              <w:t>简要规格描述或项目基本概况</w:t>
            </w:r>
          </w:p>
        </w:tc>
      </w:tr>
      <w:tr>
        <w:tblPrEx>
          <w:tblCellMar>
            <w:top w:w="0" w:type="dxa"/>
            <w:left w:w="0" w:type="dxa"/>
            <w:bottom w:w="0" w:type="dxa"/>
            <w:right w:w="0" w:type="dxa"/>
          </w:tblCellMar>
        </w:tblPrEx>
        <w:trPr>
          <w:trHeight w:val="1210" w:hRule="exact"/>
          <w:jc w:val="center"/>
        </w:trPr>
        <w:tc>
          <w:tcPr>
            <w:tcW w:w="444" w:type="dxa"/>
            <w:tcBorders>
              <w:top w:val="single" w:color="000000" w:sz="4" w:space="0"/>
              <w:left w:val="single" w:color="000000" w:sz="4" w:space="0"/>
              <w:bottom w:val="single" w:color="000000" w:sz="4" w:space="0"/>
              <w:right w:val="single" w:color="000000" w:sz="4" w:space="0"/>
            </w:tcBorders>
            <w:vAlign w:val="center"/>
          </w:tcPr>
          <w:p>
            <w:pPr>
              <w:pStyle w:val="72"/>
              <w:jc w:val="center"/>
              <w:rPr>
                <w:rFonts w:ascii="宋体" w:hAnsi="宋体" w:cs="宋体"/>
                <w:szCs w:val="21"/>
              </w:rPr>
            </w:pPr>
            <w:r>
              <w:rPr>
                <w:rFonts w:ascii="宋体"/>
                <w:w w:val="99"/>
              </w:rPr>
              <w:t>1</w:t>
            </w:r>
          </w:p>
        </w:tc>
        <w:tc>
          <w:tcPr>
            <w:tcW w:w="3345" w:type="dxa"/>
            <w:tcBorders>
              <w:top w:val="single" w:color="000000" w:sz="4" w:space="0"/>
              <w:left w:val="single" w:color="000000" w:sz="4" w:space="0"/>
              <w:bottom w:val="single" w:color="000000" w:sz="4" w:space="0"/>
              <w:right w:val="single" w:color="000000" w:sz="4" w:space="0"/>
            </w:tcBorders>
            <w:vAlign w:val="center"/>
          </w:tcPr>
          <w:p>
            <w:pPr>
              <w:pStyle w:val="72"/>
              <w:tabs>
                <w:tab w:val="left" w:pos="1100"/>
              </w:tabs>
              <w:spacing w:line="440" w:lineRule="exact"/>
              <w:ind w:right="-185"/>
              <w:jc w:val="center"/>
              <w:rPr>
                <w:rFonts w:ascii="宋体" w:hAnsi="宋体" w:cs="宋体"/>
                <w:szCs w:val="21"/>
              </w:rPr>
            </w:pPr>
            <w:r>
              <w:rPr>
                <w:rFonts w:hint="eastAsia" w:ascii="宋体" w:hAnsi="宋体" w:cs="宋体"/>
                <w:szCs w:val="21"/>
              </w:rPr>
              <w:t>社会救助及特困人员开展入户核</w:t>
            </w:r>
          </w:p>
          <w:p>
            <w:pPr>
              <w:pStyle w:val="72"/>
              <w:tabs>
                <w:tab w:val="left" w:pos="1100"/>
              </w:tabs>
              <w:spacing w:line="440" w:lineRule="exact"/>
              <w:ind w:left="675" w:leftChars="-129" w:right="-185" w:hanging="946"/>
              <w:jc w:val="center"/>
              <w:rPr>
                <w:rFonts w:ascii="宋体" w:hAnsi="宋体" w:cs="宋体"/>
                <w:szCs w:val="21"/>
              </w:rPr>
            </w:pPr>
            <w:r>
              <w:rPr>
                <w:rFonts w:hint="eastAsia" w:ascii="宋体" w:hAnsi="宋体" w:cs="宋体"/>
                <w:szCs w:val="21"/>
              </w:rPr>
              <w:t>查评估服务采购</w:t>
            </w:r>
          </w:p>
        </w:tc>
        <w:tc>
          <w:tcPr>
            <w:tcW w:w="570" w:type="dxa"/>
            <w:tcBorders>
              <w:top w:val="single" w:color="000000" w:sz="4" w:space="0"/>
              <w:left w:val="single" w:color="000000" w:sz="4" w:space="0"/>
              <w:bottom w:val="single" w:color="000000" w:sz="4" w:space="0"/>
              <w:right w:val="single" w:color="000000" w:sz="4" w:space="0"/>
            </w:tcBorders>
            <w:vAlign w:val="center"/>
          </w:tcPr>
          <w:p>
            <w:pPr>
              <w:pStyle w:val="72"/>
              <w:jc w:val="center"/>
              <w:rPr>
                <w:rFonts w:ascii="宋体" w:hAnsi="宋体" w:cs="宋体"/>
                <w:szCs w:val="21"/>
              </w:rPr>
            </w:pPr>
            <w:r>
              <w:rPr>
                <w:rFonts w:hint="eastAsia" w:ascii="宋体" w:hAnsi="宋体" w:cs="宋体"/>
                <w:szCs w:val="21"/>
              </w:rPr>
              <w:t>1</w:t>
            </w:r>
          </w:p>
        </w:tc>
        <w:tc>
          <w:tcPr>
            <w:tcW w:w="690" w:type="dxa"/>
            <w:tcBorders>
              <w:top w:val="single" w:color="000000" w:sz="4" w:space="0"/>
              <w:left w:val="single" w:color="000000" w:sz="4" w:space="0"/>
              <w:bottom w:val="single" w:color="000000" w:sz="4" w:space="0"/>
              <w:right w:val="single" w:color="000000" w:sz="4" w:space="0"/>
            </w:tcBorders>
            <w:vAlign w:val="center"/>
          </w:tcPr>
          <w:p>
            <w:pPr>
              <w:pStyle w:val="72"/>
              <w:jc w:val="center"/>
              <w:rPr>
                <w:rFonts w:ascii="宋体" w:hAnsi="宋体" w:cs="宋体"/>
                <w:szCs w:val="21"/>
              </w:rPr>
            </w:pPr>
            <w:r>
              <w:rPr>
                <w:rFonts w:hint="eastAsia" w:ascii="宋体" w:hAnsi="宋体" w:cs="宋体"/>
                <w:szCs w:val="21"/>
              </w:rPr>
              <w:t>项</w:t>
            </w:r>
          </w:p>
        </w:tc>
        <w:tc>
          <w:tcPr>
            <w:tcW w:w="3210" w:type="dxa"/>
            <w:tcBorders>
              <w:top w:val="single" w:color="000000" w:sz="4" w:space="0"/>
              <w:left w:val="single" w:color="000000" w:sz="4" w:space="0"/>
              <w:bottom w:val="single" w:color="000000" w:sz="4" w:space="0"/>
              <w:right w:val="single" w:color="000000" w:sz="4" w:space="0"/>
            </w:tcBorders>
            <w:vAlign w:val="center"/>
          </w:tcPr>
          <w:p>
            <w:pPr>
              <w:pStyle w:val="72"/>
              <w:jc w:val="center"/>
              <w:rPr>
                <w:rFonts w:ascii="宋体" w:hAnsi="宋体" w:cs="宋体"/>
                <w:szCs w:val="21"/>
              </w:rPr>
            </w:pPr>
            <w:r>
              <w:rPr>
                <w:rFonts w:hint="eastAsia" w:ascii="宋体" w:hAnsi="宋体" w:cs="宋体"/>
                <w:szCs w:val="21"/>
              </w:rPr>
              <w:t>详见磋商文件第三章采购需求</w:t>
            </w:r>
          </w:p>
        </w:tc>
      </w:tr>
    </w:tbl>
    <w:p>
      <w:pPr>
        <w:spacing w:line="360" w:lineRule="auto"/>
        <w:ind w:firstLine="420" w:firstLineChars="200"/>
        <w:rPr>
          <w:rFonts w:ascii="宋体" w:hAnsi="宋体" w:cs="宋体"/>
        </w:rPr>
      </w:pPr>
      <w:r>
        <w:rPr>
          <w:rFonts w:hint="eastAsia" w:ascii="宋体" w:hAnsi="宋体" w:cs="宋体"/>
        </w:rPr>
        <w:t>进一步了解详细内容，详见竞争性磋商文件。</w:t>
      </w:r>
    </w:p>
    <w:p>
      <w:pPr>
        <w:numPr>
          <w:ilvl w:val="0"/>
          <w:numId w:val="2"/>
        </w:numPr>
        <w:spacing w:line="360" w:lineRule="auto"/>
        <w:ind w:firstLine="420" w:firstLineChars="200"/>
        <w:rPr>
          <w:rFonts w:ascii="宋体" w:hAnsi="宋体" w:cs="宋体"/>
        </w:rPr>
      </w:pPr>
      <w:r>
        <w:rPr>
          <w:rFonts w:hint="eastAsia" w:ascii="宋体" w:hAnsi="宋体" w:cs="宋体"/>
        </w:rPr>
        <w:t>采购项目预算金额（人民币）：</w:t>
      </w:r>
      <w:r>
        <w:rPr>
          <w:rFonts w:hint="eastAsia" w:ascii="宋体" w:hAnsi="宋体" w:cs="宋体"/>
          <w:u w:val="single"/>
        </w:rPr>
        <w:t>170400元/年  合计：340800元</w:t>
      </w:r>
      <w:r>
        <w:rPr>
          <w:rFonts w:hint="eastAsia" w:ascii="宋体" w:hAnsi="宋体" w:cs="宋体"/>
        </w:rPr>
        <w:t>。</w:t>
      </w:r>
    </w:p>
    <w:p>
      <w:pPr>
        <w:pStyle w:val="2"/>
        <w:rPr>
          <w:rFonts w:hint="eastAsia" w:eastAsia="宋体"/>
          <w:lang w:eastAsia="zh-CN"/>
        </w:rPr>
      </w:pPr>
      <w:r>
        <w:rPr>
          <w:rFonts w:hint="eastAsia" w:ascii="宋体" w:hAnsi="宋体" w:cs="宋体"/>
          <w:lang w:eastAsia="zh-CN"/>
        </w:rPr>
        <w:t>服务期限：自签订合同之日起服务期为2年。</w:t>
      </w:r>
    </w:p>
    <w:p>
      <w:pPr>
        <w:spacing w:line="360" w:lineRule="auto"/>
        <w:ind w:firstLine="420" w:firstLineChars="200"/>
        <w:rPr>
          <w:rFonts w:ascii="宋体" w:hAnsi="宋体" w:cs="宋体"/>
          <w:szCs w:val="21"/>
        </w:rPr>
      </w:pPr>
      <w:r>
        <w:rPr>
          <w:rFonts w:hint="eastAsia" w:ascii="宋体" w:hAnsi="宋体" w:cs="宋体"/>
          <w:szCs w:val="21"/>
        </w:rPr>
        <w:t>五、本项目需要落实的政府采购政策：</w:t>
      </w:r>
    </w:p>
    <w:p>
      <w:pPr>
        <w:spacing w:line="360" w:lineRule="auto"/>
        <w:ind w:firstLine="420" w:firstLineChars="200"/>
        <w:rPr>
          <w:rFonts w:ascii="宋体" w:hAnsi="宋体" w:cs="宋体"/>
          <w:szCs w:val="21"/>
        </w:rPr>
      </w:pPr>
      <w:r>
        <w:rPr>
          <w:rFonts w:hint="eastAsia" w:ascii="宋体" w:hAnsi="宋体" w:cs="宋体"/>
          <w:szCs w:val="21"/>
        </w:rPr>
        <w:t>1.《政府采购促进中小企业发展暂行办法》（财库[2011]181号）；</w:t>
      </w:r>
    </w:p>
    <w:p>
      <w:pPr>
        <w:spacing w:line="360" w:lineRule="auto"/>
        <w:ind w:firstLine="420" w:firstLineChars="200"/>
        <w:rPr>
          <w:rFonts w:ascii="宋体" w:hAnsi="宋体" w:cs="宋体"/>
          <w:szCs w:val="21"/>
        </w:rPr>
      </w:pPr>
      <w:r>
        <w:rPr>
          <w:rFonts w:hint="eastAsia" w:ascii="宋体" w:hAnsi="宋体" w:cs="宋体"/>
          <w:szCs w:val="21"/>
        </w:rPr>
        <w:t>2.《关于政府采购支持监狱企业发展有关问题的通知》（财库[2014]68号）；</w:t>
      </w:r>
    </w:p>
    <w:p>
      <w:pPr>
        <w:spacing w:line="360" w:lineRule="auto"/>
        <w:ind w:firstLine="420" w:firstLineChars="200"/>
        <w:rPr>
          <w:rFonts w:ascii="宋体" w:hAnsi="宋体" w:cs="宋体"/>
          <w:szCs w:val="21"/>
        </w:rPr>
      </w:pPr>
      <w:r>
        <w:rPr>
          <w:rFonts w:hint="eastAsia" w:ascii="宋体" w:hAnsi="宋体" w:cs="宋体"/>
          <w:szCs w:val="21"/>
        </w:rPr>
        <w:t>3.《关于促进残疾人就业政府采购政策的通知》（财库[2017]141号）；</w:t>
      </w:r>
    </w:p>
    <w:p>
      <w:pPr>
        <w:spacing w:line="360" w:lineRule="auto"/>
        <w:ind w:firstLine="420" w:firstLineChars="200"/>
        <w:rPr>
          <w:rFonts w:ascii="宋体" w:hAnsi="宋体" w:cs="宋体"/>
          <w:szCs w:val="21"/>
        </w:rPr>
      </w:pPr>
      <w:r>
        <w:rPr>
          <w:rFonts w:hint="eastAsia" w:ascii="宋体" w:hAnsi="宋体" w:cs="宋体"/>
          <w:szCs w:val="21"/>
        </w:rPr>
        <w:t>4.本项目为服务采购项目，执行相应政府采购政策。</w:t>
      </w:r>
    </w:p>
    <w:p>
      <w:pPr>
        <w:spacing w:line="360" w:lineRule="auto"/>
        <w:ind w:firstLine="420" w:firstLineChars="200"/>
        <w:rPr>
          <w:rFonts w:hint="eastAsia" w:ascii="宋体" w:hAnsi="宋体" w:cs="宋体"/>
          <w:szCs w:val="21"/>
        </w:rPr>
      </w:pPr>
      <w:r>
        <w:rPr>
          <w:rFonts w:hint="eastAsia" w:ascii="宋体" w:hAnsi="宋体" w:cs="宋体"/>
          <w:szCs w:val="21"/>
        </w:rPr>
        <w:t>六、供应商资格要求：</w:t>
      </w:r>
    </w:p>
    <w:p>
      <w:pPr>
        <w:spacing w:line="360" w:lineRule="auto"/>
        <w:ind w:firstLine="420" w:firstLineChars="200"/>
        <w:rPr>
          <w:rFonts w:ascii="宋体" w:hAnsi="宋体" w:cs="宋体"/>
          <w:szCs w:val="21"/>
        </w:rPr>
      </w:pPr>
      <w:r>
        <w:rPr>
          <w:rFonts w:hint="eastAsia" w:ascii="宋体" w:hAnsi="宋体" w:cs="宋体"/>
          <w:szCs w:val="21"/>
        </w:rPr>
        <w:t>1.符合《中华人民共和国政府采购法》第二十二条规定，具备合法资格的供应商；</w:t>
      </w:r>
    </w:p>
    <w:p>
      <w:pPr>
        <w:spacing w:line="360" w:lineRule="auto"/>
        <w:ind w:firstLine="420" w:firstLineChars="200"/>
        <w:rPr>
          <w:rFonts w:ascii="宋体" w:hAnsi="宋体" w:cs="宋体"/>
          <w:szCs w:val="21"/>
        </w:rPr>
      </w:pPr>
      <w:r>
        <w:rPr>
          <w:rFonts w:hint="eastAsia" w:ascii="宋体" w:hAnsi="宋体" w:cs="宋体"/>
          <w:szCs w:val="21"/>
        </w:rPr>
        <w:t>2.</w:t>
      </w:r>
      <w:r>
        <w:rPr>
          <w:rFonts w:ascii="宋体" w:hAnsi="宋体" w:cs="宋体"/>
          <w:szCs w:val="21"/>
        </w:rPr>
        <w:t>供应商有固定的办公场所、项目负责人、专职工作人员，项目负责人必须为中级以上（含中级）社会工作师并按照国家政策缴纳社保；</w:t>
      </w:r>
    </w:p>
    <w:p>
      <w:pPr>
        <w:spacing w:line="360" w:lineRule="auto"/>
        <w:ind w:firstLine="420" w:firstLineChars="200"/>
        <w:rPr>
          <w:rFonts w:ascii="宋体" w:hAnsi="宋体" w:cs="宋体"/>
          <w:szCs w:val="21"/>
        </w:rPr>
      </w:pPr>
      <w:r>
        <w:rPr>
          <w:rFonts w:hint="eastAsia" w:ascii="宋体" w:hAnsi="宋体" w:cs="宋体"/>
          <w:szCs w:val="21"/>
        </w:rPr>
        <w:t>3.专职工作人员至少2人以上具有大专以上学历；</w:t>
      </w:r>
    </w:p>
    <w:p>
      <w:pPr>
        <w:spacing w:line="360" w:lineRule="auto"/>
        <w:ind w:firstLine="420" w:firstLineChars="200"/>
        <w:rPr>
          <w:rFonts w:ascii="宋体" w:hAnsi="宋体" w:cs="宋体"/>
          <w:szCs w:val="21"/>
        </w:rPr>
      </w:pPr>
      <w:r>
        <w:rPr>
          <w:rFonts w:hint="eastAsia" w:ascii="宋体" w:hAnsi="宋体" w:cs="宋体"/>
          <w:szCs w:val="21"/>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60" w:lineRule="auto"/>
        <w:ind w:firstLine="420" w:firstLineChars="200"/>
        <w:rPr>
          <w:rFonts w:ascii="宋体" w:hAnsi="宋体" w:cs="宋体"/>
          <w:szCs w:val="21"/>
        </w:rPr>
      </w:pPr>
      <w:r>
        <w:rPr>
          <w:rFonts w:hint="eastAsia" w:ascii="宋体" w:hAnsi="宋体" w:cs="宋体"/>
          <w:szCs w:val="21"/>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auto"/>
        <w:ind w:firstLine="420" w:firstLineChars="200"/>
        <w:rPr>
          <w:rFonts w:ascii="宋体" w:hAnsi="宋体" w:cs="宋体"/>
          <w:szCs w:val="21"/>
        </w:rPr>
      </w:pPr>
      <w:r>
        <w:rPr>
          <w:rFonts w:hint="eastAsia" w:ascii="宋体" w:hAnsi="宋体" w:cs="宋体"/>
          <w:szCs w:val="21"/>
        </w:rPr>
        <w:t>6.本项目不接受联合体参与磋商。</w:t>
      </w:r>
    </w:p>
    <w:p>
      <w:pPr>
        <w:spacing w:line="360" w:lineRule="auto"/>
        <w:ind w:firstLine="420" w:firstLineChars="200"/>
        <w:rPr>
          <w:rFonts w:ascii="宋体" w:hAnsi="宋体" w:cs="宋体"/>
          <w:szCs w:val="21"/>
        </w:rPr>
      </w:pPr>
      <w:r>
        <w:rPr>
          <w:rFonts w:hint="eastAsia" w:ascii="宋体" w:hAnsi="宋体" w:cs="宋体"/>
          <w:szCs w:val="21"/>
        </w:rPr>
        <w:t>七、公告期限：2020年</w:t>
      </w:r>
      <w:r>
        <w:rPr>
          <w:rFonts w:hint="eastAsia" w:ascii="宋体" w:hAnsi="宋体" w:cs="宋体"/>
          <w:szCs w:val="21"/>
          <w:lang w:val="en-US" w:eastAsia="zh-CN"/>
        </w:rPr>
        <w:t>12</w:t>
      </w:r>
      <w:r>
        <w:rPr>
          <w:rFonts w:hint="eastAsia" w:ascii="宋体" w:hAnsi="宋体" w:cs="宋体"/>
          <w:szCs w:val="21"/>
        </w:rPr>
        <w:t>月</w:t>
      </w:r>
      <w:r>
        <w:rPr>
          <w:rFonts w:hint="eastAsia" w:ascii="宋体" w:hAnsi="宋体" w:cs="宋体"/>
          <w:szCs w:val="21"/>
          <w:lang w:val="en-US" w:eastAsia="zh-CN"/>
        </w:rPr>
        <w:t>7</w:t>
      </w:r>
      <w:r>
        <w:rPr>
          <w:rFonts w:hint="eastAsia" w:ascii="宋体" w:hAnsi="宋体" w:cs="宋体"/>
          <w:szCs w:val="21"/>
        </w:rPr>
        <w:t>日至2020年</w:t>
      </w:r>
      <w:r>
        <w:rPr>
          <w:rFonts w:hint="eastAsia" w:ascii="宋体" w:hAnsi="宋体" w:cs="宋体"/>
          <w:szCs w:val="21"/>
          <w:lang w:val="en-US" w:eastAsia="zh-CN"/>
        </w:rPr>
        <w:t>12</w:t>
      </w:r>
      <w:r>
        <w:rPr>
          <w:rFonts w:hint="eastAsia" w:ascii="宋体" w:hAnsi="宋体" w:cs="宋体"/>
          <w:szCs w:val="21"/>
        </w:rPr>
        <w:t>月</w:t>
      </w:r>
      <w:r>
        <w:rPr>
          <w:rFonts w:hint="eastAsia" w:ascii="宋体" w:hAnsi="宋体" w:cs="宋体"/>
          <w:szCs w:val="21"/>
          <w:lang w:val="en-US" w:eastAsia="zh-CN"/>
        </w:rPr>
        <w:t>12</w:t>
      </w:r>
      <w:r>
        <w:rPr>
          <w:rFonts w:hint="eastAsia" w:ascii="宋体" w:hAnsi="宋体" w:cs="宋体"/>
          <w:szCs w:val="21"/>
        </w:rPr>
        <w:t>日。</w:t>
      </w:r>
    </w:p>
    <w:p>
      <w:pPr>
        <w:spacing w:line="360" w:lineRule="auto"/>
        <w:ind w:firstLine="420" w:firstLineChars="200"/>
        <w:rPr>
          <w:rFonts w:ascii="宋体" w:hAnsi="宋体" w:cs="宋体"/>
          <w:szCs w:val="21"/>
        </w:rPr>
      </w:pPr>
      <w:r>
        <w:rPr>
          <w:rFonts w:hint="eastAsia" w:ascii="宋体" w:hAnsi="宋体" w:cs="宋体"/>
          <w:szCs w:val="21"/>
        </w:rPr>
        <w:t>八、</w:t>
      </w:r>
      <w:r>
        <w:rPr>
          <w:rFonts w:hint="eastAsia" w:ascii="宋体" w:hAnsi="宋体" w:cs="宋体"/>
        </w:rPr>
        <w:t>响应文件递交</w:t>
      </w:r>
      <w:r>
        <w:rPr>
          <w:rFonts w:hint="eastAsia" w:ascii="宋体" w:hAnsi="宋体" w:cs="宋体"/>
          <w:szCs w:val="21"/>
        </w:rPr>
        <w:t>截止时间和地点：</w:t>
      </w:r>
    </w:p>
    <w:p>
      <w:pPr>
        <w:spacing w:line="360" w:lineRule="auto"/>
        <w:ind w:firstLine="420" w:firstLineChars="200"/>
        <w:rPr>
          <w:rFonts w:ascii="宋体" w:hAnsi="宋体" w:cs="宋体"/>
          <w:szCs w:val="21"/>
        </w:rPr>
      </w:pPr>
      <w:r>
        <w:rPr>
          <w:rFonts w:hint="eastAsia" w:ascii="宋体" w:hAnsi="宋体" w:cs="宋体"/>
          <w:szCs w:val="21"/>
        </w:rPr>
        <w:t>响应文件递交截止时间：2020年</w:t>
      </w:r>
      <w:r>
        <w:rPr>
          <w:rFonts w:hint="eastAsia" w:ascii="宋体" w:hAnsi="宋体" w:cs="宋体"/>
          <w:szCs w:val="21"/>
          <w:lang w:val="en-US" w:eastAsia="zh-CN"/>
        </w:rPr>
        <w:t>12</w:t>
      </w:r>
      <w:r>
        <w:rPr>
          <w:rFonts w:hint="eastAsia" w:ascii="宋体" w:hAnsi="宋体" w:cs="宋体"/>
          <w:szCs w:val="21"/>
        </w:rPr>
        <w:t>月</w:t>
      </w:r>
      <w:r>
        <w:rPr>
          <w:rFonts w:hint="eastAsia" w:ascii="宋体" w:hAnsi="宋体" w:cs="宋体"/>
          <w:szCs w:val="21"/>
          <w:lang w:val="en-US" w:eastAsia="zh-CN"/>
        </w:rPr>
        <w:t>18</w:t>
      </w:r>
      <w:r>
        <w:rPr>
          <w:rFonts w:hint="eastAsia" w:ascii="宋体" w:hAnsi="宋体" w:cs="宋体"/>
          <w:szCs w:val="21"/>
        </w:rPr>
        <w:t xml:space="preserve"> 日上午</w:t>
      </w:r>
      <w:r>
        <w:rPr>
          <w:rFonts w:hint="eastAsia" w:ascii="宋体" w:hAnsi="宋体" w:cs="宋体"/>
          <w:szCs w:val="21"/>
          <w:lang w:val="en-US" w:eastAsia="zh-CN"/>
        </w:rPr>
        <w:t>10</w:t>
      </w:r>
      <w:r>
        <w:rPr>
          <w:rFonts w:hint="eastAsia" w:ascii="宋体" w:hAnsi="宋体" w:cs="宋体"/>
          <w:szCs w:val="21"/>
        </w:rPr>
        <w:t>时30分</w:t>
      </w:r>
    </w:p>
    <w:p>
      <w:pPr>
        <w:spacing w:line="360" w:lineRule="auto"/>
        <w:ind w:firstLine="420" w:firstLineChars="200"/>
        <w:rPr>
          <w:rFonts w:ascii="宋体" w:hAnsi="宋体" w:cs="宋体"/>
          <w:szCs w:val="21"/>
        </w:rPr>
      </w:pPr>
      <w:r>
        <w:rPr>
          <w:rFonts w:hint="eastAsia" w:ascii="宋体" w:hAnsi="宋体" w:cs="宋体"/>
          <w:szCs w:val="21"/>
        </w:rPr>
        <w:t>供应商应于2020年</w:t>
      </w:r>
      <w:r>
        <w:rPr>
          <w:rFonts w:hint="eastAsia" w:ascii="宋体" w:hAnsi="宋体" w:cs="宋体"/>
          <w:szCs w:val="21"/>
          <w:lang w:val="en-US" w:eastAsia="zh-CN"/>
        </w:rPr>
        <w:t>12</w:t>
      </w:r>
      <w:r>
        <w:rPr>
          <w:rFonts w:hint="eastAsia" w:ascii="宋体" w:hAnsi="宋体" w:cs="宋体"/>
          <w:szCs w:val="21"/>
        </w:rPr>
        <w:t>月</w:t>
      </w:r>
      <w:r>
        <w:rPr>
          <w:rFonts w:hint="eastAsia" w:ascii="宋体" w:hAnsi="宋体" w:cs="宋体"/>
          <w:szCs w:val="21"/>
          <w:lang w:val="en-US" w:eastAsia="zh-CN"/>
        </w:rPr>
        <w:t>18</w:t>
      </w:r>
      <w:r>
        <w:rPr>
          <w:rFonts w:hint="eastAsia" w:ascii="宋体" w:hAnsi="宋体" w:cs="宋体"/>
          <w:szCs w:val="21"/>
        </w:rPr>
        <w:t>日</w:t>
      </w:r>
      <w:r>
        <w:rPr>
          <w:rFonts w:hint="eastAsia" w:ascii="宋体" w:hAnsi="宋体" w:cs="宋体"/>
          <w:szCs w:val="21"/>
          <w:lang w:val="en-US" w:eastAsia="zh-CN"/>
        </w:rPr>
        <w:t>10</w:t>
      </w:r>
      <w:r>
        <w:rPr>
          <w:rFonts w:hint="eastAsia" w:ascii="宋体" w:hAnsi="宋体" w:cs="宋体"/>
          <w:szCs w:val="21"/>
        </w:rPr>
        <w:t>时00分至</w:t>
      </w:r>
      <w:r>
        <w:rPr>
          <w:rFonts w:hint="eastAsia" w:ascii="宋体" w:hAnsi="宋体" w:cs="宋体"/>
          <w:szCs w:val="21"/>
          <w:lang w:val="en-US" w:eastAsia="zh-CN"/>
        </w:rPr>
        <w:t>10</w:t>
      </w:r>
      <w:r>
        <w:rPr>
          <w:rFonts w:hint="eastAsia" w:ascii="宋体" w:hAnsi="宋体" w:cs="宋体"/>
          <w:szCs w:val="21"/>
        </w:rPr>
        <w:t>时30分，将响应文件密封提交至桂林市公共资源交易中心</w:t>
      </w:r>
      <w:r>
        <w:rPr>
          <w:rFonts w:hint="eastAsia" w:ascii="宋体" w:hAnsi="宋体" w:cs="宋体"/>
          <w:szCs w:val="21"/>
          <w:lang w:val="en-US" w:eastAsia="zh-CN"/>
        </w:rPr>
        <w:t>14</w:t>
      </w:r>
      <w:r>
        <w:rPr>
          <w:rFonts w:hint="eastAsia" w:ascii="宋体" w:hAnsi="宋体" w:cs="宋体"/>
          <w:szCs w:val="21"/>
        </w:rPr>
        <w:t>号开标室（广西桂林市临桂区西城中路69号创业大厦西辅楼4楼北区），逾期送达的或未送达指定地点的响应文件将予以拒收。</w:t>
      </w:r>
    </w:p>
    <w:p>
      <w:pPr>
        <w:spacing w:line="360" w:lineRule="auto"/>
        <w:ind w:firstLine="420" w:firstLineChars="200"/>
        <w:rPr>
          <w:rFonts w:ascii="宋体" w:hAnsi="宋体" w:cs="宋体"/>
          <w:szCs w:val="21"/>
        </w:rPr>
      </w:pPr>
      <w:r>
        <w:rPr>
          <w:rFonts w:hint="eastAsia" w:ascii="宋体" w:hAnsi="宋体" w:cs="宋体"/>
          <w:szCs w:val="21"/>
        </w:rPr>
        <w:t>九、磋商时间及地点：</w:t>
      </w:r>
    </w:p>
    <w:p>
      <w:pPr>
        <w:spacing w:line="360" w:lineRule="auto"/>
        <w:ind w:firstLine="420" w:firstLineChars="200"/>
        <w:rPr>
          <w:rFonts w:ascii="宋体" w:hAnsi="宋体" w:cs="宋体"/>
          <w:szCs w:val="21"/>
        </w:rPr>
      </w:pPr>
      <w:r>
        <w:rPr>
          <w:rFonts w:hint="eastAsia" w:ascii="宋体" w:hAnsi="宋体" w:cs="宋体"/>
          <w:szCs w:val="21"/>
        </w:rPr>
        <w:t>响应文件递交截止时间后为磋商小组与磋商供应商磋商时间，具体时间由采购代理机构另行通知。地点：桂林市公共资源交易中心（广西桂林市临桂区西城中路69号创业大厦西辅楼4楼北区）。参加磋商的法定代表人、负责人、自然人或相应的委托代理人必须持有效证件【法定代表人（负责人、自然人）凭身份证或相应的委托代理人凭授权委托书原件和身份证】</w:t>
      </w:r>
      <w:r>
        <w:rPr>
          <w:rFonts w:hint="eastAsia" w:ascii="宋体" w:hAnsi="宋体" w:cs="宋体"/>
          <w:szCs w:val="21"/>
          <w:lang w:eastAsia="zh-CN"/>
        </w:rPr>
        <w:t>准</w:t>
      </w:r>
      <w:bookmarkStart w:id="29" w:name="_GoBack"/>
      <w:bookmarkEnd w:id="29"/>
      <w:r>
        <w:rPr>
          <w:rFonts w:hint="eastAsia" w:ascii="宋体" w:hAnsi="宋体" w:cs="宋体"/>
          <w:szCs w:val="21"/>
        </w:rPr>
        <w:t>时到达指定地点等候当面磋商。</w:t>
      </w:r>
    </w:p>
    <w:p>
      <w:pPr>
        <w:spacing w:line="360" w:lineRule="auto"/>
        <w:ind w:firstLine="420" w:firstLineChars="200"/>
        <w:rPr>
          <w:rFonts w:ascii="宋体" w:hAnsi="宋体" w:cs="宋体"/>
          <w:szCs w:val="21"/>
        </w:rPr>
      </w:pPr>
      <w:r>
        <w:rPr>
          <w:rFonts w:hint="eastAsia" w:ascii="宋体" w:hAnsi="宋体" w:cs="宋体"/>
          <w:szCs w:val="21"/>
        </w:rPr>
        <w:t>响应文件递交截止时间后，磋商小组在评标室启封响应文件。</w:t>
      </w:r>
    </w:p>
    <w:p>
      <w:pPr>
        <w:spacing w:line="360" w:lineRule="auto"/>
        <w:ind w:firstLine="420" w:firstLineChars="200"/>
        <w:rPr>
          <w:rFonts w:ascii="宋体" w:hAnsi="宋体" w:cs="宋体"/>
          <w:szCs w:val="21"/>
        </w:rPr>
      </w:pPr>
      <w:r>
        <w:rPr>
          <w:rFonts w:hint="eastAsia" w:ascii="宋体" w:hAnsi="宋体" w:cs="宋体"/>
          <w:szCs w:val="21"/>
        </w:rPr>
        <w:t>十、电子磋商文件查询及下载网址： 桂林市公共资源交易中心网、桂林市政府采购网。</w:t>
      </w:r>
    </w:p>
    <w:p>
      <w:pPr>
        <w:spacing w:line="360" w:lineRule="auto"/>
        <w:ind w:firstLine="420" w:firstLineChars="200"/>
        <w:rPr>
          <w:rFonts w:ascii="宋体" w:hAnsi="宋体" w:cs="宋体"/>
          <w:szCs w:val="21"/>
        </w:rPr>
      </w:pPr>
      <w:r>
        <w:rPr>
          <w:rFonts w:hint="eastAsia" w:ascii="宋体" w:hAnsi="宋体" w:cs="宋体"/>
          <w:szCs w:val="21"/>
        </w:rPr>
        <w:t>十一、信息公告发布媒体：中国政府采购网、广西政府采购网、桂林市政府采购网、桂林市公共资源交易中心网。</w:t>
      </w:r>
    </w:p>
    <w:p>
      <w:pPr>
        <w:spacing w:line="360" w:lineRule="auto"/>
        <w:ind w:firstLine="420" w:firstLineChars="200"/>
        <w:rPr>
          <w:rFonts w:ascii="宋体" w:hAnsi="宋体" w:cs="宋体"/>
          <w:szCs w:val="21"/>
        </w:rPr>
      </w:pPr>
      <w:r>
        <w:rPr>
          <w:rFonts w:hint="eastAsia" w:ascii="宋体" w:hAnsi="宋体" w:cs="宋体"/>
          <w:szCs w:val="21"/>
        </w:rPr>
        <w:t>十二、本次项目联系事项：</w:t>
      </w:r>
    </w:p>
    <w:p>
      <w:pPr>
        <w:spacing w:line="360" w:lineRule="auto"/>
        <w:ind w:firstLine="420" w:firstLineChars="200"/>
        <w:rPr>
          <w:rFonts w:ascii="宋体" w:hAnsi="宋体" w:cs="宋体"/>
          <w:szCs w:val="21"/>
        </w:rPr>
      </w:pPr>
      <w:r>
        <w:rPr>
          <w:rFonts w:hint="eastAsia" w:ascii="宋体" w:hAnsi="宋体" w:cs="宋体"/>
          <w:szCs w:val="21"/>
        </w:rPr>
        <w:t>1.采购人名称：桂林市秀峰区民政局</w:t>
      </w:r>
    </w:p>
    <w:p>
      <w:pPr>
        <w:spacing w:line="360" w:lineRule="auto"/>
        <w:ind w:firstLine="420" w:firstLineChars="200"/>
        <w:rPr>
          <w:rFonts w:ascii="宋体" w:hAnsi="宋体" w:cs="宋体"/>
          <w:szCs w:val="21"/>
        </w:rPr>
      </w:pPr>
      <w:r>
        <w:rPr>
          <w:rFonts w:hint="eastAsia" w:ascii="宋体" w:hAnsi="宋体" w:cs="宋体"/>
          <w:szCs w:val="21"/>
        </w:rPr>
        <w:t xml:space="preserve">   地址：桂林市秀峰区中隐路 31 号</w:t>
      </w:r>
    </w:p>
    <w:p>
      <w:pPr>
        <w:spacing w:line="360" w:lineRule="auto"/>
        <w:ind w:firstLine="420" w:firstLineChars="200"/>
        <w:rPr>
          <w:rFonts w:ascii="宋体" w:hAnsi="宋体" w:cs="宋体"/>
          <w:szCs w:val="21"/>
        </w:rPr>
      </w:pPr>
      <w:r>
        <w:rPr>
          <w:rFonts w:hint="eastAsia" w:ascii="宋体" w:hAnsi="宋体" w:cs="宋体"/>
          <w:szCs w:val="21"/>
        </w:rPr>
        <w:t xml:space="preserve">   联系人及电话:徐工</w:t>
      </w:r>
      <w:r>
        <w:rPr>
          <w:rFonts w:hint="eastAsia" w:ascii="宋体" w:hAnsi="宋体" w:cs="宋体"/>
          <w:szCs w:val="21"/>
        </w:rPr>
        <w:tab/>
      </w:r>
      <w:r>
        <w:rPr>
          <w:rFonts w:hint="eastAsia" w:ascii="宋体" w:hAnsi="宋体" w:cs="宋体"/>
          <w:szCs w:val="21"/>
        </w:rPr>
        <w:t>0773-6760612</w:t>
      </w:r>
    </w:p>
    <w:p>
      <w:pPr>
        <w:spacing w:line="360" w:lineRule="auto"/>
        <w:ind w:firstLine="420" w:firstLineChars="200"/>
        <w:rPr>
          <w:rFonts w:ascii="宋体" w:hAnsi="宋体" w:cs="宋体"/>
          <w:szCs w:val="21"/>
        </w:rPr>
      </w:pPr>
      <w:r>
        <w:rPr>
          <w:rFonts w:hint="eastAsia" w:ascii="宋体" w:hAnsi="宋体" w:cs="宋体"/>
          <w:szCs w:val="21"/>
        </w:rPr>
        <w:t>2.采购代理机构名称：广西同泽工程项目管理股份有限公司</w:t>
      </w:r>
    </w:p>
    <w:p>
      <w:pPr>
        <w:spacing w:line="360" w:lineRule="auto"/>
        <w:ind w:firstLine="420" w:firstLineChars="200"/>
        <w:rPr>
          <w:rFonts w:ascii="宋体" w:hAnsi="宋体" w:cs="宋体"/>
          <w:szCs w:val="21"/>
        </w:rPr>
      </w:pPr>
      <w:r>
        <w:rPr>
          <w:rFonts w:hint="eastAsia" w:ascii="宋体" w:hAnsi="宋体" w:cs="宋体"/>
          <w:szCs w:val="21"/>
        </w:rPr>
        <w:t>地址：桂林市秀峰区中隐路31号B栋五楼</w:t>
      </w:r>
    </w:p>
    <w:p>
      <w:pPr>
        <w:spacing w:line="360" w:lineRule="auto"/>
        <w:ind w:firstLine="420" w:firstLineChars="200"/>
        <w:rPr>
          <w:rFonts w:ascii="宋体" w:hAnsi="宋体" w:cs="宋体"/>
          <w:szCs w:val="21"/>
        </w:rPr>
      </w:pPr>
      <w:r>
        <w:rPr>
          <w:rFonts w:hint="eastAsia" w:ascii="宋体" w:hAnsi="宋体" w:cs="宋体"/>
          <w:szCs w:val="21"/>
        </w:rPr>
        <w:t>联系人及电话：秦敏      0773-7595050</w:t>
      </w:r>
    </w:p>
    <w:p>
      <w:pPr>
        <w:spacing w:line="360" w:lineRule="auto"/>
        <w:ind w:firstLine="420" w:firstLineChars="200"/>
        <w:rPr>
          <w:rFonts w:ascii="宋体" w:hAnsi="宋体" w:cs="宋体"/>
          <w:szCs w:val="21"/>
        </w:rPr>
      </w:pPr>
      <w:r>
        <w:rPr>
          <w:rFonts w:hint="eastAsia" w:ascii="宋体" w:hAnsi="宋体" w:cs="宋体"/>
          <w:szCs w:val="21"/>
        </w:rPr>
        <w:t>3.政府采购监督管理机构：桂林市秀峰区政府采购管理办公室  联系电话：0773-8990786</w:t>
      </w:r>
      <w:r>
        <w:rPr>
          <w:rFonts w:hint="eastAsia" w:ascii="宋体" w:hAnsi="宋体" w:cs="宋体"/>
          <w:szCs w:val="21"/>
        </w:rPr>
        <w:tab/>
      </w:r>
    </w:p>
    <w:p>
      <w:pPr>
        <w:spacing w:line="380" w:lineRule="exact"/>
        <w:jc w:val="right"/>
        <w:rPr>
          <w:rFonts w:ascii="宋体" w:hAnsi="宋体" w:cs="宋体"/>
          <w:szCs w:val="21"/>
        </w:rPr>
      </w:pPr>
      <w:r>
        <w:rPr>
          <w:rFonts w:hint="eastAsia" w:ascii="宋体" w:hAnsi="宋体" w:cs="宋体"/>
          <w:szCs w:val="21"/>
        </w:rPr>
        <w:t>广西同泽工程项目管理股份有限公司</w:t>
      </w:r>
    </w:p>
    <w:p>
      <w:pPr>
        <w:spacing w:line="440" w:lineRule="exact"/>
        <w:jc w:val="center"/>
        <w:rPr>
          <w:rFonts w:ascii="宋体" w:hAnsi="宋体" w:cs="宋体"/>
          <w:color w:val="0000FF"/>
          <w:szCs w:val="21"/>
        </w:rPr>
      </w:pPr>
      <w:r>
        <w:rPr>
          <w:rFonts w:hint="eastAsia" w:ascii="宋体" w:hAnsi="宋体" w:cs="宋体"/>
          <w:szCs w:val="21"/>
        </w:rPr>
        <w:t xml:space="preserve">                                                2020年12月 </w:t>
      </w:r>
      <w:r>
        <w:rPr>
          <w:rFonts w:hint="eastAsia" w:ascii="宋体" w:hAnsi="宋体" w:cs="宋体"/>
          <w:szCs w:val="21"/>
          <w:lang w:val="en-US" w:eastAsia="zh-CN"/>
        </w:rPr>
        <w:t>7</w:t>
      </w:r>
      <w:r>
        <w:rPr>
          <w:rFonts w:hint="eastAsia" w:ascii="宋体" w:hAnsi="宋体" w:cs="宋体"/>
          <w:szCs w:val="21"/>
        </w:rPr>
        <w:t xml:space="preserve"> 日</w:t>
      </w:r>
      <w:r>
        <w:rPr>
          <w:rFonts w:hint="eastAsia" w:ascii="宋体" w:hAnsi="宋体" w:cs="宋体"/>
          <w:color w:val="0000FF"/>
          <w:szCs w:val="21"/>
        </w:rPr>
        <w:br w:type="page"/>
      </w:r>
      <w:bookmarkStart w:id="6" w:name="_Toc27627"/>
    </w:p>
    <w:p>
      <w:pPr>
        <w:spacing w:line="440" w:lineRule="exact"/>
        <w:jc w:val="center"/>
        <w:outlineLvl w:val="0"/>
        <w:rPr>
          <w:rFonts w:ascii="宋体" w:hAnsi="宋体" w:cs="宋体"/>
        </w:rPr>
      </w:pPr>
      <w:r>
        <w:rPr>
          <w:rFonts w:hint="eastAsia" w:ascii="宋体" w:hAnsi="宋体" w:cs="宋体"/>
          <w:b/>
          <w:bCs/>
          <w:kern w:val="44"/>
          <w:sz w:val="44"/>
          <w:szCs w:val="44"/>
        </w:rPr>
        <w:t>第二章   供应商须知</w:t>
      </w:r>
      <w:bookmarkEnd w:id="1"/>
      <w:bookmarkEnd w:id="6"/>
    </w:p>
    <w:p>
      <w:pPr>
        <w:tabs>
          <w:tab w:val="left" w:pos="1065"/>
          <w:tab w:val="center" w:pos="4411"/>
        </w:tabs>
        <w:spacing w:line="440" w:lineRule="exact"/>
        <w:jc w:val="center"/>
        <w:rPr>
          <w:rFonts w:ascii="宋体" w:hAnsi="宋体" w:cs="宋体"/>
          <w:b/>
          <w:sz w:val="24"/>
        </w:rPr>
      </w:pPr>
      <w:r>
        <w:rPr>
          <w:rFonts w:hint="eastAsia" w:ascii="宋体" w:hAnsi="宋体" w:cs="宋体"/>
          <w:b/>
          <w:sz w:val="24"/>
        </w:rPr>
        <w:t>供 应 商 须 知 前 附 表</w:t>
      </w:r>
    </w:p>
    <w:tbl>
      <w:tblPr>
        <w:tblStyle w:val="24"/>
        <w:tblW w:w="10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675"/>
        <w:gridCol w:w="1635"/>
        <w:gridCol w:w="7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532" w:type="dxa"/>
            <w:vAlign w:val="center"/>
          </w:tcPr>
          <w:p>
            <w:pPr>
              <w:spacing w:line="420" w:lineRule="exact"/>
              <w:jc w:val="center"/>
              <w:rPr>
                <w:rFonts w:ascii="宋体" w:hAnsi="宋体" w:cs="宋体"/>
                <w:szCs w:val="21"/>
              </w:rPr>
            </w:pPr>
            <w:r>
              <w:rPr>
                <w:rFonts w:hint="eastAsia" w:ascii="宋体" w:hAnsi="宋体" w:cs="宋体"/>
                <w:szCs w:val="21"/>
              </w:rPr>
              <w:t>序号</w:t>
            </w:r>
          </w:p>
        </w:tc>
        <w:tc>
          <w:tcPr>
            <w:tcW w:w="675" w:type="dxa"/>
            <w:vAlign w:val="center"/>
          </w:tcPr>
          <w:p>
            <w:pPr>
              <w:spacing w:line="360" w:lineRule="exact"/>
              <w:jc w:val="center"/>
              <w:rPr>
                <w:rFonts w:ascii="宋体" w:hAnsi="宋体" w:cs="宋体"/>
                <w:szCs w:val="21"/>
              </w:rPr>
            </w:pPr>
            <w:r>
              <w:rPr>
                <w:rFonts w:hint="eastAsia" w:ascii="宋体" w:hAnsi="宋体" w:cs="宋体"/>
                <w:szCs w:val="21"/>
              </w:rPr>
              <w:t>条款号</w:t>
            </w:r>
          </w:p>
        </w:tc>
        <w:tc>
          <w:tcPr>
            <w:tcW w:w="1635" w:type="dxa"/>
            <w:vAlign w:val="center"/>
          </w:tcPr>
          <w:p>
            <w:pPr>
              <w:spacing w:line="360" w:lineRule="exact"/>
              <w:jc w:val="center"/>
              <w:rPr>
                <w:rFonts w:ascii="宋体" w:hAnsi="宋体" w:cs="宋体"/>
                <w:szCs w:val="21"/>
              </w:rPr>
            </w:pPr>
            <w:r>
              <w:rPr>
                <w:rFonts w:hint="eastAsia" w:ascii="宋体" w:hAnsi="宋体" w:cs="宋体"/>
                <w:szCs w:val="21"/>
              </w:rPr>
              <w:t>条款名称</w:t>
            </w:r>
          </w:p>
        </w:tc>
        <w:tc>
          <w:tcPr>
            <w:tcW w:w="7596" w:type="dxa"/>
            <w:vAlign w:val="center"/>
          </w:tcPr>
          <w:p>
            <w:pPr>
              <w:spacing w:line="360" w:lineRule="exact"/>
              <w:jc w:val="center"/>
              <w:rPr>
                <w:rFonts w:ascii="宋体" w:hAnsi="宋体" w:cs="宋体"/>
                <w:szCs w:val="21"/>
              </w:rPr>
            </w:pPr>
            <w:r>
              <w:rPr>
                <w:rFonts w:hint="eastAsia" w:ascii="宋体" w:hAnsi="宋体" w:cs="宋体"/>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32" w:type="dxa"/>
            <w:vAlign w:val="center"/>
          </w:tcPr>
          <w:p>
            <w:pPr>
              <w:spacing w:line="400" w:lineRule="exact"/>
              <w:jc w:val="center"/>
              <w:rPr>
                <w:rFonts w:ascii="宋体" w:hAnsi="宋体" w:cs="宋体"/>
                <w:szCs w:val="21"/>
              </w:rPr>
            </w:pPr>
            <w:r>
              <w:rPr>
                <w:rFonts w:hint="eastAsia" w:ascii="宋体" w:hAnsi="宋体" w:cs="宋体"/>
                <w:szCs w:val="21"/>
              </w:rPr>
              <w:t>1</w:t>
            </w:r>
          </w:p>
        </w:tc>
        <w:tc>
          <w:tcPr>
            <w:tcW w:w="675" w:type="dxa"/>
            <w:vAlign w:val="center"/>
          </w:tcPr>
          <w:p>
            <w:pPr>
              <w:spacing w:line="360" w:lineRule="exact"/>
              <w:jc w:val="center"/>
              <w:rPr>
                <w:rFonts w:ascii="宋体" w:hAnsi="宋体" w:cs="宋体"/>
                <w:szCs w:val="21"/>
              </w:rPr>
            </w:pPr>
            <w:r>
              <w:rPr>
                <w:rFonts w:hint="eastAsia" w:ascii="宋体" w:hAnsi="宋体" w:cs="宋体"/>
                <w:szCs w:val="21"/>
              </w:rPr>
              <w:t>1.1</w:t>
            </w:r>
          </w:p>
        </w:tc>
        <w:tc>
          <w:tcPr>
            <w:tcW w:w="1635" w:type="dxa"/>
            <w:vAlign w:val="center"/>
          </w:tcPr>
          <w:p>
            <w:pPr>
              <w:spacing w:line="240" w:lineRule="exact"/>
              <w:jc w:val="center"/>
              <w:rPr>
                <w:rFonts w:ascii="宋体" w:hAnsi="宋体" w:cs="宋体"/>
                <w:szCs w:val="21"/>
              </w:rPr>
            </w:pPr>
            <w:r>
              <w:rPr>
                <w:rFonts w:hint="eastAsia" w:ascii="宋体" w:hAnsi="宋体" w:cs="宋体"/>
                <w:szCs w:val="21"/>
              </w:rPr>
              <w:t>项目名称及项目编号</w:t>
            </w:r>
          </w:p>
        </w:tc>
        <w:tc>
          <w:tcPr>
            <w:tcW w:w="7596" w:type="dxa"/>
            <w:vAlign w:val="center"/>
          </w:tcPr>
          <w:p>
            <w:pPr>
              <w:spacing w:line="340" w:lineRule="exact"/>
              <w:jc w:val="left"/>
              <w:rPr>
                <w:rFonts w:ascii="宋体" w:hAnsi="宋体" w:cs="宋体"/>
              </w:rPr>
            </w:pPr>
            <w:r>
              <w:rPr>
                <w:rFonts w:hint="eastAsia" w:ascii="宋体" w:hAnsi="宋体" w:cs="宋体"/>
              </w:rPr>
              <w:t>项目名称：社会救助及特困人员开展入户核查评估服务采购</w:t>
            </w:r>
          </w:p>
          <w:p>
            <w:pPr>
              <w:spacing w:line="340" w:lineRule="exact"/>
              <w:jc w:val="left"/>
              <w:rPr>
                <w:rFonts w:ascii="宋体" w:hAnsi="宋体" w:cs="宋体"/>
              </w:rPr>
            </w:pPr>
            <w:r>
              <w:rPr>
                <w:rFonts w:hint="eastAsia" w:ascii="宋体" w:hAnsi="宋体" w:cs="宋体"/>
              </w:rPr>
              <w:t>项目编号：GLZC2020-C3-990545-GXTZ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532" w:type="dxa"/>
            <w:vAlign w:val="center"/>
          </w:tcPr>
          <w:p>
            <w:pPr>
              <w:spacing w:line="400" w:lineRule="exact"/>
              <w:jc w:val="center"/>
              <w:rPr>
                <w:rFonts w:ascii="宋体" w:hAnsi="宋体" w:cs="宋体"/>
                <w:szCs w:val="21"/>
              </w:rPr>
            </w:pPr>
            <w:r>
              <w:rPr>
                <w:rFonts w:hint="eastAsia" w:ascii="宋体" w:hAnsi="宋体" w:cs="宋体"/>
                <w:szCs w:val="21"/>
              </w:rPr>
              <w:t>2</w:t>
            </w:r>
          </w:p>
        </w:tc>
        <w:tc>
          <w:tcPr>
            <w:tcW w:w="675" w:type="dxa"/>
            <w:vAlign w:val="center"/>
          </w:tcPr>
          <w:p>
            <w:pPr>
              <w:spacing w:line="360" w:lineRule="exact"/>
              <w:jc w:val="center"/>
              <w:rPr>
                <w:rFonts w:ascii="宋体" w:hAnsi="宋体" w:cs="宋体"/>
                <w:szCs w:val="21"/>
              </w:rPr>
            </w:pPr>
            <w:r>
              <w:rPr>
                <w:rFonts w:hint="eastAsia" w:ascii="宋体" w:hAnsi="宋体" w:cs="宋体"/>
                <w:szCs w:val="21"/>
              </w:rPr>
              <w:t>3</w:t>
            </w:r>
          </w:p>
        </w:tc>
        <w:tc>
          <w:tcPr>
            <w:tcW w:w="1635" w:type="dxa"/>
            <w:vAlign w:val="center"/>
          </w:tcPr>
          <w:p>
            <w:pPr>
              <w:spacing w:line="240" w:lineRule="exact"/>
              <w:jc w:val="center"/>
              <w:rPr>
                <w:rFonts w:ascii="宋体" w:hAnsi="宋体" w:cs="宋体"/>
                <w:color w:val="auto"/>
                <w:szCs w:val="21"/>
              </w:rPr>
            </w:pPr>
            <w:r>
              <w:rPr>
                <w:rFonts w:hint="eastAsia" w:ascii="宋体" w:hAnsi="宋体" w:cs="宋体"/>
                <w:color w:val="auto"/>
                <w:szCs w:val="21"/>
              </w:rPr>
              <w:t>供应商资格要求</w:t>
            </w:r>
          </w:p>
        </w:tc>
        <w:tc>
          <w:tcPr>
            <w:tcW w:w="7596" w:type="dxa"/>
            <w:vAlign w:val="center"/>
          </w:tcPr>
          <w:p>
            <w:pPr>
              <w:rPr>
                <w:rFonts w:ascii="宋体" w:hAnsi="宋体" w:cs="宋体"/>
                <w:color w:val="auto"/>
                <w:szCs w:val="21"/>
              </w:rPr>
            </w:pPr>
            <w:r>
              <w:rPr>
                <w:rFonts w:hint="eastAsia" w:ascii="宋体" w:hAnsi="宋体" w:cs="宋体"/>
                <w:color w:val="auto"/>
                <w:szCs w:val="21"/>
              </w:rPr>
              <w:t>1.符合《中华人民共和国政府采购法》第二十二条规定，具备合法资格的供应商；</w:t>
            </w:r>
          </w:p>
          <w:p>
            <w:pPr>
              <w:rPr>
                <w:rFonts w:ascii="宋体" w:hAnsi="宋体" w:cs="宋体"/>
                <w:color w:val="auto"/>
                <w:szCs w:val="21"/>
              </w:rPr>
            </w:pPr>
            <w:r>
              <w:rPr>
                <w:rFonts w:hint="eastAsia" w:ascii="宋体" w:hAnsi="宋体" w:cs="宋体"/>
                <w:color w:val="auto"/>
                <w:szCs w:val="21"/>
              </w:rPr>
              <w:t>2.</w:t>
            </w:r>
            <w:r>
              <w:rPr>
                <w:color w:val="auto"/>
              </w:rPr>
              <w:t>供应商有固定的办公场所、项目负责人、专职工作人员，项目负责人必须为中级以上（含中级）社会工作师并按照国家政策缴纳社保；</w:t>
            </w:r>
          </w:p>
          <w:p>
            <w:pPr>
              <w:rPr>
                <w:rFonts w:ascii="宋体" w:hAnsi="宋体" w:cs="宋体"/>
                <w:color w:val="auto"/>
                <w:szCs w:val="21"/>
              </w:rPr>
            </w:pPr>
            <w:r>
              <w:rPr>
                <w:rFonts w:hint="eastAsia" w:ascii="宋体" w:hAnsi="宋体" w:cs="宋体"/>
                <w:color w:val="auto"/>
                <w:szCs w:val="21"/>
              </w:rPr>
              <w:t>3.专职工作人员至少2人以上具有大专以上学历；</w:t>
            </w:r>
          </w:p>
          <w:p>
            <w:pPr>
              <w:rPr>
                <w:rFonts w:ascii="宋体" w:hAnsi="宋体" w:cs="宋体"/>
                <w:color w:val="auto"/>
                <w:szCs w:val="21"/>
              </w:rPr>
            </w:pPr>
            <w:r>
              <w:rPr>
                <w:rFonts w:hint="eastAsia" w:ascii="宋体" w:hAnsi="宋体" w:cs="宋体"/>
                <w:color w:val="auto"/>
                <w:szCs w:val="21"/>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rPr>
                <w:rFonts w:ascii="宋体" w:hAnsi="宋体" w:cs="宋体"/>
                <w:color w:val="auto"/>
              </w:rPr>
            </w:pPr>
            <w:r>
              <w:rPr>
                <w:rFonts w:hint="eastAsia" w:ascii="宋体" w:hAnsi="宋体" w:cs="宋体"/>
                <w:color w:val="auto"/>
                <w:szCs w:val="21"/>
              </w:rPr>
              <w:t>5.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532" w:type="dxa"/>
            <w:vAlign w:val="center"/>
          </w:tcPr>
          <w:p>
            <w:pPr>
              <w:spacing w:line="400" w:lineRule="exact"/>
              <w:jc w:val="center"/>
              <w:rPr>
                <w:rFonts w:ascii="宋体" w:hAnsi="宋体" w:cs="宋体"/>
                <w:szCs w:val="21"/>
              </w:rPr>
            </w:pPr>
            <w:r>
              <w:rPr>
                <w:rFonts w:hint="eastAsia" w:ascii="宋体" w:hAnsi="宋体" w:cs="宋体"/>
                <w:szCs w:val="21"/>
              </w:rPr>
              <w:t>3</w:t>
            </w:r>
          </w:p>
        </w:tc>
        <w:tc>
          <w:tcPr>
            <w:tcW w:w="675" w:type="dxa"/>
            <w:vAlign w:val="center"/>
          </w:tcPr>
          <w:p>
            <w:pPr>
              <w:spacing w:line="360" w:lineRule="exact"/>
              <w:jc w:val="center"/>
              <w:rPr>
                <w:rFonts w:ascii="宋体" w:hAnsi="宋体" w:cs="宋体"/>
                <w:szCs w:val="21"/>
              </w:rPr>
            </w:pPr>
            <w:r>
              <w:rPr>
                <w:rFonts w:hint="eastAsia" w:ascii="宋体" w:hAnsi="宋体" w:cs="宋体"/>
                <w:szCs w:val="21"/>
              </w:rPr>
              <w:t>4</w:t>
            </w:r>
          </w:p>
        </w:tc>
        <w:tc>
          <w:tcPr>
            <w:tcW w:w="1635" w:type="dxa"/>
            <w:vAlign w:val="center"/>
          </w:tcPr>
          <w:p>
            <w:pPr>
              <w:spacing w:line="240" w:lineRule="exact"/>
              <w:jc w:val="center"/>
              <w:rPr>
                <w:rFonts w:ascii="宋体" w:hAnsi="宋体" w:cs="宋体"/>
                <w:szCs w:val="21"/>
              </w:rPr>
            </w:pPr>
            <w:r>
              <w:rPr>
                <w:rFonts w:hint="eastAsia" w:ascii="宋体" w:hAnsi="宋体" w:cs="宋体"/>
                <w:szCs w:val="21"/>
              </w:rPr>
              <w:t>磋商费用</w:t>
            </w:r>
          </w:p>
        </w:tc>
        <w:tc>
          <w:tcPr>
            <w:tcW w:w="7596" w:type="dxa"/>
          </w:tcPr>
          <w:p>
            <w:pPr>
              <w:spacing w:line="340" w:lineRule="exact"/>
              <w:rPr>
                <w:rFonts w:ascii="宋体" w:hAnsi="宋体" w:cs="宋体"/>
                <w:szCs w:val="21"/>
              </w:rPr>
            </w:pPr>
            <w:r>
              <w:rPr>
                <w:rFonts w:hint="eastAsia" w:ascii="宋体" w:hAnsi="宋体" w:cs="宋体"/>
                <w:szCs w:val="21"/>
              </w:rPr>
              <w:t xml:space="preserve">不论磋商结果如何，供应商均应自行承担所有与磋商有关的全部费用。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532" w:type="dxa"/>
            <w:vAlign w:val="center"/>
          </w:tcPr>
          <w:p>
            <w:pPr>
              <w:spacing w:line="400" w:lineRule="exact"/>
              <w:jc w:val="center"/>
              <w:rPr>
                <w:rFonts w:ascii="宋体" w:hAnsi="宋体" w:cs="宋体"/>
                <w:szCs w:val="21"/>
              </w:rPr>
            </w:pPr>
            <w:r>
              <w:rPr>
                <w:rFonts w:hint="eastAsia" w:ascii="宋体" w:hAnsi="宋体" w:cs="宋体"/>
                <w:szCs w:val="21"/>
              </w:rPr>
              <w:t>4</w:t>
            </w:r>
          </w:p>
        </w:tc>
        <w:tc>
          <w:tcPr>
            <w:tcW w:w="675" w:type="dxa"/>
            <w:vAlign w:val="center"/>
          </w:tcPr>
          <w:p>
            <w:pPr>
              <w:spacing w:line="360" w:lineRule="exact"/>
              <w:jc w:val="center"/>
              <w:rPr>
                <w:rFonts w:ascii="宋体" w:hAnsi="宋体" w:cs="宋体"/>
                <w:position w:val="-2"/>
                <w:szCs w:val="21"/>
              </w:rPr>
            </w:pPr>
            <w:r>
              <w:rPr>
                <w:rFonts w:hint="eastAsia" w:ascii="宋体" w:hAnsi="宋体" w:cs="宋体"/>
                <w:position w:val="-2"/>
                <w:szCs w:val="21"/>
              </w:rPr>
              <w:t>13</w:t>
            </w:r>
          </w:p>
        </w:tc>
        <w:tc>
          <w:tcPr>
            <w:tcW w:w="1635" w:type="dxa"/>
            <w:vAlign w:val="center"/>
          </w:tcPr>
          <w:p>
            <w:pPr>
              <w:spacing w:line="240" w:lineRule="exact"/>
              <w:jc w:val="center"/>
              <w:rPr>
                <w:rFonts w:ascii="宋体" w:hAnsi="宋体" w:cs="宋体"/>
                <w:position w:val="-2"/>
                <w:szCs w:val="21"/>
              </w:rPr>
            </w:pPr>
            <w:r>
              <w:rPr>
                <w:rFonts w:hint="eastAsia" w:ascii="宋体" w:hAnsi="宋体" w:cs="宋体"/>
                <w:szCs w:val="21"/>
              </w:rPr>
              <w:t>磋商报价及采购预算金额</w:t>
            </w:r>
          </w:p>
        </w:tc>
        <w:tc>
          <w:tcPr>
            <w:tcW w:w="7596" w:type="dxa"/>
            <w:vAlign w:val="center"/>
          </w:tcPr>
          <w:p>
            <w:pPr>
              <w:spacing w:line="300" w:lineRule="exact"/>
              <w:rPr>
                <w:rFonts w:ascii="宋体" w:hAnsi="宋体" w:cs="宋体"/>
                <w:szCs w:val="21"/>
              </w:rPr>
            </w:pPr>
            <w:r>
              <w:rPr>
                <w:rFonts w:hint="eastAsia" w:ascii="宋体" w:hAnsi="宋体" w:cs="宋体"/>
                <w:szCs w:val="21"/>
              </w:rPr>
              <w:t>13.1供应商必须就“采购需求”中所有内容作完整唯一最后报价，响应文件只允许有一个最后报价，有选择的或有条件的最后报价将不予接受；磋商报价应按磋商文件中相关附表格式填写。</w:t>
            </w:r>
          </w:p>
          <w:p>
            <w:pPr>
              <w:spacing w:line="340" w:lineRule="exact"/>
              <w:rPr>
                <w:rFonts w:ascii="宋体" w:hAnsi="宋体" w:cs="宋体"/>
                <w:szCs w:val="21"/>
              </w:rPr>
            </w:pPr>
            <w:r>
              <w:rPr>
                <w:rFonts w:hint="eastAsia" w:ascii="宋体" w:hAnsi="宋体" w:cs="宋体"/>
                <w:szCs w:val="21"/>
              </w:rPr>
              <w:t>13.2采购预算金额（人民币）：</w:t>
            </w:r>
            <w:r>
              <w:rPr>
                <w:rFonts w:hint="eastAsia" w:ascii="宋体" w:hAnsi="宋体" w:cs="宋体"/>
                <w:szCs w:val="21"/>
                <w:u w:val="single"/>
              </w:rPr>
              <w:t>170400元/年  合计：340800元</w:t>
            </w:r>
            <w:r>
              <w:rPr>
                <w:rFonts w:hint="eastAsia" w:ascii="宋体" w:hAnsi="宋体" w:cs="宋体"/>
                <w:szCs w:val="21"/>
              </w:rPr>
              <w:t>。报价超采购预算金额的，响应文件按无效处理。</w:t>
            </w:r>
          </w:p>
          <w:p>
            <w:pPr>
              <w:spacing w:line="340" w:lineRule="exact"/>
              <w:rPr>
                <w:rFonts w:ascii="宋体" w:hAnsi="宋体" w:cs="宋体"/>
                <w:szCs w:val="21"/>
              </w:rPr>
            </w:pPr>
            <w:r>
              <w:rPr>
                <w:rFonts w:hint="eastAsia" w:ascii="宋体" w:hAnsi="宋体" w:cs="宋体"/>
                <w:szCs w:val="21"/>
              </w:rPr>
              <w:t>13.4</w:t>
            </w:r>
            <w:r>
              <w:rPr>
                <w:rFonts w:hint="eastAsia" w:ascii="宋体" w:hAnsi="宋体" w:cs="宋体"/>
                <w:kern w:val="0"/>
                <w:szCs w:val="21"/>
              </w:rPr>
              <w:t>未书面退出磋商的供应商必须在规定时间内密封提交最后报价，其最后报价不得超出采购预算；磋商过程中磋商文件未作实质性变动的，最后报价不得超过首次报价。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532" w:type="dxa"/>
            <w:vAlign w:val="center"/>
          </w:tcPr>
          <w:p>
            <w:pPr>
              <w:spacing w:line="400" w:lineRule="exact"/>
              <w:jc w:val="center"/>
              <w:rPr>
                <w:rFonts w:ascii="宋体" w:hAnsi="宋体" w:cs="宋体"/>
                <w:szCs w:val="21"/>
              </w:rPr>
            </w:pPr>
            <w:r>
              <w:rPr>
                <w:rFonts w:hint="eastAsia" w:ascii="宋体" w:hAnsi="宋体" w:cs="宋体"/>
                <w:szCs w:val="21"/>
              </w:rPr>
              <w:t>5</w:t>
            </w:r>
          </w:p>
        </w:tc>
        <w:tc>
          <w:tcPr>
            <w:tcW w:w="675" w:type="dxa"/>
            <w:vAlign w:val="center"/>
          </w:tcPr>
          <w:p>
            <w:pPr>
              <w:spacing w:line="360" w:lineRule="exact"/>
              <w:jc w:val="center"/>
              <w:rPr>
                <w:rFonts w:ascii="宋体" w:hAnsi="宋体" w:cs="宋体"/>
                <w:position w:val="-2"/>
                <w:szCs w:val="21"/>
              </w:rPr>
            </w:pPr>
            <w:r>
              <w:rPr>
                <w:rFonts w:hint="eastAsia" w:ascii="宋体" w:hAnsi="宋体" w:cs="宋体"/>
                <w:position w:val="-2"/>
                <w:szCs w:val="21"/>
              </w:rPr>
              <w:t>14.1</w:t>
            </w:r>
          </w:p>
        </w:tc>
        <w:tc>
          <w:tcPr>
            <w:tcW w:w="1635" w:type="dxa"/>
            <w:vAlign w:val="center"/>
          </w:tcPr>
          <w:p>
            <w:pPr>
              <w:spacing w:line="240" w:lineRule="exact"/>
              <w:jc w:val="center"/>
              <w:rPr>
                <w:rFonts w:ascii="宋体" w:hAnsi="宋体" w:cs="宋体"/>
                <w:position w:val="-2"/>
                <w:szCs w:val="21"/>
              </w:rPr>
            </w:pPr>
            <w:r>
              <w:rPr>
                <w:rFonts w:hint="eastAsia" w:ascii="宋体" w:hAnsi="宋体" w:cs="宋体"/>
                <w:szCs w:val="21"/>
              </w:rPr>
              <w:t>响应文件有效期</w:t>
            </w:r>
          </w:p>
        </w:tc>
        <w:tc>
          <w:tcPr>
            <w:tcW w:w="7596" w:type="dxa"/>
            <w:vAlign w:val="center"/>
          </w:tcPr>
          <w:p>
            <w:pPr>
              <w:tabs>
                <w:tab w:val="left" w:pos="1305"/>
              </w:tabs>
              <w:spacing w:line="340" w:lineRule="exact"/>
              <w:rPr>
                <w:rFonts w:ascii="宋体" w:hAnsi="宋体" w:cs="宋体"/>
                <w:szCs w:val="21"/>
              </w:rPr>
            </w:pPr>
            <w:r>
              <w:rPr>
                <w:rFonts w:hint="eastAsia" w:ascii="宋体" w:hAnsi="宋体" w:cs="宋体"/>
                <w:szCs w:val="21"/>
              </w:rPr>
              <w:t>自响应文件递交截止时间之日起90天，有效期不足的响应文件将被拒绝。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532" w:type="dxa"/>
            <w:vAlign w:val="center"/>
          </w:tcPr>
          <w:p>
            <w:pPr>
              <w:spacing w:line="400" w:lineRule="exact"/>
              <w:jc w:val="center"/>
              <w:rPr>
                <w:rFonts w:ascii="宋体" w:hAnsi="宋体" w:cs="宋体"/>
                <w:szCs w:val="21"/>
              </w:rPr>
            </w:pPr>
            <w:r>
              <w:rPr>
                <w:rFonts w:ascii="宋体" w:hAnsi="宋体" w:cs="宋体"/>
                <w:szCs w:val="21"/>
              </w:rPr>
              <w:t>6</w:t>
            </w:r>
          </w:p>
        </w:tc>
        <w:tc>
          <w:tcPr>
            <w:tcW w:w="675" w:type="dxa"/>
            <w:vAlign w:val="center"/>
          </w:tcPr>
          <w:p>
            <w:pPr>
              <w:spacing w:line="360" w:lineRule="exact"/>
              <w:jc w:val="center"/>
              <w:rPr>
                <w:rFonts w:ascii="宋体" w:hAnsi="宋体" w:cs="宋体"/>
                <w:szCs w:val="21"/>
              </w:rPr>
            </w:pPr>
            <w:r>
              <w:rPr>
                <w:rFonts w:hint="eastAsia" w:ascii="宋体" w:hAnsi="宋体" w:cs="宋体"/>
                <w:szCs w:val="21"/>
              </w:rPr>
              <w:t>1</w:t>
            </w:r>
            <w:r>
              <w:rPr>
                <w:rFonts w:ascii="宋体" w:hAnsi="宋体" w:cs="宋体"/>
                <w:szCs w:val="21"/>
              </w:rPr>
              <w:t>5</w:t>
            </w:r>
            <w:r>
              <w:rPr>
                <w:rFonts w:hint="eastAsia" w:ascii="宋体" w:hAnsi="宋体" w:cs="宋体"/>
                <w:szCs w:val="21"/>
              </w:rPr>
              <w:t>.1</w:t>
            </w:r>
          </w:p>
        </w:tc>
        <w:tc>
          <w:tcPr>
            <w:tcW w:w="1635" w:type="dxa"/>
            <w:vAlign w:val="center"/>
          </w:tcPr>
          <w:p>
            <w:pPr>
              <w:spacing w:line="360" w:lineRule="exact"/>
              <w:jc w:val="center"/>
              <w:rPr>
                <w:rFonts w:ascii="宋体" w:hAnsi="宋体" w:cs="宋体"/>
                <w:szCs w:val="21"/>
              </w:rPr>
            </w:pPr>
            <w:r>
              <w:rPr>
                <w:rFonts w:hint="eastAsia" w:ascii="宋体" w:hAnsi="宋体" w:cs="宋体"/>
                <w:szCs w:val="21"/>
              </w:rPr>
              <w:t>响应文件份数</w:t>
            </w:r>
          </w:p>
        </w:tc>
        <w:tc>
          <w:tcPr>
            <w:tcW w:w="7596" w:type="dxa"/>
            <w:vAlign w:val="center"/>
          </w:tcPr>
          <w:p>
            <w:pPr>
              <w:spacing w:line="340" w:lineRule="exact"/>
              <w:rPr>
                <w:rFonts w:ascii="宋体" w:hAnsi="宋体" w:cs="宋体"/>
                <w:b/>
                <w:bCs/>
                <w:szCs w:val="21"/>
              </w:rPr>
            </w:pPr>
            <w:r>
              <w:rPr>
                <w:rFonts w:hint="eastAsia" w:ascii="宋体" w:hAnsi="宋体" w:cs="宋体"/>
                <w:b/>
                <w:bCs/>
                <w:szCs w:val="21"/>
              </w:rPr>
              <w:t>正本壹册，副本</w:t>
            </w:r>
            <w:r>
              <w:rPr>
                <w:rFonts w:hint="eastAsia" w:ascii="宋体" w:hAnsi="宋体" w:cs="宋体"/>
                <w:b/>
                <w:bCs/>
                <w:szCs w:val="21"/>
                <w:u w:val="single"/>
              </w:rPr>
              <w:t xml:space="preserve">  叁  </w:t>
            </w:r>
            <w:r>
              <w:rPr>
                <w:rFonts w:hint="eastAsia" w:ascii="宋体" w:hAnsi="宋体" w:cs="宋体"/>
                <w:b/>
                <w:bCs/>
                <w:szCs w:val="21"/>
              </w:rPr>
              <w:t>册，须完整提交（A4纸装订）。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532" w:type="dxa"/>
            <w:vAlign w:val="center"/>
          </w:tcPr>
          <w:p>
            <w:pPr>
              <w:spacing w:line="420" w:lineRule="exact"/>
              <w:jc w:val="center"/>
              <w:rPr>
                <w:rFonts w:ascii="宋体" w:hAnsi="宋体" w:cs="宋体"/>
                <w:szCs w:val="21"/>
              </w:rPr>
            </w:pPr>
            <w:r>
              <w:rPr>
                <w:rFonts w:ascii="宋体" w:hAnsi="宋体" w:cs="宋体"/>
                <w:szCs w:val="21"/>
              </w:rPr>
              <w:t>7</w:t>
            </w:r>
          </w:p>
        </w:tc>
        <w:tc>
          <w:tcPr>
            <w:tcW w:w="675" w:type="dxa"/>
            <w:vAlign w:val="center"/>
          </w:tcPr>
          <w:p>
            <w:pPr>
              <w:spacing w:line="360" w:lineRule="exact"/>
              <w:jc w:val="center"/>
              <w:rPr>
                <w:rFonts w:ascii="宋体" w:hAnsi="宋体" w:cs="宋体"/>
                <w:position w:val="10"/>
                <w:szCs w:val="21"/>
              </w:rPr>
            </w:pPr>
            <w:r>
              <w:rPr>
                <w:rFonts w:hint="eastAsia" w:ascii="宋体" w:hAnsi="宋体" w:cs="宋体"/>
                <w:position w:val="10"/>
                <w:szCs w:val="21"/>
              </w:rPr>
              <w:t>1</w:t>
            </w:r>
            <w:r>
              <w:rPr>
                <w:rFonts w:ascii="宋体" w:hAnsi="宋体" w:cs="宋体"/>
                <w:position w:val="10"/>
                <w:szCs w:val="21"/>
              </w:rPr>
              <w:t>5</w:t>
            </w:r>
            <w:r>
              <w:rPr>
                <w:rFonts w:hint="eastAsia" w:ascii="宋体" w:hAnsi="宋体" w:cs="宋体"/>
                <w:position w:val="10"/>
                <w:szCs w:val="21"/>
              </w:rPr>
              <w:t>.2</w:t>
            </w:r>
          </w:p>
        </w:tc>
        <w:tc>
          <w:tcPr>
            <w:tcW w:w="1635" w:type="dxa"/>
            <w:vAlign w:val="center"/>
          </w:tcPr>
          <w:p>
            <w:pPr>
              <w:spacing w:line="240" w:lineRule="exact"/>
              <w:jc w:val="center"/>
              <w:rPr>
                <w:rFonts w:ascii="宋体" w:hAnsi="宋体" w:cs="宋体"/>
                <w:position w:val="10"/>
                <w:szCs w:val="21"/>
              </w:rPr>
            </w:pPr>
            <w:r>
              <w:rPr>
                <w:rFonts w:hint="eastAsia" w:ascii="宋体" w:hAnsi="宋体" w:cs="宋体"/>
                <w:szCs w:val="21"/>
              </w:rPr>
              <w:t>响应文件装订要求</w:t>
            </w:r>
          </w:p>
        </w:tc>
        <w:tc>
          <w:tcPr>
            <w:tcW w:w="7596" w:type="dxa"/>
            <w:vAlign w:val="center"/>
          </w:tcPr>
          <w:p>
            <w:pPr>
              <w:spacing w:line="340" w:lineRule="exact"/>
              <w:rPr>
                <w:rFonts w:ascii="宋体" w:hAnsi="宋体" w:cs="宋体"/>
                <w:szCs w:val="21"/>
              </w:rPr>
            </w:pPr>
            <w:r>
              <w:rPr>
                <w:rFonts w:hint="eastAsia" w:ascii="宋体" w:hAnsi="宋体" w:cs="宋体"/>
                <w:szCs w:val="21"/>
              </w:rPr>
              <w:t>供应商必须按供应商须知第11.1条“响应文件组成”规定的顺序自编目录及页码，响应文件的“正本”、“副本”必须单独装订成册并标注页码，装订牢固，不易拆散和换页。封面注明“正本”、“副本”字样，封面上写明项目名称、项目编号、采购代理机构、供应商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32" w:type="dxa"/>
            <w:vAlign w:val="center"/>
          </w:tcPr>
          <w:p>
            <w:pPr>
              <w:spacing w:line="420" w:lineRule="exact"/>
              <w:jc w:val="center"/>
              <w:rPr>
                <w:rFonts w:ascii="宋体" w:hAnsi="宋体" w:cs="宋体"/>
                <w:szCs w:val="21"/>
              </w:rPr>
            </w:pPr>
            <w:r>
              <w:rPr>
                <w:rFonts w:ascii="宋体" w:hAnsi="宋体" w:cs="宋体"/>
                <w:szCs w:val="21"/>
              </w:rPr>
              <w:t>8</w:t>
            </w:r>
          </w:p>
        </w:tc>
        <w:tc>
          <w:tcPr>
            <w:tcW w:w="675" w:type="dxa"/>
            <w:vAlign w:val="center"/>
          </w:tcPr>
          <w:p>
            <w:pPr>
              <w:spacing w:line="360" w:lineRule="exact"/>
              <w:jc w:val="center"/>
              <w:rPr>
                <w:rFonts w:ascii="宋体" w:hAnsi="宋体" w:cs="宋体"/>
                <w:szCs w:val="21"/>
              </w:rPr>
            </w:pPr>
            <w:r>
              <w:rPr>
                <w:rFonts w:hint="eastAsia" w:ascii="宋体" w:hAnsi="宋体" w:cs="宋体"/>
                <w:szCs w:val="21"/>
              </w:rPr>
              <w:t>1</w:t>
            </w:r>
            <w:r>
              <w:rPr>
                <w:rFonts w:ascii="宋体" w:hAnsi="宋体" w:cs="宋体"/>
                <w:szCs w:val="21"/>
              </w:rPr>
              <w:t>5</w:t>
            </w:r>
            <w:r>
              <w:rPr>
                <w:rFonts w:hint="eastAsia" w:ascii="宋体" w:hAnsi="宋体" w:cs="宋体"/>
                <w:szCs w:val="21"/>
              </w:rPr>
              <w:t>.6</w:t>
            </w:r>
          </w:p>
        </w:tc>
        <w:tc>
          <w:tcPr>
            <w:tcW w:w="1635" w:type="dxa"/>
            <w:vAlign w:val="center"/>
          </w:tcPr>
          <w:p>
            <w:pPr>
              <w:spacing w:line="240" w:lineRule="exact"/>
              <w:jc w:val="center"/>
              <w:rPr>
                <w:rFonts w:ascii="宋体" w:hAnsi="宋体" w:cs="宋体"/>
                <w:szCs w:val="21"/>
              </w:rPr>
            </w:pPr>
            <w:r>
              <w:rPr>
                <w:rFonts w:hint="eastAsia" w:ascii="宋体" w:hAnsi="宋体" w:cs="宋体"/>
                <w:szCs w:val="21"/>
              </w:rPr>
              <w:t xml:space="preserve">响应文件包装、密封、标记                  </w:t>
            </w:r>
          </w:p>
        </w:tc>
        <w:tc>
          <w:tcPr>
            <w:tcW w:w="7596" w:type="dxa"/>
            <w:vAlign w:val="center"/>
          </w:tcPr>
          <w:p>
            <w:pPr>
              <w:snapToGrid w:val="0"/>
              <w:spacing w:line="360" w:lineRule="exact"/>
              <w:jc w:val="left"/>
              <w:rPr>
                <w:rFonts w:ascii="宋体" w:hAnsi="宋体" w:cs="宋体"/>
                <w:szCs w:val="21"/>
              </w:rPr>
            </w:pPr>
            <w:r>
              <w:rPr>
                <w:rFonts w:hint="eastAsia" w:ascii="宋体" w:hAnsi="宋体" w:cs="宋体"/>
                <w:b/>
                <w:szCs w:val="21"/>
              </w:rPr>
              <w:t>16.6.1 响应文件包装、密封：</w:t>
            </w:r>
            <w:r>
              <w:rPr>
                <w:rFonts w:hint="eastAsia" w:ascii="宋体" w:hAnsi="宋体" w:cs="宋体"/>
                <w:szCs w:val="21"/>
              </w:rPr>
              <w:t>供应商须将响应文件“正本”、“副本”一并装入并密封在一个响应文件袋（盒、箱）中，并在密封处密封签章【公章、密封章、法定代表人、负责人、自然人或相应的授权委托代理人签字均可】。</w:t>
            </w:r>
          </w:p>
          <w:p>
            <w:pPr>
              <w:snapToGrid w:val="0"/>
              <w:spacing w:line="360" w:lineRule="exact"/>
              <w:jc w:val="left"/>
              <w:rPr>
                <w:rFonts w:ascii="宋体" w:hAnsi="宋体" w:cs="宋体"/>
                <w:szCs w:val="21"/>
              </w:rPr>
            </w:pPr>
            <w:r>
              <w:rPr>
                <w:rFonts w:hint="eastAsia" w:ascii="宋体" w:hAnsi="宋体" w:cs="宋体"/>
                <w:szCs w:val="21"/>
              </w:rPr>
              <w:t>（1）响应文件电子版内容：电子版与纸质投标文件一致。</w:t>
            </w:r>
          </w:p>
          <w:p>
            <w:pPr>
              <w:snapToGrid w:val="0"/>
              <w:spacing w:line="360" w:lineRule="exact"/>
              <w:jc w:val="left"/>
              <w:rPr>
                <w:rFonts w:ascii="宋体" w:hAnsi="宋体" w:cs="宋体"/>
                <w:szCs w:val="21"/>
              </w:rPr>
            </w:pPr>
            <w:r>
              <w:rPr>
                <w:rFonts w:hint="eastAsia" w:ascii="宋体" w:hAnsi="宋体" w:cs="宋体"/>
                <w:szCs w:val="21"/>
              </w:rPr>
              <w:t>（2）响应文件电子版份数：1份。</w:t>
            </w:r>
          </w:p>
          <w:p>
            <w:pPr>
              <w:snapToGrid w:val="0"/>
              <w:spacing w:line="360" w:lineRule="exact"/>
              <w:jc w:val="left"/>
              <w:rPr>
                <w:rFonts w:ascii="宋体" w:hAnsi="宋体" w:cs="宋体"/>
                <w:szCs w:val="21"/>
              </w:rPr>
            </w:pPr>
            <w:r>
              <w:rPr>
                <w:rFonts w:hint="eastAsia" w:ascii="宋体" w:hAnsi="宋体" w:cs="宋体"/>
                <w:szCs w:val="21"/>
              </w:rPr>
              <w:t>（3）响应文件电子版形式：可编辑的word文档格式。</w:t>
            </w:r>
          </w:p>
          <w:p>
            <w:pPr>
              <w:pStyle w:val="72"/>
              <w:spacing w:before="43" w:line="314" w:lineRule="auto"/>
              <w:ind w:right="-17"/>
              <w:jc w:val="left"/>
              <w:rPr>
                <w:rFonts w:ascii="宋体" w:hAnsi="宋体" w:cs="宋体"/>
                <w:szCs w:val="21"/>
              </w:rPr>
            </w:pPr>
            <w:r>
              <w:rPr>
                <w:rFonts w:hint="eastAsia" w:ascii="宋体" w:hAnsi="宋体" w:cs="宋体"/>
                <w:szCs w:val="21"/>
              </w:rPr>
              <w:t>（4）响应文件电子版密封方式：响应文件电子版U盘（封面注明项目名称、项目编号、供应商名称）与纸质版响应文件一并装入响应文件袋（盒、箱）中。</w:t>
            </w:r>
          </w:p>
          <w:p>
            <w:pPr>
              <w:spacing w:line="340" w:lineRule="exact"/>
              <w:rPr>
                <w:rFonts w:ascii="宋体" w:hAnsi="宋体" w:cs="宋体"/>
                <w:b/>
                <w:szCs w:val="21"/>
              </w:rPr>
            </w:pPr>
            <w:r>
              <w:rPr>
                <w:rFonts w:hint="eastAsia" w:ascii="宋体" w:hAnsi="宋体" w:cs="宋体"/>
                <w:b/>
                <w:szCs w:val="21"/>
              </w:rPr>
              <w:t>16.6.2 响应文件袋（盒、箱）标记：</w:t>
            </w:r>
          </w:p>
          <w:p>
            <w:pPr>
              <w:spacing w:line="340" w:lineRule="exact"/>
              <w:rPr>
                <w:rFonts w:ascii="宋体" w:hAnsi="宋体" w:cs="宋体"/>
                <w:szCs w:val="21"/>
              </w:rPr>
            </w:pPr>
            <w:r>
              <w:rPr>
                <w:rFonts w:hint="eastAsia" w:ascii="宋体" w:hAnsi="宋体" w:cs="宋体"/>
                <w:szCs w:val="21"/>
              </w:rPr>
              <w:t>项目名称：社会救助及特困人员开展入户核查评估服务采购</w:t>
            </w:r>
          </w:p>
          <w:p>
            <w:pPr>
              <w:spacing w:line="340" w:lineRule="exact"/>
              <w:rPr>
                <w:rFonts w:hint="eastAsia" w:ascii="宋体" w:hAnsi="宋体" w:cs="宋体"/>
                <w:szCs w:val="21"/>
              </w:rPr>
            </w:pPr>
            <w:r>
              <w:rPr>
                <w:rFonts w:hint="eastAsia" w:ascii="宋体" w:hAnsi="宋体" w:cs="宋体"/>
                <w:szCs w:val="21"/>
              </w:rPr>
              <w:t>项目编号：GLZC2020-C3-990545-GXTZ</w:t>
            </w:r>
          </w:p>
          <w:p>
            <w:pPr>
              <w:spacing w:line="340" w:lineRule="exact"/>
              <w:rPr>
                <w:rFonts w:ascii="宋体" w:hAnsi="宋体" w:cs="宋体"/>
                <w:szCs w:val="21"/>
              </w:rPr>
            </w:pPr>
            <w:r>
              <w:rPr>
                <w:rFonts w:hint="eastAsia" w:ascii="宋体" w:hAnsi="宋体" w:cs="宋体"/>
                <w:szCs w:val="21"/>
              </w:rPr>
              <w:t xml:space="preserve">采购代理机构：广西同泽工程项目管理股份有限公司 </w:t>
            </w:r>
          </w:p>
          <w:p>
            <w:pPr>
              <w:spacing w:line="340" w:lineRule="exact"/>
              <w:rPr>
                <w:rFonts w:ascii="宋体" w:hAnsi="宋体" w:cs="宋体"/>
                <w:b/>
                <w:sz w:val="18"/>
                <w:szCs w:val="18"/>
              </w:rPr>
            </w:pPr>
            <w:r>
              <w:rPr>
                <w:rFonts w:hint="eastAsia" w:ascii="宋体" w:hAnsi="宋体" w:cs="宋体"/>
                <w:szCs w:val="21"/>
              </w:rPr>
              <w:t>供应商名称：</w:t>
            </w:r>
          </w:p>
          <w:p>
            <w:pPr>
              <w:snapToGrid w:val="0"/>
              <w:spacing w:line="360" w:lineRule="exact"/>
              <w:jc w:val="left"/>
              <w:rPr>
                <w:rFonts w:ascii="宋体" w:hAnsi="宋体" w:cs="宋体"/>
                <w:szCs w:val="21"/>
              </w:rPr>
            </w:pPr>
            <w:r>
              <w:rPr>
                <w:rFonts w:hint="eastAsia" w:ascii="宋体" w:hAnsi="宋体" w:cs="宋体"/>
                <w:szCs w:val="21"/>
              </w:rPr>
              <w:t>在2020年  月  日上午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532" w:type="dxa"/>
            <w:vAlign w:val="center"/>
          </w:tcPr>
          <w:p>
            <w:pPr>
              <w:spacing w:line="360" w:lineRule="exact"/>
              <w:jc w:val="center"/>
              <w:rPr>
                <w:rFonts w:ascii="宋体" w:hAnsi="宋体" w:cs="宋体"/>
                <w:szCs w:val="21"/>
              </w:rPr>
            </w:pPr>
            <w:r>
              <w:rPr>
                <w:rFonts w:ascii="宋体" w:hAnsi="宋体" w:cs="宋体"/>
                <w:szCs w:val="21"/>
              </w:rPr>
              <w:t>9</w:t>
            </w:r>
          </w:p>
        </w:tc>
        <w:tc>
          <w:tcPr>
            <w:tcW w:w="675" w:type="dxa"/>
            <w:vAlign w:val="center"/>
          </w:tcPr>
          <w:p>
            <w:pPr>
              <w:spacing w:line="360" w:lineRule="exact"/>
              <w:jc w:val="center"/>
              <w:rPr>
                <w:rFonts w:ascii="宋体" w:hAnsi="宋体" w:cs="宋体"/>
                <w:szCs w:val="21"/>
              </w:rPr>
            </w:pPr>
            <w:r>
              <w:rPr>
                <w:rFonts w:hint="eastAsia" w:ascii="宋体" w:hAnsi="宋体" w:cs="宋体"/>
                <w:szCs w:val="21"/>
              </w:rPr>
              <w:t>1</w:t>
            </w:r>
            <w:r>
              <w:rPr>
                <w:rFonts w:ascii="宋体" w:hAnsi="宋体" w:cs="宋体"/>
                <w:szCs w:val="21"/>
              </w:rPr>
              <w:t>5</w:t>
            </w:r>
            <w:r>
              <w:rPr>
                <w:rFonts w:hint="eastAsia" w:ascii="宋体" w:hAnsi="宋体" w:cs="宋体"/>
                <w:szCs w:val="21"/>
              </w:rPr>
              <w:t>.7</w:t>
            </w:r>
          </w:p>
        </w:tc>
        <w:tc>
          <w:tcPr>
            <w:tcW w:w="1635" w:type="dxa"/>
            <w:vAlign w:val="center"/>
          </w:tcPr>
          <w:p>
            <w:pPr>
              <w:spacing w:line="240" w:lineRule="exact"/>
              <w:jc w:val="center"/>
              <w:rPr>
                <w:rFonts w:ascii="宋体" w:hAnsi="宋体" w:cs="宋体"/>
                <w:szCs w:val="21"/>
              </w:rPr>
            </w:pPr>
            <w:r>
              <w:rPr>
                <w:rFonts w:hint="eastAsia" w:ascii="宋体" w:hAnsi="宋体" w:cs="宋体"/>
                <w:szCs w:val="21"/>
              </w:rPr>
              <w:t>供应商公章</w:t>
            </w:r>
          </w:p>
        </w:tc>
        <w:tc>
          <w:tcPr>
            <w:tcW w:w="7596" w:type="dxa"/>
            <w:vAlign w:val="center"/>
          </w:tcPr>
          <w:p>
            <w:pPr>
              <w:spacing w:line="340" w:lineRule="exact"/>
              <w:ind w:firstLine="420" w:firstLineChars="200"/>
              <w:rPr>
                <w:rFonts w:ascii="宋体" w:hAnsi="宋体" w:cs="宋体"/>
                <w:szCs w:val="21"/>
              </w:rPr>
            </w:pPr>
            <w:r>
              <w:rPr>
                <w:rFonts w:hint="eastAsia" w:ascii="宋体" w:hAnsi="宋体" w:cs="宋体"/>
                <w:szCs w:val="21"/>
              </w:rPr>
              <w:t>本竞争性磋商文件中描述供应商的“公章”是指根据我国对公章的管理规定，用供应商法定主体行为名称制作的印章，除本文件有特殊规定外，供应商的财务章、部门章、分公司章、工会章、合同章、投标专用章、业务专用章及银行的转账章、现金收讫章、现金付讫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532" w:type="dxa"/>
            <w:vAlign w:val="center"/>
          </w:tcPr>
          <w:p>
            <w:pPr>
              <w:spacing w:line="400" w:lineRule="exact"/>
              <w:jc w:val="center"/>
              <w:rPr>
                <w:rFonts w:ascii="宋体" w:hAnsi="宋体" w:cs="宋体"/>
                <w:szCs w:val="21"/>
              </w:rPr>
            </w:pPr>
            <w:r>
              <w:rPr>
                <w:rFonts w:hint="eastAsia" w:ascii="宋体" w:hAnsi="宋体" w:cs="宋体"/>
                <w:szCs w:val="21"/>
              </w:rPr>
              <w:t>1</w:t>
            </w:r>
            <w:r>
              <w:rPr>
                <w:rFonts w:ascii="宋体" w:hAnsi="宋体" w:cs="宋体"/>
                <w:szCs w:val="21"/>
              </w:rPr>
              <w:t>0</w:t>
            </w:r>
          </w:p>
        </w:tc>
        <w:tc>
          <w:tcPr>
            <w:tcW w:w="675" w:type="dxa"/>
            <w:vAlign w:val="center"/>
          </w:tcPr>
          <w:p>
            <w:pPr>
              <w:spacing w:line="360" w:lineRule="exact"/>
              <w:jc w:val="center"/>
              <w:rPr>
                <w:rFonts w:ascii="宋体" w:hAnsi="宋体" w:cs="宋体"/>
                <w:szCs w:val="21"/>
              </w:rPr>
            </w:pPr>
            <w:r>
              <w:rPr>
                <w:rFonts w:hint="eastAsia" w:ascii="宋体" w:hAnsi="宋体" w:cs="宋体"/>
                <w:szCs w:val="21"/>
              </w:rPr>
              <w:t>1</w:t>
            </w:r>
            <w:r>
              <w:rPr>
                <w:rFonts w:ascii="宋体" w:hAnsi="宋体" w:cs="宋体"/>
                <w:szCs w:val="21"/>
              </w:rPr>
              <w:t>7</w:t>
            </w:r>
            <w:r>
              <w:rPr>
                <w:rFonts w:hint="eastAsia" w:ascii="宋体" w:hAnsi="宋体" w:cs="宋体"/>
                <w:szCs w:val="21"/>
              </w:rPr>
              <w:t>.1</w:t>
            </w:r>
          </w:p>
        </w:tc>
        <w:tc>
          <w:tcPr>
            <w:tcW w:w="1635" w:type="dxa"/>
            <w:vAlign w:val="center"/>
          </w:tcPr>
          <w:p>
            <w:pPr>
              <w:spacing w:line="240" w:lineRule="exact"/>
              <w:jc w:val="center"/>
              <w:rPr>
                <w:rFonts w:ascii="宋体" w:hAnsi="宋体" w:cs="宋体"/>
                <w:szCs w:val="21"/>
              </w:rPr>
            </w:pPr>
            <w:r>
              <w:rPr>
                <w:rFonts w:hint="eastAsia" w:ascii="宋体" w:hAnsi="宋体" w:cs="宋体"/>
                <w:szCs w:val="21"/>
              </w:rPr>
              <w:t>响应文件递交</w:t>
            </w:r>
          </w:p>
        </w:tc>
        <w:tc>
          <w:tcPr>
            <w:tcW w:w="7596" w:type="dxa"/>
            <w:vAlign w:val="center"/>
          </w:tcPr>
          <w:p>
            <w:pPr>
              <w:spacing w:line="340" w:lineRule="exact"/>
              <w:rPr>
                <w:rFonts w:ascii="宋体" w:hAnsi="宋体" w:cs="宋体"/>
                <w:szCs w:val="21"/>
              </w:rPr>
            </w:pPr>
            <w:r>
              <w:rPr>
                <w:rFonts w:hint="eastAsia" w:ascii="宋体" w:hAnsi="宋体" w:cs="宋体"/>
                <w:szCs w:val="21"/>
                <w:highlight w:val="none"/>
              </w:rPr>
              <w:t>供应商必须于2020年</w:t>
            </w:r>
            <w:r>
              <w:rPr>
                <w:rFonts w:hint="eastAsia" w:ascii="宋体" w:hAnsi="宋体" w:cs="宋体"/>
                <w:szCs w:val="21"/>
                <w:highlight w:val="none"/>
                <w:lang w:val="en-US" w:eastAsia="zh-CN"/>
              </w:rPr>
              <w:t>12</w:t>
            </w:r>
            <w:r>
              <w:rPr>
                <w:rFonts w:hint="eastAsia" w:ascii="宋体" w:hAnsi="宋体" w:cs="宋体"/>
                <w:szCs w:val="21"/>
                <w:highlight w:val="none"/>
              </w:rPr>
              <w:t>月</w:t>
            </w:r>
            <w:r>
              <w:rPr>
                <w:rFonts w:hint="eastAsia" w:ascii="宋体" w:hAnsi="宋体" w:cs="宋体"/>
                <w:szCs w:val="21"/>
                <w:highlight w:val="none"/>
                <w:lang w:val="en-US" w:eastAsia="zh-CN"/>
              </w:rPr>
              <w:t>18</w:t>
            </w:r>
            <w:r>
              <w:rPr>
                <w:rFonts w:hint="eastAsia" w:ascii="宋体" w:hAnsi="宋体" w:cs="宋体"/>
                <w:szCs w:val="21"/>
                <w:highlight w:val="none"/>
              </w:rPr>
              <w:t>日上午</w:t>
            </w:r>
            <w:r>
              <w:rPr>
                <w:rFonts w:hint="eastAsia" w:ascii="宋体" w:hAnsi="宋体" w:cs="宋体"/>
                <w:szCs w:val="21"/>
                <w:highlight w:val="none"/>
                <w:lang w:val="en-US" w:eastAsia="zh-CN"/>
              </w:rPr>
              <w:t>10</w:t>
            </w:r>
            <w:r>
              <w:rPr>
                <w:rFonts w:hint="eastAsia" w:ascii="宋体" w:hAnsi="宋体" w:cs="宋体"/>
                <w:szCs w:val="21"/>
                <w:highlight w:val="none"/>
              </w:rPr>
              <w:t>时00分至</w:t>
            </w:r>
            <w:r>
              <w:rPr>
                <w:rFonts w:hint="eastAsia" w:ascii="宋体" w:hAnsi="宋体" w:cs="宋体"/>
                <w:szCs w:val="21"/>
                <w:highlight w:val="none"/>
                <w:lang w:val="en-US" w:eastAsia="zh-CN"/>
              </w:rPr>
              <w:t>10</w:t>
            </w:r>
            <w:r>
              <w:rPr>
                <w:rFonts w:hint="eastAsia" w:ascii="宋体" w:hAnsi="宋体" w:cs="宋体"/>
                <w:szCs w:val="21"/>
                <w:highlight w:val="none"/>
              </w:rPr>
              <w:t>时30分，将响应文件密封提交至</w:t>
            </w:r>
            <w:r>
              <w:rPr>
                <w:rFonts w:hint="eastAsia" w:ascii="宋体" w:hAnsi="宋体" w:cs="宋体"/>
                <w:szCs w:val="21"/>
                <w:highlight w:val="none"/>
                <w:u w:val="single"/>
              </w:rPr>
              <w:t>桂林市公共资源交易中心</w:t>
            </w:r>
            <w:r>
              <w:rPr>
                <w:rFonts w:hint="eastAsia" w:ascii="宋体" w:hAnsi="宋体" w:cs="宋体"/>
                <w:szCs w:val="21"/>
                <w:highlight w:val="none"/>
                <w:u w:val="single"/>
                <w:lang w:val="en-US" w:eastAsia="zh-CN"/>
              </w:rPr>
              <w:t>14</w:t>
            </w:r>
            <w:r>
              <w:rPr>
                <w:rFonts w:hint="eastAsia" w:ascii="宋体" w:hAnsi="宋体" w:cs="宋体"/>
                <w:szCs w:val="21"/>
                <w:highlight w:val="none"/>
                <w:u w:val="single"/>
              </w:rPr>
              <w:t>号开标室（广西桂林市临桂区西城中路69号创业大厦西辅楼4楼北区）</w:t>
            </w:r>
            <w:r>
              <w:rPr>
                <w:rFonts w:hint="eastAsia" w:ascii="宋体" w:hAnsi="宋体" w:cs="宋体"/>
                <w:highlight w:val="none"/>
              </w:rPr>
              <w:t>，逾期送达的或未送达指定地点的响应文件将予以拒收。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532" w:type="dxa"/>
            <w:vAlign w:val="center"/>
          </w:tcPr>
          <w:p>
            <w:pPr>
              <w:spacing w:line="400" w:lineRule="exact"/>
              <w:jc w:val="center"/>
              <w:rPr>
                <w:rFonts w:ascii="宋体" w:hAnsi="宋体" w:cs="宋体"/>
                <w:szCs w:val="21"/>
              </w:rPr>
            </w:pPr>
            <w:r>
              <w:rPr>
                <w:rFonts w:hint="eastAsia" w:ascii="宋体" w:hAnsi="宋体" w:cs="宋体"/>
                <w:szCs w:val="21"/>
              </w:rPr>
              <w:t>1</w:t>
            </w:r>
            <w:r>
              <w:rPr>
                <w:rFonts w:ascii="宋体" w:hAnsi="宋体" w:cs="宋体"/>
                <w:szCs w:val="21"/>
              </w:rPr>
              <w:t>1</w:t>
            </w:r>
          </w:p>
        </w:tc>
        <w:tc>
          <w:tcPr>
            <w:tcW w:w="675" w:type="dxa"/>
            <w:vAlign w:val="center"/>
          </w:tcPr>
          <w:p>
            <w:pPr>
              <w:spacing w:line="360" w:lineRule="exact"/>
              <w:ind w:firstLine="105" w:firstLineChars="50"/>
              <w:jc w:val="center"/>
              <w:rPr>
                <w:rFonts w:ascii="宋体" w:hAnsi="宋体" w:cs="宋体"/>
                <w:position w:val="-2"/>
                <w:szCs w:val="21"/>
              </w:rPr>
            </w:pPr>
            <w:r>
              <w:rPr>
                <w:rFonts w:hint="eastAsia" w:ascii="宋体" w:hAnsi="宋体" w:cs="宋体"/>
                <w:position w:val="-2"/>
                <w:szCs w:val="21"/>
              </w:rPr>
              <w:t>1</w:t>
            </w:r>
            <w:r>
              <w:rPr>
                <w:rFonts w:ascii="宋体" w:hAnsi="宋体" w:cs="宋体"/>
                <w:position w:val="-2"/>
                <w:szCs w:val="21"/>
              </w:rPr>
              <w:t>8</w:t>
            </w:r>
            <w:r>
              <w:rPr>
                <w:rFonts w:hint="eastAsia" w:ascii="宋体" w:hAnsi="宋体" w:cs="宋体"/>
                <w:position w:val="-2"/>
                <w:szCs w:val="21"/>
              </w:rPr>
              <w:t>.1</w:t>
            </w:r>
          </w:p>
        </w:tc>
        <w:tc>
          <w:tcPr>
            <w:tcW w:w="1635" w:type="dxa"/>
            <w:vAlign w:val="center"/>
          </w:tcPr>
          <w:p>
            <w:pPr>
              <w:spacing w:line="240" w:lineRule="exact"/>
              <w:jc w:val="center"/>
              <w:rPr>
                <w:rFonts w:ascii="宋体" w:hAnsi="宋体" w:cs="宋体"/>
                <w:szCs w:val="21"/>
              </w:rPr>
            </w:pPr>
            <w:r>
              <w:rPr>
                <w:rFonts w:hint="eastAsia" w:ascii="宋体" w:hAnsi="宋体" w:cs="宋体"/>
                <w:szCs w:val="21"/>
              </w:rPr>
              <w:t>磋商小组组成</w:t>
            </w:r>
          </w:p>
        </w:tc>
        <w:tc>
          <w:tcPr>
            <w:tcW w:w="7596" w:type="dxa"/>
            <w:vAlign w:val="center"/>
          </w:tcPr>
          <w:p>
            <w:pPr>
              <w:spacing w:line="340" w:lineRule="exact"/>
              <w:ind w:firstLine="420" w:firstLineChars="200"/>
              <w:rPr>
                <w:rFonts w:ascii="宋体" w:hAnsi="宋体" w:cs="宋体"/>
              </w:rPr>
            </w:pPr>
            <w:r>
              <w:rPr>
                <w:rFonts w:hint="eastAsia" w:ascii="宋体" w:hAnsi="宋体" w:cs="宋体"/>
                <w:szCs w:val="21"/>
              </w:rPr>
              <w:t>磋商及评审组织工作由采购代理机构</w:t>
            </w:r>
            <w:r>
              <w:rPr>
                <w:rFonts w:hint="eastAsia" w:ascii="宋体" w:hAnsi="宋体" w:cs="宋体"/>
              </w:rPr>
              <w:t>负责，具体磋商、评审工作由依法</w:t>
            </w:r>
          </w:p>
          <w:p>
            <w:pPr>
              <w:spacing w:line="340" w:lineRule="exact"/>
              <w:ind w:left="315" w:hanging="315" w:hangingChars="150"/>
              <w:rPr>
                <w:rFonts w:ascii="宋体" w:hAnsi="宋体" w:cs="宋体"/>
              </w:rPr>
            </w:pPr>
            <w:r>
              <w:rPr>
                <w:rFonts w:hint="eastAsia" w:ascii="宋体" w:hAnsi="宋体" w:cs="宋体"/>
              </w:rPr>
              <w:t>组建的磋商小组负责，本项目的磋商小组由采购人代表和有关方面的专</w:t>
            </w:r>
          </w:p>
          <w:p>
            <w:pPr>
              <w:spacing w:line="340" w:lineRule="exact"/>
              <w:ind w:left="315" w:hanging="315" w:hangingChars="150"/>
              <w:rPr>
                <w:rFonts w:ascii="宋体" w:hAnsi="宋体" w:cs="宋体"/>
                <w:szCs w:val="21"/>
              </w:rPr>
            </w:pPr>
            <w:r>
              <w:rPr>
                <w:rFonts w:hint="eastAsia" w:ascii="宋体" w:hAnsi="宋体" w:cs="宋体"/>
              </w:rPr>
              <w:t>家组成。磋商小组的构成：3人，其中采购人代表1人，有关专家2人</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532" w:type="dxa"/>
            <w:vAlign w:val="center"/>
          </w:tcPr>
          <w:p>
            <w:pPr>
              <w:spacing w:line="360" w:lineRule="exact"/>
              <w:jc w:val="center"/>
              <w:rPr>
                <w:rFonts w:ascii="宋体" w:hAnsi="宋体" w:cs="宋体"/>
                <w:position w:val="-2"/>
                <w:szCs w:val="21"/>
              </w:rPr>
            </w:pPr>
            <w:r>
              <w:rPr>
                <w:rFonts w:hint="eastAsia" w:ascii="宋体" w:hAnsi="宋体" w:cs="宋体"/>
                <w:position w:val="-2"/>
                <w:szCs w:val="21"/>
              </w:rPr>
              <w:t>1</w:t>
            </w:r>
            <w:r>
              <w:rPr>
                <w:rFonts w:ascii="宋体" w:hAnsi="宋体" w:cs="宋体"/>
                <w:position w:val="-2"/>
                <w:szCs w:val="21"/>
              </w:rPr>
              <w:t>2</w:t>
            </w:r>
          </w:p>
        </w:tc>
        <w:tc>
          <w:tcPr>
            <w:tcW w:w="675" w:type="dxa"/>
            <w:vAlign w:val="center"/>
          </w:tcPr>
          <w:p>
            <w:pPr>
              <w:spacing w:line="360" w:lineRule="exact"/>
              <w:jc w:val="center"/>
              <w:rPr>
                <w:rFonts w:ascii="宋体" w:hAnsi="宋体" w:cs="宋体"/>
                <w:szCs w:val="21"/>
              </w:rPr>
            </w:pPr>
            <w:r>
              <w:rPr>
                <w:rFonts w:hint="eastAsia" w:ascii="宋体" w:hAnsi="宋体" w:cs="宋体"/>
                <w:szCs w:val="21"/>
              </w:rPr>
              <w:t>1</w:t>
            </w:r>
            <w:r>
              <w:rPr>
                <w:rFonts w:ascii="宋体" w:hAnsi="宋体" w:cs="宋体"/>
                <w:szCs w:val="21"/>
              </w:rPr>
              <w:t>8</w:t>
            </w:r>
            <w:r>
              <w:rPr>
                <w:rFonts w:hint="eastAsia" w:ascii="宋体" w:hAnsi="宋体" w:cs="宋体"/>
                <w:szCs w:val="21"/>
              </w:rPr>
              <w:t>.2</w:t>
            </w:r>
          </w:p>
        </w:tc>
        <w:tc>
          <w:tcPr>
            <w:tcW w:w="1635" w:type="dxa"/>
            <w:vAlign w:val="center"/>
          </w:tcPr>
          <w:p>
            <w:pPr>
              <w:spacing w:line="240" w:lineRule="exact"/>
              <w:jc w:val="center"/>
              <w:rPr>
                <w:rFonts w:ascii="宋体" w:hAnsi="宋体" w:cs="宋体"/>
                <w:szCs w:val="21"/>
              </w:rPr>
            </w:pPr>
            <w:r>
              <w:rPr>
                <w:rFonts w:hint="eastAsia" w:ascii="宋体" w:hAnsi="宋体" w:cs="宋体"/>
                <w:szCs w:val="21"/>
              </w:rPr>
              <w:t>磋商时间、地点、人员</w:t>
            </w:r>
          </w:p>
        </w:tc>
        <w:tc>
          <w:tcPr>
            <w:tcW w:w="7596" w:type="dxa"/>
          </w:tcPr>
          <w:p>
            <w:pPr>
              <w:spacing w:line="340" w:lineRule="exact"/>
              <w:ind w:left="315" w:hanging="315" w:hangingChars="150"/>
              <w:rPr>
                <w:rFonts w:ascii="宋体" w:hAnsi="宋体" w:cs="宋体"/>
                <w:szCs w:val="21"/>
              </w:rPr>
            </w:pPr>
            <w:r>
              <w:rPr>
                <w:rFonts w:hint="eastAsia" w:ascii="宋体" w:hAnsi="宋体" w:cs="宋体"/>
                <w:szCs w:val="21"/>
              </w:rPr>
              <w:t>19.2.1 磋商时间：响应文件递交截止时间后。</w:t>
            </w:r>
          </w:p>
          <w:p>
            <w:pPr>
              <w:spacing w:line="340" w:lineRule="exact"/>
              <w:ind w:left="735" w:hanging="735" w:hangingChars="350"/>
              <w:rPr>
                <w:rFonts w:ascii="宋体" w:hAnsi="宋体" w:cs="宋体"/>
                <w:szCs w:val="21"/>
                <w:u w:val="single"/>
              </w:rPr>
            </w:pPr>
            <w:r>
              <w:rPr>
                <w:rFonts w:hint="eastAsia" w:ascii="宋体" w:hAnsi="宋体" w:cs="宋体"/>
                <w:szCs w:val="21"/>
              </w:rPr>
              <w:t>19.2.2 磋商地点：</w:t>
            </w:r>
            <w:r>
              <w:rPr>
                <w:rFonts w:hint="eastAsia" w:ascii="宋体" w:hAnsi="宋体" w:cs="宋体"/>
                <w:szCs w:val="21"/>
                <w:u w:val="single"/>
              </w:rPr>
              <w:t>桂林市公共资源交易中心（广西桂林市临桂区西城中路69号创业大厦西辅楼4楼北区）</w:t>
            </w:r>
            <w:r>
              <w:rPr>
                <w:rFonts w:hint="eastAsia" w:ascii="宋体" w:hAnsi="宋体" w:cs="宋体"/>
                <w:szCs w:val="21"/>
              </w:rPr>
              <w:t>。</w:t>
            </w:r>
          </w:p>
          <w:p>
            <w:pPr>
              <w:spacing w:line="340" w:lineRule="exact"/>
              <w:rPr>
                <w:rFonts w:ascii="宋体" w:hAnsi="宋体" w:cs="宋体"/>
                <w:szCs w:val="21"/>
              </w:rPr>
            </w:pPr>
            <w:r>
              <w:rPr>
                <w:rFonts w:hint="eastAsia" w:ascii="宋体" w:hAnsi="宋体" w:cs="宋体"/>
                <w:szCs w:val="21"/>
              </w:rPr>
              <w:t>19.2.3 磋商参加人员：供应商法定代表人、负责人、自然人或相应的委托代理人持有效身份证原件参加磋商。请供应商按时到达指定地点等候当面磋商。</w:t>
            </w:r>
          </w:p>
          <w:p>
            <w:pPr>
              <w:tabs>
                <w:tab w:val="left" w:pos="1140"/>
              </w:tabs>
              <w:spacing w:line="340" w:lineRule="exact"/>
              <w:rPr>
                <w:rFonts w:ascii="宋体" w:hAnsi="宋体" w:cs="宋体"/>
                <w:b/>
                <w:szCs w:val="21"/>
              </w:rPr>
            </w:pPr>
            <w:r>
              <w:rPr>
                <w:rFonts w:hint="eastAsia" w:ascii="宋体" w:hAnsi="宋体" w:cs="宋体"/>
                <w:szCs w:val="21"/>
              </w:rPr>
              <w:t>19.2.4 响应文件递交截止时间后，磋商小组在评标室启封响应文件。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32" w:type="dxa"/>
            <w:vAlign w:val="center"/>
          </w:tcPr>
          <w:p>
            <w:pPr>
              <w:spacing w:line="400" w:lineRule="exact"/>
              <w:jc w:val="center"/>
              <w:rPr>
                <w:rFonts w:ascii="宋体" w:hAnsi="宋体" w:cs="宋体"/>
                <w:szCs w:val="21"/>
              </w:rPr>
            </w:pPr>
            <w:r>
              <w:rPr>
                <w:rFonts w:hint="eastAsia" w:ascii="宋体" w:hAnsi="宋体" w:cs="宋体"/>
                <w:szCs w:val="21"/>
              </w:rPr>
              <w:t>1</w:t>
            </w:r>
            <w:r>
              <w:rPr>
                <w:rFonts w:ascii="宋体" w:hAnsi="宋体" w:cs="宋体"/>
                <w:szCs w:val="21"/>
              </w:rPr>
              <w:t>3</w:t>
            </w:r>
          </w:p>
        </w:tc>
        <w:tc>
          <w:tcPr>
            <w:tcW w:w="675" w:type="dxa"/>
            <w:vAlign w:val="center"/>
          </w:tcPr>
          <w:p>
            <w:pPr>
              <w:spacing w:line="360" w:lineRule="exact"/>
              <w:jc w:val="center"/>
              <w:rPr>
                <w:rFonts w:ascii="宋体" w:hAnsi="宋体" w:cs="宋体"/>
                <w:szCs w:val="21"/>
              </w:rPr>
            </w:pPr>
            <w:r>
              <w:rPr>
                <w:rFonts w:ascii="宋体" w:hAnsi="宋体" w:cs="宋体"/>
                <w:szCs w:val="21"/>
              </w:rPr>
              <w:t>19</w:t>
            </w:r>
            <w:r>
              <w:rPr>
                <w:rFonts w:hint="eastAsia" w:ascii="宋体" w:hAnsi="宋体" w:cs="宋体"/>
                <w:szCs w:val="21"/>
              </w:rPr>
              <w:t>.2</w:t>
            </w:r>
          </w:p>
        </w:tc>
        <w:tc>
          <w:tcPr>
            <w:tcW w:w="1635" w:type="dxa"/>
            <w:vAlign w:val="center"/>
          </w:tcPr>
          <w:p>
            <w:pPr>
              <w:pStyle w:val="15"/>
              <w:spacing w:line="240" w:lineRule="exact"/>
              <w:ind w:left="29" w:leftChars="14"/>
              <w:jc w:val="center"/>
              <w:rPr>
                <w:rFonts w:hAnsi="宋体" w:cs="宋体"/>
                <w:kern w:val="0"/>
                <w:szCs w:val="21"/>
              </w:rPr>
            </w:pPr>
            <w:r>
              <w:rPr>
                <w:rFonts w:hint="eastAsia" w:hAnsi="宋体" w:cs="宋体"/>
                <w:kern w:val="0"/>
                <w:szCs w:val="21"/>
              </w:rPr>
              <w:t>评审办法</w:t>
            </w:r>
          </w:p>
        </w:tc>
        <w:tc>
          <w:tcPr>
            <w:tcW w:w="7596" w:type="dxa"/>
            <w:vAlign w:val="center"/>
          </w:tcPr>
          <w:p>
            <w:pPr>
              <w:tabs>
                <w:tab w:val="left" w:pos="1140"/>
              </w:tabs>
              <w:spacing w:line="340" w:lineRule="exact"/>
              <w:rPr>
                <w:rFonts w:ascii="宋体" w:hAnsi="宋体" w:cs="宋体"/>
                <w:szCs w:val="21"/>
              </w:rPr>
            </w:pPr>
            <w:r>
              <w:rPr>
                <w:rFonts w:hint="eastAsia" w:ascii="宋体" w:hAnsi="宋体" w:cs="宋体"/>
                <w:szCs w:val="21"/>
              </w:rPr>
              <w:t>综合评分法，具体详见第四章评审办法。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2" w:hRule="atLeast"/>
          <w:jc w:val="center"/>
        </w:trPr>
        <w:tc>
          <w:tcPr>
            <w:tcW w:w="532" w:type="dxa"/>
            <w:vAlign w:val="center"/>
          </w:tcPr>
          <w:p>
            <w:pPr>
              <w:spacing w:line="400" w:lineRule="exact"/>
              <w:jc w:val="center"/>
              <w:rPr>
                <w:rFonts w:ascii="宋体" w:hAnsi="宋体" w:cs="宋体"/>
                <w:szCs w:val="21"/>
              </w:rPr>
            </w:pPr>
            <w:r>
              <w:rPr>
                <w:rFonts w:hint="eastAsia" w:ascii="宋体" w:hAnsi="宋体" w:cs="宋体"/>
                <w:szCs w:val="21"/>
              </w:rPr>
              <w:t>1</w:t>
            </w:r>
            <w:r>
              <w:rPr>
                <w:rFonts w:ascii="宋体" w:hAnsi="宋体" w:cs="宋体"/>
                <w:szCs w:val="21"/>
              </w:rPr>
              <w:t>4</w:t>
            </w:r>
          </w:p>
        </w:tc>
        <w:tc>
          <w:tcPr>
            <w:tcW w:w="675" w:type="dxa"/>
            <w:vAlign w:val="center"/>
          </w:tcPr>
          <w:p>
            <w:pPr>
              <w:spacing w:line="360" w:lineRule="exact"/>
              <w:jc w:val="center"/>
              <w:rPr>
                <w:rFonts w:ascii="宋体" w:hAnsi="宋体" w:cs="宋体"/>
                <w:szCs w:val="21"/>
              </w:rPr>
            </w:pPr>
            <w:r>
              <w:rPr>
                <w:rFonts w:hint="eastAsia" w:ascii="宋体" w:hAnsi="宋体" w:cs="宋体"/>
                <w:szCs w:val="21"/>
              </w:rPr>
              <w:t>2</w:t>
            </w:r>
            <w:r>
              <w:rPr>
                <w:rFonts w:ascii="宋体" w:hAnsi="宋体" w:cs="宋体"/>
                <w:szCs w:val="21"/>
              </w:rPr>
              <w:t>6</w:t>
            </w:r>
          </w:p>
        </w:tc>
        <w:tc>
          <w:tcPr>
            <w:tcW w:w="1635" w:type="dxa"/>
            <w:vAlign w:val="center"/>
          </w:tcPr>
          <w:p>
            <w:pPr>
              <w:spacing w:line="400" w:lineRule="exact"/>
              <w:jc w:val="center"/>
              <w:rPr>
                <w:rFonts w:ascii="宋体" w:hAnsi="宋体" w:cs="宋体"/>
                <w:szCs w:val="21"/>
              </w:rPr>
            </w:pPr>
            <w:r>
              <w:rPr>
                <w:rFonts w:hint="eastAsia" w:ascii="宋体" w:hAnsi="宋体" w:cs="宋体"/>
                <w:szCs w:val="21"/>
              </w:rPr>
              <w:t>信用查询</w:t>
            </w:r>
          </w:p>
        </w:tc>
        <w:tc>
          <w:tcPr>
            <w:tcW w:w="7596" w:type="dxa"/>
            <w:vAlign w:val="center"/>
          </w:tcPr>
          <w:p>
            <w:pPr>
              <w:spacing w:line="340" w:lineRule="exact"/>
              <w:jc w:val="left"/>
              <w:rPr>
                <w:rFonts w:ascii="宋体" w:hAnsi="宋体" w:cs="宋体"/>
                <w:szCs w:val="21"/>
              </w:rPr>
            </w:pPr>
            <w:r>
              <w:rPr>
                <w:rFonts w:hint="eastAsia" w:ascii="宋体" w:hAnsi="宋体" w:cs="宋体"/>
                <w:szCs w:val="21"/>
              </w:rPr>
              <w:t>根据《关于做好政府采购有关信用主体标识码登记及在政府采购活动中查询使用信用记录有关问题的通知》（桂财采〔2016〕37），由采购代理机构对第一成交候选人进行信用查询：</w:t>
            </w:r>
          </w:p>
          <w:p>
            <w:pPr>
              <w:spacing w:line="340" w:lineRule="exact"/>
              <w:jc w:val="left"/>
              <w:rPr>
                <w:rFonts w:ascii="宋体" w:hAnsi="宋体" w:cs="宋体"/>
                <w:szCs w:val="21"/>
              </w:rPr>
            </w:pPr>
            <w:r>
              <w:rPr>
                <w:rFonts w:hint="eastAsia" w:ascii="宋体" w:hAnsi="宋体" w:cs="宋体"/>
                <w:szCs w:val="21"/>
              </w:rPr>
              <w:t>(1)查询渠道：“信用中国”网站(www.creditchina.gov.cn)、中国政府采购网(www.ccgp.gov.cn)等；</w:t>
            </w:r>
          </w:p>
          <w:p>
            <w:pPr>
              <w:spacing w:line="340" w:lineRule="exact"/>
              <w:jc w:val="left"/>
              <w:rPr>
                <w:rFonts w:ascii="宋体" w:hAnsi="宋体" w:cs="宋体"/>
                <w:szCs w:val="21"/>
              </w:rPr>
            </w:pPr>
            <w:r>
              <w:rPr>
                <w:rFonts w:hint="eastAsia" w:ascii="宋体" w:hAnsi="宋体" w:cs="宋体"/>
                <w:szCs w:val="21"/>
              </w:rPr>
              <w:t>⑵查询截止时间：成交通知书发出前；</w:t>
            </w:r>
          </w:p>
          <w:p>
            <w:pPr>
              <w:spacing w:line="340" w:lineRule="exact"/>
              <w:jc w:val="left"/>
              <w:rPr>
                <w:rFonts w:ascii="宋体" w:hAnsi="宋体" w:cs="宋体"/>
                <w:szCs w:val="21"/>
              </w:rPr>
            </w:pPr>
            <w:r>
              <w:rPr>
                <w:rFonts w:hint="eastAsia" w:ascii="宋体" w:hAnsi="宋体" w:cs="宋体"/>
                <w:szCs w:val="21"/>
              </w:rPr>
              <w:t>⑶信用信息查询记录和证据留存方式：在查询网站中直接打印查询记录，打印材料作为采购活动资料保存；</w:t>
            </w:r>
          </w:p>
          <w:p>
            <w:pPr>
              <w:spacing w:line="340" w:lineRule="exact"/>
              <w:jc w:val="left"/>
              <w:rPr>
                <w:rFonts w:ascii="宋体" w:hAnsi="宋体" w:cs="宋体"/>
                <w:szCs w:val="21"/>
              </w:rPr>
            </w:pPr>
            <w:r>
              <w:rPr>
                <w:rFonts w:hint="eastAsia" w:ascii="宋体" w:hAnsi="宋体" w:cs="宋体"/>
                <w:szCs w:val="21"/>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成交候选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32" w:type="dxa"/>
            <w:vAlign w:val="center"/>
          </w:tcPr>
          <w:p>
            <w:pPr>
              <w:spacing w:line="400" w:lineRule="exact"/>
              <w:jc w:val="center"/>
              <w:rPr>
                <w:rFonts w:ascii="宋体" w:hAnsi="宋体" w:cs="宋体"/>
                <w:szCs w:val="21"/>
              </w:rPr>
            </w:pPr>
            <w:r>
              <w:rPr>
                <w:rFonts w:hint="eastAsia" w:ascii="宋体" w:hAnsi="宋体" w:cs="宋体"/>
                <w:kern w:val="0"/>
                <w:szCs w:val="21"/>
              </w:rPr>
              <w:t>16</w:t>
            </w:r>
          </w:p>
        </w:tc>
        <w:tc>
          <w:tcPr>
            <w:tcW w:w="675" w:type="dxa"/>
            <w:vAlign w:val="center"/>
          </w:tcPr>
          <w:p>
            <w:pPr>
              <w:spacing w:line="360" w:lineRule="exact"/>
              <w:jc w:val="center"/>
              <w:rPr>
                <w:rFonts w:ascii="宋体" w:hAnsi="宋体" w:cs="宋体"/>
                <w:szCs w:val="21"/>
              </w:rPr>
            </w:pPr>
            <w:r>
              <w:rPr>
                <w:rFonts w:hint="eastAsia" w:ascii="宋体" w:hAnsi="宋体" w:cs="宋体"/>
                <w:szCs w:val="21"/>
              </w:rPr>
              <w:t>28</w:t>
            </w:r>
          </w:p>
        </w:tc>
        <w:tc>
          <w:tcPr>
            <w:tcW w:w="1635" w:type="dxa"/>
            <w:vAlign w:val="center"/>
          </w:tcPr>
          <w:p>
            <w:pPr>
              <w:spacing w:line="240" w:lineRule="exact"/>
              <w:jc w:val="center"/>
              <w:rPr>
                <w:rFonts w:ascii="宋体" w:hAnsi="宋体" w:cs="宋体"/>
                <w:szCs w:val="21"/>
              </w:rPr>
            </w:pPr>
            <w:r>
              <w:rPr>
                <w:rFonts w:hint="eastAsia" w:ascii="宋体" w:hAnsi="宋体" w:cs="宋体"/>
                <w:szCs w:val="21"/>
              </w:rPr>
              <w:t>成交公告</w:t>
            </w:r>
          </w:p>
          <w:p>
            <w:pPr>
              <w:spacing w:line="240" w:lineRule="exact"/>
              <w:jc w:val="center"/>
              <w:rPr>
                <w:rFonts w:ascii="宋体" w:hAnsi="宋体" w:cs="宋体"/>
                <w:szCs w:val="21"/>
              </w:rPr>
            </w:pPr>
            <w:r>
              <w:rPr>
                <w:rFonts w:hint="eastAsia" w:ascii="宋体" w:hAnsi="宋体" w:cs="宋体"/>
                <w:szCs w:val="21"/>
              </w:rPr>
              <w:t>及成交通知书</w:t>
            </w:r>
          </w:p>
        </w:tc>
        <w:tc>
          <w:tcPr>
            <w:tcW w:w="7596" w:type="dxa"/>
          </w:tcPr>
          <w:p>
            <w:pPr>
              <w:spacing w:line="340" w:lineRule="exact"/>
              <w:rPr>
                <w:rFonts w:ascii="宋体" w:hAnsi="宋体" w:cs="宋体"/>
                <w:szCs w:val="21"/>
              </w:rPr>
            </w:pPr>
            <w:r>
              <w:rPr>
                <w:rFonts w:hint="eastAsia" w:ascii="宋体" w:hAnsi="宋体" w:cs="宋体"/>
              </w:rPr>
              <w:t>2</w:t>
            </w:r>
            <w:r>
              <w:rPr>
                <w:rFonts w:ascii="宋体" w:hAnsi="宋体" w:cs="宋体"/>
              </w:rPr>
              <w:t>7</w:t>
            </w:r>
            <w:r>
              <w:rPr>
                <w:rFonts w:hint="eastAsia" w:ascii="宋体" w:hAnsi="宋体" w:cs="宋体"/>
              </w:rPr>
              <w:t xml:space="preserve">.1 </w:t>
            </w:r>
            <w:r>
              <w:rPr>
                <w:rFonts w:hint="eastAsia" w:ascii="宋体" w:hAnsi="宋体" w:cs="宋体"/>
                <w:szCs w:val="21"/>
              </w:rPr>
              <w:t>采购代理机构于评审结束后两个工作日内将评审报告送交采购人，采购人应当自收到评审报告五个工作日内在评审报告推荐的成交候选供应商中按顺序确定成交供应商，采购代理机构在成交供应商确定之日起两个工作日内发出成交通知书，并在指定媒体上公告成交信息。</w:t>
            </w:r>
          </w:p>
          <w:p>
            <w:pPr>
              <w:spacing w:line="340" w:lineRule="exact"/>
              <w:rPr>
                <w:rFonts w:ascii="宋体" w:hAnsi="宋体" w:cs="宋体"/>
                <w:szCs w:val="21"/>
              </w:rPr>
            </w:pPr>
            <w:r>
              <w:rPr>
                <w:rFonts w:hint="eastAsia" w:ascii="宋体" w:hAnsi="宋体" w:cs="宋体"/>
                <w:szCs w:val="21"/>
              </w:rPr>
              <w:t>2</w:t>
            </w:r>
            <w:r>
              <w:rPr>
                <w:rFonts w:ascii="宋体" w:hAnsi="宋体" w:cs="宋体"/>
                <w:szCs w:val="21"/>
              </w:rPr>
              <w:t>7</w:t>
            </w:r>
            <w:r>
              <w:rPr>
                <w:rFonts w:hint="eastAsia" w:ascii="宋体" w:hAnsi="宋体" w:cs="宋体"/>
                <w:szCs w:val="21"/>
              </w:rPr>
              <w:t>.2在发布成交公告的同时，采购代理机构向成交供应商发出成交通知书。成交供应商应自接到通知之日起七个工作日内，办理成交通知书领取手续。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32" w:type="dxa"/>
            <w:vAlign w:val="center"/>
          </w:tcPr>
          <w:p>
            <w:pPr>
              <w:spacing w:line="420" w:lineRule="exact"/>
              <w:jc w:val="center"/>
              <w:rPr>
                <w:rFonts w:ascii="宋体" w:hAnsi="宋体" w:cs="宋体"/>
                <w:szCs w:val="21"/>
              </w:rPr>
            </w:pPr>
            <w:r>
              <w:rPr>
                <w:rFonts w:hint="eastAsia" w:ascii="宋体" w:hAnsi="宋体" w:cs="宋体"/>
                <w:szCs w:val="21"/>
              </w:rPr>
              <w:t>17</w:t>
            </w:r>
          </w:p>
        </w:tc>
        <w:tc>
          <w:tcPr>
            <w:tcW w:w="675" w:type="dxa"/>
            <w:vAlign w:val="center"/>
          </w:tcPr>
          <w:p>
            <w:pPr>
              <w:spacing w:line="400" w:lineRule="exact"/>
              <w:jc w:val="center"/>
              <w:rPr>
                <w:rFonts w:ascii="宋体" w:hAnsi="宋体" w:cs="宋体"/>
                <w:szCs w:val="21"/>
              </w:rPr>
            </w:pPr>
            <w:r>
              <w:rPr>
                <w:rFonts w:hint="eastAsia" w:ascii="宋体" w:hAnsi="宋体" w:cs="宋体"/>
                <w:szCs w:val="21"/>
              </w:rPr>
              <w:t>2</w:t>
            </w:r>
            <w:r>
              <w:rPr>
                <w:rFonts w:ascii="宋体" w:hAnsi="宋体" w:cs="宋体"/>
                <w:szCs w:val="21"/>
              </w:rPr>
              <w:t>8</w:t>
            </w:r>
            <w:r>
              <w:rPr>
                <w:rFonts w:hint="eastAsia" w:ascii="宋体" w:hAnsi="宋体" w:cs="宋体"/>
                <w:szCs w:val="21"/>
              </w:rPr>
              <w:t>.1</w:t>
            </w:r>
          </w:p>
        </w:tc>
        <w:tc>
          <w:tcPr>
            <w:tcW w:w="1635" w:type="dxa"/>
            <w:vAlign w:val="center"/>
          </w:tcPr>
          <w:p>
            <w:pPr>
              <w:spacing w:line="320" w:lineRule="exact"/>
              <w:jc w:val="center"/>
              <w:rPr>
                <w:rFonts w:ascii="宋体" w:hAnsi="宋体" w:cs="宋体"/>
                <w:szCs w:val="21"/>
              </w:rPr>
            </w:pPr>
            <w:r>
              <w:rPr>
                <w:rFonts w:hint="eastAsia" w:ascii="宋体" w:hAnsi="宋体" w:cs="宋体"/>
                <w:szCs w:val="21"/>
              </w:rPr>
              <w:t>履约保证金</w:t>
            </w:r>
          </w:p>
        </w:tc>
        <w:tc>
          <w:tcPr>
            <w:tcW w:w="7596" w:type="dxa"/>
            <w:vAlign w:val="center"/>
          </w:tcPr>
          <w:p>
            <w:pPr>
              <w:spacing w:line="340" w:lineRule="exact"/>
              <w:rPr>
                <w:rFonts w:ascii="宋体" w:hAnsi="宋体" w:cs="宋体"/>
                <w:szCs w:val="21"/>
              </w:rPr>
            </w:pPr>
            <w:r>
              <w:rPr>
                <w:rFonts w:hint="eastAsia" w:ascii="宋体" w:hAnsi="宋体" w:cs="宋体"/>
                <w:szCs w:val="21"/>
              </w:rPr>
              <w:t>履约保证金金额按成交价的5%（人民币，四舍五入到元）提供，由成交供应商在领取成交通知书前将履约保证金以转账、电汇形式缴入桂林市秀峰区民政局履约保证金专户，或由成交人按成交价的10%提供银行履约担保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532" w:type="dxa"/>
            <w:vAlign w:val="center"/>
          </w:tcPr>
          <w:p>
            <w:pPr>
              <w:spacing w:line="400" w:lineRule="exact"/>
              <w:jc w:val="center"/>
              <w:rPr>
                <w:rFonts w:ascii="宋体" w:hAnsi="宋体" w:cs="宋体"/>
                <w:szCs w:val="21"/>
              </w:rPr>
            </w:pPr>
            <w:r>
              <w:rPr>
                <w:rFonts w:hint="eastAsia" w:ascii="宋体" w:hAnsi="宋体" w:cs="宋体"/>
                <w:szCs w:val="21"/>
              </w:rPr>
              <w:t>18</w:t>
            </w:r>
          </w:p>
        </w:tc>
        <w:tc>
          <w:tcPr>
            <w:tcW w:w="675" w:type="dxa"/>
            <w:vAlign w:val="center"/>
          </w:tcPr>
          <w:p>
            <w:pPr>
              <w:spacing w:line="400" w:lineRule="exact"/>
              <w:jc w:val="center"/>
              <w:rPr>
                <w:rFonts w:ascii="宋体" w:hAnsi="宋体" w:cs="宋体"/>
                <w:szCs w:val="21"/>
              </w:rPr>
            </w:pPr>
            <w:r>
              <w:rPr>
                <w:rFonts w:ascii="宋体" w:hAnsi="宋体" w:cs="宋体"/>
                <w:szCs w:val="21"/>
              </w:rPr>
              <w:t>29</w:t>
            </w:r>
            <w:r>
              <w:rPr>
                <w:rFonts w:hint="eastAsia" w:ascii="宋体" w:hAnsi="宋体" w:cs="宋体"/>
                <w:szCs w:val="21"/>
              </w:rPr>
              <w:t>.1</w:t>
            </w:r>
          </w:p>
        </w:tc>
        <w:tc>
          <w:tcPr>
            <w:tcW w:w="1635" w:type="dxa"/>
            <w:vAlign w:val="center"/>
          </w:tcPr>
          <w:p>
            <w:pPr>
              <w:spacing w:line="240" w:lineRule="exact"/>
              <w:jc w:val="center"/>
              <w:rPr>
                <w:rFonts w:ascii="宋体" w:hAnsi="宋体" w:cs="宋体"/>
                <w:szCs w:val="21"/>
              </w:rPr>
            </w:pPr>
            <w:r>
              <w:rPr>
                <w:rFonts w:hint="eastAsia" w:ascii="宋体" w:hAnsi="宋体" w:cs="宋体"/>
                <w:szCs w:val="21"/>
              </w:rPr>
              <w:t>签订合同时间</w:t>
            </w:r>
          </w:p>
        </w:tc>
        <w:tc>
          <w:tcPr>
            <w:tcW w:w="7596" w:type="dxa"/>
            <w:vAlign w:val="center"/>
          </w:tcPr>
          <w:p>
            <w:pPr>
              <w:spacing w:line="340" w:lineRule="exact"/>
              <w:rPr>
                <w:rFonts w:ascii="宋体" w:hAnsi="宋体" w:cs="宋体"/>
                <w:szCs w:val="21"/>
              </w:rPr>
            </w:pPr>
            <w:r>
              <w:rPr>
                <w:rFonts w:hint="eastAsia" w:ascii="宋体" w:hAnsi="宋体" w:cs="宋体"/>
              </w:rPr>
              <w:t>成交通知书发出之日起二十五日内。</w:t>
            </w:r>
            <w:r>
              <w:rPr>
                <w:rFonts w:hint="eastAsia" w:ascii="宋体" w:hAnsi="宋体" w:cs="宋体"/>
                <w:szCs w:val="21"/>
              </w:rPr>
              <w:t>成交供应商领取成交通知书后，应按规定与采购人签订合同。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32" w:type="dxa"/>
            <w:vAlign w:val="center"/>
          </w:tcPr>
          <w:p>
            <w:pPr>
              <w:spacing w:line="400" w:lineRule="exact"/>
              <w:jc w:val="center"/>
              <w:rPr>
                <w:rFonts w:ascii="宋体" w:hAnsi="宋体" w:cs="宋体"/>
                <w:szCs w:val="21"/>
              </w:rPr>
            </w:pPr>
            <w:r>
              <w:rPr>
                <w:rFonts w:hint="eastAsia" w:ascii="宋体" w:hAnsi="宋体" w:cs="宋体"/>
                <w:szCs w:val="21"/>
              </w:rPr>
              <w:t>19</w:t>
            </w:r>
          </w:p>
        </w:tc>
        <w:tc>
          <w:tcPr>
            <w:tcW w:w="675" w:type="dxa"/>
            <w:vAlign w:val="center"/>
          </w:tcPr>
          <w:p>
            <w:pPr>
              <w:spacing w:line="400" w:lineRule="exact"/>
              <w:jc w:val="center"/>
              <w:rPr>
                <w:rFonts w:ascii="宋体" w:hAnsi="宋体" w:cs="宋体"/>
                <w:szCs w:val="21"/>
              </w:rPr>
            </w:pPr>
            <w:r>
              <w:rPr>
                <w:rFonts w:ascii="宋体" w:hAnsi="宋体" w:cs="宋体"/>
                <w:szCs w:val="21"/>
              </w:rPr>
              <w:t>29</w:t>
            </w:r>
            <w:r>
              <w:rPr>
                <w:rFonts w:hint="eastAsia" w:ascii="宋体" w:hAnsi="宋体" w:cs="宋体"/>
                <w:szCs w:val="21"/>
              </w:rPr>
              <w:t>.4</w:t>
            </w:r>
          </w:p>
        </w:tc>
        <w:tc>
          <w:tcPr>
            <w:tcW w:w="1635" w:type="dxa"/>
            <w:vAlign w:val="center"/>
          </w:tcPr>
          <w:p>
            <w:pPr>
              <w:spacing w:line="240" w:lineRule="exact"/>
              <w:jc w:val="center"/>
              <w:rPr>
                <w:rFonts w:ascii="宋体" w:hAnsi="宋体" w:cs="宋体"/>
                <w:szCs w:val="21"/>
              </w:rPr>
            </w:pPr>
            <w:r>
              <w:rPr>
                <w:rFonts w:hint="eastAsia" w:ascii="宋体" w:hAnsi="宋体" w:cs="宋体"/>
                <w:szCs w:val="21"/>
              </w:rPr>
              <w:t>合同备案存档</w:t>
            </w:r>
          </w:p>
        </w:tc>
        <w:tc>
          <w:tcPr>
            <w:tcW w:w="7596" w:type="dxa"/>
            <w:vAlign w:val="center"/>
          </w:tcPr>
          <w:p>
            <w:pPr>
              <w:spacing w:line="340" w:lineRule="exact"/>
              <w:rPr>
                <w:rFonts w:ascii="宋体" w:hAnsi="宋体" w:cs="宋体"/>
                <w:szCs w:val="21"/>
              </w:rPr>
            </w:pPr>
            <w:r>
              <w:rPr>
                <w:rFonts w:hint="eastAsia" w:ascii="宋体" w:hAnsi="宋体" w:cs="宋体"/>
              </w:rPr>
              <w:t>政府采购合同双方自签订之日起1个工作日内将合同原件两份交采购代理机构。采购代理机构将政府采购合同在省级以上人民政府财政部门指定媒体上公告并于合同签订之日起7个工作日内将一份合同原件送桂林市政府采购管理办公室备案，一份由采购代理机构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2" w:type="dxa"/>
            <w:vAlign w:val="center"/>
          </w:tcPr>
          <w:p>
            <w:pPr>
              <w:spacing w:line="400" w:lineRule="exact"/>
              <w:jc w:val="center"/>
              <w:rPr>
                <w:rFonts w:ascii="宋体" w:hAnsi="宋体" w:cs="宋体"/>
                <w:szCs w:val="21"/>
              </w:rPr>
            </w:pPr>
            <w:r>
              <w:rPr>
                <w:rFonts w:hint="eastAsia" w:ascii="宋体" w:hAnsi="宋体" w:cs="宋体"/>
                <w:szCs w:val="21"/>
              </w:rPr>
              <w:t>20</w:t>
            </w:r>
          </w:p>
        </w:tc>
        <w:tc>
          <w:tcPr>
            <w:tcW w:w="675" w:type="dxa"/>
            <w:vAlign w:val="center"/>
          </w:tcPr>
          <w:p>
            <w:pPr>
              <w:spacing w:line="400" w:lineRule="exact"/>
              <w:jc w:val="center"/>
              <w:rPr>
                <w:rFonts w:ascii="宋体" w:hAnsi="宋体" w:cs="宋体"/>
                <w:szCs w:val="21"/>
              </w:rPr>
            </w:pPr>
            <w:r>
              <w:rPr>
                <w:rFonts w:hint="eastAsia" w:ascii="宋体" w:hAnsi="宋体" w:cs="宋体"/>
                <w:szCs w:val="21"/>
              </w:rPr>
              <w:t>3</w:t>
            </w:r>
            <w:r>
              <w:rPr>
                <w:rFonts w:ascii="宋体" w:hAnsi="宋体" w:cs="宋体"/>
                <w:szCs w:val="21"/>
              </w:rPr>
              <w:t>0</w:t>
            </w:r>
            <w:r>
              <w:rPr>
                <w:rFonts w:hint="eastAsia" w:ascii="宋体" w:hAnsi="宋体" w:cs="宋体"/>
                <w:szCs w:val="21"/>
              </w:rPr>
              <w:t>.1</w:t>
            </w:r>
          </w:p>
        </w:tc>
        <w:tc>
          <w:tcPr>
            <w:tcW w:w="1635" w:type="dxa"/>
            <w:vAlign w:val="center"/>
          </w:tcPr>
          <w:p>
            <w:pPr>
              <w:spacing w:line="240" w:lineRule="exact"/>
              <w:jc w:val="center"/>
              <w:rPr>
                <w:rFonts w:ascii="宋体" w:hAnsi="宋体" w:cs="宋体"/>
                <w:color w:val="0000FF"/>
                <w:szCs w:val="21"/>
              </w:rPr>
            </w:pPr>
            <w:r>
              <w:rPr>
                <w:rFonts w:hint="eastAsia" w:ascii="宋体" w:hAnsi="宋体" w:cs="宋体"/>
                <w:szCs w:val="21"/>
              </w:rPr>
              <w:t>代理服务费</w:t>
            </w:r>
          </w:p>
        </w:tc>
        <w:tc>
          <w:tcPr>
            <w:tcW w:w="7596" w:type="dxa"/>
          </w:tcPr>
          <w:p>
            <w:pPr>
              <w:spacing w:line="340" w:lineRule="exact"/>
              <w:rPr>
                <w:rFonts w:ascii="宋体" w:hAnsi="宋体" w:cs="宋体"/>
                <w:color w:val="0000FF"/>
                <w:szCs w:val="21"/>
              </w:rPr>
            </w:pPr>
            <w:r>
              <w:rPr>
                <w:rFonts w:hint="eastAsia" w:ascii="宋体" w:hAnsi="宋体" w:cs="宋体"/>
                <w:szCs w:val="21"/>
              </w:rPr>
              <w:t>本项目代理服务费按本须知第</w:t>
            </w:r>
            <w:r>
              <w:rPr>
                <w:rFonts w:ascii="宋体" w:hAnsi="宋体" w:cs="宋体"/>
                <w:szCs w:val="21"/>
              </w:rPr>
              <w:t>30</w:t>
            </w:r>
            <w:r>
              <w:rPr>
                <w:rFonts w:hint="eastAsia" w:ascii="宋体" w:hAnsi="宋体" w:cs="宋体"/>
                <w:szCs w:val="21"/>
              </w:rPr>
              <w:t>.2条“代理服务收费标准”中服务类收费标准计算，由成交供应商在领取成交通知书前，向采购代理机构一次性支付（不足人民币6000元的，按6000元支付）。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2" w:type="dxa"/>
            <w:vAlign w:val="center"/>
          </w:tcPr>
          <w:p>
            <w:pPr>
              <w:spacing w:line="400" w:lineRule="exact"/>
              <w:jc w:val="center"/>
              <w:rPr>
                <w:rFonts w:ascii="宋体" w:hAnsi="宋体" w:cs="宋体"/>
                <w:szCs w:val="21"/>
              </w:rPr>
            </w:pPr>
            <w:r>
              <w:rPr>
                <w:rFonts w:hint="eastAsia" w:ascii="宋体" w:hAnsi="宋体" w:cs="宋体"/>
                <w:szCs w:val="21"/>
              </w:rPr>
              <w:t>21</w:t>
            </w:r>
          </w:p>
        </w:tc>
        <w:tc>
          <w:tcPr>
            <w:tcW w:w="675" w:type="dxa"/>
            <w:vAlign w:val="center"/>
          </w:tcPr>
          <w:p>
            <w:pPr>
              <w:spacing w:line="400" w:lineRule="exact"/>
              <w:jc w:val="center"/>
              <w:rPr>
                <w:rFonts w:ascii="宋体" w:hAnsi="宋体" w:cs="宋体"/>
                <w:szCs w:val="21"/>
              </w:rPr>
            </w:pPr>
            <w:r>
              <w:rPr>
                <w:rFonts w:hint="eastAsia" w:ascii="宋体" w:hAnsi="宋体" w:cs="宋体"/>
                <w:szCs w:val="21"/>
              </w:rPr>
              <w:t>3</w:t>
            </w:r>
            <w:r>
              <w:rPr>
                <w:rFonts w:ascii="宋体" w:hAnsi="宋体" w:cs="宋体"/>
                <w:szCs w:val="21"/>
              </w:rPr>
              <w:t>2</w:t>
            </w:r>
          </w:p>
        </w:tc>
        <w:tc>
          <w:tcPr>
            <w:tcW w:w="1635" w:type="dxa"/>
            <w:vAlign w:val="center"/>
          </w:tcPr>
          <w:p>
            <w:pPr>
              <w:spacing w:line="240" w:lineRule="exact"/>
              <w:jc w:val="center"/>
              <w:rPr>
                <w:rFonts w:ascii="宋体" w:hAnsi="宋体" w:cs="宋体"/>
                <w:szCs w:val="21"/>
              </w:rPr>
            </w:pPr>
            <w:r>
              <w:rPr>
                <w:rFonts w:hint="eastAsia" w:ascii="宋体" w:hAnsi="宋体" w:cs="宋体"/>
                <w:szCs w:val="21"/>
              </w:rPr>
              <w:t>解释权</w:t>
            </w:r>
          </w:p>
        </w:tc>
        <w:tc>
          <w:tcPr>
            <w:tcW w:w="7596" w:type="dxa"/>
          </w:tcPr>
          <w:p>
            <w:pPr>
              <w:spacing w:line="340" w:lineRule="exact"/>
              <w:rPr>
                <w:rFonts w:ascii="宋体" w:hAnsi="宋体" w:cs="宋体"/>
                <w:szCs w:val="21"/>
              </w:rPr>
            </w:pPr>
            <w:r>
              <w:rPr>
                <w:rFonts w:hint="eastAsia" w:ascii="宋体" w:hAnsi="宋体" w:cs="宋体"/>
                <w:szCs w:val="21"/>
              </w:rPr>
              <w:t>本竞争性磋商文件是根据《中华人民共和国政府采购法》、《中华人民共和国政府采购法实施条例》、《政府采购竞争性磋商采购方式管理暂行办法》和政府采购管理有关规定编制，本竞争性磋商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2" w:type="dxa"/>
            <w:vAlign w:val="center"/>
          </w:tcPr>
          <w:p>
            <w:pPr>
              <w:spacing w:line="400" w:lineRule="exact"/>
              <w:jc w:val="center"/>
              <w:rPr>
                <w:rFonts w:ascii="宋体" w:hAnsi="宋体" w:cs="宋体"/>
                <w:szCs w:val="21"/>
              </w:rPr>
            </w:pPr>
            <w:r>
              <w:rPr>
                <w:rFonts w:hint="eastAsia" w:ascii="宋体" w:hAnsi="宋体" w:cs="宋体"/>
                <w:szCs w:val="21"/>
              </w:rPr>
              <w:t>22</w:t>
            </w:r>
          </w:p>
        </w:tc>
        <w:tc>
          <w:tcPr>
            <w:tcW w:w="675" w:type="dxa"/>
            <w:vAlign w:val="center"/>
          </w:tcPr>
          <w:p>
            <w:pPr>
              <w:spacing w:line="400" w:lineRule="exact"/>
              <w:jc w:val="center"/>
              <w:rPr>
                <w:rFonts w:ascii="宋体" w:hAnsi="宋体" w:cs="宋体"/>
                <w:szCs w:val="21"/>
              </w:rPr>
            </w:pPr>
            <w:r>
              <w:rPr>
                <w:rFonts w:hint="eastAsia" w:ascii="宋体" w:hAnsi="宋体" w:cs="宋体"/>
                <w:szCs w:val="21"/>
              </w:rPr>
              <w:t>3</w:t>
            </w:r>
            <w:r>
              <w:rPr>
                <w:rFonts w:ascii="宋体" w:hAnsi="宋体" w:cs="宋体"/>
                <w:szCs w:val="21"/>
              </w:rPr>
              <w:t>3</w:t>
            </w:r>
          </w:p>
        </w:tc>
        <w:tc>
          <w:tcPr>
            <w:tcW w:w="1635" w:type="dxa"/>
            <w:vAlign w:val="center"/>
          </w:tcPr>
          <w:p>
            <w:pPr>
              <w:spacing w:line="240" w:lineRule="exact"/>
              <w:jc w:val="center"/>
              <w:rPr>
                <w:rFonts w:ascii="宋体" w:hAnsi="宋体" w:cs="宋体"/>
                <w:szCs w:val="21"/>
              </w:rPr>
            </w:pPr>
            <w:r>
              <w:rPr>
                <w:rFonts w:hint="eastAsia" w:ascii="宋体" w:hAnsi="宋体" w:cs="宋体"/>
                <w:szCs w:val="21"/>
              </w:rPr>
              <w:t>监督管理机构</w:t>
            </w:r>
          </w:p>
        </w:tc>
        <w:tc>
          <w:tcPr>
            <w:tcW w:w="7596" w:type="dxa"/>
            <w:vAlign w:val="center"/>
          </w:tcPr>
          <w:p>
            <w:pPr>
              <w:spacing w:line="340" w:lineRule="exact"/>
              <w:rPr>
                <w:rFonts w:ascii="宋体" w:hAnsi="宋体" w:cs="宋体"/>
                <w:szCs w:val="21"/>
              </w:rPr>
            </w:pPr>
            <w:r>
              <w:rPr>
                <w:rFonts w:ascii="宋体" w:hAnsi="宋体" w:cs="宋体"/>
                <w:szCs w:val="21"/>
              </w:rPr>
              <w:t>桂林市秀峰区政府采购管理办公室</w:t>
            </w:r>
            <w:r>
              <w:rPr>
                <w:rFonts w:hint="eastAsia" w:ascii="宋体" w:hAnsi="宋体" w:cs="宋体"/>
                <w:szCs w:val="21"/>
              </w:rPr>
              <w:t xml:space="preserve">          </w:t>
            </w:r>
            <w:r>
              <w:rPr>
                <w:rFonts w:ascii="宋体" w:hAnsi="宋体" w:cs="宋体"/>
                <w:szCs w:val="21"/>
              </w:rPr>
              <w:t>联系电话：0773-8990786</w:t>
            </w:r>
          </w:p>
        </w:tc>
      </w:tr>
    </w:tbl>
    <w:p>
      <w:pPr>
        <w:spacing w:line="380" w:lineRule="exact"/>
        <w:jc w:val="center"/>
        <w:rPr>
          <w:rFonts w:ascii="宋体" w:hAnsi="宋体" w:cs="宋体"/>
          <w:b/>
          <w:sz w:val="28"/>
          <w:szCs w:val="28"/>
        </w:rPr>
      </w:pPr>
    </w:p>
    <w:p>
      <w:pPr>
        <w:spacing w:line="380" w:lineRule="exact"/>
        <w:jc w:val="center"/>
        <w:rPr>
          <w:rFonts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一、总则</w:t>
      </w:r>
    </w:p>
    <w:p>
      <w:pPr>
        <w:spacing w:line="360" w:lineRule="auto"/>
        <w:ind w:firstLine="422" w:firstLineChars="200"/>
        <w:rPr>
          <w:rFonts w:ascii="宋体" w:hAnsi="宋体" w:cs="宋体"/>
          <w:b/>
          <w:szCs w:val="21"/>
        </w:rPr>
      </w:pPr>
      <w:r>
        <w:rPr>
          <w:rFonts w:hint="eastAsia" w:ascii="宋体" w:hAnsi="宋体" w:cs="宋体"/>
          <w:b/>
          <w:szCs w:val="21"/>
        </w:rPr>
        <w:t>1.适应范围</w:t>
      </w:r>
    </w:p>
    <w:p>
      <w:pPr>
        <w:spacing w:line="360" w:lineRule="auto"/>
        <w:ind w:firstLine="420" w:firstLineChars="200"/>
        <w:rPr>
          <w:rFonts w:ascii="宋体" w:hAnsi="宋体" w:cs="宋体"/>
          <w:szCs w:val="21"/>
        </w:rPr>
      </w:pPr>
      <w:r>
        <w:rPr>
          <w:rFonts w:hint="eastAsia" w:ascii="宋体" w:hAnsi="宋体" w:cs="宋体"/>
          <w:szCs w:val="21"/>
        </w:rPr>
        <w:t>1.1项目名称及项目编号：</w:t>
      </w:r>
    </w:p>
    <w:p>
      <w:pPr>
        <w:spacing w:line="360" w:lineRule="auto"/>
        <w:ind w:firstLine="420" w:firstLineChars="200"/>
        <w:rPr>
          <w:rFonts w:ascii="宋体" w:hAnsi="宋体" w:cs="宋体"/>
          <w:szCs w:val="21"/>
        </w:rPr>
      </w:pPr>
      <w:r>
        <w:rPr>
          <w:rFonts w:hint="eastAsia" w:ascii="宋体" w:hAnsi="宋体" w:cs="宋体"/>
          <w:szCs w:val="21"/>
        </w:rPr>
        <w:t>项目名称：社会救助及特困人员开展入户核查评估服务采购</w:t>
      </w:r>
    </w:p>
    <w:p>
      <w:pPr>
        <w:spacing w:line="360" w:lineRule="auto"/>
        <w:ind w:firstLine="420" w:firstLineChars="200"/>
        <w:rPr>
          <w:rFonts w:hint="eastAsia" w:ascii="宋体" w:hAnsi="宋体" w:cs="宋体"/>
          <w:szCs w:val="21"/>
        </w:rPr>
      </w:pPr>
      <w:r>
        <w:rPr>
          <w:rFonts w:hint="eastAsia" w:ascii="宋体" w:hAnsi="宋体" w:cs="宋体"/>
          <w:szCs w:val="21"/>
        </w:rPr>
        <w:t>项目编号：GLZC2020-C3-990545-GXTZ</w:t>
      </w:r>
    </w:p>
    <w:p>
      <w:pPr>
        <w:spacing w:line="360" w:lineRule="auto"/>
        <w:ind w:firstLine="420" w:firstLineChars="200"/>
        <w:rPr>
          <w:rFonts w:ascii="宋体" w:hAnsi="宋体" w:cs="宋体"/>
          <w:szCs w:val="21"/>
        </w:rPr>
      </w:pPr>
      <w:r>
        <w:rPr>
          <w:rFonts w:hint="eastAsia" w:ascii="宋体" w:hAnsi="宋体" w:cs="宋体"/>
          <w:szCs w:val="21"/>
        </w:rPr>
        <w:t>1.2本竞争性磋商文件（以下简称磋商文件）适用于本磋商项目的磋商、评审、合同履约、验收、付款等行为（法律、法规另有规定的，从其规定）。</w:t>
      </w:r>
    </w:p>
    <w:p>
      <w:pPr>
        <w:spacing w:line="360" w:lineRule="auto"/>
        <w:ind w:firstLine="422" w:firstLineChars="200"/>
        <w:rPr>
          <w:rFonts w:ascii="宋体" w:hAnsi="宋体" w:cs="宋体"/>
          <w:b/>
          <w:szCs w:val="21"/>
        </w:rPr>
      </w:pPr>
      <w:r>
        <w:rPr>
          <w:rFonts w:hint="eastAsia" w:ascii="宋体" w:hAnsi="宋体" w:cs="宋体"/>
          <w:b/>
          <w:szCs w:val="21"/>
        </w:rPr>
        <w:t>2.定义</w:t>
      </w:r>
    </w:p>
    <w:p>
      <w:pPr>
        <w:spacing w:line="360" w:lineRule="auto"/>
        <w:ind w:firstLine="420" w:firstLineChars="200"/>
        <w:rPr>
          <w:rFonts w:ascii="宋体" w:hAnsi="宋体" w:cs="宋体"/>
          <w:szCs w:val="21"/>
        </w:rPr>
      </w:pPr>
      <w:r>
        <w:rPr>
          <w:rFonts w:hint="eastAsia" w:ascii="宋体" w:hAnsi="宋体" w:cs="宋体"/>
          <w:szCs w:val="21"/>
        </w:rPr>
        <w:t>2.1“供应商”是指符合本次采购项目的供应商资格并提交响应文件、参加磋商的供应商。 如果该供应商在本次磋商中成交，即成为“成交供应商”。</w:t>
      </w:r>
    </w:p>
    <w:p>
      <w:pPr>
        <w:snapToGrid w:val="0"/>
        <w:spacing w:line="360" w:lineRule="auto"/>
        <w:ind w:firstLine="420" w:firstLineChars="200"/>
        <w:jc w:val="left"/>
        <w:rPr>
          <w:rFonts w:ascii="宋体" w:hAnsi="宋体" w:cs="宋体"/>
          <w:szCs w:val="21"/>
        </w:rPr>
      </w:pPr>
      <w:r>
        <w:rPr>
          <w:rFonts w:hint="eastAsia" w:ascii="宋体" w:hAnsi="宋体" w:cs="宋体"/>
          <w:szCs w:val="21"/>
        </w:rPr>
        <w:t>2.2“服务” 系指按磋商文件规定，供应商须承担的以及其他类似的义务；</w:t>
      </w:r>
    </w:p>
    <w:p>
      <w:pPr>
        <w:spacing w:line="360" w:lineRule="auto"/>
        <w:ind w:firstLine="420" w:firstLineChars="200"/>
        <w:rPr>
          <w:rFonts w:ascii="宋体" w:hAnsi="宋体" w:cs="宋体"/>
          <w:szCs w:val="21"/>
        </w:rPr>
      </w:pPr>
      <w:r>
        <w:rPr>
          <w:rFonts w:hint="eastAsia" w:ascii="宋体" w:hAnsi="宋体" w:cs="宋体"/>
          <w:szCs w:val="21"/>
        </w:rPr>
        <w:t>2.3“项目”系指供应商按磋商文件规定向采购人提供的服务。</w:t>
      </w:r>
    </w:p>
    <w:p>
      <w:pPr>
        <w:spacing w:line="360" w:lineRule="auto"/>
        <w:ind w:firstLine="420" w:firstLineChars="200"/>
        <w:rPr>
          <w:rFonts w:ascii="宋体" w:hAnsi="宋体" w:cs="宋体"/>
          <w:szCs w:val="21"/>
        </w:rPr>
      </w:pPr>
      <w:r>
        <w:rPr>
          <w:rFonts w:hint="eastAsia" w:ascii="宋体" w:hAnsi="宋体" w:cs="宋体"/>
          <w:szCs w:val="21"/>
        </w:rPr>
        <w:t>2.4“书面形式”包括信函、传真、电报等。</w:t>
      </w:r>
    </w:p>
    <w:p>
      <w:pPr>
        <w:spacing w:line="360" w:lineRule="auto"/>
        <w:ind w:firstLine="422" w:firstLineChars="200"/>
        <w:rPr>
          <w:rFonts w:ascii="宋体" w:hAnsi="宋体" w:cs="宋体"/>
          <w:b/>
          <w:szCs w:val="21"/>
        </w:rPr>
      </w:pPr>
      <w:r>
        <w:rPr>
          <w:rFonts w:hint="eastAsia" w:ascii="宋体" w:hAnsi="宋体" w:cs="宋体"/>
          <w:b/>
          <w:szCs w:val="21"/>
        </w:rPr>
        <w:t>3.供应商资格</w:t>
      </w:r>
    </w:p>
    <w:p>
      <w:pPr>
        <w:spacing w:line="360" w:lineRule="auto"/>
        <w:ind w:firstLine="420" w:firstLineChars="200"/>
        <w:rPr>
          <w:rFonts w:ascii="宋体" w:hAnsi="宋体" w:cs="宋体"/>
          <w:bCs/>
          <w:szCs w:val="21"/>
        </w:rPr>
      </w:pPr>
      <w:r>
        <w:rPr>
          <w:rFonts w:hint="eastAsia" w:ascii="宋体" w:hAnsi="宋体" w:cs="宋体"/>
          <w:bCs/>
          <w:szCs w:val="21"/>
        </w:rPr>
        <w:t>3.1.符合《中华人民共和国政府采购法》第二十二条规定，具备合法资格的供应商；</w:t>
      </w:r>
    </w:p>
    <w:p>
      <w:pPr>
        <w:spacing w:line="360" w:lineRule="auto"/>
        <w:ind w:firstLine="420" w:firstLineChars="200"/>
        <w:rPr>
          <w:rFonts w:ascii="宋体" w:hAnsi="宋体" w:cs="宋体"/>
          <w:bCs/>
          <w:szCs w:val="21"/>
        </w:rPr>
      </w:pPr>
      <w:r>
        <w:rPr>
          <w:rFonts w:hint="eastAsia" w:ascii="宋体" w:hAnsi="宋体" w:cs="宋体"/>
          <w:bCs/>
          <w:szCs w:val="21"/>
        </w:rPr>
        <w:t>3.2.供应商有固定的办公场所、专职工作人员；</w:t>
      </w:r>
    </w:p>
    <w:p>
      <w:pPr>
        <w:spacing w:line="360" w:lineRule="auto"/>
        <w:ind w:firstLine="420" w:firstLineChars="200"/>
        <w:rPr>
          <w:rFonts w:ascii="宋体" w:hAnsi="宋体" w:cs="宋体"/>
          <w:bCs/>
          <w:szCs w:val="21"/>
        </w:rPr>
      </w:pPr>
      <w:r>
        <w:rPr>
          <w:rFonts w:hint="eastAsia" w:ascii="宋体" w:hAnsi="宋体" w:cs="宋体"/>
          <w:bCs/>
          <w:szCs w:val="21"/>
        </w:rPr>
        <w:t>3.3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360" w:lineRule="auto"/>
        <w:ind w:firstLine="420" w:firstLineChars="200"/>
        <w:rPr>
          <w:rFonts w:ascii="宋体" w:hAnsi="宋体" w:cs="宋体"/>
          <w:bCs/>
          <w:szCs w:val="21"/>
        </w:rPr>
      </w:pPr>
      <w:r>
        <w:rPr>
          <w:rFonts w:hint="eastAsia" w:ascii="宋体" w:hAnsi="宋体" w:cs="宋体"/>
          <w:bCs/>
          <w:szCs w:val="21"/>
        </w:rPr>
        <w:t>3.4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auto"/>
        <w:ind w:firstLine="420" w:firstLineChars="200"/>
        <w:rPr>
          <w:rFonts w:ascii="宋体" w:hAnsi="宋体" w:cs="宋体"/>
          <w:bCs/>
          <w:szCs w:val="21"/>
        </w:rPr>
      </w:pPr>
      <w:r>
        <w:rPr>
          <w:rFonts w:hint="eastAsia" w:ascii="宋体" w:hAnsi="宋体" w:cs="宋体"/>
          <w:bCs/>
          <w:szCs w:val="21"/>
        </w:rPr>
        <w:t>3.5.本项目不接受联合体参与磋商。</w:t>
      </w:r>
    </w:p>
    <w:p>
      <w:pPr>
        <w:spacing w:line="360" w:lineRule="auto"/>
        <w:ind w:firstLine="422" w:firstLineChars="200"/>
        <w:rPr>
          <w:rFonts w:ascii="宋体" w:hAnsi="宋体" w:cs="宋体"/>
          <w:b/>
          <w:szCs w:val="21"/>
        </w:rPr>
      </w:pPr>
      <w:r>
        <w:rPr>
          <w:rFonts w:hint="eastAsia" w:ascii="宋体" w:hAnsi="宋体" w:cs="宋体"/>
          <w:b/>
          <w:szCs w:val="21"/>
        </w:rPr>
        <w:t>4.磋商费用</w:t>
      </w:r>
    </w:p>
    <w:p>
      <w:pPr>
        <w:tabs>
          <w:tab w:val="left" w:pos="1635"/>
        </w:tabs>
        <w:spacing w:line="360" w:lineRule="auto"/>
        <w:ind w:firstLine="420" w:firstLineChars="200"/>
        <w:rPr>
          <w:rFonts w:ascii="宋体" w:hAnsi="宋体" w:cs="宋体"/>
          <w:szCs w:val="21"/>
        </w:rPr>
      </w:pPr>
      <w:r>
        <w:rPr>
          <w:rFonts w:hint="eastAsia" w:ascii="宋体" w:hAnsi="宋体" w:cs="宋体"/>
          <w:szCs w:val="21"/>
        </w:rPr>
        <w:t>不论磋商结果如何，供应商均应自行承担所有与磋商有关的全部费用。</w:t>
      </w:r>
    </w:p>
    <w:p>
      <w:pPr>
        <w:tabs>
          <w:tab w:val="left" w:pos="1635"/>
        </w:tabs>
        <w:spacing w:line="360" w:lineRule="auto"/>
        <w:ind w:firstLine="422" w:firstLineChars="200"/>
        <w:rPr>
          <w:rFonts w:ascii="宋体" w:hAnsi="宋体" w:cs="宋体"/>
          <w:b/>
          <w:szCs w:val="21"/>
        </w:rPr>
      </w:pPr>
      <w:r>
        <w:rPr>
          <w:rFonts w:hint="eastAsia" w:ascii="宋体" w:hAnsi="宋体" w:cs="宋体"/>
          <w:b/>
          <w:szCs w:val="21"/>
        </w:rPr>
        <w:t>5.联合体要求：</w:t>
      </w:r>
    </w:p>
    <w:p>
      <w:pPr>
        <w:snapToGrid w:val="0"/>
        <w:spacing w:line="360" w:lineRule="auto"/>
        <w:ind w:firstLine="420" w:firstLineChars="200"/>
        <w:jc w:val="left"/>
        <w:rPr>
          <w:rFonts w:ascii="宋体" w:hAnsi="宋体" w:cs="宋体"/>
          <w:b/>
          <w:szCs w:val="21"/>
        </w:rPr>
      </w:pPr>
      <w:r>
        <w:rPr>
          <w:rFonts w:hint="eastAsia" w:ascii="宋体" w:hAnsi="宋体" w:cs="宋体"/>
          <w:szCs w:val="21"/>
        </w:rPr>
        <w:t>本项目不接受联合体参与磋商。</w:t>
      </w:r>
    </w:p>
    <w:p>
      <w:pPr>
        <w:tabs>
          <w:tab w:val="left" w:pos="1770"/>
        </w:tabs>
        <w:spacing w:line="360" w:lineRule="auto"/>
        <w:ind w:firstLine="422" w:firstLineChars="200"/>
        <w:rPr>
          <w:rFonts w:ascii="宋体" w:hAnsi="宋体" w:cs="宋体"/>
          <w:b/>
          <w:szCs w:val="21"/>
        </w:rPr>
      </w:pPr>
      <w:r>
        <w:rPr>
          <w:rFonts w:hint="eastAsia" w:ascii="宋体" w:hAnsi="宋体" w:cs="宋体"/>
          <w:b/>
          <w:szCs w:val="21"/>
        </w:rPr>
        <w:t>6.质疑和投诉</w:t>
      </w:r>
      <w:r>
        <w:rPr>
          <w:rFonts w:hint="eastAsia" w:ascii="宋体" w:hAnsi="宋体" w:cs="宋体"/>
          <w:b/>
          <w:szCs w:val="21"/>
        </w:rPr>
        <w:tab/>
      </w:r>
    </w:p>
    <w:p>
      <w:pPr>
        <w:tabs>
          <w:tab w:val="left" w:pos="2190"/>
        </w:tabs>
        <w:spacing w:line="360" w:lineRule="auto"/>
        <w:ind w:firstLine="420" w:firstLineChars="200"/>
        <w:rPr>
          <w:rFonts w:ascii="宋体" w:hAnsi="宋体" w:cs="宋体"/>
          <w:szCs w:val="21"/>
        </w:rPr>
      </w:pPr>
      <w:r>
        <w:rPr>
          <w:rFonts w:hint="eastAsia" w:ascii="宋体" w:hAnsi="宋体" w:cs="宋体"/>
          <w:szCs w:val="21"/>
        </w:rPr>
        <w:t>6.1供应商认为磋商文件使自己的合法权益受到损害的，应当于公告期限结束之日起7个工作日内以书面形式要求采购代理机构澄清；供应商认为采购过程或成交结果使自己的合法权益受到损害的，应当在各采购程序环节结束之日或成交公告期限届满之日起七个工作日内，以书面形式向采购代理机构提出质疑。采购代理机构应认真做好质疑处理工作。供应商在法定质疑期内应一次性提出与项目相关的质疑，供应商在提出与项目相关的质疑前应当做好全面且详细的工作，代理机构不再受理供应商针对同一采购程序环节的再次质疑</w:t>
      </w:r>
      <w:r>
        <w:rPr>
          <w:rFonts w:hint="eastAsia" w:ascii="宋体" w:hAnsi="宋体" w:cs="宋体"/>
          <w:b/>
          <w:szCs w:val="21"/>
        </w:rPr>
        <w:t>（“质疑函”格式见附表1）</w:t>
      </w:r>
      <w:r>
        <w:rPr>
          <w:rFonts w:hint="eastAsia" w:ascii="宋体" w:hAnsi="宋体" w:cs="宋体"/>
          <w:szCs w:val="21"/>
        </w:rPr>
        <w:t>。</w:t>
      </w:r>
    </w:p>
    <w:p>
      <w:pPr>
        <w:tabs>
          <w:tab w:val="left" w:pos="2190"/>
        </w:tabs>
        <w:spacing w:line="360" w:lineRule="auto"/>
        <w:ind w:firstLine="420" w:firstLineChars="200"/>
        <w:rPr>
          <w:rFonts w:ascii="宋体" w:hAnsi="宋体" w:cs="宋体"/>
          <w:szCs w:val="21"/>
        </w:rPr>
      </w:pPr>
      <w:r>
        <w:rPr>
          <w:rFonts w:hint="eastAsia" w:ascii="宋体" w:hAnsi="宋体" w:cs="宋体"/>
          <w:szCs w:val="21"/>
        </w:rPr>
        <w:t>6.2供应商对采购代理机构的质疑答复不满意或者采购代理机构未在规定的时间内作出答复的，可以在答复期满后十五个工作日内向林市秀峰区政府采购管理办公室投诉</w:t>
      </w:r>
      <w:r>
        <w:rPr>
          <w:rFonts w:hint="eastAsia" w:ascii="宋体" w:hAnsi="宋体" w:cs="宋体"/>
          <w:b/>
          <w:szCs w:val="21"/>
        </w:rPr>
        <w:t>（“投诉书”格式见附表2）</w:t>
      </w:r>
      <w:r>
        <w:rPr>
          <w:rFonts w:hint="eastAsia" w:ascii="宋体" w:hAnsi="宋体" w:cs="宋体"/>
          <w:szCs w:val="21"/>
        </w:rPr>
        <w:t>。</w:t>
      </w:r>
    </w:p>
    <w:p>
      <w:pPr>
        <w:tabs>
          <w:tab w:val="left" w:pos="2190"/>
        </w:tabs>
        <w:spacing w:line="360" w:lineRule="auto"/>
        <w:ind w:firstLine="420" w:firstLineChars="200"/>
        <w:jc w:val="left"/>
        <w:rPr>
          <w:rFonts w:ascii="宋体" w:hAnsi="宋体" w:cs="宋体"/>
          <w:szCs w:val="21"/>
        </w:rPr>
      </w:pPr>
      <w:r>
        <w:rPr>
          <w:rFonts w:hint="eastAsia" w:ascii="宋体" w:hAnsi="宋体" w:cs="宋体"/>
          <w:szCs w:val="21"/>
        </w:rPr>
        <w:t>6.3质疑、投诉应当采用书面形式，质疑书、投诉书实行实名制，均应明确阐述磋商文件、磋商过程或成交结果中使自己合法权益受到损害的实质性内容，并提供必要的证明材料。</w:t>
      </w:r>
    </w:p>
    <w:p>
      <w:pPr>
        <w:tabs>
          <w:tab w:val="left" w:pos="2190"/>
        </w:tabs>
        <w:spacing w:line="360" w:lineRule="auto"/>
        <w:ind w:firstLine="420" w:firstLineChars="200"/>
        <w:rPr>
          <w:rFonts w:ascii="宋体" w:hAnsi="宋体" w:cs="宋体"/>
          <w:szCs w:val="21"/>
        </w:rPr>
      </w:pPr>
      <w:r>
        <w:rPr>
          <w:rFonts w:hint="eastAsia" w:ascii="宋体" w:hAnsi="宋体" w:cs="宋体"/>
          <w:szCs w:val="21"/>
        </w:rPr>
        <w:t>供应商提出质疑应当提交质疑函和必要的证明材料，针对同一采购程序环节的质疑必须在法定质疑期内一次性提出。质疑函应当包括下列内容：</w:t>
      </w:r>
    </w:p>
    <w:p>
      <w:pPr>
        <w:tabs>
          <w:tab w:val="left" w:pos="2190"/>
        </w:tabs>
        <w:spacing w:line="360" w:lineRule="auto"/>
        <w:ind w:firstLine="420" w:firstLineChars="200"/>
        <w:rPr>
          <w:rFonts w:ascii="宋体" w:hAnsi="宋体" w:cs="宋体"/>
          <w:szCs w:val="21"/>
        </w:rPr>
      </w:pPr>
      <w:r>
        <w:rPr>
          <w:rFonts w:hint="eastAsia" w:ascii="宋体" w:hAnsi="宋体" w:cs="宋体"/>
          <w:szCs w:val="21"/>
        </w:rPr>
        <w:t>（1）供应商的姓名或者名称、地址、邮编、联系人及联系电话；</w:t>
      </w:r>
    </w:p>
    <w:p>
      <w:pPr>
        <w:tabs>
          <w:tab w:val="left" w:pos="2190"/>
        </w:tabs>
        <w:spacing w:line="360" w:lineRule="auto"/>
        <w:ind w:firstLine="420" w:firstLineChars="200"/>
        <w:rPr>
          <w:rFonts w:ascii="宋体" w:hAnsi="宋体" w:cs="宋体"/>
          <w:szCs w:val="21"/>
        </w:rPr>
      </w:pPr>
      <w:r>
        <w:rPr>
          <w:rFonts w:hint="eastAsia" w:ascii="宋体" w:hAnsi="宋体" w:cs="宋体"/>
          <w:szCs w:val="21"/>
        </w:rPr>
        <w:t>（2）质疑项目的名称、编号；</w:t>
      </w:r>
    </w:p>
    <w:p>
      <w:pPr>
        <w:tabs>
          <w:tab w:val="left" w:pos="2190"/>
        </w:tabs>
        <w:spacing w:line="360" w:lineRule="auto"/>
        <w:ind w:firstLine="420" w:firstLineChars="200"/>
        <w:rPr>
          <w:rFonts w:ascii="宋体" w:hAnsi="宋体" w:cs="宋体"/>
          <w:szCs w:val="21"/>
        </w:rPr>
      </w:pPr>
      <w:r>
        <w:rPr>
          <w:rFonts w:hint="eastAsia" w:ascii="宋体" w:hAnsi="宋体" w:cs="宋体"/>
          <w:szCs w:val="21"/>
        </w:rPr>
        <w:t>（3）具体、明确的质疑事项和与质疑事项相关的请求；</w:t>
      </w:r>
    </w:p>
    <w:p>
      <w:pPr>
        <w:tabs>
          <w:tab w:val="left" w:pos="2190"/>
        </w:tabs>
        <w:spacing w:line="360" w:lineRule="auto"/>
        <w:ind w:firstLine="420" w:firstLineChars="200"/>
        <w:rPr>
          <w:rFonts w:ascii="宋体" w:hAnsi="宋体" w:cs="宋体"/>
          <w:szCs w:val="21"/>
        </w:rPr>
      </w:pPr>
      <w:r>
        <w:rPr>
          <w:rFonts w:hint="eastAsia" w:ascii="宋体" w:hAnsi="宋体" w:cs="宋体"/>
          <w:szCs w:val="21"/>
        </w:rPr>
        <w:t>（4）事实依据；</w:t>
      </w:r>
    </w:p>
    <w:p>
      <w:pPr>
        <w:tabs>
          <w:tab w:val="left" w:pos="2190"/>
        </w:tabs>
        <w:spacing w:line="360" w:lineRule="auto"/>
        <w:ind w:firstLine="420" w:firstLineChars="200"/>
        <w:rPr>
          <w:rFonts w:ascii="宋体" w:hAnsi="宋体" w:cs="宋体"/>
          <w:szCs w:val="21"/>
        </w:rPr>
      </w:pPr>
      <w:r>
        <w:rPr>
          <w:rFonts w:hint="eastAsia" w:ascii="宋体" w:hAnsi="宋体" w:cs="宋体"/>
          <w:szCs w:val="21"/>
        </w:rPr>
        <w:t>（5）必要的法律依据；</w:t>
      </w:r>
    </w:p>
    <w:p>
      <w:pPr>
        <w:tabs>
          <w:tab w:val="left" w:pos="2190"/>
        </w:tabs>
        <w:spacing w:line="360" w:lineRule="auto"/>
        <w:ind w:firstLine="420" w:firstLineChars="200"/>
        <w:rPr>
          <w:rFonts w:ascii="宋体" w:hAnsi="宋体" w:cs="宋体"/>
          <w:szCs w:val="21"/>
        </w:rPr>
      </w:pPr>
      <w:r>
        <w:rPr>
          <w:rFonts w:hint="eastAsia" w:ascii="宋体" w:hAnsi="宋体" w:cs="宋体"/>
          <w:szCs w:val="21"/>
        </w:rPr>
        <w:t>（6）提出质疑的日期。</w:t>
      </w:r>
    </w:p>
    <w:p>
      <w:pPr>
        <w:tabs>
          <w:tab w:val="left" w:pos="2190"/>
        </w:tabs>
        <w:spacing w:line="360" w:lineRule="auto"/>
        <w:ind w:firstLine="420" w:firstLineChars="200"/>
        <w:rPr>
          <w:rFonts w:ascii="宋体" w:hAnsi="宋体" w:cs="宋体"/>
          <w:szCs w:val="21"/>
        </w:rPr>
      </w:pPr>
      <w:r>
        <w:rPr>
          <w:rFonts w:hint="eastAsia" w:ascii="宋体" w:hAnsi="宋体" w:cs="宋体"/>
          <w:szCs w:val="21"/>
        </w:rPr>
        <w:t>供应商为自然人的，应当由本人签字；供应商为法人或者其他组织的，应当由法定代表人、主要负责人，或者其授权代表签字或者盖章，并加盖公章。</w:t>
      </w:r>
    </w:p>
    <w:p>
      <w:pPr>
        <w:tabs>
          <w:tab w:val="left" w:pos="2190"/>
        </w:tabs>
        <w:spacing w:line="360" w:lineRule="auto"/>
        <w:ind w:firstLine="420" w:firstLineChars="200"/>
        <w:rPr>
          <w:rFonts w:ascii="宋体" w:hAnsi="宋体" w:cs="宋体"/>
          <w:szCs w:val="21"/>
        </w:rPr>
      </w:pPr>
      <w:r>
        <w:rPr>
          <w:rFonts w:hint="eastAsia" w:ascii="宋体" w:hAnsi="宋体" w:cs="宋体"/>
          <w:szCs w:val="21"/>
        </w:rPr>
        <w:t>接收质疑函方式：以书面形式质疑联系部门及联系方式：广西同泽工程项目管理股份有限公司，联系人：秦敏，联系电话：0773-7595050。通讯地址：</w:t>
      </w:r>
      <w:r>
        <w:rPr>
          <w:rFonts w:hint="eastAsia" w:ascii="宋体" w:hAnsi="宋体"/>
        </w:rPr>
        <w:t>桂林市秀峰区中隐路31号B栋五楼</w:t>
      </w:r>
      <w:r>
        <w:rPr>
          <w:rFonts w:hint="eastAsia" w:ascii="宋体" w:hAnsi="宋体" w:cs="宋体"/>
          <w:szCs w:val="21"/>
        </w:rPr>
        <w:t>。</w:t>
      </w:r>
    </w:p>
    <w:p>
      <w:pPr>
        <w:tabs>
          <w:tab w:val="left" w:pos="2190"/>
        </w:tabs>
        <w:spacing w:line="360" w:lineRule="auto"/>
        <w:ind w:firstLine="422" w:firstLineChars="200"/>
        <w:rPr>
          <w:rFonts w:ascii="宋体" w:hAnsi="宋体" w:cs="宋体"/>
          <w:b/>
          <w:szCs w:val="21"/>
        </w:rPr>
      </w:pPr>
      <w:r>
        <w:rPr>
          <w:rFonts w:hint="eastAsia" w:ascii="宋体" w:hAnsi="宋体" w:cs="宋体"/>
          <w:b/>
          <w:szCs w:val="21"/>
        </w:rPr>
        <w:t>7.转包与分包</w:t>
      </w:r>
    </w:p>
    <w:p>
      <w:pPr>
        <w:tabs>
          <w:tab w:val="left" w:pos="2190"/>
        </w:tabs>
        <w:spacing w:line="360" w:lineRule="auto"/>
        <w:ind w:firstLine="420" w:firstLineChars="200"/>
        <w:rPr>
          <w:rFonts w:ascii="宋体" w:hAnsi="宋体" w:cs="宋体"/>
          <w:szCs w:val="21"/>
        </w:rPr>
      </w:pPr>
      <w:r>
        <w:rPr>
          <w:rFonts w:hint="eastAsia" w:ascii="宋体" w:hAnsi="宋体" w:cs="宋体"/>
          <w:szCs w:val="21"/>
        </w:rPr>
        <w:t>7.1本项目不允许转包。</w:t>
      </w:r>
    </w:p>
    <w:p>
      <w:pPr>
        <w:tabs>
          <w:tab w:val="left" w:pos="2190"/>
        </w:tabs>
        <w:spacing w:line="360" w:lineRule="auto"/>
        <w:ind w:firstLine="420" w:firstLineChars="200"/>
        <w:rPr>
          <w:rFonts w:ascii="宋体" w:hAnsi="宋体" w:cs="宋体"/>
          <w:szCs w:val="21"/>
        </w:rPr>
      </w:pPr>
      <w:r>
        <w:rPr>
          <w:rFonts w:hint="eastAsia" w:ascii="宋体" w:hAnsi="宋体" w:cs="宋体"/>
          <w:szCs w:val="21"/>
        </w:rPr>
        <w:t>7.2本项目不可以分包。</w:t>
      </w:r>
    </w:p>
    <w:p>
      <w:pPr>
        <w:tabs>
          <w:tab w:val="left" w:pos="1635"/>
        </w:tabs>
        <w:spacing w:line="360" w:lineRule="auto"/>
        <w:ind w:firstLine="422" w:firstLineChars="200"/>
        <w:rPr>
          <w:rFonts w:ascii="宋体" w:hAnsi="宋体" w:cs="宋体"/>
          <w:b/>
          <w:szCs w:val="21"/>
        </w:rPr>
      </w:pPr>
      <w:r>
        <w:rPr>
          <w:rFonts w:hint="eastAsia" w:ascii="宋体" w:hAnsi="宋体" w:cs="宋体"/>
          <w:b/>
          <w:szCs w:val="21"/>
        </w:rPr>
        <w:t>8.特别说明</w:t>
      </w:r>
    </w:p>
    <w:p>
      <w:pPr>
        <w:tabs>
          <w:tab w:val="left" w:pos="1635"/>
        </w:tabs>
        <w:spacing w:line="360" w:lineRule="auto"/>
        <w:ind w:firstLine="420" w:firstLineChars="200"/>
        <w:rPr>
          <w:rFonts w:ascii="宋体" w:hAnsi="宋体" w:cs="宋体"/>
          <w:szCs w:val="21"/>
        </w:rPr>
      </w:pPr>
      <w:r>
        <w:rPr>
          <w:rFonts w:hint="eastAsia" w:ascii="宋体" w:hAnsi="宋体" w:cs="宋体"/>
          <w:szCs w:val="21"/>
        </w:rPr>
        <w:t>关联供应商不得参加同一合同项下政府采购活动，否则响应文件将被视为无效：</w:t>
      </w:r>
    </w:p>
    <w:p>
      <w:pPr>
        <w:tabs>
          <w:tab w:val="left" w:pos="1635"/>
        </w:tabs>
        <w:spacing w:line="360" w:lineRule="auto"/>
        <w:ind w:firstLine="420" w:firstLineChars="200"/>
        <w:rPr>
          <w:rFonts w:ascii="宋体" w:hAnsi="宋体" w:cs="宋体"/>
          <w:szCs w:val="21"/>
        </w:rPr>
      </w:pPr>
      <w:r>
        <w:rPr>
          <w:rFonts w:hint="eastAsia" w:ascii="宋体" w:hAnsi="宋体" w:cs="宋体"/>
          <w:szCs w:val="21"/>
        </w:rPr>
        <w:t>（1）单位负责人为同一人或者存在直接控股、管理关系的不同供应商，不得参加同一合同项下的政府采购活动。</w:t>
      </w:r>
    </w:p>
    <w:p>
      <w:pPr>
        <w:tabs>
          <w:tab w:val="left" w:pos="1635"/>
        </w:tabs>
        <w:spacing w:line="360" w:lineRule="auto"/>
        <w:ind w:firstLine="420" w:firstLineChars="200"/>
        <w:rPr>
          <w:rFonts w:ascii="宋体" w:hAnsi="宋体" w:cs="宋体"/>
          <w:szCs w:val="21"/>
        </w:rPr>
      </w:pPr>
      <w:r>
        <w:rPr>
          <w:rFonts w:hint="eastAsia" w:ascii="宋体" w:hAnsi="宋体" w:cs="宋体"/>
          <w:szCs w:val="21"/>
        </w:rPr>
        <w:t>（2）为本采购项目提供整体设计、规范编制或者项目管理、监理、检测等服务的供应商，不得再参加本次采购活动。</w:t>
      </w:r>
    </w:p>
    <w:p>
      <w:pPr>
        <w:rPr>
          <w:rFonts w:ascii="宋体" w:hAnsi="宋体" w:cs="宋体"/>
          <w:b/>
          <w:sz w:val="28"/>
          <w:szCs w:val="28"/>
        </w:rPr>
      </w:pPr>
      <w:r>
        <w:rPr>
          <w:rFonts w:hint="eastAsia" w:ascii="宋体" w:hAnsi="宋体" w:cs="宋体"/>
          <w:b/>
          <w:sz w:val="28"/>
          <w:szCs w:val="28"/>
        </w:rPr>
        <w:br w:type="page"/>
      </w:r>
    </w:p>
    <w:p>
      <w:pPr>
        <w:pStyle w:val="15"/>
      </w:pPr>
    </w:p>
    <w:p>
      <w:pPr>
        <w:tabs>
          <w:tab w:val="left" w:pos="2190"/>
        </w:tabs>
        <w:spacing w:line="380" w:lineRule="exact"/>
        <w:ind w:firstLine="435"/>
        <w:jc w:val="center"/>
        <w:rPr>
          <w:rFonts w:ascii="宋体" w:hAnsi="宋体" w:cs="宋体"/>
          <w:b/>
          <w:sz w:val="28"/>
          <w:szCs w:val="28"/>
        </w:rPr>
      </w:pPr>
      <w:r>
        <w:rPr>
          <w:rFonts w:hint="eastAsia" w:ascii="宋体" w:hAnsi="宋体" w:cs="宋体"/>
          <w:b/>
          <w:sz w:val="28"/>
          <w:szCs w:val="28"/>
        </w:rPr>
        <w:t>二、磋商文件</w:t>
      </w:r>
    </w:p>
    <w:p>
      <w:pPr>
        <w:tabs>
          <w:tab w:val="left" w:pos="2190"/>
        </w:tabs>
        <w:spacing w:line="360" w:lineRule="auto"/>
        <w:ind w:firstLine="422" w:firstLineChars="200"/>
        <w:rPr>
          <w:rFonts w:ascii="宋体" w:hAnsi="宋体" w:cs="宋体"/>
          <w:b/>
          <w:szCs w:val="21"/>
        </w:rPr>
      </w:pPr>
      <w:r>
        <w:rPr>
          <w:rFonts w:hint="eastAsia" w:ascii="宋体" w:hAnsi="宋体" w:cs="宋体"/>
          <w:b/>
          <w:szCs w:val="21"/>
        </w:rPr>
        <w:t>9.磋商文件的构成</w:t>
      </w:r>
    </w:p>
    <w:p>
      <w:pPr>
        <w:tabs>
          <w:tab w:val="left" w:pos="2190"/>
        </w:tabs>
        <w:spacing w:line="360" w:lineRule="auto"/>
        <w:ind w:firstLine="420" w:firstLineChars="200"/>
        <w:rPr>
          <w:rFonts w:ascii="宋体" w:hAnsi="宋体" w:cs="宋体"/>
          <w:szCs w:val="21"/>
        </w:rPr>
      </w:pPr>
      <w:r>
        <w:rPr>
          <w:rFonts w:hint="eastAsia" w:ascii="宋体" w:hAnsi="宋体" w:cs="宋体"/>
          <w:szCs w:val="21"/>
        </w:rPr>
        <w:t>（1）竞争性磋商公告；</w:t>
      </w:r>
    </w:p>
    <w:p>
      <w:pPr>
        <w:tabs>
          <w:tab w:val="left" w:pos="2190"/>
        </w:tabs>
        <w:spacing w:line="360" w:lineRule="auto"/>
        <w:ind w:firstLine="420" w:firstLineChars="200"/>
        <w:rPr>
          <w:rFonts w:ascii="宋体" w:hAnsi="宋体" w:cs="宋体"/>
          <w:szCs w:val="21"/>
        </w:rPr>
      </w:pPr>
      <w:r>
        <w:rPr>
          <w:rFonts w:hint="eastAsia" w:ascii="宋体" w:hAnsi="宋体" w:cs="宋体"/>
          <w:szCs w:val="21"/>
        </w:rPr>
        <w:t>（2）供应商须知；</w:t>
      </w:r>
    </w:p>
    <w:p>
      <w:pPr>
        <w:tabs>
          <w:tab w:val="left" w:pos="2190"/>
        </w:tabs>
        <w:spacing w:line="360" w:lineRule="auto"/>
        <w:ind w:firstLine="420" w:firstLineChars="200"/>
        <w:rPr>
          <w:rFonts w:ascii="宋体" w:hAnsi="宋体" w:cs="宋体"/>
          <w:szCs w:val="21"/>
        </w:rPr>
      </w:pPr>
      <w:r>
        <w:rPr>
          <w:rFonts w:hint="eastAsia" w:ascii="宋体" w:hAnsi="宋体" w:cs="宋体"/>
          <w:szCs w:val="21"/>
        </w:rPr>
        <w:t>（3）项目需求；</w:t>
      </w:r>
    </w:p>
    <w:p>
      <w:pPr>
        <w:tabs>
          <w:tab w:val="left" w:pos="2190"/>
        </w:tabs>
        <w:spacing w:line="360" w:lineRule="auto"/>
        <w:ind w:firstLine="420" w:firstLineChars="200"/>
        <w:rPr>
          <w:rFonts w:ascii="宋体" w:hAnsi="宋体" w:cs="宋体"/>
          <w:szCs w:val="21"/>
        </w:rPr>
      </w:pPr>
      <w:r>
        <w:rPr>
          <w:rFonts w:hint="eastAsia" w:ascii="宋体" w:hAnsi="宋体" w:cs="宋体"/>
          <w:szCs w:val="21"/>
        </w:rPr>
        <w:t>（4）评审办法；</w:t>
      </w:r>
    </w:p>
    <w:p>
      <w:pPr>
        <w:tabs>
          <w:tab w:val="left" w:pos="2190"/>
        </w:tabs>
        <w:spacing w:line="360" w:lineRule="auto"/>
        <w:ind w:firstLine="420" w:firstLineChars="200"/>
        <w:rPr>
          <w:rFonts w:ascii="宋体" w:hAnsi="宋体" w:cs="宋体"/>
          <w:szCs w:val="21"/>
        </w:rPr>
      </w:pPr>
      <w:r>
        <w:rPr>
          <w:rFonts w:hint="eastAsia" w:ascii="宋体" w:hAnsi="宋体" w:cs="宋体"/>
          <w:szCs w:val="21"/>
        </w:rPr>
        <w:t>（5）政府采购合同（合同主要条款及格式）；</w:t>
      </w:r>
    </w:p>
    <w:p>
      <w:pPr>
        <w:tabs>
          <w:tab w:val="left" w:pos="2190"/>
        </w:tabs>
        <w:spacing w:line="360" w:lineRule="auto"/>
        <w:ind w:firstLine="420" w:firstLineChars="200"/>
        <w:rPr>
          <w:rFonts w:ascii="宋体" w:hAnsi="宋体" w:cs="宋体"/>
          <w:szCs w:val="21"/>
        </w:rPr>
      </w:pPr>
      <w:r>
        <w:rPr>
          <w:rFonts w:hint="eastAsia" w:ascii="宋体" w:hAnsi="宋体" w:cs="宋体"/>
          <w:szCs w:val="21"/>
        </w:rPr>
        <w:t>（6）响应文件（格式）。</w:t>
      </w:r>
    </w:p>
    <w:p>
      <w:pPr>
        <w:tabs>
          <w:tab w:val="left" w:pos="2190"/>
        </w:tabs>
        <w:spacing w:line="360" w:lineRule="auto"/>
        <w:ind w:firstLine="422" w:firstLineChars="200"/>
        <w:rPr>
          <w:rFonts w:ascii="宋体" w:hAnsi="宋体" w:cs="宋体"/>
          <w:b/>
          <w:szCs w:val="21"/>
        </w:rPr>
      </w:pPr>
      <w:r>
        <w:rPr>
          <w:rFonts w:hint="eastAsia" w:ascii="宋体" w:hAnsi="宋体" w:cs="宋体"/>
          <w:b/>
          <w:szCs w:val="21"/>
        </w:rPr>
        <w:t>10.磋商文件的澄清与修改</w:t>
      </w:r>
    </w:p>
    <w:p>
      <w:pPr>
        <w:tabs>
          <w:tab w:val="left" w:pos="2190"/>
        </w:tabs>
        <w:spacing w:line="360" w:lineRule="auto"/>
        <w:ind w:firstLine="420" w:firstLineChars="200"/>
        <w:rPr>
          <w:rFonts w:ascii="宋体" w:hAnsi="宋体" w:cs="宋体"/>
          <w:szCs w:val="21"/>
        </w:rPr>
      </w:pPr>
      <w:r>
        <w:rPr>
          <w:rFonts w:hint="eastAsia" w:ascii="宋体" w:hAnsi="宋体" w:cs="宋体"/>
          <w:szCs w:val="21"/>
        </w:rPr>
        <w:t>10.1提交首次响应文件截止之日前，采购代理机构可以对已发出的磋商文件进行必要澄清或者修改，澄清或者修改的内容可能影响响应文件编制的，采购代理机构应当在提交首次响应文件递交截止时间五日前在本项目竞争性磋商公告发布的同一媒体上发布更正公告，不足五日的，应当顺延首次响应文件递交截止时间。</w:t>
      </w:r>
    </w:p>
    <w:p>
      <w:pPr>
        <w:tabs>
          <w:tab w:val="left" w:pos="2190"/>
        </w:tabs>
        <w:spacing w:line="360" w:lineRule="auto"/>
        <w:ind w:firstLine="420" w:firstLineChars="200"/>
        <w:rPr>
          <w:rFonts w:ascii="宋体" w:hAnsi="宋体" w:cs="宋体"/>
          <w:b/>
          <w:szCs w:val="21"/>
        </w:rPr>
      </w:pPr>
      <w:r>
        <w:rPr>
          <w:rFonts w:hint="eastAsia" w:ascii="宋体" w:hAnsi="宋体" w:cs="宋体"/>
          <w:szCs w:val="21"/>
        </w:rPr>
        <w:t>10.2</w:t>
      </w:r>
      <w:r>
        <w:rPr>
          <w:rFonts w:hint="eastAsia" w:ascii="宋体" w:hAnsi="宋体" w:cs="宋体"/>
          <w:b/>
          <w:szCs w:val="21"/>
        </w:rPr>
        <w:t>供应商必须实时关注相关网站了解澄清、修改等与项目有关的内容，如因供应商未及时登录相关网站了解澄清、修改等与项目有关的内容，从而导致响应文件无效的，由供应商自行承担责任。</w:t>
      </w:r>
    </w:p>
    <w:p>
      <w:pPr>
        <w:tabs>
          <w:tab w:val="left" w:pos="2190"/>
        </w:tabs>
        <w:spacing w:line="360" w:lineRule="auto"/>
        <w:ind w:firstLine="420" w:firstLineChars="200"/>
        <w:rPr>
          <w:rFonts w:ascii="宋体" w:hAnsi="宋体" w:cs="宋体"/>
          <w:szCs w:val="21"/>
        </w:rPr>
      </w:pPr>
      <w:r>
        <w:rPr>
          <w:rFonts w:hint="eastAsia" w:ascii="宋体" w:hAnsi="宋体" w:cs="宋体"/>
          <w:szCs w:val="21"/>
        </w:rPr>
        <w:t>10.3澄清或者修改的内容为磋商文件的组成部分。当澄清或者修改通知就同一内容的表述不一致时，以最后发出的书面文件为准。</w:t>
      </w:r>
    </w:p>
    <w:p>
      <w:pPr>
        <w:tabs>
          <w:tab w:val="left" w:pos="2190"/>
        </w:tabs>
        <w:spacing w:line="360" w:lineRule="auto"/>
        <w:ind w:firstLine="420" w:firstLineChars="200"/>
        <w:rPr>
          <w:rFonts w:ascii="宋体" w:hAnsi="宋体" w:cs="宋体"/>
          <w:szCs w:val="21"/>
        </w:rPr>
      </w:pPr>
      <w:r>
        <w:rPr>
          <w:rFonts w:hint="eastAsia" w:ascii="宋体" w:hAnsi="宋体" w:cs="宋体"/>
          <w:szCs w:val="21"/>
        </w:rPr>
        <w:t>10.4磋商文件的澄清或者修改都应该通过本项目采购代理机构以法定形式发布，采购人非通过本机构，不得擅自澄清、答复、修改或补充磋商文件。</w:t>
      </w:r>
    </w:p>
    <w:p>
      <w:pPr>
        <w:tabs>
          <w:tab w:val="left" w:pos="2190"/>
        </w:tabs>
        <w:spacing w:line="360" w:lineRule="auto"/>
        <w:ind w:firstLine="420" w:firstLineChars="200"/>
        <w:rPr>
          <w:rFonts w:ascii="宋体" w:hAnsi="宋体" w:cs="宋体"/>
          <w:szCs w:val="21"/>
        </w:rPr>
      </w:pPr>
      <w:r>
        <w:rPr>
          <w:rFonts w:hint="eastAsia" w:ascii="宋体" w:hAnsi="宋体" w:cs="宋体"/>
          <w:szCs w:val="21"/>
        </w:rPr>
        <w:t>10.5采购代理机构可以视采购具体情况，延长响应文件递交截止时间和磋商时间，并在本项目竞争性磋商公告发布的同一媒体上发布变更公告。</w:t>
      </w:r>
    </w:p>
    <w:p>
      <w:pPr>
        <w:tabs>
          <w:tab w:val="left" w:pos="2190"/>
        </w:tabs>
        <w:spacing w:line="360" w:lineRule="auto"/>
        <w:ind w:firstLine="420" w:firstLineChars="200"/>
        <w:rPr>
          <w:rFonts w:ascii="宋体" w:hAnsi="宋体" w:cs="宋体"/>
          <w:szCs w:val="21"/>
        </w:rPr>
      </w:pPr>
    </w:p>
    <w:p>
      <w:pPr>
        <w:tabs>
          <w:tab w:val="left" w:pos="2190"/>
        </w:tabs>
        <w:spacing w:line="360" w:lineRule="auto"/>
        <w:ind w:firstLine="562" w:firstLineChars="200"/>
        <w:jc w:val="center"/>
        <w:rPr>
          <w:rFonts w:ascii="宋体" w:hAnsi="宋体" w:cs="宋体"/>
          <w:b/>
          <w:sz w:val="28"/>
          <w:szCs w:val="28"/>
        </w:rPr>
      </w:pPr>
      <w:r>
        <w:rPr>
          <w:rFonts w:hint="eastAsia" w:ascii="宋体" w:hAnsi="宋体" w:cs="宋体"/>
          <w:b/>
          <w:sz w:val="28"/>
          <w:szCs w:val="28"/>
        </w:rPr>
        <w:t>三、竞争性磋商响应文件的编制</w:t>
      </w:r>
    </w:p>
    <w:p>
      <w:pPr>
        <w:tabs>
          <w:tab w:val="left" w:pos="2190"/>
        </w:tabs>
        <w:spacing w:line="360" w:lineRule="auto"/>
        <w:ind w:firstLine="422" w:firstLineChars="200"/>
        <w:rPr>
          <w:rFonts w:ascii="宋体" w:hAnsi="宋体" w:cs="宋体"/>
          <w:b/>
          <w:szCs w:val="21"/>
        </w:rPr>
      </w:pPr>
      <w:r>
        <w:rPr>
          <w:rFonts w:hint="eastAsia" w:ascii="宋体" w:hAnsi="宋体" w:cs="宋体"/>
          <w:b/>
          <w:szCs w:val="21"/>
        </w:rPr>
        <w:t>11.竞争性磋商响应文件（以下简称响应文件）的组成及要求</w:t>
      </w:r>
    </w:p>
    <w:p>
      <w:pPr>
        <w:tabs>
          <w:tab w:val="left" w:pos="1305"/>
        </w:tabs>
        <w:spacing w:line="360" w:lineRule="auto"/>
        <w:ind w:firstLine="422" w:firstLineChars="200"/>
        <w:rPr>
          <w:rFonts w:ascii="宋体" w:hAnsi="宋体" w:cs="宋体"/>
          <w:szCs w:val="21"/>
        </w:rPr>
      </w:pPr>
      <w:r>
        <w:rPr>
          <w:rFonts w:hint="eastAsia" w:ascii="宋体" w:hAnsi="宋体" w:cs="宋体"/>
          <w:b/>
          <w:szCs w:val="21"/>
        </w:rPr>
        <w:t>11.1响应文件组成【格式见第六章“响应文件（格式）”】</w:t>
      </w:r>
    </w:p>
    <w:p>
      <w:pPr>
        <w:tabs>
          <w:tab w:val="left" w:pos="1305"/>
        </w:tabs>
        <w:spacing w:line="360" w:lineRule="auto"/>
        <w:ind w:firstLine="422" w:firstLineChars="200"/>
        <w:rPr>
          <w:rFonts w:ascii="宋体" w:hAnsi="宋体" w:cs="宋体"/>
          <w:b/>
          <w:szCs w:val="21"/>
        </w:rPr>
      </w:pPr>
      <w:r>
        <w:rPr>
          <w:rFonts w:hint="eastAsia" w:ascii="宋体" w:hAnsi="宋体" w:cs="宋体"/>
          <w:b/>
          <w:szCs w:val="21"/>
        </w:rPr>
        <w:t>11.1.1资格性响应证明材料：</w:t>
      </w:r>
    </w:p>
    <w:p>
      <w:pPr>
        <w:tabs>
          <w:tab w:val="left" w:pos="1305"/>
        </w:tabs>
        <w:spacing w:line="360" w:lineRule="auto"/>
        <w:ind w:firstLine="420" w:firstLineChars="200"/>
        <w:rPr>
          <w:rFonts w:ascii="宋体" w:hAnsi="宋体" w:cs="宋体"/>
          <w:szCs w:val="21"/>
        </w:rPr>
      </w:pPr>
      <w:r>
        <w:rPr>
          <w:rFonts w:hint="eastAsia" w:ascii="宋体" w:hAnsi="宋体" w:cs="宋体"/>
          <w:szCs w:val="21"/>
        </w:rPr>
        <w:t>（1）响应函</w:t>
      </w:r>
      <w:r>
        <w:rPr>
          <w:rFonts w:hint="eastAsia" w:ascii="宋体" w:hAnsi="宋体" w:cs="宋体"/>
          <w:b/>
          <w:szCs w:val="21"/>
        </w:rPr>
        <w:t>（必须提供）；</w:t>
      </w:r>
    </w:p>
    <w:p>
      <w:pPr>
        <w:tabs>
          <w:tab w:val="left" w:pos="1305"/>
        </w:tabs>
        <w:spacing w:line="360" w:lineRule="auto"/>
        <w:ind w:firstLine="420" w:firstLineChars="200"/>
        <w:rPr>
          <w:rFonts w:ascii="宋体" w:hAnsi="宋体" w:cs="宋体"/>
          <w:szCs w:val="21"/>
        </w:rPr>
      </w:pPr>
      <w:r>
        <w:rPr>
          <w:rFonts w:hint="eastAsia" w:ascii="宋体" w:hAnsi="宋体" w:cs="宋体"/>
          <w:szCs w:val="21"/>
        </w:rPr>
        <w:t>（2）供应商相应的法定代表人、负责人、自然人身份证正反两面复印件</w:t>
      </w:r>
      <w:r>
        <w:rPr>
          <w:rFonts w:hint="eastAsia" w:ascii="宋体" w:hAnsi="宋体" w:cs="宋体"/>
          <w:b/>
          <w:szCs w:val="21"/>
        </w:rPr>
        <w:t>（必须提供）</w:t>
      </w:r>
      <w:r>
        <w:rPr>
          <w:rFonts w:hint="eastAsia" w:ascii="宋体" w:hAnsi="宋体" w:cs="宋体"/>
          <w:szCs w:val="21"/>
        </w:rPr>
        <w:t>；</w:t>
      </w:r>
    </w:p>
    <w:p>
      <w:pPr>
        <w:tabs>
          <w:tab w:val="left" w:pos="1305"/>
        </w:tabs>
        <w:spacing w:line="360" w:lineRule="auto"/>
        <w:ind w:firstLine="420" w:firstLineChars="200"/>
        <w:rPr>
          <w:rFonts w:ascii="宋体" w:hAnsi="宋体" w:cs="宋体"/>
          <w:b/>
          <w:szCs w:val="21"/>
        </w:rPr>
      </w:pPr>
      <w:r>
        <w:rPr>
          <w:rFonts w:hint="eastAsia" w:ascii="宋体" w:hAnsi="宋体" w:cs="宋体"/>
          <w:szCs w:val="21"/>
        </w:rPr>
        <w:t>（3）供应商的授权委托书原件、委托代理人</w:t>
      </w:r>
      <w:r>
        <w:rPr>
          <w:rFonts w:hint="eastAsia" w:ascii="宋体" w:hAnsi="宋体" w:cs="宋体"/>
        </w:rPr>
        <w:t>身份证正反面</w:t>
      </w:r>
      <w:r>
        <w:rPr>
          <w:rFonts w:hint="eastAsia" w:ascii="宋体" w:hAnsi="宋体" w:cs="宋体"/>
          <w:szCs w:val="21"/>
        </w:rPr>
        <w:t>复印件</w:t>
      </w:r>
      <w:r>
        <w:rPr>
          <w:rFonts w:hint="eastAsia" w:ascii="宋体" w:hAnsi="宋体" w:cs="宋体"/>
          <w:b/>
          <w:szCs w:val="21"/>
        </w:rPr>
        <w:t>（委托代理时必须提供）</w:t>
      </w:r>
    </w:p>
    <w:p>
      <w:pPr>
        <w:tabs>
          <w:tab w:val="left" w:pos="1305"/>
        </w:tabs>
        <w:spacing w:line="360" w:lineRule="auto"/>
        <w:ind w:firstLine="420" w:firstLineChars="200"/>
        <w:rPr>
          <w:rFonts w:ascii="宋体" w:hAnsi="宋体" w:cs="宋体"/>
          <w:szCs w:val="21"/>
        </w:rPr>
      </w:pPr>
      <w:r>
        <w:rPr>
          <w:rFonts w:hint="eastAsia" w:ascii="宋体" w:hAnsi="宋体" w:cs="宋体"/>
          <w:szCs w:val="21"/>
        </w:rPr>
        <w:t>（4）供应商的法人或者其他组织营业执照等证明文件复印件</w:t>
      </w:r>
      <w:r>
        <w:rPr>
          <w:rFonts w:hint="eastAsia" w:ascii="宋体" w:hAnsi="宋体" w:cs="宋体"/>
          <w:b/>
          <w:szCs w:val="21"/>
        </w:rPr>
        <w:t>（必须提供，自然人除外）</w:t>
      </w:r>
      <w:r>
        <w:rPr>
          <w:rFonts w:hint="eastAsia" w:ascii="宋体" w:hAnsi="宋体" w:cs="宋体"/>
          <w:szCs w:val="21"/>
        </w:rPr>
        <w:t>；</w:t>
      </w:r>
    </w:p>
    <w:p>
      <w:pPr>
        <w:tabs>
          <w:tab w:val="left" w:pos="1305"/>
        </w:tabs>
        <w:spacing w:line="360" w:lineRule="auto"/>
        <w:ind w:firstLine="422" w:firstLineChars="200"/>
        <w:rPr>
          <w:rFonts w:ascii="宋体" w:hAnsi="宋体" w:cs="宋体"/>
          <w:b/>
          <w:szCs w:val="21"/>
        </w:rPr>
      </w:pPr>
      <w:r>
        <w:rPr>
          <w:rFonts w:hint="eastAsia" w:ascii="宋体" w:hAnsi="宋体" w:cs="宋体"/>
          <w:b/>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tabs>
          <w:tab w:val="left" w:pos="1305"/>
        </w:tabs>
        <w:spacing w:line="360" w:lineRule="auto"/>
        <w:ind w:firstLine="420" w:firstLineChars="200"/>
        <w:rPr>
          <w:rFonts w:ascii="宋体" w:hAnsi="宋体" w:cs="宋体"/>
          <w:b/>
          <w:szCs w:val="21"/>
        </w:rPr>
      </w:pPr>
      <w:r>
        <w:rPr>
          <w:rFonts w:hint="eastAsia" w:ascii="宋体" w:hAnsi="宋体" w:cs="宋体"/>
          <w:szCs w:val="21"/>
        </w:rPr>
        <w:t>（5）供应商参加政府采购活动前3年内在经营活动中没有重大违法记录及有关信用信息的书面声明</w:t>
      </w:r>
      <w:r>
        <w:rPr>
          <w:rFonts w:hint="eastAsia" w:ascii="宋体" w:hAnsi="宋体" w:cs="宋体"/>
          <w:b/>
          <w:szCs w:val="21"/>
        </w:rPr>
        <w:t>（必须提供）。</w:t>
      </w:r>
    </w:p>
    <w:p>
      <w:pPr>
        <w:tabs>
          <w:tab w:val="left" w:pos="1305"/>
        </w:tabs>
        <w:spacing w:line="360" w:lineRule="auto"/>
        <w:ind w:left="420" w:leftChars="200"/>
        <w:rPr>
          <w:rFonts w:ascii="宋体" w:hAnsi="宋体" w:cs="宋体"/>
          <w:szCs w:val="21"/>
        </w:rPr>
      </w:pPr>
      <w:r>
        <w:rPr>
          <w:rFonts w:hint="eastAsia" w:ascii="宋体" w:hAnsi="宋体" w:cs="宋体"/>
          <w:szCs w:val="21"/>
        </w:rPr>
        <w:t>（6）供应商提供固定的办公场所照片；</w:t>
      </w:r>
    </w:p>
    <w:p>
      <w:pPr>
        <w:tabs>
          <w:tab w:val="left" w:pos="1305"/>
        </w:tabs>
        <w:spacing w:line="360" w:lineRule="auto"/>
        <w:ind w:firstLine="422" w:firstLineChars="200"/>
        <w:rPr>
          <w:rFonts w:ascii="宋体" w:hAnsi="宋体" w:cs="宋体"/>
          <w:b/>
          <w:szCs w:val="21"/>
        </w:rPr>
      </w:pPr>
      <w:r>
        <w:rPr>
          <w:rFonts w:hint="eastAsia" w:ascii="宋体" w:hAnsi="宋体" w:cs="宋体"/>
          <w:b/>
          <w:szCs w:val="21"/>
        </w:rPr>
        <w:t>11.1.2符合性响应证明材料：</w:t>
      </w:r>
    </w:p>
    <w:p>
      <w:pPr>
        <w:tabs>
          <w:tab w:val="left" w:pos="1305"/>
        </w:tabs>
        <w:spacing w:line="360" w:lineRule="auto"/>
        <w:ind w:firstLine="420" w:firstLineChars="200"/>
        <w:rPr>
          <w:rFonts w:ascii="宋体" w:hAnsi="宋体" w:cs="宋体"/>
          <w:bCs/>
          <w:szCs w:val="21"/>
        </w:rPr>
      </w:pPr>
      <w:r>
        <w:rPr>
          <w:rFonts w:hint="eastAsia" w:ascii="宋体" w:hAnsi="宋体" w:cs="宋体"/>
          <w:bCs/>
          <w:szCs w:val="21"/>
        </w:rPr>
        <w:t>（1）磋商报价表</w:t>
      </w:r>
      <w:r>
        <w:rPr>
          <w:rFonts w:hint="eastAsia" w:ascii="宋体" w:hAnsi="宋体" w:cs="宋体"/>
          <w:b/>
          <w:szCs w:val="21"/>
        </w:rPr>
        <w:t>（必须提供）</w:t>
      </w:r>
      <w:r>
        <w:rPr>
          <w:rFonts w:hint="eastAsia" w:ascii="宋体" w:hAnsi="宋体" w:cs="宋体"/>
          <w:bCs/>
          <w:szCs w:val="21"/>
        </w:rPr>
        <w:t>；</w:t>
      </w:r>
    </w:p>
    <w:p>
      <w:pPr>
        <w:tabs>
          <w:tab w:val="left" w:pos="1305"/>
        </w:tabs>
        <w:spacing w:line="360" w:lineRule="auto"/>
        <w:ind w:firstLine="420" w:firstLineChars="200"/>
        <w:rPr>
          <w:rFonts w:ascii="宋体" w:hAnsi="宋体" w:cs="宋体"/>
          <w:bCs/>
          <w:szCs w:val="21"/>
        </w:rPr>
      </w:pPr>
      <w:r>
        <w:rPr>
          <w:rFonts w:hint="eastAsia" w:ascii="宋体" w:hAnsi="宋体" w:cs="宋体"/>
          <w:bCs/>
          <w:szCs w:val="21"/>
        </w:rPr>
        <w:t>（2）供应商的服务方案（包含但不限于项目实施方案、项目实施计划、质量保证措施方案等，由投标人根据项目实际情况和服务采购需求自行编制）</w:t>
      </w:r>
      <w:r>
        <w:rPr>
          <w:rFonts w:hint="eastAsia" w:ascii="宋体" w:hAnsi="宋体" w:cs="宋体"/>
          <w:b/>
          <w:szCs w:val="21"/>
        </w:rPr>
        <w:t>（必须提供）</w:t>
      </w:r>
      <w:r>
        <w:rPr>
          <w:rFonts w:hint="eastAsia" w:ascii="宋体" w:hAnsi="宋体" w:cs="宋体"/>
          <w:bCs/>
          <w:szCs w:val="21"/>
        </w:rPr>
        <w:t>；</w:t>
      </w:r>
    </w:p>
    <w:p>
      <w:pPr>
        <w:tabs>
          <w:tab w:val="left" w:pos="1305"/>
        </w:tabs>
        <w:spacing w:line="360" w:lineRule="auto"/>
        <w:ind w:firstLine="420" w:firstLineChars="200"/>
        <w:rPr>
          <w:rFonts w:ascii="宋体" w:hAnsi="宋体" w:cs="宋体"/>
          <w:bCs/>
          <w:szCs w:val="21"/>
        </w:rPr>
      </w:pPr>
      <w:r>
        <w:rPr>
          <w:rFonts w:hint="eastAsia" w:ascii="宋体" w:hAnsi="宋体" w:cs="宋体"/>
          <w:bCs/>
          <w:szCs w:val="21"/>
        </w:rPr>
        <w:t>（3）服务承诺书（由供应商根据“采购需求”和评审办法自行编写针对本项目的服务承诺）</w:t>
      </w:r>
      <w:r>
        <w:rPr>
          <w:rFonts w:hint="eastAsia" w:ascii="宋体" w:hAnsi="宋体" w:cs="宋体"/>
          <w:b/>
          <w:szCs w:val="21"/>
        </w:rPr>
        <w:t>（必须提供）</w:t>
      </w:r>
      <w:r>
        <w:rPr>
          <w:rFonts w:hint="eastAsia" w:ascii="宋体" w:hAnsi="宋体" w:cs="宋体"/>
          <w:bCs/>
          <w:szCs w:val="21"/>
        </w:rPr>
        <w:t>；</w:t>
      </w:r>
    </w:p>
    <w:p>
      <w:pPr>
        <w:tabs>
          <w:tab w:val="left" w:pos="1305"/>
        </w:tabs>
        <w:spacing w:line="360" w:lineRule="auto"/>
        <w:ind w:firstLine="420" w:firstLineChars="200"/>
        <w:rPr>
          <w:rFonts w:ascii="宋体" w:hAnsi="宋体" w:cs="宋体"/>
          <w:bCs/>
          <w:szCs w:val="21"/>
        </w:rPr>
      </w:pPr>
      <w:r>
        <w:rPr>
          <w:rFonts w:hint="eastAsia" w:ascii="宋体" w:hAnsi="宋体" w:cs="宋体"/>
          <w:bCs/>
          <w:szCs w:val="21"/>
        </w:rPr>
        <w:t>（4）项目实施主要人员一览表（执行本项目专职人员不得低于3人，至少2人以上具有大专以上学历，项目负责人必须为中级以上（含中级）社会工作师并按时缴纳社保，投标时出具相关证书复印件及2020年任意一个月的社保缴纳证明）</w:t>
      </w:r>
      <w:r>
        <w:rPr>
          <w:rFonts w:hint="eastAsia" w:ascii="宋体" w:hAnsi="宋体" w:cs="宋体"/>
          <w:b/>
          <w:szCs w:val="21"/>
        </w:rPr>
        <w:t>（必须提供）</w:t>
      </w:r>
      <w:r>
        <w:rPr>
          <w:rFonts w:hint="eastAsia" w:ascii="宋体" w:hAnsi="宋体" w:cs="宋体"/>
          <w:bCs/>
          <w:szCs w:val="21"/>
        </w:rPr>
        <w:t>。</w:t>
      </w:r>
    </w:p>
    <w:p>
      <w:pPr>
        <w:tabs>
          <w:tab w:val="left" w:pos="1305"/>
        </w:tabs>
        <w:spacing w:line="360" w:lineRule="auto"/>
        <w:ind w:firstLine="422" w:firstLineChars="200"/>
        <w:rPr>
          <w:rFonts w:ascii="宋体" w:hAnsi="宋体" w:cs="宋体"/>
          <w:b/>
          <w:szCs w:val="21"/>
        </w:rPr>
      </w:pPr>
      <w:r>
        <w:rPr>
          <w:rFonts w:hint="eastAsia" w:ascii="宋体" w:hAnsi="宋体" w:cs="宋体"/>
          <w:b/>
          <w:szCs w:val="21"/>
        </w:rPr>
        <w:t>11.1.3其它有效证明材料：</w:t>
      </w:r>
    </w:p>
    <w:p>
      <w:pPr>
        <w:tabs>
          <w:tab w:val="left" w:pos="1305"/>
        </w:tabs>
        <w:spacing w:line="360" w:lineRule="auto"/>
        <w:ind w:firstLine="420" w:firstLineChars="200"/>
        <w:rPr>
          <w:rFonts w:ascii="宋体" w:hAnsi="宋体" w:cs="宋体"/>
          <w:bCs/>
          <w:szCs w:val="21"/>
        </w:rPr>
      </w:pPr>
      <w:r>
        <w:rPr>
          <w:rFonts w:hint="eastAsia" w:ascii="宋体" w:hAnsi="宋体" w:cs="宋体"/>
          <w:bCs/>
          <w:szCs w:val="21"/>
        </w:rPr>
        <w:t>（1）节能方面的资质证书复印件</w:t>
      </w:r>
      <w:r>
        <w:rPr>
          <w:rFonts w:hint="eastAsia" w:ascii="宋体" w:hAnsi="宋体" w:cs="宋体"/>
          <w:b/>
          <w:szCs w:val="21"/>
        </w:rPr>
        <w:t>（如有，请提供）</w:t>
      </w:r>
      <w:r>
        <w:rPr>
          <w:rFonts w:hint="eastAsia" w:ascii="宋体" w:hAnsi="宋体" w:cs="宋体"/>
          <w:bCs/>
          <w:szCs w:val="21"/>
        </w:rPr>
        <w:t>；</w:t>
      </w:r>
    </w:p>
    <w:p>
      <w:pPr>
        <w:tabs>
          <w:tab w:val="left" w:pos="1305"/>
        </w:tabs>
        <w:spacing w:line="360" w:lineRule="auto"/>
        <w:ind w:firstLine="420" w:firstLineChars="200"/>
        <w:rPr>
          <w:rFonts w:ascii="宋体" w:hAnsi="宋体" w:cs="宋体"/>
          <w:bCs/>
          <w:szCs w:val="21"/>
        </w:rPr>
      </w:pPr>
      <w:bookmarkStart w:id="7" w:name="（2）环保方面的资质证书复印件（如有，请提供）；"/>
      <w:bookmarkEnd w:id="7"/>
      <w:r>
        <w:rPr>
          <w:rFonts w:hint="eastAsia" w:ascii="宋体" w:hAnsi="宋体" w:cs="宋体"/>
          <w:bCs/>
          <w:szCs w:val="21"/>
        </w:rPr>
        <w:t>（2）环保方面的资质证书复印件</w:t>
      </w:r>
      <w:r>
        <w:rPr>
          <w:rFonts w:hint="eastAsia" w:ascii="宋体" w:hAnsi="宋体" w:cs="宋体"/>
          <w:b/>
          <w:szCs w:val="21"/>
        </w:rPr>
        <w:t>（如有，请提供）</w:t>
      </w:r>
      <w:r>
        <w:rPr>
          <w:rFonts w:hint="eastAsia" w:ascii="宋体" w:hAnsi="宋体" w:cs="宋体"/>
          <w:bCs/>
          <w:szCs w:val="21"/>
        </w:rPr>
        <w:t>；</w:t>
      </w:r>
    </w:p>
    <w:p>
      <w:pPr>
        <w:tabs>
          <w:tab w:val="left" w:pos="1305"/>
        </w:tabs>
        <w:spacing w:line="360" w:lineRule="auto"/>
        <w:ind w:firstLine="420" w:firstLineChars="200"/>
        <w:rPr>
          <w:rFonts w:ascii="宋体" w:hAnsi="宋体" w:cs="宋体"/>
          <w:bCs/>
          <w:szCs w:val="21"/>
        </w:rPr>
      </w:pPr>
      <w:r>
        <w:rPr>
          <w:rFonts w:hint="eastAsia" w:ascii="宋体" w:hAnsi="宋体" w:cs="宋体"/>
          <w:bCs/>
          <w:szCs w:val="21"/>
        </w:rPr>
        <w:t>（3）供应商2017年度以来通过中介审计的有效财务审计报告复印件</w:t>
      </w:r>
      <w:r>
        <w:rPr>
          <w:rFonts w:hint="eastAsia" w:ascii="宋体" w:hAnsi="宋体" w:cs="宋体"/>
          <w:b/>
          <w:szCs w:val="21"/>
        </w:rPr>
        <w:t>（如有，请提供）</w:t>
      </w:r>
      <w:r>
        <w:rPr>
          <w:rFonts w:hint="eastAsia" w:ascii="宋体" w:hAnsi="宋体" w:cs="宋体"/>
          <w:bCs/>
          <w:szCs w:val="21"/>
        </w:rPr>
        <w:t>；</w:t>
      </w:r>
    </w:p>
    <w:p>
      <w:pPr>
        <w:tabs>
          <w:tab w:val="left" w:pos="1305"/>
        </w:tabs>
        <w:spacing w:line="360" w:lineRule="auto"/>
        <w:ind w:firstLine="420" w:firstLineChars="200"/>
        <w:rPr>
          <w:rFonts w:ascii="宋体" w:hAnsi="宋体" w:cs="宋体"/>
          <w:bCs/>
          <w:szCs w:val="21"/>
        </w:rPr>
      </w:pPr>
      <w:r>
        <w:rPr>
          <w:rFonts w:hint="eastAsia" w:ascii="宋体" w:hAnsi="宋体" w:cs="宋体"/>
          <w:bCs/>
          <w:szCs w:val="21"/>
        </w:rPr>
        <w:t>（4）供应商2017年以来具有市级救助相关项目服务业绩相关证明材料（无不良记录，以中标、成交通知书或签订的合同为准）</w:t>
      </w:r>
      <w:r>
        <w:rPr>
          <w:rFonts w:hint="eastAsia" w:ascii="宋体" w:hAnsi="宋体" w:cs="宋体"/>
          <w:b/>
          <w:szCs w:val="21"/>
        </w:rPr>
        <w:t>（如有，请提供）</w:t>
      </w:r>
      <w:r>
        <w:rPr>
          <w:rFonts w:hint="eastAsia" w:ascii="宋体" w:hAnsi="宋体" w:cs="宋体"/>
          <w:bCs/>
          <w:szCs w:val="21"/>
        </w:rPr>
        <w:t>；</w:t>
      </w:r>
    </w:p>
    <w:p>
      <w:pPr>
        <w:tabs>
          <w:tab w:val="left" w:pos="1305"/>
        </w:tabs>
        <w:spacing w:line="360" w:lineRule="auto"/>
        <w:ind w:firstLine="420" w:firstLineChars="200"/>
        <w:rPr>
          <w:rFonts w:ascii="宋体" w:hAnsi="宋体" w:cs="宋体"/>
          <w:bCs/>
          <w:szCs w:val="21"/>
        </w:rPr>
      </w:pPr>
      <w:r>
        <w:rPr>
          <w:rFonts w:hint="eastAsia" w:ascii="宋体" w:hAnsi="宋体" w:cs="宋体"/>
          <w:bCs/>
          <w:szCs w:val="21"/>
        </w:rPr>
        <w:t>（5）供应商相关获奖证书、认证证书等复印件（如有，请提供）；</w:t>
      </w:r>
    </w:p>
    <w:p>
      <w:pPr>
        <w:tabs>
          <w:tab w:val="left" w:pos="1305"/>
        </w:tabs>
        <w:spacing w:line="360" w:lineRule="auto"/>
        <w:ind w:firstLine="420" w:firstLineChars="200"/>
        <w:rPr>
          <w:rFonts w:ascii="宋体" w:hAnsi="宋体" w:cs="宋体"/>
          <w:b/>
          <w:szCs w:val="21"/>
        </w:rPr>
      </w:pPr>
      <w:r>
        <w:rPr>
          <w:rFonts w:hint="eastAsia" w:ascii="宋体" w:hAnsi="宋体" w:cs="宋体"/>
          <w:bCs/>
          <w:szCs w:val="21"/>
        </w:rPr>
        <w:t>（6）供应商属于小型、微型企业的，应提供《中小企业声明函》；属于监狱企业的，应当提供由省级以上监狱管理局、戒毒管理局(含新疆生产建设兵团)出具的属于监狱企业的证明文件</w:t>
      </w:r>
      <w:r>
        <w:rPr>
          <w:rFonts w:hint="eastAsia" w:ascii="宋体" w:hAnsi="宋体" w:cs="宋体"/>
          <w:b/>
          <w:szCs w:val="21"/>
        </w:rPr>
        <w:t>（如有，请提供）；</w:t>
      </w:r>
    </w:p>
    <w:p>
      <w:pPr>
        <w:tabs>
          <w:tab w:val="left" w:pos="1305"/>
        </w:tabs>
        <w:spacing w:line="360" w:lineRule="auto"/>
        <w:ind w:firstLine="420" w:firstLineChars="200"/>
        <w:rPr>
          <w:rFonts w:ascii="宋体" w:hAnsi="宋体" w:cs="宋体"/>
          <w:bCs/>
          <w:szCs w:val="21"/>
        </w:rPr>
      </w:pPr>
      <w:r>
        <w:rPr>
          <w:rFonts w:hint="eastAsia" w:ascii="宋体" w:hAnsi="宋体" w:cs="宋体"/>
          <w:bCs/>
          <w:szCs w:val="21"/>
        </w:rPr>
        <w:t>（7）符合条件的残疾人福利性单位在参加政府采购活动时，应当提供《残疾人福利性单位声明 函》（见附件），并对声明的真实性负责（如有，请提供）</w:t>
      </w:r>
    </w:p>
    <w:p>
      <w:pPr>
        <w:tabs>
          <w:tab w:val="left" w:pos="1305"/>
        </w:tabs>
        <w:spacing w:line="360" w:lineRule="auto"/>
        <w:ind w:firstLine="420" w:firstLineChars="200"/>
        <w:rPr>
          <w:rFonts w:ascii="宋体" w:hAnsi="宋体" w:cs="宋体"/>
          <w:bCs/>
          <w:szCs w:val="21"/>
        </w:rPr>
      </w:pPr>
      <w:r>
        <w:rPr>
          <w:rFonts w:hint="eastAsia" w:ascii="宋体" w:hAnsi="宋体" w:cs="宋体"/>
          <w:bCs/>
          <w:szCs w:val="21"/>
        </w:rPr>
        <w:t>（8）供应商可结合本项目的评审办法视自身情况自行提交相关证明材料（如有，请提供）。</w:t>
      </w:r>
    </w:p>
    <w:p>
      <w:pPr>
        <w:tabs>
          <w:tab w:val="left" w:pos="1305"/>
        </w:tabs>
        <w:spacing w:line="360" w:lineRule="auto"/>
        <w:ind w:firstLine="422" w:firstLineChars="200"/>
        <w:rPr>
          <w:rFonts w:ascii="宋体" w:hAnsi="宋体" w:cs="宋体"/>
          <w:b/>
          <w:szCs w:val="21"/>
        </w:rPr>
      </w:pPr>
      <w:r>
        <w:rPr>
          <w:rFonts w:hint="eastAsia" w:ascii="宋体" w:hAnsi="宋体" w:cs="宋体"/>
          <w:b/>
          <w:szCs w:val="21"/>
        </w:rPr>
        <w:t>供应商提供的以上相关证明材料应真实有效，属于“必须提供”的文件应加盖供应商公章（扫描公章无效，自然人除外）。</w:t>
      </w:r>
    </w:p>
    <w:p>
      <w:pPr>
        <w:tabs>
          <w:tab w:val="left" w:pos="1305"/>
        </w:tabs>
        <w:spacing w:line="360" w:lineRule="auto"/>
        <w:ind w:firstLine="422" w:firstLineChars="200"/>
        <w:rPr>
          <w:rFonts w:ascii="宋体" w:hAnsi="宋体" w:cs="宋体"/>
          <w:bCs/>
          <w:szCs w:val="21"/>
        </w:rPr>
      </w:pPr>
      <w:r>
        <w:rPr>
          <w:rFonts w:hint="eastAsia" w:ascii="宋体" w:hAnsi="宋体" w:cs="宋体"/>
          <w:b/>
          <w:szCs w:val="21"/>
        </w:rPr>
        <w:t>11.2</w:t>
      </w:r>
      <w:r>
        <w:rPr>
          <w:rFonts w:hint="eastAsia" w:ascii="宋体" w:hAnsi="宋体" w:cs="宋体"/>
          <w:bCs/>
          <w:szCs w:val="21"/>
        </w:rPr>
        <w:t xml:space="preserve"> 供应商应按竞争性磋商文件第六章“响应文件（格式）”编制响应文件。</w:t>
      </w:r>
    </w:p>
    <w:p>
      <w:pPr>
        <w:tabs>
          <w:tab w:val="left" w:pos="1305"/>
        </w:tabs>
        <w:spacing w:line="360" w:lineRule="auto"/>
        <w:ind w:firstLine="422" w:firstLineChars="200"/>
        <w:rPr>
          <w:rFonts w:ascii="宋体" w:hAnsi="宋体" w:cs="宋体"/>
          <w:b/>
          <w:szCs w:val="21"/>
        </w:rPr>
      </w:pPr>
      <w:r>
        <w:rPr>
          <w:rFonts w:hint="eastAsia" w:ascii="宋体" w:hAnsi="宋体" w:cs="宋体"/>
          <w:b/>
          <w:szCs w:val="21"/>
        </w:rPr>
        <w:t>12.响应文件的语言及计量</w:t>
      </w:r>
    </w:p>
    <w:p>
      <w:pPr>
        <w:tabs>
          <w:tab w:val="left" w:pos="1305"/>
        </w:tabs>
        <w:spacing w:line="360" w:lineRule="auto"/>
        <w:ind w:firstLine="420" w:firstLineChars="200"/>
        <w:rPr>
          <w:rFonts w:ascii="宋体" w:hAnsi="宋体" w:cs="宋体"/>
          <w:szCs w:val="21"/>
        </w:rPr>
      </w:pPr>
      <w:r>
        <w:rPr>
          <w:rFonts w:hint="eastAsia" w:ascii="宋体" w:hAnsi="宋体" w:cs="宋体"/>
          <w:szCs w:val="21"/>
        </w:rPr>
        <w:t>12.1响应文件以及供应商与采购代理机构就有关响应事宜的所有来往函电，均必须以中文汉语书写。供应商提交的支持文件和印刷的文献可以使用别的语言，但其相应内容必须附有中文翻译文本，在解释响应文件时以中文翻译文本为主。</w:t>
      </w:r>
    </w:p>
    <w:p>
      <w:pPr>
        <w:tabs>
          <w:tab w:val="left" w:pos="1305"/>
        </w:tabs>
        <w:spacing w:line="360" w:lineRule="auto"/>
        <w:ind w:firstLine="420" w:firstLineChars="200"/>
        <w:rPr>
          <w:rFonts w:ascii="宋体" w:hAnsi="宋体" w:cs="宋体"/>
          <w:szCs w:val="21"/>
        </w:rPr>
      </w:pPr>
      <w:r>
        <w:rPr>
          <w:rFonts w:hint="eastAsia" w:ascii="宋体" w:hAnsi="宋体" w:cs="宋体"/>
          <w:szCs w:val="21"/>
        </w:rPr>
        <w:t>12.2响应计量单位，磋商文件已有明确规定的，使用磋商文件规定的计量单位；磋商文件没有规定的，必须采用中华人民共和国法定计量单位（货币单位：人民币元），否则视同未响应。</w:t>
      </w:r>
    </w:p>
    <w:p>
      <w:pPr>
        <w:tabs>
          <w:tab w:val="left" w:pos="1305"/>
        </w:tabs>
        <w:spacing w:line="360" w:lineRule="auto"/>
        <w:ind w:firstLine="422" w:firstLineChars="200"/>
        <w:rPr>
          <w:rFonts w:ascii="宋体" w:hAnsi="宋体" w:cs="宋体"/>
          <w:b/>
          <w:szCs w:val="21"/>
        </w:rPr>
      </w:pPr>
      <w:r>
        <w:rPr>
          <w:rFonts w:hint="eastAsia" w:ascii="宋体" w:hAnsi="宋体" w:cs="宋体"/>
          <w:b/>
          <w:szCs w:val="21"/>
        </w:rPr>
        <w:t>13.磋商报价及采购预算总金额</w:t>
      </w:r>
    </w:p>
    <w:p>
      <w:pPr>
        <w:tabs>
          <w:tab w:val="left" w:pos="1305"/>
        </w:tabs>
        <w:spacing w:line="360" w:lineRule="auto"/>
        <w:ind w:firstLine="420" w:firstLineChars="200"/>
        <w:rPr>
          <w:rFonts w:ascii="宋体" w:hAnsi="宋体" w:cs="宋体"/>
          <w:szCs w:val="21"/>
        </w:rPr>
      </w:pPr>
      <w:r>
        <w:rPr>
          <w:rFonts w:hint="eastAsia" w:ascii="宋体" w:hAnsi="宋体" w:cs="宋体"/>
          <w:szCs w:val="21"/>
        </w:rPr>
        <w:t>13.1供应商必须就“采购需求”中所有内容作完整唯一报价，响应文件只允许有一个报价，有选择的或有条件的报价将不予接受；磋商报价应按磋商文件中相关附表格式填写。</w:t>
      </w:r>
    </w:p>
    <w:p>
      <w:pPr>
        <w:tabs>
          <w:tab w:val="left" w:pos="1305"/>
        </w:tabs>
        <w:spacing w:line="360" w:lineRule="auto"/>
        <w:ind w:firstLine="420" w:firstLineChars="200"/>
        <w:rPr>
          <w:rFonts w:ascii="宋体" w:hAnsi="宋体" w:cs="宋体"/>
          <w:szCs w:val="21"/>
        </w:rPr>
      </w:pPr>
      <w:r>
        <w:rPr>
          <w:rFonts w:hint="eastAsia" w:ascii="宋体" w:hAnsi="宋体" w:cs="宋体"/>
          <w:szCs w:val="21"/>
        </w:rPr>
        <w:t>13.2采购预算金额（人民币）：</w:t>
      </w:r>
      <w:r>
        <w:rPr>
          <w:rFonts w:hint="eastAsia" w:ascii="宋体" w:hAnsi="宋体" w:cs="宋体"/>
          <w:szCs w:val="21"/>
          <w:u w:val="single"/>
        </w:rPr>
        <w:t>采购预算金额（人民币）：340800元</w:t>
      </w:r>
      <w:r>
        <w:rPr>
          <w:rFonts w:hint="eastAsia" w:ascii="宋体" w:hAnsi="宋体" w:cs="宋体"/>
          <w:szCs w:val="21"/>
        </w:rPr>
        <w:t>。报价超采购预算金额的，响应文件按无效处理。</w:t>
      </w:r>
    </w:p>
    <w:p>
      <w:pPr>
        <w:tabs>
          <w:tab w:val="left" w:pos="1305"/>
        </w:tabs>
        <w:spacing w:line="360" w:lineRule="auto"/>
        <w:ind w:firstLine="420" w:firstLineChars="200"/>
        <w:rPr>
          <w:rFonts w:ascii="宋体" w:hAnsi="宋体" w:cs="宋体"/>
          <w:szCs w:val="21"/>
        </w:rPr>
      </w:pPr>
      <w:r>
        <w:rPr>
          <w:rFonts w:hint="eastAsia" w:ascii="宋体" w:hAnsi="宋体" w:cs="宋体"/>
          <w:szCs w:val="21"/>
        </w:rPr>
        <w:t>13.3说明：供应商磋商报价应综合考虑总价包干（包含提供本次服务范围的所有成本、税金、利润等），报价不得超出采购预算。</w:t>
      </w:r>
    </w:p>
    <w:p>
      <w:pPr>
        <w:tabs>
          <w:tab w:val="left" w:pos="1305"/>
        </w:tabs>
        <w:spacing w:line="360" w:lineRule="auto"/>
        <w:ind w:firstLine="422" w:firstLineChars="200"/>
        <w:rPr>
          <w:rFonts w:ascii="宋体" w:hAnsi="宋体" w:cs="宋体"/>
          <w:b/>
          <w:szCs w:val="21"/>
        </w:rPr>
      </w:pPr>
      <w:r>
        <w:rPr>
          <w:rFonts w:hint="eastAsia" w:ascii="宋体" w:hAnsi="宋体" w:cs="宋体"/>
          <w:b/>
          <w:szCs w:val="21"/>
        </w:rPr>
        <w:t>13.4未书面退出磋商的供应商必须在规定时间内密封提交最后报价，其最后报价不得超出采购预算；磋商过程中磋商文件未作实质性变动的，最后报价不得超过首次报价。</w:t>
      </w:r>
    </w:p>
    <w:p>
      <w:pPr>
        <w:tabs>
          <w:tab w:val="left" w:pos="1305"/>
        </w:tabs>
        <w:spacing w:line="360" w:lineRule="auto"/>
        <w:ind w:firstLine="422" w:firstLineChars="200"/>
        <w:rPr>
          <w:rFonts w:ascii="宋体" w:hAnsi="宋体" w:cs="宋体"/>
          <w:b/>
          <w:szCs w:val="21"/>
        </w:rPr>
      </w:pPr>
      <w:r>
        <w:rPr>
          <w:rFonts w:hint="eastAsia" w:ascii="宋体" w:hAnsi="宋体" w:cs="宋体"/>
          <w:b/>
          <w:szCs w:val="21"/>
        </w:rPr>
        <w:t>14.响应文件有效期</w:t>
      </w:r>
    </w:p>
    <w:p>
      <w:pPr>
        <w:tabs>
          <w:tab w:val="left" w:pos="1305"/>
        </w:tabs>
        <w:spacing w:line="360" w:lineRule="auto"/>
        <w:ind w:firstLine="420" w:firstLineChars="200"/>
        <w:rPr>
          <w:rFonts w:ascii="宋体" w:hAnsi="宋体" w:cs="宋体"/>
          <w:szCs w:val="21"/>
        </w:rPr>
      </w:pPr>
      <w:r>
        <w:rPr>
          <w:rFonts w:hint="eastAsia" w:ascii="宋体" w:hAnsi="宋体" w:cs="宋体"/>
          <w:szCs w:val="21"/>
        </w:rPr>
        <w:t>14.1响应文件有效期：自响应文件递交截止时间之日起90天，有效期不足的响应文件将被拒绝。</w:t>
      </w:r>
    </w:p>
    <w:p>
      <w:pPr>
        <w:tabs>
          <w:tab w:val="left" w:pos="1305"/>
        </w:tabs>
        <w:spacing w:line="360" w:lineRule="auto"/>
        <w:ind w:firstLine="420" w:firstLineChars="200"/>
        <w:rPr>
          <w:rFonts w:ascii="宋体" w:hAnsi="宋体" w:cs="宋体"/>
          <w:szCs w:val="21"/>
        </w:rPr>
      </w:pPr>
      <w:r>
        <w:rPr>
          <w:rFonts w:hint="eastAsia" w:ascii="宋体" w:hAnsi="宋体" w:cs="宋体"/>
          <w:szCs w:val="21"/>
        </w:rPr>
        <w:t>14.2出现特殊情况下，需要延长响应文件有效期的，采购代理机构以书面形式通知供应商延长响应文件有效期。供应商同意延长的，但不能修改响应文件。供应商拒绝延长的，其响应无效。</w:t>
      </w:r>
    </w:p>
    <w:p>
      <w:pPr>
        <w:tabs>
          <w:tab w:val="left" w:pos="1305"/>
        </w:tabs>
        <w:spacing w:line="360" w:lineRule="auto"/>
        <w:ind w:firstLine="422" w:firstLineChars="200"/>
        <w:rPr>
          <w:rFonts w:ascii="宋体" w:hAnsi="宋体" w:cs="宋体"/>
          <w:b/>
          <w:szCs w:val="21"/>
        </w:rPr>
      </w:pPr>
      <w:r>
        <w:rPr>
          <w:rFonts w:hint="eastAsia" w:ascii="宋体" w:hAnsi="宋体" w:cs="宋体"/>
          <w:b/>
          <w:szCs w:val="21"/>
        </w:rPr>
        <w:t>1</w:t>
      </w:r>
      <w:r>
        <w:rPr>
          <w:rFonts w:ascii="宋体" w:hAnsi="宋体" w:cs="宋体"/>
          <w:b/>
          <w:szCs w:val="21"/>
        </w:rPr>
        <w:t>5</w:t>
      </w:r>
      <w:r>
        <w:rPr>
          <w:rFonts w:hint="eastAsia" w:ascii="宋体" w:hAnsi="宋体" w:cs="宋体"/>
          <w:b/>
          <w:szCs w:val="21"/>
        </w:rPr>
        <w:t>.响应文件的份数、装订、签署和包装、密封</w:t>
      </w:r>
    </w:p>
    <w:p>
      <w:pPr>
        <w:tabs>
          <w:tab w:val="left" w:pos="1305"/>
        </w:tabs>
        <w:spacing w:line="360" w:lineRule="auto"/>
        <w:ind w:firstLine="420" w:firstLineChars="200"/>
        <w:rPr>
          <w:rFonts w:ascii="宋体" w:hAnsi="宋体" w:cs="宋体"/>
          <w:szCs w:val="21"/>
        </w:rPr>
      </w:pPr>
      <w:r>
        <w:rPr>
          <w:rFonts w:hint="eastAsia" w:ascii="宋体" w:hAnsi="宋体" w:cs="宋体"/>
          <w:szCs w:val="21"/>
        </w:rPr>
        <w:t>1</w:t>
      </w:r>
      <w:r>
        <w:rPr>
          <w:rFonts w:ascii="宋体" w:hAnsi="宋体" w:cs="宋体"/>
          <w:szCs w:val="21"/>
        </w:rPr>
        <w:t>5</w:t>
      </w:r>
      <w:r>
        <w:rPr>
          <w:rFonts w:hint="eastAsia" w:ascii="宋体" w:hAnsi="宋体" w:cs="宋体"/>
          <w:szCs w:val="21"/>
        </w:rPr>
        <w:t>.1</w:t>
      </w:r>
      <w:r>
        <w:rPr>
          <w:rFonts w:hint="eastAsia" w:ascii="宋体" w:hAnsi="宋体" w:cs="宋体"/>
          <w:b/>
          <w:szCs w:val="21"/>
        </w:rPr>
        <w:t>响应文件份数：</w:t>
      </w:r>
      <w:r>
        <w:rPr>
          <w:rFonts w:hint="eastAsia" w:ascii="宋体" w:hAnsi="宋体" w:cs="宋体"/>
          <w:szCs w:val="21"/>
        </w:rPr>
        <w:t>正本壹册，副本</w:t>
      </w:r>
      <w:r>
        <w:rPr>
          <w:rFonts w:hint="eastAsia" w:ascii="宋体" w:hAnsi="宋体" w:cs="宋体"/>
          <w:szCs w:val="21"/>
          <w:u w:val="single"/>
        </w:rPr>
        <w:t xml:space="preserve">  叁  </w:t>
      </w:r>
      <w:r>
        <w:rPr>
          <w:rFonts w:hint="eastAsia" w:ascii="宋体" w:hAnsi="宋体" w:cs="宋体"/>
          <w:szCs w:val="21"/>
        </w:rPr>
        <w:t>册，须完整提交（A4纸装订）。</w:t>
      </w:r>
    </w:p>
    <w:p>
      <w:pPr>
        <w:tabs>
          <w:tab w:val="left" w:pos="1305"/>
        </w:tabs>
        <w:spacing w:line="360" w:lineRule="auto"/>
        <w:ind w:firstLine="420" w:firstLineChars="200"/>
        <w:rPr>
          <w:rFonts w:ascii="宋体" w:hAnsi="宋体" w:cs="宋体"/>
          <w:b/>
          <w:szCs w:val="21"/>
        </w:rPr>
      </w:pPr>
      <w:r>
        <w:rPr>
          <w:rFonts w:hint="eastAsia" w:ascii="宋体" w:hAnsi="宋体" w:cs="宋体"/>
          <w:szCs w:val="21"/>
        </w:rPr>
        <w:t>1</w:t>
      </w:r>
      <w:r>
        <w:rPr>
          <w:rFonts w:ascii="宋体" w:hAnsi="宋体" w:cs="宋体"/>
          <w:szCs w:val="21"/>
        </w:rPr>
        <w:t>5</w:t>
      </w:r>
      <w:r>
        <w:rPr>
          <w:rFonts w:hint="eastAsia" w:ascii="宋体" w:hAnsi="宋体" w:cs="宋体"/>
          <w:szCs w:val="21"/>
        </w:rPr>
        <w:t>.2</w:t>
      </w:r>
      <w:r>
        <w:rPr>
          <w:rFonts w:hint="eastAsia" w:ascii="宋体" w:hAnsi="宋体" w:cs="宋体"/>
          <w:b/>
          <w:szCs w:val="21"/>
        </w:rPr>
        <w:t>响应文件装订要求：</w:t>
      </w:r>
      <w:r>
        <w:rPr>
          <w:rFonts w:hint="eastAsia" w:ascii="宋体" w:hAnsi="宋体" w:cs="宋体"/>
          <w:szCs w:val="21"/>
        </w:rPr>
        <w:t>供应商必须按供应商须知第11.1条“响应文件组成”规定的顺序自编目录及页码。响应文件的“正本”、“副本”必须单独装订成册并标注页码，装订牢固，不易拆散和换页。封面注明“正本”、“副本”字样，封面上写明项目名称、项目编号、采购代理机构、供应商单位名称。</w:t>
      </w:r>
    </w:p>
    <w:p>
      <w:pPr>
        <w:tabs>
          <w:tab w:val="left" w:pos="1305"/>
        </w:tabs>
        <w:spacing w:line="360" w:lineRule="auto"/>
        <w:ind w:firstLine="420" w:firstLineChars="200"/>
        <w:rPr>
          <w:rFonts w:ascii="宋体" w:hAnsi="宋体" w:cs="宋体"/>
          <w:szCs w:val="21"/>
        </w:rPr>
      </w:pPr>
      <w:r>
        <w:rPr>
          <w:rFonts w:hint="eastAsia" w:ascii="宋体" w:hAnsi="宋体" w:cs="宋体"/>
          <w:szCs w:val="21"/>
        </w:rPr>
        <w:t>1</w:t>
      </w:r>
      <w:r>
        <w:rPr>
          <w:rFonts w:ascii="宋体" w:hAnsi="宋体" w:cs="宋体"/>
          <w:szCs w:val="21"/>
        </w:rPr>
        <w:t>5</w:t>
      </w:r>
      <w:r>
        <w:rPr>
          <w:rFonts w:hint="eastAsia" w:ascii="宋体" w:hAnsi="宋体" w:cs="宋体"/>
          <w:szCs w:val="21"/>
        </w:rPr>
        <w:t>.3响应文件的正本需打印或用不褪色的墨水填写，响应文件正本除本磋商文件中规定的可提供复印件外均须提供原件。</w:t>
      </w:r>
    </w:p>
    <w:p>
      <w:pPr>
        <w:tabs>
          <w:tab w:val="left" w:pos="1305"/>
        </w:tabs>
        <w:spacing w:line="360" w:lineRule="auto"/>
        <w:ind w:firstLine="420" w:firstLineChars="200"/>
        <w:rPr>
          <w:rFonts w:ascii="宋体" w:hAnsi="宋体" w:cs="宋体"/>
          <w:szCs w:val="21"/>
        </w:rPr>
      </w:pPr>
      <w:r>
        <w:rPr>
          <w:rFonts w:hint="eastAsia" w:ascii="宋体" w:hAnsi="宋体" w:cs="宋体"/>
          <w:szCs w:val="21"/>
        </w:rPr>
        <w:t>1</w:t>
      </w:r>
      <w:r>
        <w:rPr>
          <w:rFonts w:ascii="宋体" w:hAnsi="宋体" w:cs="宋体"/>
          <w:szCs w:val="21"/>
        </w:rPr>
        <w:t>5</w:t>
      </w:r>
      <w:r>
        <w:rPr>
          <w:rFonts w:hint="eastAsia" w:ascii="宋体" w:hAnsi="宋体" w:cs="宋体"/>
          <w:szCs w:val="21"/>
        </w:rPr>
        <w:t>.4响应文件须由供应商在规定位置加盖供应商公章</w:t>
      </w:r>
      <w:r>
        <w:rPr>
          <w:rFonts w:hint="eastAsia" w:ascii="宋体" w:hAnsi="宋体" w:cs="宋体"/>
          <w:b/>
          <w:szCs w:val="21"/>
        </w:rPr>
        <w:t>（扫描公章无效，自然人除外）</w:t>
      </w:r>
      <w:r>
        <w:rPr>
          <w:rFonts w:hint="eastAsia" w:ascii="宋体" w:hAnsi="宋体" w:cs="宋体"/>
          <w:szCs w:val="21"/>
        </w:rPr>
        <w:t>并由法定代表人、负责人、自然人或相应的授权委托代理人签字，供应商应写全称，响应文件副本可以是加盖公章（自然人除外）的正本的复印件，当正本与副本不一致时，以正本为准。</w:t>
      </w:r>
    </w:p>
    <w:p>
      <w:pPr>
        <w:tabs>
          <w:tab w:val="left" w:pos="1305"/>
        </w:tabs>
        <w:spacing w:line="360" w:lineRule="auto"/>
        <w:ind w:firstLine="420" w:firstLineChars="200"/>
        <w:rPr>
          <w:rFonts w:ascii="宋体" w:hAnsi="宋体" w:cs="宋体"/>
          <w:szCs w:val="21"/>
        </w:rPr>
      </w:pPr>
      <w:r>
        <w:rPr>
          <w:rFonts w:hint="eastAsia" w:ascii="宋体" w:hAnsi="宋体" w:cs="宋体"/>
          <w:szCs w:val="21"/>
        </w:rPr>
        <w:t>1</w:t>
      </w:r>
      <w:r>
        <w:rPr>
          <w:rFonts w:ascii="宋体" w:hAnsi="宋体" w:cs="宋体"/>
          <w:szCs w:val="21"/>
        </w:rPr>
        <w:t>5</w:t>
      </w:r>
      <w:r>
        <w:rPr>
          <w:rFonts w:hint="eastAsia" w:ascii="宋体" w:hAnsi="宋体" w:cs="宋体"/>
          <w:szCs w:val="21"/>
        </w:rPr>
        <w:t>.5响应文件不得涂改，若有修改错漏处，须加盖供应商公章（自然人除外）及法定代表人、负责人、自然人或相应的授权委托代理人签字。响应文件因字迹潦草或表达不清所引起的后果由供应商负责。</w:t>
      </w:r>
    </w:p>
    <w:p>
      <w:pPr>
        <w:snapToGrid w:val="0"/>
        <w:spacing w:line="360" w:lineRule="auto"/>
        <w:ind w:firstLine="420" w:firstLineChars="200"/>
        <w:jc w:val="left"/>
        <w:rPr>
          <w:rFonts w:ascii="宋体" w:hAnsi="宋体" w:cs="宋体"/>
          <w:szCs w:val="21"/>
        </w:rPr>
      </w:pPr>
      <w:r>
        <w:rPr>
          <w:rFonts w:hint="eastAsia" w:ascii="宋体" w:hAnsi="宋体" w:cs="宋体"/>
          <w:szCs w:val="21"/>
        </w:rPr>
        <w:t>1</w:t>
      </w:r>
      <w:r>
        <w:rPr>
          <w:rFonts w:ascii="宋体" w:hAnsi="宋体" w:cs="宋体"/>
          <w:szCs w:val="21"/>
        </w:rPr>
        <w:t>5</w:t>
      </w:r>
      <w:r>
        <w:rPr>
          <w:rFonts w:hint="eastAsia" w:ascii="宋体" w:hAnsi="宋体" w:cs="宋体"/>
          <w:szCs w:val="21"/>
        </w:rPr>
        <w:t>.6</w:t>
      </w:r>
      <w:r>
        <w:rPr>
          <w:rFonts w:hint="eastAsia" w:ascii="宋体" w:hAnsi="宋体" w:cs="宋体"/>
          <w:b/>
          <w:szCs w:val="21"/>
        </w:rPr>
        <w:t>响应文件包装、密封、标记：</w:t>
      </w:r>
    </w:p>
    <w:p>
      <w:pPr>
        <w:snapToGrid w:val="0"/>
        <w:spacing w:line="360" w:lineRule="auto"/>
        <w:ind w:firstLine="420" w:firstLineChars="200"/>
        <w:jc w:val="left"/>
        <w:rPr>
          <w:rFonts w:ascii="宋体" w:hAnsi="宋体" w:cs="宋体"/>
          <w:szCs w:val="21"/>
        </w:rPr>
      </w:pPr>
      <w:r>
        <w:rPr>
          <w:rFonts w:hint="eastAsia" w:ascii="宋体" w:hAnsi="宋体" w:cs="宋体"/>
          <w:szCs w:val="21"/>
        </w:rPr>
        <w:t>1</w:t>
      </w:r>
      <w:r>
        <w:rPr>
          <w:rFonts w:ascii="宋体" w:hAnsi="宋体" w:cs="宋体"/>
          <w:szCs w:val="21"/>
        </w:rPr>
        <w:t>5</w:t>
      </w:r>
      <w:r>
        <w:rPr>
          <w:rFonts w:hint="eastAsia" w:ascii="宋体" w:hAnsi="宋体" w:cs="宋体"/>
          <w:szCs w:val="21"/>
        </w:rPr>
        <w:t>.6.1</w:t>
      </w:r>
      <w:r>
        <w:rPr>
          <w:rFonts w:hint="eastAsia" w:ascii="宋体" w:hAnsi="宋体" w:cs="宋体"/>
          <w:b/>
          <w:szCs w:val="21"/>
        </w:rPr>
        <w:t>响应文件包装、密封：</w:t>
      </w:r>
      <w:r>
        <w:rPr>
          <w:rFonts w:hint="eastAsia" w:ascii="宋体" w:hAnsi="宋体" w:cs="宋体"/>
          <w:szCs w:val="21"/>
        </w:rPr>
        <w:t>供应商须将响应文件“正本”、“副本”一并装入并密封在一个响应文件袋（盒、箱）中，并在密封处密封签章【公章、密封章、法定代表人、负责人、自然人或相应的授权委托代理人签字均可】。</w:t>
      </w:r>
    </w:p>
    <w:p>
      <w:pPr>
        <w:snapToGrid w:val="0"/>
        <w:spacing w:line="360" w:lineRule="auto"/>
        <w:ind w:firstLine="420" w:firstLineChars="200"/>
        <w:jc w:val="left"/>
        <w:rPr>
          <w:rFonts w:ascii="宋体" w:hAnsi="宋体" w:cs="宋体"/>
          <w:szCs w:val="21"/>
        </w:rPr>
      </w:pPr>
      <w:r>
        <w:rPr>
          <w:rFonts w:hint="eastAsia" w:ascii="宋体" w:hAnsi="宋体" w:cs="宋体"/>
          <w:szCs w:val="21"/>
        </w:rPr>
        <w:t>1</w:t>
      </w:r>
      <w:r>
        <w:rPr>
          <w:rFonts w:ascii="宋体" w:hAnsi="宋体" w:cs="宋体"/>
          <w:szCs w:val="21"/>
        </w:rPr>
        <w:t>5</w:t>
      </w:r>
      <w:r>
        <w:rPr>
          <w:rFonts w:hint="eastAsia" w:ascii="宋体" w:hAnsi="宋体" w:cs="宋体"/>
          <w:szCs w:val="21"/>
        </w:rPr>
        <w:t>.6.2</w:t>
      </w:r>
      <w:r>
        <w:rPr>
          <w:rFonts w:hint="eastAsia" w:ascii="宋体" w:hAnsi="宋体" w:cs="宋体"/>
          <w:b/>
          <w:szCs w:val="21"/>
        </w:rPr>
        <w:t>响应文件袋（盒、箱）标记：</w:t>
      </w:r>
    </w:p>
    <w:p>
      <w:pPr>
        <w:snapToGrid w:val="0"/>
        <w:spacing w:line="360" w:lineRule="auto"/>
        <w:ind w:firstLine="420" w:firstLineChars="200"/>
      </w:pPr>
      <w:r>
        <w:rPr>
          <w:rFonts w:hint="eastAsia" w:ascii="宋体" w:hAnsi="宋体" w:cs="宋体"/>
          <w:szCs w:val="21"/>
        </w:rPr>
        <w:t>项目名称：</w:t>
      </w:r>
      <w:r>
        <w:rPr>
          <w:rFonts w:hint="eastAsia"/>
        </w:rPr>
        <w:t>社会救助及特困人员开展入户核查评估服务采购</w:t>
      </w:r>
    </w:p>
    <w:p>
      <w:pPr>
        <w:snapToGrid w:val="0"/>
        <w:spacing w:line="360" w:lineRule="auto"/>
        <w:ind w:firstLine="420" w:firstLineChars="200"/>
        <w:rPr>
          <w:rFonts w:hint="eastAsia" w:cs="宋体"/>
        </w:rPr>
      </w:pPr>
      <w:r>
        <w:rPr>
          <w:rFonts w:hint="eastAsia" w:cs="宋体"/>
        </w:rPr>
        <w:t>项目编号：GLZC2020-C3-990545-GXTZ</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采购代理机构：广西同泽工程项目管理股份有限公司 </w:t>
      </w:r>
    </w:p>
    <w:p>
      <w:pPr>
        <w:snapToGrid w:val="0"/>
        <w:spacing w:line="360" w:lineRule="auto"/>
        <w:ind w:firstLine="420" w:firstLineChars="200"/>
        <w:rPr>
          <w:rFonts w:ascii="宋体" w:hAnsi="宋体" w:cs="宋体"/>
          <w:szCs w:val="21"/>
        </w:rPr>
      </w:pPr>
      <w:r>
        <w:rPr>
          <w:rFonts w:hint="eastAsia" w:ascii="宋体" w:hAnsi="宋体" w:cs="宋体"/>
          <w:szCs w:val="21"/>
        </w:rPr>
        <w:t>供应商名称：</w:t>
      </w:r>
    </w:p>
    <w:p>
      <w:pPr>
        <w:snapToGrid w:val="0"/>
        <w:spacing w:line="360" w:lineRule="auto"/>
        <w:ind w:firstLine="420" w:firstLineChars="200"/>
        <w:jc w:val="left"/>
        <w:rPr>
          <w:rFonts w:ascii="宋体" w:hAnsi="宋体" w:cs="宋体"/>
          <w:szCs w:val="21"/>
        </w:rPr>
      </w:pPr>
      <w:r>
        <w:rPr>
          <w:rFonts w:hint="eastAsia" w:ascii="宋体" w:hAnsi="宋体" w:cs="宋体"/>
          <w:szCs w:val="21"/>
        </w:rPr>
        <w:t>1</w:t>
      </w:r>
      <w:r>
        <w:rPr>
          <w:rFonts w:ascii="宋体" w:hAnsi="宋体" w:cs="宋体"/>
          <w:szCs w:val="21"/>
        </w:rPr>
        <w:t>5</w:t>
      </w:r>
      <w:r>
        <w:rPr>
          <w:rFonts w:hint="eastAsia" w:ascii="宋体" w:hAnsi="宋体" w:cs="宋体"/>
          <w:szCs w:val="21"/>
        </w:rPr>
        <w:t>.7</w:t>
      </w:r>
      <w:r>
        <w:rPr>
          <w:rFonts w:hint="eastAsia" w:ascii="宋体" w:hAnsi="宋体" w:cs="宋体"/>
          <w:b/>
          <w:szCs w:val="21"/>
        </w:rPr>
        <w:t>供应商公章：</w:t>
      </w:r>
      <w:r>
        <w:rPr>
          <w:rFonts w:hint="eastAsia" w:ascii="宋体" w:hAnsi="宋体" w:cs="宋体"/>
          <w:szCs w:val="21"/>
        </w:rPr>
        <w:t>本竞争性磋商文件中描述供应商的“公章”是指根据我国对公章的管理规定，用供应商法定主体行为名称制作的印章，除本文件有特殊规定外，供应商的财务章、部门章、分公司章、工会章、合同章、投标专用章、业务专用章及银行的转账章、现金收讫章、现金付讫章等其它形式印章均不能代替公章。</w:t>
      </w:r>
    </w:p>
    <w:p>
      <w:pPr>
        <w:tabs>
          <w:tab w:val="left" w:pos="1305"/>
        </w:tabs>
        <w:spacing w:line="360" w:lineRule="auto"/>
        <w:ind w:firstLine="422" w:firstLineChars="200"/>
        <w:rPr>
          <w:rFonts w:ascii="宋体" w:hAnsi="宋体" w:cs="宋体"/>
          <w:b/>
          <w:szCs w:val="21"/>
        </w:rPr>
      </w:pPr>
      <w:r>
        <w:rPr>
          <w:rFonts w:hint="eastAsia" w:ascii="宋体" w:hAnsi="宋体" w:cs="宋体"/>
          <w:b/>
          <w:szCs w:val="21"/>
        </w:rPr>
        <w:t>1</w:t>
      </w:r>
      <w:r>
        <w:rPr>
          <w:rFonts w:ascii="宋体" w:hAnsi="宋体" w:cs="宋体"/>
          <w:b/>
          <w:szCs w:val="21"/>
        </w:rPr>
        <w:t>6</w:t>
      </w:r>
      <w:r>
        <w:rPr>
          <w:rFonts w:hint="eastAsia" w:ascii="宋体" w:hAnsi="宋体" w:cs="宋体"/>
          <w:b/>
          <w:szCs w:val="21"/>
        </w:rPr>
        <w:t>.响应文件的修改和撤回</w:t>
      </w:r>
    </w:p>
    <w:p>
      <w:pPr>
        <w:spacing w:line="360" w:lineRule="auto"/>
        <w:ind w:firstLine="420" w:firstLineChars="200"/>
        <w:rPr>
          <w:rFonts w:ascii="宋体" w:hAnsi="宋体" w:cs="宋体"/>
          <w:szCs w:val="21"/>
        </w:rPr>
      </w:pPr>
      <w:r>
        <w:rPr>
          <w:rFonts w:hint="eastAsia" w:ascii="宋体" w:hAnsi="宋体" w:cs="宋体"/>
          <w:szCs w:val="21"/>
        </w:rPr>
        <w:t>1</w:t>
      </w:r>
      <w:r>
        <w:rPr>
          <w:rFonts w:ascii="宋体" w:hAnsi="宋体" w:cs="宋体"/>
          <w:szCs w:val="21"/>
        </w:rPr>
        <w:t>6</w:t>
      </w:r>
      <w:r>
        <w:rPr>
          <w:rFonts w:hint="eastAsia" w:ascii="宋体" w:hAnsi="宋体" w:cs="宋体"/>
          <w:szCs w:val="21"/>
        </w:rPr>
        <w:t>.1供应商在响应文件递交截止时间之前，可以对已递交的响应文件进行修改或撤回，并书面通知采购代理机构。</w:t>
      </w:r>
    </w:p>
    <w:p>
      <w:pPr>
        <w:tabs>
          <w:tab w:val="left" w:pos="1305"/>
        </w:tabs>
        <w:spacing w:line="360" w:lineRule="auto"/>
        <w:ind w:firstLine="420" w:firstLineChars="200"/>
        <w:rPr>
          <w:rFonts w:ascii="宋体" w:hAnsi="宋体" w:cs="宋体"/>
          <w:szCs w:val="21"/>
        </w:rPr>
      </w:pPr>
      <w:r>
        <w:rPr>
          <w:rFonts w:hint="eastAsia" w:ascii="宋体" w:hAnsi="宋体" w:cs="宋体"/>
          <w:szCs w:val="21"/>
        </w:rPr>
        <w:t>1</w:t>
      </w:r>
      <w:r>
        <w:rPr>
          <w:rFonts w:ascii="宋体" w:hAnsi="宋体" w:cs="宋体"/>
          <w:szCs w:val="21"/>
        </w:rPr>
        <w:t>6</w:t>
      </w:r>
      <w:r>
        <w:rPr>
          <w:rFonts w:hint="eastAsia" w:ascii="宋体" w:hAnsi="宋体" w:cs="宋体"/>
          <w:szCs w:val="21"/>
        </w:rPr>
        <w:t>.2在响应文件递交截止时间后的响应文件有效期内，供应商不得撤回其响应文件。</w:t>
      </w:r>
    </w:p>
    <w:p>
      <w:pPr>
        <w:tabs>
          <w:tab w:val="left" w:pos="1305"/>
        </w:tabs>
        <w:spacing w:line="360" w:lineRule="auto"/>
        <w:ind w:firstLine="422" w:firstLineChars="200"/>
        <w:rPr>
          <w:rFonts w:ascii="宋体" w:hAnsi="宋体" w:cs="宋体"/>
          <w:b/>
          <w:szCs w:val="21"/>
        </w:rPr>
      </w:pPr>
      <w:r>
        <w:rPr>
          <w:rFonts w:hint="eastAsia" w:ascii="宋体" w:hAnsi="宋体" w:cs="宋体"/>
          <w:b/>
          <w:szCs w:val="21"/>
        </w:rPr>
        <w:t>1</w:t>
      </w:r>
      <w:r>
        <w:rPr>
          <w:rFonts w:ascii="宋体" w:hAnsi="宋体" w:cs="宋体"/>
          <w:b/>
          <w:szCs w:val="21"/>
        </w:rPr>
        <w:t>7</w:t>
      </w:r>
      <w:r>
        <w:rPr>
          <w:rFonts w:hint="eastAsia" w:ascii="宋体" w:hAnsi="宋体" w:cs="宋体"/>
          <w:b/>
          <w:szCs w:val="21"/>
        </w:rPr>
        <w:t>.响应文件的递交</w:t>
      </w:r>
    </w:p>
    <w:p>
      <w:pPr>
        <w:tabs>
          <w:tab w:val="left" w:pos="1305"/>
        </w:tabs>
        <w:spacing w:line="360" w:lineRule="auto"/>
        <w:ind w:firstLine="420" w:firstLineChars="200"/>
        <w:rPr>
          <w:rFonts w:ascii="宋体" w:hAnsi="宋体" w:cs="宋体"/>
          <w:szCs w:val="21"/>
          <w:highlight w:val="none"/>
        </w:rPr>
      </w:pPr>
      <w:r>
        <w:rPr>
          <w:rFonts w:hint="eastAsia" w:ascii="宋体" w:hAnsi="宋体" w:cs="宋体"/>
          <w:szCs w:val="21"/>
          <w:highlight w:val="none"/>
        </w:rPr>
        <w:t>1</w:t>
      </w:r>
      <w:r>
        <w:rPr>
          <w:rFonts w:ascii="宋体" w:hAnsi="宋体" w:cs="宋体"/>
          <w:szCs w:val="21"/>
          <w:highlight w:val="none"/>
        </w:rPr>
        <w:t>7</w:t>
      </w:r>
      <w:r>
        <w:rPr>
          <w:rFonts w:hint="eastAsia" w:ascii="宋体" w:hAnsi="宋体" w:cs="宋体"/>
          <w:szCs w:val="21"/>
          <w:highlight w:val="none"/>
        </w:rPr>
        <w:t>.1供应商必须于2020年</w:t>
      </w:r>
      <w:r>
        <w:rPr>
          <w:rFonts w:hint="eastAsia" w:ascii="宋体" w:hAnsi="宋体" w:cs="宋体"/>
          <w:szCs w:val="21"/>
          <w:highlight w:val="none"/>
          <w:lang w:val="en-US" w:eastAsia="zh-CN"/>
        </w:rPr>
        <w:t>12</w:t>
      </w:r>
      <w:r>
        <w:rPr>
          <w:rFonts w:hint="eastAsia" w:ascii="宋体" w:hAnsi="宋体" w:cs="宋体"/>
          <w:szCs w:val="21"/>
          <w:highlight w:val="none"/>
        </w:rPr>
        <w:t xml:space="preserve">月 </w:t>
      </w:r>
      <w:r>
        <w:rPr>
          <w:rFonts w:hint="eastAsia" w:ascii="宋体" w:hAnsi="宋体" w:cs="宋体"/>
          <w:szCs w:val="21"/>
          <w:highlight w:val="none"/>
          <w:lang w:val="en-US" w:eastAsia="zh-CN"/>
        </w:rPr>
        <w:t>18</w:t>
      </w:r>
      <w:r>
        <w:rPr>
          <w:rFonts w:hint="eastAsia" w:ascii="宋体" w:hAnsi="宋体" w:cs="宋体"/>
          <w:szCs w:val="21"/>
          <w:highlight w:val="none"/>
        </w:rPr>
        <w:t xml:space="preserve"> 日上午</w:t>
      </w:r>
      <w:r>
        <w:rPr>
          <w:rFonts w:hint="eastAsia" w:ascii="宋体" w:hAnsi="宋体" w:cs="宋体"/>
          <w:szCs w:val="21"/>
          <w:highlight w:val="none"/>
          <w:lang w:val="en-US" w:eastAsia="zh-CN"/>
        </w:rPr>
        <w:t>10</w:t>
      </w:r>
      <w:r>
        <w:rPr>
          <w:rFonts w:hint="eastAsia" w:ascii="宋体" w:hAnsi="宋体" w:cs="宋体"/>
          <w:szCs w:val="21"/>
          <w:highlight w:val="none"/>
        </w:rPr>
        <w:t>时00分至</w:t>
      </w:r>
      <w:r>
        <w:rPr>
          <w:rFonts w:hint="eastAsia" w:ascii="宋体" w:hAnsi="宋体" w:cs="宋体"/>
          <w:szCs w:val="21"/>
          <w:highlight w:val="none"/>
          <w:lang w:val="en-US" w:eastAsia="zh-CN"/>
        </w:rPr>
        <w:t>10</w:t>
      </w:r>
      <w:r>
        <w:rPr>
          <w:rFonts w:hint="eastAsia" w:ascii="宋体" w:hAnsi="宋体" w:cs="宋体"/>
          <w:szCs w:val="21"/>
          <w:highlight w:val="none"/>
        </w:rPr>
        <w:t>时30分，将响应文件密封提交至</w:t>
      </w:r>
      <w:r>
        <w:rPr>
          <w:rFonts w:hint="eastAsia" w:ascii="宋体" w:hAnsi="宋体" w:cs="宋体"/>
          <w:b/>
          <w:bCs/>
          <w:szCs w:val="21"/>
          <w:highlight w:val="none"/>
          <w:u w:val="single"/>
        </w:rPr>
        <w:t>桂林市公共资源交易中心</w:t>
      </w:r>
      <w:r>
        <w:rPr>
          <w:rFonts w:hint="eastAsia" w:ascii="宋体" w:hAnsi="宋体" w:cs="宋体"/>
          <w:b/>
          <w:bCs/>
          <w:szCs w:val="21"/>
          <w:highlight w:val="none"/>
          <w:u w:val="single"/>
          <w:lang w:val="en-US" w:eastAsia="zh-CN"/>
        </w:rPr>
        <w:t>14</w:t>
      </w:r>
      <w:r>
        <w:rPr>
          <w:rFonts w:hint="eastAsia" w:ascii="宋体" w:hAnsi="宋体" w:cs="宋体"/>
          <w:b/>
          <w:bCs/>
          <w:szCs w:val="21"/>
          <w:highlight w:val="none"/>
          <w:u w:val="single"/>
        </w:rPr>
        <w:t>号开标室（广西桂林市临桂区西城中路69号创业大厦西辅楼4楼北区）</w:t>
      </w:r>
      <w:r>
        <w:rPr>
          <w:rFonts w:hint="eastAsia" w:ascii="宋体" w:hAnsi="宋体" w:cs="宋体"/>
          <w:highlight w:val="none"/>
        </w:rPr>
        <w:t>，逾期送达的或未送达指定地点的响应文件将予以拒收。</w:t>
      </w:r>
    </w:p>
    <w:p>
      <w:pPr>
        <w:tabs>
          <w:tab w:val="left" w:pos="1305"/>
        </w:tabs>
        <w:spacing w:line="360" w:lineRule="auto"/>
        <w:ind w:firstLine="420" w:firstLineChars="200"/>
        <w:rPr>
          <w:rFonts w:ascii="宋体" w:hAnsi="宋体" w:cs="宋体"/>
          <w:szCs w:val="21"/>
        </w:rPr>
      </w:pPr>
      <w:r>
        <w:rPr>
          <w:rFonts w:hint="eastAsia" w:ascii="宋体" w:hAnsi="宋体" w:cs="宋体"/>
          <w:szCs w:val="21"/>
        </w:rPr>
        <w:t>1</w:t>
      </w:r>
      <w:r>
        <w:rPr>
          <w:rFonts w:ascii="宋体" w:hAnsi="宋体" w:cs="宋体"/>
          <w:szCs w:val="21"/>
        </w:rPr>
        <w:t>7</w:t>
      </w:r>
      <w:r>
        <w:rPr>
          <w:rFonts w:hint="eastAsia" w:ascii="宋体" w:hAnsi="宋体" w:cs="宋体"/>
          <w:szCs w:val="21"/>
        </w:rPr>
        <w:t>.2除竞争性磋商文件另有规定外，供应商所递交的响应文件不予退还。</w:t>
      </w:r>
    </w:p>
    <w:p>
      <w:pPr>
        <w:rPr>
          <w:rFonts w:ascii="宋体" w:hAnsi="宋体" w:cs="宋体"/>
          <w:b/>
          <w:sz w:val="28"/>
          <w:szCs w:val="28"/>
        </w:rPr>
      </w:pPr>
      <w:r>
        <w:rPr>
          <w:rFonts w:ascii="宋体" w:hAnsi="宋体" w:cs="宋体"/>
          <w:b/>
          <w:sz w:val="28"/>
          <w:szCs w:val="28"/>
        </w:rPr>
        <w:br w:type="page"/>
      </w:r>
    </w:p>
    <w:p>
      <w:pPr>
        <w:pStyle w:val="15"/>
      </w:pPr>
    </w:p>
    <w:p>
      <w:pPr>
        <w:tabs>
          <w:tab w:val="left" w:pos="1305"/>
        </w:tabs>
        <w:spacing w:line="360" w:lineRule="auto"/>
        <w:ind w:firstLine="562" w:firstLineChars="200"/>
        <w:jc w:val="center"/>
        <w:rPr>
          <w:rFonts w:ascii="宋体" w:hAnsi="宋体" w:cs="宋体"/>
          <w:b/>
          <w:sz w:val="28"/>
          <w:szCs w:val="28"/>
        </w:rPr>
      </w:pPr>
      <w:r>
        <w:rPr>
          <w:rFonts w:hint="eastAsia" w:ascii="宋体" w:hAnsi="宋体" w:cs="宋体"/>
          <w:b/>
          <w:sz w:val="28"/>
          <w:szCs w:val="28"/>
        </w:rPr>
        <w:t>四、竞争性磋商（简称磋商）与评审</w:t>
      </w:r>
    </w:p>
    <w:p>
      <w:pPr>
        <w:tabs>
          <w:tab w:val="center" w:pos="4411"/>
          <w:tab w:val="left" w:pos="5475"/>
        </w:tabs>
        <w:spacing w:line="360" w:lineRule="auto"/>
        <w:ind w:firstLine="422" w:firstLineChars="200"/>
        <w:jc w:val="left"/>
        <w:rPr>
          <w:rFonts w:ascii="宋体" w:hAnsi="宋体" w:cs="宋体"/>
          <w:b/>
          <w:szCs w:val="21"/>
        </w:rPr>
      </w:pPr>
      <w:r>
        <w:rPr>
          <w:rFonts w:hint="eastAsia" w:ascii="宋体" w:hAnsi="宋体" w:cs="宋体"/>
          <w:b/>
          <w:szCs w:val="21"/>
        </w:rPr>
        <w:t>1</w:t>
      </w:r>
      <w:r>
        <w:rPr>
          <w:rFonts w:ascii="宋体" w:hAnsi="宋体" w:cs="宋体"/>
          <w:b/>
          <w:szCs w:val="21"/>
        </w:rPr>
        <w:t>8</w:t>
      </w:r>
      <w:r>
        <w:rPr>
          <w:rFonts w:hint="eastAsia" w:ascii="宋体" w:hAnsi="宋体" w:cs="宋体"/>
          <w:b/>
          <w:szCs w:val="21"/>
        </w:rPr>
        <w:t>.磋商小组组成及磋商时间、地点、人员</w:t>
      </w:r>
    </w:p>
    <w:p>
      <w:pPr>
        <w:spacing w:line="360" w:lineRule="auto"/>
        <w:ind w:firstLine="422" w:firstLineChars="200"/>
        <w:rPr>
          <w:rFonts w:ascii="宋体" w:hAnsi="宋体" w:cs="宋体"/>
          <w:b/>
          <w:szCs w:val="21"/>
        </w:rPr>
      </w:pPr>
      <w:r>
        <w:rPr>
          <w:rFonts w:hint="eastAsia" w:ascii="宋体" w:hAnsi="宋体" w:cs="宋体"/>
          <w:b/>
          <w:szCs w:val="21"/>
        </w:rPr>
        <w:t>1</w:t>
      </w:r>
      <w:r>
        <w:rPr>
          <w:rFonts w:ascii="宋体" w:hAnsi="宋体" w:cs="宋体"/>
          <w:b/>
          <w:szCs w:val="21"/>
        </w:rPr>
        <w:t>8</w:t>
      </w:r>
      <w:r>
        <w:rPr>
          <w:rFonts w:hint="eastAsia" w:ascii="宋体" w:hAnsi="宋体" w:cs="宋体"/>
          <w:b/>
          <w:szCs w:val="21"/>
        </w:rPr>
        <w:t>.1磋商小组组成：</w:t>
      </w:r>
    </w:p>
    <w:p>
      <w:pPr>
        <w:tabs>
          <w:tab w:val="left" w:pos="1140"/>
        </w:tabs>
        <w:spacing w:line="360" w:lineRule="auto"/>
        <w:ind w:firstLine="420" w:firstLineChars="200"/>
        <w:rPr>
          <w:rFonts w:ascii="宋体" w:hAnsi="宋体" w:cs="宋体"/>
          <w:szCs w:val="21"/>
        </w:rPr>
      </w:pPr>
      <w:r>
        <w:rPr>
          <w:rFonts w:hint="eastAsia" w:ascii="宋体" w:hAnsi="宋体" w:cs="宋体"/>
          <w:szCs w:val="21"/>
        </w:rPr>
        <w:t>磋商及评审组织工作由采购代理机构负责，具体磋商、评审工作由依法组建的磋商小组负责，本项目的磋商小组由采购人代表和有关方面的专家组成。磋商小组的构成：3人，其中采购人代表 1 人，有关专家 2人。</w:t>
      </w:r>
    </w:p>
    <w:p>
      <w:pPr>
        <w:tabs>
          <w:tab w:val="left" w:pos="1305"/>
        </w:tabs>
        <w:spacing w:line="360" w:lineRule="auto"/>
        <w:ind w:firstLine="422" w:firstLineChars="200"/>
        <w:rPr>
          <w:rFonts w:ascii="宋体" w:hAnsi="宋体" w:cs="宋体"/>
          <w:b/>
          <w:szCs w:val="21"/>
        </w:rPr>
      </w:pPr>
      <w:r>
        <w:rPr>
          <w:rFonts w:hint="eastAsia" w:ascii="宋体" w:hAnsi="宋体" w:cs="宋体"/>
          <w:b/>
          <w:szCs w:val="21"/>
        </w:rPr>
        <w:t>1</w:t>
      </w:r>
      <w:r>
        <w:rPr>
          <w:rFonts w:ascii="宋体" w:hAnsi="宋体" w:cs="宋体"/>
          <w:b/>
          <w:szCs w:val="21"/>
        </w:rPr>
        <w:t>8</w:t>
      </w:r>
      <w:r>
        <w:rPr>
          <w:rFonts w:hint="eastAsia" w:ascii="宋体" w:hAnsi="宋体" w:cs="宋体"/>
          <w:b/>
          <w:szCs w:val="21"/>
        </w:rPr>
        <w:t>.2磋商时间、地点、人员：</w:t>
      </w:r>
    </w:p>
    <w:p>
      <w:pPr>
        <w:spacing w:line="360" w:lineRule="auto"/>
        <w:ind w:firstLine="420" w:firstLineChars="200"/>
        <w:rPr>
          <w:rFonts w:ascii="宋体" w:hAnsi="宋体" w:cs="宋体"/>
          <w:szCs w:val="21"/>
        </w:rPr>
      </w:pPr>
      <w:r>
        <w:rPr>
          <w:rFonts w:hint="eastAsia" w:ascii="宋体" w:hAnsi="宋体" w:cs="宋体"/>
          <w:szCs w:val="21"/>
        </w:rPr>
        <w:t>1</w:t>
      </w:r>
      <w:r>
        <w:rPr>
          <w:rFonts w:ascii="宋体" w:hAnsi="宋体" w:cs="宋体"/>
          <w:szCs w:val="21"/>
        </w:rPr>
        <w:t>8</w:t>
      </w:r>
      <w:r>
        <w:rPr>
          <w:rFonts w:hint="eastAsia" w:ascii="宋体" w:hAnsi="宋体" w:cs="宋体"/>
          <w:szCs w:val="21"/>
        </w:rPr>
        <w:t>.2.1磋商时间：响应文件递交截止时间后。</w:t>
      </w:r>
    </w:p>
    <w:p>
      <w:pPr>
        <w:spacing w:line="360" w:lineRule="auto"/>
        <w:ind w:firstLine="420" w:firstLineChars="200"/>
        <w:rPr>
          <w:rFonts w:ascii="宋体" w:hAnsi="宋体" w:cs="宋体"/>
          <w:b/>
          <w:bCs/>
          <w:szCs w:val="21"/>
        </w:rPr>
      </w:pPr>
      <w:r>
        <w:rPr>
          <w:rFonts w:hint="eastAsia" w:ascii="宋体" w:hAnsi="宋体" w:cs="宋体"/>
          <w:szCs w:val="21"/>
        </w:rPr>
        <w:t>1</w:t>
      </w:r>
      <w:r>
        <w:rPr>
          <w:rFonts w:ascii="宋体" w:hAnsi="宋体" w:cs="宋体"/>
          <w:szCs w:val="21"/>
        </w:rPr>
        <w:t>8</w:t>
      </w:r>
      <w:r>
        <w:rPr>
          <w:rFonts w:hint="eastAsia" w:ascii="宋体" w:hAnsi="宋体" w:cs="宋体"/>
          <w:szCs w:val="21"/>
        </w:rPr>
        <w:t>.2.2磋商地点：</w:t>
      </w:r>
      <w:r>
        <w:rPr>
          <w:rFonts w:hint="eastAsia" w:ascii="宋体" w:hAnsi="宋体" w:cs="宋体"/>
          <w:b/>
          <w:bCs/>
          <w:szCs w:val="21"/>
          <w:u w:val="single"/>
        </w:rPr>
        <w:t>桂林市公共资源交易中心（广西桂林市临桂区西城中路69号创业大厦西辅楼4楼北区）</w:t>
      </w:r>
      <w:r>
        <w:rPr>
          <w:rFonts w:hint="eastAsia" w:ascii="宋体" w:hAnsi="宋体" w:cs="宋体"/>
          <w:b/>
          <w:bCs/>
          <w:szCs w:val="21"/>
        </w:rPr>
        <w:t>。</w:t>
      </w:r>
    </w:p>
    <w:p>
      <w:pPr>
        <w:tabs>
          <w:tab w:val="left" w:pos="1140"/>
        </w:tabs>
        <w:spacing w:line="360" w:lineRule="auto"/>
        <w:ind w:firstLine="420" w:firstLineChars="200"/>
        <w:rPr>
          <w:rFonts w:ascii="宋体" w:hAnsi="宋体" w:cs="宋体"/>
          <w:szCs w:val="21"/>
        </w:rPr>
      </w:pPr>
      <w:r>
        <w:rPr>
          <w:rFonts w:hint="eastAsia" w:ascii="宋体" w:hAnsi="宋体" w:cs="宋体"/>
          <w:szCs w:val="21"/>
        </w:rPr>
        <w:t>1</w:t>
      </w:r>
      <w:r>
        <w:rPr>
          <w:rFonts w:ascii="宋体" w:hAnsi="宋体" w:cs="宋体"/>
          <w:szCs w:val="21"/>
        </w:rPr>
        <w:t>8</w:t>
      </w:r>
      <w:r>
        <w:rPr>
          <w:rFonts w:hint="eastAsia" w:ascii="宋体" w:hAnsi="宋体" w:cs="宋体"/>
          <w:szCs w:val="21"/>
        </w:rPr>
        <w:t>.2.3磋商参加人员：供应商法定代表人、负责人、自然人或相应的委托代理人持有效身份证原件参加磋商。请供应商按时到达指定地点等候当面磋商。</w:t>
      </w:r>
    </w:p>
    <w:p>
      <w:pPr>
        <w:spacing w:line="360" w:lineRule="auto"/>
        <w:ind w:firstLine="420" w:firstLineChars="200"/>
        <w:rPr>
          <w:rFonts w:ascii="宋体" w:hAnsi="宋体" w:cs="宋体"/>
          <w:szCs w:val="21"/>
        </w:rPr>
      </w:pPr>
      <w:r>
        <w:rPr>
          <w:rFonts w:hint="eastAsia" w:ascii="宋体" w:hAnsi="宋体" w:cs="宋体"/>
          <w:szCs w:val="21"/>
        </w:rPr>
        <w:t>1</w:t>
      </w:r>
      <w:r>
        <w:rPr>
          <w:rFonts w:ascii="宋体" w:hAnsi="宋体" w:cs="宋体"/>
          <w:szCs w:val="21"/>
        </w:rPr>
        <w:t>8</w:t>
      </w:r>
      <w:r>
        <w:rPr>
          <w:rFonts w:hint="eastAsia" w:ascii="宋体" w:hAnsi="宋体" w:cs="宋体"/>
          <w:szCs w:val="21"/>
        </w:rPr>
        <w:t>.2.4响应文件递交截止时间后，磋商小组在评标室启封响应文件。</w:t>
      </w:r>
    </w:p>
    <w:p>
      <w:pPr>
        <w:tabs>
          <w:tab w:val="left" w:pos="1140"/>
        </w:tabs>
        <w:spacing w:line="360" w:lineRule="auto"/>
        <w:ind w:firstLine="422" w:firstLineChars="200"/>
        <w:rPr>
          <w:rFonts w:ascii="宋体" w:hAnsi="宋体" w:cs="宋体"/>
          <w:b/>
          <w:szCs w:val="21"/>
        </w:rPr>
      </w:pPr>
      <w:r>
        <w:rPr>
          <w:rFonts w:ascii="宋体" w:hAnsi="宋体" w:cs="宋体"/>
          <w:b/>
          <w:szCs w:val="21"/>
        </w:rPr>
        <w:t>19</w:t>
      </w:r>
      <w:r>
        <w:rPr>
          <w:rFonts w:hint="eastAsia" w:ascii="宋体" w:hAnsi="宋体" w:cs="宋体"/>
          <w:b/>
          <w:szCs w:val="21"/>
        </w:rPr>
        <w:t>.评审原则和评审办法</w:t>
      </w:r>
    </w:p>
    <w:p>
      <w:pPr>
        <w:tabs>
          <w:tab w:val="left" w:pos="1140"/>
        </w:tabs>
        <w:spacing w:line="360" w:lineRule="auto"/>
        <w:ind w:firstLine="420" w:firstLineChars="200"/>
        <w:rPr>
          <w:rFonts w:ascii="宋体" w:hAnsi="宋体" w:cs="宋体"/>
          <w:szCs w:val="21"/>
        </w:rPr>
      </w:pPr>
      <w:r>
        <w:rPr>
          <w:rFonts w:ascii="宋体" w:hAnsi="宋体" w:cs="宋体"/>
          <w:szCs w:val="20"/>
        </w:rPr>
        <w:t>19</w:t>
      </w:r>
      <w:r>
        <w:rPr>
          <w:rFonts w:hint="eastAsia" w:ascii="宋体" w:hAnsi="宋体" w:cs="宋体"/>
          <w:szCs w:val="20"/>
        </w:rPr>
        <w:t>.1</w:t>
      </w:r>
      <w:r>
        <w:rPr>
          <w:rFonts w:hint="eastAsia" w:ascii="宋体" w:hAnsi="宋体" w:cs="宋体"/>
          <w:szCs w:val="21"/>
        </w:rPr>
        <w:t>磋商小组必须坚持公平、公正、科学和择优的原则。</w:t>
      </w:r>
    </w:p>
    <w:p>
      <w:pPr>
        <w:tabs>
          <w:tab w:val="left" w:pos="1140"/>
        </w:tabs>
        <w:spacing w:line="360" w:lineRule="auto"/>
        <w:ind w:firstLine="420" w:firstLineChars="200"/>
        <w:rPr>
          <w:rFonts w:ascii="宋体" w:hAnsi="宋体" w:cs="宋体"/>
          <w:szCs w:val="21"/>
        </w:rPr>
      </w:pPr>
      <w:r>
        <w:rPr>
          <w:rFonts w:ascii="宋体" w:hAnsi="宋体" w:cs="宋体"/>
          <w:szCs w:val="20"/>
        </w:rPr>
        <w:t>19</w:t>
      </w:r>
      <w:r>
        <w:rPr>
          <w:rFonts w:hint="eastAsia" w:ascii="宋体" w:hAnsi="宋体" w:cs="宋体"/>
          <w:szCs w:val="20"/>
        </w:rPr>
        <w:t>.2</w:t>
      </w:r>
      <w:r>
        <w:rPr>
          <w:rFonts w:hint="eastAsia" w:ascii="宋体" w:hAnsi="宋体" w:cs="宋体"/>
          <w:szCs w:val="21"/>
        </w:rPr>
        <w:t>评审办法：综合评分法，具体详见第四章评审办法。</w:t>
      </w:r>
    </w:p>
    <w:p>
      <w:pPr>
        <w:pStyle w:val="15"/>
        <w:spacing w:line="360" w:lineRule="auto"/>
        <w:ind w:firstLine="420" w:firstLineChars="200"/>
        <w:rPr>
          <w:rFonts w:hAnsi="宋体" w:cs="宋体"/>
          <w:szCs w:val="21"/>
        </w:rPr>
      </w:pPr>
      <w:r>
        <w:rPr>
          <w:rFonts w:hAnsi="宋体" w:cs="宋体"/>
          <w:szCs w:val="21"/>
        </w:rPr>
        <w:t>19</w:t>
      </w:r>
      <w:r>
        <w:rPr>
          <w:rFonts w:hint="eastAsia" w:hAnsi="宋体" w:cs="宋体"/>
          <w:szCs w:val="21"/>
        </w:rPr>
        <w:t>.3磋商小组应按磋商文件进行评审，不得擅自更改评审办法。</w:t>
      </w:r>
    </w:p>
    <w:p>
      <w:pPr>
        <w:pStyle w:val="15"/>
        <w:spacing w:line="360" w:lineRule="auto"/>
        <w:ind w:firstLine="420" w:firstLineChars="200"/>
        <w:rPr>
          <w:rFonts w:hAnsi="宋体" w:cs="宋体"/>
          <w:szCs w:val="21"/>
        </w:rPr>
      </w:pPr>
      <w:r>
        <w:rPr>
          <w:rFonts w:hAnsi="宋体" w:cs="宋体"/>
          <w:szCs w:val="21"/>
        </w:rPr>
        <w:t>19</w:t>
      </w:r>
      <w:r>
        <w:rPr>
          <w:rFonts w:hint="eastAsia" w:hAnsi="宋体" w:cs="宋体"/>
          <w:szCs w:val="21"/>
        </w:rPr>
        <w:t>.4在评审过程中，磋商小组任何人不得对某个供应商发表任何倾向性意见，不得向其他磋商小组成员明示或者暗示自己的评审意见。</w:t>
      </w:r>
    </w:p>
    <w:p>
      <w:pPr>
        <w:tabs>
          <w:tab w:val="left" w:pos="1140"/>
        </w:tabs>
        <w:spacing w:line="360" w:lineRule="auto"/>
        <w:ind w:firstLine="420" w:firstLineChars="200"/>
        <w:rPr>
          <w:rFonts w:ascii="宋体" w:hAnsi="宋体" w:cs="宋体"/>
          <w:szCs w:val="21"/>
        </w:rPr>
      </w:pPr>
      <w:r>
        <w:rPr>
          <w:rFonts w:ascii="宋体" w:hAnsi="宋体" w:cs="宋体"/>
          <w:szCs w:val="21"/>
        </w:rPr>
        <w:t>19</w:t>
      </w:r>
      <w:r>
        <w:rPr>
          <w:rFonts w:hint="eastAsia" w:ascii="宋体" w:hAnsi="宋体" w:cs="宋体"/>
          <w:szCs w:val="21"/>
        </w:rPr>
        <w:t>.5磋商小组成员对需要共同认定的事项存在争议的，按照少数服从多数的原则作出结论。持不同意见的磋商小组成员应当在评审报告上签署不同意见并说明理由，否则视为同意。</w:t>
      </w:r>
    </w:p>
    <w:p>
      <w:pPr>
        <w:tabs>
          <w:tab w:val="left" w:pos="1140"/>
        </w:tabs>
        <w:spacing w:line="360" w:lineRule="auto"/>
        <w:ind w:firstLine="422" w:firstLineChars="200"/>
      </w:pPr>
      <w:r>
        <w:rPr>
          <w:rFonts w:hint="eastAsia"/>
          <w:b/>
          <w:szCs w:val="21"/>
        </w:rPr>
        <w:t>根据</w:t>
      </w:r>
      <w:r>
        <w:rPr>
          <w:b/>
          <w:szCs w:val="21"/>
        </w:rPr>
        <w:t>财库〔2019〕38号</w:t>
      </w:r>
      <w:r>
        <w:rPr>
          <w:rFonts w:hint="eastAsia"/>
          <w:b/>
          <w:szCs w:val="21"/>
        </w:rPr>
        <w:t>《</w:t>
      </w:r>
      <w:r>
        <w:rPr>
          <w:b/>
          <w:szCs w:val="21"/>
        </w:rPr>
        <w:t>关于促进政府采购公平竞争优化营商环境的通知</w:t>
      </w:r>
      <w:r>
        <w:rPr>
          <w:rFonts w:hint="eastAsia"/>
          <w:b/>
          <w:szCs w:val="21"/>
        </w:rPr>
        <w:t>》以及桂财采〔2019〕41号 《广西壮族自治区财政厅转发财政部关于促进政府采购公平竞争优化营商环境的通知》规定，磋商小组认定响应有效性时不得因装订、纸张、文件排序等非实质性的格式、形式问题否决投标（响应），从而限制和影响供应商投标（响应）。</w:t>
      </w:r>
    </w:p>
    <w:p>
      <w:pPr>
        <w:tabs>
          <w:tab w:val="left" w:pos="1140"/>
        </w:tabs>
        <w:spacing w:line="360" w:lineRule="auto"/>
        <w:ind w:firstLine="422" w:firstLineChars="200"/>
        <w:rPr>
          <w:rFonts w:ascii="宋体" w:hAnsi="宋体" w:cs="宋体"/>
          <w:b/>
          <w:szCs w:val="21"/>
        </w:rPr>
      </w:pPr>
      <w:r>
        <w:rPr>
          <w:rFonts w:hint="eastAsia" w:ascii="宋体" w:hAnsi="宋体" w:cs="宋体"/>
          <w:b/>
          <w:szCs w:val="21"/>
        </w:rPr>
        <w:t>2</w:t>
      </w:r>
      <w:r>
        <w:rPr>
          <w:rFonts w:ascii="宋体" w:hAnsi="宋体" w:cs="宋体"/>
          <w:b/>
          <w:szCs w:val="21"/>
        </w:rPr>
        <w:t>0</w:t>
      </w:r>
      <w:r>
        <w:rPr>
          <w:rFonts w:hint="eastAsia" w:ascii="宋体" w:hAnsi="宋体" w:cs="宋体"/>
          <w:b/>
          <w:szCs w:val="21"/>
        </w:rPr>
        <w:t>.评审程序及磋商要求</w:t>
      </w:r>
    </w:p>
    <w:p>
      <w:pPr>
        <w:pStyle w:val="15"/>
        <w:spacing w:line="360" w:lineRule="auto"/>
        <w:ind w:firstLine="420" w:firstLineChars="200"/>
        <w:rPr>
          <w:rFonts w:hAnsi="宋体" w:cs="宋体"/>
          <w:szCs w:val="21"/>
        </w:rPr>
      </w:pPr>
      <w:r>
        <w:rPr>
          <w:rFonts w:hint="eastAsia" w:hAnsi="宋体" w:cs="宋体"/>
          <w:szCs w:val="21"/>
        </w:rPr>
        <w:t>2</w:t>
      </w:r>
      <w:r>
        <w:rPr>
          <w:rFonts w:hAnsi="宋体" w:cs="宋体"/>
          <w:szCs w:val="21"/>
        </w:rPr>
        <w:t>0</w:t>
      </w:r>
      <w:r>
        <w:rPr>
          <w:rFonts w:hint="eastAsia" w:hAnsi="宋体" w:cs="宋体"/>
          <w:szCs w:val="21"/>
        </w:rPr>
        <w:t>.1磋商小组成员的通讯工具或相关电子设备交由桂林市公共资源交易中心统一保管后到达评标室，采购代理机构核实磋商小组成员身份，告知回避要求，宣布评审工作纪律和程序，推选磋商小组组长。</w:t>
      </w:r>
    </w:p>
    <w:p>
      <w:pPr>
        <w:spacing w:line="360" w:lineRule="auto"/>
        <w:ind w:firstLine="420" w:firstLineChars="200"/>
        <w:rPr>
          <w:rFonts w:ascii="宋体" w:hAnsi="宋体" w:cs="宋体"/>
          <w:kern w:val="0"/>
          <w:szCs w:val="21"/>
        </w:rPr>
      </w:pPr>
      <w:r>
        <w:rPr>
          <w:rFonts w:hint="eastAsia" w:ascii="宋体" w:hAnsi="宋体" w:cs="宋体"/>
          <w:szCs w:val="21"/>
        </w:rPr>
        <w:t>2</w:t>
      </w:r>
      <w:r>
        <w:rPr>
          <w:rFonts w:ascii="宋体" w:hAnsi="宋体" w:cs="宋体"/>
          <w:szCs w:val="21"/>
        </w:rPr>
        <w:t>0</w:t>
      </w:r>
      <w:r>
        <w:rPr>
          <w:rFonts w:hint="eastAsia" w:ascii="宋体" w:hAnsi="宋体" w:cs="宋体"/>
          <w:szCs w:val="21"/>
        </w:rPr>
        <w:t>.2磋商小组应当对发布公告的竞争性磋商文件（简称磋商文件）进行确认，</w:t>
      </w:r>
      <w:r>
        <w:rPr>
          <w:rFonts w:hint="eastAsia" w:ascii="宋体" w:hAnsi="宋体" w:cs="宋体"/>
          <w:kern w:val="0"/>
          <w:szCs w:val="21"/>
        </w:rPr>
        <w:t>审查供应商的响应文件并作出评价；要求供应商解释或者澄清其响应文件；编写评审报告；告知采购人、采购代理机构在评审过程中发现的供应商的违法违规行为。</w:t>
      </w:r>
    </w:p>
    <w:p>
      <w:pPr>
        <w:spacing w:line="360" w:lineRule="auto"/>
        <w:ind w:firstLine="420" w:firstLineChars="200"/>
        <w:rPr>
          <w:rFonts w:ascii="宋体" w:hAnsi="宋体" w:cs="宋体"/>
          <w:szCs w:val="21"/>
        </w:rPr>
      </w:pPr>
      <w:r>
        <w:rPr>
          <w:rFonts w:hint="eastAsia" w:ascii="宋体" w:hAnsi="宋体" w:cs="宋体"/>
          <w:szCs w:val="21"/>
        </w:rPr>
        <w:t>2</w:t>
      </w:r>
      <w:r>
        <w:rPr>
          <w:rFonts w:ascii="宋体" w:hAnsi="宋体" w:cs="宋体"/>
          <w:szCs w:val="21"/>
        </w:rPr>
        <w:t>0</w:t>
      </w:r>
      <w:r>
        <w:rPr>
          <w:rFonts w:hint="eastAsia" w:ascii="宋体" w:hAnsi="宋体" w:cs="宋体"/>
          <w:szCs w:val="21"/>
        </w:rPr>
        <w:t>.3</w:t>
      </w:r>
      <w:r>
        <w:rPr>
          <w:rFonts w:hint="eastAsia" w:ascii="宋体" w:hAnsi="宋体" w:cs="宋体"/>
          <w:kern w:val="0"/>
          <w:szCs w:val="21"/>
        </w:rPr>
        <w:t>磋商小组</w:t>
      </w:r>
      <w:r>
        <w:rPr>
          <w:rFonts w:hint="eastAsia" w:ascii="宋体" w:hAnsi="宋体" w:cs="宋体"/>
          <w:szCs w:val="21"/>
        </w:rPr>
        <w:t>依据法律法规和竞争性磋商文件的规定，</w:t>
      </w:r>
      <w:r>
        <w:rPr>
          <w:rFonts w:hint="eastAsia" w:ascii="宋体" w:hAnsi="宋体" w:cs="宋体"/>
        </w:rPr>
        <w:t>首先对响应文件进行资格性审查，</w:t>
      </w:r>
      <w:r>
        <w:rPr>
          <w:rFonts w:hint="eastAsia" w:ascii="宋体" w:hAnsi="宋体" w:cs="宋体"/>
          <w:szCs w:val="21"/>
        </w:rPr>
        <w:t>以确定供应商是否具备本项目供应商资格；再对通过资格性审查的供应商响应文件的有效性、完整性和对磋商文件的响应程度进行符合性审查，以确定是否对磋商文件的实质性要求做出响应。</w:t>
      </w:r>
    </w:p>
    <w:p>
      <w:pPr>
        <w:spacing w:line="360" w:lineRule="auto"/>
        <w:ind w:firstLine="422" w:firstLineChars="200"/>
        <w:rPr>
          <w:rFonts w:ascii="宋体" w:hAnsi="宋体" w:cs="宋体"/>
          <w:b/>
          <w:szCs w:val="21"/>
        </w:rPr>
      </w:pPr>
      <w:r>
        <w:rPr>
          <w:rFonts w:hint="eastAsia" w:ascii="宋体" w:hAnsi="宋体" w:cs="宋体"/>
          <w:b/>
          <w:szCs w:val="21"/>
        </w:rPr>
        <w:t>2</w:t>
      </w:r>
      <w:r>
        <w:rPr>
          <w:rFonts w:ascii="宋体" w:hAnsi="宋体" w:cs="宋体"/>
          <w:b/>
          <w:szCs w:val="21"/>
        </w:rPr>
        <w:t>0</w:t>
      </w:r>
      <w:r>
        <w:rPr>
          <w:rFonts w:hint="eastAsia" w:ascii="宋体" w:hAnsi="宋体" w:cs="宋体"/>
          <w:b/>
          <w:szCs w:val="21"/>
        </w:rPr>
        <w:t>.4 磋商小组在对供应商进行资格性审查时，将对供应商企业股东及出资等信息进行查询。根据《中华人民共和国政府采购法实施条例》第十八条第一款规定，审查中如发现供应商存在单位负责人为同一人或者存在直接控股、管理关系的不同供应商参加同一合同项下的政府采购活动的，按响应文件无效处理。</w:t>
      </w:r>
    </w:p>
    <w:p>
      <w:pPr>
        <w:spacing w:line="360" w:lineRule="auto"/>
        <w:ind w:firstLine="420" w:firstLineChars="200"/>
        <w:rPr>
          <w:rFonts w:ascii="宋体" w:hAnsi="宋体" w:cs="宋体"/>
          <w:szCs w:val="21"/>
        </w:rPr>
      </w:pPr>
      <w:r>
        <w:rPr>
          <w:rFonts w:hint="eastAsia" w:ascii="宋体" w:hAnsi="宋体" w:cs="宋体"/>
          <w:szCs w:val="21"/>
        </w:rPr>
        <w:t>2</w:t>
      </w:r>
      <w:r>
        <w:rPr>
          <w:rFonts w:ascii="宋体" w:hAnsi="宋体" w:cs="宋体"/>
          <w:szCs w:val="21"/>
        </w:rPr>
        <w:t>0</w:t>
      </w:r>
      <w:r>
        <w:rPr>
          <w:rFonts w:hint="eastAsia" w:ascii="宋体" w:hAnsi="宋体" w:cs="宋体"/>
          <w:szCs w:val="21"/>
        </w:rPr>
        <w:t>.4.1查询渠道：《国家企业信用信息公示系统》（网址：http://www.gsxt.gov.cn/index.html）</w:t>
      </w:r>
    </w:p>
    <w:p>
      <w:pPr>
        <w:spacing w:line="360" w:lineRule="auto"/>
        <w:ind w:firstLine="420" w:firstLineChars="200"/>
        <w:rPr>
          <w:rFonts w:ascii="宋体" w:hAnsi="宋体" w:cs="宋体"/>
          <w:szCs w:val="21"/>
        </w:rPr>
      </w:pPr>
      <w:r>
        <w:rPr>
          <w:rFonts w:hint="eastAsia" w:ascii="宋体" w:hAnsi="宋体" w:cs="宋体"/>
          <w:szCs w:val="21"/>
        </w:rPr>
        <w:t>2</w:t>
      </w:r>
      <w:r>
        <w:rPr>
          <w:rFonts w:ascii="宋体" w:hAnsi="宋体" w:cs="宋体"/>
          <w:szCs w:val="21"/>
        </w:rPr>
        <w:t>0</w:t>
      </w:r>
      <w:r>
        <w:rPr>
          <w:rFonts w:hint="eastAsia" w:ascii="宋体" w:hAnsi="宋体" w:cs="宋体"/>
          <w:szCs w:val="21"/>
        </w:rPr>
        <w:t>.4.2审查流程：</w:t>
      </w:r>
    </w:p>
    <w:p>
      <w:pPr>
        <w:spacing w:line="360" w:lineRule="auto"/>
        <w:ind w:firstLine="420" w:firstLineChars="200"/>
        <w:rPr>
          <w:rFonts w:ascii="宋体" w:hAnsi="宋体" w:cs="宋体"/>
          <w:szCs w:val="21"/>
        </w:rPr>
      </w:pPr>
      <w:r>
        <w:rPr>
          <w:rFonts w:hint="eastAsia" w:ascii="宋体" w:hAnsi="宋体" w:cs="宋体"/>
          <w:szCs w:val="21"/>
        </w:rPr>
        <w:t>（1）进入《国家企业信用信息公示系统》（网址：http://www.gsxt.gov.cn/index.html），输入企业名称，进入企业信息主页面；</w:t>
      </w:r>
    </w:p>
    <w:p>
      <w:pPr>
        <w:spacing w:line="360" w:lineRule="auto"/>
        <w:ind w:firstLine="420" w:firstLineChars="200"/>
        <w:rPr>
          <w:rFonts w:ascii="宋体" w:hAnsi="宋体" w:cs="宋体"/>
          <w:szCs w:val="21"/>
        </w:rPr>
      </w:pPr>
      <w:r>
        <w:rPr>
          <w:rFonts w:hint="eastAsia" w:ascii="宋体" w:hAnsi="宋体" w:cs="宋体"/>
          <w:szCs w:val="21"/>
        </w:rPr>
        <w:t>（2）查看主页“股东及出资信息”栏，或年报中的“股东及出资信息”栏信息；</w:t>
      </w:r>
    </w:p>
    <w:p>
      <w:pPr>
        <w:spacing w:line="360" w:lineRule="auto"/>
        <w:ind w:firstLine="420" w:firstLineChars="200"/>
        <w:rPr>
          <w:rFonts w:ascii="宋体" w:hAnsi="宋体" w:cs="宋体"/>
          <w:szCs w:val="21"/>
        </w:rPr>
      </w:pPr>
      <w:r>
        <w:rPr>
          <w:rFonts w:hint="eastAsia" w:ascii="宋体" w:hAnsi="宋体" w:cs="宋体"/>
          <w:szCs w:val="21"/>
        </w:rPr>
        <w:t>（3）将各供应商的股东及出资信息进行比对，得出审查结论；</w:t>
      </w:r>
    </w:p>
    <w:p>
      <w:pPr>
        <w:snapToGrid w:val="0"/>
        <w:spacing w:line="360" w:lineRule="auto"/>
        <w:ind w:firstLine="420" w:firstLineChars="200"/>
        <w:rPr>
          <w:rFonts w:ascii="宋体" w:hAnsi="宋体" w:cs="宋体"/>
        </w:rPr>
      </w:pPr>
      <w:r>
        <w:rPr>
          <w:rFonts w:hint="eastAsia" w:ascii="宋体" w:hAnsi="宋体" w:cs="宋体"/>
        </w:rPr>
        <w:t>（4）将相关资料作为评审资料打印存档。</w:t>
      </w:r>
    </w:p>
    <w:p>
      <w:pPr>
        <w:tabs>
          <w:tab w:val="left" w:pos="1305"/>
        </w:tabs>
        <w:spacing w:line="360" w:lineRule="auto"/>
        <w:ind w:firstLine="420" w:firstLineChars="200"/>
        <w:rPr>
          <w:rFonts w:ascii="宋体" w:hAnsi="宋体" w:cs="宋体"/>
          <w:szCs w:val="21"/>
        </w:rPr>
      </w:pPr>
      <w:r>
        <w:rPr>
          <w:rFonts w:hint="eastAsia" w:ascii="宋体" w:hAnsi="宋体" w:cs="宋体"/>
          <w:szCs w:val="21"/>
        </w:rPr>
        <w:t>注：以上审查过程中，如出现查询企业网页主页面无法显示股东及出资信息的或仅以主页面信息内容无法认定供应商之间存在单位负责人为同一人或者存在直接控股、管理关系的，当时审查程序可继续进行，待评审结束后将对以上供应商作进一步核实确认，如确认供应商之间存在有上述关联供应商情形的，关联供应商均按响应文件无效处理。</w:t>
      </w:r>
    </w:p>
    <w:p>
      <w:pPr>
        <w:spacing w:line="360" w:lineRule="auto"/>
        <w:ind w:firstLine="420" w:firstLineChars="200"/>
        <w:rPr>
          <w:rFonts w:ascii="宋体" w:hAnsi="宋体" w:cs="宋体"/>
          <w:szCs w:val="21"/>
        </w:rPr>
      </w:pPr>
      <w:r>
        <w:rPr>
          <w:rFonts w:hint="eastAsia" w:ascii="宋体" w:hAnsi="宋体" w:cs="宋体"/>
          <w:kern w:val="0"/>
          <w:szCs w:val="21"/>
        </w:rPr>
        <w:t>2</w:t>
      </w:r>
      <w:r>
        <w:rPr>
          <w:rFonts w:ascii="宋体" w:hAnsi="宋体" w:cs="宋体"/>
          <w:kern w:val="0"/>
          <w:szCs w:val="21"/>
        </w:rPr>
        <w:t>0</w:t>
      </w:r>
      <w:r>
        <w:rPr>
          <w:rFonts w:hint="eastAsia" w:ascii="宋体" w:hAnsi="宋体" w:cs="宋体"/>
          <w:kern w:val="0"/>
          <w:szCs w:val="21"/>
        </w:rPr>
        <w:t>.5磋商小组在对响应文件的有效性、完整性和响应程度进行审查时，可以要求供应商对</w:t>
      </w:r>
      <w:r>
        <w:rPr>
          <w:rFonts w:hint="eastAsia" w:ascii="宋体" w:hAnsi="宋体" w:cs="宋体"/>
          <w:szCs w:val="21"/>
        </w:rPr>
        <w:t>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由其法定代表人、负责人、自然人或相应的授权委托代表签字或者加盖供应商公章（自然人除外）。由授权委托代表签字的，应当附授权委托书。供应商为自然人的，应当由本人签字并附身份证明。</w:t>
      </w:r>
    </w:p>
    <w:p>
      <w:pPr>
        <w:spacing w:line="360" w:lineRule="auto"/>
        <w:ind w:firstLine="420" w:firstLineChars="200"/>
        <w:rPr>
          <w:rFonts w:ascii="宋体" w:hAnsi="宋体" w:cs="宋体"/>
          <w:szCs w:val="21"/>
        </w:rPr>
      </w:pPr>
      <w:r>
        <w:rPr>
          <w:rFonts w:hint="eastAsia" w:ascii="宋体" w:hAnsi="宋体" w:cs="宋体"/>
          <w:szCs w:val="21"/>
        </w:rPr>
        <w:t>根据磋商文件规定的程序、评定成交的标准等事项与实质性响应竞争性磋商文件要求的供应商进行磋商。未实质性响应磋商文件的响应文件按无效处理，磋商小组应当告知有关供应商。</w:t>
      </w:r>
    </w:p>
    <w:p>
      <w:pPr>
        <w:spacing w:line="360" w:lineRule="auto"/>
        <w:ind w:firstLine="420" w:firstLineChars="200"/>
        <w:rPr>
          <w:rFonts w:ascii="宋体" w:hAnsi="宋体" w:cs="宋体"/>
          <w:szCs w:val="21"/>
        </w:rPr>
      </w:pPr>
      <w:r>
        <w:rPr>
          <w:rFonts w:hint="eastAsia" w:ascii="宋体" w:hAnsi="宋体" w:cs="宋体"/>
          <w:kern w:val="0"/>
          <w:szCs w:val="21"/>
        </w:rPr>
        <w:t>磋商小组</w:t>
      </w:r>
      <w:r>
        <w:rPr>
          <w:rFonts w:hint="eastAsia" w:ascii="宋体" w:hAnsi="宋体" w:cs="宋体"/>
          <w:szCs w:val="21"/>
        </w:rPr>
        <w:t>所有成员应当</w:t>
      </w:r>
      <w:r>
        <w:rPr>
          <w:rFonts w:hint="eastAsia" w:ascii="宋体" w:hAnsi="宋体" w:cs="宋体"/>
          <w:kern w:val="0"/>
          <w:szCs w:val="21"/>
        </w:rPr>
        <w:t>按已确定的</w:t>
      </w:r>
      <w:r>
        <w:rPr>
          <w:rFonts w:hint="eastAsia" w:ascii="宋体" w:hAnsi="宋体" w:cs="宋体"/>
          <w:szCs w:val="21"/>
        </w:rPr>
        <w:t>磋商顺序集中与单一供应商分别进行磋商，并给予所有实质性响应竞争性磋商文件要求的供应商平等的磋商机会。</w:t>
      </w:r>
    </w:p>
    <w:p>
      <w:pPr>
        <w:spacing w:line="360" w:lineRule="auto"/>
        <w:ind w:firstLine="420" w:firstLineChars="200"/>
        <w:rPr>
          <w:rFonts w:ascii="宋体" w:hAnsi="宋体" w:cs="宋体"/>
          <w:szCs w:val="21"/>
        </w:rPr>
      </w:pPr>
      <w:r>
        <w:rPr>
          <w:rFonts w:hint="eastAsia" w:ascii="宋体" w:hAnsi="宋体" w:cs="宋体"/>
          <w:szCs w:val="21"/>
        </w:rPr>
        <w:t>磋商中，磋商小组不得透露与磋商有关的其他供应商的技术资料、价格和其他信息。</w:t>
      </w:r>
    </w:p>
    <w:p>
      <w:pPr>
        <w:widowControl/>
        <w:tabs>
          <w:tab w:val="left" w:pos="540"/>
        </w:tabs>
        <w:spacing w:line="360" w:lineRule="auto"/>
        <w:ind w:firstLine="420" w:firstLineChars="200"/>
        <w:jc w:val="left"/>
        <w:rPr>
          <w:rFonts w:ascii="宋体" w:hAnsi="宋体" w:cs="宋体"/>
          <w:szCs w:val="21"/>
        </w:rPr>
      </w:pPr>
      <w:r>
        <w:rPr>
          <w:rFonts w:hint="eastAsia" w:ascii="宋体" w:hAnsi="宋体" w:cs="宋体"/>
          <w:szCs w:val="21"/>
        </w:rPr>
        <w:t>采购代理机构对磋商过程和重要磋商内容进行记录，磋商双方在记录上签字确认。</w:t>
      </w:r>
    </w:p>
    <w:p>
      <w:pPr>
        <w:spacing w:line="360" w:lineRule="auto"/>
        <w:ind w:firstLine="420" w:firstLineChars="200"/>
        <w:rPr>
          <w:rFonts w:ascii="宋体" w:hAnsi="宋体" w:cs="宋体"/>
          <w:szCs w:val="21"/>
        </w:rPr>
      </w:pPr>
      <w:r>
        <w:rPr>
          <w:rFonts w:hint="eastAsia" w:ascii="宋体" w:hAnsi="宋体" w:cs="宋体"/>
          <w:szCs w:val="21"/>
        </w:rPr>
        <w:t>2</w:t>
      </w:r>
      <w:r>
        <w:rPr>
          <w:rFonts w:ascii="宋体" w:hAnsi="宋体" w:cs="宋体"/>
          <w:szCs w:val="21"/>
        </w:rPr>
        <w:t>0</w:t>
      </w:r>
      <w:r>
        <w:rPr>
          <w:rFonts w:hint="eastAsia" w:ascii="宋体" w:hAnsi="宋体" w:cs="宋体"/>
          <w:szCs w:val="21"/>
        </w:rPr>
        <w:t>.6在磋商过程中，磋商小组可以根据磋商文件和磋商情况实质性变动项目需求中的技术、服务要求以及合同草案条款，但不得变动磋商文件中的其他内容。实质性变动的内容，须经采购人代表确认。</w:t>
      </w:r>
    </w:p>
    <w:p>
      <w:pPr>
        <w:spacing w:line="360" w:lineRule="auto"/>
        <w:ind w:firstLine="420" w:firstLineChars="200"/>
        <w:rPr>
          <w:rFonts w:ascii="宋体" w:hAnsi="宋体" w:cs="宋体"/>
          <w:szCs w:val="21"/>
        </w:rPr>
      </w:pPr>
      <w:r>
        <w:rPr>
          <w:rFonts w:hint="eastAsia" w:ascii="宋体" w:hAnsi="宋体" w:cs="宋体"/>
          <w:szCs w:val="21"/>
        </w:rPr>
        <w:t>对磋商文件作出的实质性变动是磋商文件的有效组成部分，磋商小组应当及时以书面形式同时通知所有参加磋商的供应商。</w:t>
      </w:r>
    </w:p>
    <w:p>
      <w:pPr>
        <w:spacing w:line="360" w:lineRule="auto"/>
        <w:ind w:firstLine="420" w:firstLineChars="200"/>
        <w:rPr>
          <w:rFonts w:ascii="宋体" w:hAnsi="宋体" w:cs="宋体"/>
          <w:szCs w:val="21"/>
        </w:rPr>
      </w:pPr>
      <w:r>
        <w:rPr>
          <w:rFonts w:hint="eastAsia" w:ascii="宋体" w:hAnsi="宋体" w:cs="宋体"/>
          <w:szCs w:val="21"/>
        </w:rPr>
        <w:t>供应商必须按照磋商文件的变动情况和磋商小组的要求重新提交响应文件，并由其法定代表人、负责人、自然人或相应的授权委托代表签字或者加盖供应商公章（自然人除外）。逾时不交的，视同放弃磋商。</w:t>
      </w:r>
    </w:p>
    <w:p>
      <w:pPr>
        <w:widowControl/>
        <w:spacing w:line="360" w:lineRule="auto"/>
        <w:ind w:firstLine="420" w:firstLineChars="200"/>
        <w:jc w:val="left"/>
        <w:rPr>
          <w:rFonts w:ascii="宋体" w:hAnsi="宋体" w:cs="宋体"/>
          <w:szCs w:val="21"/>
        </w:rPr>
      </w:pPr>
      <w:r>
        <w:rPr>
          <w:rFonts w:hint="eastAsia" w:ascii="宋体" w:hAnsi="宋体" w:cs="宋体"/>
          <w:kern w:val="0"/>
          <w:szCs w:val="21"/>
        </w:rPr>
        <w:t>2</w:t>
      </w:r>
      <w:r>
        <w:rPr>
          <w:rFonts w:ascii="宋体" w:hAnsi="宋体" w:cs="宋体"/>
          <w:kern w:val="0"/>
          <w:szCs w:val="21"/>
        </w:rPr>
        <w:t>0</w:t>
      </w:r>
      <w:r>
        <w:rPr>
          <w:rFonts w:hint="eastAsia" w:ascii="宋体" w:hAnsi="宋体" w:cs="宋体"/>
          <w:kern w:val="0"/>
          <w:szCs w:val="21"/>
        </w:rPr>
        <w:t>.7</w:t>
      </w:r>
      <w:r>
        <w:rPr>
          <w:rFonts w:hint="eastAsia" w:ascii="宋体" w:hAnsi="宋体" w:cs="宋体"/>
          <w:szCs w:val="21"/>
        </w:rPr>
        <w:t>最后报价</w:t>
      </w:r>
    </w:p>
    <w:p>
      <w:pPr>
        <w:spacing w:line="360" w:lineRule="auto"/>
        <w:ind w:firstLine="420" w:firstLineChars="200"/>
        <w:rPr>
          <w:rFonts w:ascii="宋体" w:hAnsi="宋体" w:cs="宋体"/>
          <w:szCs w:val="21"/>
        </w:rPr>
      </w:pPr>
      <w:r>
        <w:rPr>
          <w:rFonts w:hint="eastAsia" w:ascii="宋体" w:hAnsi="宋体" w:cs="宋体"/>
          <w:szCs w:val="21"/>
        </w:rPr>
        <w:t>2</w:t>
      </w:r>
      <w:r>
        <w:rPr>
          <w:rFonts w:ascii="宋体" w:hAnsi="宋体" w:cs="宋体"/>
          <w:szCs w:val="21"/>
        </w:rPr>
        <w:t>0</w:t>
      </w:r>
      <w:r>
        <w:rPr>
          <w:rFonts w:hint="eastAsia" w:ascii="宋体" w:hAnsi="宋体" w:cs="宋体"/>
          <w:szCs w:val="21"/>
        </w:rPr>
        <w:t>.7.1磋商文件能够详细列明采购标的的技术、服务要求的，磋商结束后，磋商小组应当要求所有继续参加磋商的供应商在规定时间内密封提交最后报价，提交最后报价的供应商不得少于3家；磋商文件不能详细列明采购标的的技术、服务要求的，需由磋商供应商提供最终设计方案或解决方案的，磋商结束后，磋商小组应当按照少数服从多数的原则投票推荐3家以上（含3家）供应商的设计方案或者解决方案，并要求其在规定时间内密封提交最后报价。</w:t>
      </w:r>
    </w:p>
    <w:p>
      <w:pPr>
        <w:spacing w:line="360" w:lineRule="auto"/>
        <w:ind w:firstLine="420" w:firstLineChars="200"/>
        <w:rPr>
          <w:rFonts w:ascii="宋体" w:hAnsi="宋体" w:cs="宋体"/>
          <w:szCs w:val="21"/>
        </w:rPr>
      </w:pPr>
      <w:r>
        <w:rPr>
          <w:rFonts w:hint="eastAsia" w:ascii="宋体" w:hAnsi="宋体" w:cs="宋体"/>
          <w:szCs w:val="21"/>
        </w:rPr>
        <w:t>2</w:t>
      </w:r>
      <w:r>
        <w:rPr>
          <w:rFonts w:ascii="宋体" w:hAnsi="宋体" w:cs="宋体"/>
          <w:szCs w:val="21"/>
        </w:rPr>
        <w:t>0</w:t>
      </w:r>
      <w:r>
        <w:rPr>
          <w:rFonts w:hint="eastAsia" w:ascii="宋体" w:hAnsi="宋体" w:cs="宋体"/>
          <w:szCs w:val="21"/>
        </w:rPr>
        <w:t>.7.2根据财库【2015】124号《财政部关于政府采购竞争性磋商采购方式有关问题的通知》的规定，如采购项目为政府购买服务项目（含政府和社会资本合作项目），在采购过程中符合要求的供应商（社会资本）只有2家的，竞争性磋商采购活动可以继续进行，并要求其在规定时间内密封提交最后报价；采购过程中符合要求的供应商（社会资本）只有1家的，采购人或者采购代理机构应当终止竞争性磋商采购活动，发布项目终止公告并说明原因，重新开展采购活动。</w:t>
      </w:r>
    </w:p>
    <w:p>
      <w:pPr>
        <w:spacing w:line="360" w:lineRule="auto"/>
        <w:ind w:firstLine="420" w:firstLineChars="200"/>
        <w:rPr>
          <w:rFonts w:ascii="宋体" w:hAnsi="宋体" w:cs="宋体"/>
          <w:szCs w:val="21"/>
        </w:rPr>
      </w:pPr>
      <w:r>
        <w:rPr>
          <w:rFonts w:hint="eastAsia" w:ascii="宋体" w:hAnsi="宋体" w:cs="宋体"/>
          <w:szCs w:val="21"/>
        </w:rPr>
        <w:t>2</w:t>
      </w:r>
      <w:r>
        <w:rPr>
          <w:rFonts w:ascii="宋体" w:hAnsi="宋体" w:cs="宋体"/>
          <w:szCs w:val="21"/>
        </w:rPr>
        <w:t>0</w:t>
      </w:r>
      <w:r>
        <w:rPr>
          <w:rFonts w:hint="eastAsia" w:ascii="宋体" w:hAnsi="宋体" w:cs="宋体"/>
          <w:szCs w:val="21"/>
        </w:rPr>
        <w:t>.7.3最后报价是供应商响应文件的有效组成部分。</w:t>
      </w:r>
    </w:p>
    <w:p>
      <w:pPr>
        <w:spacing w:line="360" w:lineRule="auto"/>
        <w:ind w:firstLine="420" w:firstLineChars="200"/>
        <w:rPr>
          <w:rFonts w:ascii="宋体" w:hAnsi="宋体" w:cs="宋体"/>
          <w:szCs w:val="21"/>
        </w:rPr>
      </w:pPr>
      <w:r>
        <w:rPr>
          <w:rFonts w:hint="eastAsia" w:ascii="宋体" w:hAnsi="宋体" w:cs="宋体"/>
          <w:szCs w:val="21"/>
        </w:rPr>
        <w:t>2</w:t>
      </w:r>
      <w:r>
        <w:rPr>
          <w:rFonts w:ascii="宋体" w:hAnsi="宋体" w:cs="宋体"/>
          <w:szCs w:val="21"/>
        </w:rPr>
        <w:t>0</w:t>
      </w:r>
      <w:r>
        <w:rPr>
          <w:rFonts w:hint="eastAsia" w:ascii="宋体" w:hAnsi="宋体" w:cs="宋体"/>
          <w:szCs w:val="21"/>
        </w:rPr>
        <w:t>.8</w:t>
      </w:r>
      <w:r>
        <w:rPr>
          <w:rFonts w:hint="eastAsia" w:ascii="宋体" w:hAnsi="宋体" w:cs="宋体"/>
          <w:kern w:val="0"/>
          <w:szCs w:val="21"/>
        </w:rPr>
        <w:t>已提交响应文件的供应商，在提交最后报价之前，可以根据磋商情况书面退出磋商。</w:t>
      </w:r>
    </w:p>
    <w:p>
      <w:pPr>
        <w:widowControl/>
        <w:tabs>
          <w:tab w:val="left" w:pos="540"/>
        </w:tabs>
        <w:spacing w:line="360" w:lineRule="auto"/>
        <w:ind w:firstLine="422" w:firstLineChars="200"/>
        <w:jc w:val="left"/>
        <w:rPr>
          <w:rFonts w:ascii="宋体" w:hAnsi="宋体" w:cs="宋体"/>
          <w:b/>
          <w:kern w:val="0"/>
          <w:szCs w:val="21"/>
        </w:rPr>
      </w:pPr>
      <w:r>
        <w:rPr>
          <w:rFonts w:hint="eastAsia" w:ascii="宋体" w:hAnsi="宋体" w:cs="宋体"/>
          <w:b/>
          <w:kern w:val="0"/>
          <w:szCs w:val="21"/>
        </w:rPr>
        <w:t>未书面退出磋商的供应商必须在规定时间内密封提交最后报价，其最后报价不得超出采购预算；磋商过程中磋商文件未作实质性变动的，最后报价不得超过首次报价。</w:t>
      </w:r>
    </w:p>
    <w:p>
      <w:pPr>
        <w:widowControl/>
        <w:tabs>
          <w:tab w:val="left" w:pos="540"/>
        </w:tabs>
        <w:spacing w:line="360" w:lineRule="auto"/>
        <w:ind w:firstLine="420" w:firstLineChars="200"/>
        <w:jc w:val="left"/>
        <w:rPr>
          <w:rFonts w:ascii="宋体" w:hAnsi="宋体" w:cs="宋体"/>
          <w:kern w:val="0"/>
          <w:szCs w:val="21"/>
        </w:rPr>
      </w:pPr>
      <w:r>
        <w:rPr>
          <w:rFonts w:hint="eastAsia" w:ascii="宋体" w:hAnsi="宋体" w:cs="宋体"/>
          <w:szCs w:val="21"/>
        </w:rPr>
        <w:t>2</w:t>
      </w:r>
      <w:r>
        <w:rPr>
          <w:rFonts w:ascii="宋体" w:hAnsi="宋体" w:cs="宋体"/>
          <w:szCs w:val="21"/>
        </w:rPr>
        <w:t>0</w:t>
      </w:r>
      <w:r>
        <w:rPr>
          <w:rFonts w:hint="eastAsia" w:ascii="宋体" w:hAnsi="宋体" w:cs="宋体"/>
          <w:szCs w:val="21"/>
        </w:rPr>
        <w:t>.9综合比较与评价：</w:t>
      </w:r>
    </w:p>
    <w:p>
      <w:pPr>
        <w:tabs>
          <w:tab w:val="left" w:pos="1140"/>
        </w:tabs>
        <w:spacing w:line="360" w:lineRule="auto"/>
        <w:ind w:firstLine="420" w:firstLineChars="200"/>
        <w:rPr>
          <w:rFonts w:ascii="宋体" w:hAnsi="宋体" w:cs="宋体"/>
          <w:szCs w:val="21"/>
        </w:rPr>
      </w:pPr>
      <w:r>
        <w:rPr>
          <w:rFonts w:hint="eastAsia" w:ascii="宋体" w:hAnsi="宋体" w:cs="宋体"/>
          <w:szCs w:val="21"/>
        </w:rPr>
        <w:t>2</w:t>
      </w:r>
      <w:r>
        <w:rPr>
          <w:rFonts w:ascii="宋体" w:hAnsi="宋体" w:cs="宋体"/>
          <w:szCs w:val="21"/>
        </w:rPr>
        <w:t>0</w:t>
      </w:r>
      <w:r>
        <w:rPr>
          <w:rFonts w:hint="eastAsia" w:ascii="宋体" w:hAnsi="宋体" w:cs="宋体"/>
          <w:szCs w:val="21"/>
        </w:rPr>
        <w:t>.9.1磋商小组按竞争性磋商文件中规定的评审办法，对资格性审查和符合性审查合格的响应文件进行商务和技术评估，综合比较与评价。</w:t>
      </w:r>
    </w:p>
    <w:p>
      <w:pPr>
        <w:tabs>
          <w:tab w:val="left" w:pos="1140"/>
        </w:tabs>
        <w:spacing w:line="360" w:lineRule="auto"/>
        <w:ind w:firstLine="420" w:firstLineChars="200"/>
        <w:rPr>
          <w:rFonts w:ascii="宋体" w:hAnsi="宋体" w:cs="宋体"/>
          <w:szCs w:val="21"/>
        </w:rPr>
      </w:pPr>
      <w:r>
        <w:rPr>
          <w:rFonts w:hint="eastAsia" w:ascii="宋体" w:hAnsi="宋体" w:cs="宋体"/>
          <w:szCs w:val="21"/>
        </w:rPr>
        <w:t>2</w:t>
      </w:r>
      <w:r>
        <w:rPr>
          <w:rFonts w:ascii="宋体" w:hAnsi="宋体" w:cs="宋体"/>
          <w:szCs w:val="21"/>
        </w:rPr>
        <w:t>0</w:t>
      </w:r>
      <w:r>
        <w:rPr>
          <w:rFonts w:hint="eastAsia" w:ascii="宋体" w:hAnsi="宋体" w:cs="宋体"/>
          <w:szCs w:val="21"/>
        </w:rPr>
        <w:t>.9.2采购代理机构对评审数据进行校对、核对，对畸高、畸低的重大差异评分提示磋商小组复核或书面说明理由。</w:t>
      </w:r>
    </w:p>
    <w:p>
      <w:pPr>
        <w:tabs>
          <w:tab w:val="left" w:pos="1140"/>
        </w:tabs>
        <w:spacing w:line="360" w:lineRule="auto"/>
        <w:ind w:firstLine="420" w:firstLineChars="200"/>
        <w:rPr>
          <w:rFonts w:ascii="宋体" w:hAnsi="宋体" w:cs="宋体"/>
          <w:szCs w:val="21"/>
        </w:rPr>
      </w:pPr>
      <w:r>
        <w:rPr>
          <w:rFonts w:hint="eastAsia" w:ascii="宋体" w:hAnsi="宋体" w:cs="宋体"/>
          <w:szCs w:val="21"/>
        </w:rPr>
        <w:t>2</w:t>
      </w:r>
      <w:r>
        <w:rPr>
          <w:rFonts w:ascii="宋体" w:hAnsi="宋体" w:cs="宋体"/>
          <w:szCs w:val="21"/>
        </w:rPr>
        <w:t>0</w:t>
      </w:r>
      <w:r>
        <w:rPr>
          <w:rFonts w:hint="eastAsia" w:ascii="宋体" w:hAnsi="宋体" w:cs="宋体"/>
          <w:szCs w:val="21"/>
        </w:rPr>
        <w:t>.10在评审过程中出现法律法规和磋商文件均没有明确规定的情形时，由磋商小组现场协商解决，协商不一致的，由全体磋商小组投票表决，以得票率二分之一以上专家的意见为准。</w:t>
      </w:r>
    </w:p>
    <w:p>
      <w:pPr>
        <w:tabs>
          <w:tab w:val="left" w:pos="1140"/>
        </w:tabs>
        <w:spacing w:line="360" w:lineRule="auto"/>
        <w:ind w:firstLine="420" w:firstLineChars="200"/>
        <w:rPr>
          <w:rFonts w:ascii="宋体" w:hAnsi="宋体" w:cs="宋体"/>
          <w:szCs w:val="21"/>
        </w:rPr>
      </w:pPr>
      <w:r>
        <w:rPr>
          <w:rFonts w:hint="eastAsia" w:ascii="宋体" w:hAnsi="宋体" w:cs="宋体"/>
          <w:szCs w:val="21"/>
        </w:rPr>
        <w:t>2</w:t>
      </w:r>
      <w:r>
        <w:rPr>
          <w:rFonts w:ascii="宋体" w:hAnsi="宋体" w:cs="宋体"/>
          <w:szCs w:val="21"/>
        </w:rPr>
        <w:t>0</w:t>
      </w:r>
      <w:r>
        <w:rPr>
          <w:rFonts w:hint="eastAsia" w:ascii="宋体" w:hAnsi="宋体" w:cs="宋体"/>
          <w:szCs w:val="21"/>
        </w:rPr>
        <w:t>.11采购代理机构发现磋商小组有明显的违规倾向或歧视现象，或不按评审办法进行，或其他不正常行为的，应当及时制止。如制止无效，应及时向桂林市秀峰区政府采购管理办公室报告。</w:t>
      </w:r>
    </w:p>
    <w:p>
      <w:pPr>
        <w:pStyle w:val="15"/>
        <w:spacing w:line="360" w:lineRule="auto"/>
        <w:ind w:firstLine="422" w:firstLineChars="200"/>
        <w:rPr>
          <w:rFonts w:hAnsi="宋体" w:cs="宋体"/>
          <w:b/>
          <w:bCs/>
          <w:szCs w:val="21"/>
        </w:rPr>
      </w:pPr>
      <w:r>
        <w:rPr>
          <w:rFonts w:hint="eastAsia" w:hAnsi="宋体" w:cs="宋体"/>
          <w:b/>
          <w:bCs/>
          <w:szCs w:val="21"/>
        </w:rPr>
        <w:t>2</w:t>
      </w:r>
      <w:r>
        <w:rPr>
          <w:rFonts w:hAnsi="宋体" w:cs="宋体"/>
          <w:b/>
          <w:bCs/>
          <w:szCs w:val="21"/>
        </w:rPr>
        <w:t>1</w:t>
      </w:r>
      <w:r>
        <w:rPr>
          <w:rFonts w:hint="eastAsia" w:hAnsi="宋体" w:cs="宋体"/>
          <w:b/>
          <w:bCs/>
          <w:szCs w:val="21"/>
        </w:rPr>
        <w:t>.</w:t>
      </w:r>
      <w:r>
        <w:rPr>
          <w:rFonts w:hint="eastAsia" w:hAnsi="宋体" w:cs="宋体"/>
          <w:b/>
        </w:rPr>
        <w:t>推荐及确定成交候选供应商原则</w:t>
      </w:r>
    </w:p>
    <w:p>
      <w:pPr>
        <w:tabs>
          <w:tab w:val="left" w:pos="1140"/>
        </w:tabs>
        <w:spacing w:line="360" w:lineRule="auto"/>
        <w:ind w:firstLine="420" w:firstLineChars="200"/>
        <w:rPr>
          <w:rFonts w:ascii="宋体" w:hAnsi="宋体" w:cs="宋体"/>
          <w:szCs w:val="21"/>
        </w:rPr>
      </w:pPr>
      <w:r>
        <w:rPr>
          <w:rFonts w:hint="eastAsia" w:ascii="宋体" w:hAnsi="宋体" w:cs="宋体"/>
          <w:szCs w:val="21"/>
        </w:rPr>
        <w:t>（1）磋商小组应当根据综合得分情况，按照综合得分由高到低顺序推荐成交候选供应商，并编写评审报告。磋商小组根据综合得分由高到低排列次序，若得分相同时，以评审报价由低到高顺序排列；若得分相同且评审报价相同的，以最后报价由低到高顺序排列；若仍相同的，按项目实施方案分由高到低顺序排列并推荐成交候选供应商。</w:t>
      </w:r>
    </w:p>
    <w:p>
      <w:pPr>
        <w:tabs>
          <w:tab w:val="left" w:pos="1140"/>
        </w:tabs>
        <w:spacing w:line="360" w:lineRule="auto"/>
        <w:ind w:firstLine="420" w:firstLineChars="200"/>
        <w:rPr>
          <w:rFonts w:ascii="宋体" w:hAnsi="宋体" w:cs="宋体"/>
          <w:szCs w:val="21"/>
        </w:rPr>
      </w:pPr>
      <w:r>
        <w:rPr>
          <w:rFonts w:hint="eastAsia" w:ascii="宋体" w:hAnsi="宋体" w:cs="宋体"/>
          <w:szCs w:val="21"/>
        </w:rPr>
        <w:t>（2）采购单位应当确定磋商小组推荐排名第一的成交候选供应商为成交供应商。</w:t>
      </w:r>
    </w:p>
    <w:p>
      <w:pPr>
        <w:tabs>
          <w:tab w:val="left" w:pos="1140"/>
        </w:tabs>
        <w:spacing w:line="360" w:lineRule="auto"/>
        <w:ind w:firstLine="420" w:firstLineChars="200"/>
        <w:rPr>
          <w:rFonts w:ascii="宋体" w:hAnsi="宋体" w:cs="宋体"/>
          <w:szCs w:val="21"/>
        </w:rPr>
      </w:pPr>
      <w:r>
        <w:rPr>
          <w:rFonts w:hint="eastAsia" w:ascii="宋体" w:hAnsi="宋体" w:cs="宋体"/>
          <w:szCs w:val="21"/>
        </w:rPr>
        <w:t>（3）排名第一的成交候选供应商放弃成交、因不可抗力提出不能履行合同，或者磋商文件规定应当提交履约保证金而在规定的期限内未能提交的，或因失信行为被取消成交候选人资格的，采购单位可以确定排名第二的成交候选供应商为成交供应商。</w:t>
      </w:r>
    </w:p>
    <w:p>
      <w:pPr>
        <w:tabs>
          <w:tab w:val="left" w:pos="1140"/>
        </w:tabs>
        <w:spacing w:line="360" w:lineRule="auto"/>
        <w:ind w:firstLine="420" w:firstLineChars="200"/>
        <w:rPr>
          <w:rFonts w:ascii="宋体" w:hAnsi="宋体" w:cs="宋体"/>
          <w:szCs w:val="21"/>
        </w:rPr>
      </w:pPr>
      <w:r>
        <w:rPr>
          <w:rFonts w:hint="eastAsia" w:ascii="宋体" w:hAnsi="宋体" w:cs="宋体"/>
          <w:szCs w:val="21"/>
        </w:rPr>
        <w:t>（4）排名第二的成交候选供应商因前款规定的同样原因不能签订合同的，采购单位可以确定排名第三的成交候选人为成交供应商。以此类推。</w:t>
      </w:r>
    </w:p>
    <w:p>
      <w:pPr>
        <w:tabs>
          <w:tab w:val="left" w:pos="1140"/>
        </w:tabs>
        <w:spacing w:line="360" w:lineRule="auto"/>
        <w:ind w:firstLine="422" w:firstLineChars="200"/>
        <w:rPr>
          <w:rFonts w:ascii="宋体" w:hAnsi="宋体" w:cs="宋体"/>
          <w:szCs w:val="21"/>
        </w:rPr>
      </w:pPr>
      <w:r>
        <w:rPr>
          <w:rFonts w:hint="eastAsia" w:ascii="宋体" w:hAnsi="宋体" w:cs="宋体"/>
          <w:b/>
          <w:szCs w:val="20"/>
        </w:rPr>
        <w:t>2</w:t>
      </w:r>
      <w:r>
        <w:rPr>
          <w:rFonts w:ascii="宋体" w:hAnsi="宋体" w:cs="宋体"/>
          <w:b/>
          <w:szCs w:val="20"/>
        </w:rPr>
        <w:t>2</w:t>
      </w:r>
      <w:r>
        <w:rPr>
          <w:rFonts w:hint="eastAsia" w:ascii="宋体" w:hAnsi="宋体" w:cs="宋体"/>
          <w:b/>
          <w:szCs w:val="20"/>
        </w:rPr>
        <w:t>.属于下列情况之一者，响应文件无效：</w:t>
      </w:r>
    </w:p>
    <w:p>
      <w:pPr>
        <w:snapToGrid w:val="0"/>
        <w:spacing w:line="360" w:lineRule="auto"/>
        <w:ind w:firstLine="420" w:firstLineChars="200"/>
        <w:rPr>
          <w:rFonts w:ascii="宋体" w:hAnsi="宋体" w:cs="宋体"/>
          <w:szCs w:val="21"/>
        </w:rPr>
      </w:pPr>
      <w:r>
        <w:rPr>
          <w:rFonts w:hint="eastAsia" w:ascii="宋体" w:hAnsi="宋体" w:cs="宋体"/>
          <w:szCs w:val="21"/>
        </w:rPr>
        <w:t>（1）未按磋商文件规定完整提交响应文件或未按规定要求密封、签字、盖章的，或未提供授权委托书（委托代理的）；</w:t>
      </w:r>
    </w:p>
    <w:p>
      <w:pPr>
        <w:snapToGrid w:val="0"/>
        <w:spacing w:line="360" w:lineRule="auto"/>
        <w:ind w:firstLine="420" w:firstLineChars="200"/>
        <w:rPr>
          <w:rFonts w:ascii="宋体" w:hAnsi="宋体" w:cs="宋体"/>
          <w:szCs w:val="21"/>
        </w:rPr>
      </w:pPr>
      <w:r>
        <w:rPr>
          <w:rFonts w:hint="eastAsia" w:ascii="宋体" w:hAnsi="宋体" w:cs="宋体"/>
          <w:szCs w:val="21"/>
        </w:rPr>
        <w:t>（2）超越了行政审批的经营范围的；</w:t>
      </w:r>
    </w:p>
    <w:p>
      <w:pPr>
        <w:snapToGrid w:val="0"/>
        <w:spacing w:line="360" w:lineRule="auto"/>
        <w:ind w:firstLine="420" w:firstLineChars="200"/>
        <w:rPr>
          <w:rFonts w:ascii="宋体" w:hAnsi="宋体" w:cs="宋体"/>
          <w:szCs w:val="21"/>
        </w:rPr>
      </w:pPr>
      <w:r>
        <w:rPr>
          <w:rFonts w:hint="eastAsia" w:ascii="宋体" w:hAnsi="宋体" w:cs="宋体"/>
          <w:szCs w:val="21"/>
        </w:rPr>
        <w:t>（3）不具备磋商文件规定的资格要求的</w:t>
      </w:r>
      <w:r>
        <w:rPr>
          <w:rFonts w:hint="eastAsia" w:ascii="宋体" w:hAnsi="宋体" w:cs="宋体"/>
        </w:rPr>
        <w:t>；</w:t>
      </w:r>
    </w:p>
    <w:p>
      <w:pPr>
        <w:snapToGrid w:val="0"/>
        <w:spacing w:line="360" w:lineRule="auto"/>
        <w:ind w:firstLine="420" w:firstLineChars="200"/>
        <w:rPr>
          <w:rFonts w:ascii="宋体" w:hAnsi="宋体" w:cs="宋体"/>
          <w:szCs w:val="21"/>
        </w:rPr>
      </w:pPr>
      <w:r>
        <w:rPr>
          <w:rFonts w:hint="eastAsia" w:ascii="宋体" w:hAnsi="宋体" w:cs="宋体"/>
          <w:szCs w:val="21"/>
        </w:rPr>
        <w:t>（4）响应文件未按磋商文件的内容和要求编制，或提供虚假材料的；</w:t>
      </w:r>
    </w:p>
    <w:p>
      <w:pPr>
        <w:snapToGrid w:val="0"/>
        <w:spacing w:line="360" w:lineRule="auto"/>
        <w:ind w:firstLine="420" w:firstLineChars="200"/>
        <w:rPr>
          <w:rFonts w:ascii="宋体" w:hAnsi="宋体" w:cs="宋体"/>
          <w:szCs w:val="21"/>
        </w:rPr>
      </w:pPr>
      <w:r>
        <w:rPr>
          <w:rFonts w:hint="eastAsia" w:ascii="宋体" w:hAnsi="宋体" w:cs="宋体"/>
          <w:szCs w:val="21"/>
        </w:rPr>
        <w:t>（5）响应文件有效期、服务期限、服务不能满足磋商文件要求的；</w:t>
      </w:r>
    </w:p>
    <w:p>
      <w:pPr>
        <w:snapToGrid w:val="0"/>
        <w:spacing w:line="360" w:lineRule="auto"/>
        <w:ind w:firstLine="420" w:firstLineChars="200"/>
        <w:rPr>
          <w:rFonts w:ascii="宋体" w:hAnsi="宋体" w:cs="宋体"/>
          <w:szCs w:val="21"/>
        </w:rPr>
      </w:pPr>
      <w:r>
        <w:rPr>
          <w:rFonts w:hint="eastAsia" w:ascii="宋体" w:hAnsi="宋体" w:cs="宋体"/>
          <w:szCs w:val="21"/>
        </w:rPr>
        <w:t>（6）</w:t>
      </w:r>
      <w:r>
        <w:rPr>
          <w:rFonts w:hint="eastAsia" w:ascii="宋体" w:hAnsi="宋体" w:cs="宋体"/>
        </w:rPr>
        <w:t>供应商</w:t>
      </w:r>
      <w:r>
        <w:rPr>
          <w:rFonts w:hint="eastAsia" w:ascii="宋体" w:hAnsi="宋体" w:cs="宋体"/>
          <w:szCs w:val="21"/>
        </w:rPr>
        <w:t>未就“招标项目采购需求”中所有内容作完整唯一报价的，或报价超出采购预算金额的</w:t>
      </w:r>
      <w:r>
        <w:rPr>
          <w:rFonts w:hint="eastAsia" w:ascii="宋体" w:hAnsi="宋体" w:cs="宋体"/>
        </w:rPr>
        <w:t>；</w:t>
      </w:r>
    </w:p>
    <w:p>
      <w:pPr>
        <w:snapToGrid w:val="0"/>
        <w:spacing w:line="360" w:lineRule="auto"/>
        <w:ind w:firstLine="420" w:firstLineChars="200"/>
        <w:rPr>
          <w:rFonts w:ascii="宋体" w:hAnsi="宋体" w:cs="宋体"/>
        </w:rPr>
      </w:pPr>
      <w:r>
        <w:rPr>
          <w:rFonts w:hint="eastAsia" w:ascii="宋体" w:hAnsi="宋体" w:cs="宋体"/>
          <w:szCs w:val="21"/>
        </w:rPr>
        <w:t>（</w:t>
      </w:r>
      <w:r>
        <w:rPr>
          <w:rFonts w:hint="eastAsia" w:ascii="宋体" w:hAnsi="宋体" w:cs="宋体"/>
        </w:rPr>
        <w:t>7）</w:t>
      </w:r>
      <w:r>
        <w:rPr>
          <w:rFonts w:hint="eastAsia" w:ascii="宋体" w:hAnsi="宋体" w:cs="宋体"/>
          <w:szCs w:val="21"/>
        </w:rPr>
        <w:t>未在磋商小组规定的时间内重新提交响应文件的；</w:t>
      </w:r>
    </w:p>
    <w:p>
      <w:pPr>
        <w:snapToGrid w:val="0"/>
        <w:spacing w:line="360" w:lineRule="auto"/>
        <w:ind w:firstLine="422" w:firstLineChars="200"/>
        <w:rPr>
          <w:rFonts w:ascii="宋体" w:hAnsi="宋体" w:cs="宋体"/>
        </w:rPr>
      </w:pPr>
      <w:r>
        <w:rPr>
          <w:rFonts w:hint="eastAsia" w:ascii="宋体" w:hAnsi="宋体" w:cs="宋体"/>
          <w:b/>
          <w:bCs/>
        </w:rPr>
        <w:t>（8）</w:t>
      </w:r>
      <w:r>
        <w:rPr>
          <w:rFonts w:hint="eastAsia" w:ascii="宋体" w:hAnsi="宋体" w:cs="宋体"/>
          <w:b/>
          <w:szCs w:val="21"/>
        </w:rPr>
        <w:t>未满足磋商文件实质性要求的；或者响应文件有采购人不能接受的附加条件的；</w:t>
      </w:r>
    </w:p>
    <w:p>
      <w:pPr>
        <w:snapToGrid w:val="0"/>
        <w:spacing w:line="360" w:lineRule="auto"/>
        <w:ind w:firstLine="420" w:firstLineChars="200"/>
        <w:rPr>
          <w:rFonts w:ascii="宋体" w:hAnsi="宋体" w:cs="宋体"/>
          <w:bCs/>
        </w:rPr>
      </w:pPr>
      <w:r>
        <w:rPr>
          <w:rFonts w:hint="eastAsia" w:ascii="宋体" w:hAnsi="宋体" w:cs="宋体"/>
          <w:bCs/>
          <w:szCs w:val="21"/>
        </w:rPr>
        <w:t>（9）</w:t>
      </w:r>
      <w:r>
        <w:rPr>
          <w:rFonts w:hint="eastAsia" w:hAnsi="宋体" w:cs="宋体"/>
          <w:bCs/>
          <w:szCs w:val="21"/>
        </w:rPr>
        <w:t>不符合法律、法规和磋商文件规定的其他实质性要求和条件的。</w:t>
      </w:r>
    </w:p>
    <w:p>
      <w:pPr>
        <w:snapToGrid w:val="0"/>
        <w:spacing w:line="360" w:lineRule="auto"/>
        <w:ind w:firstLine="422" w:firstLineChars="200"/>
        <w:rPr>
          <w:rFonts w:ascii="宋体" w:hAnsi="宋体" w:cs="宋体"/>
          <w:b/>
          <w:szCs w:val="21"/>
        </w:rPr>
      </w:pPr>
      <w:r>
        <w:rPr>
          <w:rFonts w:hint="eastAsia" w:ascii="宋体" w:hAnsi="宋体" w:cs="宋体"/>
          <w:b/>
          <w:szCs w:val="21"/>
        </w:rPr>
        <w:t>供应商有下列情形之一的，视为串通参与磋商，响应文件将被视为无效：</w:t>
      </w:r>
    </w:p>
    <w:p>
      <w:pPr>
        <w:snapToGrid w:val="0"/>
        <w:spacing w:line="360" w:lineRule="auto"/>
        <w:ind w:firstLine="420" w:firstLineChars="200"/>
        <w:rPr>
          <w:rFonts w:ascii="宋体" w:hAnsi="宋体" w:cs="宋体"/>
        </w:rPr>
      </w:pPr>
      <w:r>
        <w:rPr>
          <w:rFonts w:hint="eastAsia" w:ascii="宋体" w:hAnsi="宋体" w:cs="宋体"/>
        </w:rPr>
        <w:t xml:space="preserve">（1）不同供应商的响应文件由同一单位或者个人编制； </w:t>
      </w:r>
    </w:p>
    <w:p>
      <w:pPr>
        <w:snapToGrid w:val="0"/>
        <w:spacing w:line="360" w:lineRule="auto"/>
        <w:ind w:firstLine="420" w:firstLineChars="200"/>
        <w:rPr>
          <w:rFonts w:ascii="宋体" w:hAnsi="宋体" w:cs="宋体"/>
        </w:rPr>
      </w:pPr>
      <w:r>
        <w:rPr>
          <w:rFonts w:hint="eastAsia" w:ascii="宋体" w:hAnsi="宋体" w:cs="宋体"/>
        </w:rPr>
        <w:t>（2）不同供应商委托同一单位或者个人办理磋商事宜的；</w:t>
      </w:r>
    </w:p>
    <w:p>
      <w:pPr>
        <w:snapToGrid w:val="0"/>
        <w:spacing w:line="360" w:lineRule="auto"/>
        <w:ind w:firstLine="420" w:firstLineChars="200"/>
        <w:rPr>
          <w:rFonts w:ascii="宋体" w:hAnsi="宋体" w:cs="宋体"/>
        </w:rPr>
      </w:pPr>
      <w:r>
        <w:rPr>
          <w:rFonts w:hint="eastAsia" w:ascii="宋体" w:hAnsi="宋体" w:cs="宋体"/>
        </w:rPr>
        <w:t>（3）不同的供应商的响应文件载明的项目管理员为同一个人的；</w:t>
      </w:r>
    </w:p>
    <w:p>
      <w:pPr>
        <w:snapToGrid w:val="0"/>
        <w:spacing w:line="360" w:lineRule="auto"/>
        <w:ind w:firstLine="420" w:firstLineChars="200"/>
        <w:rPr>
          <w:rFonts w:ascii="宋体" w:hAnsi="宋体" w:cs="宋体"/>
        </w:rPr>
      </w:pPr>
      <w:r>
        <w:rPr>
          <w:rFonts w:hint="eastAsia" w:ascii="宋体" w:hAnsi="宋体" w:cs="宋体"/>
        </w:rPr>
        <w:t xml:space="preserve">（4）不同供应商的响应文件异常一致或最后报价呈规律性差异的； </w:t>
      </w:r>
    </w:p>
    <w:p>
      <w:pPr>
        <w:snapToGrid w:val="0"/>
        <w:spacing w:line="360" w:lineRule="auto"/>
        <w:ind w:firstLine="420" w:firstLineChars="200"/>
        <w:rPr>
          <w:rFonts w:ascii="宋体" w:hAnsi="宋体" w:cs="宋体"/>
        </w:rPr>
      </w:pPr>
      <w:r>
        <w:rPr>
          <w:rFonts w:hint="eastAsia" w:ascii="宋体" w:hAnsi="宋体" w:cs="宋体"/>
        </w:rPr>
        <w:t>（5）不同供应商的响应文件相互混装的；</w:t>
      </w:r>
    </w:p>
    <w:p>
      <w:pPr>
        <w:snapToGrid w:val="0"/>
        <w:spacing w:line="360" w:lineRule="auto"/>
        <w:ind w:firstLine="420" w:firstLineChars="200"/>
        <w:rPr>
          <w:rFonts w:ascii="宋体" w:hAnsi="宋体" w:cs="宋体"/>
        </w:rPr>
      </w:pPr>
      <w:r>
        <w:rPr>
          <w:rFonts w:hint="eastAsia" w:ascii="宋体" w:hAnsi="宋体" w:cs="宋体"/>
        </w:rPr>
        <w:t>（6）磋商文件未做实质性变动，供应商最后报价高于首次报价的。</w:t>
      </w:r>
    </w:p>
    <w:p>
      <w:pPr>
        <w:snapToGrid w:val="0"/>
        <w:spacing w:line="360" w:lineRule="auto"/>
        <w:ind w:firstLine="422" w:firstLineChars="200"/>
        <w:rPr>
          <w:rFonts w:ascii="宋体" w:hAnsi="宋体" w:cs="宋体"/>
          <w:b/>
          <w:szCs w:val="21"/>
        </w:rPr>
      </w:pPr>
      <w:r>
        <w:rPr>
          <w:rFonts w:hint="eastAsia" w:ascii="宋体" w:hAnsi="宋体" w:cs="宋体"/>
          <w:b/>
          <w:szCs w:val="21"/>
        </w:rPr>
        <w:t>2</w:t>
      </w:r>
      <w:r>
        <w:rPr>
          <w:rFonts w:ascii="宋体" w:hAnsi="宋体" w:cs="宋体"/>
          <w:b/>
          <w:szCs w:val="21"/>
        </w:rPr>
        <w:t>3</w:t>
      </w:r>
      <w:r>
        <w:rPr>
          <w:rFonts w:hint="eastAsia" w:ascii="宋体" w:hAnsi="宋体" w:cs="宋体"/>
          <w:b/>
          <w:szCs w:val="21"/>
        </w:rPr>
        <w:t>.出现下列情形之一的，采购人或者采购代理机构应当终止竞争性磋商采购活动，发布项目终止公告并说明原因，重新开展采购活动：</w:t>
      </w:r>
    </w:p>
    <w:p>
      <w:pPr>
        <w:snapToGrid w:val="0"/>
        <w:spacing w:line="360" w:lineRule="auto"/>
        <w:ind w:firstLine="420" w:firstLineChars="200"/>
        <w:rPr>
          <w:rFonts w:ascii="宋体" w:hAnsi="宋体" w:cs="宋体"/>
          <w:szCs w:val="21"/>
        </w:rPr>
      </w:pPr>
      <w:r>
        <w:rPr>
          <w:rFonts w:hint="eastAsia" w:ascii="宋体" w:hAnsi="宋体" w:cs="宋体"/>
          <w:szCs w:val="21"/>
        </w:rPr>
        <w:t>（1）因情况变化，不再符合规定的竞争性磋商采购方式适用情形的；</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（2）出现影响采购公正的违法、违规行为的； </w:t>
      </w:r>
    </w:p>
    <w:p>
      <w:pPr>
        <w:widowControl/>
        <w:spacing w:line="360" w:lineRule="auto"/>
        <w:ind w:firstLine="420" w:firstLineChars="200"/>
        <w:jc w:val="left"/>
        <w:rPr>
          <w:rFonts w:ascii="宋体" w:hAnsi="宋体" w:cs="宋体"/>
          <w:szCs w:val="21"/>
        </w:rPr>
      </w:pPr>
      <w:r>
        <w:rPr>
          <w:rFonts w:hint="eastAsia" w:ascii="宋体" w:hAnsi="宋体" w:cs="宋体"/>
          <w:szCs w:val="21"/>
        </w:rPr>
        <w:t>（3）除本须知第21.7.2条及法律法规规定的情形外，在采购过程中符合要求的供应商或者报价未超过采购预算的供应商不足3家的。</w:t>
      </w:r>
    </w:p>
    <w:p>
      <w:pPr>
        <w:snapToGrid w:val="0"/>
        <w:spacing w:line="360" w:lineRule="auto"/>
        <w:ind w:firstLine="420" w:firstLineChars="200"/>
        <w:rPr>
          <w:rFonts w:ascii="宋体" w:hAnsi="宋体" w:cs="宋体"/>
          <w:szCs w:val="21"/>
        </w:rPr>
      </w:pPr>
      <w:r>
        <w:rPr>
          <w:rFonts w:hint="eastAsia" w:ascii="宋体" w:hAnsi="宋体" w:cs="宋体"/>
          <w:szCs w:val="21"/>
        </w:rPr>
        <w:t>2</w:t>
      </w:r>
      <w:r>
        <w:rPr>
          <w:rFonts w:ascii="宋体" w:hAnsi="宋体" w:cs="宋体"/>
          <w:szCs w:val="21"/>
        </w:rPr>
        <w:t>4</w:t>
      </w:r>
      <w:r>
        <w:rPr>
          <w:rFonts w:hint="eastAsia" w:ascii="宋体" w:hAnsi="宋体" w:cs="宋体"/>
          <w:szCs w:val="21"/>
        </w:rPr>
        <w:t>.在采购活动中因重大变故，采购任务取消的，采购人或者采购代理机构应当终止采购活动，通知所有参加采购活动的供应商，并将项目实施情况和采购任务取消原因报送本级财政部门。</w:t>
      </w:r>
    </w:p>
    <w:p>
      <w:pPr>
        <w:snapToGrid w:val="0"/>
        <w:spacing w:line="360" w:lineRule="auto"/>
        <w:ind w:firstLine="422" w:firstLineChars="200"/>
        <w:rPr>
          <w:rFonts w:ascii="宋体" w:hAnsi="宋体" w:cs="宋体"/>
          <w:b/>
        </w:rPr>
      </w:pPr>
      <w:r>
        <w:rPr>
          <w:rFonts w:hint="eastAsia" w:ascii="宋体" w:hAnsi="宋体" w:cs="宋体"/>
          <w:b/>
        </w:rPr>
        <w:t>2</w:t>
      </w:r>
      <w:r>
        <w:rPr>
          <w:rFonts w:ascii="宋体" w:hAnsi="宋体" w:cs="宋体"/>
          <w:b/>
        </w:rPr>
        <w:t>5</w:t>
      </w:r>
      <w:r>
        <w:rPr>
          <w:rFonts w:hint="eastAsia" w:ascii="宋体" w:hAnsi="宋体" w:cs="宋体"/>
          <w:b/>
        </w:rPr>
        <w:t>.磋商过程的监控</w:t>
      </w:r>
    </w:p>
    <w:p>
      <w:pPr>
        <w:pStyle w:val="15"/>
        <w:spacing w:line="360" w:lineRule="auto"/>
        <w:ind w:firstLine="420" w:firstLineChars="200"/>
        <w:rPr>
          <w:rFonts w:hAnsi="宋体" w:cs="宋体"/>
        </w:rPr>
      </w:pPr>
      <w:r>
        <w:rPr>
          <w:rFonts w:hint="eastAsia" w:hAnsi="宋体" w:cs="宋体"/>
        </w:rPr>
        <w:t>本项目磋商过程实行全程录音、录像监控，供应商在磋商过程中所进行的试图影响磋商结果的不公正活动，可能导致其</w:t>
      </w:r>
      <w:r>
        <w:rPr>
          <w:rFonts w:hint="eastAsia" w:hAnsi="宋体" w:cs="宋体"/>
          <w:szCs w:val="21"/>
        </w:rPr>
        <w:t>响应</w:t>
      </w:r>
      <w:r>
        <w:rPr>
          <w:rFonts w:hint="eastAsia" w:hAnsi="宋体" w:cs="宋体"/>
        </w:rPr>
        <w:t>被拒绝。</w:t>
      </w:r>
    </w:p>
    <w:p>
      <w:pPr>
        <w:snapToGrid w:val="0"/>
        <w:spacing w:line="360" w:lineRule="auto"/>
        <w:ind w:firstLine="422" w:firstLineChars="200"/>
        <w:rPr>
          <w:rFonts w:ascii="宋体" w:hAnsi="宋体" w:cs="宋体"/>
          <w:b/>
        </w:rPr>
      </w:pPr>
      <w:r>
        <w:rPr>
          <w:rFonts w:hint="eastAsia" w:ascii="宋体" w:hAnsi="宋体" w:cs="宋体"/>
          <w:b/>
        </w:rPr>
        <w:t>2</w:t>
      </w:r>
      <w:r>
        <w:rPr>
          <w:rFonts w:ascii="宋体" w:hAnsi="宋体" w:cs="宋体"/>
          <w:b/>
        </w:rPr>
        <w:t>6</w:t>
      </w:r>
      <w:r>
        <w:rPr>
          <w:rFonts w:hint="eastAsia" w:ascii="宋体" w:hAnsi="宋体" w:cs="宋体"/>
          <w:b/>
          <w:szCs w:val="21"/>
        </w:rPr>
        <w:t>.</w:t>
      </w:r>
      <w:r>
        <w:rPr>
          <w:rFonts w:hint="eastAsia" w:ascii="宋体" w:hAnsi="宋体" w:cs="宋体"/>
          <w:b/>
        </w:rPr>
        <w:t xml:space="preserve">信用查询 </w:t>
      </w:r>
    </w:p>
    <w:p>
      <w:pPr>
        <w:spacing w:line="360" w:lineRule="auto"/>
        <w:ind w:firstLine="420" w:firstLineChars="200"/>
        <w:rPr>
          <w:rFonts w:ascii="宋体" w:hAnsi="宋体" w:cs="宋体"/>
          <w:szCs w:val="21"/>
        </w:rPr>
      </w:pPr>
      <w:r>
        <w:rPr>
          <w:rFonts w:hint="eastAsia" w:ascii="宋体" w:hAnsi="宋体" w:cs="宋体"/>
          <w:szCs w:val="21"/>
        </w:rPr>
        <w:t>根据《关于做好政府采购有关信用主体标识码登记及在政府采购活动中查询使用信用记录有关问题的通知》（桂财采〔2016〕37），由采购代理机构对第一成交候选人进行信用查询：</w:t>
      </w:r>
    </w:p>
    <w:p>
      <w:pPr>
        <w:spacing w:line="360" w:lineRule="auto"/>
        <w:ind w:firstLine="420" w:firstLineChars="200"/>
        <w:rPr>
          <w:rFonts w:ascii="宋体" w:hAnsi="宋体" w:cs="宋体"/>
          <w:szCs w:val="21"/>
        </w:rPr>
      </w:pPr>
      <w:r>
        <w:rPr>
          <w:rFonts w:hint="eastAsia" w:ascii="宋体" w:hAnsi="宋体" w:cs="宋体"/>
          <w:szCs w:val="21"/>
        </w:rPr>
        <w:t>（1）查询渠道：“信用中国”网站(www.creditchina.gov.cn)、中国政府采购网(www.ccgp.gov.cn)等；</w:t>
      </w:r>
    </w:p>
    <w:p>
      <w:pPr>
        <w:spacing w:line="360" w:lineRule="auto"/>
        <w:ind w:firstLine="420" w:firstLineChars="200"/>
        <w:rPr>
          <w:rFonts w:ascii="宋体" w:hAnsi="宋体" w:cs="宋体"/>
          <w:szCs w:val="21"/>
        </w:rPr>
      </w:pPr>
      <w:r>
        <w:rPr>
          <w:rFonts w:hint="eastAsia" w:ascii="宋体" w:hAnsi="宋体" w:cs="宋体"/>
          <w:szCs w:val="21"/>
        </w:rPr>
        <w:t>（2）查询截止时间：成交通知书发出前；</w:t>
      </w:r>
    </w:p>
    <w:p>
      <w:pPr>
        <w:spacing w:line="360" w:lineRule="auto"/>
        <w:ind w:firstLine="420" w:firstLineChars="200"/>
        <w:rPr>
          <w:rFonts w:ascii="宋体" w:hAnsi="宋体" w:cs="宋体"/>
          <w:szCs w:val="21"/>
        </w:rPr>
      </w:pPr>
      <w:r>
        <w:rPr>
          <w:rFonts w:hint="eastAsia" w:ascii="宋体" w:hAnsi="宋体" w:cs="宋体"/>
          <w:szCs w:val="21"/>
        </w:rPr>
        <w:t>（3）信用信息查询记录和证据留存方式：在查询网站中直接打印查询记录，打印材料作为采购活动资料保存；</w:t>
      </w:r>
    </w:p>
    <w:p>
      <w:pPr>
        <w:spacing w:line="360" w:lineRule="auto"/>
        <w:ind w:firstLine="420" w:firstLineChars="200"/>
        <w:rPr>
          <w:rFonts w:ascii="宋体" w:hAnsi="宋体" w:cs="宋体"/>
        </w:rPr>
      </w:pPr>
      <w:r>
        <w:rPr>
          <w:rFonts w:hint="eastAsia" w:ascii="宋体" w:hAnsi="宋体" w:cs="宋体"/>
          <w:szCs w:val="21"/>
        </w:rPr>
        <w:t xml:space="preserve">（4）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成交候选人资格。  </w:t>
      </w:r>
    </w:p>
    <w:p>
      <w:pPr>
        <w:pStyle w:val="15"/>
        <w:spacing w:line="360" w:lineRule="auto"/>
        <w:ind w:firstLine="422" w:firstLineChars="200"/>
        <w:rPr>
          <w:rFonts w:hAnsi="宋体" w:cs="宋体"/>
          <w:b/>
        </w:rPr>
      </w:pPr>
      <w:r>
        <w:rPr>
          <w:rFonts w:hint="eastAsia" w:hAnsi="宋体" w:cs="宋体"/>
          <w:b/>
        </w:rPr>
        <w:t>2</w:t>
      </w:r>
      <w:r>
        <w:rPr>
          <w:rFonts w:hAnsi="宋体" w:cs="宋体"/>
          <w:b/>
        </w:rPr>
        <w:t>7</w:t>
      </w:r>
      <w:r>
        <w:rPr>
          <w:rFonts w:hint="eastAsia" w:hAnsi="宋体" w:cs="宋体"/>
          <w:b/>
          <w:szCs w:val="21"/>
        </w:rPr>
        <w:t>.</w:t>
      </w:r>
      <w:r>
        <w:rPr>
          <w:rFonts w:hint="eastAsia" w:hAnsi="宋体" w:cs="宋体"/>
          <w:b/>
          <w:szCs w:val="24"/>
        </w:rPr>
        <w:t>成交公告及成交通知书</w:t>
      </w:r>
    </w:p>
    <w:p>
      <w:pPr>
        <w:spacing w:line="360" w:lineRule="auto"/>
        <w:ind w:firstLine="420" w:firstLineChars="200"/>
        <w:rPr>
          <w:rFonts w:ascii="宋体" w:hAnsi="宋体" w:cs="宋体"/>
          <w:szCs w:val="21"/>
        </w:rPr>
      </w:pPr>
      <w:r>
        <w:rPr>
          <w:rFonts w:hint="eastAsia" w:ascii="宋体" w:hAnsi="宋体" w:cs="宋体"/>
        </w:rPr>
        <w:t>2</w:t>
      </w:r>
      <w:r>
        <w:rPr>
          <w:rFonts w:ascii="宋体" w:hAnsi="宋体" w:cs="宋体"/>
        </w:rPr>
        <w:t>7</w:t>
      </w:r>
      <w:r>
        <w:rPr>
          <w:rFonts w:hint="eastAsia" w:ascii="宋体" w:hAnsi="宋体" w:cs="宋体"/>
        </w:rPr>
        <w:t>.1</w:t>
      </w:r>
      <w:r>
        <w:rPr>
          <w:rFonts w:hint="eastAsia" w:ascii="宋体" w:hAnsi="宋体" w:cs="宋体"/>
          <w:szCs w:val="21"/>
        </w:rPr>
        <w:t>采购代理机构于评审结束后两个工作日内将评审报告送交采购人，采购人应当自收到评审报告五个工作日内在评审报告推荐的成交候选供应商中按顺序确定成交供应商，采购代理机构在成交供应商确定之日起两个工作日内发出成交通知书，并在指定媒体上公告成交信息。</w:t>
      </w:r>
    </w:p>
    <w:p>
      <w:pPr>
        <w:spacing w:line="360" w:lineRule="auto"/>
        <w:ind w:firstLine="420" w:firstLineChars="200"/>
        <w:rPr>
          <w:rFonts w:ascii="宋体" w:hAnsi="宋体" w:cs="宋体"/>
        </w:rPr>
      </w:pPr>
      <w:r>
        <w:rPr>
          <w:rFonts w:hint="eastAsia" w:ascii="宋体" w:hAnsi="宋体" w:cs="宋体"/>
        </w:rPr>
        <w:t>2</w:t>
      </w:r>
      <w:r>
        <w:rPr>
          <w:rFonts w:ascii="宋体" w:hAnsi="宋体" w:cs="宋体"/>
        </w:rPr>
        <w:t>7</w:t>
      </w:r>
      <w:r>
        <w:rPr>
          <w:rFonts w:hint="eastAsia" w:ascii="宋体" w:hAnsi="宋体" w:cs="宋体"/>
        </w:rPr>
        <w:t>.2在发布成交公告的同时，采购代理机构向成交供应商发出成交通知书。成交供应商应自接到通知之日起七个工作日内，办理成交通知书领取手续。</w:t>
      </w:r>
    </w:p>
    <w:p>
      <w:pPr>
        <w:pStyle w:val="15"/>
        <w:spacing w:line="360" w:lineRule="auto"/>
        <w:ind w:firstLine="420" w:firstLineChars="200"/>
        <w:rPr>
          <w:rFonts w:hAnsi="宋体" w:cs="宋体"/>
        </w:rPr>
      </w:pPr>
      <w:r>
        <w:rPr>
          <w:rFonts w:hint="eastAsia" w:hAnsi="宋体" w:cs="宋体"/>
        </w:rPr>
        <w:t>2</w:t>
      </w:r>
      <w:r>
        <w:rPr>
          <w:rFonts w:hAnsi="宋体" w:cs="宋体"/>
        </w:rPr>
        <w:t>7</w:t>
      </w:r>
      <w:r>
        <w:rPr>
          <w:rFonts w:hint="eastAsia" w:hAnsi="宋体" w:cs="宋体"/>
        </w:rPr>
        <w:t>.3采购代理机构无义务向未成交的供应商解释未成交原因和退还响应文件。</w:t>
      </w:r>
    </w:p>
    <w:p>
      <w:pPr>
        <w:pStyle w:val="15"/>
        <w:spacing w:line="360" w:lineRule="auto"/>
        <w:ind w:firstLine="562" w:firstLineChars="200"/>
        <w:jc w:val="center"/>
        <w:rPr>
          <w:rFonts w:hAnsi="宋体" w:cs="宋体"/>
          <w:b/>
          <w:sz w:val="28"/>
          <w:szCs w:val="28"/>
        </w:rPr>
      </w:pPr>
      <w:r>
        <w:rPr>
          <w:rFonts w:hint="eastAsia" w:hAnsi="宋体" w:cs="宋体"/>
          <w:b/>
          <w:sz w:val="28"/>
          <w:szCs w:val="28"/>
        </w:rPr>
        <w:t>五、签订合同</w:t>
      </w:r>
    </w:p>
    <w:p>
      <w:pPr>
        <w:spacing w:line="360" w:lineRule="auto"/>
        <w:ind w:firstLine="422" w:firstLineChars="200"/>
        <w:rPr>
          <w:rFonts w:ascii="宋体" w:hAnsi="宋体" w:cs="宋体"/>
          <w:b/>
        </w:rPr>
      </w:pPr>
      <w:r>
        <w:rPr>
          <w:rFonts w:hint="eastAsia" w:ascii="宋体" w:hAnsi="宋体" w:cs="宋体"/>
          <w:b/>
        </w:rPr>
        <w:t>2</w:t>
      </w:r>
      <w:r>
        <w:rPr>
          <w:rFonts w:ascii="宋体" w:hAnsi="宋体" w:cs="宋体"/>
          <w:b/>
        </w:rPr>
        <w:t>8</w:t>
      </w:r>
      <w:r>
        <w:rPr>
          <w:rFonts w:hint="eastAsia" w:ascii="宋体" w:hAnsi="宋体" w:cs="宋体"/>
          <w:b/>
          <w:szCs w:val="21"/>
        </w:rPr>
        <w:t>.</w:t>
      </w:r>
      <w:r>
        <w:rPr>
          <w:rFonts w:hint="eastAsia" w:ascii="宋体" w:hAnsi="宋体" w:cs="宋体"/>
          <w:b/>
        </w:rPr>
        <w:t>履约保证金</w:t>
      </w:r>
    </w:p>
    <w:p>
      <w:pPr>
        <w:pStyle w:val="15"/>
        <w:spacing w:line="360" w:lineRule="auto"/>
        <w:ind w:firstLine="420" w:firstLineChars="200"/>
        <w:rPr>
          <w:rFonts w:hAnsi="宋体" w:cs="宋体"/>
          <w:szCs w:val="21"/>
        </w:rPr>
      </w:pPr>
      <w:r>
        <w:rPr>
          <w:rFonts w:hint="eastAsia" w:hAnsi="宋体" w:cs="宋体"/>
          <w:szCs w:val="21"/>
        </w:rPr>
        <w:t>28.1履约保证金金额按成交价的5%（人民币，四舍五入到元）提供，由成交供应商在领取成交通知书前将履约保证金以转账、电汇形式缴入桂林市秀峰区民政局履约保证金专户，或由成交人按成交价的10%提供银行履约担保等相关证明材料。</w:t>
      </w:r>
    </w:p>
    <w:p>
      <w:pPr>
        <w:pStyle w:val="15"/>
        <w:spacing w:line="360" w:lineRule="auto"/>
        <w:ind w:firstLine="420" w:firstLineChars="200"/>
        <w:rPr>
          <w:rFonts w:hAnsi="宋体" w:cs="宋体"/>
        </w:rPr>
      </w:pPr>
      <w:r>
        <w:rPr>
          <w:rFonts w:hint="eastAsia" w:hAnsi="宋体" w:cs="宋体"/>
          <w:szCs w:val="21"/>
        </w:rPr>
        <w:t>2</w:t>
      </w:r>
      <w:r>
        <w:rPr>
          <w:rFonts w:hAnsi="宋体" w:cs="宋体"/>
          <w:szCs w:val="21"/>
        </w:rPr>
        <w:t>8</w:t>
      </w:r>
      <w:r>
        <w:rPr>
          <w:rFonts w:hint="eastAsia" w:hAnsi="宋体" w:cs="宋体"/>
          <w:szCs w:val="21"/>
        </w:rPr>
        <w:t>.2如果成交供应商没能按上述第28.1款规定执行，采购人将上报桂林市秀峰区政府采购管理办公室，取消成交资格</w:t>
      </w:r>
      <w:r>
        <w:rPr>
          <w:rFonts w:hint="eastAsia" w:hAnsi="宋体" w:cs="宋体"/>
        </w:rPr>
        <w:t>，</w:t>
      </w:r>
      <w:r>
        <w:rPr>
          <w:rFonts w:hint="eastAsia" w:hAnsi="宋体" w:cs="宋体"/>
          <w:szCs w:val="21"/>
        </w:rPr>
        <w:t>并有权授予第二成交候选供应商为成交供应商资格或重新组织采购。</w:t>
      </w:r>
    </w:p>
    <w:p>
      <w:pPr>
        <w:pStyle w:val="15"/>
        <w:spacing w:line="360" w:lineRule="auto"/>
        <w:ind w:firstLine="420" w:firstLineChars="200"/>
        <w:rPr>
          <w:rFonts w:hAnsi="宋体" w:cs="宋体"/>
          <w:szCs w:val="21"/>
        </w:rPr>
      </w:pPr>
      <w:r>
        <w:rPr>
          <w:rFonts w:hint="eastAsia" w:hAnsi="宋体" w:cs="宋体"/>
          <w:szCs w:val="21"/>
        </w:rPr>
        <w:t>2</w:t>
      </w:r>
      <w:r>
        <w:rPr>
          <w:rFonts w:hAnsi="宋体" w:cs="宋体"/>
          <w:szCs w:val="21"/>
        </w:rPr>
        <w:t>8</w:t>
      </w:r>
      <w:r>
        <w:rPr>
          <w:rFonts w:hint="eastAsia" w:hAnsi="宋体" w:cs="宋体"/>
          <w:szCs w:val="21"/>
        </w:rPr>
        <w:t>.3成交供应商履行完合同约定权利义务事项后，凭《政府采购项目履约验收单》和履约保证金转款凭证向采购人申请办理退还手续，采购人不得额外要求成交供应商提交其他证明材料，并应当自收到退还资料之日起5个工作日内退还其履约保证金（无息）。如供应商不按双方签订的合同规定履约，则没收其全部履约保证金，履约保证金不足以赔偿损失的，按实际损失赔偿。</w:t>
      </w:r>
    </w:p>
    <w:p>
      <w:pPr>
        <w:pStyle w:val="15"/>
        <w:spacing w:line="360" w:lineRule="auto"/>
        <w:ind w:firstLine="420" w:firstLineChars="200"/>
        <w:rPr>
          <w:rFonts w:hAnsi="宋体" w:cs="宋体"/>
        </w:rPr>
      </w:pPr>
      <w:r>
        <w:rPr>
          <w:rFonts w:hint="eastAsia" w:hAnsi="宋体" w:cs="宋体"/>
        </w:rPr>
        <w:t>2</w:t>
      </w:r>
      <w:r>
        <w:rPr>
          <w:rFonts w:hAnsi="宋体" w:cs="宋体"/>
        </w:rPr>
        <w:t>8</w:t>
      </w:r>
      <w:r>
        <w:rPr>
          <w:rFonts w:hint="eastAsia" w:hAnsi="宋体" w:cs="宋体"/>
        </w:rPr>
        <w:t>.4在履约保证金到期退还前，若供应商的开户名称、开户银行、账号有变动的，以书面形式通知采购人，否则由此产生的后果由</w:t>
      </w:r>
      <w:r>
        <w:rPr>
          <w:rFonts w:hint="eastAsia" w:hAnsi="宋体" w:cs="宋体"/>
          <w:szCs w:val="21"/>
        </w:rPr>
        <w:t>成交</w:t>
      </w:r>
      <w:r>
        <w:rPr>
          <w:rFonts w:hint="eastAsia" w:hAnsi="宋体" w:cs="宋体"/>
        </w:rPr>
        <w:t>供应商自负。</w:t>
      </w:r>
    </w:p>
    <w:p>
      <w:pPr>
        <w:tabs>
          <w:tab w:val="left" w:pos="1140"/>
        </w:tabs>
        <w:spacing w:line="360" w:lineRule="auto"/>
        <w:ind w:firstLine="422" w:firstLineChars="200"/>
        <w:rPr>
          <w:rFonts w:ascii="宋体" w:hAnsi="宋体" w:cs="宋体"/>
          <w:b/>
          <w:szCs w:val="21"/>
        </w:rPr>
      </w:pPr>
      <w:r>
        <w:rPr>
          <w:rFonts w:ascii="宋体" w:hAnsi="宋体" w:cs="宋体"/>
          <w:b/>
          <w:szCs w:val="21"/>
        </w:rPr>
        <w:t>29</w:t>
      </w:r>
      <w:r>
        <w:rPr>
          <w:rFonts w:hint="eastAsia" w:ascii="宋体" w:hAnsi="宋体" w:cs="宋体"/>
          <w:b/>
          <w:szCs w:val="21"/>
        </w:rPr>
        <w:t>.签订合同</w:t>
      </w:r>
    </w:p>
    <w:p>
      <w:pPr>
        <w:tabs>
          <w:tab w:val="left" w:pos="1140"/>
        </w:tabs>
        <w:spacing w:line="360" w:lineRule="auto"/>
        <w:ind w:firstLine="420" w:firstLineChars="200"/>
        <w:rPr>
          <w:rFonts w:ascii="宋体" w:hAnsi="宋体" w:cs="宋体"/>
          <w:szCs w:val="21"/>
        </w:rPr>
      </w:pPr>
      <w:r>
        <w:rPr>
          <w:rFonts w:ascii="宋体" w:hAnsi="宋体" w:cs="宋体"/>
        </w:rPr>
        <w:t>29</w:t>
      </w:r>
      <w:r>
        <w:rPr>
          <w:rFonts w:hint="eastAsia" w:ascii="宋体" w:hAnsi="宋体" w:cs="宋体"/>
        </w:rPr>
        <w:t>.1</w:t>
      </w:r>
      <w:r>
        <w:rPr>
          <w:rFonts w:hint="eastAsia" w:ascii="宋体" w:hAnsi="宋体" w:cs="宋体"/>
          <w:b/>
        </w:rPr>
        <w:t>签订合同时间：</w:t>
      </w:r>
      <w:r>
        <w:rPr>
          <w:rFonts w:hint="eastAsia" w:ascii="宋体" w:hAnsi="宋体" w:cs="宋体"/>
        </w:rPr>
        <w:t>成交通知书发出之日起二十五日内。</w:t>
      </w:r>
      <w:r>
        <w:rPr>
          <w:rFonts w:hint="eastAsia" w:ascii="宋体" w:hAnsi="宋体" w:cs="宋体"/>
          <w:szCs w:val="21"/>
        </w:rPr>
        <w:t>成交供应商领取成交通知书后，应按规定与采购人签订合同。</w:t>
      </w:r>
    </w:p>
    <w:p>
      <w:pPr>
        <w:pStyle w:val="15"/>
        <w:spacing w:line="360" w:lineRule="auto"/>
        <w:ind w:firstLine="420" w:firstLineChars="200"/>
        <w:rPr>
          <w:rFonts w:hAnsi="宋体" w:cs="宋体"/>
        </w:rPr>
      </w:pPr>
      <w:r>
        <w:rPr>
          <w:rFonts w:hAnsi="宋体" w:cs="宋体"/>
          <w:szCs w:val="24"/>
        </w:rPr>
        <w:t>29</w:t>
      </w:r>
      <w:r>
        <w:rPr>
          <w:rFonts w:hint="eastAsia" w:hAnsi="宋体" w:cs="宋体"/>
          <w:szCs w:val="24"/>
        </w:rPr>
        <w:t>.2</w:t>
      </w:r>
      <w:r>
        <w:rPr>
          <w:rFonts w:hint="eastAsia" w:hAnsi="宋体" w:cs="宋体"/>
        </w:rPr>
        <w:t>如成交供应商有下列情形之一的，由财政部门将其列入不良行为记录名单，在一至三年内禁止参加政府采购活动，并予以通报。采购代理机构可从磋商小组推荐的成交候选供应商中按顺序重新确定成交供应商或重新组织采购。</w:t>
      </w:r>
      <w:r>
        <w:rPr>
          <w:rFonts w:hint="eastAsia" w:hAnsi="宋体" w:cs="宋体"/>
          <w:szCs w:val="21"/>
        </w:rPr>
        <w:t>拒绝签订政府采购合同的成交供应商不得参加对该项目重新开展的采购活动。</w:t>
      </w:r>
    </w:p>
    <w:p>
      <w:pPr>
        <w:widowControl/>
        <w:spacing w:line="360" w:lineRule="auto"/>
        <w:ind w:firstLine="420" w:firstLineChars="200"/>
        <w:jc w:val="left"/>
        <w:rPr>
          <w:rFonts w:ascii="宋体" w:hAnsi="宋体" w:cs="宋体"/>
        </w:rPr>
      </w:pPr>
      <w:r>
        <w:rPr>
          <w:rFonts w:hint="eastAsia" w:ascii="宋体" w:hAnsi="宋体" w:cs="宋体"/>
        </w:rPr>
        <w:t>（1）成交后不与采购人签订合同的（不可抗力除外）；</w:t>
      </w:r>
    </w:p>
    <w:p>
      <w:pPr>
        <w:widowControl/>
        <w:spacing w:line="360" w:lineRule="auto"/>
        <w:ind w:firstLine="420" w:firstLineChars="200"/>
        <w:jc w:val="left"/>
        <w:rPr>
          <w:rFonts w:ascii="宋体" w:hAnsi="宋体" w:cs="宋体"/>
        </w:rPr>
      </w:pPr>
      <w:r>
        <w:rPr>
          <w:rFonts w:hint="eastAsia" w:ascii="宋体" w:hAnsi="宋体" w:cs="宋体"/>
        </w:rPr>
        <w:t>（2）将成交项目转让给他人，或者在响应文件中未说明，且未经采购人同意，将成交项目分包给他人的；</w:t>
      </w:r>
    </w:p>
    <w:p>
      <w:pPr>
        <w:widowControl/>
        <w:spacing w:line="360" w:lineRule="auto"/>
        <w:ind w:firstLine="420" w:firstLineChars="200"/>
        <w:jc w:val="left"/>
        <w:rPr>
          <w:rFonts w:ascii="宋体" w:hAnsi="宋体" w:cs="宋体"/>
        </w:rPr>
      </w:pPr>
      <w:r>
        <w:rPr>
          <w:rFonts w:hint="eastAsia" w:ascii="宋体" w:hAnsi="宋体" w:cs="宋体"/>
        </w:rPr>
        <w:t>（3）拒绝履行合同义务的。</w:t>
      </w:r>
    </w:p>
    <w:p>
      <w:pPr>
        <w:spacing w:line="360" w:lineRule="auto"/>
        <w:ind w:firstLine="420" w:firstLineChars="200"/>
        <w:rPr>
          <w:rFonts w:ascii="宋体" w:hAnsi="宋体" w:cs="宋体"/>
        </w:rPr>
      </w:pPr>
      <w:r>
        <w:rPr>
          <w:rFonts w:ascii="宋体" w:hAnsi="宋体" w:cs="宋体"/>
        </w:rPr>
        <w:t>29</w:t>
      </w:r>
      <w:r>
        <w:rPr>
          <w:rFonts w:hint="eastAsia" w:ascii="宋体" w:hAnsi="宋体" w:cs="宋体"/>
        </w:rPr>
        <w:t>.3</w:t>
      </w:r>
      <w:r>
        <w:rPr>
          <w:rFonts w:hint="eastAsia" w:ascii="宋体" w:hAnsi="宋体" w:cs="宋体"/>
          <w:szCs w:val="21"/>
        </w:rPr>
        <w:t>合同备案存档：</w:t>
      </w:r>
      <w:r>
        <w:rPr>
          <w:rFonts w:hint="eastAsia" w:ascii="宋体" w:hAnsi="宋体" w:cs="宋体"/>
        </w:rPr>
        <w:t>政府采购合同双方自签订之日起1个工作日内将合同原件两份交采购代理机构。采购代理机构将政府采购合同在省级以上人民政府财政部门指定媒体上公告并于合同签订之日起7个工作日内将一份合同原件送桂林市秀峰区政府采购管理办公室备案，一份由采购代理机构存档。</w:t>
      </w:r>
    </w:p>
    <w:p>
      <w:pPr>
        <w:rPr>
          <w:rFonts w:hAnsi="宋体" w:cs="宋体"/>
          <w:b/>
          <w:sz w:val="28"/>
          <w:szCs w:val="28"/>
        </w:rPr>
      </w:pPr>
      <w:r>
        <w:rPr>
          <w:rFonts w:hint="eastAsia" w:hAnsi="宋体" w:cs="宋体"/>
          <w:b/>
          <w:sz w:val="28"/>
          <w:szCs w:val="28"/>
        </w:rPr>
        <w:br w:type="page"/>
      </w:r>
    </w:p>
    <w:p>
      <w:pPr>
        <w:pStyle w:val="15"/>
        <w:spacing w:line="360" w:lineRule="auto"/>
        <w:ind w:firstLine="562" w:firstLineChars="200"/>
        <w:jc w:val="center"/>
        <w:rPr>
          <w:rFonts w:hAnsi="宋体" w:cs="宋体"/>
          <w:b/>
          <w:sz w:val="28"/>
          <w:szCs w:val="28"/>
        </w:rPr>
      </w:pPr>
      <w:r>
        <w:rPr>
          <w:rFonts w:hint="eastAsia" w:hAnsi="宋体" w:cs="宋体"/>
          <w:b/>
          <w:sz w:val="28"/>
          <w:szCs w:val="28"/>
        </w:rPr>
        <w:t>六、其他事项</w:t>
      </w:r>
    </w:p>
    <w:p>
      <w:pPr>
        <w:spacing w:line="360" w:lineRule="auto"/>
        <w:ind w:firstLine="422" w:firstLineChars="200"/>
        <w:rPr>
          <w:rFonts w:ascii="宋体" w:hAnsi="宋体" w:cs="宋体"/>
          <w:b/>
        </w:rPr>
      </w:pPr>
      <w:r>
        <w:rPr>
          <w:rFonts w:hint="eastAsia" w:ascii="宋体" w:hAnsi="宋体" w:cs="宋体"/>
          <w:b/>
        </w:rPr>
        <w:t>3</w:t>
      </w:r>
      <w:r>
        <w:rPr>
          <w:rFonts w:ascii="宋体" w:hAnsi="宋体" w:cs="宋体"/>
          <w:b/>
        </w:rPr>
        <w:t>0</w:t>
      </w:r>
      <w:r>
        <w:rPr>
          <w:rFonts w:hint="eastAsia" w:ascii="宋体" w:hAnsi="宋体" w:cs="宋体"/>
          <w:b/>
          <w:szCs w:val="21"/>
        </w:rPr>
        <w:t>.</w:t>
      </w:r>
      <w:r>
        <w:rPr>
          <w:rFonts w:hint="eastAsia" w:ascii="宋体" w:hAnsi="宋体" w:cs="宋体"/>
          <w:b/>
        </w:rPr>
        <w:t>代理服务费</w:t>
      </w:r>
    </w:p>
    <w:p>
      <w:pPr>
        <w:spacing w:line="360" w:lineRule="auto"/>
        <w:ind w:firstLine="420" w:firstLineChars="200"/>
        <w:rPr>
          <w:rFonts w:ascii="宋体" w:hAnsi="宋体" w:cs="宋体"/>
          <w:szCs w:val="21"/>
        </w:rPr>
      </w:pPr>
      <w:r>
        <w:rPr>
          <w:rFonts w:hint="eastAsia" w:ascii="宋体" w:hAnsi="宋体" w:cs="宋体"/>
          <w:szCs w:val="21"/>
        </w:rPr>
        <w:t>3</w:t>
      </w:r>
      <w:r>
        <w:rPr>
          <w:rFonts w:ascii="宋体" w:hAnsi="宋体" w:cs="宋体"/>
          <w:szCs w:val="21"/>
        </w:rPr>
        <w:t>0</w:t>
      </w:r>
      <w:r>
        <w:rPr>
          <w:rFonts w:hint="eastAsia" w:ascii="宋体" w:hAnsi="宋体" w:cs="宋体"/>
          <w:szCs w:val="21"/>
        </w:rPr>
        <w:t>.1代理服务费：本项目代理服务费按本须知第3</w:t>
      </w:r>
      <w:r>
        <w:rPr>
          <w:rFonts w:ascii="宋体" w:hAnsi="宋体" w:cs="宋体"/>
          <w:szCs w:val="21"/>
        </w:rPr>
        <w:t>0</w:t>
      </w:r>
      <w:r>
        <w:rPr>
          <w:rFonts w:hint="eastAsia" w:ascii="宋体" w:hAnsi="宋体" w:cs="宋体"/>
          <w:szCs w:val="21"/>
        </w:rPr>
        <w:t>.2条“代理服务收费标准”中服务类收费标准计算，由成交供应商在领取成交通知书前，向采购代理机构一次性支付（不足人民币6000元的，按6</w:t>
      </w:r>
      <w:r>
        <w:rPr>
          <w:rFonts w:ascii="宋体" w:hAnsi="宋体" w:cs="宋体"/>
          <w:szCs w:val="21"/>
        </w:rPr>
        <w:t>0</w:t>
      </w:r>
      <w:r>
        <w:rPr>
          <w:rFonts w:hint="eastAsia" w:ascii="宋体" w:hAnsi="宋体" w:cs="宋体"/>
          <w:szCs w:val="21"/>
        </w:rPr>
        <w:t>00元支付）。</w:t>
      </w:r>
    </w:p>
    <w:p>
      <w:pPr>
        <w:spacing w:line="360" w:lineRule="auto"/>
        <w:ind w:firstLine="420" w:firstLineChars="200"/>
        <w:rPr>
          <w:rFonts w:ascii="宋体" w:hAnsi="宋体" w:cs="宋体"/>
          <w:szCs w:val="21"/>
        </w:rPr>
      </w:pPr>
      <w:r>
        <w:rPr>
          <w:rFonts w:hint="eastAsia" w:ascii="宋体" w:hAnsi="宋体" w:cs="宋体"/>
          <w:szCs w:val="21"/>
        </w:rPr>
        <w:t>3</w:t>
      </w:r>
      <w:r>
        <w:rPr>
          <w:rFonts w:ascii="宋体" w:hAnsi="宋体" w:cs="宋体"/>
          <w:szCs w:val="21"/>
        </w:rPr>
        <w:t>0</w:t>
      </w:r>
      <w:r>
        <w:rPr>
          <w:rFonts w:hint="eastAsia" w:ascii="宋体" w:hAnsi="宋体" w:cs="宋体"/>
          <w:szCs w:val="21"/>
        </w:rPr>
        <w:t>.2代理服务收费标准：</w:t>
      </w:r>
    </w:p>
    <w:tbl>
      <w:tblPr>
        <w:tblStyle w:val="24"/>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1841"/>
        <w:gridCol w:w="1992"/>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2880" w:type="dxa"/>
          </w:tcPr>
          <w:p>
            <w:pPr>
              <w:pStyle w:val="15"/>
              <w:spacing w:line="360" w:lineRule="auto"/>
              <w:rPr>
                <w:rFonts w:hAnsi="宋体" w:cs="宋体"/>
              </w:rPr>
            </w:pPr>
            <w:r>
              <w:rPr>
                <w:rFonts w:hAnsi="宋体" w:cs="宋体"/>
              </w:rPr>
              <mc:AlternateContent>
                <mc:Choice Requires="wps">
                  <w:drawing>
                    <wp:anchor distT="0" distB="0" distL="114300" distR="114300" simplePos="0" relativeHeight="251657216" behindDoc="0" locked="0" layoutInCell="1" allowOverlap="1">
                      <wp:simplePos x="0" y="0"/>
                      <wp:positionH relativeFrom="column">
                        <wp:posOffset>527050</wp:posOffset>
                      </wp:positionH>
                      <wp:positionV relativeFrom="paragraph">
                        <wp:posOffset>1270</wp:posOffset>
                      </wp:positionV>
                      <wp:extent cx="1200150" cy="771525"/>
                      <wp:effectExtent l="2540" t="3810" r="16510" b="5715"/>
                      <wp:wrapNone/>
                      <wp:docPr id="1" name="直线 105"/>
                      <wp:cNvGraphicFramePr/>
                      <a:graphic xmlns:a="http://schemas.openxmlformats.org/drawingml/2006/main">
                        <a:graphicData uri="http://schemas.microsoft.com/office/word/2010/wordprocessingShape">
                          <wps:wsp>
                            <wps:cNvCnPr/>
                            <wps:spPr>
                              <a:xfrm>
                                <a:off x="0" y="0"/>
                                <a:ext cx="1200150" cy="77152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105" o:spid="_x0000_s1026" o:spt="20" style="position:absolute;left:0pt;margin-left:41.5pt;margin-top:0.1pt;height:60.75pt;width:94.5pt;z-index:251657216;mso-width-relative:page;mso-height-relative:page;" filled="f" stroked="t" coordsize="21600,21600" o:gfxdata="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PiT+jUAAAABwEAAA8AAAAAAAAAAQAgAAAAIgAAAGRycy9kb3ducmV2LnhtbFBLAQIUABQAAAAI&#10;AIdO4kD94kni8QEAAPADAAAOAAAAAAAAAAEAIAAAACMBAABkcnMvZTJvRG9jLnhtbFBLBQYAAAAA&#10;BgAGAFkBAACGBQAAAAA=&#10;">
                      <v:fill on="f" focussize="0,0"/>
                      <v:stroke color="#000000" joinstyle="round"/>
                      <v:imagedata o:title=""/>
                      <o:lock v:ext="edit" aspectratio="f"/>
                    </v:line>
                  </w:pict>
                </mc:Fallback>
              </mc:AlternateContent>
            </w:r>
            <w:r>
              <w:rPr>
                <w:rFonts w:hint="eastAsia" w:hAnsi="宋体" w:cs="宋体"/>
              </w:rPr>
              <w:t>费率         服务类型</w:t>
            </w:r>
          </w:p>
          <w:p>
            <w:pPr>
              <w:pStyle w:val="15"/>
              <w:spacing w:line="360" w:lineRule="auto"/>
              <w:ind w:firstLine="420" w:firstLineChars="200"/>
              <w:rPr>
                <w:rFonts w:hAnsi="宋体" w:cs="宋体"/>
              </w:rPr>
            </w:pPr>
            <w:r>
              <w:rPr>
                <w:rFonts w:hAnsi="宋体" w:cs="宋体"/>
              </w:rPr>
              <mc:AlternateContent>
                <mc:Choice Requires="wps">
                  <w:drawing>
                    <wp:anchor distT="0" distB="0" distL="114300" distR="114300" simplePos="0" relativeHeight="251658240" behindDoc="0" locked="0" layoutInCell="1" allowOverlap="1">
                      <wp:simplePos x="0" y="0"/>
                      <wp:positionH relativeFrom="column">
                        <wp:posOffset>-78105</wp:posOffset>
                      </wp:positionH>
                      <wp:positionV relativeFrom="paragraph">
                        <wp:posOffset>10795</wp:posOffset>
                      </wp:positionV>
                      <wp:extent cx="1805305" cy="483870"/>
                      <wp:effectExtent l="1270" t="4445" r="3175" b="6985"/>
                      <wp:wrapNone/>
                      <wp:docPr id="2" name="直线 106"/>
                      <wp:cNvGraphicFramePr/>
                      <a:graphic xmlns:a="http://schemas.openxmlformats.org/drawingml/2006/main">
                        <a:graphicData uri="http://schemas.microsoft.com/office/word/2010/wordprocessingShape">
                          <wps:wsp>
                            <wps:cNvCnPr/>
                            <wps:spPr>
                              <a:xfrm>
                                <a:off x="0" y="0"/>
                                <a:ext cx="1805305" cy="48387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106" o:spid="_x0000_s1026" o:spt="20" style="position:absolute;left:0pt;margin-left:-6.15pt;margin-top:0.85pt;height:38.1pt;width:142.15pt;z-index:251658240;mso-width-relative:page;mso-height-relative:page;" filled="f" stroked="t" coordsize="21600,21600" o:gfxdata="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1Wd1b9YAAAAIAQAADwAAAAAAAAABACAAAAAiAAAAZHJzL2Rvd25yZXYueG1sUEsBAhQA&#10;FAAAAAgAh07iQLUwP670AQAA8AMAAA4AAAAAAAAAAQAgAAAAJQEAAGRycy9lMm9Eb2MueG1sUEsF&#10;BgAAAAAGAAYAWQEAAIsFAAAAAA==&#10;">
                      <v:fill on="f" focussize="0,0"/>
                      <v:stroke color="#000000" joinstyle="round"/>
                      <v:imagedata o:title=""/>
                      <o:lock v:ext="edit" aspectratio="f"/>
                    </v:line>
                  </w:pict>
                </mc:Fallback>
              </mc:AlternateContent>
            </w:r>
          </w:p>
          <w:p>
            <w:pPr>
              <w:pStyle w:val="15"/>
              <w:spacing w:line="360" w:lineRule="auto"/>
              <w:ind w:firstLine="420" w:firstLineChars="200"/>
              <w:rPr>
                <w:rFonts w:hAnsi="宋体" w:cs="宋体"/>
              </w:rPr>
            </w:pPr>
            <w:r>
              <w:rPr>
                <w:rFonts w:hint="eastAsia" w:hAnsi="宋体" w:cs="宋体"/>
              </w:rPr>
              <w:t>成交金额</w:t>
            </w:r>
          </w:p>
        </w:tc>
        <w:tc>
          <w:tcPr>
            <w:tcW w:w="1841" w:type="dxa"/>
            <w:vAlign w:val="center"/>
          </w:tcPr>
          <w:p>
            <w:pPr>
              <w:pStyle w:val="15"/>
              <w:spacing w:line="360" w:lineRule="auto"/>
              <w:ind w:firstLine="420" w:firstLineChars="200"/>
              <w:jc w:val="center"/>
              <w:rPr>
                <w:rFonts w:hAnsi="宋体" w:cs="宋体"/>
              </w:rPr>
            </w:pPr>
            <w:r>
              <w:rPr>
                <w:rFonts w:hint="eastAsia" w:hAnsi="宋体" w:cs="宋体"/>
              </w:rPr>
              <w:t>货物采购</w:t>
            </w:r>
          </w:p>
        </w:tc>
        <w:tc>
          <w:tcPr>
            <w:tcW w:w="1992" w:type="dxa"/>
            <w:vAlign w:val="center"/>
          </w:tcPr>
          <w:p>
            <w:pPr>
              <w:pStyle w:val="15"/>
              <w:spacing w:line="360" w:lineRule="auto"/>
              <w:ind w:firstLine="420" w:firstLineChars="200"/>
              <w:jc w:val="center"/>
              <w:rPr>
                <w:rFonts w:hAnsi="宋体" w:cs="宋体"/>
              </w:rPr>
            </w:pPr>
            <w:r>
              <w:rPr>
                <w:rFonts w:hint="eastAsia" w:hAnsi="宋体" w:cs="宋体"/>
              </w:rPr>
              <w:t>服务采购</w:t>
            </w:r>
          </w:p>
        </w:tc>
        <w:tc>
          <w:tcPr>
            <w:tcW w:w="2293" w:type="dxa"/>
            <w:vAlign w:val="center"/>
          </w:tcPr>
          <w:p>
            <w:pPr>
              <w:pStyle w:val="15"/>
              <w:spacing w:line="360" w:lineRule="auto"/>
              <w:ind w:firstLine="420" w:firstLineChars="200"/>
              <w:jc w:val="center"/>
              <w:rPr>
                <w:rFonts w:hAnsi="宋体" w:cs="宋体"/>
              </w:rPr>
            </w:pPr>
            <w:r>
              <w:rPr>
                <w:rFonts w:hint="eastAsia" w:hAnsi="宋体" w:cs="宋体"/>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880" w:type="dxa"/>
          </w:tcPr>
          <w:p>
            <w:pPr>
              <w:pStyle w:val="15"/>
              <w:spacing w:line="360" w:lineRule="auto"/>
              <w:ind w:firstLine="420" w:firstLineChars="200"/>
              <w:rPr>
                <w:rFonts w:hAnsi="宋体" w:cs="宋体"/>
              </w:rPr>
            </w:pPr>
            <w:r>
              <w:rPr>
                <w:rFonts w:hint="eastAsia" w:hAnsi="宋体" w:cs="宋体"/>
              </w:rPr>
              <w:t>100万元以下</w:t>
            </w:r>
          </w:p>
        </w:tc>
        <w:tc>
          <w:tcPr>
            <w:tcW w:w="1841" w:type="dxa"/>
          </w:tcPr>
          <w:p>
            <w:pPr>
              <w:pStyle w:val="70"/>
              <w:spacing w:line="360" w:lineRule="auto"/>
              <w:ind w:firstLine="420" w:firstLineChars="200"/>
              <w:jc w:val="center"/>
              <w:rPr>
                <w:rFonts w:ascii="宋体" w:hAnsi="宋体" w:cs="宋体"/>
              </w:rPr>
            </w:pPr>
            <w:r>
              <w:rPr>
                <w:rFonts w:hint="eastAsia" w:ascii="宋体" w:hAnsi="宋体" w:cs="宋体"/>
              </w:rPr>
              <w:t>1.5%</w:t>
            </w:r>
          </w:p>
        </w:tc>
        <w:tc>
          <w:tcPr>
            <w:tcW w:w="1992" w:type="dxa"/>
          </w:tcPr>
          <w:p>
            <w:pPr>
              <w:pStyle w:val="70"/>
              <w:spacing w:line="360" w:lineRule="auto"/>
              <w:ind w:firstLine="420" w:firstLineChars="200"/>
              <w:jc w:val="center"/>
              <w:rPr>
                <w:rFonts w:ascii="宋体" w:hAnsi="宋体" w:cs="宋体"/>
              </w:rPr>
            </w:pPr>
            <w:r>
              <w:rPr>
                <w:rFonts w:hint="eastAsia" w:ascii="宋体" w:hAnsi="宋体" w:cs="宋体"/>
              </w:rPr>
              <w:t>1.5%</w:t>
            </w:r>
          </w:p>
        </w:tc>
        <w:tc>
          <w:tcPr>
            <w:tcW w:w="2293" w:type="dxa"/>
          </w:tcPr>
          <w:p>
            <w:pPr>
              <w:pStyle w:val="70"/>
              <w:spacing w:line="360" w:lineRule="auto"/>
              <w:ind w:firstLine="420" w:firstLineChars="200"/>
              <w:jc w:val="center"/>
              <w:rPr>
                <w:rFonts w:ascii="宋体" w:hAnsi="宋体" w:cs="宋体"/>
              </w:rPr>
            </w:pPr>
            <w:r>
              <w:rPr>
                <w:rFonts w:hint="eastAsia" w:ascii="宋体" w:hAnsi="宋体" w:cs="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trPr>
        <w:tc>
          <w:tcPr>
            <w:tcW w:w="2880" w:type="dxa"/>
          </w:tcPr>
          <w:p>
            <w:pPr>
              <w:pStyle w:val="15"/>
              <w:spacing w:line="360" w:lineRule="auto"/>
              <w:ind w:firstLine="420" w:firstLineChars="200"/>
              <w:rPr>
                <w:rFonts w:hAnsi="宋体" w:cs="宋体"/>
              </w:rPr>
            </w:pPr>
            <w:r>
              <w:rPr>
                <w:rFonts w:hint="eastAsia" w:hAnsi="宋体" w:cs="宋体"/>
              </w:rPr>
              <w:t>100～500万元</w:t>
            </w:r>
          </w:p>
        </w:tc>
        <w:tc>
          <w:tcPr>
            <w:tcW w:w="1841" w:type="dxa"/>
          </w:tcPr>
          <w:p>
            <w:pPr>
              <w:pStyle w:val="70"/>
              <w:spacing w:line="360" w:lineRule="auto"/>
              <w:ind w:firstLine="420" w:firstLineChars="200"/>
              <w:jc w:val="center"/>
              <w:rPr>
                <w:rFonts w:ascii="宋体" w:hAnsi="宋体" w:cs="宋体"/>
              </w:rPr>
            </w:pPr>
            <w:r>
              <w:rPr>
                <w:rFonts w:hint="eastAsia" w:ascii="宋体" w:hAnsi="宋体" w:cs="宋体"/>
              </w:rPr>
              <w:t>1.1%</w:t>
            </w:r>
          </w:p>
        </w:tc>
        <w:tc>
          <w:tcPr>
            <w:tcW w:w="1992" w:type="dxa"/>
          </w:tcPr>
          <w:p>
            <w:pPr>
              <w:pStyle w:val="70"/>
              <w:spacing w:line="360" w:lineRule="auto"/>
              <w:ind w:firstLine="420" w:firstLineChars="200"/>
              <w:jc w:val="center"/>
              <w:rPr>
                <w:rFonts w:ascii="宋体" w:hAnsi="宋体" w:cs="宋体"/>
              </w:rPr>
            </w:pPr>
            <w:r>
              <w:rPr>
                <w:rFonts w:hint="eastAsia" w:ascii="宋体" w:hAnsi="宋体" w:cs="宋体"/>
              </w:rPr>
              <w:t>0.8%</w:t>
            </w:r>
          </w:p>
        </w:tc>
        <w:tc>
          <w:tcPr>
            <w:tcW w:w="2293" w:type="dxa"/>
          </w:tcPr>
          <w:p>
            <w:pPr>
              <w:pStyle w:val="70"/>
              <w:spacing w:line="360" w:lineRule="auto"/>
              <w:ind w:firstLine="420" w:firstLineChars="200"/>
              <w:jc w:val="center"/>
              <w:rPr>
                <w:rFonts w:ascii="宋体" w:hAnsi="宋体" w:cs="宋体"/>
              </w:rPr>
            </w:pPr>
            <w:r>
              <w:rPr>
                <w:rFonts w:hint="eastAsia" w:ascii="宋体" w:hAnsi="宋体" w:cs="宋体"/>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15"/>
              <w:spacing w:line="360" w:lineRule="auto"/>
              <w:ind w:firstLine="420" w:firstLineChars="200"/>
              <w:rPr>
                <w:rFonts w:hAnsi="宋体" w:cs="宋体"/>
              </w:rPr>
            </w:pPr>
            <w:r>
              <w:rPr>
                <w:rFonts w:hint="eastAsia" w:hAnsi="宋体" w:cs="宋体"/>
              </w:rPr>
              <w:t>500～1000万元</w:t>
            </w:r>
          </w:p>
        </w:tc>
        <w:tc>
          <w:tcPr>
            <w:tcW w:w="1841" w:type="dxa"/>
          </w:tcPr>
          <w:p>
            <w:pPr>
              <w:pStyle w:val="15"/>
              <w:spacing w:line="360" w:lineRule="auto"/>
              <w:ind w:firstLine="420" w:firstLineChars="200"/>
              <w:jc w:val="center"/>
              <w:rPr>
                <w:rFonts w:hAnsi="宋体" w:cs="宋体"/>
              </w:rPr>
            </w:pPr>
            <w:r>
              <w:rPr>
                <w:rFonts w:hint="eastAsia" w:hAnsi="宋体" w:cs="宋体"/>
              </w:rPr>
              <w:t>0.8%</w:t>
            </w:r>
          </w:p>
        </w:tc>
        <w:tc>
          <w:tcPr>
            <w:tcW w:w="1992" w:type="dxa"/>
          </w:tcPr>
          <w:p>
            <w:pPr>
              <w:pStyle w:val="15"/>
              <w:spacing w:line="360" w:lineRule="auto"/>
              <w:ind w:firstLine="420" w:firstLineChars="200"/>
              <w:jc w:val="center"/>
              <w:rPr>
                <w:rFonts w:hAnsi="宋体" w:cs="宋体"/>
              </w:rPr>
            </w:pPr>
            <w:r>
              <w:rPr>
                <w:rFonts w:hint="eastAsia" w:hAnsi="宋体" w:cs="宋体"/>
              </w:rPr>
              <w:t>0.45%</w:t>
            </w:r>
          </w:p>
        </w:tc>
        <w:tc>
          <w:tcPr>
            <w:tcW w:w="2293" w:type="dxa"/>
          </w:tcPr>
          <w:p>
            <w:pPr>
              <w:pStyle w:val="15"/>
              <w:spacing w:line="360" w:lineRule="auto"/>
              <w:ind w:firstLine="420" w:firstLineChars="200"/>
              <w:jc w:val="center"/>
              <w:rPr>
                <w:rFonts w:hAnsi="宋体" w:cs="宋体"/>
              </w:rPr>
            </w:pPr>
            <w:r>
              <w:rPr>
                <w:rFonts w:hint="eastAsia" w:hAnsi="宋体" w:cs="宋体"/>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15"/>
              <w:spacing w:line="360" w:lineRule="auto"/>
              <w:ind w:firstLine="420" w:firstLineChars="200"/>
              <w:rPr>
                <w:rFonts w:hAnsi="宋体" w:cs="宋体"/>
              </w:rPr>
            </w:pPr>
            <w:r>
              <w:rPr>
                <w:rFonts w:hint="eastAsia" w:hAnsi="宋体" w:cs="宋体"/>
              </w:rPr>
              <w:t>1000～5000万元</w:t>
            </w:r>
          </w:p>
        </w:tc>
        <w:tc>
          <w:tcPr>
            <w:tcW w:w="1841" w:type="dxa"/>
          </w:tcPr>
          <w:p>
            <w:pPr>
              <w:pStyle w:val="15"/>
              <w:spacing w:line="360" w:lineRule="auto"/>
              <w:ind w:firstLine="420" w:firstLineChars="200"/>
              <w:jc w:val="center"/>
              <w:rPr>
                <w:rFonts w:hAnsi="宋体" w:cs="宋体"/>
              </w:rPr>
            </w:pPr>
            <w:r>
              <w:rPr>
                <w:rFonts w:hint="eastAsia" w:hAnsi="宋体" w:cs="宋体"/>
              </w:rPr>
              <w:t>0.5%</w:t>
            </w:r>
          </w:p>
        </w:tc>
        <w:tc>
          <w:tcPr>
            <w:tcW w:w="1992" w:type="dxa"/>
          </w:tcPr>
          <w:p>
            <w:pPr>
              <w:pStyle w:val="15"/>
              <w:spacing w:line="360" w:lineRule="auto"/>
              <w:ind w:firstLine="420" w:firstLineChars="200"/>
              <w:jc w:val="center"/>
              <w:rPr>
                <w:rFonts w:hAnsi="宋体" w:cs="宋体"/>
              </w:rPr>
            </w:pPr>
            <w:r>
              <w:rPr>
                <w:rFonts w:hint="eastAsia" w:hAnsi="宋体" w:cs="宋体"/>
              </w:rPr>
              <w:t>0.25%</w:t>
            </w:r>
          </w:p>
        </w:tc>
        <w:tc>
          <w:tcPr>
            <w:tcW w:w="2293" w:type="dxa"/>
          </w:tcPr>
          <w:p>
            <w:pPr>
              <w:pStyle w:val="15"/>
              <w:spacing w:line="360" w:lineRule="auto"/>
              <w:ind w:firstLine="420" w:firstLineChars="200"/>
              <w:jc w:val="center"/>
              <w:rPr>
                <w:rFonts w:hAnsi="宋体" w:cs="宋体"/>
              </w:rPr>
            </w:pPr>
            <w:r>
              <w:rPr>
                <w:rFonts w:hint="eastAsia" w:hAnsi="宋体" w:cs="宋体"/>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15"/>
              <w:spacing w:line="360" w:lineRule="auto"/>
              <w:ind w:firstLine="420" w:firstLineChars="200"/>
              <w:rPr>
                <w:rFonts w:hAnsi="宋体" w:cs="宋体"/>
              </w:rPr>
            </w:pPr>
            <w:r>
              <w:rPr>
                <w:rFonts w:hint="eastAsia" w:hAnsi="宋体" w:cs="宋体"/>
              </w:rPr>
              <w:t>5000万元～1亿元</w:t>
            </w:r>
          </w:p>
        </w:tc>
        <w:tc>
          <w:tcPr>
            <w:tcW w:w="1841" w:type="dxa"/>
          </w:tcPr>
          <w:p>
            <w:pPr>
              <w:pStyle w:val="15"/>
              <w:spacing w:line="360" w:lineRule="auto"/>
              <w:ind w:firstLine="420" w:firstLineChars="200"/>
              <w:jc w:val="center"/>
              <w:rPr>
                <w:rFonts w:hAnsi="宋体" w:cs="宋体"/>
              </w:rPr>
            </w:pPr>
            <w:r>
              <w:rPr>
                <w:rFonts w:hint="eastAsia" w:hAnsi="宋体" w:cs="宋体"/>
              </w:rPr>
              <w:t>0.25%</w:t>
            </w:r>
          </w:p>
        </w:tc>
        <w:tc>
          <w:tcPr>
            <w:tcW w:w="1992" w:type="dxa"/>
          </w:tcPr>
          <w:p>
            <w:pPr>
              <w:pStyle w:val="15"/>
              <w:spacing w:line="360" w:lineRule="auto"/>
              <w:ind w:firstLine="420" w:firstLineChars="200"/>
              <w:jc w:val="center"/>
              <w:rPr>
                <w:rFonts w:hAnsi="宋体" w:cs="宋体"/>
              </w:rPr>
            </w:pPr>
            <w:r>
              <w:rPr>
                <w:rFonts w:hint="eastAsia" w:hAnsi="宋体" w:cs="宋体"/>
              </w:rPr>
              <w:t>0.1%</w:t>
            </w:r>
          </w:p>
        </w:tc>
        <w:tc>
          <w:tcPr>
            <w:tcW w:w="2293" w:type="dxa"/>
          </w:tcPr>
          <w:p>
            <w:pPr>
              <w:pStyle w:val="15"/>
              <w:spacing w:line="360" w:lineRule="auto"/>
              <w:ind w:firstLine="420" w:firstLineChars="200"/>
              <w:jc w:val="center"/>
              <w:rPr>
                <w:rFonts w:hAnsi="宋体" w:cs="宋体"/>
              </w:rPr>
            </w:pPr>
            <w:r>
              <w:rPr>
                <w:rFonts w:hint="eastAsia" w:hAnsi="宋体" w:cs="宋体"/>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15"/>
              <w:spacing w:line="360" w:lineRule="auto"/>
              <w:ind w:firstLine="420" w:firstLineChars="200"/>
              <w:rPr>
                <w:rFonts w:hAnsi="宋体" w:cs="宋体"/>
              </w:rPr>
            </w:pPr>
            <w:r>
              <w:rPr>
                <w:rFonts w:hint="eastAsia" w:hAnsi="宋体" w:cs="宋体"/>
              </w:rPr>
              <w:t>1～5亿元</w:t>
            </w:r>
          </w:p>
        </w:tc>
        <w:tc>
          <w:tcPr>
            <w:tcW w:w="1841" w:type="dxa"/>
          </w:tcPr>
          <w:p>
            <w:pPr>
              <w:pStyle w:val="15"/>
              <w:spacing w:line="360" w:lineRule="auto"/>
              <w:ind w:firstLine="420" w:firstLineChars="200"/>
              <w:jc w:val="center"/>
              <w:rPr>
                <w:rFonts w:hAnsi="宋体" w:cs="宋体"/>
              </w:rPr>
            </w:pPr>
            <w:r>
              <w:rPr>
                <w:rFonts w:hint="eastAsia" w:hAnsi="宋体" w:cs="宋体"/>
              </w:rPr>
              <w:t>0.05%</w:t>
            </w:r>
          </w:p>
        </w:tc>
        <w:tc>
          <w:tcPr>
            <w:tcW w:w="1992" w:type="dxa"/>
          </w:tcPr>
          <w:p>
            <w:pPr>
              <w:pStyle w:val="15"/>
              <w:spacing w:line="360" w:lineRule="auto"/>
              <w:ind w:firstLine="420" w:firstLineChars="200"/>
              <w:jc w:val="center"/>
              <w:rPr>
                <w:rFonts w:hAnsi="宋体" w:cs="宋体"/>
              </w:rPr>
            </w:pPr>
            <w:r>
              <w:rPr>
                <w:rFonts w:hint="eastAsia" w:hAnsi="宋体" w:cs="宋体"/>
              </w:rPr>
              <w:t>0.05%</w:t>
            </w:r>
          </w:p>
        </w:tc>
        <w:tc>
          <w:tcPr>
            <w:tcW w:w="2293" w:type="dxa"/>
          </w:tcPr>
          <w:p>
            <w:pPr>
              <w:pStyle w:val="15"/>
              <w:spacing w:line="360" w:lineRule="auto"/>
              <w:ind w:firstLine="420" w:firstLineChars="200"/>
              <w:jc w:val="center"/>
              <w:rPr>
                <w:rFonts w:hAnsi="宋体" w:cs="宋体"/>
              </w:rPr>
            </w:pPr>
            <w:r>
              <w:rPr>
                <w:rFonts w:hint="eastAsia" w:hAnsi="宋体" w:cs="宋体"/>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15"/>
              <w:spacing w:line="360" w:lineRule="auto"/>
              <w:ind w:firstLine="420" w:firstLineChars="200"/>
              <w:rPr>
                <w:rFonts w:hAnsi="宋体" w:cs="宋体"/>
              </w:rPr>
            </w:pPr>
            <w:r>
              <w:rPr>
                <w:rFonts w:hint="eastAsia" w:hAnsi="宋体" w:cs="宋体"/>
              </w:rPr>
              <w:t>5～10亿元</w:t>
            </w:r>
          </w:p>
        </w:tc>
        <w:tc>
          <w:tcPr>
            <w:tcW w:w="1841" w:type="dxa"/>
          </w:tcPr>
          <w:p>
            <w:pPr>
              <w:pStyle w:val="15"/>
              <w:spacing w:line="360" w:lineRule="auto"/>
              <w:ind w:firstLine="420" w:firstLineChars="200"/>
              <w:jc w:val="center"/>
              <w:rPr>
                <w:rFonts w:hAnsi="宋体" w:cs="宋体"/>
              </w:rPr>
            </w:pPr>
            <w:r>
              <w:rPr>
                <w:rFonts w:hint="eastAsia" w:hAnsi="宋体" w:cs="宋体"/>
              </w:rPr>
              <w:t>0.035%</w:t>
            </w:r>
          </w:p>
        </w:tc>
        <w:tc>
          <w:tcPr>
            <w:tcW w:w="1992" w:type="dxa"/>
          </w:tcPr>
          <w:p>
            <w:pPr>
              <w:pStyle w:val="15"/>
              <w:spacing w:line="360" w:lineRule="auto"/>
              <w:ind w:firstLine="420" w:firstLineChars="200"/>
              <w:jc w:val="center"/>
              <w:rPr>
                <w:rFonts w:hAnsi="宋体" w:cs="宋体"/>
              </w:rPr>
            </w:pPr>
            <w:r>
              <w:rPr>
                <w:rFonts w:hint="eastAsia" w:hAnsi="宋体" w:cs="宋体"/>
              </w:rPr>
              <w:t>0.035%</w:t>
            </w:r>
          </w:p>
        </w:tc>
        <w:tc>
          <w:tcPr>
            <w:tcW w:w="2293" w:type="dxa"/>
          </w:tcPr>
          <w:p>
            <w:pPr>
              <w:pStyle w:val="15"/>
              <w:spacing w:line="360" w:lineRule="auto"/>
              <w:ind w:firstLine="420" w:firstLineChars="200"/>
              <w:jc w:val="center"/>
              <w:rPr>
                <w:rFonts w:hAnsi="宋体" w:cs="宋体"/>
              </w:rPr>
            </w:pPr>
            <w:r>
              <w:rPr>
                <w:rFonts w:hint="eastAsia" w:hAnsi="宋体" w:cs="宋体"/>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15"/>
              <w:spacing w:line="360" w:lineRule="auto"/>
              <w:ind w:firstLine="420" w:firstLineChars="200"/>
              <w:rPr>
                <w:rFonts w:hAnsi="宋体" w:cs="宋体"/>
              </w:rPr>
            </w:pPr>
            <w:r>
              <w:rPr>
                <w:rFonts w:hint="eastAsia" w:hAnsi="宋体" w:cs="宋体"/>
              </w:rPr>
              <w:t>10～50亿元</w:t>
            </w:r>
          </w:p>
        </w:tc>
        <w:tc>
          <w:tcPr>
            <w:tcW w:w="1841" w:type="dxa"/>
          </w:tcPr>
          <w:p>
            <w:pPr>
              <w:pStyle w:val="15"/>
              <w:spacing w:line="360" w:lineRule="auto"/>
              <w:ind w:firstLine="420" w:firstLineChars="200"/>
              <w:jc w:val="center"/>
              <w:rPr>
                <w:rFonts w:hAnsi="宋体" w:cs="宋体"/>
              </w:rPr>
            </w:pPr>
            <w:r>
              <w:rPr>
                <w:rFonts w:hint="eastAsia" w:hAnsi="宋体" w:cs="宋体"/>
              </w:rPr>
              <w:t>0.008%</w:t>
            </w:r>
          </w:p>
        </w:tc>
        <w:tc>
          <w:tcPr>
            <w:tcW w:w="1992" w:type="dxa"/>
          </w:tcPr>
          <w:p>
            <w:pPr>
              <w:pStyle w:val="15"/>
              <w:spacing w:line="360" w:lineRule="auto"/>
              <w:ind w:firstLine="420" w:firstLineChars="200"/>
              <w:jc w:val="center"/>
              <w:rPr>
                <w:rFonts w:hAnsi="宋体" w:cs="宋体"/>
              </w:rPr>
            </w:pPr>
            <w:r>
              <w:rPr>
                <w:rFonts w:hint="eastAsia" w:hAnsi="宋体" w:cs="宋体"/>
              </w:rPr>
              <w:t>0.008%</w:t>
            </w:r>
          </w:p>
        </w:tc>
        <w:tc>
          <w:tcPr>
            <w:tcW w:w="2293" w:type="dxa"/>
          </w:tcPr>
          <w:p>
            <w:pPr>
              <w:pStyle w:val="15"/>
              <w:spacing w:line="360" w:lineRule="auto"/>
              <w:ind w:firstLine="420" w:firstLineChars="200"/>
              <w:jc w:val="center"/>
              <w:rPr>
                <w:rFonts w:hAnsi="宋体" w:cs="宋体"/>
              </w:rPr>
            </w:pPr>
            <w:r>
              <w:rPr>
                <w:rFonts w:hint="eastAsia" w:hAnsi="宋体" w:cs="宋体"/>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15"/>
              <w:spacing w:line="360" w:lineRule="auto"/>
              <w:ind w:firstLine="420" w:firstLineChars="200"/>
              <w:rPr>
                <w:rFonts w:hAnsi="宋体" w:cs="宋体"/>
              </w:rPr>
            </w:pPr>
            <w:r>
              <w:rPr>
                <w:rFonts w:hint="eastAsia" w:hAnsi="宋体" w:cs="宋体"/>
              </w:rPr>
              <w:t>50～100亿元</w:t>
            </w:r>
          </w:p>
        </w:tc>
        <w:tc>
          <w:tcPr>
            <w:tcW w:w="1841" w:type="dxa"/>
          </w:tcPr>
          <w:p>
            <w:pPr>
              <w:pStyle w:val="15"/>
              <w:spacing w:line="360" w:lineRule="auto"/>
              <w:ind w:firstLine="420" w:firstLineChars="200"/>
              <w:jc w:val="center"/>
              <w:rPr>
                <w:rFonts w:hAnsi="宋体" w:cs="宋体"/>
              </w:rPr>
            </w:pPr>
            <w:r>
              <w:rPr>
                <w:rFonts w:hint="eastAsia" w:hAnsi="宋体" w:cs="宋体"/>
              </w:rPr>
              <w:t>0.006%</w:t>
            </w:r>
          </w:p>
        </w:tc>
        <w:tc>
          <w:tcPr>
            <w:tcW w:w="1992" w:type="dxa"/>
          </w:tcPr>
          <w:p>
            <w:pPr>
              <w:pStyle w:val="15"/>
              <w:spacing w:line="360" w:lineRule="auto"/>
              <w:ind w:firstLine="420" w:firstLineChars="200"/>
              <w:jc w:val="center"/>
              <w:rPr>
                <w:rFonts w:hAnsi="宋体" w:cs="宋体"/>
              </w:rPr>
            </w:pPr>
            <w:r>
              <w:rPr>
                <w:rFonts w:hint="eastAsia" w:hAnsi="宋体" w:cs="宋体"/>
              </w:rPr>
              <w:t>0.006%</w:t>
            </w:r>
          </w:p>
        </w:tc>
        <w:tc>
          <w:tcPr>
            <w:tcW w:w="2293" w:type="dxa"/>
          </w:tcPr>
          <w:p>
            <w:pPr>
              <w:pStyle w:val="15"/>
              <w:spacing w:line="360" w:lineRule="auto"/>
              <w:ind w:firstLine="420" w:firstLineChars="200"/>
              <w:jc w:val="center"/>
              <w:rPr>
                <w:rFonts w:hAnsi="宋体" w:cs="宋体"/>
              </w:rPr>
            </w:pPr>
            <w:r>
              <w:rPr>
                <w:rFonts w:hint="eastAsia" w:hAnsi="宋体" w:cs="宋体"/>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880" w:type="dxa"/>
          </w:tcPr>
          <w:p>
            <w:pPr>
              <w:pStyle w:val="15"/>
              <w:spacing w:line="360" w:lineRule="auto"/>
              <w:ind w:firstLine="420" w:firstLineChars="200"/>
              <w:rPr>
                <w:rFonts w:hAnsi="宋体" w:cs="宋体"/>
              </w:rPr>
            </w:pPr>
            <w:r>
              <w:rPr>
                <w:rFonts w:hint="eastAsia" w:hAnsi="宋体" w:cs="宋体"/>
              </w:rPr>
              <w:t>100亿以上</w:t>
            </w:r>
          </w:p>
        </w:tc>
        <w:tc>
          <w:tcPr>
            <w:tcW w:w="1841" w:type="dxa"/>
          </w:tcPr>
          <w:p>
            <w:pPr>
              <w:pStyle w:val="15"/>
              <w:spacing w:line="360" w:lineRule="auto"/>
              <w:ind w:firstLine="420" w:firstLineChars="200"/>
              <w:jc w:val="center"/>
              <w:rPr>
                <w:rFonts w:hAnsi="宋体" w:cs="宋体"/>
              </w:rPr>
            </w:pPr>
            <w:r>
              <w:rPr>
                <w:rFonts w:hint="eastAsia" w:hAnsi="宋体" w:cs="宋体"/>
              </w:rPr>
              <w:t>0.004%</w:t>
            </w:r>
          </w:p>
        </w:tc>
        <w:tc>
          <w:tcPr>
            <w:tcW w:w="1992" w:type="dxa"/>
          </w:tcPr>
          <w:p>
            <w:pPr>
              <w:pStyle w:val="15"/>
              <w:spacing w:line="360" w:lineRule="auto"/>
              <w:ind w:firstLine="420" w:firstLineChars="200"/>
              <w:jc w:val="center"/>
              <w:rPr>
                <w:rFonts w:hAnsi="宋体" w:cs="宋体"/>
              </w:rPr>
            </w:pPr>
            <w:r>
              <w:rPr>
                <w:rFonts w:hint="eastAsia" w:hAnsi="宋体" w:cs="宋体"/>
              </w:rPr>
              <w:t>0.004%</w:t>
            </w:r>
          </w:p>
        </w:tc>
        <w:tc>
          <w:tcPr>
            <w:tcW w:w="2293" w:type="dxa"/>
          </w:tcPr>
          <w:p>
            <w:pPr>
              <w:pStyle w:val="15"/>
              <w:spacing w:line="360" w:lineRule="auto"/>
              <w:ind w:firstLine="420" w:firstLineChars="200"/>
              <w:jc w:val="center"/>
              <w:rPr>
                <w:rFonts w:hAnsi="宋体" w:cs="宋体"/>
              </w:rPr>
            </w:pPr>
            <w:r>
              <w:rPr>
                <w:rFonts w:hint="eastAsia" w:hAnsi="宋体" w:cs="宋体"/>
              </w:rPr>
              <w:t>0.004%</w:t>
            </w:r>
          </w:p>
        </w:tc>
      </w:tr>
    </w:tbl>
    <w:p>
      <w:pPr>
        <w:pStyle w:val="15"/>
        <w:spacing w:line="360" w:lineRule="auto"/>
        <w:ind w:firstLine="420" w:firstLineChars="200"/>
        <w:rPr>
          <w:rFonts w:hAnsi="宋体" w:cs="宋体"/>
        </w:rPr>
      </w:pPr>
      <w:r>
        <w:rPr>
          <w:rFonts w:hint="eastAsia" w:hAnsi="宋体" w:cs="宋体"/>
        </w:rPr>
        <w:t>注：代理服务收费按差额定率累进法计算。</w:t>
      </w:r>
    </w:p>
    <w:p>
      <w:pPr>
        <w:spacing w:line="360" w:lineRule="auto"/>
        <w:ind w:firstLine="422" w:firstLineChars="200"/>
        <w:rPr>
          <w:rFonts w:ascii="宋体" w:hAnsi="宋体" w:cs="宋体"/>
          <w:b/>
        </w:rPr>
      </w:pPr>
      <w:r>
        <w:rPr>
          <w:rFonts w:hint="eastAsia" w:ascii="宋体" w:hAnsi="宋体" w:cs="宋体"/>
          <w:b/>
        </w:rPr>
        <w:t>3</w:t>
      </w:r>
      <w:r>
        <w:rPr>
          <w:rFonts w:ascii="宋体" w:hAnsi="宋体" w:cs="宋体"/>
          <w:b/>
        </w:rPr>
        <w:t>1</w:t>
      </w:r>
      <w:r>
        <w:rPr>
          <w:rFonts w:hint="eastAsia" w:ascii="宋体" w:hAnsi="宋体" w:cs="宋体"/>
          <w:b/>
        </w:rPr>
        <w:t>.采购代理机构银行账户：</w:t>
      </w:r>
    </w:p>
    <w:p>
      <w:pPr>
        <w:spacing w:line="360" w:lineRule="auto"/>
        <w:ind w:firstLine="420" w:firstLineChars="200"/>
        <w:rPr>
          <w:rFonts w:ascii="宋体" w:hAnsi="宋体" w:cs="宋体"/>
        </w:rPr>
      </w:pPr>
      <w:r>
        <w:rPr>
          <w:rFonts w:hint="eastAsia" w:ascii="宋体" w:hAnsi="宋体" w:cs="宋体"/>
        </w:rPr>
        <w:t>账户名称：广西同泽工程项目管理股份有限公司桂林分公司</w:t>
      </w:r>
    </w:p>
    <w:p>
      <w:pPr>
        <w:spacing w:line="360" w:lineRule="auto"/>
        <w:ind w:firstLine="420" w:firstLineChars="200"/>
        <w:rPr>
          <w:rFonts w:ascii="宋体" w:hAnsi="宋体" w:cs="宋体"/>
        </w:rPr>
      </w:pPr>
      <w:r>
        <w:rPr>
          <w:rFonts w:hint="eastAsia" w:ascii="宋体" w:hAnsi="宋体" w:cs="宋体"/>
        </w:rPr>
        <w:t>银行开户行：桂林银行西华门支行</w:t>
      </w:r>
    </w:p>
    <w:p>
      <w:pPr>
        <w:spacing w:line="360" w:lineRule="auto"/>
        <w:ind w:firstLine="420" w:firstLineChars="200"/>
        <w:rPr>
          <w:rFonts w:ascii="宋体" w:hAnsi="宋体"/>
        </w:rPr>
      </w:pPr>
      <w:r>
        <w:rPr>
          <w:rFonts w:hint="eastAsia" w:ascii="宋体" w:hAnsi="宋体" w:cs="宋体"/>
        </w:rPr>
        <w:t>银行账号：</w:t>
      </w:r>
      <w:r>
        <w:rPr>
          <w:rFonts w:hint="eastAsia" w:ascii="宋体" w:hAnsi="宋体"/>
        </w:rPr>
        <w:t>6600 1005 6795 9000 10</w:t>
      </w:r>
    </w:p>
    <w:p>
      <w:pPr>
        <w:spacing w:line="360" w:lineRule="auto"/>
        <w:ind w:firstLine="422" w:firstLineChars="200"/>
        <w:rPr>
          <w:rFonts w:ascii="宋体" w:hAnsi="宋体" w:cs="宋体"/>
        </w:rPr>
      </w:pPr>
      <w:r>
        <w:rPr>
          <w:rFonts w:hint="eastAsia" w:ascii="宋体" w:hAnsi="宋体" w:cs="宋体"/>
          <w:b/>
        </w:rPr>
        <w:t>3</w:t>
      </w:r>
      <w:r>
        <w:rPr>
          <w:rFonts w:ascii="宋体" w:hAnsi="宋体" w:cs="宋体"/>
          <w:b/>
        </w:rPr>
        <w:t>2</w:t>
      </w:r>
      <w:r>
        <w:rPr>
          <w:rFonts w:hint="eastAsia" w:ascii="宋体" w:hAnsi="宋体" w:cs="宋体"/>
          <w:b/>
        </w:rPr>
        <w:t>.解释权：</w:t>
      </w:r>
      <w:r>
        <w:rPr>
          <w:rFonts w:hint="eastAsia" w:ascii="宋体" w:hAnsi="宋体" w:cs="宋体"/>
        </w:rPr>
        <w:t>本竞争性磋商文件是根据《中华人民共和国政府采购法》、《中华人民共和国政府采购法实施条例》、《政府采购竞争性磋商采购方式管理暂行办法》和政府采购管理有关规定编制，本竞争性磋商文件的解释权属于采购代理机构。</w:t>
      </w:r>
    </w:p>
    <w:p>
      <w:pPr>
        <w:spacing w:line="360" w:lineRule="auto"/>
        <w:ind w:firstLine="422" w:firstLineChars="200"/>
        <w:rPr>
          <w:rFonts w:ascii="宋体" w:hAnsi="宋体" w:cs="宋体"/>
          <w:b/>
          <w:sz w:val="24"/>
        </w:rPr>
      </w:pPr>
      <w:r>
        <w:rPr>
          <w:rFonts w:hint="eastAsia" w:ascii="宋体" w:hAnsi="宋体" w:cs="宋体"/>
          <w:b/>
        </w:rPr>
        <w:t>3</w:t>
      </w:r>
      <w:r>
        <w:rPr>
          <w:rFonts w:ascii="宋体" w:hAnsi="宋体" w:cs="宋体"/>
          <w:b/>
        </w:rPr>
        <w:t>3</w:t>
      </w:r>
      <w:r>
        <w:rPr>
          <w:rFonts w:hint="eastAsia" w:ascii="宋体" w:hAnsi="宋体" w:cs="宋体"/>
          <w:b/>
        </w:rPr>
        <w:t>.监督管理机构：</w:t>
      </w:r>
      <w:r>
        <w:rPr>
          <w:rFonts w:hint="eastAsia" w:ascii="宋体" w:hAnsi="宋体" w:cs="宋体"/>
          <w:bCs/>
        </w:rPr>
        <w:t>桂林市秀峰区政府采购管理办公室</w:t>
      </w:r>
      <w:r>
        <w:rPr>
          <w:rFonts w:hint="eastAsia" w:ascii="宋体" w:hAnsi="宋体" w:cs="宋体"/>
          <w:bCs/>
          <w:szCs w:val="21"/>
        </w:rPr>
        <w:t>；</w:t>
      </w:r>
      <w:r>
        <w:rPr>
          <w:rFonts w:hint="eastAsia" w:ascii="宋体" w:hAnsi="宋体" w:cs="宋体"/>
          <w:szCs w:val="21"/>
        </w:rPr>
        <w:t>联系电话：：0773-8990786</w:t>
      </w:r>
      <w:r>
        <w:rPr>
          <w:rFonts w:hint="eastAsia" w:ascii="宋体" w:hAnsi="宋体" w:cs="宋体"/>
          <w:b/>
          <w:sz w:val="24"/>
        </w:rPr>
        <w:br w:type="page"/>
      </w:r>
      <w:r>
        <w:rPr>
          <w:rFonts w:hint="eastAsia" w:ascii="宋体" w:hAnsi="宋体" w:cs="宋体"/>
          <w:b/>
          <w:sz w:val="24"/>
        </w:rPr>
        <w:t>附表1：</w:t>
      </w:r>
    </w:p>
    <w:p>
      <w:pPr>
        <w:spacing w:line="460" w:lineRule="exact"/>
        <w:jc w:val="center"/>
        <w:rPr>
          <w:rFonts w:ascii="宋体" w:hAnsi="宋体" w:cs="宋体"/>
          <w:sz w:val="44"/>
        </w:rPr>
      </w:pPr>
      <w:r>
        <w:rPr>
          <w:rFonts w:hint="eastAsia" w:ascii="宋体" w:hAnsi="宋体" w:cs="宋体"/>
          <w:sz w:val="44"/>
        </w:rPr>
        <w:t>质疑函（格式）</w:t>
      </w:r>
    </w:p>
    <w:p>
      <w:pPr>
        <w:pStyle w:val="15"/>
        <w:snapToGrid w:val="0"/>
        <w:spacing w:line="360" w:lineRule="exact"/>
        <w:ind w:firstLine="422" w:firstLineChars="200"/>
        <w:rPr>
          <w:rFonts w:hAnsi="宋体" w:cs="宋体"/>
          <w:b/>
          <w:bCs/>
        </w:rPr>
      </w:pPr>
      <w:r>
        <w:rPr>
          <w:rFonts w:hint="eastAsia" w:hAnsi="宋体" w:cs="宋体"/>
          <w:b/>
          <w:bCs/>
        </w:rPr>
        <w:t>一、质疑供应商基本信息：</w:t>
      </w:r>
    </w:p>
    <w:p>
      <w:pPr>
        <w:pStyle w:val="15"/>
        <w:snapToGrid w:val="0"/>
        <w:spacing w:line="360" w:lineRule="exact"/>
        <w:ind w:firstLine="420" w:firstLineChars="200"/>
        <w:rPr>
          <w:rFonts w:hAnsi="宋体" w:cs="宋体"/>
          <w:bCs/>
          <w:u w:val="single"/>
        </w:rPr>
      </w:pPr>
      <w:r>
        <w:rPr>
          <w:rFonts w:hint="eastAsia" w:hAnsi="宋体" w:cs="宋体"/>
          <w:bCs/>
        </w:rPr>
        <w:t>质疑供应商：</w:t>
      </w:r>
    </w:p>
    <w:p>
      <w:pPr>
        <w:pStyle w:val="15"/>
        <w:snapToGrid w:val="0"/>
        <w:spacing w:line="360" w:lineRule="exact"/>
        <w:ind w:firstLine="420" w:firstLineChars="200"/>
        <w:rPr>
          <w:rFonts w:hAnsi="宋体" w:cs="宋体"/>
          <w:bCs/>
        </w:rPr>
      </w:pPr>
      <w:r>
        <w:rPr>
          <w:rFonts w:hint="eastAsia" w:hAnsi="宋体" w:cs="宋体"/>
          <w:bCs/>
        </w:rPr>
        <w:t>地址：邮编：</w:t>
      </w:r>
    </w:p>
    <w:p>
      <w:pPr>
        <w:pStyle w:val="15"/>
        <w:snapToGrid w:val="0"/>
        <w:spacing w:line="360" w:lineRule="exact"/>
        <w:ind w:firstLine="420" w:firstLineChars="200"/>
        <w:rPr>
          <w:rFonts w:hAnsi="宋体" w:cs="宋体"/>
          <w:bCs/>
        </w:rPr>
      </w:pPr>
      <w:r>
        <w:rPr>
          <w:rFonts w:hint="eastAsia" w:hAnsi="宋体" w:cs="宋体"/>
          <w:bCs/>
        </w:rPr>
        <w:t>联系人：联系电话：</w:t>
      </w:r>
    </w:p>
    <w:p>
      <w:pPr>
        <w:pStyle w:val="15"/>
        <w:snapToGrid w:val="0"/>
        <w:spacing w:line="360" w:lineRule="exact"/>
        <w:ind w:firstLine="420" w:firstLineChars="200"/>
        <w:rPr>
          <w:rFonts w:hAnsi="宋体" w:cs="宋体"/>
          <w:bCs/>
        </w:rPr>
      </w:pPr>
      <w:r>
        <w:rPr>
          <w:rFonts w:hint="eastAsia" w:hAnsi="宋体" w:cs="宋体"/>
          <w:bCs/>
        </w:rPr>
        <w:t>授权代表：</w:t>
      </w:r>
    </w:p>
    <w:p>
      <w:pPr>
        <w:pStyle w:val="15"/>
        <w:snapToGrid w:val="0"/>
        <w:spacing w:line="360" w:lineRule="exact"/>
        <w:ind w:firstLine="420" w:firstLineChars="200"/>
        <w:rPr>
          <w:rFonts w:hAnsi="宋体" w:cs="宋体"/>
          <w:bCs/>
          <w:u w:val="single"/>
        </w:rPr>
      </w:pPr>
      <w:r>
        <w:rPr>
          <w:rFonts w:hint="eastAsia" w:hAnsi="宋体" w:cs="宋体"/>
          <w:bCs/>
        </w:rPr>
        <w:t>联系电话：</w:t>
      </w:r>
    </w:p>
    <w:p>
      <w:pPr>
        <w:pStyle w:val="15"/>
        <w:snapToGrid w:val="0"/>
        <w:spacing w:line="360" w:lineRule="exact"/>
        <w:ind w:firstLine="420" w:firstLineChars="200"/>
        <w:rPr>
          <w:rFonts w:hAnsi="宋体" w:cs="宋体"/>
          <w:bCs/>
        </w:rPr>
      </w:pPr>
      <w:r>
        <w:rPr>
          <w:rFonts w:hint="eastAsia" w:hAnsi="宋体" w:cs="宋体"/>
          <w:bCs/>
        </w:rPr>
        <w:t>地址：邮编：</w:t>
      </w:r>
    </w:p>
    <w:p>
      <w:pPr>
        <w:pStyle w:val="15"/>
        <w:snapToGrid w:val="0"/>
        <w:spacing w:line="360" w:lineRule="exact"/>
        <w:ind w:firstLine="422" w:firstLineChars="200"/>
        <w:rPr>
          <w:rFonts w:hAnsi="宋体" w:cs="宋体"/>
          <w:b/>
          <w:bCs/>
        </w:rPr>
      </w:pPr>
      <w:r>
        <w:rPr>
          <w:rFonts w:hint="eastAsia" w:hAnsi="宋体" w:cs="宋体"/>
          <w:b/>
          <w:bCs/>
        </w:rPr>
        <w:t>二、质疑项目基本情况：</w:t>
      </w:r>
    </w:p>
    <w:p>
      <w:pPr>
        <w:pStyle w:val="15"/>
        <w:spacing w:line="360" w:lineRule="exact"/>
        <w:ind w:left="25" w:leftChars="12" w:firstLine="413" w:firstLineChars="197"/>
        <w:rPr>
          <w:rFonts w:hAnsi="宋体" w:cs="宋体"/>
          <w:szCs w:val="21"/>
        </w:rPr>
      </w:pPr>
      <w:r>
        <w:rPr>
          <w:rFonts w:hint="eastAsia" w:hAnsi="宋体" w:cs="宋体"/>
          <w:bCs/>
        </w:rPr>
        <w:t>质疑</w:t>
      </w:r>
      <w:r>
        <w:rPr>
          <w:rFonts w:hint="eastAsia" w:hAnsi="宋体" w:cs="宋体"/>
          <w:szCs w:val="21"/>
        </w:rPr>
        <w:t>项目的名称：</w:t>
      </w:r>
    </w:p>
    <w:p>
      <w:pPr>
        <w:pStyle w:val="15"/>
        <w:spacing w:line="360" w:lineRule="exact"/>
        <w:ind w:left="25" w:leftChars="12" w:firstLine="413" w:firstLineChars="197"/>
        <w:rPr>
          <w:rFonts w:hAnsi="宋体" w:cs="宋体"/>
          <w:szCs w:val="21"/>
        </w:rPr>
      </w:pPr>
      <w:r>
        <w:rPr>
          <w:rFonts w:hint="eastAsia" w:hAnsi="宋体" w:cs="宋体"/>
          <w:bCs/>
        </w:rPr>
        <w:t>质疑</w:t>
      </w:r>
      <w:r>
        <w:rPr>
          <w:rFonts w:hint="eastAsia" w:hAnsi="宋体" w:cs="宋体"/>
          <w:szCs w:val="21"/>
        </w:rPr>
        <w:t>项目的编号：</w:t>
      </w:r>
    </w:p>
    <w:p>
      <w:pPr>
        <w:pStyle w:val="15"/>
        <w:spacing w:line="360" w:lineRule="exact"/>
        <w:ind w:left="25" w:leftChars="12" w:firstLine="413" w:firstLineChars="197"/>
        <w:rPr>
          <w:rFonts w:hAnsi="宋体" w:cs="宋体"/>
          <w:szCs w:val="21"/>
        </w:rPr>
      </w:pPr>
      <w:r>
        <w:rPr>
          <w:rFonts w:hint="eastAsia" w:hAnsi="宋体" w:cs="宋体"/>
          <w:szCs w:val="21"/>
        </w:rPr>
        <w:t>采购人名称：</w:t>
      </w:r>
    </w:p>
    <w:p>
      <w:pPr>
        <w:pStyle w:val="15"/>
        <w:spacing w:line="360" w:lineRule="exact"/>
        <w:ind w:left="25" w:leftChars="12" w:firstLine="413" w:firstLineChars="197"/>
        <w:rPr>
          <w:rFonts w:hAnsi="宋体" w:cs="宋体"/>
          <w:szCs w:val="21"/>
        </w:rPr>
      </w:pPr>
      <w:r>
        <w:rPr>
          <w:rFonts w:hint="eastAsia" w:hAnsi="宋体" w:cs="宋体"/>
          <w:szCs w:val="21"/>
        </w:rPr>
        <w:t>质疑事项：</w:t>
      </w:r>
    </w:p>
    <w:p>
      <w:pPr>
        <w:pStyle w:val="15"/>
        <w:spacing w:line="360" w:lineRule="exact"/>
        <w:ind w:left="25" w:leftChars="12" w:firstLine="441" w:firstLineChars="147"/>
        <w:rPr>
          <w:rFonts w:hAnsi="宋体" w:cs="宋体"/>
          <w:szCs w:val="21"/>
        </w:rPr>
      </w:pPr>
      <w:r>
        <w:rPr>
          <w:rFonts w:hint="eastAsia" w:hAnsi="宋体" w:cs="宋体"/>
          <w:sz w:val="30"/>
          <w:szCs w:val="30"/>
        </w:rPr>
        <w:t>□</w:t>
      </w:r>
      <w:r>
        <w:rPr>
          <w:rFonts w:hint="eastAsia" w:hAnsi="宋体" w:cs="宋体"/>
          <w:szCs w:val="21"/>
        </w:rPr>
        <w:t>磋商文件   采购文件获取日期：</w:t>
      </w:r>
    </w:p>
    <w:p>
      <w:pPr>
        <w:pStyle w:val="15"/>
        <w:spacing w:line="360" w:lineRule="exact"/>
        <w:ind w:left="25" w:leftChars="12" w:firstLine="441" w:firstLineChars="147"/>
        <w:rPr>
          <w:rFonts w:hAnsi="宋体" w:cs="宋体"/>
          <w:szCs w:val="21"/>
        </w:rPr>
      </w:pPr>
      <w:r>
        <w:rPr>
          <w:rFonts w:hint="eastAsia" w:hAnsi="宋体" w:cs="宋体"/>
          <w:sz w:val="30"/>
          <w:szCs w:val="30"/>
        </w:rPr>
        <w:t>□</w:t>
      </w:r>
      <w:r>
        <w:rPr>
          <w:rFonts w:hint="eastAsia" w:hAnsi="宋体" w:cs="宋体"/>
          <w:szCs w:val="21"/>
        </w:rPr>
        <w:t xml:space="preserve">采购过程   </w:t>
      </w:r>
    </w:p>
    <w:p>
      <w:pPr>
        <w:pStyle w:val="15"/>
        <w:spacing w:line="360" w:lineRule="exact"/>
        <w:ind w:left="25" w:leftChars="12" w:firstLine="441" w:firstLineChars="147"/>
        <w:rPr>
          <w:rFonts w:hAnsi="宋体" w:cs="宋体"/>
          <w:bCs/>
          <w:u w:val="single"/>
        </w:rPr>
      </w:pPr>
      <w:r>
        <w:rPr>
          <w:rFonts w:hint="eastAsia" w:hAnsi="宋体" w:cs="宋体"/>
          <w:sz w:val="30"/>
          <w:szCs w:val="30"/>
        </w:rPr>
        <w:t>□</w:t>
      </w:r>
      <w:r>
        <w:rPr>
          <w:rFonts w:hint="eastAsia" w:hAnsi="宋体" w:cs="宋体"/>
          <w:szCs w:val="21"/>
        </w:rPr>
        <w:t xml:space="preserve">成交结果   </w:t>
      </w:r>
    </w:p>
    <w:p>
      <w:pPr>
        <w:pStyle w:val="15"/>
        <w:spacing w:line="360" w:lineRule="exact"/>
        <w:ind w:left="25" w:leftChars="12" w:firstLine="413" w:firstLineChars="196"/>
        <w:rPr>
          <w:rFonts w:hAnsi="宋体" w:cs="宋体"/>
          <w:b/>
          <w:szCs w:val="21"/>
        </w:rPr>
      </w:pPr>
      <w:r>
        <w:rPr>
          <w:rFonts w:hint="eastAsia" w:hAnsi="宋体" w:cs="宋体"/>
          <w:b/>
          <w:szCs w:val="21"/>
        </w:rPr>
        <w:t>三、质疑事项具体内容</w:t>
      </w:r>
    </w:p>
    <w:p>
      <w:pPr>
        <w:pStyle w:val="15"/>
        <w:spacing w:line="360" w:lineRule="exact"/>
        <w:ind w:left="25" w:leftChars="12" w:firstLine="413" w:firstLineChars="197"/>
        <w:rPr>
          <w:rFonts w:hAnsi="宋体" w:cs="宋体"/>
          <w:szCs w:val="21"/>
        </w:rPr>
      </w:pPr>
      <w:r>
        <w:rPr>
          <w:rFonts w:hint="eastAsia" w:hAnsi="宋体" w:cs="宋体"/>
          <w:szCs w:val="21"/>
        </w:rPr>
        <w:t>质疑事项1：</w:t>
      </w:r>
    </w:p>
    <w:p>
      <w:pPr>
        <w:pStyle w:val="15"/>
        <w:spacing w:line="360" w:lineRule="exact"/>
        <w:ind w:left="25" w:leftChars="12" w:firstLine="413" w:firstLineChars="197"/>
        <w:rPr>
          <w:rFonts w:hAnsi="宋体" w:cs="宋体"/>
          <w:szCs w:val="21"/>
        </w:rPr>
      </w:pPr>
      <w:r>
        <w:rPr>
          <w:rFonts w:hint="eastAsia" w:hAnsi="宋体" w:cs="宋体"/>
          <w:szCs w:val="21"/>
        </w:rPr>
        <w:t>事实依据：</w:t>
      </w:r>
    </w:p>
    <w:p>
      <w:pPr>
        <w:pStyle w:val="15"/>
        <w:spacing w:line="360" w:lineRule="exact"/>
        <w:ind w:left="25" w:leftChars="12" w:firstLine="413" w:firstLineChars="197"/>
        <w:rPr>
          <w:rFonts w:hAnsi="宋体" w:cs="宋体"/>
          <w:szCs w:val="21"/>
        </w:rPr>
      </w:pPr>
      <w:r>
        <w:rPr>
          <w:rFonts w:hint="eastAsia" w:hAnsi="宋体" w:cs="宋体"/>
          <w:szCs w:val="21"/>
        </w:rPr>
        <w:t>法律依据：</w:t>
      </w:r>
    </w:p>
    <w:p>
      <w:pPr>
        <w:pStyle w:val="15"/>
        <w:spacing w:line="360" w:lineRule="exact"/>
        <w:ind w:left="25" w:leftChars="12" w:firstLine="413" w:firstLineChars="197"/>
        <w:rPr>
          <w:rFonts w:hAnsi="宋体" w:cs="宋体"/>
          <w:szCs w:val="21"/>
        </w:rPr>
      </w:pPr>
      <w:r>
        <w:rPr>
          <w:rFonts w:hint="eastAsia" w:hAnsi="宋体" w:cs="宋体"/>
          <w:szCs w:val="21"/>
        </w:rPr>
        <w:t>质疑事项2</w:t>
      </w:r>
    </w:p>
    <w:p>
      <w:pPr>
        <w:pStyle w:val="15"/>
        <w:spacing w:line="360" w:lineRule="exact"/>
        <w:ind w:left="25" w:leftChars="12" w:firstLine="413" w:firstLineChars="197"/>
        <w:rPr>
          <w:rFonts w:hAnsi="宋体" w:cs="宋体"/>
          <w:szCs w:val="21"/>
        </w:rPr>
      </w:pPr>
      <w:r>
        <w:rPr>
          <w:rFonts w:hint="eastAsia" w:hAnsi="宋体" w:cs="宋体"/>
          <w:szCs w:val="21"/>
        </w:rPr>
        <w:t>……</w:t>
      </w:r>
    </w:p>
    <w:p>
      <w:pPr>
        <w:pStyle w:val="15"/>
        <w:spacing w:line="360" w:lineRule="exact"/>
        <w:ind w:left="25" w:leftChars="12" w:firstLine="413" w:firstLineChars="197"/>
        <w:rPr>
          <w:rFonts w:hAnsi="宋体" w:cs="宋体"/>
          <w:szCs w:val="21"/>
        </w:rPr>
      </w:pPr>
      <w:r>
        <w:rPr>
          <w:rFonts w:hint="eastAsia" w:hAnsi="宋体" w:cs="宋体"/>
          <w:szCs w:val="21"/>
        </w:rPr>
        <w:t>四、与质疑事项相关的质疑请求：</w:t>
      </w:r>
    </w:p>
    <w:p>
      <w:pPr>
        <w:pStyle w:val="15"/>
        <w:spacing w:line="360" w:lineRule="exact"/>
        <w:ind w:left="25" w:leftChars="12" w:firstLine="413" w:firstLineChars="197"/>
        <w:rPr>
          <w:rFonts w:hAnsi="宋体" w:cs="宋体"/>
          <w:szCs w:val="21"/>
        </w:rPr>
      </w:pPr>
      <w:r>
        <w:rPr>
          <w:rFonts w:hint="eastAsia" w:hAnsi="宋体" w:cs="宋体"/>
          <w:szCs w:val="21"/>
        </w:rPr>
        <w:t>请求：</w:t>
      </w:r>
    </w:p>
    <w:p>
      <w:pPr>
        <w:pStyle w:val="15"/>
        <w:spacing w:line="360" w:lineRule="exact"/>
        <w:ind w:left="25" w:leftChars="12" w:firstLine="308" w:firstLineChars="147"/>
        <w:rPr>
          <w:rFonts w:hAnsi="宋体" w:cs="宋体"/>
          <w:szCs w:val="21"/>
        </w:rPr>
      </w:pPr>
    </w:p>
    <w:p>
      <w:pPr>
        <w:pStyle w:val="15"/>
        <w:spacing w:line="360" w:lineRule="auto"/>
        <w:ind w:left="25" w:leftChars="12" w:firstLine="413" w:firstLineChars="197"/>
        <w:rPr>
          <w:rFonts w:hAnsi="宋体" w:cs="宋体"/>
          <w:szCs w:val="21"/>
        </w:rPr>
      </w:pPr>
      <w:r>
        <w:rPr>
          <w:rFonts w:hint="eastAsia" w:hAnsi="宋体" w:cs="宋体"/>
          <w:szCs w:val="21"/>
        </w:rPr>
        <w:t xml:space="preserve">签字（签章）：                                       </w:t>
      </w:r>
    </w:p>
    <w:p>
      <w:pPr>
        <w:pStyle w:val="15"/>
        <w:spacing w:line="360" w:lineRule="auto"/>
        <w:ind w:left="25" w:leftChars="12" w:firstLine="413" w:firstLineChars="197"/>
        <w:rPr>
          <w:rFonts w:hAnsi="宋体" w:cs="宋体"/>
          <w:szCs w:val="21"/>
        </w:rPr>
      </w:pPr>
      <w:r>
        <w:rPr>
          <w:rFonts w:hint="eastAsia" w:hAnsi="宋体" w:cs="宋体"/>
          <w:szCs w:val="21"/>
        </w:rPr>
        <w:t>公章：</w:t>
      </w:r>
    </w:p>
    <w:p>
      <w:pPr>
        <w:pStyle w:val="15"/>
        <w:spacing w:line="360" w:lineRule="auto"/>
        <w:ind w:left="25" w:leftChars="12" w:firstLine="413" w:firstLineChars="197"/>
        <w:rPr>
          <w:rFonts w:hAnsi="宋体" w:cs="宋体"/>
          <w:szCs w:val="21"/>
        </w:rPr>
      </w:pPr>
      <w:r>
        <w:rPr>
          <w:rFonts w:hint="eastAsia" w:hAnsi="宋体" w:cs="宋体"/>
          <w:szCs w:val="21"/>
        </w:rPr>
        <w:t>日期：</w:t>
      </w:r>
    </w:p>
    <w:p>
      <w:pPr>
        <w:pStyle w:val="15"/>
        <w:snapToGrid w:val="0"/>
        <w:spacing w:line="340" w:lineRule="exact"/>
        <w:ind w:firstLine="422" w:firstLineChars="200"/>
        <w:rPr>
          <w:rFonts w:hAnsi="宋体" w:cs="宋体"/>
          <w:b/>
          <w:szCs w:val="21"/>
        </w:rPr>
      </w:pPr>
      <w:r>
        <w:rPr>
          <w:rFonts w:hint="eastAsia" w:hAnsi="宋体" w:cs="宋体"/>
          <w:b/>
          <w:szCs w:val="21"/>
        </w:rPr>
        <w:t>说明：</w:t>
      </w:r>
    </w:p>
    <w:p>
      <w:pPr>
        <w:pStyle w:val="15"/>
        <w:spacing w:line="340" w:lineRule="exact"/>
        <w:ind w:firstLine="422" w:firstLineChars="200"/>
        <w:rPr>
          <w:rFonts w:hAnsi="宋体" w:cs="宋体"/>
          <w:b/>
          <w:bCs/>
        </w:rPr>
      </w:pPr>
      <w:r>
        <w:rPr>
          <w:rFonts w:hint="eastAsia" w:hAnsi="宋体" w:cs="宋体"/>
          <w:b/>
          <w:szCs w:val="21"/>
        </w:rPr>
        <w:t>1.供应商提出质疑时，应提交质疑函和必要的证明材料</w:t>
      </w:r>
      <w:r>
        <w:rPr>
          <w:rFonts w:hint="eastAsia" w:hAnsi="宋体" w:cs="宋体"/>
          <w:b/>
          <w:bCs/>
        </w:rPr>
        <w:t>。</w:t>
      </w:r>
    </w:p>
    <w:p>
      <w:pPr>
        <w:pStyle w:val="15"/>
        <w:spacing w:line="340" w:lineRule="exact"/>
        <w:ind w:firstLine="422" w:firstLineChars="200"/>
        <w:rPr>
          <w:rFonts w:hAnsi="宋体" w:cs="宋体"/>
          <w:b/>
          <w:szCs w:val="21"/>
        </w:rPr>
      </w:pPr>
      <w:r>
        <w:rPr>
          <w:rFonts w:hint="eastAsia" w:hAnsi="宋体" w:cs="宋体"/>
          <w:b/>
          <w:szCs w:val="21"/>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15"/>
        <w:spacing w:line="340" w:lineRule="exact"/>
        <w:ind w:firstLine="422" w:firstLineChars="200"/>
        <w:rPr>
          <w:rFonts w:hAnsi="宋体" w:cs="宋体"/>
          <w:b/>
          <w:szCs w:val="21"/>
        </w:rPr>
      </w:pPr>
      <w:r>
        <w:rPr>
          <w:rFonts w:hint="eastAsia" w:hAnsi="宋体" w:cs="宋体"/>
          <w:b/>
          <w:szCs w:val="21"/>
        </w:rPr>
        <w:t>3.质疑函的质疑事项应具体、明确，并有必要的事实依据和法律依据。</w:t>
      </w:r>
    </w:p>
    <w:p>
      <w:pPr>
        <w:pStyle w:val="15"/>
        <w:spacing w:line="340" w:lineRule="exact"/>
        <w:ind w:firstLine="422" w:firstLineChars="200"/>
        <w:rPr>
          <w:rFonts w:hAnsi="宋体" w:cs="宋体"/>
          <w:b/>
          <w:szCs w:val="21"/>
        </w:rPr>
      </w:pPr>
      <w:r>
        <w:rPr>
          <w:rFonts w:hint="eastAsia" w:hAnsi="宋体" w:cs="宋体"/>
          <w:b/>
          <w:szCs w:val="21"/>
        </w:rPr>
        <w:t>4.质疑函的质疑请求应与质疑事项相关。</w:t>
      </w:r>
    </w:p>
    <w:p>
      <w:pPr>
        <w:pStyle w:val="15"/>
        <w:spacing w:line="340" w:lineRule="exact"/>
        <w:ind w:firstLine="422" w:firstLineChars="200"/>
        <w:rPr>
          <w:rFonts w:hint="eastAsia" w:hAnsi="宋体" w:cs="宋体"/>
          <w:b/>
          <w:szCs w:val="21"/>
        </w:rPr>
      </w:pPr>
      <w:r>
        <w:rPr>
          <w:rFonts w:hint="eastAsia" w:hAnsi="宋体" w:cs="宋体"/>
          <w:b/>
          <w:szCs w:val="21"/>
        </w:rPr>
        <w:t>5.质疑供应商为自然人的，质疑函应由本人签字；质疑供应商为法人或者其他组织的，质疑函应由法定代表人、主要负责人，或者其授权代表签字或者盖章，并加盖公章。</w:t>
      </w:r>
    </w:p>
    <w:p>
      <w:pPr>
        <w:rPr>
          <w:rFonts w:hint="eastAsia" w:hAnsi="宋体" w:cs="宋体"/>
          <w:b/>
          <w:szCs w:val="21"/>
        </w:rPr>
      </w:pPr>
      <w:r>
        <w:rPr>
          <w:rFonts w:hint="eastAsia" w:hAnsi="宋体" w:cs="宋体"/>
          <w:b/>
          <w:szCs w:val="21"/>
        </w:rPr>
        <w:br w:type="page"/>
      </w:r>
    </w:p>
    <w:p>
      <w:pPr>
        <w:pStyle w:val="9"/>
      </w:pPr>
    </w:p>
    <w:p/>
    <w:p>
      <w:pPr>
        <w:pStyle w:val="15"/>
        <w:snapToGrid w:val="0"/>
        <w:rPr>
          <w:rFonts w:hAnsi="宋体" w:cs="宋体"/>
          <w:b/>
          <w:sz w:val="24"/>
          <w:szCs w:val="24"/>
        </w:rPr>
      </w:pPr>
      <w:r>
        <w:rPr>
          <w:rFonts w:hint="eastAsia" w:hAnsi="宋体" w:cs="宋体"/>
          <w:b/>
          <w:sz w:val="24"/>
          <w:szCs w:val="24"/>
        </w:rPr>
        <w:t>附表2：</w:t>
      </w:r>
    </w:p>
    <w:p>
      <w:pPr>
        <w:spacing w:line="460" w:lineRule="exact"/>
        <w:jc w:val="center"/>
        <w:rPr>
          <w:rFonts w:ascii="宋体" w:hAnsi="宋体" w:cs="宋体"/>
          <w:sz w:val="44"/>
        </w:rPr>
      </w:pPr>
      <w:r>
        <w:rPr>
          <w:rFonts w:hint="eastAsia" w:ascii="宋体" w:hAnsi="宋体" w:cs="宋体"/>
          <w:sz w:val="44"/>
        </w:rPr>
        <w:t>投诉书（格式）</w:t>
      </w:r>
    </w:p>
    <w:p>
      <w:pPr>
        <w:pStyle w:val="15"/>
        <w:snapToGrid w:val="0"/>
        <w:spacing w:line="400" w:lineRule="exact"/>
        <w:ind w:firstLine="422" w:firstLineChars="200"/>
        <w:rPr>
          <w:rFonts w:hAnsi="宋体" w:cs="宋体"/>
          <w:b/>
          <w:bCs/>
        </w:rPr>
      </w:pPr>
      <w:r>
        <w:rPr>
          <w:rFonts w:hint="eastAsia" w:hAnsi="宋体" w:cs="宋体"/>
          <w:b/>
          <w:bCs/>
        </w:rPr>
        <w:t>一、投诉相关主体基本情况：</w:t>
      </w:r>
    </w:p>
    <w:p>
      <w:pPr>
        <w:pStyle w:val="15"/>
        <w:snapToGrid w:val="0"/>
        <w:spacing w:line="400" w:lineRule="exact"/>
        <w:ind w:firstLine="420" w:firstLineChars="200"/>
        <w:rPr>
          <w:rFonts w:hAnsi="宋体" w:cs="宋体"/>
          <w:bCs/>
          <w:u w:val="single"/>
        </w:rPr>
      </w:pPr>
      <w:r>
        <w:rPr>
          <w:rFonts w:hint="eastAsia" w:hAnsi="宋体" w:cs="宋体"/>
          <w:bCs/>
        </w:rPr>
        <w:t>供应商：</w:t>
      </w:r>
    </w:p>
    <w:p>
      <w:pPr>
        <w:pStyle w:val="15"/>
        <w:snapToGrid w:val="0"/>
        <w:spacing w:line="400" w:lineRule="exact"/>
        <w:ind w:firstLine="420" w:firstLineChars="200"/>
        <w:rPr>
          <w:rFonts w:hAnsi="宋体" w:cs="宋体"/>
          <w:bCs/>
        </w:rPr>
      </w:pPr>
      <w:r>
        <w:rPr>
          <w:rFonts w:hint="eastAsia" w:hAnsi="宋体" w:cs="宋体"/>
          <w:bCs/>
        </w:rPr>
        <w:t>地址：邮编：</w:t>
      </w:r>
    </w:p>
    <w:p>
      <w:pPr>
        <w:pStyle w:val="15"/>
        <w:snapToGrid w:val="0"/>
        <w:spacing w:line="400" w:lineRule="exact"/>
        <w:ind w:firstLine="420" w:firstLineChars="200"/>
        <w:rPr>
          <w:rFonts w:hAnsi="宋体" w:cs="宋体"/>
          <w:bCs/>
          <w:u w:val="single"/>
        </w:rPr>
      </w:pPr>
      <w:r>
        <w:rPr>
          <w:rFonts w:hint="eastAsia" w:hAnsi="宋体" w:cs="宋体"/>
          <w:bCs/>
        </w:rPr>
        <w:t>法定代表人/主要负责人：</w:t>
      </w:r>
    </w:p>
    <w:p>
      <w:pPr>
        <w:pStyle w:val="15"/>
        <w:snapToGrid w:val="0"/>
        <w:spacing w:line="400" w:lineRule="exact"/>
        <w:ind w:firstLine="420" w:firstLineChars="200"/>
        <w:rPr>
          <w:rFonts w:hAnsi="宋体" w:cs="宋体"/>
          <w:bCs/>
        </w:rPr>
      </w:pPr>
      <w:r>
        <w:rPr>
          <w:rFonts w:hint="eastAsia" w:hAnsi="宋体" w:cs="宋体"/>
          <w:bCs/>
        </w:rPr>
        <w:t>联系电话：</w:t>
      </w:r>
    </w:p>
    <w:p>
      <w:pPr>
        <w:pStyle w:val="15"/>
        <w:snapToGrid w:val="0"/>
        <w:spacing w:line="400" w:lineRule="exact"/>
        <w:ind w:firstLine="420" w:firstLineChars="200"/>
        <w:rPr>
          <w:rFonts w:hAnsi="宋体" w:cs="宋体"/>
          <w:bCs/>
          <w:u w:val="single"/>
        </w:rPr>
      </w:pPr>
      <w:r>
        <w:rPr>
          <w:rFonts w:hint="eastAsia" w:hAnsi="宋体" w:cs="宋体"/>
          <w:bCs/>
        </w:rPr>
        <w:t>授权代表：联系电话：</w:t>
      </w:r>
    </w:p>
    <w:p>
      <w:pPr>
        <w:pStyle w:val="15"/>
        <w:snapToGrid w:val="0"/>
        <w:spacing w:line="400" w:lineRule="exact"/>
        <w:ind w:firstLine="420" w:firstLineChars="200"/>
        <w:rPr>
          <w:rFonts w:hAnsi="宋体" w:cs="宋体"/>
          <w:bCs/>
        </w:rPr>
      </w:pPr>
      <w:r>
        <w:rPr>
          <w:rFonts w:hint="eastAsia" w:hAnsi="宋体" w:cs="宋体"/>
          <w:bCs/>
        </w:rPr>
        <w:t>地址：邮编：</w:t>
      </w:r>
    </w:p>
    <w:p>
      <w:pPr>
        <w:pStyle w:val="15"/>
        <w:snapToGrid w:val="0"/>
        <w:spacing w:line="400" w:lineRule="exact"/>
        <w:ind w:firstLine="420" w:firstLineChars="200"/>
        <w:rPr>
          <w:rFonts w:hAnsi="宋体" w:cs="宋体"/>
          <w:bCs/>
        </w:rPr>
      </w:pPr>
      <w:r>
        <w:rPr>
          <w:rFonts w:hint="eastAsia" w:hAnsi="宋体" w:cs="宋体"/>
          <w:bCs/>
        </w:rPr>
        <w:t>被投诉人1：</w:t>
      </w:r>
    </w:p>
    <w:p>
      <w:pPr>
        <w:pStyle w:val="15"/>
        <w:snapToGrid w:val="0"/>
        <w:spacing w:line="400" w:lineRule="exact"/>
        <w:ind w:firstLine="420" w:firstLineChars="200"/>
        <w:rPr>
          <w:rFonts w:hAnsi="宋体" w:cs="宋体"/>
          <w:bCs/>
        </w:rPr>
      </w:pPr>
      <w:r>
        <w:rPr>
          <w:rFonts w:hint="eastAsia" w:hAnsi="宋体" w:cs="宋体"/>
          <w:bCs/>
        </w:rPr>
        <w:t>地址：邮编：</w:t>
      </w:r>
    </w:p>
    <w:p>
      <w:pPr>
        <w:pStyle w:val="15"/>
        <w:snapToGrid w:val="0"/>
        <w:spacing w:line="400" w:lineRule="exact"/>
        <w:ind w:firstLine="420" w:firstLineChars="200"/>
        <w:rPr>
          <w:rFonts w:hAnsi="宋体" w:cs="宋体"/>
          <w:bCs/>
          <w:u w:val="single"/>
        </w:rPr>
      </w:pPr>
      <w:r>
        <w:rPr>
          <w:rFonts w:hint="eastAsia" w:hAnsi="宋体" w:cs="宋体"/>
          <w:bCs/>
        </w:rPr>
        <w:t>联系人：联系电话：</w:t>
      </w:r>
    </w:p>
    <w:p>
      <w:pPr>
        <w:pStyle w:val="15"/>
        <w:snapToGrid w:val="0"/>
        <w:spacing w:line="400" w:lineRule="exact"/>
        <w:ind w:firstLine="420" w:firstLineChars="200"/>
        <w:rPr>
          <w:rFonts w:hAnsi="宋体" w:cs="宋体"/>
          <w:bCs/>
        </w:rPr>
      </w:pPr>
      <w:r>
        <w:rPr>
          <w:rFonts w:hint="eastAsia" w:hAnsi="宋体" w:cs="宋体"/>
          <w:bCs/>
        </w:rPr>
        <w:t>被投诉人2：</w:t>
      </w:r>
    </w:p>
    <w:p>
      <w:pPr>
        <w:pStyle w:val="15"/>
        <w:snapToGrid w:val="0"/>
        <w:spacing w:line="400" w:lineRule="exact"/>
        <w:ind w:firstLine="420" w:firstLineChars="200"/>
        <w:rPr>
          <w:rFonts w:hAnsi="宋体" w:cs="宋体"/>
          <w:bCs/>
          <w:u w:val="single"/>
        </w:rPr>
      </w:pPr>
      <w:r>
        <w:rPr>
          <w:rFonts w:hint="eastAsia" w:hAnsi="宋体" w:cs="宋体"/>
          <w:bCs/>
        </w:rPr>
        <w:t>相关供应商：</w:t>
      </w:r>
    </w:p>
    <w:p>
      <w:pPr>
        <w:pStyle w:val="15"/>
        <w:snapToGrid w:val="0"/>
        <w:spacing w:line="400" w:lineRule="exact"/>
        <w:ind w:firstLine="420" w:firstLineChars="200"/>
        <w:rPr>
          <w:rFonts w:hAnsi="宋体" w:cs="宋体"/>
          <w:bCs/>
          <w:u w:val="single"/>
        </w:rPr>
      </w:pPr>
      <w:r>
        <w:rPr>
          <w:rFonts w:hint="eastAsia" w:hAnsi="宋体" w:cs="宋体"/>
          <w:bCs/>
        </w:rPr>
        <w:t>地址：邮编：</w:t>
      </w:r>
    </w:p>
    <w:p>
      <w:pPr>
        <w:pStyle w:val="15"/>
        <w:snapToGrid w:val="0"/>
        <w:spacing w:line="400" w:lineRule="exact"/>
        <w:ind w:firstLine="420" w:firstLineChars="200"/>
        <w:rPr>
          <w:rFonts w:hAnsi="宋体" w:cs="宋体"/>
          <w:bCs/>
        </w:rPr>
      </w:pPr>
      <w:r>
        <w:rPr>
          <w:rFonts w:hint="eastAsia" w:hAnsi="宋体" w:cs="宋体"/>
          <w:bCs/>
        </w:rPr>
        <w:t>联系人：联系电话：</w:t>
      </w:r>
    </w:p>
    <w:p>
      <w:pPr>
        <w:pStyle w:val="15"/>
        <w:snapToGrid w:val="0"/>
        <w:spacing w:line="400" w:lineRule="exact"/>
        <w:ind w:firstLine="422" w:firstLineChars="200"/>
        <w:rPr>
          <w:rFonts w:hAnsi="宋体" w:cs="宋体"/>
          <w:b/>
          <w:bCs/>
        </w:rPr>
      </w:pPr>
      <w:r>
        <w:rPr>
          <w:rFonts w:hint="eastAsia" w:hAnsi="宋体" w:cs="宋体"/>
          <w:b/>
          <w:bCs/>
        </w:rPr>
        <w:t>二、投诉项目基本情况：</w:t>
      </w:r>
    </w:p>
    <w:p>
      <w:pPr>
        <w:pStyle w:val="15"/>
        <w:spacing w:line="400" w:lineRule="exact"/>
        <w:ind w:left="25" w:leftChars="12" w:firstLine="413" w:firstLineChars="197"/>
        <w:rPr>
          <w:rFonts w:hAnsi="宋体" w:cs="宋体"/>
          <w:szCs w:val="21"/>
        </w:rPr>
      </w:pPr>
      <w:r>
        <w:rPr>
          <w:rFonts w:hint="eastAsia" w:hAnsi="宋体" w:cs="宋体"/>
          <w:bCs/>
        </w:rPr>
        <w:t>采购</w:t>
      </w:r>
      <w:r>
        <w:rPr>
          <w:rFonts w:hint="eastAsia" w:hAnsi="宋体" w:cs="宋体"/>
          <w:szCs w:val="21"/>
        </w:rPr>
        <w:t>项目的名称：</w:t>
      </w:r>
    </w:p>
    <w:p>
      <w:pPr>
        <w:pStyle w:val="15"/>
        <w:spacing w:line="400" w:lineRule="exact"/>
        <w:ind w:left="25" w:leftChars="12" w:firstLine="413" w:firstLineChars="197"/>
        <w:rPr>
          <w:rFonts w:hAnsi="宋体" w:cs="宋体"/>
          <w:szCs w:val="21"/>
        </w:rPr>
      </w:pPr>
      <w:r>
        <w:rPr>
          <w:rFonts w:hint="eastAsia" w:hAnsi="宋体" w:cs="宋体"/>
          <w:bCs/>
        </w:rPr>
        <w:t>采购</w:t>
      </w:r>
      <w:r>
        <w:rPr>
          <w:rFonts w:hint="eastAsia" w:hAnsi="宋体" w:cs="宋体"/>
          <w:szCs w:val="21"/>
        </w:rPr>
        <w:t>项目的编号：</w:t>
      </w:r>
    </w:p>
    <w:p>
      <w:pPr>
        <w:pStyle w:val="15"/>
        <w:spacing w:line="400" w:lineRule="exact"/>
        <w:ind w:left="25" w:leftChars="12" w:firstLine="413" w:firstLineChars="197"/>
        <w:rPr>
          <w:rFonts w:hAnsi="宋体" w:cs="宋体"/>
          <w:bCs/>
          <w:u w:val="single"/>
        </w:rPr>
      </w:pPr>
      <w:r>
        <w:rPr>
          <w:rFonts w:hint="eastAsia" w:hAnsi="宋体" w:cs="宋体"/>
          <w:szCs w:val="21"/>
        </w:rPr>
        <w:t>采购人名称：</w:t>
      </w:r>
    </w:p>
    <w:p>
      <w:pPr>
        <w:pStyle w:val="15"/>
        <w:spacing w:line="400" w:lineRule="exact"/>
        <w:ind w:left="25" w:leftChars="12" w:firstLine="413" w:firstLineChars="197"/>
        <w:rPr>
          <w:rFonts w:hAnsi="宋体" w:cs="宋体"/>
          <w:bCs/>
          <w:u w:val="single"/>
        </w:rPr>
      </w:pPr>
      <w:r>
        <w:rPr>
          <w:rFonts w:hint="eastAsia" w:hAnsi="宋体" w:cs="宋体"/>
          <w:szCs w:val="21"/>
        </w:rPr>
        <w:t>代理机构名称：</w:t>
      </w:r>
    </w:p>
    <w:p>
      <w:pPr>
        <w:pStyle w:val="15"/>
        <w:spacing w:line="400" w:lineRule="exact"/>
        <w:ind w:left="25" w:leftChars="12" w:firstLine="413" w:firstLineChars="197"/>
        <w:rPr>
          <w:rFonts w:hAnsi="宋体" w:cs="宋体"/>
          <w:bCs/>
          <w:u w:val="single"/>
        </w:rPr>
      </w:pPr>
      <w:r>
        <w:rPr>
          <w:rFonts w:hint="eastAsia" w:hAnsi="宋体" w:cs="宋体"/>
          <w:bCs/>
        </w:rPr>
        <w:t>采购文件公告：</w:t>
      </w:r>
      <w:r>
        <w:rPr>
          <w:rFonts w:hint="eastAsia" w:hAnsi="宋体" w:cs="宋体"/>
          <w:bCs/>
          <w:u w:val="single"/>
        </w:rPr>
        <w:t>是/否</w:t>
      </w:r>
      <w:r>
        <w:rPr>
          <w:rFonts w:hint="eastAsia" w:hAnsi="宋体" w:cs="宋体"/>
          <w:bCs/>
        </w:rPr>
        <w:t>公告期限：</w:t>
      </w:r>
    </w:p>
    <w:p>
      <w:pPr>
        <w:pStyle w:val="15"/>
        <w:spacing w:line="400" w:lineRule="exact"/>
        <w:ind w:left="25" w:leftChars="12" w:firstLine="413" w:firstLineChars="197"/>
        <w:rPr>
          <w:rFonts w:hAnsi="宋体" w:cs="宋体"/>
          <w:b/>
          <w:szCs w:val="21"/>
        </w:rPr>
      </w:pPr>
      <w:r>
        <w:rPr>
          <w:rFonts w:hint="eastAsia" w:hAnsi="宋体" w:cs="宋体"/>
          <w:bCs/>
        </w:rPr>
        <w:t>采购结果公告：</w:t>
      </w:r>
      <w:r>
        <w:rPr>
          <w:rFonts w:hint="eastAsia" w:hAnsi="宋体" w:cs="宋体"/>
          <w:bCs/>
          <w:u w:val="single"/>
        </w:rPr>
        <w:t>是/否</w:t>
      </w:r>
      <w:r>
        <w:rPr>
          <w:rFonts w:hint="eastAsia" w:hAnsi="宋体" w:cs="宋体"/>
          <w:bCs/>
        </w:rPr>
        <w:t>公告期限：</w:t>
      </w:r>
    </w:p>
    <w:p>
      <w:pPr>
        <w:pStyle w:val="15"/>
        <w:spacing w:line="400" w:lineRule="exact"/>
        <w:ind w:left="25" w:leftChars="12" w:firstLine="413" w:firstLineChars="196"/>
        <w:rPr>
          <w:rFonts w:hAnsi="宋体" w:cs="宋体"/>
          <w:b/>
          <w:szCs w:val="21"/>
        </w:rPr>
      </w:pPr>
      <w:r>
        <w:rPr>
          <w:rFonts w:hint="eastAsia" w:hAnsi="宋体" w:cs="宋体"/>
          <w:b/>
          <w:szCs w:val="21"/>
        </w:rPr>
        <w:t>三、质疑基本情况</w:t>
      </w:r>
    </w:p>
    <w:p>
      <w:pPr>
        <w:pStyle w:val="15"/>
        <w:spacing w:line="400" w:lineRule="exact"/>
        <w:ind w:firstLine="420" w:firstLineChars="200"/>
        <w:rPr>
          <w:rFonts w:hAnsi="宋体" w:cs="宋体"/>
          <w:szCs w:val="21"/>
        </w:rPr>
      </w:pPr>
      <w:r>
        <w:rPr>
          <w:rFonts w:hint="eastAsia" w:hAnsi="宋体" w:cs="宋体"/>
          <w:szCs w:val="21"/>
        </w:rPr>
        <w:t>投诉人于年月日，向提出质疑，质疑事项为：</w:t>
      </w:r>
    </w:p>
    <w:p>
      <w:pPr>
        <w:pStyle w:val="15"/>
        <w:spacing w:line="400" w:lineRule="exact"/>
        <w:ind w:firstLine="420" w:firstLineChars="200"/>
        <w:rPr>
          <w:rFonts w:hAnsi="宋体" w:cs="宋体"/>
          <w:szCs w:val="21"/>
        </w:rPr>
      </w:pPr>
      <w:r>
        <w:rPr>
          <w:rFonts w:hint="eastAsia" w:hAnsi="宋体" w:cs="宋体"/>
          <w:bCs/>
          <w:u w:val="single"/>
        </w:rPr>
        <w:t>采购人/代理机构</w:t>
      </w:r>
      <w:r>
        <w:rPr>
          <w:rFonts w:hint="eastAsia" w:hAnsi="宋体" w:cs="宋体"/>
          <w:bCs/>
        </w:rPr>
        <w:t>于</w:t>
      </w:r>
      <w:r>
        <w:rPr>
          <w:rFonts w:hint="eastAsia" w:hAnsi="宋体" w:cs="宋体"/>
          <w:szCs w:val="21"/>
        </w:rPr>
        <w:t>年月日，</w:t>
      </w:r>
      <w:r>
        <w:rPr>
          <w:rFonts w:hint="eastAsia" w:hAnsi="宋体" w:cs="宋体"/>
          <w:bCs/>
        </w:rPr>
        <w:t xml:space="preserve">就质疑事项作出了答复/没有在法定期限内作出答复。                                                                                             </w:t>
      </w:r>
    </w:p>
    <w:p>
      <w:pPr>
        <w:pStyle w:val="15"/>
        <w:spacing w:line="400" w:lineRule="exact"/>
        <w:ind w:left="25" w:leftChars="12" w:firstLine="413" w:firstLineChars="196"/>
        <w:rPr>
          <w:rFonts w:hAnsi="宋体" w:cs="宋体"/>
          <w:b/>
          <w:szCs w:val="21"/>
        </w:rPr>
      </w:pPr>
      <w:r>
        <w:rPr>
          <w:rFonts w:hint="eastAsia" w:hAnsi="宋体" w:cs="宋体"/>
          <w:b/>
          <w:szCs w:val="21"/>
        </w:rPr>
        <w:t>四、投诉事项具体内容</w:t>
      </w:r>
    </w:p>
    <w:p>
      <w:pPr>
        <w:pStyle w:val="15"/>
        <w:spacing w:line="400" w:lineRule="exact"/>
        <w:ind w:left="25" w:leftChars="12" w:firstLine="413" w:firstLineChars="197"/>
        <w:rPr>
          <w:rFonts w:hAnsi="宋体" w:cs="宋体"/>
          <w:bCs/>
          <w:u w:val="single"/>
        </w:rPr>
      </w:pPr>
      <w:r>
        <w:rPr>
          <w:rFonts w:hint="eastAsia" w:hAnsi="宋体" w:cs="宋体"/>
          <w:szCs w:val="21"/>
        </w:rPr>
        <w:t>投诉事项1：</w:t>
      </w:r>
    </w:p>
    <w:p>
      <w:pPr>
        <w:pStyle w:val="15"/>
        <w:spacing w:line="400" w:lineRule="exact"/>
        <w:ind w:firstLine="420" w:firstLineChars="200"/>
        <w:rPr>
          <w:rFonts w:hAnsi="宋体" w:cs="宋体"/>
          <w:bCs/>
          <w:u w:val="single"/>
        </w:rPr>
      </w:pPr>
      <w:r>
        <w:rPr>
          <w:rFonts w:hint="eastAsia" w:hAnsi="宋体" w:cs="宋体"/>
          <w:bCs/>
        </w:rPr>
        <w:t>事实依据：</w:t>
      </w:r>
    </w:p>
    <w:p>
      <w:pPr>
        <w:pStyle w:val="15"/>
        <w:spacing w:line="400" w:lineRule="exact"/>
        <w:ind w:firstLine="420" w:firstLineChars="200"/>
        <w:rPr>
          <w:rFonts w:hAnsi="宋体" w:cs="宋体"/>
          <w:bCs/>
          <w:u w:val="single"/>
        </w:rPr>
      </w:pPr>
      <w:r>
        <w:rPr>
          <w:rFonts w:hint="eastAsia" w:hAnsi="宋体" w:cs="宋体"/>
          <w:bCs/>
        </w:rPr>
        <w:t>法律依据：</w:t>
      </w:r>
    </w:p>
    <w:p>
      <w:pPr>
        <w:pStyle w:val="15"/>
        <w:spacing w:line="400" w:lineRule="exact"/>
        <w:ind w:left="25" w:leftChars="12" w:firstLine="413" w:firstLineChars="197"/>
        <w:rPr>
          <w:rFonts w:hAnsi="宋体" w:cs="宋体"/>
          <w:bCs/>
        </w:rPr>
      </w:pPr>
      <w:r>
        <w:rPr>
          <w:rFonts w:hint="eastAsia" w:hAnsi="宋体" w:cs="宋体"/>
          <w:szCs w:val="21"/>
        </w:rPr>
        <w:t xml:space="preserve">投诉事项2  </w:t>
      </w:r>
    </w:p>
    <w:p>
      <w:pPr>
        <w:pStyle w:val="15"/>
        <w:spacing w:line="400" w:lineRule="exact"/>
        <w:ind w:left="25" w:leftChars="12" w:firstLine="413" w:firstLineChars="196"/>
        <w:rPr>
          <w:rFonts w:hAnsi="宋体" w:cs="宋体"/>
          <w:b/>
          <w:szCs w:val="21"/>
        </w:rPr>
      </w:pPr>
      <w:r>
        <w:rPr>
          <w:rFonts w:hint="eastAsia" w:hAnsi="宋体" w:cs="宋体"/>
          <w:b/>
          <w:szCs w:val="21"/>
        </w:rPr>
        <w:t>五、与投诉事项相关的投诉请求：</w:t>
      </w:r>
    </w:p>
    <w:p>
      <w:pPr>
        <w:pStyle w:val="15"/>
        <w:spacing w:line="400" w:lineRule="exact"/>
        <w:ind w:left="25" w:leftChars="12" w:firstLine="413" w:firstLineChars="197"/>
        <w:rPr>
          <w:rFonts w:hAnsi="宋体" w:cs="宋体"/>
          <w:szCs w:val="21"/>
        </w:rPr>
      </w:pPr>
      <w:r>
        <w:rPr>
          <w:rFonts w:hint="eastAsia" w:hAnsi="宋体" w:cs="宋体"/>
          <w:szCs w:val="21"/>
        </w:rPr>
        <w:t>请求：</w:t>
      </w:r>
    </w:p>
    <w:p>
      <w:pPr>
        <w:pStyle w:val="15"/>
        <w:spacing w:line="400" w:lineRule="exact"/>
        <w:ind w:left="25" w:leftChars="12" w:firstLine="413" w:firstLineChars="197"/>
        <w:rPr>
          <w:rFonts w:hAnsi="宋体" w:cs="宋体"/>
          <w:szCs w:val="21"/>
        </w:rPr>
      </w:pPr>
      <w:r>
        <w:rPr>
          <w:rFonts w:hint="eastAsia" w:hAnsi="宋体" w:cs="宋体"/>
          <w:szCs w:val="21"/>
        </w:rPr>
        <w:t>签字（签章）：                                       公章：</w:t>
      </w:r>
    </w:p>
    <w:p>
      <w:pPr>
        <w:pStyle w:val="15"/>
        <w:spacing w:line="400" w:lineRule="exact"/>
        <w:ind w:left="25" w:leftChars="12" w:firstLine="413" w:firstLineChars="197"/>
        <w:rPr>
          <w:rFonts w:hAnsi="宋体" w:cs="宋体"/>
          <w:szCs w:val="21"/>
        </w:rPr>
      </w:pPr>
      <w:r>
        <w:rPr>
          <w:rFonts w:hint="eastAsia" w:hAnsi="宋体" w:cs="宋体"/>
          <w:szCs w:val="21"/>
        </w:rPr>
        <w:t>日期：</w:t>
      </w:r>
    </w:p>
    <w:p>
      <w:pPr>
        <w:pStyle w:val="15"/>
        <w:snapToGrid w:val="0"/>
        <w:spacing w:line="340" w:lineRule="exact"/>
        <w:rPr>
          <w:rFonts w:hAnsi="宋体" w:cs="宋体"/>
          <w:b/>
          <w:szCs w:val="21"/>
        </w:rPr>
      </w:pPr>
      <w:r>
        <w:rPr>
          <w:rFonts w:hint="eastAsia" w:hAnsi="宋体" w:cs="宋体"/>
          <w:b/>
          <w:szCs w:val="21"/>
        </w:rPr>
        <w:t>说明：</w:t>
      </w:r>
    </w:p>
    <w:p>
      <w:pPr>
        <w:pStyle w:val="15"/>
        <w:spacing w:line="340" w:lineRule="exact"/>
        <w:ind w:left="25" w:leftChars="12" w:firstLine="310" w:firstLineChars="147"/>
        <w:rPr>
          <w:rFonts w:hAnsi="宋体" w:cs="宋体"/>
          <w:b/>
          <w:bCs/>
        </w:rPr>
      </w:pPr>
      <w:r>
        <w:rPr>
          <w:rFonts w:hint="eastAsia" w:hAnsi="宋体" w:cs="宋体"/>
          <w:b/>
          <w:szCs w:val="21"/>
        </w:rPr>
        <w:t>1.投诉人提起投诉时，应当提交投诉书和必要的证明材料，并按照被投诉人和与投诉事项有关的供应商数量提供投诉书副本</w:t>
      </w:r>
      <w:r>
        <w:rPr>
          <w:rFonts w:hint="eastAsia" w:hAnsi="宋体" w:cs="宋体"/>
          <w:b/>
          <w:bCs/>
        </w:rPr>
        <w:t>。</w:t>
      </w:r>
    </w:p>
    <w:p>
      <w:pPr>
        <w:pStyle w:val="15"/>
        <w:spacing w:line="340" w:lineRule="exact"/>
        <w:ind w:left="25" w:leftChars="12" w:firstLine="310" w:firstLineChars="147"/>
        <w:rPr>
          <w:rFonts w:hAnsi="宋体" w:cs="宋体"/>
          <w:b/>
          <w:szCs w:val="21"/>
        </w:rPr>
      </w:pPr>
      <w:r>
        <w:rPr>
          <w:rFonts w:hint="eastAsia" w:hAnsi="宋体" w:cs="宋体"/>
          <w:b/>
          <w:szCs w:val="21"/>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15"/>
        <w:spacing w:line="340" w:lineRule="exact"/>
        <w:ind w:left="25" w:leftChars="12" w:firstLine="310" w:firstLineChars="147"/>
        <w:rPr>
          <w:rFonts w:hAnsi="宋体" w:cs="宋体"/>
          <w:b/>
          <w:szCs w:val="21"/>
        </w:rPr>
      </w:pPr>
      <w:r>
        <w:rPr>
          <w:rFonts w:hint="eastAsia" w:hAnsi="宋体" w:cs="宋体"/>
          <w:b/>
          <w:szCs w:val="21"/>
        </w:rPr>
        <w:t>3.投诉书应简要列明质疑事项，质疑函、质疑答复等作为附件材料提供。</w:t>
      </w:r>
    </w:p>
    <w:p>
      <w:pPr>
        <w:pStyle w:val="15"/>
        <w:spacing w:line="340" w:lineRule="exact"/>
        <w:ind w:left="25" w:leftChars="12" w:firstLine="310" w:firstLineChars="147"/>
        <w:rPr>
          <w:rFonts w:hAnsi="宋体" w:cs="宋体"/>
          <w:b/>
          <w:szCs w:val="21"/>
        </w:rPr>
      </w:pPr>
      <w:r>
        <w:rPr>
          <w:rFonts w:hint="eastAsia" w:hAnsi="宋体" w:cs="宋体"/>
          <w:b/>
          <w:szCs w:val="21"/>
        </w:rPr>
        <w:t>4.投诉书的投诉事项应具体、明确，并有必要的事实依据和法律依据。</w:t>
      </w:r>
    </w:p>
    <w:p>
      <w:pPr>
        <w:pStyle w:val="15"/>
        <w:spacing w:line="340" w:lineRule="exact"/>
        <w:ind w:left="25" w:leftChars="12" w:firstLine="310" w:firstLineChars="147"/>
        <w:rPr>
          <w:rFonts w:hAnsi="宋体" w:cs="宋体"/>
          <w:b/>
          <w:szCs w:val="21"/>
        </w:rPr>
      </w:pPr>
      <w:r>
        <w:rPr>
          <w:rFonts w:hint="eastAsia" w:hAnsi="宋体" w:cs="宋体"/>
          <w:b/>
          <w:szCs w:val="21"/>
        </w:rPr>
        <w:t>5.投诉书的投诉请求应与投诉事项相关。</w:t>
      </w:r>
    </w:p>
    <w:p>
      <w:pPr>
        <w:pStyle w:val="15"/>
        <w:spacing w:line="340" w:lineRule="exact"/>
        <w:ind w:left="25" w:leftChars="12" w:firstLine="310" w:firstLineChars="147"/>
        <w:rPr>
          <w:rFonts w:hAnsi="宋体" w:cs="宋体"/>
          <w:b/>
          <w:szCs w:val="21"/>
        </w:rPr>
      </w:pPr>
      <w:r>
        <w:rPr>
          <w:rFonts w:hint="eastAsia" w:hAnsi="宋体" w:cs="宋体"/>
          <w:b/>
          <w:szCs w:val="21"/>
        </w:rPr>
        <w:t>6.投诉人为自然人的，投诉书应由本人签字；投诉人为法人或者其他组织的，投诉书应由法定代表人、主要负责人，或者其授权代表签字或者盖章，并加盖公章。</w:t>
      </w:r>
    </w:p>
    <w:p>
      <w:pPr>
        <w:pStyle w:val="15"/>
        <w:spacing w:line="340" w:lineRule="exact"/>
        <w:ind w:left="25" w:leftChars="12" w:firstLine="310" w:firstLineChars="147"/>
        <w:rPr>
          <w:rFonts w:hAnsi="宋体" w:cs="宋体"/>
          <w:b/>
          <w:szCs w:val="21"/>
        </w:rPr>
      </w:pPr>
    </w:p>
    <w:p>
      <w:pPr>
        <w:spacing w:line="390" w:lineRule="exact"/>
        <w:ind w:firstLine="420" w:firstLineChars="200"/>
        <w:rPr>
          <w:rFonts w:ascii="宋体" w:hAnsi="宋体" w:cs="宋体"/>
        </w:rPr>
      </w:pPr>
    </w:p>
    <w:p>
      <w:pPr>
        <w:spacing w:line="390" w:lineRule="exact"/>
        <w:rPr>
          <w:rFonts w:ascii="宋体" w:hAnsi="宋体" w:cs="宋体"/>
          <w:b/>
          <w:sz w:val="32"/>
          <w:szCs w:val="32"/>
        </w:rPr>
      </w:pPr>
    </w:p>
    <w:p>
      <w:pPr>
        <w:pStyle w:val="3"/>
        <w:jc w:val="center"/>
        <w:rPr>
          <w:rStyle w:val="73"/>
          <w:b/>
        </w:rPr>
      </w:pPr>
      <w:bookmarkStart w:id="8" w:name="_Toc520968684"/>
      <w:r>
        <w:rPr>
          <w:rFonts w:hint="eastAsia" w:ascii="宋体" w:hAnsi="宋体" w:cs="宋体"/>
        </w:rPr>
        <w:br w:type="page"/>
      </w:r>
      <w:bookmarkStart w:id="9" w:name="_Toc28592"/>
      <w:r>
        <w:rPr>
          <w:rStyle w:val="73"/>
          <w:rFonts w:hint="eastAsia"/>
          <w:b/>
        </w:rPr>
        <w:t>第三章 采 购 需 求</w:t>
      </w:r>
      <w:bookmarkEnd w:id="8"/>
      <w:bookmarkEnd w:id="9"/>
    </w:p>
    <w:p>
      <w:pPr>
        <w:spacing w:line="360" w:lineRule="auto"/>
        <w:rPr>
          <w:rFonts w:ascii="宋体" w:hAnsi="宋体" w:cs="宋体"/>
          <w:b/>
          <w:bCs/>
          <w:szCs w:val="21"/>
        </w:rPr>
      </w:pPr>
      <w:bookmarkStart w:id="10" w:name="_Toc456863726"/>
      <w:bookmarkStart w:id="11" w:name="_Toc16354"/>
      <w:bookmarkStart w:id="12" w:name="_Toc2221"/>
      <w:bookmarkStart w:id="13" w:name="_Toc520968685"/>
      <w:r>
        <w:rPr>
          <w:rFonts w:hint="eastAsia" w:ascii="宋体" w:hAnsi="宋体" w:cs="宋体"/>
          <w:b/>
          <w:bCs/>
          <w:szCs w:val="21"/>
        </w:rPr>
        <w:t>说明：</w:t>
      </w:r>
    </w:p>
    <w:p>
      <w:pPr>
        <w:tabs>
          <w:tab w:val="left" w:pos="376"/>
        </w:tabs>
        <w:spacing w:line="360" w:lineRule="auto"/>
        <w:rPr>
          <w:rFonts w:ascii="宋体" w:hAnsi="宋体" w:cs="宋体"/>
          <w:b/>
          <w:bCs/>
          <w:szCs w:val="21"/>
        </w:rPr>
      </w:pPr>
      <w:r>
        <w:rPr>
          <w:rFonts w:hint="eastAsia" w:ascii="宋体" w:hAnsi="宋体" w:cs="宋体"/>
          <w:b/>
          <w:bCs/>
          <w:szCs w:val="21"/>
        </w:rPr>
        <w:tab/>
      </w:r>
      <w:r>
        <w:rPr>
          <w:rFonts w:hint="eastAsia" w:ascii="宋体" w:hAnsi="宋体" w:cs="宋体"/>
          <w:b/>
          <w:bCs/>
          <w:szCs w:val="21"/>
        </w:rPr>
        <w:t>本项目所要执行的政府采购政策：</w:t>
      </w:r>
    </w:p>
    <w:p>
      <w:pPr>
        <w:spacing w:line="360" w:lineRule="auto"/>
        <w:ind w:firstLine="420" w:firstLineChars="200"/>
        <w:rPr>
          <w:rFonts w:ascii="宋体" w:hAnsi="宋体" w:cs="宋体"/>
          <w:szCs w:val="21"/>
        </w:rPr>
      </w:pPr>
      <w:r>
        <w:rPr>
          <w:rFonts w:hint="eastAsia" w:ascii="宋体" w:hAnsi="宋体" w:cs="宋体"/>
          <w:szCs w:val="21"/>
        </w:rPr>
        <w:t>1.根据《政府采购促进中小企业发展暂行办法》（财库[2011]181号），供应商认定为小型和微型企业且所提供的产品为小型、微型企业产品的，该产品最后报价给予10%的扣除；供应商为大中型企业与小型、微型企业组成联合体参与磋商，其中小型、微型企业的协议合同金额占到联合体协议合同总金额30%以上（含30%）的，联合体供应商最后报价给予2%的扣除。</w:t>
      </w:r>
    </w:p>
    <w:p>
      <w:pPr>
        <w:spacing w:line="360" w:lineRule="auto"/>
        <w:ind w:firstLine="420" w:firstLineChars="200"/>
        <w:rPr>
          <w:rFonts w:ascii="宋体" w:hAnsi="宋体" w:cs="宋体"/>
          <w:szCs w:val="21"/>
        </w:rPr>
      </w:pPr>
      <w:r>
        <w:rPr>
          <w:rFonts w:hint="eastAsia" w:ascii="宋体" w:hAnsi="宋体" w:cs="宋体"/>
          <w:szCs w:val="21"/>
        </w:rPr>
        <w:t>2.根据财政部、司法部关于政府采购支持监狱企业发展有关问题的通知（财库[2014]68号），监狱企业视同小型、微型企业，</w:t>
      </w:r>
      <w:r>
        <w:rPr>
          <w:rFonts w:hint="eastAsia" w:ascii="宋体" w:hAnsi="宋体" w:cs="宋体"/>
          <w:bCs/>
          <w:szCs w:val="21"/>
        </w:rPr>
        <w:t>享受预留份额、评审中价格扣除等政府采购政策。</w:t>
      </w:r>
    </w:p>
    <w:p>
      <w:pPr>
        <w:spacing w:line="360" w:lineRule="auto"/>
        <w:ind w:firstLine="420" w:firstLineChars="200"/>
        <w:rPr>
          <w:rFonts w:ascii="宋体" w:hAnsi="宋体" w:cs="宋体"/>
          <w:bCs/>
          <w:szCs w:val="21"/>
        </w:rPr>
      </w:pPr>
      <w:r>
        <w:rPr>
          <w:rFonts w:hint="eastAsia" w:ascii="宋体" w:hAnsi="宋体" w:cs="宋体"/>
          <w:szCs w:val="21"/>
        </w:rPr>
        <w:t>3.按照</w:t>
      </w:r>
      <w:r>
        <w:rPr>
          <w:rFonts w:hint="eastAsia" w:ascii="宋体" w:hAnsi="宋体" w:cs="宋体"/>
          <w:bCs/>
          <w:szCs w:val="21"/>
        </w:rPr>
        <w:t>《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pPr>
        <w:spacing w:line="360" w:lineRule="auto"/>
        <w:ind w:firstLine="420" w:firstLineChars="200"/>
        <w:rPr>
          <w:rFonts w:ascii="宋体" w:hAnsi="宋体" w:cs="宋体"/>
          <w:szCs w:val="21"/>
        </w:rPr>
      </w:pPr>
      <w:r>
        <w:rPr>
          <w:rFonts w:hint="eastAsia" w:ascii="宋体" w:hAnsi="宋体" w:cs="宋体"/>
          <w:szCs w:val="21"/>
        </w:rPr>
        <w:t>4.本项目为服务采购项目，执行相应政府采购政策。</w:t>
      </w:r>
      <w:bookmarkEnd w:id="10"/>
    </w:p>
    <w:bookmarkEnd w:id="11"/>
    <w:bookmarkEnd w:id="12"/>
    <w:p>
      <w:pPr>
        <w:widowControl/>
        <w:spacing w:line="360" w:lineRule="auto"/>
        <w:ind w:firstLine="420" w:firstLineChars="200"/>
        <w:rPr>
          <w:rFonts w:ascii="宋体" w:hAnsi="宋体" w:cs="宋体"/>
          <w:szCs w:val="21"/>
        </w:rPr>
      </w:pPr>
      <w:r>
        <w:rPr>
          <w:rFonts w:hint="eastAsia" w:ascii="宋体" w:hAnsi="宋体" w:cs="宋体"/>
          <w:szCs w:val="21"/>
        </w:rPr>
        <w:t>为有效解决基层社会救助经办服务能力薄弱问题，以及对辖区内特困对象提供专业化的服务，根据《自治区民政厅、编办、财政厅、人力资源社会保障厅印发关于积极推行政府购买服务加强基层社会救助经办服务能力的实施意见》（桂民规2018[5]号）和《桂林市民政局、桂林市机构编制委员会办公室、桂林市财政局、桂林市人力资源和社会保障局关于积极推行政府购买服务加强基层社会救助经办服务能力的实施细则》（市民发2019[3]号）精神，通过政府购买社会救助及特困人员开展入户核查评估服务，增加救助服务有效供给，提高社会救助服务质量和效率。</w:t>
      </w:r>
    </w:p>
    <w:p>
      <w:pPr>
        <w:widowControl/>
        <w:spacing w:line="360" w:lineRule="auto"/>
        <w:ind w:firstLine="420" w:firstLineChars="200"/>
        <w:rPr>
          <w:rFonts w:ascii="宋体" w:hAnsi="宋体" w:cs="宋体"/>
          <w:szCs w:val="21"/>
        </w:rPr>
      </w:pPr>
      <w:r>
        <w:rPr>
          <w:rFonts w:hint="eastAsia" w:ascii="宋体" w:hAnsi="宋体" w:cs="宋体"/>
          <w:szCs w:val="21"/>
        </w:rPr>
        <w:t>采购需求如下：</w:t>
      </w:r>
    </w:p>
    <w:p>
      <w:pPr>
        <w:widowControl/>
        <w:spacing w:line="360" w:lineRule="auto"/>
        <w:ind w:firstLine="420" w:firstLineChars="200"/>
        <w:rPr>
          <w:rFonts w:ascii="宋体" w:hAnsi="宋体" w:cs="宋体"/>
          <w:szCs w:val="21"/>
        </w:rPr>
      </w:pPr>
      <w:r>
        <w:rPr>
          <w:rFonts w:hint="eastAsia" w:ascii="宋体" w:hAnsi="宋体" w:cs="宋体"/>
          <w:color w:val="000000"/>
          <w:szCs w:val="21"/>
        </w:rPr>
        <w:t>开展秀峰区</w:t>
      </w:r>
      <w:r>
        <w:rPr>
          <w:rFonts w:hint="eastAsia" w:ascii="宋体" w:hAnsi="宋体" w:cs="宋体"/>
          <w:szCs w:val="21"/>
        </w:rPr>
        <w:t>事务性工作内容包括但不限于：低保对象、特困人员、城镇脱困解困对象、残疾人两项补贴对象等困难群众服务时的摸底排查、入户调查、业务培训、政策宣传等。</w:t>
      </w:r>
    </w:p>
    <w:p>
      <w:pPr>
        <w:pStyle w:val="15"/>
        <w:spacing w:line="360" w:lineRule="auto"/>
        <w:ind w:firstLine="420" w:firstLineChars="200"/>
        <w:jc w:val="left"/>
        <w:rPr>
          <w:rFonts w:hAnsi="宋体" w:cs="宋体"/>
        </w:rPr>
      </w:pPr>
      <w:r>
        <w:rPr>
          <w:rFonts w:hint="eastAsia" w:hAnsi="宋体" w:cs="宋体"/>
        </w:rPr>
        <w:t>5.服务期：自签订合同之日起服务期为2年。</w:t>
      </w:r>
    </w:p>
    <w:p>
      <w:pPr>
        <w:widowControl/>
        <w:spacing w:line="360" w:lineRule="auto"/>
        <w:ind w:firstLine="630" w:firstLineChars="300"/>
        <w:rPr>
          <w:rFonts w:ascii="宋体" w:hAnsi="宋体" w:cs="宋体"/>
          <w:szCs w:val="21"/>
        </w:rPr>
      </w:pPr>
      <w:r>
        <w:rPr>
          <w:rFonts w:hint="eastAsia" w:ascii="宋体" w:hAnsi="宋体" w:cs="宋体"/>
          <w:szCs w:val="21"/>
        </w:rPr>
        <w:t>服务地点：由采购人指定地点。</w:t>
      </w:r>
    </w:p>
    <w:p>
      <w:pPr>
        <w:rPr>
          <w:rFonts w:ascii="宋体" w:hAnsi="宋体" w:cs="宋体"/>
          <w:szCs w:val="21"/>
        </w:rPr>
      </w:pPr>
      <w:r>
        <w:rPr>
          <w:rFonts w:hint="eastAsia" w:ascii="宋体" w:hAnsi="宋体" w:cs="宋体"/>
          <w:szCs w:val="21"/>
        </w:rPr>
        <w:br w:type="page"/>
      </w:r>
    </w:p>
    <w:p>
      <w:pPr>
        <w:widowControl/>
        <w:spacing w:line="360" w:lineRule="auto"/>
        <w:ind w:firstLine="420" w:firstLineChars="200"/>
        <w:rPr>
          <w:rFonts w:ascii="宋体" w:hAnsi="宋体" w:cs="宋体"/>
          <w:szCs w:val="21"/>
        </w:rPr>
      </w:pPr>
      <w:r>
        <w:rPr>
          <w:rFonts w:hint="eastAsia" w:ascii="宋体" w:hAnsi="宋体" w:cs="宋体"/>
          <w:szCs w:val="21"/>
        </w:rPr>
        <w:t>6.项目及内容</w:t>
      </w:r>
    </w:p>
    <w:tbl>
      <w:tblPr>
        <w:tblStyle w:val="25"/>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5244"/>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Align w:val="center"/>
          </w:tcPr>
          <w:p>
            <w:pPr>
              <w:widowControl/>
              <w:spacing w:line="360" w:lineRule="auto"/>
              <w:jc w:val="center"/>
              <w:rPr>
                <w:rFonts w:ascii="宋体" w:hAnsi="宋体" w:cs="宋体"/>
                <w:b/>
                <w:bCs/>
                <w:szCs w:val="21"/>
              </w:rPr>
            </w:pPr>
            <w:r>
              <w:rPr>
                <w:rFonts w:hint="eastAsia" w:ascii="宋体" w:hAnsi="宋体" w:cs="宋体"/>
                <w:b/>
                <w:bCs/>
                <w:szCs w:val="21"/>
              </w:rPr>
              <w:t>项目名称</w:t>
            </w:r>
          </w:p>
        </w:tc>
        <w:tc>
          <w:tcPr>
            <w:tcW w:w="5244" w:type="dxa"/>
            <w:vAlign w:val="center"/>
          </w:tcPr>
          <w:p>
            <w:pPr>
              <w:widowControl/>
              <w:spacing w:line="360" w:lineRule="auto"/>
              <w:jc w:val="center"/>
              <w:rPr>
                <w:rFonts w:ascii="宋体" w:hAnsi="宋体" w:cs="宋体"/>
                <w:b/>
                <w:bCs/>
                <w:szCs w:val="21"/>
              </w:rPr>
            </w:pPr>
            <w:r>
              <w:rPr>
                <w:rFonts w:hint="eastAsia" w:ascii="宋体" w:hAnsi="宋体" w:cs="宋体"/>
                <w:b/>
                <w:bCs/>
                <w:szCs w:val="21"/>
              </w:rPr>
              <w:t>项目内容</w:t>
            </w:r>
          </w:p>
        </w:tc>
        <w:tc>
          <w:tcPr>
            <w:tcW w:w="2304" w:type="dxa"/>
            <w:vAlign w:val="center"/>
          </w:tcPr>
          <w:p>
            <w:pPr>
              <w:widowControl/>
              <w:spacing w:line="360" w:lineRule="auto"/>
              <w:jc w:val="center"/>
              <w:rPr>
                <w:rFonts w:ascii="宋体" w:hAnsi="宋体" w:cs="宋体"/>
                <w:b/>
                <w:bCs/>
                <w:szCs w:val="21"/>
              </w:rPr>
            </w:pPr>
            <w:r>
              <w:rPr>
                <w:rFonts w:hint="eastAsia" w:ascii="宋体" w:hAnsi="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68" w:type="dxa"/>
            <w:vMerge w:val="restart"/>
            <w:vAlign w:val="center"/>
          </w:tcPr>
          <w:p>
            <w:pPr>
              <w:widowControl/>
              <w:spacing w:line="360" w:lineRule="auto"/>
              <w:rPr>
                <w:rFonts w:ascii="宋体" w:hAnsi="宋体" w:cs="宋体"/>
                <w:szCs w:val="21"/>
              </w:rPr>
            </w:pPr>
            <w:r>
              <w:rPr>
                <w:rFonts w:hint="eastAsia" w:ascii="宋体" w:hAnsi="宋体" w:cs="宋体"/>
                <w:szCs w:val="21"/>
              </w:rPr>
              <w:t>一、城市低保</w:t>
            </w:r>
          </w:p>
        </w:tc>
        <w:tc>
          <w:tcPr>
            <w:tcW w:w="5244" w:type="dxa"/>
            <w:vAlign w:val="center"/>
          </w:tcPr>
          <w:p>
            <w:pPr>
              <w:widowControl/>
              <w:spacing w:line="360" w:lineRule="auto"/>
              <w:rPr>
                <w:rFonts w:ascii="宋体" w:hAnsi="宋体" w:cs="宋体"/>
                <w:szCs w:val="21"/>
              </w:rPr>
            </w:pPr>
            <w:r>
              <w:rPr>
                <w:rFonts w:hint="eastAsia" w:ascii="宋体" w:hAnsi="宋体" w:cs="宋体"/>
                <w:szCs w:val="21"/>
              </w:rPr>
              <w:t>1、专职工作人员不少于3人，人员总成本不低于每年86000元，具体工作如下：</w:t>
            </w:r>
          </w:p>
          <w:p>
            <w:pPr>
              <w:widowControl/>
              <w:spacing w:line="360" w:lineRule="auto"/>
              <w:rPr>
                <w:rFonts w:ascii="宋体" w:hAnsi="宋体" w:cs="宋体"/>
                <w:szCs w:val="21"/>
              </w:rPr>
            </w:pPr>
            <w:r>
              <w:rPr>
                <w:rFonts w:hint="eastAsia" w:ascii="宋体" w:hAnsi="宋体" w:cs="宋体"/>
                <w:szCs w:val="21"/>
              </w:rPr>
              <w:t>（1）采取分散和集中相结合的方式，协助各街道办事处完成每年入户核查辖区内的低保对象、特困对象、城镇脱困解困对象；</w:t>
            </w:r>
          </w:p>
          <w:p>
            <w:pPr>
              <w:widowControl/>
              <w:spacing w:line="360" w:lineRule="auto"/>
              <w:rPr>
                <w:rFonts w:ascii="宋体" w:hAnsi="宋体" w:cs="宋体"/>
                <w:szCs w:val="21"/>
              </w:rPr>
            </w:pPr>
            <w:r>
              <w:rPr>
                <w:rFonts w:hint="eastAsia" w:ascii="宋体" w:hAnsi="宋体" w:cs="宋体"/>
                <w:szCs w:val="21"/>
              </w:rPr>
              <w:t>（2）采用包括但不限于信息录入方式，整理、收集、更新、完善秀峰区社会救助信息管理系统服务对象资料；</w:t>
            </w:r>
          </w:p>
          <w:p>
            <w:pPr>
              <w:widowControl/>
              <w:spacing w:line="360" w:lineRule="auto"/>
              <w:rPr>
                <w:rFonts w:ascii="宋体" w:hAnsi="宋体" w:cs="宋体"/>
                <w:szCs w:val="21"/>
              </w:rPr>
            </w:pPr>
            <w:r>
              <w:rPr>
                <w:rFonts w:hint="eastAsia" w:ascii="宋体" w:hAnsi="宋体" w:cs="宋体"/>
                <w:szCs w:val="21"/>
              </w:rPr>
              <w:t>（3）发掘社区、村委的村（居）民资源，鼓励低保对象、特困对象、城镇脱困解困对象等社会救助群体参与社区相关公益活动；</w:t>
            </w:r>
          </w:p>
          <w:p>
            <w:pPr>
              <w:widowControl/>
              <w:spacing w:line="360" w:lineRule="auto"/>
              <w:rPr>
                <w:rFonts w:ascii="宋体" w:hAnsi="宋体" w:cs="宋体"/>
                <w:szCs w:val="21"/>
              </w:rPr>
            </w:pPr>
            <w:r>
              <w:rPr>
                <w:rFonts w:hint="eastAsia" w:ascii="宋体" w:hAnsi="宋体" w:cs="宋体"/>
                <w:szCs w:val="21"/>
              </w:rPr>
              <w:t>（4）主动发现。通过入户走访，了解尚未纳入救助的困难对象中，是否有符合申请低保、临时困难救助而未申请的情况；</w:t>
            </w:r>
          </w:p>
          <w:p>
            <w:pPr>
              <w:widowControl/>
              <w:spacing w:line="360" w:lineRule="auto"/>
              <w:rPr>
                <w:rFonts w:ascii="宋体" w:hAnsi="宋体" w:cs="宋体"/>
                <w:szCs w:val="21"/>
              </w:rPr>
            </w:pPr>
            <w:r>
              <w:rPr>
                <w:rFonts w:hint="eastAsia" w:ascii="宋体" w:hAnsi="宋体" w:cs="宋体"/>
                <w:szCs w:val="21"/>
              </w:rPr>
              <w:t>（5）其他事项。区民政局安排的阶段性工作。</w:t>
            </w:r>
          </w:p>
        </w:tc>
        <w:tc>
          <w:tcPr>
            <w:tcW w:w="2304" w:type="dxa"/>
            <w:vAlign w:val="center"/>
          </w:tcPr>
          <w:p>
            <w:pPr>
              <w:widowControl/>
              <w:spacing w:line="360" w:lineRule="auto"/>
              <w:rPr>
                <w:rFonts w:ascii="宋体" w:hAnsi="宋体" w:cs="宋体"/>
                <w:szCs w:val="21"/>
              </w:rPr>
            </w:pPr>
            <w:r>
              <w:rPr>
                <w:rFonts w:hint="eastAsia" w:ascii="宋体" w:hAnsi="宋体" w:cs="宋体"/>
                <w:szCs w:val="21"/>
              </w:rPr>
              <w:t>（具体金额使用中标方进行调配）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668" w:type="dxa"/>
            <w:vMerge w:val="continue"/>
            <w:vAlign w:val="center"/>
          </w:tcPr>
          <w:p>
            <w:pPr>
              <w:widowControl/>
              <w:numPr>
                <w:ilvl w:val="0"/>
                <w:numId w:val="3"/>
              </w:numPr>
              <w:spacing w:line="360" w:lineRule="auto"/>
              <w:ind w:firstLine="420" w:firstLineChars="200"/>
              <w:rPr>
                <w:rFonts w:ascii="宋体" w:hAnsi="宋体" w:cs="宋体"/>
                <w:szCs w:val="21"/>
              </w:rPr>
            </w:pPr>
          </w:p>
        </w:tc>
        <w:tc>
          <w:tcPr>
            <w:tcW w:w="5244" w:type="dxa"/>
            <w:vAlign w:val="center"/>
          </w:tcPr>
          <w:p>
            <w:pPr>
              <w:widowControl/>
              <w:numPr>
                <w:ilvl w:val="0"/>
                <w:numId w:val="4"/>
              </w:numPr>
              <w:spacing w:line="360" w:lineRule="auto"/>
              <w:rPr>
                <w:rFonts w:ascii="宋体" w:hAnsi="宋体" w:cs="宋体"/>
                <w:szCs w:val="21"/>
              </w:rPr>
            </w:pPr>
            <w:r>
              <w:rPr>
                <w:rFonts w:hint="eastAsia" w:ascii="宋体" w:hAnsi="宋体" w:cs="宋体"/>
                <w:szCs w:val="21"/>
              </w:rPr>
              <w:t>救助政策宣传，具体内容如下：</w:t>
            </w:r>
          </w:p>
          <w:p>
            <w:pPr>
              <w:widowControl/>
              <w:spacing w:line="360" w:lineRule="auto"/>
              <w:rPr>
                <w:rFonts w:ascii="宋体" w:hAnsi="宋体" w:cs="宋体"/>
                <w:szCs w:val="21"/>
              </w:rPr>
            </w:pPr>
            <w:r>
              <w:rPr>
                <w:rFonts w:hint="eastAsia" w:ascii="宋体" w:hAnsi="宋体" w:cs="宋体"/>
                <w:szCs w:val="21"/>
              </w:rPr>
              <w:t>（1）大型活动不少于1场次（上稿桂林日报或桂林晚报）</w:t>
            </w:r>
          </w:p>
          <w:p>
            <w:pPr>
              <w:widowControl/>
              <w:spacing w:line="360" w:lineRule="auto"/>
              <w:rPr>
                <w:rFonts w:ascii="宋体" w:hAnsi="宋体" w:cs="宋体"/>
                <w:szCs w:val="21"/>
              </w:rPr>
            </w:pPr>
            <w:r>
              <w:rPr>
                <w:rFonts w:hint="eastAsia" w:ascii="宋体" w:hAnsi="宋体" w:cs="宋体"/>
                <w:szCs w:val="21"/>
              </w:rPr>
              <w:t>（2）小型活动覆盖1/2社区（村委）以上（上稿秀峰资讯）。</w:t>
            </w:r>
          </w:p>
          <w:p>
            <w:pPr>
              <w:widowControl/>
              <w:spacing w:line="360" w:lineRule="auto"/>
              <w:rPr>
                <w:rFonts w:ascii="宋体" w:hAnsi="宋体" w:cs="宋体"/>
                <w:szCs w:val="21"/>
              </w:rPr>
            </w:pPr>
            <w:r>
              <w:rPr>
                <w:rFonts w:hint="eastAsia" w:ascii="宋体" w:hAnsi="宋体" w:cs="宋体"/>
                <w:szCs w:val="21"/>
              </w:rPr>
              <w:t>（3）相关政策资料印刷；</w:t>
            </w:r>
          </w:p>
        </w:tc>
        <w:tc>
          <w:tcPr>
            <w:tcW w:w="2304" w:type="dxa"/>
            <w:vAlign w:val="center"/>
          </w:tcPr>
          <w:p>
            <w:pPr>
              <w:widowControl/>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vAlign w:val="center"/>
          </w:tcPr>
          <w:p>
            <w:pPr>
              <w:widowControl/>
              <w:numPr>
                <w:ilvl w:val="0"/>
                <w:numId w:val="3"/>
              </w:numPr>
              <w:spacing w:line="360" w:lineRule="auto"/>
              <w:ind w:firstLine="420" w:firstLineChars="200"/>
              <w:rPr>
                <w:rFonts w:ascii="宋体" w:hAnsi="宋体" w:cs="宋体"/>
                <w:szCs w:val="21"/>
              </w:rPr>
            </w:pPr>
          </w:p>
        </w:tc>
        <w:tc>
          <w:tcPr>
            <w:tcW w:w="5244" w:type="dxa"/>
            <w:vAlign w:val="center"/>
          </w:tcPr>
          <w:p>
            <w:pPr>
              <w:widowControl/>
              <w:spacing w:line="360" w:lineRule="auto"/>
              <w:rPr>
                <w:rFonts w:ascii="宋体" w:hAnsi="宋体" w:cs="宋体"/>
                <w:szCs w:val="21"/>
              </w:rPr>
            </w:pPr>
            <w:r>
              <w:rPr>
                <w:rFonts w:hint="eastAsia" w:ascii="宋体" w:hAnsi="宋体" w:cs="宋体"/>
                <w:szCs w:val="21"/>
              </w:rPr>
              <w:t>3、社会救助政策及业务培训（含讲课费），培训规模约120人。</w:t>
            </w:r>
          </w:p>
        </w:tc>
        <w:tc>
          <w:tcPr>
            <w:tcW w:w="2304" w:type="dxa"/>
            <w:vAlign w:val="center"/>
          </w:tcPr>
          <w:p>
            <w:pPr>
              <w:widowControl/>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8" w:type="dxa"/>
            <w:vMerge w:val="continue"/>
            <w:vAlign w:val="center"/>
          </w:tcPr>
          <w:p>
            <w:pPr>
              <w:widowControl/>
              <w:numPr>
                <w:ilvl w:val="0"/>
                <w:numId w:val="3"/>
              </w:numPr>
              <w:spacing w:line="360" w:lineRule="auto"/>
              <w:ind w:firstLine="420" w:firstLineChars="200"/>
              <w:rPr>
                <w:rFonts w:ascii="宋体" w:hAnsi="宋体" w:cs="宋体"/>
                <w:szCs w:val="21"/>
              </w:rPr>
            </w:pPr>
          </w:p>
        </w:tc>
        <w:tc>
          <w:tcPr>
            <w:tcW w:w="5244" w:type="dxa"/>
            <w:vAlign w:val="center"/>
          </w:tcPr>
          <w:p>
            <w:pPr>
              <w:widowControl/>
              <w:spacing w:line="360" w:lineRule="auto"/>
              <w:rPr>
                <w:rFonts w:ascii="宋体" w:hAnsi="宋体" w:cs="宋体"/>
                <w:szCs w:val="21"/>
              </w:rPr>
            </w:pPr>
            <w:r>
              <w:rPr>
                <w:rFonts w:hint="eastAsia" w:ascii="宋体" w:hAnsi="宋体" w:cs="宋体"/>
                <w:szCs w:val="21"/>
              </w:rPr>
              <w:t>4.办公经费及税费</w:t>
            </w:r>
          </w:p>
        </w:tc>
        <w:tc>
          <w:tcPr>
            <w:tcW w:w="2304" w:type="dxa"/>
            <w:vAlign w:val="center"/>
          </w:tcPr>
          <w:p>
            <w:pPr>
              <w:widowControl/>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restart"/>
            <w:vAlign w:val="center"/>
          </w:tcPr>
          <w:p>
            <w:pPr>
              <w:widowControl/>
              <w:spacing w:line="360" w:lineRule="auto"/>
              <w:rPr>
                <w:rFonts w:ascii="宋体" w:hAnsi="宋体" w:cs="宋体"/>
                <w:szCs w:val="21"/>
              </w:rPr>
            </w:pPr>
            <w:r>
              <w:rPr>
                <w:rFonts w:hint="eastAsia" w:ascii="宋体" w:hAnsi="宋体" w:cs="宋体"/>
                <w:szCs w:val="21"/>
              </w:rPr>
              <w:t>二、特困供养</w:t>
            </w:r>
          </w:p>
        </w:tc>
        <w:tc>
          <w:tcPr>
            <w:tcW w:w="5244" w:type="dxa"/>
            <w:vAlign w:val="center"/>
          </w:tcPr>
          <w:p>
            <w:pPr>
              <w:widowControl/>
              <w:spacing w:line="360" w:lineRule="auto"/>
              <w:rPr>
                <w:rFonts w:ascii="宋体" w:hAnsi="宋体" w:cs="宋体"/>
                <w:szCs w:val="21"/>
              </w:rPr>
            </w:pPr>
            <w:r>
              <w:rPr>
                <w:rFonts w:hint="eastAsia" w:ascii="宋体" w:hAnsi="宋体" w:cs="宋体"/>
                <w:szCs w:val="21"/>
              </w:rPr>
              <w:t>1、生活照料服务内容</w:t>
            </w:r>
          </w:p>
          <w:p>
            <w:pPr>
              <w:widowControl/>
              <w:spacing w:line="360" w:lineRule="auto"/>
              <w:rPr>
                <w:rFonts w:ascii="宋体" w:hAnsi="宋体" w:cs="宋体"/>
                <w:szCs w:val="21"/>
              </w:rPr>
            </w:pPr>
            <w:r>
              <w:rPr>
                <w:rFonts w:hint="eastAsia" w:ascii="宋体" w:hAnsi="宋体" w:cs="宋体"/>
                <w:szCs w:val="21"/>
              </w:rPr>
              <w:t>对分散供养特困人员做好需求评估调查，建立一户一档，再根据需求情况提供基础的助餐、助洁、助急、助浴、助购（行）和助医等相应服务。</w:t>
            </w:r>
          </w:p>
        </w:tc>
        <w:tc>
          <w:tcPr>
            <w:tcW w:w="2304" w:type="dxa"/>
            <w:vAlign w:val="center"/>
          </w:tcPr>
          <w:p>
            <w:pPr>
              <w:widowControl/>
              <w:spacing w:line="360" w:lineRule="auto"/>
              <w:rPr>
                <w:rFonts w:ascii="宋体" w:hAnsi="宋体" w:cs="宋体"/>
                <w:szCs w:val="21"/>
              </w:rPr>
            </w:pPr>
            <w:r>
              <w:rPr>
                <w:rFonts w:hint="eastAsia" w:ascii="宋体" w:hAnsi="宋体" w:cs="宋体"/>
                <w:szCs w:val="21"/>
              </w:rPr>
              <w:t>开展生活照料服务，按照每户每季度服务1次，经费以实际户数每户次计算，预计45户(最终按实际户数结算)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vAlign w:val="center"/>
          </w:tcPr>
          <w:p>
            <w:pPr>
              <w:widowControl/>
              <w:numPr>
                <w:ilvl w:val="0"/>
                <w:numId w:val="3"/>
              </w:numPr>
              <w:spacing w:line="360" w:lineRule="auto"/>
              <w:ind w:firstLine="420" w:firstLineChars="200"/>
              <w:rPr>
                <w:rFonts w:ascii="宋体" w:hAnsi="宋体" w:cs="宋体"/>
                <w:szCs w:val="21"/>
              </w:rPr>
            </w:pPr>
          </w:p>
        </w:tc>
        <w:tc>
          <w:tcPr>
            <w:tcW w:w="5244" w:type="dxa"/>
          </w:tcPr>
          <w:p>
            <w:pPr>
              <w:widowControl/>
              <w:spacing w:line="360" w:lineRule="auto"/>
              <w:rPr>
                <w:rFonts w:ascii="宋体" w:hAnsi="宋体" w:cs="宋体"/>
                <w:szCs w:val="21"/>
              </w:rPr>
            </w:pPr>
            <w:r>
              <w:rPr>
                <w:rFonts w:hint="eastAsia" w:ascii="宋体" w:hAnsi="宋体" w:cs="宋体"/>
                <w:szCs w:val="21"/>
              </w:rPr>
              <w:t>2、生活自理能力评估内容</w:t>
            </w:r>
          </w:p>
          <w:p>
            <w:pPr>
              <w:widowControl/>
              <w:spacing w:line="360" w:lineRule="auto"/>
              <w:rPr>
                <w:rFonts w:ascii="宋体" w:hAnsi="宋体" w:cs="宋体"/>
                <w:szCs w:val="21"/>
              </w:rPr>
            </w:pPr>
            <w:r>
              <w:rPr>
                <w:rFonts w:hint="eastAsia" w:ascii="宋体" w:hAnsi="宋体" w:cs="宋体"/>
                <w:szCs w:val="21"/>
              </w:rPr>
              <w:t>参照国际通行标准和《广西老年人能力评估管理暂行办法》委托第三方机构对特困人员的日常生活活动能力、精神状态、感知觉与沟通以及社会参与等进行综合评估，以此确定照料护理等级，并作为相应照料护理服务的依据。</w:t>
            </w:r>
          </w:p>
        </w:tc>
        <w:tc>
          <w:tcPr>
            <w:tcW w:w="2304" w:type="dxa"/>
            <w:vAlign w:val="center"/>
          </w:tcPr>
          <w:p>
            <w:pPr>
              <w:widowControl/>
              <w:spacing w:line="360" w:lineRule="auto"/>
              <w:rPr>
                <w:rFonts w:ascii="宋体" w:hAnsi="宋体" w:cs="宋体"/>
                <w:szCs w:val="21"/>
              </w:rPr>
            </w:pPr>
            <w:r>
              <w:rPr>
                <w:rFonts w:hint="eastAsia" w:ascii="宋体" w:hAnsi="宋体" w:cs="宋体"/>
                <w:szCs w:val="21"/>
              </w:rPr>
              <w:t>由专职工作人员（具有相应资质）进行评估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8" w:type="dxa"/>
            <w:vMerge w:val="continue"/>
            <w:vAlign w:val="center"/>
          </w:tcPr>
          <w:p>
            <w:pPr>
              <w:widowControl/>
              <w:numPr>
                <w:ilvl w:val="0"/>
                <w:numId w:val="3"/>
              </w:numPr>
              <w:spacing w:line="360" w:lineRule="auto"/>
              <w:ind w:firstLine="420" w:firstLineChars="200"/>
              <w:rPr>
                <w:rFonts w:ascii="宋体" w:hAnsi="宋体" w:cs="宋体"/>
                <w:szCs w:val="21"/>
              </w:rPr>
            </w:pPr>
          </w:p>
        </w:tc>
        <w:tc>
          <w:tcPr>
            <w:tcW w:w="5244" w:type="dxa"/>
            <w:vAlign w:val="center"/>
          </w:tcPr>
          <w:p>
            <w:pPr>
              <w:widowControl/>
              <w:spacing w:line="360" w:lineRule="auto"/>
              <w:rPr>
                <w:rFonts w:ascii="宋体" w:hAnsi="宋体" w:cs="宋体"/>
                <w:szCs w:val="21"/>
              </w:rPr>
            </w:pPr>
            <w:r>
              <w:rPr>
                <w:rFonts w:hint="eastAsia" w:ascii="宋体" w:hAnsi="宋体" w:cs="宋体"/>
                <w:szCs w:val="21"/>
              </w:rPr>
              <w:t>3、看护照料及殡葬服务内容</w:t>
            </w:r>
          </w:p>
          <w:p>
            <w:pPr>
              <w:widowControl/>
              <w:spacing w:line="360" w:lineRule="auto"/>
              <w:rPr>
                <w:rFonts w:ascii="宋体" w:hAnsi="宋体" w:cs="宋体"/>
                <w:szCs w:val="21"/>
              </w:rPr>
            </w:pPr>
            <w:r>
              <w:rPr>
                <w:rFonts w:hint="eastAsia" w:ascii="宋体" w:hAnsi="宋体" w:cs="宋体"/>
                <w:szCs w:val="21"/>
              </w:rPr>
              <w:t>为切实解决特困人员突出困难，为特困人员提供专业看护照料及殡葬服务。包括：对分散供养的失能和半失能的对象提供基本的日常生活照料、住院期间的必要看护以及办理特困人员死亡后的丧葬事宜。</w:t>
            </w:r>
          </w:p>
        </w:tc>
        <w:tc>
          <w:tcPr>
            <w:tcW w:w="2304" w:type="dxa"/>
            <w:vAlign w:val="center"/>
          </w:tcPr>
          <w:p>
            <w:pPr>
              <w:widowControl/>
              <w:spacing w:line="360" w:lineRule="auto"/>
              <w:rPr>
                <w:rFonts w:ascii="宋体" w:hAnsi="宋体" w:cs="宋体"/>
                <w:szCs w:val="21"/>
              </w:rPr>
            </w:pPr>
            <w:r>
              <w:rPr>
                <w:rFonts w:hint="eastAsia" w:ascii="宋体" w:hAnsi="宋体" w:cs="宋体"/>
                <w:szCs w:val="21"/>
              </w:rPr>
              <w:t>开展住院期间陪护服务工作按照每户服务经费（含餐费、车费等）(最终按实际户数结算)</w:t>
            </w:r>
          </w:p>
        </w:tc>
      </w:tr>
    </w:tbl>
    <w:p>
      <w:pPr>
        <w:widowControl/>
        <w:spacing w:line="360" w:lineRule="auto"/>
        <w:ind w:firstLine="420" w:firstLineChars="200"/>
        <w:rPr>
          <w:rFonts w:ascii="宋体" w:hAnsi="宋体" w:cs="宋体"/>
          <w:szCs w:val="21"/>
        </w:rPr>
      </w:pPr>
    </w:p>
    <w:p>
      <w:pPr>
        <w:widowControl/>
        <w:spacing w:line="360" w:lineRule="auto"/>
        <w:ind w:firstLine="420" w:firstLineChars="200"/>
        <w:rPr>
          <w:rFonts w:ascii="宋体" w:hAnsi="宋体" w:cs="宋体"/>
          <w:szCs w:val="21"/>
        </w:rPr>
      </w:pPr>
      <w:r>
        <w:rPr>
          <w:rFonts w:hint="eastAsia" w:ascii="宋体" w:hAnsi="宋体" w:cs="宋体"/>
          <w:szCs w:val="21"/>
        </w:rPr>
        <w:t>7.成交供应商在签订合同后，每半年将服务完成情况形成文字材料及相关档案资料提交给秀峰区民政局。</w:t>
      </w:r>
    </w:p>
    <w:p>
      <w:pPr>
        <w:spacing w:line="360" w:lineRule="auto"/>
        <w:ind w:firstLine="420" w:firstLineChars="200"/>
        <w:rPr>
          <w:rFonts w:ascii="宋体" w:hAnsi="宋体" w:cs="宋体"/>
          <w:szCs w:val="21"/>
        </w:rPr>
      </w:pPr>
      <w:r>
        <w:rPr>
          <w:rFonts w:hint="eastAsia" w:ascii="宋体" w:hAnsi="宋体" w:cs="宋体"/>
          <w:szCs w:val="21"/>
        </w:rPr>
        <w:t>8.成交供应商根据项目的具体方案和实施时间安排，完成预期产出目标，未按预期产出完成的，应继续提供相应服务（期间秀峰区民政局不再额外支付服务费用）。</w:t>
      </w:r>
    </w:p>
    <w:p>
      <w:pPr>
        <w:spacing w:line="360" w:lineRule="auto"/>
        <w:ind w:firstLine="420" w:firstLineChars="200"/>
        <w:rPr>
          <w:rFonts w:ascii="宋体" w:hAnsi="宋体" w:cs="宋体"/>
          <w:szCs w:val="21"/>
        </w:rPr>
      </w:pPr>
      <w:r>
        <w:rPr>
          <w:rFonts w:hint="eastAsia" w:ascii="宋体" w:hAnsi="宋体" w:cs="宋体"/>
          <w:szCs w:val="21"/>
        </w:rPr>
        <w:t>9.付款方式：甲方与乙方签订采购合同后20个工作日内支付当年度合同总金额的70%；服务期结束前</w:t>
      </w:r>
      <w:r>
        <w:rPr>
          <w:rFonts w:hint="eastAsia" w:ascii="宋体" w:hAnsi="宋体" w:cs="宋体" w:eastAsiaTheme="minorEastAsia"/>
          <w:szCs w:val="21"/>
        </w:rPr>
        <w:t>1</w:t>
      </w:r>
      <w:r>
        <w:rPr>
          <w:rFonts w:hint="eastAsia" w:ascii="宋体" w:hAnsi="宋体" w:cs="宋体"/>
          <w:szCs w:val="21"/>
        </w:rPr>
        <w:t>个月，甲方对乙方的项目实施情况进行第三方评估（第三方评估费用由甲方支付），经第三方评估、审核合格后30个工作日内向乙方支付当年度合同剩余的金额。</w:t>
      </w:r>
    </w:p>
    <w:p>
      <w:pPr>
        <w:autoSpaceDN w:val="0"/>
        <w:spacing w:line="360" w:lineRule="auto"/>
        <w:ind w:firstLine="420" w:firstLineChars="200"/>
        <w:rPr>
          <w:rFonts w:ascii="宋体" w:hAnsi="宋体" w:cs="宋体"/>
          <w:szCs w:val="21"/>
        </w:rPr>
      </w:pPr>
      <w:r>
        <w:rPr>
          <w:rFonts w:hint="eastAsia" w:ascii="宋体" w:hAnsi="宋体" w:cs="宋体"/>
          <w:szCs w:val="21"/>
        </w:rPr>
        <w:t>10.采购预算：本项目采购预算金额为人民币340800元整，报价超出采购预算金额的，其响应文件按无效处理。</w:t>
      </w:r>
    </w:p>
    <w:p>
      <w:pPr>
        <w:tabs>
          <w:tab w:val="left" w:pos="616"/>
        </w:tabs>
        <w:spacing w:line="520" w:lineRule="exact"/>
        <w:rPr>
          <w:rFonts w:eastAsiaTheme="minorEastAsia"/>
        </w:rPr>
      </w:pPr>
      <w:r>
        <w:rPr>
          <w:rFonts w:hint="eastAsia" w:ascii="宋体" w:hAnsi="宋体" w:cs="宋体"/>
          <w:b/>
          <w:bCs/>
          <w:szCs w:val="21"/>
        </w:rPr>
        <w:t>注：本磋商文件“采购需求”中的所有要求均为实质性要求。供应商应满足以上全部实质性要求，否则，响应文件作无效处理。</w:t>
      </w:r>
    </w:p>
    <w:p>
      <w:pPr>
        <w:spacing w:line="400" w:lineRule="exact"/>
        <w:ind w:firstLine="420" w:firstLineChars="200"/>
      </w:pPr>
      <w:r>
        <w:rPr>
          <w:rFonts w:hint="eastAsia" w:ascii="宋体" w:hAnsi="宋体" w:cs="宋体"/>
        </w:rPr>
        <w:br w:type="page"/>
      </w:r>
    </w:p>
    <w:p>
      <w:pPr>
        <w:spacing w:line="360" w:lineRule="auto"/>
        <w:ind w:firstLine="2209" w:firstLineChars="500"/>
        <w:outlineLvl w:val="0"/>
        <w:rPr>
          <w:rFonts w:ascii="宋体" w:hAnsi="宋体" w:cs="宋体"/>
          <w:b/>
          <w:bCs/>
          <w:kern w:val="44"/>
          <w:sz w:val="44"/>
          <w:szCs w:val="44"/>
        </w:rPr>
      </w:pPr>
      <w:bookmarkStart w:id="14" w:name="_Toc9315"/>
      <w:r>
        <w:rPr>
          <w:rFonts w:hint="eastAsia" w:ascii="宋体" w:hAnsi="宋体" w:cs="宋体"/>
          <w:b/>
          <w:bCs/>
          <w:kern w:val="44"/>
          <w:sz w:val="44"/>
          <w:szCs w:val="44"/>
        </w:rPr>
        <w:t>第四章  评 审 办 法</w:t>
      </w:r>
      <w:bookmarkEnd w:id="13"/>
      <w:bookmarkEnd w:id="14"/>
    </w:p>
    <w:p>
      <w:pPr>
        <w:spacing w:line="360" w:lineRule="auto"/>
        <w:rPr>
          <w:b/>
          <w:bCs/>
        </w:rPr>
      </w:pPr>
      <w:bookmarkStart w:id="15" w:name="_Toc520968686"/>
      <w:r>
        <w:rPr>
          <w:rFonts w:hint="eastAsia"/>
          <w:b/>
          <w:bCs/>
        </w:rPr>
        <w:t>一、评审依据及方式：</w:t>
      </w:r>
    </w:p>
    <w:p>
      <w:pPr>
        <w:spacing w:line="360" w:lineRule="auto"/>
        <w:ind w:firstLine="420" w:firstLineChars="200"/>
      </w:pPr>
      <w:r>
        <w:rPr>
          <w:rFonts w:hint="eastAsia"/>
        </w:rPr>
        <w:t>1.评审依据：磋商小组以竞争性磋商文件和响应文件为评审依据，对供应商的报价、服务方案分、服务承诺分、业绩分、财务状况分等方面内容按百分制打分。</w:t>
      </w:r>
    </w:p>
    <w:p>
      <w:pPr>
        <w:spacing w:line="360" w:lineRule="auto"/>
        <w:ind w:firstLine="420" w:firstLineChars="200"/>
      </w:pPr>
      <w:r>
        <w:rPr>
          <w:rFonts w:hint="eastAsia"/>
        </w:rPr>
        <w:t>2.评审方式：以封闭方式进行评审。</w:t>
      </w:r>
    </w:p>
    <w:p>
      <w:pPr>
        <w:spacing w:line="360" w:lineRule="auto"/>
        <w:ind w:firstLine="420" w:firstLineChars="200"/>
      </w:pPr>
      <w:r>
        <w:rPr>
          <w:rFonts w:hint="eastAsia"/>
        </w:rPr>
        <w:t>3.根据财库〔2012〕69号文规定，采购人和采购代理机构，磋商小组成员要严格遵守政府采购相关法律制度，依法履行各自职责，公正、客观、审慎地组织和参与评审工作。</w:t>
      </w:r>
    </w:p>
    <w:p>
      <w:pPr>
        <w:spacing w:line="360" w:lineRule="auto"/>
        <w:rPr>
          <w:b/>
          <w:bCs/>
        </w:rPr>
      </w:pPr>
      <w:r>
        <w:rPr>
          <w:rFonts w:hint="eastAsia"/>
          <w:b/>
          <w:bCs/>
        </w:rPr>
        <w:t>二、评审办法</w:t>
      </w:r>
    </w:p>
    <w:p>
      <w:pPr>
        <w:spacing w:line="360" w:lineRule="auto"/>
        <w:ind w:firstLine="420" w:firstLineChars="200"/>
      </w:pPr>
      <w:r>
        <w:rPr>
          <w:rFonts w:hint="eastAsia"/>
        </w:rPr>
        <w:t>（一）对进入详评的，采用综合评分法。</w:t>
      </w:r>
    </w:p>
    <w:p>
      <w:pPr>
        <w:spacing w:line="360" w:lineRule="auto"/>
        <w:ind w:firstLine="420" w:firstLineChars="200"/>
      </w:pPr>
      <w:r>
        <w:rPr>
          <w:rFonts w:hint="eastAsia"/>
        </w:rPr>
        <w:t>（二）计分办法（按四舍五入取至小数点后二位）</w:t>
      </w:r>
    </w:p>
    <w:p>
      <w:pPr>
        <w:spacing w:line="360" w:lineRule="auto"/>
        <w:ind w:firstLine="422" w:firstLineChars="200"/>
        <w:rPr>
          <w:b/>
          <w:bCs/>
        </w:rPr>
      </w:pPr>
      <w:r>
        <w:rPr>
          <w:rFonts w:hint="eastAsia"/>
          <w:b/>
          <w:bCs/>
        </w:rPr>
        <w:t>1.价格分……………………………………………………………………………………30分</w:t>
      </w:r>
    </w:p>
    <w:p>
      <w:pPr>
        <w:spacing w:line="360" w:lineRule="auto"/>
        <w:ind w:firstLine="420" w:firstLineChars="200"/>
      </w:pPr>
      <w:r>
        <w:rPr>
          <w:rFonts w:hint="eastAsia"/>
        </w:rPr>
        <w:t>（1）按照《政府采购促进中小企业发展暂行办法》（财库[2011]181号）规定：</w:t>
      </w:r>
    </w:p>
    <w:p>
      <w:pPr>
        <w:spacing w:line="360" w:lineRule="auto"/>
        <w:ind w:firstLine="420" w:firstLineChars="200"/>
      </w:pPr>
      <w:r>
        <w:rPr>
          <w:rFonts w:hint="eastAsia"/>
        </w:rPr>
        <w:t>①供应商认定为小型、微型企业且所提供的产品为小型、微型企业产品的（以响应文件提供的符合规定的有关证明材料为准），该产品最后报价给予10%的价格扣除，扣除后的价格为评审报价，即 该产品的评审报价=该产品的最后报价×（1-10%）；</w:t>
      </w:r>
    </w:p>
    <w:p>
      <w:pPr>
        <w:spacing w:line="360" w:lineRule="auto"/>
        <w:ind w:firstLine="420" w:firstLineChars="200"/>
      </w:pPr>
      <w:r>
        <w:rPr>
          <w:rFonts w:hint="eastAsia"/>
        </w:rPr>
        <w:t>②供应商为大中型企业与小型、微型企业组成联合体参与磋商，其中小型、微型企业的协议合同金额占到联合体协议合同总金额30%以上（含30%）的（供应商须于《联合协议书》中明确约定小型、微型企业的协议合同金额及所占比例，该金额应与磋商报价表所报金额对应一致），联合体供应商最 后报价给予2%的价格扣除，扣除后的价格为评审报价，即评审报价=最后报价×（1-2%）；</w:t>
      </w:r>
    </w:p>
    <w:p>
      <w:pPr>
        <w:spacing w:line="360" w:lineRule="auto"/>
        <w:ind w:firstLine="420" w:firstLineChars="200"/>
      </w:pPr>
      <w:r>
        <w:rPr>
          <w:rFonts w:hint="eastAsia"/>
        </w:rPr>
        <w:t>③除上述情况外，评审报价=最后报价。</w:t>
      </w:r>
    </w:p>
    <w:p>
      <w:pPr>
        <w:spacing w:line="360" w:lineRule="auto"/>
      </w:pPr>
      <w:r>
        <w:rPr>
          <w:rFonts w:hint="eastAsia"/>
        </w:rPr>
        <w:t>注：①小型、微型企业提供中型企业制造的货物的，视同为中型企业。</w:t>
      </w:r>
    </w:p>
    <w:p>
      <w:pPr>
        <w:spacing w:line="360" w:lineRule="auto"/>
        <w:ind w:firstLine="420" w:firstLineChars="200"/>
      </w:pPr>
      <w:r>
        <w:rPr>
          <w:rFonts w:hint="eastAsia"/>
        </w:rPr>
        <w:t>②评审报价为供应商的最后报价进行政策性扣除后的价格，评审报价只是作为评标时使用。最终成交人的成交金额＝最后报价。</w:t>
      </w:r>
    </w:p>
    <w:p>
      <w:pPr>
        <w:spacing w:line="360" w:lineRule="auto"/>
        <w:ind w:firstLine="420" w:firstLineChars="200"/>
      </w:pPr>
      <w:r>
        <w:rPr>
          <w:rFonts w:hint="eastAsia"/>
        </w:rPr>
        <w:t>（2）根据《关于政府采购支持监狱企业发展有关问题的通知》（财库[2014]68号）和《关于促进残疾人就业政府采购政策的通知》（财库[2017]141 号），监狱企业和符合条件的残疾人福利性单位视同小型、微型企业，享受小型、微型企业评审中价格扣除的政府采购政策。残疾人福利性单位属于小型、微型企业的，不重复享受政策。</w:t>
      </w:r>
    </w:p>
    <w:p>
      <w:pPr>
        <w:spacing w:line="360" w:lineRule="auto"/>
        <w:ind w:firstLine="420" w:firstLineChars="200"/>
      </w:pPr>
      <w:bookmarkStart w:id="16" w:name="2.服务方案分………………………………………………………………………………………"/>
      <w:bookmarkEnd w:id="16"/>
      <w:r>
        <w:rPr>
          <w:rFonts w:hint="eastAsia"/>
        </w:rPr>
        <w:t>（3）将通过初步评审的全部合格投标报价的平均价作为评标基准价。为30分。</w:t>
      </w:r>
    </w:p>
    <w:p>
      <w:pPr>
        <w:spacing w:line="360" w:lineRule="auto"/>
        <w:ind w:firstLine="420" w:firstLineChars="200"/>
      </w:pPr>
      <w:r>
        <w:rPr>
          <w:rFonts w:hint="eastAsia"/>
        </w:rPr>
        <w:t>（4）其他投标人的价格分统一按照下列公式计算：</w:t>
      </w:r>
    </w:p>
    <w:p>
      <w:pPr>
        <w:spacing w:line="360" w:lineRule="auto"/>
        <w:ind w:firstLine="420" w:firstLineChars="200"/>
      </w:pPr>
      <w:r>
        <w:rPr>
          <w:rFonts w:hint="eastAsia"/>
        </w:rPr>
        <w:t>评标报价每低于评标基准价1%扣1分，投标报价每高于评标基准价1%扣0.5分。</w:t>
      </w:r>
    </w:p>
    <w:p>
      <w:r>
        <w:rPr>
          <w:rFonts w:hint="eastAsia"/>
        </w:rPr>
        <w:br w:type="page"/>
      </w:r>
    </w:p>
    <w:p>
      <w:pPr>
        <w:spacing w:line="360" w:lineRule="auto"/>
        <w:ind w:firstLine="420" w:firstLineChars="200"/>
      </w:pPr>
      <w:r>
        <w:rPr>
          <w:rFonts w:hint="eastAsia"/>
        </w:rPr>
        <w:t>低于基准价价格得分=30-</w:t>
      </w:r>
      <w:r>
        <w:rPr>
          <w:rFonts w:hint="eastAsia"/>
          <w:position w:val="-26"/>
        </w:rPr>
        <w:object>
          <v:shape id="_x0000_i1025" o:spt="75" alt="" type="#_x0000_t75" style="height:33pt;width:120.8pt;" o:ole="t" filled="f" o:preferrelative="t" stroked="f" coordsize="21600,21600">
            <v:path/>
            <v:fill on="f" focussize="0,0"/>
            <v:stroke on="f"/>
            <v:imagedata r:id="rId14" o:title=""/>
            <o:lock v:ext="edit" aspectratio="t"/>
            <w10:wrap type="none"/>
            <w10:anchorlock/>
          </v:shape>
          <o:OLEObject Type="Embed" ProgID="Equation.KSEE3" ShapeID="_x0000_i1025" DrawAspect="Content" ObjectID="_1468075725" r:id="rId13">
            <o:LockedField>false</o:LockedField>
          </o:OLEObject>
        </w:object>
      </w:r>
      <w:r>
        <w:rPr>
          <w:rFonts w:hint="eastAsia"/>
        </w:rPr>
        <w:t>×1×100</w:t>
      </w:r>
    </w:p>
    <w:p>
      <w:pPr>
        <w:spacing w:line="360" w:lineRule="auto"/>
        <w:ind w:firstLine="420" w:firstLineChars="200"/>
      </w:pPr>
    </w:p>
    <w:p>
      <w:pPr>
        <w:spacing w:line="360" w:lineRule="auto"/>
        <w:ind w:firstLine="420" w:firstLineChars="200"/>
      </w:pPr>
      <w:r>
        <w:rPr>
          <w:rFonts w:hint="eastAsia"/>
        </w:rPr>
        <w:t>高于基准价价格得分=30-</w:t>
      </w:r>
      <w:r>
        <w:rPr>
          <w:rFonts w:hint="eastAsia"/>
          <w:position w:val="-26"/>
        </w:rPr>
        <w:object>
          <v:shape id="_x0000_i1026" o:spt="75" alt="" type="#_x0000_t75" style="height:33pt;width:120.75pt;" o:ole="t" filled="f" o:preferrelative="t" stroked="f" coordsize="21600,21600">
            <v:path/>
            <v:fill on="f" focussize="0,0"/>
            <v:stroke on="f"/>
            <v:imagedata r:id="rId16" o:title=""/>
            <o:lock v:ext="edit" aspectratio="t"/>
            <w10:wrap type="none"/>
            <w10:anchorlock/>
          </v:shape>
          <o:OLEObject Type="Embed" ProgID="Equation.KSEE3" ShapeID="_x0000_i1026" DrawAspect="Content" ObjectID="_1468075726" r:id="rId15">
            <o:LockedField>false</o:LockedField>
          </o:OLEObject>
        </w:object>
      </w:r>
      <w:r>
        <w:rPr>
          <w:rFonts w:hint="eastAsia"/>
        </w:rPr>
        <w:t>×0.5×100</w:t>
      </w:r>
    </w:p>
    <w:p>
      <w:pPr>
        <w:spacing w:line="360" w:lineRule="auto"/>
        <w:ind w:firstLine="422" w:firstLineChars="200"/>
        <w:jc w:val="left"/>
        <w:rPr>
          <w:b/>
          <w:bCs/>
        </w:rPr>
      </w:pPr>
      <w:r>
        <w:rPr>
          <w:rFonts w:hint="eastAsia"/>
          <w:b/>
          <w:bCs/>
        </w:rPr>
        <w:t xml:space="preserve">2.服务方案分……………………………………………………………………………30分 </w:t>
      </w:r>
    </w:p>
    <w:p>
      <w:pPr>
        <w:spacing w:line="360" w:lineRule="auto"/>
        <w:ind w:firstLine="420" w:firstLineChars="200"/>
      </w:pPr>
      <w:r>
        <w:rPr>
          <w:rFonts w:hint="eastAsia"/>
        </w:rPr>
        <w:t>评委根据各投标人提供“服务方案【包括服务设计、工作计划、人员配置、风险防控等项目管理和运营必备要素等】”的完整性、科学性、针对性、合理性进行综合评定，确定供应商“一档、二档、三档”各所属档次并形成书面材料确定等级评定档次，并详细记录各投标人差别；评委依照等级评定内容在相应档次内独立打分。</w:t>
      </w:r>
    </w:p>
    <w:p>
      <w:pPr>
        <w:spacing w:line="360" w:lineRule="auto"/>
        <w:ind w:firstLine="420" w:firstLineChars="200"/>
      </w:pPr>
      <w:r>
        <w:rPr>
          <w:rFonts w:hint="eastAsia"/>
        </w:rPr>
        <w:t>一档：（15分）投标人对项目需求理解一般，方案描述简单</w:t>
      </w:r>
    </w:p>
    <w:p>
      <w:pPr>
        <w:spacing w:line="360" w:lineRule="auto"/>
        <w:ind w:firstLine="420" w:firstLineChars="200"/>
      </w:pPr>
      <w:r>
        <w:rPr>
          <w:rFonts w:hint="eastAsia"/>
        </w:rPr>
        <w:t>二档：（22分)投标人对项目需求理解较好，方案描述详细，有可操作性；</w:t>
      </w:r>
    </w:p>
    <w:p>
      <w:pPr>
        <w:spacing w:line="360" w:lineRule="auto"/>
        <w:ind w:firstLine="420" w:firstLineChars="200"/>
      </w:pPr>
      <w:r>
        <w:rPr>
          <w:rFonts w:hint="eastAsia"/>
        </w:rPr>
        <w:t>三档：(30分)投标人对项目需求理解透彻，项目人员配置合理，制定完善合理的项目工作计划，提供的项目服务方案全面、客观，进度合理、严谨，可操作性强。</w:t>
      </w:r>
    </w:p>
    <w:p>
      <w:pPr>
        <w:spacing w:line="360" w:lineRule="auto"/>
        <w:ind w:firstLine="422" w:firstLineChars="200"/>
        <w:jc w:val="left"/>
        <w:rPr>
          <w:b/>
          <w:bCs/>
        </w:rPr>
      </w:pPr>
      <w:r>
        <w:rPr>
          <w:rFonts w:hint="eastAsia"/>
          <w:b/>
          <w:bCs/>
        </w:rPr>
        <w:t>3.服务承诺分………………………………………………………………………………1</w:t>
      </w:r>
      <w:r>
        <w:rPr>
          <w:rFonts w:hint="eastAsia"/>
          <w:b/>
          <w:bCs/>
          <w:lang w:val="en-US" w:eastAsia="zh-CN"/>
        </w:rPr>
        <w:t>0</w:t>
      </w:r>
      <w:r>
        <w:rPr>
          <w:rFonts w:hint="eastAsia"/>
          <w:b/>
          <w:bCs/>
        </w:rPr>
        <w:t xml:space="preserve">分 </w:t>
      </w:r>
    </w:p>
    <w:p>
      <w:pPr>
        <w:spacing w:line="360" w:lineRule="auto"/>
        <w:ind w:firstLine="420" w:firstLineChars="200"/>
      </w:pPr>
      <w:r>
        <w:rPr>
          <w:rFonts w:hint="eastAsia"/>
        </w:rPr>
        <w:t>评委小组根据各投标人提供的服务承诺（包含相应维护及服务措施）进行综合评定，确定供应商“一档、二档、三档”各所属档次并形成书面材料确定等级评定档次，并详细记录各投标人差别；评委依照等级评定内容在相应档次内独立打分。满分1</w:t>
      </w:r>
      <w:r>
        <w:rPr>
          <w:rFonts w:hint="eastAsia"/>
          <w:lang w:val="en-US" w:eastAsia="zh-CN"/>
        </w:rPr>
        <w:t>0</w:t>
      </w:r>
      <w:r>
        <w:rPr>
          <w:rFonts w:hint="eastAsia"/>
        </w:rPr>
        <w:t>分</w:t>
      </w:r>
    </w:p>
    <w:p>
      <w:pPr>
        <w:spacing w:line="360" w:lineRule="auto"/>
        <w:ind w:firstLine="420" w:firstLineChars="200"/>
      </w:pPr>
      <w:r>
        <w:rPr>
          <w:rFonts w:hint="eastAsia"/>
        </w:rPr>
        <w:t>一档：(</w:t>
      </w:r>
      <w:r>
        <w:rPr>
          <w:rFonts w:hint="eastAsia"/>
          <w:lang w:val="en-US" w:eastAsia="zh-CN"/>
        </w:rPr>
        <w:t>3</w:t>
      </w:r>
      <w:r>
        <w:rPr>
          <w:rFonts w:hint="eastAsia"/>
        </w:rPr>
        <w:t>分)供应商服务承诺方案一般，基本满足磋商文件要求。</w:t>
      </w:r>
    </w:p>
    <w:p>
      <w:pPr>
        <w:spacing w:line="360" w:lineRule="auto"/>
        <w:ind w:firstLine="420" w:firstLineChars="200"/>
      </w:pPr>
      <w:r>
        <w:rPr>
          <w:rFonts w:hint="eastAsia"/>
        </w:rPr>
        <w:t>二档：(</w:t>
      </w:r>
      <w:r>
        <w:rPr>
          <w:rFonts w:hint="eastAsia"/>
          <w:lang w:val="en-US" w:eastAsia="zh-CN"/>
        </w:rPr>
        <w:t>5</w:t>
      </w:r>
      <w:r>
        <w:rPr>
          <w:rFonts w:hint="eastAsia"/>
        </w:rPr>
        <w:t>分)供应商服务承诺方案良好，满足磋商文件要求。</w:t>
      </w:r>
    </w:p>
    <w:p>
      <w:pPr>
        <w:spacing w:line="360" w:lineRule="auto"/>
        <w:ind w:firstLine="420" w:firstLineChars="200"/>
        <w:rPr>
          <w:lang w:val="zh-CN"/>
        </w:rPr>
      </w:pPr>
      <w:r>
        <w:rPr>
          <w:rFonts w:hint="eastAsia"/>
        </w:rPr>
        <w:t>三档：(1</w:t>
      </w:r>
      <w:r>
        <w:rPr>
          <w:rFonts w:hint="eastAsia"/>
          <w:lang w:val="en-US" w:eastAsia="zh-CN"/>
        </w:rPr>
        <w:t>0</w:t>
      </w:r>
      <w:r>
        <w:rPr>
          <w:rFonts w:hint="eastAsia"/>
        </w:rPr>
        <w:t>分)</w:t>
      </w:r>
      <w:bookmarkStart w:id="17" w:name="4.业绩分……………………………………………………………………………………………"/>
      <w:bookmarkEnd w:id="17"/>
      <w:r>
        <w:rPr>
          <w:rFonts w:hint="eastAsia"/>
          <w:lang w:val="zh-CN"/>
        </w:rPr>
        <w:t>供应商服务承诺方案详尽优秀，优于磋商文件要求。</w:t>
      </w:r>
    </w:p>
    <w:p>
      <w:pPr>
        <w:spacing w:line="360" w:lineRule="auto"/>
        <w:ind w:firstLine="422" w:firstLineChars="200"/>
      </w:pPr>
      <w:r>
        <w:rPr>
          <w:rFonts w:hint="eastAsia"/>
          <w:b/>
          <w:bCs/>
        </w:rPr>
        <w:t>4.内部管理制度分………………………………………………………………………1</w:t>
      </w:r>
      <w:r>
        <w:rPr>
          <w:rFonts w:hint="eastAsia"/>
          <w:b/>
          <w:bCs/>
          <w:lang w:val="en-US" w:eastAsia="zh-CN"/>
        </w:rPr>
        <w:t>0</w:t>
      </w:r>
      <w:r>
        <w:rPr>
          <w:rFonts w:hint="eastAsia"/>
          <w:b/>
          <w:bCs/>
        </w:rPr>
        <w:t>分</w:t>
      </w:r>
      <w:r>
        <w:rPr>
          <w:rFonts w:hint="eastAsia"/>
        </w:rPr>
        <w:t xml:space="preserve"> </w:t>
      </w:r>
    </w:p>
    <w:p>
      <w:pPr>
        <w:spacing w:line="360" w:lineRule="auto"/>
        <w:ind w:firstLine="420" w:firstLineChars="200"/>
      </w:pPr>
      <w:r>
        <w:rPr>
          <w:rFonts w:hint="eastAsia"/>
        </w:rPr>
        <w:t>磋商小组对各磋商供应商提供的内部管理制度内容进行独立评审并打分：</w:t>
      </w:r>
    </w:p>
    <w:p>
      <w:pPr>
        <w:spacing w:line="360" w:lineRule="auto"/>
        <w:ind w:firstLine="420" w:firstLineChars="200"/>
      </w:pPr>
      <w:r>
        <w:rPr>
          <w:rFonts w:hint="eastAsia"/>
        </w:rPr>
        <w:t>一档（</w:t>
      </w:r>
      <w:r>
        <w:rPr>
          <w:rFonts w:hint="eastAsia"/>
          <w:lang w:val="en-US" w:eastAsia="zh-CN"/>
        </w:rPr>
        <w:t>3</w:t>
      </w:r>
      <w:r>
        <w:rPr>
          <w:rFonts w:hint="eastAsia"/>
        </w:rPr>
        <w:t>分）：投标人内部相关的经营管理制度简单，分项管理制度简单，基本满足项目需求；</w:t>
      </w:r>
    </w:p>
    <w:p>
      <w:pPr>
        <w:spacing w:line="360" w:lineRule="auto"/>
        <w:ind w:firstLine="420" w:firstLineChars="200"/>
      </w:pPr>
      <w:r>
        <w:rPr>
          <w:rFonts w:hint="eastAsia"/>
        </w:rPr>
        <w:t>二档</w:t>
      </w:r>
      <w:r>
        <w:rPr>
          <w:rFonts w:hint="eastAsia" w:ascii="Times New Roman" w:hAnsi="Times New Roman" w:cs="Times New Roman"/>
        </w:rPr>
        <w:t>（</w:t>
      </w:r>
      <w:r>
        <w:rPr>
          <w:rFonts w:hint="eastAsia" w:ascii="Times New Roman" w:hAnsi="Times New Roman" w:cs="Times New Roman"/>
          <w:lang w:val="en-US" w:eastAsia="zh-CN"/>
        </w:rPr>
        <w:t>5</w:t>
      </w:r>
      <w:r>
        <w:rPr>
          <w:rFonts w:hint="eastAsia" w:ascii="Times New Roman" w:hAnsi="Times New Roman" w:cs="Times New Roman"/>
        </w:rPr>
        <w:t>分）</w:t>
      </w:r>
      <w:r>
        <w:rPr>
          <w:rFonts w:hint="eastAsia"/>
        </w:rPr>
        <w:t>：投标人内部相关的经营管理制度完备、分项管理制度齐全，能较好地满足项目需求；</w:t>
      </w:r>
    </w:p>
    <w:p>
      <w:pPr>
        <w:spacing w:line="360" w:lineRule="auto"/>
        <w:ind w:firstLine="420" w:firstLineChars="200"/>
      </w:pPr>
      <w:r>
        <w:rPr>
          <w:rFonts w:hint="eastAsia"/>
        </w:rPr>
        <w:t>三档（1</w:t>
      </w:r>
      <w:r>
        <w:rPr>
          <w:rFonts w:hint="eastAsia"/>
          <w:lang w:val="en-US" w:eastAsia="zh-CN"/>
        </w:rPr>
        <w:t>0</w:t>
      </w:r>
      <w:r>
        <w:rPr>
          <w:rFonts w:hint="eastAsia"/>
        </w:rPr>
        <w:t>分）：投标人内部相关的经营管理制度完备并详尽、分项管理制度齐全并细致，完全满足项目需求；</w:t>
      </w:r>
    </w:p>
    <w:p>
      <w:pPr>
        <w:spacing w:line="360" w:lineRule="auto"/>
        <w:ind w:firstLine="422" w:firstLineChars="200"/>
        <w:rPr>
          <w:b/>
          <w:bCs/>
        </w:rPr>
      </w:pPr>
      <w:bookmarkStart w:id="18" w:name="5.财务状况分…………………………………………………………………………………满3"/>
      <w:bookmarkEnd w:id="18"/>
      <w:r>
        <w:rPr>
          <w:rFonts w:hint="eastAsia"/>
          <w:b/>
          <w:bCs/>
        </w:rPr>
        <w:t xml:space="preserve">5.信誉实力分……………………………………………………………………………10分 </w:t>
      </w:r>
    </w:p>
    <w:p>
      <w:pPr>
        <w:spacing w:line="360" w:lineRule="auto"/>
        <w:ind w:firstLine="420" w:firstLineChars="200"/>
      </w:pPr>
      <w:r>
        <w:rPr>
          <w:rFonts w:hint="eastAsia"/>
        </w:rPr>
        <w:t>（1）供应商承接过市级救助相关项目服务，并拥有相关服务经验的得3分；（提供中标、成交通知书或签订的合同等相关证明复印件），满分3分；</w:t>
      </w:r>
    </w:p>
    <w:p>
      <w:pPr>
        <w:spacing w:line="360" w:lineRule="auto"/>
        <w:ind w:firstLine="420" w:firstLineChars="200"/>
        <w:rPr>
          <w:b/>
          <w:bCs/>
        </w:rPr>
      </w:pPr>
      <w:r>
        <w:rPr>
          <w:rFonts w:hint="eastAsia"/>
        </w:rPr>
        <w:t>（2）供应商具有新闻发布优势及新媒体平台搭建优势的得2分，满分2分</w:t>
      </w:r>
      <w:r>
        <w:rPr>
          <w:rFonts w:hint="eastAsia"/>
          <w:b/>
          <w:bCs/>
        </w:rPr>
        <w:t>（提供合同等相关合作证明复印件）；</w:t>
      </w:r>
    </w:p>
    <w:p>
      <w:pPr>
        <w:spacing w:line="360" w:lineRule="auto"/>
        <w:ind w:firstLine="420" w:firstLineChars="200"/>
      </w:pPr>
      <w:r>
        <w:rPr>
          <w:rFonts w:hint="eastAsia"/>
        </w:rPr>
        <w:t>（3）投入本项目的专职人员中具有全国二级心理咨询师证书及以上（含二级）且具有两年及以上（含两年）工作经验的得3分【提供相关证明材料复印件】，满分3分</w:t>
      </w:r>
    </w:p>
    <w:p>
      <w:pPr>
        <w:spacing w:line="360" w:lineRule="auto"/>
        <w:ind w:firstLine="420" w:firstLineChars="200"/>
        <w:rPr>
          <w:rFonts w:hint="eastAsia"/>
          <w:b/>
          <w:bCs/>
        </w:rPr>
      </w:pPr>
      <w:r>
        <w:rPr>
          <w:rFonts w:hint="eastAsia"/>
        </w:rPr>
        <w:t>（4）专职工作人员中具有婚姻家庭咨询师证书的，每个得2分，满分2分。</w:t>
      </w:r>
      <w:r>
        <w:rPr>
          <w:rFonts w:hint="eastAsia"/>
          <w:b/>
          <w:bCs/>
        </w:rPr>
        <w:t>（提供证书复印件，原件核查，不提供原件不予计分）</w:t>
      </w:r>
    </w:p>
    <w:p>
      <w:pPr>
        <w:spacing w:line="360" w:lineRule="auto"/>
        <w:ind w:firstLine="422" w:firstLineChars="200"/>
        <w:rPr>
          <w:rFonts w:hint="eastAsia" w:ascii="Times New Roman" w:hAnsi="Times New Roman" w:cs="Times New Roman"/>
          <w:b/>
          <w:bCs/>
          <w:lang w:val="en-US" w:eastAsia="zh-CN"/>
        </w:rPr>
      </w:pPr>
      <w:r>
        <w:rPr>
          <w:rFonts w:hint="eastAsia" w:ascii="Times New Roman" w:hAnsi="Times New Roman" w:cs="Times New Roman"/>
          <w:b/>
          <w:bCs/>
          <w:lang w:val="en-US" w:eastAsia="zh-CN"/>
        </w:rPr>
        <w:t>6.</w:t>
      </w:r>
      <w:r>
        <w:rPr>
          <w:rFonts w:hint="eastAsia" w:ascii="Times New Roman" w:hAnsi="Times New Roman" w:cs="Times New Roman"/>
          <w:b/>
          <w:bCs/>
        </w:rPr>
        <w:t>场所设备</w:t>
      </w:r>
      <w:r>
        <w:rPr>
          <w:rFonts w:hint="eastAsia" w:ascii="Times New Roman" w:hAnsi="Times New Roman" w:cs="Times New Roman"/>
          <w:b/>
          <w:bCs/>
          <w:lang w:val="en-US" w:eastAsia="zh-CN"/>
        </w:rPr>
        <w:t>.........................................................................................................................10分</w:t>
      </w:r>
    </w:p>
    <w:p>
      <w:pPr>
        <w:pStyle w:val="2"/>
        <w:rPr>
          <w:rFonts w:hint="default"/>
          <w:lang w:val="en-US" w:eastAsia="zh-CN"/>
        </w:rPr>
      </w:pPr>
      <w:r>
        <w:rPr>
          <w:rFonts w:hint="eastAsia"/>
          <w:lang w:val="en-US" w:eastAsia="zh-CN"/>
        </w:rPr>
        <w:t>（1）在</w:t>
      </w:r>
      <w:r>
        <w:rPr>
          <w:rFonts w:hint="default"/>
          <w:lang w:val="en-US" w:eastAsia="zh-CN"/>
        </w:rPr>
        <w:t>桂林市区</w:t>
      </w:r>
      <w:r>
        <w:rPr>
          <w:rFonts w:hint="eastAsia"/>
          <w:lang w:val="en-US" w:eastAsia="zh-CN"/>
        </w:rPr>
        <w:t>有</w:t>
      </w:r>
      <w:r>
        <w:rPr>
          <w:rFonts w:hint="default"/>
          <w:lang w:val="en-US" w:eastAsia="zh-CN"/>
        </w:rPr>
        <w:t>营业场所的得</w:t>
      </w:r>
      <w:r>
        <w:rPr>
          <w:rFonts w:hint="eastAsia"/>
          <w:lang w:val="en-US" w:eastAsia="zh-CN"/>
        </w:rPr>
        <w:t>5</w:t>
      </w:r>
      <w:r>
        <w:rPr>
          <w:rFonts w:hint="default"/>
          <w:lang w:val="en-US" w:eastAsia="zh-CN"/>
        </w:rPr>
        <w:t>分，不满足的不得分。（提供租赁合同</w:t>
      </w:r>
      <w:r>
        <w:rPr>
          <w:rFonts w:hint="eastAsia"/>
          <w:lang w:val="en-US" w:eastAsia="zh-CN"/>
        </w:rPr>
        <w:t>或购房合同</w:t>
      </w:r>
      <w:r>
        <w:rPr>
          <w:rFonts w:hint="default"/>
          <w:lang w:val="en-US" w:eastAsia="zh-CN"/>
        </w:rPr>
        <w:t>，原件现场</w:t>
      </w:r>
      <w:r>
        <w:rPr>
          <w:rFonts w:hint="eastAsia"/>
          <w:lang w:val="en-US" w:eastAsia="zh-CN"/>
        </w:rPr>
        <w:t>核查，不提供不得分。</w:t>
      </w:r>
      <w:r>
        <w:rPr>
          <w:rFonts w:hint="default"/>
          <w:lang w:val="en-US" w:eastAsia="zh-CN"/>
        </w:rPr>
        <w:t>）</w:t>
      </w:r>
    </w:p>
    <w:p>
      <w:pPr>
        <w:spacing w:line="360" w:lineRule="auto"/>
        <w:ind w:firstLine="420" w:firstLineChars="200"/>
        <w:rPr>
          <w:rFonts w:hint="default"/>
          <w:lang w:val="en-US" w:eastAsia="zh-CN"/>
        </w:rPr>
      </w:pPr>
      <w:r>
        <w:rPr>
          <w:rFonts w:hint="eastAsia"/>
          <w:lang w:val="en-US" w:eastAsia="zh-CN"/>
        </w:rPr>
        <w:t>（2）投标人在桂林市的营业场所有固定的工作人员及办公设备。（提供办公场所图片为依据，不提供不得分）（5分）</w:t>
      </w:r>
    </w:p>
    <w:p>
      <w:pPr>
        <w:spacing w:line="360" w:lineRule="auto"/>
        <w:ind w:firstLine="422" w:firstLineChars="200"/>
        <w:rPr>
          <w:rFonts w:hint="default" w:eastAsia="宋体"/>
          <w:b/>
          <w:bCs/>
          <w:lang w:val="en-US" w:eastAsia="zh-CN"/>
        </w:rPr>
      </w:pPr>
      <w:r>
        <w:rPr>
          <w:rFonts w:hint="eastAsia"/>
          <w:b/>
          <w:bCs/>
        </w:rPr>
        <w:t>6.综合得分＝1+2+3+4+5</w:t>
      </w:r>
      <w:r>
        <w:rPr>
          <w:rFonts w:hint="eastAsia"/>
          <w:b/>
          <w:bCs/>
          <w:lang w:val="en-US" w:eastAsia="zh-CN"/>
        </w:rPr>
        <w:t>+6</w:t>
      </w:r>
    </w:p>
    <w:p>
      <w:pPr>
        <w:spacing w:line="360" w:lineRule="auto"/>
        <w:ind w:firstLine="422" w:firstLineChars="200"/>
        <w:rPr>
          <w:b/>
          <w:bCs/>
        </w:rPr>
      </w:pPr>
      <w:r>
        <w:rPr>
          <w:rFonts w:hint="eastAsia"/>
          <w:b/>
          <w:bCs/>
        </w:rPr>
        <w:t>三、推荐成交候选供应商原则</w:t>
      </w:r>
    </w:p>
    <w:p>
      <w:pPr>
        <w:spacing w:line="360" w:lineRule="auto"/>
        <w:ind w:firstLine="420" w:firstLineChars="200"/>
      </w:pPr>
      <w:r>
        <w:rPr>
          <w:rFonts w:hint="eastAsia"/>
        </w:rPr>
        <w:t>⑴磋商小组应当根据综合评分情况，按照评审得分由高到低顺序推荐3名以上（含3名）成交候选供应商，并编写评审报告；如采购项目为政府购买服务项目（含政府和社会资本合作项目），磋商小组应当根据综合评分情况，按照评审得分由高到低顺序推荐2名以上（含2名）成交候选供应商，并编写评审报告。磋商小组根据综合得分由高到低排列次序，若得分相同时，以评标报价由低到高顺序排列；若得分相同且评标报价相同的，以磋商报价由低到高顺序排列；若仍相同时，按服务方案得分由高到低的顺序排列并推荐成交供应商。若仍相同时，则由磋商小组集体讨论确定。</w:t>
      </w:r>
    </w:p>
    <w:p>
      <w:pPr>
        <w:spacing w:line="360" w:lineRule="auto"/>
        <w:ind w:firstLine="420" w:firstLineChars="200"/>
      </w:pPr>
      <w:r>
        <w:rPr>
          <w:rFonts w:hint="eastAsia"/>
        </w:rPr>
        <w:t>⑵采购单位应当确定磋商小组推荐排名第一的成交候选供应商为成交供应商。</w:t>
      </w:r>
    </w:p>
    <w:p>
      <w:pPr>
        <w:spacing w:line="360" w:lineRule="auto"/>
        <w:ind w:firstLine="420" w:firstLineChars="200"/>
      </w:pPr>
      <w:r>
        <w:rPr>
          <w:rFonts w:hint="eastAsia"/>
        </w:rPr>
        <w:t>⑶排名第一的成交候选供应商放弃成交、因不可抗力提出不能履行合同，或者磋商文件规定应当提交履约保证金而在规定的期限内未能提交的，采购单位可以确定排名第二的成交候选供应商为成交供应商或重新采购。</w:t>
      </w:r>
    </w:p>
    <w:p>
      <w:pPr>
        <w:spacing w:line="360" w:lineRule="auto"/>
        <w:ind w:firstLine="420" w:firstLineChars="200"/>
      </w:pPr>
      <w:r>
        <w:rPr>
          <w:rFonts w:hint="eastAsia"/>
        </w:rPr>
        <w:t>⑷第二成交候选供应商因前款规定的同样原因不能签订合同的，采购单位可以确定排名第三的成交候选供应商为成交供应商或重新采购。</w:t>
      </w:r>
      <w:bookmarkStart w:id="19" w:name="第五章__政府采购合同（合同主要条款及格式）"/>
      <w:bookmarkEnd w:id="19"/>
      <w:bookmarkStart w:id="20" w:name="3.服务承诺分………………………………………………………………………………………"/>
      <w:bookmarkEnd w:id="20"/>
    </w:p>
    <w:p>
      <w:pPr>
        <w:rPr>
          <w:rFonts w:ascii="宋体" w:hAnsi="宋体" w:cs="宋体"/>
        </w:rPr>
      </w:pPr>
      <w:r>
        <w:rPr>
          <w:rFonts w:hint="eastAsia" w:ascii="宋体" w:hAnsi="宋体" w:cs="宋体"/>
        </w:rPr>
        <w:br w:type="page"/>
      </w:r>
      <w:bookmarkStart w:id="21" w:name="_Toc30069"/>
    </w:p>
    <w:p>
      <w:pPr>
        <w:pStyle w:val="3"/>
        <w:jc w:val="center"/>
        <w:rPr>
          <w:rStyle w:val="48"/>
          <w:b/>
          <w:bCs/>
          <w:sz w:val="36"/>
          <w:szCs w:val="36"/>
        </w:rPr>
      </w:pPr>
      <w:r>
        <w:rPr>
          <w:rStyle w:val="48"/>
          <w:rFonts w:hint="eastAsia"/>
          <w:b/>
          <w:bCs/>
          <w:sz w:val="36"/>
          <w:szCs w:val="36"/>
        </w:rPr>
        <w:t>第五章  政府采购合同（合同主要条款及格式）</w:t>
      </w:r>
      <w:bookmarkEnd w:id="15"/>
      <w:bookmarkEnd w:id="21"/>
    </w:p>
    <w:p>
      <w:pPr>
        <w:spacing w:line="480" w:lineRule="auto"/>
        <w:rPr>
          <w:rFonts w:ascii="宋体" w:hAnsi="宋体" w:cs="宋体"/>
          <w:u w:val="single"/>
        </w:rPr>
      </w:pPr>
      <w:r>
        <w:rPr>
          <w:rFonts w:hint="eastAsia" w:ascii="宋体" w:hAnsi="宋体" w:cs="宋体"/>
        </w:rPr>
        <w:t>项目名称：</w:t>
      </w:r>
      <w:r>
        <w:rPr>
          <w:rFonts w:hint="eastAsia" w:ascii="宋体" w:hAnsi="宋体" w:cs="宋体"/>
          <w:u w:val="single"/>
        </w:rPr>
        <w:t xml:space="preserve">社会救助及特困人员开展入户核查评估服务采购 </w:t>
      </w:r>
    </w:p>
    <w:p>
      <w:pPr>
        <w:spacing w:line="480" w:lineRule="auto"/>
        <w:rPr>
          <w:rFonts w:ascii="宋体" w:hAnsi="宋体" w:cs="宋体"/>
          <w:u w:val="single"/>
        </w:rPr>
      </w:pPr>
      <w:r>
        <w:rPr>
          <w:rFonts w:hint="eastAsia" w:ascii="宋体" w:hAnsi="宋体" w:cs="宋体"/>
        </w:rPr>
        <w:t>项目编号：</w:t>
      </w:r>
      <w:r>
        <w:fldChar w:fldCharType="begin"/>
      </w:r>
      <w:r>
        <w:instrText xml:space="preserve"> HYPERLINK "https://pay.zcygov.cn/purchaseplan_front/" \l "/order/_blank" \t "https://www.zcygov.cn/bidding-entrust/" </w:instrText>
      </w:r>
      <w:r>
        <w:fldChar w:fldCharType="separate"/>
      </w:r>
      <w:r>
        <w:rPr>
          <w:rFonts w:hint="eastAsia" w:ascii="宋体" w:hAnsi="宋体" w:cs="宋体"/>
          <w:u w:val="single"/>
        </w:rPr>
        <w:t>GLZC2020-C3-01328-001</w:t>
      </w:r>
      <w:r>
        <w:rPr>
          <w:rFonts w:hint="eastAsia" w:ascii="宋体" w:hAnsi="宋体" w:cs="宋体"/>
          <w:u w:val="single"/>
        </w:rPr>
        <w:fldChar w:fldCharType="end"/>
      </w:r>
      <w:r>
        <w:rPr>
          <w:rFonts w:hint="eastAsia" w:ascii="宋体" w:hAnsi="宋体" w:cs="宋体"/>
          <w:u w:val="single"/>
        </w:rPr>
        <w:t xml:space="preserve">                      </w:t>
      </w:r>
    </w:p>
    <w:p>
      <w:pPr>
        <w:spacing w:line="480" w:lineRule="auto"/>
        <w:rPr>
          <w:rFonts w:ascii="宋体" w:hAnsi="宋体" w:cs="宋体"/>
          <w:u w:val="single"/>
        </w:rPr>
      </w:pPr>
      <w:r>
        <w:rPr>
          <w:rFonts w:hint="eastAsia" w:ascii="宋体" w:hAnsi="宋体" w:cs="宋体"/>
        </w:rPr>
        <w:t>甲    方：</w:t>
      </w:r>
      <w:r>
        <w:rPr>
          <w:rFonts w:hint="eastAsia" w:ascii="宋体" w:hAnsi="宋体" w:cs="宋体"/>
          <w:u w:val="single"/>
        </w:rPr>
        <w:t xml:space="preserve"> </w:t>
      </w:r>
      <w:r>
        <w:rPr>
          <w:rFonts w:hint="eastAsia"/>
          <w:u w:val="single"/>
        </w:rPr>
        <w:t xml:space="preserve"> </w:t>
      </w:r>
      <w:r>
        <w:rPr>
          <w:u w:val="single"/>
        </w:rPr>
        <w:t>桂林市秀峰区民政局</w:t>
      </w:r>
      <w:r>
        <w:rPr>
          <w:rFonts w:hint="eastAsia" w:eastAsia="Times New Roman"/>
          <w:u w:val="single"/>
        </w:rPr>
        <w:t xml:space="preserve"> </w:t>
      </w:r>
      <w:r>
        <w:rPr>
          <w:rFonts w:hint="eastAsia" w:ascii="宋体" w:hAnsi="宋体" w:cs="宋体"/>
          <w:u w:val="single"/>
        </w:rPr>
        <w:t xml:space="preserve">（采购人）            </w:t>
      </w:r>
    </w:p>
    <w:p>
      <w:pPr>
        <w:spacing w:line="480" w:lineRule="auto"/>
        <w:rPr>
          <w:rFonts w:ascii="宋体" w:hAnsi="宋体" w:cs="宋体"/>
          <w:u w:val="single"/>
        </w:rPr>
      </w:pPr>
      <w:r>
        <w:rPr>
          <w:rFonts w:hint="eastAsia" w:ascii="宋体" w:hAnsi="宋体" w:cs="宋体"/>
        </w:rPr>
        <w:t>乙    方：</w:t>
      </w:r>
      <w:r>
        <w:rPr>
          <w:rFonts w:hint="eastAsia" w:ascii="宋体" w:hAnsi="宋体" w:cs="宋体"/>
          <w:u w:val="single"/>
        </w:rPr>
        <w:t xml:space="preserve">                      （成交供应商）       </w:t>
      </w:r>
    </w:p>
    <w:p>
      <w:pPr>
        <w:pStyle w:val="15"/>
      </w:pPr>
    </w:p>
    <w:p>
      <w:pPr>
        <w:spacing w:line="400" w:lineRule="exact"/>
        <w:ind w:firstLine="420" w:firstLineChars="200"/>
        <w:rPr>
          <w:rFonts w:ascii="宋体" w:hAnsi="宋体" w:cs="宋体"/>
          <w:szCs w:val="21"/>
        </w:rPr>
      </w:pPr>
      <w:r>
        <w:rPr>
          <w:rFonts w:ascii="宋体" w:hAnsi="宋体" w:cs="宋体"/>
          <w:szCs w:val="21"/>
        </w:rPr>
        <w:t>根据《中华人民共和国政府采购法》、《政府采购竞争性磋商采购方式管理暂行办法》、《中华人民共和国合同法》等法律、法规规定，按照竞争性磋商文件（以下简称磋商文件）、竞争性磋商响应文件（以下简称响应文件）规定条款和成交供应商的承诺、甲乙双方签订本采购合同。</w:t>
      </w:r>
    </w:p>
    <w:p>
      <w:pPr>
        <w:spacing w:line="400" w:lineRule="exact"/>
        <w:ind w:firstLine="422" w:firstLineChars="200"/>
        <w:rPr>
          <w:rFonts w:ascii="宋体" w:hAnsi="宋体" w:cs="宋体"/>
          <w:szCs w:val="21"/>
        </w:rPr>
      </w:pPr>
      <w:r>
        <w:rPr>
          <w:rFonts w:hint="eastAsia" w:ascii="宋体" w:hAnsi="宋体" w:cs="宋体"/>
          <w:b/>
          <w:bCs/>
          <w:szCs w:val="21"/>
        </w:rPr>
        <w:t>第一条</w:t>
      </w:r>
      <w:r>
        <w:rPr>
          <w:rFonts w:hint="eastAsia" w:ascii="宋体" w:hAnsi="宋体" w:cs="宋体"/>
          <w:szCs w:val="21"/>
        </w:rPr>
        <w:t xml:space="preserve"> </w:t>
      </w:r>
      <w:r>
        <w:rPr>
          <w:rFonts w:ascii="宋体" w:hAnsi="宋体" w:cs="宋体"/>
          <w:szCs w:val="21"/>
        </w:rPr>
        <w:t>合同文件</w:t>
      </w:r>
    </w:p>
    <w:p>
      <w:pPr>
        <w:spacing w:line="400" w:lineRule="exact"/>
        <w:ind w:firstLine="420" w:firstLineChars="200"/>
        <w:rPr>
          <w:rFonts w:ascii="宋体" w:hAnsi="宋体" w:cs="宋体"/>
          <w:szCs w:val="21"/>
        </w:rPr>
      </w:pPr>
      <w:r>
        <w:rPr>
          <w:rFonts w:ascii="宋体" w:hAnsi="宋体" w:cs="宋体"/>
          <w:szCs w:val="21"/>
        </w:rPr>
        <w:t>本合同所附下列文件是构成本合同不可分割的部分：</w:t>
      </w:r>
    </w:p>
    <w:p>
      <w:pPr>
        <w:spacing w:line="400" w:lineRule="exact"/>
        <w:ind w:firstLine="420" w:firstLineChars="200"/>
        <w:rPr>
          <w:rFonts w:ascii="宋体" w:hAnsi="宋体" w:cs="宋体"/>
          <w:szCs w:val="21"/>
        </w:rPr>
      </w:pPr>
      <w:r>
        <w:rPr>
          <w:rFonts w:ascii="宋体" w:hAnsi="宋体" w:cs="宋体"/>
          <w:szCs w:val="21"/>
        </w:rPr>
        <w:t>（1）中标供应商提交的投标报价表、针对本项目的服务方案和服务承诺；</w:t>
      </w:r>
    </w:p>
    <w:p>
      <w:pPr>
        <w:spacing w:line="400" w:lineRule="exact"/>
        <w:ind w:firstLine="420" w:firstLineChars="200"/>
        <w:rPr>
          <w:rFonts w:ascii="宋体" w:hAnsi="宋体" w:cs="宋体"/>
          <w:szCs w:val="21"/>
        </w:rPr>
      </w:pPr>
      <w:r>
        <w:rPr>
          <w:rFonts w:ascii="宋体" w:hAnsi="宋体" w:cs="宋体"/>
          <w:szCs w:val="21"/>
        </w:rPr>
        <w:t>（2）中标通知书；</w:t>
      </w:r>
    </w:p>
    <w:p>
      <w:pPr>
        <w:spacing w:line="400" w:lineRule="exact"/>
        <w:ind w:firstLine="420" w:firstLineChars="200"/>
        <w:rPr>
          <w:rFonts w:ascii="宋体" w:hAnsi="宋体" w:cs="宋体"/>
          <w:szCs w:val="21"/>
        </w:rPr>
      </w:pPr>
      <w:r>
        <w:rPr>
          <w:rFonts w:ascii="宋体" w:hAnsi="宋体" w:cs="宋体"/>
          <w:szCs w:val="21"/>
        </w:rPr>
        <w:t>（3）本合同协议书及有关补充资料；</w:t>
      </w:r>
    </w:p>
    <w:p>
      <w:pPr>
        <w:spacing w:line="400" w:lineRule="exact"/>
        <w:ind w:firstLine="420" w:firstLineChars="200"/>
        <w:rPr>
          <w:rFonts w:ascii="宋体" w:hAnsi="宋体" w:cs="宋体"/>
          <w:szCs w:val="21"/>
        </w:rPr>
      </w:pPr>
      <w:r>
        <w:rPr>
          <w:rFonts w:ascii="宋体" w:hAnsi="宋体" w:cs="宋体"/>
          <w:szCs w:val="21"/>
        </w:rPr>
        <w:t xml:space="preserve">（4）招标文件的条款要求及服务采购需求。 </w:t>
      </w:r>
    </w:p>
    <w:p>
      <w:pPr>
        <w:spacing w:line="400" w:lineRule="exact"/>
        <w:ind w:firstLine="422" w:firstLineChars="200"/>
        <w:rPr>
          <w:rFonts w:ascii="宋体" w:hAnsi="宋体" w:cs="宋体"/>
          <w:szCs w:val="21"/>
        </w:rPr>
      </w:pPr>
      <w:r>
        <w:rPr>
          <w:rFonts w:ascii="宋体" w:hAnsi="宋体" w:cs="宋体"/>
          <w:b/>
          <w:bCs/>
          <w:szCs w:val="21"/>
        </w:rPr>
        <w:t>第二条</w:t>
      </w:r>
      <w:r>
        <w:rPr>
          <w:rFonts w:hint="eastAsia" w:ascii="宋体" w:hAnsi="宋体" w:cs="宋体"/>
          <w:b/>
          <w:bCs/>
          <w:szCs w:val="21"/>
        </w:rPr>
        <w:t xml:space="preserve"> </w:t>
      </w:r>
      <w:r>
        <w:rPr>
          <w:rFonts w:ascii="宋体" w:hAnsi="宋体" w:cs="宋体"/>
          <w:szCs w:val="21"/>
        </w:rPr>
        <w:t>合同金额</w:t>
      </w:r>
    </w:p>
    <w:p>
      <w:pPr>
        <w:spacing w:line="400" w:lineRule="exact"/>
        <w:ind w:firstLine="422" w:firstLineChars="200"/>
        <w:rPr>
          <w:rFonts w:ascii="宋体" w:hAnsi="宋体" w:cs="宋体"/>
          <w:szCs w:val="21"/>
        </w:rPr>
      </w:pPr>
      <w:r>
        <w:rPr>
          <w:rFonts w:ascii="宋体" w:hAnsi="宋体" w:cs="宋体"/>
          <w:b/>
          <w:bCs/>
          <w:szCs w:val="21"/>
        </w:rPr>
        <mc:AlternateContent>
          <mc:Choice Requires="wpg">
            <w:drawing>
              <wp:anchor distT="0" distB="0" distL="114300" distR="114300" simplePos="0" relativeHeight="251660288" behindDoc="1" locked="0" layoutInCell="1" allowOverlap="1">
                <wp:simplePos x="0" y="0"/>
                <wp:positionH relativeFrom="page">
                  <wp:posOffset>6972300</wp:posOffset>
                </wp:positionH>
                <wp:positionV relativeFrom="paragraph">
                  <wp:posOffset>177165</wp:posOffset>
                </wp:positionV>
                <wp:extent cx="1270" cy="6350"/>
                <wp:effectExtent l="0" t="0" r="0" b="0"/>
                <wp:wrapNone/>
                <wp:docPr id="4" name="组合 19"/>
                <wp:cNvGraphicFramePr/>
                <a:graphic xmlns:a="http://schemas.openxmlformats.org/drawingml/2006/main">
                  <a:graphicData uri="http://schemas.microsoft.com/office/word/2010/wordprocessingGroup">
                    <wpg:wgp>
                      <wpg:cNvGrpSpPr/>
                      <wpg:grpSpPr>
                        <a:xfrm>
                          <a:off x="0" y="0"/>
                          <a:ext cx="1270" cy="6350"/>
                          <a:chOff x="10981" y="279"/>
                          <a:chExt cx="2" cy="10203203"/>
                        </a:xfrm>
                      </wpg:grpSpPr>
                      <wps:wsp>
                        <wps:cNvPr id="3" name="任意多边形 8"/>
                        <wps:cNvSpPr/>
                        <wps:spPr>
                          <a:xfrm>
                            <a:off x="10981" y="279"/>
                            <a:ext cx="2" cy="10"/>
                          </a:xfrm>
                          <a:custGeom>
                            <a:avLst/>
                            <a:gdLst>
                              <a:gd name="A1" fmla="val 0"/>
                              <a:gd name="A2" fmla="val 0"/>
                              <a:gd name="A3" fmla="val 0"/>
                            </a:gdLst>
                            <a:ahLst/>
                            <a:cxnLst/>
                            <a:pathLst>
                              <a:path w="1" h="10">
                                <a:moveTo>
                                  <a:pt x="0" y="0"/>
                                </a:moveTo>
                                <a:lnTo>
                                  <a:pt x="0" y="10"/>
                                </a:lnTo>
                              </a:path>
                            </a:pathLst>
                          </a:custGeom>
                          <a:noFill/>
                          <a:ln w="1270" cap="flat" cmpd="sng">
                            <a:solidFill>
                              <a:srgbClr val="000000"/>
                            </a:solidFill>
                            <a:prstDash val="solid"/>
                            <a:round/>
                            <a:headEnd type="none" w="med" len="med"/>
                            <a:tailEnd type="none" w="med" len="med"/>
                          </a:ln>
                        </wps:spPr>
                        <wps:bodyPr upright="1"/>
                      </wps:wsp>
                    </wpg:wgp>
                  </a:graphicData>
                </a:graphic>
              </wp:anchor>
            </w:drawing>
          </mc:Choice>
          <mc:Fallback>
            <w:pict>
              <v:group id="组合 19" o:spid="_x0000_s1026" o:spt="203" style="position:absolute;left:0pt;margin-left:549pt;margin-top:13.95pt;height:0.5pt;width:0.1pt;mso-position-horizontal-relative:page;z-index:-251656192;mso-width-relative:page;mso-height-relative:page;" coordorigin="10981,279" coordsize="2,10203203" o:gfxdata="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o3u7PNkAAAALAQAADwAAAAAAAAABACAA&#10;AAAiAAAAZHJzL2Rvd25yZXYueG1sUEsBAhQAFAAAAAgAh07iQN7r/FO3AgAAHwYAAA4AAAAAAAAA&#10;AQAgAAAAKAEAAGRycy9lMm9Eb2MueG1sUEsFBgAAAAAGAAYAWQEAAFEGAAAAAA==&#10;">
                <o:lock v:ext="edit" aspectratio="f"/>
                <v:shape id="任意多边形 8" o:spid="_x0000_s1026" o:spt="100" style="position:absolute;left:10981;top:279;height:10;width:2;" filled="f" stroked="t" coordsize="1,10" o:gfxdata="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Y8I1S8AAAA&#10;2gAAAA8AAAAAAAAAAQAgAAAAIgAAAGRycy9kb3ducmV2LnhtbFBLAQIUABQAAAAIAIdO4kAzLwWe&#10;OwAAADkAAAAQAAAAAAAAAAEAIAAAAAsBAABkcnMvc2hhcGV4bWwueG1sUEsFBgAAAAAGAAYAWwEA&#10;ALUDAAAAAA==&#10;" path="m0,0l0,10e">
                  <v:fill on="f" focussize="0,0"/>
                  <v:stroke weight="0.1pt" color="#000000" joinstyle="round"/>
                  <v:imagedata o:title=""/>
                  <o:lock v:ext="edit" aspectratio="f"/>
                </v:shape>
              </v:group>
            </w:pict>
          </mc:Fallback>
        </mc:AlternateContent>
      </w:r>
      <w:r>
        <w:rPr>
          <w:rFonts w:ascii="宋体" w:hAnsi="宋体" w:cs="宋体"/>
          <w:szCs w:val="21"/>
        </w:rPr>
        <w:t>根据《中标通知书》的中标内容，合同的总金额为： （ 大 写 ） 人民币（￥</w:t>
      </w:r>
      <w:r>
        <w:rPr>
          <w:rFonts w:ascii="宋体" w:hAnsi="宋体" w:cs="宋体"/>
          <w:szCs w:val="21"/>
        </w:rPr>
        <w:tab/>
      </w:r>
      <w:r>
        <w:rPr>
          <w:rFonts w:ascii="宋体" w:hAnsi="宋体" w:cs="宋体"/>
          <w:szCs w:val="21"/>
        </w:rPr>
        <w:t>元），合同金额包括：服务过程中相关的一切费用。</w:t>
      </w:r>
    </w:p>
    <w:p>
      <w:pPr>
        <w:spacing w:line="400" w:lineRule="exact"/>
        <w:ind w:firstLine="422" w:firstLineChars="200"/>
        <w:rPr>
          <w:rFonts w:ascii="宋体" w:hAnsi="宋体" w:cs="宋体"/>
          <w:szCs w:val="21"/>
        </w:rPr>
      </w:pPr>
      <w:r>
        <w:rPr>
          <w:rFonts w:ascii="宋体" w:hAnsi="宋体" w:cs="宋体"/>
          <w:b/>
          <w:bCs/>
          <w:szCs w:val="21"/>
        </w:rPr>
        <w:t>第三条</w:t>
      </w:r>
      <w:r>
        <w:rPr>
          <w:rFonts w:hint="eastAsia" w:ascii="宋体" w:hAnsi="宋体" w:cs="宋体"/>
          <w:szCs w:val="21"/>
        </w:rPr>
        <w:t xml:space="preserve"> </w:t>
      </w:r>
      <w:r>
        <w:rPr>
          <w:rFonts w:ascii="宋体" w:hAnsi="宋体" w:cs="宋体"/>
          <w:szCs w:val="21"/>
        </w:rPr>
        <w:t>服务保证乙方应按招标文件规定的服务范围向甲方提供相应服务。乙方负责对成果文件进行说明和解释，</w:t>
      </w:r>
    </w:p>
    <w:p>
      <w:pPr>
        <w:spacing w:line="400" w:lineRule="exact"/>
        <w:ind w:firstLine="420" w:firstLineChars="200"/>
        <w:rPr>
          <w:rFonts w:ascii="宋体" w:hAnsi="宋体" w:cs="宋体"/>
          <w:szCs w:val="21"/>
        </w:rPr>
      </w:pPr>
      <w:r>
        <w:rPr>
          <w:rFonts w:ascii="宋体" w:hAnsi="宋体" w:cs="宋体"/>
          <w:szCs w:val="21"/>
        </w:rPr>
        <w:t>对成果文件出现的遗漏或错误负责补充或修改，使其达到质量要求。</w:t>
      </w:r>
    </w:p>
    <w:p>
      <w:pPr>
        <w:spacing w:line="400" w:lineRule="exact"/>
        <w:ind w:firstLine="422" w:firstLineChars="200"/>
        <w:rPr>
          <w:rFonts w:ascii="宋体" w:hAnsi="宋体" w:cs="宋体"/>
          <w:szCs w:val="21"/>
        </w:rPr>
      </w:pPr>
      <w:r>
        <w:rPr>
          <w:rFonts w:ascii="宋体" w:hAnsi="宋体" w:cs="宋体"/>
          <w:b/>
          <w:bCs/>
          <w:szCs w:val="21"/>
        </w:rPr>
        <w:t>第四条</w:t>
      </w:r>
      <w:r>
        <w:rPr>
          <w:rFonts w:hint="eastAsia" w:ascii="宋体" w:hAnsi="宋体" w:cs="宋体"/>
          <w:szCs w:val="21"/>
        </w:rPr>
        <w:t xml:space="preserve"> </w:t>
      </w:r>
      <w:r>
        <w:rPr>
          <w:rFonts w:ascii="宋体" w:hAnsi="宋体" w:cs="宋体"/>
          <w:szCs w:val="21"/>
        </w:rPr>
        <w:t>权力保证</w:t>
      </w:r>
    </w:p>
    <w:p>
      <w:pPr>
        <w:spacing w:line="400" w:lineRule="exact"/>
        <w:ind w:firstLine="420" w:firstLineChars="200"/>
        <w:rPr>
          <w:rFonts w:ascii="宋体" w:hAnsi="宋体" w:cs="宋体"/>
          <w:szCs w:val="21"/>
        </w:rPr>
      </w:pPr>
      <w:r>
        <w:rPr>
          <w:rFonts w:ascii="宋体" w:hAnsi="宋体" w:cs="宋体"/>
          <w:szCs w:val="21"/>
        </w:rPr>
        <w:t>乙方应保证所提供服务在使用时不会侵犯任何第三方的专利权、商标权、工业设计权或其他权利，否则，乙方向第三方承担一切责任外，还应向甲方承担合同总金额30%的违约责任。</w:t>
      </w:r>
    </w:p>
    <w:p>
      <w:pPr>
        <w:spacing w:line="400" w:lineRule="exact"/>
        <w:ind w:firstLine="422" w:firstLineChars="200"/>
        <w:rPr>
          <w:rFonts w:ascii="宋体" w:hAnsi="宋体" w:cs="宋体"/>
          <w:szCs w:val="21"/>
        </w:rPr>
      </w:pPr>
      <w:r>
        <w:rPr>
          <w:rFonts w:ascii="宋体" w:hAnsi="宋体" w:cs="宋体"/>
          <w:b/>
          <w:bCs/>
          <w:szCs w:val="21"/>
        </w:rPr>
        <w:t>第五条</w:t>
      </w:r>
      <w:r>
        <w:rPr>
          <w:rFonts w:hint="eastAsia" w:ascii="宋体" w:hAnsi="宋体" w:cs="宋体"/>
          <w:b/>
          <w:bCs/>
          <w:szCs w:val="21"/>
        </w:rPr>
        <w:t xml:space="preserve"> </w:t>
      </w:r>
      <w:r>
        <w:rPr>
          <w:rFonts w:ascii="宋体" w:hAnsi="宋体" w:cs="宋体"/>
          <w:szCs w:val="21"/>
        </w:rPr>
        <w:t>交付</w:t>
      </w:r>
    </w:p>
    <w:p>
      <w:pPr>
        <w:spacing w:line="400" w:lineRule="exact"/>
        <w:ind w:firstLine="420" w:firstLineChars="200"/>
        <w:rPr>
          <w:rFonts w:ascii="宋体" w:hAnsi="宋体" w:cs="宋体"/>
          <w:szCs w:val="21"/>
        </w:rPr>
      </w:pPr>
      <w:r>
        <w:rPr>
          <w:rFonts w:ascii="宋体" w:hAnsi="宋体" w:cs="宋体"/>
          <w:szCs w:val="21"/>
        </w:rPr>
        <w:t>1、服务时间：</w:t>
      </w:r>
      <w:r>
        <w:rPr>
          <w:rFonts w:ascii="宋体" w:hAnsi="宋体" w:cs="宋体"/>
          <w:szCs w:val="21"/>
        </w:rPr>
        <w:tab/>
      </w:r>
      <w:r>
        <w:rPr>
          <w:rFonts w:hint="eastAsia" w:ascii="宋体" w:hAnsi="宋体" w:cs="宋体"/>
          <w:szCs w:val="21"/>
        </w:rPr>
        <w:t xml:space="preserve">               </w:t>
      </w:r>
      <w:r>
        <w:rPr>
          <w:rFonts w:ascii="宋体" w:hAnsi="宋体" w:cs="宋体"/>
          <w:szCs w:val="21"/>
        </w:rPr>
        <w:t>地点：</w:t>
      </w:r>
      <w:r>
        <w:rPr>
          <w:rFonts w:ascii="宋体" w:hAnsi="宋体" w:cs="宋体"/>
          <w:szCs w:val="21"/>
        </w:rPr>
        <w:tab/>
      </w:r>
      <w:r>
        <w:rPr>
          <w:rFonts w:hint="eastAsia" w:ascii="宋体" w:hAnsi="宋体" w:cs="宋体"/>
          <w:szCs w:val="21"/>
        </w:rPr>
        <w:t xml:space="preserve">                 </w:t>
      </w:r>
    </w:p>
    <w:p>
      <w:pPr>
        <w:spacing w:line="400" w:lineRule="exact"/>
        <w:ind w:firstLine="420" w:firstLineChars="200"/>
        <w:rPr>
          <w:rFonts w:ascii="宋体" w:hAnsi="宋体" w:cs="宋体"/>
          <w:szCs w:val="21"/>
        </w:rPr>
      </w:pPr>
      <w:r>
        <w:rPr>
          <w:rFonts w:ascii="宋体" w:hAnsi="宋体" w:cs="宋体"/>
          <w:szCs w:val="21"/>
        </w:rPr>
        <w:t>2、乙方提供不符合招投标文件和本合同规定的服务，甲方有权拒绝接受。</w:t>
      </w:r>
    </w:p>
    <w:p>
      <w:pPr>
        <w:spacing w:line="400" w:lineRule="exact"/>
        <w:ind w:firstLine="422" w:firstLineChars="200"/>
        <w:rPr>
          <w:rFonts w:ascii="宋体" w:hAnsi="宋体" w:cs="宋体"/>
          <w:szCs w:val="21"/>
        </w:rPr>
      </w:pPr>
      <w:r>
        <w:rPr>
          <w:rFonts w:ascii="宋体" w:hAnsi="宋体" w:cs="宋体"/>
          <w:b/>
          <w:bCs/>
          <w:szCs w:val="21"/>
        </w:rPr>
        <w:t>第六条</w:t>
      </w:r>
      <w:r>
        <w:rPr>
          <w:rFonts w:hint="eastAsia" w:ascii="宋体" w:hAnsi="宋体" w:cs="宋体"/>
          <w:b/>
          <w:bCs/>
          <w:szCs w:val="21"/>
        </w:rPr>
        <w:t xml:space="preserve"> </w:t>
      </w:r>
      <w:r>
        <w:rPr>
          <w:rFonts w:ascii="宋体" w:hAnsi="宋体" w:cs="宋体"/>
          <w:szCs w:val="21"/>
        </w:rPr>
        <w:t>税费</w:t>
      </w:r>
    </w:p>
    <w:p>
      <w:pPr>
        <w:spacing w:line="400" w:lineRule="exact"/>
        <w:ind w:firstLine="420" w:firstLineChars="200"/>
        <w:rPr>
          <w:rFonts w:ascii="宋体" w:hAnsi="宋体" w:cs="宋体"/>
          <w:szCs w:val="21"/>
        </w:rPr>
      </w:pPr>
      <w:r>
        <w:rPr>
          <w:rFonts w:ascii="宋体" w:hAnsi="宋体" w:cs="宋体"/>
          <w:szCs w:val="21"/>
        </w:rPr>
        <w:t xml:space="preserve">本合同执行中相关的一切税费均由乙方负担。 </w:t>
      </w:r>
    </w:p>
    <w:p>
      <w:pPr>
        <w:spacing w:line="400" w:lineRule="exact"/>
        <w:ind w:firstLine="422" w:firstLineChars="200"/>
        <w:rPr>
          <w:rFonts w:ascii="宋体" w:hAnsi="宋体" w:cs="宋体"/>
          <w:szCs w:val="21"/>
        </w:rPr>
      </w:pPr>
      <w:r>
        <w:rPr>
          <w:rFonts w:ascii="宋体" w:hAnsi="宋体" w:cs="宋体"/>
          <w:b/>
          <w:bCs/>
          <w:szCs w:val="21"/>
        </w:rPr>
        <w:t>第七条</w:t>
      </w:r>
      <w:r>
        <w:rPr>
          <w:rFonts w:hint="eastAsia" w:ascii="宋体" w:hAnsi="宋体" w:cs="宋体"/>
          <w:b/>
          <w:bCs/>
          <w:szCs w:val="21"/>
        </w:rPr>
        <w:t xml:space="preserve"> </w:t>
      </w:r>
      <w:r>
        <w:rPr>
          <w:rFonts w:ascii="宋体" w:hAnsi="宋体" w:cs="宋体"/>
          <w:szCs w:val="21"/>
        </w:rPr>
        <w:t>付款方式：</w:t>
      </w:r>
    </w:p>
    <w:p>
      <w:pPr>
        <w:spacing w:line="400" w:lineRule="exact"/>
        <w:ind w:firstLine="420" w:firstLineChars="200"/>
        <w:rPr>
          <w:rFonts w:ascii="宋体" w:hAnsi="宋体" w:cs="宋体"/>
          <w:szCs w:val="21"/>
        </w:rPr>
      </w:pPr>
      <w:r>
        <w:rPr>
          <w:rFonts w:hint="eastAsia" w:ascii="宋体" w:hAnsi="宋体" w:cs="宋体"/>
          <w:szCs w:val="21"/>
        </w:rPr>
        <w:t>甲方与乙方签订采购合同后20个工作日内支付当年度合同总金额的70%；服务期结束前1个月，甲方对乙方的项目实施情况进行第三方评估（第三方评估费用由甲方支付），经第三方评估、审核合格后30个工作日内向乙方支付当年度合同剩余的金额。</w:t>
      </w:r>
    </w:p>
    <w:p>
      <w:pPr>
        <w:spacing w:line="400" w:lineRule="exact"/>
        <w:ind w:firstLine="422" w:firstLineChars="200"/>
        <w:rPr>
          <w:rFonts w:ascii="宋体" w:hAnsi="宋体" w:cs="宋体"/>
          <w:szCs w:val="21"/>
        </w:rPr>
      </w:pPr>
      <w:r>
        <w:rPr>
          <w:rFonts w:ascii="宋体" w:hAnsi="宋体" w:cs="宋体"/>
          <w:b/>
          <w:bCs/>
          <w:szCs w:val="21"/>
        </w:rPr>
        <w:t>第八条</w:t>
      </w:r>
      <w:r>
        <w:rPr>
          <w:rFonts w:ascii="宋体" w:hAnsi="宋体" w:cs="宋体"/>
          <w:szCs w:val="21"/>
        </w:rPr>
        <w:t xml:space="preserve"> 双方责任</w:t>
      </w:r>
    </w:p>
    <w:p>
      <w:pPr>
        <w:spacing w:line="400" w:lineRule="exact"/>
        <w:ind w:firstLine="420" w:firstLineChars="200"/>
        <w:rPr>
          <w:rFonts w:ascii="宋体" w:hAnsi="宋体" w:cs="宋体"/>
          <w:szCs w:val="21"/>
        </w:rPr>
      </w:pPr>
      <w:r>
        <w:rPr>
          <w:rFonts w:ascii="宋体" w:hAnsi="宋体" w:cs="宋体"/>
          <w:szCs w:val="21"/>
        </w:rPr>
        <w:t>1、甲方责任</w:t>
      </w:r>
    </w:p>
    <w:p>
      <w:pPr>
        <w:spacing w:line="400" w:lineRule="exact"/>
        <w:ind w:firstLine="420" w:firstLineChars="200"/>
        <w:rPr>
          <w:rFonts w:ascii="宋体" w:hAnsi="宋体" w:cs="宋体"/>
          <w:szCs w:val="21"/>
        </w:rPr>
      </w:pPr>
      <w:r>
        <w:rPr>
          <w:rFonts w:ascii="宋体" w:hAnsi="宋体" w:cs="宋体"/>
          <w:szCs w:val="21"/>
        </w:rPr>
        <w:t>（1）甲方应按本合同规定的金额和时间及时向乙方支付技术服务费。</w:t>
      </w:r>
    </w:p>
    <w:p>
      <w:pPr>
        <w:spacing w:line="400" w:lineRule="exact"/>
        <w:ind w:firstLine="420" w:firstLineChars="200"/>
        <w:rPr>
          <w:rFonts w:ascii="宋体" w:hAnsi="宋体" w:cs="宋体"/>
          <w:szCs w:val="21"/>
        </w:rPr>
      </w:pPr>
      <w:r>
        <w:rPr>
          <w:rFonts w:ascii="宋体" w:hAnsi="宋体" w:cs="宋体"/>
          <w:szCs w:val="21"/>
        </w:rPr>
        <w:t>（2）甲方及时提供与本合同有关的技术服务所需的基础资料、批准文件及专题等有关资料，并对其提供的资料、文件及审定的正确性、可靠性负责。</w:t>
      </w:r>
    </w:p>
    <w:p>
      <w:pPr>
        <w:spacing w:line="400" w:lineRule="exact"/>
        <w:ind w:firstLine="420" w:firstLineChars="200"/>
        <w:rPr>
          <w:rFonts w:ascii="宋体" w:hAnsi="宋体" w:cs="宋体"/>
          <w:szCs w:val="21"/>
        </w:rPr>
      </w:pPr>
      <w:r>
        <w:rPr>
          <w:rFonts w:ascii="宋体" w:hAnsi="宋体" w:cs="宋体"/>
          <w:szCs w:val="21"/>
        </w:rPr>
        <w:t>（3）对乙方在进行技术服务过程中提出的问题及时审定和答复，并以书面形式提出意见。协调解决乙方在开展技术服务工作中与有关单位的关系。</w:t>
      </w:r>
    </w:p>
    <w:p>
      <w:pPr>
        <w:spacing w:line="400" w:lineRule="exact"/>
        <w:ind w:firstLine="420" w:firstLineChars="200"/>
        <w:rPr>
          <w:rFonts w:ascii="宋体" w:hAnsi="宋体" w:cs="宋体"/>
          <w:szCs w:val="21"/>
        </w:rPr>
      </w:pPr>
      <w:r>
        <w:rPr>
          <w:rFonts w:ascii="宋体" w:hAnsi="宋体" w:cs="宋体"/>
          <w:szCs w:val="21"/>
        </w:rPr>
        <w:t>（4）甲方应维护乙方的技术成果，未经乙方同意，不得擅自修改，不得转让给第三方使用。</w:t>
      </w:r>
    </w:p>
    <w:p>
      <w:pPr>
        <w:spacing w:line="400" w:lineRule="exact"/>
        <w:ind w:firstLine="420" w:firstLineChars="200"/>
        <w:rPr>
          <w:rFonts w:ascii="宋体" w:hAnsi="宋体" w:cs="宋体"/>
          <w:szCs w:val="21"/>
        </w:rPr>
      </w:pPr>
      <w:r>
        <w:rPr>
          <w:rFonts w:ascii="宋体" w:hAnsi="宋体" w:cs="宋体"/>
          <w:szCs w:val="21"/>
        </w:rPr>
        <w:t>（5）在合同履行中如甲方要求终止或解除合同的，乙方已开始技术服务工作的，实际工作量不足一半时，按该阶段技术服务费的一半支付；超过一半时，应根据乙方已进行的实际工作量支付技术服务费。如果甲方要求变更技术服务范围，应另增付服务费给乙方，技术服务文件提交时间相应顺延。</w:t>
      </w:r>
    </w:p>
    <w:p>
      <w:pPr>
        <w:spacing w:line="400" w:lineRule="exact"/>
        <w:ind w:firstLine="420" w:firstLineChars="200"/>
        <w:rPr>
          <w:rFonts w:ascii="宋体" w:hAnsi="宋体" w:cs="宋体"/>
          <w:szCs w:val="21"/>
        </w:rPr>
      </w:pPr>
      <w:r>
        <w:rPr>
          <w:rFonts w:ascii="宋体" w:hAnsi="宋体" w:cs="宋体"/>
          <w:szCs w:val="21"/>
        </w:rPr>
        <w:t>2、乙方责任</w:t>
      </w:r>
    </w:p>
    <w:p>
      <w:pPr>
        <w:spacing w:line="400" w:lineRule="exact"/>
        <w:ind w:firstLine="420" w:firstLineChars="200"/>
        <w:rPr>
          <w:rFonts w:ascii="宋体" w:hAnsi="宋体" w:cs="宋体"/>
          <w:szCs w:val="21"/>
        </w:rPr>
      </w:pPr>
      <w:r>
        <w:rPr>
          <w:rFonts w:ascii="宋体" w:hAnsi="宋体" w:cs="宋体"/>
          <w:szCs w:val="21"/>
        </w:rPr>
        <w:t>（1）乙方应按国家规定和合同约定的技术规范、标准进行技术服务，按本合同规定的内容、时间及份数向甲方交付技术文件，并对提交的技术文件的质量负责。</w:t>
      </w:r>
    </w:p>
    <w:p>
      <w:pPr>
        <w:spacing w:line="400" w:lineRule="exact"/>
        <w:ind w:firstLine="420" w:firstLineChars="200"/>
        <w:rPr>
          <w:rFonts w:ascii="宋体" w:hAnsi="宋体" w:cs="宋体"/>
          <w:szCs w:val="21"/>
        </w:rPr>
      </w:pPr>
      <w:r>
        <w:rPr>
          <w:rFonts w:ascii="宋体" w:hAnsi="宋体" w:cs="宋体"/>
          <w:szCs w:val="21"/>
        </w:rPr>
        <w:t>（2）乙方不得向第三方扩散、转让甲方提供的文件和基础资料。</w:t>
      </w:r>
    </w:p>
    <w:p>
      <w:pPr>
        <w:spacing w:line="400" w:lineRule="exact"/>
        <w:ind w:firstLine="420" w:firstLineChars="200"/>
        <w:rPr>
          <w:rFonts w:ascii="宋体" w:hAnsi="宋体" w:cs="宋体"/>
          <w:szCs w:val="21"/>
        </w:rPr>
      </w:pPr>
      <w:r>
        <w:rPr>
          <w:rFonts w:ascii="宋体" w:hAnsi="宋体" w:cs="宋体"/>
          <w:szCs w:val="21"/>
        </w:rPr>
        <w:t>（3）需要甲方审定的基础资料及需要甲方答复的问题，均以书面形式提出。由于乙方原因，延误了最终试验成果交付时间，每延误一天，应减收该项目应收技术服务费的千分之二。</w:t>
      </w:r>
    </w:p>
    <w:p>
      <w:pPr>
        <w:spacing w:line="400" w:lineRule="exact"/>
        <w:ind w:firstLine="420" w:firstLineChars="200"/>
        <w:rPr>
          <w:rFonts w:ascii="宋体" w:hAnsi="宋体" w:cs="宋体"/>
          <w:szCs w:val="21"/>
        </w:rPr>
      </w:pPr>
      <w:r>
        <w:rPr>
          <w:rFonts w:ascii="宋体" w:hAnsi="宋体" w:cs="宋体"/>
          <w:szCs w:val="21"/>
        </w:rPr>
        <w:t>（4）合同生效后，乙方要求终止或解除合同，乙方应赔偿合同总金额30%的违约金。</w:t>
      </w:r>
    </w:p>
    <w:p>
      <w:pPr>
        <w:spacing w:line="400" w:lineRule="exact"/>
        <w:ind w:firstLine="422" w:firstLineChars="200"/>
        <w:rPr>
          <w:rFonts w:ascii="宋体" w:hAnsi="宋体" w:cs="宋体"/>
          <w:szCs w:val="21"/>
        </w:rPr>
      </w:pPr>
      <w:r>
        <w:rPr>
          <w:rFonts w:ascii="宋体" w:hAnsi="宋体" w:cs="宋体"/>
          <w:b/>
          <w:bCs/>
          <w:szCs w:val="21"/>
        </w:rPr>
        <w:t>第九条</w:t>
      </w:r>
      <w:r>
        <w:rPr>
          <w:rFonts w:hint="eastAsia" w:ascii="宋体" w:hAnsi="宋体" w:cs="宋体"/>
          <w:b/>
          <w:bCs/>
          <w:szCs w:val="21"/>
        </w:rPr>
        <w:t xml:space="preserve"> </w:t>
      </w:r>
      <w:r>
        <w:rPr>
          <w:rFonts w:ascii="宋体" w:hAnsi="宋体" w:cs="宋体"/>
          <w:szCs w:val="21"/>
        </w:rPr>
        <w:t xml:space="preserve">不可抗力事件处理 </w:t>
      </w:r>
    </w:p>
    <w:p>
      <w:pPr>
        <w:spacing w:line="400" w:lineRule="exact"/>
        <w:ind w:firstLine="420" w:firstLineChars="200"/>
        <w:rPr>
          <w:rFonts w:ascii="宋体" w:hAnsi="宋体" w:cs="宋体"/>
          <w:szCs w:val="21"/>
        </w:rPr>
      </w:pPr>
      <w:r>
        <w:rPr>
          <w:rFonts w:ascii="宋体" w:hAnsi="宋体" w:cs="宋体"/>
          <w:szCs w:val="21"/>
        </w:rPr>
        <w:t>1、在合同有效期内，乙方因不可抗力事件导致不能履行合同，则合同履行期可延长，其延长期</w:t>
      </w:r>
    </w:p>
    <w:p>
      <w:pPr>
        <w:spacing w:line="400" w:lineRule="exact"/>
        <w:ind w:firstLine="420" w:firstLineChars="200"/>
        <w:rPr>
          <w:rFonts w:ascii="宋体" w:hAnsi="宋体" w:cs="宋体"/>
          <w:szCs w:val="21"/>
        </w:rPr>
      </w:pPr>
      <w:r>
        <w:rPr>
          <w:rFonts w:ascii="宋体" w:hAnsi="宋体" w:cs="宋体"/>
          <w:szCs w:val="21"/>
        </w:rPr>
        <w:t>与不可抗力影响期相同。</w:t>
      </w:r>
    </w:p>
    <w:p>
      <w:pPr>
        <w:spacing w:line="400" w:lineRule="exact"/>
        <w:ind w:firstLine="420" w:firstLineChars="200"/>
        <w:rPr>
          <w:rFonts w:ascii="宋体" w:hAnsi="宋体" w:cs="宋体"/>
          <w:szCs w:val="21"/>
        </w:rPr>
      </w:pPr>
      <w:r>
        <w:rPr>
          <w:rFonts w:ascii="宋体" w:hAnsi="宋体" w:cs="宋体"/>
          <w:szCs w:val="21"/>
        </w:rPr>
        <w:t>2、不可抗力事件发生后，应立即通知对方，并寄送有关权威机构出具的证明。</w:t>
      </w:r>
    </w:p>
    <w:p>
      <w:pPr>
        <w:spacing w:line="400" w:lineRule="exact"/>
        <w:ind w:firstLine="420" w:firstLineChars="200"/>
        <w:rPr>
          <w:rFonts w:ascii="宋体" w:hAnsi="宋体" w:cs="宋体"/>
          <w:szCs w:val="21"/>
        </w:rPr>
      </w:pPr>
      <w:r>
        <w:rPr>
          <w:rFonts w:ascii="宋体" w:hAnsi="宋体" w:cs="宋体"/>
          <w:szCs w:val="21"/>
        </w:rPr>
        <w:t xml:space="preserve">3、不可抗力事件延续一百二十天以上，双方应通过友好协商，确定是否继续履行合同。 </w:t>
      </w:r>
    </w:p>
    <w:p>
      <w:pPr>
        <w:spacing w:line="400" w:lineRule="exact"/>
        <w:ind w:firstLine="422" w:firstLineChars="200"/>
        <w:rPr>
          <w:rFonts w:ascii="宋体" w:hAnsi="宋体" w:cs="宋体"/>
          <w:szCs w:val="21"/>
        </w:rPr>
      </w:pPr>
      <w:r>
        <w:rPr>
          <w:rFonts w:ascii="宋体" w:hAnsi="宋体" w:cs="宋体"/>
          <w:b/>
          <w:bCs/>
          <w:szCs w:val="21"/>
        </w:rPr>
        <w:t>第十条</w:t>
      </w:r>
      <w:r>
        <w:rPr>
          <w:rFonts w:hint="eastAsia" w:ascii="宋体" w:hAnsi="宋体" w:cs="宋体"/>
          <w:b/>
          <w:bCs/>
          <w:szCs w:val="21"/>
        </w:rPr>
        <w:t xml:space="preserve"> </w:t>
      </w:r>
      <w:r>
        <w:rPr>
          <w:rFonts w:ascii="宋体" w:hAnsi="宋体" w:cs="宋体"/>
          <w:szCs w:val="21"/>
        </w:rPr>
        <w:t>合同争议解决</w:t>
      </w:r>
    </w:p>
    <w:p>
      <w:pPr>
        <w:spacing w:line="400" w:lineRule="exact"/>
        <w:ind w:firstLine="420" w:firstLineChars="200"/>
        <w:rPr>
          <w:rFonts w:ascii="宋体" w:hAnsi="宋体" w:cs="宋体"/>
          <w:szCs w:val="21"/>
        </w:rPr>
      </w:pPr>
      <w:r>
        <w:rPr>
          <w:rFonts w:ascii="宋体" w:hAnsi="宋体" w:cs="宋体"/>
          <w:szCs w:val="21"/>
        </w:rPr>
        <w:t>1、因服务问题发生争议的，应邀请国家认可的相关机构进行鉴定。服务符合要求的，鉴定费由甲方承担；服务不符合要求的，鉴定费由乙方承担。</w:t>
      </w:r>
    </w:p>
    <w:p>
      <w:pPr>
        <w:spacing w:line="400" w:lineRule="exact"/>
        <w:ind w:firstLine="420" w:firstLineChars="200"/>
        <w:rPr>
          <w:rFonts w:ascii="宋体" w:hAnsi="宋体" w:cs="宋体"/>
          <w:szCs w:val="21"/>
        </w:rPr>
      </w:pPr>
      <w:r>
        <w:rPr>
          <w:rFonts w:ascii="宋体" w:hAnsi="宋体" w:cs="宋体"/>
          <w:szCs w:val="21"/>
        </w:rPr>
        <w:t>2、因履行本合同引起的或与本合同有关的争议，甲乙双方应首先通过友好协商解决，如果协商不能解决，可向合同签订地人民法院提起诉</w:t>
      </w:r>
      <w:r>
        <w:rPr>
          <w:rFonts w:hint="eastAsia" w:ascii="宋体" w:hAnsi="宋体" w:cs="宋体"/>
          <w:szCs w:val="21"/>
        </w:rPr>
        <w:t>。</w:t>
      </w:r>
    </w:p>
    <w:p>
      <w:pPr>
        <w:spacing w:line="400" w:lineRule="exact"/>
        <w:ind w:firstLine="420" w:firstLineChars="200"/>
        <w:rPr>
          <w:rFonts w:ascii="宋体" w:hAnsi="宋体" w:cs="宋体"/>
          <w:szCs w:val="21"/>
        </w:rPr>
      </w:pPr>
      <w:r>
        <w:rPr>
          <w:rFonts w:ascii="宋体" w:hAnsi="宋体" w:cs="宋体"/>
          <w:szCs w:val="21"/>
        </w:rPr>
        <w:t>3、诉讼期间，本合同继续履行。</w:t>
      </w:r>
    </w:p>
    <w:p>
      <w:pPr>
        <w:spacing w:line="400" w:lineRule="exact"/>
        <w:ind w:firstLine="422" w:firstLineChars="200"/>
        <w:rPr>
          <w:rFonts w:ascii="宋体" w:hAnsi="宋体" w:cs="宋体"/>
          <w:szCs w:val="21"/>
        </w:rPr>
      </w:pPr>
      <w:r>
        <w:rPr>
          <w:rFonts w:ascii="宋体" w:hAnsi="宋体" w:cs="宋体"/>
          <w:b/>
          <w:bCs/>
          <w:szCs w:val="21"/>
        </w:rPr>
        <w:t>第十一条</w:t>
      </w:r>
      <w:r>
        <w:rPr>
          <w:rFonts w:hint="eastAsia" w:ascii="宋体" w:hAnsi="宋体" w:cs="宋体"/>
          <w:b/>
          <w:bCs/>
          <w:szCs w:val="21"/>
        </w:rPr>
        <w:t xml:space="preserve"> </w:t>
      </w:r>
      <w:r>
        <w:rPr>
          <w:rFonts w:ascii="宋体" w:hAnsi="宋体" w:cs="宋体"/>
          <w:szCs w:val="21"/>
        </w:rPr>
        <w:t xml:space="preserve">合同生效及其它 </w:t>
      </w:r>
    </w:p>
    <w:p>
      <w:pPr>
        <w:spacing w:line="400" w:lineRule="exact"/>
        <w:ind w:firstLine="420" w:firstLineChars="200"/>
        <w:rPr>
          <w:rFonts w:ascii="宋体" w:hAnsi="宋体" w:cs="宋体"/>
          <w:szCs w:val="21"/>
        </w:rPr>
      </w:pPr>
      <w:r>
        <w:rPr>
          <w:rFonts w:ascii="宋体" w:hAnsi="宋体" w:cs="宋体"/>
          <w:szCs w:val="21"/>
        </w:rPr>
        <w:t>1、合同经甲乙双方法定代表人、负责人、自然人或相应的授权代表签字并加盖单位公章后生效。</w:t>
      </w:r>
    </w:p>
    <w:p>
      <w:pPr>
        <w:spacing w:line="400" w:lineRule="exact"/>
        <w:ind w:firstLine="420" w:firstLineChars="200"/>
        <w:rPr>
          <w:rFonts w:ascii="宋体" w:hAnsi="宋体" w:cs="宋体"/>
          <w:szCs w:val="21"/>
        </w:rPr>
      </w:pPr>
      <w:r>
        <w:rPr>
          <w:rFonts w:ascii="宋体" w:hAnsi="宋体" w:cs="宋体"/>
          <w:szCs w:val="21"/>
        </w:rPr>
        <w:t>2</w:t>
      </w:r>
      <w:r>
        <w:rPr>
          <w:rFonts w:hint="eastAsia" w:ascii="宋体" w:hAnsi="宋体" w:cs="宋体"/>
          <w:szCs w:val="21"/>
        </w:rPr>
        <w:t>、</w:t>
      </w:r>
      <w:r>
        <w:rPr>
          <w:rFonts w:ascii="宋体" w:hAnsi="宋体" w:cs="宋体"/>
          <w:szCs w:val="21"/>
        </w:rPr>
        <w:t>合同执行中涉及采购资金和采购内容修改或补充的，需经桂林市秀峰区财政部门审批，并签订书面补充协议报桂林市秀峰区政府采购管理办公室备案，方可作为主合同不可分割的一部分。</w:t>
      </w:r>
    </w:p>
    <w:p>
      <w:pPr>
        <w:spacing w:line="400" w:lineRule="exact"/>
        <w:ind w:firstLine="420" w:firstLineChars="200"/>
        <w:rPr>
          <w:rFonts w:ascii="宋体" w:hAnsi="宋体" w:cs="宋体"/>
          <w:szCs w:val="21"/>
        </w:rPr>
      </w:pPr>
      <w:r>
        <w:rPr>
          <w:rFonts w:ascii="宋体" w:hAnsi="宋体" w:cs="宋体"/>
          <w:szCs w:val="21"/>
        </w:rPr>
        <w:t>3</w:t>
      </w:r>
      <w:r>
        <w:rPr>
          <w:rFonts w:hint="eastAsia" w:ascii="宋体" w:hAnsi="宋体" w:cs="宋体"/>
          <w:szCs w:val="21"/>
        </w:rPr>
        <w:t>、</w:t>
      </w:r>
      <w:r>
        <w:rPr>
          <w:rFonts w:ascii="宋体" w:hAnsi="宋体" w:cs="宋体"/>
          <w:szCs w:val="21"/>
        </w:rPr>
        <w:t xml:space="preserve">本合同未尽事宜，遵照《合同法》有关条文执行。 </w:t>
      </w:r>
    </w:p>
    <w:p>
      <w:pPr>
        <w:spacing w:line="400" w:lineRule="exact"/>
        <w:ind w:firstLine="422" w:firstLineChars="200"/>
        <w:rPr>
          <w:rFonts w:ascii="宋体" w:hAnsi="宋体" w:cs="宋体"/>
          <w:szCs w:val="21"/>
        </w:rPr>
      </w:pPr>
      <w:r>
        <w:rPr>
          <w:rFonts w:ascii="宋体" w:hAnsi="宋体" w:cs="宋体"/>
          <w:b/>
          <w:bCs/>
          <w:szCs w:val="21"/>
        </w:rPr>
        <w:t>第十二条</w:t>
      </w:r>
      <w:r>
        <w:rPr>
          <w:rFonts w:hint="eastAsia" w:ascii="宋体" w:hAnsi="宋体" w:cs="宋体"/>
          <w:b/>
          <w:bCs/>
          <w:szCs w:val="21"/>
        </w:rPr>
        <w:t xml:space="preserve"> </w:t>
      </w:r>
      <w:r>
        <w:rPr>
          <w:rFonts w:ascii="宋体" w:hAnsi="宋体" w:cs="宋体"/>
          <w:szCs w:val="21"/>
        </w:rPr>
        <w:t>合同的变更、终止与转让</w:t>
      </w:r>
    </w:p>
    <w:p>
      <w:pPr>
        <w:spacing w:line="400" w:lineRule="exact"/>
        <w:ind w:firstLine="420" w:firstLineChars="200"/>
        <w:rPr>
          <w:rFonts w:ascii="宋体" w:hAnsi="宋体" w:cs="宋体"/>
          <w:szCs w:val="21"/>
        </w:rPr>
      </w:pPr>
      <w:r>
        <w:rPr>
          <w:rFonts w:ascii="宋体" w:hAnsi="宋体" w:cs="宋体"/>
          <w:szCs w:val="21"/>
        </w:rPr>
        <w:t>1、除《中华人民共和国政府采购法》第五十条规定的情形外，本合同一经签订，甲乙双方不得擅自变更，中止或终止。</w:t>
      </w:r>
    </w:p>
    <w:p>
      <w:pPr>
        <w:spacing w:line="400" w:lineRule="exact"/>
        <w:ind w:firstLine="420" w:firstLineChars="200"/>
        <w:rPr>
          <w:rFonts w:ascii="宋体" w:hAnsi="宋体" w:cs="宋体"/>
          <w:szCs w:val="21"/>
        </w:rPr>
      </w:pPr>
      <w:r>
        <w:rPr>
          <w:rFonts w:ascii="宋体" w:hAnsi="宋体" w:cs="宋体"/>
          <w:szCs w:val="21"/>
        </w:rPr>
        <w:t xml:space="preserve">2、乙方不得擅自转让(无进口资格的供应商委托进口货物除外)其应履行的合同义务。 </w:t>
      </w:r>
    </w:p>
    <w:p>
      <w:pPr>
        <w:spacing w:line="400" w:lineRule="exact"/>
        <w:ind w:firstLine="422" w:firstLineChars="200"/>
        <w:rPr>
          <w:rFonts w:ascii="宋体" w:hAnsi="宋体" w:cs="宋体"/>
          <w:szCs w:val="21"/>
        </w:rPr>
      </w:pPr>
      <w:r>
        <w:rPr>
          <w:rFonts w:ascii="宋体" w:hAnsi="宋体" w:cs="宋体"/>
          <w:b/>
          <w:bCs/>
          <w:szCs w:val="21"/>
        </w:rPr>
        <w:t>第十三条</w:t>
      </w:r>
      <w:r>
        <w:rPr>
          <w:rFonts w:hint="eastAsia" w:ascii="宋体" w:hAnsi="宋体" w:cs="宋体"/>
          <w:b/>
          <w:bCs/>
          <w:szCs w:val="21"/>
        </w:rPr>
        <w:t xml:space="preserve"> </w:t>
      </w:r>
      <w:r>
        <w:rPr>
          <w:rFonts w:ascii="宋体" w:hAnsi="宋体" w:cs="宋体"/>
          <w:szCs w:val="21"/>
        </w:rPr>
        <w:t>签订本合同依据：</w:t>
      </w:r>
    </w:p>
    <w:p>
      <w:pPr>
        <w:spacing w:line="400" w:lineRule="exact"/>
        <w:ind w:firstLine="420" w:firstLineChars="200"/>
        <w:rPr>
          <w:rFonts w:ascii="宋体" w:hAnsi="宋体" w:cs="宋体"/>
          <w:szCs w:val="21"/>
        </w:rPr>
      </w:pPr>
      <w:r>
        <w:rPr>
          <w:rFonts w:ascii="宋体" w:hAnsi="宋体" w:cs="宋体"/>
          <w:szCs w:val="21"/>
        </w:rPr>
        <w:t>1、竞争性磋商文件；</w:t>
      </w:r>
    </w:p>
    <w:p>
      <w:pPr>
        <w:spacing w:line="400" w:lineRule="exact"/>
        <w:ind w:firstLine="420" w:firstLineChars="200"/>
        <w:rPr>
          <w:rFonts w:ascii="宋体" w:hAnsi="宋体" w:cs="宋体"/>
          <w:szCs w:val="21"/>
        </w:rPr>
      </w:pPr>
      <w:r>
        <w:rPr>
          <w:rFonts w:ascii="宋体" w:hAnsi="宋体" w:cs="宋体"/>
          <w:szCs w:val="21"/>
        </w:rPr>
        <w:t>2、乙方提供的响应（或应答）文件；</w:t>
      </w:r>
    </w:p>
    <w:p>
      <w:pPr>
        <w:spacing w:line="400" w:lineRule="exact"/>
        <w:ind w:firstLine="420" w:firstLineChars="200"/>
        <w:rPr>
          <w:rFonts w:ascii="宋体" w:hAnsi="宋体" w:cs="宋体"/>
          <w:szCs w:val="21"/>
        </w:rPr>
      </w:pPr>
      <w:r>
        <w:rPr>
          <w:rFonts w:ascii="宋体" w:hAnsi="宋体" w:cs="宋体"/>
          <w:szCs w:val="21"/>
        </w:rPr>
        <w:t>3、服务承诺书；</w:t>
      </w:r>
    </w:p>
    <w:p>
      <w:pPr>
        <w:spacing w:line="400" w:lineRule="exact"/>
        <w:ind w:firstLine="420" w:firstLineChars="200"/>
        <w:rPr>
          <w:rFonts w:ascii="宋体" w:hAnsi="宋体" w:cs="宋体"/>
          <w:szCs w:val="21"/>
        </w:rPr>
      </w:pPr>
      <w:r>
        <w:rPr>
          <w:rFonts w:ascii="宋体" w:hAnsi="宋体" w:cs="宋体"/>
          <w:szCs w:val="21"/>
        </w:rPr>
        <w:t>4、磋商中的磋商记录；</w:t>
      </w:r>
    </w:p>
    <w:p>
      <w:pPr>
        <w:spacing w:line="400" w:lineRule="exact"/>
        <w:ind w:firstLine="420" w:firstLineChars="200"/>
        <w:rPr>
          <w:rFonts w:ascii="宋体" w:hAnsi="宋体" w:cs="宋体"/>
          <w:szCs w:val="21"/>
        </w:rPr>
      </w:pPr>
      <w:r>
        <w:rPr>
          <w:rFonts w:ascii="宋体" w:hAnsi="宋体" w:cs="宋体"/>
          <w:szCs w:val="21"/>
        </w:rPr>
        <w:t>5、成交通知书。</w:t>
      </w:r>
    </w:p>
    <w:p>
      <w:pPr>
        <w:spacing w:line="400" w:lineRule="exact"/>
        <w:ind w:firstLine="420" w:firstLineChars="200"/>
        <w:rPr>
          <w:rFonts w:ascii="宋体" w:hAnsi="宋体" w:cs="宋体"/>
          <w:szCs w:val="21"/>
        </w:rPr>
      </w:pPr>
      <w:r>
        <w:rPr>
          <w:rFonts w:ascii="宋体" w:hAnsi="宋体" w:cs="宋体"/>
          <w:szCs w:val="21"/>
        </w:rPr>
        <w:t>本合同甲乙双方签字盖章后生效，一式六份，具有同等法律效力，甲、乙双方各两份。</w:t>
      </w:r>
    </w:p>
    <w:p>
      <w:pPr>
        <w:spacing w:line="400" w:lineRule="exact"/>
        <w:ind w:firstLine="420" w:firstLineChars="200"/>
        <w:rPr>
          <w:rFonts w:ascii="宋体" w:hAnsi="宋体" w:cs="宋体"/>
          <w:szCs w:val="21"/>
        </w:rPr>
      </w:pPr>
      <w:r>
        <w:rPr>
          <w:rFonts w:ascii="宋体" w:hAnsi="宋体" w:cs="宋体"/>
          <w:szCs w:val="21"/>
        </w:rPr>
        <w:t>政府采购合同双方自签订之日起壹个工作日内将合同原件两份交采购代理机构。采购代理机构将政府采购合同在省级以上人民政府财政部门指定媒体上公告并于合同签订之日起七个工作日内将一份合同原件送桂林市秀峰区政府采购管理办公室备案，一份由采购代理机构存档。</w:t>
      </w:r>
    </w:p>
    <w:p>
      <w:pPr>
        <w:pStyle w:val="15"/>
        <w:rPr>
          <w:rFonts w:hAnsi="宋体" w:cs="宋体"/>
          <w:szCs w:val="21"/>
        </w:rPr>
      </w:pPr>
    </w:p>
    <w:p>
      <w:pPr>
        <w:pStyle w:val="9"/>
      </w:pPr>
    </w:p>
    <w:p>
      <w:pPr>
        <w:tabs>
          <w:tab w:val="left" w:pos="4320"/>
          <w:tab w:val="left" w:pos="4500"/>
        </w:tabs>
        <w:spacing w:line="360" w:lineRule="auto"/>
        <w:rPr>
          <w:rFonts w:ascii="宋体" w:hAnsi="宋体" w:cs="宋体"/>
          <w:szCs w:val="21"/>
          <w:u w:val="single"/>
        </w:rPr>
      </w:pPr>
      <w:r>
        <w:rPr>
          <w:rFonts w:hint="eastAsia" w:ascii="宋体" w:hAnsi="宋体" w:cs="宋体"/>
          <w:szCs w:val="21"/>
        </w:rPr>
        <w:t>甲方名称（公章）：</w:t>
      </w:r>
      <w:r>
        <w:rPr>
          <w:rFonts w:hint="eastAsia" w:ascii="宋体" w:hAnsi="宋体" w:cs="宋体"/>
          <w:szCs w:val="21"/>
          <w:u w:val="single"/>
        </w:rPr>
        <w:t xml:space="preserve">                      </w:t>
      </w:r>
      <w:r>
        <w:rPr>
          <w:rFonts w:hint="eastAsia" w:ascii="宋体" w:hAnsi="宋体" w:cs="宋体"/>
          <w:szCs w:val="21"/>
        </w:rPr>
        <w:t xml:space="preserve">     乙方（公章，自然人除外）：</w:t>
      </w:r>
      <w:r>
        <w:rPr>
          <w:rFonts w:hint="eastAsia" w:ascii="宋体" w:hAnsi="宋体" w:cs="宋体"/>
          <w:szCs w:val="21"/>
          <w:u w:val="single"/>
        </w:rPr>
        <w:t xml:space="preserve">                    </w:t>
      </w:r>
    </w:p>
    <w:p>
      <w:pPr>
        <w:spacing w:line="360" w:lineRule="auto"/>
        <w:ind w:left="4620" w:hanging="4620" w:hangingChars="2200"/>
        <w:rPr>
          <w:rFonts w:ascii="宋体" w:hAnsi="宋体" w:cs="宋体"/>
        </w:rPr>
      </w:pPr>
      <w:r>
        <w:rPr>
          <w:rFonts w:hint="eastAsia" w:ascii="宋体" w:hAnsi="宋体" w:cs="宋体"/>
          <w:szCs w:val="21"/>
        </w:rPr>
        <w:t>法定代表人：</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rPr>
        <w:t>法定代表人（负责人、自然人）签字</w:t>
      </w:r>
    </w:p>
    <w:p>
      <w:pPr>
        <w:spacing w:line="360" w:lineRule="auto"/>
        <w:ind w:left="4620" w:leftChars="2150" w:hanging="105" w:hangingChars="50"/>
        <w:rPr>
          <w:rFonts w:ascii="宋体" w:hAnsi="宋体" w:cs="宋体"/>
          <w:szCs w:val="21"/>
          <w:u w:val="single"/>
        </w:rPr>
      </w:pPr>
      <w:r>
        <w:rPr>
          <w:rFonts w:hint="eastAsia" w:ascii="宋体" w:hAnsi="宋体" w:cs="宋体"/>
        </w:rPr>
        <w:t>（属自然人的应在签名处加盖大拇指指印）</w:t>
      </w:r>
      <w:r>
        <w:rPr>
          <w:rFonts w:hint="eastAsia" w:ascii="宋体" w:hAnsi="宋体" w:cs="宋体"/>
          <w:szCs w:val="21"/>
        </w:rPr>
        <w:t>：</w:t>
      </w:r>
      <w:r>
        <w:rPr>
          <w:rFonts w:hint="eastAsia" w:ascii="宋体" w:hAnsi="宋体" w:cs="宋体"/>
          <w:szCs w:val="21"/>
          <w:u w:val="single"/>
        </w:rPr>
        <w:t xml:space="preserve">                          </w:t>
      </w:r>
    </w:p>
    <w:p>
      <w:pPr>
        <w:tabs>
          <w:tab w:val="left" w:pos="4680"/>
        </w:tabs>
        <w:spacing w:line="360" w:lineRule="auto"/>
        <w:rPr>
          <w:rFonts w:ascii="宋体" w:hAnsi="宋体" w:cs="宋体"/>
          <w:szCs w:val="21"/>
          <w:u w:val="single"/>
        </w:rPr>
      </w:pPr>
      <w:r>
        <w:rPr>
          <w:rFonts w:hint="eastAsia" w:ascii="宋体" w:hAnsi="宋体" w:cs="宋体"/>
          <w:szCs w:val="21"/>
        </w:rPr>
        <w:t>委托代理人：</w:t>
      </w:r>
      <w:r>
        <w:rPr>
          <w:rFonts w:hint="eastAsia" w:ascii="宋体" w:hAnsi="宋体" w:cs="宋体"/>
          <w:szCs w:val="21"/>
          <w:u w:val="single"/>
        </w:rPr>
        <w:t xml:space="preserve">                           </w:t>
      </w:r>
      <w:r>
        <w:rPr>
          <w:rFonts w:hint="eastAsia" w:ascii="宋体" w:hAnsi="宋体" w:cs="宋体"/>
          <w:szCs w:val="21"/>
        </w:rPr>
        <w:t xml:space="preserve">     委托代理人：</w:t>
      </w:r>
      <w:r>
        <w:rPr>
          <w:rFonts w:hint="eastAsia" w:ascii="宋体" w:hAnsi="宋体" w:cs="宋体"/>
          <w:szCs w:val="21"/>
          <w:u w:val="single"/>
        </w:rPr>
        <w:t xml:space="preserve">                           </w:t>
      </w:r>
    </w:p>
    <w:p>
      <w:pPr>
        <w:tabs>
          <w:tab w:val="left" w:pos="5040"/>
        </w:tabs>
        <w:spacing w:line="360" w:lineRule="auto"/>
        <w:rPr>
          <w:rFonts w:ascii="宋体" w:hAnsi="宋体" w:cs="宋体"/>
          <w:szCs w:val="21"/>
          <w:u w:val="single"/>
        </w:rPr>
      </w:pPr>
      <w:r>
        <w:rPr>
          <w:rFonts w:hint="eastAsia" w:ascii="宋体" w:hAnsi="宋体" w:cs="宋体"/>
          <w:szCs w:val="21"/>
        </w:rPr>
        <w:t>电  话：</w:t>
      </w:r>
      <w:r>
        <w:rPr>
          <w:rFonts w:hint="eastAsia" w:ascii="宋体" w:hAnsi="宋体" w:cs="宋体"/>
          <w:szCs w:val="21"/>
          <w:u w:val="single"/>
        </w:rPr>
        <w:t xml:space="preserve">                               </w:t>
      </w:r>
      <w:r>
        <w:rPr>
          <w:rFonts w:hint="eastAsia" w:ascii="宋体" w:hAnsi="宋体" w:cs="宋体"/>
          <w:szCs w:val="21"/>
        </w:rPr>
        <w:t xml:space="preserve">     电   话： </w:t>
      </w:r>
      <w:r>
        <w:rPr>
          <w:rFonts w:hint="eastAsia" w:ascii="宋体" w:hAnsi="宋体" w:cs="宋体"/>
          <w:szCs w:val="21"/>
          <w:u w:val="single"/>
        </w:rPr>
        <w:t xml:space="preserve">                             </w:t>
      </w:r>
    </w:p>
    <w:p>
      <w:pPr>
        <w:tabs>
          <w:tab w:val="left" w:pos="5040"/>
        </w:tabs>
        <w:spacing w:line="360" w:lineRule="auto"/>
        <w:rPr>
          <w:rFonts w:ascii="宋体" w:hAnsi="宋体" w:cs="宋体"/>
          <w:szCs w:val="21"/>
        </w:rPr>
      </w:pPr>
      <w:r>
        <w:rPr>
          <w:rFonts w:hint="eastAsia" w:ascii="宋体" w:hAnsi="宋体" w:cs="宋体"/>
          <w:szCs w:val="21"/>
        </w:rPr>
        <w:t>开户名称：</w:t>
      </w:r>
      <w:r>
        <w:rPr>
          <w:rFonts w:hint="eastAsia" w:ascii="宋体" w:hAnsi="宋体" w:cs="宋体"/>
          <w:szCs w:val="21"/>
          <w:u w:val="single"/>
        </w:rPr>
        <w:t xml:space="preserve">                             </w:t>
      </w:r>
      <w:r>
        <w:rPr>
          <w:rFonts w:hint="eastAsia" w:ascii="宋体" w:hAnsi="宋体" w:cs="宋体"/>
          <w:szCs w:val="21"/>
        </w:rPr>
        <w:t xml:space="preserve">     开户名称：</w:t>
      </w:r>
      <w:r>
        <w:rPr>
          <w:rFonts w:hint="eastAsia" w:ascii="宋体" w:hAnsi="宋体" w:cs="宋体"/>
          <w:szCs w:val="21"/>
          <w:u w:val="single"/>
        </w:rPr>
        <w:t xml:space="preserve">                           </w:t>
      </w:r>
    </w:p>
    <w:p>
      <w:pPr>
        <w:tabs>
          <w:tab w:val="left" w:pos="5040"/>
        </w:tabs>
        <w:spacing w:line="360" w:lineRule="auto"/>
        <w:rPr>
          <w:rFonts w:ascii="宋体" w:hAnsi="宋体" w:cs="宋体"/>
          <w:szCs w:val="21"/>
        </w:rPr>
      </w:pPr>
      <w:r>
        <w:rPr>
          <w:rFonts w:hint="eastAsia" w:ascii="宋体" w:hAnsi="宋体" w:cs="宋体"/>
          <w:szCs w:val="21"/>
        </w:rPr>
        <w:t>开户银行：</w:t>
      </w:r>
      <w:r>
        <w:rPr>
          <w:rFonts w:hint="eastAsia" w:ascii="宋体" w:hAnsi="宋体" w:cs="宋体"/>
          <w:szCs w:val="21"/>
          <w:u w:val="single"/>
        </w:rPr>
        <w:t xml:space="preserve">                             </w:t>
      </w:r>
      <w:r>
        <w:rPr>
          <w:rFonts w:hint="eastAsia" w:ascii="宋体" w:hAnsi="宋体" w:cs="宋体"/>
          <w:szCs w:val="21"/>
        </w:rPr>
        <w:t xml:space="preserve">     开户银行：</w:t>
      </w:r>
      <w:r>
        <w:rPr>
          <w:rFonts w:hint="eastAsia" w:ascii="宋体" w:hAnsi="宋体" w:cs="宋体"/>
          <w:szCs w:val="21"/>
          <w:u w:val="single"/>
        </w:rPr>
        <w:t xml:space="preserve">                                   </w:t>
      </w:r>
      <w:r>
        <w:rPr>
          <w:rFonts w:hint="eastAsia" w:ascii="宋体" w:hAnsi="宋体" w:cs="宋体"/>
          <w:szCs w:val="21"/>
        </w:rPr>
        <w:t xml:space="preserve">     </w:t>
      </w:r>
    </w:p>
    <w:p>
      <w:pPr>
        <w:tabs>
          <w:tab w:val="left" w:pos="5040"/>
        </w:tabs>
        <w:spacing w:line="360" w:lineRule="auto"/>
        <w:rPr>
          <w:rFonts w:ascii="宋体" w:hAnsi="宋体" w:cs="宋体"/>
          <w:szCs w:val="21"/>
        </w:rPr>
      </w:pPr>
      <w:r>
        <w:rPr>
          <w:rFonts w:hint="eastAsia" w:ascii="宋体" w:hAnsi="宋体" w:cs="宋体"/>
          <w:szCs w:val="21"/>
        </w:rPr>
        <w:t>银行账号：</w:t>
      </w:r>
      <w:r>
        <w:rPr>
          <w:rFonts w:hint="eastAsia" w:ascii="宋体" w:hAnsi="宋体" w:cs="宋体"/>
          <w:szCs w:val="21"/>
          <w:u w:val="single"/>
        </w:rPr>
        <w:t xml:space="preserve">                             </w:t>
      </w:r>
      <w:r>
        <w:rPr>
          <w:rFonts w:hint="eastAsia" w:ascii="宋体" w:hAnsi="宋体" w:cs="宋体"/>
          <w:szCs w:val="21"/>
        </w:rPr>
        <w:t xml:space="preserve">     银行账号：</w:t>
      </w:r>
      <w:r>
        <w:rPr>
          <w:rFonts w:hint="eastAsia" w:ascii="宋体" w:hAnsi="宋体" w:cs="宋体"/>
          <w:szCs w:val="21"/>
          <w:u w:val="single"/>
        </w:rPr>
        <w:t xml:space="preserve">                                  </w:t>
      </w:r>
      <w:r>
        <w:rPr>
          <w:rFonts w:hint="eastAsia" w:ascii="宋体" w:hAnsi="宋体" w:cs="宋体"/>
          <w:szCs w:val="21"/>
        </w:rPr>
        <w:t xml:space="preserve">     </w:t>
      </w:r>
    </w:p>
    <w:p>
      <w:pPr>
        <w:tabs>
          <w:tab w:val="left" w:pos="5040"/>
        </w:tabs>
        <w:spacing w:line="360" w:lineRule="auto"/>
        <w:rPr>
          <w:rFonts w:ascii="宋体" w:hAnsi="宋体" w:cs="宋体"/>
          <w:szCs w:val="21"/>
          <w:u w:val="single"/>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 xml:space="preserve">     日    期：</w:t>
      </w:r>
      <w:r>
        <w:rPr>
          <w:rFonts w:hint="eastAsia" w:ascii="宋体" w:hAnsi="宋体" w:cs="宋体"/>
          <w:szCs w:val="21"/>
          <w:u w:val="single"/>
        </w:rPr>
        <w:t xml:space="preserve">                            </w:t>
      </w:r>
    </w:p>
    <w:p>
      <w:pPr>
        <w:rPr>
          <w:rFonts w:ascii="宋体" w:hAnsi="宋体" w:cs="宋体"/>
          <w:szCs w:val="21"/>
          <w:u w:val="single"/>
        </w:rPr>
      </w:pPr>
      <w:r>
        <w:rPr>
          <w:rFonts w:hint="eastAsia" w:ascii="宋体" w:hAnsi="宋体" w:cs="宋体"/>
          <w:szCs w:val="21"/>
          <w:u w:val="single"/>
        </w:rPr>
        <w:br w:type="page"/>
      </w:r>
    </w:p>
    <w:p>
      <w:pPr>
        <w:pStyle w:val="3"/>
        <w:jc w:val="center"/>
        <w:rPr>
          <w:rFonts w:ascii="宋体" w:hAnsi="宋体" w:cs="宋体"/>
        </w:rPr>
      </w:pPr>
      <w:bookmarkStart w:id="22" w:name="_Toc26417"/>
      <w:bookmarkStart w:id="23" w:name="_Toc520968687"/>
      <w:r>
        <w:rPr>
          <w:rFonts w:hint="eastAsia" w:ascii="宋体" w:hAnsi="宋体" w:cs="宋体"/>
        </w:rPr>
        <w:t>第六章 响应文件（格式）</w:t>
      </w:r>
      <w:bookmarkEnd w:id="22"/>
      <w:bookmarkEnd w:id="23"/>
    </w:p>
    <w:p>
      <w:pPr>
        <w:pStyle w:val="4"/>
        <w:spacing w:line="393" w:lineRule="exact"/>
        <w:ind w:right="4566"/>
        <w:rPr>
          <w:b w:val="0"/>
        </w:rPr>
      </w:pPr>
      <w:r>
        <w:t>一、响应文件袋（盒、箱）标记</w:t>
      </w:r>
    </w:p>
    <w:p>
      <w:pPr>
        <w:rPr>
          <w:rFonts w:ascii="宋体" w:hAnsi="宋体" w:cs="宋体"/>
          <w:b/>
          <w:bCs/>
          <w:sz w:val="32"/>
          <w:szCs w:val="32"/>
        </w:rPr>
      </w:pPr>
    </w:p>
    <w:p>
      <w:pPr>
        <w:spacing w:before="3"/>
        <w:rPr>
          <w:rFonts w:ascii="宋体" w:hAnsi="宋体" w:cs="宋体"/>
          <w:b/>
          <w:bCs/>
        </w:rPr>
      </w:pPr>
    </w:p>
    <w:p>
      <w:pPr>
        <w:ind w:left="49"/>
        <w:jc w:val="center"/>
        <w:rPr>
          <w:rFonts w:ascii="宋体" w:hAnsi="宋体" w:cs="宋体"/>
          <w:sz w:val="32"/>
          <w:szCs w:val="32"/>
        </w:rPr>
      </w:pPr>
      <w:r>
        <w:rPr>
          <w:rFonts w:ascii="宋体" w:hAnsi="宋体" w:cs="宋体"/>
          <w:sz w:val="32"/>
          <w:szCs w:val="32"/>
        </w:rPr>
        <w:t>响 应 文</w:t>
      </w:r>
      <w:r>
        <w:rPr>
          <w:rFonts w:ascii="宋体" w:hAnsi="宋体" w:cs="宋体"/>
          <w:spacing w:val="-2"/>
          <w:sz w:val="32"/>
          <w:szCs w:val="32"/>
        </w:rPr>
        <w:t xml:space="preserve"> </w:t>
      </w:r>
      <w:r>
        <w:rPr>
          <w:rFonts w:ascii="宋体" w:hAnsi="宋体" w:cs="宋体"/>
          <w:sz w:val="32"/>
          <w:szCs w:val="32"/>
        </w:rPr>
        <w:t>件</w:t>
      </w:r>
    </w:p>
    <w:p>
      <w:pPr>
        <w:rPr>
          <w:rFonts w:ascii="宋体" w:hAnsi="宋体" w:cs="宋体"/>
          <w:sz w:val="32"/>
          <w:szCs w:val="32"/>
        </w:rPr>
      </w:pPr>
    </w:p>
    <w:p>
      <w:pPr>
        <w:pStyle w:val="7"/>
        <w:spacing w:before="213" w:line="720" w:lineRule="auto"/>
        <w:ind w:left="477" w:right="4566"/>
      </w:pPr>
      <w:r>
        <w:t>项目名称：</w:t>
      </w:r>
    </w:p>
    <w:p>
      <w:pPr>
        <w:pStyle w:val="7"/>
        <w:spacing w:before="213" w:line="720" w:lineRule="auto"/>
        <w:ind w:left="477" w:right="4566"/>
      </w:pPr>
      <w:r>
        <w:t>项目编号：</w:t>
      </w:r>
    </w:p>
    <w:p>
      <w:pPr>
        <w:spacing w:line="720" w:lineRule="auto"/>
        <w:ind w:left="477" w:right="2429"/>
        <w:rPr>
          <w:rFonts w:ascii="宋体" w:hAnsi="宋体" w:cs="宋体"/>
          <w:sz w:val="24"/>
        </w:rPr>
      </w:pPr>
      <w:r>
        <w:rPr>
          <w:rFonts w:ascii="宋体" w:hAnsi="宋体" w:cs="宋体"/>
          <w:sz w:val="24"/>
        </w:rPr>
        <w:t>采购代理机构：</w:t>
      </w:r>
    </w:p>
    <w:p>
      <w:pPr>
        <w:spacing w:line="720" w:lineRule="auto"/>
        <w:ind w:left="477" w:right="2429"/>
        <w:rPr>
          <w:rFonts w:ascii="宋体" w:hAnsi="宋体" w:cs="宋体"/>
          <w:sz w:val="24"/>
        </w:rPr>
      </w:pPr>
      <w:r>
        <w:rPr>
          <w:rFonts w:ascii="宋体" w:hAnsi="宋体" w:cs="宋体"/>
          <w:sz w:val="24"/>
        </w:rPr>
        <w:t>供应商名称：</w:t>
      </w:r>
    </w:p>
    <w:p>
      <w:pPr>
        <w:tabs>
          <w:tab w:val="left" w:pos="1317"/>
          <w:tab w:val="left" w:pos="2157"/>
          <w:tab w:val="left" w:pos="3117"/>
        </w:tabs>
        <w:spacing w:before="149" w:line="720" w:lineRule="auto"/>
        <w:ind w:left="477"/>
        <w:rPr>
          <w:rFonts w:ascii="宋体" w:hAnsi="宋体" w:cs="宋体"/>
          <w:sz w:val="24"/>
        </w:rPr>
      </w:pPr>
      <w:r>
        <w:rPr>
          <w:rFonts w:ascii="宋体" w:hAnsi="宋体" w:cs="宋体"/>
          <w:sz w:val="24"/>
        </w:rPr>
        <w:t>在</w:t>
      </w:r>
      <w:r>
        <w:rPr>
          <w:rFonts w:hint="eastAsia" w:ascii="宋体" w:hAnsi="宋体" w:cs="宋体"/>
          <w:sz w:val="24"/>
        </w:rPr>
        <w:t xml:space="preserve">  </w:t>
      </w:r>
      <w:r>
        <w:rPr>
          <w:rFonts w:ascii="宋体" w:hAnsi="宋体" w:cs="宋体"/>
          <w:sz w:val="24"/>
        </w:rPr>
        <w:t xml:space="preserve">年 </w:t>
      </w:r>
      <w:r>
        <w:rPr>
          <w:rFonts w:hint="eastAsia" w:ascii="宋体" w:hAnsi="宋体" w:cs="宋体"/>
          <w:sz w:val="24"/>
        </w:rPr>
        <w:t xml:space="preserve"> </w:t>
      </w:r>
      <w:r>
        <w:rPr>
          <w:rFonts w:ascii="宋体" w:hAnsi="宋体" w:cs="宋体"/>
          <w:sz w:val="24"/>
        </w:rPr>
        <w:t>月</w:t>
      </w:r>
      <w:r>
        <w:rPr>
          <w:rFonts w:hint="eastAsia" w:ascii="宋体" w:hAnsi="宋体" w:cs="宋体"/>
          <w:sz w:val="24"/>
        </w:rPr>
        <w:t xml:space="preserve">  </w:t>
      </w:r>
      <w:r>
        <w:rPr>
          <w:rFonts w:ascii="宋体" w:hAnsi="宋体" w:cs="宋体"/>
          <w:sz w:val="24"/>
        </w:rPr>
        <w:t>日</w:t>
      </w:r>
      <w:r>
        <w:rPr>
          <w:rFonts w:hint="eastAsia" w:ascii="宋体" w:hAnsi="宋体" w:cs="宋体"/>
          <w:sz w:val="24"/>
        </w:rPr>
        <w:t xml:space="preserve">  </w:t>
      </w:r>
      <w:r>
        <w:rPr>
          <w:rFonts w:ascii="宋体" w:hAnsi="宋体" w:cs="宋体"/>
          <w:sz w:val="24"/>
        </w:rPr>
        <w:t>上午</w:t>
      </w:r>
      <w:r>
        <w:rPr>
          <w:rFonts w:hint="eastAsia" w:ascii="宋体" w:hAnsi="宋体" w:cs="宋体"/>
          <w:sz w:val="24"/>
        </w:rPr>
        <w:t xml:space="preserve">  </w:t>
      </w:r>
      <w:r>
        <w:rPr>
          <w:rFonts w:ascii="宋体" w:hAnsi="宋体" w:cs="宋体"/>
          <w:sz w:val="24"/>
        </w:rPr>
        <w:t>时</w:t>
      </w:r>
      <w:r>
        <w:rPr>
          <w:rFonts w:ascii="宋体" w:hAnsi="宋体" w:cs="宋体"/>
          <w:spacing w:val="-7"/>
          <w:sz w:val="24"/>
        </w:rPr>
        <w:t xml:space="preserve"> </w:t>
      </w:r>
      <w:r>
        <w:rPr>
          <w:rFonts w:hint="eastAsia" w:ascii="宋体" w:hAnsi="宋体" w:cs="宋体"/>
          <w:spacing w:val="-7"/>
          <w:sz w:val="24"/>
        </w:rPr>
        <w:t xml:space="preserve"> </w:t>
      </w:r>
      <w:r>
        <w:rPr>
          <w:rFonts w:ascii="宋体" w:hAnsi="宋体" w:cs="宋体"/>
          <w:sz w:val="24"/>
        </w:rPr>
        <w:t>分前不得开启</w:t>
      </w:r>
    </w:p>
    <w:p>
      <w:pPr>
        <w:tabs>
          <w:tab w:val="left" w:pos="1317"/>
          <w:tab w:val="left" w:pos="2157"/>
          <w:tab w:val="left" w:pos="3117"/>
        </w:tabs>
        <w:spacing w:before="149"/>
        <w:ind w:left="477"/>
        <w:rPr>
          <w:rFonts w:ascii="宋体" w:hAnsi="宋体" w:cs="宋体"/>
          <w:b/>
          <w:bCs/>
          <w:sz w:val="24"/>
        </w:rPr>
      </w:pPr>
      <w:r>
        <w:rPr>
          <w:rFonts w:ascii="宋体" w:hAnsi="宋体" w:cs="宋体"/>
          <w:b/>
          <w:bCs/>
          <w:sz w:val="24"/>
        </w:rPr>
        <w:t>(此处供应商填写响应文件递交截止时间)</w:t>
      </w:r>
    </w:p>
    <w:p>
      <w:pPr>
        <w:rPr>
          <w:rFonts w:ascii="宋体" w:hAnsi="宋体" w:cs="宋体"/>
          <w:b/>
          <w:bCs/>
          <w:sz w:val="24"/>
        </w:rPr>
      </w:pPr>
      <w:r>
        <w:rPr>
          <w:rFonts w:ascii="宋体" w:hAnsi="宋体" w:cs="宋体"/>
          <w:b/>
          <w:bCs/>
          <w:sz w:val="24"/>
        </w:rPr>
        <w:br w:type="page"/>
      </w:r>
    </w:p>
    <w:p>
      <w:pPr>
        <w:pStyle w:val="4"/>
        <w:spacing w:before="52"/>
        <w:rPr>
          <w:b w:val="0"/>
        </w:rPr>
      </w:pPr>
      <w:r>
        <w:t>二、响应文件组成</w:t>
      </w:r>
    </w:p>
    <w:p>
      <w:pPr>
        <w:rPr>
          <w:rFonts w:ascii="宋体" w:hAnsi="宋体" w:cs="宋体"/>
          <w:b/>
          <w:bCs/>
          <w:sz w:val="32"/>
          <w:szCs w:val="32"/>
        </w:rPr>
      </w:pPr>
    </w:p>
    <w:p>
      <w:pPr>
        <w:spacing w:before="9"/>
        <w:rPr>
          <w:rFonts w:ascii="宋体" w:hAnsi="宋体" w:cs="宋体"/>
          <w:b/>
          <w:bCs/>
          <w:sz w:val="27"/>
          <w:szCs w:val="27"/>
        </w:rPr>
      </w:pPr>
    </w:p>
    <w:p>
      <w:pPr>
        <w:ind w:left="117"/>
        <w:rPr>
          <w:rFonts w:ascii="宋体" w:hAnsi="宋体" w:cs="宋体"/>
          <w:sz w:val="32"/>
          <w:szCs w:val="32"/>
        </w:rPr>
      </w:pPr>
      <w:r>
        <w:rPr>
          <w:rFonts w:ascii="宋体" w:hAnsi="宋体" w:cs="宋体"/>
          <w:b/>
          <w:bCs/>
          <w:sz w:val="24"/>
        </w:rPr>
        <w:t>（一）</w:t>
      </w:r>
      <w:r>
        <w:rPr>
          <w:rFonts w:ascii="宋体" w:hAnsi="宋体" w:cs="宋体"/>
          <w:b/>
          <w:bCs/>
          <w:sz w:val="32"/>
          <w:szCs w:val="32"/>
        </w:rPr>
        <w:t>资格性响应证明材料</w:t>
      </w:r>
    </w:p>
    <w:p>
      <w:pPr>
        <w:rPr>
          <w:rFonts w:ascii="宋体" w:hAnsi="宋体" w:cs="宋体"/>
          <w:b/>
          <w:bCs/>
          <w:sz w:val="32"/>
          <w:szCs w:val="32"/>
        </w:rPr>
      </w:pPr>
    </w:p>
    <w:p>
      <w:pPr>
        <w:rPr>
          <w:rFonts w:ascii="宋体" w:hAnsi="宋体" w:cs="宋体"/>
          <w:b/>
          <w:bCs/>
          <w:sz w:val="32"/>
          <w:szCs w:val="32"/>
        </w:rPr>
      </w:pPr>
    </w:p>
    <w:p>
      <w:pPr>
        <w:spacing w:before="4"/>
        <w:rPr>
          <w:rFonts w:ascii="宋体" w:hAnsi="宋体" w:cs="宋体"/>
          <w:b/>
          <w:bCs/>
          <w:sz w:val="26"/>
          <w:szCs w:val="26"/>
        </w:rPr>
      </w:pPr>
    </w:p>
    <w:p>
      <w:pPr>
        <w:ind w:left="117"/>
        <w:rPr>
          <w:rFonts w:ascii="宋体" w:hAnsi="宋体" w:cs="宋体"/>
          <w:sz w:val="32"/>
          <w:szCs w:val="32"/>
        </w:rPr>
      </w:pPr>
      <w:r>
        <w:rPr>
          <w:rFonts w:ascii="宋体" w:hAnsi="宋体" w:cs="宋体"/>
          <w:b/>
          <w:bCs/>
          <w:sz w:val="24"/>
        </w:rPr>
        <w:t>（二）</w:t>
      </w:r>
      <w:r>
        <w:rPr>
          <w:rFonts w:ascii="宋体" w:hAnsi="宋体" w:cs="宋体"/>
          <w:b/>
          <w:bCs/>
          <w:sz w:val="32"/>
          <w:szCs w:val="32"/>
        </w:rPr>
        <w:t>符合性响应证明材料</w:t>
      </w:r>
    </w:p>
    <w:p>
      <w:pPr>
        <w:rPr>
          <w:rFonts w:ascii="宋体" w:hAnsi="宋体" w:cs="宋体"/>
          <w:b/>
          <w:bCs/>
          <w:sz w:val="32"/>
          <w:szCs w:val="32"/>
        </w:rPr>
      </w:pPr>
    </w:p>
    <w:p>
      <w:pPr>
        <w:rPr>
          <w:rFonts w:ascii="宋体" w:hAnsi="宋体" w:cs="宋体"/>
          <w:b/>
          <w:bCs/>
          <w:sz w:val="32"/>
          <w:szCs w:val="32"/>
        </w:rPr>
      </w:pPr>
    </w:p>
    <w:p>
      <w:pPr>
        <w:spacing w:before="4"/>
        <w:rPr>
          <w:rFonts w:ascii="宋体" w:hAnsi="宋体" w:cs="宋体"/>
          <w:b/>
          <w:bCs/>
          <w:sz w:val="26"/>
          <w:szCs w:val="26"/>
        </w:rPr>
      </w:pPr>
    </w:p>
    <w:p>
      <w:pPr>
        <w:ind w:left="117"/>
        <w:rPr>
          <w:rFonts w:ascii="宋体" w:hAnsi="宋体" w:cs="宋体"/>
          <w:sz w:val="32"/>
          <w:szCs w:val="32"/>
        </w:rPr>
      </w:pPr>
      <w:r>
        <w:rPr>
          <w:rFonts w:ascii="宋体" w:hAnsi="宋体" w:cs="宋体"/>
          <w:b/>
          <w:bCs/>
          <w:sz w:val="24"/>
        </w:rPr>
        <w:t>（三）</w:t>
      </w:r>
      <w:r>
        <w:rPr>
          <w:rFonts w:ascii="宋体" w:hAnsi="宋体" w:cs="宋体"/>
          <w:b/>
          <w:bCs/>
          <w:sz w:val="32"/>
          <w:szCs w:val="32"/>
        </w:rPr>
        <w:t>其它有效证明材料</w:t>
      </w:r>
    </w:p>
    <w:p>
      <w:pPr>
        <w:rPr>
          <w:rFonts w:ascii="宋体" w:hAnsi="宋体" w:cs="宋体"/>
          <w:sz w:val="32"/>
          <w:szCs w:val="32"/>
        </w:rPr>
        <w:sectPr>
          <w:footerReference r:id="rId8" w:type="default"/>
          <w:pgSz w:w="11910" w:h="16840"/>
          <w:pgMar w:top="1580" w:right="1680" w:bottom="1160" w:left="1680" w:header="0" w:footer="978" w:gutter="0"/>
          <w:pgNumType w:fmt="decimal" w:start="1"/>
          <w:cols w:space="720" w:num="1"/>
        </w:sectPr>
      </w:pPr>
    </w:p>
    <w:p>
      <w:pPr>
        <w:pStyle w:val="4"/>
        <w:spacing w:line="409" w:lineRule="exact"/>
        <w:ind w:left="2462" w:right="864"/>
        <w:rPr>
          <w:b w:val="0"/>
        </w:rPr>
      </w:pPr>
      <w:r>
        <w:t>（一）资格性响应证明材料目录</w:t>
      </w:r>
    </w:p>
    <w:p>
      <w:pPr>
        <w:rPr>
          <w:rFonts w:ascii="宋体" w:hAnsi="宋体" w:cs="宋体"/>
          <w:b/>
          <w:bCs/>
          <w:sz w:val="32"/>
          <w:szCs w:val="32"/>
        </w:rPr>
      </w:pPr>
    </w:p>
    <w:p>
      <w:pPr>
        <w:spacing w:before="7"/>
        <w:rPr>
          <w:rFonts w:ascii="宋体" w:hAnsi="宋体" w:cs="宋体"/>
          <w:b/>
          <w:bCs/>
        </w:rPr>
      </w:pPr>
    </w:p>
    <w:p>
      <w:pPr>
        <w:ind w:right="864"/>
        <w:rPr>
          <w:rFonts w:ascii="宋体" w:hAnsi="宋体" w:cs="宋体"/>
          <w:sz w:val="24"/>
        </w:rPr>
      </w:pPr>
      <w:r>
        <w:rPr>
          <w:rFonts w:ascii="宋体" w:hAnsi="宋体" w:cs="宋体"/>
          <w:sz w:val="24"/>
        </w:rPr>
        <w:t>1.响应函</w:t>
      </w:r>
      <w:r>
        <w:rPr>
          <w:rFonts w:ascii="宋体" w:hAnsi="宋体" w:cs="宋体"/>
          <w:b/>
          <w:bCs/>
          <w:sz w:val="24"/>
        </w:rPr>
        <w:t>（格式见附件）（必须提供）</w:t>
      </w:r>
    </w:p>
    <w:p>
      <w:pPr>
        <w:pStyle w:val="7"/>
        <w:ind w:left="0"/>
        <w:rPr>
          <w:rFonts w:cs="宋体"/>
        </w:rPr>
      </w:pPr>
      <w:r>
        <w:t>2.供应商相应的法定代表人、负责人、自然人身份证正反两面复印件</w:t>
      </w:r>
      <w:r>
        <w:rPr>
          <w:rFonts w:cs="宋体"/>
          <w:b/>
          <w:bCs/>
        </w:rPr>
        <w:t>（必须提供）</w:t>
      </w:r>
    </w:p>
    <w:p>
      <w:pPr>
        <w:spacing w:before="204" w:line="398" w:lineRule="auto"/>
        <w:rPr>
          <w:rFonts w:ascii="宋体" w:hAnsi="宋体" w:cs="宋体"/>
          <w:sz w:val="24"/>
        </w:rPr>
      </w:pPr>
      <w:r>
        <w:rPr>
          <w:rFonts w:ascii="宋体" w:hAnsi="宋体" w:cs="宋体"/>
          <w:spacing w:val="-2"/>
          <w:sz w:val="24"/>
        </w:rPr>
        <w:t>3.供应商的授权委托书原件、委托代理人身份证正反面复印件【属自然人的应提供</w:t>
      </w:r>
      <w:r>
        <w:rPr>
          <w:rFonts w:ascii="宋体" w:hAnsi="宋体" w:cs="宋体"/>
          <w:sz w:val="24"/>
        </w:rPr>
        <w:t>身份证复印件】</w:t>
      </w:r>
      <w:r>
        <w:rPr>
          <w:rFonts w:ascii="宋体" w:hAnsi="宋体" w:cs="宋体"/>
          <w:b/>
          <w:bCs/>
          <w:sz w:val="24"/>
        </w:rPr>
        <w:t>（委托代理时必须提供）；</w:t>
      </w:r>
    </w:p>
    <w:p>
      <w:pPr>
        <w:spacing w:before="48"/>
        <w:rPr>
          <w:rFonts w:ascii="宋体" w:hAnsi="宋体" w:cs="宋体"/>
          <w:sz w:val="24"/>
        </w:rPr>
      </w:pPr>
      <w:r>
        <w:rPr>
          <w:rFonts w:ascii="宋体" w:hAnsi="宋体" w:cs="宋体"/>
          <w:spacing w:val="-6"/>
          <w:sz w:val="24"/>
        </w:rPr>
        <w:t>4.供应商的法人或者其他组织营业执照等证明文件复印件</w:t>
      </w:r>
      <w:r>
        <w:rPr>
          <w:rFonts w:ascii="宋体" w:hAnsi="宋体" w:cs="宋体"/>
          <w:b/>
          <w:bCs/>
          <w:spacing w:val="-6"/>
          <w:sz w:val="24"/>
        </w:rPr>
        <w:t>（必须提供，自然人除外）</w:t>
      </w:r>
    </w:p>
    <w:p>
      <w:pPr>
        <w:pStyle w:val="7"/>
        <w:spacing w:before="204"/>
        <w:ind w:left="0" w:right="223"/>
      </w:pPr>
      <w:r>
        <w:rPr>
          <w:spacing w:val="3"/>
        </w:rPr>
        <w:t>5.供应商参加政府采购活动前</w:t>
      </w:r>
      <w:r>
        <w:rPr>
          <w:spacing w:val="-49"/>
        </w:rPr>
        <w:t xml:space="preserve"> </w:t>
      </w:r>
      <w:r>
        <w:t>3</w:t>
      </w:r>
      <w:r>
        <w:rPr>
          <w:spacing w:val="-49"/>
        </w:rPr>
        <w:t xml:space="preserve"> </w:t>
      </w:r>
      <w:r>
        <w:rPr>
          <w:spacing w:val="3"/>
        </w:rPr>
        <w:t>年内在经营活动中没有重大违法记录的书面声明</w:t>
      </w:r>
    </w:p>
    <w:p>
      <w:pPr>
        <w:spacing w:before="206"/>
        <w:ind w:left="117" w:right="864"/>
        <w:rPr>
          <w:rFonts w:ascii="宋体" w:hAnsi="宋体" w:cs="宋体"/>
          <w:b/>
          <w:bCs/>
          <w:sz w:val="24"/>
        </w:rPr>
      </w:pPr>
      <w:r>
        <w:rPr>
          <w:rFonts w:ascii="宋体" w:hAnsi="宋体" w:cs="宋体"/>
          <w:b/>
          <w:bCs/>
          <w:sz w:val="24"/>
        </w:rPr>
        <w:t>（必须提供）</w:t>
      </w:r>
    </w:p>
    <w:p>
      <w:pPr>
        <w:pStyle w:val="15"/>
      </w:pPr>
      <w:r>
        <w:rPr>
          <w:rFonts w:hint="eastAsia"/>
        </w:rPr>
        <w:t>6.供应商提供固定的办公场所照片；</w:t>
      </w:r>
    </w:p>
    <w:p>
      <w:pPr>
        <w:pStyle w:val="15"/>
      </w:pPr>
    </w:p>
    <w:p>
      <w:pPr>
        <w:rPr>
          <w:rFonts w:ascii="宋体" w:hAnsi="宋体" w:cs="宋体"/>
          <w:sz w:val="24"/>
        </w:rPr>
      </w:pPr>
      <w:r>
        <w:rPr>
          <w:rFonts w:ascii="宋体" w:hAnsi="宋体" w:cs="宋体"/>
          <w:sz w:val="24"/>
        </w:rPr>
        <w:br w:type="page"/>
      </w:r>
    </w:p>
    <w:p>
      <w:pPr>
        <w:pStyle w:val="4"/>
        <w:spacing w:before="0" w:after="0" w:line="360" w:lineRule="auto"/>
        <w:rPr>
          <w:b w:val="0"/>
        </w:rPr>
      </w:pPr>
      <w:r>
        <w:t>1.响应函（必须提供）</w:t>
      </w:r>
    </w:p>
    <w:p>
      <w:pPr>
        <w:spacing w:before="6"/>
        <w:rPr>
          <w:rFonts w:ascii="宋体" w:hAnsi="宋体" w:cs="宋体"/>
          <w:b/>
          <w:bCs/>
          <w:sz w:val="16"/>
          <w:szCs w:val="16"/>
        </w:rPr>
      </w:pPr>
    </w:p>
    <w:p>
      <w:pPr>
        <w:rPr>
          <w:rFonts w:ascii="宋体" w:hAnsi="宋体" w:cs="宋体"/>
          <w:sz w:val="16"/>
          <w:szCs w:val="16"/>
        </w:rPr>
        <w:sectPr>
          <w:footerReference r:id="rId9" w:type="default"/>
          <w:pgSz w:w="11910" w:h="16840"/>
          <w:pgMar w:top="1360" w:right="760" w:bottom="1160" w:left="1680" w:header="0" w:footer="978" w:gutter="0"/>
          <w:pgNumType w:fmt="decimal"/>
          <w:cols w:space="720" w:num="1"/>
        </w:sectPr>
      </w:pPr>
    </w:p>
    <w:p>
      <w:pPr>
        <w:pStyle w:val="6"/>
        <w:spacing w:before="26"/>
        <w:rPr>
          <w:b w:val="0"/>
          <w:bCs w:val="0"/>
        </w:rPr>
      </w:pPr>
      <w:r>
        <w:rPr>
          <w:w w:val="95"/>
        </w:rPr>
        <w:t>附件：</w:t>
      </w:r>
    </w:p>
    <w:p>
      <w:pPr>
        <w:spacing w:before="13"/>
        <w:rPr>
          <w:rFonts w:ascii="宋体" w:hAnsi="宋体" w:cs="宋体"/>
          <w:b/>
          <w:bCs/>
          <w:sz w:val="32"/>
          <w:szCs w:val="32"/>
        </w:rPr>
      </w:pPr>
      <w:r>
        <w:br w:type="column"/>
      </w:r>
    </w:p>
    <w:p>
      <w:pPr>
        <w:rPr>
          <w:rFonts w:ascii="宋体" w:hAnsi="宋体" w:cs="宋体"/>
          <w:sz w:val="32"/>
          <w:szCs w:val="32"/>
        </w:rPr>
      </w:pPr>
      <w:r>
        <w:rPr>
          <w:rFonts w:ascii="宋体" w:hAnsi="宋体" w:cs="宋体"/>
          <w:b/>
          <w:bCs/>
          <w:sz w:val="32"/>
          <w:szCs w:val="32"/>
        </w:rPr>
        <w:t>响 应 函 （格</w:t>
      </w:r>
      <w:r>
        <w:rPr>
          <w:rFonts w:ascii="宋体" w:hAnsi="宋体" w:cs="宋体"/>
          <w:b/>
          <w:bCs/>
          <w:spacing w:val="-7"/>
          <w:sz w:val="32"/>
          <w:szCs w:val="32"/>
        </w:rPr>
        <w:t xml:space="preserve"> </w:t>
      </w:r>
      <w:r>
        <w:rPr>
          <w:rFonts w:ascii="宋体" w:hAnsi="宋体" w:cs="宋体"/>
          <w:b/>
          <w:bCs/>
          <w:sz w:val="32"/>
          <w:szCs w:val="32"/>
        </w:rPr>
        <w:t>式）</w:t>
      </w:r>
    </w:p>
    <w:p>
      <w:pPr>
        <w:rPr>
          <w:rFonts w:ascii="宋体" w:hAnsi="宋体" w:cs="宋体"/>
          <w:sz w:val="32"/>
          <w:szCs w:val="32"/>
        </w:rPr>
        <w:sectPr>
          <w:type w:val="continuous"/>
          <w:pgSz w:w="11910" w:h="16840"/>
          <w:pgMar w:top="1580" w:right="760" w:bottom="1140" w:left="1680" w:header="720" w:footer="720" w:gutter="0"/>
          <w:pgNumType w:fmt="decimal"/>
          <w:cols w:equalWidth="0" w:num="2">
            <w:col w:w="840" w:space="2707"/>
            <w:col w:w="5923"/>
          </w:cols>
        </w:sectPr>
      </w:pPr>
    </w:p>
    <w:p>
      <w:pPr>
        <w:rPr>
          <w:rFonts w:ascii="宋体" w:hAnsi="宋体" w:cs="宋体"/>
          <w:b/>
          <w:bCs/>
          <w:sz w:val="20"/>
          <w:szCs w:val="20"/>
        </w:rPr>
      </w:pPr>
    </w:p>
    <w:p>
      <w:pPr>
        <w:spacing w:before="8"/>
        <w:rPr>
          <w:rFonts w:ascii="宋体" w:hAnsi="宋体" w:cs="宋体"/>
          <w:b/>
          <w:bCs/>
          <w:sz w:val="15"/>
          <w:szCs w:val="15"/>
        </w:rPr>
      </w:pPr>
    </w:p>
    <w:p>
      <w:pPr>
        <w:pStyle w:val="12"/>
        <w:spacing w:before="0" w:line="360" w:lineRule="auto"/>
        <w:rPr>
          <w:u w:val="single" w:color="000000"/>
        </w:rPr>
      </w:pPr>
      <w:r>
        <w:t>致</w:t>
      </w:r>
      <w:r>
        <w:rPr>
          <w:u w:val="single" w:color="000000"/>
        </w:rPr>
        <w:t>：</w:t>
      </w:r>
      <w:r>
        <w:rPr>
          <w:rFonts w:hint="eastAsia"/>
          <w:u w:val="single" w:color="000000"/>
        </w:rPr>
        <w:t>广西同泽工程项目管理股份有限公司</w:t>
      </w:r>
    </w:p>
    <w:p>
      <w:pPr>
        <w:pStyle w:val="12"/>
        <w:spacing w:before="0" w:line="360" w:lineRule="auto"/>
        <w:ind w:left="0" w:firstLine="420" w:firstLineChars="200"/>
        <w:rPr>
          <w:u w:val="single" w:color="000000"/>
        </w:rPr>
      </w:pPr>
      <w:r>
        <w:rPr>
          <w:rFonts w:hint="eastAsia"/>
        </w:rPr>
        <w:t>根据贵方</w:t>
      </w:r>
      <w:r>
        <w:rPr>
          <w:rFonts w:hint="eastAsia"/>
          <w:u w:val="single" w:color="000000"/>
        </w:rPr>
        <w:t xml:space="preserve">         （项目名称）</w:t>
      </w:r>
      <w:r>
        <w:rPr>
          <w:rFonts w:hint="eastAsia"/>
        </w:rPr>
        <w:t>项目磋商文件，项目编号</w:t>
      </w:r>
      <w:r>
        <w:rPr>
          <w:rFonts w:hint="eastAsia"/>
          <w:u w:val="single" w:color="000000"/>
        </w:rPr>
        <w:t xml:space="preserve">        </w:t>
      </w:r>
      <w:r>
        <w:rPr>
          <w:rFonts w:hint="eastAsia"/>
        </w:rPr>
        <w:t>，签字代表</w:t>
      </w:r>
      <w:r>
        <w:rPr>
          <w:rFonts w:hint="eastAsia"/>
          <w:u w:val="single" w:color="000000"/>
        </w:rPr>
        <w:t xml:space="preserve">        （姓名）</w:t>
      </w:r>
      <w:r>
        <w:rPr>
          <w:rFonts w:hint="eastAsia"/>
        </w:rPr>
        <w:t>经正式授权并代表供应商</w:t>
      </w:r>
      <w:r>
        <w:rPr>
          <w:rFonts w:hint="eastAsia"/>
          <w:u w:val="single"/>
        </w:rPr>
        <w:t xml:space="preserve">           </w:t>
      </w:r>
      <w:r>
        <w:rPr>
          <w:rFonts w:hint="eastAsia"/>
          <w:u w:val="single" w:color="000000"/>
        </w:rPr>
        <w:t>（供应商单位名称</w:t>
      </w:r>
      <w:r>
        <w:rPr>
          <w:rFonts w:hint="eastAsia"/>
        </w:rPr>
        <w:t>），提交响应文件正本一份，副本三份。</w:t>
      </w:r>
    </w:p>
    <w:p>
      <w:pPr>
        <w:pStyle w:val="12"/>
        <w:spacing w:before="0" w:line="360" w:lineRule="auto"/>
        <w:ind w:left="0" w:firstLine="420" w:firstLineChars="200"/>
      </w:pPr>
      <w:r>
        <w:t>据此函，签字代表宣布同意如下：</w:t>
      </w:r>
    </w:p>
    <w:p>
      <w:pPr>
        <w:pStyle w:val="12"/>
        <w:tabs>
          <w:tab w:val="left" w:pos="1900"/>
          <w:tab w:val="left" w:pos="8385"/>
        </w:tabs>
        <w:spacing w:before="0" w:line="360" w:lineRule="auto"/>
        <w:ind w:left="0" w:firstLine="420" w:firstLineChars="200"/>
      </w:pPr>
      <w:r>
        <w:t>1.按</w:t>
      </w:r>
      <w:r>
        <w:rPr>
          <w:spacing w:val="-80"/>
        </w:rPr>
        <w:t xml:space="preserve"> </w:t>
      </w:r>
      <w:r>
        <w:t>磋</w:t>
      </w:r>
      <w:r>
        <w:rPr>
          <w:spacing w:val="-80"/>
        </w:rPr>
        <w:t xml:space="preserve"> </w:t>
      </w:r>
      <w:r>
        <w:t>商</w:t>
      </w:r>
      <w:r>
        <w:rPr>
          <w:spacing w:val="-80"/>
        </w:rPr>
        <w:t xml:space="preserve"> </w:t>
      </w:r>
      <w:r>
        <w:t>文</w:t>
      </w:r>
      <w:r>
        <w:rPr>
          <w:spacing w:val="-79"/>
        </w:rPr>
        <w:t xml:space="preserve"> </w:t>
      </w:r>
      <w:r>
        <w:t>件</w:t>
      </w:r>
      <w:r>
        <w:rPr>
          <w:spacing w:val="-80"/>
        </w:rPr>
        <w:t xml:space="preserve"> </w:t>
      </w:r>
      <w:r>
        <w:t>采</w:t>
      </w:r>
      <w:r>
        <w:rPr>
          <w:spacing w:val="-80"/>
        </w:rPr>
        <w:t xml:space="preserve"> </w:t>
      </w:r>
      <w:r>
        <w:t>购</w:t>
      </w:r>
      <w:r>
        <w:rPr>
          <w:spacing w:val="-80"/>
        </w:rPr>
        <w:t xml:space="preserve"> </w:t>
      </w:r>
      <w:r>
        <w:t>需</w:t>
      </w:r>
      <w:r>
        <w:rPr>
          <w:spacing w:val="-80"/>
        </w:rPr>
        <w:t xml:space="preserve"> </w:t>
      </w:r>
      <w:r>
        <w:t>求</w:t>
      </w:r>
      <w:r>
        <w:rPr>
          <w:spacing w:val="-80"/>
        </w:rPr>
        <w:t xml:space="preserve"> </w:t>
      </w:r>
      <w:r>
        <w:t>和</w:t>
      </w:r>
      <w:r>
        <w:rPr>
          <w:spacing w:val="-79"/>
        </w:rPr>
        <w:t xml:space="preserve"> </w:t>
      </w:r>
      <w:r>
        <w:t>磋</w:t>
      </w:r>
      <w:r>
        <w:rPr>
          <w:spacing w:val="-80"/>
        </w:rPr>
        <w:t xml:space="preserve"> </w:t>
      </w:r>
      <w:r>
        <w:t>商</w:t>
      </w:r>
      <w:r>
        <w:rPr>
          <w:spacing w:val="-80"/>
        </w:rPr>
        <w:t xml:space="preserve"> </w:t>
      </w:r>
      <w:r>
        <w:t>报</w:t>
      </w:r>
      <w:r>
        <w:rPr>
          <w:spacing w:val="-80"/>
        </w:rPr>
        <w:t xml:space="preserve"> </w:t>
      </w:r>
      <w:r>
        <w:t>价</w:t>
      </w:r>
      <w:r>
        <w:rPr>
          <w:spacing w:val="-80"/>
        </w:rPr>
        <w:t xml:space="preserve"> </w:t>
      </w:r>
      <w:r>
        <w:t>表</w:t>
      </w:r>
      <w:r>
        <w:rPr>
          <w:spacing w:val="-80"/>
        </w:rPr>
        <w:t xml:space="preserve"> </w:t>
      </w:r>
      <w:r>
        <w:t>：</w:t>
      </w:r>
      <w:r>
        <w:rPr>
          <w:spacing w:val="-79"/>
        </w:rPr>
        <w:t xml:space="preserve"> </w:t>
      </w:r>
      <w:r>
        <w:t>磋</w:t>
      </w:r>
      <w:r>
        <w:rPr>
          <w:spacing w:val="-80"/>
        </w:rPr>
        <w:t xml:space="preserve"> </w:t>
      </w:r>
      <w:r>
        <w:t>商</w:t>
      </w:r>
      <w:r>
        <w:rPr>
          <w:spacing w:val="-80"/>
        </w:rPr>
        <w:t xml:space="preserve"> </w:t>
      </w:r>
      <w:r>
        <w:t>报</w:t>
      </w:r>
      <w:r>
        <w:rPr>
          <w:spacing w:val="-80"/>
        </w:rPr>
        <w:t xml:space="preserve"> </w:t>
      </w:r>
      <w:r>
        <w:t>价（</w:t>
      </w:r>
      <w:r>
        <w:rPr>
          <w:spacing w:val="-80"/>
        </w:rPr>
        <w:t xml:space="preserve"> </w:t>
      </w:r>
      <w:r>
        <w:t>大</w:t>
      </w:r>
      <w:r>
        <w:rPr>
          <w:spacing w:val="-80"/>
        </w:rPr>
        <w:t xml:space="preserve"> </w:t>
      </w:r>
      <w:r>
        <w:t>写</w:t>
      </w:r>
      <w:r>
        <w:rPr>
          <w:spacing w:val="-79"/>
        </w:rPr>
        <w:t xml:space="preserve"> </w:t>
      </w:r>
      <w:r>
        <w:t>）</w:t>
      </w:r>
      <w:r>
        <w:rPr>
          <w:rFonts w:ascii="Times New Roman" w:hAnsi="Times New Roman" w:eastAsia="Times New Roman"/>
          <w:u w:val="single" w:color="000000"/>
        </w:rPr>
        <w:tab/>
      </w:r>
      <w:r>
        <w:t>元</w:t>
      </w:r>
      <w:r>
        <w:rPr>
          <w:spacing w:val="-81"/>
        </w:rPr>
        <w:t xml:space="preserve"> </w:t>
      </w:r>
      <w:r>
        <w:t>人</w:t>
      </w:r>
      <w:r>
        <w:rPr>
          <w:spacing w:val="-81"/>
        </w:rPr>
        <w:t xml:space="preserve"> </w:t>
      </w:r>
      <w:r>
        <w:t>民</w:t>
      </w:r>
      <w:r>
        <w:rPr>
          <w:spacing w:val="-81"/>
        </w:rPr>
        <w:t xml:space="preserve"> </w:t>
      </w:r>
      <w:r>
        <w:t>币</w:t>
      </w:r>
      <w:r>
        <w:rPr>
          <w:w w:val="99"/>
        </w:rPr>
        <w:t xml:space="preserve"> </w:t>
      </w:r>
      <w:r>
        <w:rPr>
          <w:w w:val="95"/>
        </w:rPr>
        <w:t>(￥</w:t>
      </w:r>
      <w:r>
        <w:rPr>
          <w:rFonts w:ascii="Times New Roman" w:hAnsi="Times New Roman" w:eastAsia="Times New Roman"/>
          <w:w w:val="95"/>
          <w:u w:val="single" w:color="000000"/>
        </w:rPr>
        <w:tab/>
      </w:r>
      <w:r>
        <w:t>)。</w:t>
      </w:r>
    </w:p>
    <w:p>
      <w:pPr>
        <w:pStyle w:val="12"/>
        <w:spacing w:before="0" w:line="360" w:lineRule="auto"/>
        <w:ind w:left="0" w:firstLine="420" w:firstLineChars="200"/>
        <w:jc w:val="left"/>
      </w:pPr>
      <w:r>
        <w:t>2.我方承诺已具备磋商文件规定的供应商资格条件。</w:t>
      </w:r>
    </w:p>
    <w:p>
      <w:pPr>
        <w:pStyle w:val="12"/>
        <w:spacing w:before="0" w:line="360" w:lineRule="auto"/>
        <w:ind w:left="0" w:firstLine="420" w:firstLineChars="200"/>
        <w:jc w:val="left"/>
      </w:pPr>
      <w:r>
        <w:t>3.我方已详细审核磋商文件，包括修改文件（如有的话）和有关附件，将自行承担因对全部磋商文件理解不正确或误解而产生的相应后果。</w:t>
      </w:r>
    </w:p>
    <w:p>
      <w:pPr>
        <w:pStyle w:val="12"/>
        <w:spacing w:before="0" w:line="360" w:lineRule="auto"/>
        <w:ind w:left="0" w:firstLine="420" w:firstLineChars="200"/>
        <w:jc w:val="left"/>
      </w:pPr>
      <w:r>
        <w:t>4.响应文件有效期为自响应文件递交截止时间之日起</w:t>
      </w:r>
      <w:r>
        <w:rPr>
          <w:spacing w:val="-60"/>
        </w:rPr>
        <w:t xml:space="preserve"> </w:t>
      </w:r>
      <w:r>
        <w:t>90</w:t>
      </w:r>
      <w:r>
        <w:rPr>
          <w:spacing w:val="-63"/>
        </w:rPr>
        <w:t xml:space="preserve"> </w:t>
      </w:r>
      <w:r>
        <w:t>天。</w:t>
      </w:r>
    </w:p>
    <w:p>
      <w:pPr>
        <w:pStyle w:val="12"/>
        <w:spacing w:before="0" w:line="360" w:lineRule="auto"/>
        <w:ind w:left="0" w:firstLine="420" w:firstLineChars="200"/>
        <w:jc w:val="left"/>
      </w:pPr>
      <w:r>
        <w:t>5.如我方成交：</w:t>
      </w:r>
    </w:p>
    <w:p>
      <w:pPr>
        <w:pStyle w:val="12"/>
        <w:spacing w:before="0" w:line="360" w:lineRule="auto"/>
        <w:ind w:left="0" w:firstLine="420" w:firstLineChars="200"/>
        <w:jc w:val="left"/>
      </w:pPr>
      <w:r>
        <w:t>（1）我方承诺在收到成交通知书后，在成交通知书规定的期限内与采购人签订合同。</w:t>
      </w:r>
    </w:p>
    <w:p>
      <w:pPr>
        <w:pStyle w:val="12"/>
        <w:spacing w:before="0" w:line="360" w:lineRule="auto"/>
        <w:ind w:left="0" w:firstLine="420" w:firstLineChars="200"/>
        <w:jc w:val="left"/>
      </w:pPr>
      <w:r>
        <w:t>（2）我方承诺按照磋商文件规定递交履约担保。</w:t>
      </w:r>
    </w:p>
    <w:p>
      <w:pPr>
        <w:pStyle w:val="12"/>
        <w:spacing w:before="0" w:line="360" w:lineRule="auto"/>
        <w:ind w:left="0" w:firstLine="420" w:firstLineChars="200"/>
        <w:jc w:val="left"/>
      </w:pPr>
      <w:r>
        <w:t>（3）我方承诺本响应文件至本项目合同履行完毕止均保持有效，按磋商文件及政府采购法律、法规的规定履行合同责任和义务。</w:t>
      </w:r>
    </w:p>
    <w:p>
      <w:pPr>
        <w:pStyle w:val="12"/>
        <w:spacing w:before="0" w:line="360" w:lineRule="auto"/>
        <w:ind w:left="0" w:firstLine="420" w:firstLineChars="200"/>
        <w:jc w:val="left"/>
        <w:rPr>
          <w:rFonts w:cs="宋体"/>
          <w:sz w:val="20"/>
          <w:szCs w:val="20"/>
        </w:rPr>
      </w:pPr>
      <w:r>
        <w:t>与本响应有关的正式通讯地址为：</w:t>
      </w:r>
    </w:p>
    <w:p>
      <w:pPr>
        <w:pStyle w:val="12"/>
        <w:tabs>
          <w:tab w:val="left" w:pos="4891"/>
          <w:tab w:val="left" w:pos="6677"/>
        </w:tabs>
        <w:spacing w:before="0" w:line="360" w:lineRule="auto"/>
        <w:ind w:left="0" w:firstLine="420" w:firstLineChars="200"/>
        <w:rPr>
          <w:u w:val="single"/>
        </w:rPr>
      </w:pPr>
      <w:r>
        <w:t>地址：邮编</w:t>
      </w:r>
      <w:r>
        <w:rPr>
          <w:w w:val="95"/>
        </w:rPr>
        <w:t>：</w:t>
      </w:r>
      <w:r>
        <w:rPr>
          <w:rFonts w:ascii="Times New Roman" w:hAnsi="Times New Roman" w:eastAsia="Times New Roman"/>
          <w:w w:val="95"/>
          <w:u w:val="single" w:color="000000"/>
        </w:rPr>
        <w:tab/>
      </w:r>
      <w:r>
        <w:t>电话、传真：</w:t>
      </w:r>
      <w:r>
        <w:rPr>
          <w:rFonts w:hint="eastAsia"/>
          <w:u w:val="single"/>
        </w:rPr>
        <w:t xml:space="preserve">                   </w:t>
      </w:r>
    </w:p>
    <w:p>
      <w:pPr>
        <w:pStyle w:val="12"/>
        <w:tabs>
          <w:tab w:val="left" w:pos="4891"/>
          <w:tab w:val="left" w:pos="6677"/>
        </w:tabs>
        <w:spacing w:before="0" w:line="360" w:lineRule="auto"/>
        <w:ind w:left="0" w:firstLine="420" w:firstLineChars="200"/>
        <w:rPr>
          <w:u w:val="single"/>
        </w:rPr>
      </w:pPr>
      <w:r>
        <w:t>开户名称：</w:t>
      </w:r>
      <w:r>
        <w:rPr>
          <w:rFonts w:hint="eastAsia"/>
          <w:u w:val="single"/>
        </w:rPr>
        <w:t xml:space="preserve">                                          </w:t>
      </w:r>
    </w:p>
    <w:p>
      <w:pPr>
        <w:pStyle w:val="12"/>
        <w:tabs>
          <w:tab w:val="left" w:pos="5103"/>
          <w:tab w:val="left" w:pos="5505"/>
        </w:tabs>
        <w:spacing w:before="0" w:line="360" w:lineRule="auto"/>
        <w:ind w:left="0" w:firstLine="420" w:firstLineChars="200"/>
        <w:rPr>
          <w:rFonts w:ascii="Times New Roman" w:hAnsi="Times New Roman"/>
          <w:u w:val="single" w:color="000000"/>
        </w:rPr>
      </w:pPr>
      <w:r>
        <w:t>开户银行：</w:t>
      </w:r>
      <w:r>
        <w:rPr>
          <w:rFonts w:ascii="Times New Roman" w:hAnsi="Times New Roman" w:eastAsia="Times New Roman"/>
          <w:w w:val="99"/>
          <w:u w:val="single" w:color="000000"/>
        </w:rPr>
        <w:t xml:space="preserve"> </w:t>
      </w:r>
      <w:r>
        <w:rPr>
          <w:rFonts w:ascii="Times New Roman" w:hAnsi="Times New Roman" w:eastAsia="Times New Roman"/>
          <w:u w:val="single" w:color="000000"/>
        </w:rPr>
        <w:tab/>
      </w:r>
      <w:r>
        <w:rPr>
          <w:rFonts w:hint="eastAsia" w:ascii="Times New Roman" w:hAnsi="Times New Roman"/>
          <w:u w:val="single" w:color="000000"/>
        </w:rPr>
        <w:t xml:space="preserve">   </w:t>
      </w:r>
    </w:p>
    <w:p>
      <w:pPr>
        <w:pStyle w:val="12"/>
        <w:tabs>
          <w:tab w:val="left" w:pos="5103"/>
          <w:tab w:val="left" w:pos="5505"/>
        </w:tabs>
        <w:spacing w:before="0" w:line="360" w:lineRule="auto"/>
        <w:ind w:left="0" w:firstLine="420" w:firstLineChars="200"/>
        <w:rPr>
          <w:rFonts w:ascii="Times New Roman" w:hAnsi="Times New Roman" w:eastAsia="Times New Roman"/>
          <w:sz w:val="28"/>
          <w:szCs w:val="28"/>
        </w:rPr>
      </w:pPr>
      <w:r>
        <w:t>账号：</w:t>
      </w:r>
      <w:r>
        <w:rPr>
          <w:rFonts w:ascii="Times New Roman" w:hAnsi="Times New Roman" w:eastAsia="Times New Roman"/>
          <w:u w:val="single" w:color="000000"/>
        </w:rPr>
        <w:t xml:space="preserve"> </w:t>
      </w:r>
      <w:r>
        <w:rPr>
          <w:rFonts w:ascii="Times New Roman" w:hAnsi="Times New Roman" w:eastAsia="Times New Roman"/>
          <w:u w:val="single" w:color="000000"/>
        </w:rPr>
        <w:tab/>
      </w:r>
      <w:r>
        <w:rPr>
          <w:rFonts w:hint="eastAsia" w:ascii="Times New Roman" w:hAnsi="Times New Roman" w:eastAsia="Times New Roman"/>
          <w:u w:val="single" w:color="000000"/>
        </w:rPr>
        <w:t xml:space="preserve">   </w:t>
      </w:r>
    </w:p>
    <w:p>
      <w:pPr>
        <w:pStyle w:val="15"/>
        <w:spacing w:line="360" w:lineRule="auto"/>
        <w:ind w:firstLine="420" w:firstLineChars="200"/>
        <w:rPr>
          <w:rFonts w:hAnsi="宋体"/>
        </w:rPr>
      </w:pPr>
      <w:r>
        <w:rPr>
          <w:rFonts w:hint="eastAsia" w:hAnsi="宋体"/>
        </w:rPr>
        <w:t>供应商（公章，自然人除外）：</w:t>
      </w:r>
      <w:r>
        <w:rPr>
          <w:rFonts w:hint="eastAsia" w:hAnsi="宋体"/>
          <w:u w:val="single"/>
        </w:rPr>
        <w:t xml:space="preserve">                        </w:t>
      </w:r>
    </w:p>
    <w:p>
      <w:pPr>
        <w:pStyle w:val="15"/>
        <w:spacing w:line="360" w:lineRule="auto"/>
        <w:ind w:firstLine="420" w:firstLineChars="200"/>
        <w:jc w:val="left"/>
        <w:rPr>
          <w:rFonts w:hAnsi="宋体"/>
          <w:u w:val="single"/>
        </w:rPr>
      </w:pPr>
      <w:r>
        <w:rPr>
          <w:rFonts w:hint="eastAsia" w:hAnsi="宋体"/>
        </w:rPr>
        <w:t>法定代表人或负责人或自然人或相应的委托代理人签字或盖章：</w:t>
      </w:r>
      <w:r>
        <w:rPr>
          <w:rFonts w:hint="eastAsia" w:hAnsi="宋体"/>
          <w:u w:val="single"/>
        </w:rPr>
        <w:t xml:space="preserve">                     </w:t>
      </w:r>
    </w:p>
    <w:p>
      <w:pPr>
        <w:pStyle w:val="15"/>
        <w:spacing w:line="360" w:lineRule="auto"/>
        <w:ind w:firstLine="420" w:firstLineChars="200"/>
        <w:jc w:val="left"/>
        <w:rPr>
          <w:rFonts w:hAnsi="宋体"/>
          <w:u w:val="single"/>
        </w:rPr>
      </w:pPr>
      <w:r>
        <w:rPr>
          <w:rFonts w:hint="eastAsia" w:hAnsi="宋体"/>
        </w:rPr>
        <w:t>（属自然人的应在签名处加盖食指指印）：</w:t>
      </w:r>
      <w:r>
        <w:rPr>
          <w:rFonts w:hint="eastAsia" w:hAnsi="宋体"/>
          <w:u w:val="single"/>
        </w:rPr>
        <w:t xml:space="preserve">                                       </w:t>
      </w:r>
    </w:p>
    <w:p>
      <w:pPr>
        <w:pStyle w:val="15"/>
        <w:spacing w:line="360" w:lineRule="auto"/>
        <w:ind w:firstLine="420" w:firstLineChars="200"/>
        <w:rPr>
          <w:rFonts w:hAnsi="宋体"/>
          <w:u w:val="single"/>
        </w:rPr>
      </w:pPr>
      <w:r>
        <w:rPr>
          <w:rFonts w:hint="eastAsia" w:hAnsi="宋体"/>
        </w:rPr>
        <w:t>日期：</w:t>
      </w:r>
      <w:r>
        <w:rPr>
          <w:rFonts w:hint="eastAsia" w:hAnsi="宋体"/>
          <w:u w:val="single"/>
        </w:rPr>
        <w:t xml:space="preserve">                              </w:t>
      </w:r>
    </w:p>
    <w:p>
      <w:pPr>
        <w:pStyle w:val="12"/>
        <w:spacing w:before="0" w:line="360" w:lineRule="auto"/>
        <w:ind w:left="0" w:firstLine="422" w:firstLineChars="200"/>
        <w:jc w:val="left"/>
        <w:rPr>
          <w:b/>
          <w:bCs/>
        </w:rPr>
      </w:pPr>
      <w:r>
        <w:rPr>
          <w:b/>
          <w:bCs/>
        </w:rPr>
        <w:t>注：</w:t>
      </w:r>
    </w:p>
    <w:p>
      <w:pPr>
        <w:pStyle w:val="12"/>
        <w:spacing w:before="0" w:line="360" w:lineRule="auto"/>
        <w:ind w:left="0" w:firstLine="422" w:firstLineChars="200"/>
        <w:jc w:val="left"/>
        <w:rPr>
          <w:b/>
          <w:bCs/>
        </w:rPr>
      </w:pPr>
      <w:r>
        <w:rPr>
          <w:b/>
          <w:bCs/>
        </w:rPr>
        <w:t xml:space="preserve">1.未按照本响应函（格式）要求填报的响应函将被视为非实质性响应竞争性磋商文件要求，从而导致该响应被拒绝。 </w:t>
      </w:r>
    </w:p>
    <w:p>
      <w:pPr>
        <w:pStyle w:val="12"/>
        <w:spacing w:before="0" w:line="360" w:lineRule="auto"/>
        <w:ind w:left="0" w:firstLine="422" w:firstLineChars="200"/>
        <w:jc w:val="left"/>
        <w:rPr>
          <w:b/>
          <w:bCs/>
        </w:rPr>
      </w:pPr>
      <w:r>
        <w:rPr>
          <w:b/>
          <w:bCs/>
        </w:rPr>
        <w:t>2.响应函须由法定代表人、负责人、自然人或相应的委托代理人签字（属自然人的应在签名 处加盖大拇指指印）并加盖供应商公章（自然人除外）。</w:t>
      </w:r>
    </w:p>
    <w:p>
      <w:pPr>
        <w:pStyle w:val="12"/>
        <w:spacing w:before="0" w:line="297" w:lineRule="auto"/>
        <w:ind w:left="957" w:hanging="420"/>
        <w:rPr>
          <w:b/>
          <w:bCs/>
        </w:rPr>
        <w:sectPr>
          <w:type w:val="continuous"/>
          <w:pgSz w:w="11910" w:h="16840"/>
          <w:pgMar w:top="1580" w:right="770" w:bottom="1140" w:left="1680" w:header="720" w:footer="720" w:gutter="0"/>
          <w:pgNumType w:fmt="decimal"/>
          <w:cols w:space="720" w:num="1"/>
        </w:sectPr>
      </w:pPr>
    </w:p>
    <w:p>
      <w:pPr>
        <w:pStyle w:val="4"/>
        <w:spacing w:before="47" w:line="380" w:lineRule="exact"/>
        <w:ind w:right="118"/>
      </w:pPr>
      <w:r>
        <w:rPr>
          <w:rFonts w:hint="eastAsia"/>
          <w:spacing w:val="-3"/>
          <w:w w:val="95"/>
        </w:rPr>
        <w:t>2.</w:t>
      </w:r>
      <w:r>
        <w:rPr>
          <w:spacing w:val="-3"/>
          <w:w w:val="95"/>
        </w:rPr>
        <w:t>供应商相应的法定代表人、负责人、自然人身份证正反两面复印</w:t>
      </w:r>
      <w:r>
        <w:t>件</w:t>
      </w:r>
    </w:p>
    <w:p>
      <w:pPr>
        <w:pStyle w:val="4"/>
        <w:spacing w:before="47" w:line="380" w:lineRule="exact"/>
        <w:ind w:right="118"/>
        <w:rPr>
          <w:b w:val="0"/>
        </w:rPr>
      </w:pPr>
      <w:r>
        <w:t>（必须提供）</w:t>
      </w:r>
    </w:p>
    <w:p>
      <w:pPr>
        <w:rPr>
          <w:rFonts w:ascii="宋体" w:hAnsi="宋体" w:cs="宋体"/>
          <w:b/>
          <w:bCs/>
          <w:sz w:val="32"/>
          <w:szCs w:val="32"/>
        </w:rPr>
      </w:pPr>
    </w:p>
    <w:p>
      <w:pPr>
        <w:spacing w:before="8"/>
        <w:rPr>
          <w:rFonts w:ascii="宋体" w:hAnsi="宋体" w:cs="宋体"/>
          <w:b/>
          <w:bCs/>
          <w:sz w:val="38"/>
          <w:szCs w:val="38"/>
        </w:rPr>
      </w:pPr>
    </w:p>
    <w:p>
      <w:pPr>
        <w:pStyle w:val="4"/>
        <w:rPr>
          <w:rFonts w:ascii="宋体" w:hAnsi="宋体" w:eastAsia="宋体" w:cs="宋体"/>
          <w:szCs w:val="32"/>
        </w:rPr>
      </w:pPr>
      <w:r>
        <w:t>3.供应商的授权委托书原件、委托代理人身份证正反面复印件【属自然人的应提供身份证复印件】（委托代理时必须提供）</w:t>
      </w:r>
    </w:p>
    <w:p>
      <w:pPr>
        <w:spacing w:line="366" w:lineRule="exact"/>
        <w:ind w:left="693"/>
        <w:rPr>
          <w:rFonts w:ascii="宋体" w:hAnsi="宋体" w:cs="宋体"/>
          <w:b/>
          <w:bCs/>
          <w:sz w:val="32"/>
          <w:szCs w:val="32"/>
        </w:rPr>
      </w:pPr>
    </w:p>
    <w:p>
      <w:pPr>
        <w:spacing w:line="366" w:lineRule="exact"/>
        <w:ind w:left="693"/>
        <w:rPr>
          <w:rFonts w:ascii="宋体" w:hAnsi="宋体" w:cs="宋体"/>
          <w:sz w:val="32"/>
          <w:szCs w:val="32"/>
        </w:rPr>
      </w:pPr>
      <w:r>
        <w:rPr>
          <w:rFonts w:ascii="宋体" w:hAnsi="宋体" w:cs="宋体"/>
          <w:b/>
          <w:bCs/>
          <w:sz w:val="32"/>
          <w:szCs w:val="32"/>
        </w:rPr>
        <w:t>附件：</w:t>
      </w:r>
    </w:p>
    <w:p>
      <w:pPr>
        <w:spacing w:before="7"/>
        <w:rPr>
          <w:rFonts w:ascii="宋体" w:hAnsi="宋体" w:cs="宋体"/>
          <w:b/>
          <w:bCs/>
          <w:sz w:val="30"/>
          <w:szCs w:val="30"/>
        </w:rPr>
      </w:pPr>
    </w:p>
    <w:p>
      <w:pPr>
        <w:spacing w:line="480" w:lineRule="auto"/>
        <w:ind w:left="3264"/>
        <w:rPr>
          <w:rFonts w:ascii="宋体" w:hAnsi="宋体" w:cs="宋体"/>
          <w:sz w:val="32"/>
          <w:szCs w:val="32"/>
        </w:rPr>
      </w:pPr>
      <w:r>
        <w:rPr>
          <w:rFonts w:ascii="宋体" w:hAnsi="宋体" w:cs="宋体"/>
          <w:b/>
          <w:bCs/>
          <w:sz w:val="32"/>
          <w:szCs w:val="32"/>
        </w:rPr>
        <w:t>授权委托书（格式一）</w:t>
      </w:r>
    </w:p>
    <w:p>
      <w:pPr>
        <w:pStyle w:val="12"/>
        <w:spacing w:before="0" w:line="480" w:lineRule="auto"/>
        <w:rPr>
          <w:u w:val="single"/>
        </w:rPr>
      </w:pPr>
      <w:r>
        <w:rPr>
          <w:rFonts w:cs="宋体"/>
          <w:b/>
          <w:bCs/>
        </w:rPr>
        <w:t>致</w:t>
      </w:r>
      <w:r>
        <w:t>：</w:t>
      </w:r>
      <w:r>
        <w:rPr>
          <w:rFonts w:hint="eastAsia"/>
          <w:u w:val="single"/>
        </w:rPr>
        <w:t>广西同泽工程项目管理股份有限公司</w:t>
      </w:r>
    </w:p>
    <w:p>
      <w:pPr>
        <w:pStyle w:val="12"/>
        <w:spacing w:before="0" w:line="480" w:lineRule="auto"/>
        <w:ind w:left="0" w:firstLine="420" w:firstLineChars="200"/>
      </w:pPr>
      <w:r>
        <w:rPr>
          <w:rFonts w:hint="eastAsia"/>
        </w:rPr>
        <w:t>我</w:t>
      </w:r>
      <w:r>
        <w:rPr>
          <w:rFonts w:hint="eastAsia"/>
          <w:u w:val="single"/>
        </w:rPr>
        <w:tab/>
      </w:r>
      <w:r>
        <w:rPr>
          <w:rFonts w:hint="eastAsia"/>
          <w:u w:val="single"/>
        </w:rPr>
        <w:t>（姓名）</w:t>
      </w:r>
      <w:r>
        <w:rPr>
          <w:rFonts w:hint="eastAsia"/>
        </w:rPr>
        <w:t>系</w:t>
      </w:r>
      <w:r>
        <w:rPr>
          <w:rFonts w:hint="eastAsia"/>
          <w:u w:val="single"/>
        </w:rPr>
        <w:tab/>
      </w:r>
      <w:r>
        <w:rPr>
          <w:rFonts w:hint="eastAsia"/>
          <w:u w:val="single"/>
        </w:rPr>
        <w:t>（供应商名称）</w:t>
      </w:r>
      <w:r>
        <w:rPr>
          <w:rFonts w:hint="eastAsia"/>
        </w:rPr>
        <w:t>的法定代表人（负责人），现授权委托本单位在职职工</w:t>
      </w:r>
      <w:r>
        <w:rPr>
          <w:rFonts w:hint="eastAsia"/>
          <w:u w:val="single"/>
        </w:rPr>
        <w:tab/>
      </w:r>
      <w:r>
        <w:rPr>
          <w:rFonts w:hint="eastAsia"/>
          <w:u w:val="single"/>
        </w:rPr>
        <w:t>（姓名）</w:t>
      </w:r>
      <w:r>
        <w:rPr>
          <w:rFonts w:hint="eastAsia"/>
        </w:rPr>
        <w:t>以我公司名义参加</w:t>
      </w:r>
      <w:r>
        <w:rPr>
          <w:rFonts w:hint="eastAsia"/>
          <w:u w:val="single"/>
        </w:rPr>
        <w:tab/>
      </w:r>
      <w:r>
        <w:rPr>
          <w:rFonts w:hint="eastAsia"/>
          <w:u w:val="single"/>
        </w:rPr>
        <w:t>（项目名称及项目编号）</w:t>
      </w:r>
      <w:r>
        <w:rPr>
          <w:rFonts w:hint="eastAsia"/>
          <w:u w:val="single"/>
        </w:rPr>
        <w:tab/>
      </w:r>
      <w:r>
        <w:rPr>
          <w:rFonts w:hint="eastAsia"/>
          <w:u w:val="single"/>
        </w:rPr>
        <w:t xml:space="preserve">     项目</w:t>
      </w:r>
      <w:r>
        <w:rPr>
          <w:rFonts w:hint="eastAsia"/>
        </w:rPr>
        <w:t>的磋商活动，并代表我方全权办理针对上述项目的磋商、签约等具体事务和签署相关文件。</w:t>
      </w:r>
    </w:p>
    <w:p>
      <w:pPr>
        <w:pStyle w:val="12"/>
        <w:spacing w:before="0" w:line="480" w:lineRule="auto"/>
        <w:ind w:left="0" w:firstLine="420" w:firstLineChars="200"/>
      </w:pPr>
      <w:r>
        <w:rPr>
          <w:rFonts w:hint="eastAsia"/>
        </w:rPr>
        <w:t>我方对被授权人的签字事项负全部责任。</w:t>
      </w:r>
    </w:p>
    <w:p>
      <w:pPr>
        <w:pStyle w:val="12"/>
        <w:spacing w:before="0" w:line="480" w:lineRule="auto"/>
        <w:ind w:left="0" w:firstLine="420" w:firstLineChars="200"/>
      </w:pPr>
      <w:r>
        <w:rPr>
          <w:rFonts w:hint="eastAsia"/>
        </w:rPr>
        <w:t>授权委托代理期限：从</w:t>
      </w:r>
      <w:r>
        <w:rPr>
          <w:rFonts w:hint="eastAsia"/>
        </w:rPr>
        <w:tab/>
      </w:r>
      <w:r>
        <w:rPr>
          <w:rFonts w:hint="eastAsia"/>
        </w:rPr>
        <w:t>年</w:t>
      </w:r>
      <w:r>
        <w:rPr>
          <w:rFonts w:hint="eastAsia"/>
        </w:rPr>
        <w:tab/>
      </w:r>
      <w:r>
        <w:rPr>
          <w:rFonts w:hint="eastAsia"/>
        </w:rPr>
        <w:t>月</w:t>
      </w:r>
      <w:r>
        <w:rPr>
          <w:rFonts w:hint="eastAsia"/>
        </w:rPr>
        <w:tab/>
      </w:r>
      <w:r>
        <w:rPr>
          <w:rFonts w:hint="eastAsia"/>
        </w:rPr>
        <w:t>日起至</w:t>
      </w:r>
      <w:r>
        <w:rPr>
          <w:rFonts w:hint="eastAsia"/>
        </w:rPr>
        <w:tab/>
      </w:r>
      <w:r>
        <w:rPr>
          <w:rFonts w:hint="eastAsia"/>
        </w:rPr>
        <w:t>年</w:t>
      </w:r>
      <w:r>
        <w:rPr>
          <w:rFonts w:hint="eastAsia"/>
        </w:rPr>
        <w:tab/>
      </w:r>
      <w:r>
        <w:rPr>
          <w:rFonts w:hint="eastAsia"/>
        </w:rPr>
        <w:t>月</w:t>
      </w:r>
      <w:r>
        <w:rPr>
          <w:rFonts w:hint="eastAsia"/>
        </w:rPr>
        <w:tab/>
      </w:r>
      <w:r>
        <w:rPr>
          <w:rFonts w:hint="eastAsia"/>
        </w:rPr>
        <w:t>日止。</w:t>
      </w:r>
      <w:r>
        <w:t>代理人无转委托权,特此委托。</w:t>
      </w:r>
    </w:p>
    <w:p>
      <w:pPr>
        <w:pStyle w:val="12"/>
        <w:spacing w:before="0" w:line="360" w:lineRule="auto"/>
        <w:ind w:left="0" w:firstLine="420" w:firstLineChars="200"/>
      </w:pPr>
    </w:p>
    <w:p>
      <w:pPr>
        <w:pStyle w:val="12"/>
        <w:spacing w:before="0" w:line="360" w:lineRule="auto"/>
        <w:ind w:left="0" w:firstLine="420" w:firstLineChars="200"/>
      </w:pPr>
      <w:r>
        <w:t>我已在下面签字，以资证明。</w:t>
      </w:r>
    </w:p>
    <w:p>
      <w:pPr>
        <w:spacing w:line="600" w:lineRule="auto"/>
        <w:ind w:firstLine="400" w:firstLineChars="200"/>
        <w:rPr>
          <w:rFonts w:ascii="宋体" w:hAnsi="宋体" w:cs="宋体"/>
          <w:sz w:val="20"/>
          <w:szCs w:val="20"/>
        </w:rPr>
      </w:pPr>
    </w:p>
    <w:p>
      <w:pPr>
        <w:pStyle w:val="12"/>
        <w:spacing w:before="0" w:line="600" w:lineRule="auto"/>
        <w:ind w:left="0" w:firstLine="420" w:firstLineChars="200"/>
        <w:jc w:val="center"/>
      </w:pPr>
      <w:bookmarkStart w:id="24" w:name="供应商（公章）：________________________________"/>
      <w:bookmarkEnd w:id="24"/>
      <w:r>
        <w:rPr>
          <w:rFonts w:hint="eastAsia"/>
        </w:rPr>
        <w:t xml:space="preserve">                              </w:t>
      </w:r>
      <w:r>
        <w:t>供应商（公章）：</w:t>
      </w:r>
    </w:p>
    <w:p>
      <w:pPr>
        <w:pStyle w:val="12"/>
        <w:spacing w:before="0" w:line="600" w:lineRule="auto"/>
        <w:ind w:left="0" w:firstLine="420" w:firstLineChars="200"/>
        <w:jc w:val="right"/>
      </w:pPr>
      <w:bookmarkStart w:id="25" w:name="法定代表人（负责人）签字：___________________________"/>
      <w:bookmarkEnd w:id="25"/>
      <w:r>
        <w:rPr>
          <w:rFonts w:hint="eastAsia"/>
        </w:rPr>
        <w:t>法定代表人（负责人）签字：</w:t>
      </w:r>
      <w:r>
        <w:rPr>
          <w:rFonts w:hint="eastAsia"/>
        </w:rPr>
        <w:tab/>
      </w:r>
      <w:r>
        <w:rPr>
          <w:rFonts w:hint="eastAsia"/>
        </w:rPr>
        <w:tab/>
      </w:r>
      <w:r>
        <w:rPr>
          <w:rFonts w:hint="eastAsia"/>
        </w:rPr>
        <w:tab/>
      </w:r>
    </w:p>
    <w:p>
      <w:pPr>
        <w:pStyle w:val="12"/>
        <w:spacing w:before="0" w:line="600" w:lineRule="auto"/>
        <w:ind w:left="0" w:firstLine="420" w:firstLineChars="200"/>
        <w:jc w:val="center"/>
      </w:pPr>
      <w:r>
        <w:rPr>
          <w:rFonts w:hint="eastAsia"/>
        </w:rPr>
        <w:t xml:space="preserve">                            年</w:t>
      </w:r>
      <w:r>
        <w:rPr>
          <w:rFonts w:hint="eastAsia"/>
        </w:rPr>
        <w:tab/>
      </w:r>
      <w:r>
        <w:rPr>
          <w:rFonts w:hint="eastAsia"/>
        </w:rPr>
        <w:t xml:space="preserve"> 月</w:t>
      </w:r>
      <w:r>
        <w:rPr>
          <w:rFonts w:hint="eastAsia"/>
        </w:rPr>
        <w:tab/>
      </w:r>
      <w:r>
        <w:rPr>
          <w:rFonts w:hint="eastAsia"/>
        </w:rPr>
        <w:t xml:space="preserve"> 日</w:t>
      </w:r>
    </w:p>
    <w:p>
      <w:pPr>
        <w:spacing w:before="8"/>
        <w:rPr>
          <w:rFonts w:ascii="宋体" w:hAnsi="宋体" w:cs="宋体"/>
          <w:sz w:val="15"/>
          <w:szCs w:val="15"/>
        </w:rPr>
      </w:pPr>
    </w:p>
    <w:p>
      <w:pPr>
        <w:rPr>
          <w:b/>
          <w:bCs/>
        </w:rPr>
      </w:pPr>
      <w:r>
        <w:rPr>
          <w:b/>
          <w:bCs/>
        </w:rPr>
        <w:t>附：委托代理人身份证正反面复印件（委托代理时必须提供）</w:t>
      </w:r>
    </w:p>
    <w:p>
      <w:pPr>
        <w:sectPr>
          <w:pgSz w:w="11910" w:h="16840"/>
          <w:pgMar w:top="1240" w:right="800" w:bottom="1160" w:left="1680" w:header="0" w:footer="978" w:gutter="0"/>
          <w:pgNumType w:fmt="decimal"/>
          <w:cols w:space="720" w:num="1"/>
        </w:sectPr>
      </w:pPr>
    </w:p>
    <w:p>
      <w:pPr>
        <w:spacing w:line="480" w:lineRule="auto"/>
        <w:jc w:val="center"/>
        <w:rPr>
          <w:rFonts w:ascii="宋体" w:hAnsi="宋体" w:cs="宋体"/>
          <w:sz w:val="32"/>
          <w:szCs w:val="32"/>
        </w:rPr>
      </w:pPr>
      <w:r>
        <w:rPr>
          <w:rFonts w:ascii="宋体" w:hAnsi="宋体" w:cs="宋体"/>
          <w:b/>
          <w:bCs/>
          <w:sz w:val="32"/>
          <w:szCs w:val="32"/>
        </w:rPr>
        <w:t>授权委托书（格式二）</w:t>
      </w:r>
    </w:p>
    <w:p>
      <w:pPr>
        <w:pStyle w:val="12"/>
        <w:spacing w:before="0" w:line="480" w:lineRule="auto"/>
      </w:pPr>
      <w:r>
        <w:rPr>
          <w:rFonts w:cs="宋体"/>
          <w:b/>
          <w:bCs/>
        </w:rPr>
        <w:t>致</w:t>
      </w:r>
      <w:r>
        <w:t>：</w:t>
      </w:r>
      <w:r>
        <w:rPr>
          <w:rFonts w:hint="eastAsia"/>
          <w:u w:val="single"/>
        </w:rPr>
        <w:t>广西同泽工程项目管理股份有限公司</w:t>
      </w:r>
    </w:p>
    <w:p>
      <w:pPr>
        <w:pStyle w:val="12"/>
        <w:spacing w:before="0" w:line="480" w:lineRule="auto"/>
        <w:ind w:left="0" w:firstLine="420" w:firstLineChars="200"/>
      </w:pPr>
      <w:r>
        <w:rPr>
          <w:rFonts w:hint="eastAsia"/>
        </w:rPr>
        <w:t>我</w:t>
      </w:r>
      <w:r>
        <w:rPr>
          <w:rFonts w:hint="eastAsia"/>
          <w:u w:val="single"/>
        </w:rPr>
        <w:tab/>
      </w:r>
      <w:r>
        <w:rPr>
          <w:rFonts w:hint="eastAsia"/>
          <w:u w:val="single"/>
        </w:rPr>
        <w:t>（姓名）</w:t>
      </w:r>
      <w:r>
        <w:rPr>
          <w:rFonts w:hint="eastAsia"/>
        </w:rPr>
        <w:t>系自然人，现授权委托</w:t>
      </w:r>
      <w:r>
        <w:rPr>
          <w:rFonts w:hint="eastAsia"/>
          <w:u w:val="single"/>
        </w:rPr>
        <w:tab/>
      </w:r>
      <w:r>
        <w:rPr>
          <w:rFonts w:hint="eastAsia"/>
          <w:u w:val="single"/>
        </w:rPr>
        <w:t>（姓 名</w:t>
      </w:r>
      <w:r>
        <w:rPr>
          <w:rFonts w:hint="eastAsia"/>
        </w:rPr>
        <w:t>）以本人名义参加</w:t>
      </w:r>
      <w:r>
        <w:rPr>
          <w:rFonts w:hint="eastAsia"/>
          <w:u w:val="single"/>
        </w:rPr>
        <w:t xml:space="preserve">     （项 目名称及项目编号）项目</w:t>
      </w:r>
      <w:r>
        <w:rPr>
          <w:rFonts w:hint="eastAsia"/>
        </w:rPr>
        <w:t>的磋商活动，并代表本人全权办理针对上述项目的磋商、签约等具体事务和签署相关文件。</w:t>
      </w:r>
    </w:p>
    <w:p>
      <w:pPr>
        <w:pStyle w:val="12"/>
        <w:spacing w:before="0" w:line="480" w:lineRule="auto"/>
        <w:ind w:left="0" w:firstLine="420" w:firstLineChars="200"/>
      </w:pPr>
      <w:r>
        <w:rPr>
          <w:rFonts w:hint="eastAsia"/>
        </w:rPr>
        <w:t>本人对被授权人的签字事项负全部责任。</w:t>
      </w:r>
    </w:p>
    <w:p>
      <w:pPr>
        <w:pStyle w:val="12"/>
        <w:spacing w:before="0" w:line="480" w:lineRule="auto"/>
        <w:ind w:left="0" w:firstLine="420" w:firstLineChars="200"/>
      </w:pPr>
      <w:r>
        <w:rPr>
          <w:rFonts w:hint="eastAsia"/>
        </w:rPr>
        <w:t>授权委托代理期限：从</w:t>
      </w:r>
      <w:r>
        <w:rPr>
          <w:rFonts w:hint="eastAsia"/>
        </w:rPr>
        <w:tab/>
      </w:r>
      <w:r>
        <w:rPr>
          <w:rFonts w:hint="eastAsia"/>
        </w:rPr>
        <w:t>年</w:t>
      </w:r>
      <w:r>
        <w:rPr>
          <w:rFonts w:hint="eastAsia"/>
        </w:rPr>
        <w:tab/>
      </w:r>
      <w:r>
        <w:rPr>
          <w:rFonts w:hint="eastAsia"/>
        </w:rPr>
        <w:t>月</w:t>
      </w:r>
      <w:r>
        <w:rPr>
          <w:rFonts w:hint="eastAsia"/>
        </w:rPr>
        <w:tab/>
      </w:r>
      <w:r>
        <w:rPr>
          <w:rFonts w:hint="eastAsia"/>
        </w:rPr>
        <w:t>日起至</w:t>
      </w:r>
      <w:r>
        <w:rPr>
          <w:rFonts w:hint="eastAsia"/>
        </w:rPr>
        <w:tab/>
      </w:r>
      <w:r>
        <w:rPr>
          <w:rFonts w:hint="eastAsia"/>
        </w:rPr>
        <w:t>年</w:t>
      </w:r>
      <w:r>
        <w:rPr>
          <w:rFonts w:hint="eastAsia"/>
        </w:rPr>
        <w:tab/>
      </w:r>
      <w:r>
        <w:rPr>
          <w:rFonts w:hint="eastAsia"/>
        </w:rPr>
        <w:t>月</w:t>
      </w:r>
      <w:r>
        <w:rPr>
          <w:rFonts w:hint="eastAsia"/>
        </w:rPr>
        <w:tab/>
      </w:r>
      <w:r>
        <w:rPr>
          <w:rFonts w:hint="eastAsia"/>
        </w:rPr>
        <w:t>日止。代理人无转委托权,特此委托。</w:t>
      </w:r>
    </w:p>
    <w:p>
      <w:pPr>
        <w:pStyle w:val="12"/>
        <w:spacing w:before="0" w:line="480" w:lineRule="auto"/>
        <w:ind w:left="0" w:firstLine="420" w:firstLineChars="200"/>
      </w:pPr>
      <w:bookmarkStart w:id="26" w:name="我已在下面签字，以资证明。"/>
      <w:bookmarkEnd w:id="26"/>
      <w:r>
        <w:rPr>
          <w:rFonts w:hint="eastAsia"/>
        </w:rPr>
        <w:t>我已在下面签字，以资证明。</w:t>
      </w:r>
    </w:p>
    <w:p>
      <w:pPr>
        <w:spacing w:line="600" w:lineRule="auto"/>
        <w:ind w:firstLine="420" w:firstLineChars="200"/>
      </w:pPr>
    </w:p>
    <w:p>
      <w:pPr>
        <w:pStyle w:val="12"/>
        <w:spacing w:before="0" w:line="600" w:lineRule="auto"/>
        <w:ind w:left="0" w:firstLine="4410" w:firstLineChars="2100"/>
      </w:pPr>
      <w:bookmarkStart w:id="27" w:name="自然人签字并在签名处加盖大拇指指印：______________________"/>
      <w:bookmarkEnd w:id="27"/>
      <w:r>
        <w:rPr>
          <w:rFonts w:hint="eastAsia"/>
        </w:rPr>
        <w:t>自然人签字并在签名处加盖大拇指指印：</w:t>
      </w:r>
      <w:r>
        <w:rPr>
          <w:rFonts w:hint="eastAsia"/>
        </w:rPr>
        <w:tab/>
      </w:r>
      <w:r>
        <w:rPr>
          <w:rFonts w:hint="eastAsia"/>
        </w:rPr>
        <w:tab/>
      </w:r>
      <w:r>
        <w:rPr>
          <w:rFonts w:hint="eastAsia"/>
        </w:rPr>
        <w:tab/>
      </w:r>
    </w:p>
    <w:p>
      <w:pPr>
        <w:pStyle w:val="12"/>
        <w:spacing w:before="0" w:line="600" w:lineRule="auto"/>
        <w:ind w:firstLine="4410" w:firstLineChars="2100"/>
      </w:pPr>
      <w:r>
        <w:rPr>
          <w:rFonts w:hint="eastAsia"/>
        </w:rPr>
        <w:t>日   期：年</w:t>
      </w:r>
      <w:r>
        <w:rPr>
          <w:rFonts w:hint="eastAsia"/>
        </w:rPr>
        <w:tab/>
      </w:r>
      <w:r>
        <w:rPr>
          <w:rFonts w:hint="eastAsia"/>
        </w:rPr>
        <w:t>月</w:t>
      </w:r>
      <w:r>
        <w:rPr>
          <w:rFonts w:hint="eastAsia"/>
        </w:rPr>
        <w:tab/>
      </w:r>
      <w:r>
        <w:rPr>
          <w:rFonts w:hint="eastAsia"/>
        </w:rPr>
        <w:t>日</w:t>
      </w:r>
    </w:p>
    <w:p>
      <w:pPr>
        <w:spacing w:line="480" w:lineRule="auto"/>
        <w:ind w:firstLine="620" w:firstLineChars="200"/>
        <w:rPr>
          <w:rFonts w:ascii="宋体" w:hAnsi="宋体" w:cs="宋体"/>
          <w:sz w:val="31"/>
          <w:szCs w:val="31"/>
        </w:rPr>
      </w:pPr>
    </w:p>
    <w:p>
      <w:pPr>
        <w:pStyle w:val="6"/>
        <w:spacing w:line="480" w:lineRule="auto"/>
        <w:ind w:left="0" w:firstLine="482" w:firstLineChars="200"/>
        <w:rPr>
          <w:b w:val="0"/>
          <w:bCs w:val="0"/>
        </w:rPr>
      </w:pPr>
      <w:r>
        <w:t>附：委托代理人身份证正反面复印件（委托代理时必须提供）</w:t>
      </w:r>
    </w:p>
    <w:p>
      <w:pPr>
        <w:spacing w:line="480" w:lineRule="auto"/>
        <w:ind w:firstLine="482" w:firstLineChars="200"/>
        <w:rPr>
          <w:rFonts w:ascii="宋体" w:hAnsi="宋体" w:cs="宋体"/>
          <w:b/>
          <w:bCs/>
          <w:sz w:val="24"/>
        </w:rPr>
      </w:pPr>
    </w:p>
    <w:p>
      <w:pPr>
        <w:spacing w:line="480" w:lineRule="auto"/>
        <w:ind w:firstLine="482" w:firstLineChars="200"/>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spacing w:before="5"/>
        <w:rPr>
          <w:rFonts w:ascii="宋体" w:hAnsi="宋体" w:cs="宋体"/>
          <w:b/>
          <w:bCs/>
          <w:sz w:val="33"/>
          <w:szCs w:val="33"/>
        </w:rPr>
      </w:pPr>
    </w:p>
    <w:p>
      <w:pPr>
        <w:pStyle w:val="15"/>
        <w:rPr>
          <w:rFonts w:hAnsi="宋体" w:cs="宋体"/>
          <w:b/>
          <w:bCs/>
          <w:sz w:val="33"/>
          <w:szCs w:val="33"/>
        </w:rPr>
      </w:pPr>
    </w:p>
    <w:p>
      <w:pPr>
        <w:pStyle w:val="9"/>
        <w:rPr>
          <w:rFonts w:ascii="宋体" w:hAnsi="宋体" w:cs="宋体"/>
          <w:b/>
          <w:bCs/>
          <w:sz w:val="33"/>
          <w:szCs w:val="33"/>
        </w:rPr>
      </w:pPr>
    </w:p>
    <w:p>
      <w:pPr>
        <w:rPr>
          <w:rFonts w:ascii="宋体" w:hAnsi="宋体" w:cs="宋体"/>
          <w:b/>
          <w:bCs/>
          <w:sz w:val="33"/>
          <w:szCs w:val="33"/>
        </w:rPr>
      </w:pPr>
    </w:p>
    <w:p>
      <w:pPr>
        <w:pStyle w:val="15"/>
        <w:rPr>
          <w:rFonts w:hAnsi="宋体" w:cs="宋体"/>
          <w:b/>
          <w:bCs/>
          <w:sz w:val="33"/>
          <w:szCs w:val="33"/>
        </w:rPr>
      </w:pPr>
    </w:p>
    <w:p>
      <w:pPr>
        <w:rPr>
          <w:rFonts w:ascii="宋体" w:hAnsi="宋体" w:cs="宋体"/>
          <w:b/>
          <w:bCs/>
          <w:sz w:val="33"/>
          <w:szCs w:val="33"/>
        </w:rPr>
      </w:pPr>
      <w:r>
        <w:rPr>
          <w:rFonts w:ascii="宋体" w:hAnsi="宋体" w:cs="宋体"/>
          <w:b/>
          <w:bCs/>
          <w:sz w:val="33"/>
          <w:szCs w:val="33"/>
        </w:rPr>
        <w:br w:type="page"/>
      </w:r>
    </w:p>
    <w:p>
      <w:pPr>
        <w:pStyle w:val="4"/>
      </w:pPr>
      <w:r>
        <w:t>4.供应商的法人或者其他组织营业执照等证明文件复印件（必须提 供，自然人除外）</w:t>
      </w:r>
    </w:p>
    <w:p>
      <w:pPr>
        <w:pStyle w:val="8"/>
        <w:spacing w:before="76" w:line="348" w:lineRule="auto"/>
        <w:ind w:left="117"/>
        <w:rPr>
          <w:b w:val="0"/>
          <w:bCs w:val="0"/>
        </w:rPr>
      </w:pPr>
      <w: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spacing w:line="348" w:lineRule="auto"/>
        <w:sectPr>
          <w:pgSz w:w="11910" w:h="16840"/>
          <w:pgMar w:top="1360" w:right="680" w:bottom="1160" w:left="1680" w:header="0" w:footer="978" w:gutter="0"/>
          <w:pgNumType w:fmt="decimal"/>
          <w:cols w:space="720" w:num="1"/>
        </w:sectPr>
      </w:pPr>
    </w:p>
    <w:p>
      <w:pPr>
        <w:pStyle w:val="4"/>
      </w:pPr>
      <w:r>
        <w:t>5.供应商参加政府采购活动前 3 年内在经营活动中没有重大违法记录的书面声明（必须提供）</w:t>
      </w:r>
    </w:p>
    <w:p>
      <w:pPr>
        <w:ind w:left="693"/>
        <w:rPr>
          <w:rFonts w:ascii="宋体" w:hAnsi="宋体" w:cs="宋体"/>
          <w:b/>
          <w:bCs/>
          <w:sz w:val="32"/>
          <w:szCs w:val="32"/>
        </w:rPr>
      </w:pPr>
    </w:p>
    <w:p>
      <w:pPr>
        <w:ind w:left="693"/>
        <w:rPr>
          <w:rFonts w:ascii="宋体" w:hAnsi="宋体" w:cs="宋体"/>
          <w:sz w:val="32"/>
          <w:szCs w:val="32"/>
        </w:rPr>
      </w:pPr>
      <w:r>
        <w:rPr>
          <w:rFonts w:ascii="宋体" w:hAnsi="宋体" w:cs="宋体"/>
          <w:b/>
          <w:bCs/>
          <w:sz w:val="32"/>
          <w:szCs w:val="32"/>
        </w:rPr>
        <w:t>附件：</w:t>
      </w:r>
    </w:p>
    <w:p/>
    <w:p>
      <w:pPr>
        <w:pStyle w:val="15"/>
        <w:spacing w:line="480" w:lineRule="auto"/>
        <w:jc w:val="center"/>
        <w:rPr>
          <w:b/>
          <w:sz w:val="32"/>
        </w:rPr>
      </w:pPr>
      <w:bookmarkStart w:id="28" w:name="致：广西天罡工程项目管理有限公司"/>
      <w:bookmarkEnd w:id="28"/>
      <w:r>
        <w:rPr>
          <w:rFonts w:hint="eastAsia"/>
          <w:b/>
          <w:sz w:val="32"/>
        </w:rPr>
        <w:t>声   明（格式）</w:t>
      </w:r>
    </w:p>
    <w:p>
      <w:pPr>
        <w:snapToGrid w:val="0"/>
        <w:spacing w:line="480" w:lineRule="auto"/>
        <w:rPr>
          <w:rFonts w:ascii="宋体" w:hAnsi="宋体" w:cs="宋体"/>
          <w:szCs w:val="21"/>
          <w:u w:val="single"/>
        </w:rPr>
      </w:pPr>
      <w:r>
        <w:rPr>
          <w:rFonts w:hint="eastAsia" w:ascii="宋体" w:hAnsi="宋体" w:cs="宋体"/>
          <w:szCs w:val="21"/>
        </w:rPr>
        <w:t>致：</w:t>
      </w:r>
      <w:r>
        <w:rPr>
          <w:rFonts w:hint="eastAsia" w:ascii="宋体" w:hAnsi="宋体"/>
          <w:szCs w:val="21"/>
          <w:u w:val="single"/>
        </w:rPr>
        <w:t>广西同泽工程项目管理股份有限公司</w:t>
      </w:r>
    </w:p>
    <w:p>
      <w:pPr>
        <w:pStyle w:val="15"/>
        <w:spacing w:line="480" w:lineRule="auto"/>
        <w:ind w:firstLine="420" w:firstLineChars="200"/>
        <w:rPr>
          <w:rFonts w:hAnsi="宋体" w:cs="宋体"/>
          <w:szCs w:val="21"/>
        </w:rPr>
      </w:pPr>
      <w:r>
        <w:rPr>
          <w:rFonts w:hint="eastAsia" w:hAnsi="宋体" w:cs="宋体"/>
          <w:szCs w:val="21"/>
        </w:rPr>
        <w:t>我公司郑重声明，在参加本项目采购活动前3年内在经营活动中没有重大违法记录（重大违法记录是指人因违法经营受到刑事处罚或者责令停产停业、吊销许可证或者执照、较大数额罚款等行政处罚），未</w:t>
      </w:r>
      <w:r>
        <w:rPr>
          <w:rFonts w:hint="eastAsia"/>
          <w:szCs w:val="21"/>
        </w:rPr>
        <w:t>被列入失信被执行人、重大税收违法案件当事人名单、政府采购严重违法失信行为记录名单及其他不符合《中华人民共和国政府采购法》第二十二条规定的条件，我方对此声明负全部法律责任</w:t>
      </w:r>
      <w:r>
        <w:rPr>
          <w:rFonts w:hint="eastAsia" w:hAnsi="宋体" w:cs="宋体"/>
          <w:szCs w:val="21"/>
        </w:rPr>
        <w:t>。</w:t>
      </w:r>
    </w:p>
    <w:p>
      <w:pPr>
        <w:pStyle w:val="15"/>
        <w:spacing w:line="480" w:lineRule="auto"/>
        <w:ind w:firstLine="422" w:firstLineChars="200"/>
        <w:jc w:val="left"/>
        <w:rPr>
          <w:rFonts w:hAnsi="宋体" w:cs="宋体"/>
          <w:b/>
          <w:bCs/>
          <w:szCs w:val="21"/>
        </w:rPr>
      </w:pPr>
    </w:p>
    <w:p>
      <w:pPr>
        <w:snapToGrid w:val="0"/>
        <w:spacing w:line="600" w:lineRule="auto"/>
        <w:ind w:firstLine="420" w:firstLineChars="200"/>
        <w:rPr>
          <w:rFonts w:ascii="宋体" w:hAnsi="宋体"/>
          <w:szCs w:val="21"/>
        </w:rPr>
      </w:pPr>
    </w:p>
    <w:p>
      <w:pPr>
        <w:spacing w:line="600" w:lineRule="auto"/>
        <w:ind w:firstLine="3360" w:firstLineChars="1600"/>
        <w:rPr>
          <w:rFonts w:ascii="宋体" w:hAnsi="宋体"/>
          <w:szCs w:val="21"/>
          <w:u w:val="single"/>
        </w:rPr>
      </w:pPr>
      <w:r>
        <w:rPr>
          <w:rFonts w:hint="eastAsia" w:ascii="宋体" w:hAnsi="宋体"/>
          <w:szCs w:val="21"/>
        </w:rPr>
        <w:t>供应商（公章，自然人除外）：</w:t>
      </w:r>
      <w:r>
        <w:rPr>
          <w:rFonts w:hint="eastAsia" w:ascii="宋体" w:hAnsi="宋体"/>
          <w:szCs w:val="21"/>
          <w:u w:val="single"/>
        </w:rPr>
        <w:t xml:space="preserve">                              </w:t>
      </w:r>
    </w:p>
    <w:p>
      <w:pPr>
        <w:spacing w:line="600" w:lineRule="auto"/>
        <w:ind w:firstLine="3360" w:firstLineChars="1600"/>
        <w:rPr>
          <w:rFonts w:hAnsi="宋体"/>
          <w:szCs w:val="21"/>
        </w:rPr>
      </w:pPr>
      <w:r>
        <w:rPr>
          <w:rFonts w:hint="eastAsia" w:hAnsi="宋体"/>
          <w:szCs w:val="21"/>
        </w:rPr>
        <w:t>法定代表人或负责人或自然人或相应的委托代理人签字或盖章：</w:t>
      </w:r>
    </w:p>
    <w:p>
      <w:pPr>
        <w:spacing w:line="600" w:lineRule="auto"/>
        <w:ind w:firstLine="3150" w:firstLineChars="1500"/>
        <w:rPr>
          <w:rFonts w:ascii="宋体" w:hAnsi="宋体"/>
          <w:szCs w:val="21"/>
          <w:u w:val="single"/>
        </w:rPr>
      </w:pPr>
      <w:r>
        <w:rPr>
          <w:rFonts w:hint="eastAsia" w:hAnsi="宋体"/>
          <w:szCs w:val="21"/>
        </w:rPr>
        <w:t>（属自然人的应在签名处加盖食指指印）：</w:t>
      </w:r>
      <w:r>
        <w:rPr>
          <w:rFonts w:hint="eastAsia" w:ascii="宋体" w:hAnsi="宋体"/>
          <w:szCs w:val="21"/>
          <w:u w:val="single"/>
        </w:rPr>
        <w:t xml:space="preserve">                        </w:t>
      </w:r>
    </w:p>
    <w:p>
      <w:pPr>
        <w:pStyle w:val="15"/>
        <w:spacing w:line="600" w:lineRule="auto"/>
        <w:ind w:firstLine="3360" w:firstLineChars="1600"/>
        <w:rPr>
          <w:szCs w:val="21"/>
        </w:rPr>
      </w:pPr>
      <w:r>
        <w:rPr>
          <w:rFonts w:hint="eastAsia" w:hAnsi="宋体"/>
          <w:szCs w:val="21"/>
        </w:rPr>
        <w:t>日          期：</w:t>
      </w:r>
      <w:r>
        <w:rPr>
          <w:rFonts w:hint="eastAsia" w:hAnsi="宋体"/>
          <w:szCs w:val="21"/>
          <w:u w:val="single"/>
        </w:rPr>
        <w:t xml:space="preserve">                         </w:t>
      </w:r>
      <w:r>
        <w:rPr>
          <w:rFonts w:hint="eastAsia"/>
          <w:szCs w:val="21"/>
        </w:rPr>
        <w:t>：</w:t>
      </w:r>
    </w:p>
    <w:p>
      <w:pPr>
        <w:spacing w:line="480" w:lineRule="auto"/>
      </w:pPr>
      <w:r>
        <w:rPr>
          <w:rFonts w:hint="eastAsia"/>
        </w:rPr>
        <w:br w:type="page"/>
      </w:r>
    </w:p>
    <w:p>
      <w:pPr>
        <w:pStyle w:val="4"/>
      </w:pPr>
      <w:r>
        <w:rPr>
          <w:rFonts w:hint="eastAsia"/>
        </w:rPr>
        <w:t>6.供应商提供固定的办公场所照片；</w:t>
      </w:r>
    </w:p>
    <w:p/>
    <w:p>
      <w:pPr>
        <w:pStyle w:val="23"/>
        <w:ind w:left="420"/>
      </w:pPr>
    </w:p>
    <w:p>
      <w:pPr>
        <w:pStyle w:val="23"/>
        <w:ind w:left="420"/>
      </w:pPr>
    </w:p>
    <w:p>
      <w:pPr>
        <w:pStyle w:val="23"/>
        <w:ind w:left="420"/>
      </w:pPr>
    </w:p>
    <w:p>
      <w:pPr>
        <w:pStyle w:val="23"/>
        <w:ind w:left="420"/>
      </w:pPr>
    </w:p>
    <w:p>
      <w:pPr>
        <w:pStyle w:val="23"/>
        <w:ind w:left="420"/>
      </w:pPr>
    </w:p>
    <w:p>
      <w:pPr>
        <w:pStyle w:val="23"/>
        <w:ind w:left="420"/>
      </w:pPr>
    </w:p>
    <w:p>
      <w:pPr>
        <w:pStyle w:val="23"/>
        <w:ind w:left="420"/>
      </w:pPr>
    </w:p>
    <w:p>
      <w:pPr>
        <w:pStyle w:val="23"/>
        <w:ind w:left="420"/>
      </w:pPr>
    </w:p>
    <w:p>
      <w:pPr>
        <w:pStyle w:val="9"/>
      </w:pPr>
    </w:p>
    <w:p/>
    <w:p/>
    <w:p/>
    <w:p/>
    <w:p>
      <w:r>
        <w:br w:type="page"/>
      </w:r>
    </w:p>
    <w:p>
      <w:pPr>
        <w:pStyle w:val="4"/>
        <w:spacing w:line="398" w:lineRule="exact"/>
        <w:ind w:left="2462"/>
        <w:rPr>
          <w:b w:val="0"/>
        </w:rPr>
      </w:pPr>
      <w:r>
        <w:t>（二）符合性响应证明材料目录</w:t>
      </w:r>
    </w:p>
    <w:p>
      <w:pPr>
        <w:ind w:right="3197"/>
        <w:rPr>
          <w:rFonts w:ascii="宋体" w:hAnsi="宋体" w:cs="宋体"/>
          <w:sz w:val="24"/>
        </w:rPr>
      </w:pPr>
      <w:r>
        <w:rPr>
          <w:rFonts w:ascii="宋体" w:hAnsi="宋体" w:cs="宋体"/>
          <w:sz w:val="24"/>
        </w:rPr>
        <w:t>1.磋商报价表（格式见附件）</w:t>
      </w:r>
      <w:r>
        <w:rPr>
          <w:rFonts w:ascii="宋体" w:hAnsi="宋体" w:cs="宋体"/>
          <w:b/>
          <w:bCs/>
          <w:sz w:val="24"/>
        </w:rPr>
        <w:t>（必须提供）</w:t>
      </w:r>
    </w:p>
    <w:p>
      <w:pPr>
        <w:pStyle w:val="7"/>
        <w:spacing w:line="396" w:lineRule="auto"/>
        <w:ind w:left="0" w:right="104"/>
        <w:rPr>
          <w:rFonts w:cs="宋体"/>
        </w:rPr>
      </w:pPr>
      <w:r>
        <w:t>2.供应商的服务方案（包含但不限于项目实施方案、项目实施计划、质量保证措 施方案等，由投标人根据项目实际情况和服务采购需求自行编制）</w:t>
      </w:r>
      <w:r>
        <w:rPr>
          <w:rFonts w:cs="宋体"/>
          <w:b/>
          <w:bCs/>
        </w:rPr>
        <w:t>（必须提供）</w:t>
      </w:r>
    </w:p>
    <w:p>
      <w:pPr>
        <w:spacing w:before="50" w:line="398" w:lineRule="auto"/>
        <w:ind w:right="101"/>
        <w:rPr>
          <w:rFonts w:ascii="宋体" w:hAnsi="宋体" w:cs="宋体"/>
          <w:sz w:val="24"/>
        </w:rPr>
      </w:pPr>
      <w:r>
        <w:rPr>
          <w:rFonts w:ascii="宋体" w:hAnsi="宋体" w:cs="宋体"/>
          <w:sz w:val="24"/>
        </w:rPr>
        <w:t>3.服务承诺书（由供应商根据“采购需求”和评审办法自行编写针对本项目的服务承诺）</w:t>
      </w:r>
      <w:r>
        <w:rPr>
          <w:rFonts w:ascii="宋体" w:hAnsi="宋体" w:cs="宋体"/>
          <w:b/>
          <w:bCs/>
          <w:sz w:val="24"/>
        </w:rPr>
        <w:t>（必须提供）</w:t>
      </w:r>
    </w:p>
    <w:p>
      <w:pPr>
        <w:spacing w:before="46" w:line="398" w:lineRule="auto"/>
        <w:ind w:right="101"/>
        <w:rPr>
          <w:rFonts w:ascii="宋体" w:hAnsi="宋体" w:cs="宋体"/>
          <w:sz w:val="24"/>
        </w:rPr>
      </w:pPr>
      <w:r>
        <w:rPr>
          <w:rFonts w:ascii="宋体" w:hAnsi="宋体" w:cs="宋体"/>
          <w:sz w:val="24"/>
        </w:rPr>
        <w:t>4.项目实施主要人员一览表（执行本项目专职人员不得低于</w:t>
      </w:r>
      <w:r>
        <w:rPr>
          <w:rFonts w:ascii="宋体" w:hAnsi="宋体" w:cs="宋体"/>
          <w:spacing w:val="-48"/>
          <w:sz w:val="24"/>
        </w:rPr>
        <w:t xml:space="preserve"> </w:t>
      </w:r>
      <w:r>
        <w:rPr>
          <w:rFonts w:ascii="宋体" w:hAnsi="宋体" w:cs="宋体"/>
          <w:sz w:val="24"/>
        </w:rPr>
        <w:t>3</w:t>
      </w:r>
      <w:r>
        <w:rPr>
          <w:rFonts w:ascii="宋体" w:hAnsi="宋体" w:cs="宋体"/>
          <w:spacing w:val="-48"/>
          <w:sz w:val="24"/>
        </w:rPr>
        <w:t xml:space="preserve"> </w:t>
      </w:r>
      <w:r>
        <w:rPr>
          <w:rFonts w:ascii="宋体" w:hAnsi="宋体" w:cs="宋体"/>
          <w:sz w:val="24"/>
        </w:rPr>
        <w:t>人，至少</w:t>
      </w:r>
      <w:r>
        <w:rPr>
          <w:rFonts w:ascii="宋体" w:hAnsi="宋体" w:cs="宋体"/>
          <w:spacing w:val="-48"/>
          <w:sz w:val="24"/>
        </w:rPr>
        <w:t xml:space="preserve"> </w:t>
      </w:r>
      <w:r>
        <w:rPr>
          <w:rFonts w:ascii="宋体" w:hAnsi="宋体" w:cs="宋体"/>
          <w:sz w:val="24"/>
        </w:rPr>
        <w:t>2</w:t>
      </w:r>
      <w:r>
        <w:rPr>
          <w:rFonts w:ascii="宋体" w:hAnsi="宋体" w:cs="宋体"/>
          <w:spacing w:val="-48"/>
          <w:sz w:val="24"/>
        </w:rPr>
        <w:t xml:space="preserve"> </w:t>
      </w:r>
      <w:r>
        <w:rPr>
          <w:rFonts w:ascii="宋体" w:hAnsi="宋体" w:cs="宋体"/>
          <w:sz w:val="24"/>
        </w:rPr>
        <w:t>人以上具有大专以上学历，项目负责人必须为中级以上（含中级）社会工作师，投标时出具相关证书复印件及2020年任意一个月的社保缴纳证明</w:t>
      </w:r>
      <w:r>
        <w:rPr>
          <w:rFonts w:ascii="宋体" w:hAnsi="宋体" w:cs="宋体"/>
          <w:b/>
          <w:bCs/>
          <w:sz w:val="24"/>
        </w:rPr>
        <w:t>（必须提供）</w:t>
      </w:r>
    </w:p>
    <w:p>
      <w:pPr>
        <w:spacing w:line="398" w:lineRule="auto"/>
        <w:rPr>
          <w:rFonts w:ascii="宋体" w:hAnsi="宋体" w:cs="宋体"/>
          <w:sz w:val="24"/>
        </w:rPr>
        <w:sectPr>
          <w:pgSz w:w="11910" w:h="16840"/>
          <w:pgMar w:top="1360" w:right="820" w:bottom="1160" w:left="1680" w:header="0" w:footer="978" w:gutter="0"/>
          <w:pgNumType w:fmt="decimal"/>
          <w:cols w:space="720" w:num="1"/>
        </w:sectPr>
      </w:pPr>
    </w:p>
    <w:p>
      <w:pPr>
        <w:spacing w:line="382" w:lineRule="exact"/>
        <w:ind w:left="117" w:right="98"/>
        <w:rPr>
          <w:rFonts w:ascii="宋体" w:hAnsi="宋体" w:cs="宋体"/>
          <w:sz w:val="32"/>
          <w:szCs w:val="32"/>
        </w:rPr>
      </w:pPr>
      <w:r>
        <w:rPr>
          <w:rFonts w:ascii="宋体" w:hAnsi="宋体" w:cs="宋体"/>
          <w:b/>
          <w:bCs/>
          <w:sz w:val="32"/>
          <w:szCs w:val="32"/>
        </w:rPr>
        <w:t>1.磋商报价表（必须提供）</w:t>
      </w:r>
    </w:p>
    <w:p>
      <w:pPr>
        <w:spacing w:line="356" w:lineRule="exact"/>
        <w:ind w:left="537" w:right="98"/>
        <w:rPr>
          <w:rFonts w:ascii="宋体" w:hAnsi="宋体" w:cs="宋体"/>
          <w:sz w:val="30"/>
          <w:szCs w:val="30"/>
        </w:rPr>
      </w:pPr>
      <w:r>
        <w:rPr>
          <w:rFonts w:ascii="宋体" w:hAnsi="宋体" w:cs="宋体"/>
          <w:b/>
          <w:bCs/>
          <w:sz w:val="30"/>
          <w:szCs w:val="30"/>
        </w:rPr>
        <w:t>附件：</w:t>
      </w:r>
    </w:p>
    <w:p>
      <w:pPr>
        <w:pStyle w:val="4"/>
        <w:spacing w:before="71"/>
        <w:ind w:left="2836" w:right="98"/>
        <w:rPr>
          <w:b w:val="0"/>
        </w:rPr>
      </w:pPr>
      <w:r>
        <w:t>磋商报价表（格式）</w:t>
      </w:r>
    </w:p>
    <w:p>
      <w:pPr>
        <w:snapToGrid w:val="0"/>
        <w:spacing w:line="360" w:lineRule="auto"/>
        <w:rPr>
          <w:rFonts w:ascii="宋体" w:hAnsi="宋体" w:cs="宋体"/>
          <w:szCs w:val="21"/>
          <w:u w:val="single"/>
        </w:rPr>
      </w:pPr>
      <w:r>
        <w:t>致：</w:t>
      </w:r>
      <w:r>
        <w:rPr>
          <w:rFonts w:hint="eastAsia" w:ascii="宋体" w:hAnsi="宋体"/>
          <w:szCs w:val="21"/>
          <w:u w:val="single"/>
        </w:rPr>
        <w:t>广西同泽工程项目管理股份有限公司</w:t>
      </w:r>
    </w:p>
    <w:p>
      <w:pPr>
        <w:pStyle w:val="12"/>
        <w:tabs>
          <w:tab w:val="left" w:pos="2531"/>
          <w:tab w:val="left" w:pos="5560"/>
          <w:tab w:val="left" w:pos="6679"/>
          <w:tab w:val="left" w:pos="8567"/>
        </w:tabs>
        <w:spacing w:before="0" w:line="360" w:lineRule="auto"/>
        <w:ind w:left="0" w:firstLine="440" w:firstLineChars="200"/>
        <w:rPr>
          <w:rFonts w:eastAsiaTheme="minorHAnsi"/>
          <w:sz w:val="22"/>
          <w:u w:val="single"/>
        </w:rPr>
      </w:pPr>
      <w:r>
        <w:rPr>
          <w:rFonts w:hint="eastAsia" w:eastAsiaTheme="minorHAnsi"/>
          <w:sz w:val="22"/>
        </w:rPr>
        <w:t>根据贵方</w:t>
      </w:r>
      <w:r>
        <w:rPr>
          <w:rFonts w:hint="eastAsia" w:eastAsiaTheme="minorHAnsi"/>
          <w:sz w:val="22"/>
          <w:u w:val="single"/>
        </w:rPr>
        <w:tab/>
      </w:r>
      <w:r>
        <w:rPr>
          <w:rFonts w:hint="eastAsia" w:eastAsiaTheme="minorHAnsi"/>
          <w:sz w:val="22"/>
          <w:u w:val="single"/>
        </w:rPr>
        <w:t>（项目名称）</w:t>
      </w:r>
      <w:r>
        <w:rPr>
          <w:rFonts w:hint="eastAsia" w:eastAsiaTheme="minorHAnsi"/>
          <w:sz w:val="22"/>
        </w:rPr>
        <w:t>项目竞争性磋商文件，项目编号：</w:t>
      </w:r>
      <w:r>
        <w:rPr>
          <w:rFonts w:hint="eastAsia" w:eastAsiaTheme="minorHAnsi"/>
          <w:sz w:val="22"/>
          <w:u w:val="single"/>
        </w:rPr>
        <w:tab/>
      </w:r>
      <w:r>
        <w:rPr>
          <w:rFonts w:hint="eastAsia" w:eastAsiaTheme="minorHAnsi"/>
          <w:sz w:val="22"/>
          <w:u w:val="single"/>
        </w:rPr>
        <w:t>，</w:t>
      </w:r>
      <w:r>
        <w:rPr>
          <w:rFonts w:hint="eastAsia" w:eastAsiaTheme="minorHAnsi"/>
          <w:sz w:val="22"/>
        </w:rPr>
        <w:t>签字代表</w:t>
      </w:r>
      <w:r>
        <w:rPr>
          <w:rFonts w:hint="eastAsia" w:eastAsiaTheme="minorHAnsi"/>
          <w:sz w:val="22"/>
          <w:u w:val="single"/>
        </w:rPr>
        <w:t xml:space="preserve">             （姓名）</w:t>
      </w:r>
      <w:r>
        <w:rPr>
          <w:rFonts w:hint="eastAsia" w:eastAsiaTheme="minorHAnsi"/>
          <w:sz w:val="22"/>
        </w:rPr>
        <w:t>经正式授权并代表</w:t>
      </w:r>
      <w:r>
        <w:rPr>
          <w:rFonts w:hint="eastAsia" w:eastAsiaTheme="minorHAnsi"/>
          <w:sz w:val="22"/>
          <w:u w:val="single"/>
        </w:rPr>
        <w:tab/>
      </w:r>
      <w:r>
        <w:rPr>
          <w:rFonts w:hint="eastAsia" w:eastAsiaTheme="minorHAnsi"/>
          <w:sz w:val="22"/>
          <w:u w:val="single"/>
        </w:rPr>
        <w:tab/>
      </w:r>
      <w:r>
        <w:rPr>
          <w:rFonts w:hint="eastAsia" w:eastAsiaTheme="minorHAnsi"/>
          <w:sz w:val="22"/>
          <w:u w:val="single"/>
        </w:rPr>
        <w:t>（供应商单位名称）</w:t>
      </w:r>
      <w:r>
        <w:rPr>
          <w:rFonts w:hint="eastAsia" w:eastAsiaTheme="minorHAnsi"/>
          <w:sz w:val="22"/>
        </w:rPr>
        <w:t>，提交响应</w:t>
      </w:r>
      <w:r>
        <w:rPr>
          <w:rFonts w:hint="eastAsia" w:eastAsiaTheme="minorHAnsi"/>
          <w:sz w:val="22"/>
          <w:u w:val="single"/>
        </w:rPr>
        <w:t>文件正本 一份，副本三份，并做出如下报价：</w:t>
      </w:r>
    </w:p>
    <w:p>
      <w:pPr>
        <w:pStyle w:val="12"/>
        <w:tabs>
          <w:tab w:val="left" w:pos="2531"/>
          <w:tab w:val="left" w:pos="5560"/>
          <w:tab w:val="left" w:pos="6679"/>
          <w:tab w:val="left" w:pos="8567"/>
        </w:tabs>
        <w:spacing w:before="0" w:line="360" w:lineRule="auto"/>
        <w:ind w:left="0" w:firstLine="440" w:firstLineChars="200"/>
        <w:rPr>
          <w:rFonts w:eastAsiaTheme="minorHAnsi"/>
          <w:sz w:val="22"/>
        </w:rPr>
      </w:pPr>
      <w:r>
        <w:rPr>
          <w:rFonts w:hint="eastAsia" w:eastAsiaTheme="minorHAnsi"/>
          <w:sz w:val="22"/>
        </w:rPr>
        <w:t>磋商报价表（格式）</w:t>
      </w:r>
    </w:p>
    <w:tbl>
      <w:tblPr>
        <w:tblStyle w:val="24"/>
        <w:tblW w:w="0" w:type="auto"/>
        <w:tblInd w:w="112" w:type="dxa"/>
        <w:tblLayout w:type="fixed"/>
        <w:tblCellMar>
          <w:top w:w="0" w:type="dxa"/>
          <w:left w:w="0" w:type="dxa"/>
          <w:bottom w:w="0" w:type="dxa"/>
          <w:right w:w="0" w:type="dxa"/>
        </w:tblCellMar>
      </w:tblPr>
      <w:tblGrid>
        <w:gridCol w:w="803"/>
        <w:gridCol w:w="4567"/>
        <w:gridCol w:w="1875"/>
        <w:gridCol w:w="1858"/>
      </w:tblGrid>
      <w:tr>
        <w:tblPrEx>
          <w:tblCellMar>
            <w:top w:w="0" w:type="dxa"/>
            <w:left w:w="0" w:type="dxa"/>
            <w:bottom w:w="0" w:type="dxa"/>
            <w:right w:w="0" w:type="dxa"/>
          </w:tblCellMar>
        </w:tblPrEx>
        <w:trPr>
          <w:trHeight w:val="521" w:hRule="exact"/>
        </w:trPr>
        <w:tc>
          <w:tcPr>
            <w:tcW w:w="803" w:type="dxa"/>
            <w:tcBorders>
              <w:top w:val="single" w:color="000000" w:sz="4" w:space="0"/>
              <w:left w:val="single" w:color="000000" w:sz="4" w:space="0"/>
              <w:bottom w:val="single" w:color="000000" w:sz="4" w:space="0"/>
              <w:right w:val="single" w:color="000000" w:sz="4" w:space="0"/>
            </w:tcBorders>
          </w:tcPr>
          <w:p>
            <w:pPr>
              <w:pStyle w:val="72"/>
              <w:spacing w:before="142"/>
              <w:ind w:left="185"/>
              <w:rPr>
                <w:rFonts w:ascii="宋体" w:hAnsi="宋体"/>
                <w:szCs w:val="21"/>
                <w:u w:val="single"/>
              </w:rPr>
            </w:pPr>
            <w:r>
              <w:rPr>
                <w:rFonts w:hint="eastAsia" w:ascii="宋体" w:hAnsi="宋体"/>
                <w:szCs w:val="21"/>
              </w:rPr>
              <w:t>项号</w:t>
            </w:r>
          </w:p>
        </w:tc>
        <w:tc>
          <w:tcPr>
            <w:tcW w:w="4567" w:type="dxa"/>
            <w:tcBorders>
              <w:top w:val="single" w:color="000000" w:sz="4" w:space="0"/>
              <w:left w:val="single" w:color="000000" w:sz="4" w:space="0"/>
              <w:bottom w:val="single" w:color="000000" w:sz="4" w:space="0"/>
              <w:right w:val="single" w:color="000000" w:sz="4" w:space="0"/>
            </w:tcBorders>
          </w:tcPr>
          <w:p>
            <w:pPr>
              <w:pStyle w:val="72"/>
              <w:spacing w:before="142"/>
              <w:ind w:right="1"/>
              <w:jc w:val="center"/>
              <w:rPr>
                <w:rFonts w:ascii="宋体" w:hAnsi="宋体"/>
                <w:szCs w:val="21"/>
                <w:u w:val="single"/>
              </w:rPr>
            </w:pPr>
            <w:r>
              <w:rPr>
                <w:rFonts w:hint="eastAsia" w:ascii="宋体" w:hAnsi="宋体"/>
                <w:szCs w:val="21"/>
              </w:rPr>
              <w:t>服务内容及承诺</w:t>
            </w:r>
          </w:p>
        </w:tc>
        <w:tc>
          <w:tcPr>
            <w:tcW w:w="1875" w:type="dxa"/>
            <w:tcBorders>
              <w:top w:val="single" w:color="000000" w:sz="4" w:space="0"/>
              <w:left w:val="single" w:color="000000" w:sz="4" w:space="0"/>
              <w:bottom w:val="single" w:color="000000" w:sz="4" w:space="0"/>
              <w:right w:val="single" w:color="000000" w:sz="4" w:space="0"/>
            </w:tcBorders>
          </w:tcPr>
          <w:p>
            <w:pPr>
              <w:pStyle w:val="72"/>
              <w:spacing w:before="142"/>
              <w:ind w:right="2"/>
              <w:jc w:val="center"/>
              <w:rPr>
                <w:rFonts w:ascii="宋体" w:hAnsi="宋体"/>
                <w:szCs w:val="21"/>
              </w:rPr>
            </w:pPr>
            <w:r>
              <w:rPr>
                <w:rFonts w:hint="eastAsia" w:ascii="宋体" w:hAnsi="宋体"/>
                <w:szCs w:val="21"/>
              </w:rPr>
              <w:t>单位</w:t>
            </w:r>
          </w:p>
        </w:tc>
        <w:tc>
          <w:tcPr>
            <w:tcW w:w="1858" w:type="dxa"/>
            <w:tcBorders>
              <w:top w:val="single" w:color="000000" w:sz="4" w:space="0"/>
              <w:left w:val="single" w:color="000000" w:sz="4" w:space="0"/>
              <w:bottom w:val="single" w:color="000000" w:sz="4" w:space="0"/>
              <w:right w:val="single" w:color="000000" w:sz="4" w:space="0"/>
            </w:tcBorders>
          </w:tcPr>
          <w:p>
            <w:pPr>
              <w:pStyle w:val="72"/>
              <w:spacing w:before="142"/>
              <w:jc w:val="center"/>
              <w:rPr>
                <w:rFonts w:ascii="宋体" w:hAnsi="宋体"/>
                <w:szCs w:val="21"/>
              </w:rPr>
            </w:pPr>
            <w:r>
              <w:rPr>
                <w:rFonts w:hint="eastAsia" w:ascii="宋体" w:hAnsi="宋体"/>
                <w:szCs w:val="21"/>
              </w:rPr>
              <w:t>数量</w:t>
            </w:r>
          </w:p>
        </w:tc>
      </w:tr>
      <w:tr>
        <w:tblPrEx>
          <w:tblCellMar>
            <w:top w:w="0" w:type="dxa"/>
            <w:left w:w="0" w:type="dxa"/>
            <w:bottom w:w="0" w:type="dxa"/>
            <w:right w:w="0" w:type="dxa"/>
          </w:tblCellMar>
        </w:tblPrEx>
        <w:trPr>
          <w:trHeight w:val="850" w:hRule="exact"/>
        </w:trPr>
        <w:tc>
          <w:tcPr>
            <w:tcW w:w="803" w:type="dxa"/>
            <w:tcBorders>
              <w:top w:val="single" w:color="000000" w:sz="4" w:space="0"/>
              <w:left w:val="single" w:color="000000" w:sz="4" w:space="0"/>
              <w:bottom w:val="single" w:color="000000" w:sz="4" w:space="0"/>
              <w:right w:val="single" w:color="000000" w:sz="4" w:space="0"/>
            </w:tcBorders>
          </w:tcPr>
          <w:p>
            <w:pPr>
              <w:pStyle w:val="72"/>
              <w:spacing w:before="7"/>
              <w:rPr>
                <w:rFonts w:ascii="宋体" w:hAnsi="宋体"/>
                <w:szCs w:val="21"/>
                <w:u w:val="single"/>
              </w:rPr>
            </w:pPr>
          </w:p>
          <w:p>
            <w:pPr>
              <w:pStyle w:val="72"/>
              <w:ind w:right="1"/>
              <w:jc w:val="center"/>
              <w:rPr>
                <w:rFonts w:ascii="宋体" w:hAnsi="宋体"/>
                <w:szCs w:val="21"/>
                <w:u w:val="single"/>
              </w:rPr>
            </w:pPr>
            <w:r>
              <w:rPr>
                <w:rFonts w:hint="eastAsia" w:ascii="宋体" w:hAnsi="宋体"/>
                <w:szCs w:val="21"/>
                <w:u w:val="single"/>
              </w:rPr>
              <w:t>1</w:t>
            </w:r>
          </w:p>
        </w:tc>
        <w:tc>
          <w:tcPr>
            <w:tcW w:w="4567" w:type="dxa"/>
            <w:tcBorders>
              <w:top w:val="single" w:color="000000" w:sz="4" w:space="0"/>
              <w:left w:val="single" w:color="000000" w:sz="4" w:space="0"/>
              <w:bottom w:val="single" w:color="000000" w:sz="4" w:space="0"/>
              <w:right w:val="single" w:color="000000" w:sz="4" w:space="0"/>
            </w:tcBorders>
          </w:tcPr>
          <w:p>
            <w:pPr>
              <w:rPr>
                <w:rFonts w:ascii="宋体" w:hAnsi="宋体"/>
                <w:szCs w:val="21"/>
                <w:u w:val="single"/>
              </w:rPr>
            </w:pPr>
          </w:p>
        </w:tc>
        <w:tc>
          <w:tcPr>
            <w:tcW w:w="1875" w:type="dxa"/>
            <w:tcBorders>
              <w:top w:val="single" w:color="000000" w:sz="4" w:space="0"/>
              <w:left w:val="single" w:color="000000" w:sz="4" w:space="0"/>
              <w:bottom w:val="single" w:color="000000" w:sz="4" w:space="0"/>
              <w:right w:val="single" w:color="000000" w:sz="4" w:space="0"/>
            </w:tcBorders>
          </w:tcPr>
          <w:p>
            <w:pPr>
              <w:rPr>
                <w:rFonts w:ascii="宋体" w:hAnsi="宋体"/>
                <w:szCs w:val="21"/>
                <w:u w:val="single"/>
              </w:rPr>
            </w:pPr>
          </w:p>
        </w:tc>
        <w:tc>
          <w:tcPr>
            <w:tcW w:w="1858" w:type="dxa"/>
            <w:tcBorders>
              <w:top w:val="single" w:color="000000" w:sz="4" w:space="0"/>
              <w:left w:val="single" w:color="000000" w:sz="4" w:space="0"/>
              <w:bottom w:val="single" w:color="000000" w:sz="4" w:space="0"/>
              <w:right w:val="single" w:color="000000" w:sz="4" w:space="0"/>
            </w:tcBorders>
          </w:tcPr>
          <w:p>
            <w:pPr>
              <w:rPr>
                <w:rFonts w:ascii="宋体" w:hAnsi="宋体"/>
                <w:szCs w:val="21"/>
                <w:u w:val="single"/>
              </w:rPr>
            </w:pPr>
          </w:p>
        </w:tc>
      </w:tr>
      <w:tr>
        <w:tblPrEx>
          <w:tblCellMar>
            <w:top w:w="0" w:type="dxa"/>
            <w:left w:w="0" w:type="dxa"/>
            <w:bottom w:w="0" w:type="dxa"/>
            <w:right w:w="0" w:type="dxa"/>
          </w:tblCellMar>
        </w:tblPrEx>
        <w:trPr>
          <w:trHeight w:val="450" w:hRule="exact"/>
        </w:trPr>
        <w:tc>
          <w:tcPr>
            <w:tcW w:w="9103" w:type="dxa"/>
            <w:gridSpan w:val="4"/>
            <w:tcBorders>
              <w:top w:val="single" w:color="000000" w:sz="4" w:space="0"/>
              <w:left w:val="single" w:color="000000" w:sz="4" w:space="0"/>
              <w:bottom w:val="single" w:color="000000" w:sz="4" w:space="0"/>
              <w:right w:val="single" w:color="000000" w:sz="4" w:space="0"/>
            </w:tcBorders>
          </w:tcPr>
          <w:p>
            <w:pPr>
              <w:pStyle w:val="72"/>
              <w:tabs>
                <w:tab w:val="left" w:pos="5522"/>
                <w:tab w:val="left" w:pos="7234"/>
              </w:tabs>
              <w:spacing w:before="108"/>
              <w:ind w:left="103"/>
              <w:rPr>
                <w:rFonts w:ascii="宋体" w:hAnsi="宋体"/>
                <w:szCs w:val="21"/>
                <w:u w:val="single"/>
              </w:rPr>
            </w:pPr>
            <w:r>
              <w:rPr>
                <w:rFonts w:hint="eastAsia" w:ascii="宋体" w:hAnsi="宋体"/>
                <w:szCs w:val="21"/>
              </w:rPr>
              <w:t>磋商总报价</w:t>
            </w:r>
            <w:r>
              <w:rPr>
                <w:rFonts w:hint="eastAsia" w:ascii="宋体" w:hAnsi="宋体"/>
                <w:szCs w:val="21"/>
                <w:u w:val="single"/>
              </w:rPr>
              <w:t>（大写）：</w:t>
            </w:r>
            <w:r>
              <w:rPr>
                <w:rFonts w:hint="eastAsia" w:ascii="宋体" w:hAnsi="宋体"/>
                <w:szCs w:val="21"/>
                <w:u w:val="single"/>
              </w:rPr>
              <w:tab/>
            </w:r>
            <w:r>
              <w:rPr>
                <w:rFonts w:hint="eastAsia" w:ascii="宋体" w:hAnsi="宋体"/>
                <w:szCs w:val="21"/>
                <w:u w:val="single"/>
              </w:rPr>
              <w:t>元（￥</w:t>
            </w:r>
            <w:r>
              <w:rPr>
                <w:rFonts w:hint="eastAsia" w:ascii="宋体" w:hAnsi="宋体"/>
                <w:szCs w:val="21"/>
                <w:u w:val="single"/>
              </w:rPr>
              <w:tab/>
            </w:r>
            <w:r>
              <w:rPr>
                <w:rFonts w:hint="eastAsia" w:ascii="宋体" w:hAnsi="宋体"/>
                <w:szCs w:val="21"/>
                <w:u w:val="single"/>
              </w:rPr>
              <w:t>）人民币</w:t>
            </w:r>
          </w:p>
        </w:tc>
      </w:tr>
      <w:tr>
        <w:tblPrEx>
          <w:tblCellMar>
            <w:top w:w="0" w:type="dxa"/>
            <w:left w:w="0" w:type="dxa"/>
            <w:bottom w:w="0" w:type="dxa"/>
            <w:right w:w="0" w:type="dxa"/>
          </w:tblCellMar>
        </w:tblPrEx>
        <w:trPr>
          <w:trHeight w:val="450" w:hRule="exact"/>
        </w:trPr>
        <w:tc>
          <w:tcPr>
            <w:tcW w:w="9103" w:type="dxa"/>
            <w:gridSpan w:val="4"/>
            <w:tcBorders>
              <w:top w:val="single" w:color="000000" w:sz="4" w:space="0"/>
              <w:left w:val="single" w:color="000000" w:sz="4" w:space="0"/>
              <w:bottom w:val="single" w:color="000000" w:sz="4" w:space="0"/>
              <w:right w:val="single" w:color="000000" w:sz="4" w:space="0"/>
            </w:tcBorders>
          </w:tcPr>
          <w:p>
            <w:pPr>
              <w:pStyle w:val="72"/>
              <w:spacing w:before="106"/>
              <w:ind w:left="103"/>
              <w:rPr>
                <w:rFonts w:ascii="宋体" w:hAnsi="宋体"/>
                <w:szCs w:val="21"/>
              </w:rPr>
            </w:pPr>
            <w:r>
              <w:rPr>
                <w:rFonts w:hint="eastAsia" w:ascii="宋体" w:hAnsi="宋体"/>
                <w:szCs w:val="21"/>
              </w:rPr>
              <w:t>本项目自响应文件递交截止时间之日起90天，有效期不足的响应文件将被拒绝。</w:t>
            </w:r>
          </w:p>
        </w:tc>
      </w:tr>
      <w:tr>
        <w:tblPrEx>
          <w:tblCellMar>
            <w:top w:w="0" w:type="dxa"/>
            <w:left w:w="0" w:type="dxa"/>
            <w:bottom w:w="0" w:type="dxa"/>
            <w:right w:w="0" w:type="dxa"/>
          </w:tblCellMar>
        </w:tblPrEx>
        <w:trPr>
          <w:trHeight w:val="1770" w:hRule="exact"/>
        </w:trPr>
        <w:tc>
          <w:tcPr>
            <w:tcW w:w="9103" w:type="dxa"/>
            <w:gridSpan w:val="4"/>
            <w:tcBorders>
              <w:top w:val="single" w:color="000000" w:sz="4" w:space="0"/>
              <w:left w:val="single" w:color="000000" w:sz="4" w:space="0"/>
              <w:bottom w:val="single" w:color="000000" w:sz="4" w:space="0"/>
              <w:right w:val="single" w:color="000000" w:sz="4" w:space="0"/>
            </w:tcBorders>
          </w:tcPr>
          <w:p>
            <w:pPr>
              <w:pStyle w:val="72"/>
              <w:spacing w:before="108" w:line="384" w:lineRule="auto"/>
              <w:ind w:left="103" w:right="102"/>
              <w:rPr>
                <w:rFonts w:ascii="宋体" w:hAnsi="宋体"/>
                <w:szCs w:val="21"/>
              </w:rPr>
            </w:pPr>
            <w:r>
              <w:rPr>
                <w:rFonts w:hint="eastAsia" w:ascii="宋体" w:hAnsi="宋体"/>
                <w:szCs w:val="21"/>
              </w:rPr>
              <w:t>说明：磋商报价包括本次采购范围内一切服务价款，含服务费、人员、调查、评估、收集材料、编制、申报、修改完善等费用及管理费、购置费、税金、后续服务、等其他有关本项目实施过程所需的一切本身和不可或缺的所有工作开支、政策性文件规定的全部费用，采购人不再支付其它</w:t>
            </w:r>
          </w:p>
          <w:p>
            <w:pPr>
              <w:pStyle w:val="72"/>
              <w:spacing w:before="41"/>
              <w:ind w:left="103"/>
              <w:rPr>
                <w:rFonts w:ascii="宋体" w:hAnsi="宋体"/>
                <w:szCs w:val="21"/>
              </w:rPr>
            </w:pPr>
            <w:r>
              <w:rPr>
                <w:rFonts w:hint="eastAsia" w:ascii="宋体" w:hAnsi="宋体"/>
                <w:szCs w:val="21"/>
              </w:rPr>
              <w:t>任何费用。</w:t>
            </w:r>
          </w:p>
        </w:tc>
      </w:tr>
    </w:tbl>
    <w:p>
      <w:pPr>
        <w:spacing w:before="7"/>
        <w:rPr>
          <w:rFonts w:ascii="宋体" w:hAnsi="宋体"/>
          <w:szCs w:val="21"/>
          <w:u w:val="single"/>
        </w:rPr>
      </w:pPr>
    </w:p>
    <w:p>
      <w:pPr>
        <w:pStyle w:val="12"/>
        <w:spacing w:before="34" w:line="360" w:lineRule="auto"/>
        <w:ind w:left="537" w:right="98"/>
        <w:rPr>
          <w:rFonts w:eastAsiaTheme="minorHAnsi"/>
          <w:sz w:val="22"/>
          <w:u w:val="single"/>
        </w:rPr>
      </w:pPr>
      <w:r>
        <w:rPr>
          <w:rFonts w:hint="eastAsia" w:eastAsiaTheme="minorHAnsi"/>
          <w:sz w:val="22"/>
        </w:rPr>
        <w:t>与本磋商有关的正式通讯地址为：</w:t>
      </w:r>
      <w:r>
        <w:rPr>
          <w:rFonts w:hint="eastAsia" w:eastAsiaTheme="minorHAnsi"/>
          <w:sz w:val="22"/>
          <w:u w:val="single"/>
        </w:rPr>
        <w:t xml:space="preserve">                                          </w:t>
      </w:r>
    </w:p>
    <w:p>
      <w:pPr>
        <w:pStyle w:val="12"/>
        <w:tabs>
          <w:tab w:val="left" w:pos="4891"/>
          <w:tab w:val="left" w:pos="6677"/>
        </w:tabs>
        <w:spacing w:before="164" w:line="360" w:lineRule="auto"/>
        <w:ind w:left="537" w:right="1408"/>
        <w:rPr>
          <w:rFonts w:eastAsiaTheme="minorHAnsi"/>
          <w:sz w:val="22"/>
          <w:u w:val="single"/>
        </w:rPr>
      </w:pPr>
      <w:r>
        <w:rPr>
          <w:rFonts w:hint="eastAsia" w:eastAsiaTheme="minorHAnsi"/>
          <w:sz w:val="22"/>
        </w:rPr>
        <w:t>地址：</w:t>
      </w:r>
      <w:r>
        <w:rPr>
          <w:rFonts w:hint="eastAsia" w:eastAsiaTheme="minorHAnsi"/>
          <w:sz w:val="22"/>
          <w:u w:val="single"/>
        </w:rPr>
        <w:t xml:space="preserve">             </w:t>
      </w:r>
      <w:r>
        <w:rPr>
          <w:rFonts w:hint="eastAsia" w:eastAsiaTheme="minorHAnsi"/>
          <w:sz w:val="22"/>
        </w:rPr>
        <w:t xml:space="preserve"> 邮编：</w:t>
      </w:r>
      <w:r>
        <w:rPr>
          <w:rFonts w:hint="eastAsia" w:eastAsiaTheme="minorHAnsi"/>
          <w:sz w:val="22"/>
          <w:u w:val="single"/>
        </w:rPr>
        <w:t xml:space="preserve">                </w:t>
      </w:r>
      <w:r>
        <w:rPr>
          <w:rFonts w:hint="eastAsia" w:eastAsiaTheme="minorHAnsi"/>
          <w:sz w:val="22"/>
        </w:rPr>
        <w:t>电话、传真：</w:t>
      </w:r>
      <w:r>
        <w:rPr>
          <w:rFonts w:hint="eastAsia" w:eastAsiaTheme="minorHAnsi"/>
          <w:sz w:val="22"/>
          <w:u w:val="single"/>
        </w:rPr>
        <w:t xml:space="preserve">         </w:t>
      </w:r>
    </w:p>
    <w:p>
      <w:pPr>
        <w:pStyle w:val="12"/>
        <w:tabs>
          <w:tab w:val="left" w:pos="4891"/>
          <w:tab w:val="left" w:pos="6677"/>
        </w:tabs>
        <w:spacing w:before="164" w:line="360" w:lineRule="auto"/>
        <w:ind w:left="537" w:right="1408"/>
        <w:rPr>
          <w:rFonts w:eastAsiaTheme="minorHAnsi"/>
          <w:sz w:val="22"/>
          <w:u w:val="single"/>
        </w:rPr>
      </w:pPr>
      <w:r>
        <w:rPr>
          <w:rFonts w:hint="eastAsia" w:eastAsiaTheme="minorHAnsi"/>
          <w:sz w:val="22"/>
        </w:rPr>
        <w:t>开户名称：</w:t>
      </w:r>
      <w:r>
        <w:rPr>
          <w:rFonts w:hint="eastAsia" w:eastAsiaTheme="minorHAnsi"/>
          <w:sz w:val="22"/>
          <w:u w:val="single"/>
        </w:rPr>
        <w:t xml:space="preserve">                                       </w:t>
      </w:r>
    </w:p>
    <w:p>
      <w:pPr>
        <w:pStyle w:val="12"/>
        <w:tabs>
          <w:tab w:val="left" w:pos="5103"/>
        </w:tabs>
        <w:spacing w:before="36" w:line="360" w:lineRule="auto"/>
        <w:ind w:left="537" w:right="98"/>
        <w:rPr>
          <w:rFonts w:eastAsiaTheme="minorHAnsi"/>
          <w:sz w:val="22"/>
          <w:u w:val="single"/>
        </w:rPr>
      </w:pPr>
      <w:r>
        <w:rPr>
          <w:rFonts w:hint="eastAsia" w:eastAsiaTheme="minorHAnsi"/>
          <w:sz w:val="22"/>
        </w:rPr>
        <w:t>开户银行：</w:t>
      </w:r>
      <w:r>
        <w:rPr>
          <w:rFonts w:hint="eastAsia" w:eastAsiaTheme="minorHAnsi"/>
          <w:sz w:val="22"/>
          <w:u w:val="single"/>
        </w:rPr>
        <w:t xml:space="preserve"> </w:t>
      </w:r>
      <w:r>
        <w:rPr>
          <w:rFonts w:hint="eastAsia" w:eastAsiaTheme="minorHAnsi"/>
          <w:sz w:val="22"/>
          <w:u w:val="single"/>
        </w:rPr>
        <w:tab/>
      </w:r>
      <w:r>
        <w:rPr>
          <w:rFonts w:hint="eastAsia" w:eastAsiaTheme="minorHAnsi"/>
          <w:sz w:val="22"/>
          <w:u w:val="single"/>
        </w:rPr>
        <w:t xml:space="preserve">       </w:t>
      </w:r>
    </w:p>
    <w:p>
      <w:pPr>
        <w:pStyle w:val="12"/>
        <w:tabs>
          <w:tab w:val="left" w:pos="5523"/>
        </w:tabs>
        <w:spacing w:before="34" w:line="360" w:lineRule="auto"/>
        <w:ind w:left="537" w:right="98"/>
        <w:rPr>
          <w:rFonts w:eastAsiaTheme="minorHAnsi"/>
          <w:sz w:val="22"/>
          <w:u w:val="single"/>
        </w:rPr>
      </w:pPr>
      <w:r>
        <w:rPr>
          <w:rFonts w:hint="eastAsia" w:eastAsiaTheme="minorHAnsi"/>
          <w:sz w:val="22"/>
        </w:rPr>
        <w:t xml:space="preserve">账号： </w:t>
      </w:r>
      <w:r>
        <w:rPr>
          <w:rFonts w:hint="eastAsia" w:eastAsiaTheme="minorHAnsi"/>
          <w:sz w:val="22"/>
          <w:u w:val="single"/>
        </w:rPr>
        <w:tab/>
      </w:r>
      <w:r>
        <w:rPr>
          <w:rFonts w:hint="eastAsia" w:eastAsiaTheme="minorHAnsi"/>
          <w:sz w:val="22"/>
          <w:u w:val="single"/>
        </w:rPr>
        <w:t xml:space="preserve">   </w:t>
      </w:r>
    </w:p>
    <w:p>
      <w:pPr>
        <w:pStyle w:val="12"/>
        <w:spacing w:before="34" w:line="360" w:lineRule="auto"/>
        <w:ind w:left="537" w:right="3088"/>
        <w:rPr>
          <w:rFonts w:eastAsiaTheme="minorHAnsi"/>
          <w:sz w:val="22"/>
        </w:rPr>
      </w:pPr>
      <w:r>
        <w:rPr>
          <w:rFonts w:hint="eastAsia" w:eastAsiaTheme="minorHAnsi"/>
          <w:sz w:val="22"/>
        </w:rPr>
        <w:t>供应商（公章，自然人除外）：</w:t>
      </w:r>
      <w:r>
        <w:rPr>
          <w:rFonts w:hint="eastAsia" w:eastAsiaTheme="minorHAnsi"/>
          <w:sz w:val="22"/>
          <w:u w:val="single"/>
        </w:rPr>
        <w:t xml:space="preserve">                          </w:t>
      </w:r>
    </w:p>
    <w:p>
      <w:pPr>
        <w:pStyle w:val="12"/>
        <w:spacing w:before="34" w:line="360" w:lineRule="auto"/>
        <w:ind w:left="539"/>
        <w:rPr>
          <w:rFonts w:eastAsiaTheme="minorHAnsi"/>
          <w:sz w:val="22"/>
          <w:u w:val="single"/>
        </w:rPr>
      </w:pPr>
      <w:r>
        <w:rPr>
          <w:rFonts w:hint="eastAsia" w:eastAsiaTheme="minorHAnsi"/>
          <w:sz w:val="22"/>
        </w:rPr>
        <w:t>法定代表人、负责人、自然人或相应的委托代理人签字（或盖章）：</w:t>
      </w:r>
      <w:r>
        <w:rPr>
          <w:rFonts w:hint="eastAsia" w:eastAsiaTheme="minorHAnsi"/>
          <w:sz w:val="22"/>
          <w:u w:val="single"/>
        </w:rPr>
        <w:t xml:space="preserve">                    </w:t>
      </w:r>
    </w:p>
    <w:p>
      <w:pPr>
        <w:pStyle w:val="6"/>
        <w:spacing w:line="360" w:lineRule="auto"/>
        <w:ind w:left="537"/>
        <w:rPr>
          <w:rFonts w:eastAsiaTheme="minorHAnsi"/>
          <w:b w:val="0"/>
          <w:bCs w:val="0"/>
          <w:sz w:val="22"/>
          <w:szCs w:val="21"/>
          <w:u w:val="single"/>
        </w:rPr>
      </w:pPr>
      <w:r>
        <w:rPr>
          <w:rFonts w:hint="eastAsia" w:eastAsiaTheme="minorHAnsi"/>
          <w:b w:val="0"/>
          <w:bCs w:val="0"/>
          <w:sz w:val="22"/>
          <w:szCs w:val="21"/>
        </w:rPr>
        <w:t>（属自然人的应在签名处加盖大拇指指印）：</w:t>
      </w:r>
      <w:r>
        <w:rPr>
          <w:rFonts w:hint="eastAsia" w:eastAsiaTheme="minorHAnsi"/>
          <w:b w:val="0"/>
          <w:bCs w:val="0"/>
          <w:sz w:val="22"/>
          <w:szCs w:val="21"/>
          <w:u w:val="single"/>
        </w:rPr>
        <w:t xml:space="preserve">              </w:t>
      </w:r>
    </w:p>
    <w:p>
      <w:pPr>
        <w:pStyle w:val="6"/>
        <w:spacing w:line="360" w:lineRule="auto"/>
        <w:ind w:left="537"/>
        <w:rPr>
          <w:rFonts w:eastAsiaTheme="minorHAnsi"/>
          <w:b w:val="0"/>
          <w:bCs w:val="0"/>
          <w:sz w:val="22"/>
          <w:szCs w:val="21"/>
          <w:u w:val="single"/>
        </w:rPr>
      </w:pPr>
      <w:r>
        <w:rPr>
          <w:rFonts w:hint="eastAsia" w:eastAsiaTheme="minorHAnsi"/>
          <w:b w:val="0"/>
          <w:bCs w:val="0"/>
          <w:sz w:val="22"/>
          <w:szCs w:val="21"/>
        </w:rPr>
        <w:t>响应日期：</w:t>
      </w:r>
      <w:r>
        <w:rPr>
          <w:rFonts w:hint="eastAsia" w:eastAsiaTheme="minorHAnsi"/>
          <w:b w:val="0"/>
          <w:bCs w:val="0"/>
          <w:sz w:val="22"/>
          <w:szCs w:val="21"/>
          <w:u w:val="single"/>
        </w:rPr>
        <w:t xml:space="preserve">                                            </w:t>
      </w:r>
    </w:p>
    <w:p>
      <w:pPr>
        <w:pStyle w:val="6"/>
        <w:ind w:left="537"/>
        <w:rPr>
          <w:sz w:val="28"/>
          <w:szCs w:val="28"/>
        </w:rPr>
      </w:pPr>
    </w:p>
    <w:p>
      <w:pPr>
        <w:pStyle w:val="6"/>
        <w:ind w:left="537"/>
        <w:rPr>
          <w:b w:val="0"/>
          <w:bCs w:val="0"/>
        </w:rPr>
      </w:pPr>
      <w:r>
        <w:rPr>
          <w:sz w:val="28"/>
          <w:szCs w:val="28"/>
        </w:rPr>
        <w:t>注：</w:t>
      </w:r>
      <w:r>
        <w:t>当本表由多页构成时，需逐页加盖供应商公章（属自然人的须逐页签字）。</w:t>
      </w:r>
    </w:p>
    <w:p>
      <w:r>
        <w:br w:type="page"/>
      </w:r>
    </w:p>
    <w:p>
      <w:pPr>
        <w:spacing w:before="57" w:line="194" w:lineRule="auto"/>
        <w:ind w:left="117"/>
        <w:rPr>
          <w:rFonts w:ascii="宋体" w:hAnsi="宋体" w:cs="宋体"/>
          <w:sz w:val="32"/>
          <w:szCs w:val="32"/>
        </w:rPr>
      </w:pPr>
      <w:r>
        <w:rPr>
          <w:rFonts w:ascii="宋体" w:hAnsi="宋体" w:cs="宋体"/>
          <w:b/>
          <w:bCs/>
          <w:spacing w:val="-8"/>
          <w:w w:val="95"/>
          <w:sz w:val="32"/>
          <w:szCs w:val="32"/>
        </w:rPr>
        <w:t>2.供应商的服务方案（包含但不限于项目实施方案、项目实施计划、</w:t>
      </w:r>
      <w:r>
        <w:rPr>
          <w:rFonts w:ascii="宋体" w:hAnsi="宋体" w:cs="宋体"/>
          <w:b/>
          <w:bCs/>
          <w:spacing w:val="-3"/>
          <w:sz w:val="32"/>
          <w:szCs w:val="32"/>
        </w:rPr>
        <w:t>质量保证措施方案等，由投标人根据项目实际情况和服务采购需求</w:t>
      </w:r>
      <w:r>
        <w:rPr>
          <w:rFonts w:ascii="宋体" w:hAnsi="宋体" w:cs="宋体"/>
          <w:b/>
          <w:bCs/>
          <w:sz w:val="32"/>
          <w:szCs w:val="32"/>
        </w:rPr>
        <w:t>自行编制）（必须提供）</w:t>
      </w: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spacing w:before="11"/>
        <w:rPr>
          <w:rFonts w:ascii="宋体" w:hAnsi="宋体" w:cs="宋体"/>
          <w:b/>
          <w:bCs/>
          <w:sz w:val="24"/>
        </w:rPr>
      </w:pPr>
    </w:p>
    <w:p>
      <w:pPr>
        <w:pStyle w:val="12"/>
        <w:spacing w:before="34" w:line="480" w:lineRule="auto"/>
        <w:ind w:left="2835" w:firstLine="420" w:firstLineChars="200"/>
        <w:jc w:val="left"/>
        <w:rPr>
          <w:rFonts w:cs="宋体"/>
          <w:u w:val="single"/>
        </w:rPr>
      </w:pPr>
      <w:r>
        <w:rPr>
          <w:rFonts w:hint="eastAsia" w:cs="宋体"/>
        </w:rPr>
        <w:t>磋商供应商：(公章，自然人除外)</w:t>
      </w:r>
      <w:r>
        <w:rPr>
          <w:rFonts w:hint="eastAsia" w:cs="宋体"/>
          <w:u w:val="single"/>
        </w:rPr>
        <w:tab/>
      </w:r>
      <w:r>
        <w:rPr>
          <w:rFonts w:hint="eastAsia" w:cs="宋体"/>
          <w:u w:val="single"/>
        </w:rPr>
        <w:t xml:space="preserve">                    </w:t>
      </w:r>
    </w:p>
    <w:p>
      <w:pPr>
        <w:pStyle w:val="12"/>
        <w:spacing w:before="34" w:line="480" w:lineRule="auto"/>
        <w:ind w:left="3465" w:leftChars="1550" w:hanging="210" w:hangingChars="100"/>
        <w:jc w:val="left"/>
        <w:rPr>
          <w:rFonts w:cs="宋体"/>
        </w:rPr>
      </w:pPr>
      <w:r>
        <w:rPr>
          <w:rFonts w:hint="eastAsia" w:cs="宋体"/>
        </w:rPr>
        <w:t>法定代表人或负责人或自然人或相应的委托代理人签字或盖章</w:t>
      </w:r>
    </w:p>
    <w:p>
      <w:pPr>
        <w:pStyle w:val="12"/>
        <w:spacing w:before="34" w:line="480" w:lineRule="auto"/>
        <w:ind w:left="3465" w:leftChars="1550" w:hanging="210" w:hangingChars="100"/>
        <w:jc w:val="left"/>
        <w:rPr>
          <w:rFonts w:cs="宋体"/>
          <w:u w:val="single"/>
        </w:rPr>
      </w:pPr>
      <w:r>
        <w:rPr>
          <w:rFonts w:hint="eastAsia" w:cs="宋体"/>
        </w:rPr>
        <w:t>（属自然人的应在签名处加盖食指指印）：</w:t>
      </w:r>
      <w:r>
        <w:rPr>
          <w:rFonts w:hint="eastAsia" w:cs="宋体"/>
          <w:u w:val="single"/>
        </w:rPr>
        <w:tab/>
      </w:r>
      <w:r>
        <w:rPr>
          <w:rFonts w:hint="eastAsia" w:cs="宋体"/>
          <w:u w:val="single"/>
        </w:rPr>
        <w:t xml:space="preserve">.             </w:t>
      </w:r>
    </w:p>
    <w:p>
      <w:pPr>
        <w:pStyle w:val="12"/>
        <w:spacing w:before="34"/>
        <w:ind w:left="537" w:right="3088"/>
        <w:rPr>
          <w:rFonts w:eastAsiaTheme="minorHAnsi"/>
          <w:sz w:val="22"/>
          <w:u w:val="single"/>
        </w:rPr>
      </w:pPr>
    </w:p>
    <w:p>
      <w:pPr>
        <w:rPr>
          <w:spacing w:val="-3"/>
          <w:w w:val="95"/>
        </w:rPr>
      </w:pPr>
      <w:r>
        <w:rPr>
          <w:spacing w:val="-3"/>
          <w:w w:val="95"/>
        </w:rPr>
        <w:br w:type="page"/>
      </w:r>
    </w:p>
    <w:p>
      <w:pPr>
        <w:pStyle w:val="4"/>
        <w:spacing w:before="54" w:line="400" w:lineRule="exact"/>
        <w:rPr>
          <w:b w:val="0"/>
        </w:rPr>
      </w:pPr>
      <w:r>
        <w:rPr>
          <w:spacing w:val="-3"/>
          <w:w w:val="95"/>
        </w:rPr>
        <w:t>3.服务承诺书（由供应商根据“采购需求”和评审办法自行编写针</w:t>
      </w:r>
      <w:r>
        <w:t>对本项目的服务承诺）（必须提供）</w:t>
      </w:r>
    </w:p>
    <w:p>
      <w:pPr>
        <w:spacing w:line="400" w:lineRule="exact"/>
        <w:sectPr>
          <w:pgSz w:w="11910" w:h="16840"/>
          <w:pgMar w:top="1200" w:right="640" w:bottom="1160" w:left="1680" w:header="0" w:footer="978" w:gutter="0"/>
          <w:pgNumType w:fmt="decimal"/>
          <w:cols w:space="720" w:num="1"/>
        </w:sectPr>
      </w:pPr>
    </w:p>
    <w:p>
      <w:pPr>
        <w:pStyle w:val="4"/>
      </w:pPr>
      <w:r>
        <w:t>4.项目实施主要人员一览表（执行本项目专职人员不得低于3人，至少2人以上具有大专以上学历，项目负责人必须为中级以上（含中级）社会工作师，投标时出具相关证书复印件及2020年任意一个月的社保缴纳证明</w:t>
      </w:r>
    </w:p>
    <w:p>
      <w:pPr>
        <w:rPr>
          <w:b/>
          <w:bCs/>
        </w:rPr>
      </w:pPr>
      <w:r>
        <w:rPr>
          <w:b/>
          <w:bCs/>
        </w:rPr>
        <w:t>附件</w:t>
      </w:r>
      <w:r>
        <w:rPr>
          <w:rFonts w:hint="eastAsia"/>
          <w:b/>
          <w:bCs/>
        </w:rPr>
        <w:t>：</w:t>
      </w:r>
    </w:p>
    <w:p>
      <w:pPr>
        <w:pStyle w:val="5"/>
        <w:spacing w:before="0"/>
        <w:ind w:left="52" w:right="178"/>
        <w:jc w:val="center"/>
        <w:rPr>
          <w:b w:val="0"/>
          <w:bCs w:val="0"/>
        </w:rPr>
      </w:pPr>
      <w:r>
        <w:t>项目实施主要人员一览表</w:t>
      </w:r>
    </w:p>
    <w:p>
      <w:pPr>
        <w:spacing w:before="1"/>
        <w:rPr>
          <w:rFonts w:ascii="宋体" w:hAnsi="宋体" w:cs="宋体"/>
          <w:b/>
          <w:bCs/>
          <w:sz w:val="3"/>
          <w:szCs w:val="3"/>
        </w:rPr>
      </w:pPr>
    </w:p>
    <w:tbl>
      <w:tblPr>
        <w:tblStyle w:val="24"/>
        <w:tblW w:w="0" w:type="auto"/>
        <w:tblInd w:w="112" w:type="dxa"/>
        <w:tblLayout w:type="fixed"/>
        <w:tblCellMar>
          <w:top w:w="0" w:type="dxa"/>
          <w:left w:w="0" w:type="dxa"/>
          <w:bottom w:w="0" w:type="dxa"/>
          <w:right w:w="0" w:type="dxa"/>
        </w:tblCellMar>
      </w:tblPr>
      <w:tblGrid>
        <w:gridCol w:w="510"/>
        <w:gridCol w:w="1870"/>
        <w:gridCol w:w="1280"/>
        <w:gridCol w:w="1293"/>
        <w:gridCol w:w="1419"/>
        <w:gridCol w:w="1673"/>
        <w:gridCol w:w="1269"/>
      </w:tblGrid>
      <w:tr>
        <w:tblPrEx>
          <w:tblCellMar>
            <w:top w:w="0" w:type="dxa"/>
            <w:left w:w="0" w:type="dxa"/>
            <w:bottom w:w="0" w:type="dxa"/>
            <w:right w:w="0" w:type="dxa"/>
          </w:tblCellMar>
        </w:tblPrEx>
        <w:trPr>
          <w:trHeight w:val="1033" w:hRule="exact"/>
        </w:trPr>
        <w:tc>
          <w:tcPr>
            <w:tcW w:w="510" w:type="dxa"/>
            <w:tcBorders>
              <w:top w:val="single" w:color="000000" w:sz="4" w:space="0"/>
              <w:left w:val="single" w:color="000000" w:sz="4" w:space="0"/>
              <w:bottom w:val="single" w:color="000000" w:sz="4" w:space="0"/>
              <w:right w:val="single" w:color="000000" w:sz="4" w:space="0"/>
            </w:tcBorders>
          </w:tcPr>
          <w:p>
            <w:pPr>
              <w:pStyle w:val="72"/>
              <w:spacing w:before="162" w:line="348" w:lineRule="auto"/>
              <w:ind w:left="144" w:right="144"/>
              <w:rPr>
                <w:rFonts w:ascii="宋体" w:hAnsi="宋体" w:cs="宋体"/>
                <w:szCs w:val="21"/>
              </w:rPr>
            </w:pPr>
            <w:r>
              <w:rPr>
                <w:rFonts w:ascii="宋体" w:hAnsi="宋体" w:cs="宋体"/>
                <w:szCs w:val="21"/>
              </w:rPr>
              <w:t>序</w:t>
            </w:r>
            <w:r>
              <w:rPr>
                <w:rFonts w:ascii="宋体" w:hAnsi="宋体" w:cs="宋体"/>
                <w:w w:val="99"/>
                <w:szCs w:val="21"/>
              </w:rPr>
              <w:t xml:space="preserve"> </w:t>
            </w:r>
            <w:r>
              <w:rPr>
                <w:rFonts w:ascii="宋体" w:hAnsi="宋体" w:cs="宋体"/>
                <w:szCs w:val="21"/>
              </w:rPr>
              <w:t>号</w:t>
            </w:r>
          </w:p>
        </w:tc>
        <w:tc>
          <w:tcPr>
            <w:tcW w:w="1870" w:type="dxa"/>
            <w:tcBorders>
              <w:top w:val="single" w:color="000000" w:sz="4" w:space="0"/>
              <w:left w:val="single" w:color="000000" w:sz="4" w:space="0"/>
              <w:bottom w:val="single" w:color="000000" w:sz="4" w:space="0"/>
              <w:right w:val="single" w:color="000000" w:sz="4" w:space="0"/>
            </w:tcBorders>
          </w:tcPr>
          <w:p>
            <w:pPr>
              <w:pStyle w:val="72"/>
              <w:spacing w:before="162" w:line="348" w:lineRule="auto"/>
              <w:ind w:left="510" w:right="193" w:hanging="315"/>
              <w:rPr>
                <w:rFonts w:ascii="宋体" w:hAnsi="宋体" w:cs="宋体"/>
                <w:szCs w:val="21"/>
              </w:rPr>
            </w:pPr>
            <w:r>
              <w:rPr>
                <w:rFonts w:ascii="宋体" w:hAnsi="宋体" w:cs="宋体"/>
                <w:szCs w:val="21"/>
              </w:rPr>
              <w:t>在本项目中拟担</w:t>
            </w:r>
            <w:r>
              <w:rPr>
                <w:rFonts w:ascii="宋体" w:hAnsi="宋体" w:cs="宋体"/>
                <w:w w:val="99"/>
                <w:szCs w:val="21"/>
              </w:rPr>
              <w:t xml:space="preserve"> </w:t>
            </w:r>
            <w:r>
              <w:rPr>
                <w:rFonts w:ascii="宋体" w:hAnsi="宋体" w:cs="宋体"/>
                <w:szCs w:val="21"/>
              </w:rPr>
              <w:t>任的职务</w:t>
            </w:r>
          </w:p>
        </w:tc>
        <w:tc>
          <w:tcPr>
            <w:tcW w:w="1280" w:type="dxa"/>
            <w:tcBorders>
              <w:top w:val="single" w:color="000000" w:sz="4" w:space="0"/>
              <w:left w:val="single" w:color="000000" w:sz="4" w:space="0"/>
              <w:bottom w:val="single" w:color="000000" w:sz="4" w:space="0"/>
              <w:right w:val="single" w:color="000000" w:sz="4" w:space="0"/>
            </w:tcBorders>
          </w:tcPr>
          <w:p>
            <w:pPr>
              <w:pStyle w:val="72"/>
              <w:spacing w:before="8"/>
              <w:rPr>
                <w:rFonts w:ascii="宋体" w:hAnsi="宋体" w:cs="宋体"/>
                <w:b/>
                <w:bCs/>
                <w:sz w:val="27"/>
                <w:szCs w:val="27"/>
              </w:rPr>
            </w:pPr>
          </w:p>
          <w:p>
            <w:pPr>
              <w:pStyle w:val="72"/>
              <w:jc w:val="center"/>
              <w:rPr>
                <w:rFonts w:ascii="宋体" w:hAnsi="宋体" w:cs="宋体"/>
                <w:szCs w:val="21"/>
              </w:rPr>
            </w:pPr>
            <w:r>
              <w:rPr>
                <w:rFonts w:ascii="宋体" w:hAnsi="宋体" w:cs="宋体"/>
                <w:szCs w:val="21"/>
              </w:rPr>
              <w:t>姓名</w:t>
            </w:r>
          </w:p>
        </w:tc>
        <w:tc>
          <w:tcPr>
            <w:tcW w:w="1293" w:type="dxa"/>
            <w:tcBorders>
              <w:top w:val="single" w:color="000000" w:sz="4" w:space="0"/>
              <w:left w:val="single" w:color="000000" w:sz="4" w:space="0"/>
              <w:bottom w:val="single" w:color="000000" w:sz="4" w:space="0"/>
              <w:right w:val="single" w:color="000000" w:sz="4" w:space="0"/>
            </w:tcBorders>
          </w:tcPr>
          <w:p>
            <w:pPr>
              <w:pStyle w:val="72"/>
              <w:spacing w:before="8"/>
              <w:rPr>
                <w:rFonts w:ascii="宋体" w:hAnsi="宋体" w:cs="宋体"/>
                <w:b/>
                <w:bCs/>
                <w:sz w:val="27"/>
                <w:szCs w:val="27"/>
              </w:rPr>
            </w:pPr>
          </w:p>
          <w:p>
            <w:pPr>
              <w:pStyle w:val="72"/>
              <w:ind w:right="3"/>
              <w:jc w:val="center"/>
              <w:rPr>
                <w:rFonts w:ascii="宋体" w:hAnsi="宋体" w:cs="宋体"/>
                <w:szCs w:val="21"/>
              </w:rPr>
            </w:pPr>
            <w:r>
              <w:rPr>
                <w:rFonts w:ascii="宋体" w:hAnsi="宋体" w:cs="宋体"/>
                <w:szCs w:val="21"/>
              </w:rPr>
              <w:t>年龄</w:t>
            </w:r>
          </w:p>
        </w:tc>
        <w:tc>
          <w:tcPr>
            <w:tcW w:w="1419" w:type="dxa"/>
            <w:tcBorders>
              <w:top w:val="single" w:color="000000" w:sz="4" w:space="0"/>
              <w:left w:val="single" w:color="000000" w:sz="4" w:space="0"/>
              <w:bottom w:val="single" w:color="000000" w:sz="4" w:space="0"/>
              <w:right w:val="single" w:color="000000" w:sz="4" w:space="0"/>
            </w:tcBorders>
          </w:tcPr>
          <w:p>
            <w:pPr>
              <w:pStyle w:val="72"/>
              <w:spacing w:before="8"/>
              <w:rPr>
                <w:rFonts w:ascii="宋体" w:hAnsi="宋体" w:cs="宋体"/>
                <w:b/>
                <w:bCs/>
                <w:sz w:val="27"/>
                <w:szCs w:val="27"/>
              </w:rPr>
            </w:pPr>
          </w:p>
          <w:p>
            <w:pPr>
              <w:pStyle w:val="72"/>
              <w:ind w:right="3"/>
              <w:jc w:val="center"/>
              <w:rPr>
                <w:rFonts w:ascii="宋体" w:hAnsi="宋体" w:cs="宋体"/>
                <w:szCs w:val="21"/>
              </w:rPr>
            </w:pPr>
            <w:r>
              <w:rPr>
                <w:rFonts w:ascii="宋体" w:hAnsi="宋体" w:cs="宋体"/>
                <w:szCs w:val="21"/>
              </w:rPr>
              <w:t>性别</w:t>
            </w:r>
          </w:p>
        </w:tc>
        <w:tc>
          <w:tcPr>
            <w:tcW w:w="1673" w:type="dxa"/>
            <w:tcBorders>
              <w:top w:val="single" w:color="000000" w:sz="4" w:space="0"/>
              <w:left w:val="single" w:color="000000" w:sz="4" w:space="0"/>
              <w:bottom w:val="single" w:color="000000" w:sz="4" w:space="0"/>
              <w:right w:val="single" w:color="000000" w:sz="4" w:space="0"/>
            </w:tcBorders>
          </w:tcPr>
          <w:p>
            <w:pPr>
              <w:pStyle w:val="72"/>
              <w:spacing w:before="8"/>
              <w:rPr>
                <w:rFonts w:ascii="宋体" w:hAnsi="宋体" w:cs="宋体"/>
                <w:b/>
                <w:bCs/>
                <w:sz w:val="27"/>
                <w:szCs w:val="27"/>
              </w:rPr>
            </w:pPr>
          </w:p>
          <w:p>
            <w:pPr>
              <w:pStyle w:val="72"/>
              <w:ind w:left="202"/>
              <w:rPr>
                <w:rFonts w:ascii="宋体" w:hAnsi="宋体" w:cs="宋体"/>
                <w:szCs w:val="21"/>
              </w:rPr>
            </w:pPr>
            <w:r>
              <w:rPr>
                <w:rFonts w:ascii="宋体" w:hAnsi="宋体" w:cs="宋体"/>
                <w:szCs w:val="21"/>
              </w:rPr>
              <w:t>常驻工作地点</w:t>
            </w:r>
          </w:p>
        </w:tc>
        <w:tc>
          <w:tcPr>
            <w:tcW w:w="1269" w:type="dxa"/>
            <w:tcBorders>
              <w:top w:val="single" w:color="000000" w:sz="4" w:space="0"/>
              <w:left w:val="single" w:color="000000" w:sz="4" w:space="0"/>
              <w:bottom w:val="single" w:color="000000" w:sz="4" w:space="0"/>
              <w:right w:val="single" w:color="000000" w:sz="4" w:space="0"/>
            </w:tcBorders>
          </w:tcPr>
          <w:p>
            <w:pPr>
              <w:pStyle w:val="72"/>
              <w:spacing w:before="8"/>
              <w:rPr>
                <w:rFonts w:ascii="宋体" w:hAnsi="宋体" w:cs="宋体"/>
                <w:b/>
                <w:bCs/>
                <w:sz w:val="27"/>
                <w:szCs w:val="27"/>
              </w:rPr>
            </w:pPr>
          </w:p>
          <w:p>
            <w:pPr>
              <w:pStyle w:val="72"/>
              <w:ind w:left="417"/>
              <w:rPr>
                <w:rFonts w:ascii="宋体" w:hAnsi="宋体" w:cs="宋体"/>
                <w:szCs w:val="21"/>
              </w:rPr>
            </w:pPr>
            <w:r>
              <w:rPr>
                <w:rFonts w:ascii="宋体" w:hAnsi="宋体" w:cs="宋体"/>
                <w:szCs w:val="21"/>
              </w:rPr>
              <w:t>备注</w:t>
            </w:r>
          </w:p>
        </w:tc>
      </w:tr>
      <w:tr>
        <w:tblPrEx>
          <w:tblCellMar>
            <w:top w:w="0" w:type="dxa"/>
            <w:left w:w="0" w:type="dxa"/>
            <w:bottom w:w="0" w:type="dxa"/>
            <w:right w:w="0" w:type="dxa"/>
          </w:tblCellMar>
        </w:tblPrEx>
        <w:trPr>
          <w:trHeight w:val="605" w:hRule="exact"/>
        </w:trPr>
        <w:tc>
          <w:tcPr>
            <w:tcW w:w="510" w:type="dxa"/>
            <w:tcBorders>
              <w:top w:val="single" w:color="000000" w:sz="4" w:space="0"/>
              <w:left w:val="single" w:color="000000" w:sz="4" w:space="0"/>
              <w:bottom w:val="single" w:color="000000" w:sz="4" w:space="0"/>
              <w:right w:val="single" w:color="000000" w:sz="4" w:space="0"/>
            </w:tcBorders>
          </w:tcPr>
          <w:p>
            <w:pPr>
              <w:pStyle w:val="72"/>
              <w:spacing w:before="13"/>
              <w:rPr>
                <w:rFonts w:ascii="宋体" w:hAnsi="宋体" w:cs="宋体"/>
                <w:b/>
                <w:bCs/>
                <w:sz w:val="14"/>
                <w:szCs w:val="14"/>
              </w:rPr>
            </w:pPr>
          </w:p>
          <w:p>
            <w:pPr>
              <w:pStyle w:val="72"/>
              <w:ind w:right="1"/>
              <w:jc w:val="center"/>
              <w:rPr>
                <w:rFonts w:eastAsia="Times New Roman"/>
                <w:szCs w:val="21"/>
              </w:rPr>
            </w:pPr>
            <w:r>
              <w:rPr>
                <w:w w:val="99"/>
              </w:rPr>
              <w:t>1</w:t>
            </w:r>
          </w:p>
        </w:tc>
        <w:tc>
          <w:tcPr>
            <w:tcW w:w="1870" w:type="dxa"/>
            <w:tcBorders>
              <w:top w:val="single" w:color="000000" w:sz="4" w:space="0"/>
              <w:left w:val="single" w:color="000000" w:sz="4" w:space="0"/>
              <w:bottom w:val="single" w:color="000000" w:sz="4" w:space="0"/>
              <w:right w:val="single" w:color="000000" w:sz="4" w:space="0"/>
            </w:tcBorders>
          </w:tcPr>
          <w:p/>
        </w:tc>
        <w:tc>
          <w:tcPr>
            <w:tcW w:w="1280" w:type="dxa"/>
            <w:tcBorders>
              <w:top w:val="single" w:color="000000" w:sz="4" w:space="0"/>
              <w:left w:val="single" w:color="000000" w:sz="4" w:space="0"/>
              <w:bottom w:val="single" w:color="000000" w:sz="4" w:space="0"/>
              <w:right w:val="single" w:color="000000" w:sz="4" w:space="0"/>
            </w:tcBorders>
          </w:tcPr>
          <w:p/>
        </w:tc>
        <w:tc>
          <w:tcPr>
            <w:tcW w:w="1293" w:type="dxa"/>
            <w:tcBorders>
              <w:top w:val="single" w:color="000000" w:sz="4" w:space="0"/>
              <w:left w:val="single" w:color="000000" w:sz="4" w:space="0"/>
              <w:bottom w:val="single" w:color="000000" w:sz="4" w:space="0"/>
              <w:right w:val="single" w:color="000000" w:sz="4" w:space="0"/>
            </w:tcBorders>
          </w:tcPr>
          <w:p/>
        </w:tc>
        <w:tc>
          <w:tcPr>
            <w:tcW w:w="1419" w:type="dxa"/>
            <w:tcBorders>
              <w:top w:val="single" w:color="000000" w:sz="4" w:space="0"/>
              <w:left w:val="single" w:color="000000" w:sz="4" w:space="0"/>
              <w:bottom w:val="single" w:color="000000" w:sz="4" w:space="0"/>
              <w:right w:val="single" w:color="000000" w:sz="4" w:space="0"/>
            </w:tcBorders>
          </w:tcPr>
          <w:p/>
        </w:tc>
        <w:tc>
          <w:tcPr>
            <w:tcW w:w="1673" w:type="dxa"/>
            <w:tcBorders>
              <w:top w:val="single" w:color="000000" w:sz="4" w:space="0"/>
              <w:left w:val="single" w:color="000000" w:sz="4" w:space="0"/>
              <w:bottom w:val="single" w:color="000000" w:sz="4" w:space="0"/>
              <w:right w:val="single" w:color="000000" w:sz="4" w:space="0"/>
            </w:tcBorders>
          </w:tcPr>
          <w:p/>
        </w:tc>
        <w:tc>
          <w:tcPr>
            <w:tcW w:w="126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26" w:hRule="exact"/>
        </w:trPr>
        <w:tc>
          <w:tcPr>
            <w:tcW w:w="510" w:type="dxa"/>
            <w:tcBorders>
              <w:top w:val="single" w:color="000000" w:sz="4" w:space="0"/>
              <w:left w:val="single" w:color="000000" w:sz="4" w:space="0"/>
              <w:bottom w:val="single" w:color="000000" w:sz="4" w:space="0"/>
              <w:right w:val="single" w:color="000000" w:sz="4" w:space="0"/>
            </w:tcBorders>
          </w:tcPr>
          <w:p>
            <w:pPr>
              <w:pStyle w:val="72"/>
              <w:spacing w:before="11"/>
              <w:rPr>
                <w:rFonts w:ascii="宋体" w:hAnsi="宋体" w:cs="宋体"/>
                <w:b/>
                <w:bCs/>
                <w:sz w:val="15"/>
                <w:szCs w:val="15"/>
              </w:rPr>
            </w:pPr>
          </w:p>
          <w:p>
            <w:pPr>
              <w:pStyle w:val="72"/>
              <w:ind w:right="1"/>
              <w:jc w:val="center"/>
              <w:rPr>
                <w:rFonts w:eastAsia="Times New Roman"/>
                <w:szCs w:val="21"/>
              </w:rPr>
            </w:pPr>
            <w:r>
              <w:rPr>
                <w:w w:val="99"/>
              </w:rPr>
              <w:t>2</w:t>
            </w:r>
          </w:p>
        </w:tc>
        <w:tc>
          <w:tcPr>
            <w:tcW w:w="1870" w:type="dxa"/>
            <w:tcBorders>
              <w:top w:val="single" w:color="000000" w:sz="4" w:space="0"/>
              <w:left w:val="single" w:color="000000" w:sz="4" w:space="0"/>
              <w:bottom w:val="single" w:color="000000" w:sz="4" w:space="0"/>
              <w:right w:val="single" w:color="000000" w:sz="4" w:space="0"/>
            </w:tcBorders>
          </w:tcPr>
          <w:p/>
        </w:tc>
        <w:tc>
          <w:tcPr>
            <w:tcW w:w="1280" w:type="dxa"/>
            <w:tcBorders>
              <w:top w:val="single" w:color="000000" w:sz="4" w:space="0"/>
              <w:left w:val="single" w:color="000000" w:sz="4" w:space="0"/>
              <w:bottom w:val="single" w:color="000000" w:sz="4" w:space="0"/>
              <w:right w:val="single" w:color="000000" w:sz="4" w:space="0"/>
            </w:tcBorders>
          </w:tcPr>
          <w:p/>
        </w:tc>
        <w:tc>
          <w:tcPr>
            <w:tcW w:w="1293" w:type="dxa"/>
            <w:tcBorders>
              <w:top w:val="single" w:color="000000" w:sz="4" w:space="0"/>
              <w:left w:val="single" w:color="000000" w:sz="4" w:space="0"/>
              <w:bottom w:val="single" w:color="000000" w:sz="4" w:space="0"/>
              <w:right w:val="single" w:color="000000" w:sz="4" w:space="0"/>
            </w:tcBorders>
          </w:tcPr>
          <w:p/>
        </w:tc>
        <w:tc>
          <w:tcPr>
            <w:tcW w:w="1419" w:type="dxa"/>
            <w:tcBorders>
              <w:top w:val="single" w:color="000000" w:sz="4" w:space="0"/>
              <w:left w:val="single" w:color="000000" w:sz="4" w:space="0"/>
              <w:bottom w:val="single" w:color="000000" w:sz="4" w:space="0"/>
              <w:right w:val="single" w:color="000000" w:sz="4" w:space="0"/>
            </w:tcBorders>
          </w:tcPr>
          <w:p/>
        </w:tc>
        <w:tc>
          <w:tcPr>
            <w:tcW w:w="1673" w:type="dxa"/>
            <w:tcBorders>
              <w:top w:val="single" w:color="000000" w:sz="4" w:space="0"/>
              <w:left w:val="single" w:color="000000" w:sz="4" w:space="0"/>
              <w:bottom w:val="single" w:color="000000" w:sz="4" w:space="0"/>
              <w:right w:val="single" w:color="000000" w:sz="4" w:space="0"/>
            </w:tcBorders>
          </w:tcPr>
          <w:p/>
        </w:tc>
        <w:tc>
          <w:tcPr>
            <w:tcW w:w="126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26" w:hRule="exact"/>
        </w:trPr>
        <w:tc>
          <w:tcPr>
            <w:tcW w:w="510" w:type="dxa"/>
            <w:tcBorders>
              <w:top w:val="single" w:color="000000" w:sz="4" w:space="0"/>
              <w:left w:val="single" w:color="000000" w:sz="4" w:space="0"/>
              <w:bottom w:val="single" w:color="000000" w:sz="4" w:space="0"/>
              <w:right w:val="single" w:color="000000" w:sz="4" w:space="0"/>
            </w:tcBorders>
          </w:tcPr>
          <w:p>
            <w:pPr>
              <w:jc w:val="center"/>
            </w:pPr>
          </w:p>
          <w:p>
            <w:pPr>
              <w:jc w:val="center"/>
            </w:pPr>
            <w:r>
              <w:rPr>
                <w:rFonts w:hint="eastAsia"/>
              </w:rPr>
              <w:t>3</w:t>
            </w:r>
          </w:p>
        </w:tc>
        <w:tc>
          <w:tcPr>
            <w:tcW w:w="1870" w:type="dxa"/>
            <w:tcBorders>
              <w:top w:val="single" w:color="000000" w:sz="4" w:space="0"/>
              <w:left w:val="single" w:color="000000" w:sz="4" w:space="0"/>
              <w:bottom w:val="single" w:color="000000" w:sz="4" w:space="0"/>
              <w:right w:val="single" w:color="000000" w:sz="4" w:space="0"/>
            </w:tcBorders>
          </w:tcPr>
          <w:p/>
        </w:tc>
        <w:tc>
          <w:tcPr>
            <w:tcW w:w="1280" w:type="dxa"/>
            <w:tcBorders>
              <w:top w:val="single" w:color="000000" w:sz="4" w:space="0"/>
              <w:left w:val="single" w:color="000000" w:sz="4" w:space="0"/>
              <w:bottom w:val="single" w:color="000000" w:sz="4" w:space="0"/>
              <w:right w:val="single" w:color="000000" w:sz="4" w:space="0"/>
            </w:tcBorders>
          </w:tcPr>
          <w:p/>
        </w:tc>
        <w:tc>
          <w:tcPr>
            <w:tcW w:w="1293" w:type="dxa"/>
            <w:tcBorders>
              <w:top w:val="single" w:color="000000" w:sz="4" w:space="0"/>
              <w:left w:val="single" w:color="000000" w:sz="4" w:space="0"/>
              <w:bottom w:val="single" w:color="000000" w:sz="4" w:space="0"/>
              <w:right w:val="single" w:color="000000" w:sz="4" w:space="0"/>
            </w:tcBorders>
          </w:tcPr>
          <w:p/>
        </w:tc>
        <w:tc>
          <w:tcPr>
            <w:tcW w:w="1419" w:type="dxa"/>
            <w:tcBorders>
              <w:top w:val="single" w:color="000000" w:sz="4" w:space="0"/>
              <w:left w:val="single" w:color="000000" w:sz="4" w:space="0"/>
              <w:bottom w:val="single" w:color="000000" w:sz="4" w:space="0"/>
              <w:right w:val="single" w:color="000000" w:sz="4" w:space="0"/>
            </w:tcBorders>
          </w:tcPr>
          <w:p/>
        </w:tc>
        <w:tc>
          <w:tcPr>
            <w:tcW w:w="1673" w:type="dxa"/>
            <w:tcBorders>
              <w:top w:val="single" w:color="000000" w:sz="4" w:space="0"/>
              <w:left w:val="single" w:color="000000" w:sz="4" w:space="0"/>
              <w:bottom w:val="single" w:color="000000" w:sz="4" w:space="0"/>
              <w:right w:val="single" w:color="000000" w:sz="4" w:space="0"/>
            </w:tcBorders>
          </w:tcPr>
          <w:p/>
        </w:tc>
        <w:tc>
          <w:tcPr>
            <w:tcW w:w="126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626" w:hRule="exact"/>
        </w:trPr>
        <w:tc>
          <w:tcPr>
            <w:tcW w:w="510" w:type="dxa"/>
            <w:tcBorders>
              <w:top w:val="single" w:color="000000" w:sz="4" w:space="0"/>
              <w:left w:val="single" w:color="000000" w:sz="4" w:space="0"/>
              <w:bottom w:val="single" w:color="000000" w:sz="4" w:space="0"/>
              <w:right w:val="single" w:color="000000" w:sz="4" w:space="0"/>
            </w:tcBorders>
          </w:tcPr>
          <w:p>
            <w:pPr>
              <w:jc w:val="center"/>
            </w:pPr>
            <w:r>
              <w:rPr>
                <w:rFonts w:hint="eastAsia"/>
              </w:rPr>
              <w:t>4</w:t>
            </w:r>
          </w:p>
        </w:tc>
        <w:tc>
          <w:tcPr>
            <w:tcW w:w="1870" w:type="dxa"/>
            <w:tcBorders>
              <w:top w:val="single" w:color="000000" w:sz="4" w:space="0"/>
              <w:left w:val="single" w:color="000000" w:sz="4" w:space="0"/>
              <w:bottom w:val="single" w:color="000000" w:sz="4" w:space="0"/>
              <w:right w:val="single" w:color="000000" w:sz="4" w:space="0"/>
            </w:tcBorders>
          </w:tcPr>
          <w:p>
            <w:pPr>
              <w:pStyle w:val="72"/>
              <w:spacing w:before="124"/>
              <w:ind w:left="102"/>
              <w:rPr>
                <w:rFonts w:eastAsia="Times New Roman"/>
                <w:szCs w:val="21"/>
              </w:rPr>
            </w:pPr>
            <w:r>
              <w:rPr>
                <w:rFonts w:eastAsia="Times New Roman"/>
                <w:szCs w:val="21"/>
              </w:rPr>
              <w:t>……..</w:t>
            </w:r>
          </w:p>
        </w:tc>
        <w:tc>
          <w:tcPr>
            <w:tcW w:w="1280" w:type="dxa"/>
            <w:tcBorders>
              <w:top w:val="single" w:color="000000" w:sz="4" w:space="0"/>
              <w:left w:val="single" w:color="000000" w:sz="4" w:space="0"/>
              <w:bottom w:val="single" w:color="000000" w:sz="4" w:space="0"/>
              <w:right w:val="single" w:color="000000" w:sz="4" w:space="0"/>
            </w:tcBorders>
          </w:tcPr>
          <w:p/>
        </w:tc>
        <w:tc>
          <w:tcPr>
            <w:tcW w:w="1293" w:type="dxa"/>
            <w:tcBorders>
              <w:top w:val="single" w:color="000000" w:sz="4" w:space="0"/>
              <w:left w:val="single" w:color="000000" w:sz="4" w:space="0"/>
              <w:bottom w:val="single" w:color="000000" w:sz="4" w:space="0"/>
              <w:right w:val="single" w:color="000000" w:sz="4" w:space="0"/>
            </w:tcBorders>
          </w:tcPr>
          <w:p/>
        </w:tc>
        <w:tc>
          <w:tcPr>
            <w:tcW w:w="1419" w:type="dxa"/>
            <w:tcBorders>
              <w:top w:val="single" w:color="000000" w:sz="4" w:space="0"/>
              <w:left w:val="single" w:color="000000" w:sz="4" w:space="0"/>
              <w:bottom w:val="single" w:color="000000" w:sz="4" w:space="0"/>
              <w:right w:val="single" w:color="000000" w:sz="4" w:space="0"/>
            </w:tcBorders>
          </w:tcPr>
          <w:p/>
        </w:tc>
        <w:tc>
          <w:tcPr>
            <w:tcW w:w="1673" w:type="dxa"/>
            <w:tcBorders>
              <w:top w:val="single" w:color="000000" w:sz="4" w:space="0"/>
              <w:left w:val="single" w:color="000000" w:sz="4" w:space="0"/>
              <w:bottom w:val="single" w:color="000000" w:sz="4" w:space="0"/>
              <w:right w:val="single" w:color="000000" w:sz="4" w:space="0"/>
            </w:tcBorders>
          </w:tcPr>
          <w:p/>
        </w:tc>
        <w:tc>
          <w:tcPr>
            <w:tcW w:w="1269"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876" w:hRule="exact"/>
        </w:trPr>
        <w:tc>
          <w:tcPr>
            <w:tcW w:w="9314" w:type="dxa"/>
            <w:gridSpan w:val="7"/>
            <w:tcBorders>
              <w:top w:val="single" w:color="000000" w:sz="4" w:space="0"/>
              <w:left w:val="single" w:color="000000" w:sz="4" w:space="0"/>
              <w:bottom w:val="single" w:color="000000" w:sz="4" w:space="0"/>
              <w:right w:val="single" w:color="000000" w:sz="4" w:space="0"/>
            </w:tcBorders>
          </w:tcPr>
          <w:p>
            <w:pPr>
              <w:pStyle w:val="72"/>
              <w:spacing w:before="83" w:line="350" w:lineRule="auto"/>
              <w:ind w:left="4231" w:right="136" w:hanging="4095"/>
              <w:rPr>
                <w:rFonts w:ascii="宋体" w:hAnsi="宋体" w:cs="宋体"/>
                <w:szCs w:val="21"/>
              </w:rPr>
            </w:pPr>
            <w:r>
              <w:rPr>
                <w:rFonts w:ascii="宋体" w:hAnsi="宋体" w:cs="宋体"/>
                <w:szCs w:val="21"/>
              </w:rPr>
              <w:t>一旦我单位中标，我方保证并配备上述项目人员</w:t>
            </w:r>
            <w:r>
              <w:rPr>
                <w:rFonts w:hint="eastAsia" w:ascii="宋体" w:hAnsi="宋体" w:cs="宋体"/>
                <w:szCs w:val="21"/>
              </w:rPr>
              <w:t>。</w:t>
            </w:r>
          </w:p>
          <w:p>
            <w:pPr>
              <w:pStyle w:val="72"/>
              <w:spacing w:before="83" w:line="350" w:lineRule="auto"/>
              <w:ind w:left="4231" w:right="136" w:hanging="4095"/>
              <w:rPr>
                <w:rFonts w:ascii="宋体" w:hAnsi="宋体" w:cs="宋体"/>
                <w:szCs w:val="21"/>
              </w:rPr>
            </w:pPr>
            <w:r>
              <w:rPr>
                <w:rFonts w:ascii="宋体" w:hAnsi="宋体" w:cs="宋体"/>
                <w:szCs w:val="21"/>
              </w:rPr>
              <w:t>上述填报内容真实，若不真实，愿按有关规定接受处理。</w:t>
            </w:r>
          </w:p>
        </w:tc>
      </w:tr>
      <w:tr>
        <w:tblPrEx>
          <w:tblCellMar>
            <w:top w:w="0" w:type="dxa"/>
            <w:left w:w="0" w:type="dxa"/>
            <w:bottom w:w="0" w:type="dxa"/>
            <w:right w:w="0" w:type="dxa"/>
          </w:tblCellMar>
        </w:tblPrEx>
        <w:trPr>
          <w:trHeight w:val="910" w:hRule="exact"/>
        </w:trPr>
        <w:tc>
          <w:tcPr>
            <w:tcW w:w="9314" w:type="dxa"/>
            <w:gridSpan w:val="7"/>
            <w:tcBorders>
              <w:top w:val="single" w:color="000000" w:sz="4" w:space="0"/>
              <w:left w:val="single" w:color="000000" w:sz="4" w:space="0"/>
              <w:bottom w:val="single" w:color="000000" w:sz="4" w:space="0"/>
              <w:right w:val="single" w:color="000000" w:sz="4" w:space="0"/>
            </w:tcBorders>
          </w:tcPr>
          <w:p>
            <w:pPr>
              <w:pStyle w:val="72"/>
              <w:spacing w:before="75"/>
              <w:ind w:left="732" w:hanging="629"/>
              <w:rPr>
                <w:rFonts w:ascii="宋体" w:hAnsi="宋体" w:cs="宋体"/>
                <w:szCs w:val="21"/>
              </w:rPr>
            </w:pPr>
            <w:r>
              <w:rPr>
                <w:rFonts w:ascii="宋体" w:hAnsi="宋体" w:cs="宋体"/>
                <w:b/>
                <w:bCs/>
                <w:szCs w:val="21"/>
              </w:rPr>
              <w:t>备注：</w:t>
            </w:r>
            <w:r>
              <w:rPr>
                <w:rFonts w:eastAsia="Times New Roman"/>
                <w:b/>
                <w:bCs/>
                <w:szCs w:val="21"/>
              </w:rPr>
              <w:t>1</w:t>
            </w:r>
            <w:r>
              <w:rPr>
                <w:rFonts w:ascii="宋体" w:hAnsi="宋体" w:cs="宋体"/>
                <w:b/>
                <w:bCs/>
                <w:szCs w:val="21"/>
              </w:rPr>
              <w:t>、项目负责人必须为中级以上（含中级）社会工作师；</w:t>
            </w:r>
          </w:p>
          <w:p>
            <w:pPr>
              <w:pStyle w:val="72"/>
              <w:spacing w:before="158"/>
              <w:ind w:left="732"/>
              <w:rPr>
                <w:rFonts w:ascii="宋体" w:hAnsi="宋体" w:cs="宋体"/>
                <w:szCs w:val="21"/>
              </w:rPr>
            </w:pPr>
            <w:r>
              <w:rPr>
                <w:rFonts w:eastAsia="Times New Roman"/>
                <w:b/>
                <w:bCs/>
                <w:szCs w:val="21"/>
              </w:rPr>
              <w:t>2</w:t>
            </w:r>
            <w:r>
              <w:rPr>
                <w:rFonts w:ascii="宋体" w:hAnsi="宋体" w:cs="宋体"/>
                <w:b/>
                <w:bCs/>
                <w:szCs w:val="21"/>
              </w:rPr>
              <w:t>、项目其他人员配置详见服务采购需求。</w:t>
            </w:r>
          </w:p>
        </w:tc>
      </w:tr>
    </w:tbl>
    <w:p>
      <w:pPr>
        <w:pStyle w:val="12"/>
        <w:spacing w:before="34"/>
        <w:ind w:left="537" w:right="3088"/>
        <w:rPr>
          <w:rFonts w:eastAsiaTheme="minorHAnsi"/>
          <w:sz w:val="22"/>
          <w:u w:val="single"/>
        </w:rPr>
      </w:pPr>
    </w:p>
    <w:p>
      <w:pPr>
        <w:pStyle w:val="12"/>
        <w:spacing w:before="34"/>
        <w:ind w:left="537" w:right="3088"/>
        <w:rPr>
          <w:rFonts w:eastAsiaTheme="minorHAnsi"/>
          <w:sz w:val="22"/>
          <w:u w:val="single"/>
        </w:rPr>
      </w:pPr>
    </w:p>
    <w:p>
      <w:pPr>
        <w:pStyle w:val="12"/>
        <w:spacing w:before="34" w:line="480" w:lineRule="auto"/>
        <w:ind w:left="2268" w:firstLine="440" w:firstLineChars="200"/>
        <w:rPr>
          <w:rFonts w:eastAsiaTheme="minorHAnsi"/>
          <w:sz w:val="22"/>
          <w:u w:val="single"/>
        </w:rPr>
      </w:pPr>
      <w:r>
        <w:rPr>
          <w:rFonts w:hint="eastAsia" w:eastAsiaTheme="minorHAnsi"/>
          <w:sz w:val="22"/>
        </w:rPr>
        <w:t xml:space="preserve">磋商供应商：(公章，自然人除外)  </w:t>
      </w:r>
      <w:r>
        <w:rPr>
          <w:rFonts w:hint="eastAsia" w:eastAsiaTheme="minorHAnsi"/>
          <w:sz w:val="22"/>
          <w:u w:val="single"/>
        </w:rPr>
        <w:t xml:space="preserve">                                     </w:t>
      </w:r>
    </w:p>
    <w:p>
      <w:pPr>
        <w:pStyle w:val="12"/>
        <w:spacing w:before="34" w:line="480" w:lineRule="auto"/>
        <w:ind w:left="2268" w:firstLine="440" w:firstLineChars="200"/>
        <w:rPr>
          <w:rFonts w:eastAsiaTheme="minorHAnsi"/>
          <w:sz w:val="22"/>
          <w:u w:val="single"/>
        </w:rPr>
      </w:pPr>
      <w:r>
        <w:rPr>
          <w:rFonts w:hint="eastAsia" w:eastAsiaTheme="minorHAnsi"/>
          <w:sz w:val="22"/>
        </w:rPr>
        <w:t>法定代表人或负责人或自然人或相应的委托代理人签字或盖章：</w:t>
      </w:r>
      <w:r>
        <w:rPr>
          <w:rFonts w:hint="eastAsia" w:eastAsiaTheme="minorHAnsi"/>
          <w:sz w:val="22"/>
          <w:u w:val="single"/>
        </w:rPr>
        <w:t xml:space="preserve">              </w:t>
      </w:r>
    </w:p>
    <w:p>
      <w:pPr>
        <w:pStyle w:val="12"/>
        <w:spacing w:before="34" w:line="480" w:lineRule="auto"/>
        <w:ind w:left="2268" w:firstLine="440" w:firstLineChars="200"/>
        <w:rPr>
          <w:rFonts w:eastAsiaTheme="minorHAnsi"/>
          <w:sz w:val="22"/>
          <w:u w:val="single"/>
        </w:rPr>
      </w:pPr>
      <w:r>
        <w:rPr>
          <w:rFonts w:hint="eastAsia" w:eastAsiaTheme="minorHAnsi"/>
          <w:sz w:val="22"/>
        </w:rPr>
        <w:t xml:space="preserve">（属自然人的应在签名处加盖食指指印）： </w:t>
      </w:r>
      <w:r>
        <w:rPr>
          <w:rFonts w:hint="eastAsia" w:eastAsiaTheme="minorHAnsi"/>
          <w:sz w:val="22"/>
          <w:u w:val="single"/>
        </w:rPr>
        <w:t xml:space="preserve">                               </w:t>
      </w:r>
    </w:p>
    <w:p>
      <w:pPr>
        <w:pStyle w:val="12"/>
        <w:spacing w:before="34" w:line="480" w:lineRule="auto"/>
        <w:ind w:left="537" w:right="3088"/>
        <w:rPr>
          <w:rFonts w:eastAsiaTheme="minorHAnsi"/>
          <w:sz w:val="22"/>
          <w:u w:val="single"/>
        </w:rPr>
        <w:sectPr>
          <w:pgSz w:w="11910" w:h="16840"/>
          <w:pgMar w:top="1240" w:right="680" w:bottom="1160" w:left="1680" w:header="0" w:footer="978" w:gutter="0"/>
          <w:pgNumType w:fmt="decimal"/>
          <w:cols w:space="720" w:num="1"/>
        </w:sectPr>
      </w:pPr>
    </w:p>
    <w:p>
      <w:pPr>
        <w:pStyle w:val="4"/>
        <w:spacing w:line="393" w:lineRule="exact"/>
        <w:ind w:left="2623" w:right="864"/>
        <w:rPr>
          <w:b w:val="0"/>
        </w:rPr>
      </w:pPr>
      <w:r>
        <w:t>（三）其它有效证明材料目录</w:t>
      </w:r>
    </w:p>
    <w:p>
      <w:pPr>
        <w:pStyle w:val="7"/>
        <w:spacing w:before="0" w:line="360" w:lineRule="auto"/>
        <w:ind w:left="0" w:right="864"/>
        <w:rPr>
          <w:sz w:val="21"/>
          <w:szCs w:val="21"/>
        </w:rPr>
      </w:pPr>
      <w:r>
        <w:rPr>
          <w:sz w:val="21"/>
          <w:szCs w:val="21"/>
        </w:rPr>
        <w:t>1.节能方面的资质证书复印件（如有，请提供）</w:t>
      </w:r>
    </w:p>
    <w:p>
      <w:pPr>
        <w:spacing w:before="204" w:line="360" w:lineRule="auto"/>
        <w:ind w:right="864"/>
        <w:rPr>
          <w:rFonts w:ascii="宋体" w:hAnsi="宋体" w:cs="宋体"/>
          <w:szCs w:val="21"/>
        </w:rPr>
      </w:pPr>
      <w:r>
        <w:rPr>
          <w:rFonts w:ascii="宋体" w:hAnsi="宋体" w:cs="宋体"/>
          <w:szCs w:val="21"/>
        </w:rPr>
        <w:t>2.环保方面的资质证书复印件（如有，请提供）</w:t>
      </w:r>
    </w:p>
    <w:p>
      <w:pPr>
        <w:spacing w:before="206" w:line="360" w:lineRule="auto"/>
        <w:rPr>
          <w:rFonts w:ascii="宋体" w:hAnsi="宋体" w:cs="宋体"/>
          <w:szCs w:val="21"/>
        </w:rPr>
      </w:pPr>
      <w:r>
        <w:rPr>
          <w:rFonts w:ascii="宋体" w:hAnsi="宋体" w:cs="宋体"/>
          <w:szCs w:val="21"/>
        </w:rPr>
        <w:t>3.供应商</w:t>
      </w:r>
      <w:r>
        <w:rPr>
          <w:rFonts w:ascii="宋体" w:hAnsi="宋体" w:cs="宋体"/>
          <w:spacing w:val="-59"/>
          <w:szCs w:val="21"/>
        </w:rPr>
        <w:t xml:space="preserve"> </w:t>
      </w:r>
      <w:r>
        <w:rPr>
          <w:rFonts w:ascii="宋体" w:hAnsi="宋体" w:cs="宋体"/>
          <w:szCs w:val="21"/>
        </w:rPr>
        <w:t>201</w:t>
      </w:r>
      <w:r>
        <w:rPr>
          <w:rFonts w:hint="eastAsia" w:ascii="宋体" w:hAnsi="宋体" w:cs="宋体"/>
          <w:szCs w:val="21"/>
        </w:rPr>
        <w:t>7</w:t>
      </w:r>
      <w:r>
        <w:rPr>
          <w:rFonts w:ascii="宋体" w:hAnsi="宋体" w:cs="宋体"/>
          <w:spacing w:val="-6"/>
          <w:szCs w:val="21"/>
        </w:rPr>
        <w:t>年度以来通过中介审计的有效财务审计报告复印件（如有，请提供）</w:t>
      </w:r>
    </w:p>
    <w:p>
      <w:pPr>
        <w:spacing w:before="206" w:line="360" w:lineRule="auto"/>
        <w:rPr>
          <w:rFonts w:ascii="宋体" w:hAnsi="宋体" w:cs="宋体"/>
          <w:szCs w:val="21"/>
        </w:rPr>
      </w:pPr>
      <w:r>
        <w:rPr>
          <w:rFonts w:ascii="宋体" w:hAnsi="宋体" w:cs="宋体"/>
          <w:szCs w:val="21"/>
        </w:rPr>
        <w:t>4.供应商</w:t>
      </w:r>
      <w:r>
        <w:rPr>
          <w:rFonts w:ascii="宋体" w:hAnsi="宋体" w:cs="宋体"/>
          <w:spacing w:val="-87"/>
          <w:szCs w:val="21"/>
        </w:rPr>
        <w:t xml:space="preserve"> </w:t>
      </w:r>
      <w:r>
        <w:rPr>
          <w:rFonts w:ascii="宋体" w:hAnsi="宋体" w:cs="宋体"/>
          <w:szCs w:val="21"/>
        </w:rPr>
        <w:t>201</w:t>
      </w:r>
      <w:r>
        <w:rPr>
          <w:rFonts w:hint="eastAsia" w:ascii="宋体" w:hAnsi="宋体" w:cs="宋体"/>
          <w:szCs w:val="21"/>
        </w:rPr>
        <w:t>7</w:t>
      </w:r>
      <w:r>
        <w:rPr>
          <w:rFonts w:ascii="宋体" w:hAnsi="宋体" w:cs="宋体"/>
          <w:spacing w:val="-87"/>
          <w:szCs w:val="21"/>
        </w:rPr>
        <w:t xml:space="preserve"> </w:t>
      </w:r>
      <w:r>
        <w:rPr>
          <w:rFonts w:ascii="宋体" w:hAnsi="宋体" w:cs="宋体"/>
          <w:szCs w:val="21"/>
        </w:rPr>
        <w:t>年以来具有</w:t>
      </w:r>
      <w:r>
        <w:rPr>
          <w:rFonts w:hint="eastAsia" w:ascii="宋体" w:hAnsi="宋体" w:cs="宋体"/>
          <w:szCs w:val="21"/>
        </w:rPr>
        <w:t>市级救助相关项目服务</w:t>
      </w:r>
      <w:r>
        <w:rPr>
          <w:rFonts w:ascii="宋体" w:hAnsi="宋体" w:cs="宋体"/>
          <w:szCs w:val="21"/>
        </w:rPr>
        <w:t>业绩相关证明材料（无不良记录，以中标、成交通知书或签订的合同为准）（如有，请提供）</w:t>
      </w:r>
    </w:p>
    <w:p>
      <w:pPr>
        <w:spacing w:before="50" w:line="360" w:lineRule="auto"/>
        <w:ind w:right="864"/>
        <w:rPr>
          <w:rFonts w:ascii="宋体" w:hAnsi="宋体" w:cs="宋体"/>
          <w:szCs w:val="21"/>
        </w:rPr>
      </w:pPr>
      <w:r>
        <w:rPr>
          <w:rFonts w:ascii="宋体" w:hAnsi="宋体" w:cs="宋体"/>
          <w:szCs w:val="21"/>
        </w:rPr>
        <w:t>5.供应商相关获奖证书、认证证书等复印件（如有，请提供）</w:t>
      </w:r>
    </w:p>
    <w:p>
      <w:pPr>
        <w:spacing w:before="206" w:line="360" w:lineRule="auto"/>
        <w:rPr>
          <w:rFonts w:ascii="宋体" w:hAnsi="宋体" w:cs="宋体"/>
          <w:szCs w:val="21"/>
        </w:rPr>
      </w:pPr>
      <w:r>
        <w:rPr>
          <w:rFonts w:ascii="宋体" w:hAnsi="宋体" w:cs="宋体"/>
          <w:spacing w:val="-2"/>
          <w:szCs w:val="21"/>
        </w:rPr>
        <w:t>6.供应商属于小型、微型企业的，应提供《中小企业声明函》；属于监狱企业的，</w:t>
      </w:r>
      <w:r>
        <w:rPr>
          <w:rFonts w:ascii="宋体" w:hAnsi="宋体" w:cs="宋体"/>
          <w:szCs w:val="21"/>
        </w:rPr>
        <w:t>应当提供由省级以上监狱管理局、戒毒管理局(含新疆生产建设兵团)出具的属于监狱企</w:t>
      </w:r>
      <w:r>
        <w:rPr>
          <w:rFonts w:ascii="宋体" w:hAnsi="宋体" w:cs="宋体"/>
          <w:spacing w:val="-67"/>
          <w:szCs w:val="21"/>
        </w:rPr>
        <w:t xml:space="preserve"> </w:t>
      </w:r>
      <w:r>
        <w:rPr>
          <w:rFonts w:ascii="宋体" w:hAnsi="宋体" w:cs="宋体"/>
          <w:szCs w:val="21"/>
        </w:rPr>
        <w:t>业的证明文件（如有，请提供）</w:t>
      </w:r>
    </w:p>
    <w:p>
      <w:pPr>
        <w:spacing w:before="50" w:line="360" w:lineRule="auto"/>
        <w:ind w:right="223"/>
        <w:rPr>
          <w:rFonts w:ascii="宋体" w:hAnsi="宋体" w:cs="宋体"/>
          <w:szCs w:val="21"/>
        </w:rPr>
      </w:pPr>
      <w:r>
        <w:rPr>
          <w:rFonts w:ascii="宋体" w:hAnsi="宋体" w:cs="宋体"/>
          <w:szCs w:val="21"/>
        </w:rPr>
        <w:t>7.符合条件的残疾人福利性单位在参加政府采购活动时，应当提供《残疾人福利性单位声明函》（见附件），并对声明的真实性负责（如有，请提供）</w:t>
      </w:r>
    </w:p>
    <w:p>
      <w:pPr>
        <w:pStyle w:val="2"/>
        <w:ind w:left="0" w:leftChars="0" w:firstLine="0" w:firstLineChars="0"/>
        <w:rPr>
          <w:rFonts w:hint="default" w:eastAsia="宋体"/>
          <w:lang w:val="en-US" w:eastAsia="zh-CN"/>
        </w:rPr>
      </w:pPr>
      <w:r>
        <w:rPr>
          <w:rFonts w:hint="eastAsia" w:ascii="宋体" w:hAnsi="宋体" w:cs="宋体"/>
          <w:szCs w:val="21"/>
          <w:lang w:val="en-US" w:eastAsia="zh-CN"/>
        </w:rPr>
        <w:t>8.投标人在桂林市设立的分支机构有效的营业执照副本复印件及驻桂林市分支机构的负责人身份证正反面复印件（必须提供）</w:t>
      </w:r>
    </w:p>
    <w:p>
      <w:pPr>
        <w:spacing w:before="50" w:line="360" w:lineRule="auto"/>
        <w:ind w:right="223"/>
        <w:rPr>
          <w:rFonts w:ascii="宋体" w:hAnsi="宋体" w:cs="宋体"/>
          <w:szCs w:val="21"/>
        </w:rPr>
      </w:pPr>
      <w:r>
        <w:rPr>
          <w:rFonts w:hint="eastAsia" w:ascii="宋体" w:hAnsi="宋体" w:cs="宋体"/>
          <w:szCs w:val="21"/>
          <w:lang w:val="en-US" w:eastAsia="zh-CN"/>
        </w:rPr>
        <w:t>9</w:t>
      </w:r>
      <w:r>
        <w:rPr>
          <w:rFonts w:ascii="宋体" w:hAnsi="宋体" w:cs="宋体"/>
          <w:szCs w:val="21"/>
        </w:rPr>
        <w:t>.供应商可结合本项目的评审办法视自身情况自行提交相关证明材料（如有，请提供）</w:t>
      </w:r>
    </w:p>
    <w:p>
      <w:pPr>
        <w:spacing w:line="398" w:lineRule="auto"/>
        <w:rPr>
          <w:rFonts w:ascii="宋体" w:hAnsi="宋体" w:cs="宋体"/>
          <w:sz w:val="24"/>
        </w:rPr>
        <w:sectPr>
          <w:pgSz w:w="11910" w:h="16840"/>
          <w:pgMar w:top="1260" w:right="700" w:bottom="1160" w:left="1680" w:header="0" w:footer="978" w:gutter="0"/>
          <w:pgNumType w:fmt="decimal"/>
          <w:cols w:space="720" w:num="1"/>
        </w:sectPr>
      </w:pPr>
    </w:p>
    <w:p>
      <w:pPr>
        <w:pStyle w:val="4"/>
        <w:spacing w:line="398" w:lineRule="exact"/>
        <w:rPr>
          <w:b w:val="0"/>
        </w:rPr>
      </w:pPr>
      <w:r>
        <w:t>1.节能方面的资质证书复印件（如有，请提供）</w:t>
      </w:r>
    </w:p>
    <w:p>
      <w:pPr>
        <w:rPr>
          <w:rFonts w:ascii="宋体" w:hAnsi="宋体" w:cs="宋体"/>
          <w:b/>
          <w:bCs/>
          <w:sz w:val="32"/>
          <w:szCs w:val="32"/>
        </w:rPr>
      </w:pPr>
    </w:p>
    <w:p>
      <w:pPr>
        <w:rPr>
          <w:rFonts w:ascii="宋体" w:hAnsi="宋体" w:cs="宋体"/>
          <w:b/>
          <w:bCs/>
          <w:sz w:val="32"/>
          <w:szCs w:val="32"/>
        </w:rPr>
      </w:pPr>
    </w:p>
    <w:p>
      <w:pPr>
        <w:spacing w:before="10"/>
        <w:rPr>
          <w:rFonts w:ascii="宋体" w:hAnsi="宋体" w:cs="宋体"/>
          <w:b/>
          <w:bCs/>
          <w:sz w:val="30"/>
          <w:szCs w:val="30"/>
        </w:rPr>
      </w:pPr>
    </w:p>
    <w:p>
      <w:pPr>
        <w:pStyle w:val="4"/>
        <w:rPr>
          <w:rFonts w:ascii="宋体" w:hAnsi="宋体" w:eastAsia="宋体" w:cs="宋体"/>
          <w:szCs w:val="32"/>
        </w:rPr>
      </w:pPr>
      <w:r>
        <w:t>2.环保方面的资质证书复印件（如有，请提供）</w:t>
      </w: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pStyle w:val="4"/>
      </w:pPr>
      <w:r>
        <w:t>3.供应商 201</w:t>
      </w:r>
      <w:r>
        <w:rPr>
          <w:rFonts w:hint="eastAsia"/>
        </w:rPr>
        <w:t>7</w:t>
      </w:r>
      <w:r>
        <w:t xml:space="preserve"> 年度以来通过中介审计的有效财务审计报告复印件</w:t>
      </w:r>
    </w:p>
    <w:p>
      <w:pPr>
        <w:pStyle w:val="4"/>
        <w:rPr>
          <w:rFonts w:ascii="宋体" w:hAnsi="宋体" w:eastAsia="宋体" w:cs="宋体"/>
          <w:szCs w:val="32"/>
        </w:rPr>
      </w:pPr>
      <w:r>
        <w:t>（如有，请提供）</w:t>
      </w:r>
    </w:p>
    <w:p>
      <w:pPr>
        <w:rPr>
          <w:rFonts w:ascii="宋体" w:hAnsi="宋体" w:cs="宋体"/>
          <w:b/>
          <w:bCs/>
          <w:sz w:val="32"/>
          <w:szCs w:val="32"/>
        </w:rPr>
      </w:pPr>
    </w:p>
    <w:p>
      <w:pPr>
        <w:rPr>
          <w:rFonts w:ascii="宋体" w:hAnsi="宋体" w:cs="宋体"/>
          <w:b/>
          <w:bCs/>
          <w:sz w:val="32"/>
          <w:szCs w:val="32"/>
        </w:rPr>
      </w:pPr>
    </w:p>
    <w:p>
      <w:pPr>
        <w:spacing w:before="7"/>
        <w:rPr>
          <w:rFonts w:ascii="宋体" w:hAnsi="宋体" w:cs="宋体"/>
          <w:b/>
          <w:bCs/>
          <w:sz w:val="27"/>
          <w:szCs w:val="27"/>
        </w:rPr>
      </w:pPr>
    </w:p>
    <w:p>
      <w:pPr>
        <w:pStyle w:val="4"/>
        <w:rPr>
          <w:rFonts w:ascii="宋体" w:hAnsi="宋体" w:eastAsia="宋体" w:cs="宋体"/>
          <w:szCs w:val="32"/>
        </w:rPr>
      </w:pPr>
      <w:r>
        <w:t>4.供应商 201</w:t>
      </w:r>
      <w:r>
        <w:rPr>
          <w:rFonts w:hint="eastAsia"/>
        </w:rPr>
        <w:t>7</w:t>
      </w:r>
      <w:r>
        <w:t>年以来具有</w:t>
      </w:r>
      <w:r>
        <w:rPr>
          <w:rFonts w:hint="eastAsia"/>
        </w:rPr>
        <w:t>市级救助相关项目服务</w:t>
      </w:r>
      <w:r>
        <w:t>业绩相关证明材料（无不良记录，以中标、成交通知书或签订的合同为准）（如有，请提供）</w:t>
      </w: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pStyle w:val="4"/>
        <w:rPr>
          <w:rFonts w:ascii="宋体" w:hAnsi="宋体" w:eastAsia="宋体" w:cs="宋体"/>
          <w:szCs w:val="32"/>
        </w:rPr>
      </w:pPr>
      <w:r>
        <w:t>5.供应商相关获奖证书、认证证书等复印件（如有，请提供）</w:t>
      </w:r>
    </w:p>
    <w:p>
      <w:pPr>
        <w:rPr>
          <w:rFonts w:ascii="宋体" w:hAnsi="宋体" w:cs="宋体"/>
          <w:sz w:val="32"/>
          <w:szCs w:val="32"/>
        </w:rPr>
        <w:sectPr>
          <w:footerReference r:id="rId10" w:type="default"/>
          <w:pgSz w:w="11910" w:h="16840"/>
          <w:pgMar w:top="1360" w:right="820" w:bottom="1160" w:left="1680" w:header="0" w:footer="978" w:gutter="0"/>
          <w:pgNumType w:fmt="decimal"/>
          <w:cols w:space="720" w:num="1"/>
        </w:sectPr>
      </w:pPr>
    </w:p>
    <w:p>
      <w:pPr>
        <w:pStyle w:val="4"/>
        <w:rPr>
          <w:rFonts w:ascii="宋体" w:hAnsi="宋体" w:eastAsia="宋体" w:cs="宋体"/>
          <w:szCs w:val="32"/>
        </w:rPr>
      </w:pPr>
      <w:r>
        <w:t>6.供应商属于小型、微型企业的，应提供《中小企业声明函》；属于监狱企业的，应当提供由省级以上监狱管理局、戒毒管理局(含新疆生产建设兵团)出具的属于监狱企业的证明文件（如有，请提供）</w:t>
      </w:r>
    </w:p>
    <w:p>
      <w:pPr>
        <w:spacing w:line="480" w:lineRule="auto"/>
        <w:jc w:val="center"/>
        <w:rPr>
          <w:rFonts w:ascii="宋体" w:hAnsi="宋体" w:cs="宋体"/>
          <w:sz w:val="32"/>
          <w:szCs w:val="32"/>
        </w:rPr>
      </w:pPr>
      <w:r>
        <w:rPr>
          <w:rFonts w:ascii="宋体" w:hAnsi="宋体" w:cs="宋体"/>
          <w:b/>
          <w:bCs/>
          <w:sz w:val="32"/>
          <w:szCs w:val="32"/>
        </w:rPr>
        <w:t>中小企业声明函（格式）</w:t>
      </w:r>
    </w:p>
    <w:p>
      <w:pPr>
        <w:spacing w:line="480" w:lineRule="auto"/>
        <w:ind w:firstLine="460" w:firstLineChars="200"/>
        <w:jc w:val="left"/>
        <w:rPr>
          <w:rFonts w:ascii="宋体" w:hAnsi="宋体" w:cs="宋体"/>
          <w:szCs w:val="21"/>
        </w:rPr>
      </w:pPr>
      <w:r>
        <w:rPr>
          <w:rFonts w:ascii="宋体" w:hAnsi="宋体" w:cs="宋体"/>
          <w:spacing w:val="10"/>
          <w:szCs w:val="21"/>
        </w:rPr>
        <w:t>本公司郑重声明，根据《政府采购促进中小企业发展暂行办法》</w:t>
      </w:r>
    </w:p>
    <w:p>
      <w:pPr>
        <w:spacing w:line="480" w:lineRule="auto"/>
        <w:ind w:firstLine="444" w:firstLineChars="200"/>
        <w:jc w:val="left"/>
        <w:rPr>
          <w:rFonts w:ascii="宋体" w:hAnsi="宋体" w:cs="宋体"/>
          <w:szCs w:val="21"/>
        </w:rPr>
      </w:pPr>
      <w:r>
        <w:rPr>
          <w:rFonts w:ascii="宋体" w:hAnsi="宋体" w:cs="宋体"/>
          <w:spacing w:val="6"/>
          <w:szCs w:val="21"/>
        </w:rPr>
        <w:t>（财库[2011]181</w:t>
      </w:r>
      <w:r>
        <w:rPr>
          <w:rFonts w:ascii="宋体" w:hAnsi="宋体" w:cs="宋体"/>
          <w:spacing w:val="-57"/>
          <w:szCs w:val="21"/>
        </w:rPr>
        <w:t xml:space="preserve"> </w:t>
      </w:r>
      <w:r>
        <w:rPr>
          <w:rFonts w:ascii="宋体" w:hAnsi="宋体" w:cs="宋体"/>
          <w:spacing w:val="6"/>
          <w:szCs w:val="21"/>
        </w:rPr>
        <w:t>号）的规定，本公司为______（请填写：中型、小</w:t>
      </w:r>
      <w:r>
        <w:rPr>
          <w:rFonts w:ascii="宋体" w:hAnsi="宋体" w:cs="宋体"/>
          <w:spacing w:val="11"/>
          <w:szCs w:val="21"/>
        </w:rPr>
        <w:t>型、微型）企业。即，本公司同时满足以下条件：</w:t>
      </w:r>
    </w:p>
    <w:p>
      <w:pPr>
        <w:spacing w:line="480" w:lineRule="auto"/>
        <w:ind w:firstLine="480" w:firstLineChars="200"/>
        <w:jc w:val="left"/>
        <w:rPr>
          <w:rFonts w:ascii="宋体" w:hAnsi="宋体" w:cs="宋体"/>
          <w:szCs w:val="21"/>
        </w:rPr>
      </w:pPr>
      <w:r>
        <w:rPr>
          <w:rFonts w:ascii="宋体" w:hAnsi="宋体" w:cs="宋体"/>
          <w:spacing w:val="15"/>
          <w:szCs w:val="21"/>
        </w:rPr>
        <w:t>1.根据《工业和信息化部、国家统计局、国家发展和改革委员会、财政部关于印发中小企业划型标准规定的通知》（工信部联企</w:t>
      </w:r>
      <w:r>
        <w:rPr>
          <w:rFonts w:ascii="宋体" w:hAnsi="宋体" w:cs="宋体"/>
          <w:spacing w:val="-135"/>
          <w:szCs w:val="21"/>
        </w:rPr>
        <w:t xml:space="preserve"> </w:t>
      </w:r>
      <w:r>
        <w:rPr>
          <w:rFonts w:ascii="宋体" w:hAnsi="宋体" w:cs="宋体"/>
          <w:spacing w:val="5"/>
          <w:szCs w:val="21"/>
        </w:rPr>
        <w:t>业[2011]300</w:t>
      </w:r>
      <w:r>
        <w:rPr>
          <w:rFonts w:ascii="宋体" w:hAnsi="宋体" w:cs="宋体"/>
          <w:spacing w:val="-29"/>
          <w:szCs w:val="21"/>
        </w:rPr>
        <w:t xml:space="preserve"> </w:t>
      </w:r>
      <w:r>
        <w:rPr>
          <w:rFonts w:ascii="宋体" w:hAnsi="宋体" w:cs="宋体"/>
          <w:szCs w:val="21"/>
        </w:rPr>
        <w:t>号）规定的划分标准，本公司为______（请填写：中型、</w:t>
      </w:r>
      <w:r>
        <w:rPr>
          <w:rFonts w:ascii="宋体" w:hAnsi="宋体" w:cs="宋体"/>
          <w:spacing w:val="10"/>
          <w:szCs w:val="21"/>
        </w:rPr>
        <w:t>小型、微型）企业。</w:t>
      </w:r>
    </w:p>
    <w:p>
      <w:pPr>
        <w:spacing w:line="480" w:lineRule="auto"/>
        <w:ind w:firstLine="468" w:firstLineChars="200"/>
        <w:jc w:val="left"/>
        <w:rPr>
          <w:rFonts w:ascii="宋体" w:hAnsi="宋体" w:cs="宋体"/>
          <w:szCs w:val="21"/>
        </w:rPr>
      </w:pPr>
      <w:r>
        <w:rPr>
          <w:rFonts w:ascii="宋体" w:hAnsi="宋体" w:cs="宋体"/>
          <w:spacing w:val="12"/>
          <w:szCs w:val="21"/>
        </w:rPr>
        <w:t>2.本公司参加______单位的______项目采购活动提供本企业制</w:t>
      </w:r>
      <w:r>
        <w:rPr>
          <w:rFonts w:ascii="宋体" w:hAnsi="宋体" w:cs="宋体"/>
          <w:spacing w:val="5"/>
          <w:szCs w:val="21"/>
        </w:rPr>
        <w:t>造的货物，由本企业承担工程、提供服务，或者提供其他______（请</w:t>
      </w:r>
      <w:r>
        <w:rPr>
          <w:rFonts w:ascii="宋体" w:hAnsi="宋体" w:cs="宋体"/>
          <w:spacing w:val="-147"/>
          <w:szCs w:val="21"/>
        </w:rPr>
        <w:t xml:space="preserve"> </w:t>
      </w:r>
      <w:r>
        <w:rPr>
          <w:rFonts w:ascii="宋体" w:hAnsi="宋体" w:cs="宋体"/>
          <w:spacing w:val="15"/>
          <w:szCs w:val="21"/>
        </w:rPr>
        <w:t>填写：中型、小型、微型）企业制造的货物。本条所称货物不包括</w:t>
      </w:r>
      <w:r>
        <w:rPr>
          <w:rFonts w:ascii="宋体" w:hAnsi="宋体" w:cs="宋体"/>
          <w:spacing w:val="-135"/>
          <w:szCs w:val="21"/>
        </w:rPr>
        <w:t xml:space="preserve"> </w:t>
      </w:r>
      <w:r>
        <w:rPr>
          <w:rFonts w:ascii="宋体" w:hAnsi="宋体" w:cs="宋体"/>
          <w:spacing w:val="11"/>
          <w:szCs w:val="21"/>
        </w:rPr>
        <w:t>使用大型企业注册商标的货物。</w:t>
      </w:r>
    </w:p>
    <w:p>
      <w:pPr>
        <w:spacing w:line="480" w:lineRule="auto"/>
        <w:ind w:firstLine="480" w:firstLineChars="200"/>
        <w:jc w:val="left"/>
        <w:rPr>
          <w:rFonts w:ascii="宋体" w:hAnsi="宋体" w:cs="宋体"/>
          <w:szCs w:val="21"/>
        </w:rPr>
      </w:pPr>
      <w:r>
        <w:rPr>
          <w:rFonts w:ascii="宋体" w:hAnsi="宋体" w:cs="宋体"/>
          <w:spacing w:val="15"/>
          <w:szCs w:val="21"/>
        </w:rPr>
        <w:t>本公司对上述声明的真实性负责。如有虚假，将依法承担相应</w:t>
      </w:r>
      <w:r>
        <w:rPr>
          <w:rFonts w:ascii="宋体" w:hAnsi="宋体" w:cs="宋体"/>
          <w:szCs w:val="21"/>
        </w:rPr>
        <w:t xml:space="preserve"> </w:t>
      </w:r>
      <w:r>
        <w:rPr>
          <w:rFonts w:ascii="宋体" w:hAnsi="宋体" w:cs="宋体"/>
          <w:spacing w:val="8"/>
          <w:szCs w:val="21"/>
        </w:rPr>
        <w:t>责任。</w:t>
      </w:r>
    </w:p>
    <w:p>
      <w:pPr>
        <w:spacing w:line="480" w:lineRule="auto"/>
        <w:ind w:firstLine="420" w:firstLineChars="200"/>
        <w:rPr>
          <w:rFonts w:ascii="宋体" w:hAnsi="宋体" w:cs="宋体"/>
          <w:szCs w:val="21"/>
        </w:rPr>
      </w:pPr>
    </w:p>
    <w:p>
      <w:pPr>
        <w:rPr>
          <w:rFonts w:ascii="宋体" w:hAnsi="宋体" w:cs="宋体"/>
          <w:sz w:val="30"/>
          <w:szCs w:val="30"/>
        </w:rPr>
      </w:pPr>
    </w:p>
    <w:p>
      <w:pPr>
        <w:spacing w:before="4"/>
        <w:rPr>
          <w:rFonts w:ascii="宋体" w:hAnsi="宋体" w:cs="宋体"/>
          <w:sz w:val="33"/>
          <w:szCs w:val="33"/>
        </w:rPr>
      </w:pPr>
    </w:p>
    <w:p>
      <w:pPr>
        <w:spacing w:line="600" w:lineRule="auto"/>
        <w:ind w:left="4305"/>
        <w:rPr>
          <w:rFonts w:ascii="宋体" w:hAnsi="宋体" w:cs="宋体"/>
          <w:szCs w:val="21"/>
        </w:rPr>
      </w:pPr>
      <w:r>
        <w:rPr>
          <w:rFonts w:ascii="宋体" w:hAnsi="宋体" w:cs="宋体"/>
          <w:spacing w:val="10"/>
          <w:szCs w:val="21"/>
        </w:rPr>
        <w:t>企业名称（盖章）：</w:t>
      </w:r>
    </w:p>
    <w:p>
      <w:pPr>
        <w:tabs>
          <w:tab w:val="left" w:pos="6398"/>
        </w:tabs>
        <w:spacing w:before="195" w:line="600" w:lineRule="auto"/>
        <w:jc w:val="center"/>
        <w:rPr>
          <w:rFonts w:ascii="宋体" w:hAnsi="宋体" w:cs="宋体"/>
          <w:sz w:val="30"/>
          <w:szCs w:val="30"/>
        </w:rPr>
      </w:pPr>
      <w:r>
        <w:rPr>
          <w:rFonts w:hint="eastAsia" w:ascii="宋体" w:hAnsi="宋体" w:cs="宋体"/>
          <w:szCs w:val="21"/>
        </w:rPr>
        <w:t xml:space="preserve">    </w:t>
      </w:r>
      <w:r>
        <w:rPr>
          <w:rFonts w:ascii="宋体" w:hAnsi="宋体" w:cs="宋体"/>
          <w:szCs w:val="21"/>
        </w:rPr>
        <w:t>日</w:t>
      </w:r>
      <w:r>
        <w:rPr>
          <w:rFonts w:hint="eastAsia" w:ascii="宋体" w:hAnsi="宋体" w:cs="宋体"/>
          <w:szCs w:val="21"/>
        </w:rPr>
        <w:t xml:space="preserve">     </w:t>
      </w:r>
      <w:r>
        <w:rPr>
          <w:rFonts w:ascii="宋体" w:hAnsi="宋体" w:cs="宋体"/>
          <w:spacing w:val="6"/>
          <w:szCs w:val="21"/>
        </w:rPr>
        <w:t>期：</w:t>
      </w:r>
    </w:p>
    <w:p>
      <w:pPr>
        <w:rPr>
          <w:rFonts w:ascii="宋体" w:hAnsi="宋体" w:cs="宋体"/>
          <w:sz w:val="30"/>
          <w:szCs w:val="30"/>
        </w:rPr>
        <w:sectPr>
          <w:pgSz w:w="11910" w:h="16840"/>
          <w:pgMar w:top="1260" w:right="660" w:bottom="1160" w:left="1680" w:header="0" w:footer="978" w:gutter="0"/>
          <w:pgNumType w:fmt="decimal"/>
          <w:cols w:space="720" w:num="1"/>
        </w:sectPr>
      </w:pPr>
    </w:p>
    <w:p>
      <w:pPr>
        <w:pStyle w:val="4"/>
      </w:pPr>
      <w:r>
        <w:t>7.符合条件的残疾人福利性单位在参加政府采购活动时，应当提供</w:t>
      </w:r>
    </w:p>
    <w:p>
      <w:pPr>
        <w:pStyle w:val="4"/>
      </w:pPr>
      <w:r>
        <w:t>《残疾人福利性单位声明函》，并对声明的真实性负责（如有，请提供）</w:t>
      </w:r>
    </w:p>
    <w:p>
      <w:pPr>
        <w:spacing w:before="51"/>
        <w:ind w:left="588"/>
        <w:rPr>
          <w:rFonts w:ascii="宋体" w:hAnsi="宋体" w:cs="宋体"/>
          <w:sz w:val="32"/>
          <w:szCs w:val="32"/>
        </w:rPr>
      </w:pPr>
      <w:r>
        <w:rPr>
          <w:rFonts w:ascii="宋体" w:hAnsi="宋体" w:cs="宋体"/>
          <w:b/>
          <w:bCs/>
          <w:sz w:val="32"/>
          <w:szCs w:val="32"/>
        </w:rPr>
        <w:t>附件：</w:t>
      </w:r>
    </w:p>
    <w:p>
      <w:pPr>
        <w:ind w:right="13"/>
        <w:jc w:val="center"/>
        <w:rPr>
          <w:rFonts w:ascii="宋体" w:hAnsi="宋体" w:cs="宋体"/>
          <w:sz w:val="32"/>
          <w:szCs w:val="32"/>
        </w:rPr>
      </w:pPr>
      <w:r>
        <w:rPr>
          <w:rFonts w:ascii="宋体" w:hAnsi="宋体" w:cs="宋体"/>
          <w:b/>
          <w:bCs/>
          <w:spacing w:val="12"/>
          <w:sz w:val="32"/>
          <w:szCs w:val="32"/>
        </w:rPr>
        <w:t>残疾人福利性单位声明函（格式）</w:t>
      </w:r>
    </w:p>
    <w:p>
      <w:pPr>
        <w:spacing w:line="480" w:lineRule="auto"/>
        <w:ind w:firstLine="476" w:firstLineChars="200"/>
        <w:rPr>
          <w:rFonts w:ascii="宋体" w:hAnsi="宋体" w:cs="宋体"/>
          <w:szCs w:val="21"/>
        </w:rPr>
      </w:pPr>
      <w:r>
        <w:rPr>
          <w:rFonts w:ascii="宋体" w:hAnsi="宋体" w:cs="宋体"/>
          <w:spacing w:val="14"/>
          <w:szCs w:val="21"/>
        </w:rPr>
        <w:t>本单位郑重声明，根据《财政部</w:t>
      </w:r>
      <w:r>
        <w:rPr>
          <w:rFonts w:ascii="宋体" w:hAnsi="宋体" w:cs="宋体"/>
          <w:spacing w:val="10"/>
          <w:szCs w:val="21"/>
        </w:rPr>
        <w:t>民政部</w:t>
      </w:r>
      <w:r>
        <w:rPr>
          <w:rFonts w:ascii="宋体" w:hAnsi="宋体" w:cs="宋体"/>
          <w:spacing w:val="14"/>
          <w:szCs w:val="21"/>
        </w:rPr>
        <w:t>中国残疾人联合会关</w:t>
      </w:r>
      <w:r>
        <w:rPr>
          <w:rFonts w:ascii="宋体" w:hAnsi="宋体" w:cs="宋体"/>
          <w:spacing w:val="9"/>
          <w:szCs w:val="21"/>
        </w:rPr>
        <w:t>于促进残疾人就业政府采购政策的通知》（财库〔2017〕</w:t>
      </w:r>
      <w:r>
        <w:rPr>
          <w:rFonts w:ascii="宋体" w:hAnsi="宋体" w:cs="宋体"/>
          <w:szCs w:val="21"/>
        </w:rPr>
        <w:t>141</w:t>
      </w:r>
      <w:r>
        <w:rPr>
          <w:rFonts w:ascii="宋体" w:hAnsi="宋体" w:cs="宋体"/>
          <w:spacing w:val="6"/>
          <w:szCs w:val="21"/>
        </w:rPr>
        <w:t>号）</w:t>
      </w:r>
      <w:r>
        <w:rPr>
          <w:rFonts w:ascii="宋体" w:hAnsi="宋体" w:cs="宋体"/>
          <w:spacing w:val="21"/>
          <w:szCs w:val="21"/>
        </w:rPr>
        <w:t>的规定</w:t>
      </w:r>
      <w:r>
        <w:rPr>
          <w:rFonts w:ascii="宋体" w:hAnsi="宋体" w:cs="宋体"/>
          <w:spacing w:val="26"/>
          <w:szCs w:val="21"/>
        </w:rPr>
        <w:t>本单位为符合条件的残疾人福利性单位，</w:t>
      </w:r>
      <w:r>
        <w:rPr>
          <w:rFonts w:ascii="宋体" w:hAnsi="宋体" w:cs="宋体"/>
          <w:spacing w:val="23"/>
          <w:szCs w:val="21"/>
        </w:rPr>
        <w:t>且本单位参加</w:t>
      </w:r>
      <w:r>
        <w:rPr>
          <w:rFonts w:ascii="宋体" w:hAnsi="宋体" w:cs="宋体"/>
          <w:spacing w:val="12"/>
          <w:szCs w:val="21"/>
        </w:rPr>
        <w:t>______单位的______项目采购活动提供本单位制造的货物（由本单</w:t>
      </w:r>
      <w:r>
        <w:rPr>
          <w:rFonts w:ascii="宋体" w:hAnsi="宋体" w:cs="宋体"/>
          <w:spacing w:val="-117"/>
          <w:szCs w:val="21"/>
        </w:rPr>
        <w:t xml:space="preserve"> </w:t>
      </w:r>
      <w:r>
        <w:rPr>
          <w:rFonts w:ascii="宋体" w:hAnsi="宋体" w:cs="宋体"/>
          <w:spacing w:val="10"/>
          <w:szCs w:val="21"/>
        </w:rPr>
        <w:t>位承担工程/提供服务），或者提供其他残疾人福利性单位制造的货</w:t>
      </w:r>
      <w:r>
        <w:rPr>
          <w:rFonts w:ascii="宋体" w:hAnsi="宋体" w:cs="宋体"/>
          <w:spacing w:val="-129"/>
          <w:szCs w:val="21"/>
        </w:rPr>
        <w:t xml:space="preserve"> </w:t>
      </w:r>
      <w:r>
        <w:rPr>
          <w:rFonts w:ascii="宋体" w:hAnsi="宋体" w:cs="宋体"/>
          <w:spacing w:val="11"/>
          <w:szCs w:val="21"/>
        </w:rPr>
        <w:t>物（不包括使用非残疾人福利性单位注册商标的货物）。</w:t>
      </w:r>
    </w:p>
    <w:p>
      <w:pPr>
        <w:spacing w:line="480" w:lineRule="auto"/>
        <w:ind w:firstLine="480" w:firstLineChars="200"/>
        <w:rPr>
          <w:rFonts w:ascii="宋体" w:hAnsi="宋体" w:cs="宋体"/>
          <w:szCs w:val="21"/>
        </w:rPr>
      </w:pPr>
      <w:r>
        <w:rPr>
          <w:rFonts w:ascii="宋体" w:hAnsi="宋体" w:cs="宋体"/>
          <w:spacing w:val="15"/>
          <w:szCs w:val="21"/>
        </w:rPr>
        <w:t>本单位对上述声明的真实性负责。如有虚假，将依法承担相应</w:t>
      </w:r>
      <w:r>
        <w:rPr>
          <w:rFonts w:ascii="宋体" w:hAnsi="宋体" w:cs="宋体"/>
          <w:spacing w:val="8"/>
          <w:szCs w:val="21"/>
        </w:rPr>
        <w:t>责任。</w:t>
      </w:r>
    </w:p>
    <w:p>
      <w:pPr>
        <w:spacing w:line="480" w:lineRule="auto"/>
        <w:ind w:firstLine="420" w:firstLineChars="200"/>
        <w:rPr>
          <w:rFonts w:ascii="宋体" w:hAnsi="宋体" w:cs="宋体"/>
          <w:szCs w:val="21"/>
        </w:rPr>
      </w:pPr>
    </w:p>
    <w:p>
      <w:pPr>
        <w:tabs>
          <w:tab w:val="left" w:pos="4490"/>
        </w:tabs>
        <w:spacing w:before="241" w:line="600" w:lineRule="auto"/>
        <w:ind w:left="3402" w:firstLine="230" w:firstLineChars="100"/>
        <w:rPr>
          <w:rFonts w:ascii="宋体" w:hAnsi="宋体" w:cs="宋体"/>
          <w:spacing w:val="10"/>
          <w:szCs w:val="21"/>
        </w:rPr>
      </w:pPr>
      <w:r>
        <w:rPr>
          <w:rFonts w:ascii="宋体" w:hAnsi="宋体" w:cs="宋体"/>
          <w:spacing w:val="10"/>
          <w:szCs w:val="21"/>
        </w:rPr>
        <w:t>单位名称（盖章）：</w:t>
      </w:r>
    </w:p>
    <w:p>
      <w:pPr>
        <w:tabs>
          <w:tab w:val="left" w:pos="4490"/>
        </w:tabs>
        <w:spacing w:before="241" w:line="600" w:lineRule="auto"/>
        <w:ind w:left="3402" w:firstLine="230" w:firstLineChars="100"/>
        <w:rPr>
          <w:rFonts w:ascii="宋体" w:hAnsi="宋体" w:cs="宋体"/>
          <w:spacing w:val="10"/>
          <w:szCs w:val="21"/>
        </w:rPr>
      </w:pPr>
      <w:r>
        <w:rPr>
          <w:rFonts w:ascii="宋体" w:hAnsi="宋体" w:cs="宋体"/>
          <w:spacing w:val="10"/>
          <w:szCs w:val="21"/>
        </w:rPr>
        <w:t xml:space="preserve"> 日</w:t>
      </w:r>
      <w:r>
        <w:rPr>
          <w:rFonts w:hint="eastAsia" w:ascii="宋体" w:hAnsi="宋体" w:cs="宋体"/>
          <w:spacing w:val="10"/>
          <w:szCs w:val="21"/>
        </w:rPr>
        <w:t xml:space="preserve">     </w:t>
      </w:r>
      <w:r>
        <w:rPr>
          <w:rFonts w:ascii="宋体" w:hAnsi="宋体" w:cs="宋体"/>
          <w:spacing w:val="10"/>
          <w:szCs w:val="21"/>
        </w:rPr>
        <w:t>期：</w:t>
      </w:r>
    </w:p>
    <w:p>
      <w:pPr>
        <w:rPr>
          <w:rFonts w:ascii="宋体" w:hAnsi="宋体" w:cs="宋体"/>
          <w:sz w:val="30"/>
          <w:szCs w:val="30"/>
        </w:rPr>
      </w:pPr>
    </w:p>
    <w:p>
      <w:pPr>
        <w:rPr>
          <w:rFonts w:ascii="宋体" w:hAnsi="宋体" w:cs="宋体"/>
          <w:sz w:val="30"/>
          <w:szCs w:val="30"/>
        </w:rPr>
      </w:pPr>
    </w:p>
    <w:p>
      <w:pPr>
        <w:rPr>
          <w:rFonts w:ascii="宋体" w:hAnsi="宋体" w:cs="宋体"/>
          <w:sz w:val="30"/>
          <w:szCs w:val="30"/>
        </w:rPr>
      </w:pPr>
    </w:p>
    <w:p>
      <w:pPr>
        <w:rPr>
          <w:rFonts w:ascii="宋体" w:hAnsi="宋体" w:cs="宋体"/>
          <w:sz w:val="26"/>
          <w:szCs w:val="26"/>
        </w:rPr>
      </w:pPr>
      <w:r>
        <w:rPr>
          <w:rFonts w:ascii="宋体" w:hAnsi="宋体" w:cs="宋体"/>
          <w:sz w:val="26"/>
          <w:szCs w:val="26"/>
        </w:rPr>
        <w:br w:type="page"/>
      </w:r>
    </w:p>
    <w:p>
      <w:pPr>
        <w:spacing w:line="398" w:lineRule="exact"/>
        <w:ind w:left="117" w:right="117"/>
        <w:rPr>
          <w:rFonts w:hint="eastAsia"/>
          <w:b/>
          <w:bCs/>
          <w:sz w:val="28"/>
          <w:szCs w:val="28"/>
          <w:lang w:val="en-US" w:eastAsia="zh-CN"/>
        </w:rPr>
      </w:pPr>
      <w:r>
        <w:rPr>
          <w:rFonts w:hint="eastAsia"/>
          <w:b/>
          <w:bCs/>
          <w:sz w:val="28"/>
          <w:szCs w:val="28"/>
          <w:lang w:val="en-US" w:eastAsia="zh-CN"/>
        </w:rPr>
        <w:t>8.投标人在桂林市设立有办公场所及有效的营业执照副本复印件（必须提供）</w:t>
      </w:r>
    </w:p>
    <w:p>
      <w:pPr>
        <w:autoSpaceDE w:val="0"/>
        <w:autoSpaceDN w:val="0"/>
        <w:adjustRightInd w:val="0"/>
        <w:spacing w:line="500" w:lineRule="exact"/>
        <w:ind w:firstLine="420" w:firstLineChars="200"/>
        <w:jc w:val="left"/>
        <w:rPr>
          <w:rFonts w:hint="eastAsia" w:ascii="宋体" w:hAnsi="宋体"/>
          <w:color w:val="000000"/>
          <w:kern w:val="0"/>
          <w:highlight w:val="none"/>
        </w:rPr>
      </w:pPr>
    </w:p>
    <w:p>
      <w:pPr>
        <w:spacing w:line="398" w:lineRule="exact"/>
        <w:ind w:left="117" w:right="117"/>
        <w:rPr>
          <w:rFonts w:hint="eastAsia"/>
          <w:b/>
          <w:bCs/>
          <w:sz w:val="28"/>
          <w:szCs w:val="28"/>
          <w:lang w:val="en-US" w:eastAsia="zh-CN"/>
        </w:rPr>
      </w:pPr>
    </w:p>
    <w:p>
      <w:pPr>
        <w:spacing w:line="398" w:lineRule="exact"/>
        <w:ind w:left="117" w:right="117"/>
        <w:rPr>
          <w:rFonts w:hint="eastAsia"/>
          <w:b/>
          <w:bCs/>
          <w:sz w:val="28"/>
          <w:szCs w:val="28"/>
          <w:lang w:val="en-US" w:eastAsia="zh-CN"/>
        </w:rPr>
      </w:pPr>
    </w:p>
    <w:p>
      <w:pPr>
        <w:pStyle w:val="2"/>
        <w:rPr>
          <w:rFonts w:hint="eastAsia"/>
          <w:b/>
          <w:bCs/>
          <w:sz w:val="28"/>
          <w:szCs w:val="28"/>
          <w:lang w:val="en-US" w:eastAsia="zh-CN"/>
        </w:rPr>
      </w:pPr>
    </w:p>
    <w:p>
      <w:pPr>
        <w:pStyle w:val="2"/>
        <w:rPr>
          <w:rFonts w:hint="eastAsia"/>
          <w:b/>
          <w:bCs/>
          <w:sz w:val="28"/>
          <w:szCs w:val="28"/>
          <w:lang w:val="en-US" w:eastAsia="zh-CN"/>
        </w:rPr>
      </w:pPr>
    </w:p>
    <w:p>
      <w:pPr>
        <w:pStyle w:val="2"/>
        <w:rPr>
          <w:rFonts w:hint="eastAsia"/>
          <w:b/>
          <w:bCs/>
          <w:sz w:val="28"/>
          <w:szCs w:val="28"/>
          <w:lang w:val="en-US" w:eastAsia="zh-CN"/>
        </w:rPr>
      </w:pPr>
    </w:p>
    <w:p>
      <w:pPr>
        <w:spacing w:line="398" w:lineRule="exact"/>
        <w:ind w:left="117" w:right="117"/>
        <w:rPr>
          <w:rFonts w:ascii="宋体" w:hAnsi="宋体" w:cs="宋体"/>
          <w:sz w:val="32"/>
          <w:szCs w:val="32"/>
        </w:rPr>
      </w:pPr>
      <w:r>
        <w:rPr>
          <w:rStyle w:val="73"/>
          <w:rFonts w:hint="eastAsia" w:eastAsia="黑体"/>
          <w:lang w:val="en-US" w:eastAsia="zh-CN"/>
        </w:rPr>
        <w:t>9</w:t>
      </w:r>
      <w:r>
        <w:rPr>
          <w:rStyle w:val="73"/>
        </w:rPr>
        <w:t>.供应商可结合本项目自身情况自行提交其它相关证明材料（如有，请提供</w:t>
      </w:r>
      <w:r>
        <w:rPr>
          <w:rFonts w:ascii="宋体" w:hAnsi="宋体" w:cs="宋体"/>
          <w:b/>
          <w:bCs/>
          <w:sz w:val="32"/>
          <w:szCs w:val="32"/>
        </w:rPr>
        <w:t>）</w:t>
      </w:r>
    </w:p>
    <w:p>
      <w:pPr>
        <w:pStyle w:val="15"/>
        <w:spacing w:line="400" w:lineRule="exact"/>
        <w:rPr>
          <w:rFonts w:hAnsi="宋体" w:cs="宋体"/>
          <w:b/>
          <w:bCs/>
          <w:sz w:val="32"/>
          <w:szCs w:val="32"/>
        </w:rPr>
      </w:pPr>
    </w:p>
    <w:sectPr>
      <w:footerReference r:id="rId11" w:type="default"/>
      <w:pgSz w:w="11906" w:h="16838"/>
      <w:pgMar w:top="1304" w:right="924" w:bottom="851" w:left="179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金山简黑体">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等线 Light">
    <w:altName w:val="宋体"/>
    <w:panose1 w:val="00000000000000000000"/>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华文新魏">
    <w:altName w:val="宋体"/>
    <w:panose1 w:val="02010800040101010101"/>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0288" behindDoc="1" locked="0" layoutInCell="1" allowOverlap="1">
              <wp:simplePos x="0" y="0"/>
              <wp:positionH relativeFrom="page">
                <wp:posOffset>3975100</wp:posOffset>
              </wp:positionH>
              <wp:positionV relativeFrom="page">
                <wp:posOffset>9931400</wp:posOffset>
              </wp:positionV>
              <wp:extent cx="166370" cy="139700"/>
              <wp:effectExtent l="0" t="0" r="0" b="0"/>
              <wp:wrapNone/>
              <wp:docPr id="10" name="文本框 5"/>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a:effectLst/>
                    </wps:spPr>
                    <wps:txbx>
                      <w:txbxContent>
                        <w:p>
                          <w:pPr>
                            <w:spacing w:line="204" w:lineRule="exact"/>
                            <w:ind w:left="40"/>
                            <w:rPr>
                              <w:rFonts w:eastAsia="Times New Roman"/>
                              <w:sz w:val="18"/>
                              <w:szCs w:val="18"/>
                            </w:rPr>
                          </w:pPr>
                          <w:r>
                            <w:fldChar w:fldCharType="begin"/>
                          </w:r>
                          <w:r>
                            <w:rPr>
                              <w:sz w:val="18"/>
                            </w:rPr>
                            <w:instrText xml:space="preserve"> PAGE </w:instrText>
                          </w:r>
                          <w:r>
                            <w:fldChar w:fldCharType="separate"/>
                          </w:r>
                          <w:r>
                            <w:rPr>
                              <w:sz w:val="18"/>
                            </w:rPr>
                            <w:t>3</w:t>
                          </w:r>
                          <w:r>
                            <w:fldChar w:fldCharType="end"/>
                          </w:r>
                        </w:p>
                      </w:txbxContent>
                    </wps:txbx>
                    <wps:bodyPr lIns="0" tIns="0" rIns="0" bIns="0" upright="1"/>
                  </wps:wsp>
                </a:graphicData>
              </a:graphic>
            </wp:anchor>
          </w:drawing>
        </mc:Choice>
        <mc:Fallback>
          <w:pict>
            <v:shape id="文本框 5" o:spid="_x0000_s1026" o:spt="202" type="#_x0000_t202" style="position:absolute;left:0pt;margin-left:313pt;margin-top:782pt;height:11pt;width:13.1pt;mso-position-horizontal-relative:page;mso-position-vertical-relative:page;z-index:-251656192;mso-width-relative:page;mso-height-relative:page;" filled="f" stroked="f" coordsize="21600,21600" o:gfxdata="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82efq2QAAAA0BAAAPAAAAAAAAAAEAIAAAACIAAABkcnMvZG93bnJldi54bWxQ&#10;SwECFAAUAAAACACHTuJAej0vpL0BAACAAwAADgAAAAAAAAABACAAAAAoAQAAZHJzL2Uyb0RvYy54&#10;bWxQSwUGAAAAAAYABgBZAQAAVwUAAAAA&#10;">
              <v:fill on="f" focussize="0,0"/>
              <v:stroke on="f"/>
              <v:imagedata o:title=""/>
              <o:lock v:ext="edit" aspectratio="f"/>
              <v:textbox inset="0mm,0mm,0mm,0mm">
                <w:txbxContent>
                  <w:p>
                    <w:pPr>
                      <w:spacing w:line="204" w:lineRule="exact"/>
                      <w:ind w:left="40"/>
                      <w:rPr>
                        <w:rFonts w:eastAsia="Times New Roman"/>
                        <w:sz w:val="18"/>
                        <w:szCs w:val="18"/>
                      </w:rPr>
                    </w:pPr>
                    <w:r>
                      <w:fldChar w:fldCharType="begin"/>
                    </w:r>
                    <w:r>
                      <w:rPr>
                        <w:sz w:val="18"/>
                      </w:rPr>
                      <w:instrText xml:space="preserve"> PAGE </w:instrText>
                    </w:r>
                    <w:r>
                      <w:fldChar w:fldCharType="separate"/>
                    </w:r>
                    <w:r>
                      <w:rPr>
                        <w:sz w:val="18"/>
                      </w:rP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1312" behindDoc="1" locked="0" layoutInCell="1" allowOverlap="1">
              <wp:simplePos x="0" y="0"/>
              <wp:positionH relativeFrom="page">
                <wp:posOffset>3975100</wp:posOffset>
              </wp:positionH>
              <wp:positionV relativeFrom="page">
                <wp:posOffset>9931400</wp:posOffset>
              </wp:positionV>
              <wp:extent cx="166370" cy="139700"/>
              <wp:effectExtent l="0" t="0" r="0" b="0"/>
              <wp:wrapNone/>
              <wp:docPr id="11" name="文本框 6"/>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a:effectLst/>
                    </wps:spPr>
                    <wps:txbx>
                      <w:txbxContent>
                        <w:p>
                          <w:pPr>
                            <w:spacing w:line="204" w:lineRule="exact"/>
                            <w:ind w:left="40"/>
                            <w:rPr>
                              <w:rFonts w:eastAsia="Times New Roman"/>
                              <w:sz w:val="18"/>
                              <w:szCs w:val="18"/>
                            </w:rPr>
                          </w:pPr>
                          <w:r>
                            <w:fldChar w:fldCharType="begin"/>
                          </w:r>
                          <w:r>
                            <w:rPr>
                              <w:sz w:val="18"/>
                            </w:rPr>
                            <w:instrText xml:space="preserve"> PAGE </w:instrText>
                          </w:r>
                          <w:r>
                            <w:fldChar w:fldCharType="separate"/>
                          </w:r>
                          <w:r>
                            <w:rPr>
                              <w:sz w:val="18"/>
                            </w:rPr>
                            <w:t>42</w:t>
                          </w:r>
                          <w:r>
                            <w:fldChar w:fldCharType="end"/>
                          </w:r>
                        </w:p>
                      </w:txbxContent>
                    </wps:txbx>
                    <wps:bodyPr lIns="0" tIns="0" rIns="0" bIns="0" upright="1"/>
                  </wps:wsp>
                </a:graphicData>
              </a:graphic>
            </wp:anchor>
          </w:drawing>
        </mc:Choice>
        <mc:Fallback>
          <w:pict>
            <v:shape id="文本框 6" o:spid="_x0000_s1026" o:spt="202" type="#_x0000_t202" style="position:absolute;left:0pt;margin-left:313pt;margin-top:782pt;height:11pt;width:13.1pt;mso-position-horizontal-relative:page;mso-position-vertical-relative:page;z-index:-251655168;mso-width-relative:page;mso-height-relative:page;" filled="f" stroked="f" coordsize="21600,21600" o:gfxdata="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fNnn6tkAAAANAQAADwAAAAAAAAABACAAAAAiAAAAZHJzL2Rvd25yZXYueG1s&#10;UEsBAhQAFAAAAAgAh07iQI3Kmhu+AQAAgAMAAA4AAAAAAAAAAQAgAAAAKAEAAGRycy9lMm9Eb2Mu&#10;eG1sUEsFBgAAAAAGAAYAWQEAAFgFAAAAAA==&#10;">
              <v:fill on="f" focussize="0,0"/>
              <v:stroke on="f"/>
              <v:imagedata o:title=""/>
              <o:lock v:ext="edit" aspectratio="f"/>
              <v:textbox inset="0mm,0mm,0mm,0mm">
                <w:txbxContent>
                  <w:p>
                    <w:pPr>
                      <w:spacing w:line="204" w:lineRule="exact"/>
                      <w:ind w:left="40"/>
                      <w:rPr>
                        <w:rFonts w:eastAsia="Times New Roman"/>
                        <w:sz w:val="18"/>
                        <w:szCs w:val="18"/>
                      </w:rPr>
                    </w:pPr>
                    <w:r>
                      <w:fldChar w:fldCharType="begin"/>
                    </w:r>
                    <w:r>
                      <w:rPr>
                        <w:sz w:val="18"/>
                      </w:rPr>
                      <w:instrText xml:space="preserve"> PAGE </w:instrText>
                    </w:r>
                    <w:r>
                      <w:fldChar w:fldCharType="separate"/>
                    </w:r>
                    <w:r>
                      <w:rPr>
                        <w:sz w:val="18"/>
                      </w:rPr>
                      <w:t>42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2336" behindDoc="1" locked="0" layoutInCell="1" allowOverlap="1">
              <wp:simplePos x="0" y="0"/>
              <wp:positionH relativeFrom="page">
                <wp:posOffset>3975100</wp:posOffset>
              </wp:positionH>
              <wp:positionV relativeFrom="page">
                <wp:posOffset>9931400</wp:posOffset>
              </wp:positionV>
              <wp:extent cx="166370" cy="139700"/>
              <wp:effectExtent l="0" t="0" r="0" b="0"/>
              <wp:wrapNone/>
              <wp:docPr id="12" name="文本框 7"/>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a:effectLst/>
                    </wps:spPr>
                    <wps:txbx>
                      <w:txbxContent>
                        <w:p>
                          <w:pPr>
                            <w:spacing w:line="204" w:lineRule="exact"/>
                            <w:ind w:left="40"/>
                            <w:rPr>
                              <w:rFonts w:eastAsia="Times New Roman"/>
                              <w:sz w:val="18"/>
                              <w:szCs w:val="18"/>
                            </w:rPr>
                          </w:pPr>
                          <w:r>
                            <w:fldChar w:fldCharType="begin"/>
                          </w:r>
                          <w:r>
                            <w:rPr>
                              <w:sz w:val="18"/>
                            </w:rPr>
                            <w:instrText xml:space="preserve"> PAGE </w:instrText>
                          </w:r>
                          <w:r>
                            <w:fldChar w:fldCharType="separate"/>
                          </w:r>
                          <w:r>
                            <w:rPr>
                              <w:sz w:val="18"/>
                            </w:rPr>
                            <w:t>41</w:t>
                          </w:r>
                          <w:r>
                            <w:fldChar w:fldCharType="end"/>
                          </w:r>
                        </w:p>
                      </w:txbxContent>
                    </wps:txbx>
                    <wps:bodyPr lIns="0" tIns="0" rIns="0" bIns="0" upright="1"/>
                  </wps:wsp>
                </a:graphicData>
              </a:graphic>
            </wp:anchor>
          </w:drawing>
        </mc:Choice>
        <mc:Fallback>
          <w:pict>
            <v:shape id="文本框 7" o:spid="_x0000_s1026" o:spt="202" type="#_x0000_t202" style="position:absolute;left:0pt;margin-left:313pt;margin-top:782pt;height:11pt;width:13.1pt;mso-position-horizontal-relative:page;mso-position-vertical-relative:page;z-index:-251654144;mso-width-relative:page;mso-height-relative:page;" filled="f" stroked="f" coordsize="21600,21600" o:gfxdata="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fNnn6tkAAAANAQAADwAAAAAAAAABACAAAAAiAAAAZHJzL2Rvd25yZXYueG1s&#10;UEsBAhQAFAAAAAgAh07iQMMkP/C+AQAAgAMAAA4AAAAAAAAAAQAgAAAAKAEAAGRycy9lMm9Eb2Mu&#10;eG1sUEsFBgAAAAAGAAYAWQEAAFgFAAAAAA==&#10;">
              <v:fill on="f" focussize="0,0"/>
              <v:stroke on="f"/>
              <v:imagedata o:title=""/>
              <o:lock v:ext="edit" aspectratio="f"/>
              <v:textbox inset="0mm,0mm,0mm,0mm">
                <w:txbxContent>
                  <w:p>
                    <w:pPr>
                      <w:spacing w:line="204" w:lineRule="exact"/>
                      <w:ind w:left="40"/>
                      <w:rPr>
                        <w:rFonts w:eastAsia="Times New Roman"/>
                        <w:sz w:val="18"/>
                        <w:szCs w:val="18"/>
                      </w:rPr>
                    </w:pPr>
                    <w:r>
                      <w:fldChar w:fldCharType="begin"/>
                    </w:r>
                    <w:r>
                      <w:rPr>
                        <w:sz w:val="18"/>
                      </w:rPr>
                      <w:instrText xml:space="preserve"> PAGE </w:instrText>
                    </w:r>
                    <w:r>
                      <w:fldChar w:fldCharType="separate"/>
                    </w:r>
                    <w:r>
                      <w:rPr>
                        <w:sz w:val="18"/>
                      </w:rPr>
                      <w:t>41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7"/>
                          </w:pPr>
                          <w:r>
                            <w:fldChar w:fldCharType="begin"/>
                          </w:r>
                          <w:r>
                            <w:instrText xml:space="preserve"> PAGE  \* MERGEFORMAT </w:instrText>
                          </w:r>
                          <w:r>
                            <w:fldChar w:fldCharType="separate"/>
                          </w:r>
                          <w:r>
                            <w:t>43</w:t>
                          </w:r>
                          <w:r>
                            <w:fldChar w:fldCharType="end"/>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1krnJM0BAACnAwAADgAAAAAAAAABACAAAAAeAQAAZHJzL2Uy&#10;b0RvYy54bWxQSwUGAAAAAAYABgBZAQAAXQ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43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3DD703"/>
    <w:multiLevelType w:val="singleLevel"/>
    <w:tmpl w:val="D63DD703"/>
    <w:lvl w:ilvl="0" w:tentative="0">
      <w:start w:val="4"/>
      <w:numFmt w:val="chineseCounting"/>
      <w:suff w:val="nothing"/>
      <w:lvlText w:val="%1、"/>
      <w:lvlJc w:val="left"/>
      <w:rPr>
        <w:rFonts w:hint="eastAsia"/>
      </w:rPr>
    </w:lvl>
  </w:abstractNum>
  <w:abstractNum w:abstractNumId="1">
    <w:nsid w:val="2BDB81EC"/>
    <w:multiLevelType w:val="singleLevel"/>
    <w:tmpl w:val="2BDB81EC"/>
    <w:lvl w:ilvl="0" w:tentative="0">
      <w:start w:val="2"/>
      <w:numFmt w:val="decimal"/>
      <w:suff w:val="nothing"/>
      <w:lvlText w:val="%1、"/>
      <w:lvlJc w:val="left"/>
    </w:lvl>
  </w:abstractNum>
  <w:abstractNum w:abstractNumId="2">
    <w:nsid w:val="4DEB2B68"/>
    <w:multiLevelType w:val="singleLevel"/>
    <w:tmpl w:val="4DEB2B68"/>
    <w:lvl w:ilvl="0" w:tentative="0">
      <w:start w:val="1"/>
      <w:numFmt w:val="chineseCounting"/>
      <w:suff w:val="nothing"/>
      <w:lvlText w:val="%1、"/>
      <w:lvlJc w:val="left"/>
      <w:pPr>
        <w:ind w:left="0" w:firstLine="420"/>
      </w:pPr>
      <w:rPr>
        <w:rFonts w:hint="eastAsia"/>
      </w:rPr>
    </w:lvl>
  </w:abstractNum>
  <w:abstractNum w:abstractNumId="3">
    <w:nsid w:val="5F6C02DF"/>
    <w:multiLevelType w:val="singleLevel"/>
    <w:tmpl w:val="5F6C02DF"/>
    <w:lvl w:ilvl="0" w:tentative="0">
      <w:start w:val="6"/>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331"/>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70"/>
    <w:rsid w:val="000001B5"/>
    <w:rsid w:val="00000C05"/>
    <w:rsid w:val="000011ED"/>
    <w:rsid w:val="00001908"/>
    <w:rsid w:val="000034A6"/>
    <w:rsid w:val="00003B4C"/>
    <w:rsid w:val="00003BA7"/>
    <w:rsid w:val="00003D90"/>
    <w:rsid w:val="000040FD"/>
    <w:rsid w:val="0000477B"/>
    <w:rsid w:val="0000497A"/>
    <w:rsid w:val="00004CC8"/>
    <w:rsid w:val="00004F9B"/>
    <w:rsid w:val="00005143"/>
    <w:rsid w:val="00005719"/>
    <w:rsid w:val="00005950"/>
    <w:rsid w:val="00006440"/>
    <w:rsid w:val="0000722A"/>
    <w:rsid w:val="0000775B"/>
    <w:rsid w:val="00007F96"/>
    <w:rsid w:val="0001073E"/>
    <w:rsid w:val="00010FC4"/>
    <w:rsid w:val="00010FCB"/>
    <w:rsid w:val="00011006"/>
    <w:rsid w:val="0001157E"/>
    <w:rsid w:val="00011968"/>
    <w:rsid w:val="00011F22"/>
    <w:rsid w:val="00012352"/>
    <w:rsid w:val="00012511"/>
    <w:rsid w:val="000127AC"/>
    <w:rsid w:val="0001284A"/>
    <w:rsid w:val="0001373E"/>
    <w:rsid w:val="000139A0"/>
    <w:rsid w:val="000139C8"/>
    <w:rsid w:val="000139E0"/>
    <w:rsid w:val="00013C2B"/>
    <w:rsid w:val="00013EF4"/>
    <w:rsid w:val="00013F2B"/>
    <w:rsid w:val="00014B3F"/>
    <w:rsid w:val="000158F6"/>
    <w:rsid w:val="00015DB6"/>
    <w:rsid w:val="0001605E"/>
    <w:rsid w:val="000162C9"/>
    <w:rsid w:val="00016611"/>
    <w:rsid w:val="00016778"/>
    <w:rsid w:val="000169B4"/>
    <w:rsid w:val="00016AB2"/>
    <w:rsid w:val="000173A6"/>
    <w:rsid w:val="0001748C"/>
    <w:rsid w:val="00017B25"/>
    <w:rsid w:val="00017DA1"/>
    <w:rsid w:val="00021536"/>
    <w:rsid w:val="00021B15"/>
    <w:rsid w:val="00021B5A"/>
    <w:rsid w:val="00021F3F"/>
    <w:rsid w:val="00021F89"/>
    <w:rsid w:val="00022A04"/>
    <w:rsid w:val="00022DC5"/>
    <w:rsid w:val="00022F6B"/>
    <w:rsid w:val="00023404"/>
    <w:rsid w:val="00023CCC"/>
    <w:rsid w:val="000247AF"/>
    <w:rsid w:val="00024F8B"/>
    <w:rsid w:val="000253B5"/>
    <w:rsid w:val="0002561B"/>
    <w:rsid w:val="000257E8"/>
    <w:rsid w:val="00025EE8"/>
    <w:rsid w:val="000263C0"/>
    <w:rsid w:val="0002714F"/>
    <w:rsid w:val="0002726C"/>
    <w:rsid w:val="00027537"/>
    <w:rsid w:val="000276A8"/>
    <w:rsid w:val="00030708"/>
    <w:rsid w:val="00030828"/>
    <w:rsid w:val="00030C53"/>
    <w:rsid w:val="00031027"/>
    <w:rsid w:val="000313EB"/>
    <w:rsid w:val="00031B35"/>
    <w:rsid w:val="00031EB5"/>
    <w:rsid w:val="000320EE"/>
    <w:rsid w:val="000322ED"/>
    <w:rsid w:val="000325F4"/>
    <w:rsid w:val="00032678"/>
    <w:rsid w:val="0003298B"/>
    <w:rsid w:val="00032A59"/>
    <w:rsid w:val="00033479"/>
    <w:rsid w:val="000338CC"/>
    <w:rsid w:val="00033DAF"/>
    <w:rsid w:val="0003439C"/>
    <w:rsid w:val="000343BC"/>
    <w:rsid w:val="0003474E"/>
    <w:rsid w:val="000351B3"/>
    <w:rsid w:val="00035820"/>
    <w:rsid w:val="000358E3"/>
    <w:rsid w:val="00035910"/>
    <w:rsid w:val="00035DF7"/>
    <w:rsid w:val="000361A9"/>
    <w:rsid w:val="00036CA9"/>
    <w:rsid w:val="00040940"/>
    <w:rsid w:val="00040B58"/>
    <w:rsid w:val="00041076"/>
    <w:rsid w:val="0004167F"/>
    <w:rsid w:val="00041BEF"/>
    <w:rsid w:val="00041D93"/>
    <w:rsid w:val="000426E2"/>
    <w:rsid w:val="000427AB"/>
    <w:rsid w:val="00042988"/>
    <w:rsid w:val="00042EC8"/>
    <w:rsid w:val="00043099"/>
    <w:rsid w:val="0004314D"/>
    <w:rsid w:val="00043242"/>
    <w:rsid w:val="00043500"/>
    <w:rsid w:val="000438AE"/>
    <w:rsid w:val="00043BC9"/>
    <w:rsid w:val="0004427C"/>
    <w:rsid w:val="00044449"/>
    <w:rsid w:val="00044975"/>
    <w:rsid w:val="00044E5F"/>
    <w:rsid w:val="0004528E"/>
    <w:rsid w:val="000455C0"/>
    <w:rsid w:val="0004582F"/>
    <w:rsid w:val="00045A41"/>
    <w:rsid w:val="00045B84"/>
    <w:rsid w:val="00046AD4"/>
    <w:rsid w:val="00047EB0"/>
    <w:rsid w:val="00050027"/>
    <w:rsid w:val="000500BC"/>
    <w:rsid w:val="000506B3"/>
    <w:rsid w:val="00050EC4"/>
    <w:rsid w:val="00052011"/>
    <w:rsid w:val="00052D91"/>
    <w:rsid w:val="00052DAE"/>
    <w:rsid w:val="00052DC5"/>
    <w:rsid w:val="00053080"/>
    <w:rsid w:val="0005348C"/>
    <w:rsid w:val="00053775"/>
    <w:rsid w:val="00053FD6"/>
    <w:rsid w:val="000543A4"/>
    <w:rsid w:val="00054966"/>
    <w:rsid w:val="0005524C"/>
    <w:rsid w:val="00055306"/>
    <w:rsid w:val="00055378"/>
    <w:rsid w:val="000553CA"/>
    <w:rsid w:val="00055684"/>
    <w:rsid w:val="0005579F"/>
    <w:rsid w:val="00055BF1"/>
    <w:rsid w:val="00055E73"/>
    <w:rsid w:val="00056190"/>
    <w:rsid w:val="000562F6"/>
    <w:rsid w:val="00056AB7"/>
    <w:rsid w:val="000576DC"/>
    <w:rsid w:val="0005788B"/>
    <w:rsid w:val="00057B1A"/>
    <w:rsid w:val="000606D6"/>
    <w:rsid w:val="00060B78"/>
    <w:rsid w:val="00061151"/>
    <w:rsid w:val="0006188A"/>
    <w:rsid w:val="000624CB"/>
    <w:rsid w:val="0006269C"/>
    <w:rsid w:val="00062F9E"/>
    <w:rsid w:val="00063D8A"/>
    <w:rsid w:val="00064C7E"/>
    <w:rsid w:val="000652A9"/>
    <w:rsid w:val="00065639"/>
    <w:rsid w:val="00065A4D"/>
    <w:rsid w:val="00065C37"/>
    <w:rsid w:val="000665E4"/>
    <w:rsid w:val="00066F5D"/>
    <w:rsid w:val="000672B1"/>
    <w:rsid w:val="000672D9"/>
    <w:rsid w:val="000675B5"/>
    <w:rsid w:val="00067C58"/>
    <w:rsid w:val="00070101"/>
    <w:rsid w:val="00070666"/>
    <w:rsid w:val="00070C8C"/>
    <w:rsid w:val="00071B5D"/>
    <w:rsid w:val="000723E2"/>
    <w:rsid w:val="00072820"/>
    <w:rsid w:val="00072883"/>
    <w:rsid w:val="00072F52"/>
    <w:rsid w:val="00073241"/>
    <w:rsid w:val="000738B6"/>
    <w:rsid w:val="00073BC5"/>
    <w:rsid w:val="000748A6"/>
    <w:rsid w:val="00074AB7"/>
    <w:rsid w:val="00074C4F"/>
    <w:rsid w:val="00074DD4"/>
    <w:rsid w:val="0007565A"/>
    <w:rsid w:val="00076A7C"/>
    <w:rsid w:val="00076CD3"/>
    <w:rsid w:val="000775E8"/>
    <w:rsid w:val="0007788B"/>
    <w:rsid w:val="00080266"/>
    <w:rsid w:val="0008063A"/>
    <w:rsid w:val="00080A3D"/>
    <w:rsid w:val="00081346"/>
    <w:rsid w:val="000815D9"/>
    <w:rsid w:val="000820F8"/>
    <w:rsid w:val="00082451"/>
    <w:rsid w:val="000834F3"/>
    <w:rsid w:val="000839BF"/>
    <w:rsid w:val="00083B78"/>
    <w:rsid w:val="00085C7F"/>
    <w:rsid w:val="00086097"/>
    <w:rsid w:val="00087A27"/>
    <w:rsid w:val="00090212"/>
    <w:rsid w:val="00091181"/>
    <w:rsid w:val="00091791"/>
    <w:rsid w:val="0009280B"/>
    <w:rsid w:val="0009290A"/>
    <w:rsid w:val="00093943"/>
    <w:rsid w:val="00094119"/>
    <w:rsid w:val="000945EF"/>
    <w:rsid w:val="000946E7"/>
    <w:rsid w:val="00094F84"/>
    <w:rsid w:val="00094FE3"/>
    <w:rsid w:val="00095B9B"/>
    <w:rsid w:val="000965CD"/>
    <w:rsid w:val="00096861"/>
    <w:rsid w:val="00096AD2"/>
    <w:rsid w:val="00096CEF"/>
    <w:rsid w:val="000A0092"/>
    <w:rsid w:val="000A00EB"/>
    <w:rsid w:val="000A0967"/>
    <w:rsid w:val="000A0FD6"/>
    <w:rsid w:val="000A1C45"/>
    <w:rsid w:val="000A20EF"/>
    <w:rsid w:val="000A2975"/>
    <w:rsid w:val="000A3159"/>
    <w:rsid w:val="000A36CA"/>
    <w:rsid w:val="000A36CD"/>
    <w:rsid w:val="000A3CF6"/>
    <w:rsid w:val="000A418E"/>
    <w:rsid w:val="000A45F1"/>
    <w:rsid w:val="000A4E10"/>
    <w:rsid w:val="000A4F3B"/>
    <w:rsid w:val="000A5169"/>
    <w:rsid w:val="000A5402"/>
    <w:rsid w:val="000A5421"/>
    <w:rsid w:val="000A5901"/>
    <w:rsid w:val="000A5C45"/>
    <w:rsid w:val="000A5CFA"/>
    <w:rsid w:val="000A5D8A"/>
    <w:rsid w:val="000A5E5D"/>
    <w:rsid w:val="000A60A3"/>
    <w:rsid w:val="000A6CD2"/>
    <w:rsid w:val="000A70C3"/>
    <w:rsid w:val="000A7625"/>
    <w:rsid w:val="000A7C8A"/>
    <w:rsid w:val="000A7D70"/>
    <w:rsid w:val="000B010C"/>
    <w:rsid w:val="000B08BC"/>
    <w:rsid w:val="000B0B71"/>
    <w:rsid w:val="000B0C4F"/>
    <w:rsid w:val="000B0C77"/>
    <w:rsid w:val="000B1865"/>
    <w:rsid w:val="000B237E"/>
    <w:rsid w:val="000B2456"/>
    <w:rsid w:val="000B30AF"/>
    <w:rsid w:val="000B3103"/>
    <w:rsid w:val="000B34D4"/>
    <w:rsid w:val="000B390A"/>
    <w:rsid w:val="000B3F36"/>
    <w:rsid w:val="000B414E"/>
    <w:rsid w:val="000B4180"/>
    <w:rsid w:val="000B44DB"/>
    <w:rsid w:val="000B4969"/>
    <w:rsid w:val="000B5313"/>
    <w:rsid w:val="000B5ACF"/>
    <w:rsid w:val="000B60F5"/>
    <w:rsid w:val="000B613B"/>
    <w:rsid w:val="000B62C2"/>
    <w:rsid w:val="000B647B"/>
    <w:rsid w:val="000B6631"/>
    <w:rsid w:val="000B6D0B"/>
    <w:rsid w:val="000B7939"/>
    <w:rsid w:val="000B7B41"/>
    <w:rsid w:val="000B7D9B"/>
    <w:rsid w:val="000C018F"/>
    <w:rsid w:val="000C0406"/>
    <w:rsid w:val="000C1278"/>
    <w:rsid w:val="000C1576"/>
    <w:rsid w:val="000C16C7"/>
    <w:rsid w:val="000C18B9"/>
    <w:rsid w:val="000C1C13"/>
    <w:rsid w:val="000C1F14"/>
    <w:rsid w:val="000C20A8"/>
    <w:rsid w:val="000C224C"/>
    <w:rsid w:val="000C2478"/>
    <w:rsid w:val="000C26F1"/>
    <w:rsid w:val="000C2A34"/>
    <w:rsid w:val="000C2C4E"/>
    <w:rsid w:val="000C2D63"/>
    <w:rsid w:val="000C31E4"/>
    <w:rsid w:val="000C3CBE"/>
    <w:rsid w:val="000C4055"/>
    <w:rsid w:val="000C5310"/>
    <w:rsid w:val="000C566C"/>
    <w:rsid w:val="000C59FD"/>
    <w:rsid w:val="000C6144"/>
    <w:rsid w:val="000C64F3"/>
    <w:rsid w:val="000C684D"/>
    <w:rsid w:val="000C6905"/>
    <w:rsid w:val="000C699F"/>
    <w:rsid w:val="000C761F"/>
    <w:rsid w:val="000C76E2"/>
    <w:rsid w:val="000C7928"/>
    <w:rsid w:val="000C7DC0"/>
    <w:rsid w:val="000D0374"/>
    <w:rsid w:val="000D06C8"/>
    <w:rsid w:val="000D0844"/>
    <w:rsid w:val="000D093D"/>
    <w:rsid w:val="000D0A60"/>
    <w:rsid w:val="000D0B80"/>
    <w:rsid w:val="000D11A7"/>
    <w:rsid w:val="000D14EB"/>
    <w:rsid w:val="000D1A16"/>
    <w:rsid w:val="000D1B37"/>
    <w:rsid w:val="000D2B49"/>
    <w:rsid w:val="000D2FFF"/>
    <w:rsid w:val="000D38D7"/>
    <w:rsid w:val="000D3997"/>
    <w:rsid w:val="000D3A93"/>
    <w:rsid w:val="000D3E36"/>
    <w:rsid w:val="000D4C47"/>
    <w:rsid w:val="000D519C"/>
    <w:rsid w:val="000D55B6"/>
    <w:rsid w:val="000D561B"/>
    <w:rsid w:val="000D5AE0"/>
    <w:rsid w:val="000D5BC2"/>
    <w:rsid w:val="000D6062"/>
    <w:rsid w:val="000D62E4"/>
    <w:rsid w:val="000D6D5C"/>
    <w:rsid w:val="000D6F1A"/>
    <w:rsid w:val="000D7B25"/>
    <w:rsid w:val="000E00A8"/>
    <w:rsid w:val="000E08D0"/>
    <w:rsid w:val="000E0A07"/>
    <w:rsid w:val="000E1051"/>
    <w:rsid w:val="000E12EE"/>
    <w:rsid w:val="000E1D91"/>
    <w:rsid w:val="000E1EA9"/>
    <w:rsid w:val="000E1ECA"/>
    <w:rsid w:val="000E1ECD"/>
    <w:rsid w:val="000E21B8"/>
    <w:rsid w:val="000E2A5C"/>
    <w:rsid w:val="000E2FEB"/>
    <w:rsid w:val="000E3274"/>
    <w:rsid w:val="000E3298"/>
    <w:rsid w:val="000E355E"/>
    <w:rsid w:val="000E3594"/>
    <w:rsid w:val="000E3A19"/>
    <w:rsid w:val="000E3DA4"/>
    <w:rsid w:val="000E4127"/>
    <w:rsid w:val="000E49A1"/>
    <w:rsid w:val="000E4DDC"/>
    <w:rsid w:val="000E4EE2"/>
    <w:rsid w:val="000E4F78"/>
    <w:rsid w:val="000E5069"/>
    <w:rsid w:val="000E53A4"/>
    <w:rsid w:val="000E5447"/>
    <w:rsid w:val="000E5454"/>
    <w:rsid w:val="000E5E0F"/>
    <w:rsid w:val="000E6A4D"/>
    <w:rsid w:val="000E7700"/>
    <w:rsid w:val="000E7D40"/>
    <w:rsid w:val="000F0191"/>
    <w:rsid w:val="000F1327"/>
    <w:rsid w:val="000F2562"/>
    <w:rsid w:val="000F3D0D"/>
    <w:rsid w:val="000F61C1"/>
    <w:rsid w:val="000F6299"/>
    <w:rsid w:val="000F6817"/>
    <w:rsid w:val="0010011B"/>
    <w:rsid w:val="00100D7E"/>
    <w:rsid w:val="00101220"/>
    <w:rsid w:val="0010195A"/>
    <w:rsid w:val="00101C88"/>
    <w:rsid w:val="00101D57"/>
    <w:rsid w:val="001023EA"/>
    <w:rsid w:val="00102A52"/>
    <w:rsid w:val="0010326D"/>
    <w:rsid w:val="00104408"/>
    <w:rsid w:val="00104F01"/>
    <w:rsid w:val="00104F1E"/>
    <w:rsid w:val="001058BC"/>
    <w:rsid w:val="00105C30"/>
    <w:rsid w:val="00105ED7"/>
    <w:rsid w:val="00106F6B"/>
    <w:rsid w:val="001073F4"/>
    <w:rsid w:val="001075B2"/>
    <w:rsid w:val="00107A41"/>
    <w:rsid w:val="00107DBE"/>
    <w:rsid w:val="00107EC0"/>
    <w:rsid w:val="001111EA"/>
    <w:rsid w:val="0011141A"/>
    <w:rsid w:val="001114AD"/>
    <w:rsid w:val="00111546"/>
    <w:rsid w:val="00111A2D"/>
    <w:rsid w:val="00112099"/>
    <w:rsid w:val="00112316"/>
    <w:rsid w:val="0011265E"/>
    <w:rsid w:val="00112CC7"/>
    <w:rsid w:val="00112F5B"/>
    <w:rsid w:val="00113733"/>
    <w:rsid w:val="00113956"/>
    <w:rsid w:val="00114B3E"/>
    <w:rsid w:val="00114B86"/>
    <w:rsid w:val="00114BAC"/>
    <w:rsid w:val="0011594D"/>
    <w:rsid w:val="00116607"/>
    <w:rsid w:val="00116D87"/>
    <w:rsid w:val="0011717B"/>
    <w:rsid w:val="00117824"/>
    <w:rsid w:val="00117CB3"/>
    <w:rsid w:val="0012019E"/>
    <w:rsid w:val="00120802"/>
    <w:rsid w:val="00120FBB"/>
    <w:rsid w:val="0012187F"/>
    <w:rsid w:val="00122665"/>
    <w:rsid w:val="001226D5"/>
    <w:rsid w:val="001231EB"/>
    <w:rsid w:val="001237F5"/>
    <w:rsid w:val="00123CBA"/>
    <w:rsid w:val="00123DB4"/>
    <w:rsid w:val="001243EC"/>
    <w:rsid w:val="00124431"/>
    <w:rsid w:val="0012578E"/>
    <w:rsid w:val="00125B41"/>
    <w:rsid w:val="001266C7"/>
    <w:rsid w:val="00126703"/>
    <w:rsid w:val="00126CCF"/>
    <w:rsid w:val="00126D1F"/>
    <w:rsid w:val="00127500"/>
    <w:rsid w:val="00127CB8"/>
    <w:rsid w:val="00130436"/>
    <w:rsid w:val="00130AD4"/>
    <w:rsid w:val="00130C8C"/>
    <w:rsid w:val="00130D21"/>
    <w:rsid w:val="00130EFA"/>
    <w:rsid w:val="00130FE3"/>
    <w:rsid w:val="00131596"/>
    <w:rsid w:val="001315FD"/>
    <w:rsid w:val="00131B68"/>
    <w:rsid w:val="0013205C"/>
    <w:rsid w:val="001328C0"/>
    <w:rsid w:val="00133247"/>
    <w:rsid w:val="001333E1"/>
    <w:rsid w:val="001347AD"/>
    <w:rsid w:val="0013633F"/>
    <w:rsid w:val="00136C95"/>
    <w:rsid w:val="00137254"/>
    <w:rsid w:val="001373DE"/>
    <w:rsid w:val="00137BD4"/>
    <w:rsid w:val="00137BF8"/>
    <w:rsid w:val="00137C7B"/>
    <w:rsid w:val="001400B6"/>
    <w:rsid w:val="0014042C"/>
    <w:rsid w:val="0014062A"/>
    <w:rsid w:val="0014066B"/>
    <w:rsid w:val="00140A37"/>
    <w:rsid w:val="00140E6D"/>
    <w:rsid w:val="00140FCC"/>
    <w:rsid w:val="00141B28"/>
    <w:rsid w:val="00141CEA"/>
    <w:rsid w:val="001421F7"/>
    <w:rsid w:val="001430D1"/>
    <w:rsid w:val="001433F0"/>
    <w:rsid w:val="00143473"/>
    <w:rsid w:val="001435BC"/>
    <w:rsid w:val="00143961"/>
    <w:rsid w:val="00143EDE"/>
    <w:rsid w:val="00144551"/>
    <w:rsid w:val="0014460C"/>
    <w:rsid w:val="001449D8"/>
    <w:rsid w:val="00144E85"/>
    <w:rsid w:val="00145BFA"/>
    <w:rsid w:val="00145C6E"/>
    <w:rsid w:val="00145DD7"/>
    <w:rsid w:val="00146A1D"/>
    <w:rsid w:val="00146CB3"/>
    <w:rsid w:val="001475F5"/>
    <w:rsid w:val="00147E0E"/>
    <w:rsid w:val="001500A3"/>
    <w:rsid w:val="00150583"/>
    <w:rsid w:val="00150737"/>
    <w:rsid w:val="00150E00"/>
    <w:rsid w:val="00150E78"/>
    <w:rsid w:val="00151315"/>
    <w:rsid w:val="001518A6"/>
    <w:rsid w:val="001519CA"/>
    <w:rsid w:val="00151C92"/>
    <w:rsid w:val="00151CE3"/>
    <w:rsid w:val="00151D76"/>
    <w:rsid w:val="00152580"/>
    <w:rsid w:val="0015285A"/>
    <w:rsid w:val="00152A01"/>
    <w:rsid w:val="001537B5"/>
    <w:rsid w:val="001540D2"/>
    <w:rsid w:val="001541BB"/>
    <w:rsid w:val="001552FB"/>
    <w:rsid w:val="001556D4"/>
    <w:rsid w:val="00155E4D"/>
    <w:rsid w:val="001563CA"/>
    <w:rsid w:val="00156D1E"/>
    <w:rsid w:val="00157225"/>
    <w:rsid w:val="0015786A"/>
    <w:rsid w:val="00157B2C"/>
    <w:rsid w:val="00157CF4"/>
    <w:rsid w:val="0016065E"/>
    <w:rsid w:val="00160861"/>
    <w:rsid w:val="0016089D"/>
    <w:rsid w:val="001608B9"/>
    <w:rsid w:val="00160A01"/>
    <w:rsid w:val="00160B58"/>
    <w:rsid w:val="001615FE"/>
    <w:rsid w:val="00162359"/>
    <w:rsid w:val="00162BA0"/>
    <w:rsid w:val="00162E9A"/>
    <w:rsid w:val="001630EE"/>
    <w:rsid w:val="001635EC"/>
    <w:rsid w:val="00163AF5"/>
    <w:rsid w:val="00164556"/>
    <w:rsid w:val="00164A32"/>
    <w:rsid w:val="00166155"/>
    <w:rsid w:val="00166459"/>
    <w:rsid w:val="001666A4"/>
    <w:rsid w:val="00167839"/>
    <w:rsid w:val="0017007D"/>
    <w:rsid w:val="001705E5"/>
    <w:rsid w:val="00170B3B"/>
    <w:rsid w:val="00170E6F"/>
    <w:rsid w:val="0017117A"/>
    <w:rsid w:val="00171E9E"/>
    <w:rsid w:val="0017230F"/>
    <w:rsid w:val="00172959"/>
    <w:rsid w:val="00172A27"/>
    <w:rsid w:val="0017325C"/>
    <w:rsid w:val="0017330B"/>
    <w:rsid w:val="001736FA"/>
    <w:rsid w:val="00173EA0"/>
    <w:rsid w:val="0017446B"/>
    <w:rsid w:val="00174971"/>
    <w:rsid w:val="00174A5E"/>
    <w:rsid w:val="00174FF0"/>
    <w:rsid w:val="0017566B"/>
    <w:rsid w:val="00175FAB"/>
    <w:rsid w:val="00176710"/>
    <w:rsid w:val="00176D7D"/>
    <w:rsid w:val="00176EAE"/>
    <w:rsid w:val="00177137"/>
    <w:rsid w:val="001771D9"/>
    <w:rsid w:val="00177C81"/>
    <w:rsid w:val="00180126"/>
    <w:rsid w:val="001808F5"/>
    <w:rsid w:val="0018097B"/>
    <w:rsid w:val="001809C8"/>
    <w:rsid w:val="00180BEC"/>
    <w:rsid w:val="00181492"/>
    <w:rsid w:val="00181ADA"/>
    <w:rsid w:val="00181CCB"/>
    <w:rsid w:val="00182C8C"/>
    <w:rsid w:val="00184BEB"/>
    <w:rsid w:val="00185033"/>
    <w:rsid w:val="00186348"/>
    <w:rsid w:val="00186411"/>
    <w:rsid w:val="001866AD"/>
    <w:rsid w:val="00186811"/>
    <w:rsid w:val="001868A7"/>
    <w:rsid w:val="00186E74"/>
    <w:rsid w:val="00187480"/>
    <w:rsid w:val="001875C3"/>
    <w:rsid w:val="001902E5"/>
    <w:rsid w:val="0019071A"/>
    <w:rsid w:val="00190CE4"/>
    <w:rsid w:val="001910FC"/>
    <w:rsid w:val="0019110D"/>
    <w:rsid w:val="00191864"/>
    <w:rsid w:val="00192ADD"/>
    <w:rsid w:val="00192B99"/>
    <w:rsid w:val="00193132"/>
    <w:rsid w:val="0019346E"/>
    <w:rsid w:val="00193724"/>
    <w:rsid w:val="00193CFA"/>
    <w:rsid w:val="00194CB1"/>
    <w:rsid w:val="00194E66"/>
    <w:rsid w:val="00194FEF"/>
    <w:rsid w:val="00195BEF"/>
    <w:rsid w:val="00195FF6"/>
    <w:rsid w:val="0019621C"/>
    <w:rsid w:val="001963CF"/>
    <w:rsid w:val="00196416"/>
    <w:rsid w:val="00196CD1"/>
    <w:rsid w:val="00196D55"/>
    <w:rsid w:val="00197043"/>
    <w:rsid w:val="001974B2"/>
    <w:rsid w:val="00197505"/>
    <w:rsid w:val="001A0A68"/>
    <w:rsid w:val="001A1013"/>
    <w:rsid w:val="001A119D"/>
    <w:rsid w:val="001A162C"/>
    <w:rsid w:val="001A1766"/>
    <w:rsid w:val="001A1F39"/>
    <w:rsid w:val="001A2098"/>
    <w:rsid w:val="001A26C8"/>
    <w:rsid w:val="001A28DB"/>
    <w:rsid w:val="001A2C14"/>
    <w:rsid w:val="001A2CC7"/>
    <w:rsid w:val="001A2E81"/>
    <w:rsid w:val="001A3A93"/>
    <w:rsid w:val="001A3AEF"/>
    <w:rsid w:val="001A3FAA"/>
    <w:rsid w:val="001A493C"/>
    <w:rsid w:val="001A50C7"/>
    <w:rsid w:val="001A5470"/>
    <w:rsid w:val="001A55F6"/>
    <w:rsid w:val="001A5CE4"/>
    <w:rsid w:val="001A69BB"/>
    <w:rsid w:val="001A72AD"/>
    <w:rsid w:val="001A750D"/>
    <w:rsid w:val="001A7E59"/>
    <w:rsid w:val="001B0021"/>
    <w:rsid w:val="001B02A1"/>
    <w:rsid w:val="001B036E"/>
    <w:rsid w:val="001B0531"/>
    <w:rsid w:val="001B07BA"/>
    <w:rsid w:val="001B091F"/>
    <w:rsid w:val="001B0E49"/>
    <w:rsid w:val="001B0E82"/>
    <w:rsid w:val="001B134E"/>
    <w:rsid w:val="001B2025"/>
    <w:rsid w:val="001B204A"/>
    <w:rsid w:val="001B2132"/>
    <w:rsid w:val="001B22C7"/>
    <w:rsid w:val="001B2986"/>
    <w:rsid w:val="001B29D5"/>
    <w:rsid w:val="001B321D"/>
    <w:rsid w:val="001B32C6"/>
    <w:rsid w:val="001B34EE"/>
    <w:rsid w:val="001B3510"/>
    <w:rsid w:val="001B4326"/>
    <w:rsid w:val="001B43F6"/>
    <w:rsid w:val="001B49CB"/>
    <w:rsid w:val="001B4D10"/>
    <w:rsid w:val="001B5194"/>
    <w:rsid w:val="001B5745"/>
    <w:rsid w:val="001B674A"/>
    <w:rsid w:val="001B6E60"/>
    <w:rsid w:val="001B6E90"/>
    <w:rsid w:val="001B7FBB"/>
    <w:rsid w:val="001C00B8"/>
    <w:rsid w:val="001C0F8C"/>
    <w:rsid w:val="001C150B"/>
    <w:rsid w:val="001C1D64"/>
    <w:rsid w:val="001C1DD5"/>
    <w:rsid w:val="001C2BB8"/>
    <w:rsid w:val="001C3892"/>
    <w:rsid w:val="001C3D12"/>
    <w:rsid w:val="001C40ED"/>
    <w:rsid w:val="001C447E"/>
    <w:rsid w:val="001C4D56"/>
    <w:rsid w:val="001C5609"/>
    <w:rsid w:val="001C5851"/>
    <w:rsid w:val="001C620F"/>
    <w:rsid w:val="001C701F"/>
    <w:rsid w:val="001C7150"/>
    <w:rsid w:val="001C72C5"/>
    <w:rsid w:val="001C745C"/>
    <w:rsid w:val="001C750F"/>
    <w:rsid w:val="001C77CF"/>
    <w:rsid w:val="001C77E0"/>
    <w:rsid w:val="001C7893"/>
    <w:rsid w:val="001C78AD"/>
    <w:rsid w:val="001C79B7"/>
    <w:rsid w:val="001C7D11"/>
    <w:rsid w:val="001D008C"/>
    <w:rsid w:val="001D027B"/>
    <w:rsid w:val="001D053F"/>
    <w:rsid w:val="001D0660"/>
    <w:rsid w:val="001D0FDA"/>
    <w:rsid w:val="001D1074"/>
    <w:rsid w:val="001D1128"/>
    <w:rsid w:val="001D1442"/>
    <w:rsid w:val="001D17FB"/>
    <w:rsid w:val="001D1A40"/>
    <w:rsid w:val="001D1BD9"/>
    <w:rsid w:val="001D3E53"/>
    <w:rsid w:val="001D4CDA"/>
    <w:rsid w:val="001D5A72"/>
    <w:rsid w:val="001D5EEB"/>
    <w:rsid w:val="001D6933"/>
    <w:rsid w:val="001D6F26"/>
    <w:rsid w:val="001D6FBD"/>
    <w:rsid w:val="001D70A5"/>
    <w:rsid w:val="001D74BE"/>
    <w:rsid w:val="001D7AFD"/>
    <w:rsid w:val="001D7C35"/>
    <w:rsid w:val="001E0862"/>
    <w:rsid w:val="001E0CAB"/>
    <w:rsid w:val="001E148F"/>
    <w:rsid w:val="001E17F6"/>
    <w:rsid w:val="001E1905"/>
    <w:rsid w:val="001E1A98"/>
    <w:rsid w:val="001E23BF"/>
    <w:rsid w:val="001E275B"/>
    <w:rsid w:val="001E2D5C"/>
    <w:rsid w:val="001E2DE6"/>
    <w:rsid w:val="001E3609"/>
    <w:rsid w:val="001E3693"/>
    <w:rsid w:val="001E3A6C"/>
    <w:rsid w:val="001E3DA6"/>
    <w:rsid w:val="001E449B"/>
    <w:rsid w:val="001E4851"/>
    <w:rsid w:val="001E5261"/>
    <w:rsid w:val="001E5B47"/>
    <w:rsid w:val="001E696A"/>
    <w:rsid w:val="001E6D2F"/>
    <w:rsid w:val="001E781B"/>
    <w:rsid w:val="001E7AD7"/>
    <w:rsid w:val="001E7E7A"/>
    <w:rsid w:val="001F07EB"/>
    <w:rsid w:val="001F1412"/>
    <w:rsid w:val="001F1440"/>
    <w:rsid w:val="001F1853"/>
    <w:rsid w:val="001F23D2"/>
    <w:rsid w:val="001F2511"/>
    <w:rsid w:val="001F268D"/>
    <w:rsid w:val="001F2DD3"/>
    <w:rsid w:val="001F3A64"/>
    <w:rsid w:val="001F3AAC"/>
    <w:rsid w:val="001F3AD9"/>
    <w:rsid w:val="001F3BA0"/>
    <w:rsid w:val="001F4110"/>
    <w:rsid w:val="001F42FF"/>
    <w:rsid w:val="001F43C4"/>
    <w:rsid w:val="001F46E0"/>
    <w:rsid w:val="001F487D"/>
    <w:rsid w:val="001F5603"/>
    <w:rsid w:val="001F5898"/>
    <w:rsid w:val="001F5AA1"/>
    <w:rsid w:val="001F5C11"/>
    <w:rsid w:val="001F662E"/>
    <w:rsid w:val="001F732F"/>
    <w:rsid w:val="001F7340"/>
    <w:rsid w:val="001F7B42"/>
    <w:rsid w:val="001F7F8D"/>
    <w:rsid w:val="002000E2"/>
    <w:rsid w:val="00200316"/>
    <w:rsid w:val="0020050E"/>
    <w:rsid w:val="0020195A"/>
    <w:rsid w:val="002023AB"/>
    <w:rsid w:val="00202413"/>
    <w:rsid w:val="00202834"/>
    <w:rsid w:val="00202841"/>
    <w:rsid w:val="0020321A"/>
    <w:rsid w:val="00203436"/>
    <w:rsid w:val="002034CB"/>
    <w:rsid w:val="0020350B"/>
    <w:rsid w:val="00203DD7"/>
    <w:rsid w:val="00204AA5"/>
    <w:rsid w:val="00205643"/>
    <w:rsid w:val="00206225"/>
    <w:rsid w:val="002069C8"/>
    <w:rsid w:val="002071B0"/>
    <w:rsid w:val="00207630"/>
    <w:rsid w:val="00207A7B"/>
    <w:rsid w:val="00207C8F"/>
    <w:rsid w:val="00210EB1"/>
    <w:rsid w:val="00211011"/>
    <w:rsid w:val="0021125C"/>
    <w:rsid w:val="002113A8"/>
    <w:rsid w:val="002114BA"/>
    <w:rsid w:val="00211C13"/>
    <w:rsid w:val="00211E61"/>
    <w:rsid w:val="002121E1"/>
    <w:rsid w:val="00212274"/>
    <w:rsid w:val="00212626"/>
    <w:rsid w:val="00212D38"/>
    <w:rsid w:val="002138FE"/>
    <w:rsid w:val="00214147"/>
    <w:rsid w:val="002146EB"/>
    <w:rsid w:val="00214CC2"/>
    <w:rsid w:val="00215408"/>
    <w:rsid w:val="00215E09"/>
    <w:rsid w:val="002162EB"/>
    <w:rsid w:val="0021654C"/>
    <w:rsid w:val="00216AEA"/>
    <w:rsid w:val="00216CAB"/>
    <w:rsid w:val="002174AD"/>
    <w:rsid w:val="00217AE5"/>
    <w:rsid w:val="00217CA7"/>
    <w:rsid w:val="00217EAE"/>
    <w:rsid w:val="002203D7"/>
    <w:rsid w:val="00220C40"/>
    <w:rsid w:val="00220C50"/>
    <w:rsid w:val="00220E32"/>
    <w:rsid w:val="00220E7F"/>
    <w:rsid w:val="00221495"/>
    <w:rsid w:val="00221888"/>
    <w:rsid w:val="00222708"/>
    <w:rsid w:val="0022271B"/>
    <w:rsid w:val="002237AA"/>
    <w:rsid w:val="0022544C"/>
    <w:rsid w:val="00225B4E"/>
    <w:rsid w:val="00226017"/>
    <w:rsid w:val="002261F8"/>
    <w:rsid w:val="00226478"/>
    <w:rsid w:val="00226740"/>
    <w:rsid w:val="002268CF"/>
    <w:rsid w:val="002278CE"/>
    <w:rsid w:val="00227C8A"/>
    <w:rsid w:val="00227D59"/>
    <w:rsid w:val="00227D80"/>
    <w:rsid w:val="00230498"/>
    <w:rsid w:val="002310A1"/>
    <w:rsid w:val="00231A56"/>
    <w:rsid w:val="002325AE"/>
    <w:rsid w:val="002326BF"/>
    <w:rsid w:val="002326F2"/>
    <w:rsid w:val="00232EBF"/>
    <w:rsid w:val="0023402E"/>
    <w:rsid w:val="00234641"/>
    <w:rsid w:val="00234981"/>
    <w:rsid w:val="00235471"/>
    <w:rsid w:val="00235713"/>
    <w:rsid w:val="002359C3"/>
    <w:rsid w:val="00235F89"/>
    <w:rsid w:val="00236F91"/>
    <w:rsid w:val="002373B3"/>
    <w:rsid w:val="0023766F"/>
    <w:rsid w:val="0024074A"/>
    <w:rsid w:val="0024096E"/>
    <w:rsid w:val="00240C16"/>
    <w:rsid w:val="00240C2D"/>
    <w:rsid w:val="00240FD5"/>
    <w:rsid w:val="00241233"/>
    <w:rsid w:val="00241A5C"/>
    <w:rsid w:val="00241DE7"/>
    <w:rsid w:val="0024232F"/>
    <w:rsid w:val="00242D39"/>
    <w:rsid w:val="00243051"/>
    <w:rsid w:val="002438D4"/>
    <w:rsid w:val="00243931"/>
    <w:rsid w:val="002439A1"/>
    <w:rsid w:val="00243BBE"/>
    <w:rsid w:val="00243F0E"/>
    <w:rsid w:val="00244156"/>
    <w:rsid w:val="002441BE"/>
    <w:rsid w:val="00245CB5"/>
    <w:rsid w:val="00246A1B"/>
    <w:rsid w:val="00246B1C"/>
    <w:rsid w:val="00246DD9"/>
    <w:rsid w:val="0024706A"/>
    <w:rsid w:val="002473EC"/>
    <w:rsid w:val="00247D80"/>
    <w:rsid w:val="002504FA"/>
    <w:rsid w:val="002507F2"/>
    <w:rsid w:val="002517A2"/>
    <w:rsid w:val="00251E7B"/>
    <w:rsid w:val="00252844"/>
    <w:rsid w:val="002528CC"/>
    <w:rsid w:val="00252997"/>
    <w:rsid w:val="00252F05"/>
    <w:rsid w:val="00253966"/>
    <w:rsid w:val="00253CD8"/>
    <w:rsid w:val="0025401D"/>
    <w:rsid w:val="00254046"/>
    <w:rsid w:val="002540FA"/>
    <w:rsid w:val="002544BE"/>
    <w:rsid w:val="0025461F"/>
    <w:rsid w:val="002549A9"/>
    <w:rsid w:val="002567EF"/>
    <w:rsid w:val="00256C05"/>
    <w:rsid w:val="00257D49"/>
    <w:rsid w:val="00260586"/>
    <w:rsid w:val="0026067E"/>
    <w:rsid w:val="00260905"/>
    <w:rsid w:val="00260CB0"/>
    <w:rsid w:val="00260F57"/>
    <w:rsid w:val="00261358"/>
    <w:rsid w:val="00261387"/>
    <w:rsid w:val="00261729"/>
    <w:rsid w:val="00261D25"/>
    <w:rsid w:val="00261FAF"/>
    <w:rsid w:val="00262942"/>
    <w:rsid w:val="0026326B"/>
    <w:rsid w:val="002634AF"/>
    <w:rsid w:val="00263E05"/>
    <w:rsid w:val="002644C8"/>
    <w:rsid w:val="00264C23"/>
    <w:rsid w:val="0026508F"/>
    <w:rsid w:val="0026510C"/>
    <w:rsid w:val="002652D5"/>
    <w:rsid w:val="00265323"/>
    <w:rsid w:val="00265494"/>
    <w:rsid w:val="00265884"/>
    <w:rsid w:val="00266662"/>
    <w:rsid w:val="00266A44"/>
    <w:rsid w:val="00267180"/>
    <w:rsid w:val="00270AF5"/>
    <w:rsid w:val="00270FDC"/>
    <w:rsid w:val="0027183F"/>
    <w:rsid w:val="002719D6"/>
    <w:rsid w:val="00272311"/>
    <w:rsid w:val="00273044"/>
    <w:rsid w:val="0027333E"/>
    <w:rsid w:val="0027351A"/>
    <w:rsid w:val="002735AA"/>
    <w:rsid w:val="002748B6"/>
    <w:rsid w:val="002752EB"/>
    <w:rsid w:val="00275602"/>
    <w:rsid w:val="00275CD6"/>
    <w:rsid w:val="00275DBE"/>
    <w:rsid w:val="00276424"/>
    <w:rsid w:val="0027652D"/>
    <w:rsid w:val="00276997"/>
    <w:rsid w:val="00276AEF"/>
    <w:rsid w:val="00277125"/>
    <w:rsid w:val="00277B93"/>
    <w:rsid w:val="00277C7D"/>
    <w:rsid w:val="00277F33"/>
    <w:rsid w:val="0028097E"/>
    <w:rsid w:val="00280EB0"/>
    <w:rsid w:val="002814A0"/>
    <w:rsid w:val="002816E1"/>
    <w:rsid w:val="00281DD3"/>
    <w:rsid w:val="00281F76"/>
    <w:rsid w:val="002820A3"/>
    <w:rsid w:val="00282E30"/>
    <w:rsid w:val="0028443A"/>
    <w:rsid w:val="002844A0"/>
    <w:rsid w:val="0028452F"/>
    <w:rsid w:val="002846FC"/>
    <w:rsid w:val="00284AEE"/>
    <w:rsid w:val="00284C41"/>
    <w:rsid w:val="00285367"/>
    <w:rsid w:val="0028552C"/>
    <w:rsid w:val="002858A4"/>
    <w:rsid w:val="00285C28"/>
    <w:rsid w:val="00285FD5"/>
    <w:rsid w:val="00286889"/>
    <w:rsid w:val="00286DE4"/>
    <w:rsid w:val="00286E15"/>
    <w:rsid w:val="0028783C"/>
    <w:rsid w:val="00287C4D"/>
    <w:rsid w:val="00287EAE"/>
    <w:rsid w:val="002903F9"/>
    <w:rsid w:val="00290E68"/>
    <w:rsid w:val="00290FAB"/>
    <w:rsid w:val="00291208"/>
    <w:rsid w:val="00291373"/>
    <w:rsid w:val="002914F9"/>
    <w:rsid w:val="00291921"/>
    <w:rsid w:val="002919F5"/>
    <w:rsid w:val="00291B3C"/>
    <w:rsid w:val="00291DB8"/>
    <w:rsid w:val="002920EB"/>
    <w:rsid w:val="002922EE"/>
    <w:rsid w:val="002925B2"/>
    <w:rsid w:val="00293396"/>
    <w:rsid w:val="0029345E"/>
    <w:rsid w:val="00293791"/>
    <w:rsid w:val="00293D04"/>
    <w:rsid w:val="00293F3A"/>
    <w:rsid w:val="002941BC"/>
    <w:rsid w:val="002948FA"/>
    <w:rsid w:val="00294A58"/>
    <w:rsid w:val="00294D40"/>
    <w:rsid w:val="00294D8B"/>
    <w:rsid w:val="00295A96"/>
    <w:rsid w:val="00295DBE"/>
    <w:rsid w:val="00296C8E"/>
    <w:rsid w:val="00297312"/>
    <w:rsid w:val="00297341"/>
    <w:rsid w:val="002A0B6A"/>
    <w:rsid w:val="002A1103"/>
    <w:rsid w:val="002A196E"/>
    <w:rsid w:val="002A19C5"/>
    <w:rsid w:val="002A2251"/>
    <w:rsid w:val="002A23C3"/>
    <w:rsid w:val="002A23CA"/>
    <w:rsid w:val="002A25A4"/>
    <w:rsid w:val="002A2A0E"/>
    <w:rsid w:val="002A3B29"/>
    <w:rsid w:val="002A3BA2"/>
    <w:rsid w:val="002A3C91"/>
    <w:rsid w:val="002A4403"/>
    <w:rsid w:val="002A4F34"/>
    <w:rsid w:val="002A6056"/>
    <w:rsid w:val="002A610A"/>
    <w:rsid w:val="002A685E"/>
    <w:rsid w:val="002A6992"/>
    <w:rsid w:val="002A6A6B"/>
    <w:rsid w:val="002A6CE9"/>
    <w:rsid w:val="002A725F"/>
    <w:rsid w:val="002B00FA"/>
    <w:rsid w:val="002B021E"/>
    <w:rsid w:val="002B0238"/>
    <w:rsid w:val="002B04A2"/>
    <w:rsid w:val="002B055D"/>
    <w:rsid w:val="002B08D1"/>
    <w:rsid w:val="002B0BD5"/>
    <w:rsid w:val="002B0D00"/>
    <w:rsid w:val="002B0E91"/>
    <w:rsid w:val="002B10E6"/>
    <w:rsid w:val="002B1331"/>
    <w:rsid w:val="002B1778"/>
    <w:rsid w:val="002B1797"/>
    <w:rsid w:val="002B1B61"/>
    <w:rsid w:val="002B2236"/>
    <w:rsid w:val="002B2940"/>
    <w:rsid w:val="002B300C"/>
    <w:rsid w:val="002B347B"/>
    <w:rsid w:val="002B3DC9"/>
    <w:rsid w:val="002B4429"/>
    <w:rsid w:val="002B4887"/>
    <w:rsid w:val="002B4889"/>
    <w:rsid w:val="002B52D5"/>
    <w:rsid w:val="002B5450"/>
    <w:rsid w:val="002B54B1"/>
    <w:rsid w:val="002B587F"/>
    <w:rsid w:val="002B594C"/>
    <w:rsid w:val="002B5A6B"/>
    <w:rsid w:val="002B5D0A"/>
    <w:rsid w:val="002B5EDB"/>
    <w:rsid w:val="002B6695"/>
    <w:rsid w:val="002B689A"/>
    <w:rsid w:val="002B6BDE"/>
    <w:rsid w:val="002B6C1E"/>
    <w:rsid w:val="002C00D6"/>
    <w:rsid w:val="002C050A"/>
    <w:rsid w:val="002C1042"/>
    <w:rsid w:val="002C13B0"/>
    <w:rsid w:val="002C19D8"/>
    <w:rsid w:val="002C204E"/>
    <w:rsid w:val="002C438F"/>
    <w:rsid w:val="002C464E"/>
    <w:rsid w:val="002C49A1"/>
    <w:rsid w:val="002C4A63"/>
    <w:rsid w:val="002C6330"/>
    <w:rsid w:val="002C6E6B"/>
    <w:rsid w:val="002C701B"/>
    <w:rsid w:val="002C70DC"/>
    <w:rsid w:val="002C7464"/>
    <w:rsid w:val="002C7FB9"/>
    <w:rsid w:val="002D012C"/>
    <w:rsid w:val="002D03D5"/>
    <w:rsid w:val="002D0694"/>
    <w:rsid w:val="002D097F"/>
    <w:rsid w:val="002D0E6F"/>
    <w:rsid w:val="002D126D"/>
    <w:rsid w:val="002D21F9"/>
    <w:rsid w:val="002D2CB8"/>
    <w:rsid w:val="002D2E7E"/>
    <w:rsid w:val="002D2EC2"/>
    <w:rsid w:val="002D308D"/>
    <w:rsid w:val="002D3472"/>
    <w:rsid w:val="002D408A"/>
    <w:rsid w:val="002D467A"/>
    <w:rsid w:val="002D4801"/>
    <w:rsid w:val="002D492C"/>
    <w:rsid w:val="002D4E81"/>
    <w:rsid w:val="002D4F40"/>
    <w:rsid w:val="002D51D8"/>
    <w:rsid w:val="002D6CAE"/>
    <w:rsid w:val="002D6E67"/>
    <w:rsid w:val="002D752F"/>
    <w:rsid w:val="002D7B98"/>
    <w:rsid w:val="002E0011"/>
    <w:rsid w:val="002E002E"/>
    <w:rsid w:val="002E00C5"/>
    <w:rsid w:val="002E0125"/>
    <w:rsid w:val="002E04CF"/>
    <w:rsid w:val="002E0DA4"/>
    <w:rsid w:val="002E120D"/>
    <w:rsid w:val="002E161B"/>
    <w:rsid w:val="002E16F8"/>
    <w:rsid w:val="002E18D9"/>
    <w:rsid w:val="002E1BB9"/>
    <w:rsid w:val="002E1D6A"/>
    <w:rsid w:val="002E293B"/>
    <w:rsid w:val="002E30DE"/>
    <w:rsid w:val="002E396E"/>
    <w:rsid w:val="002E54DC"/>
    <w:rsid w:val="002E585A"/>
    <w:rsid w:val="002E5BE6"/>
    <w:rsid w:val="002E5E7C"/>
    <w:rsid w:val="002E626C"/>
    <w:rsid w:val="002E6298"/>
    <w:rsid w:val="002E6519"/>
    <w:rsid w:val="002E6531"/>
    <w:rsid w:val="002E73E8"/>
    <w:rsid w:val="002E7D12"/>
    <w:rsid w:val="002F0582"/>
    <w:rsid w:val="002F07A3"/>
    <w:rsid w:val="002F07BF"/>
    <w:rsid w:val="002F094F"/>
    <w:rsid w:val="002F0C33"/>
    <w:rsid w:val="002F103F"/>
    <w:rsid w:val="002F106F"/>
    <w:rsid w:val="002F13FB"/>
    <w:rsid w:val="002F148C"/>
    <w:rsid w:val="002F17B5"/>
    <w:rsid w:val="002F2007"/>
    <w:rsid w:val="002F22FC"/>
    <w:rsid w:val="002F2C73"/>
    <w:rsid w:val="002F338D"/>
    <w:rsid w:val="002F3892"/>
    <w:rsid w:val="002F38B0"/>
    <w:rsid w:val="002F4122"/>
    <w:rsid w:val="002F45D3"/>
    <w:rsid w:val="002F49EF"/>
    <w:rsid w:val="002F4B84"/>
    <w:rsid w:val="002F4D99"/>
    <w:rsid w:val="002F4EF1"/>
    <w:rsid w:val="002F558C"/>
    <w:rsid w:val="002F5A67"/>
    <w:rsid w:val="002F5CED"/>
    <w:rsid w:val="002F6D01"/>
    <w:rsid w:val="002F6F79"/>
    <w:rsid w:val="002F7096"/>
    <w:rsid w:val="002F7800"/>
    <w:rsid w:val="002F7950"/>
    <w:rsid w:val="002F7D3C"/>
    <w:rsid w:val="002F7EAD"/>
    <w:rsid w:val="003002E1"/>
    <w:rsid w:val="00301542"/>
    <w:rsid w:val="00301A92"/>
    <w:rsid w:val="00301A96"/>
    <w:rsid w:val="00301EF9"/>
    <w:rsid w:val="00301F57"/>
    <w:rsid w:val="0030227A"/>
    <w:rsid w:val="00302447"/>
    <w:rsid w:val="00302DA9"/>
    <w:rsid w:val="003037DF"/>
    <w:rsid w:val="003039E6"/>
    <w:rsid w:val="0030404A"/>
    <w:rsid w:val="00304E68"/>
    <w:rsid w:val="003056FA"/>
    <w:rsid w:val="0030577F"/>
    <w:rsid w:val="0030601F"/>
    <w:rsid w:val="0030613D"/>
    <w:rsid w:val="003061C1"/>
    <w:rsid w:val="003061E1"/>
    <w:rsid w:val="003067E7"/>
    <w:rsid w:val="00306CC1"/>
    <w:rsid w:val="003071E5"/>
    <w:rsid w:val="003071FC"/>
    <w:rsid w:val="003074E3"/>
    <w:rsid w:val="00307782"/>
    <w:rsid w:val="00307877"/>
    <w:rsid w:val="00307E0A"/>
    <w:rsid w:val="0031002F"/>
    <w:rsid w:val="003100A4"/>
    <w:rsid w:val="003101C6"/>
    <w:rsid w:val="00310AB1"/>
    <w:rsid w:val="00310F43"/>
    <w:rsid w:val="00310FB8"/>
    <w:rsid w:val="00311D89"/>
    <w:rsid w:val="0031200A"/>
    <w:rsid w:val="003134C1"/>
    <w:rsid w:val="00313776"/>
    <w:rsid w:val="00313827"/>
    <w:rsid w:val="0031417D"/>
    <w:rsid w:val="003146F7"/>
    <w:rsid w:val="003152C8"/>
    <w:rsid w:val="00315648"/>
    <w:rsid w:val="00315F77"/>
    <w:rsid w:val="003167C7"/>
    <w:rsid w:val="00316D23"/>
    <w:rsid w:val="00317092"/>
    <w:rsid w:val="00317590"/>
    <w:rsid w:val="00317A07"/>
    <w:rsid w:val="00317EE0"/>
    <w:rsid w:val="00317FCA"/>
    <w:rsid w:val="003204FD"/>
    <w:rsid w:val="0032058C"/>
    <w:rsid w:val="003208C3"/>
    <w:rsid w:val="00320AEC"/>
    <w:rsid w:val="00321001"/>
    <w:rsid w:val="003212AD"/>
    <w:rsid w:val="00321555"/>
    <w:rsid w:val="00321FBC"/>
    <w:rsid w:val="003223DB"/>
    <w:rsid w:val="00322680"/>
    <w:rsid w:val="00322C65"/>
    <w:rsid w:val="00322D33"/>
    <w:rsid w:val="00323622"/>
    <w:rsid w:val="00323775"/>
    <w:rsid w:val="00323C02"/>
    <w:rsid w:val="00323F4D"/>
    <w:rsid w:val="003248ED"/>
    <w:rsid w:val="0032528B"/>
    <w:rsid w:val="003254B9"/>
    <w:rsid w:val="0032659A"/>
    <w:rsid w:val="00326A95"/>
    <w:rsid w:val="003276EA"/>
    <w:rsid w:val="00327C3B"/>
    <w:rsid w:val="0033068B"/>
    <w:rsid w:val="0033093E"/>
    <w:rsid w:val="00330C36"/>
    <w:rsid w:val="003323D9"/>
    <w:rsid w:val="003327E5"/>
    <w:rsid w:val="0033292A"/>
    <w:rsid w:val="0033297B"/>
    <w:rsid w:val="00332D9F"/>
    <w:rsid w:val="003347F7"/>
    <w:rsid w:val="003348A3"/>
    <w:rsid w:val="00334DB9"/>
    <w:rsid w:val="00334DC0"/>
    <w:rsid w:val="00335034"/>
    <w:rsid w:val="003355C1"/>
    <w:rsid w:val="00335786"/>
    <w:rsid w:val="003358A7"/>
    <w:rsid w:val="0033598F"/>
    <w:rsid w:val="003360B0"/>
    <w:rsid w:val="00337790"/>
    <w:rsid w:val="003377CD"/>
    <w:rsid w:val="00337D4D"/>
    <w:rsid w:val="00340622"/>
    <w:rsid w:val="00340659"/>
    <w:rsid w:val="0034382F"/>
    <w:rsid w:val="003438CA"/>
    <w:rsid w:val="00343A60"/>
    <w:rsid w:val="00343F67"/>
    <w:rsid w:val="00344F5F"/>
    <w:rsid w:val="00344FAF"/>
    <w:rsid w:val="00345AB4"/>
    <w:rsid w:val="00345B3B"/>
    <w:rsid w:val="0034643B"/>
    <w:rsid w:val="00347266"/>
    <w:rsid w:val="00351383"/>
    <w:rsid w:val="00351BA5"/>
    <w:rsid w:val="0035202C"/>
    <w:rsid w:val="00352165"/>
    <w:rsid w:val="0035226F"/>
    <w:rsid w:val="0035251A"/>
    <w:rsid w:val="003526FB"/>
    <w:rsid w:val="003529F2"/>
    <w:rsid w:val="00352F87"/>
    <w:rsid w:val="0035352F"/>
    <w:rsid w:val="00353D7A"/>
    <w:rsid w:val="00354041"/>
    <w:rsid w:val="003541B7"/>
    <w:rsid w:val="00354A81"/>
    <w:rsid w:val="00354CF6"/>
    <w:rsid w:val="00354DE4"/>
    <w:rsid w:val="00354F5A"/>
    <w:rsid w:val="003550B0"/>
    <w:rsid w:val="003556AC"/>
    <w:rsid w:val="00355773"/>
    <w:rsid w:val="00356082"/>
    <w:rsid w:val="003564D1"/>
    <w:rsid w:val="00356693"/>
    <w:rsid w:val="00356F60"/>
    <w:rsid w:val="003577B4"/>
    <w:rsid w:val="00357AC6"/>
    <w:rsid w:val="00357C89"/>
    <w:rsid w:val="00357E4E"/>
    <w:rsid w:val="00357E73"/>
    <w:rsid w:val="00360282"/>
    <w:rsid w:val="003607AB"/>
    <w:rsid w:val="00360AC2"/>
    <w:rsid w:val="00360BD9"/>
    <w:rsid w:val="00360E0F"/>
    <w:rsid w:val="00362092"/>
    <w:rsid w:val="003621AD"/>
    <w:rsid w:val="0036230D"/>
    <w:rsid w:val="0036262E"/>
    <w:rsid w:val="00362C30"/>
    <w:rsid w:val="00362DE1"/>
    <w:rsid w:val="00362EDB"/>
    <w:rsid w:val="00362F0D"/>
    <w:rsid w:val="0036300A"/>
    <w:rsid w:val="0036421E"/>
    <w:rsid w:val="0036434B"/>
    <w:rsid w:val="00364668"/>
    <w:rsid w:val="003656D1"/>
    <w:rsid w:val="003659E9"/>
    <w:rsid w:val="00365CE6"/>
    <w:rsid w:val="00366433"/>
    <w:rsid w:val="0036670C"/>
    <w:rsid w:val="00366C27"/>
    <w:rsid w:val="00366C3B"/>
    <w:rsid w:val="00367209"/>
    <w:rsid w:val="00367AAE"/>
    <w:rsid w:val="0037038A"/>
    <w:rsid w:val="00370510"/>
    <w:rsid w:val="00370823"/>
    <w:rsid w:val="00370C6E"/>
    <w:rsid w:val="00370D01"/>
    <w:rsid w:val="00370D0A"/>
    <w:rsid w:val="00370FC8"/>
    <w:rsid w:val="00371063"/>
    <w:rsid w:val="003721E4"/>
    <w:rsid w:val="00373063"/>
    <w:rsid w:val="00373290"/>
    <w:rsid w:val="003736CA"/>
    <w:rsid w:val="003738CD"/>
    <w:rsid w:val="00373911"/>
    <w:rsid w:val="00373BA1"/>
    <w:rsid w:val="00373C38"/>
    <w:rsid w:val="00373FCA"/>
    <w:rsid w:val="00374260"/>
    <w:rsid w:val="00374ABB"/>
    <w:rsid w:val="00374DEF"/>
    <w:rsid w:val="00375D34"/>
    <w:rsid w:val="003761D8"/>
    <w:rsid w:val="003764A5"/>
    <w:rsid w:val="00376D6B"/>
    <w:rsid w:val="0037780B"/>
    <w:rsid w:val="0037785F"/>
    <w:rsid w:val="00380052"/>
    <w:rsid w:val="00380537"/>
    <w:rsid w:val="00380B28"/>
    <w:rsid w:val="00380F53"/>
    <w:rsid w:val="00380F81"/>
    <w:rsid w:val="003817C0"/>
    <w:rsid w:val="00381B9B"/>
    <w:rsid w:val="00383485"/>
    <w:rsid w:val="0038350B"/>
    <w:rsid w:val="00383B82"/>
    <w:rsid w:val="00383CC3"/>
    <w:rsid w:val="00384272"/>
    <w:rsid w:val="00384BE9"/>
    <w:rsid w:val="00384C4B"/>
    <w:rsid w:val="00384D75"/>
    <w:rsid w:val="00385410"/>
    <w:rsid w:val="00385542"/>
    <w:rsid w:val="0038567A"/>
    <w:rsid w:val="00385913"/>
    <w:rsid w:val="003859FB"/>
    <w:rsid w:val="003860B0"/>
    <w:rsid w:val="0038691F"/>
    <w:rsid w:val="00386E70"/>
    <w:rsid w:val="00387503"/>
    <w:rsid w:val="00387520"/>
    <w:rsid w:val="00390E6C"/>
    <w:rsid w:val="0039172E"/>
    <w:rsid w:val="00391DB7"/>
    <w:rsid w:val="00392791"/>
    <w:rsid w:val="00392AA1"/>
    <w:rsid w:val="0039309E"/>
    <w:rsid w:val="00393C62"/>
    <w:rsid w:val="00393E58"/>
    <w:rsid w:val="00393FFE"/>
    <w:rsid w:val="003941C9"/>
    <w:rsid w:val="003944C7"/>
    <w:rsid w:val="003947CF"/>
    <w:rsid w:val="00394B65"/>
    <w:rsid w:val="003951CC"/>
    <w:rsid w:val="00395612"/>
    <w:rsid w:val="00395754"/>
    <w:rsid w:val="003957F2"/>
    <w:rsid w:val="00395A7A"/>
    <w:rsid w:val="00395AFE"/>
    <w:rsid w:val="00395EBB"/>
    <w:rsid w:val="00396D1A"/>
    <w:rsid w:val="003970A7"/>
    <w:rsid w:val="00397909"/>
    <w:rsid w:val="00397D1A"/>
    <w:rsid w:val="003A011E"/>
    <w:rsid w:val="003A0C74"/>
    <w:rsid w:val="003A12FD"/>
    <w:rsid w:val="003A13BB"/>
    <w:rsid w:val="003A2106"/>
    <w:rsid w:val="003A24E2"/>
    <w:rsid w:val="003A27B2"/>
    <w:rsid w:val="003A2992"/>
    <w:rsid w:val="003A2EF8"/>
    <w:rsid w:val="003A30E9"/>
    <w:rsid w:val="003A326F"/>
    <w:rsid w:val="003A342A"/>
    <w:rsid w:val="003A3728"/>
    <w:rsid w:val="003A3FB3"/>
    <w:rsid w:val="003A456E"/>
    <w:rsid w:val="003A4B51"/>
    <w:rsid w:val="003A5904"/>
    <w:rsid w:val="003A5C34"/>
    <w:rsid w:val="003A62DB"/>
    <w:rsid w:val="003A656D"/>
    <w:rsid w:val="003A6934"/>
    <w:rsid w:val="003A6B1B"/>
    <w:rsid w:val="003A6FA2"/>
    <w:rsid w:val="003A7263"/>
    <w:rsid w:val="003B1332"/>
    <w:rsid w:val="003B1FA4"/>
    <w:rsid w:val="003B22E9"/>
    <w:rsid w:val="003B2550"/>
    <w:rsid w:val="003B25A4"/>
    <w:rsid w:val="003B2BD3"/>
    <w:rsid w:val="003B3297"/>
    <w:rsid w:val="003B3482"/>
    <w:rsid w:val="003B37C1"/>
    <w:rsid w:val="003B3A2A"/>
    <w:rsid w:val="003B3F76"/>
    <w:rsid w:val="003B3FCC"/>
    <w:rsid w:val="003B43E0"/>
    <w:rsid w:val="003B4932"/>
    <w:rsid w:val="003B4F2D"/>
    <w:rsid w:val="003B5758"/>
    <w:rsid w:val="003B5D16"/>
    <w:rsid w:val="003B6FFA"/>
    <w:rsid w:val="003B714B"/>
    <w:rsid w:val="003B73F6"/>
    <w:rsid w:val="003B7549"/>
    <w:rsid w:val="003C1D54"/>
    <w:rsid w:val="003C1E1E"/>
    <w:rsid w:val="003C1FC2"/>
    <w:rsid w:val="003C2144"/>
    <w:rsid w:val="003C23EC"/>
    <w:rsid w:val="003C25D0"/>
    <w:rsid w:val="003C3B30"/>
    <w:rsid w:val="003C3E6A"/>
    <w:rsid w:val="003C4B57"/>
    <w:rsid w:val="003C4F4F"/>
    <w:rsid w:val="003C500C"/>
    <w:rsid w:val="003C53F1"/>
    <w:rsid w:val="003C5F8C"/>
    <w:rsid w:val="003C6FDC"/>
    <w:rsid w:val="003C7785"/>
    <w:rsid w:val="003D001C"/>
    <w:rsid w:val="003D0421"/>
    <w:rsid w:val="003D06F5"/>
    <w:rsid w:val="003D07A8"/>
    <w:rsid w:val="003D0D3F"/>
    <w:rsid w:val="003D1188"/>
    <w:rsid w:val="003D15E7"/>
    <w:rsid w:val="003D1AAE"/>
    <w:rsid w:val="003D2239"/>
    <w:rsid w:val="003D29D8"/>
    <w:rsid w:val="003D2AE9"/>
    <w:rsid w:val="003D30CE"/>
    <w:rsid w:val="003D3C2D"/>
    <w:rsid w:val="003D40D5"/>
    <w:rsid w:val="003D413E"/>
    <w:rsid w:val="003D469A"/>
    <w:rsid w:val="003D53F7"/>
    <w:rsid w:val="003D5552"/>
    <w:rsid w:val="003D57F0"/>
    <w:rsid w:val="003D5BA4"/>
    <w:rsid w:val="003D5F60"/>
    <w:rsid w:val="003D63A3"/>
    <w:rsid w:val="003D65F0"/>
    <w:rsid w:val="003D7129"/>
    <w:rsid w:val="003D7200"/>
    <w:rsid w:val="003D737F"/>
    <w:rsid w:val="003D76C9"/>
    <w:rsid w:val="003D7757"/>
    <w:rsid w:val="003D7856"/>
    <w:rsid w:val="003D7E78"/>
    <w:rsid w:val="003E0168"/>
    <w:rsid w:val="003E0336"/>
    <w:rsid w:val="003E0889"/>
    <w:rsid w:val="003E0E9F"/>
    <w:rsid w:val="003E11EA"/>
    <w:rsid w:val="003E1425"/>
    <w:rsid w:val="003E1557"/>
    <w:rsid w:val="003E1F71"/>
    <w:rsid w:val="003E1FF9"/>
    <w:rsid w:val="003E214A"/>
    <w:rsid w:val="003E2231"/>
    <w:rsid w:val="003E2273"/>
    <w:rsid w:val="003E255E"/>
    <w:rsid w:val="003E2978"/>
    <w:rsid w:val="003E315A"/>
    <w:rsid w:val="003E383E"/>
    <w:rsid w:val="003E4093"/>
    <w:rsid w:val="003E4483"/>
    <w:rsid w:val="003E4DB8"/>
    <w:rsid w:val="003E4FFB"/>
    <w:rsid w:val="003E5000"/>
    <w:rsid w:val="003E570D"/>
    <w:rsid w:val="003E5A21"/>
    <w:rsid w:val="003E5E53"/>
    <w:rsid w:val="003E69FC"/>
    <w:rsid w:val="003E6AD5"/>
    <w:rsid w:val="003E6E0C"/>
    <w:rsid w:val="003E6FE4"/>
    <w:rsid w:val="003E7FE0"/>
    <w:rsid w:val="003F0370"/>
    <w:rsid w:val="003F08E7"/>
    <w:rsid w:val="003F09AB"/>
    <w:rsid w:val="003F0FF8"/>
    <w:rsid w:val="003F127C"/>
    <w:rsid w:val="003F230A"/>
    <w:rsid w:val="003F2490"/>
    <w:rsid w:val="003F2FD6"/>
    <w:rsid w:val="003F32C7"/>
    <w:rsid w:val="003F336C"/>
    <w:rsid w:val="003F3900"/>
    <w:rsid w:val="003F396E"/>
    <w:rsid w:val="003F42EA"/>
    <w:rsid w:val="003F4597"/>
    <w:rsid w:val="003F45D9"/>
    <w:rsid w:val="003F4A92"/>
    <w:rsid w:val="003F4DC2"/>
    <w:rsid w:val="003F5F8C"/>
    <w:rsid w:val="003F60F0"/>
    <w:rsid w:val="003F6395"/>
    <w:rsid w:val="003F6802"/>
    <w:rsid w:val="003F69DA"/>
    <w:rsid w:val="003F6A18"/>
    <w:rsid w:val="003F6ADD"/>
    <w:rsid w:val="003F71C5"/>
    <w:rsid w:val="003F7A52"/>
    <w:rsid w:val="004006C8"/>
    <w:rsid w:val="00400AA9"/>
    <w:rsid w:val="004010C2"/>
    <w:rsid w:val="00401857"/>
    <w:rsid w:val="0040192D"/>
    <w:rsid w:val="00401FEF"/>
    <w:rsid w:val="004022CD"/>
    <w:rsid w:val="00402542"/>
    <w:rsid w:val="004026D7"/>
    <w:rsid w:val="00402AC1"/>
    <w:rsid w:val="00403081"/>
    <w:rsid w:val="0040332A"/>
    <w:rsid w:val="00403474"/>
    <w:rsid w:val="00403F22"/>
    <w:rsid w:val="00404134"/>
    <w:rsid w:val="004043BA"/>
    <w:rsid w:val="0040446F"/>
    <w:rsid w:val="00404623"/>
    <w:rsid w:val="00404959"/>
    <w:rsid w:val="004055B8"/>
    <w:rsid w:val="00405671"/>
    <w:rsid w:val="00405C2B"/>
    <w:rsid w:val="00405E06"/>
    <w:rsid w:val="00405E62"/>
    <w:rsid w:val="004062E5"/>
    <w:rsid w:val="004063BA"/>
    <w:rsid w:val="004068FF"/>
    <w:rsid w:val="004070C1"/>
    <w:rsid w:val="004109A9"/>
    <w:rsid w:val="0041110A"/>
    <w:rsid w:val="0041119C"/>
    <w:rsid w:val="004111C5"/>
    <w:rsid w:val="00411502"/>
    <w:rsid w:val="00412E0D"/>
    <w:rsid w:val="004130E1"/>
    <w:rsid w:val="00413B24"/>
    <w:rsid w:val="00413D6D"/>
    <w:rsid w:val="00414446"/>
    <w:rsid w:val="004156F9"/>
    <w:rsid w:val="0041589E"/>
    <w:rsid w:val="00415B13"/>
    <w:rsid w:val="00415B54"/>
    <w:rsid w:val="00415CEA"/>
    <w:rsid w:val="00415DA6"/>
    <w:rsid w:val="0041624B"/>
    <w:rsid w:val="004165C0"/>
    <w:rsid w:val="004173DA"/>
    <w:rsid w:val="00417E18"/>
    <w:rsid w:val="00420DCF"/>
    <w:rsid w:val="00420FA3"/>
    <w:rsid w:val="00420FD3"/>
    <w:rsid w:val="004211EF"/>
    <w:rsid w:val="004218D8"/>
    <w:rsid w:val="00421E47"/>
    <w:rsid w:val="004228CC"/>
    <w:rsid w:val="004232C9"/>
    <w:rsid w:val="00423A8E"/>
    <w:rsid w:val="004240AD"/>
    <w:rsid w:val="004246F8"/>
    <w:rsid w:val="0042472C"/>
    <w:rsid w:val="00424D9D"/>
    <w:rsid w:val="00425728"/>
    <w:rsid w:val="00425895"/>
    <w:rsid w:val="0042599E"/>
    <w:rsid w:val="00425C3E"/>
    <w:rsid w:val="0042708E"/>
    <w:rsid w:val="004273AE"/>
    <w:rsid w:val="004277D4"/>
    <w:rsid w:val="00430A3C"/>
    <w:rsid w:val="004310EF"/>
    <w:rsid w:val="00431139"/>
    <w:rsid w:val="00431795"/>
    <w:rsid w:val="00431E52"/>
    <w:rsid w:val="00431E9B"/>
    <w:rsid w:val="00431F3B"/>
    <w:rsid w:val="004325EF"/>
    <w:rsid w:val="004326D6"/>
    <w:rsid w:val="0043288A"/>
    <w:rsid w:val="00432E0C"/>
    <w:rsid w:val="00433281"/>
    <w:rsid w:val="0043389B"/>
    <w:rsid w:val="00433A05"/>
    <w:rsid w:val="00433A4E"/>
    <w:rsid w:val="00433D24"/>
    <w:rsid w:val="00433ECD"/>
    <w:rsid w:val="0043415B"/>
    <w:rsid w:val="00434615"/>
    <w:rsid w:val="00434719"/>
    <w:rsid w:val="0043563E"/>
    <w:rsid w:val="00435926"/>
    <w:rsid w:val="00435B52"/>
    <w:rsid w:val="00435C20"/>
    <w:rsid w:val="00435F56"/>
    <w:rsid w:val="00436C67"/>
    <w:rsid w:val="00437DF8"/>
    <w:rsid w:val="00440062"/>
    <w:rsid w:val="00441316"/>
    <w:rsid w:val="0044146C"/>
    <w:rsid w:val="00441B95"/>
    <w:rsid w:val="00441C6F"/>
    <w:rsid w:val="00442192"/>
    <w:rsid w:val="004421BE"/>
    <w:rsid w:val="00442AC3"/>
    <w:rsid w:val="00442E3A"/>
    <w:rsid w:val="00442EF9"/>
    <w:rsid w:val="00442FC0"/>
    <w:rsid w:val="00443A3F"/>
    <w:rsid w:val="0044479E"/>
    <w:rsid w:val="00444B3E"/>
    <w:rsid w:val="00444C62"/>
    <w:rsid w:val="00444FD7"/>
    <w:rsid w:val="00444FEB"/>
    <w:rsid w:val="0044515D"/>
    <w:rsid w:val="00445A15"/>
    <w:rsid w:val="0044622F"/>
    <w:rsid w:val="00446546"/>
    <w:rsid w:val="004466E0"/>
    <w:rsid w:val="0044747B"/>
    <w:rsid w:val="00447C22"/>
    <w:rsid w:val="00447E5D"/>
    <w:rsid w:val="00447F91"/>
    <w:rsid w:val="004504FB"/>
    <w:rsid w:val="00450651"/>
    <w:rsid w:val="00450EC3"/>
    <w:rsid w:val="0045100F"/>
    <w:rsid w:val="00451666"/>
    <w:rsid w:val="00451D2F"/>
    <w:rsid w:val="00452523"/>
    <w:rsid w:val="004528CD"/>
    <w:rsid w:val="00452C05"/>
    <w:rsid w:val="00453A6E"/>
    <w:rsid w:val="00453FC9"/>
    <w:rsid w:val="004543CD"/>
    <w:rsid w:val="00454507"/>
    <w:rsid w:val="00454520"/>
    <w:rsid w:val="00454B5C"/>
    <w:rsid w:val="004554E5"/>
    <w:rsid w:val="0045554E"/>
    <w:rsid w:val="00455D02"/>
    <w:rsid w:val="0045611F"/>
    <w:rsid w:val="004566E6"/>
    <w:rsid w:val="00456C90"/>
    <w:rsid w:val="00457095"/>
    <w:rsid w:val="0045742A"/>
    <w:rsid w:val="004574CA"/>
    <w:rsid w:val="004578AC"/>
    <w:rsid w:val="00460321"/>
    <w:rsid w:val="004604A0"/>
    <w:rsid w:val="00460BCF"/>
    <w:rsid w:val="0046122A"/>
    <w:rsid w:val="00461C86"/>
    <w:rsid w:val="004625E6"/>
    <w:rsid w:val="0046298E"/>
    <w:rsid w:val="0046301F"/>
    <w:rsid w:val="004636DA"/>
    <w:rsid w:val="00463DD3"/>
    <w:rsid w:val="00463F67"/>
    <w:rsid w:val="0046402B"/>
    <w:rsid w:val="004641A2"/>
    <w:rsid w:val="00464531"/>
    <w:rsid w:val="00464764"/>
    <w:rsid w:val="00464BC4"/>
    <w:rsid w:val="00464D1A"/>
    <w:rsid w:val="00465194"/>
    <w:rsid w:val="004653AF"/>
    <w:rsid w:val="004659A0"/>
    <w:rsid w:val="00465DFC"/>
    <w:rsid w:val="004662BE"/>
    <w:rsid w:val="00466B4C"/>
    <w:rsid w:val="00466F16"/>
    <w:rsid w:val="00467468"/>
    <w:rsid w:val="00467919"/>
    <w:rsid w:val="00467CCB"/>
    <w:rsid w:val="004707EA"/>
    <w:rsid w:val="00470AB7"/>
    <w:rsid w:val="0047129B"/>
    <w:rsid w:val="004716F5"/>
    <w:rsid w:val="00471A93"/>
    <w:rsid w:val="00471D1E"/>
    <w:rsid w:val="00471DDC"/>
    <w:rsid w:val="004735CA"/>
    <w:rsid w:val="0047402B"/>
    <w:rsid w:val="00474110"/>
    <w:rsid w:val="004748CF"/>
    <w:rsid w:val="0047494F"/>
    <w:rsid w:val="004749D3"/>
    <w:rsid w:val="00474B4C"/>
    <w:rsid w:val="00474D71"/>
    <w:rsid w:val="004750D4"/>
    <w:rsid w:val="00475495"/>
    <w:rsid w:val="004754F6"/>
    <w:rsid w:val="00475D13"/>
    <w:rsid w:val="00475F85"/>
    <w:rsid w:val="0047621E"/>
    <w:rsid w:val="00476469"/>
    <w:rsid w:val="00476A0C"/>
    <w:rsid w:val="00476ACD"/>
    <w:rsid w:val="00476F22"/>
    <w:rsid w:val="00477688"/>
    <w:rsid w:val="004778B1"/>
    <w:rsid w:val="00477A6B"/>
    <w:rsid w:val="00477EAA"/>
    <w:rsid w:val="00477F44"/>
    <w:rsid w:val="004802C7"/>
    <w:rsid w:val="0048054C"/>
    <w:rsid w:val="0048065E"/>
    <w:rsid w:val="00480692"/>
    <w:rsid w:val="00481440"/>
    <w:rsid w:val="00481660"/>
    <w:rsid w:val="00481836"/>
    <w:rsid w:val="00481BA2"/>
    <w:rsid w:val="00482D78"/>
    <w:rsid w:val="00483355"/>
    <w:rsid w:val="00483960"/>
    <w:rsid w:val="004847DC"/>
    <w:rsid w:val="0048499B"/>
    <w:rsid w:val="004849E6"/>
    <w:rsid w:val="00484AE4"/>
    <w:rsid w:val="00484DB7"/>
    <w:rsid w:val="004853B5"/>
    <w:rsid w:val="00485530"/>
    <w:rsid w:val="00485D15"/>
    <w:rsid w:val="00485DB1"/>
    <w:rsid w:val="00485E6C"/>
    <w:rsid w:val="004860BF"/>
    <w:rsid w:val="00486213"/>
    <w:rsid w:val="00486272"/>
    <w:rsid w:val="00487425"/>
    <w:rsid w:val="004876B0"/>
    <w:rsid w:val="0049044A"/>
    <w:rsid w:val="00490A08"/>
    <w:rsid w:val="00490BC9"/>
    <w:rsid w:val="00491986"/>
    <w:rsid w:val="00491A4A"/>
    <w:rsid w:val="004924F5"/>
    <w:rsid w:val="00492580"/>
    <w:rsid w:val="0049317F"/>
    <w:rsid w:val="0049371D"/>
    <w:rsid w:val="00494327"/>
    <w:rsid w:val="00494E98"/>
    <w:rsid w:val="0049512F"/>
    <w:rsid w:val="00495306"/>
    <w:rsid w:val="004955AD"/>
    <w:rsid w:val="00495870"/>
    <w:rsid w:val="00495DBE"/>
    <w:rsid w:val="004960C5"/>
    <w:rsid w:val="004962ED"/>
    <w:rsid w:val="00496FF9"/>
    <w:rsid w:val="0049709A"/>
    <w:rsid w:val="004973DB"/>
    <w:rsid w:val="00497584"/>
    <w:rsid w:val="00497BCD"/>
    <w:rsid w:val="00497E14"/>
    <w:rsid w:val="004A0015"/>
    <w:rsid w:val="004A0703"/>
    <w:rsid w:val="004A0890"/>
    <w:rsid w:val="004A099B"/>
    <w:rsid w:val="004A0E06"/>
    <w:rsid w:val="004A0F6D"/>
    <w:rsid w:val="004A1259"/>
    <w:rsid w:val="004A1569"/>
    <w:rsid w:val="004A1775"/>
    <w:rsid w:val="004A1CBC"/>
    <w:rsid w:val="004A1CBF"/>
    <w:rsid w:val="004A2338"/>
    <w:rsid w:val="004A2483"/>
    <w:rsid w:val="004A26DD"/>
    <w:rsid w:val="004A2A24"/>
    <w:rsid w:val="004A30F5"/>
    <w:rsid w:val="004A33EF"/>
    <w:rsid w:val="004A3C30"/>
    <w:rsid w:val="004A42BF"/>
    <w:rsid w:val="004A4C27"/>
    <w:rsid w:val="004A4D21"/>
    <w:rsid w:val="004A5452"/>
    <w:rsid w:val="004A557B"/>
    <w:rsid w:val="004A5656"/>
    <w:rsid w:val="004A626F"/>
    <w:rsid w:val="004A639C"/>
    <w:rsid w:val="004A6626"/>
    <w:rsid w:val="004A6D62"/>
    <w:rsid w:val="004A6EEE"/>
    <w:rsid w:val="004A7053"/>
    <w:rsid w:val="004A7C2C"/>
    <w:rsid w:val="004A7F0A"/>
    <w:rsid w:val="004B0609"/>
    <w:rsid w:val="004B111D"/>
    <w:rsid w:val="004B20D1"/>
    <w:rsid w:val="004B226A"/>
    <w:rsid w:val="004B25E2"/>
    <w:rsid w:val="004B25E8"/>
    <w:rsid w:val="004B2783"/>
    <w:rsid w:val="004B2A56"/>
    <w:rsid w:val="004B2D5F"/>
    <w:rsid w:val="004B2F19"/>
    <w:rsid w:val="004B36E7"/>
    <w:rsid w:val="004B39FA"/>
    <w:rsid w:val="004B42CC"/>
    <w:rsid w:val="004B438B"/>
    <w:rsid w:val="004B4A8C"/>
    <w:rsid w:val="004B533A"/>
    <w:rsid w:val="004B5623"/>
    <w:rsid w:val="004B5C60"/>
    <w:rsid w:val="004B67EA"/>
    <w:rsid w:val="004B6E1F"/>
    <w:rsid w:val="004B6FF6"/>
    <w:rsid w:val="004C1121"/>
    <w:rsid w:val="004C1619"/>
    <w:rsid w:val="004C182C"/>
    <w:rsid w:val="004C1AF2"/>
    <w:rsid w:val="004C1B3A"/>
    <w:rsid w:val="004C287D"/>
    <w:rsid w:val="004C2B86"/>
    <w:rsid w:val="004C2D95"/>
    <w:rsid w:val="004C3039"/>
    <w:rsid w:val="004C3147"/>
    <w:rsid w:val="004C315F"/>
    <w:rsid w:val="004C376D"/>
    <w:rsid w:val="004C3DC1"/>
    <w:rsid w:val="004C412D"/>
    <w:rsid w:val="004C4576"/>
    <w:rsid w:val="004C4F9F"/>
    <w:rsid w:val="004C657B"/>
    <w:rsid w:val="004C6DF5"/>
    <w:rsid w:val="004C728C"/>
    <w:rsid w:val="004C7429"/>
    <w:rsid w:val="004C7768"/>
    <w:rsid w:val="004D00E2"/>
    <w:rsid w:val="004D0433"/>
    <w:rsid w:val="004D0873"/>
    <w:rsid w:val="004D0C39"/>
    <w:rsid w:val="004D0D46"/>
    <w:rsid w:val="004D14E7"/>
    <w:rsid w:val="004D1B79"/>
    <w:rsid w:val="004D26B2"/>
    <w:rsid w:val="004D2B1D"/>
    <w:rsid w:val="004D2E45"/>
    <w:rsid w:val="004D3D41"/>
    <w:rsid w:val="004D446B"/>
    <w:rsid w:val="004D577D"/>
    <w:rsid w:val="004D5E87"/>
    <w:rsid w:val="004D5F44"/>
    <w:rsid w:val="004D68CC"/>
    <w:rsid w:val="004D747E"/>
    <w:rsid w:val="004D7F6E"/>
    <w:rsid w:val="004E0623"/>
    <w:rsid w:val="004E0A43"/>
    <w:rsid w:val="004E0B36"/>
    <w:rsid w:val="004E0EB0"/>
    <w:rsid w:val="004E101C"/>
    <w:rsid w:val="004E1274"/>
    <w:rsid w:val="004E13C6"/>
    <w:rsid w:val="004E14DF"/>
    <w:rsid w:val="004E1590"/>
    <w:rsid w:val="004E1738"/>
    <w:rsid w:val="004E1865"/>
    <w:rsid w:val="004E21B6"/>
    <w:rsid w:val="004E2919"/>
    <w:rsid w:val="004E2D83"/>
    <w:rsid w:val="004E3A1A"/>
    <w:rsid w:val="004E4D66"/>
    <w:rsid w:val="004E4F3B"/>
    <w:rsid w:val="004E54D1"/>
    <w:rsid w:val="004E5A08"/>
    <w:rsid w:val="004E5A8D"/>
    <w:rsid w:val="004E678D"/>
    <w:rsid w:val="004E6B39"/>
    <w:rsid w:val="004E6BFC"/>
    <w:rsid w:val="004E755D"/>
    <w:rsid w:val="004E7985"/>
    <w:rsid w:val="004F11F0"/>
    <w:rsid w:val="004F16C6"/>
    <w:rsid w:val="004F1988"/>
    <w:rsid w:val="004F1AE2"/>
    <w:rsid w:val="004F1F2E"/>
    <w:rsid w:val="004F204D"/>
    <w:rsid w:val="004F2BDA"/>
    <w:rsid w:val="004F2C21"/>
    <w:rsid w:val="004F3470"/>
    <w:rsid w:val="004F38B0"/>
    <w:rsid w:val="004F38D0"/>
    <w:rsid w:val="004F4518"/>
    <w:rsid w:val="004F5BEB"/>
    <w:rsid w:val="004F684D"/>
    <w:rsid w:val="004F6A46"/>
    <w:rsid w:val="004F7D70"/>
    <w:rsid w:val="004F7EAA"/>
    <w:rsid w:val="00501300"/>
    <w:rsid w:val="0050143E"/>
    <w:rsid w:val="00501B87"/>
    <w:rsid w:val="00502722"/>
    <w:rsid w:val="00502852"/>
    <w:rsid w:val="0050340E"/>
    <w:rsid w:val="0050354F"/>
    <w:rsid w:val="00503E99"/>
    <w:rsid w:val="005040B1"/>
    <w:rsid w:val="0050492C"/>
    <w:rsid w:val="00504B0B"/>
    <w:rsid w:val="00506232"/>
    <w:rsid w:val="00506A8E"/>
    <w:rsid w:val="00506B82"/>
    <w:rsid w:val="00507922"/>
    <w:rsid w:val="00507C30"/>
    <w:rsid w:val="00507C59"/>
    <w:rsid w:val="0051027C"/>
    <w:rsid w:val="005102F7"/>
    <w:rsid w:val="005104AC"/>
    <w:rsid w:val="005105AF"/>
    <w:rsid w:val="00510707"/>
    <w:rsid w:val="00511569"/>
    <w:rsid w:val="00511AA3"/>
    <w:rsid w:val="005122A8"/>
    <w:rsid w:val="0051250D"/>
    <w:rsid w:val="0051256B"/>
    <w:rsid w:val="00512BDE"/>
    <w:rsid w:val="005131CD"/>
    <w:rsid w:val="00514230"/>
    <w:rsid w:val="00515068"/>
    <w:rsid w:val="0051626C"/>
    <w:rsid w:val="0051653A"/>
    <w:rsid w:val="00517654"/>
    <w:rsid w:val="00520ACC"/>
    <w:rsid w:val="00520B54"/>
    <w:rsid w:val="00520CE9"/>
    <w:rsid w:val="00521340"/>
    <w:rsid w:val="00521419"/>
    <w:rsid w:val="0052164C"/>
    <w:rsid w:val="00521A27"/>
    <w:rsid w:val="00521CF9"/>
    <w:rsid w:val="00521FE2"/>
    <w:rsid w:val="0052256F"/>
    <w:rsid w:val="0052295B"/>
    <w:rsid w:val="00523AF4"/>
    <w:rsid w:val="00523FC8"/>
    <w:rsid w:val="005244AC"/>
    <w:rsid w:val="0052457A"/>
    <w:rsid w:val="005250F7"/>
    <w:rsid w:val="00525283"/>
    <w:rsid w:val="00525FCF"/>
    <w:rsid w:val="00527715"/>
    <w:rsid w:val="00527E88"/>
    <w:rsid w:val="0053000B"/>
    <w:rsid w:val="005300EC"/>
    <w:rsid w:val="00530203"/>
    <w:rsid w:val="00530671"/>
    <w:rsid w:val="005311D1"/>
    <w:rsid w:val="00531A8C"/>
    <w:rsid w:val="00531BB7"/>
    <w:rsid w:val="00531D84"/>
    <w:rsid w:val="005331A5"/>
    <w:rsid w:val="00533267"/>
    <w:rsid w:val="00533911"/>
    <w:rsid w:val="00533DA2"/>
    <w:rsid w:val="0053477E"/>
    <w:rsid w:val="005347A0"/>
    <w:rsid w:val="00534F80"/>
    <w:rsid w:val="00535170"/>
    <w:rsid w:val="00535A11"/>
    <w:rsid w:val="00535E97"/>
    <w:rsid w:val="00536954"/>
    <w:rsid w:val="005369A1"/>
    <w:rsid w:val="00536B47"/>
    <w:rsid w:val="0053771F"/>
    <w:rsid w:val="00540161"/>
    <w:rsid w:val="005418CF"/>
    <w:rsid w:val="00541ABD"/>
    <w:rsid w:val="0054221B"/>
    <w:rsid w:val="00542ECA"/>
    <w:rsid w:val="00543250"/>
    <w:rsid w:val="00543C6E"/>
    <w:rsid w:val="00543E19"/>
    <w:rsid w:val="00544AC1"/>
    <w:rsid w:val="00544ED8"/>
    <w:rsid w:val="00545A48"/>
    <w:rsid w:val="00545C05"/>
    <w:rsid w:val="0054608A"/>
    <w:rsid w:val="005462E9"/>
    <w:rsid w:val="00546F9D"/>
    <w:rsid w:val="005470D0"/>
    <w:rsid w:val="005472ED"/>
    <w:rsid w:val="005477D2"/>
    <w:rsid w:val="00550BB6"/>
    <w:rsid w:val="00550CB8"/>
    <w:rsid w:val="005510DB"/>
    <w:rsid w:val="00551A1F"/>
    <w:rsid w:val="00552289"/>
    <w:rsid w:val="005527DB"/>
    <w:rsid w:val="00552D9D"/>
    <w:rsid w:val="0055319E"/>
    <w:rsid w:val="00553502"/>
    <w:rsid w:val="00554091"/>
    <w:rsid w:val="0055462F"/>
    <w:rsid w:val="00555043"/>
    <w:rsid w:val="00555097"/>
    <w:rsid w:val="0055516F"/>
    <w:rsid w:val="00555308"/>
    <w:rsid w:val="005557BA"/>
    <w:rsid w:val="00555C94"/>
    <w:rsid w:val="00556B24"/>
    <w:rsid w:val="005571DC"/>
    <w:rsid w:val="005573C1"/>
    <w:rsid w:val="005574F9"/>
    <w:rsid w:val="00557DDB"/>
    <w:rsid w:val="00560195"/>
    <w:rsid w:val="00560B28"/>
    <w:rsid w:val="00560CD1"/>
    <w:rsid w:val="00560E3C"/>
    <w:rsid w:val="0056115F"/>
    <w:rsid w:val="00561724"/>
    <w:rsid w:val="00561B3B"/>
    <w:rsid w:val="0056209B"/>
    <w:rsid w:val="0056267C"/>
    <w:rsid w:val="005626BD"/>
    <w:rsid w:val="00562CD6"/>
    <w:rsid w:val="005630A2"/>
    <w:rsid w:val="00563ADF"/>
    <w:rsid w:val="00563D3C"/>
    <w:rsid w:val="00563D56"/>
    <w:rsid w:val="0056413B"/>
    <w:rsid w:val="00564A34"/>
    <w:rsid w:val="00565246"/>
    <w:rsid w:val="00565A10"/>
    <w:rsid w:val="00565F10"/>
    <w:rsid w:val="00565F7A"/>
    <w:rsid w:val="00566820"/>
    <w:rsid w:val="0056685A"/>
    <w:rsid w:val="00566F00"/>
    <w:rsid w:val="00566F48"/>
    <w:rsid w:val="005670C8"/>
    <w:rsid w:val="00567885"/>
    <w:rsid w:val="00567C68"/>
    <w:rsid w:val="00567C8C"/>
    <w:rsid w:val="00567E91"/>
    <w:rsid w:val="005704CA"/>
    <w:rsid w:val="0057147F"/>
    <w:rsid w:val="00571815"/>
    <w:rsid w:val="005718DE"/>
    <w:rsid w:val="0057249C"/>
    <w:rsid w:val="00572672"/>
    <w:rsid w:val="005726E0"/>
    <w:rsid w:val="0057295E"/>
    <w:rsid w:val="005734AA"/>
    <w:rsid w:val="00573FFB"/>
    <w:rsid w:val="00574333"/>
    <w:rsid w:val="005743BB"/>
    <w:rsid w:val="00574C6C"/>
    <w:rsid w:val="005755EF"/>
    <w:rsid w:val="00575A6E"/>
    <w:rsid w:val="00576449"/>
    <w:rsid w:val="00576B85"/>
    <w:rsid w:val="00577003"/>
    <w:rsid w:val="0057752D"/>
    <w:rsid w:val="00577BF1"/>
    <w:rsid w:val="005802E8"/>
    <w:rsid w:val="0058037F"/>
    <w:rsid w:val="005804E7"/>
    <w:rsid w:val="00581D29"/>
    <w:rsid w:val="00581FC6"/>
    <w:rsid w:val="0058202B"/>
    <w:rsid w:val="0058263F"/>
    <w:rsid w:val="005828EE"/>
    <w:rsid w:val="00582CAE"/>
    <w:rsid w:val="0058360C"/>
    <w:rsid w:val="00583A51"/>
    <w:rsid w:val="00584684"/>
    <w:rsid w:val="00584955"/>
    <w:rsid w:val="0058515C"/>
    <w:rsid w:val="00585871"/>
    <w:rsid w:val="00585D7D"/>
    <w:rsid w:val="0058627E"/>
    <w:rsid w:val="00586389"/>
    <w:rsid w:val="005865E2"/>
    <w:rsid w:val="00586DC2"/>
    <w:rsid w:val="00586DE5"/>
    <w:rsid w:val="00586EAB"/>
    <w:rsid w:val="005870DD"/>
    <w:rsid w:val="00587844"/>
    <w:rsid w:val="005878C3"/>
    <w:rsid w:val="00590733"/>
    <w:rsid w:val="00590B18"/>
    <w:rsid w:val="00590BDB"/>
    <w:rsid w:val="005913DF"/>
    <w:rsid w:val="00591E32"/>
    <w:rsid w:val="0059337D"/>
    <w:rsid w:val="005935FF"/>
    <w:rsid w:val="00593FED"/>
    <w:rsid w:val="005940CB"/>
    <w:rsid w:val="00594D30"/>
    <w:rsid w:val="005950D8"/>
    <w:rsid w:val="0059511E"/>
    <w:rsid w:val="0059533C"/>
    <w:rsid w:val="005954A7"/>
    <w:rsid w:val="005963B8"/>
    <w:rsid w:val="00596772"/>
    <w:rsid w:val="00596B02"/>
    <w:rsid w:val="00597363"/>
    <w:rsid w:val="0059798D"/>
    <w:rsid w:val="00597C2B"/>
    <w:rsid w:val="005A0291"/>
    <w:rsid w:val="005A0479"/>
    <w:rsid w:val="005A056D"/>
    <w:rsid w:val="005A096E"/>
    <w:rsid w:val="005A1644"/>
    <w:rsid w:val="005A1A5B"/>
    <w:rsid w:val="005A1E80"/>
    <w:rsid w:val="005A25FD"/>
    <w:rsid w:val="005A2738"/>
    <w:rsid w:val="005A2ACB"/>
    <w:rsid w:val="005A2F53"/>
    <w:rsid w:val="005A314D"/>
    <w:rsid w:val="005A32DD"/>
    <w:rsid w:val="005A37AD"/>
    <w:rsid w:val="005A3A3C"/>
    <w:rsid w:val="005A3D63"/>
    <w:rsid w:val="005A3E1E"/>
    <w:rsid w:val="005A3FF5"/>
    <w:rsid w:val="005A4926"/>
    <w:rsid w:val="005A56E3"/>
    <w:rsid w:val="005A597C"/>
    <w:rsid w:val="005A5F5E"/>
    <w:rsid w:val="005A611F"/>
    <w:rsid w:val="005A6607"/>
    <w:rsid w:val="005A6982"/>
    <w:rsid w:val="005A6A54"/>
    <w:rsid w:val="005A71E8"/>
    <w:rsid w:val="005A766E"/>
    <w:rsid w:val="005A7AB1"/>
    <w:rsid w:val="005A7E75"/>
    <w:rsid w:val="005B04AD"/>
    <w:rsid w:val="005B0573"/>
    <w:rsid w:val="005B0CAC"/>
    <w:rsid w:val="005B1267"/>
    <w:rsid w:val="005B1750"/>
    <w:rsid w:val="005B1D61"/>
    <w:rsid w:val="005B2238"/>
    <w:rsid w:val="005B2487"/>
    <w:rsid w:val="005B25A8"/>
    <w:rsid w:val="005B2780"/>
    <w:rsid w:val="005B2956"/>
    <w:rsid w:val="005B2AB9"/>
    <w:rsid w:val="005B3011"/>
    <w:rsid w:val="005B339F"/>
    <w:rsid w:val="005B3C27"/>
    <w:rsid w:val="005B4A7D"/>
    <w:rsid w:val="005B4DCC"/>
    <w:rsid w:val="005B5063"/>
    <w:rsid w:val="005B5158"/>
    <w:rsid w:val="005B626B"/>
    <w:rsid w:val="005B668C"/>
    <w:rsid w:val="005B68B6"/>
    <w:rsid w:val="005B69ED"/>
    <w:rsid w:val="005B6BA3"/>
    <w:rsid w:val="005B6BF3"/>
    <w:rsid w:val="005B73D6"/>
    <w:rsid w:val="005B7B44"/>
    <w:rsid w:val="005B7F59"/>
    <w:rsid w:val="005C01D2"/>
    <w:rsid w:val="005C07BB"/>
    <w:rsid w:val="005C08AA"/>
    <w:rsid w:val="005C0A9C"/>
    <w:rsid w:val="005C1C5B"/>
    <w:rsid w:val="005C22C5"/>
    <w:rsid w:val="005C3ABD"/>
    <w:rsid w:val="005C3AC8"/>
    <w:rsid w:val="005C494D"/>
    <w:rsid w:val="005C4C84"/>
    <w:rsid w:val="005C5350"/>
    <w:rsid w:val="005C53BC"/>
    <w:rsid w:val="005C53CF"/>
    <w:rsid w:val="005C5F88"/>
    <w:rsid w:val="005C68DE"/>
    <w:rsid w:val="005C6EF6"/>
    <w:rsid w:val="005C70BE"/>
    <w:rsid w:val="005C70DB"/>
    <w:rsid w:val="005C72B8"/>
    <w:rsid w:val="005C76CA"/>
    <w:rsid w:val="005C76DF"/>
    <w:rsid w:val="005C78B9"/>
    <w:rsid w:val="005C7959"/>
    <w:rsid w:val="005C7A73"/>
    <w:rsid w:val="005C7EE6"/>
    <w:rsid w:val="005D0C6A"/>
    <w:rsid w:val="005D1458"/>
    <w:rsid w:val="005D1672"/>
    <w:rsid w:val="005D2A02"/>
    <w:rsid w:val="005D2B24"/>
    <w:rsid w:val="005D332D"/>
    <w:rsid w:val="005D350D"/>
    <w:rsid w:val="005D3E04"/>
    <w:rsid w:val="005D3E3C"/>
    <w:rsid w:val="005D3FDC"/>
    <w:rsid w:val="005D4DA3"/>
    <w:rsid w:val="005D5558"/>
    <w:rsid w:val="005D5855"/>
    <w:rsid w:val="005D6DF3"/>
    <w:rsid w:val="005D7036"/>
    <w:rsid w:val="005D7041"/>
    <w:rsid w:val="005D7EE0"/>
    <w:rsid w:val="005E0AC8"/>
    <w:rsid w:val="005E12BE"/>
    <w:rsid w:val="005E16F3"/>
    <w:rsid w:val="005E245A"/>
    <w:rsid w:val="005E2B22"/>
    <w:rsid w:val="005E2FFC"/>
    <w:rsid w:val="005E33AD"/>
    <w:rsid w:val="005E3B02"/>
    <w:rsid w:val="005E3C27"/>
    <w:rsid w:val="005E3C46"/>
    <w:rsid w:val="005E3C8B"/>
    <w:rsid w:val="005E428D"/>
    <w:rsid w:val="005E5822"/>
    <w:rsid w:val="005E584D"/>
    <w:rsid w:val="005E62B7"/>
    <w:rsid w:val="005E6326"/>
    <w:rsid w:val="005E71C3"/>
    <w:rsid w:val="005E73D4"/>
    <w:rsid w:val="005E761C"/>
    <w:rsid w:val="005E7A73"/>
    <w:rsid w:val="005E7A76"/>
    <w:rsid w:val="005F088D"/>
    <w:rsid w:val="005F08F7"/>
    <w:rsid w:val="005F0BC8"/>
    <w:rsid w:val="005F0C38"/>
    <w:rsid w:val="005F0FD6"/>
    <w:rsid w:val="005F1241"/>
    <w:rsid w:val="005F1992"/>
    <w:rsid w:val="005F1B71"/>
    <w:rsid w:val="005F2164"/>
    <w:rsid w:val="005F2A23"/>
    <w:rsid w:val="005F2EA6"/>
    <w:rsid w:val="005F3531"/>
    <w:rsid w:val="005F41A3"/>
    <w:rsid w:val="005F58A2"/>
    <w:rsid w:val="005F6301"/>
    <w:rsid w:val="005F63C4"/>
    <w:rsid w:val="005F71CC"/>
    <w:rsid w:val="005F72C7"/>
    <w:rsid w:val="0060020D"/>
    <w:rsid w:val="00600628"/>
    <w:rsid w:val="006006CE"/>
    <w:rsid w:val="00600816"/>
    <w:rsid w:val="00600EF8"/>
    <w:rsid w:val="00601089"/>
    <w:rsid w:val="006012A1"/>
    <w:rsid w:val="0060136A"/>
    <w:rsid w:val="00601790"/>
    <w:rsid w:val="0060187A"/>
    <w:rsid w:val="00601B45"/>
    <w:rsid w:val="006028AB"/>
    <w:rsid w:val="00602AEB"/>
    <w:rsid w:val="00602DBD"/>
    <w:rsid w:val="00603115"/>
    <w:rsid w:val="00603300"/>
    <w:rsid w:val="00603446"/>
    <w:rsid w:val="006035CB"/>
    <w:rsid w:val="00603D87"/>
    <w:rsid w:val="006049D7"/>
    <w:rsid w:val="006049FC"/>
    <w:rsid w:val="00604AD2"/>
    <w:rsid w:val="006050B9"/>
    <w:rsid w:val="0060553F"/>
    <w:rsid w:val="006057F5"/>
    <w:rsid w:val="00605D4B"/>
    <w:rsid w:val="0060668B"/>
    <w:rsid w:val="00606B19"/>
    <w:rsid w:val="00607C59"/>
    <w:rsid w:val="00607E31"/>
    <w:rsid w:val="0061005E"/>
    <w:rsid w:val="006104AF"/>
    <w:rsid w:val="00610B42"/>
    <w:rsid w:val="00611068"/>
    <w:rsid w:val="006121BB"/>
    <w:rsid w:val="006122A8"/>
    <w:rsid w:val="006128AF"/>
    <w:rsid w:val="00612AF9"/>
    <w:rsid w:val="00612C36"/>
    <w:rsid w:val="00612EA4"/>
    <w:rsid w:val="00612F6D"/>
    <w:rsid w:val="00612F83"/>
    <w:rsid w:val="00613551"/>
    <w:rsid w:val="00613BF8"/>
    <w:rsid w:val="006143EF"/>
    <w:rsid w:val="006149BD"/>
    <w:rsid w:val="0061534C"/>
    <w:rsid w:val="00615E2D"/>
    <w:rsid w:val="006160CB"/>
    <w:rsid w:val="00616B0B"/>
    <w:rsid w:val="00617108"/>
    <w:rsid w:val="006178A1"/>
    <w:rsid w:val="00617D5C"/>
    <w:rsid w:val="006203C0"/>
    <w:rsid w:val="0062078F"/>
    <w:rsid w:val="00620F31"/>
    <w:rsid w:val="006216EB"/>
    <w:rsid w:val="00621831"/>
    <w:rsid w:val="0062186A"/>
    <w:rsid w:val="00621AB5"/>
    <w:rsid w:val="00621AE0"/>
    <w:rsid w:val="00622984"/>
    <w:rsid w:val="00622F56"/>
    <w:rsid w:val="00623035"/>
    <w:rsid w:val="00623131"/>
    <w:rsid w:val="006235AB"/>
    <w:rsid w:val="00623CE6"/>
    <w:rsid w:val="0062469F"/>
    <w:rsid w:val="00624A0A"/>
    <w:rsid w:val="0062538A"/>
    <w:rsid w:val="00625F11"/>
    <w:rsid w:val="006273D7"/>
    <w:rsid w:val="006276D7"/>
    <w:rsid w:val="00627868"/>
    <w:rsid w:val="00631CCE"/>
    <w:rsid w:val="00632219"/>
    <w:rsid w:val="00632450"/>
    <w:rsid w:val="00632639"/>
    <w:rsid w:val="00632BD0"/>
    <w:rsid w:val="00632C04"/>
    <w:rsid w:val="00632D60"/>
    <w:rsid w:val="00632FB8"/>
    <w:rsid w:val="0063329F"/>
    <w:rsid w:val="00634583"/>
    <w:rsid w:val="00634E7E"/>
    <w:rsid w:val="00634E9E"/>
    <w:rsid w:val="00635647"/>
    <w:rsid w:val="00635F92"/>
    <w:rsid w:val="006364AE"/>
    <w:rsid w:val="00636CDB"/>
    <w:rsid w:val="00636DBA"/>
    <w:rsid w:val="00636E94"/>
    <w:rsid w:val="006373AC"/>
    <w:rsid w:val="00640610"/>
    <w:rsid w:val="00641B5A"/>
    <w:rsid w:val="00641EDE"/>
    <w:rsid w:val="006427E0"/>
    <w:rsid w:val="0064324C"/>
    <w:rsid w:val="006435A3"/>
    <w:rsid w:val="00645069"/>
    <w:rsid w:val="0064618F"/>
    <w:rsid w:val="00646E62"/>
    <w:rsid w:val="00647F32"/>
    <w:rsid w:val="006504D9"/>
    <w:rsid w:val="00650AD1"/>
    <w:rsid w:val="00650F01"/>
    <w:rsid w:val="00651104"/>
    <w:rsid w:val="00651997"/>
    <w:rsid w:val="00651A7F"/>
    <w:rsid w:val="00652CFB"/>
    <w:rsid w:val="0065334D"/>
    <w:rsid w:val="00653CD8"/>
    <w:rsid w:val="00653E60"/>
    <w:rsid w:val="00654201"/>
    <w:rsid w:val="006548C7"/>
    <w:rsid w:val="00654B7B"/>
    <w:rsid w:val="00654D5C"/>
    <w:rsid w:val="00654DA5"/>
    <w:rsid w:val="00655B5F"/>
    <w:rsid w:val="00655DE1"/>
    <w:rsid w:val="00655E2E"/>
    <w:rsid w:val="006561FA"/>
    <w:rsid w:val="00657610"/>
    <w:rsid w:val="006576D8"/>
    <w:rsid w:val="00657D56"/>
    <w:rsid w:val="00660077"/>
    <w:rsid w:val="0066073D"/>
    <w:rsid w:val="00661894"/>
    <w:rsid w:val="0066198E"/>
    <w:rsid w:val="00661B5D"/>
    <w:rsid w:val="0066214F"/>
    <w:rsid w:val="00662549"/>
    <w:rsid w:val="00662715"/>
    <w:rsid w:val="006629A9"/>
    <w:rsid w:val="00662D25"/>
    <w:rsid w:val="00662E6D"/>
    <w:rsid w:val="006635F1"/>
    <w:rsid w:val="00663CD4"/>
    <w:rsid w:val="0066414A"/>
    <w:rsid w:val="006643FD"/>
    <w:rsid w:val="00664D87"/>
    <w:rsid w:val="0066576E"/>
    <w:rsid w:val="006662ED"/>
    <w:rsid w:val="00667223"/>
    <w:rsid w:val="006674C9"/>
    <w:rsid w:val="0066764B"/>
    <w:rsid w:val="00667B73"/>
    <w:rsid w:val="00667BA1"/>
    <w:rsid w:val="00667EEF"/>
    <w:rsid w:val="006700BD"/>
    <w:rsid w:val="0067016B"/>
    <w:rsid w:val="006706EF"/>
    <w:rsid w:val="00670939"/>
    <w:rsid w:val="006720F0"/>
    <w:rsid w:val="00672A65"/>
    <w:rsid w:val="006737EA"/>
    <w:rsid w:val="0067394F"/>
    <w:rsid w:val="00673C18"/>
    <w:rsid w:val="00673CFB"/>
    <w:rsid w:val="006742F1"/>
    <w:rsid w:val="0067493A"/>
    <w:rsid w:val="006749DF"/>
    <w:rsid w:val="006751F7"/>
    <w:rsid w:val="00675696"/>
    <w:rsid w:val="006756A9"/>
    <w:rsid w:val="00675867"/>
    <w:rsid w:val="0067609B"/>
    <w:rsid w:val="00676900"/>
    <w:rsid w:val="00676985"/>
    <w:rsid w:val="006770D9"/>
    <w:rsid w:val="0067728D"/>
    <w:rsid w:val="006775E4"/>
    <w:rsid w:val="0067764C"/>
    <w:rsid w:val="00680194"/>
    <w:rsid w:val="006806CD"/>
    <w:rsid w:val="00680A27"/>
    <w:rsid w:val="00680C63"/>
    <w:rsid w:val="00680F75"/>
    <w:rsid w:val="006810DF"/>
    <w:rsid w:val="00681174"/>
    <w:rsid w:val="006817D9"/>
    <w:rsid w:val="006819EC"/>
    <w:rsid w:val="006820EA"/>
    <w:rsid w:val="00682620"/>
    <w:rsid w:val="00682684"/>
    <w:rsid w:val="00682914"/>
    <w:rsid w:val="006833B2"/>
    <w:rsid w:val="0068386E"/>
    <w:rsid w:val="00683B65"/>
    <w:rsid w:val="00684591"/>
    <w:rsid w:val="006845F7"/>
    <w:rsid w:val="006846DA"/>
    <w:rsid w:val="00685457"/>
    <w:rsid w:val="006855D7"/>
    <w:rsid w:val="00686797"/>
    <w:rsid w:val="006867B3"/>
    <w:rsid w:val="0068689C"/>
    <w:rsid w:val="00686AA4"/>
    <w:rsid w:val="006872CE"/>
    <w:rsid w:val="0068774F"/>
    <w:rsid w:val="006878D9"/>
    <w:rsid w:val="00687F04"/>
    <w:rsid w:val="0069096E"/>
    <w:rsid w:val="0069159E"/>
    <w:rsid w:val="0069254F"/>
    <w:rsid w:val="006926FE"/>
    <w:rsid w:val="00692843"/>
    <w:rsid w:val="00692C51"/>
    <w:rsid w:val="006933AA"/>
    <w:rsid w:val="00693B5B"/>
    <w:rsid w:val="00694090"/>
    <w:rsid w:val="00694F6D"/>
    <w:rsid w:val="006965AF"/>
    <w:rsid w:val="00696831"/>
    <w:rsid w:val="00696F70"/>
    <w:rsid w:val="00696F86"/>
    <w:rsid w:val="00697132"/>
    <w:rsid w:val="00697516"/>
    <w:rsid w:val="006978B7"/>
    <w:rsid w:val="00697B1C"/>
    <w:rsid w:val="006A0B48"/>
    <w:rsid w:val="006A147A"/>
    <w:rsid w:val="006A1D8D"/>
    <w:rsid w:val="006A1E90"/>
    <w:rsid w:val="006A20A8"/>
    <w:rsid w:val="006A260F"/>
    <w:rsid w:val="006A27C0"/>
    <w:rsid w:val="006A2C8E"/>
    <w:rsid w:val="006A2F54"/>
    <w:rsid w:val="006A3836"/>
    <w:rsid w:val="006A3A3B"/>
    <w:rsid w:val="006A3DAE"/>
    <w:rsid w:val="006A4FAF"/>
    <w:rsid w:val="006A55A9"/>
    <w:rsid w:val="006A613E"/>
    <w:rsid w:val="006A6417"/>
    <w:rsid w:val="006A73A7"/>
    <w:rsid w:val="006A7DE1"/>
    <w:rsid w:val="006B03F3"/>
    <w:rsid w:val="006B0475"/>
    <w:rsid w:val="006B0976"/>
    <w:rsid w:val="006B1255"/>
    <w:rsid w:val="006B18BD"/>
    <w:rsid w:val="006B1B9F"/>
    <w:rsid w:val="006B22FD"/>
    <w:rsid w:val="006B2D8B"/>
    <w:rsid w:val="006B40B5"/>
    <w:rsid w:val="006B41A6"/>
    <w:rsid w:val="006B4711"/>
    <w:rsid w:val="006B4898"/>
    <w:rsid w:val="006B4BCF"/>
    <w:rsid w:val="006B4D6A"/>
    <w:rsid w:val="006B5073"/>
    <w:rsid w:val="006B6027"/>
    <w:rsid w:val="006B6071"/>
    <w:rsid w:val="006B6836"/>
    <w:rsid w:val="006B75FF"/>
    <w:rsid w:val="006B762B"/>
    <w:rsid w:val="006B76ED"/>
    <w:rsid w:val="006C01CE"/>
    <w:rsid w:val="006C0277"/>
    <w:rsid w:val="006C046E"/>
    <w:rsid w:val="006C080E"/>
    <w:rsid w:val="006C1202"/>
    <w:rsid w:val="006C1434"/>
    <w:rsid w:val="006C1FAA"/>
    <w:rsid w:val="006C2173"/>
    <w:rsid w:val="006C29F1"/>
    <w:rsid w:val="006C2CB1"/>
    <w:rsid w:val="006C3559"/>
    <w:rsid w:val="006C3921"/>
    <w:rsid w:val="006C3B1D"/>
    <w:rsid w:val="006C4067"/>
    <w:rsid w:val="006C4112"/>
    <w:rsid w:val="006C48F0"/>
    <w:rsid w:val="006C49F0"/>
    <w:rsid w:val="006C5494"/>
    <w:rsid w:val="006C56DD"/>
    <w:rsid w:val="006C5869"/>
    <w:rsid w:val="006C5CC1"/>
    <w:rsid w:val="006C5D48"/>
    <w:rsid w:val="006C65B3"/>
    <w:rsid w:val="006C68D9"/>
    <w:rsid w:val="006C7198"/>
    <w:rsid w:val="006C74C0"/>
    <w:rsid w:val="006C7D46"/>
    <w:rsid w:val="006D00B7"/>
    <w:rsid w:val="006D0165"/>
    <w:rsid w:val="006D0401"/>
    <w:rsid w:val="006D0C27"/>
    <w:rsid w:val="006D0C32"/>
    <w:rsid w:val="006D0EF3"/>
    <w:rsid w:val="006D0FB7"/>
    <w:rsid w:val="006D1708"/>
    <w:rsid w:val="006D17B8"/>
    <w:rsid w:val="006D1CC6"/>
    <w:rsid w:val="006D1EDB"/>
    <w:rsid w:val="006D292A"/>
    <w:rsid w:val="006D29BA"/>
    <w:rsid w:val="006D2A2A"/>
    <w:rsid w:val="006D2B62"/>
    <w:rsid w:val="006D2C49"/>
    <w:rsid w:val="006D2EBA"/>
    <w:rsid w:val="006D30FB"/>
    <w:rsid w:val="006D313B"/>
    <w:rsid w:val="006D337A"/>
    <w:rsid w:val="006D34D0"/>
    <w:rsid w:val="006D4995"/>
    <w:rsid w:val="006D505D"/>
    <w:rsid w:val="006D584D"/>
    <w:rsid w:val="006D5C79"/>
    <w:rsid w:val="006D5EFE"/>
    <w:rsid w:val="006D5FE7"/>
    <w:rsid w:val="006D6622"/>
    <w:rsid w:val="006D7148"/>
    <w:rsid w:val="006D7E42"/>
    <w:rsid w:val="006D7F93"/>
    <w:rsid w:val="006E009B"/>
    <w:rsid w:val="006E02FA"/>
    <w:rsid w:val="006E04F7"/>
    <w:rsid w:val="006E089C"/>
    <w:rsid w:val="006E0952"/>
    <w:rsid w:val="006E09E7"/>
    <w:rsid w:val="006E0BF1"/>
    <w:rsid w:val="006E0C45"/>
    <w:rsid w:val="006E0D97"/>
    <w:rsid w:val="006E0E02"/>
    <w:rsid w:val="006E11DE"/>
    <w:rsid w:val="006E1601"/>
    <w:rsid w:val="006E17B7"/>
    <w:rsid w:val="006E2228"/>
    <w:rsid w:val="006E28C9"/>
    <w:rsid w:val="006E33D2"/>
    <w:rsid w:val="006E3403"/>
    <w:rsid w:val="006E3B4A"/>
    <w:rsid w:val="006E410A"/>
    <w:rsid w:val="006E4EBF"/>
    <w:rsid w:val="006E5957"/>
    <w:rsid w:val="006E5C2D"/>
    <w:rsid w:val="006E6423"/>
    <w:rsid w:val="006E660D"/>
    <w:rsid w:val="006F06C2"/>
    <w:rsid w:val="006F06E9"/>
    <w:rsid w:val="006F0EE2"/>
    <w:rsid w:val="006F162C"/>
    <w:rsid w:val="006F1C20"/>
    <w:rsid w:val="006F2112"/>
    <w:rsid w:val="006F2A7F"/>
    <w:rsid w:val="006F2BE5"/>
    <w:rsid w:val="006F2E8D"/>
    <w:rsid w:val="006F30DB"/>
    <w:rsid w:val="006F330A"/>
    <w:rsid w:val="006F3755"/>
    <w:rsid w:val="006F3B64"/>
    <w:rsid w:val="006F4532"/>
    <w:rsid w:val="006F4ED1"/>
    <w:rsid w:val="006F53C0"/>
    <w:rsid w:val="006F5892"/>
    <w:rsid w:val="006F5B97"/>
    <w:rsid w:val="006F5E90"/>
    <w:rsid w:val="006F6410"/>
    <w:rsid w:val="006F646B"/>
    <w:rsid w:val="006F6A71"/>
    <w:rsid w:val="006F7236"/>
    <w:rsid w:val="006F784A"/>
    <w:rsid w:val="006F7B02"/>
    <w:rsid w:val="0070139F"/>
    <w:rsid w:val="00701AFE"/>
    <w:rsid w:val="00702685"/>
    <w:rsid w:val="00702A3B"/>
    <w:rsid w:val="00702AB7"/>
    <w:rsid w:val="00702C02"/>
    <w:rsid w:val="00702FB8"/>
    <w:rsid w:val="007030CE"/>
    <w:rsid w:val="00703146"/>
    <w:rsid w:val="0070387F"/>
    <w:rsid w:val="00704356"/>
    <w:rsid w:val="007044D3"/>
    <w:rsid w:val="00704E0A"/>
    <w:rsid w:val="0070599F"/>
    <w:rsid w:val="00705B67"/>
    <w:rsid w:val="00705D69"/>
    <w:rsid w:val="00705E36"/>
    <w:rsid w:val="00707082"/>
    <w:rsid w:val="0070724D"/>
    <w:rsid w:val="007072ED"/>
    <w:rsid w:val="00707ADB"/>
    <w:rsid w:val="00710437"/>
    <w:rsid w:val="00710566"/>
    <w:rsid w:val="00710C9D"/>
    <w:rsid w:val="00710F26"/>
    <w:rsid w:val="007122AE"/>
    <w:rsid w:val="00712D7E"/>
    <w:rsid w:val="00712EFE"/>
    <w:rsid w:val="00713CF8"/>
    <w:rsid w:val="0071433A"/>
    <w:rsid w:val="00714E82"/>
    <w:rsid w:val="007150C2"/>
    <w:rsid w:val="00715F01"/>
    <w:rsid w:val="00716494"/>
    <w:rsid w:val="00716D92"/>
    <w:rsid w:val="00717427"/>
    <w:rsid w:val="007176DF"/>
    <w:rsid w:val="00717F73"/>
    <w:rsid w:val="00720A27"/>
    <w:rsid w:val="00720A49"/>
    <w:rsid w:val="00720CD5"/>
    <w:rsid w:val="00721192"/>
    <w:rsid w:val="00721489"/>
    <w:rsid w:val="00721564"/>
    <w:rsid w:val="00721649"/>
    <w:rsid w:val="007219A3"/>
    <w:rsid w:val="00722336"/>
    <w:rsid w:val="0072240D"/>
    <w:rsid w:val="007227E0"/>
    <w:rsid w:val="0072298D"/>
    <w:rsid w:val="00722A3A"/>
    <w:rsid w:val="00722C6B"/>
    <w:rsid w:val="007232FE"/>
    <w:rsid w:val="007236BD"/>
    <w:rsid w:val="00723FF3"/>
    <w:rsid w:val="0072464D"/>
    <w:rsid w:val="00724C58"/>
    <w:rsid w:val="00725328"/>
    <w:rsid w:val="00725842"/>
    <w:rsid w:val="00725CA7"/>
    <w:rsid w:val="007272EF"/>
    <w:rsid w:val="007276E6"/>
    <w:rsid w:val="007303D9"/>
    <w:rsid w:val="0073186A"/>
    <w:rsid w:val="00731BA7"/>
    <w:rsid w:val="007321BA"/>
    <w:rsid w:val="00732236"/>
    <w:rsid w:val="00732299"/>
    <w:rsid w:val="00732394"/>
    <w:rsid w:val="00732F3C"/>
    <w:rsid w:val="0073321A"/>
    <w:rsid w:val="007332CA"/>
    <w:rsid w:val="007336CD"/>
    <w:rsid w:val="007341A4"/>
    <w:rsid w:val="007344C7"/>
    <w:rsid w:val="0073473B"/>
    <w:rsid w:val="00734A1E"/>
    <w:rsid w:val="00734A68"/>
    <w:rsid w:val="00734ACE"/>
    <w:rsid w:val="007351D8"/>
    <w:rsid w:val="00735483"/>
    <w:rsid w:val="00735853"/>
    <w:rsid w:val="00735889"/>
    <w:rsid w:val="007365BB"/>
    <w:rsid w:val="00737162"/>
    <w:rsid w:val="00737CF2"/>
    <w:rsid w:val="00737FEF"/>
    <w:rsid w:val="00740169"/>
    <w:rsid w:val="0074117C"/>
    <w:rsid w:val="00741312"/>
    <w:rsid w:val="007417A3"/>
    <w:rsid w:val="007417EE"/>
    <w:rsid w:val="00741B0D"/>
    <w:rsid w:val="00742115"/>
    <w:rsid w:val="00742504"/>
    <w:rsid w:val="0074261E"/>
    <w:rsid w:val="007426EA"/>
    <w:rsid w:val="00742D78"/>
    <w:rsid w:val="00742FAF"/>
    <w:rsid w:val="007430E3"/>
    <w:rsid w:val="00743D7A"/>
    <w:rsid w:val="00743F6F"/>
    <w:rsid w:val="00744269"/>
    <w:rsid w:val="0074439B"/>
    <w:rsid w:val="00744F98"/>
    <w:rsid w:val="007459E2"/>
    <w:rsid w:val="00745AF6"/>
    <w:rsid w:val="0074737B"/>
    <w:rsid w:val="007474BA"/>
    <w:rsid w:val="007474E9"/>
    <w:rsid w:val="0074792A"/>
    <w:rsid w:val="0074799E"/>
    <w:rsid w:val="00747C66"/>
    <w:rsid w:val="00747ED6"/>
    <w:rsid w:val="0075040F"/>
    <w:rsid w:val="00750CB1"/>
    <w:rsid w:val="00751CCD"/>
    <w:rsid w:val="007520D4"/>
    <w:rsid w:val="007525B3"/>
    <w:rsid w:val="007529BE"/>
    <w:rsid w:val="0075328F"/>
    <w:rsid w:val="00753AC3"/>
    <w:rsid w:val="00753B2F"/>
    <w:rsid w:val="00753F7C"/>
    <w:rsid w:val="0075475A"/>
    <w:rsid w:val="00754BCE"/>
    <w:rsid w:val="00754D20"/>
    <w:rsid w:val="0075512F"/>
    <w:rsid w:val="00755CDE"/>
    <w:rsid w:val="007560A0"/>
    <w:rsid w:val="007561DF"/>
    <w:rsid w:val="00756253"/>
    <w:rsid w:val="0075674D"/>
    <w:rsid w:val="007569A4"/>
    <w:rsid w:val="00756F3B"/>
    <w:rsid w:val="00756FDD"/>
    <w:rsid w:val="00757DBB"/>
    <w:rsid w:val="007607B2"/>
    <w:rsid w:val="00760C73"/>
    <w:rsid w:val="00761040"/>
    <w:rsid w:val="00761AD5"/>
    <w:rsid w:val="00761CF1"/>
    <w:rsid w:val="00762842"/>
    <w:rsid w:val="00763469"/>
    <w:rsid w:val="0076399B"/>
    <w:rsid w:val="00763B58"/>
    <w:rsid w:val="00763DCB"/>
    <w:rsid w:val="00764371"/>
    <w:rsid w:val="00764B15"/>
    <w:rsid w:val="007660A2"/>
    <w:rsid w:val="00766320"/>
    <w:rsid w:val="00767BB0"/>
    <w:rsid w:val="00767BF9"/>
    <w:rsid w:val="00767E1E"/>
    <w:rsid w:val="00767EC8"/>
    <w:rsid w:val="00770464"/>
    <w:rsid w:val="00770C3B"/>
    <w:rsid w:val="00770E74"/>
    <w:rsid w:val="007714CD"/>
    <w:rsid w:val="00771710"/>
    <w:rsid w:val="00771B64"/>
    <w:rsid w:val="00771F3A"/>
    <w:rsid w:val="007721AB"/>
    <w:rsid w:val="00772335"/>
    <w:rsid w:val="007726C4"/>
    <w:rsid w:val="00772B72"/>
    <w:rsid w:val="00772CF4"/>
    <w:rsid w:val="00772E0A"/>
    <w:rsid w:val="0077335E"/>
    <w:rsid w:val="007733FB"/>
    <w:rsid w:val="00774734"/>
    <w:rsid w:val="007750F7"/>
    <w:rsid w:val="00775492"/>
    <w:rsid w:val="00775BE2"/>
    <w:rsid w:val="00775D46"/>
    <w:rsid w:val="00776547"/>
    <w:rsid w:val="00776695"/>
    <w:rsid w:val="00777755"/>
    <w:rsid w:val="00777BAC"/>
    <w:rsid w:val="007802BE"/>
    <w:rsid w:val="00780CB9"/>
    <w:rsid w:val="00780D78"/>
    <w:rsid w:val="00781662"/>
    <w:rsid w:val="00782310"/>
    <w:rsid w:val="007823C2"/>
    <w:rsid w:val="007828DB"/>
    <w:rsid w:val="00782942"/>
    <w:rsid w:val="00783392"/>
    <w:rsid w:val="00784BAA"/>
    <w:rsid w:val="00784E5E"/>
    <w:rsid w:val="00784F1F"/>
    <w:rsid w:val="007851BF"/>
    <w:rsid w:val="00785E3F"/>
    <w:rsid w:val="00786711"/>
    <w:rsid w:val="00787A4B"/>
    <w:rsid w:val="0079012B"/>
    <w:rsid w:val="007902DC"/>
    <w:rsid w:val="00790786"/>
    <w:rsid w:val="00790B79"/>
    <w:rsid w:val="00790CA3"/>
    <w:rsid w:val="00790D37"/>
    <w:rsid w:val="00791FC0"/>
    <w:rsid w:val="00792185"/>
    <w:rsid w:val="00792361"/>
    <w:rsid w:val="00792E00"/>
    <w:rsid w:val="00792FDA"/>
    <w:rsid w:val="0079326B"/>
    <w:rsid w:val="0079343F"/>
    <w:rsid w:val="007941C7"/>
    <w:rsid w:val="00794827"/>
    <w:rsid w:val="00794FD7"/>
    <w:rsid w:val="00795180"/>
    <w:rsid w:val="007954CD"/>
    <w:rsid w:val="00795662"/>
    <w:rsid w:val="00795C08"/>
    <w:rsid w:val="007961D2"/>
    <w:rsid w:val="0079708F"/>
    <w:rsid w:val="007970DA"/>
    <w:rsid w:val="00797C32"/>
    <w:rsid w:val="007A014B"/>
    <w:rsid w:val="007A0841"/>
    <w:rsid w:val="007A1294"/>
    <w:rsid w:val="007A16ED"/>
    <w:rsid w:val="007A1AB0"/>
    <w:rsid w:val="007A2A4C"/>
    <w:rsid w:val="007A2ADF"/>
    <w:rsid w:val="007A2C62"/>
    <w:rsid w:val="007A2E5B"/>
    <w:rsid w:val="007A30FB"/>
    <w:rsid w:val="007A38EE"/>
    <w:rsid w:val="007A3CE6"/>
    <w:rsid w:val="007A4B2F"/>
    <w:rsid w:val="007A4C0C"/>
    <w:rsid w:val="007A5820"/>
    <w:rsid w:val="007A5906"/>
    <w:rsid w:val="007A5CC5"/>
    <w:rsid w:val="007A5E97"/>
    <w:rsid w:val="007A708C"/>
    <w:rsid w:val="007A721F"/>
    <w:rsid w:val="007A7262"/>
    <w:rsid w:val="007B0349"/>
    <w:rsid w:val="007B073A"/>
    <w:rsid w:val="007B17A4"/>
    <w:rsid w:val="007B23B6"/>
    <w:rsid w:val="007B2C77"/>
    <w:rsid w:val="007B2D0A"/>
    <w:rsid w:val="007B2DE6"/>
    <w:rsid w:val="007B3993"/>
    <w:rsid w:val="007B3CF1"/>
    <w:rsid w:val="007B4B67"/>
    <w:rsid w:val="007B4C55"/>
    <w:rsid w:val="007B4CFB"/>
    <w:rsid w:val="007B4F42"/>
    <w:rsid w:val="007B5023"/>
    <w:rsid w:val="007B54B7"/>
    <w:rsid w:val="007B574A"/>
    <w:rsid w:val="007B5D8A"/>
    <w:rsid w:val="007B5E07"/>
    <w:rsid w:val="007B6036"/>
    <w:rsid w:val="007B647A"/>
    <w:rsid w:val="007B65D9"/>
    <w:rsid w:val="007B6ADD"/>
    <w:rsid w:val="007B7227"/>
    <w:rsid w:val="007B730A"/>
    <w:rsid w:val="007B74D5"/>
    <w:rsid w:val="007B75B6"/>
    <w:rsid w:val="007B76F3"/>
    <w:rsid w:val="007B78B6"/>
    <w:rsid w:val="007B7CE2"/>
    <w:rsid w:val="007C0B0A"/>
    <w:rsid w:val="007C0C1D"/>
    <w:rsid w:val="007C0C39"/>
    <w:rsid w:val="007C0E4C"/>
    <w:rsid w:val="007C22E9"/>
    <w:rsid w:val="007C2678"/>
    <w:rsid w:val="007C2E1E"/>
    <w:rsid w:val="007C2E58"/>
    <w:rsid w:val="007C3277"/>
    <w:rsid w:val="007C3612"/>
    <w:rsid w:val="007C36D2"/>
    <w:rsid w:val="007C3CDE"/>
    <w:rsid w:val="007C42A2"/>
    <w:rsid w:val="007C42B4"/>
    <w:rsid w:val="007C4493"/>
    <w:rsid w:val="007C45B3"/>
    <w:rsid w:val="007C4B73"/>
    <w:rsid w:val="007C53E0"/>
    <w:rsid w:val="007C5A55"/>
    <w:rsid w:val="007C5E59"/>
    <w:rsid w:val="007C5F1F"/>
    <w:rsid w:val="007C612B"/>
    <w:rsid w:val="007C7412"/>
    <w:rsid w:val="007C755C"/>
    <w:rsid w:val="007C757C"/>
    <w:rsid w:val="007C7BDB"/>
    <w:rsid w:val="007D09AE"/>
    <w:rsid w:val="007D0A71"/>
    <w:rsid w:val="007D0AC3"/>
    <w:rsid w:val="007D0E05"/>
    <w:rsid w:val="007D118D"/>
    <w:rsid w:val="007D136F"/>
    <w:rsid w:val="007D1403"/>
    <w:rsid w:val="007D2712"/>
    <w:rsid w:val="007D2B19"/>
    <w:rsid w:val="007D3150"/>
    <w:rsid w:val="007D3515"/>
    <w:rsid w:val="007D42BB"/>
    <w:rsid w:val="007D4620"/>
    <w:rsid w:val="007D46D7"/>
    <w:rsid w:val="007D4931"/>
    <w:rsid w:val="007D4D0B"/>
    <w:rsid w:val="007D54F4"/>
    <w:rsid w:val="007D586B"/>
    <w:rsid w:val="007D58D4"/>
    <w:rsid w:val="007D5F8E"/>
    <w:rsid w:val="007D6159"/>
    <w:rsid w:val="007D6832"/>
    <w:rsid w:val="007D6C87"/>
    <w:rsid w:val="007D7063"/>
    <w:rsid w:val="007D756D"/>
    <w:rsid w:val="007E0F51"/>
    <w:rsid w:val="007E1103"/>
    <w:rsid w:val="007E1534"/>
    <w:rsid w:val="007E18B9"/>
    <w:rsid w:val="007E1ECF"/>
    <w:rsid w:val="007E2007"/>
    <w:rsid w:val="007E2097"/>
    <w:rsid w:val="007E2517"/>
    <w:rsid w:val="007E263D"/>
    <w:rsid w:val="007E26A2"/>
    <w:rsid w:val="007E2984"/>
    <w:rsid w:val="007E2A7A"/>
    <w:rsid w:val="007E2C0E"/>
    <w:rsid w:val="007E351E"/>
    <w:rsid w:val="007E3A09"/>
    <w:rsid w:val="007E4118"/>
    <w:rsid w:val="007E4136"/>
    <w:rsid w:val="007E41B7"/>
    <w:rsid w:val="007E487B"/>
    <w:rsid w:val="007E54B6"/>
    <w:rsid w:val="007E58BF"/>
    <w:rsid w:val="007E6444"/>
    <w:rsid w:val="007E64D8"/>
    <w:rsid w:val="007E65B9"/>
    <w:rsid w:val="007E6949"/>
    <w:rsid w:val="007E6AB5"/>
    <w:rsid w:val="007E714D"/>
    <w:rsid w:val="007E74C1"/>
    <w:rsid w:val="007E7C24"/>
    <w:rsid w:val="007F0C0C"/>
    <w:rsid w:val="007F12E3"/>
    <w:rsid w:val="007F21B8"/>
    <w:rsid w:val="007F275D"/>
    <w:rsid w:val="007F2975"/>
    <w:rsid w:val="007F3519"/>
    <w:rsid w:val="007F36DC"/>
    <w:rsid w:val="007F373D"/>
    <w:rsid w:val="007F39B8"/>
    <w:rsid w:val="007F58E2"/>
    <w:rsid w:val="007F6329"/>
    <w:rsid w:val="007F6A23"/>
    <w:rsid w:val="007F6A7D"/>
    <w:rsid w:val="007F6B52"/>
    <w:rsid w:val="007F7191"/>
    <w:rsid w:val="007F719C"/>
    <w:rsid w:val="007F73C5"/>
    <w:rsid w:val="007F7C5A"/>
    <w:rsid w:val="007F7C64"/>
    <w:rsid w:val="007F7C7A"/>
    <w:rsid w:val="007F7E87"/>
    <w:rsid w:val="008002BA"/>
    <w:rsid w:val="00800397"/>
    <w:rsid w:val="008004E2"/>
    <w:rsid w:val="00801351"/>
    <w:rsid w:val="008016A8"/>
    <w:rsid w:val="00801C90"/>
    <w:rsid w:val="008027C0"/>
    <w:rsid w:val="00802B20"/>
    <w:rsid w:val="00802E52"/>
    <w:rsid w:val="008033C9"/>
    <w:rsid w:val="00803445"/>
    <w:rsid w:val="0080494E"/>
    <w:rsid w:val="008049CB"/>
    <w:rsid w:val="008049D5"/>
    <w:rsid w:val="0080505D"/>
    <w:rsid w:val="00805710"/>
    <w:rsid w:val="0080576C"/>
    <w:rsid w:val="0080585A"/>
    <w:rsid w:val="00805A7C"/>
    <w:rsid w:val="00806534"/>
    <w:rsid w:val="0080736D"/>
    <w:rsid w:val="008073BA"/>
    <w:rsid w:val="00807873"/>
    <w:rsid w:val="00807BAE"/>
    <w:rsid w:val="00807BEF"/>
    <w:rsid w:val="0081086F"/>
    <w:rsid w:val="00810905"/>
    <w:rsid w:val="00811093"/>
    <w:rsid w:val="00811EAE"/>
    <w:rsid w:val="00812601"/>
    <w:rsid w:val="00813770"/>
    <w:rsid w:val="008137CE"/>
    <w:rsid w:val="008140EB"/>
    <w:rsid w:val="00814A58"/>
    <w:rsid w:val="0081585A"/>
    <w:rsid w:val="00815C64"/>
    <w:rsid w:val="0081627B"/>
    <w:rsid w:val="008167EB"/>
    <w:rsid w:val="00816A4E"/>
    <w:rsid w:val="008171E6"/>
    <w:rsid w:val="00817847"/>
    <w:rsid w:val="00821D10"/>
    <w:rsid w:val="0082209E"/>
    <w:rsid w:val="00822627"/>
    <w:rsid w:val="00822FA2"/>
    <w:rsid w:val="00823100"/>
    <w:rsid w:val="00823102"/>
    <w:rsid w:val="00823630"/>
    <w:rsid w:val="00823735"/>
    <w:rsid w:val="00824340"/>
    <w:rsid w:val="008243E5"/>
    <w:rsid w:val="00824428"/>
    <w:rsid w:val="00824482"/>
    <w:rsid w:val="0082461B"/>
    <w:rsid w:val="0082493A"/>
    <w:rsid w:val="0082496B"/>
    <w:rsid w:val="0082496E"/>
    <w:rsid w:val="00824F02"/>
    <w:rsid w:val="00824F6F"/>
    <w:rsid w:val="00824FF2"/>
    <w:rsid w:val="00825849"/>
    <w:rsid w:val="008258B5"/>
    <w:rsid w:val="00825D53"/>
    <w:rsid w:val="00826E0D"/>
    <w:rsid w:val="00827107"/>
    <w:rsid w:val="008274EE"/>
    <w:rsid w:val="00827766"/>
    <w:rsid w:val="008307A1"/>
    <w:rsid w:val="008308EB"/>
    <w:rsid w:val="0083090E"/>
    <w:rsid w:val="00830949"/>
    <w:rsid w:val="008309FD"/>
    <w:rsid w:val="00830F8D"/>
    <w:rsid w:val="00831386"/>
    <w:rsid w:val="008316C0"/>
    <w:rsid w:val="00832546"/>
    <w:rsid w:val="00832C2B"/>
    <w:rsid w:val="00833E61"/>
    <w:rsid w:val="00834579"/>
    <w:rsid w:val="00834BFB"/>
    <w:rsid w:val="00836E92"/>
    <w:rsid w:val="00836FD7"/>
    <w:rsid w:val="008374B7"/>
    <w:rsid w:val="008374EB"/>
    <w:rsid w:val="00837777"/>
    <w:rsid w:val="00837802"/>
    <w:rsid w:val="00837923"/>
    <w:rsid w:val="00837ACA"/>
    <w:rsid w:val="00840A4B"/>
    <w:rsid w:val="008418D2"/>
    <w:rsid w:val="00841FDC"/>
    <w:rsid w:val="0084202E"/>
    <w:rsid w:val="0084234F"/>
    <w:rsid w:val="00842B04"/>
    <w:rsid w:val="00843529"/>
    <w:rsid w:val="00843DEA"/>
    <w:rsid w:val="00843EB2"/>
    <w:rsid w:val="008445DF"/>
    <w:rsid w:val="00844682"/>
    <w:rsid w:val="0084582F"/>
    <w:rsid w:val="00845889"/>
    <w:rsid w:val="00845EC4"/>
    <w:rsid w:val="0084618E"/>
    <w:rsid w:val="008470ED"/>
    <w:rsid w:val="0084722D"/>
    <w:rsid w:val="00847919"/>
    <w:rsid w:val="00847A60"/>
    <w:rsid w:val="00850140"/>
    <w:rsid w:val="008509AC"/>
    <w:rsid w:val="00850DEC"/>
    <w:rsid w:val="00850FB8"/>
    <w:rsid w:val="00852180"/>
    <w:rsid w:val="008523AA"/>
    <w:rsid w:val="008525ED"/>
    <w:rsid w:val="00852F80"/>
    <w:rsid w:val="008537E4"/>
    <w:rsid w:val="00853890"/>
    <w:rsid w:val="00853CED"/>
    <w:rsid w:val="0085449D"/>
    <w:rsid w:val="008546E3"/>
    <w:rsid w:val="00854E06"/>
    <w:rsid w:val="00855EC9"/>
    <w:rsid w:val="0085667B"/>
    <w:rsid w:val="00856EA2"/>
    <w:rsid w:val="008577EA"/>
    <w:rsid w:val="008603E8"/>
    <w:rsid w:val="008608AF"/>
    <w:rsid w:val="00860B67"/>
    <w:rsid w:val="00861A5B"/>
    <w:rsid w:val="008620AE"/>
    <w:rsid w:val="00862288"/>
    <w:rsid w:val="008624C9"/>
    <w:rsid w:val="008632C6"/>
    <w:rsid w:val="00863ABC"/>
    <w:rsid w:val="00863ADD"/>
    <w:rsid w:val="00863DB9"/>
    <w:rsid w:val="008641A0"/>
    <w:rsid w:val="008658FA"/>
    <w:rsid w:val="00865967"/>
    <w:rsid w:val="00865FCF"/>
    <w:rsid w:val="00865FE8"/>
    <w:rsid w:val="008663D3"/>
    <w:rsid w:val="00866953"/>
    <w:rsid w:val="00866A32"/>
    <w:rsid w:val="00866A8D"/>
    <w:rsid w:val="008677A0"/>
    <w:rsid w:val="00867CFE"/>
    <w:rsid w:val="00870123"/>
    <w:rsid w:val="00871031"/>
    <w:rsid w:val="0087134E"/>
    <w:rsid w:val="00871879"/>
    <w:rsid w:val="00871BE5"/>
    <w:rsid w:val="008724C3"/>
    <w:rsid w:val="00872E47"/>
    <w:rsid w:val="00872ED3"/>
    <w:rsid w:val="008732AD"/>
    <w:rsid w:val="008743EC"/>
    <w:rsid w:val="00874815"/>
    <w:rsid w:val="008749FE"/>
    <w:rsid w:val="00874D7A"/>
    <w:rsid w:val="00874FC8"/>
    <w:rsid w:val="008754F3"/>
    <w:rsid w:val="00876F45"/>
    <w:rsid w:val="008775C6"/>
    <w:rsid w:val="00877AF4"/>
    <w:rsid w:val="0088025C"/>
    <w:rsid w:val="008803FD"/>
    <w:rsid w:val="008807A7"/>
    <w:rsid w:val="00880CD8"/>
    <w:rsid w:val="008818CD"/>
    <w:rsid w:val="00881C8F"/>
    <w:rsid w:val="0088263C"/>
    <w:rsid w:val="008826FC"/>
    <w:rsid w:val="00882811"/>
    <w:rsid w:val="00883149"/>
    <w:rsid w:val="008833D9"/>
    <w:rsid w:val="0088365F"/>
    <w:rsid w:val="0088367B"/>
    <w:rsid w:val="0088372C"/>
    <w:rsid w:val="00883776"/>
    <w:rsid w:val="00883D8F"/>
    <w:rsid w:val="00884859"/>
    <w:rsid w:val="00884913"/>
    <w:rsid w:val="00885953"/>
    <w:rsid w:val="00885BA3"/>
    <w:rsid w:val="00885C25"/>
    <w:rsid w:val="00885F63"/>
    <w:rsid w:val="0088631B"/>
    <w:rsid w:val="008869AA"/>
    <w:rsid w:val="00886A51"/>
    <w:rsid w:val="0088701A"/>
    <w:rsid w:val="008873C8"/>
    <w:rsid w:val="0088766C"/>
    <w:rsid w:val="0089077E"/>
    <w:rsid w:val="00890E04"/>
    <w:rsid w:val="00890E3C"/>
    <w:rsid w:val="00891444"/>
    <w:rsid w:val="0089190B"/>
    <w:rsid w:val="0089217B"/>
    <w:rsid w:val="00892F00"/>
    <w:rsid w:val="008931EE"/>
    <w:rsid w:val="008932B2"/>
    <w:rsid w:val="00893759"/>
    <w:rsid w:val="008941FD"/>
    <w:rsid w:val="00894482"/>
    <w:rsid w:val="00894A23"/>
    <w:rsid w:val="0089505C"/>
    <w:rsid w:val="008950BD"/>
    <w:rsid w:val="008954B4"/>
    <w:rsid w:val="0089570A"/>
    <w:rsid w:val="00895733"/>
    <w:rsid w:val="00895A0A"/>
    <w:rsid w:val="00895B2D"/>
    <w:rsid w:val="008963EB"/>
    <w:rsid w:val="00896E39"/>
    <w:rsid w:val="00896E96"/>
    <w:rsid w:val="008970EE"/>
    <w:rsid w:val="00897D74"/>
    <w:rsid w:val="008A010E"/>
    <w:rsid w:val="008A0CF9"/>
    <w:rsid w:val="008A0FC1"/>
    <w:rsid w:val="008A103A"/>
    <w:rsid w:val="008A184F"/>
    <w:rsid w:val="008A1FF6"/>
    <w:rsid w:val="008A29EF"/>
    <w:rsid w:val="008A3270"/>
    <w:rsid w:val="008A347B"/>
    <w:rsid w:val="008A4668"/>
    <w:rsid w:val="008A4C0C"/>
    <w:rsid w:val="008A4D64"/>
    <w:rsid w:val="008A4EF8"/>
    <w:rsid w:val="008A4F09"/>
    <w:rsid w:val="008A5927"/>
    <w:rsid w:val="008A5BE5"/>
    <w:rsid w:val="008A5D08"/>
    <w:rsid w:val="008A61DF"/>
    <w:rsid w:val="008A6DE1"/>
    <w:rsid w:val="008A6FAD"/>
    <w:rsid w:val="008A7427"/>
    <w:rsid w:val="008A7C28"/>
    <w:rsid w:val="008A7E94"/>
    <w:rsid w:val="008B0B8E"/>
    <w:rsid w:val="008B1479"/>
    <w:rsid w:val="008B1545"/>
    <w:rsid w:val="008B1A45"/>
    <w:rsid w:val="008B1C7A"/>
    <w:rsid w:val="008B1CB2"/>
    <w:rsid w:val="008B21BE"/>
    <w:rsid w:val="008B22A1"/>
    <w:rsid w:val="008B30FE"/>
    <w:rsid w:val="008B3CBF"/>
    <w:rsid w:val="008B43EA"/>
    <w:rsid w:val="008B48E3"/>
    <w:rsid w:val="008B4E82"/>
    <w:rsid w:val="008B55F6"/>
    <w:rsid w:val="008B61A8"/>
    <w:rsid w:val="008B797A"/>
    <w:rsid w:val="008C06B8"/>
    <w:rsid w:val="008C0AC0"/>
    <w:rsid w:val="008C0BD4"/>
    <w:rsid w:val="008C0CD2"/>
    <w:rsid w:val="008C0D77"/>
    <w:rsid w:val="008C0E3B"/>
    <w:rsid w:val="008C12D3"/>
    <w:rsid w:val="008C144C"/>
    <w:rsid w:val="008C1E61"/>
    <w:rsid w:val="008C2273"/>
    <w:rsid w:val="008C2547"/>
    <w:rsid w:val="008C2827"/>
    <w:rsid w:val="008C3098"/>
    <w:rsid w:val="008C31B1"/>
    <w:rsid w:val="008C34C1"/>
    <w:rsid w:val="008C37BB"/>
    <w:rsid w:val="008C5502"/>
    <w:rsid w:val="008C578F"/>
    <w:rsid w:val="008C5897"/>
    <w:rsid w:val="008C6CE0"/>
    <w:rsid w:val="008C74BE"/>
    <w:rsid w:val="008C76BB"/>
    <w:rsid w:val="008D0765"/>
    <w:rsid w:val="008D0849"/>
    <w:rsid w:val="008D0DF9"/>
    <w:rsid w:val="008D15B5"/>
    <w:rsid w:val="008D1C48"/>
    <w:rsid w:val="008D2149"/>
    <w:rsid w:val="008D2A61"/>
    <w:rsid w:val="008D2F56"/>
    <w:rsid w:val="008D44CB"/>
    <w:rsid w:val="008D4A75"/>
    <w:rsid w:val="008D4AB4"/>
    <w:rsid w:val="008D4B99"/>
    <w:rsid w:val="008D521C"/>
    <w:rsid w:val="008D59EC"/>
    <w:rsid w:val="008D6298"/>
    <w:rsid w:val="008D62C7"/>
    <w:rsid w:val="008D6930"/>
    <w:rsid w:val="008D6BEA"/>
    <w:rsid w:val="008D6EA9"/>
    <w:rsid w:val="008D71A2"/>
    <w:rsid w:val="008D76E7"/>
    <w:rsid w:val="008D78B7"/>
    <w:rsid w:val="008D7F97"/>
    <w:rsid w:val="008E0823"/>
    <w:rsid w:val="008E0FD7"/>
    <w:rsid w:val="008E1C97"/>
    <w:rsid w:val="008E1F41"/>
    <w:rsid w:val="008E236F"/>
    <w:rsid w:val="008E2D72"/>
    <w:rsid w:val="008E3226"/>
    <w:rsid w:val="008E32A5"/>
    <w:rsid w:val="008E35F5"/>
    <w:rsid w:val="008E3E8A"/>
    <w:rsid w:val="008E3ED3"/>
    <w:rsid w:val="008E4223"/>
    <w:rsid w:val="008E4837"/>
    <w:rsid w:val="008E48D7"/>
    <w:rsid w:val="008E49C1"/>
    <w:rsid w:val="008E4F9D"/>
    <w:rsid w:val="008E5297"/>
    <w:rsid w:val="008E52FD"/>
    <w:rsid w:val="008E66A1"/>
    <w:rsid w:val="008E6789"/>
    <w:rsid w:val="008E7AB6"/>
    <w:rsid w:val="008E7B43"/>
    <w:rsid w:val="008F039C"/>
    <w:rsid w:val="008F0700"/>
    <w:rsid w:val="008F1406"/>
    <w:rsid w:val="008F15DE"/>
    <w:rsid w:val="008F197F"/>
    <w:rsid w:val="008F19B5"/>
    <w:rsid w:val="008F314B"/>
    <w:rsid w:val="008F3C3C"/>
    <w:rsid w:val="008F4869"/>
    <w:rsid w:val="008F4BC0"/>
    <w:rsid w:val="008F50FC"/>
    <w:rsid w:val="008F53C2"/>
    <w:rsid w:val="008F57E4"/>
    <w:rsid w:val="008F589B"/>
    <w:rsid w:val="008F5AC0"/>
    <w:rsid w:val="008F5F43"/>
    <w:rsid w:val="008F61E2"/>
    <w:rsid w:val="008F668F"/>
    <w:rsid w:val="008F6C90"/>
    <w:rsid w:val="008F750E"/>
    <w:rsid w:val="008F7678"/>
    <w:rsid w:val="008F7A05"/>
    <w:rsid w:val="008F7A1C"/>
    <w:rsid w:val="008F7C33"/>
    <w:rsid w:val="008F7EB2"/>
    <w:rsid w:val="00900D82"/>
    <w:rsid w:val="00900E00"/>
    <w:rsid w:val="00901770"/>
    <w:rsid w:val="0090186C"/>
    <w:rsid w:val="009018D1"/>
    <w:rsid w:val="0090195B"/>
    <w:rsid w:val="00901C03"/>
    <w:rsid w:val="00901FCC"/>
    <w:rsid w:val="0090224A"/>
    <w:rsid w:val="0090237D"/>
    <w:rsid w:val="00902FF8"/>
    <w:rsid w:val="009032B3"/>
    <w:rsid w:val="00903798"/>
    <w:rsid w:val="00904233"/>
    <w:rsid w:val="009046C3"/>
    <w:rsid w:val="009046C7"/>
    <w:rsid w:val="009047BA"/>
    <w:rsid w:val="00904AAC"/>
    <w:rsid w:val="00904EE6"/>
    <w:rsid w:val="00905082"/>
    <w:rsid w:val="00905F39"/>
    <w:rsid w:val="00906023"/>
    <w:rsid w:val="009060A0"/>
    <w:rsid w:val="009065E7"/>
    <w:rsid w:val="009067DC"/>
    <w:rsid w:val="00906C63"/>
    <w:rsid w:val="00906EC4"/>
    <w:rsid w:val="009074C8"/>
    <w:rsid w:val="00907D68"/>
    <w:rsid w:val="0091048C"/>
    <w:rsid w:val="00910498"/>
    <w:rsid w:val="00910BE7"/>
    <w:rsid w:val="009114FA"/>
    <w:rsid w:val="0091150B"/>
    <w:rsid w:val="00912677"/>
    <w:rsid w:val="00912A98"/>
    <w:rsid w:val="00912BC5"/>
    <w:rsid w:val="00913084"/>
    <w:rsid w:val="00913B8F"/>
    <w:rsid w:val="0091426F"/>
    <w:rsid w:val="009147A9"/>
    <w:rsid w:val="00914A02"/>
    <w:rsid w:val="00914CE0"/>
    <w:rsid w:val="00914D28"/>
    <w:rsid w:val="00914F85"/>
    <w:rsid w:val="009150CD"/>
    <w:rsid w:val="00915235"/>
    <w:rsid w:val="00915237"/>
    <w:rsid w:val="0091560E"/>
    <w:rsid w:val="0091566C"/>
    <w:rsid w:val="0091668B"/>
    <w:rsid w:val="00916792"/>
    <w:rsid w:val="00916BA7"/>
    <w:rsid w:val="00916E9F"/>
    <w:rsid w:val="00917190"/>
    <w:rsid w:val="009174FA"/>
    <w:rsid w:val="009179D8"/>
    <w:rsid w:val="00917DA7"/>
    <w:rsid w:val="00917FAF"/>
    <w:rsid w:val="0092006B"/>
    <w:rsid w:val="009201D5"/>
    <w:rsid w:val="009205C1"/>
    <w:rsid w:val="009206BA"/>
    <w:rsid w:val="00921250"/>
    <w:rsid w:val="00921626"/>
    <w:rsid w:val="00921CCD"/>
    <w:rsid w:val="00921F84"/>
    <w:rsid w:val="009221BD"/>
    <w:rsid w:val="00923388"/>
    <w:rsid w:val="00923911"/>
    <w:rsid w:val="00923C76"/>
    <w:rsid w:val="00923CBB"/>
    <w:rsid w:val="00923EFB"/>
    <w:rsid w:val="0092403A"/>
    <w:rsid w:val="00924B82"/>
    <w:rsid w:val="00924D68"/>
    <w:rsid w:val="00924F16"/>
    <w:rsid w:val="00925E7A"/>
    <w:rsid w:val="009262F8"/>
    <w:rsid w:val="009266F3"/>
    <w:rsid w:val="00926E9E"/>
    <w:rsid w:val="0092740B"/>
    <w:rsid w:val="009275D4"/>
    <w:rsid w:val="009277F7"/>
    <w:rsid w:val="00927CC4"/>
    <w:rsid w:val="00927D5E"/>
    <w:rsid w:val="00927EAD"/>
    <w:rsid w:val="00927F0E"/>
    <w:rsid w:val="0093024D"/>
    <w:rsid w:val="00930DA7"/>
    <w:rsid w:val="00930E73"/>
    <w:rsid w:val="00930ECB"/>
    <w:rsid w:val="00931CA4"/>
    <w:rsid w:val="00931D3F"/>
    <w:rsid w:val="00931E0D"/>
    <w:rsid w:val="00931F56"/>
    <w:rsid w:val="0093240C"/>
    <w:rsid w:val="00932EB6"/>
    <w:rsid w:val="00933927"/>
    <w:rsid w:val="00933A45"/>
    <w:rsid w:val="00933B54"/>
    <w:rsid w:val="00933E75"/>
    <w:rsid w:val="009347ED"/>
    <w:rsid w:val="00934C39"/>
    <w:rsid w:val="0093505B"/>
    <w:rsid w:val="009366BF"/>
    <w:rsid w:val="00937A1A"/>
    <w:rsid w:val="009405AF"/>
    <w:rsid w:val="00940B70"/>
    <w:rsid w:val="00940DD7"/>
    <w:rsid w:val="00941196"/>
    <w:rsid w:val="0094129C"/>
    <w:rsid w:val="0094161D"/>
    <w:rsid w:val="0094207A"/>
    <w:rsid w:val="009426C6"/>
    <w:rsid w:val="009427E5"/>
    <w:rsid w:val="00942A20"/>
    <w:rsid w:val="00942D25"/>
    <w:rsid w:val="009431A6"/>
    <w:rsid w:val="00943ED7"/>
    <w:rsid w:val="00943FF9"/>
    <w:rsid w:val="00944632"/>
    <w:rsid w:val="00944A24"/>
    <w:rsid w:val="00944CA8"/>
    <w:rsid w:val="00944DE9"/>
    <w:rsid w:val="0094537C"/>
    <w:rsid w:val="009456D4"/>
    <w:rsid w:val="00945D26"/>
    <w:rsid w:val="00945FF8"/>
    <w:rsid w:val="00946A69"/>
    <w:rsid w:val="00947212"/>
    <w:rsid w:val="00947D78"/>
    <w:rsid w:val="00950551"/>
    <w:rsid w:val="00950817"/>
    <w:rsid w:val="00950A7B"/>
    <w:rsid w:val="0095216D"/>
    <w:rsid w:val="00953137"/>
    <w:rsid w:val="00953F18"/>
    <w:rsid w:val="009544BE"/>
    <w:rsid w:val="009551C9"/>
    <w:rsid w:val="009551F6"/>
    <w:rsid w:val="009552B3"/>
    <w:rsid w:val="00955CDE"/>
    <w:rsid w:val="00955F48"/>
    <w:rsid w:val="0095657B"/>
    <w:rsid w:val="00957E9B"/>
    <w:rsid w:val="0096066E"/>
    <w:rsid w:val="00960D5B"/>
    <w:rsid w:val="00960F91"/>
    <w:rsid w:val="00960FA3"/>
    <w:rsid w:val="00961667"/>
    <w:rsid w:val="009617D0"/>
    <w:rsid w:val="00961E59"/>
    <w:rsid w:val="00961FCA"/>
    <w:rsid w:val="009627E1"/>
    <w:rsid w:val="009629C8"/>
    <w:rsid w:val="00962E9B"/>
    <w:rsid w:val="0096346A"/>
    <w:rsid w:val="009647F1"/>
    <w:rsid w:val="00964AF8"/>
    <w:rsid w:val="00964C1E"/>
    <w:rsid w:val="00964CB2"/>
    <w:rsid w:val="00965ED6"/>
    <w:rsid w:val="00966645"/>
    <w:rsid w:val="00966B32"/>
    <w:rsid w:val="00966D30"/>
    <w:rsid w:val="00966F61"/>
    <w:rsid w:val="00966FE8"/>
    <w:rsid w:val="00967123"/>
    <w:rsid w:val="009675E9"/>
    <w:rsid w:val="00967B96"/>
    <w:rsid w:val="009702C2"/>
    <w:rsid w:val="009704DB"/>
    <w:rsid w:val="009705F6"/>
    <w:rsid w:val="009709F4"/>
    <w:rsid w:val="00970A2A"/>
    <w:rsid w:val="0097189D"/>
    <w:rsid w:val="00971A53"/>
    <w:rsid w:val="009725E8"/>
    <w:rsid w:val="0097306A"/>
    <w:rsid w:val="00975883"/>
    <w:rsid w:val="0097598B"/>
    <w:rsid w:val="00975B3B"/>
    <w:rsid w:val="00975C8B"/>
    <w:rsid w:val="00976188"/>
    <w:rsid w:val="00976345"/>
    <w:rsid w:val="0097701E"/>
    <w:rsid w:val="009776B7"/>
    <w:rsid w:val="009804B7"/>
    <w:rsid w:val="00980B98"/>
    <w:rsid w:val="00981245"/>
    <w:rsid w:val="00981739"/>
    <w:rsid w:val="00981829"/>
    <w:rsid w:val="00981E97"/>
    <w:rsid w:val="00981EDA"/>
    <w:rsid w:val="00982743"/>
    <w:rsid w:val="00983314"/>
    <w:rsid w:val="009837FA"/>
    <w:rsid w:val="00983A02"/>
    <w:rsid w:val="00983A15"/>
    <w:rsid w:val="00983CBD"/>
    <w:rsid w:val="00985607"/>
    <w:rsid w:val="00985CE7"/>
    <w:rsid w:val="00985FCE"/>
    <w:rsid w:val="00987D5D"/>
    <w:rsid w:val="0099050F"/>
    <w:rsid w:val="00990577"/>
    <w:rsid w:val="00991671"/>
    <w:rsid w:val="00991A81"/>
    <w:rsid w:val="00992596"/>
    <w:rsid w:val="009926FC"/>
    <w:rsid w:val="00992892"/>
    <w:rsid w:val="009928DB"/>
    <w:rsid w:val="00992CBA"/>
    <w:rsid w:val="00992E8D"/>
    <w:rsid w:val="00992FD2"/>
    <w:rsid w:val="009934CB"/>
    <w:rsid w:val="00993955"/>
    <w:rsid w:val="00993E01"/>
    <w:rsid w:val="009940D6"/>
    <w:rsid w:val="009952EE"/>
    <w:rsid w:val="00995940"/>
    <w:rsid w:val="00995C73"/>
    <w:rsid w:val="009961D2"/>
    <w:rsid w:val="009962A7"/>
    <w:rsid w:val="0099632E"/>
    <w:rsid w:val="00996499"/>
    <w:rsid w:val="00996C83"/>
    <w:rsid w:val="00996CEA"/>
    <w:rsid w:val="00996F2D"/>
    <w:rsid w:val="0099792D"/>
    <w:rsid w:val="00997A60"/>
    <w:rsid w:val="009A008F"/>
    <w:rsid w:val="009A1138"/>
    <w:rsid w:val="009A146E"/>
    <w:rsid w:val="009A191E"/>
    <w:rsid w:val="009A19C5"/>
    <w:rsid w:val="009A1F9E"/>
    <w:rsid w:val="009A23AA"/>
    <w:rsid w:val="009A2871"/>
    <w:rsid w:val="009A2CCA"/>
    <w:rsid w:val="009A2D86"/>
    <w:rsid w:val="009A2E47"/>
    <w:rsid w:val="009A3122"/>
    <w:rsid w:val="009A368D"/>
    <w:rsid w:val="009A3762"/>
    <w:rsid w:val="009A3AF3"/>
    <w:rsid w:val="009A48C7"/>
    <w:rsid w:val="009A4B0A"/>
    <w:rsid w:val="009A4EC6"/>
    <w:rsid w:val="009A5218"/>
    <w:rsid w:val="009A538E"/>
    <w:rsid w:val="009A623F"/>
    <w:rsid w:val="009A6492"/>
    <w:rsid w:val="009A7569"/>
    <w:rsid w:val="009A79E6"/>
    <w:rsid w:val="009A7C65"/>
    <w:rsid w:val="009A7C7C"/>
    <w:rsid w:val="009A7D48"/>
    <w:rsid w:val="009B0A5A"/>
    <w:rsid w:val="009B1464"/>
    <w:rsid w:val="009B1619"/>
    <w:rsid w:val="009B1839"/>
    <w:rsid w:val="009B1D04"/>
    <w:rsid w:val="009B242C"/>
    <w:rsid w:val="009B2777"/>
    <w:rsid w:val="009B32C0"/>
    <w:rsid w:val="009B4249"/>
    <w:rsid w:val="009B5165"/>
    <w:rsid w:val="009B530E"/>
    <w:rsid w:val="009B6333"/>
    <w:rsid w:val="009B6623"/>
    <w:rsid w:val="009B737A"/>
    <w:rsid w:val="009C07D5"/>
    <w:rsid w:val="009C0C8C"/>
    <w:rsid w:val="009C10DE"/>
    <w:rsid w:val="009C18AC"/>
    <w:rsid w:val="009C1E2E"/>
    <w:rsid w:val="009C1EA1"/>
    <w:rsid w:val="009C21BE"/>
    <w:rsid w:val="009C299D"/>
    <w:rsid w:val="009C3146"/>
    <w:rsid w:val="009C35BB"/>
    <w:rsid w:val="009C3B18"/>
    <w:rsid w:val="009C3B60"/>
    <w:rsid w:val="009C3BC1"/>
    <w:rsid w:val="009C4015"/>
    <w:rsid w:val="009C40DD"/>
    <w:rsid w:val="009C4A93"/>
    <w:rsid w:val="009C4AD0"/>
    <w:rsid w:val="009C51B3"/>
    <w:rsid w:val="009C562D"/>
    <w:rsid w:val="009C5FA6"/>
    <w:rsid w:val="009C6F00"/>
    <w:rsid w:val="009C7437"/>
    <w:rsid w:val="009C7BF2"/>
    <w:rsid w:val="009D06AF"/>
    <w:rsid w:val="009D079B"/>
    <w:rsid w:val="009D0DFF"/>
    <w:rsid w:val="009D0F60"/>
    <w:rsid w:val="009D18F0"/>
    <w:rsid w:val="009D2490"/>
    <w:rsid w:val="009D2BF7"/>
    <w:rsid w:val="009D3234"/>
    <w:rsid w:val="009D43B7"/>
    <w:rsid w:val="009D487B"/>
    <w:rsid w:val="009D4A5E"/>
    <w:rsid w:val="009D4DD5"/>
    <w:rsid w:val="009D57C7"/>
    <w:rsid w:val="009D5B42"/>
    <w:rsid w:val="009D63C8"/>
    <w:rsid w:val="009D644C"/>
    <w:rsid w:val="009D6720"/>
    <w:rsid w:val="009D6781"/>
    <w:rsid w:val="009D6AD8"/>
    <w:rsid w:val="009D6AF2"/>
    <w:rsid w:val="009D7498"/>
    <w:rsid w:val="009E037D"/>
    <w:rsid w:val="009E07A1"/>
    <w:rsid w:val="009E08D1"/>
    <w:rsid w:val="009E136A"/>
    <w:rsid w:val="009E13BD"/>
    <w:rsid w:val="009E1851"/>
    <w:rsid w:val="009E1CC1"/>
    <w:rsid w:val="009E1F5C"/>
    <w:rsid w:val="009E20B6"/>
    <w:rsid w:val="009E2A08"/>
    <w:rsid w:val="009E30CD"/>
    <w:rsid w:val="009E3164"/>
    <w:rsid w:val="009E3895"/>
    <w:rsid w:val="009E3982"/>
    <w:rsid w:val="009E4343"/>
    <w:rsid w:val="009E4544"/>
    <w:rsid w:val="009E479C"/>
    <w:rsid w:val="009E4849"/>
    <w:rsid w:val="009E5621"/>
    <w:rsid w:val="009E5A1E"/>
    <w:rsid w:val="009E75C6"/>
    <w:rsid w:val="009E7FE9"/>
    <w:rsid w:val="009F01F6"/>
    <w:rsid w:val="009F0548"/>
    <w:rsid w:val="009F091F"/>
    <w:rsid w:val="009F2EB8"/>
    <w:rsid w:val="009F39E8"/>
    <w:rsid w:val="009F3D05"/>
    <w:rsid w:val="009F3DF8"/>
    <w:rsid w:val="009F3FEB"/>
    <w:rsid w:val="009F4211"/>
    <w:rsid w:val="009F54B7"/>
    <w:rsid w:val="009F5CFD"/>
    <w:rsid w:val="009F60CB"/>
    <w:rsid w:val="009F6242"/>
    <w:rsid w:val="009F72F8"/>
    <w:rsid w:val="009F7637"/>
    <w:rsid w:val="009F767E"/>
    <w:rsid w:val="00A0026E"/>
    <w:rsid w:val="00A00352"/>
    <w:rsid w:val="00A00B76"/>
    <w:rsid w:val="00A00CDC"/>
    <w:rsid w:val="00A013E0"/>
    <w:rsid w:val="00A01682"/>
    <w:rsid w:val="00A01B79"/>
    <w:rsid w:val="00A01B82"/>
    <w:rsid w:val="00A0289C"/>
    <w:rsid w:val="00A02CE4"/>
    <w:rsid w:val="00A02F67"/>
    <w:rsid w:val="00A030C2"/>
    <w:rsid w:val="00A038B3"/>
    <w:rsid w:val="00A03D6F"/>
    <w:rsid w:val="00A04105"/>
    <w:rsid w:val="00A04B5D"/>
    <w:rsid w:val="00A04BE6"/>
    <w:rsid w:val="00A05E84"/>
    <w:rsid w:val="00A11111"/>
    <w:rsid w:val="00A1162C"/>
    <w:rsid w:val="00A11BC0"/>
    <w:rsid w:val="00A1224C"/>
    <w:rsid w:val="00A12694"/>
    <w:rsid w:val="00A12C70"/>
    <w:rsid w:val="00A139B4"/>
    <w:rsid w:val="00A13C30"/>
    <w:rsid w:val="00A13C69"/>
    <w:rsid w:val="00A151BF"/>
    <w:rsid w:val="00A15937"/>
    <w:rsid w:val="00A166B4"/>
    <w:rsid w:val="00A17693"/>
    <w:rsid w:val="00A1796D"/>
    <w:rsid w:val="00A17CCA"/>
    <w:rsid w:val="00A17F50"/>
    <w:rsid w:val="00A20499"/>
    <w:rsid w:val="00A207FE"/>
    <w:rsid w:val="00A20DDE"/>
    <w:rsid w:val="00A211DD"/>
    <w:rsid w:val="00A219DB"/>
    <w:rsid w:val="00A21A8C"/>
    <w:rsid w:val="00A21A94"/>
    <w:rsid w:val="00A21E8A"/>
    <w:rsid w:val="00A22CAB"/>
    <w:rsid w:val="00A231CC"/>
    <w:rsid w:val="00A23411"/>
    <w:rsid w:val="00A238D4"/>
    <w:rsid w:val="00A23D6F"/>
    <w:rsid w:val="00A24159"/>
    <w:rsid w:val="00A25136"/>
    <w:rsid w:val="00A25954"/>
    <w:rsid w:val="00A25C70"/>
    <w:rsid w:val="00A26028"/>
    <w:rsid w:val="00A26097"/>
    <w:rsid w:val="00A26AEA"/>
    <w:rsid w:val="00A2749D"/>
    <w:rsid w:val="00A31974"/>
    <w:rsid w:val="00A32422"/>
    <w:rsid w:val="00A32533"/>
    <w:rsid w:val="00A3273F"/>
    <w:rsid w:val="00A32B8E"/>
    <w:rsid w:val="00A33B15"/>
    <w:rsid w:val="00A33CA8"/>
    <w:rsid w:val="00A348F1"/>
    <w:rsid w:val="00A34F6C"/>
    <w:rsid w:val="00A3542C"/>
    <w:rsid w:val="00A35999"/>
    <w:rsid w:val="00A36152"/>
    <w:rsid w:val="00A368A6"/>
    <w:rsid w:val="00A36A6D"/>
    <w:rsid w:val="00A36F9F"/>
    <w:rsid w:val="00A36FB9"/>
    <w:rsid w:val="00A3755E"/>
    <w:rsid w:val="00A40146"/>
    <w:rsid w:val="00A40DA0"/>
    <w:rsid w:val="00A42449"/>
    <w:rsid w:val="00A42CEC"/>
    <w:rsid w:val="00A43660"/>
    <w:rsid w:val="00A438C2"/>
    <w:rsid w:val="00A43F58"/>
    <w:rsid w:val="00A4420D"/>
    <w:rsid w:val="00A443AB"/>
    <w:rsid w:val="00A44812"/>
    <w:rsid w:val="00A44970"/>
    <w:rsid w:val="00A45367"/>
    <w:rsid w:val="00A45AA7"/>
    <w:rsid w:val="00A45F95"/>
    <w:rsid w:val="00A4643F"/>
    <w:rsid w:val="00A467DF"/>
    <w:rsid w:val="00A47781"/>
    <w:rsid w:val="00A477CB"/>
    <w:rsid w:val="00A477CC"/>
    <w:rsid w:val="00A47E13"/>
    <w:rsid w:val="00A500CA"/>
    <w:rsid w:val="00A50785"/>
    <w:rsid w:val="00A51669"/>
    <w:rsid w:val="00A5173F"/>
    <w:rsid w:val="00A51E4B"/>
    <w:rsid w:val="00A52335"/>
    <w:rsid w:val="00A530BE"/>
    <w:rsid w:val="00A53C02"/>
    <w:rsid w:val="00A54111"/>
    <w:rsid w:val="00A54148"/>
    <w:rsid w:val="00A54746"/>
    <w:rsid w:val="00A54829"/>
    <w:rsid w:val="00A556D1"/>
    <w:rsid w:val="00A5579D"/>
    <w:rsid w:val="00A5678D"/>
    <w:rsid w:val="00A576CF"/>
    <w:rsid w:val="00A578EB"/>
    <w:rsid w:val="00A57BD0"/>
    <w:rsid w:val="00A601E0"/>
    <w:rsid w:val="00A607EE"/>
    <w:rsid w:val="00A60DE4"/>
    <w:rsid w:val="00A610C5"/>
    <w:rsid w:val="00A6274B"/>
    <w:rsid w:val="00A62CAF"/>
    <w:rsid w:val="00A62CEB"/>
    <w:rsid w:val="00A62DE4"/>
    <w:rsid w:val="00A6323F"/>
    <w:rsid w:val="00A638D7"/>
    <w:rsid w:val="00A6390B"/>
    <w:rsid w:val="00A63BC5"/>
    <w:rsid w:val="00A63FBE"/>
    <w:rsid w:val="00A649AF"/>
    <w:rsid w:val="00A6596E"/>
    <w:rsid w:val="00A65DB0"/>
    <w:rsid w:val="00A65E87"/>
    <w:rsid w:val="00A670BA"/>
    <w:rsid w:val="00A6787C"/>
    <w:rsid w:val="00A678B2"/>
    <w:rsid w:val="00A71C01"/>
    <w:rsid w:val="00A71EEA"/>
    <w:rsid w:val="00A7266C"/>
    <w:rsid w:val="00A72B21"/>
    <w:rsid w:val="00A72CCA"/>
    <w:rsid w:val="00A72DAB"/>
    <w:rsid w:val="00A73975"/>
    <w:rsid w:val="00A73A7B"/>
    <w:rsid w:val="00A745B1"/>
    <w:rsid w:val="00A752A4"/>
    <w:rsid w:val="00A75FBB"/>
    <w:rsid w:val="00A76510"/>
    <w:rsid w:val="00A76FF4"/>
    <w:rsid w:val="00A77437"/>
    <w:rsid w:val="00A778D7"/>
    <w:rsid w:val="00A77EAF"/>
    <w:rsid w:val="00A804A6"/>
    <w:rsid w:val="00A807EE"/>
    <w:rsid w:val="00A80A7C"/>
    <w:rsid w:val="00A81759"/>
    <w:rsid w:val="00A81C9D"/>
    <w:rsid w:val="00A82308"/>
    <w:rsid w:val="00A82ACF"/>
    <w:rsid w:val="00A8422D"/>
    <w:rsid w:val="00A854BF"/>
    <w:rsid w:val="00A85AE8"/>
    <w:rsid w:val="00A85FAE"/>
    <w:rsid w:val="00A87BC7"/>
    <w:rsid w:val="00A87CD0"/>
    <w:rsid w:val="00A9001B"/>
    <w:rsid w:val="00A9045D"/>
    <w:rsid w:val="00A9057A"/>
    <w:rsid w:val="00A90E87"/>
    <w:rsid w:val="00A91233"/>
    <w:rsid w:val="00A91CBB"/>
    <w:rsid w:val="00A923F4"/>
    <w:rsid w:val="00A9290F"/>
    <w:rsid w:val="00A92972"/>
    <w:rsid w:val="00A92B62"/>
    <w:rsid w:val="00A93471"/>
    <w:rsid w:val="00A94117"/>
    <w:rsid w:val="00A942D2"/>
    <w:rsid w:val="00A944FA"/>
    <w:rsid w:val="00A94FDF"/>
    <w:rsid w:val="00A95B8D"/>
    <w:rsid w:val="00A95C81"/>
    <w:rsid w:val="00A95E4B"/>
    <w:rsid w:val="00A96A73"/>
    <w:rsid w:val="00A971CC"/>
    <w:rsid w:val="00A974DA"/>
    <w:rsid w:val="00A97864"/>
    <w:rsid w:val="00AA01C8"/>
    <w:rsid w:val="00AA03E3"/>
    <w:rsid w:val="00AA0FBC"/>
    <w:rsid w:val="00AA14AE"/>
    <w:rsid w:val="00AA1894"/>
    <w:rsid w:val="00AA21EF"/>
    <w:rsid w:val="00AA23BB"/>
    <w:rsid w:val="00AA2411"/>
    <w:rsid w:val="00AA2653"/>
    <w:rsid w:val="00AA2D5A"/>
    <w:rsid w:val="00AA2F1B"/>
    <w:rsid w:val="00AA3300"/>
    <w:rsid w:val="00AA36D5"/>
    <w:rsid w:val="00AA47CF"/>
    <w:rsid w:val="00AA62ED"/>
    <w:rsid w:val="00AA63D2"/>
    <w:rsid w:val="00AA6F19"/>
    <w:rsid w:val="00AA72D6"/>
    <w:rsid w:val="00AA7490"/>
    <w:rsid w:val="00AB0413"/>
    <w:rsid w:val="00AB0B38"/>
    <w:rsid w:val="00AB0BA1"/>
    <w:rsid w:val="00AB0D9F"/>
    <w:rsid w:val="00AB11F7"/>
    <w:rsid w:val="00AB18E5"/>
    <w:rsid w:val="00AB2A1F"/>
    <w:rsid w:val="00AB3013"/>
    <w:rsid w:val="00AB3014"/>
    <w:rsid w:val="00AB31D0"/>
    <w:rsid w:val="00AB32AC"/>
    <w:rsid w:val="00AB43B8"/>
    <w:rsid w:val="00AB49BE"/>
    <w:rsid w:val="00AB4D8F"/>
    <w:rsid w:val="00AB5648"/>
    <w:rsid w:val="00AB58F2"/>
    <w:rsid w:val="00AB5991"/>
    <w:rsid w:val="00AB6855"/>
    <w:rsid w:val="00AB6856"/>
    <w:rsid w:val="00AB70C9"/>
    <w:rsid w:val="00AB73A8"/>
    <w:rsid w:val="00AB7E00"/>
    <w:rsid w:val="00AC082F"/>
    <w:rsid w:val="00AC0893"/>
    <w:rsid w:val="00AC0E2F"/>
    <w:rsid w:val="00AC0F9D"/>
    <w:rsid w:val="00AC1135"/>
    <w:rsid w:val="00AC16C6"/>
    <w:rsid w:val="00AC18B1"/>
    <w:rsid w:val="00AC23A4"/>
    <w:rsid w:val="00AC2440"/>
    <w:rsid w:val="00AC26ED"/>
    <w:rsid w:val="00AC2759"/>
    <w:rsid w:val="00AC2A64"/>
    <w:rsid w:val="00AC2D03"/>
    <w:rsid w:val="00AC2FB2"/>
    <w:rsid w:val="00AC3DB2"/>
    <w:rsid w:val="00AC3E1E"/>
    <w:rsid w:val="00AC40B5"/>
    <w:rsid w:val="00AC52A3"/>
    <w:rsid w:val="00AC5A17"/>
    <w:rsid w:val="00AC79BF"/>
    <w:rsid w:val="00AC79F2"/>
    <w:rsid w:val="00AC7A69"/>
    <w:rsid w:val="00AD03B9"/>
    <w:rsid w:val="00AD04D8"/>
    <w:rsid w:val="00AD0512"/>
    <w:rsid w:val="00AD0744"/>
    <w:rsid w:val="00AD0B6B"/>
    <w:rsid w:val="00AD13CB"/>
    <w:rsid w:val="00AD16F9"/>
    <w:rsid w:val="00AD18E1"/>
    <w:rsid w:val="00AD2AC7"/>
    <w:rsid w:val="00AD2C60"/>
    <w:rsid w:val="00AD2CA8"/>
    <w:rsid w:val="00AD3DEA"/>
    <w:rsid w:val="00AD42BA"/>
    <w:rsid w:val="00AD44C9"/>
    <w:rsid w:val="00AD5329"/>
    <w:rsid w:val="00AD61FD"/>
    <w:rsid w:val="00AD6522"/>
    <w:rsid w:val="00AD6B26"/>
    <w:rsid w:val="00AD6B2F"/>
    <w:rsid w:val="00AD6D99"/>
    <w:rsid w:val="00AD6F66"/>
    <w:rsid w:val="00AD721D"/>
    <w:rsid w:val="00AD75D1"/>
    <w:rsid w:val="00AE0210"/>
    <w:rsid w:val="00AE056C"/>
    <w:rsid w:val="00AE08AC"/>
    <w:rsid w:val="00AE0C38"/>
    <w:rsid w:val="00AE0C69"/>
    <w:rsid w:val="00AE0C7A"/>
    <w:rsid w:val="00AE0DCA"/>
    <w:rsid w:val="00AE13A6"/>
    <w:rsid w:val="00AE19C5"/>
    <w:rsid w:val="00AE1C59"/>
    <w:rsid w:val="00AE2075"/>
    <w:rsid w:val="00AE267B"/>
    <w:rsid w:val="00AE28AA"/>
    <w:rsid w:val="00AE2A39"/>
    <w:rsid w:val="00AE2BB4"/>
    <w:rsid w:val="00AE30D8"/>
    <w:rsid w:val="00AE36DE"/>
    <w:rsid w:val="00AE3CF4"/>
    <w:rsid w:val="00AE526F"/>
    <w:rsid w:val="00AE5638"/>
    <w:rsid w:val="00AE5C25"/>
    <w:rsid w:val="00AE5EF4"/>
    <w:rsid w:val="00AE73AA"/>
    <w:rsid w:val="00AE75E2"/>
    <w:rsid w:val="00AE76F5"/>
    <w:rsid w:val="00AE7898"/>
    <w:rsid w:val="00AE7C5F"/>
    <w:rsid w:val="00AF042D"/>
    <w:rsid w:val="00AF13A2"/>
    <w:rsid w:val="00AF14E5"/>
    <w:rsid w:val="00AF1517"/>
    <w:rsid w:val="00AF157A"/>
    <w:rsid w:val="00AF16EE"/>
    <w:rsid w:val="00AF1DB1"/>
    <w:rsid w:val="00AF2A0F"/>
    <w:rsid w:val="00AF30E1"/>
    <w:rsid w:val="00AF31F6"/>
    <w:rsid w:val="00AF41DA"/>
    <w:rsid w:val="00AF4B40"/>
    <w:rsid w:val="00AF50D5"/>
    <w:rsid w:val="00AF5DD8"/>
    <w:rsid w:val="00AF5EDD"/>
    <w:rsid w:val="00AF61F4"/>
    <w:rsid w:val="00AF625A"/>
    <w:rsid w:val="00AF6D0C"/>
    <w:rsid w:val="00AF75F7"/>
    <w:rsid w:val="00AF7BD3"/>
    <w:rsid w:val="00B00E23"/>
    <w:rsid w:val="00B00E80"/>
    <w:rsid w:val="00B0105F"/>
    <w:rsid w:val="00B015D1"/>
    <w:rsid w:val="00B016E7"/>
    <w:rsid w:val="00B019F6"/>
    <w:rsid w:val="00B029C3"/>
    <w:rsid w:val="00B02DDB"/>
    <w:rsid w:val="00B03940"/>
    <w:rsid w:val="00B039DA"/>
    <w:rsid w:val="00B03F8F"/>
    <w:rsid w:val="00B04548"/>
    <w:rsid w:val="00B04A25"/>
    <w:rsid w:val="00B04E6C"/>
    <w:rsid w:val="00B04FBD"/>
    <w:rsid w:val="00B056A1"/>
    <w:rsid w:val="00B0593A"/>
    <w:rsid w:val="00B067F5"/>
    <w:rsid w:val="00B06F92"/>
    <w:rsid w:val="00B07556"/>
    <w:rsid w:val="00B076BD"/>
    <w:rsid w:val="00B078B0"/>
    <w:rsid w:val="00B07C65"/>
    <w:rsid w:val="00B10F5C"/>
    <w:rsid w:val="00B111B6"/>
    <w:rsid w:val="00B11708"/>
    <w:rsid w:val="00B11DB6"/>
    <w:rsid w:val="00B12040"/>
    <w:rsid w:val="00B1207F"/>
    <w:rsid w:val="00B122FA"/>
    <w:rsid w:val="00B12B5A"/>
    <w:rsid w:val="00B1301E"/>
    <w:rsid w:val="00B136A8"/>
    <w:rsid w:val="00B13811"/>
    <w:rsid w:val="00B1399D"/>
    <w:rsid w:val="00B13B64"/>
    <w:rsid w:val="00B13C84"/>
    <w:rsid w:val="00B14361"/>
    <w:rsid w:val="00B1499F"/>
    <w:rsid w:val="00B154C7"/>
    <w:rsid w:val="00B15B06"/>
    <w:rsid w:val="00B164F3"/>
    <w:rsid w:val="00B16CD3"/>
    <w:rsid w:val="00B17627"/>
    <w:rsid w:val="00B20536"/>
    <w:rsid w:val="00B2094B"/>
    <w:rsid w:val="00B21F72"/>
    <w:rsid w:val="00B226AB"/>
    <w:rsid w:val="00B226B8"/>
    <w:rsid w:val="00B229FD"/>
    <w:rsid w:val="00B22CAF"/>
    <w:rsid w:val="00B22EBE"/>
    <w:rsid w:val="00B23380"/>
    <w:rsid w:val="00B241B2"/>
    <w:rsid w:val="00B2578A"/>
    <w:rsid w:val="00B25858"/>
    <w:rsid w:val="00B25FEF"/>
    <w:rsid w:val="00B26B3B"/>
    <w:rsid w:val="00B26BB0"/>
    <w:rsid w:val="00B2713F"/>
    <w:rsid w:val="00B275EB"/>
    <w:rsid w:val="00B279FA"/>
    <w:rsid w:val="00B303F8"/>
    <w:rsid w:val="00B3073F"/>
    <w:rsid w:val="00B30C75"/>
    <w:rsid w:val="00B311E0"/>
    <w:rsid w:val="00B3152E"/>
    <w:rsid w:val="00B321C1"/>
    <w:rsid w:val="00B3250B"/>
    <w:rsid w:val="00B32586"/>
    <w:rsid w:val="00B333FF"/>
    <w:rsid w:val="00B33996"/>
    <w:rsid w:val="00B34411"/>
    <w:rsid w:val="00B34A76"/>
    <w:rsid w:val="00B3543E"/>
    <w:rsid w:val="00B35518"/>
    <w:rsid w:val="00B36177"/>
    <w:rsid w:val="00B36468"/>
    <w:rsid w:val="00B379CB"/>
    <w:rsid w:val="00B37AD4"/>
    <w:rsid w:val="00B401B0"/>
    <w:rsid w:val="00B408FC"/>
    <w:rsid w:val="00B40D16"/>
    <w:rsid w:val="00B42449"/>
    <w:rsid w:val="00B430B9"/>
    <w:rsid w:val="00B435DF"/>
    <w:rsid w:val="00B43C3B"/>
    <w:rsid w:val="00B4420A"/>
    <w:rsid w:val="00B44223"/>
    <w:rsid w:val="00B44323"/>
    <w:rsid w:val="00B44C05"/>
    <w:rsid w:val="00B45438"/>
    <w:rsid w:val="00B45A20"/>
    <w:rsid w:val="00B45C1C"/>
    <w:rsid w:val="00B45EC9"/>
    <w:rsid w:val="00B45EF7"/>
    <w:rsid w:val="00B45F6B"/>
    <w:rsid w:val="00B461F3"/>
    <w:rsid w:val="00B4671F"/>
    <w:rsid w:val="00B46C8B"/>
    <w:rsid w:val="00B4795C"/>
    <w:rsid w:val="00B50648"/>
    <w:rsid w:val="00B509C2"/>
    <w:rsid w:val="00B514CC"/>
    <w:rsid w:val="00B5168F"/>
    <w:rsid w:val="00B51847"/>
    <w:rsid w:val="00B51BBB"/>
    <w:rsid w:val="00B5225E"/>
    <w:rsid w:val="00B52468"/>
    <w:rsid w:val="00B52533"/>
    <w:rsid w:val="00B52993"/>
    <w:rsid w:val="00B53F32"/>
    <w:rsid w:val="00B541BF"/>
    <w:rsid w:val="00B544D9"/>
    <w:rsid w:val="00B544DD"/>
    <w:rsid w:val="00B54822"/>
    <w:rsid w:val="00B54A33"/>
    <w:rsid w:val="00B55928"/>
    <w:rsid w:val="00B570C5"/>
    <w:rsid w:val="00B5789D"/>
    <w:rsid w:val="00B607F1"/>
    <w:rsid w:val="00B609E5"/>
    <w:rsid w:val="00B60B95"/>
    <w:rsid w:val="00B61849"/>
    <w:rsid w:val="00B61934"/>
    <w:rsid w:val="00B62000"/>
    <w:rsid w:val="00B62294"/>
    <w:rsid w:val="00B62695"/>
    <w:rsid w:val="00B62C85"/>
    <w:rsid w:val="00B645D3"/>
    <w:rsid w:val="00B64B29"/>
    <w:rsid w:val="00B64B99"/>
    <w:rsid w:val="00B65771"/>
    <w:rsid w:val="00B657B4"/>
    <w:rsid w:val="00B65F9D"/>
    <w:rsid w:val="00B66287"/>
    <w:rsid w:val="00B66C0E"/>
    <w:rsid w:val="00B670BF"/>
    <w:rsid w:val="00B678B1"/>
    <w:rsid w:val="00B67A39"/>
    <w:rsid w:val="00B67BA4"/>
    <w:rsid w:val="00B70A0A"/>
    <w:rsid w:val="00B70A14"/>
    <w:rsid w:val="00B70C84"/>
    <w:rsid w:val="00B71308"/>
    <w:rsid w:val="00B7186F"/>
    <w:rsid w:val="00B71892"/>
    <w:rsid w:val="00B71B86"/>
    <w:rsid w:val="00B724A6"/>
    <w:rsid w:val="00B724E6"/>
    <w:rsid w:val="00B72686"/>
    <w:rsid w:val="00B73B25"/>
    <w:rsid w:val="00B74645"/>
    <w:rsid w:val="00B747F4"/>
    <w:rsid w:val="00B750F3"/>
    <w:rsid w:val="00B75986"/>
    <w:rsid w:val="00B75BA4"/>
    <w:rsid w:val="00B75CC0"/>
    <w:rsid w:val="00B75D30"/>
    <w:rsid w:val="00B76700"/>
    <w:rsid w:val="00B775EC"/>
    <w:rsid w:val="00B778EC"/>
    <w:rsid w:val="00B80014"/>
    <w:rsid w:val="00B80705"/>
    <w:rsid w:val="00B80C8E"/>
    <w:rsid w:val="00B82380"/>
    <w:rsid w:val="00B858AF"/>
    <w:rsid w:val="00B8631F"/>
    <w:rsid w:val="00B8646D"/>
    <w:rsid w:val="00B8686A"/>
    <w:rsid w:val="00B86AD8"/>
    <w:rsid w:val="00B86CAA"/>
    <w:rsid w:val="00B87D13"/>
    <w:rsid w:val="00B87EFC"/>
    <w:rsid w:val="00B908B1"/>
    <w:rsid w:val="00B90C21"/>
    <w:rsid w:val="00B91D78"/>
    <w:rsid w:val="00B92232"/>
    <w:rsid w:val="00B923B5"/>
    <w:rsid w:val="00B92423"/>
    <w:rsid w:val="00B92CDC"/>
    <w:rsid w:val="00B933FE"/>
    <w:rsid w:val="00B93872"/>
    <w:rsid w:val="00B9388C"/>
    <w:rsid w:val="00B93ADB"/>
    <w:rsid w:val="00B94FF0"/>
    <w:rsid w:val="00B95F95"/>
    <w:rsid w:val="00B96135"/>
    <w:rsid w:val="00B962D0"/>
    <w:rsid w:val="00B97597"/>
    <w:rsid w:val="00B97FBB"/>
    <w:rsid w:val="00BA00D8"/>
    <w:rsid w:val="00BA05F4"/>
    <w:rsid w:val="00BA0657"/>
    <w:rsid w:val="00BA0A9E"/>
    <w:rsid w:val="00BA1B42"/>
    <w:rsid w:val="00BA1CD2"/>
    <w:rsid w:val="00BA2279"/>
    <w:rsid w:val="00BA2A01"/>
    <w:rsid w:val="00BA3295"/>
    <w:rsid w:val="00BA3825"/>
    <w:rsid w:val="00BA3C13"/>
    <w:rsid w:val="00BA3D2F"/>
    <w:rsid w:val="00BA4730"/>
    <w:rsid w:val="00BA4795"/>
    <w:rsid w:val="00BA4C01"/>
    <w:rsid w:val="00BA58AD"/>
    <w:rsid w:val="00BA5EFF"/>
    <w:rsid w:val="00BA688F"/>
    <w:rsid w:val="00BB08B1"/>
    <w:rsid w:val="00BB093B"/>
    <w:rsid w:val="00BB0AB1"/>
    <w:rsid w:val="00BB182B"/>
    <w:rsid w:val="00BB1CA6"/>
    <w:rsid w:val="00BB1CF3"/>
    <w:rsid w:val="00BB2286"/>
    <w:rsid w:val="00BB229A"/>
    <w:rsid w:val="00BB280F"/>
    <w:rsid w:val="00BB28BA"/>
    <w:rsid w:val="00BB2AA2"/>
    <w:rsid w:val="00BB2C66"/>
    <w:rsid w:val="00BB2E70"/>
    <w:rsid w:val="00BB3506"/>
    <w:rsid w:val="00BB38FF"/>
    <w:rsid w:val="00BB3B83"/>
    <w:rsid w:val="00BB3DD4"/>
    <w:rsid w:val="00BB416E"/>
    <w:rsid w:val="00BB4368"/>
    <w:rsid w:val="00BB437D"/>
    <w:rsid w:val="00BB4685"/>
    <w:rsid w:val="00BB4E60"/>
    <w:rsid w:val="00BB52A3"/>
    <w:rsid w:val="00BB5C19"/>
    <w:rsid w:val="00BB6175"/>
    <w:rsid w:val="00BB6FC8"/>
    <w:rsid w:val="00BB71E0"/>
    <w:rsid w:val="00BB7B0E"/>
    <w:rsid w:val="00BC0D80"/>
    <w:rsid w:val="00BC15CF"/>
    <w:rsid w:val="00BC1E63"/>
    <w:rsid w:val="00BC1EFD"/>
    <w:rsid w:val="00BC2BD4"/>
    <w:rsid w:val="00BC33F6"/>
    <w:rsid w:val="00BC4433"/>
    <w:rsid w:val="00BC4546"/>
    <w:rsid w:val="00BC4744"/>
    <w:rsid w:val="00BC483F"/>
    <w:rsid w:val="00BC4BA9"/>
    <w:rsid w:val="00BC4C6B"/>
    <w:rsid w:val="00BC5290"/>
    <w:rsid w:val="00BC54A2"/>
    <w:rsid w:val="00BC565F"/>
    <w:rsid w:val="00BC6442"/>
    <w:rsid w:val="00BC69EA"/>
    <w:rsid w:val="00BC6C92"/>
    <w:rsid w:val="00BC7153"/>
    <w:rsid w:val="00BC728F"/>
    <w:rsid w:val="00BC73D7"/>
    <w:rsid w:val="00BD047E"/>
    <w:rsid w:val="00BD061B"/>
    <w:rsid w:val="00BD097D"/>
    <w:rsid w:val="00BD0F61"/>
    <w:rsid w:val="00BD133B"/>
    <w:rsid w:val="00BD174E"/>
    <w:rsid w:val="00BD1774"/>
    <w:rsid w:val="00BD1C3A"/>
    <w:rsid w:val="00BD1CA7"/>
    <w:rsid w:val="00BD1CBB"/>
    <w:rsid w:val="00BD2075"/>
    <w:rsid w:val="00BD221B"/>
    <w:rsid w:val="00BD2720"/>
    <w:rsid w:val="00BD2CD8"/>
    <w:rsid w:val="00BD2D00"/>
    <w:rsid w:val="00BD3568"/>
    <w:rsid w:val="00BD36DB"/>
    <w:rsid w:val="00BD3A28"/>
    <w:rsid w:val="00BD42AF"/>
    <w:rsid w:val="00BD43BD"/>
    <w:rsid w:val="00BD4CCA"/>
    <w:rsid w:val="00BD4DB8"/>
    <w:rsid w:val="00BD4FC2"/>
    <w:rsid w:val="00BD5385"/>
    <w:rsid w:val="00BD59BF"/>
    <w:rsid w:val="00BD615D"/>
    <w:rsid w:val="00BD7538"/>
    <w:rsid w:val="00BD7B13"/>
    <w:rsid w:val="00BD7BDA"/>
    <w:rsid w:val="00BD7E98"/>
    <w:rsid w:val="00BD7F32"/>
    <w:rsid w:val="00BE0227"/>
    <w:rsid w:val="00BE0AF4"/>
    <w:rsid w:val="00BE195E"/>
    <w:rsid w:val="00BE1F24"/>
    <w:rsid w:val="00BE2664"/>
    <w:rsid w:val="00BE288A"/>
    <w:rsid w:val="00BE298D"/>
    <w:rsid w:val="00BE2D44"/>
    <w:rsid w:val="00BE3141"/>
    <w:rsid w:val="00BE346F"/>
    <w:rsid w:val="00BE34EF"/>
    <w:rsid w:val="00BE35B7"/>
    <w:rsid w:val="00BE36D3"/>
    <w:rsid w:val="00BE39E5"/>
    <w:rsid w:val="00BE3F8B"/>
    <w:rsid w:val="00BE4281"/>
    <w:rsid w:val="00BE4996"/>
    <w:rsid w:val="00BE4B3F"/>
    <w:rsid w:val="00BE4BF9"/>
    <w:rsid w:val="00BE54A5"/>
    <w:rsid w:val="00BE58D2"/>
    <w:rsid w:val="00BE5A16"/>
    <w:rsid w:val="00BE5AF8"/>
    <w:rsid w:val="00BE5C40"/>
    <w:rsid w:val="00BE5DFF"/>
    <w:rsid w:val="00BE61FA"/>
    <w:rsid w:val="00BE6410"/>
    <w:rsid w:val="00BE6E4B"/>
    <w:rsid w:val="00BE6F97"/>
    <w:rsid w:val="00BE6FF9"/>
    <w:rsid w:val="00BF011D"/>
    <w:rsid w:val="00BF156B"/>
    <w:rsid w:val="00BF227C"/>
    <w:rsid w:val="00BF27E1"/>
    <w:rsid w:val="00BF3A64"/>
    <w:rsid w:val="00BF3D2F"/>
    <w:rsid w:val="00BF40B1"/>
    <w:rsid w:val="00BF42CA"/>
    <w:rsid w:val="00BF4DB6"/>
    <w:rsid w:val="00BF4F41"/>
    <w:rsid w:val="00BF50C0"/>
    <w:rsid w:val="00BF51DC"/>
    <w:rsid w:val="00BF59F5"/>
    <w:rsid w:val="00BF667C"/>
    <w:rsid w:val="00BF6702"/>
    <w:rsid w:val="00BF7A65"/>
    <w:rsid w:val="00BF7C99"/>
    <w:rsid w:val="00C0061B"/>
    <w:rsid w:val="00C007F5"/>
    <w:rsid w:val="00C011CA"/>
    <w:rsid w:val="00C01C68"/>
    <w:rsid w:val="00C03027"/>
    <w:rsid w:val="00C03BC5"/>
    <w:rsid w:val="00C03DF6"/>
    <w:rsid w:val="00C040A5"/>
    <w:rsid w:val="00C04111"/>
    <w:rsid w:val="00C045C0"/>
    <w:rsid w:val="00C05032"/>
    <w:rsid w:val="00C0515E"/>
    <w:rsid w:val="00C0572A"/>
    <w:rsid w:val="00C05ED7"/>
    <w:rsid w:val="00C0617A"/>
    <w:rsid w:val="00C06724"/>
    <w:rsid w:val="00C06CD5"/>
    <w:rsid w:val="00C06F25"/>
    <w:rsid w:val="00C07280"/>
    <w:rsid w:val="00C07BA7"/>
    <w:rsid w:val="00C10143"/>
    <w:rsid w:val="00C1054F"/>
    <w:rsid w:val="00C10977"/>
    <w:rsid w:val="00C10C8A"/>
    <w:rsid w:val="00C12018"/>
    <w:rsid w:val="00C13F09"/>
    <w:rsid w:val="00C15004"/>
    <w:rsid w:val="00C15CF2"/>
    <w:rsid w:val="00C15D7A"/>
    <w:rsid w:val="00C15E2D"/>
    <w:rsid w:val="00C1636B"/>
    <w:rsid w:val="00C16FFC"/>
    <w:rsid w:val="00C174D3"/>
    <w:rsid w:val="00C17C0F"/>
    <w:rsid w:val="00C20E42"/>
    <w:rsid w:val="00C21CCE"/>
    <w:rsid w:val="00C223B7"/>
    <w:rsid w:val="00C22635"/>
    <w:rsid w:val="00C22D04"/>
    <w:rsid w:val="00C22DD4"/>
    <w:rsid w:val="00C2322B"/>
    <w:rsid w:val="00C23630"/>
    <w:rsid w:val="00C23913"/>
    <w:rsid w:val="00C24B0C"/>
    <w:rsid w:val="00C2514C"/>
    <w:rsid w:val="00C2543A"/>
    <w:rsid w:val="00C25B50"/>
    <w:rsid w:val="00C261B0"/>
    <w:rsid w:val="00C262A2"/>
    <w:rsid w:val="00C27413"/>
    <w:rsid w:val="00C27D25"/>
    <w:rsid w:val="00C27F59"/>
    <w:rsid w:val="00C31231"/>
    <w:rsid w:val="00C326D0"/>
    <w:rsid w:val="00C33B3A"/>
    <w:rsid w:val="00C34388"/>
    <w:rsid w:val="00C34A16"/>
    <w:rsid w:val="00C350FC"/>
    <w:rsid w:val="00C35248"/>
    <w:rsid w:val="00C35DDE"/>
    <w:rsid w:val="00C361A3"/>
    <w:rsid w:val="00C3792C"/>
    <w:rsid w:val="00C379E8"/>
    <w:rsid w:val="00C37E0F"/>
    <w:rsid w:val="00C41901"/>
    <w:rsid w:val="00C42188"/>
    <w:rsid w:val="00C4250C"/>
    <w:rsid w:val="00C43738"/>
    <w:rsid w:val="00C44027"/>
    <w:rsid w:val="00C4450B"/>
    <w:rsid w:val="00C447BA"/>
    <w:rsid w:val="00C44A4B"/>
    <w:rsid w:val="00C44DBE"/>
    <w:rsid w:val="00C451D5"/>
    <w:rsid w:val="00C453DA"/>
    <w:rsid w:val="00C455AD"/>
    <w:rsid w:val="00C457B0"/>
    <w:rsid w:val="00C4695B"/>
    <w:rsid w:val="00C472A8"/>
    <w:rsid w:val="00C472D1"/>
    <w:rsid w:val="00C47455"/>
    <w:rsid w:val="00C47725"/>
    <w:rsid w:val="00C47793"/>
    <w:rsid w:val="00C47C39"/>
    <w:rsid w:val="00C47F22"/>
    <w:rsid w:val="00C50644"/>
    <w:rsid w:val="00C50837"/>
    <w:rsid w:val="00C508FC"/>
    <w:rsid w:val="00C51326"/>
    <w:rsid w:val="00C51FEA"/>
    <w:rsid w:val="00C52748"/>
    <w:rsid w:val="00C52E49"/>
    <w:rsid w:val="00C5361E"/>
    <w:rsid w:val="00C5438F"/>
    <w:rsid w:val="00C544A6"/>
    <w:rsid w:val="00C54535"/>
    <w:rsid w:val="00C54EC4"/>
    <w:rsid w:val="00C55CA5"/>
    <w:rsid w:val="00C55DD1"/>
    <w:rsid w:val="00C5611D"/>
    <w:rsid w:val="00C60DAC"/>
    <w:rsid w:val="00C61474"/>
    <w:rsid w:val="00C61607"/>
    <w:rsid w:val="00C61AD4"/>
    <w:rsid w:val="00C62508"/>
    <w:rsid w:val="00C630D0"/>
    <w:rsid w:val="00C63443"/>
    <w:rsid w:val="00C6360E"/>
    <w:rsid w:val="00C637D8"/>
    <w:rsid w:val="00C64240"/>
    <w:rsid w:val="00C642F4"/>
    <w:rsid w:val="00C6437C"/>
    <w:rsid w:val="00C64746"/>
    <w:rsid w:val="00C64CB2"/>
    <w:rsid w:val="00C64F11"/>
    <w:rsid w:val="00C65961"/>
    <w:rsid w:val="00C66763"/>
    <w:rsid w:val="00C66822"/>
    <w:rsid w:val="00C6769E"/>
    <w:rsid w:val="00C67EF4"/>
    <w:rsid w:val="00C704E4"/>
    <w:rsid w:val="00C705AD"/>
    <w:rsid w:val="00C70E2A"/>
    <w:rsid w:val="00C71207"/>
    <w:rsid w:val="00C71281"/>
    <w:rsid w:val="00C714C2"/>
    <w:rsid w:val="00C716AC"/>
    <w:rsid w:val="00C71782"/>
    <w:rsid w:val="00C72156"/>
    <w:rsid w:val="00C732BB"/>
    <w:rsid w:val="00C7357C"/>
    <w:rsid w:val="00C7359F"/>
    <w:rsid w:val="00C737D6"/>
    <w:rsid w:val="00C7422E"/>
    <w:rsid w:val="00C74343"/>
    <w:rsid w:val="00C753EF"/>
    <w:rsid w:val="00C753FE"/>
    <w:rsid w:val="00C75F7D"/>
    <w:rsid w:val="00C76497"/>
    <w:rsid w:val="00C7655D"/>
    <w:rsid w:val="00C76B14"/>
    <w:rsid w:val="00C76E8D"/>
    <w:rsid w:val="00C76FCA"/>
    <w:rsid w:val="00C772AE"/>
    <w:rsid w:val="00C774EA"/>
    <w:rsid w:val="00C77927"/>
    <w:rsid w:val="00C80165"/>
    <w:rsid w:val="00C801E5"/>
    <w:rsid w:val="00C801FF"/>
    <w:rsid w:val="00C816C2"/>
    <w:rsid w:val="00C82A93"/>
    <w:rsid w:val="00C82B31"/>
    <w:rsid w:val="00C8329C"/>
    <w:rsid w:val="00C83357"/>
    <w:rsid w:val="00C83D76"/>
    <w:rsid w:val="00C83EAB"/>
    <w:rsid w:val="00C84056"/>
    <w:rsid w:val="00C8441A"/>
    <w:rsid w:val="00C84732"/>
    <w:rsid w:val="00C85181"/>
    <w:rsid w:val="00C8540A"/>
    <w:rsid w:val="00C86342"/>
    <w:rsid w:val="00C866D4"/>
    <w:rsid w:val="00C869FA"/>
    <w:rsid w:val="00C86A43"/>
    <w:rsid w:val="00C86B0D"/>
    <w:rsid w:val="00C86B41"/>
    <w:rsid w:val="00C86CE8"/>
    <w:rsid w:val="00C8731D"/>
    <w:rsid w:val="00C87AA2"/>
    <w:rsid w:val="00C90972"/>
    <w:rsid w:val="00C91449"/>
    <w:rsid w:val="00C91C0D"/>
    <w:rsid w:val="00C9221A"/>
    <w:rsid w:val="00C92334"/>
    <w:rsid w:val="00C92F22"/>
    <w:rsid w:val="00C9314B"/>
    <w:rsid w:val="00C932AB"/>
    <w:rsid w:val="00C935EA"/>
    <w:rsid w:val="00C936D4"/>
    <w:rsid w:val="00C93BF6"/>
    <w:rsid w:val="00C93D32"/>
    <w:rsid w:val="00C94146"/>
    <w:rsid w:val="00C9417F"/>
    <w:rsid w:val="00C941FF"/>
    <w:rsid w:val="00C94C2B"/>
    <w:rsid w:val="00C95107"/>
    <w:rsid w:val="00C9518A"/>
    <w:rsid w:val="00C95439"/>
    <w:rsid w:val="00C955C5"/>
    <w:rsid w:val="00C95ACC"/>
    <w:rsid w:val="00C95E23"/>
    <w:rsid w:val="00C96802"/>
    <w:rsid w:val="00C9685A"/>
    <w:rsid w:val="00C96CEA"/>
    <w:rsid w:val="00C97119"/>
    <w:rsid w:val="00C97896"/>
    <w:rsid w:val="00C978C2"/>
    <w:rsid w:val="00CA065A"/>
    <w:rsid w:val="00CA076B"/>
    <w:rsid w:val="00CA0A74"/>
    <w:rsid w:val="00CA0BDC"/>
    <w:rsid w:val="00CA1DEC"/>
    <w:rsid w:val="00CA2D98"/>
    <w:rsid w:val="00CA3056"/>
    <w:rsid w:val="00CA3679"/>
    <w:rsid w:val="00CA3E48"/>
    <w:rsid w:val="00CA3E92"/>
    <w:rsid w:val="00CA493D"/>
    <w:rsid w:val="00CA4CDC"/>
    <w:rsid w:val="00CA5120"/>
    <w:rsid w:val="00CA581E"/>
    <w:rsid w:val="00CA6115"/>
    <w:rsid w:val="00CA6570"/>
    <w:rsid w:val="00CA6920"/>
    <w:rsid w:val="00CA6BCE"/>
    <w:rsid w:val="00CA7A39"/>
    <w:rsid w:val="00CA7BD4"/>
    <w:rsid w:val="00CB0270"/>
    <w:rsid w:val="00CB0924"/>
    <w:rsid w:val="00CB0C00"/>
    <w:rsid w:val="00CB0E3A"/>
    <w:rsid w:val="00CB1685"/>
    <w:rsid w:val="00CB1F59"/>
    <w:rsid w:val="00CB2023"/>
    <w:rsid w:val="00CB27C6"/>
    <w:rsid w:val="00CB2F9A"/>
    <w:rsid w:val="00CB3352"/>
    <w:rsid w:val="00CB3B3F"/>
    <w:rsid w:val="00CB433E"/>
    <w:rsid w:val="00CB4392"/>
    <w:rsid w:val="00CB4B70"/>
    <w:rsid w:val="00CB4EBB"/>
    <w:rsid w:val="00CB53CC"/>
    <w:rsid w:val="00CB561F"/>
    <w:rsid w:val="00CB5C05"/>
    <w:rsid w:val="00CB6E22"/>
    <w:rsid w:val="00CB6E8C"/>
    <w:rsid w:val="00CB72E3"/>
    <w:rsid w:val="00CB7A6D"/>
    <w:rsid w:val="00CB7C33"/>
    <w:rsid w:val="00CB7E3F"/>
    <w:rsid w:val="00CC0671"/>
    <w:rsid w:val="00CC0A90"/>
    <w:rsid w:val="00CC1B59"/>
    <w:rsid w:val="00CC1E65"/>
    <w:rsid w:val="00CC2401"/>
    <w:rsid w:val="00CC259A"/>
    <w:rsid w:val="00CC3001"/>
    <w:rsid w:val="00CC3105"/>
    <w:rsid w:val="00CC334A"/>
    <w:rsid w:val="00CC35E2"/>
    <w:rsid w:val="00CC37FC"/>
    <w:rsid w:val="00CC38FC"/>
    <w:rsid w:val="00CC4D38"/>
    <w:rsid w:val="00CC5109"/>
    <w:rsid w:val="00CC5364"/>
    <w:rsid w:val="00CC6361"/>
    <w:rsid w:val="00CC63FB"/>
    <w:rsid w:val="00CC670A"/>
    <w:rsid w:val="00CD058F"/>
    <w:rsid w:val="00CD0836"/>
    <w:rsid w:val="00CD0A1C"/>
    <w:rsid w:val="00CD1318"/>
    <w:rsid w:val="00CD193B"/>
    <w:rsid w:val="00CD1B16"/>
    <w:rsid w:val="00CD2182"/>
    <w:rsid w:val="00CD2698"/>
    <w:rsid w:val="00CD2771"/>
    <w:rsid w:val="00CD2C8F"/>
    <w:rsid w:val="00CD2D30"/>
    <w:rsid w:val="00CD325C"/>
    <w:rsid w:val="00CD33A7"/>
    <w:rsid w:val="00CD34EA"/>
    <w:rsid w:val="00CD3EF7"/>
    <w:rsid w:val="00CD5136"/>
    <w:rsid w:val="00CD56B7"/>
    <w:rsid w:val="00CD5945"/>
    <w:rsid w:val="00CD5BE1"/>
    <w:rsid w:val="00CD5D30"/>
    <w:rsid w:val="00CD5D7A"/>
    <w:rsid w:val="00CD61C8"/>
    <w:rsid w:val="00CD654B"/>
    <w:rsid w:val="00CD6611"/>
    <w:rsid w:val="00CD6666"/>
    <w:rsid w:val="00CD6E63"/>
    <w:rsid w:val="00CD6EFC"/>
    <w:rsid w:val="00CD753C"/>
    <w:rsid w:val="00CD773B"/>
    <w:rsid w:val="00CD777B"/>
    <w:rsid w:val="00CE04C5"/>
    <w:rsid w:val="00CE0955"/>
    <w:rsid w:val="00CE0FC2"/>
    <w:rsid w:val="00CE101E"/>
    <w:rsid w:val="00CE1251"/>
    <w:rsid w:val="00CE1533"/>
    <w:rsid w:val="00CE1E05"/>
    <w:rsid w:val="00CE1F19"/>
    <w:rsid w:val="00CE321B"/>
    <w:rsid w:val="00CE34AB"/>
    <w:rsid w:val="00CE35B0"/>
    <w:rsid w:val="00CE361F"/>
    <w:rsid w:val="00CE4093"/>
    <w:rsid w:val="00CE47DC"/>
    <w:rsid w:val="00CE50CB"/>
    <w:rsid w:val="00CE5641"/>
    <w:rsid w:val="00CE5E48"/>
    <w:rsid w:val="00CE697F"/>
    <w:rsid w:val="00CE6AAA"/>
    <w:rsid w:val="00CE6CAA"/>
    <w:rsid w:val="00CE783E"/>
    <w:rsid w:val="00CE7E5B"/>
    <w:rsid w:val="00CF065B"/>
    <w:rsid w:val="00CF08DE"/>
    <w:rsid w:val="00CF0CDD"/>
    <w:rsid w:val="00CF0EF0"/>
    <w:rsid w:val="00CF14F2"/>
    <w:rsid w:val="00CF16D3"/>
    <w:rsid w:val="00CF22A7"/>
    <w:rsid w:val="00CF230E"/>
    <w:rsid w:val="00CF2CBA"/>
    <w:rsid w:val="00CF2FD6"/>
    <w:rsid w:val="00CF327F"/>
    <w:rsid w:val="00CF3909"/>
    <w:rsid w:val="00CF3D92"/>
    <w:rsid w:val="00CF43F4"/>
    <w:rsid w:val="00CF4412"/>
    <w:rsid w:val="00CF459F"/>
    <w:rsid w:val="00CF4B55"/>
    <w:rsid w:val="00CF5166"/>
    <w:rsid w:val="00CF5257"/>
    <w:rsid w:val="00CF54DC"/>
    <w:rsid w:val="00CF55BE"/>
    <w:rsid w:val="00CF59CF"/>
    <w:rsid w:val="00CF5D1A"/>
    <w:rsid w:val="00CF5E56"/>
    <w:rsid w:val="00CF5F6E"/>
    <w:rsid w:val="00CF60ED"/>
    <w:rsid w:val="00CF64D1"/>
    <w:rsid w:val="00CF65EC"/>
    <w:rsid w:val="00CF6887"/>
    <w:rsid w:val="00CF690C"/>
    <w:rsid w:val="00CF75A1"/>
    <w:rsid w:val="00CF770E"/>
    <w:rsid w:val="00CF7F40"/>
    <w:rsid w:val="00D0026D"/>
    <w:rsid w:val="00D003A8"/>
    <w:rsid w:val="00D003BA"/>
    <w:rsid w:val="00D00B5E"/>
    <w:rsid w:val="00D00FB3"/>
    <w:rsid w:val="00D01029"/>
    <w:rsid w:val="00D0149D"/>
    <w:rsid w:val="00D025CC"/>
    <w:rsid w:val="00D02659"/>
    <w:rsid w:val="00D02834"/>
    <w:rsid w:val="00D02C42"/>
    <w:rsid w:val="00D03D6C"/>
    <w:rsid w:val="00D03E56"/>
    <w:rsid w:val="00D03FC9"/>
    <w:rsid w:val="00D04708"/>
    <w:rsid w:val="00D04AF6"/>
    <w:rsid w:val="00D04BCF"/>
    <w:rsid w:val="00D04C06"/>
    <w:rsid w:val="00D04D4E"/>
    <w:rsid w:val="00D05257"/>
    <w:rsid w:val="00D05AC6"/>
    <w:rsid w:val="00D06355"/>
    <w:rsid w:val="00D06955"/>
    <w:rsid w:val="00D06CBC"/>
    <w:rsid w:val="00D0721D"/>
    <w:rsid w:val="00D073E6"/>
    <w:rsid w:val="00D0771E"/>
    <w:rsid w:val="00D07D3F"/>
    <w:rsid w:val="00D07FBB"/>
    <w:rsid w:val="00D1054C"/>
    <w:rsid w:val="00D1060D"/>
    <w:rsid w:val="00D106B3"/>
    <w:rsid w:val="00D1087A"/>
    <w:rsid w:val="00D110F9"/>
    <w:rsid w:val="00D1155C"/>
    <w:rsid w:val="00D11B3D"/>
    <w:rsid w:val="00D11F03"/>
    <w:rsid w:val="00D12A92"/>
    <w:rsid w:val="00D12AA5"/>
    <w:rsid w:val="00D12C0D"/>
    <w:rsid w:val="00D12E84"/>
    <w:rsid w:val="00D13201"/>
    <w:rsid w:val="00D13271"/>
    <w:rsid w:val="00D132D2"/>
    <w:rsid w:val="00D1339B"/>
    <w:rsid w:val="00D1457F"/>
    <w:rsid w:val="00D146F3"/>
    <w:rsid w:val="00D14762"/>
    <w:rsid w:val="00D1501C"/>
    <w:rsid w:val="00D15A4E"/>
    <w:rsid w:val="00D15E74"/>
    <w:rsid w:val="00D162BB"/>
    <w:rsid w:val="00D16EBF"/>
    <w:rsid w:val="00D172B0"/>
    <w:rsid w:val="00D177BB"/>
    <w:rsid w:val="00D20018"/>
    <w:rsid w:val="00D2058B"/>
    <w:rsid w:val="00D2063F"/>
    <w:rsid w:val="00D20BE4"/>
    <w:rsid w:val="00D20CB9"/>
    <w:rsid w:val="00D21272"/>
    <w:rsid w:val="00D216DD"/>
    <w:rsid w:val="00D22FBD"/>
    <w:rsid w:val="00D2335A"/>
    <w:rsid w:val="00D23D75"/>
    <w:rsid w:val="00D23E2C"/>
    <w:rsid w:val="00D24203"/>
    <w:rsid w:val="00D2421A"/>
    <w:rsid w:val="00D244E6"/>
    <w:rsid w:val="00D24530"/>
    <w:rsid w:val="00D248E4"/>
    <w:rsid w:val="00D2497E"/>
    <w:rsid w:val="00D24C61"/>
    <w:rsid w:val="00D24FFA"/>
    <w:rsid w:val="00D2576F"/>
    <w:rsid w:val="00D261C0"/>
    <w:rsid w:val="00D26897"/>
    <w:rsid w:val="00D27F5B"/>
    <w:rsid w:val="00D30536"/>
    <w:rsid w:val="00D306E0"/>
    <w:rsid w:val="00D31572"/>
    <w:rsid w:val="00D31F08"/>
    <w:rsid w:val="00D31FD4"/>
    <w:rsid w:val="00D3280B"/>
    <w:rsid w:val="00D33875"/>
    <w:rsid w:val="00D33916"/>
    <w:rsid w:val="00D33A23"/>
    <w:rsid w:val="00D33A7B"/>
    <w:rsid w:val="00D34056"/>
    <w:rsid w:val="00D3448D"/>
    <w:rsid w:val="00D349C3"/>
    <w:rsid w:val="00D35D02"/>
    <w:rsid w:val="00D36873"/>
    <w:rsid w:val="00D36ADA"/>
    <w:rsid w:val="00D374CA"/>
    <w:rsid w:val="00D37529"/>
    <w:rsid w:val="00D402AD"/>
    <w:rsid w:val="00D407F3"/>
    <w:rsid w:val="00D41115"/>
    <w:rsid w:val="00D41224"/>
    <w:rsid w:val="00D41609"/>
    <w:rsid w:val="00D41781"/>
    <w:rsid w:val="00D417B4"/>
    <w:rsid w:val="00D4231C"/>
    <w:rsid w:val="00D4240E"/>
    <w:rsid w:val="00D42C41"/>
    <w:rsid w:val="00D430AD"/>
    <w:rsid w:val="00D43547"/>
    <w:rsid w:val="00D44163"/>
    <w:rsid w:val="00D444E3"/>
    <w:rsid w:val="00D44661"/>
    <w:rsid w:val="00D446B2"/>
    <w:rsid w:val="00D4471F"/>
    <w:rsid w:val="00D44F27"/>
    <w:rsid w:val="00D4622E"/>
    <w:rsid w:val="00D46DB4"/>
    <w:rsid w:val="00D508DB"/>
    <w:rsid w:val="00D50DFA"/>
    <w:rsid w:val="00D5104D"/>
    <w:rsid w:val="00D51665"/>
    <w:rsid w:val="00D51A2D"/>
    <w:rsid w:val="00D51D87"/>
    <w:rsid w:val="00D51E1B"/>
    <w:rsid w:val="00D51F3A"/>
    <w:rsid w:val="00D5224A"/>
    <w:rsid w:val="00D524E6"/>
    <w:rsid w:val="00D52CC7"/>
    <w:rsid w:val="00D52D40"/>
    <w:rsid w:val="00D5334B"/>
    <w:rsid w:val="00D53C19"/>
    <w:rsid w:val="00D54179"/>
    <w:rsid w:val="00D54BDE"/>
    <w:rsid w:val="00D54F2A"/>
    <w:rsid w:val="00D55283"/>
    <w:rsid w:val="00D552CE"/>
    <w:rsid w:val="00D558C8"/>
    <w:rsid w:val="00D55D09"/>
    <w:rsid w:val="00D55FB0"/>
    <w:rsid w:val="00D569F5"/>
    <w:rsid w:val="00D56F70"/>
    <w:rsid w:val="00D571DB"/>
    <w:rsid w:val="00D57A1C"/>
    <w:rsid w:val="00D57B19"/>
    <w:rsid w:val="00D57C77"/>
    <w:rsid w:val="00D57D47"/>
    <w:rsid w:val="00D57F88"/>
    <w:rsid w:val="00D6009C"/>
    <w:rsid w:val="00D60870"/>
    <w:rsid w:val="00D60F64"/>
    <w:rsid w:val="00D61A35"/>
    <w:rsid w:val="00D61B89"/>
    <w:rsid w:val="00D61C53"/>
    <w:rsid w:val="00D6244F"/>
    <w:rsid w:val="00D629CE"/>
    <w:rsid w:val="00D62B91"/>
    <w:rsid w:val="00D630CF"/>
    <w:rsid w:val="00D632D4"/>
    <w:rsid w:val="00D63642"/>
    <w:rsid w:val="00D63D52"/>
    <w:rsid w:val="00D63DFD"/>
    <w:rsid w:val="00D64392"/>
    <w:rsid w:val="00D65C9E"/>
    <w:rsid w:val="00D6720F"/>
    <w:rsid w:val="00D676F4"/>
    <w:rsid w:val="00D67C2D"/>
    <w:rsid w:val="00D67CEB"/>
    <w:rsid w:val="00D706F6"/>
    <w:rsid w:val="00D710B7"/>
    <w:rsid w:val="00D715BE"/>
    <w:rsid w:val="00D71CF1"/>
    <w:rsid w:val="00D71F67"/>
    <w:rsid w:val="00D72433"/>
    <w:rsid w:val="00D72508"/>
    <w:rsid w:val="00D72AC4"/>
    <w:rsid w:val="00D737C3"/>
    <w:rsid w:val="00D73896"/>
    <w:rsid w:val="00D74424"/>
    <w:rsid w:val="00D744FD"/>
    <w:rsid w:val="00D74ED8"/>
    <w:rsid w:val="00D75440"/>
    <w:rsid w:val="00D75BA1"/>
    <w:rsid w:val="00D76149"/>
    <w:rsid w:val="00D7663F"/>
    <w:rsid w:val="00D76C9A"/>
    <w:rsid w:val="00D773D0"/>
    <w:rsid w:val="00D774C2"/>
    <w:rsid w:val="00D775C2"/>
    <w:rsid w:val="00D77898"/>
    <w:rsid w:val="00D77D94"/>
    <w:rsid w:val="00D77E2B"/>
    <w:rsid w:val="00D77F26"/>
    <w:rsid w:val="00D80157"/>
    <w:rsid w:val="00D80547"/>
    <w:rsid w:val="00D80EDA"/>
    <w:rsid w:val="00D810CE"/>
    <w:rsid w:val="00D81144"/>
    <w:rsid w:val="00D81521"/>
    <w:rsid w:val="00D816F6"/>
    <w:rsid w:val="00D8202A"/>
    <w:rsid w:val="00D821FD"/>
    <w:rsid w:val="00D82AF6"/>
    <w:rsid w:val="00D82C1D"/>
    <w:rsid w:val="00D83260"/>
    <w:rsid w:val="00D8345A"/>
    <w:rsid w:val="00D83AD2"/>
    <w:rsid w:val="00D83AD6"/>
    <w:rsid w:val="00D83FFC"/>
    <w:rsid w:val="00D84054"/>
    <w:rsid w:val="00D843C9"/>
    <w:rsid w:val="00D84548"/>
    <w:rsid w:val="00D84644"/>
    <w:rsid w:val="00D85040"/>
    <w:rsid w:val="00D8567D"/>
    <w:rsid w:val="00D85F3A"/>
    <w:rsid w:val="00D866CD"/>
    <w:rsid w:val="00D86A64"/>
    <w:rsid w:val="00D8742F"/>
    <w:rsid w:val="00D874D3"/>
    <w:rsid w:val="00D87583"/>
    <w:rsid w:val="00D875B3"/>
    <w:rsid w:val="00D9004C"/>
    <w:rsid w:val="00D900DF"/>
    <w:rsid w:val="00D90C23"/>
    <w:rsid w:val="00D910F3"/>
    <w:rsid w:val="00D914E0"/>
    <w:rsid w:val="00D9153A"/>
    <w:rsid w:val="00D92992"/>
    <w:rsid w:val="00D92A33"/>
    <w:rsid w:val="00D9322B"/>
    <w:rsid w:val="00D93385"/>
    <w:rsid w:val="00D93641"/>
    <w:rsid w:val="00D939F5"/>
    <w:rsid w:val="00D93B6E"/>
    <w:rsid w:val="00D93BF5"/>
    <w:rsid w:val="00D94C7A"/>
    <w:rsid w:val="00D94EE3"/>
    <w:rsid w:val="00D94F32"/>
    <w:rsid w:val="00D95328"/>
    <w:rsid w:val="00D957A5"/>
    <w:rsid w:val="00D95A7A"/>
    <w:rsid w:val="00D96106"/>
    <w:rsid w:val="00D97F77"/>
    <w:rsid w:val="00DA0390"/>
    <w:rsid w:val="00DA0457"/>
    <w:rsid w:val="00DA08AB"/>
    <w:rsid w:val="00DA0CB0"/>
    <w:rsid w:val="00DA12BA"/>
    <w:rsid w:val="00DA1884"/>
    <w:rsid w:val="00DA1BAC"/>
    <w:rsid w:val="00DA214B"/>
    <w:rsid w:val="00DA241F"/>
    <w:rsid w:val="00DA3C56"/>
    <w:rsid w:val="00DA3ED7"/>
    <w:rsid w:val="00DA3F53"/>
    <w:rsid w:val="00DA3FD3"/>
    <w:rsid w:val="00DA4072"/>
    <w:rsid w:val="00DA448E"/>
    <w:rsid w:val="00DA4BA6"/>
    <w:rsid w:val="00DA5C32"/>
    <w:rsid w:val="00DA6EDC"/>
    <w:rsid w:val="00DA7513"/>
    <w:rsid w:val="00DA78EC"/>
    <w:rsid w:val="00DA7A12"/>
    <w:rsid w:val="00DA7C93"/>
    <w:rsid w:val="00DA7D80"/>
    <w:rsid w:val="00DA7EF8"/>
    <w:rsid w:val="00DB19F2"/>
    <w:rsid w:val="00DB1B07"/>
    <w:rsid w:val="00DB2074"/>
    <w:rsid w:val="00DB22D0"/>
    <w:rsid w:val="00DB2944"/>
    <w:rsid w:val="00DB2954"/>
    <w:rsid w:val="00DB2D64"/>
    <w:rsid w:val="00DB2FEE"/>
    <w:rsid w:val="00DB3158"/>
    <w:rsid w:val="00DB31DA"/>
    <w:rsid w:val="00DB3A03"/>
    <w:rsid w:val="00DB3B07"/>
    <w:rsid w:val="00DB40C3"/>
    <w:rsid w:val="00DB49CF"/>
    <w:rsid w:val="00DB4B8C"/>
    <w:rsid w:val="00DB5144"/>
    <w:rsid w:val="00DB558A"/>
    <w:rsid w:val="00DB6C38"/>
    <w:rsid w:val="00DB6C8D"/>
    <w:rsid w:val="00DB7960"/>
    <w:rsid w:val="00DB7C4B"/>
    <w:rsid w:val="00DB7CC2"/>
    <w:rsid w:val="00DC017C"/>
    <w:rsid w:val="00DC0823"/>
    <w:rsid w:val="00DC130C"/>
    <w:rsid w:val="00DC16F4"/>
    <w:rsid w:val="00DC1C69"/>
    <w:rsid w:val="00DC2B34"/>
    <w:rsid w:val="00DC3D1B"/>
    <w:rsid w:val="00DC3E06"/>
    <w:rsid w:val="00DC3FE9"/>
    <w:rsid w:val="00DC4448"/>
    <w:rsid w:val="00DC4764"/>
    <w:rsid w:val="00DC49F4"/>
    <w:rsid w:val="00DC4AC0"/>
    <w:rsid w:val="00DC5416"/>
    <w:rsid w:val="00DC5B4D"/>
    <w:rsid w:val="00DC5B5F"/>
    <w:rsid w:val="00DC64FA"/>
    <w:rsid w:val="00DC7993"/>
    <w:rsid w:val="00DC7CCB"/>
    <w:rsid w:val="00DD008C"/>
    <w:rsid w:val="00DD0292"/>
    <w:rsid w:val="00DD04E5"/>
    <w:rsid w:val="00DD0914"/>
    <w:rsid w:val="00DD103C"/>
    <w:rsid w:val="00DD1150"/>
    <w:rsid w:val="00DD1B46"/>
    <w:rsid w:val="00DD215D"/>
    <w:rsid w:val="00DD2DEE"/>
    <w:rsid w:val="00DD2F52"/>
    <w:rsid w:val="00DD2FD5"/>
    <w:rsid w:val="00DD32F3"/>
    <w:rsid w:val="00DD33AC"/>
    <w:rsid w:val="00DD3471"/>
    <w:rsid w:val="00DD54BE"/>
    <w:rsid w:val="00DD5944"/>
    <w:rsid w:val="00DD60E4"/>
    <w:rsid w:val="00DD6210"/>
    <w:rsid w:val="00DD6782"/>
    <w:rsid w:val="00DD68C2"/>
    <w:rsid w:val="00DD6B9F"/>
    <w:rsid w:val="00DD73DB"/>
    <w:rsid w:val="00DD76E5"/>
    <w:rsid w:val="00DD7FC7"/>
    <w:rsid w:val="00DE05AF"/>
    <w:rsid w:val="00DE0F5E"/>
    <w:rsid w:val="00DE187F"/>
    <w:rsid w:val="00DE1891"/>
    <w:rsid w:val="00DE1B40"/>
    <w:rsid w:val="00DE21F5"/>
    <w:rsid w:val="00DE2F71"/>
    <w:rsid w:val="00DE3031"/>
    <w:rsid w:val="00DE33A2"/>
    <w:rsid w:val="00DE3626"/>
    <w:rsid w:val="00DE36C5"/>
    <w:rsid w:val="00DE3FC5"/>
    <w:rsid w:val="00DE4FE7"/>
    <w:rsid w:val="00DE50F8"/>
    <w:rsid w:val="00DE5262"/>
    <w:rsid w:val="00DE587E"/>
    <w:rsid w:val="00DE5B74"/>
    <w:rsid w:val="00DE66D1"/>
    <w:rsid w:val="00DE66F3"/>
    <w:rsid w:val="00DE775E"/>
    <w:rsid w:val="00DF08F3"/>
    <w:rsid w:val="00DF0982"/>
    <w:rsid w:val="00DF0CB9"/>
    <w:rsid w:val="00DF115F"/>
    <w:rsid w:val="00DF1167"/>
    <w:rsid w:val="00DF1348"/>
    <w:rsid w:val="00DF1406"/>
    <w:rsid w:val="00DF1413"/>
    <w:rsid w:val="00DF1B56"/>
    <w:rsid w:val="00DF1C82"/>
    <w:rsid w:val="00DF248A"/>
    <w:rsid w:val="00DF2F6E"/>
    <w:rsid w:val="00DF30B9"/>
    <w:rsid w:val="00DF33D9"/>
    <w:rsid w:val="00DF3D67"/>
    <w:rsid w:val="00DF3E04"/>
    <w:rsid w:val="00DF3FCF"/>
    <w:rsid w:val="00DF4094"/>
    <w:rsid w:val="00DF412D"/>
    <w:rsid w:val="00DF4490"/>
    <w:rsid w:val="00DF4E25"/>
    <w:rsid w:val="00DF4FA3"/>
    <w:rsid w:val="00DF5193"/>
    <w:rsid w:val="00DF519F"/>
    <w:rsid w:val="00DF5A95"/>
    <w:rsid w:val="00DF5D12"/>
    <w:rsid w:val="00DF6BFD"/>
    <w:rsid w:val="00DF7185"/>
    <w:rsid w:val="00DF71F6"/>
    <w:rsid w:val="00DF78E9"/>
    <w:rsid w:val="00E0048A"/>
    <w:rsid w:val="00E004A7"/>
    <w:rsid w:val="00E00807"/>
    <w:rsid w:val="00E009A1"/>
    <w:rsid w:val="00E00BFB"/>
    <w:rsid w:val="00E01700"/>
    <w:rsid w:val="00E017E0"/>
    <w:rsid w:val="00E020CB"/>
    <w:rsid w:val="00E02BC7"/>
    <w:rsid w:val="00E033B0"/>
    <w:rsid w:val="00E03B77"/>
    <w:rsid w:val="00E0441A"/>
    <w:rsid w:val="00E0515E"/>
    <w:rsid w:val="00E055CB"/>
    <w:rsid w:val="00E05C2B"/>
    <w:rsid w:val="00E05CE9"/>
    <w:rsid w:val="00E0601A"/>
    <w:rsid w:val="00E06838"/>
    <w:rsid w:val="00E06A1E"/>
    <w:rsid w:val="00E0706B"/>
    <w:rsid w:val="00E070E7"/>
    <w:rsid w:val="00E07224"/>
    <w:rsid w:val="00E07C5E"/>
    <w:rsid w:val="00E105C6"/>
    <w:rsid w:val="00E108F2"/>
    <w:rsid w:val="00E12048"/>
    <w:rsid w:val="00E123BE"/>
    <w:rsid w:val="00E12EFD"/>
    <w:rsid w:val="00E13351"/>
    <w:rsid w:val="00E13425"/>
    <w:rsid w:val="00E13AB5"/>
    <w:rsid w:val="00E14339"/>
    <w:rsid w:val="00E146C6"/>
    <w:rsid w:val="00E1472B"/>
    <w:rsid w:val="00E14CDF"/>
    <w:rsid w:val="00E158D0"/>
    <w:rsid w:val="00E15BA8"/>
    <w:rsid w:val="00E16366"/>
    <w:rsid w:val="00E1640A"/>
    <w:rsid w:val="00E16660"/>
    <w:rsid w:val="00E16ABF"/>
    <w:rsid w:val="00E16C23"/>
    <w:rsid w:val="00E173C6"/>
    <w:rsid w:val="00E176C8"/>
    <w:rsid w:val="00E20A32"/>
    <w:rsid w:val="00E20C6A"/>
    <w:rsid w:val="00E20E74"/>
    <w:rsid w:val="00E211EE"/>
    <w:rsid w:val="00E214F0"/>
    <w:rsid w:val="00E21561"/>
    <w:rsid w:val="00E21609"/>
    <w:rsid w:val="00E220CC"/>
    <w:rsid w:val="00E23072"/>
    <w:rsid w:val="00E230DB"/>
    <w:rsid w:val="00E23E59"/>
    <w:rsid w:val="00E24112"/>
    <w:rsid w:val="00E2427B"/>
    <w:rsid w:val="00E24547"/>
    <w:rsid w:val="00E24D40"/>
    <w:rsid w:val="00E25484"/>
    <w:rsid w:val="00E2549B"/>
    <w:rsid w:val="00E25C3C"/>
    <w:rsid w:val="00E25EFD"/>
    <w:rsid w:val="00E26148"/>
    <w:rsid w:val="00E26766"/>
    <w:rsid w:val="00E26C83"/>
    <w:rsid w:val="00E26EB8"/>
    <w:rsid w:val="00E2700F"/>
    <w:rsid w:val="00E27C5C"/>
    <w:rsid w:val="00E27CBB"/>
    <w:rsid w:val="00E27F5F"/>
    <w:rsid w:val="00E30138"/>
    <w:rsid w:val="00E304C8"/>
    <w:rsid w:val="00E306EA"/>
    <w:rsid w:val="00E30CA2"/>
    <w:rsid w:val="00E317FE"/>
    <w:rsid w:val="00E31F9B"/>
    <w:rsid w:val="00E33435"/>
    <w:rsid w:val="00E33895"/>
    <w:rsid w:val="00E33C31"/>
    <w:rsid w:val="00E34613"/>
    <w:rsid w:val="00E3505B"/>
    <w:rsid w:val="00E3510B"/>
    <w:rsid w:val="00E3529C"/>
    <w:rsid w:val="00E359AA"/>
    <w:rsid w:val="00E35A3F"/>
    <w:rsid w:val="00E35A58"/>
    <w:rsid w:val="00E35ABC"/>
    <w:rsid w:val="00E35ADD"/>
    <w:rsid w:val="00E365D0"/>
    <w:rsid w:val="00E369A0"/>
    <w:rsid w:val="00E373C0"/>
    <w:rsid w:val="00E37632"/>
    <w:rsid w:val="00E37C5A"/>
    <w:rsid w:val="00E4009D"/>
    <w:rsid w:val="00E40385"/>
    <w:rsid w:val="00E40635"/>
    <w:rsid w:val="00E41CA2"/>
    <w:rsid w:val="00E41E34"/>
    <w:rsid w:val="00E428A9"/>
    <w:rsid w:val="00E42AE0"/>
    <w:rsid w:val="00E4316D"/>
    <w:rsid w:val="00E431E2"/>
    <w:rsid w:val="00E4335D"/>
    <w:rsid w:val="00E43676"/>
    <w:rsid w:val="00E439C2"/>
    <w:rsid w:val="00E449B2"/>
    <w:rsid w:val="00E44BF6"/>
    <w:rsid w:val="00E45D1E"/>
    <w:rsid w:val="00E4611A"/>
    <w:rsid w:val="00E46137"/>
    <w:rsid w:val="00E466CB"/>
    <w:rsid w:val="00E473EE"/>
    <w:rsid w:val="00E47D0A"/>
    <w:rsid w:val="00E47DD2"/>
    <w:rsid w:val="00E5027B"/>
    <w:rsid w:val="00E512A8"/>
    <w:rsid w:val="00E51F16"/>
    <w:rsid w:val="00E521A0"/>
    <w:rsid w:val="00E526B8"/>
    <w:rsid w:val="00E52BEF"/>
    <w:rsid w:val="00E53747"/>
    <w:rsid w:val="00E53D84"/>
    <w:rsid w:val="00E5410E"/>
    <w:rsid w:val="00E54C0E"/>
    <w:rsid w:val="00E54C17"/>
    <w:rsid w:val="00E54C7E"/>
    <w:rsid w:val="00E5546E"/>
    <w:rsid w:val="00E562B6"/>
    <w:rsid w:val="00E5719F"/>
    <w:rsid w:val="00E575D9"/>
    <w:rsid w:val="00E57832"/>
    <w:rsid w:val="00E578DD"/>
    <w:rsid w:val="00E610CE"/>
    <w:rsid w:val="00E611D2"/>
    <w:rsid w:val="00E61265"/>
    <w:rsid w:val="00E61D0D"/>
    <w:rsid w:val="00E62043"/>
    <w:rsid w:val="00E6261A"/>
    <w:rsid w:val="00E62E1F"/>
    <w:rsid w:val="00E62EC8"/>
    <w:rsid w:val="00E640C8"/>
    <w:rsid w:val="00E64A03"/>
    <w:rsid w:val="00E64A59"/>
    <w:rsid w:val="00E64B74"/>
    <w:rsid w:val="00E6558F"/>
    <w:rsid w:val="00E6573F"/>
    <w:rsid w:val="00E65B53"/>
    <w:rsid w:val="00E667D6"/>
    <w:rsid w:val="00E66EDB"/>
    <w:rsid w:val="00E672AC"/>
    <w:rsid w:val="00E67382"/>
    <w:rsid w:val="00E6762B"/>
    <w:rsid w:val="00E6776D"/>
    <w:rsid w:val="00E678B6"/>
    <w:rsid w:val="00E6799E"/>
    <w:rsid w:val="00E67DD6"/>
    <w:rsid w:val="00E67EBE"/>
    <w:rsid w:val="00E70719"/>
    <w:rsid w:val="00E70F2C"/>
    <w:rsid w:val="00E70FF8"/>
    <w:rsid w:val="00E71177"/>
    <w:rsid w:val="00E7171F"/>
    <w:rsid w:val="00E71A82"/>
    <w:rsid w:val="00E72665"/>
    <w:rsid w:val="00E72860"/>
    <w:rsid w:val="00E734D5"/>
    <w:rsid w:val="00E73FFF"/>
    <w:rsid w:val="00E7450E"/>
    <w:rsid w:val="00E74541"/>
    <w:rsid w:val="00E74E45"/>
    <w:rsid w:val="00E75259"/>
    <w:rsid w:val="00E753E2"/>
    <w:rsid w:val="00E75E4F"/>
    <w:rsid w:val="00E7664D"/>
    <w:rsid w:val="00E77CB0"/>
    <w:rsid w:val="00E77DD7"/>
    <w:rsid w:val="00E80FAA"/>
    <w:rsid w:val="00E815D8"/>
    <w:rsid w:val="00E81C55"/>
    <w:rsid w:val="00E81C90"/>
    <w:rsid w:val="00E81FC9"/>
    <w:rsid w:val="00E81FD8"/>
    <w:rsid w:val="00E82376"/>
    <w:rsid w:val="00E82F80"/>
    <w:rsid w:val="00E836DD"/>
    <w:rsid w:val="00E839AF"/>
    <w:rsid w:val="00E84378"/>
    <w:rsid w:val="00E8448C"/>
    <w:rsid w:val="00E8490E"/>
    <w:rsid w:val="00E84F6A"/>
    <w:rsid w:val="00E855E1"/>
    <w:rsid w:val="00E8569D"/>
    <w:rsid w:val="00E85D8E"/>
    <w:rsid w:val="00E8614C"/>
    <w:rsid w:val="00E862D3"/>
    <w:rsid w:val="00E87160"/>
    <w:rsid w:val="00E875E0"/>
    <w:rsid w:val="00E877DF"/>
    <w:rsid w:val="00E901AC"/>
    <w:rsid w:val="00E90573"/>
    <w:rsid w:val="00E90756"/>
    <w:rsid w:val="00E90C1A"/>
    <w:rsid w:val="00E9101C"/>
    <w:rsid w:val="00E91365"/>
    <w:rsid w:val="00E91863"/>
    <w:rsid w:val="00E91F49"/>
    <w:rsid w:val="00E92004"/>
    <w:rsid w:val="00E922E2"/>
    <w:rsid w:val="00E92741"/>
    <w:rsid w:val="00E92898"/>
    <w:rsid w:val="00E928AC"/>
    <w:rsid w:val="00E93090"/>
    <w:rsid w:val="00E93608"/>
    <w:rsid w:val="00E936BA"/>
    <w:rsid w:val="00E953D1"/>
    <w:rsid w:val="00E95A24"/>
    <w:rsid w:val="00E977BC"/>
    <w:rsid w:val="00E97802"/>
    <w:rsid w:val="00E97F98"/>
    <w:rsid w:val="00EA01F5"/>
    <w:rsid w:val="00EA09DC"/>
    <w:rsid w:val="00EA0E17"/>
    <w:rsid w:val="00EA0FCD"/>
    <w:rsid w:val="00EA1173"/>
    <w:rsid w:val="00EA130E"/>
    <w:rsid w:val="00EA1391"/>
    <w:rsid w:val="00EA1EF4"/>
    <w:rsid w:val="00EA2B9D"/>
    <w:rsid w:val="00EA2DD7"/>
    <w:rsid w:val="00EA3359"/>
    <w:rsid w:val="00EA3360"/>
    <w:rsid w:val="00EA38ED"/>
    <w:rsid w:val="00EA3916"/>
    <w:rsid w:val="00EA3966"/>
    <w:rsid w:val="00EA3C14"/>
    <w:rsid w:val="00EA4041"/>
    <w:rsid w:val="00EB0D0E"/>
    <w:rsid w:val="00EB0E4B"/>
    <w:rsid w:val="00EB0E65"/>
    <w:rsid w:val="00EB2053"/>
    <w:rsid w:val="00EB235F"/>
    <w:rsid w:val="00EB2BEC"/>
    <w:rsid w:val="00EB2BEF"/>
    <w:rsid w:val="00EB2DCF"/>
    <w:rsid w:val="00EB319F"/>
    <w:rsid w:val="00EB32C1"/>
    <w:rsid w:val="00EB39DD"/>
    <w:rsid w:val="00EB3A37"/>
    <w:rsid w:val="00EB416A"/>
    <w:rsid w:val="00EB4391"/>
    <w:rsid w:val="00EB4B12"/>
    <w:rsid w:val="00EB4D18"/>
    <w:rsid w:val="00EB5127"/>
    <w:rsid w:val="00EB5380"/>
    <w:rsid w:val="00EB5DF7"/>
    <w:rsid w:val="00EB603D"/>
    <w:rsid w:val="00EB628E"/>
    <w:rsid w:val="00EB64CB"/>
    <w:rsid w:val="00EB6E40"/>
    <w:rsid w:val="00EB72F4"/>
    <w:rsid w:val="00EC04D2"/>
    <w:rsid w:val="00EC093D"/>
    <w:rsid w:val="00EC141A"/>
    <w:rsid w:val="00EC2295"/>
    <w:rsid w:val="00EC270E"/>
    <w:rsid w:val="00EC2B56"/>
    <w:rsid w:val="00EC4104"/>
    <w:rsid w:val="00EC428C"/>
    <w:rsid w:val="00EC4840"/>
    <w:rsid w:val="00EC48CA"/>
    <w:rsid w:val="00EC4F93"/>
    <w:rsid w:val="00EC5090"/>
    <w:rsid w:val="00EC5243"/>
    <w:rsid w:val="00EC52A6"/>
    <w:rsid w:val="00EC53C8"/>
    <w:rsid w:val="00EC571D"/>
    <w:rsid w:val="00EC579E"/>
    <w:rsid w:val="00EC5C00"/>
    <w:rsid w:val="00EC5EB9"/>
    <w:rsid w:val="00EC5F1F"/>
    <w:rsid w:val="00EC6529"/>
    <w:rsid w:val="00EC663D"/>
    <w:rsid w:val="00EC6BED"/>
    <w:rsid w:val="00EC6E71"/>
    <w:rsid w:val="00ED0625"/>
    <w:rsid w:val="00ED0E67"/>
    <w:rsid w:val="00ED1250"/>
    <w:rsid w:val="00ED1761"/>
    <w:rsid w:val="00ED2771"/>
    <w:rsid w:val="00ED2810"/>
    <w:rsid w:val="00ED2874"/>
    <w:rsid w:val="00ED2AC6"/>
    <w:rsid w:val="00ED2B4D"/>
    <w:rsid w:val="00ED2BF1"/>
    <w:rsid w:val="00ED2DF5"/>
    <w:rsid w:val="00ED2FE0"/>
    <w:rsid w:val="00ED36B8"/>
    <w:rsid w:val="00ED3E05"/>
    <w:rsid w:val="00ED4782"/>
    <w:rsid w:val="00ED4BBE"/>
    <w:rsid w:val="00ED55C7"/>
    <w:rsid w:val="00ED5AAD"/>
    <w:rsid w:val="00ED5BAB"/>
    <w:rsid w:val="00ED5D7A"/>
    <w:rsid w:val="00ED6094"/>
    <w:rsid w:val="00ED631C"/>
    <w:rsid w:val="00ED6459"/>
    <w:rsid w:val="00ED65C5"/>
    <w:rsid w:val="00ED6A52"/>
    <w:rsid w:val="00ED73DE"/>
    <w:rsid w:val="00ED742E"/>
    <w:rsid w:val="00ED7C57"/>
    <w:rsid w:val="00ED7FD4"/>
    <w:rsid w:val="00EE0051"/>
    <w:rsid w:val="00EE0266"/>
    <w:rsid w:val="00EE0320"/>
    <w:rsid w:val="00EE03AF"/>
    <w:rsid w:val="00EE0533"/>
    <w:rsid w:val="00EE09B0"/>
    <w:rsid w:val="00EE0D44"/>
    <w:rsid w:val="00EE1066"/>
    <w:rsid w:val="00EE1551"/>
    <w:rsid w:val="00EE20F2"/>
    <w:rsid w:val="00EE2296"/>
    <w:rsid w:val="00EE3726"/>
    <w:rsid w:val="00EE3952"/>
    <w:rsid w:val="00EE44B4"/>
    <w:rsid w:val="00EE5204"/>
    <w:rsid w:val="00EE53FD"/>
    <w:rsid w:val="00EE5768"/>
    <w:rsid w:val="00EE6A80"/>
    <w:rsid w:val="00EE6E65"/>
    <w:rsid w:val="00EE7157"/>
    <w:rsid w:val="00EE743F"/>
    <w:rsid w:val="00EE7D97"/>
    <w:rsid w:val="00EF04EA"/>
    <w:rsid w:val="00EF099E"/>
    <w:rsid w:val="00EF0AAE"/>
    <w:rsid w:val="00EF0D91"/>
    <w:rsid w:val="00EF109C"/>
    <w:rsid w:val="00EF238B"/>
    <w:rsid w:val="00EF364A"/>
    <w:rsid w:val="00EF3E92"/>
    <w:rsid w:val="00EF413E"/>
    <w:rsid w:val="00EF4233"/>
    <w:rsid w:val="00EF4649"/>
    <w:rsid w:val="00EF4C69"/>
    <w:rsid w:val="00EF52C3"/>
    <w:rsid w:val="00EF54D7"/>
    <w:rsid w:val="00EF5A64"/>
    <w:rsid w:val="00EF5E8B"/>
    <w:rsid w:val="00EF67FF"/>
    <w:rsid w:val="00EF6E6E"/>
    <w:rsid w:val="00EF7177"/>
    <w:rsid w:val="00EF758B"/>
    <w:rsid w:val="00EF7A30"/>
    <w:rsid w:val="00EF7ED6"/>
    <w:rsid w:val="00EF7FD6"/>
    <w:rsid w:val="00F00419"/>
    <w:rsid w:val="00F00DD1"/>
    <w:rsid w:val="00F01212"/>
    <w:rsid w:val="00F01522"/>
    <w:rsid w:val="00F01BAB"/>
    <w:rsid w:val="00F01D30"/>
    <w:rsid w:val="00F02653"/>
    <w:rsid w:val="00F02FCD"/>
    <w:rsid w:val="00F03368"/>
    <w:rsid w:val="00F0393C"/>
    <w:rsid w:val="00F03AF5"/>
    <w:rsid w:val="00F0463E"/>
    <w:rsid w:val="00F0494C"/>
    <w:rsid w:val="00F05169"/>
    <w:rsid w:val="00F051D6"/>
    <w:rsid w:val="00F052C0"/>
    <w:rsid w:val="00F054C0"/>
    <w:rsid w:val="00F05513"/>
    <w:rsid w:val="00F057EC"/>
    <w:rsid w:val="00F05D18"/>
    <w:rsid w:val="00F0617A"/>
    <w:rsid w:val="00F06590"/>
    <w:rsid w:val="00F065BF"/>
    <w:rsid w:val="00F0681F"/>
    <w:rsid w:val="00F074B6"/>
    <w:rsid w:val="00F0753F"/>
    <w:rsid w:val="00F10941"/>
    <w:rsid w:val="00F1199D"/>
    <w:rsid w:val="00F11A3F"/>
    <w:rsid w:val="00F12435"/>
    <w:rsid w:val="00F12DF9"/>
    <w:rsid w:val="00F13177"/>
    <w:rsid w:val="00F13409"/>
    <w:rsid w:val="00F13A9E"/>
    <w:rsid w:val="00F14206"/>
    <w:rsid w:val="00F14284"/>
    <w:rsid w:val="00F144B8"/>
    <w:rsid w:val="00F14BDC"/>
    <w:rsid w:val="00F15301"/>
    <w:rsid w:val="00F15970"/>
    <w:rsid w:val="00F16141"/>
    <w:rsid w:val="00F16441"/>
    <w:rsid w:val="00F16C17"/>
    <w:rsid w:val="00F16D3F"/>
    <w:rsid w:val="00F1741E"/>
    <w:rsid w:val="00F17E39"/>
    <w:rsid w:val="00F20170"/>
    <w:rsid w:val="00F201B7"/>
    <w:rsid w:val="00F203E2"/>
    <w:rsid w:val="00F2147C"/>
    <w:rsid w:val="00F21956"/>
    <w:rsid w:val="00F223C3"/>
    <w:rsid w:val="00F22669"/>
    <w:rsid w:val="00F22B6D"/>
    <w:rsid w:val="00F23316"/>
    <w:rsid w:val="00F23763"/>
    <w:rsid w:val="00F24158"/>
    <w:rsid w:val="00F2456E"/>
    <w:rsid w:val="00F24C76"/>
    <w:rsid w:val="00F24F41"/>
    <w:rsid w:val="00F24FBA"/>
    <w:rsid w:val="00F2641D"/>
    <w:rsid w:val="00F26B7B"/>
    <w:rsid w:val="00F26CAE"/>
    <w:rsid w:val="00F26CD9"/>
    <w:rsid w:val="00F26DD7"/>
    <w:rsid w:val="00F274FA"/>
    <w:rsid w:val="00F2776B"/>
    <w:rsid w:val="00F27C1E"/>
    <w:rsid w:val="00F30831"/>
    <w:rsid w:val="00F30FF0"/>
    <w:rsid w:val="00F3121D"/>
    <w:rsid w:val="00F31E15"/>
    <w:rsid w:val="00F32129"/>
    <w:rsid w:val="00F32245"/>
    <w:rsid w:val="00F32F95"/>
    <w:rsid w:val="00F335EF"/>
    <w:rsid w:val="00F337B3"/>
    <w:rsid w:val="00F33BC6"/>
    <w:rsid w:val="00F3410F"/>
    <w:rsid w:val="00F3440B"/>
    <w:rsid w:val="00F34ABE"/>
    <w:rsid w:val="00F34C7E"/>
    <w:rsid w:val="00F34F48"/>
    <w:rsid w:val="00F350A9"/>
    <w:rsid w:val="00F355A8"/>
    <w:rsid w:val="00F35701"/>
    <w:rsid w:val="00F35705"/>
    <w:rsid w:val="00F364FA"/>
    <w:rsid w:val="00F36531"/>
    <w:rsid w:val="00F36659"/>
    <w:rsid w:val="00F3681D"/>
    <w:rsid w:val="00F36C18"/>
    <w:rsid w:val="00F37047"/>
    <w:rsid w:val="00F372C9"/>
    <w:rsid w:val="00F3765C"/>
    <w:rsid w:val="00F37BA4"/>
    <w:rsid w:val="00F4005E"/>
    <w:rsid w:val="00F4042F"/>
    <w:rsid w:val="00F40468"/>
    <w:rsid w:val="00F404BF"/>
    <w:rsid w:val="00F410FB"/>
    <w:rsid w:val="00F41549"/>
    <w:rsid w:val="00F4187B"/>
    <w:rsid w:val="00F41F3C"/>
    <w:rsid w:val="00F42447"/>
    <w:rsid w:val="00F42560"/>
    <w:rsid w:val="00F42831"/>
    <w:rsid w:val="00F42BA3"/>
    <w:rsid w:val="00F42DFA"/>
    <w:rsid w:val="00F431D1"/>
    <w:rsid w:val="00F43299"/>
    <w:rsid w:val="00F43471"/>
    <w:rsid w:val="00F438CC"/>
    <w:rsid w:val="00F43AD0"/>
    <w:rsid w:val="00F43F38"/>
    <w:rsid w:val="00F44CB8"/>
    <w:rsid w:val="00F44EE9"/>
    <w:rsid w:val="00F44FE7"/>
    <w:rsid w:val="00F45025"/>
    <w:rsid w:val="00F45B59"/>
    <w:rsid w:val="00F45CE7"/>
    <w:rsid w:val="00F45D1A"/>
    <w:rsid w:val="00F46136"/>
    <w:rsid w:val="00F466C6"/>
    <w:rsid w:val="00F4699F"/>
    <w:rsid w:val="00F46F35"/>
    <w:rsid w:val="00F46FDB"/>
    <w:rsid w:val="00F47175"/>
    <w:rsid w:val="00F4762C"/>
    <w:rsid w:val="00F47C33"/>
    <w:rsid w:val="00F5008F"/>
    <w:rsid w:val="00F50306"/>
    <w:rsid w:val="00F5146F"/>
    <w:rsid w:val="00F51E44"/>
    <w:rsid w:val="00F523DA"/>
    <w:rsid w:val="00F52A17"/>
    <w:rsid w:val="00F52DA7"/>
    <w:rsid w:val="00F531CC"/>
    <w:rsid w:val="00F53232"/>
    <w:rsid w:val="00F5362B"/>
    <w:rsid w:val="00F536DA"/>
    <w:rsid w:val="00F53E1A"/>
    <w:rsid w:val="00F542CE"/>
    <w:rsid w:val="00F56387"/>
    <w:rsid w:val="00F5641D"/>
    <w:rsid w:val="00F56868"/>
    <w:rsid w:val="00F56D15"/>
    <w:rsid w:val="00F572B6"/>
    <w:rsid w:val="00F574E2"/>
    <w:rsid w:val="00F576F1"/>
    <w:rsid w:val="00F57829"/>
    <w:rsid w:val="00F57A16"/>
    <w:rsid w:val="00F6022E"/>
    <w:rsid w:val="00F60318"/>
    <w:rsid w:val="00F6073E"/>
    <w:rsid w:val="00F60E80"/>
    <w:rsid w:val="00F6124A"/>
    <w:rsid w:val="00F61272"/>
    <w:rsid w:val="00F61ACD"/>
    <w:rsid w:val="00F61B48"/>
    <w:rsid w:val="00F61C76"/>
    <w:rsid w:val="00F620F2"/>
    <w:rsid w:val="00F6251E"/>
    <w:rsid w:val="00F62C75"/>
    <w:rsid w:val="00F62CEE"/>
    <w:rsid w:val="00F633F5"/>
    <w:rsid w:val="00F63614"/>
    <w:rsid w:val="00F643F0"/>
    <w:rsid w:val="00F64CB8"/>
    <w:rsid w:val="00F64E62"/>
    <w:rsid w:val="00F64EE4"/>
    <w:rsid w:val="00F6504D"/>
    <w:rsid w:val="00F65363"/>
    <w:rsid w:val="00F65C45"/>
    <w:rsid w:val="00F67B05"/>
    <w:rsid w:val="00F67DF9"/>
    <w:rsid w:val="00F7064C"/>
    <w:rsid w:val="00F707CF"/>
    <w:rsid w:val="00F70917"/>
    <w:rsid w:val="00F70AE1"/>
    <w:rsid w:val="00F70C08"/>
    <w:rsid w:val="00F71100"/>
    <w:rsid w:val="00F7115E"/>
    <w:rsid w:val="00F717BD"/>
    <w:rsid w:val="00F71845"/>
    <w:rsid w:val="00F71B86"/>
    <w:rsid w:val="00F71D8B"/>
    <w:rsid w:val="00F722A3"/>
    <w:rsid w:val="00F72AC5"/>
    <w:rsid w:val="00F72C56"/>
    <w:rsid w:val="00F74D3C"/>
    <w:rsid w:val="00F75055"/>
    <w:rsid w:val="00F75405"/>
    <w:rsid w:val="00F7548A"/>
    <w:rsid w:val="00F756CD"/>
    <w:rsid w:val="00F75F40"/>
    <w:rsid w:val="00F763F9"/>
    <w:rsid w:val="00F76B79"/>
    <w:rsid w:val="00F776A4"/>
    <w:rsid w:val="00F77DAF"/>
    <w:rsid w:val="00F77F38"/>
    <w:rsid w:val="00F8130A"/>
    <w:rsid w:val="00F8138E"/>
    <w:rsid w:val="00F81987"/>
    <w:rsid w:val="00F81DAF"/>
    <w:rsid w:val="00F81E65"/>
    <w:rsid w:val="00F8208C"/>
    <w:rsid w:val="00F821A0"/>
    <w:rsid w:val="00F823B5"/>
    <w:rsid w:val="00F824FF"/>
    <w:rsid w:val="00F8280B"/>
    <w:rsid w:val="00F835D2"/>
    <w:rsid w:val="00F83FCA"/>
    <w:rsid w:val="00F8419D"/>
    <w:rsid w:val="00F84FA2"/>
    <w:rsid w:val="00F85B98"/>
    <w:rsid w:val="00F85BB6"/>
    <w:rsid w:val="00F85C20"/>
    <w:rsid w:val="00F85C73"/>
    <w:rsid w:val="00F8614F"/>
    <w:rsid w:val="00F86686"/>
    <w:rsid w:val="00F86F4F"/>
    <w:rsid w:val="00F870FF"/>
    <w:rsid w:val="00F873D4"/>
    <w:rsid w:val="00F8775F"/>
    <w:rsid w:val="00F87BBF"/>
    <w:rsid w:val="00F9030C"/>
    <w:rsid w:val="00F9084D"/>
    <w:rsid w:val="00F90CC4"/>
    <w:rsid w:val="00F90F35"/>
    <w:rsid w:val="00F91376"/>
    <w:rsid w:val="00F91BA5"/>
    <w:rsid w:val="00F91D5D"/>
    <w:rsid w:val="00F92138"/>
    <w:rsid w:val="00F923BE"/>
    <w:rsid w:val="00F92DB2"/>
    <w:rsid w:val="00F92E19"/>
    <w:rsid w:val="00F93420"/>
    <w:rsid w:val="00F935DA"/>
    <w:rsid w:val="00F937C4"/>
    <w:rsid w:val="00F93EA3"/>
    <w:rsid w:val="00F93EA7"/>
    <w:rsid w:val="00F954A0"/>
    <w:rsid w:val="00F957A2"/>
    <w:rsid w:val="00F957CD"/>
    <w:rsid w:val="00F96994"/>
    <w:rsid w:val="00F972EC"/>
    <w:rsid w:val="00F974FA"/>
    <w:rsid w:val="00F9767D"/>
    <w:rsid w:val="00F97A07"/>
    <w:rsid w:val="00F97A1F"/>
    <w:rsid w:val="00F97CC0"/>
    <w:rsid w:val="00F97E71"/>
    <w:rsid w:val="00FA1466"/>
    <w:rsid w:val="00FA1AE8"/>
    <w:rsid w:val="00FA1B87"/>
    <w:rsid w:val="00FA1BBC"/>
    <w:rsid w:val="00FA1BE7"/>
    <w:rsid w:val="00FA20D0"/>
    <w:rsid w:val="00FA213E"/>
    <w:rsid w:val="00FA21D2"/>
    <w:rsid w:val="00FA22CE"/>
    <w:rsid w:val="00FA35C9"/>
    <w:rsid w:val="00FA3669"/>
    <w:rsid w:val="00FA3746"/>
    <w:rsid w:val="00FA3C6C"/>
    <w:rsid w:val="00FA3EA1"/>
    <w:rsid w:val="00FA3FBC"/>
    <w:rsid w:val="00FA5DDC"/>
    <w:rsid w:val="00FA613E"/>
    <w:rsid w:val="00FA616E"/>
    <w:rsid w:val="00FA676F"/>
    <w:rsid w:val="00FA6A57"/>
    <w:rsid w:val="00FA6B57"/>
    <w:rsid w:val="00FA6E44"/>
    <w:rsid w:val="00FA77BE"/>
    <w:rsid w:val="00FA7884"/>
    <w:rsid w:val="00FB0A86"/>
    <w:rsid w:val="00FB18BE"/>
    <w:rsid w:val="00FB1FEF"/>
    <w:rsid w:val="00FB2897"/>
    <w:rsid w:val="00FB2D86"/>
    <w:rsid w:val="00FB2FBE"/>
    <w:rsid w:val="00FB34FC"/>
    <w:rsid w:val="00FB3B24"/>
    <w:rsid w:val="00FB3E40"/>
    <w:rsid w:val="00FB3E54"/>
    <w:rsid w:val="00FB41DC"/>
    <w:rsid w:val="00FB44FB"/>
    <w:rsid w:val="00FB4601"/>
    <w:rsid w:val="00FB46AB"/>
    <w:rsid w:val="00FB4A0C"/>
    <w:rsid w:val="00FB4B26"/>
    <w:rsid w:val="00FB5465"/>
    <w:rsid w:val="00FB5B32"/>
    <w:rsid w:val="00FB668A"/>
    <w:rsid w:val="00FB731C"/>
    <w:rsid w:val="00FB73D2"/>
    <w:rsid w:val="00FB7674"/>
    <w:rsid w:val="00FB7917"/>
    <w:rsid w:val="00FC022D"/>
    <w:rsid w:val="00FC0491"/>
    <w:rsid w:val="00FC10E5"/>
    <w:rsid w:val="00FC114F"/>
    <w:rsid w:val="00FC17B1"/>
    <w:rsid w:val="00FC1D2B"/>
    <w:rsid w:val="00FC2140"/>
    <w:rsid w:val="00FC21BC"/>
    <w:rsid w:val="00FC2469"/>
    <w:rsid w:val="00FC2944"/>
    <w:rsid w:val="00FC2B3A"/>
    <w:rsid w:val="00FC343C"/>
    <w:rsid w:val="00FC3490"/>
    <w:rsid w:val="00FC3722"/>
    <w:rsid w:val="00FC3A6F"/>
    <w:rsid w:val="00FC485A"/>
    <w:rsid w:val="00FC4950"/>
    <w:rsid w:val="00FC4A3C"/>
    <w:rsid w:val="00FC4E5D"/>
    <w:rsid w:val="00FC5B3E"/>
    <w:rsid w:val="00FC5FDA"/>
    <w:rsid w:val="00FC622A"/>
    <w:rsid w:val="00FC6D24"/>
    <w:rsid w:val="00FC6F49"/>
    <w:rsid w:val="00FC6FD8"/>
    <w:rsid w:val="00FC7727"/>
    <w:rsid w:val="00FD0546"/>
    <w:rsid w:val="00FD1350"/>
    <w:rsid w:val="00FD19CE"/>
    <w:rsid w:val="00FD1EDA"/>
    <w:rsid w:val="00FD2C72"/>
    <w:rsid w:val="00FD2D65"/>
    <w:rsid w:val="00FD35AB"/>
    <w:rsid w:val="00FD3F69"/>
    <w:rsid w:val="00FD49C1"/>
    <w:rsid w:val="00FD4B71"/>
    <w:rsid w:val="00FD5298"/>
    <w:rsid w:val="00FD5660"/>
    <w:rsid w:val="00FD5AF5"/>
    <w:rsid w:val="00FD63F3"/>
    <w:rsid w:val="00FD6463"/>
    <w:rsid w:val="00FD66CD"/>
    <w:rsid w:val="00FD6707"/>
    <w:rsid w:val="00FD6A1B"/>
    <w:rsid w:val="00FD731B"/>
    <w:rsid w:val="00FE0E43"/>
    <w:rsid w:val="00FE1073"/>
    <w:rsid w:val="00FE19FB"/>
    <w:rsid w:val="00FE1EBF"/>
    <w:rsid w:val="00FE211B"/>
    <w:rsid w:val="00FE25A6"/>
    <w:rsid w:val="00FE2B0B"/>
    <w:rsid w:val="00FE32D6"/>
    <w:rsid w:val="00FE3CBB"/>
    <w:rsid w:val="00FE40E0"/>
    <w:rsid w:val="00FE484C"/>
    <w:rsid w:val="00FE4B23"/>
    <w:rsid w:val="00FE55DA"/>
    <w:rsid w:val="00FE56AC"/>
    <w:rsid w:val="00FE56C9"/>
    <w:rsid w:val="00FE5DCA"/>
    <w:rsid w:val="00FE5FD6"/>
    <w:rsid w:val="00FE625F"/>
    <w:rsid w:val="00FF0C10"/>
    <w:rsid w:val="00FF1006"/>
    <w:rsid w:val="00FF1B34"/>
    <w:rsid w:val="00FF1D41"/>
    <w:rsid w:val="00FF2039"/>
    <w:rsid w:val="00FF2133"/>
    <w:rsid w:val="00FF22DF"/>
    <w:rsid w:val="00FF2B1C"/>
    <w:rsid w:val="00FF2D27"/>
    <w:rsid w:val="00FF350E"/>
    <w:rsid w:val="00FF367E"/>
    <w:rsid w:val="00FF4833"/>
    <w:rsid w:val="00FF493A"/>
    <w:rsid w:val="00FF51FF"/>
    <w:rsid w:val="00FF5508"/>
    <w:rsid w:val="00FF56C6"/>
    <w:rsid w:val="00FF5EF7"/>
    <w:rsid w:val="00FF6107"/>
    <w:rsid w:val="00FF621B"/>
    <w:rsid w:val="00FF6485"/>
    <w:rsid w:val="00FF6950"/>
    <w:rsid w:val="00FF6D9D"/>
    <w:rsid w:val="00FF7159"/>
    <w:rsid w:val="00FF7232"/>
    <w:rsid w:val="00FF7739"/>
    <w:rsid w:val="011B3AE4"/>
    <w:rsid w:val="01525BC5"/>
    <w:rsid w:val="0165315A"/>
    <w:rsid w:val="01A55B8F"/>
    <w:rsid w:val="01CB5A98"/>
    <w:rsid w:val="01D37953"/>
    <w:rsid w:val="022968ED"/>
    <w:rsid w:val="0233287B"/>
    <w:rsid w:val="02774B29"/>
    <w:rsid w:val="02981F20"/>
    <w:rsid w:val="02C56441"/>
    <w:rsid w:val="02D360D7"/>
    <w:rsid w:val="02EA18F9"/>
    <w:rsid w:val="03733798"/>
    <w:rsid w:val="038D34F0"/>
    <w:rsid w:val="03E67DA4"/>
    <w:rsid w:val="04221F4A"/>
    <w:rsid w:val="042871CE"/>
    <w:rsid w:val="045C287D"/>
    <w:rsid w:val="04AF3B2D"/>
    <w:rsid w:val="04BA3183"/>
    <w:rsid w:val="04D10A16"/>
    <w:rsid w:val="04F74101"/>
    <w:rsid w:val="05037CB4"/>
    <w:rsid w:val="05187207"/>
    <w:rsid w:val="051D11F5"/>
    <w:rsid w:val="059F553D"/>
    <w:rsid w:val="05B30F33"/>
    <w:rsid w:val="05C14CC5"/>
    <w:rsid w:val="069853CA"/>
    <w:rsid w:val="06A449A8"/>
    <w:rsid w:val="06BB7C3B"/>
    <w:rsid w:val="06FA1CE6"/>
    <w:rsid w:val="070C5F0A"/>
    <w:rsid w:val="072A584C"/>
    <w:rsid w:val="07716AA5"/>
    <w:rsid w:val="077C7F0C"/>
    <w:rsid w:val="08804BC8"/>
    <w:rsid w:val="08903CB1"/>
    <w:rsid w:val="09381E6C"/>
    <w:rsid w:val="095A0549"/>
    <w:rsid w:val="095E054D"/>
    <w:rsid w:val="09782F6E"/>
    <w:rsid w:val="09894575"/>
    <w:rsid w:val="09AC551C"/>
    <w:rsid w:val="09FE3BB8"/>
    <w:rsid w:val="0A06758E"/>
    <w:rsid w:val="0A086D68"/>
    <w:rsid w:val="0AB06412"/>
    <w:rsid w:val="0AB630D6"/>
    <w:rsid w:val="0AF40064"/>
    <w:rsid w:val="0B070FB8"/>
    <w:rsid w:val="0B7D3B0B"/>
    <w:rsid w:val="0BA54F12"/>
    <w:rsid w:val="0BE26B83"/>
    <w:rsid w:val="0C69715D"/>
    <w:rsid w:val="0C6C485B"/>
    <w:rsid w:val="0CB06557"/>
    <w:rsid w:val="0CF751E1"/>
    <w:rsid w:val="0CFA131C"/>
    <w:rsid w:val="0D040F25"/>
    <w:rsid w:val="0D0444D8"/>
    <w:rsid w:val="0D2F3280"/>
    <w:rsid w:val="0D525DD3"/>
    <w:rsid w:val="0D5E1C59"/>
    <w:rsid w:val="0D877513"/>
    <w:rsid w:val="0D9B0CBD"/>
    <w:rsid w:val="0DA804BD"/>
    <w:rsid w:val="0DCD7FA7"/>
    <w:rsid w:val="0DFA0BFF"/>
    <w:rsid w:val="0E0D63BE"/>
    <w:rsid w:val="0E1C222F"/>
    <w:rsid w:val="0E621F87"/>
    <w:rsid w:val="0EBF68DE"/>
    <w:rsid w:val="0EEC4BF4"/>
    <w:rsid w:val="0F0E2694"/>
    <w:rsid w:val="0F400FAE"/>
    <w:rsid w:val="10D90B1F"/>
    <w:rsid w:val="11372BEE"/>
    <w:rsid w:val="11D863B7"/>
    <w:rsid w:val="11F917AD"/>
    <w:rsid w:val="12086A6E"/>
    <w:rsid w:val="121F5FD8"/>
    <w:rsid w:val="12B945BB"/>
    <w:rsid w:val="12E30D67"/>
    <w:rsid w:val="130F7139"/>
    <w:rsid w:val="1311063B"/>
    <w:rsid w:val="13163CBD"/>
    <w:rsid w:val="1372083C"/>
    <w:rsid w:val="13773333"/>
    <w:rsid w:val="139A0B86"/>
    <w:rsid w:val="13C76879"/>
    <w:rsid w:val="13C901AB"/>
    <w:rsid w:val="13D167F7"/>
    <w:rsid w:val="14047B6D"/>
    <w:rsid w:val="14351997"/>
    <w:rsid w:val="149F5EA9"/>
    <w:rsid w:val="14AD5FB5"/>
    <w:rsid w:val="14FF3F22"/>
    <w:rsid w:val="152B2C51"/>
    <w:rsid w:val="153043C9"/>
    <w:rsid w:val="158656A1"/>
    <w:rsid w:val="15F81307"/>
    <w:rsid w:val="15FA7083"/>
    <w:rsid w:val="162560C3"/>
    <w:rsid w:val="1654097A"/>
    <w:rsid w:val="167D4BB9"/>
    <w:rsid w:val="168C07B0"/>
    <w:rsid w:val="16A07CDB"/>
    <w:rsid w:val="172550EA"/>
    <w:rsid w:val="17A640FA"/>
    <w:rsid w:val="17B531DE"/>
    <w:rsid w:val="17BD0379"/>
    <w:rsid w:val="17D66484"/>
    <w:rsid w:val="180C0E1F"/>
    <w:rsid w:val="183A5DEC"/>
    <w:rsid w:val="185524EF"/>
    <w:rsid w:val="18C55FB1"/>
    <w:rsid w:val="18F32C46"/>
    <w:rsid w:val="18F81461"/>
    <w:rsid w:val="190003F4"/>
    <w:rsid w:val="190E6BBF"/>
    <w:rsid w:val="1962486F"/>
    <w:rsid w:val="198F6442"/>
    <w:rsid w:val="19F76B32"/>
    <w:rsid w:val="1A07481E"/>
    <w:rsid w:val="1A2C4677"/>
    <w:rsid w:val="1A3C27E5"/>
    <w:rsid w:val="1A426FCD"/>
    <w:rsid w:val="1A5A407B"/>
    <w:rsid w:val="1AB9052D"/>
    <w:rsid w:val="1AF465B9"/>
    <w:rsid w:val="1B1F71B1"/>
    <w:rsid w:val="1B207110"/>
    <w:rsid w:val="1B290114"/>
    <w:rsid w:val="1B8B3245"/>
    <w:rsid w:val="1B965C09"/>
    <w:rsid w:val="1BEE7829"/>
    <w:rsid w:val="1C001212"/>
    <w:rsid w:val="1C184F96"/>
    <w:rsid w:val="1C3810D0"/>
    <w:rsid w:val="1C572EE1"/>
    <w:rsid w:val="1C6101AF"/>
    <w:rsid w:val="1CDD4C6D"/>
    <w:rsid w:val="1D8C25D7"/>
    <w:rsid w:val="1DBB74D8"/>
    <w:rsid w:val="1DE70268"/>
    <w:rsid w:val="1DEE4040"/>
    <w:rsid w:val="1E0E18AC"/>
    <w:rsid w:val="1E7B563A"/>
    <w:rsid w:val="1E8F4EAC"/>
    <w:rsid w:val="1EC207EF"/>
    <w:rsid w:val="1F313AFC"/>
    <w:rsid w:val="1F3F5A98"/>
    <w:rsid w:val="1F5D44B4"/>
    <w:rsid w:val="1F79230A"/>
    <w:rsid w:val="1FA5194A"/>
    <w:rsid w:val="1FFA62D0"/>
    <w:rsid w:val="1FFD70BF"/>
    <w:rsid w:val="206F12A4"/>
    <w:rsid w:val="209274BD"/>
    <w:rsid w:val="20A506F4"/>
    <w:rsid w:val="20FA348B"/>
    <w:rsid w:val="2135465D"/>
    <w:rsid w:val="215142FB"/>
    <w:rsid w:val="21853821"/>
    <w:rsid w:val="221E60DE"/>
    <w:rsid w:val="224E036A"/>
    <w:rsid w:val="22A33B02"/>
    <w:rsid w:val="22F81C49"/>
    <w:rsid w:val="23446F26"/>
    <w:rsid w:val="23512069"/>
    <w:rsid w:val="236A0F5E"/>
    <w:rsid w:val="241827D9"/>
    <w:rsid w:val="242459B1"/>
    <w:rsid w:val="248B679C"/>
    <w:rsid w:val="24A97B8B"/>
    <w:rsid w:val="24AF76CF"/>
    <w:rsid w:val="25084E41"/>
    <w:rsid w:val="25561BC2"/>
    <w:rsid w:val="261B00BF"/>
    <w:rsid w:val="262E3A78"/>
    <w:rsid w:val="263B086F"/>
    <w:rsid w:val="26FC4A0A"/>
    <w:rsid w:val="270A6894"/>
    <w:rsid w:val="272D4E26"/>
    <w:rsid w:val="274D183D"/>
    <w:rsid w:val="276115B3"/>
    <w:rsid w:val="277F5CCB"/>
    <w:rsid w:val="27CC5641"/>
    <w:rsid w:val="27DD0644"/>
    <w:rsid w:val="28AC4758"/>
    <w:rsid w:val="29120417"/>
    <w:rsid w:val="29264303"/>
    <w:rsid w:val="294007FF"/>
    <w:rsid w:val="298A2951"/>
    <w:rsid w:val="29C303F1"/>
    <w:rsid w:val="2A0E2798"/>
    <w:rsid w:val="2A4004D5"/>
    <w:rsid w:val="2A7C164F"/>
    <w:rsid w:val="2AD737EB"/>
    <w:rsid w:val="2B200388"/>
    <w:rsid w:val="2B382B5D"/>
    <w:rsid w:val="2B6A25D6"/>
    <w:rsid w:val="2BD25626"/>
    <w:rsid w:val="2BD923A4"/>
    <w:rsid w:val="2C72622E"/>
    <w:rsid w:val="2C7D4AE9"/>
    <w:rsid w:val="2CF66886"/>
    <w:rsid w:val="2D0C3EDB"/>
    <w:rsid w:val="2D4E681E"/>
    <w:rsid w:val="2DBD03CE"/>
    <w:rsid w:val="2DD9778D"/>
    <w:rsid w:val="2DF35D75"/>
    <w:rsid w:val="2E033BF2"/>
    <w:rsid w:val="2E103654"/>
    <w:rsid w:val="2E22591E"/>
    <w:rsid w:val="2ED058C5"/>
    <w:rsid w:val="2ED745A4"/>
    <w:rsid w:val="2EE615F9"/>
    <w:rsid w:val="2F0A152B"/>
    <w:rsid w:val="2F194B67"/>
    <w:rsid w:val="2F2333E0"/>
    <w:rsid w:val="2F4A7A80"/>
    <w:rsid w:val="2FAC7632"/>
    <w:rsid w:val="2FB45B93"/>
    <w:rsid w:val="2FD20059"/>
    <w:rsid w:val="30894B87"/>
    <w:rsid w:val="3112512F"/>
    <w:rsid w:val="31266AEC"/>
    <w:rsid w:val="315D4FCA"/>
    <w:rsid w:val="317A540A"/>
    <w:rsid w:val="318E6636"/>
    <w:rsid w:val="31B6318C"/>
    <w:rsid w:val="31CB3892"/>
    <w:rsid w:val="32D16634"/>
    <w:rsid w:val="331F5681"/>
    <w:rsid w:val="333C1A69"/>
    <w:rsid w:val="333E4E29"/>
    <w:rsid w:val="3357031D"/>
    <w:rsid w:val="33610CF8"/>
    <w:rsid w:val="336854F3"/>
    <w:rsid w:val="337C7C72"/>
    <w:rsid w:val="33E94053"/>
    <w:rsid w:val="3452347B"/>
    <w:rsid w:val="34AD66E4"/>
    <w:rsid w:val="34F842B2"/>
    <w:rsid w:val="3570553C"/>
    <w:rsid w:val="357B2A06"/>
    <w:rsid w:val="35C863DF"/>
    <w:rsid w:val="35FA2511"/>
    <w:rsid w:val="36412D9B"/>
    <w:rsid w:val="370535BD"/>
    <w:rsid w:val="37257053"/>
    <w:rsid w:val="37847E59"/>
    <w:rsid w:val="37FC60D1"/>
    <w:rsid w:val="384754FB"/>
    <w:rsid w:val="389C6F11"/>
    <w:rsid w:val="38A91AF0"/>
    <w:rsid w:val="38B959E7"/>
    <w:rsid w:val="38BB7F69"/>
    <w:rsid w:val="39162A3B"/>
    <w:rsid w:val="39396E41"/>
    <w:rsid w:val="39B227BB"/>
    <w:rsid w:val="39B916DF"/>
    <w:rsid w:val="3A4B2915"/>
    <w:rsid w:val="3A795564"/>
    <w:rsid w:val="3A9277DA"/>
    <w:rsid w:val="3AB82EE4"/>
    <w:rsid w:val="3AC12C06"/>
    <w:rsid w:val="3AD72216"/>
    <w:rsid w:val="3AE32A51"/>
    <w:rsid w:val="3AEA3E2E"/>
    <w:rsid w:val="3B0D224C"/>
    <w:rsid w:val="3B363A38"/>
    <w:rsid w:val="3B590B4B"/>
    <w:rsid w:val="3BC21382"/>
    <w:rsid w:val="3BF5275C"/>
    <w:rsid w:val="3C176797"/>
    <w:rsid w:val="3C371913"/>
    <w:rsid w:val="3C3E14EE"/>
    <w:rsid w:val="3C476833"/>
    <w:rsid w:val="3C791BB8"/>
    <w:rsid w:val="3C9D4AE0"/>
    <w:rsid w:val="3CCD63B5"/>
    <w:rsid w:val="3CDB124B"/>
    <w:rsid w:val="3CE241AD"/>
    <w:rsid w:val="3D1637A1"/>
    <w:rsid w:val="3D513911"/>
    <w:rsid w:val="3D5E101F"/>
    <w:rsid w:val="3D635028"/>
    <w:rsid w:val="3D697E35"/>
    <w:rsid w:val="3D6B5CEC"/>
    <w:rsid w:val="3D966249"/>
    <w:rsid w:val="3DAA3CA3"/>
    <w:rsid w:val="3DC552C4"/>
    <w:rsid w:val="3DDB5BE9"/>
    <w:rsid w:val="3DF1501F"/>
    <w:rsid w:val="3DF938D5"/>
    <w:rsid w:val="3E3A6710"/>
    <w:rsid w:val="3E605A56"/>
    <w:rsid w:val="3E82592D"/>
    <w:rsid w:val="3E835720"/>
    <w:rsid w:val="3E905599"/>
    <w:rsid w:val="3EB95B9A"/>
    <w:rsid w:val="3F314662"/>
    <w:rsid w:val="3F3204E1"/>
    <w:rsid w:val="3F5A1957"/>
    <w:rsid w:val="3F6B6216"/>
    <w:rsid w:val="3F877DB9"/>
    <w:rsid w:val="407B60B9"/>
    <w:rsid w:val="408329CA"/>
    <w:rsid w:val="40A567C6"/>
    <w:rsid w:val="419B22CB"/>
    <w:rsid w:val="41A039F4"/>
    <w:rsid w:val="41A8740D"/>
    <w:rsid w:val="41AD7D05"/>
    <w:rsid w:val="41C64934"/>
    <w:rsid w:val="422C7A6A"/>
    <w:rsid w:val="4295078A"/>
    <w:rsid w:val="43516D29"/>
    <w:rsid w:val="436C3D73"/>
    <w:rsid w:val="43947937"/>
    <w:rsid w:val="439C4E8F"/>
    <w:rsid w:val="43B96AAB"/>
    <w:rsid w:val="44717CE0"/>
    <w:rsid w:val="44AD5BB2"/>
    <w:rsid w:val="44EF0DC9"/>
    <w:rsid w:val="45852AEE"/>
    <w:rsid w:val="45872FD7"/>
    <w:rsid w:val="4589050D"/>
    <w:rsid w:val="462C5E64"/>
    <w:rsid w:val="46505F23"/>
    <w:rsid w:val="46587322"/>
    <w:rsid w:val="46620216"/>
    <w:rsid w:val="46815703"/>
    <w:rsid w:val="46FF27E9"/>
    <w:rsid w:val="47031361"/>
    <w:rsid w:val="475062FE"/>
    <w:rsid w:val="4771258B"/>
    <w:rsid w:val="47BB326D"/>
    <w:rsid w:val="47FB17CD"/>
    <w:rsid w:val="4804503E"/>
    <w:rsid w:val="48372C8E"/>
    <w:rsid w:val="4848169C"/>
    <w:rsid w:val="49020FBB"/>
    <w:rsid w:val="49237A8D"/>
    <w:rsid w:val="496962F2"/>
    <w:rsid w:val="499B386D"/>
    <w:rsid w:val="49A04886"/>
    <w:rsid w:val="49AF2204"/>
    <w:rsid w:val="4A1B79EE"/>
    <w:rsid w:val="4B0C731D"/>
    <w:rsid w:val="4B4A59B7"/>
    <w:rsid w:val="4B583425"/>
    <w:rsid w:val="4B5F5381"/>
    <w:rsid w:val="4B9C55BE"/>
    <w:rsid w:val="4BA8735C"/>
    <w:rsid w:val="4BF418F3"/>
    <w:rsid w:val="4C162B33"/>
    <w:rsid w:val="4C21031D"/>
    <w:rsid w:val="4C304CC2"/>
    <w:rsid w:val="4C6123FF"/>
    <w:rsid w:val="4C9E0449"/>
    <w:rsid w:val="4CBA25AF"/>
    <w:rsid w:val="4D000F67"/>
    <w:rsid w:val="4D1B2104"/>
    <w:rsid w:val="4D7C7461"/>
    <w:rsid w:val="4D866367"/>
    <w:rsid w:val="4DAB5162"/>
    <w:rsid w:val="4DC96B8C"/>
    <w:rsid w:val="4E113A51"/>
    <w:rsid w:val="4E47694F"/>
    <w:rsid w:val="4E9F6397"/>
    <w:rsid w:val="4EC411EA"/>
    <w:rsid w:val="4F9179C2"/>
    <w:rsid w:val="4F9711AF"/>
    <w:rsid w:val="4FBB01C4"/>
    <w:rsid w:val="4FDF5AA7"/>
    <w:rsid w:val="4FE10A29"/>
    <w:rsid w:val="505B13AC"/>
    <w:rsid w:val="50B265CE"/>
    <w:rsid w:val="50DE0140"/>
    <w:rsid w:val="515238A2"/>
    <w:rsid w:val="51AF52D0"/>
    <w:rsid w:val="51D44316"/>
    <w:rsid w:val="51E93B0F"/>
    <w:rsid w:val="52054436"/>
    <w:rsid w:val="52800276"/>
    <w:rsid w:val="52980696"/>
    <w:rsid w:val="52F17DFD"/>
    <w:rsid w:val="52F53406"/>
    <w:rsid w:val="52F80AAB"/>
    <w:rsid w:val="533300B6"/>
    <w:rsid w:val="5333754C"/>
    <w:rsid w:val="533462D6"/>
    <w:rsid w:val="5383279A"/>
    <w:rsid w:val="53961E8D"/>
    <w:rsid w:val="539A1378"/>
    <w:rsid w:val="53E57139"/>
    <w:rsid w:val="54277C70"/>
    <w:rsid w:val="54431B18"/>
    <w:rsid w:val="54A32901"/>
    <w:rsid w:val="54B0519A"/>
    <w:rsid w:val="54F05B49"/>
    <w:rsid w:val="55206675"/>
    <w:rsid w:val="554418B8"/>
    <w:rsid w:val="55576A69"/>
    <w:rsid w:val="55964E71"/>
    <w:rsid w:val="56154019"/>
    <w:rsid w:val="56222B1A"/>
    <w:rsid w:val="56A842B8"/>
    <w:rsid w:val="57500CCD"/>
    <w:rsid w:val="57535318"/>
    <w:rsid w:val="576874A8"/>
    <w:rsid w:val="57AF4416"/>
    <w:rsid w:val="57B847B5"/>
    <w:rsid w:val="57C9658B"/>
    <w:rsid w:val="57E43AC7"/>
    <w:rsid w:val="57F0013F"/>
    <w:rsid w:val="583D7773"/>
    <w:rsid w:val="586619EA"/>
    <w:rsid w:val="587A7380"/>
    <w:rsid w:val="5881772F"/>
    <w:rsid w:val="589A11EB"/>
    <w:rsid w:val="58AD69F3"/>
    <w:rsid w:val="58C35323"/>
    <w:rsid w:val="58FE2291"/>
    <w:rsid w:val="592F0B39"/>
    <w:rsid w:val="594F4943"/>
    <w:rsid w:val="5961015E"/>
    <w:rsid w:val="59F8691E"/>
    <w:rsid w:val="5A0A12A2"/>
    <w:rsid w:val="5A2D445B"/>
    <w:rsid w:val="5A5B2D89"/>
    <w:rsid w:val="5A770059"/>
    <w:rsid w:val="5A854B4E"/>
    <w:rsid w:val="5ACE6E50"/>
    <w:rsid w:val="5B140B9B"/>
    <w:rsid w:val="5B296970"/>
    <w:rsid w:val="5B485F43"/>
    <w:rsid w:val="5B603ED6"/>
    <w:rsid w:val="5B630D8D"/>
    <w:rsid w:val="5BDB2DB9"/>
    <w:rsid w:val="5C415BE4"/>
    <w:rsid w:val="5C682ADD"/>
    <w:rsid w:val="5C7B4CD5"/>
    <w:rsid w:val="5C7C360F"/>
    <w:rsid w:val="5CCD7E84"/>
    <w:rsid w:val="5CE759B1"/>
    <w:rsid w:val="5CEF130F"/>
    <w:rsid w:val="5D4C6AD7"/>
    <w:rsid w:val="5D6655AE"/>
    <w:rsid w:val="5DE64F4F"/>
    <w:rsid w:val="5E176ADA"/>
    <w:rsid w:val="5E4038F0"/>
    <w:rsid w:val="5E5D45D7"/>
    <w:rsid w:val="5E777A0F"/>
    <w:rsid w:val="5E7E5D25"/>
    <w:rsid w:val="5E8344CD"/>
    <w:rsid w:val="5EA86EF8"/>
    <w:rsid w:val="5EC64A6C"/>
    <w:rsid w:val="5ECD3F3E"/>
    <w:rsid w:val="5F053449"/>
    <w:rsid w:val="5F11285A"/>
    <w:rsid w:val="5F256853"/>
    <w:rsid w:val="5F9B5426"/>
    <w:rsid w:val="60023D21"/>
    <w:rsid w:val="600E6A3F"/>
    <w:rsid w:val="60171FEB"/>
    <w:rsid w:val="604B3F8C"/>
    <w:rsid w:val="60560F1C"/>
    <w:rsid w:val="60AB5838"/>
    <w:rsid w:val="61CA7DF0"/>
    <w:rsid w:val="61D12145"/>
    <w:rsid w:val="61D61016"/>
    <w:rsid w:val="61EE0789"/>
    <w:rsid w:val="61F1336A"/>
    <w:rsid w:val="61F97274"/>
    <w:rsid w:val="624C5780"/>
    <w:rsid w:val="626456CE"/>
    <w:rsid w:val="6294388F"/>
    <w:rsid w:val="62990ADB"/>
    <w:rsid w:val="62CF685F"/>
    <w:rsid w:val="6318351E"/>
    <w:rsid w:val="63193E97"/>
    <w:rsid w:val="632E4F47"/>
    <w:rsid w:val="636F372F"/>
    <w:rsid w:val="6377714A"/>
    <w:rsid w:val="63A2650A"/>
    <w:rsid w:val="63AD402A"/>
    <w:rsid w:val="63F01AC2"/>
    <w:rsid w:val="641015AE"/>
    <w:rsid w:val="64244566"/>
    <w:rsid w:val="642636C0"/>
    <w:rsid w:val="64613EF5"/>
    <w:rsid w:val="648E463F"/>
    <w:rsid w:val="64957D81"/>
    <w:rsid w:val="64A467F7"/>
    <w:rsid w:val="64A80A32"/>
    <w:rsid w:val="64CB7014"/>
    <w:rsid w:val="65197628"/>
    <w:rsid w:val="65410CA9"/>
    <w:rsid w:val="65511ECB"/>
    <w:rsid w:val="65C67030"/>
    <w:rsid w:val="65F602F7"/>
    <w:rsid w:val="664E72EF"/>
    <w:rsid w:val="66C57020"/>
    <w:rsid w:val="6753003C"/>
    <w:rsid w:val="67571E66"/>
    <w:rsid w:val="67D458D6"/>
    <w:rsid w:val="67EB79BA"/>
    <w:rsid w:val="67FD033C"/>
    <w:rsid w:val="680A3E2C"/>
    <w:rsid w:val="683F7ADF"/>
    <w:rsid w:val="687469D2"/>
    <w:rsid w:val="68CA498C"/>
    <w:rsid w:val="69291A5F"/>
    <w:rsid w:val="696A37A7"/>
    <w:rsid w:val="69C679F4"/>
    <w:rsid w:val="6A217636"/>
    <w:rsid w:val="6A317DDD"/>
    <w:rsid w:val="6A644CA3"/>
    <w:rsid w:val="6ABC6C54"/>
    <w:rsid w:val="6B48602A"/>
    <w:rsid w:val="6B516B7E"/>
    <w:rsid w:val="6B7D3DC9"/>
    <w:rsid w:val="6B9568EC"/>
    <w:rsid w:val="6B9747EC"/>
    <w:rsid w:val="6BB24169"/>
    <w:rsid w:val="6BD37F0E"/>
    <w:rsid w:val="6BFA00B9"/>
    <w:rsid w:val="6C535B01"/>
    <w:rsid w:val="6C5730AE"/>
    <w:rsid w:val="6C6326A1"/>
    <w:rsid w:val="6C804624"/>
    <w:rsid w:val="6CC56C19"/>
    <w:rsid w:val="6D6C3712"/>
    <w:rsid w:val="6D794EDF"/>
    <w:rsid w:val="6D8F4E09"/>
    <w:rsid w:val="6DA94F16"/>
    <w:rsid w:val="6DDE3F62"/>
    <w:rsid w:val="6EA80343"/>
    <w:rsid w:val="6F0C48FF"/>
    <w:rsid w:val="6F230DFD"/>
    <w:rsid w:val="6F2F7055"/>
    <w:rsid w:val="6F354E2A"/>
    <w:rsid w:val="6F983736"/>
    <w:rsid w:val="6FB02F82"/>
    <w:rsid w:val="6FC17403"/>
    <w:rsid w:val="70062B30"/>
    <w:rsid w:val="7026739C"/>
    <w:rsid w:val="70D70B0E"/>
    <w:rsid w:val="70DD6206"/>
    <w:rsid w:val="70E552F6"/>
    <w:rsid w:val="71555D35"/>
    <w:rsid w:val="717C673D"/>
    <w:rsid w:val="718410CA"/>
    <w:rsid w:val="71B47BB2"/>
    <w:rsid w:val="71CC7C50"/>
    <w:rsid w:val="71D97C15"/>
    <w:rsid w:val="71EA3A22"/>
    <w:rsid w:val="72434157"/>
    <w:rsid w:val="727862C8"/>
    <w:rsid w:val="727B6D19"/>
    <w:rsid w:val="72AA28CA"/>
    <w:rsid w:val="72C739BD"/>
    <w:rsid w:val="72C83FEC"/>
    <w:rsid w:val="73602C58"/>
    <w:rsid w:val="73951FFD"/>
    <w:rsid w:val="73C83B83"/>
    <w:rsid w:val="73D51BC1"/>
    <w:rsid w:val="73FC33DE"/>
    <w:rsid w:val="740526D6"/>
    <w:rsid w:val="74116166"/>
    <w:rsid w:val="741B7E17"/>
    <w:rsid w:val="743A2853"/>
    <w:rsid w:val="74581E45"/>
    <w:rsid w:val="747A2870"/>
    <w:rsid w:val="74B95A36"/>
    <w:rsid w:val="74BB0452"/>
    <w:rsid w:val="7597660B"/>
    <w:rsid w:val="75CF1A96"/>
    <w:rsid w:val="75D34346"/>
    <w:rsid w:val="761C5EF1"/>
    <w:rsid w:val="7625117F"/>
    <w:rsid w:val="762B113C"/>
    <w:rsid w:val="76650646"/>
    <w:rsid w:val="768740AF"/>
    <w:rsid w:val="770D54D1"/>
    <w:rsid w:val="775873C6"/>
    <w:rsid w:val="7787061A"/>
    <w:rsid w:val="77EF42BB"/>
    <w:rsid w:val="78325B36"/>
    <w:rsid w:val="784312C4"/>
    <w:rsid w:val="78560406"/>
    <w:rsid w:val="78B408D1"/>
    <w:rsid w:val="78C3420C"/>
    <w:rsid w:val="79135ECC"/>
    <w:rsid w:val="796A0A6B"/>
    <w:rsid w:val="799F0871"/>
    <w:rsid w:val="79B70CA5"/>
    <w:rsid w:val="79B72407"/>
    <w:rsid w:val="79D462FD"/>
    <w:rsid w:val="79F872DA"/>
    <w:rsid w:val="7A025816"/>
    <w:rsid w:val="7A0A6E35"/>
    <w:rsid w:val="7A2D0E68"/>
    <w:rsid w:val="7A470159"/>
    <w:rsid w:val="7A7044F2"/>
    <w:rsid w:val="7AB01DEE"/>
    <w:rsid w:val="7AC53832"/>
    <w:rsid w:val="7B691304"/>
    <w:rsid w:val="7B952B05"/>
    <w:rsid w:val="7B9E1D91"/>
    <w:rsid w:val="7BB826A4"/>
    <w:rsid w:val="7BC50562"/>
    <w:rsid w:val="7BDF59E1"/>
    <w:rsid w:val="7BE07A7F"/>
    <w:rsid w:val="7BE1643E"/>
    <w:rsid w:val="7C812145"/>
    <w:rsid w:val="7CAB049D"/>
    <w:rsid w:val="7CC11913"/>
    <w:rsid w:val="7D0558F2"/>
    <w:rsid w:val="7D0971BF"/>
    <w:rsid w:val="7D364699"/>
    <w:rsid w:val="7E217615"/>
    <w:rsid w:val="7E9A5732"/>
    <w:rsid w:val="7EC27FA3"/>
    <w:rsid w:val="7ED267DC"/>
    <w:rsid w:val="7ED906E4"/>
    <w:rsid w:val="7F380E38"/>
    <w:rsid w:val="7F3E206A"/>
    <w:rsid w:val="7FA709B9"/>
    <w:rsid w:val="7FB110D9"/>
    <w:rsid w:val="7FC81182"/>
    <w:rsid w:val="7FD13F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73"/>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1"/>
    <w:pPr>
      <w:ind w:left="117"/>
      <w:outlineLvl w:val="3"/>
    </w:pPr>
    <w:rPr>
      <w:rFonts w:ascii="宋体" w:hAnsi="宋体"/>
      <w:b/>
      <w:bCs/>
      <w:sz w:val="24"/>
    </w:rPr>
  </w:style>
  <w:style w:type="paragraph" w:styleId="7">
    <w:name w:val="heading 5"/>
    <w:basedOn w:val="1"/>
    <w:next w:val="1"/>
    <w:qFormat/>
    <w:uiPriority w:val="1"/>
    <w:pPr>
      <w:spacing w:before="206"/>
      <w:ind w:left="117"/>
      <w:outlineLvl w:val="4"/>
    </w:pPr>
    <w:rPr>
      <w:rFonts w:ascii="宋体" w:hAnsi="宋体"/>
      <w:sz w:val="24"/>
    </w:rPr>
  </w:style>
  <w:style w:type="paragraph" w:styleId="8">
    <w:name w:val="heading 6"/>
    <w:basedOn w:val="1"/>
    <w:next w:val="1"/>
    <w:qFormat/>
    <w:uiPriority w:val="1"/>
    <w:pPr>
      <w:ind w:left="537"/>
      <w:outlineLvl w:val="5"/>
    </w:pPr>
    <w:rPr>
      <w:rFonts w:ascii="宋体" w:hAnsi="宋体"/>
      <w:b/>
      <w:bCs/>
      <w:szCs w:val="21"/>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54"/>
    <w:qFormat/>
    <w:uiPriority w:val="0"/>
    <w:pPr>
      <w:ind w:firstLine="420"/>
    </w:pPr>
    <w:rPr>
      <w:szCs w:val="20"/>
    </w:rPr>
  </w:style>
  <w:style w:type="paragraph" w:styleId="9">
    <w:name w:val="index 8"/>
    <w:basedOn w:val="1"/>
    <w:next w:val="1"/>
    <w:qFormat/>
    <w:uiPriority w:val="0"/>
    <w:pPr>
      <w:ind w:left="2940"/>
    </w:pPr>
  </w:style>
  <w:style w:type="paragraph" w:styleId="10">
    <w:name w:val="annotation text"/>
    <w:basedOn w:val="1"/>
    <w:link w:val="55"/>
    <w:qFormat/>
    <w:uiPriority w:val="99"/>
    <w:pPr>
      <w:jc w:val="left"/>
    </w:pPr>
  </w:style>
  <w:style w:type="paragraph" w:styleId="11">
    <w:name w:val="Body Text 3"/>
    <w:basedOn w:val="1"/>
    <w:qFormat/>
    <w:uiPriority w:val="0"/>
    <w:pPr>
      <w:spacing w:line="240" w:lineRule="exact"/>
    </w:pPr>
    <w:rPr>
      <w:rFonts w:ascii="宋体" w:hAnsi="宋体"/>
      <w:color w:val="000000"/>
      <w:szCs w:val="21"/>
    </w:rPr>
  </w:style>
  <w:style w:type="paragraph" w:styleId="12">
    <w:name w:val="Body Text"/>
    <w:basedOn w:val="1"/>
    <w:next w:val="1"/>
    <w:qFormat/>
    <w:uiPriority w:val="1"/>
    <w:pPr>
      <w:spacing w:before="104"/>
      <w:ind w:left="117"/>
    </w:pPr>
    <w:rPr>
      <w:rFonts w:ascii="宋体" w:hAnsi="宋体"/>
      <w:szCs w:val="21"/>
    </w:rPr>
  </w:style>
  <w:style w:type="paragraph" w:styleId="13">
    <w:name w:val="Body Text Indent"/>
    <w:basedOn w:val="1"/>
    <w:qFormat/>
    <w:uiPriority w:val="0"/>
    <w:pPr>
      <w:ind w:firstLine="830" w:firstLineChars="352"/>
    </w:pPr>
    <w:rPr>
      <w:rFonts w:ascii="仿宋_GB2312" w:eastAsia="仿宋_GB2312"/>
      <w:sz w:val="32"/>
      <w:szCs w:val="20"/>
    </w:rPr>
  </w:style>
  <w:style w:type="paragraph" w:styleId="14">
    <w:name w:val="toc 3"/>
    <w:basedOn w:val="1"/>
    <w:next w:val="1"/>
    <w:qFormat/>
    <w:uiPriority w:val="39"/>
    <w:pPr>
      <w:ind w:left="840" w:leftChars="400"/>
    </w:pPr>
  </w:style>
  <w:style w:type="paragraph" w:styleId="15">
    <w:name w:val="Plain Text"/>
    <w:basedOn w:val="1"/>
    <w:next w:val="9"/>
    <w:link w:val="56"/>
    <w:qFormat/>
    <w:uiPriority w:val="0"/>
    <w:rPr>
      <w:rFonts w:ascii="宋体" w:hAnsi="Courier New"/>
      <w:szCs w:val="20"/>
    </w:rPr>
  </w:style>
  <w:style w:type="paragraph" w:styleId="16">
    <w:name w:val="Balloon Text"/>
    <w:basedOn w:val="1"/>
    <w:semiHidden/>
    <w:qFormat/>
    <w:uiPriority w:val="0"/>
    <w:rPr>
      <w:sz w:val="18"/>
      <w:szCs w:val="18"/>
    </w:rPr>
  </w:style>
  <w:style w:type="paragraph" w:styleId="17">
    <w:name w:val="footer"/>
    <w:basedOn w:val="1"/>
    <w:link w:val="60"/>
    <w:qFormat/>
    <w:uiPriority w:val="99"/>
    <w:pPr>
      <w:tabs>
        <w:tab w:val="center" w:pos="4153"/>
        <w:tab w:val="right" w:pos="8306"/>
      </w:tabs>
      <w:snapToGrid w:val="0"/>
      <w:jc w:val="left"/>
    </w:pPr>
    <w:rPr>
      <w:sz w:val="18"/>
      <w:szCs w:val="18"/>
    </w:rPr>
  </w:style>
  <w:style w:type="paragraph" w:styleId="18">
    <w:name w:val="header"/>
    <w:basedOn w:val="1"/>
    <w:link w:val="46"/>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0"/>
  </w:style>
  <w:style w:type="paragraph" w:styleId="20">
    <w:name w:val="toc 2"/>
    <w:basedOn w:val="1"/>
    <w:next w:val="1"/>
    <w:qFormat/>
    <w:uiPriority w:val="39"/>
    <w:pPr>
      <w:ind w:left="420" w:leftChars="200"/>
    </w:pPr>
  </w:style>
  <w:style w:type="paragraph" w:styleId="2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2">
    <w:name w:val="annotation subject"/>
    <w:basedOn w:val="10"/>
    <w:next w:val="10"/>
    <w:semiHidden/>
    <w:qFormat/>
    <w:uiPriority w:val="0"/>
    <w:rPr>
      <w:b/>
      <w:bCs/>
    </w:rPr>
  </w:style>
  <w:style w:type="paragraph" w:styleId="23">
    <w:name w:val="Body Text First Indent 2"/>
    <w:basedOn w:val="13"/>
    <w:qFormat/>
    <w:uiPriority w:val="0"/>
    <w:pPr>
      <w:spacing w:after="120"/>
      <w:ind w:left="200" w:leftChars="200" w:firstLine="420" w:firstLineChars="200"/>
    </w:pPr>
    <w:rPr>
      <w:rFonts w:hAnsi="宋体"/>
      <w:sz w:val="21"/>
      <w:szCs w:val="24"/>
    </w:rPr>
  </w:style>
  <w:style w:type="table" w:styleId="25">
    <w:name w:val="Table Grid"/>
    <w:basedOn w:val="2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b/>
      <w:bCs/>
    </w:rPr>
  </w:style>
  <w:style w:type="character" w:styleId="28">
    <w:name w:val="page number"/>
    <w:basedOn w:val="26"/>
    <w:qFormat/>
    <w:uiPriority w:val="0"/>
  </w:style>
  <w:style w:type="character" w:styleId="29">
    <w:name w:val="FollowedHyperlink"/>
    <w:basedOn w:val="26"/>
    <w:qFormat/>
    <w:uiPriority w:val="0"/>
    <w:rPr>
      <w:color w:val="800080"/>
      <w:u w:val="none"/>
    </w:rPr>
  </w:style>
  <w:style w:type="character" w:styleId="30">
    <w:name w:val="Emphasis"/>
    <w:basedOn w:val="26"/>
    <w:qFormat/>
    <w:uiPriority w:val="0"/>
  </w:style>
  <w:style w:type="character" w:styleId="31">
    <w:name w:val="HTML Definition"/>
    <w:basedOn w:val="26"/>
    <w:qFormat/>
    <w:uiPriority w:val="0"/>
  </w:style>
  <w:style w:type="character" w:styleId="32">
    <w:name w:val="HTML Typewriter"/>
    <w:basedOn w:val="26"/>
    <w:qFormat/>
    <w:uiPriority w:val="0"/>
    <w:rPr>
      <w:rFonts w:hint="default" w:ascii="monospace" w:hAnsi="monospace" w:eastAsia="monospace" w:cs="monospace"/>
      <w:sz w:val="20"/>
    </w:rPr>
  </w:style>
  <w:style w:type="character" w:styleId="33">
    <w:name w:val="HTML Acronym"/>
    <w:basedOn w:val="26"/>
    <w:qFormat/>
    <w:uiPriority w:val="0"/>
  </w:style>
  <w:style w:type="character" w:styleId="34">
    <w:name w:val="HTML Variable"/>
    <w:basedOn w:val="26"/>
    <w:qFormat/>
    <w:uiPriority w:val="0"/>
  </w:style>
  <w:style w:type="character" w:styleId="35">
    <w:name w:val="Hyperlink"/>
    <w:basedOn w:val="26"/>
    <w:qFormat/>
    <w:uiPriority w:val="99"/>
    <w:rPr>
      <w:color w:val="0000FF"/>
      <w:u w:val="none"/>
    </w:rPr>
  </w:style>
  <w:style w:type="character" w:styleId="36">
    <w:name w:val="HTML Code"/>
    <w:basedOn w:val="26"/>
    <w:qFormat/>
    <w:uiPriority w:val="0"/>
    <w:rPr>
      <w:rFonts w:ascii="monospace" w:hAnsi="monospace" w:eastAsia="monospace" w:cs="monospace"/>
      <w:sz w:val="20"/>
    </w:rPr>
  </w:style>
  <w:style w:type="character" w:styleId="37">
    <w:name w:val="annotation reference"/>
    <w:semiHidden/>
    <w:qFormat/>
    <w:uiPriority w:val="99"/>
    <w:rPr>
      <w:sz w:val="21"/>
      <w:szCs w:val="21"/>
    </w:rPr>
  </w:style>
  <w:style w:type="character" w:styleId="38">
    <w:name w:val="HTML Cite"/>
    <w:basedOn w:val="26"/>
    <w:qFormat/>
    <w:uiPriority w:val="0"/>
  </w:style>
  <w:style w:type="character" w:styleId="39">
    <w:name w:val="HTML Keyboard"/>
    <w:basedOn w:val="26"/>
    <w:qFormat/>
    <w:uiPriority w:val="0"/>
    <w:rPr>
      <w:rFonts w:hint="default" w:ascii="monospace" w:hAnsi="monospace" w:eastAsia="monospace" w:cs="monospace"/>
      <w:sz w:val="20"/>
    </w:rPr>
  </w:style>
  <w:style w:type="character" w:styleId="40">
    <w:name w:val="HTML Sample"/>
    <w:basedOn w:val="26"/>
    <w:qFormat/>
    <w:uiPriority w:val="0"/>
    <w:rPr>
      <w:rFonts w:hint="default" w:ascii="monospace" w:hAnsi="monospace" w:eastAsia="monospace" w:cs="monospace"/>
    </w:rPr>
  </w:style>
  <w:style w:type="character" w:customStyle="1" w:styleId="41">
    <w:name w:val="批注文字 Char"/>
    <w:qFormat/>
    <w:uiPriority w:val="99"/>
    <w:rPr>
      <w:kern w:val="2"/>
      <w:sz w:val="21"/>
      <w:szCs w:val="24"/>
    </w:rPr>
  </w:style>
  <w:style w:type="character" w:customStyle="1" w:styleId="42">
    <w:name w:val="font41"/>
    <w:qFormat/>
    <w:uiPriority w:val="0"/>
    <w:rPr>
      <w:rFonts w:hint="eastAsia" w:ascii="宋体" w:hAnsi="宋体" w:eastAsia="宋体" w:cs="宋体"/>
      <w:color w:val="FF0000"/>
      <w:sz w:val="18"/>
      <w:szCs w:val="18"/>
      <w:u w:val="none"/>
    </w:rPr>
  </w:style>
  <w:style w:type="character" w:customStyle="1" w:styleId="43">
    <w:name w:val="纯文本 Char2"/>
    <w:qFormat/>
    <w:uiPriority w:val="0"/>
    <w:rPr>
      <w:rFonts w:hint="eastAsia" w:ascii="宋体" w:hAnsi="Courier New" w:eastAsia="宋体" w:cs="宋体"/>
      <w:kern w:val="2"/>
      <w:sz w:val="21"/>
    </w:rPr>
  </w:style>
  <w:style w:type="character" w:customStyle="1" w:styleId="44">
    <w:name w:val="纯文本 Char"/>
    <w:qFormat/>
    <w:uiPriority w:val="0"/>
    <w:rPr>
      <w:rFonts w:ascii="宋体" w:hAnsi="Courier New" w:eastAsia="宋体"/>
      <w:kern w:val="2"/>
      <w:sz w:val="21"/>
      <w:lang w:val="en-US" w:eastAsia="zh-CN" w:bidi="ar-SA"/>
    </w:rPr>
  </w:style>
  <w:style w:type="character" w:customStyle="1" w:styleId="45">
    <w:name w:val="纯文本 字符"/>
    <w:qFormat/>
    <w:uiPriority w:val="0"/>
    <w:rPr>
      <w:rFonts w:ascii="宋体" w:hAnsi="Courier New" w:eastAsia="宋体"/>
      <w:kern w:val="2"/>
      <w:sz w:val="21"/>
      <w:lang w:val="en-US" w:eastAsia="zh-CN" w:bidi="ar-SA"/>
    </w:rPr>
  </w:style>
  <w:style w:type="character" w:customStyle="1" w:styleId="46">
    <w:name w:val="页眉 Char"/>
    <w:link w:val="18"/>
    <w:qFormat/>
    <w:uiPriority w:val="99"/>
    <w:rPr>
      <w:kern w:val="2"/>
      <w:sz w:val="18"/>
      <w:szCs w:val="18"/>
    </w:rPr>
  </w:style>
  <w:style w:type="character" w:customStyle="1" w:styleId="47">
    <w:name w:val="font11"/>
    <w:qFormat/>
    <w:uiPriority w:val="0"/>
    <w:rPr>
      <w:rFonts w:hint="eastAsia" w:ascii="宋体" w:hAnsi="宋体" w:eastAsia="宋体" w:cs="宋体"/>
      <w:b/>
      <w:color w:val="000000"/>
      <w:sz w:val="20"/>
      <w:szCs w:val="20"/>
      <w:u w:val="none"/>
    </w:rPr>
  </w:style>
  <w:style w:type="character" w:customStyle="1" w:styleId="48">
    <w:name w:val="标题 1 Char"/>
    <w:link w:val="3"/>
    <w:qFormat/>
    <w:uiPriority w:val="0"/>
    <w:rPr>
      <w:b/>
      <w:bCs/>
      <w:kern w:val="44"/>
      <w:sz w:val="44"/>
      <w:szCs w:val="44"/>
    </w:rPr>
  </w:style>
  <w:style w:type="character" w:customStyle="1" w:styleId="49">
    <w:name w:val="Char Char10"/>
    <w:qFormat/>
    <w:uiPriority w:val="0"/>
    <w:rPr>
      <w:rFonts w:eastAsia="宋体"/>
      <w:kern w:val="2"/>
      <w:sz w:val="21"/>
      <w:szCs w:val="24"/>
      <w:lang w:val="en-US" w:eastAsia="zh-CN" w:bidi="ar-SA"/>
    </w:rPr>
  </w:style>
  <w:style w:type="character" w:customStyle="1" w:styleId="50">
    <w:name w:val="font51"/>
    <w:qFormat/>
    <w:uiPriority w:val="0"/>
    <w:rPr>
      <w:rFonts w:hint="eastAsia" w:ascii="宋体" w:hAnsi="宋体" w:eastAsia="宋体" w:cs="宋体"/>
      <w:color w:val="000000"/>
      <w:sz w:val="18"/>
      <w:szCs w:val="18"/>
      <w:u w:val="none"/>
    </w:rPr>
  </w:style>
  <w:style w:type="character" w:customStyle="1" w:styleId="51">
    <w:name w:val="apple-converted-space"/>
    <w:basedOn w:val="26"/>
    <w:qFormat/>
    <w:uiPriority w:val="0"/>
  </w:style>
  <w:style w:type="character" w:customStyle="1" w:styleId="52">
    <w:name w:val="font21"/>
    <w:qFormat/>
    <w:uiPriority w:val="0"/>
    <w:rPr>
      <w:rFonts w:hint="default" w:ascii="Times New Roman" w:hAnsi="Times New Roman" w:cs="Times New Roman"/>
      <w:color w:val="000000"/>
      <w:sz w:val="18"/>
      <w:szCs w:val="18"/>
      <w:u w:val="none"/>
    </w:rPr>
  </w:style>
  <w:style w:type="character" w:customStyle="1" w:styleId="53">
    <w:name w:val="heading 2+ Indent: Left 0.25 in Char"/>
    <w:qFormat/>
    <w:uiPriority w:val="0"/>
    <w:rPr>
      <w:rFonts w:ascii="Arial" w:hAnsi="Arial" w:eastAsia="黑体"/>
      <w:b/>
      <w:bCs/>
      <w:kern w:val="2"/>
      <w:sz w:val="32"/>
      <w:szCs w:val="32"/>
      <w:lang w:val="en-US" w:eastAsia="zh-CN" w:bidi="ar-SA"/>
    </w:rPr>
  </w:style>
  <w:style w:type="character" w:customStyle="1" w:styleId="54">
    <w:name w:val="正文缩进 Char"/>
    <w:link w:val="2"/>
    <w:qFormat/>
    <w:locked/>
    <w:uiPriority w:val="0"/>
    <w:rPr>
      <w:rFonts w:eastAsia="宋体"/>
      <w:kern w:val="2"/>
      <w:sz w:val="21"/>
      <w:lang w:val="en-US" w:eastAsia="zh-CN" w:bidi="ar-SA"/>
    </w:rPr>
  </w:style>
  <w:style w:type="character" w:customStyle="1" w:styleId="55">
    <w:name w:val="批注文字 Char2"/>
    <w:link w:val="10"/>
    <w:qFormat/>
    <w:uiPriority w:val="99"/>
    <w:rPr>
      <w:kern w:val="2"/>
      <w:sz w:val="21"/>
      <w:szCs w:val="24"/>
    </w:rPr>
  </w:style>
  <w:style w:type="character" w:customStyle="1" w:styleId="56">
    <w:name w:val="纯文本 Char3"/>
    <w:link w:val="15"/>
    <w:qFormat/>
    <w:uiPriority w:val="0"/>
    <w:rPr>
      <w:rFonts w:ascii="宋体" w:hAnsi="Courier New" w:eastAsia="宋体"/>
      <w:kern w:val="2"/>
      <w:sz w:val="21"/>
      <w:lang w:val="en-US" w:eastAsia="zh-CN" w:bidi="ar-SA"/>
    </w:rPr>
  </w:style>
  <w:style w:type="character" w:customStyle="1" w:styleId="57">
    <w:name w:val="font91"/>
    <w:qFormat/>
    <w:uiPriority w:val="0"/>
    <w:rPr>
      <w:rFonts w:hint="eastAsia" w:ascii="宋体" w:hAnsi="宋体" w:eastAsia="宋体" w:cs="宋体"/>
      <w:color w:val="000000"/>
      <w:sz w:val="20"/>
      <w:szCs w:val="20"/>
      <w:u w:val="none"/>
    </w:rPr>
  </w:style>
  <w:style w:type="character" w:customStyle="1" w:styleId="58">
    <w:name w:val="批注文字 Char1"/>
    <w:semiHidden/>
    <w:qFormat/>
    <w:locked/>
    <w:uiPriority w:val="0"/>
    <w:rPr>
      <w:kern w:val="2"/>
      <w:sz w:val="21"/>
      <w:szCs w:val="24"/>
    </w:rPr>
  </w:style>
  <w:style w:type="character" w:customStyle="1" w:styleId="59">
    <w:name w:val="纯文本 Char1"/>
    <w:qFormat/>
    <w:uiPriority w:val="0"/>
    <w:rPr>
      <w:rFonts w:ascii="宋体" w:hAnsi="Courier New"/>
      <w:kern w:val="2"/>
      <w:sz w:val="21"/>
    </w:rPr>
  </w:style>
  <w:style w:type="character" w:customStyle="1" w:styleId="60">
    <w:name w:val="页脚 Char"/>
    <w:link w:val="17"/>
    <w:qFormat/>
    <w:uiPriority w:val="99"/>
    <w:rPr>
      <w:kern w:val="2"/>
      <w:sz w:val="18"/>
      <w:szCs w:val="18"/>
    </w:rPr>
  </w:style>
  <w:style w:type="character" w:customStyle="1" w:styleId="61">
    <w:name w:val="font71"/>
    <w:qFormat/>
    <w:uiPriority w:val="0"/>
    <w:rPr>
      <w:rFonts w:hint="eastAsia" w:ascii="宋体" w:hAnsi="宋体" w:eastAsia="宋体" w:cs="宋体"/>
      <w:color w:val="000000"/>
      <w:sz w:val="21"/>
      <w:szCs w:val="21"/>
      <w:u w:val="none"/>
    </w:rPr>
  </w:style>
  <w:style w:type="character" w:customStyle="1" w:styleId="62">
    <w:name w:val="font31"/>
    <w:qFormat/>
    <w:uiPriority w:val="0"/>
    <w:rPr>
      <w:rFonts w:hint="eastAsia" w:ascii="黑体" w:eastAsia="黑体" w:cs="黑体"/>
      <w:color w:val="000000"/>
      <w:sz w:val="20"/>
      <w:szCs w:val="20"/>
      <w:u w:val="none"/>
    </w:rPr>
  </w:style>
  <w:style w:type="character" w:customStyle="1" w:styleId="63">
    <w:name w:val="无间隔 Char"/>
    <w:link w:val="64"/>
    <w:qFormat/>
    <w:uiPriority w:val="1"/>
    <w:rPr>
      <w:rFonts w:ascii="Calibri" w:hAnsi="Calibri"/>
      <w:kern w:val="2"/>
      <w:sz w:val="21"/>
      <w:szCs w:val="22"/>
      <w:lang w:val="en-US" w:eastAsia="zh-CN" w:bidi="ar-SA"/>
    </w:rPr>
  </w:style>
  <w:style w:type="paragraph" w:styleId="64">
    <w:name w:val="No Spacing"/>
    <w:link w:val="63"/>
    <w:qFormat/>
    <w:uiPriority w:val="1"/>
    <w:pPr>
      <w:widowControl w:val="0"/>
      <w:jc w:val="both"/>
    </w:pPr>
    <w:rPr>
      <w:rFonts w:ascii="Calibri" w:hAnsi="Calibri" w:eastAsia="宋体" w:cs="Times New Roman"/>
      <w:kern w:val="2"/>
      <w:sz w:val="21"/>
      <w:szCs w:val="22"/>
      <w:lang w:val="en-US" w:eastAsia="zh-CN" w:bidi="ar-SA"/>
    </w:rPr>
  </w:style>
  <w:style w:type="character" w:customStyle="1" w:styleId="65">
    <w:name w:val="font61"/>
    <w:qFormat/>
    <w:uiPriority w:val="0"/>
    <w:rPr>
      <w:rFonts w:hint="eastAsia" w:ascii="宋体" w:hAnsi="宋体" w:eastAsia="宋体" w:cs="宋体"/>
      <w:b/>
      <w:color w:val="000000"/>
      <w:sz w:val="20"/>
      <w:szCs w:val="20"/>
      <w:u w:val="single"/>
    </w:rPr>
  </w:style>
  <w:style w:type="paragraph" w:customStyle="1" w:styleId="66">
    <w:name w:val="_Style 5"/>
    <w:basedOn w:val="3"/>
    <w:next w:val="1"/>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67">
    <w:name w:val="_Style 29"/>
    <w:basedOn w:val="1"/>
    <w:qFormat/>
    <w:uiPriority w:val="0"/>
    <w:rPr>
      <w:rFonts w:ascii="Tahoma" w:hAnsi="Tahoma"/>
      <w:sz w:val="24"/>
      <w:szCs w:val="20"/>
    </w:rPr>
  </w:style>
  <w:style w:type="paragraph" w:customStyle="1" w:styleId="68">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69">
    <w:name w:val="p0"/>
    <w:basedOn w:val="1"/>
    <w:qFormat/>
    <w:uiPriority w:val="0"/>
    <w:pPr>
      <w:widowControl/>
    </w:pPr>
    <w:rPr>
      <w:kern w:val="0"/>
      <w:szCs w:val="21"/>
    </w:rPr>
  </w:style>
  <w:style w:type="paragraph" w:customStyle="1" w:styleId="70">
    <w:name w:val="Char"/>
    <w:basedOn w:val="1"/>
    <w:qFormat/>
    <w:uiPriority w:val="0"/>
  </w:style>
  <w:style w:type="paragraph" w:customStyle="1" w:styleId="71">
    <w:name w:val="TOC 标题1"/>
    <w:basedOn w:val="3"/>
    <w:next w:val="1"/>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72">
    <w:name w:val="Table Paragraph"/>
    <w:basedOn w:val="1"/>
    <w:qFormat/>
    <w:uiPriority w:val="1"/>
  </w:style>
  <w:style w:type="character" w:customStyle="1" w:styleId="73">
    <w:name w:val="标题 2 Char"/>
    <w:link w:val="4"/>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wmf"/><Relationship Id="rId15" Type="http://schemas.openxmlformats.org/officeDocument/2006/relationships/oleObject" Target="embeddings/oleObject2.bin"/><Relationship Id="rId14" Type="http://schemas.openxmlformats.org/officeDocument/2006/relationships/image" Target="media/image1.w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51</Pages>
  <Words>27384</Words>
  <Characters>29187</Characters>
  <Lines>234</Lines>
  <Paragraphs>66</Paragraphs>
  <TotalTime>4</TotalTime>
  <ScaleCrop>false</ScaleCrop>
  <LinksUpToDate>false</LinksUpToDate>
  <CharactersWithSpaces>31256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2019-11-19T08:46:00Z</dcterms:created>
  <dc:creator>微软用户</dc:creator>
  <cp:lastModifiedBy>雅幽</cp:lastModifiedBy>
  <cp:lastPrinted>2018-12-14T03:17:00Z</cp:lastPrinted>
  <dcterms:modified xsi:type="dcterms:W3CDTF">2020-12-07T09:11:23Z</dcterms:modified>
  <dc:title>医疗设备采购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