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36"/>
          <w:szCs w:val="36"/>
        </w:rPr>
      </w:pPr>
      <w:bookmarkStart w:id="254" w:name="_GoBack"/>
    </w:p>
    <w:p>
      <w:pPr>
        <w:spacing w:line="360" w:lineRule="auto"/>
        <w:jc w:val="center"/>
        <w:rPr>
          <w:rFonts w:ascii="宋体" w:hAnsi="宋体" w:cs="宋体"/>
          <w:color w:val="000000"/>
          <w:sz w:val="52"/>
          <w:szCs w:val="52"/>
        </w:rPr>
      </w:pPr>
      <w:r>
        <w:rPr>
          <w:rFonts w:hint="eastAsia" w:ascii="宋体" w:hAnsi="宋体" w:cs="宋体"/>
          <w:color w:val="000000"/>
          <w:sz w:val="52"/>
          <w:szCs w:val="52"/>
        </w:rPr>
        <w:t>广西正海招标有限公司</w:t>
      </w:r>
    </w:p>
    <w:p>
      <w:pPr>
        <w:spacing w:line="360" w:lineRule="auto"/>
        <w:jc w:val="center"/>
        <w:rPr>
          <w:rFonts w:ascii="宋体" w:hAnsi="宋体" w:cs="宋体"/>
          <w:b/>
          <w:color w:val="000000"/>
          <w:sz w:val="44"/>
          <w:szCs w:val="44"/>
        </w:rPr>
      </w:pPr>
    </w:p>
    <w:p>
      <w:pPr>
        <w:snapToGrid w:val="0"/>
        <w:spacing w:beforeLines="50" w:line="360" w:lineRule="auto"/>
        <w:jc w:val="center"/>
        <w:rPr>
          <w:rFonts w:ascii="宋体" w:hAnsi="宋体" w:cs="宋体"/>
          <w:color w:val="000000"/>
          <w:sz w:val="72"/>
          <w:szCs w:val="72"/>
        </w:rPr>
      </w:pPr>
      <w:r>
        <w:rPr>
          <w:rFonts w:hint="eastAsia" w:ascii="宋体" w:hAnsi="宋体" w:cs="宋体"/>
          <w:color w:val="000000"/>
          <w:sz w:val="120"/>
          <w:szCs w:val="120"/>
        </w:rPr>
        <w:t>招 标 文 件</w:t>
      </w:r>
    </w:p>
    <w:p>
      <w:pPr>
        <w:snapToGrid w:val="0"/>
        <w:spacing w:beforeLines="50" w:line="360" w:lineRule="auto"/>
        <w:jc w:val="center"/>
        <w:rPr>
          <w:rFonts w:ascii="宋体" w:hAnsi="宋体" w:cs="宋体"/>
          <w:b/>
          <w:color w:val="000000"/>
          <w:sz w:val="48"/>
          <w:szCs w:val="48"/>
        </w:rPr>
      </w:pPr>
      <w:r>
        <w:rPr>
          <w:rFonts w:hint="eastAsia" w:ascii="宋体" w:hAnsi="宋体" w:cs="宋体"/>
          <w:b/>
          <w:color w:val="000000"/>
          <w:sz w:val="48"/>
          <w:szCs w:val="48"/>
        </w:rPr>
        <w:t>（全流程电子化采购）</w:t>
      </w:r>
    </w:p>
    <w:p>
      <w:pPr>
        <w:pStyle w:val="24"/>
        <w:snapToGrid w:val="0"/>
        <w:spacing w:line="360" w:lineRule="auto"/>
        <w:ind w:left="2556" w:leftChars="500" w:hanging="1506" w:hangingChars="500"/>
        <w:rPr>
          <w:rFonts w:hAnsi="宋体" w:cs="宋体"/>
          <w:b/>
          <w:bCs/>
          <w:color w:val="000000"/>
          <w:sz w:val="30"/>
          <w:szCs w:val="30"/>
        </w:rPr>
      </w:pPr>
    </w:p>
    <w:p>
      <w:pPr>
        <w:pStyle w:val="24"/>
        <w:snapToGrid w:val="0"/>
        <w:spacing w:line="360" w:lineRule="auto"/>
        <w:jc w:val="right"/>
        <w:rPr>
          <w:rFonts w:hAnsi="宋体" w:cs="宋体"/>
          <w:b/>
          <w:bCs/>
          <w:color w:val="000000"/>
          <w:sz w:val="30"/>
          <w:szCs w:val="30"/>
        </w:rPr>
      </w:pPr>
      <w:r>
        <w:rPr>
          <w:rFonts w:hint="eastAsia" w:hAnsi="宋体" w:cs="宋体"/>
          <w:b/>
          <w:bCs/>
          <w:color w:val="000000"/>
          <w:sz w:val="30"/>
          <w:szCs w:val="30"/>
        </w:rPr>
        <w:t>项目</w:t>
      </w:r>
      <w:r>
        <w:rPr>
          <w:rFonts w:hint="eastAsia" w:hAnsi="宋体" w:cs="宋体"/>
          <w:b/>
          <w:bCs/>
          <w:color w:val="000000"/>
          <w:w w:val="95"/>
          <w:sz w:val="30"/>
          <w:szCs w:val="30"/>
        </w:rPr>
        <w:t>名称</w:t>
      </w:r>
      <w:r>
        <w:rPr>
          <w:rFonts w:hint="eastAsia" w:hAnsi="宋体" w:cs="宋体"/>
          <w:b/>
          <w:bCs/>
          <w:color w:val="000000"/>
          <w:sz w:val="30"/>
          <w:szCs w:val="30"/>
        </w:rPr>
        <w:t>：广西壮族自治区职业健康信息综合管理平台建设项目</w:t>
      </w:r>
    </w:p>
    <w:p>
      <w:pPr>
        <w:snapToGrid w:val="0"/>
        <w:spacing w:line="360" w:lineRule="auto"/>
        <w:rPr>
          <w:rFonts w:ascii="宋体" w:hAnsi="宋体" w:cs="宋体"/>
          <w:b/>
          <w:bCs/>
          <w:color w:val="000000"/>
          <w:w w:val="95"/>
          <w:sz w:val="30"/>
          <w:szCs w:val="30"/>
        </w:rPr>
      </w:pPr>
    </w:p>
    <w:p>
      <w:pPr>
        <w:snapToGrid w:val="0"/>
        <w:spacing w:line="360" w:lineRule="auto"/>
        <w:ind w:firstLine="701" w:firstLineChars="245"/>
        <w:rPr>
          <w:rFonts w:ascii="宋体" w:hAnsi="宋体" w:cs="宋体"/>
          <w:b/>
          <w:bCs/>
          <w:color w:val="000000"/>
          <w:kern w:val="0"/>
          <w:sz w:val="30"/>
          <w:szCs w:val="30"/>
        </w:rPr>
      </w:pPr>
      <w:r>
        <w:rPr>
          <w:rFonts w:hint="eastAsia" w:ascii="宋体" w:hAnsi="宋体" w:cs="宋体"/>
          <w:b/>
          <w:bCs/>
          <w:color w:val="000000"/>
          <w:w w:val="95"/>
          <w:sz w:val="30"/>
          <w:szCs w:val="30"/>
        </w:rPr>
        <w:t>项目</w:t>
      </w:r>
      <w:r>
        <w:rPr>
          <w:rFonts w:hint="eastAsia" w:ascii="宋体" w:hAnsi="宋体" w:cs="宋体"/>
          <w:b/>
          <w:bCs/>
          <w:color w:val="000000"/>
          <w:sz w:val="30"/>
          <w:szCs w:val="30"/>
        </w:rPr>
        <w:t>编号：</w:t>
      </w:r>
      <w:r>
        <w:rPr>
          <w:rFonts w:hint="eastAsia" w:ascii="宋体" w:hAnsi="宋体" w:cs="宋体"/>
          <w:b/>
          <w:bCs/>
          <w:color w:val="000000"/>
          <w:kern w:val="0"/>
          <w:sz w:val="30"/>
          <w:szCs w:val="30"/>
        </w:rPr>
        <w:t>GXZC2023-G3-000576-ZHZB</w:t>
      </w:r>
    </w:p>
    <w:p>
      <w:pPr>
        <w:pStyle w:val="111"/>
      </w:pPr>
    </w:p>
    <w:p>
      <w:pPr>
        <w:pStyle w:val="24"/>
        <w:snapToGrid w:val="0"/>
        <w:spacing w:line="360" w:lineRule="auto"/>
        <w:ind w:firstLine="1125" w:firstLineChars="393"/>
        <w:rPr>
          <w:rFonts w:hAnsi="宋体" w:cs="宋体"/>
          <w:b/>
          <w:bCs/>
          <w:color w:val="000000"/>
          <w:w w:val="95"/>
          <w:sz w:val="30"/>
          <w:szCs w:val="30"/>
        </w:rPr>
      </w:pPr>
    </w:p>
    <w:p>
      <w:pPr>
        <w:pStyle w:val="24"/>
        <w:snapToGrid w:val="0"/>
        <w:spacing w:line="360" w:lineRule="auto"/>
        <w:ind w:firstLine="1125" w:firstLineChars="393"/>
        <w:rPr>
          <w:rFonts w:hAnsi="宋体" w:cs="宋体"/>
          <w:b/>
          <w:bCs/>
          <w:color w:val="000000"/>
          <w:w w:val="95"/>
          <w:sz w:val="30"/>
          <w:szCs w:val="30"/>
        </w:rPr>
      </w:pPr>
    </w:p>
    <w:p>
      <w:pPr>
        <w:pStyle w:val="24"/>
        <w:snapToGrid w:val="0"/>
        <w:spacing w:line="360" w:lineRule="auto"/>
        <w:ind w:firstLine="1125" w:firstLineChars="393"/>
        <w:rPr>
          <w:rFonts w:hAnsi="宋体" w:cs="宋体"/>
          <w:b/>
          <w:bCs/>
          <w:color w:val="000000"/>
          <w:w w:val="95"/>
          <w:sz w:val="30"/>
          <w:szCs w:val="30"/>
        </w:rPr>
      </w:pPr>
    </w:p>
    <w:p>
      <w:pPr>
        <w:pStyle w:val="24"/>
        <w:snapToGrid w:val="0"/>
        <w:spacing w:line="360" w:lineRule="auto"/>
        <w:ind w:firstLine="744" w:firstLineChars="247"/>
        <w:rPr>
          <w:rFonts w:hAnsi="宋体" w:cs="宋体"/>
          <w:b/>
          <w:bCs/>
          <w:color w:val="000000"/>
          <w:sz w:val="30"/>
          <w:szCs w:val="30"/>
        </w:rPr>
      </w:pPr>
      <w:r>
        <w:rPr>
          <w:rFonts w:hint="eastAsia" w:hAnsi="宋体" w:cs="宋体"/>
          <w:b/>
          <w:bCs/>
          <w:color w:val="000000"/>
          <w:sz w:val="30"/>
          <w:szCs w:val="30"/>
        </w:rPr>
        <w:t>采 购 人：广西壮族自治区卫生健康统计信息中心</w:t>
      </w:r>
    </w:p>
    <w:p>
      <w:pPr>
        <w:pStyle w:val="24"/>
        <w:snapToGrid w:val="0"/>
        <w:spacing w:line="360" w:lineRule="auto"/>
        <w:ind w:firstLine="1184" w:firstLineChars="393"/>
        <w:rPr>
          <w:rFonts w:hAnsi="宋体" w:cs="宋体"/>
          <w:b/>
          <w:bCs/>
          <w:color w:val="000000"/>
          <w:sz w:val="30"/>
          <w:szCs w:val="30"/>
        </w:rPr>
      </w:pPr>
    </w:p>
    <w:p>
      <w:pPr>
        <w:pStyle w:val="24"/>
        <w:snapToGrid w:val="0"/>
        <w:spacing w:line="360" w:lineRule="auto"/>
        <w:ind w:firstLine="744" w:firstLineChars="247"/>
        <w:rPr>
          <w:rFonts w:hAnsi="宋体" w:cs="宋体"/>
          <w:b/>
          <w:bCs/>
          <w:color w:val="000000"/>
          <w:sz w:val="30"/>
          <w:szCs w:val="30"/>
        </w:rPr>
      </w:pPr>
      <w:r>
        <w:rPr>
          <w:rFonts w:hint="eastAsia" w:hAnsi="宋体" w:cs="宋体"/>
          <w:b/>
          <w:bCs/>
          <w:color w:val="000000"/>
          <w:sz w:val="30"/>
          <w:szCs w:val="30"/>
        </w:rPr>
        <w:t>采购代理机构：广西正海招标有限公司</w:t>
      </w:r>
    </w:p>
    <w:p>
      <w:pPr>
        <w:pStyle w:val="24"/>
        <w:snapToGrid w:val="0"/>
        <w:spacing w:line="360" w:lineRule="auto"/>
        <w:rPr>
          <w:rFonts w:hAnsi="宋体" w:cs="宋体"/>
          <w:b/>
          <w:bCs/>
          <w:color w:val="000000"/>
          <w:w w:val="95"/>
          <w:sz w:val="30"/>
          <w:szCs w:val="30"/>
        </w:rPr>
      </w:pPr>
    </w:p>
    <w:p>
      <w:pPr>
        <w:pStyle w:val="24"/>
        <w:snapToGrid w:val="0"/>
        <w:spacing w:line="360" w:lineRule="auto"/>
        <w:jc w:val="center"/>
        <w:rPr>
          <w:rFonts w:hAnsi="宋体" w:cs="宋体"/>
          <w:color w:val="000000"/>
          <w:szCs w:val="20"/>
        </w:rPr>
      </w:pPr>
      <w:r>
        <w:rPr>
          <w:rFonts w:hint="eastAsia" w:hAnsi="宋体" w:cs="宋体"/>
          <w:b/>
          <w:bCs/>
          <w:color w:val="000000"/>
          <w:w w:val="95"/>
          <w:sz w:val="30"/>
          <w:szCs w:val="30"/>
        </w:rPr>
        <w:t>2023年3月</w:t>
      </w:r>
    </w:p>
    <w:p>
      <w:pPr>
        <w:pStyle w:val="24"/>
        <w:spacing w:before="120" w:after="120" w:line="360" w:lineRule="auto"/>
        <w:jc w:val="center"/>
        <w:rPr>
          <w:rFonts w:hAnsi="宋体" w:cs="宋体"/>
          <w:color w:val="000000"/>
        </w:rPr>
      </w:pPr>
    </w:p>
    <w:p>
      <w:pPr>
        <w:spacing w:line="360" w:lineRule="auto"/>
        <w:jc w:val="center"/>
        <w:rPr>
          <w:rFonts w:ascii="宋体" w:hAnsi="宋体" w:cs="宋体"/>
          <w:b/>
          <w:color w:val="000000"/>
          <w:sz w:val="44"/>
          <w:szCs w:val="44"/>
        </w:rPr>
        <w:sectPr>
          <w:headerReference r:id="rId5" w:type="first"/>
          <w:footerReference r:id="rId8" w:type="first"/>
          <w:headerReference r:id="rId3" w:type="default"/>
          <w:footerReference r:id="rId6" w:type="default"/>
          <w:headerReference r:id="rId4" w:type="even"/>
          <w:footerReference r:id="rId7" w:type="even"/>
          <w:pgSz w:w="11906" w:h="16838"/>
          <w:pgMar w:top="1332" w:right="1435" w:bottom="1332" w:left="1435" w:header="851" w:footer="992" w:gutter="0"/>
          <w:cols w:space="720" w:num="1"/>
          <w:titlePg/>
          <w:docGrid w:linePitch="312" w:charSpace="0"/>
        </w:sectPr>
      </w:pPr>
    </w:p>
    <w:p>
      <w:pPr>
        <w:pStyle w:val="111"/>
      </w:pPr>
    </w:p>
    <w:p>
      <w:pPr>
        <w:spacing w:line="360" w:lineRule="auto"/>
        <w:jc w:val="center"/>
        <w:rPr>
          <w:rFonts w:ascii="宋体" w:hAnsi="宋体" w:cs="宋体"/>
          <w:b/>
          <w:color w:val="000000"/>
          <w:sz w:val="44"/>
          <w:szCs w:val="44"/>
        </w:rPr>
      </w:pPr>
      <w:r>
        <w:rPr>
          <w:rFonts w:hint="eastAsia" w:ascii="宋体" w:hAnsi="宋体" w:cs="宋体"/>
          <w:b/>
          <w:color w:val="000000"/>
          <w:sz w:val="44"/>
          <w:szCs w:val="44"/>
        </w:rPr>
        <w:t>目  录</w:t>
      </w:r>
    </w:p>
    <w:p>
      <w:pPr>
        <w:spacing w:line="400" w:lineRule="exact"/>
        <w:jc w:val="center"/>
        <w:rPr>
          <w:rFonts w:ascii="宋体" w:hAnsi="宋体" w:cs="宋体"/>
          <w:b/>
          <w:color w:val="000000"/>
          <w:sz w:val="44"/>
          <w:szCs w:val="44"/>
        </w:rPr>
      </w:pPr>
    </w:p>
    <w:p>
      <w:pPr>
        <w:pStyle w:val="32"/>
        <w:tabs>
          <w:tab w:val="right" w:leader="dot" w:pos="8730"/>
          <w:tab w:val="clear" w:pos="8398"/>
        </w:tabs>
        <w:spacing w:line="480" w:lineRule="auto"/>
        <w:rPr>
          <w:rFonts w:cs="宋体"/>
          <w:color w:val="000000"/>
        </w:rPr>
      </w:pPr>
      <w:r>
        <w:rPr>
          <w:rFonts w:hint="eastAsia" w:cs="宋体"/>
          <w:b w:val="0"/>
          <w:color w:val="000000"/>
        </w:rPr>
        <w:fldChar w:fldCharType="begin"/>
      </w:r>
      <w:r>
        <w:rPr>
          <w:rFonts w:hint="eastAsia" w:cs="宋体"/>
          <w:b w:val="0"/>
          <w:color w:val="000000"/>
        </w:rPr>
        <w:instrText xml:space="preserve"> TOC \o "1-2" \h \z \u </w:instrText>
      </w:r>
      <w:r>
        <w:rPr>
          <w:rFonts w:hint="eastAsia" w:cs="宋体"/>
          <w:b w:val="0"/>
          <w:color w:val="000000"/>
        </w:rPr>
        <w:fldChar w:fldCharType="separate"/>
      </w:r>
      <w:r>
        <w:fldChar w:fldCharType="begin"/>
      </w:r>
      <w:r>
        <w:instrText xml:space="preserve"> HYPERLINK \l "_Toc26956" </w:instrText>
      </w:r>
      <w:r>
        <w:fldChar w:fldCharType="separate"/>
      </w:r>
      <w:r>
        <w:rPr>
          <w:rFonts w:hint="eastAsia" w:cs="宋体"/>
          <w:color w:val="000000"/>
        </w:rPr>
        <w:t>第一章 招标公告</w:t>
      </w:r>
      <w:r>
        <w:rPr>
          <w:rFonts w:hint="eastAsia" w:cs="宋体"/>
          <w:color w:val="000000"/>
        </w:rPr>
        <w:tab/>
      </w:r>
      <w:r>
        <w:rPr>
          <w:rFonts w:hint="eastAsia" w:cs="宋体"/>
          <w:color w:val="000000"/>
        </w:rPr>
        <w:fldChar w:fldCharType="begin"/>
      </w:r>
      <w:r>
        <w:rPr>
          <w:rFonts w:hint="eastAsia" w:cs="宋体"/>
          <w:color w:val="000000"/>
        </w:rPr>
        <w:instrText xml:space="preserve"> PAGEREF _Toc26956 \h </w:instrText>
      </w:r>
      <w:r>
        <w:rPr>
          <w:rFonts w:hint="eastAsia" w:cs="宋体"/>
          <w:color w:val="000000"/>
        </w:rPr>
        <w:fldChar w:fldCharType="separate"/>
      </w:r>
      <w:r>
        <w:rPr>
          <w:rFonts w:hint="eastAsia" w:cs="宋体"/>
          <w:color w:val="000000"/>
        </w:rPr>
        <w:t>2</w:t>
      </w:r>
      <w:r>
        <w:rPr>
          <w:rFonts w:hint="eastAsia" w:cs="宋体"/>
          <w:color w:val="000000"/>
        </w:rPr>
        <w:fldChar w:fldCharType="end"/>
      </w:r>
      <w:r>
        <w:rPr>
          <w:rFonts w:hint="eastAsia" w:cs="宋体"/>
          <w:color w:val="000000"/>
        </w:rPr>
        <w:fldChar w:fldCharType="end"/>
      </w:r>
    </w:p>
    <w:p>
      <w:pPr>
        <w:pStyle w:val="32"/>
        <w:tabs>
          <w:tab w:val="right" w:leader="dot" w:pos="8730"/>
          <w:tab w:val="clear" w:pos="8398"/>
        </w:tabs>
        <w:spacing w:line="480" w:lineRule="auto"/>
        <w:ind w:firstLine="241"/>
        <w:rPr>
          <w:rFonts w:cs="宋体"/>
          <w:color w:val="000000"/>
        </w:rPr>
      </w:pPr>
      <w:r>
        <w:fldChar w:fldCharType="begin"/>
      </w:r>
      <w:r>
        <w:instrText xml:space="preserve"> HYPERLINK \l "_Toc27979" </w:instrText>
      </w:r>
      <w:r>
        <w:fldChar w:fldCharType="separate"/>
      </w:r>
      <w:r>
        <w:rPr>
          <w:rFonts w:hint="eastAsia" w:cs="宋体"/>
          <w:color w:val="000000"/>
        </w:rPr>
        <w:t>第二章  采购需求</w:t>
      </w:r>
      <w:r>
        <w:rPr>
          <w:rFonts w:hint="eastAsia" w:cs="宋体"/>
          <w:color w:val="000000"/>
        </w:rPr>
        <w:tab/>
      </w:r>
      <w:r>
        <w:rPr>
          <w:rFonts w:hint="eastAsia" w:cs="宋体"/>
          <w:color w:val="000000"/>
        </w:rPr>
        <w:fldChar w:fldCharType="begin"/>
      </w:r>
      <w:r>
        <w:rPr>
          <w:rFonts w:hint="eastAsia" w:cs="宋体"/>
          <w:color w:val="000000"/>
        </w:rPr>
        <w:instrText xml:space="preserve"> PAGEREF _Toc27979 \h </w:instrText>
      </w:r>
      <w:r>
        <w:rPr>
          <w:rFonts w:hint="eastAsia" w:cs="宋体"/>
          <w:color w:val="000000"/>
        </w:rPr>
        <w:fldChar w:fldCharType="separate"/>
      </w:r>
      <w:r>
        <w:rPr>
          <w:rFonts w:hint="eastAsia" w:cs="宋体"/>
          <w:color w:val="000000"/>
        </w:rPr>
        <w:t>5</w:t>
      </w:r>
      <w:r>
        <w:rPr>
          <w:rFonts w:hint="eastAsia" w:cs="宋体"/>
          <w:color w:val="000000"/>
        </w:rPr>
        <w:fldChar w:fldCharType="end"/>
      </w:r>
      <w:r>
        <w:rPr>
          <w:rFonts w:hint="eastAsia" w:cs="宋体"/>
          <w:color w:val="000000"/>
        </w:rPr>
        <w:fldChar w:fldCharType="end"/>
      </w:r>
    </w:p>
    <w:p>
      <w:pPr>
        <w:pStyle w:val="32"/>
        <w:tabs>
          <w:tab w:val="right" w:leader="dot" w:pos="8730"/>
          <w:tab w:val="clear" w:pos="8398"/>
        </w:tabs>
        <w:spacing w:line="480" w:lineRule="auto"/>
        <w:ind w:firstLine="241"/>
        <w:rPr>
          <w:rFonts w:cs="宋体"/>
          <w:color w:val="000000"/>
        </w:rPr>
      </w:pPr>
      <w:r>
        <w:fldChar w:fldCharType="begin"/>
      </w:r>
      <w:r>
        <w:instrText xml:space="preserve"> HYPERLINK \l "_Toc25688" </w:instrText>
      </w:r>
      <w:r>
        <w:fldChar w:fldCharType="separate"/>
      </w:r>
      <w:r>
        <w:rPr>
          <w:rFonts w:hint="eastAsia" w:cs="宋体"/>
          <w:color w:val="000000"/>
        </w:rPr>
        <w:t>第三章  投标人</w:t>
      </w:r>
      <w:bookmarkStart w:id="0" w:name="_Hlt90399253"/>
      <w:bookmarkStart w:id="1" w:name="_Hlt90399254"/>
      <w:r>
        <w:rPr>
          <w:rFonts w:hint="eastAsia" w:cs="宋体"/>
          <w:color w:val="000000"/>
        </w:rPr>
        <w:t>须</w:t>
      </w:r>
      <w:bookmarkEnd w:id="0"/>
      <w:bookmarkEnd w:id="1"/>
      <w:r>
        <w:rPr>
          <w:rFonts w:hint="eastAsia" w:cs="宋体"/>
          <w:color w:val="000000"/>
        </w:rPr>
        <w:t>知</w:t>
      </w:r>
      <w:r>
        <w:rPr>
          <w:rFonts w:hint="eastAsia" w:cs="宋体"/>
          <w:color w:val="000000"/>
        </w:rPr>
        <w:tab/>
      </w:r>
      <w:r>
        <w:rPr>
          <w:rFonts w:hint="eastAsia" w:cs="宋体"/>
          <w:color w:val="000000"/>
        </w:rPr>
        <w:fldChar w:fldCharType="begin"/>
      </w:r>
      <w:r>
        <w:rPr>
          <w:rFonts w:hint="eastAsia" w:cs="宋体"/>
          <w:color w:val="000000"/>
        </w:rPr>
        <w:instrText xml:space="preserve"> PAGEREF _Toc25688 \h </w:instrText>
      </w:r>
      <w:r>
        <w:rPr>
          <w:rFonts w:hint="eastAsia" w:cs="宋体"/>
          <w:color w:val="000000"/>
        </w:rPr>
        <w:fldChar w:fldCharType="separate"/>
      </w:r>
      <w:r>
        <w:rPr>
          <w:rFonts w:hint="eastAsia" w:cs="宋体"/>
          <w:color w:val="000000"/>
        </w:rPr>
        <w:t>136</w:t>
      </w:r>
      <w:r>
        <w:rPr>
          <w:rFonts w:hint="eastAsia" w:cs="宋体"/>
          <w:color w:val="000000"/>
        </w:rPr>
        <w:fldChar w:fldCharType="end"/>
      </w:r>
      <w:r>
        <w:rPr>
          <w:rFonts w:hint="eastAsia" w:cs="宋体"/>
          <w:color w:val="000000"/>
        </w:rPr>
        <w:fldChar w:fldCharType="end"/>
      </w:r>
    </w:p>
    <w:p>
      <w:pPr>
        <w:pStyle w:val="32"/>
        <w:tabs>
          <w:tab w:val="right" w:leader="dot" w:pos="8730"/>
          <w:tab w:val="clear" w:pos="8398"/>
        </w:tabs>
        <w:spacing w:line="480" w:lineRule="auto"/>
        <w:ind w:firstLine="241"/>
        <w:rPr>
          <w:rFonts w:cs="宋体"/>
          <w:color w:val="000000"/>
        </w:rPr>
      </w:pPr>
      <w:r>
        <w:fldChar w:fldCharType="begin"/>
      </w:r>
      <w:r>
        <w:instrText xml:space="preserve"> HYPERLINK \l "_Toc15687" </w:instrText>
      </w:r>
      <w:r>
        <w:fldChar w:fldCharType="separate"/>
      </w:r>
      <w:r>
        <w:rPr>
          <w:rFonts w:hint="eastAsia" w:cs="宋体"/>
          <w:color w:val="000000"/>
        </w:rPr>
        <w:t>第四章  评标方法及评</w:t>
      </w:r>
      <w:bookmarkStart w:id="2" w:name="_Hlt129015614"/>
      <w:bookmarkStart w:id="3" w:name="_Hlt129015613"/>
      <w:r>
        <w:rPr>
          <w:rFonts w:hint="eastAsia" w:cs="宋体"/>
          <w:color w:val="000000"/>
        </w:rPr>
        <w:t>标</w:t>
      </w:r>
      <w:bookmarkEnd w:id="2"/>
      <w:bookmarkEnd w:id="3"/>
      <w:r>
        <w:rPr>
          <w:rFonts w:hint="eastAsia" w:cs="宋体"/>
          <w:color w:val="000000"/>
        </w:rPr>
        <w:t>标准</w:t>
      </w:r>
      <w:r>
        <w:rPr>
          <w:rFonts w:hint="eastAsia" w:cs="宋体"/>
          <w:color w:val="000000"/>
        </w:rPr>
        <w:tab/>
      </w:r>
      <w:r>
        <w:rPr>
          <w:rFonts w:hint="eastAsia" w:cs="宋体"/>
          <w:color w:val="000000"/>
        </w:rPr>
        <w:fldChar w:fldCharType="begin"/>
      </w:r>
      <w:r>
        <w:rPr>
          <w:rFonts w:hint="eastAsia" w:cs="宋体"/>
          <w:color w:val="000000"/>
        </w:rPr>
        <w:instrText xml:space="preserve"> PAGEREF _Toc15687 \h </w:instrText>
      </w:r>
      <w:r>
        <w:rPr>
          <w:rFonts w:hint="eastAsia" w:cs="宋体"/>
          <w:color w:val="000000"/>
        </w:rPr>
        <w:fldChar w:fldCharType="separate"/>
      </w:r>
      <w:r>
        <w:rPr>
          <w:rFonts w:hint="eastAsia" w:cs="宋体"/>
          <w:color w:val="000000"/>
        </w:rPr>
        <w:t>156</w:t>
      </w:r>
      <w:r>
        <w:rPr>
          <w:rFonts w:hint="eastAsia" w:cs="宋体"/>
          <w:color w:val="000000"/>
        </w:rPr>
        <w:fldChar w:fldCharType="end"/>
      </w:r>
      <w:r>
        <w:rPr>
          <w:rFonts w:hint="eastAsia" w:cs="宋体"/>
          <w:color w:val="000000"/>
        </w:rPr>
        <w:fldChar w:fldCharType="end"/>
      </w:r>
    </w:p>
    <w:p>
      <w:pPr>
        <w:pStyle w:val="32"/>
        <w:tabs>
          <w:tab w:val="right" w:leader="dot" w:pos="8730"/>
          <w:tab w:val="clear" w:pos="8398"/>
        </w:tabs>
        <w:spacing w:line="480" w:lineRule="auto"/>
        <w:ind w:firstLine="241"/>
        <w:rPr>
          <w:rFonts w:cs="宋体"/>
          <w:color w:val="000000"/>
        </w:rPr>
      </w:pPr>
      <w:r>
        <w:fldChar w:fldCharType="begin"/>
      </w:r>
      <w:r>
        <w:instrText xml:space="preserve"> HYPERLINK \l "_Toc25250" </w:instrText>
      </w:r>
      <w:r>
        <w:fldChar w:fldCharType="separate"/>
      </w:r>
      <w:r>
        <w:rPr>
          <w:rFonts w:hint="eastAsia" w:cs="宋体"/>
          <w:color w:val="000000"/>
        </w:rPr>
        <w:t>第五章  拟签订的合同文本</w:t>
      </w:r>
      <w:r>
        <w:rPr>
          <w:rFonts w:hint="eastAsia" w:cs="宋体"/>
          <w:color w:val="000000"/>
        </w:rPr>
        <w:tab/>
      </w:r>
      <w:r>
        <w:rPr>
          <w:rFonts w:hint="eastAsia" w:cs="宋体"/>
          <w:color w:val="000000"/>
        </w:rPr>
        <w:fldChar w:fldCharType="begin"/>
      </w:r>
      <w:r>
        <w:rPr>
          <w:rFonts w:hint="eastAsia" w:cs="宋体"/>
          <w:color w:val="000000"/>
        </w:rPr>
        <w:instrText xml:space="preserve"> PAGEREF _Toc25250 \h </w:instrText>
      </w:r>
      <w:r>
        <w:rPr>
          <w:rFonts w:hint="eastAsia" w:cs="宋体"/>
          <w:color w:val="000000"/>
        </w:rPr>
        <w:fldChar w:fldCharType="separate"/>
      </w:r>
      <w:r>
        <w:rPr>
          <w:rFonts w:hint="eastAsia" w:cs="宋体"/>
          <w:color w:val="000000"/>
        </w:rPr>
        <w:t>168</w:t>
      </w:r>
      <w:r>
        <w:rPr>
          <w:rFonts w:hint="eastAsia" w:cs="宋体"/>
          <w:color w:val="000000"/>
        </w:rPr>
        <w:fldChar w:fldCharType="end"/>
      </w:r>
      <w:r>
        <w:rPr>
          <w:rFonts w:hint="eastAsia" w:cs="宋体"/>
          <w:color w:val="000000"/>
        </w:rPr>
        <w:fldChar w:fldCharType="end"/>
      </w:r>
    </w:p>
    <w:p>
      <w:pPr>
        <w:pStyle w:val="32"/>
        <w:tabs>
          <w:tab w:val="right" w:leader="dot" w:pos="8730"/>
          <w:tab w:val="clear" w:pos="8398"/>
        </w:tabs>
        <w:spacing w:line="480" w:lineRule="auto"/>
        <w:ind w:firstLine="241"/>
        <w:rPr>
          <w:rFonts w:cs="宋体"/>
          <w:color w:val="000000"/>
        </w:rPr>
      </w:pPr>
      <w:r>
        <w:fldChar w:fldCharType="begin"/>
      </w:r>
      <w:r>
        <w:instrText xml:space="preserve"> HYPERLINK \l "_Toc25289" </w:instrText>
      </w:r>
      <w:r>
        <w:fldChar w:fldCharType="separate"/>
      </w:r>
      <w:r>
        <w:rPr>
          <w:rFonts w:hint="eastAsia" w:cs="宋体"/>
          <w:color w:val="000000"/>
        </w:rPr>
        <w:t>第六章　投标文件格式</w:t>
      </w:r>
      <w:r>
        <w:rPr>
          <w:rFonts w:hint="eastAsia" w:cs="宋体"/>
          <w:color w:val="000000"/>
        </w:rPr>
        <w:tab/>
      </w:r>
      <w:r>
        <w:rPr>
          <w:rFonts w:hint="eastAsia" w:cs="宋体"/>
          <w:color w:val="000000"/>
        </w:rPr>
        <w:fldChar w:fldCharType="begin"/>
      </w:r>
      <w:r>
        <w:rPr>
          <w:rFonts w:hint="eastAsia" w:cs="宋体"/>
          <w:color w:val="000000"/>
        </w:rPr>
        <w:instrText xml:space="preserve"> PAGEREF _Toc25289 \h </w:instrText>
      </w:r>
      <w:r>
        <w:rPr>
          <w:rFonts w:hint="eastAsia" w:cs="宋体"/>
          <w:color w:val="000000"/>
        </w:rPr>
        <w:fldChar w:fldCharType="separate"/>
      </w:r>
      <w:r>
        <w:rPr>
          <w:rFonts w:hint="eastAsia" w:cs="宋体"/>
          <w:color w:val="000000"/>
        </w:rPr>
        <w:t>173</w:t>
      </w:r>
      <w:r>
        <w:rPr>
          <w:rFonts w:hint="eastAsia" w:cs="宋体"/>
          <w:color w:val="000000"/>
        </w:rPr>
        <w:fldChar w:fldCharType="end"/>
      </w:r>
      <w:r>
        <w:rPr>
          <w:rFonts w:hint="eastAsia" w:cs="宋体"/>
          <w:color w:val="000000"/>
        </w:rPr>
        <w:fldChar w:fldCharType="end"/>
      </w:r>
    </w:p>
    <w:p>
      <w:pPr>
        <w:tabs>
          <w:tab w:val="right" w:leader="dot" w:pos="8789"/>
        </w:tabs>
        <w:snapToGrid w:val="0"/>
        <w:spacing w:line="480" w:lineRule="auto"/>
        <w:rPr>
          <w:rFonts w:ascii="宋体" w:hAnsi="宋体" w:cs="宋体"/>
          <w:color w:val="000000"/>
          <w:sz w:val="24"/>
        </w:rPr>
      </w:pPr>
      <w:r>
        <w:rPr>
          <w:rFonts w:hint="eastAsia" w:ascii="宋体" w:hAnsi="宋体" w:cs="宋体"/>
          <w:color w:val="000000"/>
        </w:rPr>
        <w:fldChar w:fldCharType="end"/>
      </w:r>
    </w:p>
    <w:p>
      <w:pPr>
        <w:spacing w:beforeLines="50" w:line="480" w:lineRule="exact"/>
        <w:rPr>
          <w:rFonts w:ascii="宋体" w:hAnsi="宋体" w:cs="宋体"/>
          <w:color w:val="000000"/>
          <w:sz w:val="30"/>
        </w:rPr>
      </w:pPr>
    </w:p>
    <w:p>
      <w:pPr>
        <w:rPr>
          <w:rFonts w:ascii="宋体" w:hAnsi="宋体" w:cs="宋体"/>
          <w:color w:val="000000"/>
        </w:rPr>
      </w:pPr>
    </w:p>
    <w:p>
      <w:pPr>
        <w:spacing w:beforeLines="50" w:line="480" w:lineRule="exact"/>
        <w:rPr>
          <w:rFonts w:ascii="宋体" w:hAnsi="宋体" w:cs="宋体"/>
          <w:color w:val="000000"/>
          <w:sz w:val="30"/>
        </w:rPr>
      </w:pPr>
    </w:p>
    <w:p>
      <w:pPr>
        <w:spacing w:beforeLines="50" w:line="480" w:lineRule="exact"/>
        <w:rPr>
          <w:rFonts w:ascii="宋体" w:hAnsi="宋体" w:cs="宋体"/>
          <w:color w:val="000000"/>
          <w:sz w:val="30"/>
        </w:rPr>
      </w:pPr>
    </w:p>
    <w:p>
      <w:pPr>
        <w:pStyle w:val="16"/>
        <w:rPr>
          <w:rFonts w:ascii="宋体" w:hAnsi="宋体" w:cs="宋体"/>
          <w:b/>
          <w:bCs/>
          <w:color w:val="000000"/>
        </w:rPr>
      </w:pPr>
      <w:bookmarkStart w:id="4" w:name="_Toc254970630"/>
      <w:bookmarkStart w:id="5" w:name="_Toc254970489"/>
    </w:p>
    <w:p>
      <w:pPr>
        <w:pStyle w:val="3"/>
        <w:keepNext w:val="0"/>
        <w:keepLines w:val="0"/>
        <w:tabs>
          <w:tab w:val="left" w:pos="0"/>
          <w:tab w:val="left" w:pos="3165"/>
          <w:tab w:val="center" w:pos="4153"/>
        </w:tabs>
        <w:autoSpaceDE w:val="0"/>
        <w:autoSpaceDN w:val="0"/>
        <w:adjustRightInd w:val="0"/>
        <w:spacing w:before="0" w:after="0" w:line="360" w:lineRule="auto"/>
        <w:jc w:val="center"/>
        <w:rPr>
          <w:rFonts w:ascii="宋体" w:hAnsi="宋体" w:cs="宋体"/>
          <w:color w:val="000000"/>
        </w:rPr>
      </w:pPr>
      <w:r>
        <w:rPr>
          <w:rFonts w:hint="eastAsia" w:ascii="宋体" w:hAnsi="宋体" w:cs="宋体"/>
          <w:b w:val="0"/>
          <w:bCs w:val="0"/>
          <w:color w:val="000000"/>
        </w:rPr>
        <w:br w:type="page"/>
      </w:r>
      <w:bookmarkStart w:id="6" w:name="_Toc26956"/>
      <w:r>
        <w:rPr>
          <w:rFonts w:hint="eastAsia" w:ascii="宋体" w:hAnsi="宋体" w:cs="宋体"/>
          <w:color w:val="000000"/>
        </w:rPr>
        <w:t>第一章</w:t>
      </w:r>
      <w:bookmarkEnd w:id="4"/>
      <w:bookmarkEnd w:id="5"/>
      <w:bookmarkStart w:id="7" w:name="_Toc28359001"/>
      <w:bookmarkStart w:id="8" w:name="_Toc35393789"/>
      <w:r>
        <w:rPr>
          <w:rFonts w:hint="eastAsia" w:ascii="宋体" w:hAnsi="宋体" w:cs="宋体"/>
          <w:color w:val="000000"/>
        </w:rPr>
        <w:t xml:space="preserve"> 招标公告</w:t>
      </w:r>
      <w:bookmarkEnd w:id="6"/>
      <w:bookmarkEnd w:id="7"/>
      <w:bookmarkEnd w:id="8"/>
    </w:p>
    <w:p>
      <w:pPr>
        <w:jc w:val="center"/>
        <w:rPr>
          <w:b/>
          <w:sz w:val="24"/>
        </w:rPr>
      </w:pPr>
      <w:r>
        <w:rPr>
          <w:rFonts w:hint="eastAsia"/>
          <w:b/>
          <w:sz w:val="24"/>
        </w:rPr>
        <w:t>广西正海招标有限公司关于广西壮族自治区职业健康信息综合管理平台建设项目</w:t>
      </w:r>
    </w:p>
    <w:p>
      <w:pPr>
        <w:jc w:val="center"/>
        <w:rPr>
          <w:b/>
          <w:sz w:val="24"/>
        </w:rPr>
      </w:pPr>
      <w:r>
        <w:rPr>
          <w:rFonts w:hint="eastAsia"/>
          <w:b/>
          <w:sz w:val="24"/>
        </w:rPr>
        <w:t>（项目编号：GXZC2023-G3-000576-ZHZB）公开招标公告</w:t>
      </w:r>
    </w:p>
    <w:p/>
    <w:p>
      <w:pPr>
        <w:pBdr>
          <w:top w:val="single" w:color="auto" w:sz="4" w:space="1"/>
          <w:left w:val="single" w:color="auto" w:sz="4" w:space="4"/>
          <w:bottom w:val="single" w:color="auto" w:sz="4" w:space="1"/>
          <w:right w:val="single" w:color="auto" w:sz="4" w:space="1"/>
        </w:pBdr>
        <w:spacing w:line="360" w:lineRule="auto"/>
        <w:rPr>
          <w:rFonts w:ascii="宋体" w:hAnsi="宋体" w:cs="宋体"/>
          <w:color w:val="000000"/>
          <w:szCs w:val="21"/>
        </w:rPr>
      </w:pPr>
      <w:r>
        <w:rPr>
          <w:rFonts w:hint="eastAsia" w:ascii="宋体" w:hAnsi="宋体" w:cs="宋体"/>
          <w:color w:val="000000"/>
          <w:szCs w:val="21"/>
        </w:rPr>
        <w:t>项目概况：</w:t>
      </w:r>
      <w:r>
        <w:rPr>
          <w:rFonts w:hint="eastAsia" w:ascii="宋体" w:hAnsi="宋体" w:cs="宋体"/>
          <w:color w:val="000000"/>
          <w:szCs w:val="21"/>
          <w:u w:val="single"/>
        </w:rPr>
        <w:t>广西壮族自治区职业健康信息综合管理平台建设项目</w:t>
      </w:r>
      <w:r>
        <w:rPr>
          <w:rFonts w:hint="eastAsia" w:ascii="宋体" w:hAnsi="宋体" w:cs="宋体"/>
          <w:color w:val="000000"/>
          <w:szCs w:val="21"/>
        </w:rPr>
        <w:t>招标项目的潜在投标人应在“政采云”平台（https://www.zcygov.cn）获取（下载）招标文件，并于</w:t>
      </w:r>
      <w:r>
        <w:rPr>
          <w:rFonts w:hint="eastAsia" w:ascii="宋体" w:hAnsi="宋体" w:cs="宋体"/>
          <w:color w:val="000000"/>
          <w:szCs w:val="21"/>
          <w:u w:val="single"/>
        </w:rPr>
        <w:t>2023</w:t>
      </w:r>
      <w:r>
        <w:rPr>
          <w:rFonts w:hint="eastAsia" w:ascii="宋体" w:hAnsi="宋体" w:cs="宋体"/>
          <w:bCs/>
          <w:color w:val="000000"/>
          <w:szCs w:val="21"/>
          <w:u w:val="single"/>
        </w:rPr>
        <w:t>年4月</w:t>
      </w:r>
      <w:r>
        <w:rPr>
          <w:rFonts w:hint="eastAsia" w:ascii="宋体" w:hAnsi="宋体" w:cs="宋体"/>
          <w:bCs/>
          <w:color w:val="000000"/>
          <w:szCs w:val="21"/>
          <w:u w:val="single"/>
          <w:lang w:val="en-US" w:eastAsia="zh-CN"/>
        </w:rPr>
        <w:t>25</w:t>
      </w:r>
      <w:r>
        <w:rPr>
          <w:rFonts w:hint="eastAsia" w:ascii="宋体" w:hAnsi="宋体" w:cs="宋体"/>
          <w:bCs/>
          <w:color w:val="000000"/>
          <w:szCs w:val="21"/>
          <w:u w:val="single"/>
        </w:rPr>
        <w:t>日9时00分</w:t>
      </w:r>
      <w:r>
        <w:rPr>
          <w:rFonts w:hint="eastAsia" w:ascii="宋体" w:hAnsi="宋体" w:cs="宋体"/>
          <w:bCs/>
          <w:color w:val="000000"/>
          <w:szCs w:val="21"/>
        </w:rPr>
        <w:t>（北京时间）前按要求递交（上传）投标文件</w:t>
      </w:r>
      <w:r>
        <w:rPr>
          <w:rFonts w:hint="eastAsia" w:ascii="宋体" w:hAnsi="宋体" w:cs="宋体"/>
          <w:color w:val="000000"/>
          <w:szCs w:val="21"/>
        </w:rPr>
        <w:t>。</w:t>
      </w:r>
    </w:p>
    <w:p>
      <w:pPr>
        <w:spacing w:line="360" w:lineRule="auto"/>
        <w:rPr>
          <w:rFonts w:ascii="宋体" w:hAnsi="宋体" w:cs="宋体"/>
          <w:b/>
          <w:bCs/>
          <w:color w:val="000000"/>
          <w:sz w:val="24"/>
        </w:rPr>
      </w:pPr>
      <w:bookmarkStart w:id="9" w:name="_Toc35393790"/>
      <w:bookmarkStart w:id="10" w:name="_Toc35393621"/>
      <w:bookmarkStart w:id="11" w:name="_Toc28359002"/>
      <w:bookmarkStart w:id="12" w:name="_Toc28359079"/>
      <w:bookmarkStart w:id="13" w:name="_Hlk24379207"/>
      <w:r>
        <w:rPr>
          <w:rFonts w:hint="eastAsia" w:ascii="宋体" w:hAnsi="宋体" w:cs="宋体"/>
          <w:b/>
          <w:bCs/>
          <w:color w:val="000000"/>
          <w:sz w:val="24"/>
        </w:rPr>
        <w:t>一、项目基本情况</w:t>
      </w:r>
      <w:bookmarkEnd w:id="9"/>
      <w:bookmarkEnd w:id="10"/>
      <w:bookmarkEnd w:id="11"/>
      <w:bookmarkEnd w:id="12"/>
      <w:r>
        <w:rPr>
          <w:rFonts w:hint="eastAsia" w:ascii="宋体" w:hAnsi="宋体" w:cs="宋体"/>
          <w:b/>
          <w:bCs/>
          <w:color w:val="000000"/>
          <w:sz w:val="24"/>
        </w:rPr>
        <w:t>：</w:t>
      </w:r>
    </w:p>
    <w:bookmarkEnd w:id="13"/>
    <w:p>
      <w:pPr>
        <w:spacing w:line="360" w:lineRule="auto"/>
        <w:ind w:firstLine="420" w:firstLineChars="200"/>
        <w:rPr>
          <w:rFonts w:ascii="宋体" w:hAnsi="宋体" w:cs="宋体"/>
          <w:color w:val="000000"/>
          <w:szCs w:val="21"/>
        </w:rPr>
      </w:pPr>
      <w:r>
        <w:rPr>
          <w:rFonts w:hint="eastAsia" w:ascii="宋体" w:hAnsi="宋体" w:cs="宋体"/>
          <w:color w:val="000000"/>
          <w:szCs w:val="21"/>
        </w:rPr>
        <w:t>项目编号：GXZC2023-G3-000576-ZHZB。</w:t>
      </w:r>
    </w:p>
    <w:p>
      <w:pPr>
        <w:spacing w:line="360" w:lineRule="auto"/>
        <w:ind w:firstLine="420" w:firstLineChars="200"/>
        <w:rPr>
          <w:rFonts w:ascii="宋体" w:hAnsi="宋体" w:cs="宋体"/>
          <w:color w:val="0000CC"/>
          <w:szCs w:val="21"/>
        </w:rPr>
      </w:pPr>
      <w:r>
        <w:rPr>
          <w:rFonts w:hint="eastAsia" w:ascii="宋体" w:hAnsi="宋体" w:cs="宋体"/>
          <w:color w:val="000000"/>
          <w:szCs w:val="21"/>
        </w:rPr>
        <w:t>政府采购计划编号：</w:t>
      </w:r>
      <w:r>
        <w:rPr>
          <w:rFonts w:hint="eastAsia" w:ascii="宋体" w:hAnsi="宋体" w:cs="宋体"/>
          <w:bCs/>
          <w:szCs w:val="21"/>
        </w:rPr>
        <w:t>广西政采[2023]4475号-001、-002。</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项目名称：广西壮族自治区职业健康信息综合管理平台建设项目。</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采购预算金额：</w:t>
      </w:r>
      <w:r>
        <w:rPr>
          <w:rFonts w:hint="eastAsia" w:ascii="宋体" w:hAnsi="宋体" w:cs="宋体"/>
          <w:szCs w:val="21"/>
        </w:rPr>
        <w:t>7815600.00</w:t>
      </w:r>
      <w:r>
        <w:rPr>
          <w:rFonts w:hint="eastAsia" w:ascii="宋体" w:hAnsi="宋体" w:cs="宋体"/>
          <w:color w:val="000000"/>
          <w:szCs w:val="21"/>
        </w:rPr>
        <w:t>元。</w:t>
      </w:r>
    </w:p>
    <w:p>
      <w:pPr>
        <w:spacing w:line="360" w:lineRule="auto"/>
        <w:ind w:firstLine="420" w:firstLineChars="200"/>
        <w:rPr>
          <w:rFonts w:ascii="宋体" w:hAnsi="宋体" w:cs="宋体"/>
          <w:color w:val="000000"/>
          <w:szCs w:val="21"/>
          <w:u w:val="single"/>
        </w:rPr>
      </w:pPr>
      <w:r>
        <w:rPr>
          <w:rFonts w:hint="eastAsia" w:ascii="宋体" w:hAnsi="宋体" w:cs="宋体"/>
          <w:color w:val="000000"/>
          <w:szCs w:val="21"/>
        </w:rPr>
        <w:t>最高限价：</w:t>
      </w:r>
      <w:r>
        <w:rPr>
          <w:rFonts w:hint="eastAsia" w:ascii="宋体" w:hAnsi="宋体" w:cs="宋体"/>
          <w:szCs w:val="21"/>
        </w:rPr>
        <w:t>7815600.00</w:t>
      </w:r>
      <w:r>
        <w:rPr>
          <w:rFonts w:hint="eastAsia" w:ascii="宋体" w:hAnsi="宋体" w:cs="宋体"/>
          <w:color w:val="000000"/>
          <w:szCs w:val="21"/>
        </w:rPr>
        <w:t>元。</w:t>
      </w:r>
    </w:p>
    <w:p>
      <w:pPr>
        <w:spacing w:line="360" w:lineRule="auto"/>
        <w:ind w:firstLine="420" w:firstLineChars="200"/>
        <w:rPr>
          <w:rFonts w:ascii="宋体" w:hAnsi="宋体" w:cs="宋体"/>
          <w:b/>
          <w:bCs/>
          <w:szCs w:val="21"/>
        </w:rPr>
      </w:pPr>
      <w:r>
        <w:rPr>
          <w:rFonts w:hint="eastAsia" w:ascii="宋体" w:hAnsi="宋体" w:cs="宋体"/>
          <w:color w:val="000000"/>
          <w:szCs w:val="21"/>
        </w:rPr>
        <w:t>采购需求：详见招标文件第二章。</w:t>
      </w:r>
    </w:p>
    <w:p>
      <w:pPr>
        <w:spacing w:line="360" w:lineRule="auto"/>
        <w:ind w:firstLine="420" w:firstLineChars="200"/>
        <w:rPr>
          <w:rFonts w:ascii="宋体" w:hAnsi="宋体" w:cs="宋体"/>
          <w:szCs w:val="21"/>
        </w:rPr>
      </w:pPr>
      <w:r>
        <w:rPr>
          <w:rFonts w:hint="eastAsia" w:ascii="宋体" w:hAnsi="宋体" w:cs="宋体"/>
          <w:szCs w:val="21"/>
        </w:rPr>
        <w:t>合同履约期限：</w:t>
      </w:r>
      <w:r>
        <w:rPr>
          <w:rFonts w:hint="eastAsia" w:ascii="宋体" w:hAnsi="宋体" w:cs="宋体"/>
        </w:rPr>
        <w:t>自合同签订之日12个月内完成交付并验收合格。系统最终验收后进入运行维护阶段，维护阶段中标供应商需提供3年及以上的原厂质保服务</w:t>
      </w:r>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本标项</w:t>
      </w:r>
      <w:r>
        <w:rPr>
          <w:rFonts w:hint="eastAsia" w:ascii="宋体" w:hAnsi="宋体" w:cs="宋体"/>
          <w:szCs w:val="21"/>
          <w:u w:val="single"/>
        </w:rPr>
        <w:t>不接受</w:t>
      </w:r>
      <w:r>
        <w:rPr>
          <w:rFonts w:hint="eastAsia" w:ascii="宋体" w:hAnsi="宋体" w:cs="宋体"/>
          <w:szCs w:val="21"/>
        </w:rPr>
        <w:t>联合体投标。</w:t>
      </w:r>
    </w:p>
    <w:p>
      <w:pPr>
        <w:spacing w:line="360" w:lineRule="auto"/>
        <w:rPr>
          <w:rFonts w:ascii="宋体" w:hAnsi="宋体" w:cs="宋体"/>
          <w:b/>
          <w:bCs/>
          <w:color w:val="000000"/>
          <w:sz w:val="24"/>
        </w:rPr>
      </w:pPr>
      <w:bookmarkStart w:id="14" w:name="_Toc28359003"/>
      <w:bookmarkStart w:id="15" w:name="_Toc35393791"/>
      <w:bookmarkStart w:id="16" w:name="_Toc35393622"/>
      <w:bookmarkStart w:id="17" w:name="_Toc28359080"/>
      <w:r>
        <w:rPr>
          <w:rFonts w:hint="eastAsia" w:ascii="宋体" w:hAnsi="宋体" w:cs="宋体"/>
          <w:b/>
          <w:bCs/>
          <w:color w:val="000000"/>
          <w:sz w:val="24"/>
        </w:rPr>
        <w:t>二、申请人的资格要求：</w:t>
      </w:r>
      <w:bookmarkEnd w:id="14"/>
      <w:bookmarkEnd w:id="15"/>
      <w:bookmarkEnd w:id="16"/>
      <w:bookmarkEnd w:id="17"/>
    </w:p>
    <w:p>
      <w:pPr>
        <w:spacing w:line="360" w:lineRule="auto"/>
        <w:ind w:firstLine="420" w:firstLineChars="200"/>
        <w:rPr>
          <w:rFonts w:ascii="宋体" w:hAnsi="宋体" w:cs="宋体"/>
          <w:color w:val="000000"/>
          <w:szCs w:val="21"/>
        </w:rPr>
      </w:pPr>
      <w:bookmarkStart w:id="18" w:name="_Hlk51746371"/>
      <w:bookmarkStart w:id="19" w:name="_Toc28359004"/>
      <w:bookmarkStart w:id="20" w:name="_Toc35393623"/>
      <w:bookmarkStart w:id="21" w:name="_Toc35393792"/>
      <w:bookmarkStart w:id="22" w:name="_Toc28359081"/>
      <w:r>
        <w:rPr>
          <w:rFonts w:hint="eastAsia" w:ascii="宋体" w:hAnsi="宋体" w:cs="宋体"/>
          <w:color w:val="000000"/>
          <w:szCs w:val="21"/>
        </w:rPr>
        <w:t>1.满足《中华人民共和国政府采购法》第二十二条规定；</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2.落实政府采购政策需满足的资格要求：无。</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3.本项目的特定资格要求：无。</w:t>
      </w:r>
    </w:p>
    <w:bookmarkEnd w:id="18"/>
    <w:p>
      <w:pPr>
        <w:spacing w:line="360" w:lineRule="auto"/>
        <w:rPr>
          <w:rFonts w:ascii="宋体" w:hAnsi="宋体" w:cs="宋体"/>
          <w:b/>
          <w:bCs/>
          <w:color w:val="000000"/>
          <w:sz w:val="24"/>
        </w:rPr>
      </w:pPr>
      <w:r>
        <w:rPr>
          <w:rFonts w:hint="eastAsia" w:ascii="宋体" w:hAnsi="宋体" w:cs="宋体"/>
          <w:b/>
          <w:bCs/>
          <w:color w:val="000000"/>
          <w:sz w:val="24"/>
        </w:rPr>
        <w:t>三、获取招标文件</w:t>
      </w:r>
      <w:bookmarkEnd w:id="19"/>
      <w:bookmarkEnd w:id="20"/>
      <w:bookmarkEnd w:id="21"/>
      <w:bookmarkEnd w:id="22"/>
      <w:r>
        <w:rPr>
          <w:rFonts w:hint="eastAsia" w:ascii="宋体" w:hAnsi="宋体" w:cs="宋体"/>
          <w:b/>
          <w:bCs/>
          <w:color w:val="000000"/>
          <w:sz w:val="24"/>
        </w:rPr>
        <w:t>：</w:t>
      </w:r>
    </w:p>
    <w:p>
      <w:pPr>
        <w:spacing w:line="360" w:lineRule="auto"/>
        <w:ind w:firstLine="540"/>
        <w:rPr>
          <w:rFonts w:ascii="宋体" w:hAnsi="宋体" w:cs="宋体"/>
          <w:bCs/>
          <w:color w:val="000000"/>
          <w:kern w:val="0"/>
          <w:szCs w:val="21"/>
        </w:rPr>
      </w:pPr>
      <w:r>
        <w:rPr>
          <w:rFonts w:hint="eastAsia" w:ascii="宋体" w:hAnsi="宋体" w:cs="宋体"/>
          <w:bCs/>
          <w:color w:val="000000"/>
          <w:kern w:val="0"/>
          <w:szCs w:val="21"/>
        </w:rPr>
        <w:t>时间：</w:t>
      </w:r>
      <w:r>
        <w:rPr>
          <w:rFonts w:hint="eastAsia" w:ascii="宋体" w:hAnsi="宋体" w:cs="宋体"/>
          <w:bCs/>
          <w:color w:val="000000"/>
          <w:kern w:val="0"/>
          <w:szCs w:val="21"/>
          <w:u w:val="single"/>
        </w:rPr>
        <w:t>2023年3月</w:t>
      </w:r>
      <w:r>
        <w:rPr>
          <w:rFonts w:hint="eastAsia" w:ascii="宋体" w:hAnsi="宋体" w:cs="宋体"/>
          <w:bCs/>
          <w:color w:val="000000"/>
          <w:kern w:val="0"/>
          <w:szCs w:val="21"/>
          <w:u w:val="single"/>
          <w:lang w:val="en-US" w:eastAsia="zh-CN"/>
        </w:rPr>
        <w:t>30</w:t>
      </w:r>
      <w:r>
        <w:rPr>
          <w:rFonts w:hint="eastAsia" w:ascii="宋体" w:hAnsi="宋体" w:cs="宋体"/>
          <w:bCs/>
          <w:color w:val="000000"/>
          <w:kern w:val="0"/>
          <w:szCs w:val="21"/>
          <w:u w:val="single"/>
        </w:rPr>
        <w:t>日</w:t>
      </w:r>
      <w:r>
        <w:rPr>
          <w:rFonts w:hint="eastAsia" w:ascii="宋体" w:hAnsi="宋体" w:cs="宋体"/>
          <w:bCs/>
          <w:color w:val="000000"/>
          <w:kern w:val="0"/>
          <w:szCs w:val="21"/>
        </w:rPr>
        <w:t>至</w:t>
      </w:r>
      <w:r>
        <w:rPr>
          <w:rFonts w:hint="eastAsia" w:ascii="宋体" w:hAnsi="宋体" w:cs="宋体"/>
          <w:bCs/>
          <w:color w:val="000000"/>
          <w:kern w:val="0"/>
          <w:szCs w:val="21"/>
          <w:u w:val="single"/>
        </w:rPr>
        <w:t>2023年4月</w:t>
      </w:r>
      <w:r>
        <w:rPr>
          <w:rFonts w:hint="eastAsia" w:ascii="宋体" w:hAnsi="宋体" w:cs="宋体"/>
          <w:bCs/>
          <w:color w:val="000000"/>
          <w:kern w:val="0"/>
          <w:szCs w:val="21"/>
          <w:u w:val="single"/>
          <w:lang w:val="en-US" w:eastAsia="zh-CN"/>
        </w:rPr>
        <w:t>7</w:t>
      </w:r>
      <w:r>
        <w:rPr>
          <w:rFonts w:hint="eastAsia" w:ascii="宋体" w:hAnsi="宋体" w:cs="宋体"/>
          <w:bCs/>
          <w:color w:val="000000"/>
          <w:kern w:val="0"/>
          <w:szCs w:val="21"/>
          <w:u w:val="single"/>
        </w:rPr>
        <w:t>日</w:t>
      </w:r>
      <w:r>
        <w:rPr>
          <w:rFonts w:hint="eastAsia" w:ascii="宋体" w:hAnsi="宋体" w:cs="宋体"/>
          <w:bCs/>
          <w:color w:val="000000"/>
          <w:kern w:val="0"/>
          <w:szCs w:val="21"/>
        </w:rPr>
        <w:t>，每天上午</w:t>
      </w:r>
      <w:r>
        <w:rPr>
          <w:rFonts w:hint="eastAsia" w:ascii="宋体" w:hAnsi="宋体" w:cs="宋体"/>
          <w:bCs/>
          <w:color w:val="000000"/>
          <w:kern w:val="0"/>
          <w:szCs w:val="21"/>
          <w:u w:val="single"/>
        </w:rPr>
        <w:t>8时至12时</w:t>
      </w:r>
      <w:r>
        <w:rPr>
          <w:rFonts w:hint="eastAsia" w:ascii="宋体" w:hAnsi="宋体" w:cs="宋体"/>
          <w:bCs/>
          <w:color w:val="000000"/>
          <w:kern w:val="0"/>
          <w:szCs w:val="21"/>
        </w:rPr>
        <w:t>，</w:t>
      </w:r>
      <w:r>
        <w:rPr>
          <w:rFonts w:hint="eastAsia" w:ascii="宋体" w:hAnsi="宋体" w:cs="宋体"/>
          <w:bCs/>
          <w:color w:val="000000"/>
          <w:kern w:val="0"/>
          <w:szCs w:val="21"/>
          <w:u w:val="single"/>
        </w:rPr>
        <w:t>下午15时至18时</w:t>
      </w:r>
      <w:r>
        <w:rPr>
          <w:rFonts w:hint="eastAsia" w:ascii="宋体" w:hAnsi="宋体" w:cs="宋体"/>
          <w:bCs/>
          <w:color w:val="000000"/>
          <w:kern w:val="0"/>
          <w:szCs w:val="21"/>
        </w:rPr>
        <w:t>。（北京时间，法定节假日除外）</w:t>
      </w:r>
    </w:p>
    <w:p>
      <w:pPr>
        <w:spacing w:line="360" w:lineRule="auto"/>
        <w:ind w:firstLine="540"/>
        <w:rPr>
          <w:rFonts w:ascii="宋体" w:hAnsi="宋体" w:cs="宋体"/>
          <w:bCs/>
          <w:color w:val="000000"/>
          <w:kern w:val="0"/>
          <w:szCs w:val="21"/>
        </w:rPr>
      </w:pPr>
      <w:r>
        <w:rPr>
          <w:rFonts w:hint="eastAsia" w:ascii="宋体" w:hAnsi="宋体" w:cs="宋体"/>
          <w:bCs/>
          <w:color w:val="000000"/>
          <w:kern w:val="0"/>
          <w:szCs w:val="21"/>
        </w:rPr>
        <w:t>地点：“政采云”平台（https://www.zcygov.cn）。</w:t>
      </w:r>
    </w:p>
    <w:p>
      <w:pPr>
        <w:spacing w:line="360" w:lineRule="auto"/>
        <w:ind w:firstLine="525" w:firstLineChars="250"/>
        <w:rPr>
          <w:rFonts w:ascii="宋体" w:hAnsi="宋体" w:cs="宋体"/>
          <w:color w:val="000000"/>
          <w:szCs w:val="21"/>
        </w:rPr>
      </w:pPr>
      <w:bookmarkStart w:id="23" w:name="_Toc28359005"/>
      <w:bookmarkStart w:id="24" w:name="_Toc28359082"/>
      <w:bookmarkStart w:id="25" w:name="_Toc35393624"/>
      <w:bookmarkStart w:id="26" w:name="_Toc35393793"/>
      <w:r>
        <w:rPr>
          <w:rFonts w:hint="eastAsia" w:ascii="宋体" w:hAnsi="宋体" w:cs="宋体"/>
          <w:color w:val="000000"/>
          <w:szCs w:val="21"/>
        </w:rPr>
        <w:t>方式：网上下载。本项目不提供纸质文件，潜在供应商需使用账号登录或者使用CA登录“政采云”平台（https：//www.zcygov.cn）-进入“项目采购”应用，点击申请获取招标文件。按系统操作获取招标文件（或在“政采云电子投标客户端-获取采购文件”跳转到政采云系统获取）。电子投标文件制作需要基于“政采云”平台获取的招标文件编制，通过其他方式获取招标文件的，将有可能导致供应商无法在政采云平台编制及上传投标文件。</w:t>
      </w:r>
    </w:p>
    <w:p>
      <w:pPr>
        <w:spacing w:line="360" w:lineRule="auto"/>
        <w:ind w:firstLine="735" w:firstLineChars="350"/>
        <w:rPr>
          <w:rFonts w:ascii="宋体" w:hAnsi="宋体" w:cs="宋体"/>
          <w:color w:val="000000"/>
          <w:szCs w:val="21"/>
        </w:rPr>
      </w:pPr>
      <w:r>
        <w:rPr>
          <w:rFonts w:hint="eastAsia" w:ascii="宋体" w:hAnsi="宋体" w:cs="宋体"/>
          <w:color w:val="000000"/>
          <w:szCs w:val="21"/>
        </w:rPr>
        <w:t>售价：0元。</w:t>
      </w:r>
    </w:p>
    <w:p>
      <w:pPr>
        <w:spacing w:line="360" w:lineRule="auto"/>
        <w:rPr>
          <w:rFonts w:ascii="宋体" w:hAnsi="宋体" w:cs="宋体"/>
          <w:b/>
          <w:bCs/>
          <w:color w:val="000000"/>
          <w:sz w:val="24"/>
        </w:rPr>
      </w:pPr>
      <w:r>
        <w:rPr>
          <w:rFonts w:hint="eastAsia" w:ascii="宋体" w:hAnsi="宋体" w:cs="宋体"/>
          <w:b/>
          <w:bCs/>
          <w:color w:val="000000"/>
          <w:sz w:val="24"/>
        </w:rPr>
        <w:t>四、提交投标文件</w:t>
      </w:r>
      <w:bookmarkEnd w:id="23"/>
      <w:bookmarkEnd w:id="24"/>
      <w:r>
        <w:rPr>
          <w:rFonts w:hint="eastAsia" w:ascii="宋体" w:hAnsi="宋体" w:cs="宋体"/>
          <w:b/>
          <w:bCs/>
          <w:color w:val="000000"/>
          <w:sz w:val="24"/>
        </w:rPr>
        <w:t>截止时间、开标时间和地点</w:t>
      </w:r>
      <w:bookmarkEnd w:id="25"/>
      <w:bookmarkEnd w:id="26"/>
      <w:r>
        <w:rPr>
          <w:rFonts w:hint="eastAsia" w:ascii="宋体" w:hAnsi="宋体" w:cs="宋体"/>
          <w:b/>
          <w:bCs/>
          <w:color w:val="000000"/>
          <w:sz w:val="24"/>
        </w:rPr>
        <w:t>：</w:t>
      </w:r>
    </w:p>
    <w:p>
      <w:pPr>
        <w:spacing w:line="360" w:lineRule="auto"/>
        <w:ind w:firstLine="420" w:firstLineChars="200"/>
        <w:rPr>
          <w:rFonts w:ascii="宋体" w:hAnsi="宋体" w:cs="宋体"/>
          <w:bCs/>
          <w:color w:val="000000"/>
          <w:szCs w:val="21"/>
        </w:rPr>
      </w:pPr>
      <w:bookmarkStart w:id="27" w:name="_Toc28359007"/>
      <w:bookmarkStart w:id="28" w:name="_Toc35393625"/>
      <w:bookmarkStart w:id="29" w:name="_Toc35393794"/>
      <w:bookmarkStart w:id="30" w:name="_Toc28359084"/>
      <w:r>
        <w:rPr>
          <w:rFonts w:ascii="宋体" w:hAnsi="宋体" w:cs="宋体"/>
          <w:bCs/>
          <w:color w:val="000000"/>
          <w:szCs w:val="21"/>
        </w:rPr>
        <w:t> 提交投标文件截止时间：2023年</w:t>
      </w:r>
      <w:r>
        <w:rPr>
          <w:rFonts w:hint="eastAsia" w:ascii="宋体" w:hAnsi="宋体" w:cs="宋体"/>
          <w:bCs/>
          <w:color w:val="000000"/>
          <w:szCs w:val="21"/>
        </w:rPr>
        <w:t>4</w:t>
      </w:r>
      <w:r>
        <w:rPr>
          <w:rFonts w:ascii="宋体" w:hAnsi="宋体" w:cs="宋体"/>
          <w:bCs/>
          <w:color w:val="000000"/>
          <w:szCs w:val="21"/>
        </w:rPr>
        <w:t>月</w:t>
      </w:r>
      <w:r>
        <w:rPr>
          <w:rFonts w:hint="eastAsia" w:ascii="宋体" w:hAnsi="宋体" w:cs="宋体"/>
          <w:bCs/>
          <w:color w:val="000000"/>
          <w:szCs w:val="21"/>
          <w:lang w:val="en-US" w:eastAsia="zh-CN"/>
        </w:rPr>
        <w:t>25</w:t>
      </w:r>
      <w:r>
        <w:rPr>
          <w:rFonts w:ascii="宋体" w:hAnsi="宋体" w:cs="宋体"/>
          <w:bCs/>
          <w:color w:val="000000"/>
          <w:szCs w:val="21"/>
        </w:rPr>
        <w:t>日 09:</w:t>
      </w:r>
      <w:r>
        <w:rPr>
          <w:rFonts w:hint="eastAsia" w:ascii="宋体" w:hAnsi="宋体" w:cs="宋体"/>
          <w:bCs/>
          <w:color w:val="000000"/>
          <w:szCs w:val="21"/>
        </w:rPr>
        <w:t>00</w:t>
      </w:r>
      <w:r>
        <w:rPr>
          <w:rFonts w:ascii="宋体" w:hAnsi="宋体" w:cs="宋体"/>
          <w:bCs/>
          <w:color w:val="000000"/>
          <w:szCs w:val="21"/>
        </w:rPr>
        <w:t>（北京时间）</w:t>
      </w:r>
      <w:r>
        <w:rPr>
          <w:rFonts w:hint="eastAsia" w:ascii="宋体" w:hAnsi="宋体" w:cs="宋体"/>
          <w:bCs/>
          <w:color w:val="000000"/>
          <w:szCs w:val="21"/>
        </w:rPr>
        <w:t>。</w:t>
      </w:r>
    </w:p>
    <w:p>
      <w:pPr>
        <w:spacing w:line="360" w:lineRule="auto"/>
        <w:ind w:firstLine="420" w:firstLineChars="200"/>
        <w:rPr>
          <w:rFonts w:ascii="宋体" w:hAnsi="宋体" w:cs="宋体"/>
          <w:bCs/>
          <w:color w:val="000000"/>
          <w:szCs w:val="21"/>
        </w:rPr>
      </w:pPr>
      <w:r>
        <w:rPr>
          <w:rFonts w:ascii="宋体" w:hAnsi="宋体" w:cs="宋体"/>
          <w:bCs/>
          <w:color w:val="000000"/>
          <w:szCs w:val="21"/>
        </w:rPr>
        <w:t> 投标地点（网址）：“政采云”平台（https://www.zcygov.cn）</w:t>
      </w:r>
      <w:r>
        <w:rPr>
          <w:rFonts w:hint="eastAsia" w:ascii="宋体" w:hAnsi="宋体" w:cs="宋体"/>
          <w:bCs/>
          <w:color w:val="000000"/>
          <w:szCs w:val="21"/>
        </w:rPr>
        <w:t>。</w:t>
      </w:r>
    </w:p>
    <w:p>
      <w:pPr>
        <w:spacing w:line="360" w:lineRule="auto"/>
        <w:ind w:firstLine="420" w:firstLineChars="200"/>
        <w:rPr>
          <w:rFonts w:ascii="宋体" w:hAnsi="宋体" w:cs="宋体"/>
          <w:bCs/>
          <w:color w:val="000000"/>
          <w:szCs w:val="21"/>
        </w:rPr>
      </w:pPr>
      <w:r>
        <w:rPr>
          <w:rFonts w:ascii="宋体" w:hAnsi="宋体" w:cs="宋体"/>
          <w:bCs/>
          <w:color w:val="000000"/>
          <w:szCs w:val="21"/>
        </w:rPr>
        <w:t> 开标时间：2023年</w:t>
      </w:r>
      <w:r>
        <w:rPr>
          <w:rFonts w:hint="eastAsia" w:ascii="宋体" w:hAnsi="宋体" w:cs="宋体"/>
          <w:bCs/>
          <w:color w:val="000000"/>
          <w:szCs w:val="21"/>
        </w:rPr>
        <w:t>4</w:t>
      </w:r>
      <w:r>
        <w:rPr>
          <w:rFonts w:ascii="宋体" w:hAnsi="宋体" w:cs="宋体"/>
          <w:bCs/>
          <w:color w:val="000000"/>
          <w:szCs w:val="21"/>
        </w:rPr>
        <w:t>月</w:t>
      </w:r>
      <w:r>
        <w:rPr>
          <w:rFonts w:hint="eastAsia" w:ascii="宋体" w:hAnsi="宋体" w:cs="宋体"/>
          <w:bCs/>
          <w:color w:val="000000"/>
          <w:szCs w:val="21"/>
          <w:lang w:val="en-US" w:eastAsia="zh-CN"/>
        </w:rPr>
        <w:t>25</w:t>
      </w:r>
      <w:r>
        <w:rPr>
          <w:rFonts w:ascii="宋体" w:hAnsi="宋体" w:cs="宋体"/>
          <w:bCs/>
          <w:color w:val="000000"/>
          <w:szCs w:val="21"/>
        </w:rPr>
        <w:t>日 09:</w:t>
      </w:r>
      <w:r>
        <w:rPr>
          <w:rFonts w:hint="eastAsia" w:ascii="宋体" w:hAnsi="宋体" w:cs="宋体"/>
          <w:bCs/>
          <w:color w:val="000000"/>
          <w:szCs w:val="21"/>
        </w:rPr>
        <w:t>0</w:t>
      </w:r>
      <w:r>
        <w:rPr>
          <w:rFonts w:ascii="宋体" w:hAnsi="宋体" w:cs="宋体"/>
          <w:bCs/>
          <w:color w:val="000000"/>
          <w:szCs w:val="21"/>
        </w:rPr>
        <w:t>0</w:t>
      </w:r>
      <w:r>
        <w:rPr>
          <w:rFonts w:hint="eastAsia" w:ascii="宋体" w:hAnsi="宋体" w:cs="宋体"/>
          <w:bCs/>
          <w:color w:val="000000"/>
          <w:szCs w:val="21"/>
        </w:rPr>
        <w:t>（北京时间）。</w:t>
      </w:r>
    </w:p>
    <w:p>
      <w:pPr>
        <w:spacing w:line="360" w:lineRule="auto"/>
        <w:ind w:firstLine="420" w:firstLineChars="200"/>
        <w:rPr>
          <w:rFonts w:ascii="宋体" w:hAnsi="宋体" w:cs="宋体"/>
          <w:bCs/>
          <w:color w:val="000000"/>
          <w:szCs w:val="21"/>
        </w:rPr>
      </w:pPr>
      <w:r>
        <w:rPr>
          <w:rFonts w:ascii="宋体" w:hAnsi="宋体" w:cs="宋体"/>
          <w:bCs/>
          <w:color w:val="000000"/>
          <w:szCs w:val="21"/>
        </w:rPr>
        <w:t> 开标地点：“政采云”平台电子开标大厅</w:t>
      </w:r>
      <w:r>
        <w:rPr>
          <w:rFonts w:hint="eastAsia" w:ascii="宋体" w:hAnsi="宋体" w:cs="宋体"/>
          <w:bCs/>
          <w:color w:val="000000"/>
          <w:szCs w:val="21"/>
        </w:rPr>
        <w:t>。</w:t>
      </w:r>
    </w:p>
    <w:p>
      <w:pPr>
        <w:spacing w:line="360" w:lineRule="auto"/>
        <w:rPr>
          <w:rFonts w:ascii="宋体" w:hAnsi="宋体" w:cs="宋体"/>
          <w:b/>
          <w:bCs/>
          <w:color w:val="000000"/>
          <w:sz w:val="24"/>
        </w:rPr>
      </w:pPr>
      <w:r>
        <w:rPr>
          <w:rFonts w:hint="eastAsia" w:ascii="宋体" w:hAnsi="宋体" w:cs="宋体"/>
          <w:b/>
          <w:bCs/>
          <w:color w:val="000000"/>
          <w:sz w:val="24"/>
        </w:rPr>
        <w:t>五、公告期限</w:t>
      </w:r>
      <w:bookmarkEnd w:id="27"/>
      <w:bookmarkEnd w:id="28"/>
      <w:bookmarkEnd w:id="29"/>
      <w:bookmarkEnd w:id="30"/>
      <w:r>
        <w:rPr>
          <w:rFonts w:hint="eastAsia" w:ascii="宋体" w:hAnsi="宋体" w:cs="宋体"/>
          <w:b/>
          <w:bCs/>
          <w:color w:val="000000"/>
          <w:sz w:val="24"/>
        </w:rPr>
        <w:t>：</w:t>
      </w:r>
    </w:p>
    <w:p>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自本公告发布之日起5个工作日。</w:t>
      </w:r>
    </w:p>
    <w:p>
      <w:pPr>
        <w:spacing w:line="360" w:lineRule="auto"/>
        <w:rPr>
          <w:rFonts w:ascii="宋体" w:hAnsi="宋体" w:cs="宋体"/>
          <w:b/>
          <w:bCs/>
          <w:color w:val="000000"/>
          <w:sz w:val="24"/>
        </w:rPr>
      </w:pPr>
      <w:bookmarkStart w:id="31" w:name="_Toc35393795"/>
      <w:bookmarkStart w:id="32" w:name="_Toc35393626"/>
      <w:r>
        <w:rPr>
          <w:rFonts w:hint="eastAsia" w:ascii="宋体" w:hAnsi="宋体" w:cs="宋体"/>
          <w:b/>
          <w:bCs/>
          <w:color w:val="000000"/>
          <w:sz w:val="24"/>
        </w:rPr>
        <w:t>六、其他补充事宜</w:t>
      </w:r>
      <w:bookmarkEnd w:id="31"/>
      <w:bookmarkEnd w:id="32"/>
      <w:r>
        <w:rPr>
          <w:rFonts w:hint="eastAsia" w:ascii="宋体" w:hAnsi="宋体" w:cs="宋体"/>
          <w:b/>
          <w:bCs/>
          <w:color w:val="000000"/>
          <w:sz w:val="24"/>
        </w:rPr>
        <w:t>：</w:t>
      </w:r>
    </w:p>
    <w:p>
      <w:pPr>
        <w:spacing w:line="360" w:lineRule="auto"/>
        <w:ind w:firstLine="420" w:firstLineChars="200"/>
        <w:rPr>
          <w:rFonts w:ascii="宋体" w:hAnsi="宋体" w:cs="宋体"/>
          <w:color w:val="000000"/>
          <w:kern w:val="0"/>
          <w:szCs w:val="21"/>
        </w:rPr>
      </w:pPr>
      <w:bookmarkStart w:id="33" w:name="_Hlk37429585"/>
      <w:bookmarkStart w:id="34" w:name="_Hlk37429595"/>
      <w:bookmarkStart w:id="35" w:name="_Toc28359008"/>
      <w:bookmarkStart w:id="36" w:name="_Toc35393796"/>
      <w:bookmarkStart w:id="37" w:name="_Toc28359085"/>
      <w:bookmarkStart w:id="38" w:name="_Toc35393627"/>
      <w:r>
        <w:rPr>
          <w:rFonts w:hint="eastAsia" w:ascii="宋体" w:hAnsi="宋体" w:cs="宋体"/>
          <w:color w:val="000000"/>
          <w:kern w:val="0"/>
          <w:szCs w:val="21"/>
        </w:rPr>
        <w:t>1.网上查询地址：</w:t>
      </w:r>
      <w:bookmarkEnd w:id="33"/>
      <w:r>
        <w:rPr>
          <w:rFonts w:hint="eastAsia" w:ascii="宋体" w:hAnsi="宋体" w:cs="宋体"/>
          <w:color w:val="000000"/>
          <w:kern w:val="0"/>
          <w:szCs w:val="21"/>
        </w:rPr>
        <w:t>中国政府采购网、广西壮族自治区政府采购网、广西正海招标有限公司网。</w:t>
      </w:r>
    </w:p>
    <w:bookmarkEnd w:id="34"/>
    <w:p>
      <w:pPr>
        <w:spacing w:line="360" w:lineRule="auto"/>
        <w:ind w:firstLine="424" w:firstLineChars="202"/>
        <w:rPr>
          <w:rFonts w:ascii="宋体" w:hAnsi="宋体" w:cs="宋体"/>
          <w:color w:val="000000"/>
          <w:kern w:val="0"/>
          <w:szCs w:val="21"/>
        </w:rPr>
      </w:pPr>
      <w:bookmarkStart w:id="39" w:name="_Hlk37429674"/>
      <w:r>
        <w:rPr>
          <w:rFonts w:hint="eastAsia" w:ascii="宋体" w:hAnsi="宋体" w:cs="宋体"/>
          <w:color w:val="000000"/>
          <w:szCs w:val="21"/>
        </w:rPr>
        <w:t>2.</w:t>
      </w:r>
      <w:r>
        <w:rPr>
          <w:rFonts w:hint="eastAsia" w:ascii="宋体" w:hAnsi="宋体" w:cs="宋体"/>
          <w:color w:val="000000"/>
          <w:kern w:val="0"/>
          <w:szCs w:val="21"/>
        </w:rPr>
        <w:t>本项目需要落实的政府采购政策：</w:t>
      </w:r>
    </w:p>
    <w:p>
      <w:pPr>
        <w:spacing w:line="360" w:lineRule="auto"/>
        <w:ind w:firstLine="420" w:firstLineChars="200"/>
        <w:rPr>
          <w:rFonts w:ascii="宋体" w:hAnsi="宋体" w:cs="宋体"/>
          <w:iCs/>
          <w:color w:val="000000"/>
          <w:kern w:val="0"/>
          <w:szCs w:val="21"/>
        </w:rPr>
      </w:pPr>
      <w:r>
        <w:rPr>
          <w:rFonts w:hint="eastAsia" w:ascii="宋体" w:hAnsi="宋体" w:cs="宋体"/>
          <w:iCs/>
          <w:color w:val="000000"/>
          <w:kern w:val="0"/>
          <w:szCs w:val="21"/>
        </w:rPr>
        <w:t>（1）政府采购促进中小企业发展。</w:t>
      </w:r>
    </w:p>
    <w:p>
      <w:pPr>
        <w:spacing w:line="360" w:lineRule="auto"/>
        <w:ind w:firstLine="420" w:firstLineChars="200"/>
        <w:rPr>
          <w:rFonts w:ascii="宋体" w:hAnsi="宋体" w:cs="宋体"/>
          <w:iCs/>
          <w:color w:val="000000"/>
          <w:kern w:val="0"/>
          <w:szCs w:val="21"/>
        </w:rPr>
      </w:pPr>
      <w:r>
        <w:rPr>
          <w:rFonts w:hint="eastAsia" w:ascii="宋体" w:hAnsi="宋体" w:cs="宋体"/>
          <w:iCs/>
          <w:color w:val="000000"/>
          <w:kern w:val="0"/>
          <w:szCs w:val="21"/>
        </w:rPr>
        <w:t>（2）政府采购支持采用本国产品的政策。</w:t>
      </w:r>
    </w:p>
    <w:p>
      <w:pPr>
        <w:spacing w:line="360" w:lineRule="auto"/>
        <w:ind w:firstLine="420" w:firstLineChars="200"/>
        <w:rPr>
          <w:rFonts w:ascii="宋体" w:hAnsi="宋体" w:cs="宋体"/>
          <w:iCs/>
          <w:color w:val="000000"/>
          <w:kern w:val="0"/>
          <w:szCs w:val="21"/>
        </w:rPr>
      </w:pPr>
      <w:r>
        <w:rPr>
          <w:rFonts w:hint="eastAsia" w:ascii="宋体" w:hAnsi="宋体" w:cs="宋体"/>
          <w:iCs/>
          <w:color w:val="000000"/>
          <w:kern w:val="0"/>
          <w:szCs w:val="21"/>
        </w:rPr>
        <w:t>（3）强制采购节能产品；优先采购节能产品、环境标志产品。</w:t>
      </w:r>
    </w:p>
    <w:p>
      <w:pPr>
        <w:spacing w:line="360" w:lineRule="auto"/>
        <w:ind w:firstLine="420" w:firstLineChars="200"/>
        <w:rPr>
          <w:rFonts w:ascii="宋体" w:hAnsi="宋体" w:cs="宋体"/>
          <w:iCs/>
          <w:color w:val="000000"/>
          <w:kern w:val="0"/>
          <w:szCs w:val="21"/>
        </w:rPr>
      </w:pPr>
      <w:r>
        <w:rPr>
          <w:rFonts w:hint="eastAsia" w:ascii="宋体" w:hAnsi="宋体" w:cs="宋体"/>
          <w:iCs/>
          <w:color w:val="000000"/>
          <w:kern w:val="0"/>
          <w:szCs w:val="21"/>
        </w:rPr>
        <w:t>（4）政府采购促进残疾人就业政策。</w:t>
      </w:r>
    </w:p>
    <w:p>
      <w:pPr>
        <w:spacing w:line="360" w:lineRule="auto"/>
        <w:ind w:firstLine="420" w:firstLineChars="200"/>
        <w:rPr>
          <w:rFonts w:ascii="宋体" w:hAnsi="宋体" w:cs="宋体"/>
          <w:iCs/>
          <w:color w:val="000000"/>
          <w:kern w:val="0"/>
          <w:szCs w:val="21"/>
        </w:rPr>
      </w:pPr>
      <w:r>
        <w:rPr>
          <w:rFonts w:hint="eastAsia" w:ascii="宋体" w:hAnsi="宋体" w:cs="宋体"/>
          <w:iCs/>
          <w:color w:val="000000"/>
          <w:kern w:val="0"/>
          <w:szCs w:val="21"/>
        </w:rPr>
        <w:t>（5）政府采购支持监狱企业发展。</w:t>
      </w:r>
    </w:p>
    <w:bookmarkEnd w:id="39"/>
    <w:p>
      <w:pPr>
        <w:widowControl/>
        <w:spacing w:line="360" w:lineRule="auto"/>
        <w:ind w:firstLine="422" w:firstLineChars="200"/>
        <w:jc w:val="left"/>
        <w:rPr>
          <w:rFonts w:ascii="宋体" w:hAnsi="宋体" w:cs="宋体"/>
          <w:b/>
          <w:color w:val="000000"/>
          <w:szCs w:val="21"/>
        </w:rPr>
      </w:pPr>
      <w:r>
        <w:rPr>
          <w:rFonts w:hint="eastAsia" w:ascii="宋体" w:hAnsi="宋体" w:cs="宋体"/>
          <w:b/>
          <w:color w:val="000000"/>
          <w:kern w:val="0"/>
          <w:szCs w:val="21"/>
        </w:rPr>
        <w:t>3.投标人</w:t>
      </w:r>
      <w:r>
        <w:rPr>
          <w:rFonts w:hint="eastAsia" w:ascii="宋体" w:hAnsi="宋体" w:cs="宋体"/>
          <w:b/>
          <w:color w:val="000000"/>
          <w:szCs w:val="21"/>
        </w:rPr>
        <w:t>投标注意事项：</w:t>
      </w:r>
    </w:p>
    <w:p>
      <w:pPr>
        <w:widowControl/>
        <w:spacing w:line="360" w:lineRule="auto"/>
        <w:ind w:firstLine="422" w:firstLineChars="200"/>
        <w:jc w:val="left"/>
        <w:rPr>
          <w:rFonts w:ascii="宋体" w:hAnsi="宋体" w:cs="宋体"/>
          <w:b/>
          <w:color w:val="000000"/>
          <w:szCs w:val="21"/>
        </w:rPr>
      </w:pPr>
      <w:r>
        <w:rPr>
          <w:rFonts w:hint="eastAsia" w:ascii="宋体" w:hAnsi="宋体" w:cs="宋体"/>
          <w:b/>
          <w:color w:val="000000"/>
          <w:szCs w:val="21"/>
        </w:rPr>
        <w:t>（1）本项目为全流程电子化采购项目，通过“政采云”平台（https：//www.zcygov.cn）实行在线电子投标，投标人应先安装“政采云电子投标客户端”（请自行前往“政采云”平台进行下载），并按照本项目招标文件和“政采云”平台的要求编制、加密后在投标截止时间前通过网络上传至 “政采云”平台（</w:t>
      </w:r>
      <w:r>
        <w:rPr>
          <w:rFonts w:hint="eastAsia" w:ascii="宋体" w:hAnsi="宋体" w:cs="宋体"/>
          <w:b/>
          <w:color w:val="000000"/>
          <w:szCs w:val="21"/>
          <w:u w:val="single"/>
        </w:rPr>
        <w:t>加密的电子投标文件是指</w:t>
      </w:r>
      <w:r>
        <w:rPr>
          <w:rFonts w:hint="eastAsia" w:ascii="宋体" w:hAnsi="宋体" w:cs="宋体"/>
          <w:b/>
          <w:color w:val="000000"/>
          <w:u w:val="single"/>
        </w:rPr>
        <w:t>后缀名为“jmbs”的文件</w:t>
      </w:r>
      <w:r>
        <w:rPr>
          <w:rFonts w:hint="eastAsia" w:ascii="宋体" w:hAnsi="宋体" w:cs="宋体"/>
          <w:b/>
          <w:color w:val="000000"/>
          <w:szCs w:val="21"/>
        </w:rPr>
        <w:t>），投标人在“政采云”平台提交电子投标文件时，请填写参加远程开标活动经办人联系方式。投标人登录“政采云”平台，依次进入“服务中心-项目采购-操作流程-电子招投标-</w:t>
      </w:r>
      <w:r>
        <w:rPr>
          <w:rFonts w:hint="eastAsia" w:ascii="宋体" w:hAnsi="宋体" w:cs="宋体"/>
          <w:b/>
          <w:color w:val="000000"/>
        </w:rPr>
        <w:t>政府采购项目电子交易管理操作指南-供应商</w:t>
      </w:r>
      <w:r>
        <w:rPr>
          <w:rFonts w:hint="eastAsia" w:ascii="宋体" w:hAnsi="宋体" w:cs="宋体"/>
          <w:b/>
          <w:color w:val="000000"/>
          <w:szCs w:val="21"/>
        </w:rPr>
        <w:t>”查看电子投标具体操作流程。</w:t>
      </w:r>
    </w:p>
    <w:p>
      <w:pPr>
        <w:widowControl/>
        <w:spacing w:line="360" w:lineRule="auto"/>
        <w:ind w:firstLine="422" w:firstLineChars="200"/>
        <w:jc w:val="left"/>
        <w:rPr>
          <w:rFonts w:ascii="宋体" w:hAnsi="宋体" w:cs="宋体"/>
          <w:b/>
          <w:color w:val="000000"/>
          <w:szCs w:val="21"/>
        </w:rPr>
      </w:pPr>
      <w:r>
        <w:rPr>
          <w:rFonts w:hint="eastAsia" w:ascii="宋体" w:hAnsi="宋体" w:cs="宋体"/>
          <w:b/>
          <w:color w:val="000000"/>
          <w:szCs w:val="21"/>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陆</w:t>
      </w:r>
      <w:r>
        <w:rPr>
          <w:rFonts w:hint="eastAsia" w:ascii="宋体" w:hAnsi="宋体" w:cs="宋体"/>
          <w:b/>
          <w:color w:val="000000"/>
          <w:kern w:val="0"/>
          <w:szCs w:val="21"/>
        </w:rPr>
        <w:t>“政采云”平台，</w:t>
      </w:r>
      <w:r>
        <w:rPr>
          <w:rFonts w:hint="eastAsia" w:ascii="宋体" w:hAnsi="宋体" w:cs="宋体"/>
          <w:b/>
          <w:color w:val="000000"/>
          <w:szCs w:val="21"/>
        </w:rPr>
        <w:t>依次进入“服务中心-入驻与配置”中查看CA数字证书办理操作流程。</w:t>
      </w:r>
      <w:r>
        <w:rPr>
          <w:rFonts w:hint="eastAsia" w:ascii="宋体" w:hAnsi="宋体" w:cs="宋体"/>
          <w:b/>
          <w:bCs/>
          <w:color w:val="000000"/>
          <w:kern w:val="0"/>
          <w:szCs w:val="21"/>
        </w:rPr>
        <w:t>如在操作过程中遇到问题或者需要技术支持，请致电政采云客服热线：400-881-7190/95763</w:t>
      </w:r>
      <w:r>
        <w:rPr>
          <w:rFonts w:hint="eastAsia" w:ascii="宋体" w:hAnsi="宋体" w:cs="宋体"/>
          <w:b/>
          <w:color w:val="000000"/>
          <w:szCs w:val="21"/>
        </w:rPr>
        <w:t>）。</w:t>
      </w:r>
    </w:p>
    <w:p>
      <w:pPr>
        <w:snapToGrid w:val="0"/>
        <w:spacing w:line="360" w:lineRule="auto"/>
        <w:ind w:firstLine="422" w:firstLineChars="200"/>
        <w:rPr>
          <w:rFonts w:ascii="宋体" w:hAnsi="宋体" w:cs="宋体"/>
          <w:b/>
          <w:color w:val="000000"/>
          <w:kern w:val="0"/>
          <w:szCs w:val="21"/>
        </w:rPr>
      </w:pPr>
      <w:r>
        <w:rPr>
          <w:rFonts w:hint="eastAsia" w:ascii="宋体" w:hAnsi="宋体" w:cs="宋体"/>
          <w:b/>
          <w:color w:val="000000"/>
          <w:kern w:val="0"/>
          <w:szCs w:val="21"/>
        </w:rPr>
        <w:t>（3）CA证书在线解密：投标人投标时，需凭制作投标文件时用来加密的有效数字证书（CA认证）登录“政采云”平台电子开标大厅现场按规定时间对加密的投标文件进行解密，否则后果自负。</w:t>
      </w:r>
    </w:p>
    <w:p>
      <w:pPr>
        <w:spacing w:line="360" w:lineRule="auto"/>
        <w:ind w:firstLine="426" w:firstLineChars="202"/>
        <w:rPr>
          <w:rFonts w:ascii="宋体" w:hAnsi="宋体" w:cs="宋体"/>
          <w:b/>
          <w:color w:val="000000"/>
          <w:szCs w:val="21"/>
        </w:rPr>
      </w:pPr>
      <w:r>
        <w:rPr>
          <w:rFonts w:hint="eastAsia" w:ascii="宋体" w:hAnsi="宋体" w:cs="宋体"/>
          <w:b/>
          <w:color w:val="000000"/>
          <w:szCs w:val="21"/>
        </w:rPr>
        <w:t>注：</w:t>
      </w:r>
    </w:p>
    <w:p>
      <w:pPr>
        <w:spacing w:line="360" w:lineRule="auto"/>
        <w:ind w:firstLine="426" w:firstLineChars="202"/>
        <w:rPr>
          <w:rFonts w:ascii="宋体" w:hAnsi="宋体" w:cs="宋体"/>
          <w:b/>
          <w:color w:val="000000"/>
          <w:szCs w:val="21"/>
        </w:rPr>
      </w:pPr>
      <w:r>
        <w:rPr>
          <w:rFonts w:hint="eastAsia" w:ascii="宋体" w:hAnsi="宋体" w:cs="宋体"/>
          <w:b/>
          <w:color w:val="000000"/>
          <w:szCs w:val="21"/>
        </w:rPr>
        <w:fldChar w:fldCharType="begin"/>
      </w:r>
      <w:r>
        <w:rPr>
          <w:rFonts w:hint="eastAsia" w:ascii="宋体" w:hAnsi="宋体" w:cs="宋体"/>
          <w:b/>
          <w:color w:val="000000"/>
          <w:szCs w:val="21"/>
        </w:rPr>
        <w:instrText xml:space="preserve"> = 1 \* GB3 </w:instrText>
      </w:r>
      <w:r>
        <w:rPr>
          <w:rFonts w:hint="eastAsia" w:ascii="宋体" w:hAnsi="宋体" w:cs="宋体"/>
          <w:b/>
          <w:color w:val="000000"/>
          <w:szCs w:val="21"/>
        </w:rPr>
        <w:fldChar w:fldCharType="separate"/>
      </w:r>
      <w:r>
        <w:rPr>
          <w:rFonts w:hint="eastAsia" w:ascii="宋体" w:hAnsi="宋体" w:cs="宋体"/>
          <w:b/>
          <w:color w:val="000000"/>
          <w:szCs w:val="21"/>
        </w:rPr>
        <w:t>①</w:t>
      </w:r>
      <w:r>
        <w:rPr>
          <w:rFonts w:hint="eastAsia" w:ascii="宋体" w:hAnsi="宋体" w:cs="宋体"/>
          <w:b/>
          <w:color w:val="000000"/>
          <w:szCs w:val="21"/>
        </w:rPr>
        <w:fldChar w:fldCharType="end"/>
      </w:r>
      <w:r>
        <w:rPr>
          <w:rFonts w:hint="eastAsia" w:ascii="宋体" w:hAnsi="宋体" w:cs="宋体"/>
          <w:b/>
          <w:color w:val="000000"/>
          <w:szCs w:val="21"/>
        </w:rPr>
        <w:t>为确保网上操作合法、有效和安全，请投标人确保在电子投标过程中能够对相关数据电文进行加密和使用电子签章，妥善保管CA数字证书并使用有效的CA数字证书参与整个招标活动。</w:t>
      </w:r>
    </w:p>
    <w:p>
      <w:pPr>
        <w:spacing w:line="360" w:lineRule="auto"/>
        <w:ind w:firstLine="426" w:firstLineChars="202"/>
        <w:rPr>
          <w:rFonts w:ascii="宋体" w:hAnsi="宋体" w:cs="宋体"/>
          <w:b/>
          <w:bCs/>
          <w:color w:val="000000"/>
          <w:szCs w:val="21"/>
        </w:rPr>
      </w:pPr>
      <w:r>
        <w:rPr>
          <w:rFonts w:hint="eastAsia" w:ascii="宋体" w:hAnsi="宋体" w:cs="宋体"/>
          <w:b/>
          <w:color w:val="000000"/>
          <w:szCs w:val="21"/>
        </w:rPr>
        <w:fldChar w:fldCharType="begin"/>
      </w:r>
      <w:r>
        <w:rPr>
          <w:rFonts w:hint="eastAsia" w:ascii="宋体" w:hAnsi="宋体" w:cs="宋体"/>
          <w:b/>
          <w:color w:val="000000"/>
          <w:szCs w:val="21"/>
        </w:rPr>
        <w:instrText xml:space="preserve"> = 2 \* GB3 </w:instrText>
      </w:r>
      <w:r>
        <w:rPr>
          <w:rFonts w:hint="eastAsia" w:ascii="宋体" w:hAnsi="宋体" w:cs="宋体"/>
          <w:b/>
          <w:color w:val="000000"/>
          <w:szCs w:val="21"/>
        </w:rPr>
        <w:fldChar w:fldCharType="separate"/>
      </w:r>
      <w:r>
        <w:rPr>
          <w:rFonts w:hint="eastAsia" w:ascii="宋体" w:hAnsi="宋体" w:cs="宋体"/>
          <w:b/>
          <w:color w:val="000000"/>
          <w:szCs w:val="21"/>
        </w:rPr>
        <w:t>②</w:t>
      </w:r>
      <w:r>
        <w:rPr>
          <w:rFonts w:hint="eastAsia" w:ascii="宋体" w:hAnsi="宋体" w:cs="宋体"/>
          <w:b/>
          <w:color w:val="000000"/>
          <w:szCs w:val="21"/>
        </w:rPr>
        <w:fldChar w:fldCharType="end"/>
      </w:r>
      <w:r>
        <w:rPr>
          <w:rFonts w:hint="eastAsia" w:ascii="宋体" w:hAnsi="宋体" w:cs="宋体"/>
          <w:b/>
          <w:bCs/>
          <w:color w:val="000000"/>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政采云”平台将予以拒收。</w:t>
      </w:r>
    </w:p>
    <w:p>
      <w:pPr>
        <w:spacing w:line="360" w:lineRule="auto"/>
        <w:ind w:firstLine="424" w:firstLineChars="202"/>
        <w:rPr>
          <w:rFonts w:ascii="宋体" w:hAnsi="宋体" w:cs="宋体"/>
          <w:color w:val="000000"/>
          <w:szCs w:val="21"/>
        </w:rPr>
      </w:pPr>
      <w:r>
        <w:rPr>
          <w:rFonts w:hint="eastAsia" w:ascii="宋体" w:hAnsi="宋体" w:cs="宋体"/>
          <w:color w:val="000000"/>
          <w:szCs w:val="21"/>
        </w:rPr>
        <w:t>4.为配合采购人进行政府采购项目执行和备案，未在政采云注册的供应商可在获取采购文件后登录政采云进行注册，如在操作过程中遇到问题或者需要技术支持，请致电政采云客服热线：</w:t>
      </w:r>
      <w:r>
        <w:rPr>
          <w:rFonts w:hint="eastAsia" w:ascii="宋体" w:hAnsi="宋体" w:cs="宋体"/>
          <w:color w:val="000000"/>
          <w:kern w:val="0"/>
          <w:szCs w:val="21"/>
        </w:rPr>
        <w:t>400-881-7190或95763</w:t>
      </w:r>
      <w:r>
        <w:rPr>
          <w:rFonts w:hint="eastAsia" w:ascii="宋体" w:hAnsi="宋体" w:cs="宋体"/>
          <w:color w:val="000000"/>
          <w:szCs w:val="21"/>
        </w:rPr>
        <w:t>。</w:t>
      </w:r>
    </w:p>
    <w:p>
      <w:pPr>
        <w:spacing w:line="360" w:lineRule="auto"/>
        <w:rPr>
          <w:rFonts w:ascii="宋体" w:hAnsi="宋体" w:cs="宋体"/>
          <w:b/>
          <w:bCs/>
          <w:color w:val="000000"/>
          <w:sz w:val="24"/>
        </w:rPr>
      </w:pPr>
      <w:r>
        <w:rPr>
          <w:rFonts w:hint="eastAsia" w:ascii="宋体" w:hAnsi="宋体" w:cs="宋体"/>
          <w:b/>
          <w:bCs/>
          <w:color w:val="000000"/>
          <w:sz w:val="24"/>
        </w:rPr>
        <w:t>七、对本次招标提出询问，请按以下方式联系。</w:t>
      </w:r>
      <w:bookmarkEnd w:id="35"/>
      <w:bookmarkEnd w:id="36"/>
      <w:bookmarkEnd w:id="37"/>
      <w:bookmarkEnd w:id="38"/>
    </w:p>
    <w:p>
      <w:pPr>
        <w:spacing w:line="360" w:lineRule="auto"/>
        <w:ind w:firstLine="424" w:firstLineChars="202"/>
        <w:jc w:val="left"/>
        <w:rPr>
          <w:rFonts w:ascii="宋体" w:hAnsi="宋体" w:cs="宋体"/>
          <w:color w:val="000000"/>
          <w:szCs w:val="21"/>
        </w:rPr>
      </w:pPr>
      <w:r>
        <w:rPr>
          <w:rFonts w:hint="eastAsia" w:ascii="宋体" w:hAnsi="宋体" w:cs="宋体"/>
          <w:color w:val="000000"/>
          <w:szCs w:val="21"/>
        </w:rPr>
        <w:t>1.采购人信息</w:t>
      </w:r>
    </w:p>
    <w:p>
      <w:pPr>
        <w:spacing w:line="360" w:lineRule="auto"/>
        <w:ind w:firstLine="424" w:firstLineChars="202"/>
        <w:jc w:val="left"/>
        <w:rPr>
          <w:rFonts w:ascii="宋体" w:hAnsi="宋体" w:cs="宋体"/>
          <w:szCs w:val="21"/>
        </w:rPr>
      </w:pPr>
      <w:r>
        <w:rPr>
          <w:rFonts w:hint="eastAsia" w:ascii="宋体" w:hAnsi="宋体" w:cs="宋体"/>
          <w:color w:val="000000"/>
          <w:szCs w:val="21"/>
        </w:rPr>
        <w:t>名 称：</w:t>
      </w:r>
      <w:bookmarkStart w:id="40" w:name="_Toc28359086"/>
      <w:bookmarkStart w:id="41" w:name="_Toc28359009"/>
      <w:r>
        <w:rPr>
          <w:rFonts w:hint="eastAsia" w:ascii="宋体" w:hAnsi="宋体" w:cs="宋体"/>
          <w:szCs w:val="21"/>
        </w:rPr>
        <w:t>广西壮族自治区卫生健康统计信息中心</w:t>
      </w:r>
    </w:p>
    <w:p>
      <w:pPr>
        <w:spacing w:line="360" w:lineRule="auto"/>
        <w:ind w:left="1041" w:leftChars="203" w:hanging="615" w:hangingChars="293"/>
        <w:jc w:val="left"/>
        <w:rPr>
          <w:rFonts w:ascii="宋体" w:hAnsi="宋体" w:cs="宋体"/>
          <w:szCs w:val="21"/>
        </w:rPr>
      </w:pPr>
      <w:r>
        <w:rPr>
          <w:rFonts w:hint="eastAsia" w:ascii="宋体" w:hAnsi="宋体" w:cs="宋体"/>
          <w:szCs w:val="21"/>
        </w:rPr>
        <w:t>地址：南宁市青秀区金洲路18号</w:t>
      </w:r>
    </w:p>
    <w:p>
      <w:pPr>
        <w:spacing w:line="360" w:lineRule="auto"/>
        <w:ind w:firstLine="424" w:firstLineChars="202"/>
        <w:rPr>
          <w:rFonts w:ascii="宋体" w:hAnsi="宋体" w:cs="宋体"/>
          <w:szCs w:val="20"/>
        </w:rPr>
      </w:pPr>
      <w:r>
        <w:rPr>
          <w:rFonts w:hint="eastAsia" w:ascii="宋体" w:hAnsi="宋体" w:cs="宋体"/>
          <w:szCs w:val="20"/>
        </w:rPr>
        <w:t>项目联系人：唐</w:t>
      </w:r>
      <w:r>
        <w:rPr>
          <w:rFonts w:hint="eastAsia" w:ascii="宋体" w:hAnsi="宋体" w:cs="宋体"/>
          <w:szCs w:val="21"/>
        </w:rPr>
        <w:t>工</w:t>
      </w:r>
    </w:p>
    <w:p>
      <w:pPr>
        <w:spacing w:line="360" w:lineRule="auto"/>
        <w:ind w:firstLine="424" w:firstLineChars="202"/>
        <w:jc w:val="left"/>
        <w:rPr>
          <w:rFonts w:ascii="宋体" w:hAnsi="宋体" w:cs="宋体"/>
          <w:color w:val="000000"/>
          <w:szCs w:val="21"/>
        </w:rPr>
      </w:pPr>
      <w:r>
        <w:rPr>
          <w:rFonts w:hint="eastAsia" w:ascii="宋体" w:hAnsi="宋体" w:cs="宋体"/>
          <w:szCs w:val="21"/>
        </w:rPr>
        <w:t>联系电话：0771-2816202转607</w:t>
      </w:r>
    </w:p>
    <w:p>
      <w:pPr>
        <w:spacing w:line="360" w:lineRule="auto"/>
        <w:ind w:firstLine="424" w:firstLineChars="202"/>
        <w:jc w:val="left"/>
        <w:rPr>
          <w:rFonts w:ascii="宋体" w:hAnsi="宋体" w:cs="宋体"/>
          <w:color w:val="000000"/>
          <w:szCs w:val="21"/>
        </w:rPr>
      </w:pPr>
      <w:r>
        <w:rPr>
          <w:rFonts w:hint="eastAsia" w:ascii="宋体" w:hAnsi="宋体" w:cs="宋体"/>
          <w:color w:val="000000"/>
          <w:szCs w:val="21"/>
        </w:rPr>
        <w:t>2.采购代理机构信息</w:t>
      </w:r>
      <w:bookmarkEnd w:id="40"/>
      <w:bookmarkEnd w:id="41"/>
    </w:p>
    <w:p>
      <w:pPr>
        <w:spacing w:line="360" w:lineRule="auto"/>
        <w:ind w:firstLine="424" w:firstLineChars="202"/>
        <w:rPr>
          <w:rFonts w:ascii="宋体" w:hAnsi="宋体" w:cs="宋体"/>
          <w:color w:val="000000"/>
          <w:szCs w:val="21"/>
        </w:rPr>
      </w:pPr>
      <w:r>
        <w:rPr>
          <w:rFonts w:hint="eastAsia" w:ascii="宋体" w:hAnsi="宋体" w:cs="宋体"/>
          <w:color w:val="000000"/>
          <w:szCs w:val="21"/>
        </w:rPr>
        <w:t>名 称：广西正海招标有限公司</w:t>
      </w:r>
    </w:p>
    <w:p>
      <w:pPr>
        <w:spacing w:line="360" w:lineRule="auto"/>
        <w:ind w:firstLine="424" w:firstLineChars="202"/>
        <w:rPr>
          <w:rFonts w:ascii="宋体" w:hAnsi="宋体" w:cs="宋体"/>
          <w:color w:val="000000"/>
          <w:szCs w:val="21"/>
        </w:rPr>
      </w:pPr>
      <w:r>
        <w:rPr>
          <w:rFonts w:hint="eastAsia" w:ascii="宋体" w:hAnsi="宋体" w:cs="宋体"/>
          <w:color w:val="000000"/>
          <w:szCs w:val="21"/>
        </w:rPr>
        <w:t>地 址：南宁市青秀区茅桥路2号习艺基地A栋3楼</w:t>
      </w:r>
    </w:p>
    <w:p>
      <w:pPr>
        <w:spacing w:line="360" w:lineRule="auto"/>
        <w:ind w:firstLine="424" w:firstLineChars="202"/>
        <w:rPr>
          <w:rFonts w:ascii="宋体" w:hAnsi="宋体" w:cs="宋体"/>
          <w:color w:val="000000"/>
          <w:szCs w:val="21"/>
        </w:rPr>
      </w:pPr>
      <w:r>
        <w:rPr>
          <w:rFonts w:hint="eastAsia" w:ascii="宋体" w:hAnsi="宋体" w:cs="宋体"/>
          <w:color w:val="000000"/>
          <w:szCs w:val="21"/>
        </w:rPr>
        <w:t>项目联系人：覃相健</w:t>
      </w:r>
    </w:p>
    <w:p>
      <w:pPr>
        <w:spacing w:line="360" w:lineRule="auto"/>
        <w:ind w:firstLine="424" w:firstLineChars="202"/>
        <w:rPr>
          <w:rFonts w:ascii="宋体" w:hAnsi="宋体" w:cs="宋体"/>
          <w:color w:val="000000"/>
          <w:szCs w:val="21"/>
        </w:rPr>
      </w:pPr>
      <w:r>
        <w:rPr>
          <w:rFonts w:hint="eastAsia" w:ascii="宋体" w:hAnsi="宋体" w:cs="宋体"/>
          <w:color w:val="000000"/>
          <w:szCs w:val="21"/>
        </w:rPr>
        <w:t>联系电话：</w:t>
      </w:r>
      <w:bookmarkStart w:id="42" w:name="_Toc28359087"/>
      <w:bookmarkStart w:id="43" w:name="_Toc28359010"/>
      <w:r>
        <w:rPr>
          <w:rFonts w:hint="eastAsia" w:ascii="宋体" w:hAnsi="宋体" w:cs="宋体"/>
          <w:color w:val="000000"/>
          <w:szCs w:val="21"/>
        </w:rPr>
        <w:t xml:space="preserve"> 0771-2865989</w:t>
      </w:r>
    </w:p>
    <w:p>
      <w:pPr>
        <w:spacing w:line="360" w:lineRule="auto"/>
        <w:ind w:firstLine="424" w:firstLineChars="202"/>
        <w:rPr>
          <w:rFonts w:ascii="宋体" w:hAnsi="宋体" w:cs="宋体"/>
          <w:color w:val="000000"/>
          <w:szCs w:val="21"/>
        </w:rPr>
      </w:pPr>
      <w:r>
        <w:rPr>
          <w:rFonts w:hint="eastAsia" w:ascii="宋体" w:hAnsi="宋体" w:cs="宋体"/>
          <w:color w:val="000000"/>
          <w:szCs w:val="21"/>
        </w:rPr>
        <w:t>3.项目联系方式</w:t>
      </w:r>
      <w:bookmarkEnd w:id="42"/>
      <w:bookmarkEnd w:id="43"/>
    </w:p>
    <w:p>
      <w:pPr>
        <w:pStyle w:val="24"/>
        <w:spacing w:line="360" w:lineRule="auto"/>
        <w:ind w:firstLine="424" w:firstLineChars="202"/>
        <w:rPr>
          <w:rFonts w:hAnsi="宋体" w:cs="宋体"/>
          <w:color w:val="000000"/>
          <w:sz w:val="21"/>
        </w:rPr>
      </w:pPr>
      <w:r>
        <w:rPr>
          <w:rFonts w:hint="eastAsia" w:hAnsi="宋体" w:cs="宋体"/>
          <w:color w:val="000000"/>
          <w:sz w:val="21"/>
        </w:rPr>
        <w:t>项目联系人：覃相健</w:t>
      </w:r>
    </w:p>
    <w:p>
      <w:pPr>
        <w:spacing w:line="360" w:lineRule="auto"/>
        <w:ind w:firstLine="424" w:firstLineChars="202"/>
        <w:rPr>
          <w:rFonts w:ascii="宋体" w:hAnsi="宋体" w:cs="宋体"/>
          <w:color w:val="000000"/>
          <w:szCs w:val="21"/>
        </w:rPr>
      </w:pPr>
      <w:r>
        <w:rPr>
          <w:rFonts w:hint="eastAsia" w:ascii="宋体" w:hAnsi="宋体" w:cs="宋体"/>
          <w:color w:val="000000"/>
          <w:szCs w:val="21"/>
        </w:rPr>
        <w:t>电 话：0771-2865989</w:t>
      </w:r>
    </w:p>
    <w:p>
      <w:pPr>
        <w:spacing w:line="360" w:lineRule="auto"/>
        <w:rPr>
          <w:rFonts w:ascii="宋体" w:hAnsi="宋体" w:cs="宋体"/>
          <w:color w:val="000000"/>
          <w:szCs w:val="21"/>
        </w:rPr>
      </w:pPr>
    </w:p>
    <w:p>
      <w:pPr>
        <w:pStyle w:val="3"/>
        <w:keepNext w:val="0"/>
        <w:keepLines w:val="0"/>
        <w:tabs>
          <w:tab w:val="left" w:pos="0"/>
          <w:tab w:val="left" w:pos="3165"/>
          <w:tab w:val="center" w:pos="4153"/>
        </w:tabs>
        <w:autoSpaceDE w:val="0"/>
        <w:autoSpaceDN w:val="0"/>
        <w:adjustRightInd w:val="0"/>
        <w:spacing w:before="0" w:after="0" w:line="360" w:lineRule="auto"/>
        <w:jc w:val="center"/>
        <w:rPr>
          <w:rFonts w:ascii="宋体" w:hAnsi="宋体" w:cs="宋体"/>
          <w:color w:val="000000"/>
        </w:rPr>
      </w:pPr>
      <w:r>
        <w:rPr>
          <w:rFonts w:hint="eastAsia" w:ascii="宋体" w:hAnsi="宋体" w:cs="宋体"/>
          <w:color w:val="000000"/>
          <w:sz w:val="24"/>
          <w:szCs w:val="20"/>
        </w:rPr>
        <w:br w:type="page"/>
      </w:r>
      <w:bookmarkStart w:id="44" w:name="_Toc27979"/>
      <w:r>
        <w:rPr>
          <w:rFonts w:hint="eastAsia" w:ascii="宋体" w:hAnsi="宋体" w:cs="宋体"/>
          <w:color w:val="000000"/>
        </w:rPr>
        <w:t>第二章  采购需求</w:t>
      </w:r>
      <w:bookmarkEnd w:id="44"/>
    </w:p>
    <w:p>
      <w:pPr>
        <w:spacing w:line="360" w:lineRule="auto"/>
        <w:jc w:val="left"/>
        <w:rPr>
          <w:rFonts w:ascii="宋体" w:hAnsi="宋体" w:cs="宋体"/>
          <w:b/>
          <w:color w:val="000000"/>
          <w:szCs w:val="21"/>
        </w:rPr>
      </w:pPr>
      <w:bookmarkStart w:id="45" w:name="_Toc254970631"/>
      <w:bookmarkStart w:id="46" w:name="_Toc254970490"/>
    </w:p>
    <w:p>
      <w:pPr>
        <w:spacing w:line="360" w:lineRule="auto"/>
        <w:jc w:val="left"/>
        <w:rPr>
          <w:rFonts w:ascii="宋体" w:hAnsi="宋体" w:cs="宋体"/>
          <w:b/>
          <w:color w:val="000000"/>
          <w:szCs w:val="21"/>
        </w:rPr>
      </w:pPr>
      <w:r>
        <w:rPr>
          <w:rFonts w:hint="eastAsia" w:ascii="宋体" w:hAnsi="宋体" w:cs="宋体"/>
          <w:b/>
          <w:color w:val="000000"/>
          <w:szCs w:val="21"/>
        </w:rPr>
        <w:t>说明：</w:t>
      </w:r>
    </w:p>
    <w:p>
      <w:pPr>
        <w:spacing w:line="360" w:lineRule="auto"/>
        <w:ind w:firstLine="420" w:firstLineChars="200"/>
        <w:jc w:val="left"/>
        <w:rPr>
          <w:rFonts w:ascii="宋体" w:hAnsi="宋体" w:cs="宋体"/>
          <w:color w:val="000000"/>
        </w:rPr>
      </w:pPr>
      <w:r>
        <w:rPr>
          <w:rFonts w:hint="eastAsia" w:ascii="宋体" w:hAnsi="宋体" w:cs="宋体"/>
          <w:color w:val="000000"/>
        </w:rPr>
        <w:t>1.为落实政府采购政策需满足的要求</w:t>
      </w:r>
    </w:p>
    <w:p>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本招标文件所称中小企业必须符合《政府采购促进中小企业发展管理办法》（财库〔2020〕46号）的规定。</w:t>
      </w:r>
    </w:p>
    <w:p>
      <w:pPr>
        <w:spacing w:line="360" w:lineRule="auto"/>
        <w:ind w:firstLine="424" w:firstLineChars="202"/>
        <w:jc w:val="left"/>
        <w:rPr>
          <w:rFonts w:ascii="宋体" w:hAnsi="宋体" w:cs="宋体"/>
          <w:color w:val="000000"/>
          <w:szCs w:val="21"/>
        </w:rPr>
      </w:pPr>
      <w:r>
        <w:rPr>
          <w:rFonts w:hint="eastAsia" w:ascii="宋体" w:hAnsi="宋体" w:cs="宋体"/>
          <w:color w:val="000000"/>
          <w:szCs w:val="21"/>
        </w:rPr>
        <w:t>2.“实质性要求”是指招标文件中已经指明不满足则投标无效的条款，或者不能负偏离的条款，或者采购需求中带“▲”的条款。</w:t>
      </w:r>
      <w:r>
        <w:rPr>
          <w:rFonts w:hint="eastAsia" w:ascii="宋体" w:hAnsi="宋体" w:cs="宋体"/>
          <w:b/>
          <w:color w:val="000000"/>
          <w:szCs w:val="21"/>
        </w:rPr>
        <w:t>本项目凡标注“</w:t>
      </w:r>
      <w:bookmarkStart w:id="47" w:name="OLE_LINK2"/>
      <w:r>
        <w:rPr>
          <w:rFonts w:hint="eastAsia" w:ascii="宋体" w:hAnsi="宋体" w:cs="宋体"/>
          <w:b/>
          <w:color w:val="000000"/>
          <w:szCs w:val="21"/>
        </w:rPr>
        <w:t>▲</w:t>
      </w:r>
      <w:bookmarkEnd w:id="47"/>
      <w:r>
        <w:rPr>
          <w:rFonts w:hint="eastAsia" w:ascii="宋体" w:hAnsi="宋体" w:cs="宋体"/>
          <w:b/>
          <w:color w:val="000000"/>
          <w:szCs w:val="21"/>
        </w:rPr>
        <w:t>”的条款或要求不响应或不满足的，投标文件即作无效投标处理，未标注“▲”的</w:t>
      </w:r>
      <w:r>
        <w:rPr>
          <w:rFonts w:hint="eastAsia" w:ascii="宋体" w:hAnsi="宋体" w:cs="宋体"/>
          <w:b/>
          <w:bCs/>
          <w:color w:val="000000"/>
          <w:szCs w:val="21"/>
        </w:rPr>
        <w:t>条款负偏离（或未作响应）达3项（含）数以上的投标无效</w:t>
      </w:r>
      <w:r>
        <w:rPr>
          <w:rFonts w:hint="eastAsia" w:ascii="宋体" w:hAnsi="宋体" w:cs="宋体"/>
          <w:b/>
          <w:color w:val="000000"/>
          <w:szCs w:val="21"/>
        </w:rPr>
        <w:t>。</w:t>
      </w:r>
    </w:p>
    <w:p>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3.</w:t>
      </w:r>
      <w:r>
        <w:rPr>
          <w:rFonts w:hint="eastAsia" w:ascii="宋体" w:hAnsi="宋体" w:cs="宋体"/>
          <w:b/>
          <w:szCs w:val="21"/>
        </w:rPr>
        <w:t>服务项目中伴随的货物包含信息安全产品的（信息安全产品包括：防火墙、网络安全隔离卡与线路选择器、安全隔离与信息交换产品、安全路由器、智能卡COS、数据备份与恢复产品、安全操作系统、安全数据库系统、反垃圾邮件产品、入侵检测系统（IDS）、网络脆弱扫描产品、安全审计产品、网站恢复产品），根据《关于信息安全产品实施政府采购的通知》（财库〔2010〕48号）的规定，供应商必须在投标文件中提供中国网络安全审查技术与认证中心（原中国信息安全认证中心）颁发的有效的信息安全产品认证证书（加盖供应商公章），否则投标文件作无效处理。</w:t>
      </w:r>
    </w:p>
    <w:p>
      <w:pPr>
        <w:spacing w:line="360" w:lineRule="auto"/>
        <w:ind w:firstLine="420" w:firstLineChars="200"/>
        <w:jc w:val="left"/>
        <w:rPr>
          <w:rFonts w:ascii="宋体" w:hAnsi="宋体" w:cs="宋体"/>
          <w:color w:val="000000"/>
        </w:rPr>
      </w:pPr>
      <w:r>
        <w:rPr>
          <w:rFonts w:hint="eastAsia" w:ascii="宋体" w:hAnsi="宋体" w:cs="宋体"/>
          <w:color w:val="000000"/>
          <w:szCs w:val="21"/>
        </w:rPr>
        <w:t>4.</w:t>
      </w:r>
      <w:r>
        <w:rPr>
          <w:rFonts w:hint="eastAsia" w:ascii="宋体" w:hAnsi="宋体" w:cs="宋体"/>
          <w:color w:val="000000"/>
        </w:rPr>
        <w:t>投标人必须自行为其投标产品侵犯他人的知识产权或者专利成果的行为承担相应法律责任。</w:t>
      </w:r>
    </w:p>
    <w:p>
      <w:pPr>
        <w:spacing w:line="360" w:lineRule="auto"/>
        <w:ind w:firstLine="424" w:firstLineChars="202"/>
        <w:jc w:val="left"/>
        <w:rPr>
          <w:rFonts w:ascii="宋体" w:hAnsi="宋体" w:cs="宋体"/>
          <w:color w:val="000000"/>
          <w:szCs w:val="21"/>
        </w:rPr>
      </w:pPr>
      <w:r>
        <w:rPr>
          <w:rFonts w:hint="eastAsia" w:ascii="宋体" w:hAnsi="宋体" w:cs="宋体"/>
          <w:color w:val="000000"/>
          <w:szCs w:val="21"/>
        </w:rPr>
        <w:t>5.所属行业依照《中小企业划型标准规定》（工信部联企业〔2011〕300号）及《国民经济行业分类》（GB/T4754-2017）的有关规定执行。</w:t>
      </w:r>
    </w:p>
    <w:p>
      <w:pPr>
        <w:spacing w:line="360" w:lineRule="auto"/>
        <w:ind w:firstLine="408"/>
        <w:rPr>
          <w:rFonts w:ascii="宋体" w:hAnsi="宋体" w:cs="宋体"/>
          <w:b/>
          <w:szCs w:val="21"/>
        </w:rPr>
      </w:pPr>
      <w:r>
        <w:rPr>
          <w:rFonts w:hint="eastAsia" w:ascii="宋体" w:hAnsi="宋体" w:cs="宋体"/>
          <w:b/>
          <w:bCs/>
          <w:color w:val="000000"/>
          <w:szCs w:val="21"/>
        </w:rPr>
        <w:t>6.本项目所属行业：</w:t>
      </w:r>
      <w:r>
        <w:rPr>
          <w:rFonts w:hint="eastAsia" w:ascii="宋体" w:hAnsi="宋体" w:cs="宋体"/>
          <w:b/>
          <w:szCs w:val="21"/>
        </w:rPr>
        <w:t>软件信息技术服务业。</w:t>
      </w:r>
    </w:p>
    <w:p>
      <w:pPr>
        <w:pStyle w:val="2"/>
        <w:rPr>
          <w:rFonts w:ascii="宋体" w:hAnsi="宋体" w:cs="宋体"/>
          <w:b w:val="0"/>
          <w:szCs w:val="21"/>
        </w:rPr>
      </w:pPr>
    </w:p>
    <w:p>
      <w:pPr>
        <w:rPr>
          <w:rFonts w:ascii="宋体" w:hAnsi="宋体" w:cs="宋体"/>
          <w:b/>
          <w:szCs w:val="21"/>
        </w:rPr>
      </w:pPr>
    </w:p>
    <w:p>
      <w:pPr>
        <w:pStyle w:val="2"/>
        <w:rPr>
          <w:rFonts w:ascii="宋体" w:hAnsi="宋体" w:cs="宋体"/>
          <w:b w:val="0"/>
          <w:szCs w:val="21"/>
        </w:rPr>
      </w:pPr>
    </w:p>
    <w:p>
      <w:pPr>
        <w:rPr>
          <w:rFonts w:ascii="宋体" w:hAnsi="宋体" w:cs="宋体"/>
          <w:b/>
          <w:szCs w:val="21"/>
        </w:rPr>
      </w:pPr>
    </w:p>
    <w:p>
      <w:pPr>
        <w:pStyle w:val="2"/>
        <w:rPr>
          <w:rFonts w:ascii="宋体" w:hAnsi="宋体" w:cs="宋体"/>
          <w:b w:val="0"/>
          <w:szCs w:val="21"/>
        </w:rPr>
      </w:pPr>
    </w:p>
    <w:p>
      <w:pPr>
        <w:rPr>
          <w:rFonts w:ascii="宋体" w:hAnsi="宋体" w:cs="宋体"/>
          <w:b/>
          <w:szCs w:val="21"/>
        </w:rPr>
      </w:pPr>
    </w:p>
    <w:p>
      <w:pPr>
        <w:pStyle w:val="2"/>
        <w:rPr>
          <w:rFonts w:ascii="宋体" w:hAnsi="宋体" w:cs="宋体"/>
          <w:b w:val="0"/>
          <w:szCs w:val="21"/>
        </w:rPr>
      </w:pPr>
    </w:p>
    <w:p>
      <w:pPr>
        <w:rPr>
          <w:rFonts w:ascii="宋体" w:hAnsi="宋体" w:cs="宋体"/>
          <w:b/>
          <w:szCs w:val="21"/>
        </w:rPr>
      </w:pPr>
    </w:p>
    <w:p>
      <w:pPr>
        <w:pStyle w:val="2"/>
        <w:rPr>
          <w:rFonts w:ascii="宋体" w:hAnsi="宋体" w:cs="宋体"/>
          <w:b w:val="0"/>
          <w:szCs w:val="21"/>
        </w:rPr>
      </w:pPr>
    </w:p>
    <w:p>
      <w:pPr>
        <w:rPr>
          <w:rFonts w:ascii="宋体" w:hAnsi="宋体" w:cs="宋体"/>
          <w:b/>
          <w:szCs w:val="21"/>
        </w:rPr>
      </w:pPr>
    </w:p>
    <w:p>
      <w:pPr>
        <w:pStyle w:val="2"/>
      </w:pPr>
    </w:p>
    <w:tbl>
      <w:tblPr>
        <w:tblStyle w:val="44"/>
        <w:tblW w:w="9625" w:type="dxa"/>
        <w:tblInd w:w="-1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5"/>
        <w:gridCol w:w="1975"/>
        <w:gridCol w:w="69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 w:hRule="atLeast"/>
        </w:trPr>
        <w:tc>
          <w:tcPr>
            <w:tcW w:w="9625" w:type="dxa"/>
            <w:gridSpan w:val="3"/>
            <w:shd w:val="clear" w:color="auto" w:fill="D9D9D9"/>
            <w:vAlign w:val="center"/>
          </w:tcPr>
          <w:p>
            <w:pPr>
              <w:widowControl/>
              <w:spacing w:line="240" w:lineRule="exact"/>
              <w:jc w:val="left"/>
              <w:rPr>
                <w:bCs/>
                <w:kern w:val="0"/>
                <w:szCs w:val="21"/>
              </w:rPr>
            </w:pPr>
            <w:r>
              <w:rPr>
                <w:b/>
                <w:kern w:val="0"/>
                <w:szCs w:val="21"/>
              </w:rPr>
              <w:t>Ⅰ、本项目需实现的功能或者目标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5" w:type="dxa"/>
            <w:vAlign w:val="center"/>
          </w:tcPr>
          <w:p>
            <w:pPr>
              <w:spacing w:line="300" w:lineRule="exact"/>
              <w:jc w:val="center"/>
              <w:rPr>
                <w:b/>
                <w:kern w:val="0"/>
                <w:szCs w:val="21"/>
              </w:rPr>
            </w:pPr>
            <w:r>
              <w:rPr>
                <w:rFonts w:hint="eastAsia"/>
                <w:b/>
                <w:kern w:val="0"/>
                <w:szCs w:val="21"/>
              </w:rPr>
              <w:t>序号</w:t>
            </w:r>
          </w:p>
        </w:tc>
        <w:tc>
          <w:tcPr>
            <w:tcW w:w="1975" w:type="dxa"/>
            <w:vAlign w:val="center"/>
          </w:tcPr>
          <w:p>
            <w:pPr>
              <w:spacing w:line="300" w:lineRule="exact"/>
              <w:jc w:val="center"/>
              <w:rPr>
                <w:b/>
                <w:kern w:val="0"/>
                <w:szCs w:val="21"/>
              </w:rPr>
            </w:pPr>
            <w:r>
              <w:rPr>
                <w:b/>
                <w:kern w:val="0"/>
                <w:szCs w:val="21"/>
              </w:rPr>
              <w:t>采购需求要点</w:t>
            </w:r>
          </w:p>
        </w:tc>
        <w:tc>
          <w:tcPr>
            <w:tcW w:w="6955" w:type="dxa"/>
            <w:vAlign w:val="center"/>
          </w:tcPr>
          <w:p>
            <w:pPr>
              <w:spacing w:line="300" w:lineRule="exact"/>
              <w:jc w:val="center"/>
              <w:rPr>
                <w:b/>
                <w:kern w:val="0"/>
                <w:szCs w:val="21"/>
              </w:rPr>
            </w:pPr>
            <w:r>
              <w:rPr>
                <w:b/>
                <w:kern w:val="0"/>
                <w:szCs w:val="21"/>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5" w:type="dxa"/>
            <w:vAlign w:val="center"/>
          </w:tcPr>
          <w:p>
            <w:pPr>
              <w:spacing w:line="300" w:lineRule="exact"/>
              <w:jc w:val="center"/>
              <w:rPr>
                <w:b/>
                <w:kern w:val="0"/>
                <w:szCs w:val="21"/>
              </w:rPr>
            </w:pPr>
            <w:r>
              <w:rPr>
                <w:rFonts w:hint="eastAsia"/>
                <w:b/>
                <w:kern w:val="0"/>
                <w:szCs w:val="21"/>
              </w:rPr>
              <w:t>1</w:t>
            </w:r>
          </w:p>
        </w:tc>
        <w:tc>
          <w:tcPr>
            <w:tcW w:w="1975" w:type="dxa"/>
            <w:vAlign w:val="center"/>
          </w:tcPr>
          <w:p>
            <w:pPr>
              <w:spacing w:line="300" w:lineRule="exact"/>
              <w:jc w:val="center"/>
              <w:rPr>
                <w:szCs w:val="21"/>
              </w:rPr>
            </w:pPr>
            <w:r>
              <w:rPr>
                <w:szCs w:val="21"/>
              </w:rPr>
              <w:t>需实现的功能或者目标</w:t>
            </w:r>
          </w:p>
        </w:tc>
        <w:tc>
          <w:tcPr>
            <w:tcW w:w="6955" w:type="dxa"/>
            <w:vAlign w:val="center"/>
          </w:tcPr>
          <w:p>
            <w:pPr>
              <w:spacing w:line="300" w:lineRule="exact"/>
              <w:rPr>
                <w:kern w:val="0"/>
                <w:szCs w:val="21"/>
              </w:rPr>
            </w:pPr>
            <w:r>
              <w:rPr>
                <w:rFonts w:hint="eastAsia" w:ascii="Calibri" w:hAnsi="Calibri"/>
              </w:rPr>
              <w:t>满足</w:t>
            </w:r>
            <w:r>
              <w:rPr>
                <w:rFonts w:ascii="Calibri" w:hAnsi="Calibri"/>
              </w:rPr>
              <w:t>采购</w:t>
            </w:r>
            <w:r>
              <w:rPr>
                <w:rFonts w:hint="eastAsia" w:ascii="Calibri" w:hAnsi="Calibri"/>
              </w:rPr>
              <w:t>文件采购</w:t>
            </w:r>
            <w:r>
              <w:rPr>
                <w:rFonts w:ascii="Calibri" w:hAnsi="Calibri"/>
              </w:rPr>
              <w:t>需求</w:t>
            </w:r>
            <w:r>
              <w:rPr>
                <w:rFonts w:hint="eastAsia" w:ascii="Calibri" w:hAnsi="Calibri"/>
              </w:rPr>
              <w:t>、及采购合同约定需求，经验收达到合格标准。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 w:hRule="atLeast"/>
        </w:trPr>
        <w:tc>
          <w:tcPr>
            <w:tcW w:w="9625" w:type="dxa"/>
            <w:gridSpan w:val="3"/>
            <w:shd w:val="clear" w:color="auto" w:fill="D9D9D9"/>
            <w:vAlign w:val="center"/>
          </w:tcPr>
          <w:p>
            <w:pPr>
              <w:widowControl/>
              <w:spacing w:line="240" w:lineRule="exact"/>
              <w:jc w:val="left"/>
              <w:rPr>
                <w:bCs/>
                <w:kern w:val="0"/>
                <w:szCs w:val="21"/>
              </w:rPr>
            </w:pPr>
            <w:r>
              <w:rPr>
                <w:b/>
                <w:kern w:val="0"/>
                <w:szCs w:val="21"/>
              </w:rPr>
              <w:t>Ⅱ、本项目需执行的国家相关标准、行业标准、地方标准或者其他标准、规范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5" w:type="dxa"/>
            <w:gridSpan w:val="3"/>
            <w:vAlign w:val="center"/>
          </w:tcPr>
          <w:p>
            <w:pPr>
              <w:widowControl/>
              <w:jc w:val="left"/>
              <w:rPr>
                <w:b/>
                <w:szCs w:val="21"/>
              </w:rPr>
            </w:pPr>
            <w:r>
              <w:rPr>
                <w:szCs w:val="21"/>
              </w:rPr>
              <w:t>本项目如有国家相关标准、行业标准、地方标准或者其他标准、规范的，应执行相应的标准、规范。如具体采购需求与标准、规范不一致的，高于标准、规范的按具体采购需求执行，低于标准、规范的按标准、规范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 w:hRule="atLeast"/>
        </w:trPr>
        <w:tc>
          <w:tcPr>
            <w:tcW w:w="9625" w:type="dxa"/>
            <w:gridSpan w:val="3"/>
            <w:shd w:val="clear" w:color="auto" w:fill="D9D9D9"/>
            <w:vAlign w:val="center"/>
          </w:tcPr>
          <w:p>
            <w:pPr>
              <w:widowControl/>
              <w:spacing w:line="240" w:lineRule="exact"/>
              <w:jc w:val="left"/>
              <w:rPr>
                <w:b/>
                <w:kern w:val="0"/>
                <w:szCs w:val="21"/>
              </w:rPr>
            </w:pPr>
            <w:r>
              <w:rPr>
                <w:b/>
                <w:kern w:val="0"/>
                <w:szCs w:val="21"/>
              </w:rPr>
              <w:t>Ⅲ、本项目服务要求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9625" w:type="dxa"/>
            <w:gridSpan w:val="3"/>
            <w:tcBorders>
              <w:bottom w:val="single" w:color="auto" w:sz="4" w:space="0"/>
            </w:tcBorders>
            <w:vAlign w:val="center"/>
          </w:tcPr>
          <w:p>
            <w:pPr>
              <w:widowControl/>
              <w:jc w:val="left"/>
              <w:rPr>
                <w:b/>
                <w:szCs w:val="21"/>
              </w:rPr>
            </w:pPr>
            <w:r>
              <w:rPr>
                <w:rFonts w:hint="eastAsia"/>
                <w:bCs/>
                <w:kern w:val="0"/>
                <w:szCs w:val="21"/>
                <w:lang w:eastAsia="zh-CN"/>
              </w:rPr>
              <w:t>服务名称：广西壮族自治区职业健康信息综合管理平台建设项目，数量单位</w:t>
            </w:r>
            <w:r>
              <w:rPr>
                <w:rFonts w:hint="eastAsia"/>
                <w:bCs/>
                <w:kern w:val="0"/>
                <w:szCs w:val="21"/>
                <w:lang w:val="en-US" w:eastAsia="zh-CN"/>
              </w:rPr>
              <w:t>1项。</w:t>
            </w:r>
            <w:r>
              <w:rPr>
                <w:bCs/>
                <w:kern w:val="0"/>
                <w:szCs w:val="21"/>
              </w:rPr>
              <w:t>具体服务要求见下</w:t>
            </w:r>
            <w:r>
              <w:rPr>
                <w:rFonts w:hint="eastAsia"/>
                <w:bCs/>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9" w:hRule="atLeast"/>
        </w:trPr>
        <w:tc>
          <w:tcPr>
            <w:tcW w:w="9625"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第一节、项目概况</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一、建设背景。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健康是健康广西建设的重要内容，职业病防治事关广大劳动者健康福祉与经济发展和社会稳定大局。为了贯彻落实《国家卫生健康委办公厅关于推进职业健康信息化建设工作的意见》（国卫办职健函〔2021〕419号）、《关于印发广西职业病防治“十四五”规划的通知》（桂卫职健发〔2022〕1号）等文件精神，加快广西职业病防治信息化发展，推动职业病防治大数据应用，本项目拟开展广西职业健康信息综合管理平台项目的建设工作，统筹职业健康信息化基础设施、应用系统和网络安全建设，聚焦职业健康管理和服务需求，建成覆盖自治区、市、县的职业健康管理“一张网”，整合利用广西职业健康监测、评估、技术服务以及用人单位、劳动者职业病危害因素数据源，实现职业健康信息的上下联动、横向联通和动态管理，各级卫生行政管理部门、卫生监督机构可通过平台大数据更加直接掌握本辖区的职业病防治工作现状，能够较准确分析和评估职业卫生状况，以便进一步加强指导和管理，提高职业病危害预测预警的能力，推进实现广西职业健康治理信息化和现代化。</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二、建设目标。</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依托国家现有相关业务平台，统筹职业健康信息化基础设施，聚焦职业健康管理和服务需求，利用自治区电子政务外网和政务云平台资源，通过广西职业健康信息综合管理平台的建设，整合利用广西职业健康监测、评估、技术服务以及用人单位资源等，建成覆盖自治区、市、县的职业健康管理“一张网”，实现职业健康信息的上下联动、横向联通和动态管理，各级卫生行政管理部门、卫生监督机构可通过平台大数据掌握本辖区的职业病防治工作现状，能够较准确分析和评估职业卫生状况，以便进一步加强指导和管理，提高职业病危害预测预警的能力，推进实现广西职业健康治理信息化和现代化。</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▲三、完成时限要求。</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完成期（实施计划）：自合同签订之日12个月内</w:t>
            </w:r>
            <w:r>
              <w:rPr>
                <w:rFonts w:hint="eastAsia"/>
              </w:rPr>
              <w:t>完成</w:t>
            </w:r>
            <w:r>
              <w:rPr>
                <w:rFonts w:hint="eastAsia" w:ascii="宋体" w:hAnsi="宋体" w:cs="宋体"/>
              </w:rPr>
              <w:t>交付并验收合格。系统最终验收后进入运行维护阶段，维护阶段中标供应商需提供3年及以上的原厂质保服务，该费用需要包含在本次项目报价中。</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四、项目建设需要遵循的主要标准（覆盖初步设计文档及国家相关标准但不限于）。</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1.《“健康中国2030”规划纲要》；</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2.《中华人民共和国职业病防治法》；</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3.《职业卫生监督协管服务技术规范》国卫办监督函〔2019〕567号；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4.《用人单位职业卫生监督执法工作规范》国卫监督发〔2020〕17号；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5.《职业病诊断与鉴定管理办法》国家卫生健康委令〔2021〕第6号；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6.《工作场所职业卫生管理规定》国家卫生健康委令〔2021〕第5号；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7.《职业卫生技术服务机构管理办法》国家卫生健康委令〔2021〕第4号；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8.《建设项目职业病危害风险分类管理目录》国卫办职健发〔2021〕5号；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9.《国务院办公厅关于印发“十四五”国民健康规划的通知》（国办发〔2022〕11号）；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10.《国家卫生健康委关于加强职业病防治技术支撑体系建设的指导意见》（国卫职健发〔2020〕5号）；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11.《全国公共卫生信息化建设标准与规范（试行）》（国卫办规划发〔2020〕21号）；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12.中华人民共和国国家卫生健康委员会《全国职业健康统计调查制度》；</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13.《国家卫生健康委办公厅关于推进职业健康信息化建设工作的意见》（国卫办职健函〔2021〕419号）；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14.《关于印发国家职业病防治规划（2021-2025年）的通知》（国卫职健发〔2021〕39号）；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15.《关于印发广西职业病防治“十四五”规划的通知》（桂卫职健发〔2022〕1号）；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16.《广西壮族自治区人民政府办公厅关于印发广西政务信息化项目建设管理办法（试行）的通知》（桂政办发〔2021〕21号）。</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szCs w:val="21"/>
              </w:rPr>
              <w:t>第二节、产品清单</w:t>
            </w:r>
          </w:p>
          <w:tbl>
            <w:tblPr>
              <w:tblStyle w:val="44"/>
              <w:tblW w:w="8160" w:type="dxa"/>
              <w:tblInd w:w="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4523"/>
              <w:gridCol w:w="2010"/>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22" w:type="dxa"/>
                </w:tcPr>
                <w:p>
                  <w:pPr>
                    <w:widowControl/>
                    <w:adjustRightInd w:val="0"/>
                    <w:snapToGrid w:val="0"/>
                    <w:spacing w:line="360" w:lineRule="exact"/>
                    <w:jc w:val="center"/>
                    <w:rPr>
                      <w:rFonts w:ascii="宋体" w:hAnsi="宋体" w:cs="宋体"/>
                    </w:rPr>
                  </w:pPr>
                  <w:r>
                    <w:rPr>
                      <w:rFonts w:hint="eastAsia" w:ascii="宋体" w:hAnsi="宋体" w:cs="宋体"/>
                    </w:rPr>
                    <w:t>序号</w:t>
                  </w:r>
                </w:p>
              </w:tc>
              <w:tc>
                <w:tcPr>
                  <w:tcW w:w="4523" w:type="dxa"/>
                </w:tcPr>
                <w:p>
                  <w:pPr>
                    <w:widowControl/>
                    <w:adjustRightInd w:val="0"/>
                    <w:snapToGrid w:val="0"/>
                    <w:spacing w:line="360" w:lineRule="exact"/>
                    <w:jc w:val="center"/>
                    <w:rPr>
                      <w:rFonts w:ascii="宋体" w:hAnsi="宋体" w:cs="宋体"/>
                    </w:rPr>
                  </w:pPr>
                  <w:r>
                    <w:rPr>
                      <w:rFonts w:hint="eastAsia" w:ascii="宋体" w:hAnsi="宋体" w:cs="宋体"/>
                    </w:rPr>
                    <w:t>名称</w:t>
                  </w:r>
                </w:p>
              </w:tc>
              <w:tc>
                <w:tcPr>
                  <w:tcW w:w="2010" w:type="dxa"/>
                </w:tcPr>
                <w:p>
                  <w:pPr>
                    <w:widowControl/>
                    <w:adjustRightInd w:val="0"/>
                    <w:snapToGrid w:val="0"/>
                    <w:spacing w:line="360" w:lineRule="exact"/>
                    <w:jc w:val="left"/>
                    <w:rPr>
                      <w:rFonts w:ascii="宋体" w:hAnsi="宋体" w:cs="宋体"/>
                    </w:rPr>
                  </w:pPr>
                  <w:r>
                    <w:rPr>
                      <w:rFonts w:hint="eastAsia" w:ascii="宋体" w:hAnsi="宋体" w:cs="宋体"/>
                    </w:rPr>
                    <w:t>数量</w:t>
                  </w:r>
                </w:p>
              </w:tc>
              <w:tc>
                <w:tcPr>
                  <w:tcW w:w="805" w:type="dxa"/>
                </w:tcPr>
                <w:p>
                  <w:pPr>
                    <w:widowControl/>
                    <w:adjustRightInd w:val="0"/>
                    <w:snapToGrid w:val="0"/>
                    <w:spacing w:line="360" w:lineRule="exact"/>
                    <w:jc w:val="left"/>
                    <w:rPr>
                      <w:rFonts w:ascii="宋体" w:hAnsi="宋体" w:cs="宋体"/>
                    </w:rPr>
                  </w:pPr>
                  <w:r>
                    <w:rPr>
                      <w:rFonts w:hint="eastAsia" w:ascii="宋体" w:hAnsi="宋体" w:cs="宋体"/>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22" w:type="dxa"/>
                </w:tcPr>
                <w:p>
                  <w:pPr>
                    <w:widowControl/>
                    <w:adjustRightInd w:val="0"/>
                    <w:snapToGrid w:val="0"/>
                    <w:spacing w:line="360" w:lineRule="exact"/>
                    <w:jc w:val="center"/>
                    <w:rPr>
                      <w:rFonts w:ascii="宋体" w:hAnsi="宋体" w:cs="宋体"/>
                    </w:rPr>
                  </w:pPr>
                  <w:r>
                    <w:rPr>
                      <w:rFonts w:hint="eastAsia" w:ascii="宋体" w:hAnsi="宋体" w:cs="宋体"/>
                    </w:rPr>
                    <w:t>1</w:t>
                  </w:r>
                </w:p>
              </w:tc>
              <w:tc>
                <w:tcPr>
                  <w:tcW w:w="4523" w:type="dxa"/>
                </w:tcPr>
                <w:p>
                  <w:pPr>
                    <w:widowControl/>
                    <w:adjustRightInd w:val="0"/>
                    <w:snapToGrid w:val="0"/>
                    <w:spacing w:line="360" w:lineRule="exact"/>
                    <w:jc w:val="left"/>
                    <w:rPr>
                      <w:rFonts w:ascii="宋体" w:hAnsi="宋体" w:cs="宋体"/>
                    </w:rPr>
                  </w:pPr>
                  <w:r>
                    <w:rPr>
                      <w:rFonts w:hint="eastAsia" w:ascii="宋体" w:hAnsi="宋体" w:cs="宋体"/>
                    </w:rPr>
                    <w:t>中间件（信创目录下）以及授权</w:t>
                  </w:r>
                </w:p>
              </w:tc>
              <w:tc>
                <w:tcPr>
                  <w:tcW w:w="2010" w:type="dxa"/>
                </w:tcPr>
                <w:p>
                  <w:pPr>
                    <w:widowControl/>
                    <w:adjustRightInd w:val="0"/>
                    <w:snapToGrid w:val="0"/>
                    <w:spacing w:line="360" w:lineRule="exact"/>
                    <w:jc w:val="left"/>
                    <w:rPr>
                      <w:rFonts w:ascii="宋体" w:hAnsi="宋体" w:cs="宋体"/>
                    </w:rPr>
                  </w:pPr>
                  <w:r>
                    <w:rPr>
                      <w:rFonts w:hint="eastAsia" w:ascii="宋体" w:hAnsi="宋体" w:cs="宋体"/>
                    </w:rPr>
                    <w:t>1（50个授权）</w:t>
                  </w:r>
                </w:p>
              </w:tc>
              <w:tc>
                <w:tcPr>
                  <w:tcW w:w="805" w:type="dxa"/>
                </w:tcPr>
                <w:p>
                  <w:pPr>
                    <w:widowControl/>
                    <w:adjustRightInd w:val="0"/>
                    <w:snapToGrid w:val="0"/>
                    <w:spacing w:line="360" w:lineRule="exact"/>
                    <w:jc w:val="left"/>
                    <w:rPr>
                      <w:rFonts w:ascii="宋体" w:hAnsi="宋体" w:cs="宋体"/>
                    </w:rPr>
                  </w:pPr>
                  <w:r>
                    <w:rPr>
                      <w:rFonts w:hint="eastAsia" w:ascii="宋体" w:hAnsi="宋体" w:cs="宋体"/>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22" w:type="dxa"/>
                </w:tcPr>
                <w:p>
                  <w:pPr>
                    <w:widowControl/>
                    <w:adjustRightInd w:val="0"/>
                    <w:snapToGrid w:val="0"/>
                    <w:spacing w:line="360" w:lineRule="exact"/>
                    <w:jc w:val="center"/>
                    <w:rPr>
                      <w:rFonts w:ascii="宋体" w:hAnsi="宋体" w:cs="宋体"/>
                    </w:rPr>
                  </w:pPr>
                  <w:r>
                    <w:rPr>
                      <w:rFonts w:hint="eastAsia" w:ascii="宋体" w:hAnsi="宋体" w:cs="宋体"/>
                    </w:rPr>
                    <w:t>2</w:t>
                  </w:r>
                </w:p>
              </w:tc>
              <w:tc>
                <w:tcPr>
                  <w:tcW w:w="4523" w:type="dxa"/>
                </w:tcPr>
                <w:p>
                  <w:pPr>
                    <w:widowControl/>
                    <w:adjustRightInd w:val="0"/>
                    <w:snapToGrid w:val="0"/>
                    <w:spacing w:line="360" w:lineRule="exact"/>
                    <w:jc w:val="left"/>
                    <w:rPr>
                      <w:rFonts w:ascii="宋体" w:hAnsi="宋体" w:cs="宋体"/>
                    </w:rPr>
                  </w:pPr>
                  <w:r>
                    <w:rPr>
                      <w:rFonts w:hint="eastAsia" w:ascii="宋体" w:hAnsi="宋体" w:cs="宋体"/>
                    </w:rPr>
                    <w:t>国产数据库及授权</w:t>
                  </w:r>
                </w:p>
              </w:tc>
              <w:tc>
                <w:tcPr>
                  <w:tcW w:w="2010" w:type="dxa"/>
                </w:tcPr>
                <w:p>
                  <w:pPr>
                    <w:widowControl/>
                    <w:adjustRightInd w:val="0"/>
                    <w:snapToGrid w:val="0"/>
                    <w:spacing w:line="360" w:lineRule="exact"/>
                    <w:jc w:val="left"/>
                    <w:rPr>
                      <w:rFonts w:ascii="宋体" w:hAnsi="宋体" w:cs="宋体"/>
                    </w:rPr>
                  </w:pPr>
                  <w:r>
                    <w:rPr>
                      <w:rFonts w:hint="eastAsia" w:ascii="宋体" w:hAnsi="宋体" w:cs="宋体"/>
                    </w:rPr>
                    <w:t>1（6个授权）</w:t>
                  </w:r>
                </w:p>
              </w:tc>
              <w:tc>
                <w:tcPr>
                  <w:tcW w:w="805" w:type="dxa"/>
                </w:tcPr>
                <w:p>
                  <w:pPr>
                    <w:widowControl/>
                    <w:adjustRightInd w:val="0"/>
                    <w:snapToGrid w:val="0"/>
                    <w:spacing w:line="360" w:lineRule="exact"/>
                    <w:jc w:val="left"/>
                    <w:rPr>
                      <w:rFonts w:ascii="宋体" w:hAnsi="宋体" w:cs="宋体"/>
                    </w:rPr>
                  </w:pPr>
                  <w:r>
                    <w:rPr>
                      <w:rFonts w:hint="eastAsia" w:ascii="宋体" w:hAnsi="宋体" w:cs="宋体"/>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22" w:type="dxa"/>
                </w:tcPr>
                <w:p>
                  <w:pPr>
                    <w:widowControl/>
                    <w:adjustRightInd w:val="0"/>
                    <w:snapToGrid w:val="0"/>
                    <w:spacing w:line="360" w:lineRule="exact"/>
                    <w:jc w:val="center"/>
                    <w:rPr>
                      <w:rFonts w:ascii="宋体" w:hAnsi="宋体" w:cs="宋体"/>
                    </w:rPr>
                  </w:pPr>
                  <w:r>
                    <w:rPr>
                      <w:rFonts w:hint="eastAsia" w:ascii="宋体" w:hAnsi="宋体" w:cs="宋体"/>
                    </w:rPr>
                    <w:t>3</w:t>
                  </w:r>
                </w:p>
              </w:tc>
              <w:tc>
                <w:tcPr>
                  <w:tcW w:w="4523" w:type="dxa"/>
                </w:tcPr>
                <w:p>
                  <w:pPr>
                    <w:widowControl/>
                    <w:adjustRightInd w:val="0"/>
                    <w:snapToGrid w:val="0"/>
                    <w:spacing w:line="360" w:lineRule="exact"/>
                    <w:jc w:val="left"/>
                    <w:rPr>
                      <w:rFonts w:ascii="宋体" w:hAnsi="宋体" w:cs="宋体"/>
                    </w:rPr>
                  </w:pPr>
                  <w:r>
                    <w:rPr>
                      <w:rFonts w:hint="eastAsia" w:ascii="宋体" w:hAnsi="宋体" w:cs="宋体"/>
                    </w:rPr>
                    <w:t>国密浏览器</w:t>
                  </w:r>
                </w:p>
              </w:tc>
              <w:tc>
                <w:tcPr>
                  <w:tcW w:w="2010" w:type="dxa"/>
                </w:tcPr>
                <w:p>
                  <w:pPr>
                    <w:widowControl/>
                    <w:adjustRightInd w:val="0"/>
                    <w:snapToGrid w:val="0"/>
                    <w:spacing w:line="360" w:lineRule="exact"/>
                    <w:jc w:val="left"/>
                    <w:rPr>
                      <w:rFonts w:ascii="宋体" w:hAnsi="宋体" w:cs="宋体"/>
                    </w:rPr>
                  </w:pPr>
                  <w:r>
                    <w:rPr>
                      <w:rFonts w:hint="eastAsia" w:ascii="宋体" w:hAnsi="宋体" w:cs="宋体"/>
                    </w:rPr>
                    <w:t>1（50个授权）</w:t>
                  </w:r>
                </w:p>
              </w:tc>
              <w:tc>
                <w:tcPr>
                  <w:tcW w:w="805" w:type="dxa"/>
                </w:tcPr>
                <w:p>
                  <w:pPr>
                    <w:widowControl/>
                    <w:adjustRightInd w:val="0"/>
                    <w:snapToGrid w:val="0"/>
                    <w:spacing w:line="360" w:lineRule="exact"/>
                    <w:jc w:val="left"/>
                    <w:rPr>
                      <w:rFonts w:ascii="宋体" w:hAnsi="宋体" w:cs="宋体"/>
                    </w:rPr>
                  </w:pPr>
                  <w:r>
                    <w:rPr>
                      <w:rFonts w:hint="eastAsia" w:ascii="宋体" w:hAnsi="宋体" w:cs="宋体"/>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22" w:type="dxa"/>
                </w:tcPr>
                <w:p>
                  <w:pPr>
                    <w:widowControl/>
                    <w:adjustRightInd w:val="0"/>
                    <w:snapToGrid w:val="0"/>
                    <w:spacing w:line="360" w:lineRule="exact"/>
                    <w:jc w:val="center"/>
                    <w:rPr>
                      <w:rFonts w:ascii="宋体" w:hAnsi="宋体" w:cs="宋体"/>
                    </w:rPr>
                  </w:pPr>
                  <w:r>
                    <w:rPr>
                      <w:rFonts w:hint="eastAsia" w:ascii="宋体" w:hAnsi="宋体" w:cs="宋体"/>
                    </w:rPr>
                    <w:t>4</w:t>
                  </w:r>
                </w:p>
              </w:tc>
              <w:tc>
                <w:tcPr>
                  <w:tcW w:w="4523" w:type="dxa"/>
                </w:tcPr>
                <w:p>
                  <w:pPr>
                    <w:widowControl/>
                    <w:adjustRightInd w:val="0"/>
                    <w:snapToGrid w:val="0"/>
                    <w:spacing w:line="360" w:lineRule="exact"/>
                    <w:jc w:val="left"/>
                    <w:rPr>
                      <w:rFonts w:ascii="宋体" w:hAnsi="宋体" w:cs="宋体"/>
                    </w:rPr>
                  </w:pPr>
                  <w:r>
                    <w:rPr>
                      <w:rFonts w:hint="eastAsia" w:ascii="宋体" w:hAnsi="宋体" w:cs="宋体"/>
                    </w:rPr>
                    <w:t>广西壮族自治区职业健康信息综合管理平台</w:t>
                  </w:r>
                </w:p>
              </w:tc>
              <w:tc>
                <w:tcPr>
                  <w:tcW w:w="2010" w:type="dxa"/>
                </w:tcPr>
                <w:p>
                  <w:pPr>
                    <w:widowControl/>
                    <w:adjustRightInd w:val="0"/>
                    <w:snapToGrid w:val="0"/>
                    <w:spacing w:line="360" w:lineRule="exact"/>
                    <w:jc w:val="left"/>
                    <w:rPr>
                      <w:rFonts w:ascii="宋体" w:hAnsi="宋体" w:cs="宋体"/>
                    </w:rPr>
                  </w:pPr>
                  <w:r>
                    <w:rPr>
                      <w:rFonts w:hint="eastAsia" w:ascii="宋体" w:hAnsi="宋体" w:cs="宋体"/>
                    </w:rPr>
                    <w:t>1</w:t>
                  </w:r>
                </w:p>
              </w:tc>
              <w:tc>
                <w:tcPr>
                  <w:tcW w:w="805" w:type="dxa"/>
                </w:tcPr>
                <w:p>
                  <w:pPr>
                    <w:widowControl/>
                    <w:adjustRightInd w:val="0"/>
                    <w:snapToGrid w:val="0"/>
                    <w:spacing w:line="360" w:lineRule="exact"/>
                    <w:jc w:val="left"/>
                    <w:rPr>
                      <w:rFonts w:ascii="宋体" w:hAnsi="宋体" w:cs="宋体"/>
                    </w:rPr>
                  </w:pPr>
                  <w:r>
                    <w:rPr>
                      <w:rFonts w:hint="eastAsia" w:ascii="宋体" w:hAnsi="宋体" w:cs="宋体"/>
                    </w:rPr>
                    <w:t>套</w:t>
                  </w:r>
                </w:p>
              </w:tc>
            </w:tr>
          </w:tbl>
          <w:p>
            <w:pPr>
              <w:widowControl/>
              <w:adjustRightInd w:val="0"/>
              <w:snapToGrid w:val="0"/>
              <w:spacing w:line="360" w:lineRule="exact"/>
              <w:ind w:firstLine="422" w:firstLineChars="200"/>
              <w:jc w:val="left"/>
              <w:rPr>
                <w:rFonts w:ascii="黑体" w:hAnsi="黑体" w:eastAsia="黑体" w:cs="黑体"/>
                <w:b/>
                <w:bCs/>
              </w:rPr>
            </w:pPr>
            <w:r>
              <w:rPr>
                <w:rFonts w:hint="eastAsia" w:ascii="宋体" w:hAnsi="宋体" w:cs="宋体"/>
                <w:b/>
                <w:bCs/>
              </w:rPr>
              <w:t>第三节、项目建设要求</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一、中间件（信创目录下）及授权。</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一）具备使用信创目录所有的应用中间件（包括中创、金蝶、东方通、宝兰德等），以及配套的50个授权（按服务器数量）。需适配自治区卫健委的相关要求及大数据局政务云基础设施要求等，包含集群部署授权。中心可以根据业务需求变更中间件的品牌型号。授权可无限期使用，且质保期内承担升级所需费用。</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▲（二）提供运行容器、负载均衡、运行管理监控模块等功能。</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二、国产数据库及授权。</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具备使用信创目录下的国产数据库（包括达梦、海量、人大金仓等），以及配套的6个授权（按数据库数量）。需适配自治区卫健委的相关要求及大数据局政务云基础设施要求等，包含集群部署授权。中心可以根据业务需求变更国产数据库的品牌型号。授权可无限期使用，且质保期内承担升级所需费用。</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三、国密浏览器及授权。</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▲配套50个国密浏览器授权。</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四、广西壮族自治区职业健康信息综合管理平台。</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（一）基本要求。</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▲1.架构要求</w:t>
            </w:r>
          </w:p>
          <w:p>
            <w:pPr>
              <w:widowControl/>
              <w:shd w:val="clear" w:color="auto"/>
              <w:adjustRightInd w:val="0"/>
              <w:snapToGrid w:val="0"/>
              <w:spacing w:line="360" w:lineRule="exact"/>
              <w:ind w:firstLine="420" w:firstLineChars="200"/>
              <w:jc w:val="left"/>
              <w:rPr>
                <w:rFonts w:ascii="宋体" w:hAnsi="宋体" w:cs="宋体"/>
              </w:rPr>
            </w:pPr>
            <w:r>
              <w:rPr>
                <w:rFonts w:hint="eastAsia" w:ascii="宋体" w:hAnsi="宋体" w:cs="宋体"/>
              </w:rPr>
              <w:t>技术架构要求为：PC端系统主界面必须采用B/S架构，离线版应用可采用C/S架构、以及</w:t>
            </w:r>
            <w:r>
              <w:rPr>
                <w:rFonts w:hint="eastAsia" w:ascii="宋体" w:hAnsi="宋体" w:cs="宋体"/>
                <w:shd w:val="clear" w:color="auto" w:fill="FFFFFF"/>
              </w:rPr>
              <w:t>手机端应用（具备微信小程序、公众号、html5、支付宝小程序、App等模式）完成，具备在信创统信、麒麟操作系统（本地测试环境支持windows、Linux 或Unix操作系统）下部署,具备可在百度、360、搜狗、QQ、UC、</w:t>
            </w:r>
            <w:r>
              <w:rPr>
                <w:rFonts w:hint="eastAsia" w:ascii="宋体" w:hAnsi="宋体" w:cs="宋体"/>
              </w:rPr>
              <w:t>Firefox、Google Chrome、Microsoft Edge</w:t>
            </w:r>
            <w:r>
              <w:rPr>
                <w:rFonts w:hint="eastAsia" w:ascii="宋体" w:hAnsi="宋体" w:cs="宋体"/>
                <w:shd w:val="clear" w:color="auto" w:fill="FFFFFF"/>
              </w:rPr>
              <w:t>等浏览器使用</w:t>
            </w:r>
            <w:r>
              <w:rPr>
                <w:rFonts w:hint="eastAsia" w:ascii="宋体" w:hAnsi="宋体" w:cs="宋体"/>
              </w:rPr>
              <w:t>。</w:t>
            </w:r>
          </w:p>
          <w:p>
            <w:pPr>
              <w:widowControl/>
              <w:shd w:val="clear" w:color="auto"/>
              <w:adjustRightInd w:val="0"/>
              <w:snapToGrid w:val="0"/>
              <w:spacing w:line="360" w:lineRule="exact"/>
              <w:ind w:firstLine="420" w:firstLineChars="200"/>
              <w:jc w:val="left"/>
              <w:rPr>
                <w:rFonts w:ascii="宋体" w:hAnsi="宋体" w:cs="宋体"/>
              </w:rPr>
            </w:pPr>
            <w:r>
              <w:rPr>
                <w:rFonts w:hint="eastAsia" w:ascii="宋体" w:hAnsi="宋体" w:cs="宋体"/>
              </w:rPr>
              <w:t>▲2.安全要求</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（1）系统的设计、应用与数据使用安全、可靠、准确、可信、可用、完整。系统与数据的安全符合国家有关法律和规定。</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（2）保护患者信息隐私。保障信息传输完整性、系统数据传输和存储的保密性。</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（3）系统安全访问功能要求。系统具有严格的权限管理、身份认证和访问控制功能，杜绝因各种非法访问对系统的安全性造成严重的损坏。</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（4）系统具有完备的信息安全保障体系，能对登录用户的身份进行认证，并跟踪用户的操作，进行安全审计;实现系统关键操作留痕，保留每一用户的关键操作记录。</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（5）软件开发生命周期各阶段施行安全风险管理，减少软件代码漏洞，确保软件安全性。</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（6）满足三级等保评测要求。</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（7）</w:t>
            </w:r>
            <w:r>
              <w:rPr>
                <w:rStyle w:val="52"/>
                <w:rFonts w:hint="eastAsia"/>
              </w:rPr>
              <w:t>满足密码应用要求。</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3.其他要求</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（1）系统界面采用中文可视化界面，具备流程、界面定制功能。</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（2）网络性能要求：在网络稳定（带宽MB）的环境下，软件系统操作界面单一操作的响应时间小于1秒（不含音视频码流）。</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（3）稳定性要求:系统具有7X24小时连续不间断运行能力，平均年故障时间&lt;1天，平均故障修复时间&lt;30分钟。</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（4）并发访问量:具备同时接入使用用户数≥2000。</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▲（5）具备客户端软件一键升级或自动升级功能，降低运维工作量。</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（二）业务要求。</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按照国家相关文件进行功能架构规划，加强5G网络、互联网+物联网、在线监测、人工智能等信息化技术应用，提升职业健康业务系统数据采集、数据分析等智能化水平，实现用人单位职业健康管理信息和劳动者职业健康全生命周期信息采集与动态管理，以及核心业务应用系统的协同共享，为职业健康工作提供决策支持，切实解决职业健康档案管理碎片化、职业卫生监管方式原始化等问题，构建职业病防治、控制、消除全流程工作的立体式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总体要求：基本建成覆盖自治区、市、县，且对接国家的职业健康信息系统，构建覆盖全区的职业健康管理“一张网”，实现职业健康信息的上下联动、横向联通和动态管理，不断提高职业病危害风险监测预警、智能决策的支持能力，推进实现职业健康治理的信息化和现代化。坚持统一规划、统一标准，坚持业务引导，功能完备；坚持汇聚信息、共建共享；坚持安全规范，兼容拓展。确保实现互联互通、融合共享、安全可控。</w:t>
            </w:r>
          </w:p>
          <w:p>
            <w:pPr>
              <w:ind w:firstLine="560"/>
              <w:rPr>
                <w:rFonts w:ascii="宋体" w:hAnsi="宋体" w:cs="宋体"/>
              </w:rPr>
            </w:pPr>
            <w:r>
              <w:rPr>
                <w:rFonts w:hint="eastAsia" w:ascii="宋体" w:hAnsi="宋体" w:cs="宋体"/>
              </w:rPr>
              <w:t>总体架构：</w:t>
            </w:r>
          </w:p>
          <w:p>
            <w:pPr>
              <w:rPr>
                <w:rFonts w:ascii="宋体" w:hAnsi="宋体" w:cs="宋体"/>
              </w:rPr>
            </w:pPr>
            <w:r>
              <w:object>
                <v:shape id="_x0000_i1025" o:spt="75" type="#_x0000_t75" style="height:405.5pt;width:459.15pt;" o:ole="t" filled="f" o:preferrelative="t" stroked="f" coordsize="21600,21600">
                  <v:path/>
                  <v:fill on="f" focussize="0,0"/>
                  <v:stroke on="f" joinstyle="miter"/>
                  <v:imagedata r:id="rId13" o:title=""/>
                  <o:lock v:ext="edit" aspectratio="t"/>
                  <w10:wrap type="none"/>
                  <w10:anchorlock/>
                </v:shape>
                <o:OLEObject Type="Embed" ProgID="Visio.Drawing.15" ShapeID="_x0000_i1025" DrawAspect="Content" ObjectID="_1468075725" r:id="rId12">
                  <o:LockedField>false</o:LockedField>
                </o:OLEObject>
              </w:objec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广西职业健康信息综合管理平台的总体框架描述如下：</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1.基础设施层：包括计算、存储和网络资源池，由信创云平台云平台提供能力支撑，确保相关资源能够根据平台实际需要弹性伸缩支撑，同时提供基础资源的安全和运维服务能力。</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2.数据层：数据资源层主要汇聚存储广西职业卫生健康相关的各项数据，包括：职业健康体检信息，用人单位信息，职业卫生技术服务机构信息，职业病的诊断、鉴定和康复信息，放射服务机构信息，卫生管理等。</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3.应用支撑层：为广西职业健康信息综合管理平台提供统一身份认证、统一基础设施、统一数据资源、统一服务平台、统一标准规范等功能，在实现单点登录的同时为数据的标准统一和数据治理提供基础支撑。同时能够提供数据共享服务接口。</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4.业务应用层：业务应用层主要包括职业健康管理相关的服务子平台、管理子平台、门户网站等。</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5.终端和用户层：广西职业健康信息综合管理平台的用户范围主要包括行政部门、用人单位、劳动者、职业卫生技术服务机构、放射卫生机构、职业健康检查机构、职业病诊断机构、职业病鉴定机构，技术服务人员等。广西职业健康信息综合管理平台支持在PC端、网页端、移动端进行使用，满足各业务场景的使用需求。</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四、项目建设内容</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建设覆盖全自治区的职业病防治信息系统，立足现有职业健康信息化基础，充分整合现有职业健康信息平台和数据资源，融合职业健康各平台数据，按照《全国公共卫生信息化建设标准与规范》（国卫办规划发〔2021〕21号）、《全国职业健康统计调查制度》及相关数据集标准要求，建设职业病管理、职业病危害防控、职业病及危害因素监测、职业健康技术服务机构管理、建设项目职业病防护设施“三同时”管理、职业健康宣教培训及职业健康风险监控预警等核心业务功能。实现职业病危害项目申报、职业病及危害因素监测、职业卫生和放射卫生检测评价、职业健康检查、职业病诊断、职业卫生监督执法、职业卫生培训、质量控制等数据信息的互通和共享。</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▲（一）服务子平台。</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服务子平台是面向广西职业健康管理和服务对象的服务系统和平台的集合，部署在互联网中，用户通过统一认证后可访问指定的资源和服务。服务子平台建设内容主要包括：用人单位应用系统、劳动者手机端应用、职业健康检查机构应用系统、职业病随访信息管理、疑似职业病管理、化学品毒性鉴定模块、监督执法管理模块、职业病诊断机构应用系统、职业病鉴定机构应用系统、职业卫生技术服务机构应用系统（不含放射）、放射卫生应用系统、在线教育培训系统等。</w:t>
            </w:r>
            <w:r>
              <w:rPr>
                <w:rFonts w:hint="eastAsia"/>
              </w:rPr>
              <w:t>所有录入模块，支持模板导入功能。业务功能要满足自治区卫健委及业务单位的相关要求，采购人可在建设运维期内根据实际的业务需求对相关建设内容进行调整、替换和完善。</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1.用人单位应用系统</w:t>
            </w:r>
          </w:p>
          <w:p>
            <w:pPr>
              <w:pStyle w:val="16"/>
              <w:widowControl/>
              <w:adjustRightInd w:val="0"/>
              <w:snapToGrid w:val="0"/>
              <w:spacing w:line="360" w:lineRule="exact"/>
              <w:ind w:firstLine="420" w:firstLineChars="200"/>
              <w:rPr>
                <w:rFonts w:ascii="宋体" w:hAnsi="宋体" w:cs="宋体"/>
                <w:lang w:val="en-US" w:eastAsia="zh-CN"/>
              </w:rPr>
            </w:pPr>
            <w:r>
              <w:rPr>
                <w:rFonts w:hint="eastAsia"/>
                <w:lang w:val="en-US" w:eastAsia="zh-CN"/>
              </w:rPr>
              <w:t>系统使用对象主要用于由用人单位录入企业/工厂的基本信息、查看劳动者信息等，同时支持线上职业病危害项目、职业病防护设施“三同时”项目报告申报。用人单位基础信息管理、劳动者基础信息管理、职业病危害作业岗位基础信息管理、职业病危害个人防护用品信息管理、职业病危害警示标识信息管理、职业病危害工程防护设施“三同时”管理、职业病危害治理信息管理、职业病防治经费信息管理、职业健康监护管理、职业健康管理制度管理、职业健康培训查询、职业病危害项目申报、职业病危害因素定期检测系统提醒、报告查询、职业病危害事故管理模块、检测协议管理、用人单位自查模块、用人单位异常情况反馈模块及统计查询与分析模块可查看申报进度和申报结果，方便用人单位了解申报情况。支持PC端和手机端。</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（1）用人单位基础信息管理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对所填报的数据进行增、删、改、查等操作，并按照职业卫生健康管理部门的时限和填报要求进行提交。用人单位输入统一社会信息代码，可直接调用政务交换平台的工商提供的接口信息查询。</w:t>
            </w:r>
          </w:p>
          <w:p>
            <w:pPr>
              <w:pStyle w:val="16"/>
              <w:widowControl/>
              <w:adjustRightInd w:val="0"/>
              <w:snapToGrid w:val="0"/>
              <w:spacing w:line="360" w:lineRule="exact"/>
              <w:ind w:firstLine="420" w:firstLineChars="200"/>
              <w:rPr>
                <w:rFonts w:ascii="宋体" w:hAnsi="宋体" w:cs="宋体"/>
                <w:lang w:val="en-US" w:eastAsia="zh-CN"/>
              </w:rPr>
            </w:pPr>
            <w:r>
              <w:rPr>
                <w:rFonts w:hint="eastAsia" w:ascii="宋体" w:hAnsi="宋体" w:cs="宋体"/>
                <w:lang w:val="en-US" w:eastAsia="zh-CN"/>
              </w:rPr>
              <w:t>用于用人单位录入和编辑管理机构的基本信息主要包括：系统编码、单位名称、用人单位所在地、注册所在地、通信地址、企业规模、经营状态（是否正常经营）、行政区域代码、邮编、行业类型、统一社会信用代码、法人代表和联系方式、职业卫生管理人和联系方式、本单位在册职工总数、外委人员总数、累计职业病人数、接害总人数（含外委）、购买工伤保险的人数、</w:t>
            </w:r>
            <w:r>
              <w:rPr>
                <w:rFonts w:hint="eastAsia"/>
                <w:lang w:val="en-US" w:eastAsia="zh-CN"/>
              </w:rPr>
              <w:t>职业卫生管理机构、管理人员设置、</w:t>
            </w:r>
            <w:r>
              <w:rPr>
                <w:rFonts w:hint="eastAsia" w:ascii="宋体" w:hAnsi="宋体" w:cs="宋体"/>
                <w:lang w:val="en-US" w:eastAsia="zh-CN"/>
              </w:rPr>
              <w:t>主要负责人培训、职业卫生管理人员培训、是否存在职业病危害因素、接触职业病危害因素年度培训总人数、是否存在子公司、子公司的系统编码等，并根据填报要求进行数据填报。总公司负责维护总公司与子公司的关系。</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①劳动者基础信息管理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劳动者录入、查询信息，关联劳动者手机端应用数据，数据包括：姓名、证件类型、证件号码、性别、联系电话、出生日期、职业病种类、职业病名称、用人单位名称、统一社会信用代码、岗位、劳动者上岗离岗转岗时间、劳动者岗位工作时长、劳动者作业方式、劳动者作业频次、</w:t>
            </w:r>
            <w:r>
              <w:rPr>
                <w:rFonts w:hint="eastAsia"/>
              </w:rPr>
              <w:t>入职前单位、岗位</w:t>
            </w:r>
            <w:r>
              <w:rPr>
                <w:rFonts w:hint="eastAsia" w:ascii="宋体" w:hAnsi="宋体" w:cs="宋体"/>
              </w:rPr>
              <w:t>等。关联岗位基础信息。</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②职业病危害作业岗位基础信息管理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使用对象是用人单位，用于管理用人单位的劳动者在岗位工作情况的基础信息填报管理。主要信息包括：职业病危害作业岗位作业内容、劳动者岗位接触的职业病危害因素、危害因素的接触时长及频次等信息。可对所填报的数据进行增、删、改、查等操作，并按照职业卫生健康管理部门的时限和填报要求进行提交。</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③职业病危害个人防护用品信息管理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由用人单位用于管理工作场所的职业病危害个人防护用品信息。用人单位登记企业中涉及到职业病危害个人防护用品的配备情况，包括了防护用品的名称、型号、规格、数量、类别、配置/更换时间、有效时间、使用状态（未使用/正在使用/停用）、岗位等，关联岗位基础信息。可对所填报的数据进行增、删、改、查等操作，并按照职业卫生健康管理部门的时限和填报要求进行提交。</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④职业病危害警示标识信息管理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由用人单位对管理工作场所职业病危害警示标识进行管理。系统由用人单位登记录入工作场所职业病危害警示标识信息，填报信息包括：是否设置了粉尘职业病危害警示标识及警示说明（</w:t>
            </w:r>
            <w:r>
              <w:rPr>
                <w:rFonts w:hint="eastAsia"/>
              </w:rPr>
              <w:t>设置位置、种类清单）</w:t>
            </w:r>
            <w:r>
              <w:rPr>
                <w:rFonts w:hint="eastAsia" w:ascii="宋体" w:hAnsi="宋体" w:cs="宋体"/>
              </w:rPr>
              <w:t>、是否设置了化学毒物职业病危害警示标识及警示说明（</w:t>
            </w:r>
            <w:r>
              <w:rPr>
                <w:rFonts w:hint="eastAsia"/>
              </w:rPr>
              <w:t>设置位置、种类清单）</w:t>
            </w:r>
            <w:r>
              <w:rPr>
                <w:rFonts w:hint="eastAsia" w:ascii="宋体" w:hAnsi="宋体" w:cs="宋体"/>
              </w:rPr>
              <w:t>、是否设置了物理因素职业病危害警示标识及警示说明（</w:t>
            </w:r>
            <w:r>
              <w:rPr>
                <w:rFonts w:hint="eastAsia"/>
              </w:rPr>
              <w:t>设置位置、种类清单）</w:t>
            </w:r>
            <w:r>
              <w:rPr>
                <w:rFonts w:hint="eastAsia" w:ascii="宋体" w:hAnsi="宋体" w:cs="宋体"/>
              </w:rPr>
              <w:t>、是否设置了其他危害警示标识及警示说明（</w:t>
            </w:r>
            <w:r>
              <w:rPr>
                <w:rFonts w:hint="eastAsia"/>
              </w:rPr>
              <w:t>设置位置、种类清单）</w:t>
            </w:r>
            <w:r>
              <w:rPr>
                <w:rFonts w:hint="eastAsia" w:ascii="宋体" w:hAnsi="宋体" w:cs="宋体"/>
              </w:rPr>
              <w:t>、上传工作场所设置危害警示标识的佐证图片。可对所填报的数据进行增、删、改、查等操作，并按照职业卫生健康管理部门的时限和填报要求进行提交。</w:t>
            </w:r>
          </w:p>
          <w:p>
            <w:pPr>
              <w:pStyle w:val="16"/>
              <w:ind w:firstLine="422" w:firstLineChars="200"/>
              <w:rPr>
                <w:lang w:val="en-US" w:eastAsia="zh-CN"/>
              </w:rPr>
            </w:pPr>
            <w:r>
              <w:rPr>
                <w:rFonts w:hint="eastAsia" w:ascii="宋体" w:hAnsi="宋体" w:cs="宋体"/>
                <w:b/>
                <w:bCs/>
                <w:lang w:val="en-US" w:eastAsia="zh-CN"/>
              </w:rPr>
              <w:t>⑤</w:t>
            </w:r>
            <w:r>
              <w:rPr>
                <w:rFonts w:hint="eastAsia"/>
                <w:b/>
                <w:bCs/>
                <w:lang w:val="en-US" w:eastAsia="zh-CN"/>
              </w:rPr>
              <w:t>防护设施信息管理。</w:t>
            </w:r>
            <w:r>
              <w:rPr>
                <w:rFonts w:hint="eastAsia"/>
                <w:lang w:val="en-US" w:eastAsia="zh-CN"/>
              </w:rPr>
              <w:t>可以考虑关联专项治理对应危害-种类-位置-数量。</w:t>
            </w:r>
          </w:p>
          <w:p>
            <w:pPr>
              <w:pStyle w:val="16"/>
              <w:widowControl/>
              <w:adjustRightInd w:val="0"/>
              <w:snapToGrid w:val="0"/>
              <w:spacing w:line="360" w:lineRule="exact"/>
              <w:ind w:firstLine="422" w:firstLineChars="200"/>
              <w:rPr>
                <w:rFonts w:ascii="宋体" w:hAnsi="宋体" w:cs="宋体"/>
                <w:lang w:val="en-US" w:eastAsia="zh-CN"/>
              </w:rPr>
            </w:pPr>
            <w:r>
              <w:rPr>
                <w:rFonts w:hint="eastAsia" w:ascii="宋体" w:hAnsi="宋体" w:cs="宋体"/>
                <w:b/>
                <w:bCs/>
                <w:lang w:val="en-US" w:eastAsia="zh-CN"/>
              </w:rPr>
              <w:t>⑥</w:t>
            </w:r>
            <w:r>
              <w:rPr>
                <w:rFonts w:hint="eastAsia"/>
                <w:b/>
                <w:bCs/>
                <w:lang w:val="en-US" w:eastAsia="zh-CN"/>
              </w:rPr>
              <w:t>应急设施信息管理。</w:t>
            </w:r>
            <w:r>
              <w:rPr>
                <w:rFonts w:hint="eastAsia"/>
                <w:lang w:val="en-US" w:eastAsia="zh-CN"/>
              </w:rPr>
              <w:t>对应危害-种类-位置-数量。</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⑦职业病危害工程防护设施“三同时”管理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针对新建、改建、扩建的工程建设项目和技术改造、技术引进项目可能存在或产生职业病危害的，建设单位应当按照国家有关建设项目职业病防护设施“三同时”监督管理的规定，进行职业病危害预评价、职业病防护设施设计、职业病危害控制效果评价及相应的评审，组织职业病防护设施验收。用人单位应用系统的职业病危害项目“三同时”管理申报功能，由用人单位主动登记（保密项目无需登记），以备各级卫生健康行政部门检查。医疗卫生机构的放射诊疗建设项目“三同时”需实行县、市、自治区三级审核制度。</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系统由用人单位登记职业病危害“三同时”开展情况，主要信息包括：</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A.建设单位和项目基础信息</w:t>
            </w:r>
            <w:r>
              <w:rPr>
                <w:rFonts w:hint="eastAsia" w:ascii="宋体" w:hAnsi="宋体" w:cs="宋体"/>
              </w:rPr>
              <w:t>：项目名称、项目编号、项目性质、项目地址、项目行业类别（国标）、总投资概算（万元）、生产规模（国标）、建设期、总建筑面积（非必填）、建设单位地址、邮政编码、法定代表人、项目负责人、项目联系人、联系电话、项目立项或备案文件（文号或代码）。</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B.建设职业病危害预评价项目信息</w:t>
            </w:r>
            <w:r>
              <w:rPr>
                <w:rFonts w:hint="eastAsia" w:ascii="宋体" w:hAnsi="宋体" w:cs="宋体"/>
              </w:rPr>
              <w:t>：建设单位基础信息（关联建设单位和项目基础信息）、是否存在预期超标的危害因素、项目职业病危害风险程度、评价机构名称、评价结论、评价负责人姓名及联系方式、评审专家信息（关联专家库）、评审时间、项目预评价结果信息（并上传专家意见扫描件）、项目预评价报告编号、评审意见的落实情况（非必填，如果评审结果有修改要求则要求填写及上传文件）等信息。</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C.职业病防护设施设计专篇设计项目信息</w:t>
            </w:r>
            <w:r>
              <w:rPr>
                <w:rFonts w:hint="eastAsia" w:ascii="宋体" w:hAnsi="宋体" w:cs="宋体"/>
              </w:rPr>
              <w:t>：建设单位基础信息（关联建设单位和项目基础信息）、职业病防护设施投资预算、设计单位名称、资质等级（非必填）、设计负责人姓名及联系方式、评审专家信息（关联专家库）、评审时间、评审结果（并上传专家意见扫描件）、报告编号、评审意见的落实情况（非必填，如果评审结果有修改要求则要求填写及上传文件）等信息。</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D.职业病防护设施竣工验收项目信息</w:t>
            </w:r>
            <w:r>
              <w:rPr>
                <w:rFonts w:hint="eastAsia" w:ascii="宋体" w:hAnsi="宋体" w:cs="宋体"/>
              </w:rPr>
              <w:t>：职业病危害控制效果评价信息：建设单位基础信息（关联建设单位和项目基础信息）、项目职业病危害风险程度、职业病危害种类、评价机构名称、评价负责人姓名及联系方式、评审专家信息（关联专家库）、评审时间、评审结果（并上传专家意见扫描件）、评审报告编号、检测结果（并上传检测报告扫描件[填写内容如下图，超标因素除打勾外留自填框，用于填写具体因素名称]）、评审意见的落实情况（非必填，如果评审结果有修改要求则要求填写及上传文件）等信息，可关联职业技术服务机构应用系统获取部分相关检测数据。职业病防护设施现场验收：建设单位和项目基础信息（关联用人单位基础信息）、12项制度情况、接触职业病危害人数、上岗前/在岗期间（勾选）职业健康检查人数、发现职业禁忌人数、发现疑似职业病人数、验收组专家信息、验收时间、验收结果（并上传验收意见扫描件）、验收意见报告编号、验收意见的落实情况（非必填，如果评审结果有修改要求则要求填写及上传文件）等。职业健康检查人数关联本项目职业健康检查机构应用系统获取。</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可对所填报的数据进行增、删、改、查等操作，并按照职业卫生健康管理部门的时限和填报要求进行提交。</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⑧职业病危害治理信息管理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对存在以下情况的用人单位需纳入专项治理范畴：用人单位接触危害因素，且从业人员大于10人，粉尘、毒物或噪声岗位检测出岗位超标（检测或监测）情况的工业企业必须纳入专项治理范围；近三年未开展职业病危害因素定期检测的工业企业必须纳入治理名单；不满足上述条件的用人单位，各行政管理部门可根据本地实际情况自行安排纳入与否，如从业人员数量小于等于10人但由粉尘、毒物或噪声中任意一种或多种因素超标的工业企业，如存在其他物理因素超标的工业企业等。</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由用人单位登记职业病危害因素接触信息、职业健康检查信息、治理前后职业病危害因素检测信息、治理前后工程防护信息、治理前后个体防护信息、治理前后职业健康管理措施等信息，便于管理单位的职业病危害治理信息的管理。其中，用人单位基本信息需关联至用人单位基础信息库，职业健康检查信息需关联至劳动者基础数据库的职业健康体检信息，检测信息关联职业卫生技术服务机构应用系统，避免重复录入。</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A.专项治理前已完成检测的用人单位</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人单位治理前已进行危害因素检测，且危害因素检测全部合格时，需填写检测机构名称并上传检测报告信息（专项治理企业提交的检测报告应由具有资质的职业卫生技术服务机构出具），由各级行政管理部门进行审核确认。检测报告信息</w:t>
            </w:r>
            <w:r>
              <w:rPr>
                <w:rFonts w:hint="eastAsia"/>
              </w:rPr>
              <w:t>关联本项目职业卫生技术服务机构应用系统获取。</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B.治理前已检测但存在超标的用人单位</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用人单位需选择治理阶段（治理前/治理中/治理后），并根据实际情况以及选择的阶段填写用人单位整体情况以及检测情况（治理前的检查报告信息）信息。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治理前阶段应填写：危害因素、检测岗位数、超标岗位数、检测点数、超标检测点数、检测结果（关联危害因素检测报告）、检测记录、检测项目、检测岗位/工种等。</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治理中阶段应填写：治理方案、治理资金、治理起止时间、负责人、联系电话、并上传治理措施方案。</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治理后阶段应填写，危害因素检测治理后信息，并上传检测报告（专项治理企业提交的检测报告应由具有资质的职业卫生技术服务机构出具），由系统根据填写的治理后数据，自动判定是否合格。对于已经制定Ctwa标准但还未制定Stel标准的危害因素，Ctwa合格的情况下，根据填写的PE值与ctwa标准进行比对，小于3倍Ctwa标准为合格，大于5倍Ctwa为不合格，3到5倍之间，则根据检测报告进行手动填写；当毒物、粉尘治理后测量值大于限值90%颜色标识提醒审核注意。</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C.治理前未检测，进行危害因素检测后都合格的用人单位</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若用人单位治理前未进行危害因素检测，但经一轮检测后，都合格的情况下，用人单位需填写检测机构名称以及上传检测报告信息（专项治理企业提交的检测报告应由具有资质的职业卫生技术服务机构出具），由各级行政管理部门进行审核确认。</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D.治理前未检测，首次危害因素检测出现不合格岗位，整改后需再次进行危害因素检测的用人单位</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用人单位需选择治理阶段（治理前/治理中/治理后），并根据实际情况以及选择的阶段填写用人单位整体情况以及检测情况（治理前的检查报告信息）信息。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治理前阶段应填写：危害因素、检测岗位数、超标岗位数、检测点数、超标检测点数、检测结果（关联危害因素检测报告）、检测记录、检测项目、检测岗位/工种等。</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治理中阶段应填写：治理方案、治理资金、治理起止时间、负责人、联系电话、并上传治理措施方案。</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治理后阶段应填写，危害因素检测治理后信息，并上传检测报告（专项治理企业提交的检测报告应由具有资质的职业卫生技术服务机构出具），由系统根据填写的治理后数据，自动判定是否合格。对于已经制定Ctwa标准但还未制定Stel标准的危害因素，Ctwa合格的情况下，根据填写的PE值与ctwa标准进行比对，小于3倍Ctwa标准为合格，大于5倍Ctwa为不合格，3到5倍之间，则根据检测报告进行手动填写；当毒物、粉尘治理后测量值大于限值90%颜色标识提醒审核注意。</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E</w:t>
            </w:r>
            <w:r>
              <w:rPr>
                <w:rFonts w:ascii="宋体" w:hAnsi="宋体" w:cs="宋体"/>
                <w:b/>
                <w:bCs/>
              </w:rPr>
              <w:t>.</w:t>
            </w:r>
            <w:r>
              <w:rPr>
                <w:rFonts w:hint="eastAsia" w:ascii="宋体" w:hAnsi="宋体" w:cs="宋体"/>
                <w:b/>
                <w:bCs/>
              </w:rPr>
              <w:t>专项治理确认情况查询</w:t>
            </w:r>
            <w:r>
              <w:rPr>
                <w:rFonts w:hint="eastAsia" w:ascii="宋体" w:hAnsi="宋体" w:cs="宋体"/>
              </w:rPr>
              <w:t>:支持用人单位通过账号管理或整治编号查询专项治理情况。在专项治理完成提交后，被行政管理机构进行退回，用人单位可在专项治理填报模块查看被退回的原因。</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兼容国垂系统《职业病危害项目申报系统》，覆盖国垂系统所有功能。</w:t>
            </w:r>
            <w:r>
              <w:rPr>
                <w:rFonts w:hint="eastAsia"/>
              </w:rPr>
              <w:t>如与</w:t>
            </w:r>
            <w:r>
              <w:rPr>
                <w:rFonts w:hint="eastAsia" w:ascii="宋体" w:hAnsi="宋体" w:cs="宋体"/>
              </w:rPr>
              <w:t>国垂系统《职业病危害项目申报系统》实现</w:t>
            </w:r>
            <w:r>
              <w:rPr>
                <w:rFonts w:hint="eastAsia"/>
              </w:rPr>
              <w:t>数据对接，则将数据将自动填充，不再二次录入，否则要实现填报的信息上报国垂系统。</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⑨职业病防治经费信息管理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由用人单位对本单位的职业病防治经费信息进行管理。由用人单位登记录入职业病防治管理经费情况、宣教培训经费信息、职业病防护设施“三同时”经费信息、工程防护设施经费信息、应急救援设备经费信息、个人防护用品经费信息、职业健康监护经费信息、职业病诊断鉴定经费信息、工伤保险经费信息等。如涉及基建类项目需与全民健康信息平台的基建项目互联。可对所填报的数据进行增、删、改、查等操作，并按照职业卫生健康管理部门的时限和填报要求进行提交。</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（2）职业健康监护管理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①体检材料确认</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用人单位确认</w:t>
            </w:r>
            <w:r>
              <w:rPr>
                <w:rFonts w:hint="eastAsia"/>
              </w:rPr>
              <w:t>系统生成的劳动者名单（用人单位导出名单后盖公章上传PDF）、（非必填项）定期（评价）检测报告（关联职业卫生技术服务机构系统）等需职业健康检查机构确认的材料。</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②体检协议</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企业可在此模块维护与体检机构签订的体检协议，包含体检机构基础信息、体检机构资质信息，签订的本年度协议等；支持维护多家机构，可上传协议附件、体检机构资质附件，系统将根据协议到期时间进行更新提醒。</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③查看体检结果</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企业可在此模块查看本单位劳动者的体检结果。</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（3）职业健康管理制度管理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①单位职业健康基本制度管理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单位普通用户可以查看和下载本单位的职业健康基本制度文件，单位系统管理员可以上传、修改、更新、删除本单位的职业健康基本制度文件。</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②职业病防治计划管理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单位系统管理员可以上传、修改、删除本单位的职业病防治计划，同时可以对每个版本的防治计划进行管理。单位普通可以查看和下载本单位的职业病防治计划。</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③单位岗位操作规程管理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单位普通用户可以查看和下载本单位的本单位岗位操作规程，单位系统管理员可以上传、修改、更新、删除本单位岗位操作规程，劳动者可进行手机端查询。</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（4）职业健康培训查询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功能需与在线教育培训系统后台对应的培训内容、培训形式、培训管理、培训考核证书管理等基础数据互通。</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①培训查询：</w:t>
            </w:r>
            <w:r>
              <w:rPr>
                <w:rFonts w:hint="eastAsia" w:ascii="宋体" w:hAnsi="宋体" w:cs="宋体"/>
              </w:rPr>
              <w:t>用于用人单位查询本单位职业卫生负责人及管理人员、劳动者职业健康教育培训，包括已完成的培训情况和正在进行的培训情况。</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②考核查询</w:t>
            </w:r>
            <w:r>
              <w:rPr>
                <w:rFonts w:hint="eastAsia" w:ascii="宋体" w:hAnsi="宋体" w:cs="宋体"/>
              </w:rPr>
              <w:t xml:space="preserve">：用于用人单位查询本单位职业卫生负责人及管理人员、劳动者的考核情况，包括已经完成的考核和即将进行的考核、过往的培训考核记录等。 </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③证件查询：</w:t>
            </w:r>
            <w:r>
              <w:rPr>
                <w:rFonts w:hint="eastAsia" w:ascii="宋体" w:hAnsi="宋体" w:cs="宋体"/>
              </w:rPr>
              <w:t>用于查询本单位职业卫生负责人及管理人员、劳动者的证件信息，其中包括劳动者的培训证书发放类型、日期、培训证书编号、有效期等信息。</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（5）职业病危害项目申报</w:t>
            </w:r>
          </w:p>
          <w:p>
            <w:pPr>
              <w:widowControl/>
              <w:adjustRightInd w:val="0"/>
              <w:snapToGrid w:val="0"/>
              <w:spacing w:line="360" w:lineRule="exact"/>
              <w:ind w:firstLine="420" w:firstLineChars="200"/>
              <w:jc w:val="left"/>
            </w:pPr>
            <w:r>
              <w:rPr>
                <w:rFonts w:hint="eastAsia" w:ascii="宋体" w:hAnsi="宋体" w:cs="宋体"/>
              </w:rPr>
              <w:t>用人单位工作场所存在职业病目录所列职业病的危害因素的，应当按照《职业病危害项目申报办法》的规定，及时、如实向属地卫生健康主管部门申报职业病危害项目，并接受卫生健康主管部门的监督检查。由用人单位根据本单位的职业病危害情况，向用人单位属地卫生行政部门申报职业病危害项目。用人单位申报职业病危害项目后，卫生行政管理部门可以在管理子平台对应的功能模块进行审核（区、县卫健局审核）。用人单位对本单位职业病危害项目申报进行管理，新职业病危害项目申报、申报记录查询等功能。兼容国垂系统《职业病危害项目申报系统》，覆盖国垂系统所有功能。</w:t>
            </w:r>
            <w:r>
              <w:rPr>
                <w:rFonts w:hint="eastAsia"/>
              </w:rPr>
              <w:t>如可与</w:t>
            </w:r>
            <w:r>
              <w:rPr>
                <w:rFonts w:hint="eastAsia" w:ascii="宋体" w:hAnsi="宋体" w:cs="宋体"/>
              </w:rPr>
              <w:t>国垂系统《职业病危害项目申报系统》实现</w:t>
            </w:r>
            <w:r>
              <w:rPr>
                <w:rFonts w:hint="eastAsia"/>
              </w:rPr>
              <w:t>数据对接，则将数据将自动填充，不再二次录入，否则要实现填报的信息上报国垂系统。</w:t>
            </w:r>
          </w:p>
          <w:p>
            <w:pPr>
              <w:widowControl/>
              <w:adjustRightInd w:val="0"/>
              <w:snapToGrid w:val="0"/>
              <w:spacing w:line="360" w:lineRule="exact"/>
              <w:ind w:firstLine="422" w:firstLineChars="200"/>
              <w:jc w:val="left"/>
            </w:pPr>
            <w:r>
              <w:rPr>
                <w:rFonts w:hint="eastAsia" w:ascii="宋体" w:hAnsi="宋体" w:cs="宋体"/>
                <w:b/>
                <w:bCs/>
              </w:rPr>
              <w:t>①职业病危害项目申报管理</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A.新职业病危害项目申报：</w:t>
            </w:r>
            <w:r>
              <w:rPr>
                <w:rFonts w:hint="eastAsia" w:ascii="宋体" w:hAnsi="宋体" w:cs="宋体"/>
              </w:rPr>
              <w:t>用人单位可以新增申报职业病危害项目，填报信息参考《职业病危害项目申报表》。用人单位的基本情况：申报单位、申报单位地址、邮政编码、联系电话、企业规模、企业注册类型、行业分类、填报类别（第一次申报、变更申报）、变更原因（变更申报需填写）、全年总产值（万元）、全年总利税（万元）、建厂时间、填表部门、填表人名称等。其中基础信息关联至用人单位基础信息库自动填充。工作场所职业病危害因素种类、分布情况以及接触人数。职业危害因素汇总信息：职业病危害因素种类和名称、职工人数、生产工人数（不包含外包人员）、接触职业病危害因素人数（不包含外包人员）、职业病危害来源、作业方式、作业场所浓（强）度、卫生工程防护设施名称、应急救援设施等。</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B.变更申报：</w:t>
            </w:r>
            <w:r>
              <w:rPr>
                <w:rFonts w:hint="eastAsia" w:ascii="宋体" w:hAnsi="宋体" w:cs="宋体"/>
              </w:rPr>
              <w:t>由用人单位根据所发生的实质性变化进行职业病危害项目变更申报。用人单位可以填写变更申报申请信息，并将申报信息报送审核单位，用人单位可以在系统查看变更申报进度，跟进县卫健局审核进度。填报信息参考《职业病危害项目申报表》，主要变更原因包括：因技术、工艺、设备或者材料等发生变化导致原申报的职业病危害因素及其相关内容发生重大变化的；用人单位工作场所、名称、法定代表人或者主要负责人发生变化的；经过职业病危害因素检测、评价，发现原申报内容发生变化的情况。</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C.年度更新：</w:t>
            </w:r>
            <w:r>
              <w:rPr>
                <w:rFonts w:hint="eastAsia" w:ascii="宋体" w:hAnsi="宋体" w:cs="宋体"/>
              </w:rPr>
              <w:t>基础信息关联原始数据库，年度更新信息包括检测及体检信息、人员及劳动者数量、接触等信息。</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②职业病危害项目申报进度查询：</w:t>
            </w:r>
            <w:r>
              <w:rPr>
                <w:rFonts w:hint="eastAsia" w:ascii="宋体" w:hAnsi="宋体" w:cs="宋体"/>
              </w:rPr>
              <w:t>用户可以对已申报项目修改其申报信息，并将变更后的申报信息报送审核单位，用户可以在系统查看变更申报进度，跟进审核进度。由县/区级卫健委对申报的信息进行审核（上级卫健委也有审批权限）。</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③职业病危害项目申报记录查询：</w:t>
            </w:r>
            <w:r>
              <w:rPr>
                <w:rFonts w:hint="eastAsia" w:ascii="宋体" w:hAnsi="宋体" w:cs="宋体"/>
              </w:rPr>
              <w:t>用于查看过往已通过的职业病危害项目申报记录，可以打印申报回执等。</w:t>
            </w:r>
          </w:p>
          <w:p>
            <w:pPr>
              <w:widowControl/>
              <w:numPr>
                <w:ilvl w:val="0"/>
                <w:numId w:val="4"/>
              </w:numPr>
              <w:adjustRightInd w:val="0"/>
              <w:snapToGrid w:val="0"/>
              <w:spacing w:line="360" w:lineRule="exact"/>
              <w:ind w:firstLine="422" w:firstLineChars="200"/>
              <w:jc w:val="left"/>
              <w:rPr>
                <w:rFonts w:ascii="宋体" w:hAnsi="宋体" w:cs="宋体"/>
                <w:b/>
                <w:bCs/>
              </w:rPr>
            </w:pPr>
            <w:r>
              <w:rPr>
                <w:rFonts w:hint="eastAsia" w:ascii="宋体" w:hAnsi="宋体" w:cs="宋体"/>
                <w:b/>
                <w:bCs/>
              </w:rPr>
              <w:t>职业病危害因素检测提醒模块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提醒模块应当支持提醒时间或提醒周期设置功能，能够实现对某一事项的定期提醒。</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①职业病危害因素定期检测系统提醒</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用人单位管理人员、</w:t>
            </w:r>
            <w:r>
              <w:rPr>
                <w:rFonts w:hint="eastAsia"/>
              </w:rPr>
              <w:t>负责人</w:t>
            </w:r>
            <w:r>
              <w:rPr>
                <w:rFonts w:hint="eastAsia" w:ascii="宋体" w:hAnsi="宋体" w:cs="宋体"/>
              </w:rPr>
              <w:t>在手机移动端接收提醒，包括短信、微信、邮箱等。</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需根据用人单位的职业病危害因素检查的时间，按《职业卫生技术服务机构管理办法》的要求，对需要进行职业病危害因素检查的企业进行提醒。提醒规则：根据企业上一次职业病危害因素定期检测时间自动设置下一次的职业病危害因素定期检测时间提醒。职业病危害因素检测要求为：职业病危害严重的用人单位（指建设项目职业病危害风险分类管理目录中所列职业病危害严重行业的用人单位），应当委托具有相应资质的职业卫生技术服务机构，每年至少进行一次职业病危害因素检测，每三年至少进行一次职业病危害现状评价。职业病危害一般的用人单位，应当委托具有相应资质的职业卫生技术服务机构，每三年至少进行一次职业病危害因素检测。</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②体检系统提醒</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根据用人单位上一次体检签约时间自动设置下一次的体检提醒时间，在到达体检期限的前一个月通过短信和系统对</w:t>
            </w:r>
            <w:r>
              <w:rPr>
                <w:rFonts w:hint="eastAsia"/>
              </w:rPr>
              <w:t>企业主要负责人、管理人员</w:t>
            </w:r>
            <w:r>
              <w:rPr>
                <w:rFonts w:hint="eastAsia" w:ascii="宋体" w:hAnsi="宋体" w:cs="宋体"/>
              </w:rPr>
              <w:t>进行提醒。</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对</w:t>
            </w:r>
            <w:r>
              <w:rPr>
                <w:rFonts w:hint="eastAsia"/>
              </w:rPr>
              <w:t>企业主要负责人、管理人员在劳动者离岗时进行职业健康检查提醒。</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③年度更新系统提醒</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根据上一次职业病危害项目年度更新时间自动设置下一次的职业病危害项目年度更新时间。</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④职业病危害因素检测的检查报告查询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用人单位可以在系统上查询本单位的职业病危害因素检测的检查报告。检查报告需关联职业卫生技术服务信息机构应用系统。</w:t>
            </w:r>
          </w:p>
          <w:p>
            <w:pPr>
              <w:widowControl/>
              <w:adjustRightInd w:val="0"/>
              <w:snapToGrid w:val="0"/>
              <w:spacing w:line="360" w:lineRule="exact"/>
              <w:ind w:firstLine="422" w:firstLineChars="200"/>
              <w:jc w:val="left"/>
              <w:rPr>
                <w:rFonts w:hint="eastAsia" w:ascii="宋体" w:hAnsi="宋体" w:eastAsia="宋体" w:cs="宋体"/>
                <w:b/>
                <w:bCs/>
                <w:lang w:val="en-US" w:eastAsia="zh-CN"/>
              </w:rPr>
            </w:pPr>
            <w:r>
              <w:rPr>
                <w:rFonts w:hint="eastAsia" w:ascii="宋体" w:hAnsi="宋体" w:cs="宋体"/>
                <w:b/>
                <w:bCs/>
              </w:rPr>
              <w:t>（7）职业病危害事故管理模块</w:t>
            </w:r>
            <w:r>
              <w:rPr>
                <w:rFonts w:hint="eastAsia" w:ascii="宋体" w:hAnsi="宋体" w:cs="宋体"/>
                <w:b/>
                <w:bCs/>
                <w:lang w:eastAsia="zh-CN"/>
              </w:rPr>
              <w:t>。</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w:t>
            </w:r>
            <w:r>
              <w:rPr>
                <w:rFonts w:hint="eastAsia" w:ascii="宋体" w:hAnsi="宋体" w:cs="宋体"/>
              </w:rPr>
              <w:t>关联自治区应急厅的危害事故数据</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②</w:t>
            </w:r>
            <w:r>
              <w:rPr>
                <w:rFonts w:hint="eastAsia" w:ascii="宋体" w:hAnsi="宋体" w:cs="宋体"/>
              </w:rPr>
              <w:t>未关联上的数据，由用人单位自行登记职业病事故信息，登记信息包括：职业病事故类型、发生地、事故人数、引起职业病危害事故毒物名称、接触人数、发病人数、确诊人数、死亡人数、发生时间、事件源项、受照人数、发病时间等基本信息，同时需要查明和填写事故发生原因、事故处理措施等。</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③</w:t>
            </w:r>
            <w:r>
              <w:rPr>
                <w:rFonts w:hint="eastAsia" w:ascii="宋体" w:hAnsi="宋体" w:cs="宋体"/>
              </w:rPr>
              <w:t>用户可以在将职业病事故信息上报相关单位，上报后的信息记录只保留在职业病事故上报管理中。存在职业病危害的用人单位发生职业病危害事故或者国家卫生健康委规定的其他情形的，应当及时委托具有相应资质的职业卫生技术服务机构进行职业病危害现状评价。</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④</w:t>
            </w:r>
            <w:r>
              <w:rPr>
                <w:rFonts w:hint="eastAsia" w:ascii="宋体" w:hAnsi="宋体" w:cs="宋体"/>
              </w:rPr>
              <w:t>用人单位应当落实职业病危害现状评价报告中提出的建议和措施，并将职业病危害现状评价结果及整改情况存入本单位职业卫生档案。</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（8）检测协议管理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维护企业和职业卫生技术服务机构签订的合同协议，检测机构的资质等信息，检测机构的信息会需自动交换至职业健康监管系统形成技术服务基础档案信息。</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（9）用人单位自查模块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人单位在卫生监督部门执行监督检查前针对检查事项表进行自查，并按要求填写自查信息，填写完毕后可在系统中提交。卫生监督管理部门在管理系统中查询提交的自查信息表，根据自查信息表对用人单位进行检查。自查表内容如下</w:t>
            </w:r>
            <w:r>
              <w:rPr>
                <w:rFonts w:hint="eastAsia" w:ascii="宋体" w:hAnsi="宋体" w:cs="宋体"/>
              </w:rPr>
              <w:fldChar w:fldCharType="begin"/>
            </w:r>
            <w:r>
              <w:rPr>
                <w:rFonts w:hint="eastAsia" w:ascii="宋体" w:hAnsi="宋体" w:cs="宋体"/>
              </w:rPr>
              <w:instrText xml:space="preserve"> REF _Ref17938 \h </w:instrText>
            </w:r>
            <w:r>
              <w:rPr>
                <w:rFonts w:hint="eastAsia" w:ascii="宋体" w:hAnsi="宋体" w:cs="宋体"/>
              </w:rPr>
              <w:fldChar w:fldCharType="separate"/>
            </w:r>
            <w:r>
              <w:t>图 1</w:t>
            </w:r>
            <w:r>
              <w:rPr>
                <w:rFonts w:hint="eastAsia" w:ascii="宋体" w:hAnsi="宋体" w:cs="宋体"/>
              </w:rPr>
              <w:fldChar w:fldCharType="end"/>
            </w:r>
            <w:r>
              <w:rPr>
                <w:rFonts w:hint="eastAsia" w:ascii="宋体" w:hAnsi="宋体" w:cs="宋体"/>
              </w:rPr>
              <w:t>、</w:t>
            </w:r>
            <w:r>
              <w:rPr>
                <w:rFonts w:hint="eastAsia" w:ascii="宋体" w:hAnsi="宋体" w:cs="宋体"/>
              </w:rPr>
              <w:fldChar w:fldCharType="begin"/>
            </w:r>
            <w:r>
              <w:rPr>
                <w:rFonts w:hint="eastAsia" w:ascii="宋体" w:hAnsi="宋体" w:cs="宋体"/>
              </w:rPr>
              <w:instrText xml:space="preserve"> REF _Ref17977 \h </w:instrText>
            </w:r>
            <w:r>
              <w:rPr>
                <w:rFonts w:hint="eastAsia" w:ascii="宋体" w:hAnsi="宋体" w:cs="宋体"/>
              </w:rPr>
              <w:fldChar w:fldCharType="separate"/>
            </w:r>
            <w:r>
              <w:t>图 2</w:t>
            </w:r>
            <w:r>
              <w:rPr>
                <w:rFonts w:hint="eastAsia" w:ascii="宋体" w:hAnsi="宋体" w:cs="宋体"/>
              </w:rPr>
              <w:fldChar w:fldCharType="end"/>
            </w:r>
            <w:r>
              <w:rPr>
                <w:rFonts w:hint="eastAsia" w:ascii="宋体" w:hAnsi="宋体" w:cs="宋体"/>
              </w:rPr>
              <w:t>所示：</w:t>
            </w:r>
          </w:p>
          <w:p>
            <w:pPr>
              <w:pStyle w:val="15"/>
              <w:widowControl/>
              <w:adjustRightInd w:val="0"/>
              <w:jc w:val="center"/>
            </w:pPr>
            <w:r>
              <w:drawing>
                <wp:inline distT="0" distB="0" distL="114300" distR="114300">
                  <wp:extent cx="5027930" cy="6737350"/>
                  <wp:effectExtent l="0" t="0" r="127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027930" cy="6737350"/>
                          </a:xfrm>
                          <a:prstGeom prst="rect">
                            <a:avLst/>
                          </a:prstGeom>
                          <a:noFill/>
                          <a:ln>
                            <a:noFill/>
                          </a:ln>
                        </pic:spPr>
                      </pic:pic>
                    </a:graphicData>
                  </a:graphic>
                </wp:inline>
              </w:drawing>
            </w:r>
          </w:p>
          <w:p>
            <w:pPr>
              <w:pStyle w:val="15"/>
              <w:jc w:val="center"/>
            </w:pPr>
            <w:bookmarkStart w:id="48" w:name="_Ref17938"/>
            <w:r>
              <w:t xml:space="preserve">图 </w:t>
            </w:r>
            <w:r>
              <w:fldChar w:fldCharType="begin"/>
            </w:r>
            <w:r>
              <w:instrText xml:space="preserve"> SEQ 图 \* ARABIC </w:instrText>
            </w:r>
            <w:r>
              <w:fldChar w:fldCharType="separate"/>
            </w:r>
            <w:r>
              <w:t>1</w:t>
            </w:r>
            <w:r>
              <w:fldChar w:fldCharType="end"/>
            </w:r>
            <w:bookmarkEnd w:id="48"/>
            <w:r>
              <w:rPr>
                <w:rFonts w:hint="eastAsia" w:ascii="宋体" w:hAnsi="宋体" w:eastAsia="宋体" w:cs="宋体"/>
              </w:rPr>
              <w:t>用人单位监督检查信息卡</w:t>
            </w:r>
          </w:p>
          <w:p>
            <w:pPr>
              <w:widowControl/>
              <w:adjustRightInd w:val="0"/>
              <w:snapToGrid w:val="0"/>
              <w:ind w:firstLine="2520" w:firstLineChars="1200"/>
              <w:jc w:val="left"/>
              <w:rPr>
                <w:rFonts w:ascii="宋体" w:hAnsi="宋体" w:cs="宋体"/>
              </w:rPr>
            </w:pPr>
          </w:p>
          <w:p>
            <w:pPr>
              <w:widowControl/>
              <w:adjustRightInd w:val="0"/>
              <w:snapToGrid w:val="0"/>
              <w:spacing w:line="360" w:lineRule="exact"/>
              <w:jc w:val="left"/>
              <w:rPr>
                <w:rFonts w:ascii="宋体" w:hAnsi="宋体" w:cs="宋体"/>
              </w:rPr>
            </w:pPr>
          </w:p>
          <w:p>
            <w:pPr>
              <w:widowControl/>
              <w:adjustRightInd w:val="0"/>
              <w:snapToGrid w:val="0"/>
              <w:ind w:firstLine="18" w:firstLineChars="9"/>
              <w:jc w:val="center"/>
              <w:rPr>
                <w:rFonts w:ascii="宋体" w:hAnsi="宋体" w:cs="宋体"/>
              </w:rPr>
            </w:pPr>
            <w:r>
              <w:rPr>
                <w:rFonts w:ascii="宋体" w:hAnsi="宋体" w:cs="宋体"/>
              </w:rPr>
              <w:drawing>
                <wp:inline distT="0" distB="0" distL="114300" distR="114300">
                  <wp:extent cx="5227320" cy="6763385"/>
                  <wp:effectExtent l="0" t="0" r="11430" b="18415"/>
                  <wp:docPr id="4" name="图片 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片4"/>
                          <pic:cNvPicPr>
                            <a:picLocks noChangeAspect="1"/>
                          </pic:cNvPicPr>
                        </pic:nvPicPr>
                        <pic:blipFill>
                          <a:blip r:embed="rId15"/>
                          <a:stretch>
                            <a:fillRect/>
                          </a:stretch>
                        </pic:blipFill>
                        <pic:spPr>
                          <a:xfrm>
                            <a:off x="0" y="0"/>
                            <a:ext cx="5227320" cy="6763385"/>
                          </a:xfrm>
                          <a:prstGeom prst="rect">
                            <a:avLst/>
                          </a:prstGeom>
                          <a:noFill/>
                          <a:ln>
                            <a:noFill/>
                          </a:ln>
                        </pic:spPr>
                      </pic:pic>
                    </a:graphicData>
                  </a:graphic>
                </wp:inline>
              </w:drawing>
            </w:r>
          </w:p>
          <w:p>
            <w:pPr>
              <w:widowControl/>
              <w:adjustRightInd w:val="0"/>
              <w:snapToGrid w:val="0"/>
              <w:spacing w:line="360" w:lineRule="exact"/>
              <w:ind w:firstLine="420" w:firstLineChars="200"/>
              <w:jc w:val="left"/>
              <w:rPr>
                <w:rFonts w:ascii="宋体" w:hAnsi="宋体" w:cs="宋体"/>
              </w:rPr>
            </w:pPr>
          </w:p>
          <w:p>
            <w:pPr>
              <w:widowControl/>
              <w:adjustRightInd w:val="0"/>
              <w:snapToGrid w:val="0"/>
              <w:spacing w:line="360" w:lineRule="exact"/>
              <w:ind w:firstLine="420" w:firstLineChars="200"/>
              <w:jc w:val="left"/>
              <w:rPr>
                <w:rFonts w:ascii="宋体" w:hAnsi="宋体" w:cs="宋体"/>
              </w:rPr>
            </w:pPr>
          </w:p>
          <w:p>
            <w:pPr>
              <w:widowControl/>
              <w:adjustRightInd w:val="0"/>
              <w:snapToGrid w:val="0"/>
              <w:spacing w:line="360" w:lineRule="exact"/>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ascii="宋体" w:hAnsi="宋体" w:cs="宋体"/>
              </w:rPr>
              <w:drawing>
                <wp:inline distT="0" distB="0" distL="114300" distR="114300">
                  <wp:extent cx="5339715" cy="3657600"/>
                  <wp:effectExtent l="0" t="0" r="13335" b="0"/>
                  <wp:docPr id="5" name="图片 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片5"/>
                          <pic:cNvPicPr>
                            <a:picLocks noChangeAspect="1"/>
                          </pic:cNvPicPr>
                        </pic:nvPicPr>
                        <pic:blipFill>
                          <a:blip r:embed="rId16"/>
                          <a:stretch>
                            <a:fillRect/>
                          </a:stretch>
                        </pic:blipFill>
                        <pic:spPr>
                          <a:xfrm>
                            <a:off x="0" y="0"/>
                            <a:ext cx="5339715" cy="3657600"/>
                          </a:xfrm>
                          <a:prstGeom prst="rect">
                            <a:avLst/>
                          </a:prstGeom>
                          <a:noFill/>
                          <a:ln>
                            <a:noFill/>
                          </a:ln>
                        </pic:spPr>
                      </pic:pic>
                    </a:graphicData>
                  </a:graphic>
                </wp:inline>
              </w:drawing>
            </w:r>
          </w:p>
          <w:p>
            <w:pPr>
              <w:pStyle w:val="15"/>
              <w:widowControl/>
              <w:adjustRightInd w:val="0"/>
              <w:ind w:firstLine="400" w:firstLineChars="200"/>
              <w:jc w:val="center"/>
            </w:pPr>
            <w:bookmarkStart w:id="49" w:name="_Ref17977"/>
            <w:r>
              <w:t xml:space="preserve">图 </w:t>
            </w:r>
            <w:r>
              <w:fldChar w:fldCharType="begin"/>
            </w:r>
            <w:r>
              <w:instrText xml:space="preserve"> SEQ 图 \* ARABIC </w:instrText>
            </w:r>
            <w:r>
              <w:fldChar w:fldCharType="separate"/>
            </w:r>
            <w:r>
              <w:t>2</w:t>
            </w:r>
            <w:r>
              <w:fldChar w:fldCharType="end"/>
            </w:r>
            <w:bookmarkEnd w:id="49"/>
            <w:r>
              <w:rPr>
                <w:rFonts w:hint="eastAsia"/>
              </w:rPr>
              <w:t xml:space="preserve"> 用人单位监督案件查处信息卡</w:t>
            </w:r>
          </w:p>
          <w:p>
            <w:pPr>
              <w:widowControl/>
              <w:adjustRightInd w:val="0"/>
              <w:snapToGrid w:val="0"/>
              <w:spacing w:line="360" w:lineRule="exact"/>
              <w:ind w:firstLine="420" w:firstLineChars="200"/>
              <w:jc w:val="left"/>
              <w:rPr>
                <w:rFonts w:ascii="宋体" w:hAnsi="宋体" w:cs="宋体"/>
                <w:b/>
                <w:bCs/>
              </w:rPr>
            </w:pPr>
            <w:r>
              <w:rPr>
                <w:rFonts w:hint="eastAsia" w:ascii="微软雅黑" w:hAnsi="微软雅黑" w:eastAsia="微软雅黑" w:cs="微软雅黑"/>
                <w:b/>
                <w:bCs/>
              </w:rPr>
              <w:t>（</w:t>
            </w:r>
            <w:r>
              <w:rPr>
                <w:rFonts w:hint="eastAsia" w:ascii="宋体" w:hAnsi="宋体" w:cs="宋体"/>
                <w:b/>
                <w:bCs/>
              </w:rPr>
              <w:t>10）用人单位异常情况反馈模块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用人单位针对职业健康检查机构迟报/漏报问题、职业卫生技术服务机构检测报告迟报/漏报问题反馈、</w:t>
            </w:r>
            <w:r>
              <w:rPr>
                <w:rFonts w:hint="eastAsia"/>
              </w:rPr>
              <w:t>数据结果有误情况反馈</w:t>
            </w:r>
            <w:r>
              <w:rPr>
                <w:rFonts w:hint="eastAsia" w:ascii="宋体" w:hAnsi="宋体" w:cs="宋体"/>
              </w:rPr>
              <w:t>。</w:t>
            </w:r>
          </w:p>
          <w:p>
            <w:pPr>
              <w:widowControl/>
              <w:adjustRightInd w:val="0"/>
              <w:snapToGrid w:val="0"/>
              <w:spacing w:line="360" w:lineRule="exact"/>
              <w:ind w:left="420" w:leftChars="200"/>
              <w:jc w:val="left"/>
              <w:rPr>
                <w:rFonts w:ascii="宋体" w:hAnsi="宋体" w:cs="宋体"/>
                <w:b/>
                <w:bCs/>
              </w:rPr>
            </w:pPr>
            <w:r>
              <w:rPr>
                <w:rFonts w:hint="eastAsia" w:ascii="宋体" w:hAnsi="宋体" w:cs="宋体"/>
                <w:b/>
                <w:bCs/>
              </w:rPr>
              <w:t>（11）关联放射卫生应用系统中的非医疗放射工作单位模块</w:t>
            </w:r>
          </w:p>
          <w:p>
            <w:pPr>
              <w:widowControl/>
              <w:adjustRightInd w:val="0"/>
              <w:snapToGrid w:val="0"/>
              <w:spacing w:line="360" w:lineRule="exact"/>
              <w:ind w:left="420" w:leftChars="200"/>
              <w:jc w:val="left"/>
              <w:rPr>
                <w:rFonts w:ascii="宋体" w:hAnsi="宋体" w:cs="宋体"/>
              </w:rPr>
            </w:pPr>
            <w:r>
              <w:rPr>
                <w:rFonts w:hint="eastAsia" w:ascii="宋体" w:hAnsi="宋体" w:cs="宋体"/>
              </w:rPr>
              <w:t>集成非医疗非医疗放射工作单位填报模块，展示非医疗放射工作单位报送的报告信息。</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（12）统计查询与分析</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①用人单位职业健康统计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统计查询用人单位职业健康情况，其中包括按</w:t>
            </w:r>
            <w:r>
              <w:rPr>
                <w:rFonts w:hint="eastAsia"/>
              </w:rPr>
              <w:t>性别、行业、企业规模、</w:t>
            </w:r>
            <w:r>
              <w:rPr>
                <w:rFonts w:hint="eastAsia" w:ascii="宋体" w:hAnsi="宋体" w:cs="宋体"/>
              </w:rPr>
              <w:t>年度、季度、月份、行政辖区、年龄统计用人单位基本信息、统计用人单位危害信息、统计用人单位管理信息、统计用人单位职业健康监护和职业病管理信息等。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②职业病防治统计管理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用于单位的统计职业病防治信息情况统计，其中包括按</w:t>
            </w:r>
            <w:r>
              <w:rPr>
                <w:rFonts w:hint="eastAsia"/>
              </w:rPr>
              <w:t>性别、行业、企业规模、</w:t>
            </w:r>
            <w:r>
              <w:rPr>
                <w:rFonts w:hint="eastAsia" w:ascii="宋体" w:hAnsi="宋体" w:cs="宋体"/>
              </w:rPr>
              <w:t>年度、季度、月份、行政辖区、年龄、职业病诊断、职业病鉴定、疑似职业病、</w:t>
            </w:r>
            <w:r>
              <w:rPr>
                <w:rFonts w:hint="eastAsia"/>
              </w:rPr>
              <w:t>接害年限或者岗位年限</w:t>
            </w:r>
            <w:r>
              <w:rPr>
                <w:rFonts w:hint="eastAsia" w:ascii="宋体" w:hAnsi="宋体" w:cs="宋体"/>
              </w:rPr>
              <w:t>统计单位的各类人员人数，签订劳动合同情况统计，参加工伤保险信息统计，岗位、工程防护设施、救援设施数量统计，岗位达标情况统计，经费情况统计等。系统需关联至职业健康检查机构应用系统、职业病诊断机构应用系统、疑似职业病管理系统等，并获取相关数据进行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③职业病危害因素监测信息统计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用人单位可按</w:t>
            </w:r>
            <w:r>
              <w:rPr>
                <w:rFonts w:hint="eastAsia"/>
              </w:rPr>
              <w:t>行业、规模、</w:t>
            </w:r>
            <w:r>
              <w:rPr>
                <w:rFonts w:hint="eastAsia" w:ascii="宋体" w:hAnsi="宋体" w:cs="宋体"/>
              </w:rPr>
              <w:t>年度、季度、月份、行政辖区职业病危险现状评价、职业病防护设备设施与防护用品效果评价，关联职业卫生技术服务信息系统获取相关数据进行展示。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④用人单位职业健康档案统计查询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用人单位可按年度、季度、月份、行政辖区、年龄、</w:t>
            </w:r>
            <w:r>
              <w:rPr>
                <w:rFonts w:hint="eastAsia"/>
              </w:rPr>
              <w:t>接害年限或岗位年限、接害类型</w:t>
            </w:r>
            <w:r>
              <w:rPr>
                <w:rFonts w:hint="eastAsia" w:ascii="宋体" w:hAnsi="宋体" w:cs="宋体"/>
              </w:rPr>
              <w:t>统计查询用人单位劳动者的职业健康体检信息，系统信息关联职业健康体检机构信息系统获取相关数据进行展示。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⑤“三同时”情况统计查询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用以按年度、季度、月份、行政辖区、行业统计查询职业病危害工程防护设施“三同时”信息。</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⑥在岗职工培训情况统计查询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用于用人单位按年度、季度、月份、行政辖区、年龄、</w:t>
            </w:r>
            <w:r>
              <w:rPr>
                <w:rFonts w:hint="eastAsia"/>
              </w:rPr>
              <w:t>性别、行业、规模</w:t>
            </w:r>
            <w:r>
              <w:rPr>
                <w:rFonts w:hint="eastAsia" w:ascii="宋体" w:hAnsi="宋体" w:cs="宋体"/>
              </w:rPr>
              <w:t>统计查询单位内劳动者所进行的职业病健康在线培训教育的相关信息，系统需关联职业健康在线教育培训系统获取相关数据进行展示。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2.劳动者手机端应用</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使用对象为劳动者。劳动者可以在手机应用端查看个人基本信息，参与培训、查看证书，查看职业健康档案，申请职业病诊断鉴定、异常情况反馈等。手机端应用包括微信小程序、公众号、支付宝小程序、html5、APP，APP端则需支持安卓系统和IOS系统使用。</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（1）劳动者基础信息管理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使用对象是劳动者，用于劳动者填报个人基础信息。劳动者填报的基础信息需关联至用人单位的劳动者基础信息管理的数据填报功能。劳动者在注册填写个人信息时通过关联用人单位名称和统一社会信用代码，可自动填充用人单位基础信息。填报的数据包括：姓名、证件类型、证件号码、性别、联系电话、出生日期、职业病种类、职业病名称、用人单位名称、统一社会信用代码（自动关联）等。数据管理可对所填报的数据进行增、删、改、查等操作，并按照职业卫生健康管理部门的时限和填报要求进行提交。</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（2）职业健康培训考核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需与在线教育培训系统后台对应的培训内容、培训形式、培训管理、培训考核证书管理等基础数据互通。</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①培训管理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劳动者职业健康教育培训，包括已完成的培训情况和正在进行的培训情况。劳动者可以进行线上培训报名；可以查看包括培训的年份、培训名称、培训时期、培训形式、培训组织单位、培训开始、结束日期、培训学时、过往的培训记录和正在进行的培训情况等信息。对于正在进行的培训，如果包含线上学习课程，劳动者也可以进行网络课程学习；在考核之前，劳动者可以进行习题练习和模拟考试。</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②考核管理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劳动者的考核情况，包括已经完成的考核和即将进行的考核。劳动者可以查看过往的培训考核记录；在考核机构安排给劳动者安排考核后，劳动者可以查看到即将考核信息，其中包括考核名称、考核机构信息、考核地点信息、考核时间、考核成绩、成绩录入人员、考核是否通过、考核组织单位等信息。</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③证件管理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用于展示劳动者的证件信息，其中包括劳动者的培训证书发放类型、日期、培训证书编号、有效期等信息。</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（3）职业健康管理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①职业健康档案信息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主要用于劳动者管理个人职业健康信息管理，系统对应数据应关联至用人单位应用系统中的劳动者基础信息库。用于查看劳动者的职业健康档案信息。包括：职业健康档案信息（职业健康体检结果）、职业病诊断结果、职业病鉴定结果、随访记录、放射卫生个人剂量、职业健康监护档案信息；其中职业健康监护档案信息包括劳动者的职业史、职业病危害因素接触史、职业健康体检结果、处理结果和职业病诊疗等有关个人健康资料。相应的数据关联本项目其他功能模块得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②劳动者职业健康体检管理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使用对象为劳动者，用以向职业健康检查机构申请职业健康检查，由用人单位统一组织劳动者进行职业健康检查。主要功能包括体检咨询、体检报告、体检记录、体检提醒等。由用人单位向职业健康检查机构提交申请，职业健康检查机构根据申请事项进行体检并对检查结果的数据进行审核后录入系统，并上传至职业健康检查机构数据库纳入职业健康数据中心。</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A.体检咨询：</w:t>
            </w:r>
            <w:r>
              <w:rPr>
                <w:rFonts w:hint="eastAsia" w:ascii="宋体" w:hAnsi="宋体" w:cs="宋体"/>
              </w:rPr>
              <w:t>通过配置体检项目情况，体检注意事项等内容，劳动者可在该模块中查询体检机构支持的体检项目，询问一些体检注意事项，该模块将根据劳动者提出的问题自动回复相关内容。</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B.体检报告：</w:t>
            </w:r>
            <w:r>
              <w:rPr>
                <w:rFonts w:hint="eastAsia" w:ascii="宋体" w:hAnsi="宋体" w:cs="宋体"/>
              </w:rPr>
              <w:t>劳动者在职业检查机构完成体检后，用于查询和管理检查结果，通过关联职业健康检查机构的体检系统，体检机构可以把审核通过的检查结果和报告在系统上推送给报送给用人单位/劳动者，劳动者可以在系统上进行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并且可以实现报告下载，劳动者可以在系统下载检查报告。体检报告包含：</w:t>
            </w:r>
          </w:p>
          <w:p>
            <w:pPr>
              <w:widowControl/>
              <w:adjustRightInd w:val="0"/>
              <w:snapToGrid w:val="0"/>
              <w:spacing w:line="360" w:lineRule="exact"/>
              <w:jc w:val="left"/>
              <w:rPr>
                <w:rFonts w:ascii="宋体" w:hAnsi="宋体" w:cs="宋体"/>
              </w:rPr>
            </w:pPr>
            <w:r>
              <w:rPr>
                <w:rFonts w:hint="eastAsia" w:ascii="宋体" w:hAnsi="宋体" w:cs="宋体"/>
              </w:rPr>
              <w:t>用人单位、姓名、性别、出生日期、联系方式等个人基本信息。疾病史、职业病史、疑似职业病史等个人健康特征信息。展示专家对劳动者检查结果的建议。展示检查、检验报告以及用药记录摘要信息。</w:t>
            </w:r>
          </w:p>
          <w:p>
            <w:pPr>
              <w:widowControl/>
              <w:adjustRightInd w:val="0"/>
              <w:snapToGrid w:val="0"/>
              <w:spacing w:line="360" w:lineRule="exact"/>
              <w:jc w:val="left"/>
              <w:rPr>
                <w:rFonts w:ascii="宋体" w:hAnsi="宋体" w:cs="宋体"/>
              </w:rPr>
            </w:pPr>
            <w:r>
              <w:rPr>
                <w:rFonts w:hint="eastAsia" w:ascii="宋体" w:hAnsi="宋体" w:cs="宋体"/>
              </w:rPr>
              <w:t xml:space="preserve">    对于劳动者确认的体检结果告知书提供上传功能。</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C.体检记录：</w:t>
            </w:r>
            <w:r>
              <w:rPr>
                <w:rFonts w:hint="eastAsia" w:ascii="宋体" w:hAnsi="宋体" w:cs="宋体"/>
              </w:rPr>
              <w:t>用于查询劳动者的体检历史记录，包括体检地点、体检机构、体检项目、体检情况等。劳动者可对自己体检的历史记录进行下载。</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D.体检提醒</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根据劳动者上一次体检时间自动设置下一次的体检提醒时间，在到达体检期限的前一个月对劳动者进行短信和系统提醒。</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在劳动者体检当日进行短信和系统提醒。</w:t>
            </w:r>
          </w:p>
          <w:p>
            <w:pPr>
              <w:widowControl/>
              <w:adjustRightInd w:val="0"/>
              <w:snapToGrid w:val="0"/>
              <w:spacing w:line="360" w:lineRule="exact"/>
              <w:ind w:firstLine="420" w:firstLineChars="200"/>
              <w:jc w:val="left"/>
              <w:rPr>
                <w:rFonts w:ascii="宋体" w:hAnsi="宋体" w:cs="宋体"/>
              </w:rPr>
            </w:pPr>
            <w:r>
              <w:rPr>
                <w:rFonts w:hint="eastAsia"/>
              </w:rPr>
              <w:t>在劳动者离岗前进行离岗体检的</w:t>
            </w:r>
            <w:r>
              <w:rPr>
                <w:rFonts w:hint="eastAsia" w:ascii="宋体" w:hAnsi="宋体" w:cs="宋体"/>
              </w:rPr>
              <w:t>短信和系统</w:t>
            </w:r>
            <w:r>
              <w:rPr>
                <w:rFonts w:hint="eastAsia"/>
              </w:rPr>
              <w:t>提醒。</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③查看放射卫生个人剂量</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④职业健康监护档案信息：</w:t>
            </w:r>
            <w:r>
              <w:rPr>
                <w:rFonts w:hint="eastAsia" w:ascii="宋体" w:hAnsi="宋体" w:cs="宋体"/>
              </w:rPr>
              <w:t>其中职业健康监护档案信息包括劳动者的职业史、职业病危害因素接触史、职业健康体检结果、处理结果和职业病诊疗等。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（4）职业病诊断</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①职业病诊断申请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职业病诊断机构根据劳动者提交的职业病诊断申请，根据实际情况对职业健康检查结果业务进行审核，并在系统和短信的方式将结果反馈至劳动者。劳动者通过就诊登记表申请职业病诊断，表格样式如</w:t>
            </w:r>
            <w:r>
              <w:rPr>
                <w:rFonts w:hint="eastAsia" w:ascii="宋体" w:hAnsi="宋体" w:cs="宋体"/>
              </w:rPr>
              <w:fldChar w:fldCharType="begin"/>
            </w:r>
            <w:r>
              <w:rPr>
                <w:rFonts w:hint="eastAsia" w:ascii="宋体" w:hAnsi="宋体" w:cs="宋体"/>
              </w:rPr>
              <w:instrText xml:space="preserve"> REF _Ref18199 \h </w:instrText>
            </w:r>
            <w:r>
              <w:rPr>
                <w:rFonts w:hint="eastAsia" w:ascii="宋体" w:hAnsi="宋体" w:cs="宋体"/>
              </w:rPr>
              <w:fldChar w:fldCharType="separate"/>
            </w:r>
            <w:r>
              <w:t>图 3</w:t>
            </w:r>
            <w:r>
              <w:rPr>
                <w:rFonts w:hint="eastAsia" w:ascii="宋体" w:hAnsi="宋体" w:cs="宋体"/>
              </w:rPr>
              <w:fldChar w:fldCharType="end"/>
            </w:r>
            <w:r>
              <w:rPr>
                <w:rFonts w:hint="eastAsia" w:ascii="宋体" w:hAnsi="宋体" w:cs="宋体"/>
              </w:rPr>
              <w:t>、</w:t>
            </w:r>
            <w:r>
              <w:rPr>
                <w:rFonts w:hint="eastAsia" w:ascii="宋体" w:hAnsi="宋体" w:cs="宋体"/>
              </w:rPr>
              <w:fldChar w:fldCharType="begin"/>
            </w:r>
            <w:r>
              <w:rPr>
                <w:rFonts w:hint="eastAsia" w:ascii="宋体" w:hAnsi="宋体" w:cs="宋体"/>
              </w:rPr>
              <w:instrText xml:space="preserve"> REF _Ref18222 \h </w:instrText>
            </w:r>
            <w:r>
              <w:rPr>
                <w:rFonts w:hint="eastAsia" w:ascii="宋体" w:hAnsi="宋体" w:cs="宋体"/>
              </w:rPr>
              <w:fldChar w:fldCharType="separate"/>
            </w:r>
            <w:r>
              <w:t>图 4</w:t>
            </w:r>
            <w:r>
              <w:rPr>
                <w:rFonts w:hint="eastAsia" w:ascii="宋体" w:hAnsi="宋体" w:cs="宋体"/>
              </w:rPr>
              <w:fldChar w:fldCharType="end"/>
            </w:r>
            <w:r>
              <w:rPr>
                <w:rFonts w:hint="eastAsia" w:ascii="宋体" w:hAnsi="宋体" w:cs="宋体"/>
              </w:rPr>
              <w:t>、</w:t>
            </w:r>
            <w:r>
              <w:rPr>
                <w:rFonts w:hint="eastAsia" w:ascii="宋体" w:hAnsi="宋体" w:cs="宋体"/>
              </w:rPr>
              <w:fldChar w:fldCharType="begin"/>
            </w:r>
            <w:r>
              <w:rPr>
                <w:rFonts w:hint="eastAsia" w:ascii="宋体" w:hAnsi="宋体" w:cs="宋体"/>
              </w:rPr>
              <w:instrText xml:space="preserve"> REF _Ref18229 \h </w:instrText>
            </w:r>
            <w:r>
              <w:rPr>
                <w:rFonts w:hint="eastAsia" w:ascii="宋体" w:hAnsi="宋体" w:cs="宋体"/>
              </w:rPr>
              <w:fldChar w:fldCharType="separate"/>
            </w:r>
            <w:r>
              <w:t>图 5</w:t>
            </w:r>
            <w:r>
              <w:rPr>
                <w:rFonts w:hint="eastAsia" w:ascii="宋体" w:hAnsi="宋体" w:cs="宋体"/>
              </w:rPr>
              <w:fldChar w:fldCharType="end"/>
            </w:r>
            <w:r>
              <w:rPr>
                <w:rFonts w:hint="eastAsia" w:ascii="宋体" w:hAnsi="宋体" w:cs="宋体"/>
              </w:rPr>
              <w:t>所示：</w:t>
            </w:r>
          </w:p>
          <w:p>
            <w:pPr>
              <w:widowControl/>
              <w:adjustRightInd w:val="0"/>
              <w:snapToGrid w:val="0"/>
              <w:spacing w:line="360" w:lineRule="exact"/>
              <w:ind w:firstLine="420" w:firstLineChars="200"/>
              <w:jc w:val="left"/>
            </w:pPr>
          </w:p>
          <w:p>
            <w:pPr>
              <w:widowControl/>
              <w:adjustRightInd w:val="0"/>
              <w:snapToGrid w:val="0"/>
              <w:spacing w:line="360" w:lineRule="exact"/>
              <w:ind w:firstLine="420" w:firstLineChars="200"/>
              <w:jc w:val="left"/>
            </w:pPr>
          </w:p>
          <w:p>
            <w:pPr>
              <w:widowControl/>
              <w:adjustRightInd w:val="0"/>
              <w:snapToGrid w:val="0"/>
              <w:spacing w:line="360" w:lineRule="exact"/>
              <w:ind w:firstLine="420" w:firstLineChars="200"/>
              <w:jc w:val="left"/>
            </w:pPr>
          </w:p>
          <w:p>
            <w:pPr>
              <w:widowControl/>
              <w:adjustRightInd w:val="0"/>
              <w:snapToGrid w:val="0"/>
              <w:spacing w:line="240" w:lineRule="auto"/>
              <w:ind w:firstLine="420" w:firstLineChars="200"/>
              <w:jc w:val="left"/>
            </w:pPr>
            <w:r>
              <w:drawing>
                <wp:inline distT="0" distB="0" distL="114935" distR="114935">
                  <wp:extent cx="5273040" cy="7047230"/>
                  <wp:effectExtent l="0" t="0" r="3810" b="127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7"/>
                          <a:stretch>
                            <a:fillRect/>
                          </a:stretch>
                        </pic:blipFill>
                        <pic:spPr>
                          <a:xfrm>
                            <a:off x="0" y="0"/>
                            <a:ext cx="5273040" cy="7047230"/>
                          </a:xfrm>
                          <a:prstGeom prst="rect">
                            <a:avLst/>
                          </a:prstGeom>
                          <a:noFill/>
                          <a:ln>
                            <a:noFill/>
                          </a:ln>
                        </pic:spPr>
                      </pic:pic>
                    </a:graphicData>
                  </a:graphic>
                </wp:inline>
              </w:drawing>
            </w:r>
          </w:p>
          <w:p>
            <w:pPr>
              <w:pStyle w:val="15"/>
              <w:jc w:val="center"/>
            </w:pPr>
            <w:bookmarkStart w:id="50" w:name="_Ref18199"/>
            <w:r>
              <w:t xml:space="preserve">图 </w:t>
            </w:r>
            <w:r>
              <w:fldChar w:fldCharType="begin"/>
            </w:r>
            <w:r>
              <w:instrText xml:space="preserve"> SEQ 图 \* ARABIC </w:instrText>
            </w:r>
            <w:r>
              <w:fldChar w:fldCharType="separate"/>
            </w:r>
            <w:r>
              <w:t>3</w:t>
            </w:r>
            <w:r>
              <w:fldChar w:fldCharType="end"/>
            </w:r>
            <w:bookmarkEnd w:id="50"/>
            <w:r>
              <w:rPr>
                <w:rFonts w:hint="eastAsia"/>
              </w:rPr>
              <w:t xml:space="preserve"> 职业病诊断就诊登记表</w:t>
            </w:r>
          </w:p>
          <w:p/>
          <w:p>
            <w:pPr>
              <w:pStyle w:val="15"/>
            </w:pPr>
          </w:p>
          <w:p/>
          <w:p/>
          <w:p/>
          <w:p/>
          <w:p>
            <w:pPr>
              <w:widowControl/>
              <w:adjustRightInd w:val="0"/>
              <w:snapToGrid w:val="0"/>
              <w:spacing w:line="360" w:lineRule="exact"/>
              <w:ind w:firstLine="420" w:firstLineChars="200"/>
              <w:jc w:val="left"/>
              <w:rPr>
                <w:rFonts w:ascii="宋体" w:hAnsi="宋体" w:cs="宋体"/>
              </w:rPr>
            </w:pPr>
          </w:p>
          <w:p>
            <w:pPr>
              <w:widowControl/>
              <w:adjustRightInd w:val="0"/>
              <w:snapToGrid w:val="0"/>
              <w:spacing w:line="360" w:lineRule="exact"/>
              <w:ind w:firstLine="420" w:firstLineChars="200"/>
              <w:jc w:val="left"/>
              <w:rPr>
                <w:rFonts w:ascii="宋体" w:hAnsi="宋体" w:cs="宋体"/>
              </w:rPr>
            </w:pPr>
          </w:p>
          <w:p>
            <w:pPr>
              <w:widowControl/>
              <w:adjustRightInd w:val="0"/>
              <w:snapToGrid w:val="0"/>
              <w:spacing w:line="360" w:lineRule="exact"/>
              <w:ind w:firstLine="420" w:firstLineChars="200"/>
              <w:jc w:val="left"/>
              <w:rPr>
                <w:rFonts w:hint="eastAsia" w:ascii="宋体" w:hAnsi="宋体" w:cs="宋体"/>
              </w:rPr>
            </w:pP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以及劳动者职业史需填写职业史及用人单位信息表，具体样式如下：</w:t>
            </w:r>
          </w:p>
          <w:p>
            <w:pPr>
              <w:widowControl/>
              <w:adjustRightInd w:val="0"/>
              <w:snapToGrid w:val="0"/>
              <w:ind w:firstLine="420" w:firstLineChars="200"/>
              <w:jc w:val="left"/>
              <w:rPr>
                <w:rFonts w:ascii="宋体" w:hAnsi="宋体" w:cs="宋体"/>
              </w:rPr>
            </w:pPr>
            <w:r>
              <w:rPr>
                <w:rFonts w:ascii="宋体" w:hAnsi="宋体" w:cs="宋体"/>
              </w:rPr>
              <w:drawing>
                <wp:inline distT="0" distB="0" distL="114300" distR="114300">
                  <wp:extent cx="5538470" cy="6875145"/>
                  <wp:effectExtent l="0" t="0" r="5080" b="1905"/>
                  <wp:docPr id="6"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片1"/>
                          <pic:cNvPicPr>
                            <a:picLocks noChangeAspect="1"/>
                          </pic:cNvPicPr>
                        </pic:nvPicPr>
                        <pic:blipFill>
                          <a:blip r:embed="rId18"/>
                          <a:stretch>
                            <a:fillRect/>
                          </a:stretch>
                        </pic:blipFill>
                        <pic:spPr>
                          <a:xfrm>
                            <a:off x="0" y="0"/>
                            <a:ext cx="5538470" cy="6875145"/>
                          </a:xfrm>
                          <a:prstGeom prst="rect">
                            <a:avLst/>
                          </a:prstGeom>
                          <a:noFill/>
                          <a:ln>
                            <a:noFill/>
                          </a:ln>
                        </pic:spPr>
                      </pic:pic>
                    </a:graphicData>
                  </a:graphic>
                </wp:inline>
              </w:drawing>
            </w:r>
          </w:p>
          <w:p>
            <w:pPr>
              <w:pStyle w:val="15"/>
              <w:jc w:val="center"/>
            </w:pPr>
            <w:bookmarkStart w:id="51" w:name="_Ref18222"/>
            <w:r>
              <w:t xml:space="preserve">图 </w:t>
            </w:r>
            <w:r>
              <w:fldChar w:fldCharType="begin"/>
            </w:r>
            <w:r>
              <w:instrText xml:space="preserve"> SEQ 图 \* ARABIC </w:instrText>
            </w:r>
            <w:r>
              <w:fldChar w:fldCharType="separate"/>
            </w:r>
            <w:r>
              <w:t>4</w:t>
            </w:r>
            <w:r>
              <w:fldChar w:fldCharType="end"/>
            </w:r>
            <w:bookmarkEnd w:id="51"/>
            <w:r>
              <w:rPr>
                <w:rFonts w:hint="eastAsia"/>
              </w:rPr>
              <w:t xml:space="preserve"> 职业史及用人单位信息表</w:t>
            </w:r>
          </w:p>
          <w:p>
            <w:pPr>
              <w:pStyle w:val="15"/>
            </w:pPr>
          </w:p>
          <w:p>
            <w:pPr>
              <w:pStyle w:val="15"/>
            </w:pPr>
          </w:p>
          <w:p>
            <w:pPr>
              <w:widowControl/>
              <w:adjustRightInd w:val="0"/>
              <w:snapToGrid w:val="0"/>
              <w:spacing w:line="360" w:lineRule="exact"/>
              <w:ind w:firstLine="420" w:firstLineChars="200"/>
              <w:jc w:val="center"/>
              <w:rPr>
                <w:rFonts w:ascii="宋体" w:hAnsi="宋体" w:cs="宋体"/>
              </w:rPr>
            </w:pPr>
          </w:p>
          <w:p>
            <w:pPr>
              <w:widowControl/>
              <w:adjustRightInd w:val="0"/>
              <w:snapToGrid w:val="0"/>
              <w:spacing w:line="360" w:lineRule="exact"/>
              <w:ind w:firstLine="420" w:firstLineChars="200"/>
              <w:jc w:val="left"/>
              <w:rPr>
                <w:rFonts w:ascii="宋体" w:hAnsi="宋体" w:cs="宋体"/>
              </w:rPr>
            </w:pPr>
          </w:p>
          <w:p>
            <w:pPr>
              <w:widowControl/>
              <w:adjustRightInd w:val="0"/>
              <w:snapToGrid w:val="0"/>
              <w:spacing w:line="360" w:lineRule="exact"/>
              <w:ind w:firstLine="420" w:firstLineChars="200"/>
              <w:jc w:val="left"/>
              <w:rPr>
                <w:rFonts w:ascii="宋体" w:hAnsi="宋体" w:cs="宋体"/>
              </w:rPr>
            </w:pP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劳动者的职业病诊断申请流程如下：</w:t>
            </w:r>
          </w:p>
          <w:p>
            <w:pPr>
              <w:widowControl/>
              <w:jc w:val="center"/>
            </w:pPr>
            <w:r>
              <w:drawing>
                <wp:inline distT="0" distB="0" distL="114935" distR="114935">
                  <wp:extent cx="5273040" cy="6825615"/>
                  <wp:effectExtent l="0" t="0" r="3810" b="1333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9"/>
                          <a:stretch>
                            <a:fillRect/>
                          </a:stretch>
                        </pic:blipFill>
                        <pic:spPr>
                          <a:xfrm>
                            <a:off x="0" y="0"/>
                            <a:ext cx="5273040" cy="6825615"/>
                          </a:xfrm>
                          <a:prstGeom prst="rect">
                            <a:avLst/>
                          </a:prstGeom>
                          <a:noFill/>
                          <a:ln>
                            <a:noFill/>
                          </a:ln>
                        </pic:spPr>
                      </pic:pic>
                    </a:graphicData>
                  </a:graphic>
                </wp:inline>
              </w:drawing>
            </w:r>
          </w:p>
          <w:p>
            <w:pPr>
              <w:pStyle w:val="15"/>
              <w:jc w:val="center"/>
            </w:pPr>
            <w:bookmarkStart w:id="52" w:name="_Ref18229"/>
            <w:r>
              <w:t xml:space="preserve">图 </w:t>
            </w:r>
            <w:r>
              <w:fldChar w:fldCharType="begin"/>
            </w:r>
            <w:r>
              <w:instrText xml:space="preserve"> SEQ 图 \* ARABIC </w:instrText>
            </w:r>
            <w:r>
              <w:fldChar w:fldCharType="separate"/>
            </w:r>
            <w:r>
              <w:t>5</w:t>
            </w:r>
            <w:r>
              <w:fldChar w:fldCharType="end"/>
            </w:r>
            <w:bookmarkEnd w:id="52"/>
            <w:r>
              <w:rPr>
                <w:rFonts w:hint="eastAsia"/>
              </w:rPr>
              <w:t xml:space="preserve"> 业务流程图</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劳动者申请职业病诊断，劳动者可在APP填写《职业病诊断就诊登记表》《职业史及用人单位信息表》和上传相关材料（劳动者职业史和职业病危害接触史（包括在岗时间、工种、岗位、接触的职业病危害因素名称等）；劳动者职业健康检查结果；工作场所职业病危害因素检测结果；职业性放射性疾病诊断还需要个人剂量监测档案等资料；身份证扫描件。），初步审核材料后受理，劳动者缴费。并向劳动者反馈审核意见（意见包含需补充的材料，并提示劳动者只能在一家职业病诊断机构进行申请诊断）。诊断完成后，劳动者可以查看职业病诊断结果。</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②申请进度和报告查询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劳动者可以在APP上查看申请诊断进度情况，进度情况包括提交申请、申请受理、初审反馈（需核验劳动者身份）、材料补充、诊断受理、缴费情况、书面通知用人单位（如果用人单位不承认劳动关系、不提供职业史材料，需要劳动者到仲裁机构做劳动关系争议仲裁，仲裁机构出具仲裁书，诊断机构获取仲裁书后，发函主送给用人单位提供职业史以、健康监护档案、工作场所职业病危害因素检测结果等资料，诊断机构同时抄送函给劳动者和监管部门；如果用人单位根据仲裁书依然不提供材料，监管部门督促用人单位在10个工作日内提供；如果监管部门督促后用人单位依然不提供，诊断机构发函主送给监管部门，让监管部门去做现场调查，提交诊断所需材料。诊断机构收集近期临床与辅助检查材料，经职业病诊断医师集体诊断，如果材料不足，发函给劳动者，补充临床、辅助资料，继续观察患病情况，诊断医师下诊断结论、医学意见和建议，出具《职业病诊断证明书》，诊断机构将《职业病诊断证明书》快递发给劳动者一份，用人单位所在地县级卫生健康主管部门一份，用人单位两份，诊断机构存档一份。诊断机构做职业病报告，报告给所在地卫生行政部门、网络报告系统，最后建档、归档。）、用人单位补充有关材料、劳动者职业病诊断中、诊断完成、结果通知和报告查询。</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（5）职业病鉴定</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①职业病鉴定申请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劳动者申请职业病鉴定。劳动者对于诊断结果由异议，可以提出申请职业病鉴定，在线上签署《申请职业病诊断鉴定告知书》，填写《职业病鉴定申请书》及上传有关证明文件（职业病诊断鉴定申请表、职业病诊断证明书（申请再鉴定者，必须提交首次职业病诊断鉴定书）、职业史、职业健康监护档案复印件、职业健康检查结果、工作场所历年职业病危害因素检测及评价资料、既往史、其他有关材料（包括近期相关检查、检测材料））、相关材料关联职业病诊断机构数据，并提交给职业病鉴定办事机构，职业病鉴定办事机构对鉴定申请进行受理，并将初审结果反馈给申请者（反馈内容包含需劳动者补充的材料内容），劳动者对材料进行补充后再次提交鉴定申请，职业病鉴定办事机构对鉴定申请进行再次受理。鉴定申请通过后，从专家库随机抽取专家进行职业病鉴定。鉴定专家对劳动者的职业病鉴定完成后，劳动者可以查看鉴定结果。职业病鉴定机构根据劳动者提交的职业病鉴定申请，根据实际情况对职业病诊断结果业务进行审核，并以系统提示和短信通知的方式将结果反馈至劳动者。</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职业病鉴定申请书表格样式如</w:t>
            </w:r>
            <w:r>
              <w:rPr>
                <w:rFonts w:hint="eastAsia" w:ascii="宋体" w:hAnsi="宋体" w:cs="宋体"/>
              </w:rPr>
              <w:fldChar w:fldCharType="begin"/>
            </w:r>
            <w:r>
              <w:rPr>
                <w:rFonts w:hint="eastAsia" w:ascii="宋体" w:hAnsi="宋体" w:cs="宋体"/>
              </w:rPr>
              <w:instrText xml:space="preserve"> REF _Ref18562 \h </w:instrText>
            </w:r>
            <w:r>
              <w:rPr>
                <w:rFonts w:hint="eastAsia" w:ascii="宋体" w:hAnsi="宋体" w:cs="宋体"/>
              </w:rPr>
              <w:fldChar w:fldCharType="separate"/>
            </w:r>
            <w:r>
              <w:t>图 6</w:t>
            </w:r>
            <w:r>
              <w:rPr>
                <w:rFonts w:hint="eastAsia" w:ascii="宋体" w:hAnsi="宋体" w:cs="宋体"/>
              </w:rPr>
              <w:fldChar w:fldCharType="end"/>
            </w:r>
            <w:r>
              <w:rPr>
                <w:rFonts w:hint="eastAsia" w:ascii="宋体" w:hAnsi="宋体" w:cs="宋体"/>
              </w:rPr>
              <w:t>所示。</w:t>
            </w:r>
          </w:p>
          <w:p>
            <w:pPr>
              <w:widowControl/>
              <w:jc w:val="center"/>
            </w:pPr>
            <w:r>
              <w:drawing>
                <wp:inline distT="0" distB="0" distL="114300" distR="114300">
                  <wp:extent cx="5400040" cy="7496175"/>
                  <wp:effectExtent l="0" t="0" r="10160"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0"/>
                          <a:stretch>
                            <a:fillRect/>
                          </a:stretch>
                        </pic:blipFill>
                        <pic:spPr>
                          <a:xfrm>
                            <a:off x="0" y="0"/>
                            <a:ext cx="5400040" cy="7496175"/>
                          </a:xfrm>
                          <a:prstGeom prst="rect">
                            <a:avLst/>
                          </a:prstGeom>
                          <a:noFill/>
                          <a:ln>
                            <a:noFill/>
                          </a:ln>
                        </pic:spPr>
                      </pic:pic>
                    </a:graphicData>
                  </a:graphic>
                </wp:inline>
              </w:drawing>
            </w:r>
          </w:p>
          <w:p>
            <w:pPr>
              <w:pStyle w:val="15"/>
              <w:jc w:val="center"/>
            </w:pPr>
            <w:bookmarkStart w:id="53" w:name="_Ref18562"/>
            <w:r>
              <w:t xml:space="preserve">图 </w:t>
            </w:r>
            <w:r>
              <w:fldChar w:fldCharType="begin"/>
            </w:r>
            <w:r>
              <w:instrText xml:space="preserve"> SEQ 图 \* ARABIC </w:instrText>
            </w:r>
            <w:r>
              <w:fldChar w:fldCharType="separate"/>
            </w:r>
            <w:r>
              <w:t>6</w:t>
            </w:r>
            <w:r>
              <w:fldChar w:fldCharType="end"/>
            </w:r>
            <w:bookmarkEnd w:id="53"/>
            <w:r>
              <w:rPr>
                <w:rFonts w:hint="eastAsia"/>
              </w:rPr>
              <w:t xml:space="preserve"> 职业病鉴定申请书</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②申请进度查询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劳动者可以在APP上查看申请鉴定进度情况，进度情况包括提交申请、申请受理、初审反馈、材料补充、鉴定受理、书面通知用人单位、鉴定完成、结果通知和报告查询。</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（6）异常情况反馈</w:t>
            </w:r>
          </w:p>
          <w:p>
            <w:pPr>
              <w:widowControl/>
              <w:adjustRightInd w:val="0"/>
              <w:snapToGrid w:val="0"/>
              <w:spacing w:line="360" w:lineRule="exact"/>
              <w:ind w:firstLine="420" w:firstLineChars="200"/>
              <w:jc w:val="left"/>
            </w:pPr>
            <w:r>
              <w:rPr>
                <w:rFonts w:hint="eastAsia" w:ascii="宋体" w:hAnsi="宋体" w:cs="宋体"/>
              </w:rPr>
              <w:t>主要为劳动者在日常劳动工作和职业卫生管理过程中，对于职业病管理不合理、不规范或者存在违法行为的用人单位，可在系统中向属地卫生监督管理部门进行异常情况反馈。业务流程如下：</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异常情况反馈功能由劳动者发起，并配套情况反馈材料（照片或文字反馈），由劳动者所在用人单位属地卫生监督所对异常情况反馈情况进行受理。由属地卫生监督所在后台对异常情况反馈的内容进行核实，并通过系统提醒和短信通知方式将处理结果信息反馈至劳动者。</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①反馈申请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劳动者可以在手机应用端对单位配备的防护设备不到位、未购买保险、定期的健康体检不按规定要求执行等异常情况进行反馈。异常情况反馈模块支持拍照功能调用，支持图片上传。主要反馈信息包括：用人单位、地址、反馈类型、反馈详情、图片、反馈人实名认证、反馈人联系电话等。（反馈者信息应脱敏处理，有特定权限才可以查看）。属地卫生监督所根据劳动者提交的反馈内容对相关单位和机构的具体情况进行核查，根据实际情况填写核查结果，并以系统通知和短信提醒的方式将结果反馈至劳动者。</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②结果查询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劳动者可以在APP上查看异常情况的处理结果。</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（7）个人中心</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①我的信息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劳动者可以查看个人信息和劳动史，修改个人信息和当前所在的工作单位情况时，需要上报修改，由劳动者当前工作的单位进行审核，审核通过后，劳动者信息方可修改成功。</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②单位信息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单位信息用于展示劳动者所在的单位的基本信息。劳动者可以查看所在用人单位的信息、职业病危害作业岗位基础信息、职业病危害个人防护用品信息等。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③系统管理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系统管理用于给劳动者进行账号密码变更、账户注销。</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3.职业健康检查机构应用系统</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健康检查是指医疗卫生机构按照国家有关规定，对从事接触职业病危害作业的劳动者进行的上岗前、在岗期间、离岗时的健康检查。本项目建设的职业健康检查机构应用系统涉及到的使用对象为职业健康检查机构，主要由职业健康检查机构包括：本机构基本信息、用人单位职业健康检查基本信息、劳动者职业健康检查基本信息，实现信息管理和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数据采集，依托于本平台“基础支撑与服务开放平台”里的“数据管理平台”统一数据录入功能，根据国家和自治区的数据采集要求，进行统一采集，形成自治区级的数据库。为避免二次录入，系统需与职防院现有的广西职业病防治与职业健康管理平台实现数据库对接，针对职防院系统已采集的数据将自动填充，不再二次录入，同时将所有录入的数据按要求入库进行统一管理。参照《全国公共卫生信息化建设标准与规范》《全国职业健康统计调查制度》及相关数据集标准，确定信息采集的基本内容、字段格式要求进行数据上报。兼容国垂系统《职业病及健康危害因素监测信息系统》，覆盖国垂系统所有功能。</w:t>
            </w:r>
            <w:r>
              <w:rPr>
                <w:rFonts w:hint="eastAsia"/>
              </w:rPr>
              <w:t>如可与</w:t>
            </w:r>
            <w:r>
              <w:rPr>
                <w:rFonts w:hint="eastAsia" w:ascii="宋体" w:hAnsi="宋体" w:cs="宋体"/>
              </w:rPr>
              <w:t>国垂系统《职业病及健康危害因素监测信息系统》实现</w:t>
            </w:r>
            <w:r>
              <w:rPr>
                <w:rFonts w:hint="eastAsia"/>
              </w:rPr>
              <w:t>数据对接，则将数据将自动填充，不再二次录入，否则要实现填报的信息上报国垂系统。</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（1）机构基本信息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机构信息填报包括：</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①机构基本信息：</w:t>
            </w:r>
            <w:r>
              <w:rPr>
                <w:rFonts w:hint="eastAsia" w:ascii="宋体" w:hAnsi="宋体" w:cs="宋体"/>
              </w:rPr>
              <w:t>机构名称、法定代表人（或主要负责人）、统一社会信用代码、注册地址、实验室地址、联系人、联系电话、经济类型、机构属性、业务范围、</w:t>
            </w:r>
            <w:r>
              <w:rPr>
                <w:rFonts w:hint="eastAsia" w:ascii="宋体" w:hAnsi="宋体" w:cs="宋体"/>
                <w:szCs w:val="21"/>
              </w:rPr>
              <w:t>是否参加间比对和室间质评，并上传比对结果证书和室间质评证书</w:t>
            </w:r>
            <w:r>
              <w:rPr>
                <w:rFonts w:hint="eastAsia" w:ascii="宋体" w:hAnsi="宋体" w:cs="宋体"/>
              </w:rPr>
              <w:t>。</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②专业技术人员</w:t>
            </w:r>
            <w:r>
              <w:rPr>
                <w:rFonts w:hint="eastAsia" w:ascii="宋体" w:hAnsi="宋体" w:cs="宋体"/>
              </w:rPr>
              <w:t>：主检医师人数、护士人数、医技人员人数、职业病诊断资格执业医师人数。</w:t>
            </w:r>
          </w:p>
          <w:p>
            <w:pPr>
              <w:adjustRightInd w:val="0"/>
              <w:snapToGrid w:val="0"/>
              <w:ind w:firstLine="422" w:firstLineChars="200"/>
              <w:rPr>
                <w:rFonts w:ascii="宋体" w:hAnsi="宋体" w:cs="宋体"/>
                <w:b/>
                <w:bCs/>
                <w:szCs w:val="21"/>
              </w:rPr>
            </w:pPr>
            <w:r>
              <w:rPr>
                <w:rFonts w:hint="eastAsia" w:ascii="宋体" w:hAnsi="宋体" w:cs="宋体"/>
                <w:b/>
                <w:bCs/>
              </w:rPr>
              <w:t>③</w:t>
            </w:r>
            <w:r>
              <w:rPr>
                <w:rFonts w:hint="eastAsia" w:ascii="宋体" w:hAnsi="宋体" w:cs="宋体"/>
                <w:b/>
                <w:bCs/>
                <w:szCs w:val="21"/>
              </w:rPr>
              <w:t>体检机构设备管理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szCs w:val="21"/>
              </w:rPr>
              <w:t>允许以E</w:t>
            </w:r>
            <w:r>
              <w:rPr>
                <w:rFonts w:ascii="宋体" w:hAnsi="宋体" w:cs="宋体"/>
                <w:szCs w:val="21"/>
              </w:rPr>
              <w:t>x</w:t>
            </w:r>
            <w:r>
              <w:rPr>
                <w:rFonts w:hint="eastAsia" w:ascii="宋体" w:hAnsi="宋体" w:cs="宋体"/>
                <w:szCs w:val="21"/>
              </w:rPr>
              <w:t>cel格式上传本机构职业健康检查涉及的设备基本情况，设备是否检定校准，是否在有效期内。</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（2）检查机构备案预提交</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用于职业健康检查机构申请，可在门户上增设申请链接，并关联至本模块功能，向自治区卫生监督所备案。提交备案并</w:t>
            </w:r>
            <w:r>
              <w:rPr>
                <w:rFonts w:hint="eastAsia" w:ascii="宋体" w:hAnsi="宋体" w:cs="宋体"/>
                <w:szCs w:val="21"/>
              </w:rPr>
              <w:t>上传相关证明附件</w:t>
            </w:r>
            <w:r>
              <w:rPr>
                <w:rFonts w:hint="eastAsia" w:ascii="宋体" w:hAnsi="宋体" w:cs="宋体"/>
              </w:rPr>
              <w:t>：备案信息包括医疗卫生机构名单、地址、检查类别、检查项目、《医疗机构执业许可证》《放射诊疗许可证》（涉及放射检查项目的）、职业健康检查场所面积、每个独立的检查室使用面积、医师数量、护士数量、取得职业病诊断资格的执业医师、职业健康检查仪器、设备、专用车辆信息、职业健康检查质量管理制度。变更备案：当备案信息发生变化时，职业健康检查机构应当自信息发生变化之日起10个工作日内提交变更信息。职业健康检查机构备案表如下</w:t>
            </w:r>
            <w:r>
              <w:rPr>
                <w:rFonts w:hint="eastAsia" w:ascii="宋体" w:hAnsi="宋体" w:cs="宋体"/>
              </w:rPr>
              <w:fldChar w:fldCharType="begin"/>
            </w:r>
            <w:r>
              <w:rPr>
                <w:rFonts w:hint="eastAsia" w:ascii="宋体" w:hAnsi="宋体" w:cs="宋体"/>
              </w:rPr>
              <w:instrText xml:space="preserve"> REF _Ref18709 \h </w:instrText>
            </w:r>
            <w:r>
              <w:rPr>
                <w:rFonts w:hint="eastAsia" w:ascii="宋体" w:hAnsi="宋体" w:cs="宋体"/>
              </w:rPr>
              <w:fldChar w:fldCharType="separate"/>
            </w:r>
            <w:r>
              <w:t>图 7</w:t>
            </w:r>
            <w:r>
              <w:rPr>
                <w:rFonts w:hint="eastAsia" w:ascii="宋体" w:hAnsi="宋体" w:cs="宋体"/>
              </w:rPr>
              <w:fldChar w:fldCharType="end"/>
            </w:r>
            <w:r>
              <w:rPr>
                <w:rFonts w:hint="eastAsia" w:ascii="宋体" w:hAnsi="宋体" w:cs="宋体"/>
              </w:rPr>
              <w:t>、</w:t>
            </w:r>
            <w:r>
              <w:rPr>
                <w:rFonts w:hint="eastAsia" w:ascii="宋体" w:hAnsi="宋体" w:cs="宋体"/>
              </w:rPr>
              <w:fldChar w:fldCharType="begin"/>
            </w:r>
            <w:r>
              <w:rPr>
                <w:rFonts w:hint="eastAsia" w:ascii="宋体" w:hAnsi="宋体" w:cs="宋体"/>
              </w:rPr>
              <w:instrText xml:space="preserve"> REF _Ref18722 \h </w:instrText>
            </w:r>
            <w:r>
              <w:rPr>
                <w:rFonts w:hint="eastAsia" w:ascii="宋体" w:hAnsi="宋体" w:cs="宋体"/>
              </w:rPr>
              <w:fldChar w:fldCharType="separate"/>
            </w:r>
            <w:r>
              <w:t>图 8</w:t>
            </w:r>
            <w:r>
              <w:rPr>
                <w:rFonts w:hint="eastAsia" w:ascii="宋体" w:hAnsi="宋体" w:cs="宋体"/>
              </w:rPr>
              <w:fldChar w:fldCharType="end"/>
            </w:r>
            <w:r>
              <w:rPr>
                <w:rFonts w:hint="eastAsia" w:ascii="宋体" w:hAnsi="宋体" w:cs="宋体"/>
              </w:rPr>
              <w:t>、</w:t>
            </w:r>
            <w:r>
              <w:rPr>
                <w:rFonts w:hint="eastAsia" w:ascii="宋体" w:hAnsi="宋体" w:cs="宋体"/>
              </w:rPr>
              <w:fldChar w:fldCharType="begin"/>
            </w:r>
            <w:r>
              <w:rPr>
                <w:rFonts w:hint="eastAsia" w:ascii="宋体" w:hAnsi="宋体" w:cs="宋体"/>
              </w:rPr>
              <w:instrText xml:space="preserve"> REF _Ref18728 \h </w:instrText>
            </w:r>
            <w:r>
              <w:rPr>
                <w:rFonts w:hint="eastAsia" w:ascii="宋体" w:hAnsi="宋体" w:cs="宋体"/>
              </w:rPr>
              <w:fldChar w:fldCharType="separate"/>
            </w:r>
            <w:r>
              <w:t>图 9</w:t>
            </w:r>
            <w:r>
              <w:rPr>
                <w:rFonts w:hint="eastAsia" w:ascii="宋体" w:hAnsi="宋体" w:cs="宋体"/>
              </w:rPr>
              <w:fldChar w:fldCharType="end"/>
            </w:r>
            <w:r>
              <w:rPr>
                <w:rFonts w:hint="eastAsia" w:ascii="宋体" w:hAnsi="宋体" w:cs="宋体"/>
              </w:rPr>
              <w:t>所示：</w:t>
            </w:r>
          </w:p>
          <w:p>
            <w:pPr>
              <w:pStyle w:val="2"/>
              <w:rPr>
                <w:lang w:val="en-US" w:eastAsia="zh-CN"/>
              </w:rPr>
            </w:pPr>
            <w:r>
              <w:rPr>
                <w:lang w:val="en-US" w:eastAsia="zh-CN"/>
              </w:rPr>
              <w:drawing>
                <wp:inline distT="0" distB="0" distL="114300" distR="114300">
                  <wp:extent cx="5227320" cy="5452110"/>
                  <wp:effectExtent l="0" t="0" r="11430" b="152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1"/>
                          <a:stretch>
                            <a:fillRect/>
                          </a:stretch>
                        </pic:blipFill>
                        <pic:spPr>
                          <a:xfrm>
                            <a:off x="0" y="0"/>
                            <a:ext cx="5227320" cy="5452110"/>
                          </a:xfrm>
                          <a:prstGeom prst="rect">
                            <a:avLst/>
                          </a:prstGeom>
                          <a:noFill/>
                          <a:ln>
                            <a:noFill/>
                          </a:ln>
                        </pic:spPr>
                      </pic:pic>
                    </a:graphicData>
                  </a:graphic>
                </wp:inline>
              </w:drawing>
            </w:r>
          </w:p>
          <w:p>
            <w:pPr>
              <w:pStyle w:val="15"/>
              <w:jc w:val="center"/>
            </w:pPr>
            <w:bookmarkStart w:id="54" w:name="_Ref18709"/>
            <w:r>
              <w:t xml:space="preserve">图 </w:t>
            </w:r>
            <w:r>
              <w:fldChar w:fldCharType="begin"/>
            </w:r>
            <w:r>
              <w:instrText xml:space="preserve"> SEQ 图 \* ARABIC </w:instrText>
            </w:r>
            <w:r>
              <w:fldChar w:fldCharType="separate"/>
            </w:r>
            <w:r>
              <w:t>7</w:t>
            </w:r>
            <w:r>
              <w:fldChar w:fldCharType="end"/>
            </w:r>
            <w:bookmarkEnd w:id="54"/>
            <w:r>
              <w:rPr>
                <w:rFonts w:hint="eastAsia"/>
              </w:rPr>
              <w:t xml:space="preserve"> 职业健康检查机构备案表</w:t>
            </w:r>
          </w:p>
          <w:p>
            <w:pPr>
              <w:pStyle w:val="2"/>
              <w:ind w:firstLine="420" w:firstLineChars="200"/>
              <w:jc w:val="both"/>
              <w:rPr>
                <w:rFonts w:ascii="宋体" w:hAnsi="宋体" w:cs="宋体"/>
                <w:b w:val="0"/>
                <w:sz w:val="21"/>
                <w:szCs w:val="22"/>
                <w:lang w:val="en-US" w:eastAsia="zh-CN"/>
              </w:rPr>
            </w:pPr>
            <w:r>
              <w:rPr>
                <w:rFonts w:hint="eastAsia" w:ascii="宋体" w:hAnsi="宋体" w:cs="宋体"/>
                <w:b w:val="0"/>
                <w:sz w:val="21"/>
                <w:szCs w:val="22"/>
                <w:lang w:val="en-US" w:eastAsia="zh-CN"/>
              </w:rPr>
              <w:t>职业健康检查执业医师等相关医疗卫生技术人员情况表如下图所示：</w:t>
            </w:r>
          </w:p>
          <w:p>
            <w:pPr>
              <w:jc w:val="center"/>
            </w:pPr>
            <w:r>
              <w:drawing>
                <wp:inline distT="0" distB="0" distL="114300" distR="114300">
                  <wp:extent cx="5063490" cy="1941195"/>
                  <wp:effectExtent l="0" t="0" r="3810" b="19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2"/>
                          <a:stretch>
                            <a:fillRect/>
                          </a:stretch>
                        </pic:blipFill>
                        <pic:spPr>
                          <a:xfrm>
                            <a:off x="0" y="0"/>
                            <a:ext cx="5063490" cy="1941195"/>
                          </a:xfrm>
                          <a:prstGeom prst="rect">
                            <a:avLst/>
                          </a:prstGeom>
                          <a:noFill/>
                          <a:ln>
                            <a:noFill/>
                          </a:ln>
                        </pic:spPr>
                      </pic:pic>
                    </a:graphicData>
                  </a:graphic>
                </wp:inline>
              </w:drawing>
            </w:r>
          </w:p>
          <w:p>
            <w:pPr>
              <w:pStyle w:val="15"/>
              <w:jc w:val="center"/>
            </w:pPr>
            <w:bookmarkStart w:id="55" w:name="_Ref18722"/>
            <w:r>
              <w:t xml:space="preserve">图 </w:t>
            </w:r>
            <w:r>
              <w:fldChar w:fldCharType="begin"/>
            </w:r>
            <w:r>
              <w:instrText xml:space="preserve"> SEQ 图 \* ARABIC </w:instrText>
            </w:r>
            <w:r>
              <w:fldChar w:fldCharType="separate"/>
            </w:r>
            <w:r>
              <w:t>8</w:t>
            </w:r>
            <w:r>
              <w:fldChar w:fldCharType="end"/>
            </w:r>
            <w:bookmarkEnd w:id="55"/>
            <w:r>
              <w:rPr>
                <w:rFonts w:hint="eastAsia"/>
              </w:rPr>
              <w:t xml:space="preserve"> 职业健康检查执业医师等相关医疗卫生技术人员情况表</w:t>
            </w:r>
          </w:p>
          <w:p>
            <w:pPr>
              <w:ind w:left="420" w:leftChars="200"/>
            </w:pPr>
            <w:r>
              <w:rPr>
                <w:rFonts w:hint="eastAsia"/>
              </w:rPr>
              <w:t>职业健康检查仪器和设备清单如下图所示：</w:t>
            </w:r>
            <w:r>
              <w:rPr>
                <w:rFonts w:hint="eastAsia"/>
              </w:rPr>
              <w:br w:type="textWrapping"/>
            </w:r>
            <w:r>
              <w:drawing>
                <wp:inline distT="0" distB="0" distL="114300" distR="114300">
                  <wp:extent cx="5495290" cy="1457960"/>
                  <wp:effectExtent l="0" t="0" r="10160" b="889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3"/>
                          <a:stretch>
                            <a:fillRect/>
                          </a:stretch>
                        </pic:blipFill>
                        <pic:spPr>
                          <a:xfrm>
                            <a:off x="0" y="0"/>
                            <a:ext cx="5495290" cy="1457960"/>
                          </a:xfrm>
                          <a:prstGeom prst="rect">
                            <a:avLst/>
                          </a:prstGeom>
                          <a:noFill/>
                          <a:ln>
                            <a:noFill/>
                          </a:ln>
                        </pic:spPr>
                      </pic:pic>
                    </a:graphicData>
                  </a:graphic>
                </wp:inline>
              </w:drawing>
            </w:r>
          </w:p>
          <w:p>
            <w:pPr>
              <w:pStyle w:val="15"/>
              <w:jc w:val="center"/>
            </w:pPr>
            <w:bookmarkStart w:id="56" w:name="_Ref18728"/>
            <w:r>
              <w:t xml:space="preserve">图 </w:t>
            </w:r>
            <w:r>
              <w:fldChar w:fldCharType="begin"/>
            </w:r>
            <w:r>
              <w:instrText xml:space="preserve"> SEQ 图 \* ARABIC </w:instrText>
            </w:r>
            <w:r>
              <w:fldChar w:fldCharType="separate"/>
            </w:r>
            <w:r>
              <w:t>9</w:t>
            </w:r>
            <w:r>
              <w:fldChar w:fldCharType="end"/>
            </w:r>
            <w:bookmarkEnd w:id="56"/>
            <w:r>
              <w:rPr>
                <w:rFonts w:hint="eastAsia"/>
              </w:rPr>
              <w:t xml:space="preserve"> 职业健康检查仪器和设备清单</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（3）职业健康体检系统管理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①职健康体检受理审核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健康检查机构可在本模块中受理用人单位的体检申请，查看用人单位检测记录（关联职业技术服务机构应用系统数据），审核通过后向用人单位和劳动者发送具体的体检时间、地点、检查项目、地址等短信和系统提醒信息。在系统审核通过的同时，职业健康检查机构需与用人单位签署体检协议。</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②体检数据上报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健康检查机构在系统中上传用人单位/劳动者的职业健康检查数据，填报方式包括手工录入和《职业病及健康危害因素监测信息系统》对接。上传数据的标准参考《全国职业健康统计调查制度》中《职业健康检查档案卡》的要求，通过市县疾控中心、自治区级职防院三级审核后上报至国家平台。</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手工录入：由职业健康检查机构对用人单位/劳动者/体检机构上报的报表数据，按国家要求的职业健康检查数据采集标准录入系统。</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系统对接：对接体检机构已建设本身的体检系统（对接广西职业病防治与健康管理平台），可实现直接以系统对接的形式进行数据录入。避免人工录入的错误风险。</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劳动者基本情况：姓名、性别、出生日期、证件类型、证件号码、联系电话。</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用人单位基本信息：用人单位所在地、名称、统一社会信用代码、通讯地址、邮编、联系人、联系电话、企业类型、行业类别、企业规模。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健康检查情况：报告日期、体检日期、报告出具日期、创建日期、体检类型（上岗前、在岗期间、离岗时、离岗后、应急）、接触的职业性有害因素、体检的职业性有害因素、开始接害日期、实际接害工龄、统计工种、体检结论职业性有害因素名称、体检结论、疑似职业病/职业禁忌证/其他疾病或异常信息、监测种类（常规监测、主动监测）、检查项目名称、检查指标名称（血压、血常规、尿常规、肝功能等）、检查结果类型、检查结果、计量单位及参考值范围、是否异常等信息。</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（4）职业健康培训查询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功能需与在线教育培训系统后台对应的培训内容、培训形式、培训管理、培训考核证书管理等基础数据互通，便于查询本单位专业技术人员培训信息。</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（5）机构规范制度管理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（6）职业健康检查机构自查模块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健康检查机构在卫生监督部门执行监督检查前针对检查事项表进行自查，并按要求填写自查信息，填写完毕后可在系统中提交。卫生监督管理部门在管理系统中查询提交的自查信息表，根据自查信息表对职业健康检查机构进行检查。自查表内容如下</w:t>
            </w:r>
            <w:r>
              <w:rPr>
                <w:rFonts w:hint="eastAsia" w:ascii="宋体" w:hAnsi="宋体" w:cs="宋体"/>
              </w:rPr>
              <w:fldChar w:fldCharType="begin"/>
            </w:r>
            <w:r>
              <w:rPr>
                <w:rFonts w:hint="eastAsia" w:ascii="宋体" w:hAnsi="宋体" w:cs="宋体"/>
              </w:rPr>
              <w:instrText xml:space="preserve"> REF _Ref18817 \h </w:instrText>
            </w:r>
            <w:r>
              <w:rPr>
                <w:rFonts w:hint="eastAsia" w:ascii="宋体" w:hAnsi="宋体" w:cs="宋体"/>
              </w:rPr>
              <w:fldChar w:fldCharType="separate"/>
            </w:r>
            <w:r>
              <w:t>图 10</w:t>
            </w:r>
            <w:r>
              <w:rPr>
                <w:rFonts w:hint="eastAsia" w:ascii="宋体" w:hAnsi="宋体" w:cs="宋体"/>
              </w:rPr>
              <w:fldChar w:fldCharType="end"/>
            </w:r>
            <w:r>
              <w:rPr>
                <w:rFonts w:hint="eastAsia" w:ascii="宋体" w:hAnsi="宋体" w:cs="宋体"/>
              </w:rPr>
              <w:t>、</w:t>
            </w:r>
            <w:r>
              <w:rPr>
                <w:rFonts w:hint="eastAsia" w:ascii="宋体" w:hAnsi="宋体" w:cs="宋体"/>
              </w:rPr>
              <w:fldChar w:fldCharType="begin"/>
            </w:r>
            <w:r>
              <w:rPr>
                <w:rFonts w:hint="eastAsia" w:ascii="宋体" w:hAnsi="宋体" w:cs="宋体"/>
              </w:rPr>
              <w:instrText xml:space="preserve"> REF _Ref18820 \h </w:instrText>
            </w:r>
            <w:r>
              <w:rPr>
                <w:rFonts w:hint="eastAsia" w:ascii="宋体" w:hAnsi="宋体" w:cs="宋体"/>
              </w:rPr>
              <w:fldChar w:fldCharType="separate"/>
            </w:r>
            <w:r>
              <w:t>图 11</w:t>
            </w:r>
            <w:r>
              <w:rPr>
                <w:rFonts w:hint="eastAsia" w:ascii="宋体" w:hAnsi="宋体" w:cs="宋体"/>
              </w:rPr>
              <w:fldChar w:fldCharType="end"/>
            </w:r>
            <w:r>
              <w:rPr>
                <w:rFonts w:hint="eastAsia" w:ascii="宋体" w:hAnsi="宋体" w:cs="宋体"/>
              </w:rPr>
              <w:t>、</w:t>
            </w:r>
            <w:r>
              <w:rPr>
                <w:rFonts w:hint="eastAsia" w:ascii="宋体" w:hAnsi="宋体" w:cs="宋体"/>
              </w:rPr>
              <w:fldChar w:fldCharType="begin"/>
            </w:r>
            <w:r>
              <w:rPr>
                <w:rFonts w:hint="eastAsia" w:ascii="宋体" w:hAnsi="宋体" w:cs="宋体"/>
              </w:rPr>
              <w:instrText xml:space="preserve"> REF _Ref18826 \h </w:instrText>
            </w:r>
            <w:r>
              <w:rPr>
                <w:rFonts w:hint="eastAsia" w:ascii="宋体" w:hAnsi="宋体" w:cs="宋体"/>
              </w:rPr>
              <w:fldChar w:fldCharType="separate"/>
            </w:r>
            <w:r>
              <w:t>图 12</w:t>
            </w:r>
            <w:r>
              <w:rPr>
                <w:rFonts w:hint="eastAsia" w:ascii="宋体" w:hAnsi="宋体" w:cs="宋体"/>
              </w:rPr>
              <w:fldChar w:fldCharType="end"/>
            </w:r>
            <w:r>
              <w:rPr>
                <w:rFonts w:hint="eastAsia" w:ascii="宋体" w:hAnsi="宋体" w:cs="宋体"/>
              </w:rPr>
              <w:t>所示：</w:t>
            </w:r>
          </w:p>
          <w:p>
            <w:pPr>
              <w:widowControl/>
              <w:adjustRightInd w:val="0"/>
              <w:snapToGrid w:val="0"/>
              <w:ind w:firstLine="420" w:firstLineChars="200"/>
              <w:jc w:val="left"/>
              <w:rPr>
                <w:rFonts w:ascii="宋体" w:hAnsi="宋体" w:cs="宋体"/>
              </w:rPr>
            </w:pPr>
            <w:r>
              <w:rPr>
                <w:rFonts w:ascii="宋体" w:hAnsi="宋体" w:cs="宋体"/>
              </w:rPr>
              <w:drawing>
                <wp:inline distT="0" distB="0" distL="114300" distR="114300">
                  <wp:extent cx="5348605" cy="6245225"/>
                  <wp:effectExtent l="0" t="0" r="4445" b="317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4"/>
                          <a:srcRect l="2405" t="8606" r="1086" b="12674"/>
                          <a:stretch>
                            <a:fillRect/>
                          </a:stretch>
                        </pic:blipFill>
                        <pic:spPr>
                          <a:xfrm>
                            <a:off x="0" y="0"/>
                            <a:ext cx="5348605" cy="6245225"/>
                          </a:xfrm>
                          <a:prstGeom prst="rect">
                            <a:avLst/>
                          </a:prstGeom>
                          <a:noFill/>
                          <a:ln>
                            <a:noFill/>
                          </a:ln>
                        </pic:spPr>
                      </pic:pic>
                    </a:graphicData>
                  </a:graphic>
                </wp:inline>
              </w:drawing>
            </w:r>
          </w:p>
          <w:p>
            <w:pPr>
              <w:pStyle w:val="15"/>
              <w:jc w:val="center"/>
            </w:pPr>
            <w:bookmarkStart w:id="57" w:name="_Ref18817"/>
            <w:r>
              <w:t xml:space="preserve">图 </w:t>
            </w:r>
            <w:r>
              <w:fldChar w:fldCharType="begin"/>
            </w:r>
            <w:r>
              <w:instrText xml:space="preserve"> SEQ 图 \* ARABIC </w:instrText>
            </w:r>
            <w:r>
              <w:fldChar w:fldCharType="separate"/>
            </w:r>
            <w:r>
              <w:t>10</w:t>
            </w:r>
            <w:r>
              <w:fldChar w:fldCharType="end"/>
            </w:r>
            <w:bookmarkEnd w:id="57"/>
            <w:r>
              <w:rPr>
                <w:rFonts w:hint="eastAsia"/>
              </w:rPr>
              <w:t xml:space="preserve"> 职业健康检查、职业病诊断放射卫生技术服务机构被监督单位信息卡</w:t>
            </w:r>
          </w:p>
          <w:p>
            <w:pPr>
              <w:widowControl/>
              <w:adjustRightInd w:val="0"/>
              <w:snapToGrid w:val="0"/>
              <w:jc w:val="center"/>
              <w:rPr>
                <w:rFonts w:ascii="宋体" w:hAnsi="宋体" w:cs="宋体"/>
              </w:rPr>
            </w:pPr>
            <w:r>
              <w:rPr>
                <w:rFonts w:ascii="宋体" w:hAnsi="宋体" w:cs="宋体"/>
              </w:rPr>
              <w:drawing>
                <wp:inline distT="0" distB="0" distL="114300" distR="114300">
                  <wp:extent cx="5684520" cy="6504305"/>
                  <wp:effectExtent l="0" t="0" r="0" b="1079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5"/>
                          <a:srcRect l="500" t="5692" r="-3648" b="11971"/>
                          <a:stretch>
                            <a:fillRect/>
                          </a:stretch>
                        </pic:blipFill>
                        <pic:spPr>
                          <a:xfrm>
                            <a:off x="0" y="0"/>
                            <a:ext cx="5684520" cy="6504305"/>
                          </a:xfrm>
                          <a:prstGeom prst="rect">
                            <a:avLst/>
                          </a:prstGeom>
                          <a:noFill/>
                          <a:ln>
                            <a:noFill/>
                          </a:ln>
                        </pic:spPr>
                      </pic:pic>
                    </a:graphicData>
                  </a:graphic>
                </wp:inline>
              </w:drawing>
            </w:r>
          </w:p>
          <w:p>
            <w:pPr>
              <w:pStyle w:val="15"/>
              <w:jc w:val="center"/>
            </w:pPr>
            <w:bookmarkStart w:id="58" w:name="_Ref18820"/>
            <w:r>
              <w:t xml:space="preserve">图 </w:t>
            </w:r>
            <w:r>
              <w:fldChar w:fldCharType="begin"/>
            </w:r>
            <w:r>
              <w:instrText xml:space="preserve"> SEQ 图 \* ARABIC </w:instrText>
            </w:r>
            <w:r>
              <w:fldChar w:fldCharType="separate"/>
            </w:r>
            <w:r>
              <w:t>11</w:t>
            </w:r>
            <w:r>
              <w:fldChar w:fldCharType="end"/>
            </w:r>
            <w:bookmarkEnd w:id="58"/>
            <w:r>
              <w:rPr>
                <w:rFonts w:hint="eastAsia"/>
              </w:rPr>
              <w:t xml:space="preserve"> 职业健康检查、职业病诊断放射卫生技术服务机构监督检查信息卡</w:t>
            </w:r>
          </w:p>
          <w:p>
            <w:pPr>
              <w:widowControl/>
              <w:adjustRightInd w:val="0"/>
              <w:snapToGrid w:val="0"/>
              <w:spacing w:line="360" w:lineRule="exact"/>
              <w:ind w:firstLine="420" w:firstLineChars="200"/>
              <w:jc w:val="center"/>
              <w:rPr>
                <w:rFonts w:ascii="宋体" w:hAnsi="宋体" w:cs="宋体"/>
              </w:rPr>
            </w:pPr>
          </w:p>
          <w:p>
            <w:pPr>
              <w:widowControl/>
              <w:adjustRightInd w:val="0"/>
              <w:snapToGrid w:val="0"/>
              <w:jc w:val="center"/>
            </w:pPr>
            <w:r>
              <w:drawing>
                <wp:inline distT="0" distB="0" distL="114300" distR="114300">
                  <wp:extent cx="4908550" cy="6263005"/>
                  <wp:effectExtent l="0" t="0" r="6350" b="444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6"/>
                          <a:stretch>
                            <a:fillRect/>
                          </a:stretch>
                        </pic:blipFill>
                        <pic:spPr>
                          <a:xfrm>
                            <a:off x="0" y="0"/>
                            <a:ext cx="4908550" cy="6263005"/>
                          </a:xfrm>
                          <a:prstGeom prst="rect">
                            <a:avLst/>
                          </a:prstGeom>
                          <a:noFill/>
                          <a:ln>
                            <a:noFill/>
                          </a:ln>
                        </pic:spPr>
                      </pic:pic>
                    </a:graphicData>
                  </a:graphic>
                </wp:inline>
              </w:drawing>
            </w:r>
            <w:bookmarkStart w:id="59" w:name="_Ref18826"/>
            <w:r>
              <w:drawing>
                <wp:inline distT="0" distB="0" distL="114300" distR="114300">
                  <wp:extent cx="4925695" cy="2501900"/>
                  <wp:effectExtent l="0" t="0" r="8255" b="1270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7"/>
                          <a:stretch>
                            <a:fillRect/>
                          </a:stretch>
                        </pic:blipFill>
                        <pic:spPr>
                          <a:xfrm>
                            <a:off x="0" y="0"/>
                            <a:ext cx="4925695" cy="2501900"/>
                          </a:xfrm>
                          <a:prstGeom prst="rect">
                            <a:avLst/>
                          </a:prstGeom>
                          <a:noFill/>
                          <a:ln>
                            <a:noFill/>
                          </a:ln>
                        </pic:spPr>
                      </pic:pic>
                    </a:graphicData>
                  </a:graphic>
                </wp:inline>
              </w:drawing>
            </w:r>
          </w:p>
          <w:p>
            <w:pPr>
              <w:widowControl/>
              <w:adjustRightInd w:val="0"/>
              <w:snapToGrid w:val="0"/>
              <w:jc w:val="center"/>
            </w:pPr>
            <w:r>
              <w:t xml:space="preserve">图 </w:t>
            </w:r>
            <w:r>
              <w:fldChar w:fldCharType="begin"/>
            </w:r>
            <w:r>
              <w:instrText xml:space="preserve"> SEQ 图 \* ARABIC </w:instrText>
            </w:r>
            <w:r>
              <w:fldChar w:fldCharType="separate"/>
            </w:r>
            <w:r>
              <w:t>12</w:t>
            </w:r>
            <w:r>
              <w:fldChar w:fldCharType="end"/>
            </w:r>
            <w:bookmarkEnd w:id="59"/>
            <w:r>
              <w:rPr>
                <w:rFonts w:hint="eastAsia"/>
              </w:rPr>
              <w:t xml:space="preserve"> 职业健康检查、职业病诊断放射卫生技术服务机构监督案件查处信息卡</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（7）职业健康检查情况统计</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①机构医师情况统计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用于统计的医师情况。其中包括统计年龄、职称、</w:t>
            </w:r>
            <w:r>
              <w:rPr>
                <w:rFonts w:hint="eastAsia" w:ascii="宋体" w:hAnsi="宋体" w:cs="宋体"/>
                <w:szCs w:val="21"/>
              </w:rPr>
              <w:t>职业病诊断类别、</w:t>
            </w:r>
            <w:r>
              <w:rPr>
                <w:rFonts w:hint="eastAsia" w:ascii="宋体" w:hAnsi="宋体" w:cs="宋体"/>
              </w:rPr>
              <w:t>同类机构、同类医师的排名等，统计结果以图表的方式进行数据呈现，支持进行可视化展示。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②数据统计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用于统计检查机构完成健康检查情况。其中包括统计年度职业健康检查用人单位数（根据用人单位的属性、规模、</w:t>
            </w:r>
            <w:r>
              <w:rPr>
                <w:rFonts w:hint="eastAsia" w:ascii="宋体" w:hAnsi="宋体" w:cs="宋体"/>
                <w:szCs w:val="21"/>
              </w:rPr>
              <w:t>行业分类、主要职业病危害因素</w:t>
            </w:r>
            <w:r>
              <w:rPr>
                <w:rFonts w:hint="eastAsia" w:ascii="宋体" w:hAnsi="宋体" w:cs="宋体"/>
              </w:rPr>
              <w:t>等）、检查的劳动者数量、检查到的职业禁忌证人数、疑似职业病病例数等，统计结果以图表的方式进行数据呈现，支持进行可视化展示。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4.职业病随访信息管理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（1）尘肺病随访</w:t>
            </w:r>
          </w:p>
          <w:p>
            <w:pPr>
              <w:widowControl/>
              <w:adjustRightInd w:val="0"/>
              <w:spacing w:line="360" w:lineRule="exact"/>
              <w:ind w:firstLine="420" w:firstLineChars="200"/>
              <w:jc w:val="left"/>
            </w:pPr>
            <w:r>
              <w:rPr>
                <w:rFonts w:hint="eastAsia" w:ascii="宋体" w:hAnsi="宋体" w:cs="宋体"/>
              </w:rPr>
              <w:t>主要由县级职业病防治机构（或相关医疗卫生机构）对职业病患者进行随访，按照国家《职业病随访管理报告卡》标准记录随访过程，并将记录数据录入系统，并按县、市、区逐级上报</w:t>
            </w:r>
            <w:r>
              <w:rPr>
                <w:rFonts w:hint="eastAsia" w:ascii="宋体" w:hAnsi="宋体" w:cs="宋体"/>
                <w:szCs w:val="21"/>
              </w:rPr>
              <w:t>省级平台或国家级平台</w:t>
            </w:r>
            <w:r>
              <w:rPr>
                <w:rFonts w:hint="eastAsia" w:ascii="宋体" w:hAnsi="宋体" w:cs="宋体"/>
              </w:rPr>
              <w:t>。</w:t>
            </w:r>
          </w:p>
          <w:p>
            <w:pPr>
              <w:widowControl/>
              <w:adjustRightInd w:val="0"/>
              <w:snapToGrid w:val="0"/>
              <w:spacing w:line="360" w:lineRule="exact"/>
              <w:ind w:firstLine="422" w:firstLineChars="200"/>
              <w:rPr>
                <w:rFonts w:ascii="宋体" w:hAnsi="宋体" w:cs="宋体"/>
              </w:rPr>
            </w:pPr>
            <w:r>
              <w:rPr>
                <w:rFonts w:hint="eastAsia" w:ascii="宋体" w:hAnsi="宋体" w:cs="宋体"/>
                <w:b/>
                <w:bCs/>
              </w:rPr>
              <w:t>①数据填报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职业病防治机构（或相关医疗卫生机构）录入职业病随访数据库信息包括：</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职业病患者基本信息：姓名、性别、出生日期、证件类型、证件号码、联系电话、职业病种类、职业病名称。职业病患者基本信息关联至劳动者基础数据库可输入姓名和身份证等信息后自动填充其他基本信息。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人单位基本信息：用人单位所在地、名称、统一社会信用代码、通讯地址、邮编、联系人、联系电话、企业类型、行业类别、企业规模。用人单位基本信息关联至用人单位基础数据库可输入用人单位和统一信用代码后自动填充其他基本信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随访记录：常住住址、户籍所在地、是否享受工伤保险、享受工伤保险日期、是否由用人单位赔付、其他保障情况、生存状况、尘肺患合并症情况、既往是否患慢性阻塞肺疾病（COPD）、随访方式、随访机构</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尘肺病康复记录：康复日期、康复方式、康复持续时间、血氧饱和度（康复前后）。</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随访与管理信息：填表单位、填表人、填表人联系电话、填表日期。</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系统数据录入依托于本平台“基础支撑与服务开放平台”里的“数据管理平台”统一数据录入功能。</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②随访信息上报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报送检查结果。职业健康检查机构可以把审核通过的检查结果报送给用人单位/劳动者，同时也可以上报给自治区职防院。并同步按国家要求上报，同时上报数据需管理用人单位基础数据库、劳动者基础数据库等相关数据，避免重复录入。上报卡如下</w:t>
            </w:r>
            <w:r>
              <w:rPr>
                <w:rFonts w:hint="eastAsia" w:ascii="宋体" w:hAnsi="宋体" w:cs="宋体"/>
              </w:rPr>
              <w:fldChar w:fldCharType="begin"/>
            </w:r>
            <w:r>
              <w:rPr>
                <w:rFonts w:hint="eastAsia" w:ascii="宋体" w:hAnsi="宋体" w:cs="宋体"/>
              </w:rPr>
              <w:instrText xml:space="preserve"> REF _Ref18889 \h </w:instrText>
            </w:r>
            <w:r>
              <w:rPr>
                <w:rFonts w:hint="eastAsia" w:ascii="宋体" w:hAnsi="宋体" w:cs="宋体"/>
              </w:rPr>
              <w:fldChar w:fldCharType="separate"/>
            </w:r>
            <w:r>
              <w:t>图 13</w:t>
            </w:r>
            <w:r>
              <w:rPr>
                <w:rFonts w:hint="eastAsia" w:ascii="宋体" w:hAnsi="宋体" w:cs="宋体"/>
              </w:rPr>
              <w:fldChar w:fldCharType="end"/>
            </w:r>
            <w:r>
              <w:rPr>
                <w:rFonts w:hint="eastAsia" w:ascii="宋体" w:hAnsi="宋体" w:cs="宋体"/>
              </w:rPr>
              <w:t>所示：</w:t>
            </w:r>
          </w:p>
          <w:p>
            <w:pPr>
              <w:jc w:val="center"/>
            </w:pPr>
            <w:r>
              <w:drawing>
                <wp:inline distT="0" distB="0" distL="114300" distR="114300">
                  <wp:extent cx="5270500" cy="4848225"/>
                  <wp:effectExtent l="0" t="0" r="6350" b="952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8"/>
                          <a:stretch>
                            <a:fillRect/>
                          </a:stretch>
                        </pic:blipFill>
                        <pic:spPr>
                          <a:xfrm>
                            <a:off x="0" y="0"/>
                            <a:ext cx="5270500" cy="4848225"/>
                          </a:xfrm>
                          <a:prstGeom prst="rect">
                            <a:avLst/>
                          </a:prstGeom>
                          <a:noFill/>
                          <a:ln>
                            <a:noFill/>
                          </a:ln>
                        </pic:spPr>
                      </pic:pic>
                    </a:graphicData>
                  </a:graphic>
                </wp:inline>
              </w:drawing>
            </w:r>
          </w:p>
          <w:p>
            <w:pPr>
              <w:pStyle w:val="15"/>
              <w:jc w:val="center"/>
            </w:pPr>
            <w:bookmarkStart w:id="60" w:name="_Ref18889"/>
            <w:r>
              <w:t xml:space="preserve">图 </w:t>
            </w:r>
            <w:r>
              <w:fldChar w:fldCharType="begin"/>
            </w:r>
            <w:r>
              <w:instrText xml:space="preserve"> SEQ 图 \* ARABIC </w:instrText>
            </w:r>
            <w:r>
              <w:fldChar w:fldCharType="separate"/>
            </w:r>
            <w:r>
              <w:t>13</w:t>
            </w:r>
            <w:r>
              <w:fldChar w:fldCharType="end"/>
            </w:r>
            <w:bookmarkEnd w:id="60"/>
            <w:r>
              <w:rPr>
                <w:rFonts w:hint="eastAsia"/>
              </w:rPr>
              <w:t xml:space="preserve"> 上报卡格式</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（2）放射随访</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市、县疾控中心对年有效剂量超20mSv的放射工作人员或诊断出放射性职业病人员进行随访。填报信息包括：人员基本信息、健康状况和随访记录。</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5.疑似职业病管理</w:t>
            </w:r>
          </w:p>
          <w:p>
            <w:pPr>
              <w:widowControl/>
              <w:adjustRightInd w:val="0"/>
              <w:spacing w:line="360" w:lineRule="exact"/>
              <w:ind w:firstLine="420" w:firstLineChars="200"/>
              <w:jc w:val="left"/>
              <w:rPr>
                <w:strike/>
              </w:rPr>
            </w:pPr>
            <w:r>
              <w:rPr>
                <w:rFonts w:hint="eastAsia" w:ascii="宋体" w:hAnsi="宋体" w:cs="宋体"/>
              </w:rPr>
              <w:t>主要针对职业健康检查机构和医疗卫生机构在职业病诊断过程中发现并怀疑为职业病的，需提交职业病诊断机构进一步确诊的。疑似职业病病例推送给卫生管理部门、劳动者、用人单位。</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（1）数据填报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人单位基本信息：用人单位所在地、名称、统一社会信用代码、通讯地址、邮编、联系人、联系电话、企业类型、行业类别、企业规模、职工总人数、生产工人数、接触有毒有害作业人数、当年应检人数（岗前、在岗、离岗时），用人单位基本信息关联至用人单位基础数据库可输入用人单位和统一信用代码后自动填充其他基本信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疑似职业病信息：统计工种、接触的职业性有害因素、时间、疑似职业病种类、疑似职业病名称等信息。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数据需录入自治区本级的职业健康检查数据库中。</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（2）疑似职业病信息上报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用于报送检查结果。职业健康检查机构可以把审核通过的检查结果报送给用人单位/劳动者，同时</w:t>
            </w:r>
            <w:r>
              <w:rPr>
                <w:rFonts w:hint="eastAsia" w:ascii="宋体" w:hAnsi="宋体" w:cs="宋体"/>
                <w:szCs w:val="21"/>
              </w:rPr>
              <w:t>15个工作日内报送给省级或国家级平台。</w:t>
            </w:r>
            <w:r>
              <w:rPr>
                <w:rFonts w:hint="eastAsia" w:ascii="宋体" w:hAnsi="宋体" w:cs="宋体"/>
              </w:rPr>
              <w:t>同时上报数据需管理用人单位基础数据库、劳动者基础数据库等相关数据，避免重复录入。上报卡如下</w:t>
            </w:r>
            <w:r>
              <w:rPr>
                <w:rFonts w:hint="eastAsia" w:ascii="宋体" w:hAnsi="宋体" w:cs="宋体"/>
              </w:rPr>
              <w:fldChar w:fldCharType="begin"/>
            </w:r>
            <w:r>
              <w:rPr>
                <w:rFonts w:hint="eastAsia" w:ascii="宋体" w:hAnsi="宋体" w:cs="宋体"/>
              </w:rPr>
              <w:instrText xml:space="preserve"> REF _Ref18937 \h </w:instrText>
            </w:r>
            <w:r>
              <w:rPr>
                <w:rFonts w:hint="eastAsia" w:ascii="宋体" w:hAnsi="宋体" w:cs="宋体"/>
              </w:rPr>
              <w:fldChar w:fldCharType="separate"/>
            </w:r>
            <w:r>
              <w:t>图 14</w:t>
            </w:r>
            <w:r>
              <w:rPr>
                <w:rFonts w:hint="eastAsia" w:ascii="宋体" w:hAnsi="宋体" w:cs="宋体"/>
              </w:rPr>
              <w:fldChar w:fldCharType="end"/>
            </w:r>
            <w:r>
              <w:rPr>
                <w:rFonts w:hint="eastAsia" w:ascii="宋体" w:hAnsi="宋体" w:cs="宋体"/>
              </w:rPr>
              <w:t>所示：</w:t>
            </w:r>
          </w:p>
          <w:p>
            <w:pPr>
              <w:widowControl/>
              <w:adjustRightInd w:val="0"/>
              <w:snapToGrid w:val="0"/>
              <w:jc w:val="center"/>
              <w:rPr>
                <w:rFonts w:ascii="宋体" w:hAnsi="宋体" w:cs="宋体"/>
              </w:rPr>
            </w:pPr>
            <w:r>
              <w:rPr>
                <w:rFonts w:ascii="宋体" w:hAnsi="宋体" w:cs="宋体"/>
              </w:rPr>
              <w:drawing>
                <wp:inline distT="0" distB="0" distL="114300" distR="114300">
                  <wp:extent cx="5270500" cy="3855720"/>
                  <wp:effectExtent l="0" t="0" r="6350" b="1143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9"/>
                          <a:stretch>
                            <a:fillRect/>
                          </a:stretch>
                        </pic:blipFill>
                        <pic:spPr>
                          <a:xfrm>
                            <a:off x="0" y="0"/>
                            <a:ext cx="5270500" cy="3855720"/>
                          </a:xfrm>
                          <a:prstGeom prst="rect">
                            <a:avLst/>
                          </a:prstGeom>
                          <a:noFill/>
                          <a:ln>
                            <a:noFill/>
                          </a:ln>
                        </pic:spPr>
                      </pic:pic>
                    </a:graphicData>
                  </a:graphic>
                </wp:inline>
              </w:drawing>
            </w:r>
          </w:p>
          <w:p>
            <w:pPr>
              <w:pStyle w:val="15"/>
              <w:jc w:val="center"/>
            </w:pPr>
            <w:bookmarkStart w:id="61" w:name="_Ref18937"/>
            <w:r>
              <w:t xml:space="preserve">图 </w:t>
            </w:r>
            <w:r>
              <w:fldChar w:fldCharType="begin"/>
            </w:r>
            <w:r>
              <w:instrText xml:space="preserve"> SEQ 图 \* ARABIC </w:instrText>
            </w:r>
            <w:r>
              <w:fldChar w:fldCharType="separate"/>
            </w:r>
            <w:r>
              <w:t>14</w:t>
            </w:r>
            <w:r>
              <w:fldChar w:fldCharType="end"/>
            </w:r>
            <w:bookmarkEnd w:id="61"/>
            <w:r>
              <w:rPr>
                <w:rFonts w:hint="eastAsia"/>
              </w:rPr>
              <w:t xml:space="preserve"> 疑似职业病上报卡</w:t>
            </w:r>
          </w:p>
          <w:p>
            <w:pPr>
              <w:widowControl/>
              <w:adjustRightInd w:val="0"/>
              <w:snapToGrid w:val="0"/>
              <w:spacing w:line="360" w:lineRule="exact"/>
              <w:ind w:firstLine="420" w:firstLineChars="200"/>
              <w:jc w:val="left"/>
              <w:rPr>
                <w:rFonts w:ascii="宋体" w:hAnsi="宋体" w:cs="宋体"/>
                <w:b/>
                <w:bCs/>
              </w:rPr>
            </w:pPr>
            <w:r>
              <w:rPr>
                <w:rFonts w:hint="eastAsia" w:ascii="宋体" w:hAnsi="宋体" w:cs="宋体"/>
              </w:rPr>
              <w:t>系统数据录入依托于本平台“基础支撑与服务开放平台”里的“数据管理平台”统一数据录入功能，并通过系统对接按要求上报国家。</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6.化学品毒性鉴定模块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用于管理化学品毒性鉴定。其中包括化学品毒性鉴定机构管理，鉴定报告管理以及对化学品毒性鉴定基础资料维护。</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（1）化学品毒性鉴定机构信息管理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用于管理化学品毒性鉴定机构。管理部门可以查看化学品毒性鉴定机构的基本信息、鉴定人员的信息等，对机构的业务范围进行管理。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其中包括：机构基本信息：机构名称、法定代表人（或主要负责人）、统一社会信用代码、注册地址、实验室地址、联系人、联系电话、机构属性、业务范围。</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专业技术人员信息：主检医师人数、鉴定专家人数、医技人员人数、人员身份信息、教育信息、工作信息、培训信息等。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（2）化学品毒性鉴定报告管理</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①化学品毒性鉴定报告上传</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用于化学品鉴定机构上传化学品毒性鉴定机构出具的化学品毒性鉴定报告。对于上传无误的鉴定报告，管理部门需要确认备案，确认备案后的报告不可修改。</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②化学品毒性鉴定报告备案</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用于查看化学品毒性鉴定机构出具的化学品毒性鉴定报告。</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（3）农药中毒患者信息管理</w:t>
            </w:r>
          </w:p>
          <w:p>
            <w:pPr>
              <w:widowControl/>
              <w:adjustRightInd w:val="0"/>
              <w:spacing w:line="360" w:lineRule="exact"/>
              <w:ind w:firstLine="420" w:firstLineChars="200"/>
              <w:jc w:val="left"/>
            </w:pPr>
            <w:r>
              <w:rPr>
                <w:rFonts w:hint="eastAsia" w:ascii="宋体" w:hAnsi="宋体" w:cs="宋体"/>
              </w:rPr>
              <w:t>主要为最初接诊农药中毒患者的医疗卫生机构填写，填写对象为在农、林业等生产活动中使用农药或生活中误用各类农药而发生中毒者（不包括食物农药残留超标和属于刑事案件的中毒患者）。统计范围不包括生产农药而发生中毒者。仅限于生产性自用和生产性受雇引起的农药中毒。接诊农药中毒患者的医疗卫生机构在患者确诊后15日内填报。</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①数据填报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填报信息包括：患者姓名、性别、出生日期、证件类型、证件号码、联系电话、中毒发生地、农药名称、中毒原因、转归、中毒日期、诊断单位、单位负责人、填表人、填报人联系方式、填报日期等信息。</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②农药中毒患者信息上报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用于报送检查结果。接诊农药中毒患者的医疗卫生机构可以把接诊的信息纳入农药中毒患者数据库，同时也可以</w:t>
            </w:r>
            <w:r>
              <w:rPr>
                <w:rFonts w:hint="eastAsia" w:ascii="宋体" w:hAnsi="宋体" w:cs="宋体"/>
                <w:szCs w:val="21"/>
              </w:rPr>
              <w:t>报送给省级或国家级平台</w:t>
            </w:r>
            <w:r>
              <w:rPr>
                <w:rFonts w:hint="eastAsia" w:ascii="宋体" w:hAnsi="宋体" w:cs="宋体"/>
              </w:rPr>
              <w:t>。上报卡如下</w:t>
            </w:r>
            <w:r>
              <w:rPr>
                <w:rFonts w:hint="eastAsia" w:ascii="宋体" w:hAnsi="宋体" w:cs="宋体"/>
              </w:rPr>
              <w:fldChar w:fldCharType="begin"/>
            </w:r>
            <w:r>
              <w:rPr>
                <w:rFonts w:hint="eastAsia" w:ascii="宋体" w:hAnsi="宋体" w:cs="宋体"/>
              </w:rPr>
              <w:instrText xml:space="preserve"> REF _Ref18983 \h </w:instrText>
            </w:r>
            <w:r>
              <w:rPr>
                <w:rFonts w:hint="eastAsia" w:ascii="宋体" w:hAnsi="宋体" w:cs="宋体"/>
              </w:rPr>
              <w:fldChar w:fldCharType="separate"/>
            </w:r>
            <w:r>
              <w:t>图 15</w:t>
            </w:r>
            <w:r>
              <w:rPr>
                <w:rFonts w:hint="eastAsia" w:ascii="宋体" w:hAnsi="宋体" w:cs="宋体"/>
              </w:rPr>
              <w:fldChar w:fldCharType="end"/>
            </w:r>
            <w:r>
              <w:rPr>
                <w:rFonts w:hint="eastAsia" w:ascii="宋体" w:hAnsi="宋体" w:cs="宋体"/>
              </w:rPr>
              <w:t>所示：</w:t>
            </w:r>
          </w:p>
          <w:p>
            <w:pPr>
              <w:pStyle w:val="24"/>
              <w:jc w:val="center"/>
              <w:rPr>
                <w:lang w:val="en-US" w:eastAsia="zh-CN"/>
              </w:rPr>
            </w:pPr>
            <w:r>
              <w:rPr>
                <w:rFonts w:hAnsi="宋体" w:cs="宋体"/>
                <w:lang w:val="en-US" w:eastAsia="zh-CN"/>
              </w:rPr>
              <w:drawing>
                <wp:inline distT="0" distB="0" distL="114300" distR="114300">
                  <wp:extent cx="5555615" cy="2545080"/>
                  <wp:effectExtent l="0" t="0" r="6985" b="762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0"/>
                          <a:stretch>
                            <a:fillRect/>
                          </a:stretch>
                        </pic:blipFill>
                        <pic:spPr>
                          <a:xfrm>
                            <a:off x="0" y="0"/>
                            <a:ext cx="5555615" cy="2545080"/>
                          </a:xfrm>
                          <a:prstGeom prst="rect">
                            <a:avLst/>
                          </a:prstGeom>
                          <a:noFill/>
                          <a:ln>
                            <a:noFill/>
                          </a:ln>
                        </pic:spPr>
                      </pic:pic>
                    </a:graphicData>
                  </a:graphic>
                </wp:inline>
              </w:drawing>
            </w:r>
          </w:p>
          <w:p>
            <w:pPr>
              <w:pStyle w:val="15"/>
              <w:jc w:val="center"/>
            </w:pPr>
            <w:bookmarkStart w:id="62" w:name="_Ref18983"/>
            <w:r>
              <w:t xml:space="preserve">图 </w:t>
            </w:r>
            <w:r>
              <w:fldChar w:fldCharType="begin"/>
            </w:r>
            <w:r>
              <w:instrText xml:space="preserve"> SEQ 图 \* ARABIC </w:instrText>
            </w:r>
            <w:r>
              <w:fldChar w:fldCharType="separate"/>
            </w:r>
            <w:r>
              <w:t>15</w:t>
            </w:r>
            <w:r>
              <w:fldChar w:fldCharType="end"/>
            </w:r>
            <w:bookmarkEnd w:id="62"/>
            <w:r>
              <w:rPr>
                <w:rFonts w:hint="eastAsia"/>
              </w:rPr>
              <w:t xml:space="preserve"> 上报卡格式</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系统数据录入依托于本平台“基础支撑与服务开放平台”里的“数据管理平台”统一数据录入功能，并系统对接按标准要求上报国家。</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7.监督执法管理模块</w:t>
            </w:r>
          </w:p>
          <w:p>
            <w:pPr>
              <w:widowControl/>
              <w:adjustRightInd w:val="0"/>
              <w:snapToGrid w:val="0"/>
              <w:spacing w:line="360" w:lineRule="exact"/>
              <w:ind w:firstLine="420" w:firstLineChars="200"/>
              <w:jc w:val="left"/>
              <w:rPr>
                <w:rFonts w:ascii="宋体" w:hAnsi="宋体" w:cs="宋体"/>
                <w:color w:val="FF0000"/>
              </w:rPr>
            </w:pPr>
            <w:r>
              <w:rPr>
                <w:rFonts w:hint="eastAsia" w:ascii="宋体" w:hAnsi="宋体" w:cs="宋体"/>
              </w:rPr>
              <w:t>用于记录各级卫生监督机构对被监督单位、机构执行监督检查情况。各级卫生监督所和监督员可以查看权限内的监督检查的内容和检查详情、处理意见和被监督单位的基本情况等，可以查看监督检查结果和违规事实等，并监督整改情况；根据监督情况，自动生成执法文件，并可输出打印。</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各级监督机构和监督员应有权查询管辖权内的用人单位、职业健康检查机构、职业病诊断机构、职业卫生技术服务机构、放射卫生技术服务机构、放射诊疗机构各种信息。非管辖权内的单位或机构，经申请同意，也可以查询。</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（1）被监督单位底档查询管理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卫生被监督单位包括用人单位、职业健康检查机构、职业病诊断机构、职业卫生技术服务机构、放射卫生技术服务机构、放射诊疗机构等，该模块底档管理功能需与上述单位的应用系统实现相关数据互联与共享，监督员具备相应的查阅与修改权限，监督员在监督执法过程中可调取查阅相应单位或机构底档信息，在监督检查过程中可查询核实底档信息是否真实、准确，必要时可进行修改。</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（2）监督检查与案件查处填报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属地卫生监督所目前利用PC端或平板或者手机移动端作为前端采集设备。该采集系统可使用离线脱机版进行采集后可与数据库进行对接，实时导入监督检查数据，便于统计查询。</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①日常监督检查填报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日常监督检查记录的填报。卫生监督员可以对用人单位、职业卫生技术服务机构、职业健康检查机构、职业病诊断机构、放射卫生技术服务机构、放射诊疗机构的监督检查情况进行填报。遵循各单位应用系统的基础数据互联与共享、一个平台一次填报等原则。各单位的监督检查事项详见监督检查表。</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②专项监督检查任务填报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专项监督检查任务的填报。根据国家、自治区卫生健康委有关开展职业卫生专项监督检查的文件要求，调取相应底档形成专项监督检查任务清单，卫生监督员可以录入专项监督检查情况。专项监督检查任务的填报记录需与国家卫生健康监督信息平台中职业卫生填报模块数据互联共享，纳入国家平台日常监督检查记录统计汇总中，专项监督检查任务填报子模块也具备独立统计汇总功能，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③“双随机”监督抽查任务填报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国家或自治区“双随机”监督抽查任务的填报。根据国家、自治区卫生健康委有关职业卫生“双随机”监督抽查任务文件要求，调取相应机构底档和职业卫生执法人员名单形成职业卫生“双随机”监督抽检任务清单，卫生监督员可以录入“双随机”监督抽查情况。</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底档数据应关联用人单位、职业卫生技术服务机构、职业健康检查机构、职业病诊断机构、放射卫生技术服务机构、放射诊疗机构数据。</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④监督抽检情况填报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监督抽检情况填报。必要时卫生监督员可委托相关技术服务机构对用人单位职业病危害因素等项目进行抽检。监督抽检结果可在监督抽检子模块和用人单位等底档中设置链接点击查看，抽检结果由技术服务机构在其应用的子系统中填报、上传。</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⑤案件查处情况填报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案件查处情况的填报。卫生监督员对被监督单位存在的违法行为依法责令限期（短信提醒被监督单位整改期限）改正或立案查处，和对逾期不改正的被监督单位依法立案查处，卫生监督员将案件查处相关信息进行填报。遵循前述平台间数据互联与共享、一个平台一次填报等原则。</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（3）职业病危害项目申报信息查询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用于职业病危害项目申报信息，主要由卫生监督所对用人单位所申报的职业病危害项目信息进行查询，方便监督员对职业病危害项目进行现场监督执法。</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（4）监督执法APP</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建设卫生监督执法APP，主要由卫生监督所对用人单位、职业卫生技术服务机构、职业健康检查机构、职业病诊断机构、放射卫生技术服务机构、放射诊疗机构的现场执法工作，APP可设置离线工作状态，可在无网络支持的情况下进行监督信息采集，并可根据执法表格，自动生成执法文件，可输出打印。主要功能包括：自查功能模块、执法监督功能模块。执法APP要求能够自定义执法监督项目，支持执法条目的增、删、改、查。</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①查询相关机构自查数据模块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自查功能主要由用人单位、职业卫生技术服务机构、职业健康检查机构、职业病诊断机构、放射卫生技术服务机构、放射诊疗机构在卫生监督部门执行监督检查前，由各单位针对检查事项表进行自查，并按要求填写自查信息，填写完毕后可在系统中提交。该模块自动关联各机构的自查模块数据，能够自动获取相关信息，卫生监督管理部门在管理系统中能够直接查询各单位提交的自查信息表。自查表内容如下</w:t>
            </w:r>
            <w:r>
              <w:rPr>
                <w:rFonts w:hint="eastAsia" w:ascii="宋体" w:hAnsi="宋体" w:cs="宋体"/>
              </w:rPr>
              <w:fldChar w:fldCharType="begin"/>
            </w:r>
            <w:r>
              <w:rPr>
                <w:rFonts w:hint="eastAsia" w:ascii="宋体" w:hAnsi="宋体" w:cs="宋体"/>
              </w:rPr>
              <w:instrText xml:space="preserve"> REF _Ref19320 \h </w:instrText>
            </w:r>
            <w:r>
              <w:rPr>
                <w:rFonts w:hint="eastAsia" w:ascii="宋体" w:hAnsi="宋体" w:cs="宋体"/>
              </w:rPr>
              <w:fldChar w:fldCharType="separate"/>
            </w:r>
            <w:r>
              <w:t>图 16</w:t>
            </w:r>
            <w:r>
              <w:rPr>
                <w:rFonts w:hint="eastAsia" w:ascii="宋体" w:hAnsi="宋体" w:cs="宋体"/>
              </w:rPr>
              <w:fldChar w:fldCharType="end"/>
            </w:r>
            <w:r>
              <w:rPr>
                <w:rFonts w:hint="eastAsia" w:ascii="宋体" w:hAnsi="宋体" w:cs="宋体"/>
              </w:rPr>
              <w:t>、</w:t>
            </w:r>
            <w:r>
              <w:rPr>
                <w:rFonts w:hint="eastAsia" w:ascii="宋体" w:hAnsi="宋体" w:cs="宋体"/>
              </w:rPr>
              <w:fldChar w:fldCharType="begin"/>
            </w:r>
            <w:r>
              <w:rPr>
                <w:rFonts w:hint="eastAsia" w:ascii="宋体" w:hAnsi="宋体" w:cs="宋体"/>
              </w:rPr>
              <w:instrText xml:space="preserve"> REF _Ref19326 \h </w:instrText>
            </w:r>
            <w:r>
              <w:rPr>
                <w:rFonts w:hint="eastAsia" w:ascii="宋体" w:hAnsi="宋体" w:cs="宋体"/>
              </w:rPr>
              <w:fldChar w:fldCharType="separate"/>
            </w:r>
            <w:r>
              <w:t>图 17</w:t>
            </w:r>
            <w:r>
              <w:rPr>
                <w:rFonts w:hint="eastAsia" w:ascii="宋体" w:hAnsi="宋体" w:cs="宋体"/>
              </w:rPr>
              <w:fldChar w:fldCharType="end"/>
            </w:r>
            <w:r>
              <w:rPr>
                <w:rFonts w:hint="eastAsia" w:ascii="宋体" w:hAnsi="宋体" w:cs="宋体"/>
              </w:rPr>
              <w:t>、</w:t>
            </w:r>
            <w:r>
              <w:rPr>
                <w:rFonts w:hint="eastAsia" w:ascii="宋体" w:hAnsi="宋体" w:cs="宋体"/>
              </w:rPr>
              <w:fldChar w:fldCharType="begin"/>
            </w:r>
            <w:r>
              <w:rPr>
                <w:rFonts w:hint="eastAsia" w:ascii="宋体" w:hAnsi="宋体" w:cs="宋体"/>
              </w:rPr>
              <w:instrText xml:space="preserve"> REF _Ref19333 \h </w:instrText>
            </w:r>
            <w:r>
              <w:rPr>
                <w:rFonts w:hint="eastAsia" w:ascii="宋体" w:hAnsi="宋体" w:cs="宋体"/>
              </w:rPr>
              <w:fldChar w:fldCharType="separate"/>
            </w:r>
            <w:r>
              <w:t>图 18</w:t>
            </w:r>
            <w:r>
              <w:rPr>
                <w:rFonts w:hint="eastAsia" w:ascii="宋体" w:hAnsi="宋体" w:cs="宋体"/>
              </w:rPr>
              <w:fldChar w:fldCharType="end"/>
            </w:r>
            <w:r>
              <w:rPr>
                <w:rFonts w:hint="eastAsia" w:ascii="宋体" w:hAnsi="宋体" w:cs="宋体"/>
              </w:rPr>
              <w:t>、</w:t>
            </w:r>
            <w:r>
              <w:rPr>
                <w:rFonts w:hint="eastAsia" w:ascii="宋体" w:hAnsi="宋体" w:cs="宋体"/>
              </w:rPr>
              <w:fldChar w:fldCharType="begin"/>
            </w:r>
            <w:r>
              <w:rPr>
                <w:rFonts w:hint="eastAsia" w:ascii="宋体" w:hAnsi="宋体" w:cs="宋体"/>
              </w:rPr>
              <w:instrText xml:space="preserve"> REF _Ref19336 \h </w:instrText>
            </w:r>
            <w:r>
              <w:rPr>
                <w:rFonts w:hint="eastAsia" w:ascii="宋体" w:hAnsi="宋体" w:cs="宋体"/>
              </w:rPr>
              <w:fldChar w:fldCharType="separate"/>
            </w:r>
            <w:r>
              <w:t>图 19</w:t>
            </w:r>
            <w:r>
              <w:rPr>
                <w:rFonts w:hint="eastAsia" w:ascii="宋体" w:hAnsi="宋体" w:cs="宋体"/>
              </w:rPr>
              <w:fldChar w:fldCharType="end"/>
            </w:r>
            <w:r>
              <w:rPr>
                <w:rFonts w:hint="eastAsia" w:ascii="宋体" w:hAnsi="宋体" w:cs="宋体"/>
              </w:rPr>
              <w:t>、</w:t>
            </w:r>
            <w:r>
              <w:rPr>
                <w:rFonts w:hint="eastAsia" w:ascii="宋体" w:hAnsi="宋体" w:cs="宋体"/>
              </w:rPr>
              <w:fldChar w:fldCharType="begin"/>
            </w:r>
            <w:r>
              <w:rPr>
                <w:rFonts w:hint="eastAsia" w:ascii="宋体" w:hAnsi="宋体" w:cs="宋体"/>
              </w:rPr>
              <w:instrText xml:space="preserve"> REF _Ref19339 \h </w:instrText>
            </w:r>
            <w:r>
              <w:rPr>
                <w:rFonts w:hint="eastAsia" w:ascii="宋体" w:hAnsi="宋体" w:cs="宋体"/>
              </w:rPr>
              <w:fldChar w:fldCharType="separate"/>
            </w:r>
            <w:r>
              <w:t>图 20</w:t>
            </w:r>
            <w:r>
              <w:rPr>
                <w:rFonts w:hint="eastAsia" w:ascii="宋体" w:hAnsi="宋体" w:cs="宋体"/>
              </w:rPr>
              <w:fldChar w:fldCharType="end"/>
            </w:r>
            <w:r>
              <w:rPr>
                <w:rFonts w:hint="eastAsia" w:ascii="宋体" w:hAnsi="宋体" w:cs="宋体"/>
              </w:rPr>
              <w:t>、</w:t>
            </w:r>
            <w:r>
              <w:rPr>
                <w:rFonts w:hint="eastAsia" w:ascii="宋体" w:hAnsi="宋体" w:cs="宋体"/>
              </w:rPr>
              <w:fldChar w:fldCharType="begin"/>
            </w:r>
            <w:r>
              <w:rPr>
                <w:rFonts w:hint="eastAsia" w:ascii="宋体" w:hAnsi="宋体" w:cs="宋体"/>
              </w:rPr>
              <w:instrText xml:space="preserve"> REF _Ref19349 \h </w:instrText>
            </w:r>
            <w:r>
              <w:rPr>
                <w:rFonts w:hint="eastAsia" w:ascii="宋体" w:hAnsi="宋体" w:cs="宋体"/>
              </w:rPr>
              <w:fldChar w:fldCharType="separate"/>
            </w:r>
            <w:r>
              <w:t>图 21</w:t>
            </w:r>
            <w:r>
              <w:rPr>
                <w:rFonts w:hint="eastAsia" w:ascii="宋体" w:hAnsi="宋体" w:cs="宋体"/>
              </w:rPr>
              <w:fldChar w:fldCharType="end"/>
            </w:r>
            <w:r>
              <w:rPr>
                <w:rFonts w:hint="eastAsia" w:ascii="宋体" w:hAnsi="宋体" w:cs="宋体"/>
              </w:rPr>
              <w:t>、</w:t>
            </w:r>
            <w:r>
              <w:rPr>
                <w:rFonts w:hint="eastAsia" w:ascii="宋体" w:hAnsi="宋体" w:cs="宋体"/>
              </w:rPr>
              <w:fldChar w:fldCharType="begin"/>
            </w:r>
            <w:r>
              <w:rPr>
                <w:rFonts w:hint="eastAsia" w:ascii="宋体" w:hAnsi="宋体" w:cs="宋体"/>
              </w:rPr>
              <w:instrText xml:space="preserve"> REF _Ref19352 \h </w:instrText>
            </w:r>
            <w:r>
              <w:rPr>
                <w:rFonts w:hint="eastAsia" w:ascii="宋体" w:hAnsi="宋体" w:cs="宋体"/>
              </w:rPr>
              <w:fldChar w:fldCharType="separate"/>
            </w:r>
            <w:r>
              <w:t>图 22</w:t>
            </w:r>
            <w:r>
              <w:rPr>
                <w:rFonts w:hint="eastAsia" w:ascii="宋体" w:hAnsi="宋体" w:cs="宋体"/>
              </w:rPr>
              <w:fldChar w:fldCharType="end"/>
            </w:r>
            <w:r>
              <w:rPr>
                <w:rFonts w:hint="eastAsia" w:ascii="宋体" w:hAnsi="宋体" w:cs="宋体"/>
              </w:rPr>
              <w:t>、</w:t>
            </w:r>
            <w:r>
              <w:rPr>
                <w:rFonts w:hint="eastAsia" w:ascii="宋体" w:hAnsi="宋体" w:cs="宋体"/>
              </w:rPr>
              <w:fldChar w:fldCharType="begin"/>
            </w:r>
            <w:r>
              <w:rPr>
                <w:rFonts w:hint="eastAsia" w:ascii="宋体" w:hAnsi="宋体" w:cs="宋体"/>
              </w:rPr>
              <w:instrText xml:space="preserve"> REF _Ref19359 \h </w:instrText>
            </w:r>
            <w:r>
              <w:rPr>
                <w:rFonts w:hint="eastAsia" w:ascii="宋体" w:hAnsi="宋体" w:cs="宋体"/>
              </w:rPr>
              <w:fldChar w:fldCharType="separate"/>
            </w:r>
            <w:r>
              <w:t>图 23</w:t>
            </w:r>
            <w:r>
              <w:rPr>
                <w:rFonts w:hint="eastAsia" w:ascii="宋体" w:hAnsi="宋体" w:cs="宋体"/>
              </w:rPr>
              <w:fldChar w:fldCharType="end"/>
            </w:r>
            <w:r>
              <w:rPr>
                <w:rFonts w:hint="eastAsia" w:ascii="宋体" w:hAnsi="宋体" w:cs="宋体"/>
              </w:rPr>
              <w:t>所示：</w:t>
            </w:r>
          </w:p>
          <w:p>
            <w:pPr>
              <w:widowControl/>
              <w:adjustRightInd w:val="0"/>
              <w:snapToGrid w:val="0"/>
              <w:ind w:firstLine="420" w:firstLineChars="200"/>
              <w:jc w:val="left"/>
            </w:pPr>
            <w:r>
              <w:rPr>
                <w:rFonts w:ascii="宋体" w:hAnsi="宋体" w:cs="宋体"/>
              </w:rPr>
              <w:drawing>
                <wp:inline distT="0" distB="0" distL="114300" distR="114300">
                  <wp:extent cx="5270500" cy="7280910"/>
                  <wp:effectExtent l="0" t="0" r="6350" b="1524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1"/>
                          <a:srcRect t="4768"/>
                          <a:stretch>
                            <a:fillRect/>
                          </a:stretch>
                        </pic:blipFill>
                        <pic:spPr>
                          <a:xfrm>
                            <a:off x="0" y="0"/>
                            <a:ext cx="5270500" cy="7280910"/>
                          </a:xfrm>
                          <a:prstGeom prst="rect">
                            <a:avLst/>
                          </a:prstGeom>
                          <a:noFill/>
                          <a:ln>
                            <a:noFill/>
                          </a:ln>
                        </pic:spPr>
                      </pic:pic>
                    </a:graphicData>
                  </a:graphic>
                </wp:inline>
              </w:drawing>
            </w:r>
            <w:bookmarkStart w:id="63" w:name="_Ref19320"/>
          </w:p>
          <w:p>
            <w:pPr>
              <w:widowControl/>
              <w:adjustRightInd w:val="0"/>
              <w:snapToGrid w:val="0"/>
              <w:ind w:firstLine="420" w:firstLineChars="200"/>
              <w:jc w:val="center"/>
              <w:rPr>
                <w:shd w:val="clear" w:color="auto" w:fill="FFFF00"/>
              </w:rPr>
            </w:pPr>
            <w:r>
              <w:t xml:space="preserve">图 </w:t>
            </w:r>
            <w:r>
              <w:fldChar w:fldCharType="begin"/>
            </w:r>
            <w:r>
              <w:instrText xml:space="preserve"> SEQ 图 \* ARABIC </w:instrText>
            </w:r>
            <w:r>
              <w:fldChar w:fldCharType="separate"/>
            </w:r>
            <w:r>
              <w:t>16</w:t>
            </w:r>
            <w:r>
              <w:fldChar w:fldCharType="end"/>
            </w:r>
            <w:bookmarkEnd w:id="63"/>
            <w:r>
              <w:rPr>
                <w:rFonts w:hint="eastAsia"/>
              </w:rPr>
              <w:t xml:space="preserve"> 用人单位监督检查信息卡</w:t>
            </w:r>
          </w:p>
          <w:p>
            <w:pPr>
              <w:widowControl/>
              <w:adjustRightInd w:val="0"/>
              <w:snapToGrid w:val="0"/>
              <w:spacing w:line="360" w:lineRule="exact"/>
              <w:jc w:val="left"/>
              <w:rPr>
                <w:rFonts w:ascii="宋体" w:hAnsi="宋体" w:cs="宋体"/>
              </w:rPr>
            </w:pPr>
          </w:p>
          <w:p>
            <w:pPr>
              <w:pStyle w:val="15"/>
              <w:jc w:val="center"/>
            </w:pPr>
            <w:r>
              <w:drawing>
                <wp:inline distT="0" distB="0" distL="114300" distR="114300">
                  <wp:extent cx="5227320" cy="6754495"/>
                  <wp:effectExtent l="0" t="0" r="11430" b="825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32"/>
                          <a:srcRect l="1503" t="7137" r="6389" b="1726"/>
                          <a:stretch>
                            <a:fillRect/>
                          </a:stretch>
                        </pic:blipFill>
                        <pic:spPr>
                          <a:xfrm>
                            <a:off x="0" y="0"/>
                            <a:ext cx="5227320" cy="6754495"/>
                          </a:xfrm>
                          <a:prstGeom prst="rect">
                            <a:avLst/>
                          </a:prstGeom>
                          <a:noFill/>
                          <a:ln>
                            <a:noFill/>
                          </a:ln>
                        </pic:spPr>
                      </pic:pic>
                    </a:graphicData>
                  </a:graphic>
                </wp:inline>
              </w:drawing>
            </w:r>
          </w:p>
          <w:p>
            <w:pPr>
              <w:pStyle w:val="15"/>
            </w:pPr>
          </w:p>
          <w:p/>
          <w:p/>
          <w:p/>
          <w:p>
            <w:pPr>
              <w:pStyle w:val="15"/>
            </w:pPr>
          </w:p>
          <w:p>
            <w:pPr>
              <w:pStyle w:val="15"/>
            </w:pPr>
          </w:p>
          <w:p>
            <w:pPr>
              <w:pStyle w:val="15"/>
              <w:jc w:val="center"/>
            </w:pPr>
            <w:r>
              <w:drawing>
                <wp:inline distT="0" distB="0" distL="114300" distR="114300">
                  <wp:extent cx="5219065" cy="3571240"/>
                  <wp:effectExtent l="0" t="0" r="635" b="1016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33"/>
                          <a:stretch>
                            <a:fillRect/>
                          </a:stretch>
                        </pic:blipFill>
                        <pic:spPr>
                          <a:xfrm>
                            <a:off x="0" y="0"/>
                            <a:ext cx="5219065" cy="3571240"/>
                          </a:xfrm>
                          <a:prstGeom prst="rect">
                            <a:avLst/>
                          </a:prstGeom>
                          <a:noFill/>
                          <a:ln>
                            <a:noFill/>
                          </a:ln>
                        </pic:spPr>
                      </pic:pic>
                    </a:graphicData>
                  </a:graphic>
                </wp:inline>
              </w:drawing>
            </w:r>
          </w:p>
          <w:p>
            <w:pPr>
              <w:pStyle w:val="15"/>
              <w:jc w:val="center"/>
            </w:pPr>
            <w:bookmarkStart w:id="64" w:name="_Ref19326"/>
            <w:r>
              <w:t xml:space="preserve">图 </w:t>
            </w:r>
            <w:r>
              <w:fldChar w:fldCharType="begin"/>
            </w:r>
            <w:r>
              <w:instrText xml:space="preserve"> SEQ 图 \* ARABIC </w:instrText>
            </w:r>
            <w:r>
              <w:fldChar w:fldCharType="separate"/>
            </w:r>
            <w:r>
              <w:t>17</w:t>
            </w:r>
            <w:r>
              <w:fldChar w:fldCharType="end"/>
            </w:r>
            <w:bookmarkEnd w:id="64"/>
            <w:r>
              <w:rPr>
                <w:rFonts w:hint="eastAsia"/>
              </w:rPr>
              <w:t xml:space="preserve"> 用人单位监督案件查处信息卡</w:t>
            </w:r>
          </w:p>
          <w:p>
            <w:pPr>
              <w:pStyle w:val="15"/>
            </w:pPr>
          </w:p>
          <w:p>
            <w:pPr>
              <w:widowControl/>
              <w:adjustRightInd w:val="0"/>
              <w:snapToGrid w:val="0"/>
              <w:ind w:firstLine="420" w:firstLineChars="200"/>
              <w:jc w:val="center"/>
            </w:pPr>
            <w:r>
              <w:drawing>
                <wp:inline distT="0" distB="0" distL="114300" distR="114300">
                  <wp:extent cx="4942840" cy="4270375"/>
                  <wp:effectExtent l="0" t="0" r="10160" b="1587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4"/>
                          <a:srcRect l="2106" t="7829" r="8186" b="35416"/>
                          <a:stretch>
                            <a:fillRect/>
                          </a:stretch>
                        </pic:blipFill>
                        <pic:spPr>
                          <a:xfrm>
                            <a:off x="0" y="0"/>
                            <a:ext cx="4942840" cy="4270375"/>
                          </a:xfrm>
                          <a:prstGeom prst="rect">
                            <a:avLst/>
                          </a:prstGeom>
                          <a:noFill/>
                          <a:ln>
                            <a:noFill/>
                          </a:ln>
                        </pic:spPr>
                      </pic:pic>
                    </a:graphicData>
                  </a:graphic>
                </wp:inline>
              </w:drawing>
            </w:r>
          </w:p>
          <w:p>
            <w:pPr>
              <w:pStyle w:val="15"/>
              <w:jc w:val="center"/>
            </w:pPr>
            <w:bookmarkStart w:id="65" w:name="_Ref19333"/>
            <w:r>
              <w:t xml:space="preserve">图 </w:t>
            </w:r>
            <w:r>
              <w:fldChar w:fldCharType="begin"/>
            </w:r>
            <w:r>
              <w:instrText xml:space="preserve"> SEQ 图 \* ARABIC </w:instrText>
            </w:r>
            <w:r>
              <w:fldChar w:fldCharType="separate"/>
            </w:r>
            <w:r>
              <w:t>18</w:t>
            </w:r>
            <w:r>
              <w:fldChar w:fldCharType="end"/>
            </w:r>
            <w:bookmarkEnd w:id="65"/>
            <w:r>
              <w:rPr>
                <w:rFonts w:hint="eastAsia"/>
              </w:rPr>
              <w:t xml:space="preserve"> 职业卫生技术服务机构信息卡</w:t>
            </w:r>
          </w:p>
          <w:p/>
          <w:p/>
          <w:p/>
          <w:p/>
          <w:p/>
          <w:p>
            <w:pPr>
              <w:widowControl/>
              <w:adjustRightInd w:val="0"/>
              <w:snapToGrid w:val="0"/>
              <w:ind w:firstLine="420" w:firstLineChars="200"/>
              <w:jc w:val="center"/>
            </w:pPr>
            <w:r>
              <w:drawing>
                <wp:inline distT="0" distB="0" distL="114300" distR="114300">
                  <wp:extent cx="5322570" cy="4278630"/>
                  <wp:effectExtent l="0" t="0" r="11430" b="762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5"/>
                          <a:srcRect l="1904" t="8394" r="4488" b="35812"/>
                          <a:stretch>
                            <a:fillRect/>
                          </a:stretch>
                        </pic:blipFill>
                        <pic:spPr>
                          <a:xfrm>
                            <a:off x="0" y="0"/>
                            <a:ext cx="5322570" cy="4278630"/>
                          </a:xfrm>
                          <a:prstGeom prst="rect">
                            <a:avLst/>
                          </a:prstGeom>
                          <a:noFill/>
                          <a:ln>
                            <a:noFill/>
                          </a:ln>
                        </pic:spPr>
                      </pic:pic>
                    </a:graphicData>
                  </a:graphic>
                </wp:inline>
              </w:drawing>
            </w:r>
          </w:p>
          <w:p>
            <w:pPr>
              <w:pStyle w:val="15"/>
              <w:jc w:val="center"/>
            </w:pPr>
            <w:bookmarkStart w:id="66" w:name="_Ref19336"/>
            <w:r>
              <w:t xml:space="preserve">图 </w:t>
            </w:r>
            <w:r>
              <w:fldChar w:fldCharType="begin"/>
            </w:r>
            <w:r>
              <w:instrText xml:space="preserve"> SEQ 图 \* ARABIC </w:instrText>
            </w:r>
            <w:r>
              <w:fldChar w:fldCharType="separate"/>
            </w:r>
            <w:r>
              <w:t>19</w:t>
            </w:r>
            <w:r>
              <w:fldChar w:fldCharType="end"/>
            </w:r>
            <w:bookmarkEnd w:id="66"/>
            <w:r>
              <w:rPr>
                <w:rFonts w:hint="eastAsia"/>
              </w:rPr>
              <w:t xml:space="preserve"> 职业卫生技术服务机构监督检查信息卡</w:t>
            </w:r>
          </w:p>
          <w:p>
            <w:pPr>
              <w:widowControl/>
              <w:adjustRightInd w:val="0"/>
              <w:snapToGrid w:val="0"/>
              <w:spacing w:line="360" w:lineRule="exact"/>
              <w:ind w:firstLine="420" w:firstLineChars="200"/>
              <w:jc w:val="center"/>
              <w:rPr>
                <w:rFonts w:ascii="宋体" w:hAnsi="宋体" w:cs="宋体"/>
              </w:rPr>
            </w:pPr>
          </w:p>
          <w:p>
            <w:pPr>
              <w:pStyle w:val="15"/>
            </w:pPr>
          </w:p>
          <w:p>
            <w:pPr>
              <w:widowControl/>
              <w:adjustRightInd w:val="0"/>
              <w:snapToGrid w:val="0"/>
              <w:spacing w:line="360" w:lineRule="exact"/>
              <w:ind w:firstLine="420" w:firstLineChars="200"/>
              <w:jc w:val="left"/>
              <w:rPr>
                <w:rFonts w:ascii="宋体" w:hAnsi="宋体" w:cs="宋体"/>
              </w:rPr>
            </w:pPr>
          </w:p>
          <w:p>
            <w:pPr>
              <w:widowControl/>
              <w:adjustRightInd w:val="0"/>
              <w:snapToGrid w:val="0"/>
              <w:spacing w:line="360" w:lineRule="exact"/>
              <w:ind w:firstLine="420" w:firstLineChars="200"/>
              <w:jc w:val="left"/>
              <w:rPr>
                <w:rFonts w:ascii="宋体" w:hAnsi="宋体" w:cs="宋体"/>
              </w:rPr>
            </w:pPr>
          </w:p>
          <w:p>
            <w:pPr>
              <w:widowControl/>
              <w:adjustRightInd w:val="0"/>
              <w:snapToGrid w:val="0"/>
              <w:spacing w:line="360" w:lineRule="exact"/>
              <w:ind w:firstLine="420" w:firstLineChars="200"/>
              <w:jc w:val="left"/>
              <w:rPr>
                <w:rFonts w:ascii="宋体" w:hAnsi="宋体" w:cs="宋体"/>
              </w:rPr>
            </w:pPr>
          </w:p>
          <w:p>
            <w:pPr>
              <w:widowControl/>
              <w:adjustRightInd w:val="0"/>
              <w:snapToGrid w:val="0"/>
              <w:ind w:left="0" w:leftChars="0" w:firstLine="0" w:firstLineChars="0"/>
              <w:jc w:val="center"/>
              <w:rPr>
                <w:rFonts w:ascii="宋体" w:hAnsi="宋体" w:cs="宋体"/>
              </w:rPr>
            </w:pPr>
            <w:r>
              <w:drawing>
                <wp:inline distT="0" distB="0" distL="114300" distR="114300">
                  <wp:extent cx="5469255" cy="6435090"/>
                  <wp:effectExtent l="0" t="0" r="17145" b="381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6"/>
                          <a:srcRect l="1517" t="7626"/>
                          <a:stretch>
                            <a:fillRect/>
                          </a:stretch>
                        </pic:blipFill>
                        <pic:spPr>
                          <a:xfrm>
                            <a:off x="0" y="0"/>
                            <a:ext cx="5469255" cy="6435090"/>
                          </a:xfrm>
                          <a:prstGeom prst="rect">
                            <a:avLst/>
                          </a:prstGeom>
                          <a:noFill/>
                          <a:ln>
                            <a:noFill/>
                          </a:ln>
                        </pic:spPr>
                      </pic:pic>
                    </a:graphicData>
                  </a:graphic>
                </wp:inline>
              </w:drawing>
            </w:r>
          </w:p>
          <w:p>
            <w:pPr>
              <w:widowControl/>
              <w:adjustRightInd w:val="0"/>
              <w:snapToGrid w:val="0"/>
              <w:ind w:left="0" w:leftChars="0" w:firstLine="0" w:firstLineChars="0"/>
              <w:jc w:val="center"/>
            </w:pPr>
            <w:r>
              <w:drawing>
                <wp:inline distT="0" distB="0" distL="114300" distR="114300">
                  <wp:extent cx="5485765" cy="1415415"/>
                  <wp:effectExtent l="0" t="0" r="635" b="1333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7"/>
                          <a:srcRect l="1102" b="80528"/>
                          <a:stretch>
                            <a:fillRect/>
                          </a:stretch>
                        </pic:blipFill>
                        <pic:spPr>
                          <a:xfrm>
                            <a:off x="0" y="0"/>
                            <a:ext cx="5485765" cy="1415415"/>
                          </a:xfrm>
                          <a:prstGeom prst="rect">
                            <a:avLst/>
                          </a:prstGeom>
                          <a:noFill/>
                          <a:ln>
                            <a:noFill/>
                          </a:ln>
                        </pic:spPr>
                      </pic:pic>
                    </a:graphicData>
                  </a:graphic>
                </wp:inline>
              </w:drawing>
            </w:r>
          </w:p>
          <w:p>
            <w:pPr>
              <w:pStyle w:val="15"/>
              <w:jc w:val="center"/>
            </w:pPr>
            <w:bookmarkStart w:id="67" w:name="_Ref19339"/>
            <w:r>
              <w:t xml:space="preserve">图 </w:t>
            </w:r>
            <w:r>
              <w:fldChar w:fldCharType="begin"/>
            </w:r>
            <w:r>
              <w:instrText xml:space="preserve"> SEQ 图 \* ARABIC </w:instrText>
            </w:r>
            <w:r>
              <w:fldChar w:fldCharType="separate"/>
            </w:r>
            <w:r>
              <w:t>20</w:t>
            </w:r>
            <w:r>
              <w:fldChar w:fldCharType="end"/>
            </w:r>
            <w:bookmarkEnd w:id="67"/>
            <w:r>
              <w:rPr>
                <w:rFonts w:hint="eastAsia"/>
              </w:rPr>
              <w:t xml:space="preserve"> 职业卫生技术服务机构监督案件查处信息卡</w:t>
            </w:r>
          </w:p>
          <w:p/>
          <w:p/>
          <w:p/>
          <w:p/>
          <w:p/>
          <w:p>
            <w:pPr>
              <w:widowControl/>
              <w:adjustRightInd w:val="0"/>
              <w:snapToGrid w:val="0"/>
              <w:spacing w:line="360" w:lineRule="exact"/>
              <w:ind w:firstLine="420" w:firstLineChars="200"/>
              <w:jc w:val="left"/>
            </w:pPr>
          </w:p>
          <w:p>
            <w:pPr>
              <w:pStyle w:val="15"/>
              <w:jc w:val="center"/>
              <w:rPr>
                <w:rFonts w:hint="eastAsia"/>
              </w:rPr>
            </w:pPr>
            <w:bookmarkStart w:id="68" w:name="_Ref19349"/>
            <w:r>
              <w:drawing>
                <wp:inline distT="0" distB="0" distL="114300" distR="114300">
                  <wp:extent cx="5305425" cy="6193790"/>
                  <wp:effectExtent l="0" t="0" r="9525" b="1651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4"/>
                          <a:srcRect l="2429" t="8624" r="1080" b="12677"/>
                          <a:stretch>
                            <a:fillRect/>
                          </a:stretch>
                        </pic:blipFill>
                        <pic:spPr>
                          <a:xfrm>
                            <a:off x="0" y="0"/>
                            <a:ext cx="5305425" cy="6193790"/>
                          </a:xfrm>
                          <a:prstGeom prst="rect">
                            <a:avLst/>
                          </a:prstGeom>
                          <a:noFill/>
                          <a:ln>
                            <a:noFill/>
                          </a:ln>
                        </pic:spPr>
                      </pic:pic>
                    </a:graphicData>
                  </a:graphic>
                </wp:inline>
              </w:drawing>
            </w:r>
          </w:p>
          <w:p>
            <w:pPr>
              <w:pStyle w:val="15"/>
              <w:jc w:val="center"/>
            </w:pPr>
            <w:r>
              <w:t xml:space="preserve">图 </w:t>
            </w:r>
            <w:r>
              <w:fldChar w:fldCharType="begin"/>
            </w:r>
            <w:r>
              <w:instrText xml:space="preserve"> SEQ 图 \* ARABIC </w:instrText>
            </w:r>
            <w:r>
              <w:fldChar w:fldCharType="separate"/>
            </w:r>
            <w:r>
              <w:t>21</w:t>
            </w:r>
            <w:r>
              <w:fldChar w:fldCharType="end"/>
            </w:r>
            <w:bookmarkEnd w:id="68"/>
            <w:r>
              <w:rPr>
                <w:rFonts w:hint="eastAsia"/>
              </w:rPr>
              <w:t xml:space="preserve"> 职业健康检查、职业病诊断放射卫生技术服务机构被监督单位信息卡</w:t>
            </w:r>
          </w:p>
          <w:p>
            <w:pPr>
              <w:pStyle w:val="15"/>
            </w:pPr>
          </w:p>
          <w:p>
            <w:pPr>
              <w:widowControl/>
              <w:adjustRightInd w:val="0"/>
              <w:snapToGrid w:val="0"/>
              <w:spacing w:line="360" w:lineRule="exact"/>
              <w:ind w:firstLine="420" w:firstLineChars="200"/>
              <w:jc w:val="left"/>
              <w:rPr>
                <w:rFonts w:ascii="宋体" w:hAnsi="宋体" w:cs="宋体"/>
              </w:rPr>
            </w:pPr>
          </w:p>
          <w:p>
            <w:pPr>
              <w:widowControl/>
              <w:adjustRightInd w:val="0"/>
              <w:snapToGrid w:val="0"/>
              <w:spacing w:line="360" w:lineRule="exact"/>
              <w:ind w:firstLine="420" w:firstLineChars="200"/>
              <w:jc w:val="left"/>
              <w:rPr>
                <w:rFonts w:ascii="宋体" w:hAnsi="宋体" w:cs="宋体"/>
              </w:rPr>
            </w:pPr>
          </w:p>
          <w:p>
            <w:pPr>
              <w:widowControl/>
              <w:adjustRightInd w:val="0"/>
              <w:snapToGrid w:val="0"/>
              <w:spacing w:line="360" w:lineRule="exact"/>
              <w:ind w:firstLine="420" w:firstLineChars="200"/>
              <w:jc w:val="left"/>
              <w:rPr>
                <w:rFonts w:ascii="宋体" w:hAnsi="宋体" w:cs="宋体"/>
              </w:rPr>
            </w:pPr>
          </w:p>
          <w:p>
            <w:pPr>
              <w:widowControl/>
              <w:adjustRightInd w:val="0"/>
              <w:snapToGrid w:val="0"/>
              <w:spacing w:line="360" w:lineRule="exact"/>
              <w:ind w:firstLine="420" w:firstLineChars="200"/>
              <w:jc w:val="left"/>
              <w:rPr>
                <w:rFonts w:ascii="宋体" w:hAnsi="宋体" w:cs="宋体"/>
              </w:rPr>
            </w:pPr>
          </w:p>
          <w:p>
            <w:pPr>
              <w:widowControl/>
              <w:adjustRightInd w:val="0"/>
              <w:snapToGrid w:val="0"/>
              <w:spacing w:line="360" w:lineRule="exact"/>
              <w:ind w:firstLine="420" w:firstLineChars="200"/>
              <w:jc w:val="left"/>
              <w:rPr>
                <w:rFonts w:ascii="宋体" w:hAnsi="宋体" w:cs="宋体"/>
              </w:rPr>
            </w:pPr>
          </w:p>
          <w:p>
            <w:pPr>
              <w:widowControl/>
              <w:adjustRightInd w:val="0"/>
              <w:snapToGrid w:val="0"/>
              <w:spacing w:line="360" w:lineRule="exact"/>
              <w:ind w:firstLine="420" w:firstLineChars="200"/>
              <w:jc w:val="left"/>
              <w:rPr>
                <w:rFonts w:ascii="宋体" w:hAnsi="宋体" w:cs="宋体"/>
              </w:rPr>
            </w:pPr>
          </w:p>
          <w:p>
            <w:pPr>
              <w:widowControl/>
              <w:adjustRightInd w:val="0"/>
              <w:snapToGrid w:val="0"/>
              <w:ind w:firstLine="420" w:firstLineChars="200"/>
              <w:jc w:val="center"/>
            </w:pPr>
            <w:r>
              <w:drawing>
                <wp:inline distT="0" distB="0" distL="114300" distR="114300">
                  <wp:extent cx="5434330" cy="5960745"/>
                  <wp:effectExtent l="0" t="0" r="0" b="190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5"/>
                          <a:srcRect l="533" t="5717" r="-3659" b="11969"/>
                          <a:stretch>
                            <a:fillRect/>
                          </a:stretch>
                        </pic:blipFill>
                        <pic:spPr>
                          <a:xfrm>
                            <a:off x="0" y="0"/>
                            <a:ext cx="5434330" cy="5960745"/>
                          </a:xfrm>
                          <a:prstGeom prst="rect">
                            <a:avLst/>
                          </a:prstGeom>
                          <a:noFill/>
                          <a:ln>
                            <a:noFill/>
                          </a:ln>
                        </pic:spPr>
                      </pic:pic>
                    </a:graphicData>
                  </a:graphic>
                </wp:inline>
              </w:drawing>
            </w:r>
          </w:p>
          <w:p>
            <w:pPr>
              <w:pStyle w:val="15"/>
              <w:jc w:val="center"/>
            </w:pPr>
            <w:bookmarkStart w:id="69" w:name="_Ref19352"/>
            <w:r>
              <w:t xml:space="preserve">图 </w:t>
            </w:r>
            <w:r>
              <w:fldChar w:fldCharType="begin"/>
            </w:r>
            <w:r>
              <w:instrText xml:space="preserve"> SEQ 图 \* ARABIC </w:instrText>
            </w:r>
            <w:r>
              <w:fldChar w:fldCharType="separate"/>
            </w:r>
            <w:r>
              <w:t>22</w:t>
            </w:r>
            <w:r>
              <w:fldChar w:fldCharType="end"/>
            </w:r>
            <w:bookmarkEnd w:id="69"/>
            <w:r>
              <w:rPr>
                <w:rFonts w:hint="eastAsia"/>
              </w:rPr>
              <w:t xml:space="preserve"> 职业健康检查、职业病诊断放射卫生技术服务机构监督检查信息卡</w:t>
            </w:r>
          </w:p>
          <w:p>
            <w:pPr>
              <w:pStyle w:val="15"/>
            </w:pPr>
          </w:p>
          <w:p>
            <w:pPr>
              <w:widowControl/>
              <w:adjustRightInd w:val="0"/>
              <w:snapToGrid w:val="0"/>
              <w:spacing w:line="360" w:lineRule="exact"/>
              <w:ind w:firstLine="420" w:firstLineChars="200"/>
              <w:jc w:val="left"/>
              <w:rPr>
                <w:rFonts w:ascii="宋体" w:hAnsi="宋体" w:cs="宋体"/>
              </w:rPr>
            </w:pPr>
          </w:p>
          <w:p>
            <w:pPr>
              <w:widowControl/>
              <w:adjustRightInd w:val="0"/>
              <w:snapToGrid w:val="0"/>
              <w:spacing w:line="360" w:lineRule="exact"/>
              <w:ind w:firstLine="420" w:firstLineChars="200"/>
              <w:jc w:val="left"/>
              <w:rPr>
                <w:rFonts w:ascii="宋体" w:hAnsi="宋体" w:cs="宋体"/>
              </w:rPr>
            </w:pPr>
          </w:p>
          <w:p>
            <w:pPr>
              <w:widowControl/>
              <w:adjustRightInd w:val="0"/>
              <w:snapToGrid w:val="0"/>
              <w:spacing w:line="360" w:lineRule="exact"/>
              <w:ind w:firstLine="420" w:firstLineChars="200"/>
              <w:jc w:val="left"/>
              <w:rPr>
                <w:rFonts w:ascii="宋体" w:hAnsi="宋体" w:cs="宋体"/>
              </w:rPr>
            </w:pPr>
          </w:p>
          <w:p>
            <w:pPr>
              <w:widowControl/>
              <w:adjustRightInd w:val="0"/>
              <w:snapToGrid w:val="0"/>
              <w:spacing w:line="360" w:lineRule="exact"/>
              <w:ind w:firstLine="420" w:firstLineChars="200"/>
              <w:jc w:val="left"/>
              <w:rPr>
                <w:rFonts w:ascii="宋体" w:hAnsi="宋体" w:cs="宋体"/>
              </w:rPr>
            </w:pPr>
          </w:p>
          <w:p>
            <w:pPr>
              <w:widowControl/>
              <w:adjustRightInd w:val="0"/>
              <w:snapToGrid w:val="0"/>
              <w:spacing w:line="360" w:lineRule="exact"/>
              <w:ind w:firstLine="420" w:firstLineChars="200"/>
              <w:jc w:val="left"/>
              <w:rPr>
                <w:rFonts w:ascii="宋体" w:hAnsi="宋体" w:cs="宋体"/>
              </w:rPr>
            </w:pPr>
          </w:p>
          <w:p>
            <w:pPr>
              <w:widowControl/>
              <w:adjustRightInd w:val="0"/>
              <w:snapToGrid w:val="0"/>
              <w:spacing w:line="360" w:lineRule="exact"/>
              <w:ind w:firstLine="420" w:firstLineChars="200"/>
              <w:jc w:val="left"/>
              <w:rPr>
                <w:rFonts w:ascii="宋体" w:hAnsi="宋体" w:cs="宋体"/>
              </w:rPr>
            </w:pPr>
          </w:p>
          <w:p>
            <w:pPr>
              <w:widowControl/>
              <w:adjustRightInd w:val="0"/>
              <w:snapToGrid w:val="0"/>
              <w:spacing w:line="360" w:lineRule="exact"/>
              <w:ind w:firstLine="420" w:firstLineChars="200"/>
              <w:jc w:val="left"/>
            </w:pPr>
          </w:p>
          <w:p>
            <w:pPr>
              <w:pStyle w:val="2"/>
              <w:rPr>
                <w:lang w:val="en-US" w:eastAsia="zh-CN"/>
              </w:rPr>
            </w:pPr>
            <w:r>
              <w:rPr>
                <w:lang w:val="en-US" w:eastAsia="zh-CN"/>
              </w:rPr>
              <w:drawing>
                <wp:inline distT="0" distB="0" distL="114300" distR="114300">
                  <wp:extent cx="4848225" cy="6029960"/>
                  <wp:effectExtent l="0" t="0" r="9525" b="889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6"/>
                          <a:stretch>
                            <a:fillRect/>
                          </a:stretch>
                        </pic:blipFill>
                        <pic:spPr>
                          <a:xfrm>
                            <a:off x="0" y="0"/>
                            <a:ext cx="4848225" cy="6029960"/>
                          </a:xfrm>
                          <a:prstGeom prst="rect">
                            <a:avLst/>
                          </a:prstGeom>
                          <a:noFill/>
                          <a:ln>
                            <a:noFill/>
                          </a:ln>
                        </pic:spPr>
                      </pic:pic>
                    </a:graphicData>
                  </a:graphic>
                </wp:inline>
              </w:drawing>
            </w:r>
            <w:bookmarkStart w:id="70" w:name="_Ref19359"/>
            <w:r>
              <w:rPr>
                <w:lang w:val="en-US" w:eastAsia="zh-CN"/>
              </w:rPr>
              <w:drawing>
                <wp:inline distT="0" distB="0" distL="114300" distR="114300">
                  <wp:extent cx="4822190" cy="2363470"/>
                  <wp:effectExtent l="0" t="0" r="16510" b="1778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7"/>
                          <a:stretch>
                            <a:fillRect/>
                          </a:stretch>
                        </pic:blipFill>
                        <pic:spPr>
                          <a:xfrm>
                            <a:off x="0" y="0"/>
                            <a:ext cx="4822190" cy="2363470"/>
                          </a:xfrm>
                          <a:prstGeom prst="rect">
                            <a:avLst/>
                          </a:prstGeom>
                          <a:noFill/>
                          <a:ln>
                            <a:noFill/>
                          </a:ln>
                        </pic:spPr>
                      </pic:pic>
                    </a:graphicData>
                  </a:graphic>
                </wp:inline>
              </w:drawing>
            </w:r>
          </w:p>
          <w:p>
            <w:pPr>
              <w:pStyle w:val="15"/>
              <w:jc w:val="center"/>
            </w:pPr>
            <w:r>
              <w:t xml:space="preserve">图 </w:t>
            </w:r>
            <w:r>
              <w:fldChar w:fldCharType="begin"/>
            </w:r>
            <w:r>
              <w:instrText xml:space="preserve"> SEQ 图 \* ARABIC </w:instrText>
            </w:r>
            <w:r>
              <w:fldChar w:fldCharType="separate"/>
            </w:r>
            <w:r>
              <w:t>23</w:t>
            </w:r>
            <w:r>
              <w:fldChar w:fldCharType="end"/>
            </w:r>
            <w:bookmarkEnd w:id="70"/>
            <w:r>
              <w:rPr>
                <w:rFonts w:hint="eastAsia"/>
              </w:rPr>
              <w:t xml:space="preserve"> 职业健康检查、职业病诊断放射卫生技术服务机构监督案件查处信息卡</w:t>
            </w:r>
          </w:p>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②执法监督功能模块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主要是卫生监督执法机构现场执法使用，可通过在执法监督模块中录入被监督单位名称，系统中自动关联至被监督单位自查表。卫生监督管理部门在现场逐一核对各项监督信息，经确认后保存并录入到执法监督管理信息库。</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8.职业病诊断机构应用系统</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本项目建设的职业病诊断机构应用系统涉及到的使用对象为职业病诊断机构，主要由职业病诊断机构对职业病诊断机构对于诊断工作实现信息管理和查询。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数据采集，依托于本平台“基础支撑与服务开放平台”里的“数据管理平台”统一数据录入功能，根据国家和自治区的数据采集要求，进行统一采集，形成自治区级的数据库。参照《全国公共卫生信息化建设标准与规范》《全国职业健康统计调查制度》及相关数据集标准，确定信息采集的基本内容、字段格式要求。兼容国垂系统《职业健康技术服务机构信息填报系统》，覆盖国垂系统所有功能。</w:t>
            </w:r>
            <w:r>
              <w:rPr>
                <w:rFonts w:hint="eastAsia"/>
              </w:rPr>
              <w:t>如可与</w:t>
            </w:r>
            <w:r>
              <w:rPr>
                <w:rFonts w:hint="eastAsia" w:ascii="宋体" w:hAnsi="宋体" w:cs="宋体"/>
              </w:rPr>
              <w:t>国垂系统《职业健康技术服务机构信息填报系统》实现</w:t>
            </w:r>
            <w:r>
              <w:rPr>
                <w:rFonts w:hint="eastAsia"/>
              </w:rPr>
              <w:t>数据对接，则将数据将自动填充，不再二次录入，否则要实现填报的信息上报国垂系统。</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（1）机构基本信息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用于职业病诊断机构填报本机构基本信息，填写内容包括：</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机构信息填报：机构名称、法定代表人、统一社会信用代码、注册地址、机构联系人、联系电话、实验室地址、经济类型、机构属性、</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业务信息填报：业务范围包括：职业性尘肺病及其他呼吸系统疾病、职业性皮肤病、职业性眼病、职业性耳鼻喉口腔疾病、职业性化学中毒、物理因素所致职业病、职业性放射性疾病、职业性传染病、职业性肿瘤、其他职业病等。</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专业人员情况：包括个人基本信息和培训合格证（合格证由自治区职防院培训出具），其中专业类型有：职业病诊断资格执业医师（诊断资格证由政务大厅出具）、职业性尘肺病及其他呼吸系统疾病诊断医师、职业性皮肤病诊断医师、职业性眼病诊断医师、职业性耳鼻喉口腔疾病诊断医师、职业性化学中毒诊断医师、物理因素所致职业病诊断医师、职业性放射性疾病诊断医师、职业性传染病诊断医师、职业性肿瘤诊断医师、其他职业病诊断医师等信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其中机构信息、人员信息、个案信息可从全民健康信息平台获取，合格证件信息从在线教育培训应用获取。</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（2）职业病诊断机构备案</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①备案申请：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医疗卫生机构需要进行职业病诊断时，应当提交以下证明其符合规定条件的有关资料：《医疗机构执业许可证》原件、副本及复印件；职业病诊断医师资格等相关资料；相关的仪器设备清单；负责职业病信息报告人员名单；职业病诊断质量管理制度等相关资料。职业病诊断机构对备案信息的真实性、准确性、合法性负责。</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职业病诊断机构备案表如下表1所示：</w:t>
            </w:r>
          </w:p>
          <w:p>
            <w:pPr>
              <w:jc w:val="center"/>
            </w:pPr>
          </w:p>
          <w:p>
            <w:pPr>
              <w:jc w:val="center"/>
            </w:pPr>
          </w:p>
          <w:p>
            <w:pPr>
              <w:jc w:val="center"/>
            </w:pPr>
          </w:p>
          <w:p>
            <w:pPr>
              <w:pStyle w:val="2"/>
              <w:rPr>
                <w:lang w:val="en-US" w:eastAsia="zh-CN"/>
              </w:rPr>
            </w:pPr>
          </w:p>
          <w:p>
            <w:pPr>
              <w:jc w:val="center"/>
            </w:pPr>
          </w:p>
          <w:p>
            <w:pPr>
              <w:jc w:val="center"/>
            </w:pPr>
            <w:r>
              <w:rPr>
                <w:rFonts w:hint="eastAsia"/>
              </w:rPr>
              <w:t>表1 职业病诊断机构备案表</w:t>
            </w:r>
          </w:p>
          <w:tbl>
            <w:tblPr>
              <w:tblStyle w:val="44"/>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52"/>
              <w:gridCol w:w="1557"/>
              <w:gridCol w:w="1514"/>
              <w:gridCol w:w="1383"/>
              <w:gridCol w:w="1206"/>
              <w:gridCol w:w="14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0" w:hRule="exact"/>
                <w:jc w:val="center"/>
              </w:trPr>
              <w:tc>
                <w:tcPr>
                  <w:tcW w:w="195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left"/>
                    <w:rPr>
                      <w:rFonts w:ascii="宋体" w:hAnsi="宋体" w:cs="宋体"/>
                    </w:rPr>
                  </w:pPr>
                  <w:r>
                    <w:rPr>
                      <w:rFonts w:hint="eastAsia" w:ascii="宋体" w:hAnsi="宋体" w:cs="宋体"/>
                    </w:rPr>
                    <w:t>机构名称</w:t>
                  </w:r>
                </w:p>
              </w:tc>
              <w:tc>
                <w:tcPr>
                  <w:tcW w:w="4454"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left"/>
                    <w:rPr>
                      <w:rFonts w:ascii="宋体" w:hAnsi="宋体" w:cs="宋体"/>
                    </w:rPr>
                  </w:pPr>
                </w:p>
              </w:tc>
              <w:tc>
                <w:tcPr>
                  <w:tcW w:w="120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widowControl/>
                    <w:adjustRightInd w:val="0"/>
                    <w:snapToGrid w:val="0"/>
                    <w:ind w:firstLine="420" w:firstLineChars="200"/>
                    <w:jc w:val="left"/>
                    <w:rPr>
                      <w:rFonts w:ascii="宋体" w:hAnsi="宋体" w:cs="宋体"/>
                    </w:rPr>
                  </w:pPr>
                  <w:r>
                    <w:rPr>
                      <w:rFonts w:hint="eastAsia" w:ascii="宋体" w:hAnsi="宋体" w:cs="宋体"/>
                    </w:rPr>
                    <w:t>网址</w:t>
                  </w:r>
                </w:p>
              </w:tc>
              <w:tc>
                <w:tcPr>
                  <w:tcW w:w="142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195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left"/>
                    <w:rPr>
                      <w:rFonts w:ascii="宋体" w:hAnsi="宋体" w:cs="宋体"/>
                    </w:rPr>
                  </w:pPr>
                  <w:r>
                    <w:rPr>
                      <w:rFonts w:hint="eastAsia" w:ascii="宋体" w:hAnsi="宋体" w:cs="宋体"/>
                    </w:rPr>
                    <w:t>机构地址</w:t>
                  </w:r>
                </w:p>
              </w:tc>
              <w:tc>
                <w:tcPr>
                  <w:tcW w:w="4454"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left"/>
                    <w:rPr>
                      <w:rFonts w:ascii="宋体" w:hAnsi="宋体" w:cs="宋体"/>
                    </w:rPr>
                  </w:pPr>
                </w:p>
              </w:tc>
              <w:tc>
                <w:tcPr>
                  <w:tcW w:w="120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widowControl/>
                    <w:adjustRightInd w:val="0"/>
                    <w:snapToGrid w:val="0"/>
                    <w:ind w:firstLine="420" w:firstLineChars="200"/>
                    <w:jc w:val="left"/>
                    <w:rPr>
                      <w:rFonts w:ascii="宋体" w:hAnsi="宋体" w:cs="宋体"/>
                    </w:rPr>
                  </w:pPr>
                  <w:r>
                    <w:rPr>
                      <w:rFonts w:hint="eastAsia" w:ascii="宋体" w:hAnsi="宋体" w:cs="宋体"/>
                    </w:rPr>
                    <w:t>邮编</w:t>
                  </w:r>
                </w:p>
              </w:tc>
              <w:tc>
                <w:tcPr>
                  <w:tcW w:w="142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exact"/>
                <w:jc w:val="center"/>
              </w:trPr>
              <w:tc>
                <w:tcPr>
                  <w:tcW w:w="195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left"/>
                    <w:rPr>
                      <w:rFonts w:ascii="宋体" w:hAnsi="宋体" w:cs="宋体"/>
                    </w:rPr>
                  </w:pPr>
                  <w:r>
                    <w:rPr>
                      <w:rFonts w:hint="eastAsia" w:ascii="宋体" w:hAnsi="宋体" w:cs="宋体"/>
                    </w:rPr>
                    <w:t>法定代表人</w:t>
                  </w:r>
                </w:p>
              </w:tc>
              <w:tc>
                <w:tcPr>
                  <w:tcW w:w="155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left"/>
                    <w:rPr>
                      <w:rFonts w:ascii="宋体" w:hAnsi="宋体" w:cs="宋体"/>
                    </w:rPr>
                  </w:pPr>
                </w:p>
              </w:tc>
              <w:tc>
                <w:tcPr>
                  <w:tcW w:w="151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widowControl/>
                    <w:adjustRightInd w:val="0"/>
                    <w:snapToGrid w:val="0"/>
                    <w:ind w:firstLine="420" w:firstLineChars="200"/>
                    <w:jc w:val="left"/>
                    <w:rPr>
                      <w:rFonts w:ascii="宋体" w:hAnsi="宋体" w:cs="宋体"/>
                    </w:rPr>
                  </w:pPr>
                  <w:r>
                    <w:rPr>
                      <w:rFonts w:hint="eastAsia" w:ascii="宋体" w:hAnsi="宋体" w:cs="宋体"/>
                    </w:rPr>
                    <w:t>职务/职称</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left"/>
                    <w:rPr>
                      <w:rFonts w:ascii="宋体" w:hAnsi="宋体" w:cs="宋体"/>
                    </w:rPr>
                  </w:pPr>
                </w:p>
              </w:tc>
              <w:tc>
                <w:tcPr>
                  <w:tcW w:w="120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widowControl/>
                    <w:adjustRightInd w:val="0"/>
                    <w:snapToGrid w:val="0"/>
                    <w:ind w:firstLine="420" w:firstLineChars="200"/>
                    <w:jc w:val="left"/>
                    <w:rPr>
                      <w:rFonts w:ascii="宋体" w:hAnsi="宋体" w:cs="宋体"/>
                    </w:rPr>
                  </w:pPr>
                  <w:r>
                    <w:rPr>
                      <w:rFonts w:hint="eastAsia" w:ascii="宋体" w:hAnsi="宋体" w:cs="宋体"/>
                    </w:rPr>
                    <w:t>电话</w:t>
                  </w:r>
                </w:p>
              </w:tc>
              <w:tc>
                <w:tcPr>
                  <w:tcW w:w="142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exact"/>
                <w:jc w:val="center"/>
              </w:trPr>
              <w:tc>
                <w:tcPr>
                  <w:tcW w:w="195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left"/>
                    <w:rPr>
                      <w:rFonts w:ascii="宋体" w:hAnsi="宋体" w:cs="宋体"/>
                    </w:rPr>
                  </w:pPr>
                  <w:r>
                    <w:rPr>
                      <w:rFonts w:hint="eastAsia" w:ascii="宋体" w:hAnsi="宋体" w:cs="宋体"/>
                    </w:rPr>
                    <w:t>备案联系人</w:t>
                  </w:r>
                </w:p>
              </w:tc>
              <w:tc>
                <w:tcPr>
                  <w:tcW w:w="155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left"/>
                    <w:rPr>
                      <w:rFonts w:ascii="宋体" w:hAnsi="宋体" w:cs="宋体"/>
                    </w:rPr>
                  </w:pPr>
                </w:p>
              </w:tc>
              <w:tc>
                <w:tcPr>
                  <w:tcW w:w="151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widowControl/>
                    <w:adjustRightInd w:val="0"/>
                    <w:snapToGrid w:val="0"/>
                    <w:ind w:firstLine="420" w:firstLineChars="200"/>
                    <w:jc w:val="left"/>
                    <w:rPr>
                      <w:rFonts w:ascii="宋体" w:hAnsi="宋体" w:cs="宋体"/>
                    </w:rPr>
                  </w:pPr>
                  <w:r>
                    <w:rPr>
                      <w:rFonts w:hint="eastAsia" w:ascii="宋体" w:hAnsi="宋体" w:cs="宋体"/>
                    </w:rPr>
                    <w:t>电话/传真</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left"/>
                    <w:rPr>
                      <w:rFonts w:ascii="宋体" w:hAnsi="宋体" w:cs="宋体"/>
                    </w:rPr>
                  </w:pPr>
                </w:p>
              </w:tc>
              <w:tc>
                <w:tcPr>
                  <w:tcW w:w="120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widowControl/>
                    <w:adjustRightInd w:val="0"/>
                    <w:snapToGrid w:val="0"/>
                    <w:ind w:firstLine="420" w:firstLineChars="200"/>
                    <w:jc w:val="left"/>
                    <w:rPr>
                      <w:rFonts w:ascii="宋体" w:hAnsi="宋体" w:cs="宋体"/>
                    </w:rPr>
                  </w:pPr>
                  <w:r>
                    <w:rPr>
                      <w:rFonts w:hint="eastAsia" w:ascii="宋体" w:hAnsi="宋体" w:cs="宋体"/>
                    </w:rPr>
                    <w:t>邮箱</w:t>
                  </w:r>
                </w:p>
              </w:tc>
              <w:tc>
                <w:tcPr>
                  <w:tcW w:w="142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57" w:hRule="atLeast"/>
                <w:jc w:val="center"/>
              </w:trPr>
              <w:tc>
                <w:tcPr>
                  <w:tcW w:w="195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rPr>
                  </w:pPr>
                  <w:r>
                    <w:rPr>
                      <w:rFonts w:hint="eastAsia" w:ascii="宋体" w:hAnsi="宋体" w:cs="宋体"/>
                    </w:rPr>
                    <w:t>备案诊断项目（按照《职业病分类和目录》，在相对应职业病类别后面的括号内打“√”，并明确具体病种名称）</w:t>
                  </w:r>
                </w:p>
              </w:tc>
              <w:tc>
                <w:tcPr>
                  <w:tcW w:w="7087" w:type="dxa"/>
                  <w:gridSpan w:val="5"/>
                  <w:tcBorders>
                    <w:top w:val="single" w:color="auto" w:sz="4" w:space="0"/>
                    <w:left w:val="single" w:color="auto" w:sz="4" w:space="0"/>
                    <w:bottom w:val="single" w:color="auto" w:sz="4" w:space="0"/>
                    <w:right w:val="single" w:color="auto" w:sz="4" w:space="0"/>
                  </w:tcBorders>
                </w:tcPr>
                <w:p>
                  <w:pPr>
                    <w:widowControl/>
                    <w:adjustRightInd w:val="0"/>
                    <w:snapToGrid w:val="0"/>
                    <w:ind w:firstLine="420" w:firstLineChars="200"/>
                    <w:jc w:val="left"/>
                    <w:rPr>
                      <w:rFonts w:ascii="宋体" w:hAnsi="宋体" w:cs="宋体"/>
                    </w:rPr>
                  </w:pPr>
                  <w:r>
                    <w:rPr>
                      <w:rFonts w:hint="eastAsia" w:ascii="宋体" w:hAnsi="宋体" w:cs="宋体"/>
                    </w:rPr>
                    <w:t>职业性尘肺病及其他呼吸系统疾病（   ）</w:t>
                  </w:r>
                </w:p>
                <w:p>
                  <w:pPr>
                    <w:widowControl/>
                    <w:adjustRightInd w:val="0"/>
                    <w:snapToGrid w:val="0"/>
                    <w:ind w:firstLine="420" w:firstLineChars="200"/>
                    <w:jc w:val="left"/>
                    <w:rPr>
                      <w:rFonts w:ascii="宋体" w:hAnsi="宋体" w:cs="宋体"/>
                    </w:rPr>
                  </w:pPr>
                  <w:r>
                    <w:rPr>
                      <w:rFonts w:hint="eastAsia" w:ascii="宋体" w:hAnsi="宋体" w:cs="宋体"/>
                    </w:rPr>
                    <w:t>病种名称：</w:t>
                  </w:r>
                </w:p>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hint="eastAsia" w:ascii="宋体" w:hAnsi="宋体" w:cs="宋体"/>
                    </w:rPr>
                    <w:t>职业性皮肤病                  （   ）</w:t>
                  </w:r>
                </w:p>
                <w:p>
                  <w:pPr>
                    <w:widowControl/>
                    <w:adjustRightInd w:val="0"/>
                    <w:snapToGrid w:val="0"/>
                    <w:ind w:firstLine="420" w:firstLineChars="200"/>
                    <w:jc w:val="left"/>
                    <w:rPr>
                      <w:rFonts w:ascii="宋体" w:hAnsi="宋体" w:cs="宋体"/>
                    </w:rPr>
                  </w:pPr>
                  <w:r>
                    <w:rPr>
                      <w:rFonts w:hint="eastAsia" w:ascii="宋体" w:hAnsi="宋体" w:cs="宋体"/>
                    </w:rPr>
                    <w:t>病种名称：</w:t>
                  </w:r>
                </w:p>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hint="eastAsia" w:ascii="宋体" w:hAnsi="宋体" w:cs="宋体"/>
                    </w:rPr>
                    <w:t>职业性眼病                    （   ）</w:t>
                  </w:r>
                </w:p>
                <w:p>
                  <w:pPr>
                    <w:widowControl/>
                    <w:adjustRightInd w:val="0"/>
                    <w:snapToGrid w:val="0"/>
                    <w:ind w:firstLine="420" w:firstLineChars="200"/>
                    <w:jc w:val="left"/>
                    <w:rPr>
                      <w:rFonts w:ascii="宋体" w:hAnsi="宋体" w:cs="宋体"/>
                    </w:rPr>
                  </w:pPr>
                  <w:r>
                    <w:rPr>
                      <w:rFonts w:hint="eastAsia" w:ascii="宋体" w:hAnsi="宋体" w:cs="宋体"/>
                    </w:rPr>
                    <w:t>病种名称：</w:t>
                  </w:r>
                </w:p>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hint="eastAsia" w:ascii="宋体" w:hAnsi="宋体" w:cs="宋体"/>
                    </w:rPr>
                    <w:t>职业性耳鼻喉口腔疾病          （   ）</w:t>
                  </w:r>
                </w:p>
                <w:p>
                  <w:pPr>
                    <w:widowControl/>
                    <w:adjustRightInd w:val="0"/>
                    <w:snapToGrid w:val="0"/>
                    <w:ind w:firstLine="420" w:firstLineChars="200"/>
                    <w:jc w:val="left"/>
                    <w:rPr>
                      <w:rFonts w:ascii="宋体" w:hAnsi="宋体" w:cs="宋体"/>
                    </w:rPr>
                  </w:pPr>
                  <w:r>
                    <w:rPr>
                      <w:rFonts w:hint="eastAsia" w:ascii="宋体" w:hAnsi="宋体" w:cs="宋体"/>
                    </w:rPr>
                    <w:t>病种名称：</w:t>
                  </w:r>
                </w:p>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hint="eastAsia" w:ascii="宋体" w:hAnsi="宋体" w:cs="宋体"/>
                    </w:rPr>
                    <w:t>职业性化学中毒                （   ）</w:t>
                  </w:r>
                </w:p>
                <w:p>
                  <w:pPr>
                    <w:widowControl/>
                    <w:adjustRightInd w:val="0"/>
                    <w:snapToGrid w:val="0"/>
                    <w:ind w:firstLine="420" w:firstLineChars="200"/>
                    <w:jc w:val="left"/>
                    <w:rPr>
                      <w:rFonts w:ascii="宋体" w:hAnsi="宋体" w:cs="宋体"/>
                    </w:rPr>
                  </w:pPr>
                  <w:r>
                    <w:rPr>
                      <w:rFonts w:hint="eastAsia" w:ascii="宋体" w:hAnsi="宋体" w:cs="宋体"/>
                    </w:rPr>
                    <w:t>病种名称：</w:t>
                  </w:r>
                </w:p>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hint="eastAsia" w:ascii="宋体" w:hAnsi="宋体" w:cs="宋体"/>
                    </w:rPr>
                    <w:t>物理因素所致职业病            （   ）</w:t>
                  </w:r>
                </w:p>
                <w:p>
                  <w:pPr>
                    <w:widowControl/>
                    <w:adjustRightInd w:val="0"/>
                    <w:snapToGrid w:val="0"/>
                    <w:ind w:firstLine="420" w:firstLineChars="200"/>
                    <w:jc w:val="left"/>
                    <w:rPr>
                      <w:rFonts w:ascii="宋体" w:hAnsi="宋体" w:cs="宋体"/>
                    </w:rPr>
                  </w:pPr>
                  <w:r>
                    <w:rPr>
                      <w:rFonts w:hint="eastAsia" w:ascii="宋体" w:hAnsi="宋体" w:cs="宋体"/>
                    </w:rPr>
                    <w:t>病种名称：</w:t>
                  </w:r>
                </w:p>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hint="eastAsia" w:ascii="宋体" w:hAnsi="宋体" w:cs="宋体"/>
                    </w:rPr>
                    <w:t>职业性放射性疾病              （   ）</w:t>
                  </w:r>
                </w:p>
                <w:p>
                  <w:pPr>
                    <w:widowControl/>
                    <w:adjustRightInd w:val="0"/>
                    <w:snapToGrid w:val="0"/>
                    <w:ind w:firstLine="420" w:firstLineChars="200"/>
                    <w:jc w:val="left"/>
                    <w:rPr>
                      <w:rFonts w:ascii="宋体" w:hAnsi="宋体" w:cs="宋体"/>
                    </w:rPr>
                  </w:pPr>
                  <w:r>
                    <w:rPr>
                      <w:rFonts w:hint="eastAsia" w:ascii="宋体" w:hAnsi="宋体" w:cs="宋体"/>
                    </w:rPr>
                    <w:t>病种名称：</w:t>
                  </w:r>
                </w:p>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hint="eastAsia" w:ascii="宋体" w:hAnsi="宋体" w:cs="宋体"/>
                    </w:rPr>
                    <w:t>职业性传染病                  （   ）</w:t>
                  </w:r>
                </w:p>
                <w:p>
                  <w:pPr>
                    <w:widowControl/>
                    <w:adjustRightInd w:val="0"/>
                    <w:snapToGrid w:val="0"/>
                    <w:ind w:firstLine="420" w:firstLineChars="200"/>
                    <w:jc w:val="left"/>
                    <w:rPr>
                      <w:rFonts w:ascii="宋体" w:hAnsi="宋体" w:cs="宋体"/>
                    </w:rPr>
                  </w:pPr>
                  <w:r>
                    <w:rPr>
                      <w:rFonts w:hint="eastAsia" w:ascii="宋体" w:hAnsi="宋体" w:cs="宋体"/>
                    </w:rPr>
                    <w:t>病种名称：</w:t>
                  </w:r>
                </w:p>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hint="eastAsia" w:ascii="宋体" w:hAnsi="宋体" w:cs="宋体"/>
                    </w:rPr>
                    <w:t>职业性肿瘤                    （   ）</w:t>
                  </w:r>
                </w:p>
                <w:p>
                  <w:pPr>
                    <w:widowControl/>
                    <w:adjustRightInd w:val="0"/>
                    <w:snapToGrid w:val="0"/>
                    <w:ind w:firstLine="420" w:firstLineChars="200"/>
                    <w:jc w:val="left"/>
                    <w:rPr>
                      <w:rFonts w:ascii="宋体" w:hAnsi="宋体" w:cs="宋体"/>
                    </w:rPr>
                  </w:pPr>
                  <w:r>
                    <w:rPr>
                      <w:rFonts w:hint="eastAsia" w:ascii="宋体" w:hAnsi="宋体" w:cs="宋体"/>
                    </w:rPr>
                    <w:t>病种名称：</w:t>
                  </w:r>
                </w:p>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hint="eastAsia" w:ascii="宋体" w:hAnsi="宋体" w:cs="宋体"/>
                    </w:rPr>
                    <w:t>十、其他职业病                （   ）</w:t>
                  </w:r>
                </w:p>
                <w:p>
                  <w:pPr>
                    <w:widowControl/>
                    <w:adjustRightInd w:val="0"/>
                    <w:snapToGrid w:val="0"/>
                    <w:ind w:firstLine="420" w:firstLineChars="200"/>
                    <w:jc w:val="left"/>
                    <w:rPr>
                      <w:rFonts w:ascii="宋体" w:hAnsi="宋体" w:cs="宋体"/>
                    </w:rPr>
                  </w:pPr>
                  <w:r>
                    <w:rPr>
                      <w:rFonts w:hint="eastAsia" w:ascii="宋体" w:hAnsi="宋体" w:cs="宋体"/>
                    </w:rPr>
                    <w:t>病种名称：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06" w:hRule="atLeast"/>
                <w:jc w:val="center"/>
              </w:trPr>
              <w:tc>
                <w:tcPr>
                  <w:tcW w:w="195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left"/>
                    <w:rPr>
                      <w:rFonts w:ascii="宋体" w:hAnsi="宋体" w:cs="宋体"/>
                    </w:rPr>
                  </w:pPr>
                  <w:r>
                    <w:rPr>
                      <w:rFonts w:hint="eastAsia" w:ascii="宋体" w:hAnsi="宋体" w:cs="宋体"/>
                    </w:rPr>
                    <w:t>备案所需</w:t>
                  </w:r>
                </w:p>
                <w:p>
                  <w:pPr>
                    <w:widowControl/>
                    <w:adjustRightInd w:val="0"/>
                    <w:snapToGrid w:val="0"/>
                    <w:ind w:firstLine="420" w:firstLineChars="200"/>
                    <w:jc w:val="left"/>
                    <w:rPr>
                      <w:rFonts w:ascii="宋体" w:hAnsi="宋体" w:cs="宋体"/>
                    </w:rPr>
                  </w:pPr>
                  <w:r>
                    <w:rPr>
                      <w:rFonts w:hint="eastAsia" w:ascii="宋体" w:hAnsi="宋体" w:cs="宋体"/>
                    </w:rPr>
                    <w:t>资料清单</w:t>
                  </w:r>
                </w:p>
              </w:tc>
              <w:tc>
                <w:tcPr>
                  <w:tcW w:w="7087" w:type="dxa"/>
                  <w:gridSpan w:val="5"/>
                  <w:tcBorders>
                    <w:top w:val="single" w:color="auto" w:sz="4" w:space="0"/>
                    <w:left w:val="single" w:color="auto" w:sz="4" w:space="0"/>
                    <w:bottom w:val="single" w:color="auto" w:sz="4" w:space="0"/>
                    <w:right w:val="single" w:color="auto" w:sz="4" w:space="0"/>
                  </w:tcBorders>
                </w:tcPr>
                <w:p>
                  <w:pPr>
                    <w:widowControl/>
                    <w:adjustRightInd w:val="0"/>
                    <w:snapToGrid w:val="0"/>
                    <w:ind w:firstLine="420" w:firstLineChars="200"/>
                    <w:jc w:val="left"/>
                    <w:rPr>
                      <w:rFonts w:ascii="宋体" w:hAnsi="宋体" w:cs="宋体"/>
                    </w:rPr>
                  </w:pPr>
                  <w:r>
                    <w:rPr>
                      <w:rFonts w:hint="eastAsia" w:ascii="宋体" w:hAnsi="宋体" w:cs="宋体"/>
                    </w:rPr>
                    <w:t>1.《医疗机构执业许可证》原件与副本的复印件；（  ）</w:t>
                  </w:r>
                </w:p>
                <w:p>
                  <w:pPr>
                    <w:widowControl/>
                    <w:adjustRightInd w:val="0"/>
                    <w:snapToGrid w:val="0"/>
                    <w:ind w:firstLine="420" w:firstLineChars="200"/>
                    <w:jc w:val="left"/>
                    <w:rPr>
                      <w:rFonts w:ascii="宋体" w:hAnsi="宋体" w:cs="宋体"/>
                    </w:rPr>
                  </w:pPr>
                  <w:r>
                    <w:rPr>
                      <w:rFonts w:hint="eastAsia" w:ascii="宋体" w:hAnsi="宋体" w:cs="宋体"/>
                    </w:rPr>
                    <w:t>2.职业病诊断医师等相关技术人员情况表；（  ）</w:t>
                  </w:r>
                </w:p>
                <w:p>
                  <w:pPr>
                    <w:widowControl/>
                    <w:adjustRightInd w:val="0"/>
                    <w:snapToGrid w:val="0"/>
                    <w:ind w:firstLine="420" w:firstLineChars="200"/>
                    <w:jc w:val="left"/>
                    <w:rPr>
                      <w:rFonts w:ascii="宋体" w:hAnsi="宋体" w:cs="宋体"/>
                    </w:rPr>
                  </w:pPr>
                  <w:r>
                    <w:rPr>
                      <w:rFonts w:hint="eastAsia" w:ascii="宋体" w:hAnsi="宋体" w:cs="宋体"/>
                    </w:rPr>
                    <w:t xml:space="preserve">3.相关的仪器设备清单；（  ） </w:t>
                  </w:r>
                </w:p>
                <w:p>
                  <w:pPr>
                    <w:widowControl/>
                    <w:adjustRightInd w:val="0"/>
                    <w:snapToGrid w:val="0"/>
                    <w:ind w:firstLine="420" w:firstLineChars="200"/>
                    <w:jc w:val="left"/>
                    <w:rPr>
                      <w:rFonts w:ascii="宋体" w:hAnsi="宋体" w:cs="宋体"/>
                    </w:rPr>
                  </w:pPr>
                  <w:r>
                    <w:rPr>
                      <w:rFonts w:hint="eastAsia" w:ascii="宋体" w:hAnsi="宋体" w:cs="宋体"/>
                    </w:rPr>
                    <w:t>4.负责职业病信息报告人员名单；（  ）</w:t>
                  </w:r>
                </w:p>
                <w:p>
                  <w:pPr>
                    <w:widowControl/>
                    <w:adjustRightInd w:val="0"/>
                    <w:snapToGrid w:val="0"/>
                    <w:ind w:firstLine="420" w:firstLineChars="200"/>
                    <w:jc w:val="left"/>
                    <w:rPr>
                      <w:rFonts w:ascii="宋体" w:hAnsi="宋体" w:cs="宋体"/>
                    </w:rPr>
                  </w:pPr>
                  <w:r>
                    <w:rPr>
                      <w:rFonts w:hint="eastAsia" w:ascii="宋体" w:hAnsi="宋体" w:cs="宋体"/>
                    </w:rPr>
                    <w:t>5.职业病诊断质量管理制度等相关资料；（  ）</w:t>
                  </w:r>
                </w:p>
                <w:p>
                  <w:pPr>
                    <w:widowControl/>
                    <w:adjustRightInd w:val="0"/>
                    <w:snapToGrid w:val="0"/>
                    <w:ind w:firstLine="420" w:firstLineChars="200"/>
                    <w:jc w:val="left"/>
                    <w:rPr>
                      <w:rFonts w:ascii="宋体" w:hAnsi="宋体" w:cs="宋体"/>
                    </w:rPr>
                  </w:pPr>
                  <w:r>
                    <w:rPr>
                      <w:rFonts w:hint="eastAsia" w:ascii="宋体" w:hAnsi="宋体" w:cs="宋体"/>
                    </w:rPr>
                    <w:t>6.提交的其他材料（详细列出）：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154" w:hRule="atLeast"/>
                <w:jc w:val="center"/>
              </w:trPr>
              <w:tc>
                <w:tcPr>
                  <w:tcW w:w="9039" w:type="dxa"/>
                  <w:gridSpan w:val="6"/>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1050" w:firstLineChars="500"/>
                    <w:jc w:val="left"/>
                    <w:rPr>
                      <w:rFonts w:ascii="宋体" w:hAnsi="宋体" w:cs="宋体"/>
                    </w:rPr>
                  </w:pPr>
                  <w:r>
                    <w:rPr>
                      <w:rFonts w:hint="eastAsia" w:ascii="宋体" w:hAnsi="宋体" w:cs="宋体"/>
                    </w:rPr>
                    <w:t>本机构保证上述资料真实、准确。</w:t>
                  </w:r>
                </w:p>
                <w:p>
                  <w:pPr>
                    <w:widowControl/>
                    <w:adjustRightInd w:val="0"/>
                    <w:snapToGrid w:val="0"/>
                    <w:jc w:val="left"/>
                    <w:rPr>
                      <w:rFonts w:ascii="宋体" w:hAnsi="宋体" w:cs="宋体"/>
                    </w:rPr>
                  </w:pPr>
                </w:p>
                <w:p>
                  <w:pPr>
                    <w:widowControl/>
                    <w:adjustRightInd w:val="0"/>
                    <w:snapToGrid w:val="0"/>
                    <w:ind w:firstLine="1050" w:firstLineChars="500"/>
                    <w:jc w:val="left"/>
                    <w:rPr>
                      <w:rFonts w:ascii="宋体" w:hAnsi="宋体" w:cs="宋体"/>
                    </w:rPr>
                  </w:pPr>
                  <w:r>
                    <w:rPr>
                      <w:rFonts w:hint="eastAsia" w:ascii="宋体" w:hAnsi="宋体" w:cs="宋体"/>
                    </w:rPr>
                    <w:t>机构法定代表人（签章）：                    机构（公章）：</w:t>
                  </w:r>
                </w:p>
                <w:p>
                  <w:pPr>
                    <w:widowControl/>
                    <w:adjustRightInd w:val="0"/>
                    <w:snapToGrid w:val="0"/>
                    <w:ind w:firstLine="420" w:firstLineChars="200"/>
                    <w:jc w:val="left"/>
                    <w:rPr>
                      <w:rFonts w:ascii="宋体" w:hAnsi="宋体" w:cs="宋体"/>
                    </w:rPr>
                  </w:pPr>
                </w:p>
                <w:p>
                  <w:pPr>
                    <w:widowControl/>
                    <w:adjustRightInd w:val="0"/>
                    <w:snapToGrid w:val="0"/>
                    <w:ind w:firstLine="6720" w:firstLineChars="3200"/>
                    <w:jc w:val="left"/>
                    <w:rPr>
                      <w:rFonts w:ascii="宋体" w:hAnsi="宋体" w:cs="宋体"/>
                    </w:rPr>
                  </w:pPr>
                  <w:r>
                    <w:rPr>
                      <w:rFonts w:hint="eastAsia" w:ascii="宋体" w:hAnsi="宋体" w:cs="宋体"/>
                    </w:rPr>
                    <w:t xml:space="preserve">年   月   日　　　　　　                                                              </w:t>
                  </w:r>
                </w:p>
              </w:tc>
            </w:tr>
          </w:tbl>
          <w:p>
            <w:pPr>
              <w:pStyle w:val="2"/>
              <w:ind w:firstLine="420" w:firstLineChars="200"/>
              <w:jc w:val="both"/>
              <w:rPr>
                <w:rFonts w:ascii="宋体" w:hAnsi="宋体" w:cs="宋体"/>
                <w:b w:val="0"/>
                <w:sz w:val="21"/>
                <w:szCs w:val="22"/>
                <w:lang w:val="en-US" w:eastAsia="zh-CN"/>
              </w:rPr>
            </w:pPr>
            <w:r>
              <w:rPr>
                <w:rFonts w:hint="eastAsia" w:ascii="宋体" w:hAnsi="宋体" w:cs="宋体"/>
                <w:b w:val="0"/>
                <w:sz w:val="21"/>
                <w:szCs w:val="22"/>
                <w:lang w:val="en-US" w:eastAsia="zh-CN"/>
              </w:rPr>
              <w:t>职业病诊断医师等相关技术人员情况表如下</w:t>
            </w:r>
            <w:r>
              <w:rPr>
                <w:rFonts w:hint="eastAsia" w:ascii="宋体" w:hAnsi="宋体" w:cs="宋体"/>
                <w:b w:val="0"/>
                <w:sz w:val="21"/>
                <w:szCs w:val="22"/>
                <w:lang w:val="en-US" w:eastAsia="zh-CN"/>
              </w:rPr>
              <w:fldChar w:fldCharType="begin"/>
            </w:r>
            <w:r>
              <w:rPr>
                <w:rFonts w:hint="eastAsia" w:ascii="宋体" w:hAnsi="宋体" w:cs="宋体"/>
                <w:b w:val="0"/>
                <w:sz w:val="21"/>
                <w:szCs w:val="22"/>
                <w:lang w:val="en-US" w:eastAsia="zh-CN"/>
              </w:rPr>
              <w:instrText xml:space="preserve"> REF _Ref19506 \h </w:instrText>
            </w:r>
            <w:r>
              <w:rPr>
                <w:rFonts w:hint="eastAsia" w:ascii="宋体" w:hAnsi="宋体" w:cs="宋体"/>
                <w:b w:val="0"/>
                <w:sz w:val="21"/>
                <w:szCs w:val="22"/>
                <w:lang w:val="en-US" w:eastAsia="zh-CN"/>
              </w:rPr>
              <w:fldChar w:fldCharType="separate"/>
            </w:r>
            <w:r>
              <w:rPr>
                <w:rFonts w:hint="eastAsia" w:ascii="宋体" w:hAnsi="宋体" w:cs="宋体"/>
                <w:b w:val="0"/>
                <w:sz w:val="21"/>
                <w:szCs w:val="22"/>
                <w:lang w:val="en-US" w:eastAsia="zh-CN"/>
              </w:rPr>
              <w:t>图 24</w:t>
            </w:r>
            <w:r>
              <w:rPr>
                <w:rFonts w:hint="eastAsia" w:ascii="宋体" w:hAnsi="宋体" w:cs="宋体"/>
                <w:b w:val="0"/>
                <w:sz w:val="21"/>
                <w:szCs w:val="22"/>
                <w:lang w:val="en-US" w:eastAsia="zh-CN"/>
              </w:rPr>
              <w:fldChar w:fldCharType="end"/>
            </w:r>
            <w:r>
              <w:rPr>
                <w:rFonts w:hint="eastAsia" w:ascii="宋体" w:hAnsi="宋体" w:cs="宋体"/>
                <w:b w:val="0"/>
                <w:sz w:val="21"/>
                <w:szCs w:val="22"/>
                <w:lang w:val="en-US" w:eastAsia="zh-CN"/>
              </w:rPr>
              <w:t>所示：</w:t>
            </w:r>
          </w:p>
          <w:p>
            <w:pPr>
              <w:jc w:val="center"/>
            </w:pPr>
            <w:r>
              <w:drawing>
                <wp:inline distT="0" distB="0" distL="114300" distR="114300">
                  <wp:extent cx="5866130" cy="905510"/>
                  <wp:effectExtent l="0" t="0" r="1270" b="889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8"/>
                          <a:stretch>
                            <a:fillRect/>
                          </a:stretch>
                        </pic:blipFill>
                        <pic:spPr>
                          <a:xfrm>
                            <a:off x="0" y="0"/>
                            <a:ext cx="5866130" cy="905510"/>
                          </a:xfrm>
                          <a:prstGeom prst="rect">
                            <a:avLst/>
                          </a:prstGeom>
                          <a:noFill/>
                          <a:ln>
                            <a:noFill/>
                          </a:ln>
                        </pic:spPr>
                      </pic:pic>
                    </a:graphicData>
                  </a:graphic>
                </wp:inline>
              </w:drawing>
            </w:r>
          </w:p>
          <w:p>
            <w:pPr>
              <w:pStyle w:val="15"/>
              <w:jc w:val="center"/>
            </w:pPr>
            <w:bookmarkStart w:id="71" w:name="_Ref19506"/>
            <w:r>
              <w:t xml:space="preserve">图 </w:t>
            </w:r>
            <w:r>
              <w:fldChar w:fldCharType="begin"/>
            </w:r>
            <w:r>
              <w:instrText xml:space="preserve"> SEQ 图 \* ARABIC </w:instrText>
            </w:r>
            <w:r>
              <w:fldChar w:fldCharType="separate"/>
            </w:r>
            <w:r>
              <w:t>24</w:t>
            </w:r>
            <w:r>
              <w:fldChar w:fldCharType="end"/>
            </w:r>
            <w:bookmarkEnd w:id="71"/>
            <w:r>
              <w:rPr>
                <w:rFonts w:hint="eastAsia"/>
              </w:rPr>
              <w:t xml:space="preserve"> 职业病诊断医师等相关技术人员情况表</w:t>
            </w:r>
          </w:p>
          <w:p>
            <w:pPr>
              <w:pStyle w:val="2"/>
              <w:ind w:firstLine="420" w:firstLineChars="200"/>
              <w:jc w:val="both"/>
              <w:rPr>
                <w:rFonts w:ascii="宋体" w:hAnsi="宋体" w:cs="宋体"/>
                <w:b w:val="0"/>
                <w:sz w:val="21"/>
                <w:szCs w:val="22"/>
                <w:lang w:val="en-US" w:eastAsia="zh-CN"/>
              </w:rPr>
            </w:pPr>
            <w:r>
              <w:rPr>
                <w:rFonts w:hint="eastAsia" w:ascii="宋体" w:hAnsi="宋体" w:cs="宋体"/>
                <w:b w:val="0"/>
                <w:sz w:val="21"/>
                <w:szCs w:val="22"/>
                <w:lang w:val="en-US" w:eastAsia="zh-CN"/>
              </w:rPr>
              <w:t>职业病诊断仪器和设备清单如下</w:t>
            </w:r>
            <w:r>
              <w:rPr>
                <w:rFonts w:hint="eastAsia" w:ascii="宋体" w:hAnsi="宋体" w:cs="宋体"/>
                <w:b w:val="0"/>
                <w:sz w:val="21"/>
                <w:szCs w:val="22"/>
                <w:lang w:val="en-US" w:eastAsia="zh-CN"/>
              </w:rPr>
              <w:fldChar w:fldCharType="begin"/>
            </w:r>
            <w:r>
              <w:rPr>
                <w:rFonts w:hint="eastAsia" w:ascii="宋体" w:hAnsi="宋体" w:cs="宋体"/>
                <w:b w:val="0"/>
                <w:sz w:val="21"/>
                <w:szCs w:val="22"/>
                <w:lang w:val="en-US" w:eastAsia="zh-CN"/>
              </w:rPr>
              <w:instrText xml:space="preserve"> REF _Ref19617 \h </w:instrText>
            </w:r>
            <w:r>
              <w:rPr>
                <w:rFonts w:hint="eastAsia" w:ascii="宋体" w:hAnsi="宋体" w:cs="宋体"/>
                <w:b w:val="0"/>
                <w:sz w:val="21"/>
                <w:szCs w:val="22"/>
                <w:lang w:val="en-US" w:eastAsia="zh-CN"/>
              </w:rPr>
              <w:fldChar w:fldCharType="separate"/>
            </w:r>
            <w:r>
              <w:rPr>
                <w:rFonts w:hint="eastAsia" w:ascii="宋体" w:hAnsi="宋体" w:cs="宋体"/>
                <w:b w:val="0"/>
                <w:sz w:val="21"/>
                <w:szCs w:val="22"/>
                <w:lang w:val="en-US" w:eastAsia="zh-CN"/>
              </w:rPr>
              <w:t>图 25</w:t>
            </w:r>
            <w:r>
              <w:rPr>
                <w:rFonts w:hint="eastAsia" w:ascii="宋体" w:hAnsi="宋体" w:cs="宋体"/>
                <w:b w:val="0"/>
                <w:sz w:val="21"/>
                <w:szCs w:val="22"/>
                <w:lang w:val="en-US" w:eastAsia="zh-CN"/>
              </w:rPr>
              <w:fldChar w:fldCharType="end"/>
            </w:r>
            <w:r>
              <w:rPr>
                <w:rFonts w:hint="eastAsia" w:ascii="宋体" w:hAnsi="宋体" w:cs="宋体"/>
                <w:b w:val="0"/>
                <w:sz w:val="21"/>
                <w:szCs w:val="22"/>
                <w:lang w:val="en-US" w:eastAsia="zh-CN"/>
              </w:rPr>
              <w:t>所示：</w:t>
            </w:r>
          </w:p>
          <w:p>
            <w:pPr>
              <w:jc w:val="center"/>
            </w:pPr>
            <w:r>
              <w:drawing>
                <wp:inline distT="0" distB="0" distL="114300" distR="114300">
                  <wp:extent cx="5866130" cy="776605"/>
                  <wp:effectExtent l="0" t="0" r="1270" b="444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9"/>
                          <a:stretch>
                            <a:fillRect/>
                          </a:stretch>
                        </pic:blipFill>
                        <pic:spPr>
                          <a:xfrm>
                            <a:off x="0" y="0"/>
                            <a:ext cx="5866130" cy="776605"/>
                          </a:xfrm>
                          <a:prstGeom prst="rect">
                            <a:avLst/>
                          </a:prstGeom>
                          <a:noFill/>
                          <a:ln>
                            <a:noFill/>
                          </a:ln>
                        </pic:spPr>
                      </pic:pic>
                    </a:graphicData>
                  </a:graphic>
                </wp:inline>
              </w:drawing>
            </w:r>
          </w:p>
          <w:p>
            <w:pPr>
              <w:pStyle w:val="15"/>
              <w:spacing w:after="0"/>
              <w:jc w:val="center"/>
            </w:pPr>
            <w:bookmarkStart w:id="72" w:name="_Ref19617"/>
            <w:r>
              <w:t xml:space="preserve">图 </w:t>
            </w:r>
            <w:r>
              <w:fldChar w:fldCharType="begin"/>
            </w:r>
            <w:r>
              <w:instrText xml:space="preserve"> SEQ 图 \* ARABIC </w:instrText>
            </w:r>
            <w:r>
              <w:fldChar w:fldCharType="separate"/>
            </w:r>
            <w:r>
              <w:t>25</w:t>
            </w:r>
            <w:r>
              <w:fldChar w:fldCharType="end"/>
            </w:r>
            <w:bookmarkEnd w:id="72"/>
            <w:r>
              <w:rPr>
                <w:rFonts w:hint="eastAsia"/>
              </w:rPr>
              <w:t xml:space="preserve"> 职业病诊断仪器和设备清单</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②备案信息变更：</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当备案信息发生变化时，应当自信息发生变化之日起十个工作日内向自治区级卫生健康主管部门提交变更信息。变更信息如下：《医疗机构执业许可证》原件、副本及复印件；职业病诊断医师资格等相关资料；相关的仪器设备清单；负责职业病信息报告人员名单；职业病诊断质量管理制度等相关资料。申请变更备案的说明。职业病诊断机构备案变更表如下</w:t>
            </w:r>
            <w:r>
              <w:rPr>
                <w:rFonts w:hint="eastAsia" w:ascii="宋体" w:hAnsi="宋体" w:cs="宋体"/>
              </w:rPr>
              <w:fldChar w:fldCharType="begin"/>
            </w:r>
            <w:r>
              <w:rPr>
                <w:rFonts w:hint="eastAsia" w:ascii="宋体" w:hAnsi="宋体" w:cs="宋体"/>
              </w:rPr>
              <w:instrText xml:space="preserve"> REF _Ref19845 \h </w:instrText>
            </w:r>
            <w:r>
              <w:rPr>
                <w:rFonts w:hint="eastAsia" w:ascii="宋体" w:hAnsi="宋体" w:cs="宋体"/>
              </w:rPr>
              <w:fldChar w:fldCharType="separate"/>
            </w:r>
            <w:r>
              <w:t>图 26</w:t>
            </w:r>
            <w:r>
              <w:rPr>
                <w:rFonts w:hint="eastAsia" w:ascii="宋体" w:hAnsi="宋体" w:cs="宋体"/>
              </w:rPr>
              <w:fldChar w:fldCharType="end"/>
            </w:r>
            <w:r>
              <w:rPr>
                <w:rFonts w:hint="eastAsia" w:ascii="宋体" w:hAnsi="宋体" w:cs="宋体"/>
              </w:rPr>
              <w:t>所示：</w:t>
            </w:r>
          </w:p>
          <w:p>
            <w:pPr>
              <w:pStyle w:val="2"/>
              <w:rPr>
                <w:lang w:val="en-US" w:eastAsia="zh-CN"/>
              </w:rPr>
            </w:pPr>
            <w:r>
              <w:rPr>
                <w:lang w:val="en-US" w:eastAsia="zh-CN"/>
              </w:rPr>
              <w:drawing>
                <wp:inline distT="0" distB="0" distL="114300" distR="114300">
                  <wp:extent cx="4831080" cy="4347845"/>
                  <wp:effectExtent l="0" t="0" r="7620" b="1460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40"/>
                          <a:stretch>
                            <a:fillRect/>
                          </a:stretch>
                        </pic:blipFill>
                        <pic:spPr>
                          <a:xfrm>
                            <a:off x="0" y="0"/>
                            <a:ext cx="4831080" cy="4347845"/>
                          </a:xfrm>
                          <a:prstGeom prst="rect">
                            <a:avLst/>
                          </a:prstGeom>
                          <a:noFill/>
                          <a:ln>
                            <a:noFill/>
                          </a:ln>
                        </pic:spPr>
                      </pic:pic>
                    </a:graphicData>
                  </a:graphic>
                </wp:inline>
              </w:drawing>
            </w:r>
          </w:p>
          <w:p>
            <w:pPr>
              <w:pStyle w:val="15"/>
              <w:jc w:val="center"/>
            </w:pPr>
            <w:bookmarkStart w:id="73" w:name="_Ref19845"/>
            <w:r>
              <w:t xml:space="preserve">图 </w:t>
            </w:r>
            <w:r>
              <w:fldChar w:fldCharType="begin"/>
            </w:r>
            <w:r>
              <w:instrText xml:space="preserve"> SEQ 图 \* ARABIC </w:instrText>
            </w:r>
            <w:r>
              <w:fldChar w:fldCharType="separate"/>
            </w:r>
            <w:r>
              <w:t>26</w:t>
            </w:r>
            <w:r>
              <w:fldChar w:fldCharType="end"/>
            </w:r>
            <w:bookmarkEnd w:id="73"/>
            <w:r>
              <w:rPr>
                <w:rFonts w:hint="eastAsia" w:ascii="宋体" w:hAnsi="宋体" w:cs="宋体"/>
              </w:rPr>
              <w:t>职业病诊断机构备案变更表</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（3）劳动者职业病诊断管理</w:t>
            </w:r>
          </w:p>
          <w:p>
            <w:pPr>
              <w:widowControl/>
              <w:adjustRightInd w:val="0"/>
              <w:snapToGrid w:val="0"/>
              <w:ind w:firstLine="420" w:firstLineChars="200"/>
              <w:jc w:val="left"/>
              <w:rPr>
                <w:rFonts w:ascii="宋体" w:hAnsi="宋体" w:cs="宋体"/>
              </w:rPr>
            </w:pPr>
            <w:r>
              <w:rPr>
                <w:rFonts w:hint="eastAsia" w:ascii="宋体" w:hAnsi="宋体" w:cs="宋体"/>
              </w:rPr>
              <w:t>配套医生工作站的网络连通,根据劳动者提交的职业病诊断申请，根据材料对劳动者职业病进行诊断，并在系统和短信的方式将结果反馈至劳动者。职业病诊断流程如下</w:t>
            </w:r>
            <w:r>
              <w:rPr>
                <w:rFonts w:hint="eastAsia" w:ascii="宋体" w:hAnsi="宋体" w:cs="宋体"/>
              </w:rPr>
              <w:fldChar w:fldCharType="begin"/>
            </w:r>
            <w:r>
              <w:rPr>
                <w:rFonts w:hint="eastAsia" w:ascii="宋体" w:hAnsi="宋体" w:cs="宋体"/>
              </w:rPr>
              <w:instrText xml:space="preserve"> REF _Ref19878 \h </w:instrText>
            </w:r>
            <w:r>
              <w:rPr>
                <w:rFonts w:hint="eastAsia" w:ascii="宋体" w:hAnsi="宋体" w:cs="宋体"/>
              </w:rPr>
              <w:fldChar w:fldCharType="separate"/>
            </w:r>
            <w:r>
              <w:t>图 27</w:t>
            </w:r>
            <w:r>
              <w:rPr>
                <w:rFonts w:hint="eastAsia" w:ascii="宋体" w:hAnsi="宋体" w:cs="宋体"/>
              </w:rPr>
              <w:fldChar w:fldCharType="end"/>
            </w:r>
            <w:r>
              <w:rPr>
                <w:rFonts w:hint="eastAsia" w:ascii="宋体" w:hAnsi="宋体" w:cs="宋体"/>
              </w:rPr>
              <w:t>所示：</w:t>
            </w:r>
          </w:p>
          <w:p>
            <w:pPr>
              <w:pStyle w:val="2"/>
              <w:rPr>
                <w:rStyle w:val="89"/>
                <w:lang w:val="en-US" w:eastAsia="zh-CN"/>
              </w:rPr>
            </w:pPr>
            <w:r>
              <w:rPr>
                <w:lang w:val="en-US" w:eastAsia="zh-CN"/>
              </w:rPr>
              <w:drawing>
                <wp:inline distT="0" distB="0" distL="114300" distR="114300">
                  <wp:extent cx="5270500" cy="6823710"/>
                  <wp:effectExtent l="0" t="0" r="6350" b="1524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19"/>
                          <a:stretch>
                            <a:fillRect/>
                          </a:stretch>
                        </pic:blipFill>
                        <pic:spPr>
                          <a:xfrm>
                            <a:off x="0" y="0"/>
                            <a:ext cx="5270500" cy="6823710"/>
                          </a:xfrm>
                          <a:prstGeom prst="rect">
                            <a:avLst/>
                          </a:prstGeom>
                          <a:noFill/>
                          <a:ln>
                            <a:noFill/>
                          </a:ln>
                        </pic:spPr>
                      </pic:pic>
                    </a:graphicData>
                  </a:graphic>
                </wp:inline>
              </w:drawing>
            </w:r>
          </w:p>
          <w:p>
            <w:pPr>
              <w:pStyle w:val="15"/>
              <w:jc w:val="center"/>
            </w:pPr>
            <w:bookmarkStart w:id="74" w:name="_Ref19878"/>
            <w:r>
              <w:t xml:space="preserve">图 </w:t>
            </w:r>
            <w:r>
              <w:fldChar w:fldCharType="begin"/>
            </w:r>
            <w:r>
              <w:instrText xml:space="preserve"> SEQ 图 \* ARABIC </w:instrText>
            </w:r>
            <w:r>
              <w:fldChar w:fldCharType="separate"/>
            </w:r>
            <w:r>
              <w:t>27</w:t>
            </w:r>
            <w:r>
              <w:fldChar w:fldCharType="end"/>
            </w:r>
            <w:bookmarkEnd w:id="74"/>
            <w:r>
              <w:rPr>
                <w:rFonts w:hint="eastAsia"/>
              </w:rPr>
              <w:t xml:space="preserve"> 职业病诊断申请流程图</w:t>
            </w:r>
          </w:p>
          <w:p>
            <w:pPr>
              <w:widowControl/>
              <w:adjustRightInd w:val="0"/>
              <w:snapToGrid w:val="0"/>
              <w:spacing w:line="360" w:lineRule="exact"/>
              <w:ind w:left="420"/>
              <w:jc w:val="left"/>
              <w:rPr>
                <w:rFonts w:ascii="宋体" w:hAnsi="宋体" w:cs="宋体"/>
              </w:rPr>
            </w:pPr>
            <w:r>
              <w:rPr>
                <w:rFonts w:hint="eastAsia" w:ascii="宋体" w:hAnsi="宋体" w:cs="宋体"/>
                <w:b/>
                <w:bCs/>
              </w:rPr>
              <w:t>①查看劳动者的申请材料</w:t>
            </w:r>
          </w:p>
          <w:p>
            <w:pPr>
              <w:widowControl/>
              <w:adjustRightInd w:val="0"/>
              <w:snapToGrid w:val="0"/>
              <w:spacing w:line="360" w:lineRule="exact"/>
              <w:ind w:firstLine="420" w:firstLineChars="200"/>
              <w:jc w:val="left"/>
            </w:pPr>
            <w:r>
              <w:rPr>
                <w:rFonts w:hint="eastAsia" w:ascii="宋体" w:hAnsi="宋体" w:cs="宋体"/>
              </w:rPr>
              <w:t>申请诊断的材料包括：劳动者职业史和职业病危害接触史：包括在岗时间、工种、岗位、接触的职业病危害因素名称等；此条信息可关联至通过职业健康检查机构应用系统获取相关数据。劳动者职业健康检查结果；此条信息可关联至通过职业健康检查机构应用系统获取相关数据。工作场所职业病危害因素检测结果；此条信息可关联至通过职业健康检查机构应用系统获取相关数据。个人剂量监测档案（职业性放射性疾病诊断）：此条信息可关联至放射卫生技术服务机构数据库获取相关数据。</w:t>
            </w:r>
            <w:r>
              <w:rPr>
                <w:rFonts w:hint="eastAsia"/>
              </w:rPr>
              <w:t>所有申请材料均提供上传附件入口。</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②劳动者职业病诊断材料受理、诊断</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受理劳动者提供的材料。确认受理前，关联国垂系统《职业健康技术服务机构信息填报系统》，查询该劳动者在全国的申请职业病诊断情况，如已申请过，则不再受理该次诊断申请。对接国垂系统《职业健康技术服务机构信息填报系统》的费用，包含在该项目中。诊断机构根据材料对劳动者职业病进行诊断。职业病诊断机构作出职业病诊断结论后，在系统上填报诊断相关内容：劳动者基本信息、用人单位信息、诊断登记日期、接触的职业性有害因素、开始接害日期、实际接害工龄、职业病种类、职业病名称、报告类别、诊断日期、职业性化学中毒分类、尘肺情况、合并症情况、是否死亡、死亡日期、死亡情况、诊断结论、处理意见。</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③出具职业病诊断书</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根据诊断结果，出具《职业病诊断证明书》。职业病诊断证明书应当由参与诊断的取得职业病诊断资格的执业医师签署,关联CA电子签名。职业病诊断机构应当对职业病诊断医师签署的职业病诊断证明书进行审核，确认诊断的依据与结论符合有关法律法规、标准的要求，并在职业病诊断证明书上盖章，关联电子签章。</w:t>
            </w:r>
            <w:r>
              <w:rPr>
                <w:rFonts w:hint="eastAsia"/>
              </w:rPr>
              <w:t>如还保留纸质流程，还</w:t>
            </w:r>
            <w:r>
              <w:rPr>
                <w:rFonts w:hint="eastAsia" w:ascii="宋体" w:hAnsi="宋体" w:cs="宋体"/>
              </w:rPr>
              <w:t>需上传医师出具的纸质《职业病诊断证明书》。上传的诊断证明书，需经过职业病诊断机构管理人员确认后才可报送给用人单位、劳动者、卫生健康主管部门等。诊断证明书样例如下</w:t>
            </w:r>
            <w:r>
              <w:rPr>
                <w:rFonts w:hint="eastAsia" w:ascii="宋体" w:hAnsi="宋体" w:cs="宋体"/>
              </w:rPr>
              <w:fldChar w:fldCharType="begin"/>
            </w:r>
            <w:r>
              <w:rPr>
                <w:rFonts w:hint="eastAsia" w:ascii="宋体" w:hAnsi="宋体" w:cs="宋体"/>
              </w:rPr>
              <w:instrText xml:space="preserve"> REF _Ref19950 \h </w:instrText>
            </w:r>
            <w:r>
              <w:rPr>
                <w:rFonts w:hint="eastAsia" w:ascii="宋体" w:hAnsi="宋体" w:cs="宋体"/>
              </w:rPr>
              <w:fldChar w:fldCharType="separate"/>
            </w:r>
            <w:r>
              <w:t>图 28</w:t>
            </w:r>
            <w:r>
              <w:rPr>
                <w:rFonts w:hint="eastAsia" w:ascii="宋体" w:hAnsi="宋体" w:cs="宋体"/>
              </w:rPr>
              <w:fldChar w:fldCharType="end"/>
            </w:r>
            <w:r>
              <w:rPr>
                <w:rFonts w:hint="eastAsia" w:ascii="宋体" w:hAnsi="宋体" w:cs="宋体"/>
              </w:rPr>
              <w:t>所示：</w:t>
            </w:r>
          </w:p>
          <w:p>
            <w:pPr>
              <w:widowControl/>
              <w:jc w:val="center"/>
              <w:rPr>
                <w:rFonts w:ascii="宋体" w:hAnsi="宋体" w:cs="宋体"/>
                <w:kern w:val="0"/>
                <w:sz w:val="24"/>
              </w:rPr>
            </w:pPr>
            <w:bookmarkStart w:id="75" w:name="_Ref19950"/>
            <w:r>
              <w:rPr>
                <w:rFonts w:ascii="宋体" w:hAnsi="宋体" w:cs="宋体"/>
                <w:kern w:val="0"/>
                <w:sz w:val="24"/>
              </w:rPr>
              <w:drawing>
                <wp:inline distT="0" distB="0" distL="114300" distR="114300">
                  <wp:extent cx="5046345" cy="4451350"/>
                  <wp:effectExtent l="0" t="0" r="1905" b="6350"/>
                  <wp:docPr id="33" name="图片 32" descr="127B196499A145CDA542EB647D824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127B196499A145CDA542EB647D82470D"/>
                          <pic:cNvPicPr>
                            <a:picLocks noChangeAspect="1"/>
                          </pic:cNvPicPr>
                        </pic:nvPicPr>
                        <pic:blipFill>
                          <a:blip r:embed="rId41"/>
                          <a:stretch>
                            <a:fillRect/>
                          </a:stretch>
                        </pic:blipFill>
                        <pic:spPr>
                          <a:xfrm>
                            <a:off x="0" y="0"/>
                            <a:ext cx="5046345" cy="4451350"/>
                          </a:xfrm>
                          <a:prstGeom prst="rect">
                            <a:avLst/>
                          </a:prstGeom>
                          <a:noFill/>
                          <a:ln>
                            <a:noFill/>
                          </a:ln>
                        </pic:spPr>
                      </pic:pic>
                    </a:graphicData>
                  </a:graphic>
                </wp:inline>
              </w:drawing>
            </w:r>
          </w:p>
          <w:p>
            <w:pPr>
              <w:pStyle w:val="15"/>
              <w:jc w:val="center"/>
            </w:pPr>
            <w:r>
              <w:t xml:space="preserve">图 </w:t>
            </w:r>
            <w:r>
              <w:fldChar w:fldCharType="begin"/>
            </w:r>
            <w:r>
              <w:instrText xml:space="preserve"> SEQ 图 \* ARABIC </w:instrText>
            </w:r>
            <w:r>
              <w:fldChar w:fldCharType="separate"/>
            </w:r>
            <w:r>
              <w:t>28</w:t>
            </w:r>
            <w:r>
              <w:fldChar w:fldCharType="end"/>
            </w:r>
            <w:bookmarkEnd w:id="75"/>
            <w:r>
              <w:rPr>
                <w:rFonts w:hint="eastAsia"/>
              </w:rPr>
              <w:t xml:space="preserve"> 证明书样例</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④职业病病例上报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用于报送职业病诊断机构出具的诊断证明书。诊断机构可以将诊断证明书报送给用人单位和劳动者，同时也需要上报到监督机构。需要省（区）市县三级审核。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针对用人单位和劳动者的职业病诊断结果进行上报，报告单位为职业病诊断机构。上报卡格式如下</w:t>
            </w:r>
            <w:r>
              <w:rPr>
                <w:rFonts w:hint="eastAsia" w:ascii="宋体" w:hAnsi="宋体" w:cs="宋体"/>
              </w:rPr>
              <w:fldChar w:fldCharType="begin"/>
            </w:r>
            <w:r>
              <w:rPr>
                <w:rFonts w:hint="eastAsia" w:ascii="宋体" w:hAnsi="宋体" w:cs="宋体"/>
              </w:rPr>
              <w:instrText xml:space="preserve"> REF _Ref19999 \h </w:instrText>
            </w:r>
            <w:r>
              <w:rPr>
                <w:rFonts w:hint="eastAsia" w:ascii="宋体" w:hAnsi="宋体" w:cs="宋体"/>
              </w:rPr>
              <w:fldChar w:fldCharType="separate"/>
            </w:r>
            <w:r>
              <w:t>图 29</w:t>
            </w:r>
            <w:r>
              <w:rPr>
                <w:rFonts w:hint="eastAsia" w:ascii="宋体" w:hAnsi="宋体" w:cs="宋体"/>
              </w:rPr>
              <w:fldChar w:fldCharType="end"/>
            </w:r>
            <w:r>
              <w:rPr>
                <w:rFonts w:hint="eastAsia" w:ascii="宋体" w:hAnsi="宋体" w:cs="宋体"/>
              </w:rPr>
              <w:t>所示：</w:t>
            </w:r>
          </w:p>
          <w:p>
            <w:pPr>
              <w:widowControl/>
              <w:jc w:val="center"/>
              <w:rPr>
                <w:rFonts w:ascii="宋体" w:hAnsi="宋体" w:cs="宋体"/>
                <w:kern w:val="0"/>
                <w:sz w:val="24"/>
              </w:rPr>
            </w:pPr>
            <w:r>
              <w:rPr>
                <w:rFonts w:ascii="宋体" w:hAnsi="宋体" w:cs="宋体"/>
                <w:kern w:val="0"/>
                <w:sz w:val="24"/>
              </w:rPr>
              <w:drawing>
                <wp:inline distT="0" distB="0" distL="114300" distR="114300">
                  <wp:extent cx="5477510" cy="4572000"/>
                  <wp:effectExtent l="0" t="0" r="8890" b="0"/>
                  <wp:docPr id="34" name="图片 33" descr="E92815260B3141CFBDADABF5D3F15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E92815260B3141CFBDADABF5D3F15C19"/>
                          <pic:cNvPicPr>
                            <a:picLocks noChangeAspect="1"/>
                          </pic:cNvPicPr>
                        </pic:nvPicPr>
                        <pic:blipFill>
                          <a:blip r:embed="rId42"/>
                          <a:stretch>
                            <a:fillRect/>
                          </a:stretch>
                        </pic:blipFill>
                        <pic:spPr>
                          <a:xfrm>
                            <a:off x="0" y="0"/>
                            <a:ext cx="5477510" cy="4572000"/>
                          </a:xfrm>
                          <a:prstGeom prst="rect">
                            <a:avLst/>
                          </a:prstGeom>
                          <a:noFill/>
                          <a:ln>
                            <a:noFill/>
                          </a:ln>
                        </pic:spPr>
                      </pic:pic>
                    </a:graphicData>
                  </a:graphic>
                </wp:inline>
              </w:drawing>
            </w:r>
          </w:p>
          <w:p>
            <w:pPr>
              <w:widowControl/>
              <w:adjustRightInd w:val="0"/>
              <w:snapToGrid w:val="0"/>
              <w:spacing w:line="360" w:lineRule="exact"/>
              <w:ind w:firstLine="420" w:firstLineChars="200"/>
              <w:jc w:val="center"/>
              <w:rPr>
                <w:rFonts w:ascii="宋体" w:hAnsi="宋体" w:cs="宋体"/>
              </w:rPr>
            </w:pPr>
            <w:bookmarkStart w:id="76" w:name="_Ref19999"/>
            <w:r>
              <w:t xml:space="preserve">图 </w:t>
            </w:r>
            <w:r>
              <w:fldChar w:fldCharType="begin"/>
            </w:r>
            <w:r>
              <w:instrText xml:space="preserve"> SEQ 图 \* ARABIC </w:instrText>
            </w:r>
            <w:r>
              <w:fldChar w:fldCharType="separate"/>
            </w:r>
            <w:r>
              <w:t>29</w:t>
            </w:r>
            <w:r>
              <w:fldChar w:fldCharType="end"/>
            </w:r>
            <w:bookmarkEnd w:id="76"/>
            <w:r>
              <w:rPr>
                <w:rFonts w:hint="eastAsia"/>
              </w:rPr>
              <w:t xml:space="preserve"> 上报卡格式</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⑤职业病诊断证明书归档</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由职业病诊断机构用于归档职业病诊断机构出具的《职业病诊断证明书》，诊断机构可以查看过往的职业病诊断证明书。</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（4）职业健康培训查询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功能需与在线教育培训系统后台对应的培训内容、培训形式、培训管理、培训考核证书管理等基础数据互通，便于查询本单位诊断医师培训信息。</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（5）职业病诊断统计</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①职业病诊断医师统计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用于统计诊断机构职业病诊断医师的人数和年度新增人数等，统计结果以图表的方式进行数据呈现，支持进行可视化展示。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②职业病诊断统计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用于统计职业诊断机构的业务相关信息并做展示，包括：</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申请诊断机构诊断的劳动者人数统计；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统计完成职业病诊断的人数统计、诊断登记日期、诊断日期统计、接触的职业性有害因素统计、开始接害日期统计、实际接害工龄统计；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病的种类分布统计（统计维护：地区、行业类型、企业类型、企业规模，统计地区，报告日期，诊断日期，审核状态，病例类型：新病例、首次晋期病例、再次晋期病例、死亡病例、复诊病例，鉴定结果）、职业病名称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分性别分病种大类统计（统计地区：用人单位所在地、用工单位所在地、报告单位所在地，报告日期，诊断日期，审核状态，病例类型，鉴定结果）；</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劳动者的年龄分布统计（分病种大类平均年龄，统计地区：用人单位所在地、报告单位所在地，报告日期，诊断日期，审核状态，病例类型）、劳动者证件类型统计；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企业类型统计、用人单位所在地统计、地域分布统计、、行业类型统计；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诊断登记日期、诊断日期统计、接触的职业性有害因素统计、开始接害日期统计、实际接害工龄统计；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工种统计（参照《重点行业用人单位职业病危害因素监测表》，至少包含：采煤工、洗煤工、采矿工、选矿工、皮带巡检、输煤巡检、原料贮存运输、冶炼工、铸造工、熔化工、型砂工、切割工、上料工、备煤工、推/拦焦机司机、炉盖工、上升管工、机侧出炉工、焦侧出炉工、熄焦工、煤气净化巡检工等。）；</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尘肺病分病种统计（统计维度：地区、行业、企业类型、企业规模、基本情况，统计地区：用人单位所在地、用工单位所在地、报告单位所在地，报告日期，诊断日期，审核状态，病例类型，鉴定结果）；</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尘肺病分期别统计（统计维度：地区、行业、企业类型、企业规模、病种、基本情况，统计地区：用人单位所在地、用工单位所在地、报告单位所在地，报告日期，诊断日期，审核状态，病例类型，鉴定结果）。</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9.职业病鉴定办事机构应用系统</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本项目建设的职业病鉴定机构应用系统涉及到的使用对象为职业病鉴定机构，主要实现职业病鉴定机构对于鉴定工作实现信息管理和查询。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数据采集，依托于本平台“基础支撑与服务开放平台”里的“数据管理平台”统一数据录入功能，根据国家和自治区的数据采集要求，进行统一采集，形成自治区级的数据库。参照《全国公共卫生信息化建设标准与规范》《全国职业健康统计调查制度》及相关数据集标准，确定信息采集的基本内容、字段格式要求。兼容国垂系统《职业健康技术服务机构信息填报系统》，覆盖国垂系统所有功能。如可与国垂系统《职业健康技术服务机构信息填报系统》实现数据对接，则将数据将自动填充，不再二次录入，否则要实现填报信息上报国垂系统。</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（1）机构基本信息管理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用于职业病诊断机构填报本机构基本信息，填写内容包括：</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机构信息填报：机构名称、法定代表人、统一社会信用代码、注册地址、机构联系人、联系电话、工作时间、地点、鉴定工作程序等。其中机构信息、人员信息可从全民健康信息平台获取。</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（2）劳动者/用人单位职业病鉴定管理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当事人（劳动者/用人单位）申请职业病鉴定。当事人对于诊断结果如有异议，可以提出申请职业病鉴定，提交相关材料，并提交给职业病鉴定办事机构。鉴定申请通过后，确认鉴定专家。鉴定专家对当事人的职业病鉴定完成后，当事人可以查看鉴定结果。</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当事人的职业病鉴定申请流程如下</w:t>
            </w:r>
            <w:r>
              <w:rPr>
                <w:rFonts w:hint="eastAsia" w:ascii="宋体" w:hAnsi="宋体" w:cs="宋体"/>
              </w:rPr>
              <w:fldChar w:fldCharType="begin"/>
            </w:r>
            <w:r>
              <w:rPr>
                <w:rFonts w:hint="eastAsia" w:ascii="宋体" w:hAnsi="宋体" w:cs="宋体"/>
              </w:rPr>
              <w:instrText xml:space="preserve"> REF _Ref20051 \h </w:instrText>
            </w:r>
            <w:r>
              <w:rPr>
                <w:rFonts w:hint="eastAsia" w:ascii="宋体" w:hAnsi="宋体" w:cs="宋体"/>
              </w:rPr>
              <w:fldChar w:fldCharType="separate"/>
            </w:r>
            <w:r>
              <w:t>图 30</w:t>
            </w:r>
            <w:r>
              <w:rPr>
                <w:rFonts w:hint="eastAsia" w:ascii="宋体" w:hAnsi="宋体" w:cs="宋体"/>
              </w:rPr>
              <w:fldChar w:fldCharType="end"/>
            </w:r>
            <w:r>
              <w:rPr>
                <w:rFonts w:hint="eastAsia" w:ascii="宋体" w:hAnsi="宋体" w:cs="宋体"/>
              </w:rPr>
              <w:t>所示：</w:t>
            </w:r>
          </w:p>
          <w:p>
            <w:pPr>
              <w:jc w:val="center"/>
              <w:rPr>
                <w:rFonts w:hint="eastAsia"/>
              </w:rPr>
            </w:pPr>
            <w:r>
              <w:drawing>
                <wp:inline distT="0" distB="0" distL="114300" distR="114300">
                  <wp:extent cx="5279390" cy="1845945"/>
                  <wp:effectExtent l="0" t="0" r="16510" b="190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43"/>
                          <a:stretch>
                            <a:fillRect/>
                          </a:stretch>
                        </pic:blipFill>
                        <pic:spPr>
                          <a:xfrm>
                            <a:off x="0" y="0"/>
                            <a:ext cx="5279390" cy="1845945"/>
                          </a:xfrm>
                          <a:prstGeom prst="rect">
                            <a:avLst/>
                          </a:prstGeom>
                          <a:noFill/>
                          <a:ln>
                            <a:noFill/>
                          </a:ln>
                        </pic:spPr>
                      </pic:pic>
                    </a:graphicData>
                  </a:graphic>
                </wp:inline>
              </w:drawing>
            </w:r>
            <w:bookmarkStart w:id="77" w:name="_Ref20051"/>
          </w:p>
          <w:p>
            <w:pPr>
              <w:jc w:val="center"/>
            </w:pPr>
            <w:r>
              <w:t xml:space="preserve">图 </w:t>
            </w:r>
            <w:r>
              <w:fldChar w:fldCharType="begin"/>
            </w:r>
            <w:r>
              <w:instrText xml:space="preserve"> SEQ 图 \* ARABIC </w:instrText>
            </w:r>
            <w:r>
              <w:fldChar w:fldCharType="separate"/>
            </w:r>
            <w:r>
              <w:t>30</w:t>
            </w:r>
            <w:r>
              <w:fldChar w:fldCharType="end"/>
            </w:r>
            <w:bookmarkEnd w:id="77"/>
            <w:r>
              <w:rPr>
                <w:rFonts w:hint="eastAsia"/>
              </w:rPr>
              <w:t xml:space="preserve"> 业务流程图</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病鉴定机构根据当事人提交的职业病鉴定申请，根据实际情况对职业病诊断结果业务进行鉴定，并在系统和短信的方式将鉴定结果反馈至当事人。当事人对设区的市级职业病鉴定结论不认可的，可以在接到诊断鉴定书之日起十五日内，向原鉴定组织所在地的省（自治区）级卫生健康主管部门申请再鉴定，自治区级鉴定为最终鉴定。</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①</w:t>
            </w:r>
            <w:r>
              <w:rPr>
                <w:rFonts w:ascii="宋体" w:hAnsi="宋体" w:cs="宋体"/>
                <w:b/>
                <w:bCs/>
              </w:rPr>
              <w:t>查看</w:t>
            </w:r>
            <w:r>
              <w:rPr>
                <w:rFonts w:hint="eastAsia" w:ascii="宋体" w:hAnsi="宋体" w:cs="宋体"/>
                <w:b/>
                <w:bCs/>
              </w:rPr>
              <w:t>职业病鉴定申请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当事人对职业病诊断机构作出的职业病诊断有异议的，可以在接到职业病诊断证明书之日起三十日内，在系统中向作出诊断的职业病诊断机构所在地设区的市级卫生健康主管部门申请鉴定。</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查看当事人申请职业病鉴定提交的各项材料：职业病鉴定申请表、职业病诊断证明书（申请再鉴定者，必须提交首次职业病鉴定书）、职业史、职业健康监护档案复印件、职业健康检查结果、工作场所历年职业病危害因素检测及评价资料、既往史、其他有关材料（包括近期相关检查、检测材料）。查看职业病诊断证明书。职业病诊断证明书需关联至职业病诊断机构应用系统获取当事人的职业病诊断证明书。如申请自治区级鉴定的还应当提交市级职业病鉴定书。</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职业病诊断争议由设区的市级以上地方卫生健康主管部门根据当事人的申请组织职业病诊断鉴定委员会进行鉴定。</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职业病自治区级再鉴定流程如下</w:t>
            </w:r>
            <w:r>
              <w:rPr>
                <w:rFonts w:hint="eastAsia" w:ascii="宋体" w:hAnsi="宋体" w:cs="宋体"/>
              </w:rPr>
              <w:fldChar w:fldCharType="begin"/>
            </w:r>
            <w:r>
              <w:rPr>
                <w:rFonts w:hint="eastAsia" w:ascii="宋体" w:hAnsi="宋体" w:cs="宋体"/>
              </w:rPr>
              <w:instrText xml:space="preserve"> REF _Ref20139 \h </w:instrText>
            </w:r>
            <w:r>
              <w:rPr>
                <w:rFonts w:hint="eastAsia" w:ascii="宋体" w:hAnsi="宋体" w:cs="宋体"/>
              </w:rPr>
              <w:fldChar w:fldCharType="separate"/>
            </w:r>
            <w:r>
              <w:t>图 31</w:t>
            </w:r>
            <w:r>
              <w:rPr>
                <w:rFonts w:hint="eastAsia" w:ascii="宋体" w:hAnsi="宋体" w:cs="宋体"/>
              </w:rPr>
              <w:fldChar w:fldCharType="end"/>
            </w:r>
            <w:r>
              <w:rPr>
                <w:rFonts w:hint="eastAsia" w:ascii="宋体" w:hAnsi="宋体" w:cs="宋体"/>
              </w:rPr>
              <w:t>所示。</w:t>
            </w:r>
          </w:p>
          <w:p>
            <w:pPr>
              <w:widowControl/>
              <w:adjustRightInd w:val="0"/>
              <w:snapToGrid w:val="0"/>
              <w:jc w:val="center"/>
            </w:pPr>
            <w:r>
              <w:drawing>
                <wp:inline distT="0" distB="0" distL="114300" distR="114300">
                  <wp:extent cx="5581015" cy="7582535"/>
                  <wp:effectExtent l="0" t="0" r="635" b="1841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44"/>
                          <a:stretch>
                            <a:fillRect/>
                          </a:stretch>
                        </pic:blipFill>
                        <pic:spPr>
                          <a:xfrm>
                            <a:off x="0" y="0"/>
                            <a:ext cx="5581015" cy="7582535"/>
                          </a:xfrm>
                          <a:prstGeom prst="rect">
                            <a:avLst/>
                          </a:prstGeom>
                          <a:noFill/>
                          <a:ln>
                            <a:noFill/>
                          </a:ln>
                        </pic:spPr>
                      </pic:pic>
                    </a:graphicData>
                  </a:graphic>
                </wp:inline>
              </w:drawing>
            </w:r>
          </w:p>
          <w:p>
            <w:pPr>
              <w:pStyle w:val="15"/>
              <w:jc w:val="center"/>
            </w:pPr>
            <w:bookmarkStart w:id="78" w:name="_Ref20139"/>
            <w:r>
              <w:t xml:space="preserve">图 </w:t>
            </w:r>
            <w:r>
              <w:fldChar w:fldCharType="begin"/>
            </w:r>
            <w:r>
              <w:instrText xml:space="preserve"> SEQ 图 \* ARABIC </w:instrText>
            </w:r>
            <w:r>
              <w:fldChar w:fldCharType="separate"/>
            </w:r>
            <w:r>
              <w:t>31</w:t>
            </w:r>
            <w:r>
              <w:fldChar w:fldCharType="end"/>
            </w:r>
            <w:bookmarkEnd w:id="78"/>
            <w:r>
              <w:rPr>
                <w:rFonts w:hint="eastAsia"/>
              </w:rPr>
              <w:t xml:space="preserve"> 职业病自治区级再鉴定流程图</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②职业病鉴定受理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病鉴定办事机构应当自收到申请资料之日起五个工作日内完成资料审核，对资料齐全的发给受理通知书；资料不全的，应当当场或者在五个工作日内一次性告知当事人补充。资料补充齐全的，应当受理申请并组织鉴定。</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A.关联鉴定专家库，实现专家抽取功能</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鉴定专家安排用于给当事人安排职业病鉴定专家。系统默认从自治区职业病鉴定专家库中抽取5个以上专家，鉴定机构可以查看每个当事人的职业病鉴定专家的档案，也可以修改系统选取的鉴定专家，并确认鉴定专家安排。</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B.鉴定结果上传</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鉴定专家完成鉴定后，出具《职业病鉴定书》，鉴定书应包含：劳动者、用人单位的基本信息及鉴定事由；鉴定结论及其依据，鉴定为职业病的，应当注明职业病名称、程度（期别）；电子公章;鉴定时间。</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诊断鉴定书加盖职业病鉴定委员会印章。鉴定书样式如下</w:t>
            </w:r>
            <w:r>
              <w:rPr>
                <w:rFonts w:hint="eastAsia" w:ascii="宋体" w:hAnsi="宋体" w:cs="宋体"/>
              </w:rPr>
              <w:fldChar w:fldCharType="begin"/>
            </w:r>
            <w:r>
              <w:rPr>
                <w:rFonts w:hint="eastAsia" w:ascii="宋体" w:hAnsi="宋体" w:cs="宋体"/>
              </w:rPr>
              <w:instrText xml:space="preserve"> REF _Ref20103 \h </w:instrText>
            </w:r>
            <w:r>
              <w:rPr>
                <w:rFonts w:hint="eastAsia" w:ascii="宋体" w:hAnsi="宋体" w:cs="宋体"/>
              </w:rPr>
              <w:fldChar w:fldCharType="separate"/>
            </w:r>
            <w:r>
              <w:t>图 32</w:t>
            </w:r>
            <w:r>
              <w:rPr>
                <w:rFonts w:hint="eastAsia" w:ascii="宋体" w:hAnsi="宋体" w:cs="宋体"/>
              </w:rPr>
              <w:fldChar w:fldCharType="end"/>
            </w:r>
            <w:r>
              <w:rPr>
                <w:rFonts w:hint="eastAsia" w:ascii="宋体" w:hAnsi="宋体" w:cs="宋体"/>
              </w:rPr>
              <w:t>所示：</w:t>
            </w:r>
          </w:p>
          <w:p>
            <w:pPr>
              <w:jc w:val="center"/>
            </w:pPr>
            <w:r>
              <w:drawing>
                <wp:inline distT="0" distB="0" distL="114300" distR="114300">
                  <wp:extent cx="5572760" cy="5029200"/>
                  <wp:effectExtent l="0" t="0" r="8890" b="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45"/>
                          <a:stretch>
                            <a:fillRect/>
                          </a:stretch>
                        </pic:blipFill>
                        <pic:spPr>
                          <a:xfrm>
                            <a:off x="0" y="0"/>
                            <a:ext cx="5572760" cy="5029200"/>
                          </a:xfrm>
                          <a:prstGeom prst="rect">
                            <a:avLst/>
                          </a:prstGeom>
                          <a:noFill/>
                          <a:ln>
                            <a:noFill/>
                          </a:ln>
                        </pic:spPr>
                      </pic:pic>
                    </a:graphicData>
                  </a:graphic>
                </wp:inline>
              </w:drawing>
            </w:r>
          </w:p>
          <w:p>
            <w:pPr>
              <w:pStyle w:val="15"/>
              <w:jc w:val="center"/>
            </w:pPr>
            <w:bookmarkStart w:id="79" w:name="_Ref20103"/>
            <w:r>
              <w:t xml:space="preserve">图 </w:t>
            </w:r>
            <w:r>
              <w:fldChar w:fldCharType="begin"/>
            </w:r>
            <w:r>
              <w:instrText xml:space="preserve"> SEQ 图 \* ARABIC </w:instrText>
            </w:r>
            <w:r>
              <w:fldChar w:fldCharType="separate"/>
            </w:r>
            <w:r>
              <w:t>32</w:t>
            </w:r>
            <w:r>
              <w:fldChar w:fldCharType="end"/>
            </w:r>
            <w:bookmarkEnd w:id="79"/>
            <w:r>
              <w:rPr>
                <w:rFonts w:hint="eastAsia"/>
              </w:rPr>
              <w:t xml:space="preserve"> 职业病鉴定书样式</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鉴定机构可以在系统中上传《职业病鉴定书》。</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C.职业病鉴定书上报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用于报送职业病鉴定。鉴定机构可以将鉴定通过的《职业病鉴定书》报送给用人单位和劳动者，也可以将确诊职业病《职业病鉴定书》上报给监督机构。</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针对用人单位和劳动者的职业诊断鉴定结果进行上报，报告单位为职业鉴定机构。上报卡格式如下</w:t>
            </w:r>
            <w:r>
              <w:rPr>
                <w:rFonts w:hint="eastAsia" w:ascii="宋体" w:hAnsi="宋体" w:cs="宋体"/>
              </w:rPr>
              <w:fldChar w:fldCharType="begin"/>
            </w:r>
            <w:r>
              <w:rPr>
                <w:rFonts w:hint="eastAsia" w:ascii="宋体" w:hAnsi="宋体" w:cs="宋体"/>
              </w:rPr>
              <w:instrText xml:space="preserve"> REF _Ref20224 \h </w:instrText>
            </w:r>
            <w:r>
              <w:rPr>
                <w:rFonts w:hint="eastAsia" w:ascii="宋体" w:hAnsi="宋体" w:cs="宋体"/>
              </w:rPr>
              <w:fldChar w:fldCharType="separate"/>
            </w:r>
            <w:r>
              <w:t>图 33</w:t>
            </w:r>
            <w:r>
              <w:rPr>
                <w:rFonts w:hint="eastAsia" w:ascii="宋体" w:hAnsi="宋体" w:cs="宋体"/>
              </w:rPr>
              <w:fldChar w:fldCharType="end"/>
            </w:r>
            <w:r>
              <w:rPr>
                <w:rFonts w:hint="eastAsia" w:ascii="宋体" w:hAnsi="宋体" w:cs="宋体"/>
              </w:rPr>
              <w:t>所示：</w:t>
            </w:r>
          </w:p>
          <w:p>
            <w:pPr>
              <w:widowControl/>
              <w:adjustRightInd w:val="0"/>
              <w:snapToGrid w:val="0"/>
              <w:ind w:firstLine="420" w:firstLineChars="200"/>
              <w:jc w:val="left"/>
              <w:rPr>
                <w:rFonts w:ascii="宋体" w:hAnsi="宋体" w:cs="宋体"/>
              </w:rPr>
            </w:pPr>
            <w:r>
              <w:rPr>
                <w:rFonts w:ascii="宋体" w:hAnsi="宋体" w:cs="宋体"/>
              </w:rPr>
              <w:drawing>
                <wp:inline distT="0" distB="0" distL="114300" distR="114300">
                  <wp:extent cx="5279390" cy="3493770"/>
                  <wp:effectExtent l="0" t="0" r="16510" b="1143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46"/>
                          <a:stretch>
                            <a:fillRect/>
                          </a:stretch>
                        </pic:blipFill>
                        <pic:spPr>
                          <a:xfrm>
                            <a:off x="0" y="0"/>
                            <a:ext cx="5279390" cy="3493770"/>
                          </a:xfrm>
                          <a:prstGeom prst="rect">
                            <a:avLst/>
                          </a:prstGeom>
                          <a:noFill/>
                          <a:ln>
                            <a:noFill/>
                          </a:ln>
                        </pic:spPr>
                      </pic:pic>
                    </a:graphicData>
                  </a:graphic>
                </wp:inline>
              </w:drawing>
            </w:r>
          </w:p>
          <w:p>
            <w:pPr>
              <w:pStyle w:val="15"/>
              <w:jc w:val="center"/>
            </w:pPr>
            <w:bookmarkStart w:id="80" w:name="_Ref20224"/>
            <w:r>
              <w:t xml:space="preserve">图 </w:t>
            </w:r>
            <w:r>
              <w:fldChar w:fldCharType="begin"/>
            </w:r>
            <w:r>
              <w:instrText xml:space="preserve"> SEQ 图 \* ARABIC </w:instrText>
            </w:r>
            <w:r>
              <w:fldChar w:fldCharType="separate"/>
            </w:r>
            <w:r>
              <w:t>33</w:t>
            </w:r>
            <w:r>
              <w:fldChar w:fldCharType="end"/>
            </w:r>
            <w:bookmarkEnd w:id="80"/>
            <w:r>
              <w:rPr>
                <w:rFonts w:hint="eastAsia"/>
              </w:rPr>
              <w:t xml:space="preserve"> 上报卡格式</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③职业病鉴定书归档</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由职业病鉴定机构用于归档职业病鉴定办事机构出具的职业病鉴定书。鉴定机构可以查看过往的职业病鉴定书。</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（3）职业病鉴定情况统计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用于统计申请职业病鉴定的人数、统计鉴定出职业病确诊人数等，统计数据包括：</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①</w:t>
            </w:r>
            <w:r>
              <w:rPr>
                <w:rFonts w:hint="eastAsia" w:ascii="宋体" w:hAnsi="宋体" w:cs="宋体"/>
              </w:rPr>
              <w:t>用人单位：用人单位企业规模、地域分布、行业类型、企业类型统计；</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②</w:t>
            </w:r>
            <w:r>
              <w:rPr>
                <w:rFonts w:hint="eastAsia" w:ascii="宋体" w:hAnsi="宋体" w:cs="宋体"/>
              </w:rPr>
              <w:t>劳动者的年龄分布、性别、工种、地域、统计工种、人数统计；接触的职业性有害因素统计；职业病名称统计；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10.职业卫生技术服务机构应用系统（不含放射）</w:t>
            </w:r>
          </w:p>
          <w:p>
            <w:pPr>
              <w:widowControl/>
              <w:adjustRightInd w:val="0"/>
              <w:snapToGrid w:val="0"/>
              <w:spacing w:line="360" w:lineRule="exact"/>
              <w:ind w:firstLine="420" w:firstLineChars="200"/>
              <w:jc w:val="left"/>
            </w:pPr>
            <w:r>
              <w:rPr>
                <w:rFonts w:hint="eastAsia" w:ascii="宋体" w:hAnsi="宋体" w:cs="宋体"/>
              </w:rPr>
              <w:t>系统要求职业卫生技术服务需按国家和自治区业务需求填报相关数据。系统数据采集，依托于本平台“基础支撑与服务开放平台”里的“数据管理平台”统一数据录入功能，根据国家和自治区的数据采集要求，进行统一采集，形成自治区级的职业卫生技术服务机构数据库。并参照《全国公共卫生信息化建设标准与规范》《全国职业健康统计调查制度》及相关数据集标准，确定信息采集的基本内容、字段格式要求进行数据上报。兼容国垂系统《职业健康技术服务机构信息填报系统》，覆盖国垂系统所有功能。如可与国垂系统《职业健康技术服务机构信息填报系统》实现数据对接，则将数据将自动填充，不再二次录入，否则要实现填报的信息上报国垂系统。</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（1）机构基本信息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用于职业卫生技术服务机构填报本机构基本信息，机构信息填报包括：</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机构基本信息：机构名称、法定代表人（或主要负责人）、统一社会信用代码、注册地址、实验室地址、实验室面积、联系人、联系电话、机构资质证书编号、机构属性、业务范围（</w:t>
            </w:r>
            <w:r>
              <w:rPr>
                <w:rFonts w:hint="eastAsia" w:ascii="宋体" w:hAnsi="宋体" w:cs="宋体"/>
                <w:szCs w:val="22"/>
              </w:rPr>
              <w:t>检测检验项目信息等</w:t>
            </w:r>
            <w:r>
              <w:rPr>
                <w:rFonts w:hint="eastAsia" w:ascii="宋体" w:hAnsi="宋体" w:cs="宋体"/>
              </w:rPr>
              <w:t>）。</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专业技术人员：个人基本信息和相关证件，其中专业类型分为工程相关专业、公共卫生相关专业、卫生检验相关专业、放射卫生相关专业。可通过职防院受托举办的培训班与监督所资质评审现场考核，导出专业技术人员名单。</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（2）机构资质申请信息同步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功能需对接广西数字政务一体化平台，可由广西数字政务一体化平台作为申请入口，同步机构资质申请信息。机构资质申请的字段包括于：</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申请情况，首次审查或者延续申请；法定代表人或者主要负责人签署的申请表；法定代表人或者主要负责人签署的知悉承担职业卫生技术服务的法律责任、义务、权利和风险的承诺书；营业执照或者其他法人资格证明工作场所产权证明或者租赁合同；专业技术人员、专职技术负责人、质量控制负责人的名单及其技术职称证书、劳动关系证明；仪器设备清单、工作场所布局与面积示意图；在申请职业卫生技术服务业务范围内，能够证明具有相应业务能力的其他材料。</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职业卫生技术服务机构资质申请表如下</w:t>
            </w:r>
            <w:r>
              <w:rPr>
                <w:rFonts w:hint="eastAsia" w:ascii="宋体" w:hAnsi="宋体" w:cs="宋体"/>
              </w:rPr>
              <w:fldChar w:fldCharType="begin"/>
            </w:r>
            <w:r>
              <w:rPr>
                <w:rFonts w:hint="eastAsia" w:ascii="宋体" w:hAnsi="宋体" w:cs="宋体"/>
              </w:rPr>
              <w:instrText xml:space="preserve"> REF _Ref20286 \h </w:instrText>
            </w:r>
            <w:r>
              <w:rPr>
                <w:rFonts w:hint="eastAsia" w:ascii="宋体" w:hAnsi="宋体" w:cs="宋体"/>
              </w:rPr>
              <w:fldChar w:fldCharType="separate"/>
            </w:r>
            <w:r>
              <w:t>图 34</w:t>
            </w:r>
            <w:r>
              <w:rPr>
                <w:rFonts w:hint="eastAsia" w:ascii="宋体" w:hAnsi="宋体" w:cs="宋体"/>
              </w:rPr>
              <w:fldChar w:fldCharType="end"/>
            </w:r>
            <w:r>
              <w:rPr>
                <w:rFonts w:hint="eastAsia" w:ascii="宋体" w:hAnsi="宋体" w:cs="宋体"/>
              </w:rPr>
              <w:t>所示：</w:t>
            </w:r>
          </w:p>
          <w:p>
            <w:pPr>
              <w:widowControl/>
              <w:adjustRightInd w:val="0"/>
              <w:snapToGrid w:val="0"/>
              <w:ind w:firstLine="420" w:firstLineChars="200"/>
              <w:jc w:val="center"/>
            </w:pPr>
            <w:r>
              <w:drawing>
                <wp:inline distT="0" distB="0" distL="114300" distR="114300">
                  <wp:extent cx="5322570" cy="5719445"/>
                  <wp:effectExtent l="0" t="0" r="11430" b="14605"/>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47"/>
                          <a:stretch>
                            <a:fillRect/>
                          </a:stretch>
                        </pic:blipFill>
                        <pic:spPr>
                          <a:xfrm>
                            <a:off x="0" y="0"/>
                            <a:ext cx="5322570" cy="5719445"/>
                          </a:xfrm>
                          <a:prstGeom prst="rect">
                            <a:avLst/>
                          </a:prstGeom>
                          <a:noFill/>
                          <a:ln>
                            <a:noFill/>
                          </a:ln>
                        </pic:spPr>
                      </pic:pic>
                    </a:graphicData>
                  </a:graphic>
                </wp:inline>
              </w:drawing>
            </w:r>
          </w:p>
          <w:p>
            <w:pPr>
              <w:pStyle w:val="15"/>
              <w:jc w:val="center"/>
            </w:pPr>
            <w:bookmarkStart w:id="81" w:name="_Ref20286"/>
            <w:r>
              <w:t xml:space="preserve">图 </w:t>
            </w:r>
            <w:r>
              <w:fldChar w:fldCharType="begin"/>
            </w:r>
            <w:r>
              <w:instrText xml:space="preserve"> SEQ 图 \* ARABIC </w:instrText>
            </w:r>
            <w:r>
              <w:fldChar w:fldCharType="separate"/>
            </w:r>
            <w:r>
              <w:t>34</w:t>
            </w:r>
            <w:r>
              <w:fldChar w:fldCharType="end"/>
            </w:r>
            <w:bookmarkEnd w:id="81"/>
            <w:r>
              <w:rPr>
                <w:rFonts w:hint="eastAsia" w:ascii="宋体" w:hAnsi="宋体" w:cs="宋体"/>
              </w:rPr>
              <w:t>职业卫生技术服务机构资质申请表</w:t>
            </w:r>
          </w:p>
          <w:p>
            <w:pPr>
              <w:widowControl/>
              <w:adjustRightInd w:val="0"/>
              <w:snapToGrid w:val="0"/>
              <w:spacing w:line="360" w:lineRule="exact"/>
              <w:ind w:firstLine="420" w:firstLineChars="200"/>
              <w:rPr>
                <w:rFonts w:ascii="宋体" w:hAnsi="宋体" w:cs="宋体"/>
              </w:rPr>
            </w:pPr>
          </w:p>
          <w:p>
            <w:pPr>
              <w:widowControl/>
              <w:adjustRightInd w:val="0"/>
              <w:snapToGrid w:val="0"/>
              <w:spacing w:line="360" w:lineRule="exact"/>
              <w:ind w:firstLine="420" w:firstLineChars="200"/>
              <w:rPr>
                <w:rFonts w:ascii="宋体" w:hAnsi="宋体" w:cs="宋体"/>
              </w:rPr>
            </w:pPr>
            <w:r>
              <w:rPr>
                <w:rFonts w:hint="eastAsia" w:ascii="宋体" w:hAnsi="宋体" w:cs="宋体"/>
              </w:rPr>
              <w:t>专业技术人员名单如下</w:t>
            </w:r>
            <w:r>
              <w:rPr>
                <w:rFonts w:hint="eastAsia" w:ascii="宋体" w:hAnsi="宋体" w:cs="宋体"/>
              </w:rPr>
              <w:fldChar w:fldCharType="begin"/>
            </w:r>
            <w:r>
              <w:rPr>
                <w:rFonts w:hint="eastAsia" w:ascii="宋体" w:hAnsi="宋体" w:cs="宋体"/>
              </w:rPr>
              <w:instrText xml:space="preserve"> REF _Ref20325 \h </w:instrText>
            </w:r>
            <w:r>
              <w:rPr>
                <w:rFonts w:hint="eastAsia" w:ascii="宋体" w:hAnsi="宋体" w:cs="宋体"/>
              </w:rPr>
              <w:fldChar w:fldCharType="separate"/>
            </w:r>
            <w:r>
              <w:t>图 35</w:t>
            </w:r>
            <w:r>
              <w:rPr>
                <w:rFonts w:hint="eastAsia" w:ascii="宋体" w:hAnsi="宋体" w:cs="宋体"/>
              </w:rPr>
              <w:fldChar w:fldCharType="end"/>
            </w:r>
            <w:r>
              <w:rPr>
                <w:rFonts w:hint="eastAsia" w:ascii="宋体" w:hAnsi="宋体" w:cs="宋体"/>
              </w:rPr>
              <w:t>所示：</w:t>
            </w:r>
          </w:p>
          <w:p>
            <w:pPr>
              <w:widowControl/>
              <w:adjustRightInd w:val="0"/>
              <w:snapToGrid w:val="0"/>
              <w:ind w:firstLine="18" w:firstLineChars="9"/>
              <w:jc w:val="center"/>
            </w:pPr>
            <w:r>
              <w:drawing>
                <wp:inline distT="0" distB="0" distL="114300" distR="114300">
                  <wp:extent cx="5382895" cy="664210"/>
                  <wp:effectExtent l="0" t="0" r="8255" b="254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48"/>
                          <a:stretch>
                            <a:fillRect/>
                          </a:stretch>
                        </pic:blipFill>
                        <pic:spPr>
                          <a:xfrm>
                            <a:off x="0" y="0"/>
                            <a:ext cx="5382895" cy="664210"/>
                          </a:xfrm>
                          <a:prstGeom prst="rect">
                            <a:avLst/>
                          </a:prstGeom>
                          <a:noFill/>
                          <a:ln>
                            <a:noFill/>
                          </a:ln>
                        </pic:spPr>
                      </pic:pic>
                    </a:graphicData>
                  </a:graphic>
                </wp:inline>
              </w:drawing>
            </w:r>
          </w:p>
          <w:p>
            <w:pPr>
              <w:pStyle w:val="15"/>
              <w:jc w:val="center"/>
            </w:pPr>
            <w:bookmarkStart w:id="82" w:name="_Ref20325"/>
            <w:r>
              <w:t xml:space="preserve">图 </w:t>
            </w:r>
            <w:r>
              <w:fldChar w:fldCharType="begin"/>
            </w:r>
            <w:r>
              <w:instrText xml:space="preserve"> SEQ 图 \* ARABIC </w:instrText>
            </w:r>
            <w:r>
              <w:fldChar w:fldCharType="separate"/>
            </w:r>
            <w:r>
              <w:t>35</w:t>
            </w:r>
            <w:r>
              <w:fldChar w:fldCharType="end"/>
            </w:r>
            <w:bookmarkEnd w:id="82"/>
            <w:r>
              <w:rPr>
                <w:rFonts w:hint="eastAsia"/>
              </w:rPr>
              <w:t xml:space="preserve"> 专业技术人员名单</w:t>
            </w:r>
          </w:p>
          <w:p>
            <w:pPr>
              <w:widowControl/>
              <w:adjustRightInd w:val="0"/>
              <w:snapToGrid w:val="0"/>
              <w:spacing w:line="360" w:lineRule="exact"/>
              <w:ind w:firstLine="420" w:firstLineChars="200"/>
              <w:rPr>
                <w:rFonts w:ascii="宋体" w:hAnsi="宋体" w:cs="宋体"/>
              </w:rPr>
            </w:pPr>
            <w:r>
              <w:rPr>
                <w:rFonts w:hint="eastAsia" w:ascii="宋体" w:hAnsi="宋体" w:cs="宋体"/>
              </w:rPr>
              <w:t>仪器设备详细清单如下</w:t>
            </w:r>
            <w:r>
              <w:rPr>
                <w:rFonts w:hint="eastAsia" w:ascii="宋体" w:hAnsi="宋体" w:cs="宋体"/>
              </w:rPr>
              <w:fldChar w:fldCharType="begin"/>
            </w:r>
            <w:r>
              <w:rPr>
                <w:rFonts w:hint="eastAsia" w:ascii="宋体" w:hAnsi="宋体" w:cs="宋体"/>
              </w:rPr>
              <w:instrText xml:space="preserve"> REF _Ref20365 \h </w:instrText>
            </w:r>
            <w:r>
              <w:rPr>
                <w:rFonts w:hint="eastAsia" w:ascii="宋体" w:hAnsi="宋体" w:cs="宋体"/>
              </w:rPr>
              <w:fldChar w:fldCharType="separate"/>
            </w:r>
            <w:r>
              <w:t>图 36</w:t>
            </w:r>
            <w:r>
              <w:rPr>
                <w:rFonts w:hint="eastAsia" w:ascii="宋体" w:hAnsi="宋体" w:cs="宋体"/>
              </w:rPr>
              <w:fldChar w:fldCharType="end"/>
            </w:r>
            <w:r>
              <w:rPr>
                <w:rFonts w:hint="eastAsia" w:ascii="宋体" w:hAnsi="宋体" w:cs="宋体"/>
              </w:rPr>
              <w:t>所示：</w:t>
            </w:r>
          </w:p>
          <w:p>
            <w:pPr>
              <w:widowControl/>
              <w:adjustRightInd w:val="0"/>
              <w:snapToGrid w:val="0"/>
              <w:ind w:firstLine="18" w:firstLineChars="9"/>
              <w:jc w:val="center"/>
            </w:pPr>
            <w:r>
              <w:drawing>
                <wp:inline distT="0" distB="0" distL="114300" distR="114300">
                  <wp:extent cx="5296535" cy="517525"/>
                  <wp:effectExtent l="0" t="0" r="18415" b="15875"/>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49"/>
                          <a:stretch>
                            <a:fillRect/>
                          </a:stretch>
                        </pic:blipFill>
                        <pic:spPr>
                          <a:xfrm>
                            <a:off x="0" y="0"/>
                            <a:ext cx="5296535" cy="517525"/>
                          </a:xfrm>
                          <a:prstGeom prst="rect">
                            <a:avLst/>
                          </a:prstGeom>
                          <a:noFill/>
                          <a:ln>
                            <a:noFill/>
                          </a:ln>
                        </pic:spPr>
                      </pic:pic>
                    </a:graphicData>
                  </a:graphic>
                </wp:inline>
              </w:drawing>
            </w:r>
          </w:p>
          <w:p>
            <w:pPr>
              <w:pStyle w:val="15"/>
              <w:jc w:val="center"/>
            </w:pPr>
            <w:bookmarkStart w:id="83" w:name="_Ref20365"/>
            <w:r>
              <w:t xml:space="preserve">图 </w:t>
            </w:r>
            <w:r>
              <w:fldChar w:fldCharType="begin"/>
            </w:r>
            <w:r>
              <w:instrText xml:space="preserve"> SEQ 图 \* ARABIC </w:instrText>
            </w:r>
            <w:r>
              <w:fldChar w:fldCharType="separate"/>
            </w:r>
            <w:r>
              <w:t>36</w:t>
            </w:r>
            <w:r>
              <w:fldChar w:fldCharType="end"/>
            </w:r>
            <w:bookmarkEnd w:id="83"/>
            <w:r>
              <w:rPr>
                <w:rFonts w:hint="eastAsia"/>
              </w:rPr>
              <w:t xml:space="preserve"> 仪器设备详细清单</w:t>
            </w:r>
          </w:p>
          <w:p>
            <w:pPr>
              <w:widowControl/>
              <w:adjustRightInd w:val="0"/>
              <w:snapToGrid w:val="0"/>
              <w:spacing w:line="360" w:lineRule="exact"/>
              <w:ind w:firstLine="420" w:firstLineChars="200"/>
              <w:rPr>
                <w:rFonts w:ascii="宋体" w:hAnsi="宋体" w:cs="宋体"/>
              </w:rPr>
            </w:pPr>
            <w:r>
              <w:rPr>
                <w:rFonts w:hint="eastAsia" w:ascii="宋体" w:hAnsi="宋体" w:cs="宋体"/>
              </w:rPr>
              <w:t>仪器设备配置对比表如下</w:t>
            </w:r>
            <w:r>
              <w:rPr>
                <w:rFonts w:hint="eastAsia" w:ascii="宋体" w:hAnsi="宋体" w:cs="宋体"/>
              </w:rPr>
              <w:fldChar w:fldCharType="begin"/>
            </w:r>
            <w:r>
              <w:rPr>
                <w:rFonts w:hint="eastAsia" w:ascii="宋体" w:hAnsi="宋体" w:cs="宋体"/>
              </w:rPr>
              <w:instrText xml:space="preserve"> REF _Ref20407 \h </w:instrText>
            </w:r>
            <w:r>
              <w:rPr>
                <w:rFonts w:hint="eastAsia" w:ascii="宋体" w:hAnsi="宋体" w:cs="宋体"/>
              </w:rPr>
              <w:fldChar w:fldCharType="separate"/>
            </w:r>
            <w:r>
              <w:t>图 37</w:t>
            </w:r>
            <w:r>
              <w:rPr>
                <w:rFonts w:hint="eastAsia" w:ascii="宋体" w:hAnsi="宋体" w:cs="宋体"/>
              </w:rPr>
              <w:fldChar w:fldCharType="end"/>
            </w:r>
            <w:r>
              <w:rPr>
                <w:rFonts w:hint="eastAsia" w:ascii="宋体" w:hAnsi="宋体" w:cs="宋体"/>
              </w:rPr>
              <w:t>所示：</w:t>
            </w:r>
          </w:p>
          <w:p>
            <w:pPr>
              <w:widowControl/>
              <w:jc w:val="center"/>
            </w:pPr>
            <w:r>
              <w:drawing>
                <wp:inline distT="0" distB="0" distL="114300" distR="114300">
                  <wp:extent cx="5598795" cy="1233805"/>
                  <wp:effectExtent l="0" t="0" r="1905" b="4445"/>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50"/>
                          <a:stretch>
                            <a:fillRect/>
                          </a:stretch>
                        </pic:blipFill>
                        <pic:spPr>
                          <a:xfrm>
                            <a:off x="0" y="0"/>
                            <a:ext cx="5598795" cy="1233805"/>
                          </a:xfrm>
                          <a:prstGeom prst="rect">
                            <a:avLst/>
                          </a:prstGeom>
                          <a:noFill/>
                          <a:ln>
                            <a:noFill/>
                          </a:ln>
                        </pic:spPr>
                      </pic:pic>
                    </a:graphicData>
                  </a:graphic>
                </wp:inline>
              </w:drawing>
            </w:r>
          </w:p>
          <w:p>
            <w:pPr>
              <w:pStyle w:val="15"/>
              <w:jc w:val="center"/>
            </w:pPr>
            <w:bookmarkStart w:id="84" w:name="_Ref20407"/>
            <w:r>
              <w:t xml:space="preserve">图 </w:t>
            </w:r>
            <w:r>
              <w:fldChar w:fldCharType="begin"/>
            </w:r>
            <w:r>
              <w:instrText xml:space="preserve"> SEQ 图 \* ARABIC </w:instrText>
            </w:r>
            <w:r>
              <w:fldChar w:fldCharType="separate"/>
            </w:r>
            <w:r>
              <w:t>37</w:t>
            </w:r>
            <w:r>
              <w:fldChar w:fldCharType="end"/>
            </w:r>
            <w:bookmarkEnd w:id="84"/>
            <w:r>
              <w:rPr>
                <w:rFonts w:hint="eastAsia"/>
              </w:rPr>
              <w:t xml:space="preserve"> 仪器设备配置对比表</w:t>
            </w:r>
          </w:p>
          <w:p>
            <w:pPr>
              <w:widowControl/>
              <w:adjustRightInd w:val="0"/>
              <w:snapToGrid w:val="0"/>
              <w:spacing w:line="360" w:lineRule="exact"/>
              <w:ind w:firstLine="420" w:firstLineChars="200"/>
              <w:rPr>
                <w:rFonts w:ascii="宋体" w:hAnsi="宋体" w:cs="宋体"/>
              </w:rPr>
            </w:pPr>
            <w:r>
              <w:rPr>
                <w:rFonts w:hint="eastAsia" w:ascii="宋体" w:hAnsi="宋体" w:cs="宋体"/>
              </w:rPr>
              <w:t>职业病危害因素检测能力对比表如下</w:t>
            </w:r>
            <w:r>
              <w:rPr>
                <w:rFonts w:hint="eastAsia" w:ascii="宋体" w:hAnsi="宋体" w:cs="宋体"/>
              </w:rPr>
              <w:fldChar w:fldCharType="begin"/>
            </w:r>
            <w:r>
              <w:rPr>
                <w:rFonts w:hint="eastAsia" w:ascii="宋体" w:hAnsi="宋体" w:cs="宋体"/>
              </w:rPr>
              <w:instrText xml:space="preserve"> REF _Ref20440 \h </w:instrText>
            </w:r>
            <w:r>
              <w:rPr>
                <w:rFonts w:hint="eastAsia" w:ascii="宋体" w:hAnsi="宋体" w:cs="宋体"/>
              </w:rPr>
              <w:fldChar w:fldCharType="separate"/>
            </w:r>
            <w:r>
              <w:t>图 38</w:t>
            </w:r>
            <w:r>
              <w:rPr>
                <w:rFonts w:hint="eastAsia" w:ascii="宋体" w:hAnsi="宋体" w:cs="宋体"/>
              </w:rPr>
              <w:fldChar w:fldCharType="end"/>
            </w:r>
            <w:r>
              <w:rPr>
                <w:rFonts w:hint="eastAsia" w:ascii="宋体" w:hAnsi="宋体" w:cs="宋体"/>
              </w:rPr>
              <w:t>所示：</w:t>
            </w:r>
          </w:p>
          <w:p>
            <w:pPr>
              <w:widowControl/>
              <w:adjustRightInd w:val="0"/>
              <w:snapToGrid w:val="0"/>
              <w:jc w:val="center"/>
            </w:pPr>
            <w:r>
              <w:drawing>
                <wp:inline distT="0" distB="0" distL="114300" distR="114300">
                  <wp:extent cx="5460365" cy="1604645"/>
                  <wp:effectExtent l="0" t="0" r="6985" b="14605"/>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51"/>
                          <a:stretch>
                            <a:fillRect/>
                          </a:stretch>
                        </pic:blipFill>
                        <pic:spPr>
                          <a:xfrm>
                            <a:off x="0" y="0"/>
                            <a:ext cx="5460365" cy="1604645"/>
                          </a:xfrm>
                          <a:prstGeom prst="rect">
                            <a:avLst/>
                          </a:prstGeom>
                          <a:noFill/>
                          <a:ln>
                            <a:noFill/>
                          </a:ln>
                        </pic:spPr>
                      </pic:pic>
                    </a:graphicData>
                  </a:graphic>
                </wp:inline>
              </w:drawing>
            </w:r>
          </w:p>
          <w:p>
            <w:pPr>
              <w:pStyle w:val="15"/>
              <w:jc w:val="center"/>
              <w:rPr>
                <w:rFonts w:ascii="宋体" w:hAnsi="宋体" w:cs="宋体"/>
              </w:rPr>
            </w:pPr>
            <w:bookmarkStart w:id="85" w:name="_Ref20440"/>
            <w:r>
              <w:t xml:space="preserve">图 </w:t>
            </w:r>
            <w:r>
              <w:fldChar w:fldCharType="begin"/>
            </w:r>
            <w:r>
              <w:instrText xml:space="preserve"> SEQ 图 \* ARABIC </w:instrText>
            </w:r>
            <w:r>
              <w:fldChar w:fldCharType="separate"/>
            </w:r>
            <w:r>
              <w:t>38</w:t>
            </w:r>
            <w:r>
              <w:fldChar w:fldCharType="end"/>
            </w:r>
            <w:bookmarkEnd w:id="85"/>
            <w:r>
              <w:rPr>
                <w:rFonts w:hint="eastAsia"/>
              </w:rPr>
              <w:t xml:space="preserve"> 职业病危害因素检测能力对比表</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（3）年度更新</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每年根据变动情况，更新机构基本信息、人员信息和在岗情况。</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（4）系统提醒</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每年提醒职业卫生技术服务机构确认目前机构内容的人员信息和在岗情况。</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（5）职业卫生技术服务管理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卫生技术服务机构，是指为用人单位提供职业病危害因素检测、职业病危害现状评价、职业病防护设备设施与防护用品的效果评价等技术服务的机构。职业卫生技术服务机构应当按照法律法规和《工作场所空气中有害物质监测的采样规范》（GBZ159）、《电离辐射防护与辐射源安全基本标准》（GB18871）、《工业企业设计卫生标准》（GBZ1）、《工作场所有害因素职业接触限值》（GBZ2.1、GBZ2.2）等标准规范的要求，开展现场调查、职业病危害因素识别、现场采样、现场检测、样品管理、实验室分析、数据处理及应用、危害程度评价、防护措施及其效果评价、技术报告编制等职业卫生技术服务活动。</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①职业卫生技术服务信息填报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由职业卫生技术服务机构登记受检用人单位岗位危害因素检测结果。服务机构将检测结果录入系统，并审核确认检测结果，并将检测结果报送给用人单位。数据填报依据《全国职业健康统计调查制度》中《工作场所职业病危害因素监测报告卡》的标准进行填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工作场所危害因素检测需要填报的信息如下：</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用人单位基本信息：用人单位名称、统一社会信用代码、工作场所地址、单位注册地址、行业代码、联系人、在岗职工人数、登记注册类型、用人单位规模等信息。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职业病危害因素种类及接触情况：接触职业病危害因素总人数、粉尘种类及接触总人数、化学毒物种类及接触总人数、物理因素种类及接触总人数、生物因素接触人数、其他因素接触人数。</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职业病危害项目申报情况：是否已申报。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职业病危害因素定期检测情况：开展职业病危害因素检测情况、最近一次检测（评价）报告编号、承担检测（评价）的职业卫生技术服务机构名称、已开展检测情况。</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职业性有害因素检测情况：职业性有害因素、工作场所、岗位/工种、浓度类型、浓度（强度）、范围、检测时间。</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职业病危害因素检测结果：粉尘监测结果、化学毒物监测结果、噪声监测结果。如下图所示。</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职业病危害现状评价：检测岗位或工种总数、职业病危害因素浓度/强度水平超标岗位或工种数量、超标危害因素类型素。</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职业病防护设备设施与防护用品的效果评价：检测设备设施数量、检测结果不合格的设备设施数量、不合格的设备设施名称；检测防护用品数量、结果不合格的防护用品数量、不合格防护用品名称。</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三同时”职业病危害控制效果评价：建设单位基础信息（关联建设单位和项目基础信息）、项目职业病危害风险程度、职业病危害种类、评价机构名称、评价负责人姓名及联系方式、评审专家信息（关联专家库）、评审时间、评审结果（并上传专家意见扫描件）、评审报告编号、检测结果（并上传检测报告扫描件[填写内容如下图，超标因素除打勾外留自填框，用于填写具体因素名称]）、评审意见的落实情况（非必填，如果评审结果有修改要求则要求填写及上传文件）等信息。</w:t>
            </w:r>
          </w:p>
          <w:p>
            <w:pPr>
              <w:pStyle w:val="15"/>
              <w:jc w:val="center"/>
            </w:pPr>
            <w:r>
              <w:drawing>
                <wp:inline distT="0" distB="0" distL="114300" distR="114300">
                  <wp:extent cx="5012055" cy="1017905"/>
                  <wp:effectExtent l="0" t="0" r="17145" b="10795"/>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52"/>
                          <a:stretch>
                            <a:fillRect/>
                          </a:stretch>
                        </pic:blipFill>
                        <pic:spPr>
                          <a:xfrm>
                            <a:off x="0" y="0"/>
                            <a:ext cx="5012055" cy="1017905"/>
                          </a:xfrm>
                          <a:prstGeom prst="rect">
                            <a:avLst/>
                          </a:prstGeom>
                          <a:noFill/>
                          <a:ln>
                            <a:noFill/>
                          </a:ln>
                        </pic:spPr>
                      </pic:pic>
                    </a:graphicData>
                  </a:graphic>
                </wp:inline>
              </w:drawing>
            </w:r>
          </w:p>
          <w:p>
            <w:pPr>
              <w:pStyle w:val="15"/>
              <w:jc w:val="center"/>
            </w:pPr>
            <w:r>
              <w:t xml:space="preserve">图 </w:t>
            </w:r>
            <w:r>
              <w:fldChar w:fldCharType="begin"/>
            </w:r>
            <w:r>
              <w:instrText xml:space="preserve"> SEQ 图 \* ARABIC </w:instrText>
            </w:r>
            <w:r>
              <w:fldChar w:fldCharType="separate"/>
            </w:r>
            <w:r>
              <w:t>39</w:t>
            </w:r>
            <w:r>
              <w:fldChar w:fldCharType="end"/>
            </w:r>
            <w:r>
              <w:rPr>
                <w:rFonts w:hint="eastAsia"/>
              </w:rPr>
              <w:t xml:space="preserve"> 检测结果填写内容</w:t>
            </w:r>
          </w:p>
          <w:p>
            <w:pPr>
              <w:widowControl/>
              <w:adjustRightInd w:val="0"/>
              <w:snapToGrid w:val="0"/>
              <w:spacing w:line="360" w:lineRule="exact"/>
              <w:ind w:left="420"/>
              <w:jc w:val="left"/>
              <w:rPr>
                <w:rFonts w:ascii="宋体" w:hAnsi="宋体" w:cs="宋体"/>
                <w:b/>
                <w:bCs/>
              </w:rPr>
            </w:pPr>
            <w:r>
              <w:rPr>
                <w:rFonts w:hint="eastAsia" w:ascii="宋体" w:hAnsi="宋体" w:cs="宋体"/>
                <w:b/>
                <w:bCs/>
              </w:rPr>
              <w:t>②报告管理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A.职业卫生技术报告</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卫生技术服务机构针对用人单位确保相关数据信息可溯源，科学、客观、真实地反映技术服务事项，服务机构可根据实际情况出具职业卫生技术报告。职业卫生技术报告上传用于上传出具的职业病危害因素检测报告、职业病危害现状预评价报告、职业病危害防护设施设计报告等。服务机构可录入检测的用人单位的职业病危害因素调查情况，上传检测报告；录入检测的用人单位职业病危害现状情况，上传评价报告；录入用人单位职业病危害防护设施设计情况，上传设计报告等。用人单位可在系统上查询对应的报告，并提供报告全文下载功能，用人单位仅支持下载本企业或与本账号相关的报告，自治区卫健委、职防院、疾控中心、监督所有权限下载所有报告。</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职业卫生技术报告报送用于报送职业卫生技术报告。服务机构可以将审核通过的报告报送给用人单位，也可以将审核通过的报告上报监督机构。职业卫生技术报告报送格式如下</w:t>
            </w:r>
            <w:r>
              <w:rPr>
                <w:rFonts w:hint="eastAsia" w:ascii="宋体" w:hAnsi="宋体" w:cs="宋体"/>
              </w:rPr>
              <w:fldChar w:fldCharType="begin"/>
            </w:r>
            <w:r>
              <w:rPr>
                <w:rFonts w:hint="eastAsia" w:ascii="宋体" w:hAnsi="宋体" w:cs="宋体"/>
              </w:rPr>
              <w:instrText xml:space="preserve"> REF _Ref20508 \h </w:instrText>
            </w:r>
            <w:r>
              <w:rPr>
                <w:rFonts w:hint="eastAsia" w:ascii="宋体" w:hAnsi="宋体" w:cs="宋体"/>
              </w:rPr>
              <w:fldChar w:fldCharType="separate"/>
            </w:r>
            <w:r>
              <w:t>图 40</w:t>
            </w:r>
            <w:r>
              <w:rPr>
                <w:rFonts w:hint="eastAsia" w:ascii="宋体" w:hAnsi="宋体" w:cs="宋体"/>
              </w:rPr>
              <w:fldChar w:fldCharType="end"/>
            </w:r>
            <w:r>
              <w:rPr>
                <w:rFonts w:hint="eastAsia" w:ascii="宋体" w:hAnsi="宋体" w:cs="宋体"/>
              </w:rPr>
              <w:t>所示：</w:t>
            </w:r>
          </w:p>
          <w:p>
            <w:pPr>
              <w:widowControl/>
              <w:adjustRightInd w:val="0"/>
              <w:snapToGrid w:val="0"/>
              <w:jc w:val="center"/>
              <w:rPr>
                <w:rFonts w:ascii="宋体" w:hAnsi="宋体" w:cs="宋体"/>
              </w:rPr>
            </w:pPr>
            <w:r>
              <w:rPr>
                <w:rFonts w:ascii="宋体" w:hAnsi="宋体" w:cs="宋体"/>
              </w:rPr>
              <w:drawing>
                <wp:inline distT="0" distB="0" distL="114300" distR="114300">
                  <wp:extent cx="5831205" cy="5288280"/>
                  <wp:effectExtent l="0" t="0" r="17145" b="7620"/>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53"/>
                          <a:stretch>
                            <a:fillRect/>
                          </a:stretch>
                        </pic:blipFill>
                        <pic:spPr>
                          <a:xfrm>
                            <a:off x="0" y="0"/>
                            <a:ext cx="5831205" cy="5288280"/>
                          </a:xfrm>
                          <a:prstGeom prst="rect">
                            <a:avLst/>
                          </a:prstGeom>
                          <a:noFill/>
                          <a:ln>
                            <a:noFill/>
                          </a:ln>
                        </pic:spPr>
                      </pic:pic>
                    </a:graphicData>
                  </a:graphic>
                </wp:inline>
              </w:drawing>
            </w:r>
          </w:p>
          <w:p>
            <w:pPr>
              <w:pStyle w:val="15"/>
              <w:jc w:val="center"/>
            </w:pPr>
            <w:bookmarkStart w:id="86" w:name="_Ref20508"/>
            <w:r>
              <w:t xml:space="preserve">图 </w:t>
            </w:r>
            <w:r>
              <w:fldChar w:fldCharType="begin"/>
            </w:r>
            <w:r>
              <w:instrText xml:space="preserve"> SEQ 图 \* ARABIC </w:instrText>
            </w:r>
            <w:r>
              <w:fldChar w:fldCharType="separate"/>
            </w:r>
            <w:r>
              <w:t>40</w:t>
            </w:r>
            <w:r>
              <w:fldChar w:fldCharType="end"/>
            </w:r>
            <w:bookmarkEnd w:id="86"/>
            <w:r>
              <w:rPr>
                <w:rFonts w:hint="eastAsia"/>
              </w:rPr>
              <w:t xml:space="preserve"> 上报卡格式</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B.职业性有害因素的用人单位报告</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统计生产和作业中所有可能产生职业性有害因素的用人单位。要求职业健康检查机构在给用人单位出具职业健康检测报告后15日内填报。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数据填报包括用人单位基本信息：用人单位所在地、名称、统一社会信用代码、通讯地址、邮编、联系人、联系电话、企业类型、行业类别、企业规模、职工总人数、生产工人数、接触有毒有害作业人数、当年应检人数（岗前、在岗、离岗时），用人单位基本信息关联至用人单位基础数据库可输入用人单位和统一信用代码后自动填充其他基本信息。职业性有害因素检测情况：职业性有害因素、工作场所、岗位/工种、浓度类型、浓度（强度）、范围、检测时间。其他管理信息：检测单位名称、检测单位负责人、填表单位、单位负责人、填表人、填表人联系电话、填表日期。</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监测信息上报。用于报送检查结果。职业卫生技术服务机构可以把审核通过的检测结果报送给用人单位/劳动者，同时也可以上报给自治区职防院。并同步按国家要求上报，同时上报数据需管理用人单位基础数据库、劳动者基础数据库等相关数据，避免重复录入。上报卡如下</w:t>
            </w:r>
            <w:r>
              <w:rPr>
                <w:rFonts w:hint="eastAsia" w:ascii="宋体" w:hAnsi="宋体" w:cs="宋体"/>
              </w:rPr>
              <w:fldChar w:fldCharType="begin"/>
            </w:r>
            <w:r>
              <w:rPr>
                <w:rFonts w:hint="eastAsia" w:ascii="宋体" w:hAnsi="宋体" w:cs="宋体"/>
              </w:rPr>
              <w:instrText xml:space="preserve"> REF _Ref20560 \h </w:instrText>
            </w:r>
            <w:r>
              <w:rPr>
                <w:rFonts w:hint="eastAsia" w:ascii="宋体" w:hAnsi="宋体" w:cs="宋体"/>
              </w:rPr>
              <w:fldChar w:fldCharType="separate"/>
            </w:r>
            <w:r>
              <w:t>图 41</w:t>
            </w:r>
            <w:r>
              <w:rPr>
                <w:rFonts w:hint="eastAsia" w:ascii="宋体" w:hAnsi="宋体" w:cs="宋体"/>
              </w:rPr>
              <w:fldChar w:fldCharType="end"/>
            </w:r>
            <w:r>
              <w:rPr>
                <w:rFonts w:hint="eastAsia" w:ascii="宋体" w:hAnsi="宋体" w:cs="宋体"/>
              </w:rPr>
              <w:t>所示：</w:t>
            </w:r>
          </w:p>
          <w:p>
            <w:pPr>
              <w:jc w:val="center"/>
              <w:rPr>
                <w:rFonts w:eastAsia="黑体"/>
              </w:rPr>
            </w:pPr>
            <w:r>
              <w:rPr>
                <w:rFonts w:eastAsia="黑体"/>
              </w:rPr>
              <w:drawing>
                <wp:inline distT="0" distB="0" distL="114300" distR="114300">
                  <wp:extent cx="5270500" cy="1819910"/>
                  <wp:effectExtent l="0" t="0" r="6350" b="8890"/>
                  <wp:docPr id="46" name="图片 45" descr="167290602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1672906025704"/>
                          <pic:cNvPicPr>
                            <a:picLocks noChangeAspect="1"/>
                          </pic:cNvPicPr>
                        </pic:nvPicPr>
                        <pic:blipFill>
                          <a:blip r:embed="rId54"/>
                          <a:stretch>
                            <a:fillRect/>
                          </a:stretch>
                        </pic:blipFill>
                        <pic:spPr>
                          <a:xfrm>
                            <a:off x="0" y="0"/>
                            <a:ext cx="5270500" cy="1819910"/>
                          </a:xfrm>
                          <a:prstGeom prst="rect">
                            <a:avLst/>
                          </a:prstGeom>
                          <a:noFill/>
                          <a:ln>
                            <a:noFill/>
                          </a:ln>
                        </pic:spPr>
                      </pic:pic>
                    </a:graphicData>
                  </a:graphic>
                </wp:inline>
              </w:drawing>
            </w:r>
          </w:p>
          <w:p>
            <w:pPr>
              <w:pStyle w:val="15"/>
              <w:spacing w:after="0"/>
              <w:jc w:val="center"/>
            </w:pPr>
            <w:bookmarkStart w:id="87" w:name="_Ref20560"/>
            <w:r>
              <w:t xml:space="preserve">图 </w:t>
            </w:r>
            <w:r>
              <w:fldChar w:fldCharType="begin"/>
            </w:r>
            <w:r>
              <w:instrText xml:space="preserve"> SEQ 图 \* ARABIC </w:instrText>
            </w:r>
            <w:r>
              <w:fldChar w:fldCharType="separate"/>
            </w:r>
            <w:r>
              <w:t>41</w:t>
            </w:r>
            <w:r>
              <w:fldChar w:fldCharType="end"/>
            </w:r>
            <w:bookmarkEnd w:id="87"/>
            <w:r>
              <w:rPr>
                <w:rFonts w:hint="eastAsia"/>
              </w:rPr>
              <w:t xml:space="preserve"> 上报卡格式</w:t>
            </w:r>
          </w:p>
          <w:p>
            <w:pPr>
              <w:widowControl/>
              <w:adjustRightInd w:val="0"/>
              <w:snapToGrid w:val="0"/>
              <w:spacing w:line="360" w:lineRule="exact"/>
              <w:ind w:firstLine="420" w:firstLineChars="200"/>
              <w:jc w:val="left"/>
            </w:pPr>
            <w:r>
              <w:rPr>
                <w:rFonts w:hint="eastAsia" w:ascii="宋体" w:hAnsi="宋体" w:cs="宋体"/>
              </w:rPr>
              <w:t>系统数据录入依托于本平台“基础支撑与服务开放平台”里的“数据管理平台”统一数据录入功能，并系统对接按要求上报国家。</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③职业卫生技术报告归档</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归档职业卫生技术报告。系统根据职业卫生报告的类别，职业卫生技术服务机构对报告进行归档、查找、在线预览、下载过往的职业卫生报告。同时职业卫生技术服务机构应当自出具职业卫生技术报告并在本单位网站上公开技术报告相关信息。公开的信息应包括以下内容：用人单位名称、地址及联系人；技术服务项目组人员名单；现场调查、现场采样、现场检测的专业技术人员名单、时间，用人单位陪同人；证明现场调查、现场采样、现场检测的图像影像。</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（6）职业健康培训查询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功能需与在线教育培训系统后台对应的培训内容、培训形式、培训管理、培训考核证书管理等基础数据互通，便于查询本单位</w:t>
            </w:r>
            <w:r>
              <w:rPr>
                <w:rFonts w:hint="eastAsia"/>
              </w:rPr>
              <w:t>专业技术人员</w:t>
            </w:r>
            <w:r>
              <w:rPr>
                <w:rFonts w:hint="eastAsia" w:ascii="宋体" w:hAnsi="宋体" w:cs="宋体"/>
              </w:rPr>
              <w:t>培训信息。</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（7）设备管理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用于管理机构的采样和检测设备。机构可以将机构的设备信息（</w:t>
            </w:r>
            <w:r>
              <w:rPr>
                <w:rFonts w:hint="eastAsia"/>
              </w:rPr>
              <w:t>名称、型号、受控号、参数等）</w:t>
            </w:r>
            <w:r>
              <w:rPr>
                <w:rFonts w:hint="eastAsia" w:ascii="宋体" w:hAnsi="宋体" w:cs="宋体"/>
              </w:rPr>
              <w:t>录入系统，可以对设备信息进行修改、更新、删除操作；同时还可以对设备的期间核查、检定校准、检查维护、修理情况进行管理。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（8）工作场所信息管理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用于管理机构的工作场所信息。服务机构可以录入工作场所情况、实验室情况、工作场所防护情况等。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（9）职业卫生技术服务统计</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①专业技术人员统计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在岗的专业技术人员人数（分类为：行业工程相关专业、卫生工程相关专业、公共卫生相关专业、卫生检验相关专业、放射卫生相关专业）、统计专业技术人员的职称情况、统计专业技术人员的学历、年龄情况等，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②职业卫生技术服务统计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机构服务的用人单位数量、统计出具的职业病危害因素检测报告数量（委托/定期/评价/监督/其他）、统计完成职业病危害预评价项目数、统计完成职业病危害防护设施设计项目数、统计完成职业病危害控制效果评价项目数、</w:t>
            </w:r>
            <w:r>
              <w:rPr>
                <w:rFonts w:hint="eastAsia"/>
              </w:rPr>
              <w:t>现状评价项目数、</w:t>
            </w:r>
            <w:r>
              <w:rPr>
                <w:rFonts w:hint="eastAsia" w:ascii="宋体" w:hAnsi="宋体" w:cs="宋体"/>
              </w:rPr>
              <w:t>实验室检测项目类别等，统计结果以图表的方式进行数据呈现，支持进行可视化展示及导出功能。</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③职业卫生技术服务机构统计：</w:t>
            </w:r>
            <w:r>
              <w:rPr>
                <w:rFonts w:hint="eastAsia" w:ascii="宋体" w:hAnsi="宋体" w:cs="宋体"/>
              </w:rPr>
              <w:t>根据行业、规模、行政辖区等进行数量统计。</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（10）职业卫生技术服务机构自查模块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卫生技术服务机构在卫生监督部门执行监督检查前针对检查事项表进行自查，并按要求填写自查信息，填写完毕后可在系统中提交。卫生监督管理部门在管理系统中查询提交的自查信息表，根据自查信息表对职业卫生技术服务机构进行检查。自查表内容如下</w:t>
            </w:r>
            <w:r>
              <w:fldChar w:fldCharType="begin"/>
            </w:r>
            <w:r>
              <w:instrText xml:space="preserve"> REF _Ref20743 \h  \* MERGEFORMAT </w:instrText>
            </w:r>
            <w:r>
              <w:fldChar w:fldCharType="separate"/>
            </w:r>
            <w:r>
              <w:rPr>
                <w:rFonts w:ascii="宋体" w:hAnsi="宋体" w:cs="宋体"/>
              </w:rPr>
              <w:t>图 42</w:t>
            </w:r>
            <w:r>
              <w:rPr>
                <w:rFonts w:ascii="宋体" w:hAnsi="宋体" w:cs="宋体"/>
              </w:rPr>
              <w:fldChar w:fldCharType="end"/>
            </w:r>
            <w:r>
              <w:rPr>
                <w:rFonts w:hint="eastAsia" w:ascii="宋体" w:hAnsi="宋体" w:cs="宋体"/>
              </w:rPr>
              <w:t>、</w:t>
            </w:r>
            <w:r>
              <w:fldChar w:fldCharType="begin"/>
            </w:r>
            <w:r>
              <w:instrText xml:space="preserve"> REF _Ref20815 \h  \* MERGEFORMAT </w:instrText>
            </w:r>
            <w:r>
              <w:fldChar w:fldCharType="separate"/>
            </w:r>
            <w:r>
              <w:rPr>
                <w:rFonts w:ascii="宋体" w:hAnsi="宋体" w:cs="宋体"/>
              </w:rPr>
              <w:t>图 43</w:t>
            </w:r>
            <w:r>
              <w:rPr>
                <w:rFonts w:ascii="宋体" w:hAnsi="宋体" w:cs="宋体"/>
              </w:rPr>
              <w:fldChar w:fldCharType="end"/>
            </w:r>
            <w:r>
              <w:rPr>
                <w:rFonts w:hint="eastAsia" w:ascii="宋体" w:hAnsi="宋体" w:cs="宋体"/>
              </w:rPr>
              <w:t>、</w:t>
            </w:r>
            <w:r>
              <w:fldChar w:fldCharType="begin"/>
            </w:r>
            <w:r>
              <w:instrText xml:space="preserve"> REF _Ref20822 \h  \* MERGEFORMAT </w:instrText>
            </w:r>
            <w:r>
              <w:fldChar w:fldCharType="separate"/>
            </w:r>
            <w:r>
              <w:rPr>
                <w:rFonts w:ascii="宋体" w:hAnsi="宋体" w:cs="宋体"/>
              </w:rPr>
              <w:t>图 44</w:t>
            </w:r>
            <w:r>
              <w:rPr>
                <w:rFonts w:ascii="宋体" w:hAnsi="宋体" w:cs="宋体"/>
              </w:rPr>
              <w:fldChar w:fldCharType="end"/>
            </w:r>
            <w:r>
              <w:rPr>
                <w:rFonts w:hint="eastAsia" w:ascii="宋体" w:hAnsi="宋体" w:cs="宋体"/>
              </w:rPr>
              <w:t>所示：</w:t>
            </w:r>
          </w:p>
          <w:p>
            <w:pPr>
              <w:pStyle w:val="15"/>
              <w:jc w:val="center"/>
            </w:pPr>
            <w:r>
              <w:drawing>
                <wp:inline distT="0" distB="0" distL="114300" distR="114300">
                  <wp:extent cx="4805045" cy="3252470"/>
                  <wp:effectExtent l="0" t="0" r="14605" b="508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34"/>
                          <a:srcRect l="2106" t="7829" r="8186" b="35416"/>
                          <a:stretch>
                            <a:fillRect/>
                          </a:stretch>
                        </pic:blipFill>
                        <pic:spPr>
                          <a:xfrm>
                            <a:off x="0" y="0"/>
                            <a:ext cx="4805045" cy="3252470"/>
                          </a:xfrm>
                          <a:prstGeom prst="rect">
                            <a:avLst/>
                          </a:prstGeom>
                          <a:noFill/>
                          <a:ln>
                            <a:noFill/>
                          </a:ln>
                        </pic:spPr>
                      </pic:pic>
                    </a:graphicData>
                  </a:graphic>
                </wp:inline>
              </w:drawing>
            </w:r>
          </w:p>
          <w:p>
            <w:pPr>
              <w:pStyle w:val="15"/>
              <w:jc w:val="center"/>
            </w:pPr>
            <w:bookmarkStart w:id="88" w:name="_Ref20743"/>
            <w:r>
              <w:t xml:space="preserve">图 </w:t>
            </w:r>
            <w:r>
              <w:fldChar w:fldCharType="begin"/>
            </w:r>
            <w:r>
              <w:instrText xml:space="preserve"> SEQ 图 \* ARABIC </w:instrText>
            </w:r>
            <w:r>
              <w:fldChar w:fldCharType="separate"/>
            </w:r>
            <w:r>
              <w:t>42</w:t>
            </w:r>
            <w:r>
              <w:fldChar w:fldCharType="end"/>
            </w:r>
            <w:bookmarkEnd w:id="88"/>
            <w:r>
              <w:rPr>
                <w:rFonts w:hint="eastAsia"/>
              </w:rPr>
              <w:t xml:space="preserve"> 职业卫生技术服务机构信息卡</w:t>
            </w:r>
          </w:p>
          <w:p>
            <w:pPr>
              <w:widowControl/>
              <w:adjustRightInd w:val="0"/>
              <w:snapToGrid w:val="0"/>
              <w:ind w:firstLine="18" w:firstLineChars="9"/>
              <w:jc w:val="center"/>
            </w:pPr>
            <w:r>
              <w:drawing>
                <wp:inline distT="0" distB="0" distL="114300" distR="114300">
                  <wp:extent cx="4701540" cy="3329940"/>
                  <wp:effectExtent l="0" t="0" r="3810" b="3810"/>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55"/>
                          <a:stretch>
                            <a:fillRect/>
                          </a:stretch>
                        </pic:blipFill>
                        <pic:spPr>
                          <a:xfrm>
                            <a:off x="0" y="0"/>
                            <a:ext cx="4701540" cy="3329940"/>
                          </a:xfrm>
                          <a:prstGeom prst="rect">
                            <a:avLst/>
                          </a:prstGeom>
                          <a:noFill/>
                          <a:ln>
                            <a:noFill/>
                          </a:ln>
                        </pic:spPr>
                      </pic:pic>
                    </a:graphicData>
                  </a:graphic>
                </wp:inline>
              </w:drawing>
            </w:r>
          </w:p>
          <w:p>
            <w:pPr>
              <w:pStyle w:val="15"/>
              <w:jc w:val="center"/>
            </w:pPr>
            <w:bookmarkStart w:id="89" w:name="_Ref20815"/>
            <w:r>
              <w:t xml:space="preserve">图 </w:t>
            </w:r>
            <w:r>
              <w:fldChar w:fldCharType="begin"/>
            </w:r>
            <w:r>
              <w:instrText xml:space="preserve"> SEQ 图 \* ARABIC </w:instrText>
            </w:r>
            <w:r>
              <w:fldChar w:fldCharType="separate"/>
            </w:r>
            <w:r>
              <w:t>43</w:t>
            </w:r>
            <w:r>
              <w:fldChar w:fldCharType="end"/>
            </w:r>
            <w:bookmarkEnd w:id="89"/>
            <w:r>
              <w:rPr>
                <w:rFonts w:hint="eastAsia"/>
              </w:rPr>
              <w:t xml:space="preserve"> 职业卫生技术服务机构监督检查信息卡</w:t>
            </w:r>
          </w:p>
          <w:p>
            <w:pPr>
              <w:widowControl/>
              <w:adjustRightInd w:val="0"/>
              <w:snapToGrid w:val="0"/>
              <w:ind w:firstLine="18" w:firstLineChars="9"/>
              <w:jc w:val="center"/>
            </w:pPr>
            <w:r>
              <w:drawing>
                <wp:inline distT="0" distB="0" distL="114300" distR="114300">
                  <wp:extent cx="5288280" cy="6073140"/>
                  <wp:effectExtent l="0" t="0" r="7620" b="3810"/>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36"/>
                          <a:srcRect l="1503" t="7623"/>
                          <a:stretch>
                            <a:fillRect/>
                          </a:stretch>
                        </pic:blipFill>
                        <pic:spPr>
                          <a:xfrm>
                            <a:off x="0" y="0"/>
                            <a:ext cx="5288280" cy="6073140"/>
                          </a:xfrm>
                          <a:prstGeom prst="rect">
                            <a:avLst/>
                          </a:prstGeom>
                          <a:noFill/>
                          <a:ln>
                            <a:noFill/>
                          </a:ln>
                        </pic:spPr>
                      </pic:pic>
                    </a:graphicData>
                  </a:graphic>
                </wp:inline>
              </w:drawing>
            </w:r>
          </w:p>
          <w:p>
            <w:pPr>
              <w:pStyle w:val="2"/>
              <w:rPr>
                <w:lang w:val="en-US" w:eastAsia="zh-CN"/>
              </w:rPr>
            </w:pPr>
            <w:r>
              <w:rPr>
                <w:lang w:val="en-US" w:eastAsia="zh-CN"/>
              </w:rPr>
              <w:drawing>
                <wp:inline distT="0" distB="0" distL="114300" distR="114300">
                  <wp:extent cx="5512435" cy="1121410"/>
                  <wp:effectExtent l="0" t="0" r="12065" b="254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56"/>
                          <a:stretch>
                            <a:fillRect/>
                          </a:stretch>
                        </pic:blipFill>
                        <pic:spPr>
                          <a:xfrm>
                            <a:off x="0" y="0"/>
                            <a:ext cx="5512435" cy="1121410"/>
                          </a:xfrm>
                          <a:prstGeom prst="rect">
                            <a:avLst/>
                          </a:prstGeom>
                          <a:noFill/>
                          <a:ln>
                            <a:noFill/>
                          </a:ln>
                        </pic:spPr>
                      </pic:pic>
                    </a:graphicData>
                  </a:graphic>
                </wp:inline>
              </w:drawing>
            </w:r>
          </w:p>
          <w:p>
            <w:pPr>
              <w:widowControl/>
              <w:adjustRightInd w:val="0"/>
              <w:snapToGrid w:val="0"/>
              <w:spacing w:line="360" w:lineRule="exact"/>
              <w:ind w:firstLine="420" w:firstLineChars="200"/>
              <w:jc w:val="center"/>
            </w:pPr>
            <w:bookmarkStart w:id="90" w:name="_Ref20822"/>
            <w:r>
              <w:t xml:space="preserve">图 </w:t>
            </w:r>
            <w:r>
              <w:fldChar w:fldCharType="begin"/>
            </w:r>
            <w:r>
              <w:instrText xml:space="preserve"> SEQ 图 \* ARABIC </w:instrText>
            </w:r>
            <w:r>
              <w:fldChar w:fldCharType="separate"/>
            </w:r>
            <w:r>
              <w:t>44</w:t>
            </w:r>
            <w:r>
              <w:fldChar w:fldCharType="end"/>
            </w:r>
            <w:bookmarkEnd w:id="90"/>
            <w:r>
              <w:rPr>
                <w:rFonts w:hint="eastAsia"/>
              </w:rPr>
              <w:t xml:space="preserve"> 职业卫生技术服务机构监督案件查处信息卡</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11.放射卫生应用系统</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本项目建设的放射卫生应用版块涉及到的使用对象包括：放射卫生技术服务机构、放射诊疗机构（医院）、非医疗放射工作单位等，主要用于放射卫生机构数据和信息录入及管理查询。</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（1）放射卫生技术服务机构</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①机构基本信息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放射卫生技术服务机构需要采集的数据包括：机构基本信息、资质信息、机构技术服务（范围、时间、放射设备信息）、专业技术人员信息、资质管理信息、技术评审信息、监督检查信息、整改复核信息、行业自律信息和检查项目等信息。其中检测项目信息包括放射卫生防护检测、放射诊疗建设项目评价、个人剂量监测、放射防护器材和含放射性产品检测的效果评价等。</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机构基本信息：机构名称、法定代表人（或主要负责人）、统一社会信用代码、注册地址、实验室地址、联系人、联系电话、机构资质证书编号、机构属性。</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业务范围：放射诊疗建设项目职业病危害放射防护评价、放射防护器材和含放射性产品检测、放射卫生防护检测、个人剂量监测。</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专业人员情况：放射相关专业人员信息、非放射相关专业人员信息（管理人员）。</w:t>
            </w:r>
          </w:p>
          <w:p>
            <w:pPr>
              <w:pStyle w:val="16"/>
              <w:widowControl/>
              <w:adjustRightInd w:val="0"/>
              <w:snapToGrid w:val="0"/>
              <w:spacing w:line="360" w:lineRule="exact"/>
              <w:ind w:firstLine="420" w:firstLineChars="200"/>
              <w:rPr>
                <w:rFonts w:ascii="宋体" w:hAnsi="宋体" w:cs="宋体"/>
                <w:lang w:val="en-US" w:eastAsia="zh-CN"/>
              </w:rPr>
            </w:pPr>
            <w:r>
              <w:rPr>
                <w:rFonts w:hint="eastAsia" w:ascii="宋体" w:hAnsi="宋体" w:cs="宋体"/>
                <w:lang w:val="en-US" w:eastAsia="zh-CN"/>
              </w:rPr>
              <w:t>设备信息：设备名称，生产厂家、设备型号、出厂编号或固定资产编号、出厂日期、设备用途“用于x射线诊断、核医学、介入放射学、放射治疗等仪器质控检测，环境剂量检测”、检定校准情况并</w:t>
            </w:r>
            <w:r>
              <w:rPr>
                <w:rFonts w:hint="eastAsia"/>
                <w:lang w:val="en-US" w:eastAsia="zh-CN"/>
              </w:rPr>
              <w:t>上传PDF</w:t>
            </w:r>
            <w:r>
              <w:rPr>
                <w:rFonts w:hint="eastAsia" w:ascii="宋体" w:hAnsi="宋体" w:cs="宋体"/>
                <w:lang w:val="en-US" w:eastAsia="zh-CN"/>
              </w:rPr>
              <w:t>文档、备注。初次使用需建立设备档案，</w:t>
            </w:r>
            <w:r>
              <w:rPr>
                <w:rFonts w:hint="eastAsia"/>
                <w:lang w:val="en-US" w:eastAsia="zh-CN"/>
              </w:rPr>
              <w:t>每年更新</w:t>
            </w:r>
            <w:r>
              <w:rPr>
                <w:rFonts w:hint="eastAsia" w:ascii="宋体" w:hAnsi="宋体" w:cs="宋体"/>
                <w:lang w:val="en-US" w:eastAsia="zh-CN"/>
              </w:rPr>
              <w:t>检定校准情况。</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②机构资质申请信息同步</w:t>
            </w:r>
          </w:p>
          <w:p>
            <w:pPr>
              <w:pStyle w:val="16"/>
              <w:widowControl/>
              <w:adjustRightInd w:val="0"/>
              <w:snapToGrid w:val="0"/>
              <w:spacing w:line="360" w:lineRule="exact"/>
              <w:ind w:firstLine="420" w:firstLineChars="200"/>
              <w:rPr>
                <w:rFonts w:hint="eastAsia" w:ascii="宋体" w:hAnsi="宋体" w:cs="宋体"/>
                <w:lang w:val="en-US" w:eastAsia="zh-CN"/>
              </w:rPr>
            </w:pPr>
            <w:r>
              <w:rPr>
                <w:rFonts w:hint="eastAsia" w:ascii="宋体" w:hAnsi="宋体" w:cs="宋体"/>
                <w:lang w:val="en-US" w:eastAsia="zh-CN"/>
              </w:rPr>
              <w:t>功能需对接广西数字政务一体化平台，可由广西数字政务一体化平台作为申请入口，同步机构资质申请信息、专业技术人员信息、相关仪器设备清单。其中放射卫生技术服务机构资质审定申请表的如下</w:t>
            </w:r>
            <w:r>
              <w:fldChar w:fldCharType="begin"/>
            </w:r>
            <w:r>
              <w:instrText xml:space="preserve"> REF _Ref20890 \h  \* MERGEFORMAT </w:instrText>
            </w:r>
            <w:r>
              <w:fldChar w:fldCharType="separate"/>
            </w:r>
            <w:r>
              <w:rPr>
                <w:rFonts w:ascii="宋体" w:hAnsi="宋体" w:cs="宋体"/>
                <w:lang w:val="en-US" w:eastAsia="zh-CN"/>
              </w:rPr>
              <w:t>图 45</w:t>
            </w:r>
            <w:r>
              <w:rPr>
                <w:rFonts w:ascii="宋体" w:hAnsi="宋体" w:cs="宋体"/>
                <w:lang w:val="en-US" w:eastAsia="zh-CN"/>
              </w:rPr>
              <w:fldChar w:fldCharType="end"/>
            </w:r>
            <w:r>
              <w:rPr>
                <w:rFonts w:hint="eastAsia" w:ascii="宋体" w:hAnsi="宋体" w:cs="宋体"/>
                <w:lang w:val="en-US" w:eastAsia="zh-CN"/>
              </w:rPr>
              <w:t>所示：</w:t>
            </w:r>
          </w:p>
          <w:p>
            <w:pPr>
              <w:pStyle w:val="16"/>
              <w:widowControl/>
              <w:adjustRightInd w:val="0"/>
              <w:snapToGrid w:val="0"/>
              <w:jc w:val="center"/>
              <w:rPr>
                <w:rFonts w:ascii="宋体" w:hAnsi="宋体" w:cs="宋体"/>
                <w:lang w:val="en-US" w:eastAsia="zh-CN"/>
              </w:rPr>
            </w:pPr>
            <w:r>
              <w:rPr>
                <w:lang w:val="en-US" w:eastAsia="zh-CN"/>
              </w:rPr>
              <w:drawing>
                <wp:inline distT="0" distB="0" distL="114300" distR="114300">
                  <wp:extent cx="5166995" cy="4994910"/>
                  <wp:effectExtent l="0" t="0" r="14605" b="15240"/>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57"/>
                          <a:stretch>
                            <a:fillRect/>
                          </a:stretch>
                        </pic:blipFill>
                        <pic:spPr>
                          <a:xfrm>
                            <a:off x="0" y="0"/>
                            <a:ext cx="5166995" cy="4994910"/>
                          </a:xfrm>
                          <a:prstGeom prst="rect">
                            <a:avLst/>
                          </a:prstGeom>
                          <a:noFill/>
                          <a:ln>
                            <a:noFill/>
                          </a:ln>
                        </pic:spPr>
                      </pic:pic>
                    </a:graphicData>
                  </a:graphic>
                </wp:inline>
              </w:drawing>
            </w:r>
          </w:p>
          <w:p>
            <w:pPr>
              <w:pStyle w:val="15"/>
              <w:jc w:val="center"/>
              <w:rPr>
                <w:rFonts w:ascii="宋体" w:hAnsi="宋体" w:cs="宋体"/>
              </w:rPr>
            </w:pPr>
            <w:bookmarkStart w:id="91" w:name="_Ref20890"/>
            <w:r>
              <w:t xml:space="preserve">图 </w:t>
            </w:r>
            <w:r>
              <w:fldChar w:fldCharType="begin"/>
            </w:r>
            <w:r>
              <w:instrText xml:space="preserve"> SEQ 图 \* ARABIC </w:instrText>
            </w:r>
            <w:r>
              <w:fldChar w:fldCharType="separate"/>
            </w:r>
            <w:r>
              <w:t>45</w:t>
            </w:r>
            <w:r>
              <w:fldChar w:fldCharType="end"/>
            </w:r>
            <w:bookmarkEnd w:id="91"/>
            <w:r>
              <w:rPr>
                <w:rFonts w:hint="eastAsia"/>
              </w:rPr>
              <w:t xml:space="preserve"> 放射卫生技术服务机构资质审定申请表</w:t>
            </w:r>
          </w:p>
          <w:p>
            <w:pPr>
              <w:widowControl/>
              <w:adjustRightInd w:val="0"/>
              <w:snapToGrid w:val="0"/>
              <w:spacing w:line="360" w:lineRule="exact"/>
              <w:ind w:firstLine="210" w:firstLineChars="100"/>
              <w:jc w:val="left"/>
            </w:pPr>
            <w:r>
              <w:rPr>
                <w:rFonts w:hint="eastAsia"/>
              </w:rPr>
              <w:t>专业技术人员情况一览表如下</w:t>
            </w:r>
            <w:r>
              <w:rPr>
                <w:rFonts w:hint="eastAsia"/>
              </w:rPr>
              <w:fldChar w:fldCharType="begin"/>
            </w:r>
            <w:r>
              <w:rPr>
                <w:rFonts w:hint="eastAsia"/>
              </w:rPr>
              <w:instrText xml:space="preserve"> REF _Ref20933 \h </w:instrText>
            </w:r>
            <w:r>
              <w:rPr>
                <w:rFonts w:hint="eastAsia"/>
              </w:rPr>
              <w:fldChar w:fldCharType="separate"/>
            </w:r>
            <w:r>
              <w:t>图 46</w:t>
            </w:r>
            <w:r>
              <w:rPr>
                <w:rFonts w:hint="eastAsia"/>
              </w:rPr>
              <w:fldChar w:fldCharType="end"/>
            </w:r>
            <w:r>
              <w:rPr>
                <w:rFonts w:hint="eastAsia"/>
              </w:rPr>
              <w:t>所示：</w:t>
            </w:r>
          </w:p>
          <w:p>
            <w:pPr>
              <w:widowControl/>
              <w:adjustRightInd w:val="0"/>
              <w:snapToGrid w:val="0"/>
              <w:jc w:val="center"/>
            </w:pPr>
            <w:r>
              <w:drawing>
                <wp:inline distT="0" distB="0" distL="114300" distR="114300">
                  <wp:extent cx="5305425" cy="1716405"/>
                  <wp:effectExtent l="0" t="0" r="9525" b="17145"/>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58"/>
                          <a:stretch>
                            <a:fillRect/>
                          </a:stretch>
                        </pic:blipFill>
                        <pic:spPr>
                          <a:xfrm>
                            <a:off x="0" y="0"/>
                            <a:ext cx="5305425" cy="1716405"/>
                          </a:xfrm>
                          <a:prstGeom prst="rect">
                            <a:avLst/>
                          </a:prstGeom>
                          <a:noFill/>
                          <a:ln>
                            <a:noFill/>
                          </a:ln>
                        </pic:spPr>
                      </pic:pic>
                    </a:graphicData>
                  </a:graphic>
                </wp:inline>
              </w:drawing>
            </w:r>
          </w:p>
          <w:p>
            <w:pPr>
              <w:widowControl/>
              <w:adjustRightInd w:val="0"/>
              <w:snapToGrid w:val="0"/>
              <w:spacing w:line="360" w:lineRule="exact"/>
              <w:ind w:firstLine="420" w:firstLineChars="200"/>
              <w:jc w:val="center"/>
              <w:rPr>
                <w:rFonts w:ascii="宋体" w:hAnsi="宋体" w:cs="宋体"/>
              </w:rPr>
            </w:pPr>
            <w:bookmarkStart w:id="92" w:name="_Ref20933"/>
            <w:r>
              <w:t xml:space="preserve">图 </w:t>
            </w:r>
            <w:r>
              <w:fldChar w:fldCharType="begin"/>
            </w:r>
            <w:r>
              <w:instrText xml:space="preserve"> SEQ 图 \* ARABIC </w:instrText>
            </w:r>
            <w:r>
              <w:fldChar w:fldCharType="separate"/>
            </w:r>
            <w:r>
              <w:t>46</w:t>
            </w:r>
            <w:r>
              <w:fldChar w:fldCharType="end"/>
            </w:r>
            <w:bookmarkEnd w:id="92"/>
            <w:r>
              <w:rPr>
                <w:rFonts w:hint="eastAsia"/>
              </w:rPr>
              <w:t xml:space="preserve"> 专业技术人员情况一览表</w:t>
            </w:r>
          </w:p>
          <w:p>
            <w:pPr>
              <w:widowControl/>
              <w:adjustRightInd w:val="0"/>
              <w:snapToGrid w:val="0"/>
              <w:spacing w:line="360" w:lineRule="exact"/>
              <w:ind w:firstLine="420" w:firstLineChars="200"/>
              <w:jc w:val="left"/>
            </w:pPr>
            <w:r>
              <w:rPr>
                <w:rFonts w:hint="eastAsia"/>
              </w:rPr>
              <w:t>相关仪器设备清单如下</w:t>
            </w:r>
            <w:r>
              <w:rPr>
                <w:rFonts w:hint="eastAsia"/>
              </w:rPr>
              <w:fldChar w:fldCharType="begin"/>
            </w:r>
            <w:r>
              <w:rPr>
                <w:rFonts w:hint="eastAsia"/>
              </w:rPr>
              <w:instrText xml:space="preserve"> REF _Ref20995 \h </w:instrText>
            </w:r>
            <w:r>
              <w:rPr>
                <w:rFonts w:hint="eastAsia"/>
              </w:rPr>
              <w:fldChar w:fldCharType="separate"/>
            </w:r>
            <w:r>
              <w:t>图 47</w:t>
            </w:r>
            <w:r>
              <w:rPr>
                <w:rFonts w:hint="eastAsia"/>
              </w:rPr>
              <w:fldChar w:fldCharType="end"/>
            </w:r>
            <w:r>
              <w:rPr>
                <w:rFonts w:hint="eastAsia"/>
              </w:rPr>
              <w:t>所示：</w:t>
            </w:r>
          </w:p>
          <w:p>
            <w:pPr>
              <w:widowControl/>
              <w:adjustRightInd w:val="0"/>
              <w:snapToGrid w:val="0"/>
              <w:ind w:firstLine="18" w:firstLineChars="9"/>
              <w:jc w:val="center"/>
            </w:pPr>
            <w:r>
              <w:drawing>
                <wp:inline distT="0" distB="0" distL="114300" distR="114300">
                  <wp:extent cx="5313680" cy="1871980"/>
                  <wp:effectExtent l="0" t="0" r="1270" b="1397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59"/>
                          <a:stretch>
                            <a:fillRect/>
                          </a:stretch>
                        </pic:blipFill>
                        <pic:spPr>
                          <a:xfrm>
                            <a:off x="0" y="0"/>
                            <a:ext cx="5313680" cy="1871980"/>
                          </a:xfrm>
                          <a:prstGeom prst="rect">
                            <a:avLst/>
                          </a:prstGeom>
                          <a:noFill/>
                          <a:ln>
                            <a:noFill/>
                          </a:ln>
                        </pic:spPr>
                      </pic:pic>
                    </a:graphicData>
                  </a:graphic>
                </wp:inline>
              </w:drawing>
            </w:r>
          </w:p>
          <w:p>
            <w:pPr>
              <w:pStyle w:val="15"/>
              <w:spacing w:before="0" w:after="0"/>
              <w:jc w:val="center"/>
            </w:pPr>
            <w:bookmarkStart w:id="93" w:name="_Ref20995"/>
            <w:r>
              <w:t xml:space="preserve">图 </w:t>
            </w:r>
            <w:r>
              <w:fldChar w:fldCharType="begin"/>
            </w:r>
            <w:r>
              <w:instrText xml:space="preserve"> SEQ 图 \* ARABIC </w:instrText>
            </w:r>
            <w:r>
              <w:fldChar w:fldCharType="separate"/>
            </w:r>
            <w:r>
              <w:t>47</w:t>
            </w:r>
            <w:r>
              <w:fldChar w:fldCharType="end"/>
            </w:r>
            <w:bookmarkEnd w:id="93"/>
            <w:r>
              <w:rPr>
                <w:rFonts w:hint="eastAsia"/>
              </w:rPr>
              <w:t xml:space="preserve"> 相关仪器设备清单</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其中，本模块建设主要是针对自治区级卫生健康委负责以下放射卫生技术服务机构的资质审定：</w:t>
            </w:r>
          </w:p>
          <w:p>
            <w:pPr>
              <w:widowControl/>
              <w:adjustRightInd w:val="0"/>
              <w:snapToGrid w:val="0"/>
              <w:spacing w:line="360" w:lineRule="exact"/>
              <w:jc w:val="left"/>
              <w:rPr>
                <w:rFonts w:ascii="宋体" w:hAnsi="宋体" w:cs="宋体"/>
              </w:rPr>
            </w:pPr>
            <w:r>
              <w:rPr>
                <w:rFonts w:hint="eastAsia" w:ascii="宋体" w:hAnsi="宋体" w:cs="宋体"/>
              </w:rPr>
              <w:t>放射诊疗建设项目职业病危害放射防护评价（乙级）；放射卫生防护检测；个人剂量监测。</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③放射卫生技术服务信息管理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由放射卫生技术服务机构登记受检用人单位岗位危害因素检测结果。服务机构将检测结果录入系统，并审核确认检测结果，并将检测结果报送给用人单位。数据填报依据《全国职业健康统计调查制度》中《放射卫生技术服务信息报送卡》的标准进行填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工作场所危害因素检测需要填报的信息如下：</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机构基本信息：机构名称、法定代表人（或主要负责人）、注册地址、机构资质证书编号、项目负责人、联系电话、资质业务范围。</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参与人员信息：姓名、承担的服务事项。</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用人单位信息：单位名称、注册地址、联系人、联系电话、服务单位类型，并通过用人单位基础数据库关联获取用人单位基本信息。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主要技术服务信息内容如下：</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放射卫生防护检测（使用检测报告移动端采集APP记录）：检测点位个数，超标点位个数、超标点位放射性危害类型、放射诊疗设备质量控制检测（CT、DR、DSA、PET）、检测人员的GPS信息、测量时间。</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放射诊疗建设项目评价：预评价（剂量估算超标点位个数、超标点位放射性危害类型）；控制效果评价（现场共检测点位个数、超标点位个数、超标点位放射性危害类型）。</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个人剂量监测：个人剂量监测结果（含检测数据记录时间）。</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放射防护器材和含放射性产品检测：放射防护器材检测项目、放射防护器材检测（检测样品数量总数、超标样品数量个数，超标样品名称）；放射防护器材检测项目、含放射性产品检测（共检测样品数量总数、超标样品数量个数，超标样品名称）。</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④检测报告移动端采集APP</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本系统使用对象为放射卫生技术服务机构。支持放射卫生技术服务机构在手机填报检测报告，并能够直接采集检测人员的GPS信息、各测量参数产生时间信息等。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⑤放射卫生报告管理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放射卫生技术服务机构针对用人单位确保相关数据信息可溯源，科学、客观、真实地反映技术服务事项，服务机构可根据实际情况出具放射卫生技术报告，并支持对报告的增删改查功能。</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放射卫生技术服务机构原始检测报告上传由放射卫生技术服务机构上传放射卫生防护原始检测报告、放射诊疗建设项目评价报告、个人剂量监测报告、放射防护器材和含放射性产品检测报告。</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放射卫生技术报告报送用于报送放射卫生技术报告。服务机构可以将审核通过的报告报送给用人单位，也可以将审核通过的报告上报放射卫生监督管理机构。生成的报告支持导出、盖章以及扫描上传至国家系统。</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放射卫生技术服务信息报送卡，格式如</w:t>
            </w:r>
            <w:r>
              <w:rPr>
                <w:rFonts w:hint="eastAsia" w:ascii="宋体" w:hAnsi="宋体" w:cs="宋体"/>
              </w:rPr>
              <w:fldChar w:fldCharType="begin"/>
            </w:r>
            <w:r>
              <w:rPr>
                <w:rFonts w:hint="eastAsia" w:ascii="宋体" w:hAnsi="宋体" w:cs="宋体"/>
              </w:rPr>
              <w:instrText xml:space="preserve"> REF _Ref21560 \h </w:instrText>
            </w:r>
            <w:r>
              <w:rPr>
                <w:rFonts w:hint="eastAsia" w:ascii="宋体" w:hAnsi="宋体" w:cs="宋体"/>
              </w:rPr>
              <w:fldChar w:fldCharType="separate"/>
            </w:r>
            <w:r>
              <w:t>图 48</w:t>
            </w:r>
            <w:r>
              <w:rPr>
                <w:rFonts w:hint="eastAsia" w:ascii="宋体" w:hAnsi="宋体" w:cs="宋体"/>
              </w:rPr>
              <w:fldChar w:fldCharType="end"/>
            </w:r>
            <w:r>
              <w:rPr>
                <w:rFonts w:hint="eastAsia" w:ascii="宋体" w:hAnsi="宋体" w:cs="宋体"/>
              </w:rPr>
              <w:t>所示：</w:t>
            </w:r>
          </w:p>
          <w:p>
            <w:pPr>
              <w:widowControl/>
              <w:adjustRightInd w:val="0"/>
              <w:snapToGrid w:val="0"/>
              <w:ind w:firstLine="420" w:firstLineChars="200"/>
              <w:jc w:val="center"/>
              <w:rPr>
                <w:rFonts w:ascii="宋体" w:hAnsi="宋体" w:cs="宋体"/>
              </w:rPr>
            </w:pPr>
            <w:r>
              <w:rPr>
                <w:rFonts w:ascii="宋体" w:hAnsi="宋体" w:cs="宋体"/>
              </w:rPr>
              <w:drawing>
                <wp:inline distT="0" distB="0" distL="114300" distR="114300">
                  <wp:extent cx="5434330" cy="5210175"/>
                  <wp:effectExtent l="0" t="0" r="13970" b="9525"/>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60"/>
                          <a:stretch>
                            <a:fillRect/>
                          </a:stretch>
                        </pic:blipFill>
                        <pic:spPr>
                          <a:xfrm>
                            <a:off x="0" y="0"/>
                            <a:ext cx="5434330" cy="5210175"/>
                          </a:xfrm>
                          <a:prstGeom prst="rect">
                            <a:avLst/>
                          </a:prstGeom>
                          <a:noFill/>
                          <a:ln>
                            <a:noFill/>
                          </a:ln>
                        </pic:spPr>
                      </pic:pic>
                    </a:graphicData>
                  </a:graphic>
                </wp:inline>
              </w:drawing>
            </w:r>
          </w:p>
          <w:p>
            <w:pPr>
              <w:pStyle w:val="15"/>
              <w:jc w:val="center"/>
            </w:pPr>
            <w:bookmarkStart w:id="94" w:name="_Ref21560"/>
            <w:r>
              <w:t xml:space="preserve">图 </w:t>
            </w:r>
            <w:r>
              <w:fldChar w:fldCharType="begin"/>
            </w:r>
            <w:r>
              <w:instrText xml:space="preserve"> SEQ 图 \* ARABIC </w:instrText>
            </w:r>
            <w:r>
              <w:fldChar w:fldCharType="separate"/>
            </w:r>
            <w:r>
              <w:t>48</w:t>
            </w:r>
            <w:r>
              <w:fldChar w:fldCharType="end"/>
            </w:r>
            <w:bookmarkEnd w:id="94"/>
            <w:r>
              <w:rPr>
                <w:rFonts w:hint="eastAsia"/>
              </w:rPr>
              <w:t xml:space="preserve"> 上报卡格式</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放射工作人员个人剂量监测报告卡，格式如</w:t>
            </w:r>
            <w:r>
              <w:rPr>
                <w:rFonts w:hint="eastAsia" w:ascii="宋体" w:hAnsi="宋体" w:cs="宋体"/>
              </w:rPr>
              <w:fldChar w:fldCharType="begin"/>
            </w:r>
            <w:r>
              <w:rPr>
                <w:rFonts w:hint="eastAsia" w:ascii="宋体" w:hAnsi="宋体" w:cs="宋体"/>
              </w:rPr>
              <w:instrText xml:space="preserve"> REF _Ref21622 \h </w:instrText>
            </w:r>
            <w:r>
              <w:rPr>
                <w:rFonts w:hint="eastAsia" w:ascii="宋体" w:hAnsi="宋体" w:cs="宋体"/>
              </w:rPr>
              <w:fldChar w:fldCharType="separate"/>
            </w:r>
            <w:r>
              <w:t>图 49</w:t>
            </w:r>
            <w:r>
              <w:rPr>
                <w:rFonts w:hint="eastAsia" w:ascii="宋体" w:hAnsi="宋体" w:cs="宋体"/>
              </w:rPr>
              <w:fldChar w:fldCharType="end"/>
            </w:r>
            <w:r>
              <w:rPr>
                <w:rFonts w:hint="eastAsia" w:ascii="宋体" w:hAnsi="宋体" w:cs="宋体"/>
              </w:rPr>
              <w:t>所示：</w:t>
            </w:r>
          </w:p>
          <w:p>
            <w:pPr>
              <w:pStyle w:val="15"/>
              <w:jc w:val="center"/>
              <w:rPr>
                <w:rFonts w:ascii="宋体" w:hAnsi="宋体" w:cs="宋体"/>
              </w:rPr>
            </w:pPr>
            <w:r>
              <w:rPr>
                <w:rFonts w:ascii="宋体" w:hAnsi="宋体" w:cs="宋体"/>
              </w:rPr>
              <w:drawing>
                <wp:inline distT="0" distB="0" distL="114300" distR="114300">
                  <wp:extent cx="5365750" cy="4813300"/>
                  <wp:effectExtent l="0" t="0" r="6350" b="6350"/>
                  <wp:docPr id="55" name="图片 54" descr="附录3-9个人剂量监测机构工作总结相关信息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descr="附录3-9个人剂量监测机构工作总结相关信息表_01"/>
                          <pic:cNvPicPr>
                            <a:picLocks noChangeAspect="1"/>
                          </pic:cNvPicPr>
                        </pic:nvPicPr>
                        <pic:blipFill>
                          <a:blip r:embed="rId61"/>
                          <a:srcRect r="5095"/>
                          <a:stretch>
                            <a:fillRect/>
                          </a:stretch>
                        </pic:blipFill>
                        <pic:spPr>
                          <a:xfrm>
                            <a:off x="0" y="0"/>
                            <a:ext cx="5365750" cy="4813300"/>
                          </a:xfrm>
                          <a:prstGeom prst="rect">
                            <a:avLst/>
                          </a:prstGeom>
                          <a:noFill/>
                          <a:ln>
                            <a:noFill/>
                          </a:ln>
                        </pic:spPr>
                      </pic:pic>
                    </a:graphicData>
                  </a:graphic>
                </wp:inline>
              </w:drawing>
            </w:r>
          </w:p>
          <w:p>
            <w:pPr>
              <w:pStyle w:val="15"/>
              <w:jc w:val="center"/>
            </w:pPr>
            <w:bookmarkStart w:id="95" w:name="_Ref21622"/>
            <w:r>
              <w:t xml:space="preserve">图 </w:t>
            </w:r>
            <w:r>
              <w:fldChar w:fldCharType="begin"/>
            </w:r>
            <w:r>
              <w:instrText xml:space="preserve"> SEQ 图 \* ARABIC </w:instrText>
            </w:r>
            <w:r>
              <w:fldChar w:fldCharType="separate"/>
            </w:r>
            <w:r>
              <w:t>49</w:t>
            </w:r>
            <w:r>
              <w:fldChar w:fldCharType="end"/>
            </w:r>
            <w:bookmarkEnd w:id="95"/>
            <w:r>
              <w:rPr>
                <w:rFonts w:hint="eastAsia"/>
              </w:rPr>
              <w:t xml:space="preserve"> 上报卡格式</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⑥检测受理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放射诊疗机构检测受理，受理放射诊疗机构的放射诊疗建设项目职业病危害放射防护评价、放射防护器材和含放射性产品检测、放射卫生防护检测、个人剂量监测的检测需求。</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非医疗放射工作单位检测受理，受理非医疗放射工作单位的放射性危害因素检测、个人剂量检测等申请。</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⑦放射卫生技术服务统计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专业技术人员统计由放射卫生技术服务机构用于按年龄、性别、职称统计和查询在岗的专业技术人员人数、统计专业技术人员的职称情况、统计专业技术人员的学历情况、教育培训情况等，统计结果以图表的方式进行数据呈现，支持进行可视化展示。</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放射卫生技术服务统计查询由放射卫生技术服务机构用于按地域、时间、统计放射诊疗建设项目评价项目个数、预评价个数，控制效果评价个数、放射诊疗工作场所放射防护检测项目个数、放射诊疗设备质量控制检测设备个数；放射防护器材检测项目个数、放射性产品检测项目个数。</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按年龄、性别、地域、时间等维度统计个人剂量监测人数，5～20mSv人数、超过20mSv人数。</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（2）放射诊疗机构（医院）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放射诊疗工作，是指使用放射性同位素、射线装置进行临床医学诊断、治疗和健康检查的活动。</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①放射诊疗机构基本信息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放射诊疗机构（医院）需填报的信息包括：</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机构基本信息：医疗机构名称、医院等级、邮编、电话、统一社会信用代码、地址。机构基本信息关联全民健康信息平台基础信息库获取数据自动填充。</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人员信息：在岗全部职工个案信息、放射工作人员个案信息。信息关联全民健康信息平台基础信息库获取数据自动填充。</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设备信息：设备名称、生产厂家、设备型号、出厂编号或固定资产编号、出厂日期、用途、检测情况、备注。</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②放射诊疗机构医疗照射水平监测信息填报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数据填报内容如下。</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机构基本信息：机构基本信息关联至全民基础信息库获取数据自动填充。</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放射诊疗类型：放射诊断设备类型、放射诊断检查部位、放射治疗检查部位、介入放射学检查部位、核医学检查、核医学治疗、应用频次（男性/女性）。</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③核医学工作人员职业健康信息填报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填报信息内容如下：工作单位、姓名、性别、出生年份、身份证号、住址（人员基础信息关联本系统基础信息库获取数据自动填充）、岗位、职称、是否操作碘-131、是否操作锝-99m、是否操作氟-18、开始核医学工作年份、定期放射防护知识培训的效果、吸烟情况（平均）、饮酒情况（平均）、是否曾经患有肿瘤、是否曾经白细胞计数持续低（&lt;3.5x10</w:t>
            </w:r>
            <w:r>
              <w:rPr>
                <w:rFonts w:hint="eastAsia" w:ascii="宋体" w:hAnsi="宋体" w:cs="宋体"/>
                <w:vertAlign w:val="superscript"/>
                <w:lang w:val="en-US" w:eastAsia="zh-CN"/>
              </w:rPr>
              <w:t>9</w:t>
            </w:r>
            <w:r>
              <w:rPr>
                <w:rFonts w:hint="eastAsia" w:ascii="宋体" w:hAnsi="宋体" w:cs="宋体"/>
              </w:rPr>
              <w:t>/L，大于半年）、是否曾经患有甲状腺功能减退、是否患有甲状腺结节、是否眼晶状体浑浊。</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④放射诊疗机构资质申请信息同步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功能需对接广西数字政务一体化平台，可由广西数字政务一体化平台作为申请入口，同步机构资质申请信息。医疗卫生机构在开展放射诊疗工作前，申请材料包括：</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放射诊疗许可申请表；《医疗机构执业许可证》或《设置医疗机构批准书》（复印件）；放射诊疗专业技术人员的任职资格证书（复印件）；放射诊疗设备清单；放射诊疗建设项目竣工验收合格证明文件。</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⑤医疗卫生机构设置放射诊疗项目申请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医疗卫生机构设置放射诊疗项目，应当按照其开展的放射诊疗工作的类别，分别向相应的属地卫生监督机构提出建设项目卫生审查、竣工验收和设置放射诊疗项目申请：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开展放射治疗、核医学工作的，向自治区级卫生健康委申请办理；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开展介入放射学工作的，向设区的市级卫生健康委申请办理；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开展 X 射线影像诊断工作的，向县级卫生健康委申请办理。同时开展不同类别放射诊疗工作的，向具有高类别审核权的卫生健康委申请办理。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医疗卫生机构可以在门户网站链接上进行申请，系统将关联至各级卫生健康委的业务审核端口，由各级卫生健康委执行审核，并将审核结果推送给申请单位。</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⑥放射诊疗机构设备及防护用品管理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机构放射诊疗设备或放射源。放射诊疗机构可以将放射诊疗设备或放射源的信息录入系统，可以对放射诊疗设备或放射源的信息进行修改、更新、删除操作；同时还可以对设备的检修、维护情况进行管理。</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A.X射线影像诊断</w:t>
            </w:r>
            <w:r>
              <w:rPr>
                <w:rFonts w:hint="eastAsia" w:ascii="宋体" w:hAnsi="宋体" w:cs="宋体"/>
              </w:rPr>
              <w:t>包括设备情况、防护设备配备情况、防护用品配备情况及人员配置情况。具体如下：</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设备情况：X射线摄影机：数字X射线摄影机台数、计算机X射线摄影机台数、屏片X射线摄影机台数；X射线透视机：影像增强器透视机台数、平板探测器透视机台数、直接荧光屏透视机台数；乳腺X射线机台数：乳腺数字X射线摄影机（乳腺DR）台数、乳腺计算机X射线摄影机（乳腺CR）台数、乳腺屏片X射线摄影机台数、乳腺CBCT台数；牙科X射线机：口内牙科机台数、全景牙科机台数、牙科CBCT机台数、牙科四合一设备台数、计算机X射线断层扫描设备（CT）台数、骨密度仪台数、其他设备台数。</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防护设备配备情况：辐射巡测仪台数。</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防护用品配备情况：铅橡胶围裙数量、铅橡胶帽子数量、铅橡胶颈套数量、铅橡胶手套数量、铅防护眼镜数量、铅防护屏风数量、其他防护用品数量。</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人员配置情况：X射线影像诊断放射工作人员人数、男性人数、女性人数。</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B.放射治疗</w:t>
            </w:r>
            <w:r>
              <w:rPr>
                <w:rFonts w:hint="eastAsia" w:ascii="宋体" w:hAnsi="宋体" w:cs="宋体"/>
              </w:rPr>
              <w:t>包括设备情况、防护设备配备情况、稳定性监测及设备情况及人员配置情况。具体如下：</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设备情况：钴-60远距离治疗机数量、医用电子直线加速器数量、X刀数量、头部伽玛刀数量、体部伽玛刀数量、后装治疗机数量、X射线治疗机数量、螺旋断层治疗装置数量、射波刀数量、中子后装机数量、质子加速器数量、重粒子加速器数量、电子回旋加速器数量、硼中子俘获治疗设备数量、其他设备数量；</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防护设备配备情况：个人剂量报警仪数量、辐射巡测仪数量</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稳定性监测及设备情况：是否开展稳定性监测、配备放疗设备剂量测量的剂量仪数量、剂量扫描装置（二维或三维水箱）数量；</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人员配置情况：专职医学物理人员数量、兼职医学物理人员数量、医学物理人员开展稳定性监测的周期、放疗科放射工作人员人数、男性数量、女性数量。</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C.核医学</w:t>
            </w:r>
            <w:r>
              <w:rPr>
                <w:rFonts w:hint="eastAsia" w:ascii="宋体" w:hAnsi="宋体" w:cs="宋体"/>
              </w:rPr>
              <w:t>包括设备情况、防护设备配备情况、防护用品配备情况、质控稳定性监测及设备情况及人员配置情况。具体如下：</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设备情况：PET/CT（PET）数量、PET/MR数量、SPECT/CT（SPECT）数量、伽玛照相机数量、医用回旋加速器数量、其他设备数量。</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防护设备配备情况：表面污染仪数量、放射性活度计数量、18F自动分装设备数量、131I自动分装设备数量、</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防护用品配备情况：铅橡胶围裙数量铅橡胶帽子数量、铅橡胶颈数量、铅橡胶手套数量、铅防护眼镜数量</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质控稳定性监测及设备情况：是否按照WS523-2019标准开展稳定性监测、质控模体、监测项目。</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人员配置情况：核医学放射工作人员人数，男性数量，女性数量。</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D.介入放射学</w:t>
            </w:r>
            <w:r>
              <w:rPr>
                <w:rFonts w:hint="eastAsia" w:ascii="宋体" w:hAnsi="宋体" w:cs="宋体"/>
              </w:rPr>
              <w:t>包括设备数、防护用品配备情况及人员配置情况。具体如下：</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设备数：用于介入诊疗的C型臂X射线机数量</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防护用品配备情况：铅橡胶围裙数量、铅橡胶帽子数量、铅橡胶颈套数量、铅橡胶手套数量、铅防护眼镜数量、铅悬挂防护屏数量、防护吊帘数量、床侧防护帘数量、床侧防护屏数量、移动防护屏数量。</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人员配置情况：介入放射工作人员人数，男性数量，女性数量</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⑦委托技术服务机构检测管理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按次数、设备、人员委托放射卫生技术服务机构进行放射诊疗设备和个人剂量检测。</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⑧放射卫生调查报表报送</w:t>
            </w:r>
          </w:p>
          <w:p>
            <w:pPr>
              <w:pStyle w:val="15"/>
              <w:widowControl/>
              <w:adjustRightInd w:val="0"/>
              <w:snapToGrid w:val="0"/>
              <w:spacing w:line="360" w:lineRule="exact"/>
              <w:ind w:firstLine="420" w:firstLineChars="200"/>
              <w:jc w:val="left"/>
              <w:rPr>
                <w:rFonts w:ascii="宋体" w:hAnsi="宋体" w:eastAsia="宋体" w:cs="宋体"/>
                <w:bCs/>
                <w:sz w:val="21"/>
                <w:szCs w:val="21"/>
              </w:rPr>
            </w:pPr>
            <w:r>
              <w:rPr>
                <w:rFonts w:hint="eastAsia" w:ascii="宋体" w:hAnsi="宋体" w:eastAsia="宋体" w:cs="宋体"/>
                <w:bCs/>
                <w:sz w:val="21"/>
                <w:szCs w:val="21"/>
              </w:rPr>
              <w:t>用于放射诊疗机构报送放射卫生调查表。主要上报的表格包括：放射工作人员职业健康管理报告表、放射诊疗机构基本情况调查表、医疗卫生机构开展放射诊疗频度调查记录表、核医学诊疗机构基本情况调查表（由核医学医院填报）、放射诊断患者剂量信息调查表、核医学工作人员职业健康调查表（由核医学医院填报）、职业性放射性疾病诊断与鉴定基本信息表（由各级职防院填报）、放射工作人员职业健康检查机构工作总结相关信息表（由职业健康体检机构填报的个案数据生成）。上报表格需县疾控中心、市疾控中心、自治区疾控中心逐级审核。上报表格样式如</w:t>
            </w:r>
            <w:r>
              <w:fldChar w:fldCharType="begin"/>
            </w:r>
            <w:r>
              <w:instrText xml:space="preserve"> REF _Ref21847 \h  \* MERGEFORMAT </w:instrText>
            </w:r>
            <w:r>
              <w:fldChar w:fldCharType="separate"/>
            </w:r>
            <w:r>
              <w:rPr>
                <w:sz w:val="21"/>
                <w:szCs w:val="21"/>
              </w:rPr>
              <w:t>图 50</w:t>
            </w:r>
            <w:r>
              <w:rPr>
                <w:sz w:val="21"/>
                <w:szCs w:val="21"/>
              </w:rPr>
              <w:fldChar w:fldCharType="end"/>
            </w:r>
            <w:r>
              <w:rPr>
                <w:rFonts w:hint="eastAsia" w:ascii="宋体" w:hAnsi="宋体" w:eastAsia="宋体" w:cs="宋体"/>
                <w:bCs/>
                <w:sz w:val="21"/>
                <w:szCs w:val="21"/>
              </w:rPr>
              <w:t>、</w:t>
            </w:r>
            <w:r>
              <w:fldChar w:fldCharType="begin"/>
            </w:r>
            <w:r>
              <w:instrText xml:space="preserve"> REF _Ref21854 \h  \* MERGEFORMAT </w:instrText>
            </w:r>
            <w:r>
              <w:fldChar w:fldCharType="separate"/>
            </w:r>
            <w:r>
              <w:rPr>
                <w:sz w:val="21"/>
                <w:szCs w:val="21"/>
              </w:rPr>
              <w:t>图 51</w:t>
            </w:r>
            <w:r>
              <w:rPr>
                <w:sz w:val="21"/>
                <w:szCs w:val="21"/>
              </w:rPr>
              <w:fldChar w:fldCharType="end"/>
            </w:r>
            <w:r>
              <w:rPr>
                <w:rFonts w:hint="eastAsia" w:ascii="宋体" w:hAnsi="宋体" w:eastAsia="宋体" w:cs="宋体"/>
                <w:bCs/>
                <w:sz w:val="21"/>
                <w:szCs w:val="21"/>
              </w:rPr>
              <w:t>、</w:t>
            </w:r>
            <w:r>
              <w:fldChar w:fldCharType="begin"/>
            </w:r>
            <w:r>
              <w:instrText xml:space="preserve"> REF _Ref21863 \h  \* MERGEFORMAT </w:instrText>
            </w:r>
            <w:r>
              <w:fldChar w:fldCharType="separate"/>
            </w:r>
            <w:r>
              <w:rPr>
                <w:sz w:val="21"/>
                <w:szCs w:val="21"/>
              </w:rPr>
              <w:t>图 52</w:t>
            </w:r>
            <w:r>
              <w:rPr>
                <w:sz w:val="21"/>
                <w:szCs w:val="21"/>
              </w:rPr>
              <w:fldChar w:fldCharType="end"/>
            </w:r>
            <w:r>
              <w:rPr>
                <w:rFonts w:hint="eastAsia" w:ascii="宋体" w:hAnsi="宋体" w:eastAsia="宋体" w:cs="宋体"/>
                <w:bCs/>
                <w:sz w:val="21"/>
                <w:szCs w:val="21"/>
              </w:rPr>
              <w:t>、</w:t>
            </w:r>
            <w:r>
              <w:fldChar w:fldCharType="begin"/>
            </w:r>
            <w:r>
              <w:instrText xml:space="preserve"> REF _Ref21867 \h  \* MERGEFORMAT </w:instrText>
            </w:r>
            <w:r>
              <w:fldChar w:fldCharType="separate"/>
            </w:r>
            <w:r>
              <w:rPr>
                <w:sz w:val="21"/>
                <w:szCs w:val="21"/>
              </w:rPr>
              <w:t>图 53</w:t>
            </w:r>
            <w:r>
              <w:rPr>
                <w:sz w:val="21"/>
                <w:szCs w:val="21"/>
              </w:rPr>
              <w:fldChar w:fldCharType="end"/>
            </w:r>
            <w:r>
              <w:rPr>
                <w:rFonts w:hint="eastAsia" w:ascii="宋体" w:hAnsi="宋体" w:eastAsia="宋体" w:cs="宋体"/>
                <w:bCs/>
                <w:sz w:val="21"/>
                <w:szCs w:val="21"/>
              </w:rPr>
              <w:t>、</w:t>
            </w:r>
            <w:r>
              <w:fldChar w:fldCharType="begin"/>
            </w:r>
            <w:r>
              <w:instrText xml:space="preserve"> REF _Ref21873 \h  \* MERGEFORMAT </w:instrText>
            </w:r>
            <w:r>
              <w:fldChar w:fldCharType="separate"/>
            </w:r>
            <w:r>
              <w:rPr>
                <w:sz w:val="21"/>
                <w:szCs w:val="21"/>
              </w:rPr>
              <w:t>图 54</w:t>
            </w:r>
            <w:r>
              <w:rPr>
                <w:sz w:val="21"/>
                <w:szCs w:val="21"/>
              </w:rPr>
              <w:fldChar w:fldCharType="end"/>
            </w:r>
            <w:r>
              <w:rPr>
                <w:rFonts w:hint="eastAsia" w:ascii="宋体" w:hAnsi="宋体" w:eastAsia="宋体" w:cs="宋体"/>
                <w:bCs/>
                <w:sz w:val="21"/>
                <w:szCs w:val="21"/>
              </w:rPr>
              <w:t>、</w:t>
            </w:r>
            <w:r>
              <w:fldChar w:fldCharType="begin"/>
            </w:r>
            <w:r>
              <w:instrText xml:space="preserve"> REF _Ref21880 \h  \* MERGEFORMAT </w:instrText>
            </w:r>
            <w:r>
              <w:fldChar w:fldCharType="separate"/>
            </w:r>
            <w:r>
              <w:rPr>
                <w:sz w:val="21"/>
                <w:szCs w:val="21"/>
              </w:rPr>
              <w:t>图 55</w:t>
            </w:r>
            <w:r>
              <w:rPr>
                <w:sz w:val="21"/>
                <w:szCs w:val="21"/>
              </w:rPr>
              <w:fldChar w:fldCharType="end"/>
            </w:r>
            <w:r>
              <w:rPr>
                <w:rFonts w:hint="eastAsia" w:ascii="宋体" w:hAnsi="宋体" w:eastAsia="宋体" w:cs="宋体"/>
                <w:bCs/>
                <w:sz w:val="21"/>
                <w:szCs w:val="21"/>
              </w:rPr>
              <w:t>所示：</w:t>
            </w:r>
          </w:p>
          <w:p>
            <w:pPr>
              <w:jc w:val="center"/>
            </w:pPr>
            <w:r>
              <w:drawing>
                <wp:inline distT="0" distB="0" distL="114300" distR="114300">
                  <wp:extent cx="5270500" cy="5563870"/>
                  <wp:effectExtent l="0" t="0" r="6350" b="17780"/>
                  <wp:docPr id="56" name="图片 55" descr="附录3-2 放射工作人员职业健康管理报告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descr="附录3-2 放射工作人员职业健康管理报告表_01"/>
                          <pic:cNvPicPr>
                            <a:picLocks noChangeAspect="1"/>
                          </pic:cNvPicPr>
                        </pic:nvPicPr>
                        <pic:blipFill>
                          <a:blip r:embed="rId62"/>
                          <a:srcRect t="14597" b="10864"/>
                          <a:stretch>
                            <a:fillRect/>
                          </a:stretch>
                        </pic:blipFill>
                        <pic:spPr>
                          <a:xfrm>
                            <a:off x="0" y="0"/>
                            <a:ext cx="5270500" cy="5563870"/>
                          </a:xfrm>
                          <a:prstGeom prst="rect">
                            <a:avLst/>
                          </a:prstGeom>
                          <a:noFill/>
                          <a:ln>
                            <a:noFill/>
                          </a:ln>
                        </pic:spPr>
                      </pic:pic>
                    </a:graphicData>
                  </a:graphic>
                </wp:inline>
              </w:drawing>
            </w:r>
          </w:p>
          <w:p/>
          <w:p>
            <w:pPr>
              <w:jc w:val="center"/>
            </w:pPr>
            <w:r>
              <w:drawing>
                <wp:inline distT="0" distB="0" distL="114300" distR="114300">
                  <wp:extent cx="5270500" cy="7452995"/>
                  <wp:effectExtent l="0" t="0" r="6350" b="14605"/>
                  <wp:docPr id="57" name="图片 56" descr="附录3-2 放射工作人员职业健康管理报告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descr="附录3-2 放射工作人员职业健康管理报告表_02"/>
                          <pic:cNvPicPr>
                            <a:picLocks noChangeAspect="1"/>
                          </pic:cNvPicPr>
                        </pic:nvPicPr>
                        <pic:blipFill>
                          <a:blip r:embed="rId63"/>
                          <a:stretch>
                            <a:fillRect/>
                          </a:stretch>
                        </pic:blipFill>
                        <pic:spPr>
                          <a:xfrm>
                            <a:off x="0" y="0"/>
                            <a:ext cx="5270500" cy="7452995"/>
                          </a:xfrm>
                          <a:prstGeom prst="rect">
                            <a:avLst/>
                          </a:prstGeom>
                          <a:noFill/>
                          <a:ln>
                            <a:noFill/>
                          </a:ln>
                        </pic:spPr>
                      </pic:pic>
                    </a:graphicData>
                  </a:graphic>
                </wp:inline>
              </w:drawing>
            </w:r>
          </w:p>
          <w:p>
            <w:pPr>
              <w:pStyle w:val="15"/>
              <w:jc w:val="center"/>
            </w:pPr>
            <w:bookmarkStart w:id="96" w:name="_Ref21847"/>
            <w:r>
              <w:t xml:space="preserve">图 </w:t>
            </w:r>
            <w:r>
              <w:fldChar w:fldCharType="begin"/>
            </w:r>
            <w:r>
              <w:instrText xml:space="preserve"> SEQ 图 \* ARABIC </w:instrText>
            </w:r>
            <w:r>
              <w:fldChar w:fldCharType="separate"/>
            </w:r>
            <w:r>
              <w:t>50</w:t>
            </w:r>
            <w:r>
              <w:fldChar w:fldCharType="end"/>
            </w:r>
            <w:bookmarkEnd w:id="96"/>
            <w:r>
              <w:rPr>
                <w:rFonts w:hint="eastAsia"/>
              </w:rPr>
              <w:t xml:space="preserve"> 放射工作人员职业健康管理报告表</w:t>
            </w:r>
          </w:p>
          <w:p>
            <w:pPr>
              <w:pStyle w:val="2"/>
              <w:rPr>
                <w:lang w:val="en-US" w:eastAsia="zh-CN"/>
              </w:rPr>
            </w:pPr>
          </w:p>
          <w:p/>
          <w:p>
            <w:pPr>
              <w:jc w:val="center"/>
            </w:pPr>
            <w:r>
              <w:drawing>
                <wp:inline distT="0" distB="0" distL="114300" distR="114300">
                  <wp:extent cx="5270500" cy="7452995"/>
                  <wp:effectExtent l="0" t="0" r="6350" b="14605"/>
                  <wp:docPr id="58" name="图片 57" descr="附录5-2 放射诊疗机构基本情况调查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descr="附录5-2 放射诊疗机构基本情况调查表_01"/>
                          <pic:cNvPicPr>
                            <a:picLocks noChangeAspect="1"/>
                          </pic:cNvPicPr>
                        </pic:nvPicPr>
                        <pic:blipFill>
                          <a:blip r:embed="rId64"/>
                          <a:stretch>
                            <a:fillRect/>
                          </a:stretch>
                        </pic:blipFill>
                        <pic:spPr>
                          <a:xfrm>
                            <a:off x="0" y="0"/>
                            <a:ext cx="5270500" cy="7452995"/>
                          </a:xfrm>
                          <a:prstGeom prst="rect">
                            <a:avLst/>
                          </a:prstGeom>
                          <a:noFill/>
                          <a:ln>
                            <a:noFill/>
                          </a:ln>
                        </pic:spPr>
                      </pic:pic>
                    </a:graphicData>
                  </a:graphic>
                </wp:inline>
              </w:drawing>
            </w:r>
          </w:p>
          <w:p>
            <w:pPr>
              <w:jc w:val="center"/>
            </w:pPr>
            <w:r>
              <w:drawing>
                <wp:inline distT="0" distB="0" distL="114300" distR="114300">
                  <wp:extent cx="5270500" cy="7452995"/>
                  <wp:effectExtent l="0" t="0" r="6350" b="14605"/>
                  <wp:docPr id="59" name="图片 58" descr="附录5-2 放射诊疗机构基本情况调查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附录5-2 放射诊疗机构基本情况调查表_02"/>
                          <pic:cNvPicPr>
                            <a:picLocks noChangeAspect="1"/>
                          </pic:cNvPicPr>
                        </pic:nvPicPr>
                        <pic:blipFill>
                          <a:blip r:embed="rId65"/>
                          <a:stretch>
                            <a:fillRect/>
                          </a:stretch>
                        </pic:blipFill>
                        <pic:spPr>
                          <a:xfrm>
                            <a:off x="0" y="0"/>
                            <a:ext cx="5270500" cy="7452995"/>
                          </a:xfrm>
                          <a:prstGeom prst="rect">
                            <a:avLst/>
                          </a:prstGeom>
                          <a:noFill/>
                          <a:ln>
                            <a:noFill/>
                          </a:ln>
                        </pic:spPr>
                      </pic:pic>
                    </a:graphicData>
                  </a:graphic>
                </wp:inline>
              </w:drawing>
            </w:r>
            <w:r>
              <w:drawing>
                <wp:inline distT="0" distB="0" distL="114300" distR="114300">
                  <wp:extent cx="5270500" cy="7452995"/>
                  <wp:effectExtent l="0" t="0" r="6350" b="14605"/>
                  <wp:docPr id="60" name="图片 59" descr="附录5-2 放射诊疗机构基本情况调查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附录5-2 放射诊疗机构基本情况调查表_03"/>
                          <pic:cNvPicPr>
                            <a:picLocks noChangeAspect="1"/>
                          </pic:cNvPicPr>
                        </pic:nvPicPr>
                        <pic:blipFill>
                          <a:blip r:embed="rId66"/>
                          <a:stretch>
                            <a:fillRect/>
                          </a:stretch>
                        </pic:blipFill>
                        <pic:spPr>
                          <a:xfrm>
                            <a:off x="0" y="0"/>
                            <a:ext cx="5270500" cy="7452995"/>
                          </a:xfrm>
                          <a:prstGeom prst="rect">
                            <a:avLst/>
                          </a:prstGeom>
                          <a:noFill/>
                          <a:ln>
                            <a:noFill/>
                          </a:ln>
                        </pic:spPr>
                      </pic:pic>
                    </a:graphicData>
                  </a:graphic>
                </wp:inline>
              </w:drawing>
            </w:r>
            <w:r>
              <w:drawing>
                <wp:inline distT="0" distB="0" distL="114300" distR="114300">
                  <wp:extent cx="5270500" cy="7452995"/>
                  <wp:effectExtent l="0" t="0" r="6350" b="14605"/>
                  <wp:docPr id="61" name="图片 60" descr="附录5-2 放射诊疗机构基本情况调查表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附录5-2 放射诊疗机构基本情况调查表_04"/>
                          <pic:cNvPicPr>
                            <a:picLocks noChangeAspect="1"/>
                          </pic:cNvPicPr>
                        </pic:nvPicPr>
                        <pic:blipFill>
                          <a:blip r:embed="rId67"/>
                          <a:stretch>
                            <a:fillRect/>
                          </a:stretch>
                        </pic:blipFill>
                        <pic:spPr>
                          <a:xfrm>
                            <a:off x="0" y="0"/>
                            <a:ext cx="5270500" cy="7452995"/>
                          </a:xfrm>
                          <a:prstGeom prst="rect">
                            <a:avLst/>
                          </a:prstGeom>
                          <a:noFill/>
                          <a:ln>
                            <a:noFill/>
                          </a:ln>
                        </pic:spPr>
                      </pic:pic>
                    </a:graphicData>
                  </a:graphic>
                </wp:inline>
              </w:drawing>
            </w:r>
          </w:p>
          <w:p>
            <w:pPr>
              <w:pStyle w:val="15"/>
              <w:jc w:val="center"/>
            </w:pPr>
            <w:bookmarkStart w:id="97" w:name="_Ref21854"/>
            <w:r>
              <w:t xml:space="preserve">图 </w:t>
            </w:r>
            <w:r>
              <w:fldChar w:fldCharType="begin"/>
            </w:r>
            <w:r>
              <w:instrText xml:space="preserve"> SEQ 图 \* ARABIC </w:instrText>
            </w:r>
            <w:r>
              <w:fldChar w:fldCharType="separate"/>
            </w:r>
            <w:r>
              <w:t>51</w:t>
            </w:r>
            <w:r>
              <w:fldChar w:fldCharType="end"/>
            </w:r>
            <w:bookmarkEnd w:id="97"/>
            <w:r>
              <w:rPr>
                <w:rFonts w:hint="eastAsia"/>
              </w:rPr>
              <w:t xml:space="preserve"> 放射诊疗机构基本情况调查表</w:t>
            </w:r>
          </w:p>
          <w:p>
            <w:pPr>
              <w:pStyle w:val="15"/>
            </w:pPr>
          </w:p>
          <w:p/>
          <w:p>
            <w:pPr>
              <w:jc w:val="center"/>
            </w:pPr>
            <w:r>
              <w:drawing>
                <wp:inline distT="0" distB="0" distL="114300" distR="114300">
                  <wp:extent cx="5270500" cy="5313680"/>
                  <wp:effectExtent l="0" t="0" r="6350" b="1270"/>
                  <wp:docPr id="62" name="图片 61" descr="附录5-3 医疗卫生机构开展放射诊疗频度调查记录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附录5-3 医疗卫生机构开展放射诊疗频度调查记录表_01"/>
                          <pic:cNvPicPr>
                            <a:picLocks noChangeAspect="1"/>
                          </pic:cNvPicPr>
                        </pic:nvPicPr>
                        <pic:blipFill>
                          <a:blip r:embed="rId68"/>
                          <a:srcRect t="8000"/>
                          <a:stretch>
                            <a:fillRect/>
                          </a:stretch>
                        </pic:blipFill>
                        <pic:spPr>
                          <a:xfrm>
                            <a:off x="0" y="0"/>
                            <a:ext cx="5270500" cy="5313680"/>
                          </a:xfrm>
                          <a:prstGeom prst="rect">
                            <a:avLst/>
                          </a:prstGeom>
                          <a:noFill/>
                          <a:ln>
                            <a:noFill/>
                          </a:ln>
                        </pic:spPr>
                      </pic:pic>
                    </a:graphicData>
                  </a:graphic>
                </wp:inline>
              </w:drawing>
            </w:r>
          </w:p>
          <w:p>
            <w:pPr>
              <w:pStyle w:val="15"/>
              <w:jc w:val="center"/>
            </w:pPr>
            <w:bookmarkStart w:id="98" w:name="_Ref21863"/>
            <w:r>
              <w:t xml:space="preserve">图 </w:t>
            </w:r>
            <w:r>
              <w:fldChar w:fldCharType="begin"/>
            </w:r>
            <w:r>
              <w:instrText xml:space="preserve"> SEQ 图 \* ARABIC </w:instrText>
            </w:r>
            <w:r>
              <w:fldChar w:fldCharType="separate"/>
            </w:r>
            <w:r>
              <w:t>52</w:t>
            </w:r>
            <w:r>
              <w:fldChar w:fldCharType="end"/>
            </w:r>
            <w:bookmarkEnd w:id="98"/>
            <w:r>
              <w:rPr>
                <w:rFonts w:hint="eastAsia"/>
              </w:rPr>
              <w:t xml:space="preserve"> 医疗卫生机构开展放射诊疗频度调查记录表</w:t>
            </w:r>
          </w:p>
          <w:p>
            <w:pPr>
              <w:jc w:val="center"/>
            </w:pPr>
            <w:r>
              <w:drawing>
                <wp:inline distT="0" distB="0" distL="114300" distR="114300">
                  <wp:extent cx="5149850" cy="2777490"/>
                  <wp:effectExtent l="0" t="0" r="12700" b="3810"/>
                  <wp:docPr id="63" name="图片 62" descr="附录3-7 核医学诊疗机构基本情况调查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descr="附录3-7 核医学诊疗机构基本情况调查表_01"/>
                          <pic:cNvPicPr>
                            <a:picLocks noChangeAspect="1"/>
                          </pic:cNvPicPr>
                        </pic:nvPicPr>
                        <pic:blipFill>
                          <a:blip r:embed="rId69"/>
                          <a:srcRect t="23006" b="14059"/>
                          <a:stretch>
                            <a:fillRect/>
                          </a:stretch>
                        </pic:blipFill>
                        <pic:spPr>
                          <a:xfrm>
                            <a:off x="0" y="0"/>
                            <a:ext cx="5149850" cy="2777490"/>
                          </a:xfrm>
                          <a:prstGeom prst="rect">
                            <a:avLst/>
                          </a:prstGeom>
                          <a:noFill/>
                          <a:ln>
                            <a:noFill/>
                          </a:ln>
                        </pic:spPr>
                      </pic:pic>
                    </a:graphicData>
                  </a:graphic>
                </wp:inline>
              </w:drawing>
            </w:r>
          </w:p>
          <w:p>
            <w:pPr>
              <w:pStyle w:val="15"/>
              <w:jc w:val="center"/>
            </w:pPr>
            <w:bookmarkStart w:id="99" w:name="_Ref21867"/>
            <w:r>
              <w:t xml:space="preserve">图 </w:t>
            </w:r>
            <w:r>
              <w:fldChar w:fldCharType="begin"/>
            </w:r>
            <w:r>
              <w:instrText xml:space="preserve"> SEQ 图 \* ARABIC </w:instrText>
            </w:r>
            <w:r>
              <w:fldChar w:fldCharType="separate"/>
            </w:r>
            <w:r>
              <w:t>53</w:t>
            </w:r>
            <w:r>
              <w:fldChar w:fldCharType="end"/>
            </w:r>
            <w:bookmarkEnd w:id="99"/>
            <w:r>
              <w:rPr>
                <w:rFonts w:hint="eastAsia"/>
              </w:rPr>
              <w:t xml:space="preserve"> 核医学工作人员职业健康调查表</w:t>
            </w:r>
          </w:p>
          <w:p/>
          <w:p/>
          <w:p>
            <w:pPr>
              <w:jc w:val="center"/>
            </w:pPr>
            <w:r>
              <w:drawing>
                <wp:inline distT="0" distB="0" distL="114300" distR="114300">
                  <wp:extent cx="5270500" cy="6409690"/>
                  <wp:effectExtent l="0" t="0" r="6350" b="10160"/>
                  <wp:docPr id="64" name="图片 63" descr="附录3-4 职业性放射性疾病诊断与鉴定基本信息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附录3-4 职业性放射性疾病诊断与鉴定基本信息表_01"/>
                          <pic:cNvPicPr>
                            <a:picLocks noChangeAspect="1"/>
                          </pic:cNvPicPr>
                        </pic:nvPicPr>
                        <pic:blipFill>
                          <a:blip r:embed="rId70"/>
                          <a:stretch>
                            <a:fillRect/>
                          </a:stretch>
                        </pic:blipFill>
                        <pic:spPr>
                          <a:xfrm>
                            <a:off x="0" y="0"/>
                            <a:ext cx="5270500" cy="6409690"/>
                          </a:xfrm>
                          <a:prstGeom prst="rect">
                            <a:avLst/>
                          </a:prstGeom>
                          <a:noFill/>
                          <a:ln>
                            <a:noFill/>
                          </a:ln>
                        </pic:spPr>
                      </pic:pic>
                    </a:graphicData>
                  </a:graphic>
                </wp:inline>
              </w:drawing>
            </w:r>
          </w:p>
          <w:p>
            <w:pPr>
              <w:pStyle w:val="15"/>
              <w:jc w:val="center"/>
            </w:pPr>
            <w:bookmarkStart w:id="100" w:name="_Ref21873"/>
            <w:r>
              <w:t xml:space="preserve">图 </w:t>
            </w:r>
            <w:r>
              <w:fldChar w:fldCharType="begin"/>
            </w:r>
            <w:r>
              <w:instrText xml:space="preserve"> SEQ 图 \* ARABIC </w:instrText>
            </w:r>
            <w:r>
              <w:fldChar w:fldCharType="separate"/>
            </w:r>
            <w:r>
              <w:t>54</w:t>
            </w:r>
            <w:r>
              <w:fldChar w:fldCharType="end"/>
            </w:r>
            <w:bookmarkEnd w:id="100"/>
            <w:r>
              <w:rPr>
                <w:rFonts w:hint="eastAsia"/>
              </w:rPr>
              <w:t xml:space="preserve"> 职业性放射性疾病诊断与鉴定基本信息表</w:t>
            </w:r>
          </w:p>
          <w:p>
            <w:pPr>
              <w:pStyle w:val="15"/>
            </w:pPr>
          </w:p>
          <w:p>
            <w:pPr>
              <w:jc w:val="center"/>
            </w:pPr>
            <w:r>
              <w:drawing>
                <wp:inline distT="0" distB="0" distL="114300" distR="114300">
                  <wp:extent cx="5270500" cy="7452995"/>
                  <wp:effectExtent l="0" t="0" r="6350" b="14605"/>
                  <wp:docPr id="65" name="图片 64" descr="附录3-3 放射工作人员职业健康检查机构工作总结相关信息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附录3-3 放射工作人员职业健康检查机构工作总结相关信息表_01"/>
                          <pic:cNvPicPr>
                            <a:picLocks noChangeAspect="1"/>
                          </pic:cNvPicPr>
                        </pic:nvPicPr>
                        <pic:blipFill>
                          <a:blip r:embed="rId71"/>
                          <a:stretch>
                            <a:fillRect/>
                          </a:stretch>
                        </pic:blipFill>
                        <pic:spPr>
                          <a:xfrm>
                            <a:off x="0" y="0"/>
                            <a:ext cx="5270500" cy="7452995"/>
                          </a:xfrm>
                          <a:prstGeom prst="rect">
                            <a:avLst/>
                          </a:prstGeom>
                          <a:noFill/>
                          <a:ln>
                            <a:noFill/>
                          </a:ln>
                        </pic:spPr>
                      </pic:pic>
                    </a:graphicData>
                  </a:graphic>
                </wp:inline>
              </w:drawing>
            </w:r>
          </w:p>
          <w:p/>
          <w:p>
            <w:pPr>
              <w:jc w:val="center"/>
            </w:pPr>
            <w:r>
              <w:drawing>
                <wp:inline distT="0" distB="0" distL="114300" distR="114300">
                  <wp:extent cx="5270500" cy="5848985"/>
                  <wp:effectExtent l="0" t="0" r="6350" b="18415"/>
                  <wp:docPr id="66" name="图片 65" descr="附录3-3 放射工作人员职业健康检查机构工作总结相关信息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附录3-3 放射工作人员职业健康检查机构工作总结相关信息表_02"/>
                          <pic:cNvPicPr>
                            <a:picLocks noChangeAspect="1"/>
                          </pic:cNvPicPr>
                        </pic:nvPicPr>
                        <pic:blipFill>
                          <a:blip r:embed="rId72"/>
                          <a:srcRect t="7771" b="10249"/>
                          <a:stretch>
                            <a:fillRect/>
                          </a:stretch>
                        </pic:blipFill>
                        <pic:spPr>
                          <a:xfrm>
                            <a:off x="0" y="0"/>
                            <a:ext cx="5270500" cy="5848985"/>
                          </a:xfrm>
                          <a:prstGeom prst="rect">
                            <a:avLst/>
                          </a:prstGeom>
                          <a:noFill/>
                          <a:ln>
                            <a:noFill/>
                          </a:ln>
                        </pic:spPr>
                      </pic:pic>
                    </a:graphicData>
                  </a:graphic>
                </wp:inline>
              </w:drawing>
            </w:r>
          </w:p>
          <w:p>
            <w:pPr>
              <w:jc w:val="center"/>
            </w:pPr>
            <w:r>
              <w:drawing>
                <wp:inline distT="0" distB="0" distL="114300" distR="114300">
                  <wp:extent cx="5270500" cy="2338070"/>
                  <wp:effectExtent l="0" t="0" r="6350" b="5080"/>
                  <wp:docPr id="67" name="图片 66" descr="附录3-3 放射工作人员职业健康检查机构工作总结相关信息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descr="附录3-3 放射工作人员职业健康检查机构工作总结相关信息表_03"/>
                          <pic:cNvPicPr>
                            <a:picLocks noChangeAspect="1"/>
                          </pic:cNvPicPr>
                        </pic:nvPicPr>
                        <pic:blipFill>
                          <a:blip r:embed="rId73"/>
                          <a:srcRect t="7983" b="53610"/>
                          <a:stretch>
                            <a:fillRect/>
                          </a:stretch>
                        </pic:blipFill>
                        <pic:spPr>
                          <a:xfrm>
                            <a:off x="0" y="0"/>
                            <a:ext cx="5270500" cy="2338070"/>
                          </a:xfrm>
                          <a:prstGeom prst="rect">
                            <a:avLst/>
                          </a:prstGeom>
                          <a:noFill/>
                          <a:ln>
                            <a:noFill/>
                          </a:ln>
                        </pic:spPr>
                      </pic:pic>
                    </a:graphicData>
                  </a:graphic>
                </wp:inline>
              </w:drawing>
            </w:r>
          </w:p>
          <w:p>
            <w:pPr>
              <w:pStyle w:val="15"/>
              <w:jc w:val="center"/>
            </w:pPr>
            <w:bookmarkStart w:id="101" w:name="_Ref21880"/>
            <w:r>
              <w:t xml:space="preserve">图 </w:t>
            </w:r>
            <w:r>
              <w:fldChar w:fldCharType="begin"/>
            </w:r>
            <w:r>
              <w:instrText xml:space="preserve"> SEQ 图 \* ARABIC </w:instrText>
            </w:r>
            <w:r>
              <w:fldChar w:fldCharType="separate"/>
            </w:r>
            <w:r>
              <w:t>55</w:t>
            </w:r>
            <w:r>
              <w:fldChar w:fldCharType="end"/>
            </w:r>
            <w:bookmarkEnd w:id="101"/>
            <w:r>
              <w:rPr>
                <w:rFonts w:hint="eastAsia"/>
              </w:rPr>
              <w:t xml:space="preserve"> 放射工作人员职业健康检查机构工作总结相关信息表</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⑨放射诊疗机构数据统计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用于统计和查询在岗的放射诊疗机构数据。</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工作人员情况：职称情况：学历情况、年龄情况、身体健康、技术专业情况（X射线影像诊断、放射治疗、核医学、介入放射学等专业）等。</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设备情况统计：X射线影像诊断、放射治疗、核医学、介入放射学等类别。</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设备情况：</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X射线摄影机：数字X射线摄影机台数、计算机X射线摄影机台数、屏片X射线摄影机台数；</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X射线透视机：影像增强器透视机台数、平板探测器透视机台数、直接荧光屏透视机台数；乳腺X射线机台数：乳腺数字X射线摄影机（乳腺DR）台数、乳腺计算机X射线摄影机（乳腺CR）台数、乳腺屏片X射线摄影机台数、乳腺CBCT台数；</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牙科X射线机：口内牙科机台数、全景牙科机台数、牙科CBCT机台数、牙科四合一设备台数、计算机X射线断层扫描设备（CT）台数、骨密度仪台数、其他设备台数。</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防护用品配备：X射线影像诊断、放射治疗、核医学、介入放射学等类别。辐射巡测仪台数。</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放射诊疗设备、防护配套设备和工作人员数量：X 射线影像诊断设备数量、防护配套设备数量、工作人员数量；放射治疗设备数量、防护配套设备数量、工作人员数量；核医学设备数量、防护配套设备数量、工作人员数量；介入放射学设备数量、防护配套设备数量、工作人员数量。</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放射工作人员培训与职业健康监护信息：放射工作人员培训人数、放射工作人员持证人数、个人剂量检测人数、个人剂量检测情况。</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健康检查与职业健康监护档案信息：建立档案人数、本周期健康检查时间、职业健康检查机构、放射工作人员数、应检人数、实际检查人数、在岗职业健康检查结果、离岗检查中疑似放射病人数/确诊放射病人数、应急/事故检查疑似放射病人数/确诊放射病人数、职业性放射疾病诊断情况：累计诊断病例数/本年度诊断病例数/完成鉴定的例数。</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⑩放射防护监测报告归档</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用于归档放射防护监测报告。报告由放射技术服务机构出具，因此该模块仅用于涉及放射诊疗机构的放射防护检测报告查询整理。放射诊疗机构可以查找、在线预览、下载过往的放射防护监测报告。</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（3）非医疗放射工作单位</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非医疗放射工作单位机构是指从事放射性危害因素生产经营活动的行业企业。非医疗放射工作单位需填报用人单位系统，还需增加填报放射模块内容。</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①机构基本信息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非医疗机构放射需采集的信息包括：</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用人单位基本信息：企业名称、统一社会信用代码、电话、地址。机构基本信息关联至用人单位基础信息库获取数据自动填充。</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职业照射分类情况：核燃料循环、工业应用、天然源。</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②非医疗放射工作单位服务管理</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shd w:val="clear" w:color="auto" w:fill="FFFFFF"/>
              </w:rPr>
              <w:t>A.放射源管理</w:t>
            </w:r>
            <w:r>
              <w:rPr>
                <w:rFonts w:hint="eastAsia" w:ascii="宋体" w:hAnsi="宋体" w:cs="宋体"/>
                <w:shd w:val="clear" w:color="auto" w:fill="FFFFFF"/>
              </w:rPr>
              <w:t>。</w:t>
            </w:r>
            <w:r>
              <w:rPr>
                <w:rFonts w:hint="eastAsia" w:ascii="宋体" w:hAnsi="宋体" w:cs="宋体"/>
              </w:rPr>
              <w:t>用于管理非医疗放射工作单位放射源情况。非医疗放射工作单位可以将放射源的信息录入系统，录入的信息包括：</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射线装置：非医用加速器数量，X 射线探伤装置数量，行包检测仪数量，核仪表数量，其他。</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含源装置：γ辐照装置数量，γ探伤装置数量，核仪表数量，其他。</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矿山：矿种和数量。</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核电站：发电机组数。</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非密封放射性物质工作场所：等级。</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非医疗放射工作单位可以对放射源的信息进行修改、更新、删除操作。</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B.防护用品情况。</w:t>
            </w:r>
            <w:r>
              <w:rPr>
                <w:rFonts w:hint="eastAsia" w:ascii="宋体" w:hAnsi="宋体" w:cs="宋体"/>
              </w:rPr>
              <w:t>用于管理防护用品情况，非医疗放射工作单位可以录入个人防护用品和辅助防护设施配置情况、个人剂量报警仪配置情况、辐射防护检测仪表配置情况、放射性职业病危害因素检测工作开展情况（现状评价工作开展情况、自主检测开展情况、委托检测工作开展情况、检测结果）等。</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C.放射工作场所信息管理。</w:t>
            </w:r>
            <w:r>
              <w:rPr>
                <w:rFonts w:hint="eastAsia" w:ascii="宋体" w:hAnsi="宋体" w:cs="宋体"/>
              </w:rPr>
              <w:t>用于管理工作场所信息。非医疗放射工作单位可以录入工作场所情况（位置、面积、功能）、实验室情况（位置、面积、功能）、工作场所防护情况（检测点位结果）等。</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D.放射性危害因素检测情况报送</w:t>
            </w:r>
            <w:r>
              <w:rPr>
                <w:rFonts w:hint="eastAsia" w:ascii="宋体" w:hAnsi="宋体" w:cs="宋体"/>
              </w:rPr>
              <w:t>。用于非医疗放射工作单位报送放射卫生调查表。主要上报的表格包括：非医疗机构放射工作单位基本情况和职业健康管理情况调查表、地下非铀金属矿山一般情况调查表。上报表格需县、市、省（自治区）逐级审核。系统将对接国家平台，实现网上报送如</w:t>
            </w:r>
            <w:r>
              <w:rPr>
                <w:rFonts w:hint="eastAsia" w:ascii="宋体" w:hAnsi="宋体" w:cs="宋体"/>
              </w:rPr>
              <w:fldChar w:fldCharType="begin"/>
            </w:r>
            <w:r>
              <w:rPr>
                <w:rFonts w:hint="eastAsia" w:ascii="宋体" w:hAnsi="宋体" w:cs="宋体"/>
              </w:rPr>
              <w:instrText xml:space="preserve"> REF _Ref22213 \h </w:instrText>
            </w:r>
            <w:r>
              <w:rPr>
                <w:rFonts w:hint="eastAsia" w:ascii="宋体" w:hAnsi="宋体" w:cs="宋体"/>
              </w:rPr>
              <w:fldChar w:fldCharType="separate"/>
            </w:r>
            <w:r>
              <w:t>图 56</w:t>
            </w:r>
            <w:r>
              <w:rPr>
                <w:rFonts w:hint="eastAsia" w:ascii="宋体" w:hAnsi="宋体" w:cs="宋体"/>
              </w:rPr>
              <w:fldChar w:fldCharType="end"/>
            </w:r>
            <w:r>
              <w:rPr>
                <w:rFonts w:hint="eastAsia" w:ascii="宋体" w:hAnsi="宋体" w:cs="宋体"/>
              </w:rPr>
              <w:fldChar w:fldCharType="begin"/>
            </w:r>
            <w:r>
              <w:rPr>
                <w:rFonts w:hint="eastAsia" w:ascii="宋体" w:hAnsi="宋体" w:cs="宋体"/>
              </w:rPr>
              <w:instrText xml:space="preserve"> REF _Ref22216 \h </w:instrText>
            </w:r>
            <w:r>
              <w:rPr>
                <w:rFonts w:hint="eastAsia" w:ascii="宋体" w:hAnsi="宋体" w:cs="宋体"/>
              </w:rPr>
              <w:fldChar w:fldCharType="separate"/>
            </w:r>
            <w:r>
              <w:t>图 57</w:t>
            </w:r>
            <w:r>
              <w:rPr>
                <w:rFonts w:hint="eastAsia" w:ascii="宋体" w:hAnsi="宋体" w:cs="宋体"/>
              </w:rPr>
              <w:fldChar w:fldCharType="end"/>
            </w:r>
            <w:r>
              <w:rPr>
                <w:rFonts w:hint="eastAsia" w:ascii="宋体" w:hAnsi="宋体" w:cs="宋体"/>
              </w:rPr>
              <w:t>所示：</w:t>
            </w:r>
          </w:p>
          <w:p>
            <w:pPr>
              <w:widowControl/>
              <w:adjustRightInd w:val="0"/>
              <w:snapToGrid w:val="0"/>
              <w:ind w:firstLine="18" w:firstLineChars="9"/>
              <w:jc w:val="center"/>
              <w:rPr>
                <w:rFonts w:ascii="宋体" w:hAnsi="宋体" w:cs="宋体"/>
              </w:rPr>
            </w:pPr>
            <w:r>
              <w:drawing>
                <wp:inline distT="0" distB="0" distL="114300" distR="114300">
                  <wp:extent cx="5434330" cy="5520690"/>
                  <wp:effectExtent l="0" t="0" r="13970" b="3810"/>
                  <wp:docPr id="68" name="图片 67" descr="附录6-1 非医疗机构放射工作单位基本情况和职业健康管理情况调查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descr="附录6-1 非医疗机构放射工作单位基本情况和职业健康管理情况调查表_01"/>
                          <pic:cNvPicPr>
                            <a:picLocks noChangeAspect="1"/>
                          </pic:cNvPicPr>
                        </pic:nvPicPr>
                        <pic:blipFill>
                          <a:blip r:embed="rId74"/>
                          <a:srcRect t="12036" b="9322"/>
                          <a:stretch>
                            <a:fillRect/>
                          </a:stretch>
                        </pic:blipFill>
                        <pic:spPr>
                          <a:xfrm>
                            <a:off x="0" y="0"/>
                            <a:ext cx="5434330" cy="5520690"/>
                          </a:xfrm>
                          <a:prstGeom prst="rect">
                            <a:avLst/>
                          </a:prstGeom>
                          <a:noFill/>
                          <a:ln>
                            <a:noFill/>
                          </a:ln>
                        </pic:spPr>
                      </pic:pic>
                    </a:graphicData>
                  </a:graphic>
                </wp:inline>
              </w:drawing>
            </w:r>
          </w:p>
          <w:p>
            <w:pPr>
              <w:widowControl/>
              <w:adjustRightInd w:val="0"/>
              <w:snapToGrid w:val="0"/>
              <w:spacing w:line="360" w:lineRule="exact"/>
              <w:ind w:firstLine="420" w:firstLineChars="200"/>
              <w:jc w:val="left"/>
              <w:rPr>
                <w:rFonts w:ascii="宋体" w:hAnsi="宋体" w:cs="宋体"/>
              </w:rPr>
            </w:pPr>
            <w:r>
              <w:rPr>
                <w:rFonts w:ascii="宋体" w:hAnsi="宋体" w:cs="宋体"/>
              </w:rPr>
              <w:drawing>
                <wp:inline distT="0" distB="0" distL="114300" distR="114300">
                  <wp:extent cx="5270500" cy="6875145"/>
                  <wp:effectExtent l="0" t="0" r="6350" b="1905"/>
                  <wp:docPr id="69" name="图片 68" descr="附录6-1 非医疗机构放射工作单位基本情况和职业健康管理情况调查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descr="附录6-1 非医疗机构放射工作单位基本情况和职业健康管理情况调查表_02"/>
                          <pic:cNvPicPr>
                            <a:picLocks noChangeAspect="1"/>
                          </pic:cNvPicPr>
                        </pic:nvPicPr>
                        <pic:blipFill>
                          <a:blip r:embed="rId75"/>
                          <a:stretch>
                            <a:fillRect/>
                          </a:stretch>
                        </pic:blipFill>
                        <pic:spPr>
                          <a:xfrm>
                            <a:off x="0" y="0"/>
                            <a:ext cx="5270500" cy="6875145"/>
                          </a:xfrm>
                          <a:prstGeom prst="rect">
                            <a:avLst/>
                          </a:prstGeom>
                          <a:noFill/>
                          <a:ln>
                            <a:noFill/>
                          </a:ln>
                        </pic:spPr>
                      </pic:pic>
                    </a:graphicData>
                  </a:graphic>
                </wp:inline>
              </w:drawing>
            </w:r>
          </w:p>
          <w:p>
            <w:pPr>
              <w:pStyle w:val="15"/>
              <w:jc w:val="center"/>
            </w:pPr>
            <w:bookmarkStart w:id="102" w:name="_Ref22213"/>
            <w:r>
              <w:t xml:space="preserve">图 </w:t>
            </w:r>
            <w:r>
              <w:fldChar w:fldCharType="begin"/>
            </w:r>
            <w:r>
              <w:instrText xml:space="preserve"> SEQ 图 \* ARABIC </w:instrText>
            </w:r>
            <w:r>
              <w:fldChar w:fldCharType="separate"/>
            </w:r>
            <w:r>
              <w:t>56</w:t>
            </w:r>
            <w:r>
              <w:fldChar w:fldCharType="end"/>
            </w:r>
            <w:bookmarkEnd w:id="102"/>
            <w:r>
              <w:rPr>
                <w:rFonts w:hint="eastAsia"/>
              </w:rPr>
              <w:t xml:space="preserve"> 非医疗放射工作单位上报卡格式</w:t>
            </w:r>
          </w:p>
          <w:p>
            <w:pPr>
              <w:widowControl/>
              <w:adjustRightInd w:val="0"/>
              <w:snapToGrid w:val="0"/>
              <w:ind w:firstLine="18" w:firstLineChars="9"/>
              <w:jc w:val="center"/>
              <w:rPr>
                <w:rFonts w:ascii="宋体" w:hAnsi="宋体" w:cs="宋体"/>
              </w:rPr>
            </w:pPr>
            <w:r>
              <w:rPr>
                <w:rFonts w:ascii="宋体" w:hAnsi="宋体" w:cs="宋体"/>
              </w:rPr>
              <w:drawing>
                <wp:inline distT="0" distB="0" distL="114300" distR="114300">
                  <wp:extent cx="5270500" cy="7452995"/>
                  <wp:effectExtent l="0" t="0" r="6350" b="14605"/>
                  <wp:docPr id="70" name="图片 69" descr="附录3-10 地下非铀金属矿山一般情况调查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descr="附录3-10 地下非铀金属矿山一般情况调查表_01"/>
                          <pic:cNvPicPr>
                            <a:picLocks noChangeAspect="1"/>
                          </pic:cNvPicPr>
                        </pic:nvPicPr>
                        <pic:blipFill>
                          <a:blip r:embed="rId76"/>
                          <a:stretch>
                            <a:fillRect/>
                          </a:stretch>
                        </pic:blipFill>
                        <pic:spPr>
                          <a:xfrm>
                            <a:off x="0" y="0"/>
                            <a:ext cx="5270500" cy="7452995"/>
                          </a:xfrm>
                          <a:prstGeom prst="rect">
                            <a:avLst/>
                          </a:prstGeom>
                          <a:noFill/>
                          <a:ln>
                            <a:noFill/>
                          </a:ln>
                        </pic:spPr>
                      </pic:pic>
                    </a:graphicData>
                  </a:graphic>
                </wp:inline>
              </w:drawing>
            </w:r>
          </w:p>
          <w:p>
            <w:pPr>
              <w:pStyle w:val="15"/>
              <w:jc w:val="center"/>
            </w:pPr>
            <w:bookmarkStart w:id="103" w:name="_Ref22216"/>
            <w:r>
              <w:t xml:space="preserve">图 </w:t>
            </w:r>
            <w:r>
              <w:fldChar w:fldCharType="begin"/>
            </w:r>
            <w:r>
              <w:instrText xml:space="preserve"> SEQ 图 \* ARABIC </w:instrText>
            </w:r>
            <w:r>
              <w:fldChar w:fldCharType="separate"/>
            </w:r>
            <w:r>
              <w:t>57</w:t>
            </w:r>
            <w:r>
              <w:fldChar w:fldCharType="end"/>
            </w:r>
            <w:bookmarkEnd w:id="103"/>
            <w:r>
              <w:rPr>
                <w:rFonts w:hint="eastAsia"/>
              </w:rPr>
              <w:t xml:space="preserve"> 用人单位上报卡格式</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③委托技术服务机构检测管理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按次数、设备、人员委托技术服务机构进行放射诊疗设备和个人剂量检测。</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④非医疗放射工作单位数据统计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用于统计和查询非医疗放射工作单位关于放射卫生管理的基本情况包括：</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人员情况：包括职称情况、学历情况、年龄情况、身体健康情况等</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职业健康管理情况：个人剂量监测开展情况（关联放射卫生个人剂量检查数据）、放射防护培训开展情况（关联在线教育培训系统数据）、放射工作人员职业健康检查（关联职业健康体检数据）。</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放射源情况：射线装置、含源装置、矿山、核电站发电机组数、非密封放射性物质工作场所等放射源数量统计情况。</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（4）职业健康培训查询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功能需与在线教育培训系统后台对应的培训内容、培训形式、培训管理、培训考核证书管理等基础数据互通，便于查询本单位劳动者（放射卫生工作人员）培训信息。</w:t>
            </w:r>
          </w:p>
          <w:p>
            <w:pPr>
              <w:widowControl/>
              <w:adjustRightInd w:val="0"/>
              <w:snapToGrid w:val="0"/>
              <w:spacing w:line="360" w:lineRule="exact"/>
              <w:ind w:firstLine="422" w:firstLineChars="200"/>
              <w:jc w:val="left"/>
              <w:rPr>
                <w:rFonts w:ascii="宋体" w:hAnsi="宋体" w:cs="宋体"/>
                <w:b/>
                <w:bCs/>
              </w:rPr>
            </w:pPr>
            <w:bookmarkStart w:id="104" w:name="_Toc117494284"/>
            <w:r>
              <w:rPr>
                <w:rFonts w:hint="eastAsia" w:ascii="宋体" w:hAnsi="宋体" w:cs="宋体"/>
                <w:b/>
                <w:bCs/>
              </w:rPr>
              <w:t>12.农民工尘肺病患者诊断与救治救助信息</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（1）报告农民工尘肺病病例</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全区各职业病诊断机构及相关机构完成农民工尘肺病个案诊断（包括法定诊断程序和临床诊断程序诊断的患者）后，应立即上网录入个案信息和救治救助信息。入个案信息主要包括下列内容：患者姓名、性别、出生年月、身份证号码、联系电话、户籍（地市、县（市）、乡镇（街道办事处）、村（社区）、组）；工种、接尘工龄；尘肺病诊断类型（下拉菜单选择：法定尘肺病诊断，或临床尘肺病诊断）、初诊或晋期诊断；尘肺病类别（下拉菜单选择：矽肺、煤工尘肺、石墨尘肺、碳黑尘肺、石棉肺、滑石尘肺、水泥尘肺、云母尘肺、陶工尘肺、铝尘肺、电焊工尘肺、铸工尘肺、其他尘肺）；诊断期别（下拉菜单选择：壹期、贰期、叁期）；主要并发症（结核、肺气肿、肺及支气管感染、自发性气胸、肺心病、肺癌等）；诊断时间（年、月、日）诊断机构名称等。</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农民工尘肺病病例报告卡如下表2所示。</w:t>
            </w:r>
          </w:p>
          <w:p>
            <w:pPr>
              <w:jc w:val="center"/>
            </w:pPr>
            <w:r>
              <w:rPr>
                <w:rFonts w:hint="eastAsia"/>
              </w:rPr>
              <w:t>表2 农民工尘肺病病例报告卡</w:t>
            </w:r>
          </w:p>
          <w:tbl>
            <w:tblPr>
              <w:tblStyle w:val="44"/>
              <w:tblW w:w="8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901"/>
              <w:gridCol w:w="679"/>
              <w:gridCol w:w="4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4" w:hRule="atLeast"/>
                <w:jc w:val="center"/>
              </w:trPr>
              <w:tc>
                <w:tcPr>
                  <w:tcW w:w="8985" w:type="dxa"/>
                  <w:gridSpan w:val="4"/>
                  <w:vAlign w:val="center"/>
                </w:tcPr>
                <w:p>
                  <w:pPr>
                    <w:shd w:val="clear" w:color="auto" w:fill="FFFFFF"/>
                    <w:rPr>
                      <w:rFonts w:ascii="宋体" w:hAnsi="宋体"/>
                      <w:sz w:val="18"/>
                      <w:szCs w:val="18"/>
                    </w:rPr>
                  </w:pPr>
                  <w:r>
                    <w:rPr>
                      <w:rFonts w:ascii="宋体" w:hAnsi="宋体" w:cs="Calibri"/>
                      <w:sz w:val="18"/>
                      <w:szCs w:val="18"/>
                    </w:rPr>
                    <w:t xml:space="preserve">姓名：                       </w:t>
                  </w:r>
                  <w:r>
                    <w:rPr>
                      <w:rFonts w:ascii="宋体" w:hAnsi="宋体"/>
                      <w:sz w:val="18"/>
                      <w:szCs w:val="18"/>
                    </w:rPr>
                    <w:t>性别</w:t>
                  </w:r>
                  <w:r>
                    <w:rPr>
                      <w:rFonts w:hint="eastAsia" w:ascii="宋体" w:hAnsi="宋体"/>
                      <w:sz w:val="18"/>
                      <w:szCs w:val="18"/>
                    </w:rPr>
                    <w:t>：</w:t>
                  </w:r>
                  <w:r>
                    <w:rPr>
                      <w:rFonts w:ascii="宋体" w:hAnsi="宋体"/>
                      <w:sz w:val="18"/>
                      <w:szCs w:val="18"/>
                    </w:rPr>
                    <w:t xml:space="preserve"> 1男</w:t>
                  </w:r>
                  <w:r>
                    <w:rPr>
                      <w:rFonts w:ascii="宋体" w:hAnsi="宋体"/>
                      <w:sz w:val="18"/>
                      <w:szCs w:val="18"/>
                    </w:rPr>
                    <w:sym w:font="Wingdings 2" w:char="F0A3"/>
                  </w:r>
                  <w:r>
                    <w:rPr>
                      <w:rFonts w:ascii="宋体" w:hAnsi="宋体"/>
                      <w:sz w:val="18"/>
                      <w:szCs w:val="18"/>
                    </w:rPr>
                    <w:t>2女</w:t>
                  </w:r>
                  <w:r>
                    <w:rPr>
                      <w:rFonts w:ascii="宋体" w:hAnsi="宋体"/>
                      <w:sz w:val="18"/>
                      <w:szCs w:val="18"/>
                    </w:rPr>
                    <w:sym w:font="Wingdings 2" w:char="F0A3"/>
                  </w:r>
                  <w:r>
                    <w:rPr>
                      <w:rFonts w:ascii="宋体" w:hAnsi="宋体"/>
                      <w:sz w:val="18"/>
                      <w:szCs w:val="18"/>
                    </w:rPr>
                    <w:t xml:space="preserve">        出生日期</w:t>
                  </w:r>
                  <w:r>
                    <w:rPr>
                      <w:rFonts w:hint="eastAsia" w:ascii="宋体" w:hAnsi="宋体"/>
                      <w:sz w:val="18"/>
                      <w:szCs w:val="18"/>
                    </w:rPr>
                    <w:t>：</w:t>
                  </w:r>
                  <w:r>
                    <w:rPr>
                      <w:rFonts w:ascii="宋体" w:hAnsi="宋体"/>
                      <w:sz w:val="18"/>
                      <w:szCs w:val="18"/>
                    </w:rPr>
                    <w:t xml:space="preserve">   年  月  日</w:t>
                  </w:r>
                </w:p>
                <w:p>
                  <w:pPr>
                    <w:shd w:val="clear" w:color="auto" w:fill="FFFFFF"/>
                    <w:rPr>
                      <w:rFonts w:ascii="宋体" w:hAnsi="宋体" w:cs="Calibri"/>
                      <w:position w:val="-4"/>
                      <w:sz w:val="18"/>
                      <w:szCs w:val="18"/>
                    </w:rPr>
                  </w:pPr>
                  <w:r>
                    <w:rPr>
                      <w:rFonts w:hint="eastAsia" w:ascii="宋体" w:hAnsi="宋体" w:cs="Calibri"/>
                      <w:sz w:val="18"/>
                      <w:szCs w:val="18"/>
                    </w:rPr>
                    <w:t>证件</w:t>
                  </w:r>
                  <w:r>
                    <w:rPr>
                      <w:rFonts w:ascii="宋体" w:hAnsi="宋体" w:cs="Calibri"/>
                      <w:sz w:val="18"/>
                      <w:szCs w:val="18"/>
                    </w:rPr>
                    <w:t>类型</w:t>
                  </w:r>
                  <w:r>
                    <w:rPr>
                      <w:rFonts w:hint="eastAsia" w:ascii="宋体" w:hAnsi="宋体" w:cs="Calibri"/>
                      <w:sz w:val="18"/>
                      <w:szCs w:val="18"/>
                    </w:rPr>
                    <w:t xml:space="preserve">：                  </w:t>
                  </w:r>
                  <w:r>
                    <w:rPr>
                      <w:rFonts w:hint="eastAsia" w:ascii="宋体" w:hAnsi="宋体" w:cs="Calibri"/>
                      <w:position w:val="-4"/>
                      <w:sz w:val="18"/>
                      <w:szCs w:val="18"/>
                    </w:rPr>
                    <w:t>证件号码</w:t>
                  </w:r>
                  <w:r>
                    <w:rPr>
                      <w:rFonts w:ascii="宋体" w:hAnsi="宋体" w:cs="Calibri"/>
                      <w:position w:val="-4"/>
                      <w:sz w:val="18"/>
                      <w:szCs w:val="18"/>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3687" w:type="dxa"/>
                  <w:gridSpan w:val="2"/>
                  <w:vAlign w:val="center"/>
                </w:tcPr>
                <w:p>
                  <w:pPr>
                    <w:shd w:val="clear" w:color="auto" w:fill="FFFFFF"/>
                    <w:rPr>
                      <w:rFonts w:ascii="宋体" w:hAnsi="宋体"/>
                      <w:sz w:val="18"/>
                      <w:szCs w:val="18"/>
                    </w:rPr>
                  </w:pPr>
                  <w:r>
                    <w:rPr>
                      <w:rFonts w:hint="eastAsia" w:ascii="宋体" w:hAnsi="宋体"/>
                      <w:sz w:val="18"/>
                      <w:szCs w:val="18"/>
                    </w:rPr>
                    <w:t>统计工种（选填）：</w:t>
                  </w:r>
                </w:p>
              </w:tc>
              <w:tc>
                <w:tcPr>
                  <w:tcW w:w="5298" w:type="dxa"/>
                  <w:gridSpan w:val="2"/>
                  <w:vAlign w:val="center"/>
                </w:tcPr>
                <w:p>
                  <w:pPr>
                    <w:shd w:val="clear" w:color="auto" w:fill="FFFFFF"/>
                    <w:rPr>
                      <w:rFonts w:ascii="宋体" w:hAnsi="宋体"/>
                      <w:sz w:val="18"/>
                      <w:szCs w:val="18"/>
                    </w:rPr>
                  </w:pPr>
                  <w:r>
                    <w:rPr>
                      <w:rFonts w:hint="eastAsia" w:ascii="宋体" w:hAnsi="宋体"/>
                      <w:sz w:val="18"/>
                      <w:szCs w:val="18"/>
                    </w:rPr>
                    <w:t>接触的有害因素名称（选填）：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3687" w:type="dxa"/>
                  <w:gridSpan w:val="2"/>
                  <w:vAlign w:val="center"/>
                </w:tcPr>
                <w:p>
                  <w:pPr>
                    <w:shd w:val="clear" w:color="auto" w:fill="FFFFFF"/>
                    <w:rPr>
                      <w:rFonts w:ascii="宋体" w:hAnsi="宋体"/>
                      <w:sz w:val="18"/>
                      <w:szCs w:val="18"/>
                    </w:rPr>
                  </w:pPr>
                  <w:r>
                    <w:rPr>
                      <w:rFonts w:hint="eastAsia" w:ascii="宋体" w:hAnsi="宋体"/>
                      <w:sz w:val="18"/>
                      <w:szCs w:val="18"/>
                    </w:rPr>
                    <w:t>开始接害日期:      年    月    日（选填）</w:t>
                  </w:r>
                </w:p>
              </w:tc>
              <w:tc>
                <w:tcPr>
                  <w:tcW w:w="5298" w:type="dxa"/>
                  <w:gridSpan w:val="2"/>
                  <w:vAlign w:val="center"/>
                </w:tcPr>
                <w:p>
                  <w:pPr>
                    <w:shd w:val="clear" w:color="auto" w:fill="FFFFFF"/>
                    <w:rPr>
                      <w:rFonts w:ascii="宋体" w:hAnsi="宋体"/>
                      <w:sz w:val="18"/>
                      <w:szCs w:val="18"/>
                    </w:rPr>
                  </w:pPr>
                  <w:r>
                    <w:rPr>
                      <w:rFonts w:hint="eastAsia" w:ascii="宋体" w:hAnsi="宋体"/>
                      <w:sz w:val="18"/>
                      <w:szCs w:val="18"/>
                    </w:rPr>
                    <w:t>实际接害工龄：       年    月    日（选填）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8985" w:type="dxa"/>
                  <w:gridSpan w:val="4"/>
                  <w:vAlign w:val="center"/>
                </w:tcPr>
                <w:p>
                  <w:pPr>
                    <w:shd w:val="clear" w:color="auto" w:fill="FFFFFF"/>
                    <w:rPr>
                      <w:rFonts w:ascii="宋体" w:hAnsi="宋体"/>
                      <w:sz w:val="18"/>
                      <w:szCs w:val="18"/>
                    </w:rPr>
                  </w:pPr>
                  <w:r>
                    <w:rPr>
                      <w:rFonts w:hint="eastAsia" w:ascii="宋体" w:hAnsi="宋体"/>
                      <w:sz w:val="18"/>
                      <w:szCs w:val="18"/>
                    </w:rPr>
                    <w:t>尘肺病诊断类型：（下拉菜单选择：法定尘肺病诊断或临床尘肺病诊断）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8985" w:type="dxa"/>
                  <w:gridSpan w:val="4"/>
                  <w:vAlign w:val="center"/>
                </w:tcPr>
                <w:p>
                  <w:pPr>
                    <w:shd w:val="clear" w:color="auto" w:fill="FFFFFF"/>
                    <w:rPr>
                      <w:rFonts w:ascii="宋体" w:hAnsi="宋体"/>
                      <w:sz w:val="18"/>
                      <w:szCs w:val="18"/>
                    </w:rPr>
                  </w:pPr>
                  <w:r>
                    <w:rPr>
                      <w:rFonts w:hint="eastAsia" w:ascii="宋体" w:hAnsi="宋体"/>
                      <w:sz w:val="18"/>
                      <w:szCs w:val="18"/>
                    </w:rPr>
                    <w:t>初诊或晋期诊断：（下拉菜单选择：初诊、晋期）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8985" w:type="dxa"/>
                  <w:gridSpan w:val="4"/>
                  <w:vAlign w:val="center"/>
                </w:tcPr>
                <w:p>
                  <w:pPr>
                    <w:shd w:val="clear" w:color="auto" w:fill="FFFFFF"/>
                    <w:rPr>
                      <w:rFonts w:ascii="宋体" w:hAnsi="宋体"/>
                      <w:sz w:val="18"/>
                      <w:szCs w:val="18"/>
                    </w:rPr>
                  </w:pPr>
                  <w:r>
                    <w:rPr>
                      <w:rFonts w:hint="eastAsia" w:ascii="宋体" w:hAnsi="宋体"/>
                      <w:sz w:val="18"/>
                      <w:szCs w:val="18"/>
                    </w:rPr>
                    <w:t>尘肺病类别：（下拉菜单选择：矽肺、煤工尘肺、石墨尘肺、碳黑尘肺、石棉肺、滑石尘肺、水泥尘肺、云母尘肺、陶工尘肺、铝尘肺、电焊工尘肺、铸工尘肺、其他尘肺）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8985" w:type="dxa"/>
                  <w:gridSpan w:val="4"/>
                  <w:vAlign w:val="center"/>
                </w:tcPr>
                <w:p>
                  <w:pPr>
                    <w:shd w:val="clear" w:color="auto" w:fill="FFFFFF"/>
                    <w:rPr>
                      <w:rFonts w:ascii="宋体" w:hAnsi="宋体"/>
                      <w:sz w:val="18"/>
                      <w:szCs w:val="18"/>
                    </w:rPr>
                  </w:pPr>
                  <w:r>
                    <w:rPr>
                      <w:rFonts w:hint="eastAsia" w:ascii="宋体" w:hAnsi="宋体"/>
                      <w:sz w:val="18"/>
                      <w:szCs w:val="18"/>
                    </w:rPr>
                    <w:t>诊断期别：（下拉菜单选择：壹期、贰期、叁期）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3687" w:type="dxa"/>
                  <w:gridSpan w:val="2"/>
                  <w:vAlign w:val="center"/>
                </w:tcPr>
                <w:p>
                  <w:pPr>
                    <w:shd w:val="clear" w:color="auto" w:fill="FFFFFF"/>
                    <w:rPr>
                      <w:rFonts w:ascii="宋体" w:hAnsi="宋体"/>
                      <w:sz w:val="18"/>
                      <w:szCs w:val="18"/>
                    </w:rPr>
                  </w:pPr>
                  <w:r>
                    <w:rPr>
                      <w:rFonts w:hint="eastAsia" w:ascii="宋体" w:hAnsi="宋体"/>
                      <w:sz w:val="18"/>
                      <w:szCs w:val="18"/>
                    </w:rPr>
                    <w:t>发现日期：       年    月    日</w:t>
                  </w:r>
                </w:p>
              </w:tc>
              <w:tc>
                <w:tcPr>
                  <w:tcW w:w="5298" w:type="dxa"/>
                  <w:gridSpan w:val="2"/>
                  <w:vAlign w:val="center"/>
                </w:tcPr>
                <w:p>
                  <w:pPr>
                    <w:pStyle w:val="107"/>
                    <w:tabs>
                      <w:tab w:val="left" w:pos="1435"/>
                      <w:tab w:val="left" w:pos="2673"/>
                    </w:tabs>
                    <w:ind w:left="108"/>
                    <w:rPr>
                      <w:sz w:val="21"/>
                      <w:szCs w:val="21"/>
                      <w:lang w:eastAsia="zh-CN"/>
                    </w:rPr>
                  </w:pPr>
                  <w:r>
                    <w:rPr>
                      <w:rFonts w:hint="eastAsia" w:ascii="宋体" w:hAnsi="宋体"/>
                      <w:sz w:val="18"/>
                      <w:szCs w:val="18"/>
                      <w:lang w:eastAsia="zh-CN"/>
                    </w:rPr>
                    <w:t>信息来源：</w:t>
                  </w:r>
                  <w:r>
                    <w:rPr>
                      <w:rFonts w:hint="eastAsia"/>
                      <w:sz w:val="18"/>
                      <w:szCs w:val="18"/>
                      <w:lang w:eastAsia="zh-CN"/>
                    </w:rPr>
                    <w:t>（下拉菜单选择：</w:t>
                  </w:r>
                  <w:r>
                    <w:rPr>
                      <w:rFonts w:hint="eastAsia" w:ascii="宋体" w:hAnsi="宋体"/>
                      <w:sz w:val="18"/>
                      <w:szCs w:val="18"/>
                      <w:lang w:eastAsia="zh-CN"/>
                    </w:rPr>
                    <w:t>职业健康检查</w:t>
                  </w:r>
                  <w:r>
                    <w:rPr>
                      <w:rFonts w:hint="eastAsia"/>
                      <w:sz w:val="18"/>
                      <w:szCs w:val="18"/>
                      <w:lang w:eastAsia="zh-CN"/>
                    </w:rPr>
                    <w:t>、</w:t>
                  </w:r>
                  <w:r>
                    <w:rPr>
                      <w:rFonts w:hint="eastAsia" w:ascii="宋体" w:hAnsi="宋体"/>
                      <w:sz w:val="18"/>
                      <w:szCs w:val="18"/>
                      <w:lang w:eastAsia="zh-CN"/>
                    </w:rPr>
                    <w:t>职业病诊断</w:t>
                  </w:r>
                  <w:r>
                    <w:rPr>
                      <w:rFonts w:hint="eastAsia"/>
                      <w:sz w:val="18"/>
                      <w:szCs w:val="18"/>
                      <w:lang w:eastAsia="zh-CN"/>
                    </w:rPr>
                    <w:t>、</w:t>
                  </w:r>
                  <w:r>
                    <w:rPr>
                      <w:rFonts w:hint="eastAsia" w:ascii="宋体" w:hAnsi="宋体"/>
                      <w:sz w:val="18"/>
                      <w:szCs w:val="18"/>
                      <w:lang w:eastAsia="zh-CN"/>
                    </w:rPr>
                    <w:t>门诊治疗</w:t>
                  </w:r>
                  <w:r>
                    <w:rPr>
                      <w:rFonts w:hint="eastAsia"/>
                      <w:sz w:val="18"/>
                      <w:szCs w:val="18"/>
                      <w:lang w:eastAsia="zh-CN"/>
                    </w:rPr>
                    <w:t>、</w:t>
                  </w:r>
                  <w:r>
                    <w:rPr>
                      <w:rFonts w:hint="eastAsia" w:ascii="宋体" w:hAnsi="宋体"/>
                      <w:sz w:val="18"/>
                      <w:szCs w:val="18"/>
                      <w:lang w:eastAsia="zh-CN"/>
                    </w:rPr>
                    <w:t>住院治疗</w:t>
                  </w:r>
                  <w:r>
                    <w:rPr>
                      <w:rFonts w:hint="eastAsia"/>
                      <w:sz w:val="18"/>
                      <w:szCs w:val="18"/>
                      <w:lang w:eastAsia="zh-CN"/>
                    </w:rPr>
                    <w:t>、</w:t>
                  </w:r>
                  <w:r>
                    <w:rPr>
                      <w:rFonts w:hint="eastAsia" w:ascii="宋体" w:hAnsi="宋体"/>
                      <w:sz w:val="18"/>
                      <w:szCs w:val="18"/>
                      <w:lang w:eastAsia="zh-CN"/>
                    </w:rPr>
                    <w:t>职业病事故</w:t>
                  </w:r>
                  <w:r>
                    <w:rPr>
                      <w:rFonts w:hint="eastAsia"/>
                      <w:sz w:val="18"/>
                      <w:szCs w:val="18"/>
                      <w:lang w:eastAsia="zh-CN"/>
                    </w:rPr>
                    <w:t>、</w:t>
                  </w:r>
                  <w:r>
                    <w:rPr>
                      <w:rFonts w:hint="eastAsia" w:ascii="宋体" w:hAnsi="宋体"/>
                      <w:sz w:val="18"/>
                      <w:szCs w:val="18"/>
                      <w:lang w:eastAsia="zh-CN"/>
                    </w:rPr>
                    <w:t xml:space="preserve">其他： </w:t>
                  </w:r>
                  <w:r>
                    <w:rPr>
                      <w:rFonts w:hint="eastAsia"/>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786" w:type="dxa"/>
                  <w:vMerge w:val="restart"/>
                  <w:vAlign w:val="center"/>
                </w:tcPr>
                <w:p>
                  <w:pPr>
                    <w:shd w:val="clear" w:color="auto" w:fill="FFFFFF"/>
                    <w:rPr>
                      <w:rFonts w:ascii="宋体" w:hAnsi="宋体"/>
                      <w:sz w:val="18"/>
                      <w:szCs w:val="18"/>
                    </w:rPr>
                  </w:pPr>
                  <w:r>
                    <w:rPr>
                      <w:rFonts w:hint="eastAsia" w:ascii="宋体" w:hAnsi="宋体"/>
                      <w:sz w:val="18"/>
                      <w:szCs w:val="18"/>
                    </w:rPr>
                    <w:t>患者现况及保障情况</w:t>
                  </w:r>
                </w:p>
              </w:tc>
              <w:tc>
                <w:tcPr>
                  <w:tcW w:w="8199" w:type="dxa"/>
                  <w:gridSpan w:val="3"/>
                  <w:vAlign w:val="center"/>
                </w:tcPr>
                <w:p>
                  <w:pPr>
                    <w:shd w:val="clear" w:color="auto" w:fill="FFFFFF"/>
                    <w:rPr>
                      <w:rFonts w:ascii="宋体" w:hAnsi="宋体"/>
                      <w:sz w:val="18"/>
                      <w:szCs w:val="18"/>
                    </w:rPr>
                  </w:pPr>
                  <w:r>
                    <w:rPr>
                      <w:rFonts w:ascii="宋体" w:hAnsi="宋体"/>
                      <w:sz w:val="18"/>
                      <w:szCs w:val="18"/>
                    </w:rPr>
                    <w:t>现</w:t>
                  </w:r>
                  <w:r>
                    <w:rPr>
                      <w:rFonts w:hint="eastAsia" w:ascii="宋体" w:hAnsi="宋体"/>
                      <w:sz w:val="18"/>
                      <w:szCs w:val="18"/>
                    </w:rPr>
                    <w:t>常</w:t>
                  </w:r>
                  <w:r>
                    <w:rPr>
                      <w:rFonts w:ascii="宋体" w:hAnsi="宋体"/>
                      <w:sz w:val="18"/>
                      <w:szCs w:val="18"/>
                    </w:rPr>
                    <w:t>住</w:t>
                  </w:r>
                  <w:r>
                    <w:rPr>
                      <w:rFonts w:hint="eastAsia" w:ascii="宋体" w:hAnsi="宋体"/>
                      <w:sz w:val="18"/>
                      <w:szCs w:val="18"/>
                    </w:rPr>
                    <w:t>地（详细地址）  省(自治区、</w:t>
                  </w:r>
                  <w:r>
                    <w:rPr>
                      <w:rFonts w:ascii="宋体" w:hAnsi="宋体"/>
                      <w:sz w:val="18"/>
                      <w:szCs w:val="18"/>
                    </w:rPr>
                    <w:t>直辖市</w:t>
                  </w:r>
                  <w:r>
                    <w:rPr>
                      <w:rFonts w:hint="eastAsia" w:ascii="宋体" w:hAnsi="宋体"/>
                      <w:sz w:val="18"/>
                      <w:szCs w:val="18"/>
                    </w:rPr>
                    <w:t>)地</w:t>
                  </w:r>
                  <w:r>
                    <w:rPr>
                      <w:rFonts w:ascii="宋体" w:hAnsi="宋体"/>
                      <w:sz w:val="18"/>
                      <w:szCs w:val="18"/>
                    </w:rPr>
                    <w:t>、市</w:t>
                  </w:r>
                  <w:r>
                    <w:rPr>
                      <w:rFonts w:hint="eastAsia" w:ascii="宋体" w:hAnsi="宋体"/>
                      <w:sz w:val="18"/>
                      <w:szCs w:val="18"/>
                    </w:rPr>
                    <w:t xml:space="preserve">       县      乡镇</w:t>
                  </w:r>
                </w:p>
                <w:p>
                  <w:pPr>
                    <w:shd w:val="clear" w:color="auto" w:fill="FFFFFF"/>
                    <w:rPr>
                      <w:rFonts w:ascii="宋体" w:hAnsi="宋体"/>
                      <w:sz w:val="18"/>
                      <w:szCs w:val="18"/>
                    </w:rPr>
                  </w:pPr>
                  <w:r>
                    <w:rPr>
                      <w:rFonts w:hint="eastAsia" w:ascii="宋体" w:hAnsi="宋体"/>
                      <w:sz w:val="18"/>
                      <w:szCs w:val="18"/>
                    </w:rPr>
                    <w:t>户籍所在地        省(自治区、</w:t>
                  </w:r>
                  <w:r>
                    <w:rPr>
                      <w:rFonts w:ascii="宋体" w:hAnsi="宋体"/>
                      <w:sz w:val="18"/>
                      <w:szCs w:val="18"/>
                    </w:rPr>
                    <w:t>直辖市</w:t>
                  </w:r>
                  <w:r>
                    <w:rPr>
                      <w:rFonts w:hint="eastAsia" w:ascii="宋体" w:hAnsi="宋体"/>
                      <w:sz w:val="18"/>
                      <w:szCs w:val="18"/>
                    </w:rPr>
                    <w:t>)地</w:t>
                  </w:r>
                  <w:r>
                    <w:rPr>
                      <w:rFonts w:ascii="宋体" w:hAnsi="宋体"/>
                      <w:sz w:val="18"/>
                      <w:szCs w:val="18"/>
                    </w:rPr>
                    <w:t>、市</w:t>
                  </w:r>
                  <w:r>
                    <w:rPr>
                      <w:rFonts w:hint="eastAsia" w:ascii="宋体" w:hAnsi="宋体"/>
                      <w:sz w:val="18"/>
                      <w:szCs w:val="18"/>
                    </w:rPr>
                    <w:t xml:space="preserve">       县      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jc w:val="center"/>
              </w:trPr>
              <w:tc>
                <w:tcPr>
                  <w:tcW w:w="786" w:type="dxa"/>
                  <w:vMerge w:val="continue"/>
                  <w:vAlign w:val="center"/>
                </w:tcPr>
                <w:p>
                  <w:pPr>
                    <w:shd w:val="clear" w:color="auto" w:fill="FFFFFF"/>
                    <w:rPr>
                      <w:rFonts w:ascii="宋体" w:hAnsi="宋体"/>
                      <w:sz w:val="18"/>
                      <w:szCs w:val="18"/>
                    </w:rPr>
                  </w:pPr>
                </w:p>
              </w:tc>
              <w:tc>
                <w:tcPr>
                  <w:tcW w:w="8199" w:type="dxa"/>
                  <w:gridSpan w:val="3"/>
                  <w:vAlign w:val="center"/>
                </w:tcPr>
                <w:p>
                  <w:pPr>
                    <w:shd w:val="clear" w:color="auto" w:fill="FFFFFF"/>
                    <w:rPr>
                      <w:rFonts w:ascii="宋体" w:hAnsi="宋体"/>
                      <w:sz w:val="18"/>
                      <w:szCs w:val="18"/>
                    </w:rPr>
                  </w:pPr>
                  <w:r>
                    <w:rPr>
                      <w:rFonts w:hint="eastAsia" w:ascii="宋体" w:hAnsi="宋体"/>
                      <w:sz w:val="18"/>
                      <w:szCs w:val="18"/>
                    </w:rPr>
                    <w:t>伤残程度  1.   级   2.未定级</w:t>
                  </w:r>
                  <w:r>
                    <w:rPr>
                      <w:rFonts w:hint="eastAsia" w:ascii="宋体" w:hAnsi="宋体"/>
                      <w:sz w:val="18"/>
                      <w:szCs w:val="18"/>
                    </w:rPr>
                    <w:sym w:font="Wingdings 2" w:char="00A3"/>
                  </w:r>
                </w:p>
                <w:p>
                  <w:pPr>
                    <w:shd w:val="clear" w:color="auto" w:fill="FFFFFF"/>
                    <w:rPr>
                      <w:rFonts w:ascii="宋体" w:hAnsi="宋体" w:eastAsia="微软雅黑"/>
                      <w:sz w:val="18"/>
                      <w:szCs w:val="18"/>
                    </w:rPr>
                  </w:pPr>
                  <w:r>
                    <w:rPr>
                      <w:rFonts w:hint="eastAsia" w:ascii="宋体" w:hAnsi="宋体"/>
                      <w:sz w:val="18"/>
                      <w:szCs w:val="18"/>
                    </w:rPr>
                    <w:t>目前是否仍在工作 1是</w:t>
                  </w:r>
                  <w:r>
                    <w:rPr>
                      <w:rFonts w:hint="eastAsia" w:ascii="宋体" w:hAnsi="宋体"/>
                      <w:sz w:val="18"/>
                      <w:szCs w:val="18"/>
                    </w:rPr>
                    <w:sym w:font="Wingdings 2" w:char="00A3"/>
                  </w:r>
                  <w:r>
                    <w:rPr>
                      <w:rFonts w:hint="eastAsia" w:ascii="宋体" w:hAnsi="宋体"/>
                      <w:sz w:val="18"/>
                      <w:szCs w:val="18"/>
                    </w:rPr>
                    <w:t xml:space="preserve">  2否</w:t>
                  </w:r>
                  <w:r>
                    <w:rPr>
                      <w:rFonts w:hint="eastAsia" w:ascii="宋体" w:hAnsi="宋体"/>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jc w:val="center"/>
              </w:trPr>
              <w:tc>
                <w:tcPr>
                  <w:tcW w:w="786" w:type="dxa"/>
                  <w:vMerge w:val="continue"/>
                  <w:vAlign w:val="center"/>
                </w:tcPr>
                <w:p>
                  <w:pPr>
                    <w:shd w:val="clear" w:color="auto" w:fill="FFFFFF"/>
                    <w:rPr>
                      <w:rFonts w:ascii="宋体" w:hAnsi="宋体"/>
                      <w:sz w:val="18"/>
                      <w:szCs w:val="18"/>
                    </w:rPr>
                  </w:pPr>
                </w:p>
              </w:tc>
              <w:tc>
                <w:tcPr>
                  <w:tcW w:w="3580" w:type="dxa"/>
                  <w:gridSpan w:val="2"/>
                  <w:vAlign w:val="center"/>
                </w:tcPr>
                <w:p>
                  <w:pPr>
                    <w:shd w:val="clear" w:color="auto" w:fill="FFFFFF"/>
                    <w:rPr>
                      <w:rFonts w:ascii="宋体" w:hAnsi="宋体"/>
                      <w:sz w:val="18"/>
                      <w:szCs w:val="18"/>
                    </w:rPr>
                  </w:pPr>
                  <w:r>
                    <w:rPr>
                      <w:rFonts w:hint="eastAsia" w:ascii="宋体" w:hAnsi="宋体"/>
                      <w:sz w:val="18"/>
                      <w:szCs w:val="18"/>
                    </w:rPr>
                    <w:t>是否享受</w:t>
                  </w:r>
                  <w:r>
                    <w:rPr>
                      <w:rFonts w:ascii="宋体" w:hAnsi="宋体"/>
                      <w:sz w:val="18"/>
                      <w:szCs w:val="18"/>
                    </w:rPr>
                    <w:t>工伤保险 1</w:t>
                  </w:r>
                  <w:r>
                    <w:rPr>
                      <w:rFonts w:hint="eastAsia" w:ascii="宋体" w:hAnsi="宋体"/>
                      <w:sz w:val="18"/>
                      <w:szCs w:val="18"/>
                    </w:rPr>
                    <w:t>是</w:t>
                  </w:r>
                  <w:r>
                    <w:rPr>
                      <w:rFonts w:ascii="宋体" w:hAnsi="宋体"/>
                      <w:sz w:val="18"/>
                      <w:szCs w:val="18"/>
                    </w:rPr>
                    <w:sym w:font="Wingdings 2" w:char="00A3"/>
                  </w:r>
                  <w:r>
                    <w:rPr>
                      <w:rFonts w:ascii="宋体" w:hAnsi="宋体"/>
                      <w:sz w:val="18"/>
                      <w:szCs w:val="18"/>
                    </w:rPr>
                    <w:t xml:space="preserve"> 2</w:t>
                  </w:r>
                  <w:r>
                    <w:rPr>
                      <w:rFonts w:hint="eastAsia" w:ascii="宋体" w:hAnsi="宋体"/>
                      <w:sz w:val="18"/>
                      <w:szCs w:val="18"/>
                    </w:rPr>
                    <w:t>否</w:t>
                  </w:r>
                  <w:r>
                    <w:rPr>
                      <w:rFonts w:ascii="宋体" w:hAnsi="宋体"/>
                      <w:sz w:val="18"/>
                      <w:szCs w:val="18"/>
                    </w:rPr>
                    <w:sym w:font="Wingdings 2" w:char="00A3"/>
                  </w:r>
                </w:p>
                <w:p>
                  <w:pPr>
                    <w:shd w:val="clear" w:color="auto" w:fill="FFFFFF"/>
                    <w:rPr>
                      <w:rFonts w:ascii="宋体" w:hAnsi="宋体"/>
                      <w:sz w:val="18"/>
                      <w:szCs w:val="18"/>
                    </w:rPr>
                  </w:pPr>
                  <w:r>
                    <w:rPr>
                      <w:rFonts w:hint="eastAsia" w:ascii="宋体" w:hAnsi="宋体"/>
                      <w:sz w:val="18"/>
                      <w:szCs w:val="18"/>
                    </w:rPr>
                    <w:t>享受工伤保险日期   年  月  日</w:t>
                  </w:r>
                </w:p>
              </w:tc>
              <w:tc>
                <w:tcPr>
                  <w:tcW w:w="4619" w:type="dxa"/>
                  <w:vAlign w:val="center"/>
                </w:tcPr>
                <w:p>
                  <w:pPr>
                    <w:shd w:val="clear" w:color="auto" w:fill="FFFFFF"/>
                    <w:rPr>
                      <w:rFonts w:ascii="宋体" w:hAnsi="宋体"/>
                      <w:sz w:val="18"/>
                      <w:szCs w:val="18"/>
                    </w:rPr>
                  </w:pPr>
                  <w:r>
                    <w:rPr>
                      <w:rFonts w:hint="eastAsia" w:ascii="Calibri" w:hAnsi="Calibri"/>
                      <w:sz w:val="18"/>
                      <w:szCs w:val="18"/>
                    </w:rPr>
                    <w:t xml:space="preserve">是否由用人单位赔付 </w:t>
                  </w:r>
                  <w:r>
                    <w:rPr>
                      <w:rFonts w:ascii="宋体" w:hAnsi="宋体"/>
                      <w:sz w:val="18"/>
                      <w:szCs w:val="18"/>
                    </w:rPr>
                    <w:t>1</w:t>
                  </w:r>
                  <w:r>
                    <w:rPr>
                      <w:rFonts w:hint="eastAsia" w:ascii="宋体" w:hAnsi="宋体"/>
                      <w:sz w:val="18"/>
                      <w:szCs w:val="18"/>
                    </w:rPr>
                    <w:t>是</w:t>
                  </w:r>
                  <w:r>
                    <w:rPr>
                      <w:rFonts w:ascii="宋体" w:hAnsi="宋体"/>
                      <w:sz w:val="18"/>
                      <w:szCs w:val="18"/>
                    </w:rPr>
                    <w:sym w:font="Wingdings 2" w:char="00A3"/>
                  </w:r>
                  <w:r>
                    <w:rPr>
                      <w:rFonts w:ascii="宋体" w:hAnsi="宋体"/>
                      <w:sz w:val="18"/>
                      <w:szCs w:val="18"/>
                    </w:rPr>
                    <w:t xml:space="preserve"> 2</w:t>
                  </w:r>
                  <w:r>
                    <w:rPr>
                      <w:rFonts w:hint="eastAsia" w:ascii="宋体" w:hAnsi="宋体"/>
                      <w:sz w:val="18"/>
                      <w:szCs w:val="18"/>
                    </w:rPr>
                    <w:t>否</w:t>
                  </w:r>
                  <w:r>
                    <w:rPr>
                      <w:rFonts w:ascii="宋体" w:hAnsi="宋体"/>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786" w:type="dxa"/>
                  <w:vMerge w:val="continue"/>
                  <w:vAlign w:val="center"/>
                </w:tcPr>
                <w:p>
                  <w:pPr>
                    <w:shd w:val="clear" w:color="auto" w:fill="FFFFFF"/>
                    <w:rPr>
                      <w:rFonts w:ascii="宋体" w:hAnsi="宋体"/>
                      <w:sz w:val="18"/>
                      <w:szCs w:val="18"/>
                    </w:rPr>
                  </w:pPr>
                </w:p>
              </w:tc>
              <w:tc>
                <w:tcPr>
                  <w:tcW w:w="3580" w:type="dxa"/>
                  <w:gridSpan w:val="2"/>
                  <w:vAlign w:val="center"/>
                </w:tcPr>
                <w:p>
                  <w:pPr>
                    <w:shd w:val="clear" w:color="auto" w:fill="FFFFFF"/>
                    <w:rPr>
                      <w:rFonts w:ascii="宋体" w:hAnsi="宋体"/>
                      <w:sz w:val="18"/>
                      <w:szCs w:val="18"/>
                    </w:rPr>
                  </w:pPr>
                  <w:r>
                    <w:rPr>
                      <w:rFonts w:hint="eastAsia" w:ascii="宋体" w:hAnsi="宋体"/>
                      <w:sz w:val="18"/>
                      <w:szCs w:val="18"/>
                    </w:rPr>
                    <w:t xml:space="preserve">是否享受基本医保 </w:t>
                  </w:r>
                  <w:r>
                    <w:rPr>
                      <w:rFonts w:ascii="宋体" w:hAnsi="宋体"/>
                      <w:sz w:val="18"/>
                      <w:szCs w:val="18"/>
                    </w:rPr>
                    <w:t xml:space="preserve"> 1</w:t>
                  </w:r>
                  <w:r>
                    <w:rPr>
                      <w:rFonts w:hint="eastAsia" w:ascii="宋体" w:hAnsi="宋体"/>
                      <w:sz w:val="18"/>
                      <w:szCs w:val="18"/>
                    </w:rPr>
                    <w:t>是</w:t>
                  </w:r>
                  <w:r>
                    <w:rPr>
                      <w:rFonts w:ascii="宋体" w:hAnsi="宋体"/>
                      <w:sz w:val="18"/>
                      <w:szCs w:val="18"/>
                    </w:rPr>
                    <w:sym w:font="Wingdings 2" w:char="00A3"/>
                  </w:r>
                  <w:r>
                    <w:rPr>
                      <w:rFonts w:ascii="宋体" w:hAnsi="宋体"/>
                      <w:sz w:val="18"/>
                      <w:szCs w:val="18"/>
                    </w:rPr>
                    <w:t xml:space="preserve"> 2</w:t>
                  </w:r>
                  <w:r>
                    <w:rPr>
                      <w:rFonts w:hint="eastAsia" w:ascii="宋体" w:hAnsi="宋体"/>
                      <w:sz w:val="18"/>
                      <w:szCs w:val="18"/>
                    </w:rPr>
                    <w:t>否</w:t>
                  </w:r>
                  <w:r>
                    <w:rPr>
                      <w:rFonts w:ascii="宋体" w:hAnsi="宋体"/>
                      <w:sz w:val="18"/>
                      <w:szCs w:val="18"/>
                    </w:rPr>
                    <w:sym w:font="Wingdings 2" w:char="00A3"/>
                  </w:r>
                </w:p>
              </w:tc>
              <w:tc>
                <w:tcPr>
                  <w:tcW w:w="4619" w:type="dxa"/>
                  <w:vAlign w:val="center"/>
                </w:tcPr>
                <w:p>
                  <w:pPr>
                    <w:shd w:val="clear" w:color="auto" w:fill="FFFFFF"/>
                    <w:rPr>
                      <w:rFonts w:ascii="Calibri" w:hAnsi="Calibri"/>
                      <w:sz w:val="18"/>
                      <w:szCs w:val="18"/>
                    </w:rPr>
                  </w:pPr>
                  <w:r>
                    <w:rPr>
                      <w:rFonts w:hint="eastAsia" w:ascii="Calibri" w:hAnsi="Calibri"/>
                      <w:sz w:val="18"/>
                      <w:szCs w:val="18"/>
                    </w:rPr>
                    <w:t xml:space="preserve">其他保障情况 </w:t>
                  </w:r>
                  <w:r>
                    <w:rPr>
                      <w:rFonts w:ascii="宋体" w:hAnsi="宋体"/>
                      <w:sz w:val="18"/>
                      <w:szCs w:val="18"/>
                    </w:rPr>
                    <w:t>1</w:t>
                  </w:r>
                  <w:r>
                    <w:rPr>
                      <w:rFonts w:hint="eastAsia" w:ascii="宋体" w:hAnsi="宋体"/>
                      <w:sz w:val="18"/>
                      <w:szCs w:val="18"/>
                    </w:rPr>
                    <w:t>是</w:t>
                  </w:r>
                  <w:r>
                    <w:rPr>
                      <w:rFonts w:ascii="宋体" w:hAnsi="宋体"/>
                      <w:sz w:val="18"/>
                      <w:szCs w:val="18"/>
                    </w:rPr>
                    <w:sym w:font="Wingdings 2" w:char="00A3"/>
                  </w:r>
                  <w:r>
                    <w:rPr>
                      <w:rFonts w:ascii="宋体" w:hAnsi="宋体"/>
                      <w:sz w:val="18"/>
                      <w:szCs w:val="18"/>
                    </w:rPr>
                    <w:t xml:space="preserve"> 2</w:t>
                  </w:r>
                  <w:r>
                    <w:rPr>
                      <w:rFonts w:hint="eastAsia" w:ascii="宋体" w:hAnsi="宋体"/>
                      <w:sz w:val="18"/>
                      <w:szCs w:val="18"/>
                    </w:rPr>
                    <w:t>否</w:t>
                  </w:r>
                  <w:r>
                    <w:rPr>
                      <w:rFonts w:ascii="宋体" w:hAnsi="宋体"/>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86" w:type="dxa"/>
                  <w:vMerge w:val="continue"/>
                  <w:vAlign w:val="center"/>
                </w:tcPr>
                <w:p>
                  <w:pPr>
                    <w:shd w:val="clear" w:color="auto" w:fill="FFFFFF"/>
                    <w:rPr>
                      <w:rFonts w:ascii="宋体" w:hAnsi="宋体"/>
                      <w:sz w:val="18"/>
                      <w:szCs w:val="18"/>
                    </w:rPr>
                  </w:pPr>
                </w:p>
              </w:tc>
              <w:tc>
                <w:tcPr>
                  <w:tcW w:w="3580" w:type="dxa"/>
                  <w:gridSpan w:val="2"/>
                  <w:vAlign w:val="center"/>
                </w:tcPr>
                <w:p>
                  <w:pPr>
                    <w:shd w:val="clear" w:color="auto" w:fill="FFFFFF"/>
                    <w:rPr>
                      <w:rFonts w:ascii="宋体" w:hAnsi="宋体"/>
                      <w:sz w:val="18"/>
                      <w:szCs w:val="18"/>
                    </w:rPr>
                  </w:pPr>
                  <w:r>
                    <w:rPr>
                      <w:rFonts w:hint="eastAsia" w:ascii="宋体" w:hAnsi="宋体"/>
                      <w:sz w:val="18"/>
                      <w:szCs w:val="18"/>
                    </w:rPr>
                    <w:t>尘肺患合并症情况：1是</w:t>
                  </w:r>
                  <w:r>
                    <w:rPr>
                      <w:rFonts w:ascii="宋体" w:hAnsi="宋体"/>
                      <w:sz w:val="18"/>
                      <w:szCs w:val="18"/>
                    </w:rPr>
                    <w:sym w:font="Wingdings 2" w:char="00A3"/>
                  </w:r>
                </w:p>
                <w:p>
                  <w:pPr>
                    <w:shd w:val="clear" w:color="auto" w:fill="FFFFFF"/>
                    <w:rPr>
                      <w:rFonts w:ascii="宋体" w:hAnsi="宋体"/>
                      <w:sz w:val="18"/>
                      <w:szCs w:val="18"/>
                    </w:rPr>
                  </w:pPr>
                  <w:r>
                    <w:rPr>
                      <w:rFonts w:hint="eastAsia" w:ascii="宋体" w:hAnsi="宋体"/>
                      <w:sz w:val="18"/>
                      <w:szCs w:val="18"/>
                    </w:rPr>
                    <w:t>2否</w:t>
                  </w:r>
                  <w:r>
                    <w:rPr>
                      <w:rFonts w:ascii="宋体" w:hAnsi="宋体"/>
                      <w:sz w:val="18"/>
                      <w:szCs w:val="18"/>
                    </w:rPr>
                    <w:sym w:font="Wingdings 2" w:char="00A3"/>
                  </w:r>
                  <w:r>
                    <w:rPr>
                      <w:rFonts w:hint="eastAsia" w:ascii="宋体" w:hAnsi="宋体"/>
                      <w:sz w:val="18"/>
                      <w:szCs w:val="18"/>
                    </w:rPr>
                    <w:t>具体合并症：</w:t>
                  </w:r>
                </w:p>
              </w:tc>
              <w:tc>
                <w:tcPr>
                  <w:tcW w:w="4619" w:type="dxa"/>
                  <w:vAlign w:val="center"/>
                </w:tcPr>
                <w:p>
                  <w:pPr>
                    <w:shd w:val="clear" w:color="auto" w:fill="FFFFFF"/>
                    <w:rPr>
                      <w:rFonts w:ascii="宋体" w:hAnsi="宋体"/>
                      <w:sz w:val="18"/>
                      <w:szCs w:val="18"/>
                    </w:rPr>
                  </w:pPr>
                  <w:r>
                    <w:rPr>
                      <w:rFonts w:hint="eastAsia" w:ascii="宋体" w:hAnsi="宋体"/>
                      <w:sz w:val="18"/>
                      <w:szCs w:val="18"/>
                    </w:rPr>
                    <w:t>既往是否患慢性阻塞肺疾病（COPD）  1是</w:t>
                  </w:r>
                  <w:r>
                    <w:rPr>
                      <w:rFonts w:ascii="宋体" w:hAnsi="宋体"/>
                      <w:sz w:val="18"/>
                      <w:szCs w:val="18"/>
                    </w:rPr>
                    <w:sym w:font="Wingdings 2" w:char="00A3"/>
                  </w:r>
                </w:p>
                <w:p>
                  <w:pPr>
                    <w:shd w:val="clear" w:color="auto" w:fill="FFFFFF"/>
                    <w:rPr>
                      <w:rFonts w:ascii="Calibri" w:hAnsi="Calibri"/>
                      <w:sz w:val="18"/>
                      <w:szCs w:val="18"/>
                    </w:rPr>
                  </w:pPr>
                  <w:r>
                    <w:rPr>
                      <w:rFonts w:hint="eastAsia" w:ascii="宋体" w:hAnsi="宋体"/>
                      <w:sz w:val="18"/>
                      <w:szCs w:val="18"/>
                    </w:rPr>
                    <w:t>2否</w:t>
                  </w:r>
                  <w:r>
                    <w:rPr>
                      <w:rFonts w:ascii="宋体" w:hAnsi="宋体"/>
                      <w:sz w:val="18"/>
                      <w:szCs w:val="18"/>
                    </w:rPr>
                    <w:sym w:font="Wingdings 2" w:char="00A3"/>
                  </w:r>
                  <w:r>
                    <w:rPr>
                      <w:rFonts w:hint="eastAsia" w:ascii="宋体" w:hAnsi="宋体"/>
                      <w:sz w:val="18"/>
                      <w:szCs w:val="18"/>
                    </w:rPr>
                    <w:t xml:space="preserve">  诊断日期：    年    月    日</w:t>
                  </w:r>
                </w:p>
              </w:tc>
            </w:tr>
          </w:tbl>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业务规则及审核要求：用户可以修改、删除本机构添加的，审核状态为待上报、区县待审核及各级审核不通过的数据。省级本级用户可以修改、删除发生地在本辖区内的数据。本级用户可提交本机构添加上报的卡，所有报告卡提交后要经过区县、地市、省逐级审核。直报用户提交报告卡后，审核状态为区县待审核，此时只有报告卡用人单位所在地的区县级本级用户有审核权限。区县审核通过后，审核状态为市级待审核，此时只有报告卡用人单位所在地的地市级本级用户有审核权限。市级审核通过后，审核状态为省级待审核，此时只有报告卡用人单位所在地的省级本级用户有审核权限。各级审核不通过的数据，用户都可以进行删除和修改操作。对于区县审核不通过的卡修改提交后审核状态将变更为区县待审核。对于市级审核不通过的卡修改提交后审核状态将变更为市级待审核。对于省级审核不通过的卡修改提交后审核状态将变更为省级待审核。各级机构应于3个工作日内完成对新增信息的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医疗卫生机构业务用户可对本机构新增的“待上报、区级审核未通过、终审未通过”状态的农民工尘肺病报告信息进行删除。市级疾控机构业务用户可对本机构管辖范围内的“终审通过”状态的农民工尘肺病报告信息进行删除。被其他业务活动关联的农民工尘肺病报告信息不能被删除。被删除的农民工尘肺病报告信息将无法恢复。终审通过后的农民工尘肺病报告信息只能由终审机构进行修改、删除。</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（2）尘肺病患者救治救助</w:t>
            </w:r>
            <w:bookmarkEnd w:id="104"/>
            <w:bookmarkStart w:id="105" w:name="_Toc407276029"/>
            <w:bookmarkStart w:id="106" w:name="_Toc322346899"/>
          </w:p>
          <w:bookmarkEnd w:id="105"/>
          <w:bookmarkEnd w:id="106"/>
          <w:p>
            <w:pPr>
              <w:widowControl/>
              <w:spacing w:line="360" w:lineRule="exact"/>
              <w:ind w:firstLine="422" w:firstLineChars="200"/>
              <w:jc w:val="left"/>
              <w:rPr>
                <w:rFonts w:ascii="宋体" w:hAnsi="宋体" w:cs="宋体"/>
                <w:b/>
                <w:bCs/>
              </w:rPr>
            </w:pPr>
            <w:bookmarkStart w:id="107" w:name="_Toc407276044"/>
            <w:bookmarkStart w:id="108" w:name="_Toc322346901"/>
            <w:r>
              <w:rPr>
                <w:rFonts w:hint="eastAsia" w:ascii="宋体" w:hAnsi="宋体" w:cs="宋体"/>
                <w:b/>
                <w:bCs/>
              </w:rPr>
              <w:t>①救助信息查询、编辑</w:t>
            </w:r>
          </w:p>
          <w:p>
            <w:pPr>
              <w:widowControl/>
              <w:spacing w:line="360" w:lineRule="exact"/>
              <w:ind w:firstLine="422"/>
              <w:jc w:val="left"/>
              <w:rPr>
                <w:rFonts w:ascii="宋体" w:hAnsi="宋体" w:cs="宋体"/>
                <w:szCs w:val="22"/>
              </w:rPr>
            </w:pPr>
            <w:r>
              <w:rPr>
                <w:rFonts w:hint="eastAsia" w:ascii="宋体" w:hAnsi="宋体" w:cs="宋体"/>
                <w:b/>
                <w:bCs/>
              </w:rPr>
              <w:t>结合实际业务以及对接国家尘肺病患者救治救助系统，实现“救助信息查询”的功能：</w:t>
            </w:r>
          </w:p>
          <w:p>
            <w:pPr>
              <w:pStyle w:val="15"/>
              <w:ind w:firstLine="422" w:firstLineChars="200"/>
              <w:jc w:val="left"/>
              <w:rPr>
                <w:rFonts w:ascii="宋体" w:hAnsi="宋体" w:eastAsia="宋体" w:cs="宋体"/>
                <w:sz w:val="21"/>
                <w:szCs w:val="22"/>
              </w:rPr>
            </w:pPr>
            <w:r>
              <w:rPr>
                <w:rFonts w:hint="eastAsia" w:ascii="宋体" w:hAnsi="宋体" w:eastAsia="宋体" w:cs="宋体"/>
                <w:b/>
                <w:bCs/>
                <w:sz w:val="21"/>
                <w:szCs w:val="22"/>
              </w:rPr>
              <w:t>A</w:t>
            </w:r>
            <w:r>
              <w:rPr>
                <w:rFonts w:hint="eastAsia" w:ascii="宋体" w:hAnsi="宋体" w:cs="宋体"/>
                <w:b/>
                <w:bCs/>
              </w:rPr>
              <w:t>.</w:t>
            </w:r>
            <w:r>
              <w:rPr>
                <w:rFonts w:hint="eastAsia" w:ascii="宋体" w:hAnsi="宋体" w:eastAsia="宋体" w:cs="宋体"/>
                <w:bCs/>
                <w:sz w:val="21"/>
                <w:szCs w:val="22"/>
              </w:rPr>
              <w:t>按入院时间、出院时间、录入时间、姓名、身份证号码、报告单位、报告机构浏览尘肺病救助信息。如</w:t>
            </w:r>
            <w:r>
              <w:rPr>
                <w:rFonts w:hint="eastAsia" w:ascii="宋体" w:hAnsi="宋体" w:eastAsia="宋体" w:cs="宋体"/>
                <w:bCs/>
                <w:sz w:val="21"/>
                <w:szCs w:val="22"/>
              </w:rPr>
              <w:fldChar w:fldCharType="begin"/>
            </w:r>
            <w:r>
              <w:rPr>
                <w:rFonts w:hint="eastAsia" w:ascii="宋体" w:hAnsi="宋体" w:eastAsia="宋体" w:cs="宋体"/>
                <w:bCs/>
                <w:sz w:val="21"/>
                <w:szCs w:val="22"/>
              </w:rPr>
              <w:instrText xml:space="preserve"> REF _Ref22321 \h </w:instrText>
            </w:r>
            <w:r>
              <w:rPr>
                <w:rFonts w:hint="eastAsia" w:ascii="宋体" w:hAnsi="宋体" w:eastAsia="宋体" w:cs="宋体"/>
                <w:bCs/>
                <w:sz w:val="21"/>
                <w:szCs w:val="22"/>
              </w:rPr>
              <w:fldChar w:fldCharType="separate"/>
            </w:r>
            <w:r>
              <w:t>图 58</w:t>
            </w:r>
            <w:r>
              <w:rPr>
                <w:rFonts w:hint="eastAsia" w:ascii="宋体" w:hAnsi="宋体" w:eastAsia="宋体" w:cs="宋体"/>
                <w:bCs/>
                <w:sz w:val="21"/>
                <w:szCs w:val="22"/>
              </w:rPr>
              <w:fldChar w:fldCharType="end"/>
            </w:r>
            <w:r>
              <w:rPr>
                <w:rFonts w:hint="eastAsia" w:ascii="宋体" w:hAnsi="宋体" w:eastAsia="宋体" w:cs="宋体"/>
                <w:bCs/>
                <w:sz w:val="21"/>
                <w:szCs w:val="22"/>
              </w:rPr>
              <w:t>所示。</w:t>
            </w:r>
          </w:p>
          <w:p>
            <w:pPr>
              <w:jc w:val="center"/>
            </w:pPr>
            <w:r>
              <w:drawing>
                <wp:inline distT="0" distB="0" distL="114300" distR="114300">
                  <wp:extent cx="5520690" cy="1578610"/>
                  <wp:effectExtent l="0" t="0" r="3810" b="2540"/>
                  <wp:docPr id="71" name="图片 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descr="1"/>
                          <pic:cNvPicPr>
                            <a:picLocks noChangeAspect="1"/>
                          </pic:cNvPicPr>
                        </pic:nvPicPr>
                        <pic:blipFill>
                          <a:blip r:embed="rId77"/>
                          <a:srcRect b="32249"/>
                          <a:stretch>
                            <a:fillRect/>
                          </a:stretch>
                        </pic:blipFill>
                        <pic:spPr>
                          <a:xfrm>
                            <a:off x="0" y="0"/>
                            <a:ext cx="5520690" cy="1578610"/>
                          </a:xfrm>
                          <a:prstGeom prst="rect">
                            <a:avLst/>
                          </a:prstGeom>
                          <a:noFill/>
                          <a:ln>
                            <a:noFill/>
                          </a:ln>
                        </pic:spPr>
                      </pic:pic>
                    </a:graphicData>
                  </a:graphic>
                </wp:inline>
              </w:drawing>
            </w:r>
          </w:p>
          <w:p>
            <w:pPr>
              <w:pStyle w:val="15"/>
              <w:jc w:val="center"/>
            </w:pPr>
            <w:bookmarkStart w:id="109" w:name="_Ref22321"/>
            <w:r>
              <w:t xml:space="preserve">图 </w:t>
            </w:r>
            <w:r>
              <w:fldChar w:fldCharType="begin"/>
            </w:r>
            <w:r>
              <w:instrText xml:space="preserve"> SEQ 图 \* ARABIC </w:instrText>
            </w:r>
            <w:r>
              <w:fldChar w:fldCharType="separate"/>
            </w:r>
            <w:r>
              <w:t>58</w:t>
            </w:r>
            <w:r>
              <w:fldChar w:fldCharType="end"/>
            </w:r>
            <w:bookmarkEnd w:id="109"/>
            <w:r>
              <w:rPr>
                <w:rFonts w:hint="eastAsia"/>
              </w:rPr>
              <w:t xml:space="preserve"> 救助信息查询</w:t>
            </w:r>
          </w:p>
          <w:p>
            <w:pPr>
              <w:pStyle w:val="15"/>
              <w:ind w:firstLine="422" w:firstLineChars="200"/>
              <w:jc w:val="left"/>
              <w:rPr>
                <w:rFonts w:ascii="宋体" w:hAnsi="宋体" w:cs="宋体"/>
                <w:sz w:val="21"/>
                <w:szCs w:val="22"/>
              </w:rPr>
            </w:pPr>
            <w:r>
              <w:rPr>
                <w:rFonts w:hint="eastAsia" w:ascii="宋体" w:hAnsi="宋体" w:cs="宋体"/>
                <w:b/>
                <w:bCs/>
                <w:sz w:val="21"/>
                <w:szCs w:val="22"/>
              </w:rPr>
              <w:t>B</w:t>
            </w:r>
            <w:r>
              <w:rPr>
                <w:rFonts w:hint="eastAsia" w:ascii="宋体" w:hAnsi="宋体" w:cs="宋体"/>
                <w:b/>
                <w:bCs/>
              </w:rPr>
              <w:t>.</w:t>
            </w:r>
            <w:r>
              <w:rPr>
                <w:rFonts w:hint="eastAsia" w:ascii="宋体" w:hAnsi="宋体" w:eastAsia="宋体" w:cs="宋体"/>
                <w:bCs/>
                <w:sz w:val="21"/>
                <w:szCs w:val="22"/>
              </w:rPr>
              <w:t>查看、编辑救助过尘肺病病人的详细信息。如</w:t>
            </w:r>
            <w:r>
              <w:rPr>
                <w:rFonts w:hint="eastAsia" w:ascii="宋体" w:hAnsi="宋体" w:eastAsia="宋体" w:cs="宋体"/>
                <w:bCs/>
                <w:sz w:val="21"/>
                <w:szCs w:val="22"/>
              </w:rPr>
              <w:fldChar w:fldCharType="begin"/>
            </w:r>
            <w:r>
              <w:rPr>
                <w:rFonts w:hint="eastAsia" w:ascii="宋体" w:hAnsi="宋体" w:eastAsia="宋体" w:cs="宋体"/>
                <w:bCs/>
                <w:sz w:val="21"/>
                <w:szCs w:val="22"/>
              </w:rPr>
              <w:instrText xml:space="preserve"> REF _Ref22353 \h </w:instrText>
            </w:r>
            <w:r>
              <w:rPr>
                <w:rFonts w:hint="eastAsia" w:ascii="宋体" w:hAnsi="宋体" w:eastAsia="宋体" w:cs="宋体"/>
                <w:bCs/>
                <w:sz w:val="21"/>
                <w:szCs w:val="22"/>
              </w:rPr>
              <w:fldChar w:fldCharType="separate"/>
            </w:r>
            <w:r>
              <w:t>图 59</w:t>
            </w:r>
            <w:r>
              <w:rPr>
                <w:rFonts w:hint="eastAsia" w:ascii="宋体" w:hAnsi="宋体" w:eastAsia="宋体" w:cs="宋体"/>
                <w:bCs/>
                <w:sz w:val="21"/>
                <w:szCs w:val="22"/>
              </w:rPr>
              <w:fldChar w:fldCharType="end"/>
            </w:r>
            <w:r>
              <w:rPr>
                <w:rFonts w:hint="eastAsia" w:ascii="宋体" w:hAnsi="宋体" w:eastAsia="宋体" w:cs="宋体"/>
                <w:bCs/>
                <w:sz w:val="21"/>
                <w:szCs w:val="22"/>
              </w:rPr>
              <w:t>所示。</w:t>
            </w:r>
          </w:p>
          <w:p>
            <w:pPr>
              <w:pStyle w:val="97"/>
              <w:numPr>
                <w:ilvl w:val="0"/>
                <w:numId w:val="0"/>
              </w:numPr>
              <w:tabs>
                <w:tab w:val="clear" w:pos="880"/>
              </w:tabs>
              <w:adjustRightInd w:val="0"/>
              <w:snapToGrid w:val="0"/>
              <w:ind w:left="420" w:leftChars="200"/>
              <w:rPr>
                <w:rFonts w:hint="eastAsia" w:eastAsia="宋体"/>
                <w:lang w:eastAsia="zh-CN"/>
              </w:rPr>
            </w:pPr>
            <w:r>
              <w:drawing>
                <wp:inline distT="0" distB="0" distL="114300" distR="114300">
                  <wp:extent cx="5966460" cy="2366010"/>
                  <wp:effectExtent l="0" t="0" r="15240" b="15240"/>
                  <wp:docPr id="78" name="图片 95" descr="图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95" descr="图59"/>
                          <pic:cNvPicPr>
                            <a:picLocks noChangeAspect="1"/>
                          </pic:cNvPicPr>
                        </pic:nvPicPr>
                        <pic:blipFill>
                          <a:blip r:embed="rId78"/>
                          <a:stretch>
                            <a:fillRect/>
                          </a:stretch>
                        </pic:blipFill>
                        <pic:spPr>
                          <a:xfrm>
                            <a:off x="0" y="0"/>
                            <a:ext cx="5966460" cy="2366010"/>
                          </a:xfrm>
                          <a:prstGeom prst="rect">
                            <a:avLst/>
                          </a:prstGeom>
                          <a:noFill/>
                          <a:ln>
                            <a:noFill/>
                          </a:ln>
                        </pic:spPr>
                      </pic:pic>
                    </a:graphicData>
                  </a:graphic>
                </wp:inline>
              </w:drawing>
            </w:r>
          </w:p>
          <w:p>
            <w:pPr>
              <w:pStyle w:val="15"/>
              <w:jc w:val="center"/>
            </w:pPr>
            <w:bookmarkStart w:id="110" w:name="_Ref22353"/>
            <w:r>
              <w:t xml:space="preserve">图 </w:t>
            </w:r>
            <w:r>
              <w:fldChar w:fldCharType="begin"/>
            </w:r>
            <w:r>
              <w:instrText xml:space="preserve"> SEQ 图 \* ARABIC </w:instrText>
            </w:r>
            <w:r>
              <w:fldChar w:fldCharType="separate"/>
            </w:r>
            <w:r>
              <w:t>59</w:t>
            </w:r>
            <w:r>
              <w:fldChar w:fldCharType="end"/>
            </w:r>
            <w:bookmarkEnd w:id="110"/>
            <w:r>
              <w:rPr>
                <w:rFonts w:hint="eastAsia"/>
              </w:rPr>
              <w:t xml:space="preserve"> 尘肺病人详细信息查询</w:t>
            </w:r>
          </w:p>
          <w:p>
            <w:pPr>
              <w:pStyle w:val="15"/>
              <w:numPr>
                <w:ilvl w:val="0"/>
                <w:numId w:val="0"/>
              </w:numPr>
              <w:adjustRightInd w:val="0"/>
              <w:snapToGrid w:val="0"/>
              <w:ind w:firstLine="422" w:firstLineChars="200"/>
              <w:jc w:val="left"/>
              <w:rPr>
                <w:rFonts w:hint="eastAsia" w:ascii="宋体" w:hAnsi="宋体" w:eastAsia="宋体" w:cs="宋体"/>
                <w:b/>
                <w:bCs/>
                <w:sz w:val="21"/>
                <w:szCs w:val="22"/>
              </w:rPr>
            </w:pPr>
            <w:r>
              <w:rPr>
                <w:rFonts w:hint="eastAsia" w:ascii="宋体" w:hAnsi="宋体" w:eastAsia="宋体" w:cs="宋体"/>
                <w:b/>
                <w:bCs/>
                <w:sz w:val="21"/>
                <w:szCs w:val="22"/>
              </w:rPr>
              <w:t>C.导出查询出过的尘肺病病人的所有信息；本单位只可查询本单位的报告信息。</w:t>
            </w:r>
          </w:p>
          <w:p>
            <w:pPr>
              <w:widowControl/>
              <w:spacing w:line="360" w:lineRule="exact"/>
              <w:ind w:left="0" w:firstLine="422" w:firstLineChars="200"/>
              <w:jc w:val="left"/>
              <w:rPr>
                <w:rFonts w:ascii="宋体" w:hAnsi="宋体" w:cs="宋体"/>
                <w:b/>
                <w:bCs/>
              </w:rPr>
            </w:pPr>
            <w:r>
              <w:rPr>
                <w:rFonts w:hint="eastAsia" w:ascii="宋体" w:hAnsi="宋体" w:cs="宋体"/>
                <w:b/>
                <w:bCs/>
              </w:rPr>
              <w:t>②救助信息录入</w:t>
            </w:r>
          </w:p>
          <w:p>
            <w:pPr>
              <w:ind w:firstLine="420" w:firstLineChars="200"/>
              <w:rPr>
                <w:rFonts w:ascii="宋体" w:hAnsi="宋体" w:cs="宋体"/>
                <w:bCs/>
              </w:rPr>
            </w:pPr>
            <w:r>
              <w:rPr>
                <w:rFonts w:hint="eastAsia"/>
              </w:rPr>
              <w:t>录入报告地区、报告单位、姓名、家庭住址、入院日期、出院日期、补偿类型、医疗总费用、是否建档立卡贫困户、医疗机构承担费用、医保报销金额、尘肺救助金额、自费金额。如</w:t>
            </w:r>
            <w:r>
              <w:rPr>
                <w:rFonts w:hint="eastAsia"/>
              </w:rPr>
              <w:fldChar w:fldCharType="begin"/>
            </w:r>
            <w:r>
              <w:rPr>
                <w:rFonts w:hint="eastAsia"/>
              </w:rPr>
              <w:instrText xml:space="preserve"> REF _Ref22494 \h </w:instrText>
            </w:r>
            <w:r>
              <w:rPr>
                <w:rFonts w:hint="eastAsia"/>
              </w:rPr>
              <w:fldChar w:fldCharType="separate"/>
            </w:r>
            <w:r>
              <w:t>图 60</w:t>
            </w:r>
            <w:r>
              <w:rPr>
                <w:rFonts w:hint="eastAsia"/>
              </w:rPr>
              <w:fldChar w:fldCharType="end"/>
            </w:r>
            <w:r>
              <w:rPr>
                <w:rFonts w:hint="eastAsia"/>
              </w:rPr>
              <w:t>所示。</w:t>
            </w:r>
            <w:r>
              <w:rPr>
                <w:rFonts w:hint="eastAsia" w:ascii="宋体" w:hAnsi="宋体" w:cs="宋体"/>
                <w:bCs/>
              </w:rPr>
              <w:t>其中是否建档立卡困户以及对应的金额数据关联国家防止因病返贫动态监测系统自动填充。</w:t>
            </w:r>
          </w:p>
          <w:p>
            <w:pPr>
              <w:pStyle w:val="10"/>
              <w:numPr>
                <w:ilvl w:val="0"/>
                <w:numId w:val="0"/>
              </w:numPr>
              <w:adjustRightInd w:val="0"/>
              <w:snapToGrid w:val="0"/>
              <w:spacing w:line="240" w:lineRule="auto"/>
              <w:jc w:val="center"/>
              <w:rPr>
                <w:lang w:val="en-US" w:eastAsia="zh-CN"/>
              </w:rPr>
            </w:pPr>
            <w:r>
              <w:rPr>
                <w:lang w:val="en-US" w:eastAsia="zh-CN"/>
              </w:rPr>
              <w:drawing>
                <wp:inline distT="0" distB="0" distL="114300" distR="114300">
                  <wp:extent cx="5270500" cy="2639695"/>
                  <wp:effectExtent l="0" t="0" r="6350" b="8255"/>
                  <wp:docPr id="7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pic:cNvPicPr>
                            <a:picLocks noChangeAspect="1"/>
                          </pic:cNvPicPr>
                        </pic:nvPicPr>
                        <pic:blipFill>
                          <a:blip r:embed="rId79"/>
                          <a:stretch>
                            <a:fillRect/>
                          </a:stretch>
                        </pic:blipFill>
                        <pic:spPr>
                          <a:xfrm>
                            <a:off x="0" y="0"/>
                            <a:ext cx="5270500" cy="2639695"/>
                          </a:xfrm>
                          <a:prstGeom prst="rect">
                            <a:avLst/>
                          </a:prstGeom>
                          <a:noFill/>
                          <a:ln>
                            <a:noFill/>
                          </a:ln>
                        </pic:spPr>
                      </pic:pic>
                    </a:graphicData>
                  </a:graphic>
                </wp:inline>
              </w:drawing>
            </w:r>
          </w:p>
          <w:p>
            <w:pPr>
              <w:adjustRightInd w:val="0"/>
              <w:snapToGrid w:val="0"/>
              <w:jc w:val="center"/>
              <w:rPr>
                <w:rFonts w:ascii="黑体" w:hAnsi="黑体" w:eastAsia="黑体" w:cs="黑体"/>
                <w:b/>
                <w:szCs w:val="20"/>
              </w:rPr>
            </w:pPr>
            <w:bookmarkStart w:id="111" w:name="_Ref22494"/>
            <w:r>
              <w:rPr>
                <w:rFonts w:ascii="黑体" w:hAnsi="黑体" w:eastAsia="黑体" w:cs="黑体"/>
                <w:b/>
                <w:szCs w:val="20"/>
              </w:rPr>
              <w:t xml:space="preserve">图 </w:t>
            </w:r>
            <w:r>
              <w:rPr>
                <w:rFonts w:ascii="黑体" w:hAnsi="黑体" w:eastAsia="黑体" w:cs="黑体"/>
                <w:b/>
                <w:szCs w:val="20"/>
              </w:rPr>
              <w:fldChar w:fldCharType="begin"/>
            </w:r>
            <w:r>
              <w:rPr>
                <w:rFonts w:ascii="黑体" w:hAnsi="黑体" w:eastAsia="黑体" w:cs="黑体"/>
                <w:b/>
                <w:szCs w:val="20"/>
              </w:rPr>
              <w:instrText xml:space="preserve"> SEQ 图 \* ARABIC </w:instrText>
            </w:r>
            <w:r>
              <w:rPr>
                <w:rFonts w:ascii="黑体" w:hAnsi="黑体" w:eastAsia="黑体" w:cs="黑体"/>
                <w:b/>
                <w:szCs w:val="20"/>
              </w:rPr>
              <w:fldChar w:fldCharType="separate"/>
            </w:r>
            <w:r>
              <w:rPr>
                <w:rFonts w:ascii="黑体" w:hAnsi="黑体" w:eastAsia="黑体" w:cs="黑体"/>
                <w:b/>
                <w:szCs w:val="20"/>
              </w:rPr>
              <w:t>60</w:t>
            </w:r>
            <w:r>
              <w:rPr>
                <w:rFonts w:ascii="黑体" w:hAnsi="黑体" w:eastAsia="黑体" w:cs="黑体"/>
                <w:b/>
                <w:szCs w:val="20"/>
              </w:rPr>
              <w:fldChar w:fldCharType="end"/>
            </w:r>
            <w:bookmarkEnd w:id="111"/>
            <w:r>
              <w:rPr>
                <w:rFonts w:hint="eastAsia" w:ascii="黑体" w:hAnsi="黑体" w:eastAsia="黑体" w:cs="黑体"/>
                <w:b/>
                <w:szCs w:val="20"/>
              </w:rPr>
              <w:t xml:space="preserve"> 尘肺病人详细信息查询</w:t>
            </w:r>
          </w:p>
          <w:p>
            <w:pPr>
              <w:widowControl/>
              <w:spacing w:line="360" w:lineRule="exact"/>
              <w:ind w:left="0" w:firstLine="422" w:firstLineChars="200"/>
              <w:jc w:val="left"/>
              <w:rPr>
                <w:rFonts w:ascii="宋体" w:hAnsi="宋体" w:cs="宋体"/>
                <w:b/>
                <w:bCs/>
              </w:rPr>
            </w:pPr>
            <w:r>
              <w:rPr>
                <w:rFonts w:hint="eastAsia" w:ascii="宋体" w:hAnsi="宋体" w:cs="宋体"/>
                <w:b/>
                <w:bCs/>
              </w:rPr>
              <w:t>③住院治疗费用标准配置</w:t>
            </w:r>
          </w:p>
          <w:p>
            <w:pPr>
              <w:widowControl/>
              <w:spacing w:line="360" w:lineRule="exact"/>
              <w:ind w:firstLine="420" w:firstLineChars="200"/>
              <w:jc w:val="left"/>
              <w:rPr>
                <w:rFonts w:ascii="宋体" w:hAnsi="宋体" w:eastAsia="宋体" w:cs="宋体"/>
              </w:rPr>
            </w:pPr>
            <w:r>
              <w:rPr>
                <w:rFonts w:hint="eastAsia" w:ascii="宋体" w:hAnsi="宋体" w:eastAsia="宋体" w:cs="宋体"/>
                <w:b w:val="0"/>
                <w:bCs w:val="0"/>
              </w:rPr>
              <w:t>为了使尘肺病救助金额符合实际</w:t>
            </w:r>
            <w:r>
              <w:rPr>
                <w:rFonts w:hint="eastAsia" w:ascii="宋体" w:hAnsi="宋体" w:eastAsia="宋体" w:cs="宋体"/>
                <w:bCs w:val="0"/>
              </w:rPr>
              <w:t>情</w:t>
            </w:r>
            <w:r>
              <w:rPr>
                <w:rFonts w:hint="eastAsia" w:ascii="宋体" w:hAnsi="宋体" w:eastAsia="宋体" w:cs="宋体"/>
                <w:bCs/>
              </w:rPr>
              <w:t>况，设计了“住院治疗费用标准配置”功能。如</w:t>
            </w:r>
            <w:r>
              <w:rPr>
                <w:rFonts w:hint="eastAsia" w:ascii="宋体" w:hAnsi="宋体" w:eastAsia="宋体" w:cs="宋体"/>
                <w:bCs/>
              </w:rPr>
              <w:fldChar w:fldCharType="begin"/>
            </w:r>
            <w:r>
              <w:rPr>
                <w:rFonts w:hint="eastAsia" w:ascii="宋体" w:hAnsi="宋体" w:eastAsia="宋体" w:cs="宋体"/>
                <w:bCs/>
              </w:rPr>
              <w:instrText xml:space="preserve"> REF _Ref22667 \h </w:instrText>
            </w:r>
            <w:r>
              <w:rPr>
                <w:rFonts w:hint="eastAsia" w:ascii="宋体" w:hAnsi="宋体" w:eastAsia="宋体" w:cs="宋体"/>
                <w:bCs/>
              </w:rPr>
              <w:fldChar w:fldCharType="separate"/>
            </w:r>
            <w:r>
              <w:t>图 61</w:t>
            </w:r>
            <w:r>
              <w:rPr>
                <w:rFonts w:hint="eastAsia" w:ascii="宋体" w:hAnsi="宋体" w:eastAsia="宋体" w:cs="宋体"/>
                <w:bCs/>
              </w:rPr>
              <w:fldChar w:fldCharType="end"/>
            </w:r>
            <w:r>
              <w:rPr>
                <w:rFonts w:hint="eastAsia" w:ascii="宋体" w:hAnsi="宋体" w:eastAsia="宋体" w:cs="宋体"/>
                <w:bCs/>
              </w:rPr>
              <w:t>所示。</w:t>
            </w:r>
          </w:p>
          <w:p>
            <w:pPr>
              <w:adjustRightInd w:val="0"/>
              <w:snapToGrid w:val="0"/>
              <w:ind w:firstLine="420" w:firstLineChars="200"/>
            </w:pPr>
            <w:r>
              <w:drawing>
                <wp:inline distT="0" distB="0" distL="114300" distR="114300">
                  <wp:extent cx="5270500" cy="2673985"/>
                  <wp:effectExtent l="0" t="0" r="6350" b="12065"/>
                  <wp:docPr id="7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pic:cNvPicPr>
                            <a:picLocks noChangeAspect="1"/>
                          </pic:cNvPicPr>
                        </pic:nvPicPr>
                        <pic:blipFill>
                          <a:blip r:embed="rId80"/>
                          <a:stretch>
                            <a:fillRect/>
                          </a:stretch>
                        </pic:blipFill>
                        <pic:spPr>
                          <a:xfrm>
                            <a:off x="0" y="0"/>
                            <a:ext cx="5270500" cy="2673985"/>
                          </a:xfrm>
                          <a:prstGeom prst="rect">
                            <a:avLst/>
                          </a:prstGeom>
                          <a:noFill/>
                          <a:ln>
                            <a:noFill/>
                          </a:ln>
                        </pic:spPr>
                      </pic:pic>
                    </a:graphicData>
                  </a:graphic>
                </wp:inline>
              </w:drawing>
            </w:r>
          </w:p>
          <w:p>
            <w:pPr>
              <w:pStyle w:val="15"/>
              <w:jc w:val="center"/>
              <w:rPr>
                <w:rFonts w:ascii="黑体" w:hAnsi="黑体" w:cs="黑体"/>
                <w:b/>
                <w:sz w:val="21"/>
              </w:rPr>
            </w:pPr>
            <w:bookmarkStart w:id="112" w:name="_Ref22667"/>
            <w:r>
              <w:t xml:space="preserve">图 </w:t>
            </w:r>
            <w:r>
              <w:fldChar w:fldCharType="begin"/>
            </w:r>
            <w:r>
              <w:instrText xml:space="preserve"> SEQ 图 \* ARABIC </w:instrText>
            </w:r>
            <w:r>
              <w:fldChar w:fldCharType="separate"/>
            </w:r>
            <w:r>
              <w:t>61</w:t>
            </w:r>
            <w:r>
              <w:fldChar w:fldCharType="end"/>
            </w:r>
            <w:bookmarkEnd w:id="112"/>
            <w:r>
              <w:rPr>
                <w:rFonts w:hint="eastAsia"/>
              </w:rPr>
              <w:t xml:space="preserve"> 住院治疗费用标准配置</w:t>
            </w:r>
          </w:p>
          <w:p>
            <w:pPr>
              <w:widowControl/>
              <w:spacing w:line="360" w:lineRule="exact"/>
              <w:ind w:left="0" w:firstLine="422" w:firstLineChars="200"/>
              <w:jc w:val="left"/>
              <w:rPr>
                <w:rFonts w:ascii="宋体" w:hAnsi="宋体" w:cs="宋体"/>
                <w:b/>
                <w:bCs/>
              </w:rPr>
            </w:pPr>
            <w:r>
              <w:rPr>
                <w:rFonts w:hint="eastAsia" w:ascii="宋体" w:hAnsi="宋体" w:cs="宋体"/>
                <w:b/>
                <w:bCs/>
              </w:rPr>
              <w:t>④救助情况统计</w:t>
            </w:r>
          </w:p>
          <w:p>
            <w:pPr>
              <w:pStyle w:val="19"/>
              <w:ind w:firstLine="420" w:firstLineChars="200"/>
              <w:rPr>
                <w:lang w:val="en-US" w:eastAsia="zh-CN"/>
              </w:rPr>
            </w:pPr>
            <w:r>
              <w:rPr>
                <w:rFonts w:hint="eastAsia" w:ascii="宋体" w:hAnsi="宋体" w:eastAsia="宋体" w:cs="宋体"/>
                <w:kern w:val="2"/>
                <w:sz w:val="21"/>
                <w:szCs w:val="22"/>
                <w:lang w:val="en-US" w:eastAsia="zh-CN"/>
              </w:rPr>
              <w:t>实现的统计维度包括：年度内，或指定时间区段内诊断病例的地区分布;尘肺病例诊断类别分布;尘肺病例各类分布;尘肺病例性别、年龄、发病工龄、期别分布;录入数据库导出、导入等功能。如</w:t>
            </w:r>
            <w:r>
              <w:rPr>
                <w:rFonts w:hint="eastAsia" w:ascii="宋体" w:hAnsi="宋体" w:eastAsia="宋体" w:cs="宋体"/>
                <w:kern w:val="2"/>
                <w:sz w:val="21"/>
                <w:szCs w:val="22"/>
                <w:lang w:val="en-US" w:eastAsia="zh-CN"/>
              </w:rPr>
              <w:fldChar w:fldCharType="begin"/>
            </w:r>
            <w:r>
              <w:rPr>
                <w:rFonts w:hint="eastAsia" w:ascii="宋体" w:hAnsi="宋体" w:eastAsia="宋体" w:cs="宋体"/>
                <w:kern w:val="2"/>
                <w:sz w:val="21"/>
                <w:szCs w:val="22"/>
                <w:lang w:val="en-US" w:eastAsia="zh-CN"/>
              </w:rPr>
              <w:instrText xml:space="preserve"> REF _Ref22706 \h </w:instrText>
            </w:r>
            <w:r>
              <w:rPr>
                <w:rFonts w:hint="eastAsia" w:ascii="宋体" w:hAnsi="宋体" w:eastAsia="宋体" w:cs="宋体"/>
                <w:kern w:val="2"/>
                <w:sz w:val="21"/>
                <w:szCs w:val="22"/>
                <w:lang w:val="en-US" w:eastAsia="zh-CN"/>
              </w:rPr>
              <w:fldChar w:fldCharType="separate"/>
            </w:r>
            <w:r>
              <w:rPr>
                <w:rFonts w:hint="eastAsia" w:ascii="宋体" w:hAnsi="宋体" w:eastAsia="宋体" w:cs="宋体"/>
                <w:sz w:val="21"/>
                <w:szCs w:val="22"/>
                <w:lang w:val="en-US" w:eastAsia="zh-CN"/>
              </w:rPr>
              <w:t>图 62</w:t>
            </w:r>
            <w:r>
              <w:rPr>
                <w:rFonts w:hint="eastAsia" w:ascii="宋体" w:hAnsi="宋体" w:eastAsia="宋体" w:cs="宋体"/>
                <w:kern w:val="2"/>
                <w:sz w:val="21"/>
                <w:szCs w:val="22"/>
                <w:lang w:val="en-US" w:eastAsia="zh-CN"/>
              </w:rPr>
              <w:fldChar w:fldCharType="end"/>
            </w:r>
            <w:r>
              <w:rPr>
                <w:rFonts w:hint="eastAsia" w:ascii="宋体" w:hAnsi="宋体" w:eastAsia="宋体" w:cs="宋体"/>
                <w:kern w:val="2"/>
                <w:sz w:val="21"/>
                <w:szCs w:val="22"/>
                <w:lang w:val="en-US" w:eastAsia="zh-CN"/>
              </w:rPr>
              <w:t>所示。</w:t>
            </w:r>
          </w:p>
          <w:p>
            <w:pPr>
              <w:pStyle w:val="10"/>
              <w:numPr>
                <w:ilvl w:val="0"/>
                <w:numId w:val="0"/>
              </w:numPr>
              <w:jc w:val="center"/>
              <w:rPr>
                <w:lang w:val="en-US" w:eastAsia="zh-CN"/>
              </w:rPr>
            </w:pPr>
            <w:r>
              <w:rPr>
                <w:lang w:val="en-US" w:eastAsia="zh-CN"/>
              </w:rPr>
              <w:drawing>
                <wp:inline distT="0" distB="0" distL="114300" distR="114300">
                  <wp:extent cx="5969000" cy="2890520"/>
                  <wp:effectExtent l="0" t="0" r="12700" b="5080"/>
                  <wp:docPr id="79" name="图片 96" descr="图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6" descr="图62"/>
                          <pic:cNvPicPr>
                            <a:picLocks noChangeAspect="1"/>
                          </pic:cNvPicPr>
                        </pic:nvPicPr>
                        <pic:blipFill>
                          <a:blip r:embed="rId81"/>
                          <a:stretch>
                            <a:fillRect/>
                          </a:stretch>
                        </pic:blipFill>
                        <pic:spPr>
                          <a:xfrm>
                            <a:off x="0" y="0"/>
                            <a:ext cx="5969000" cy="2890520"/>
                          </a:xfrm>
                          <a:prstGeom prst="rect">
                            <a:avLst/>
                          </a:prstGeom>
                          <a:noFill/>
                          <a:ln>
                            <a:noFill/>
                          </a:ln>
                        </pic:spPr>
                      </pic:pic>
                    </a:graphicData>
                  </a:graphic>
                </wp:inline>
              </w:drawing>
            </w:r>
          </w:p>
          <w:p>
            <w:pPr>
              <w:pStyle w:val="15"/>
              <w:jc w:val="center"/>
            </w:pPr>
            <w:bookmarkStart w:id="113" w:name="_Ref22706"/>
            <w:r>
              <w:t xml:space="preserve">图 </w:t>
            </w:r>
            <w:r>
              <w:fldChar w:fldCharType="begin"/>
            </w:r>
            <w:r>
              <w:instrText xml:space="preserve"> SEQ 图 \* ARABIC </w:instrText>
            </w:r>
            <w:r>
              <w:fldChar w:fldCharType="separate"/>
            </w:r>
            <w:r>
              <w:t>62</w:t>
            </w:r>
            <w:r>
              <w:fldChar w:fldCharType="end"/>
            </w:r>
            <w:bookmarkEnd w:id="113"/>
            <w:r>
              <w:rPr>
                <w:rFonts w:hint="eastAsia"/>
              </w:rPr>
              <w:t xml:space="preserve"> 救助情况统计</w:t>
            </w:r>
          </w:p>
          <w:bookmarkEnd w:id="107"/>
          <w:bookmarkEnd w:id="108"/>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13.在线教育培训系统</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本系统培训对象为：专业技术人员（职业卫生技术服务机构、职业卫生技术支撑机构（各级疾控中心及职防院所）、职业病诊断机构、职业病鉴定机构等）、专家、监管人员、用人单位职业卫生主要负责人及管理人员、劳动者等。管理部门可以录入机构信息、管理培训教师、管理考核负责人、管理考核信息、管理培训信息、对培训情况进行统计，统计结果以图表的方式进行数据呈现，支持进行可视化展示。在线教育培训系统预留接口与全民健康信息平台进行对接。用人单位和劳动者可通过系统进行职业健康教育培训。</w:t>
            </w:r>
            <w:r>
              <w:rPr>
                <w:rFonts w:hint="eastAsia" w:ascii="宋体" w:hAnsi="宋体" w:cs="宋体"/>
                <w:szCs w:val="21"/>
              </w:rPr>
              <w:t>培训内容需符合国家卫健委发布的职业健康培训相关通知要求。相关的教程资料、考试题库内容包含在本项目费用中。</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（1）基本信息管理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①机构信息管理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用于管理培训、考核机构的基本信息。机构管理员可以录入机构的基本信息，变更基本信息，录入考试项目范围等。更新后的信息需要上报相关单位审核，通过后信息方能修改成功。</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②培训教师管理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用于管理机构的培训教师。培训教师可以录入教师个人信息、教师教育信息，规定教师的授课范围等。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③考核负责人管理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用于管理机构的考核负责人。考核机构的管理员可以录入考核负责人个人信息、考核负责人学历信息，规定考核负责人的考核范围等。考核人员信息需要上传相关单位审核，审核通过后才具备相应的培训权限。</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（2）培训管理</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①在线教程\知识库管理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需实现根据不同培训对象，设定不同的在线教程资料，资料分为视频类资料和非视频类资料，知识库资料分为通用类资料和专业类资料。培训材料支持PPT、PDF、视频等格式，支持在线预览。培训教师可以录入课程名称、课程学时、课程学分、课程分类、课程内容、课程视频、课程文件等信息。培训课程需要进行审核，审核介绍后方可在服务子平台端显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②培训过程管理</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A.培训信息管理。</w:t>
            </w:r>
            <w:r>
              <w:rPr>
                <w:rFonts w:hint="eastAsia" w:ascii="宋体" w:hAnsi="宋体" w:cs="宋体"/>
              </w:rPr>
              <w:t>用于培训信息的管理。培训教师可新增培训信息，填写培训名称、培训时间、培训报名时间、培训课程、培训地点、培训教师等信息。录入培训信息后需要对信息进行确认，在确认培训信息之前，可以修改本次培训的信息，确认培训信息后，不可修改培训信息。</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B.培训报名管理。</w:t>
            </w:r>
            <w:r>
              <w:rPr>
                <w:rFonts w:hint="eastAsia" w:ascii="宋体" w:hAnsi="宋体" w:cs="宋体"/>
              </w:rPr>
              <w:t>用于管理、录入培训人员的报名信息，对报名信息进行修改、删除操作；同时可以接收到来自劳动者手机端应用的线上培训报名信息。</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C.培训学时管理。</w:t>
            </w:r>
            <w:r>
              <w:rPr>
                <w:rFonts w:hint="eastAsia" w:ascii="宋体" w:hAnsi="宋体" w:cs="宋体"/>
              </w:rPr>
              <w:t>用于管理培训学时。对于线下学习，通过指纹签到获得培训学时；对于线上学习，通过完成线上课程学习情况获得学时。系统自动统计出每位培训人员的学时数量和学时合格情况，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③培训考核管理</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A.培训考核申请。</w:t>
            </w:r>
            <w:r>
              <w:rPr>
                <w:rFonts w:hint="eastAsia" w:ascii="宋体" w:hAnsi="宋体" w:cs="宋体"/>
              </w:rPr>
              <w:t>用于申请培训考核。考核机构可以给培训学时合格的学员向考核机构申请考核，可以查看考核申请进度和受理情况。</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B.培训考核安排。</w:t>
            </w:r>
            <w:r>
              <w:rPr>
                <w:rFonts w:hint="eastAsia" w:ascii="宋体" w:hAnsi="宋体" w:cs="宋体"/>
              </w:rPr>
              <w:t>用于查看培训考核安排情况。考核机构可以查看即将参加考核的人员的考核安排情况；也可以打印培训的考核准考证。</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C.培训考核成绩查看。</w:t>
            </w:r>
            <w:r>
              <w:rPr>
                <w:rFonts w:hint="eastAsia" w:ascii="宋体" w:hAnsi="宋体" w:cs="宋体"/>
              </w:rPr>
              <w:t>用于查看培训考核成绩。考核机构将培训人员的考核成绩上传后，用人单位/劳动者机构可以查看机构培训人员的考核成绩信息。</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④培训证书管理</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A.培训证书发放。</w:t>
            </w:r>
            <w:r>
              <w:rPr>
                <w:rFonts w:hint="eastAsia" w:ascii="宋体" w:hAnsi="宋体" w:cs="宋体"/>
              </w:rPr>
              <w:t>用于发放培训证书。对于不需要进行考核的培训，考核机构可以给培训学时合格的培训人员发放培训学时证书；对于需要进行考核的培训，考核机构可以给考核成绩合格的培训人员发放培训合格证书。</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B.培训证书归档。</w:t>
            </w:r>
            <w:r>
              <w:rPr>
                <w:rFonts w:hint="eastAsia" w:ascii="宋体" w:hAnsi="宋体" w:cs="宋体"/>
              </w:rPr>
              <w:t>用于培训证书的归档。考核机构可以查看所有培训证书。劳动者可在手机端查看证书的详细情况。</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⑤职业健康宣教培训统计</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A.培训人员基本信息管理。</w:t>
            </w:r>
            <w:r>
              <w:rPr>
                <w:rFonts w:hint="eastAsia" w:ascii="宋体" w:hAnsi="宋体" w:cs="宋体"/>
              </w:rPr>
              <w:t>用于管理单位主要负责人、职业健康管理人员、劳动者的培训信息情况。其中汇总了所有参与培训的人员的基本信息情况，培训教师可按照年份，查看每个培训人员的培训、考核和证书大致情况。</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B.单位培训人员培训情况。</w:t>
            </w:r>
            <w:r>
              <w:rPr>
                <w:rFonts w:hint="eastAsia" w:ascii="宋体" w:hAnsi="宋体" w:cs="宋体"/>
              </w:rPr>
              <w:t>用于记录单位培训人员的培训情况，其中包括了正在参加培训人员、已结束培训人员的培训情况。其中，培训情况包括了培训的年份、培训名称、培训时期、培训形式、培训组织单位、培训开始、结束日期、培训学时、培训学、培训结构等信息。</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C.单位培训人员考核情况。</w:t>
            </w:r>
            <w:r>
              <w:rPr>
                <w:rFonts w:hint="eastAsia" w:ascii="宋体" w:hAnsi="宋体" w:cs="宋体"/>
              </w:rPr>
              <w:t>用于记录单位培训人员的培训考核情况，其中包括记录了培训人员是否参与了考核、考核时间、考核成绩、成绩录入人员、考核是否通过、考核人、考核组织单位等信息。</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D.单位培训人员证书情况。</w:t>
            </w:r>
            <w:r>
              <w:rPr>
                <w:rFonts w:hint="eastAsia" w:ascii="宋体" w:hAnsi="宋体" w:cs="宋体"/>
              </w:rPr>
              <w:t>用于记录单位培训人员获得培训证书的情况，其中包括记录了培训人员的培训证书发放情况、培训证书编号等信息。</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E.单位培训情况统计。</w:t>
            </w:r>
            <w:r>
              <w:rPr>
                <w:rFonts w:hint="eastAsia" w:ascii="宋体" w:hAnsi="宋体" w:cs="宋体"/>
              </w:rPr>
              <w:t>用于统计用人单位的培训情况，其中包括了统计本单位培训信息上报情况、统计本单位全部培训人员的参加培训人数、岗前培训人数、在岗培训人数，也可以按照年度统计本单位每类培训人员的参加培训人数、岗前培训人数、在岗培训人数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（3）考核管理</w:t>
            </w:r>
          </w:p>
          <w:p>
            <w:pPr>
              <w:widowControl/>
              <w:adjustRightInd w:val="0"/>
              <w:snapToGrid w:val="0"/>
              <w:spacing w:line="360" w:lineRule="exact"/>
              <w:ind w:firstLine="422" w:firstLineChars="200"/>
              <w:jc w:val="left"/>
              <w:rPr>
                <w:rFonts w:ascii="宋体" w:hAnsi="宋体" w:cs="宋体"/>
                <w:b/>
                <w:bCs/>
                <w:shd w:val="clear" w:color="auto" w:fill="FFFF00"/>
              </w:rPr>
            </w:pPr>
            <w:r>
              <w:rPr>
                <w:rFonts w:hint="eastAsia" w:ascii="宋体" w:hAnsi="宋体" w:cs="宋体"/>
                <w:b/>
                <w:bCs/>
              </w:rPr>
              <w:t>①考核题库管理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需实现根据培训对象，设定培训对象考核的试题库，试题分为是非题和选择题（支持单选或多选），需实现试题库根据不同对象、不同行业等进行分类，需实现试题的启用和停用状态控制。实现管理试题的知识点信息，考核机构可以录入、编辑、删除知识点的信息。支持对知识点类型进行分类和筛选。</w:t>
            </w:r>
          </w:p>
          <w:p>
            <w:pPr>
              <w:widowControl/>
              <w:adjustRightInd w:val="0"/>
              <w:snapToGrid w:val="0"/>
              <w:spacing w:line="360" w:lineRule="exact"/>
              <w:jc w:val="left"/>
              <w:rPr>
                <w:rFonts w:ascii="宋体" w:hAnsi="宋体" w:cs="宋体"/>
              </w:rPr>
            </w:pPr>
            <w:r>
              <w:rPr>
                <w:rFonts w:hint="eastAsia" w:ascii="宋体" w:hAnsi="宋体" w:cs="宋体"/>
              </w:rPr>
              <w:t>考核机构可以通过逐题录入方式录入，也可以通过excel试题模版批量导入题库，录入试题时，需要给试题指定知识点。支持对题库类型进行分类和筛选。</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需实现培训发布后，根据关联关系，自动抽取形成考核题库。</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②考核管理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考场管理用于管理考核考场的基本信息。考核机构可以录入、编辑、删除考场名称、考场地址、考场可用情况等信息。</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A.培训考核管理。</w:t>
            </w:r>
            <w:r>
              <w:rPr>
                <w:rFonts w:hint="eastAsia" w:ascii="宋体" w:hAnsi="宋体" w:cs="宋体"/>
              </w:rPr>
              <w:t>考核安排用于给培训人员安排考核。考核机构新增考核，选择本次考核的培训人员，设置考核时间、考场、考核负责人等，新增完成后需确认考核安排信息，并将考核安排信息报送劳动者。</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B.试题抽取。</w:t>
            </w:r>
            <w:r>
              <w:rPr>
                <w:rFonts w:hint="eastAsia" w:ascii="宋体" w:hAnsi="宋体" w:cs="宋体"/>
              </w:rPr>
              <w:t>用于给考核抽取试题。考核机构做完考核安排后，需要给本次考核抽取试题，选择考核的知识点，填入需要抽取的题数，系统根据知识点随机抽取题目。可按照不同题型比例抽取试题形成考卷。</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③考核成绩管理</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A.考核成绩录入。</w:t>
            </w:r>
            <w:r>
              <w:rPr>
                <w:rFonts w:hint="eastAsia" w:ascii="宋体" w:hAnsi="宋体" w:cs="宋体"/>
              </w:rPr>
              <w:t>用于录入考核成绩。考核机构可以录入、修改考核成绩，系统自动记录成绩录入人员信息。劳动者可在手机端查询考试成绩情况。</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B.考核成绩报送。</w:t>
            </w:r>
            <w:r>
              <w:rPr>
                <w:rFonts w:hint="eastAsia" w:ascii="宋体" w:hAnsi="宋体" w:cs="宋体"/>
              </w:rPr>
              <w:t>用于报送考核成绩。全部考核成绩录入后，考核机构可以将本次考核全部培训人员的考核成绩报送给培训人员。</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（4）培训考核情况统计</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①培训情况统计。</w:t>
            </w:r>
            <w:r>
              <w:rPr>
                <w:rFonts w:hint="eastAsia" w:ascii="宋体" w:hAnsi="宋体" w:cs="宋体"/>
              </w:rPr>
              <w:t>用于统计培训情况，其中包括统计机构完成的培训年限、培训次数、培训人数、培训合格人数等，统计结果以图表的方式进行数据呈现，支持进行可视化展示。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②考核情况统计。</w:t>
            </w:r>
            <w:r>
              <w:rPr>
                <w:rFonts w:hint="eastAsia" w:ascii="宋体" w:hAnsi="宋体" w:cs="宋体"/>
              </w:rPr>
              <w:t>用于统计考核情况，其中包括考核申请人数、已考核人数、考核合格人数、考核积压人数等，统计结果以图表的方式进行数据呈现，支持进行可视化展示。</w:t>
            </w:r>
          </w:p>
          <w:p>
            <w:pPr>
              <w:widowControl/>
              <w:adjustRightInd w:val="0"/>
              <w:snapToGrid w:val="0"/>
              <w:ind w:firstLine="420" w:firstLineChars="200"/>
              <w:jc w:val="left"/>
              <w:rPr>
                <w:rFonts w:ascii="宋体" w:hAnsi="宋体" w:cs="宋体"/>
              </w:rPr>
            </w:pPr>
            <w:r>
              <w:rPr>
                <w:rFonts w:hint="eastAsia" w:ascii="宋体" w:hAnsi="宋体" w:cs="宋体"/>
              </w:rPr>
              <w:t>③若企业在第三方机构培训，上报培训考核情况表格如下图63所示。</w:t>
            </w:r>
          </w:p>
          <w:p>
            <w:pPr>
              <w:widowControl/>
              <w:adjustRightInd w:val="0"/>
              <w:snapToGrid w:val="0"/>
              <w:ind w:firstLine="18" w:firstLineChars="9"/>
              <w:jc w:val="center"/>
              <w:rPr>
                <w:rFonts w:ascii="宋体" w:hAnsi="宋体" w:cs="宋体"/>
              </w:rPr>
            </w:pPr>
            <w:r>
              <w:rPr>
                <w:rFonts w:ascii="宋体" w:hAnsi="宋体" w:cs="宋体"/>
              </w:rPr>
              <w:drawing>
                <wp:inline distT="0" distB="0" distL="114300" distR="114300">
                  <wp:extent cx="4891405" cy="5132705"/>
                  <wp:effectExtent l="0" t="0" r="4445" b="10795"/>
                  <wp:docPr id="76" name="图片 75" descr="afe491f73aff08bd9b3036514bd53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5" descr="afe491f73aff08bd9b3036514bd53d4"/>
                          <pic:cNvPicPr>
                            <a:picLocks noChangeAspect="1"/>
                          </pic:cNvPicPr>
                        </pic:nvPicPr>
                        <pic:blipFill>
                          <a:blip r:embed="rId82"/>
                          <a:srcRect l="4716" t="19492" r="6795" b="5823"/>
                          <a:stretch>
                            <a:fillRect/>
                          </a:stretch>
                        </pic:blipFill>
                        <pic:spPr>
                          <a:xfrm>
                            <a:off x="0" y="0"/>
                            <a:ext cx="4891405" cy="5132705"/>
                          </a:xfrm>
                          <a:prstGeom prst="rect">
                            <a:avLst/>
                          </a:prstGeom>
                          <a:noFill/>
                          <a:ln>
                            <a:noFill/>
                          </a:ln>
                        </pic:spPr>
                      </pic:pic>
                    </a:graphicData>
                  </a:graphic>
                </wp:inline>
              </w:drawing>
            </w:r>
          </w:p>
          <w:p>
            <w:pPr>
              <w:widowControl/>
              <w:adjustRightInd w:val="0"/>
              <w:snapToGrid w:val="0"/>
              <w:spacing w:line="360" w:lineRule="exact"/>
              <w:jc w:val="center"/>
              <w:rPr>
                <w:rFonts w:ascii="宋体" w:hAnsi="宋体" w:cs="宋体"/>
              </w:rPr>
            </w:pPr>
            <w:r>
              <w:rPr>
                <w:rFonts w:ascii="黑体" w:hAnsi="黑体" w:eastAsia="黑体" w:cs="黑体"/>
                <w:b/>
                <w:szCs w:val="20"/>
              </w:rPr>
              <w:t xml:space="preserve">图 </w:t>
            </w:r>
            <w:r>
              <w:rPr>
                <w:rFonts w:ascii="黑体" w:hAnsi="黑体" w:eastAsia="黑体" w:cs="黑体"/>
                <w:b/>
                <w:szCs w:val="20"/>
              </w:rPr>
              <w:fldChar w:fldCharType="begin"/>
            </w:r>
            <w:r>
              <w:rPr>
                <w:rFonts w:ascii="黑体" w:hAnsi="黑体" w:eastAsia="黑体" w:cs="黑体"/>
                <w:b/>
                <w:szCs w:val="20"/>
              </w:rPr>
              <w:instrText xml:space="preserve"> SEQ 图 \* ARABIC </w:instrText>
            </w:r>
            <w:r>
              <w:rPr>
                <w:rFonts w:ascii="黑体" w:hAnsi="黑体" w:eastAsia="黑体" w:cs="黑体"/>
                <w:b/>
                <w:szCs w:val="20"/>
              </w:rPr>
              <w:fldChar w:fldCharType="separate"/>
            </w:r>
            <w:r>
              <w:rPr>
                <w:rFonts w:hint="eastAsia" w:ascii="黑体" w:hAnsi="黑体" w:eastAsia="黑体" w:cs="黑体"/>
                <w:b/>
                <w:szCs w:val="20"/>
              </w:rPr>
              <w:t>63</w:t>
            </w:r>
            <w:r>
              <w:rPr>
                <w:rFonts w:ascii="黑体" w:hAnsi="黑体" w:eastAsia="黑体" w:cs="黑体"/>
                <w:b/>
                <w:szCs w:val="20"/>
              </w:rPr>
              <w:fldChar w:fldCharType="end"/>
            </w:r>
            <w:r>
              <w:rPr>
                <w:rFonts w:hint="eastAsia" w:ascii="黑体" w:hAnsi="黑体" w:eastAsia="黑体" w:cs="黑体"/>
                <w:b/>
                <w:szCs w:val="20"/>
              </w:rPr>
              <w:t xml:space="preserve"> 年度培训情况统计</w:t>
            </w:r>
          </w:p>
          <w:p>
            <w:pPr>
              <w:widowControl/>
              <w:adjustRightInd w:val="0"/>
              <w:snapToGrid w:val="0"/>
              <w:spacing w:line="360" w:lineRule="exact"/>
              <w:ind w:firstLine="422" w:firstLineChars="200"/>
              <w:jc w:val="left"/>
              <w:rPr>
                <w:rFonts w:ascii="宋体" w:hAnsi="宋体" w:cs="宋体"/>
                <w:b/>
                <w:bCs/>
              </w:rPr>
            </w:pPr>
            <w:bookmarkStart w:id="114" w:name="_Toc121818642"/>
            <w:r>
              <w:rPr>
                <w:rFonts w:hint="eastAsia" w:ascii="宋体" w:hAnsi="宋体" w:cs="宋体"/>
                <w:b/>
                <w:bCs/>
              </w:rPr>
              <w:t>▲（二）管理子平台</w:t>
            </w:r>
            <w:bookmarkEnd w:id="114"/>
            <w:r>
              <w:rPr>
                <w:rFonts w:hint="eastAsia" w:ascii="宋体" w:hAnsi="宋体" w:cs="宋体"/>
                <w:b/>
                <w:bCs/>
              </w:rPr>
              <w:t>。</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管理子平台主要是面向行政部门的管理系统和平台集合，应部署在政务外网中。管理员账号经过认证后可以获取相关的管理权限，用于实现对系统的管理需求。</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管理子平台建设内容包括：职业病危害项目审核/监督/管理、建设项目职业病防护设施“三同时”备案、职业健康检查模块、职业病随访信息查询、职业病诊断与鉴定模块（暂不启用交换）、化学品毒性鉴定管理模块、职业卫生技术服务管理模块、放射卫生应用管理模块、职业病管理、宣传教育培训模块、人员管理模块、执法监督模块、联动协作处理模块、职业病危害专项治理模块、职业病防治经费信息管理、质控模块、管理人员手机端、门户网站管理模块、消息中心模块等业务相关功能。</w:t>
            </w:r>
            <w:r>
              <w:rPr>
                <w:rFonts w:hint="eastAsia"/>
              </w:rPr>
              <w:t>业务功能要满足自治区卫健委及业务单位的相关要求，采购人可在建设运维期内根据实际的业务需求对相关建设内容进行调整、替换和完善。</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1.职业病危害项目审核/监督/管理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主要是针对用人单位职业病危害因素申报的信息进行管理，系统要求行政管理部门按国家和自治区业务需求对职业病危害项目进行审核、监督、质控、管理，并把通过审核的职业病危害项目备案，便于后续查看追溯申报审核情况。需采集录入的信息包括用人单位基本信息、生产信息、职业病危害因素接触信息、职业病危害因素检测信息、职业健康检查信息、职业健康培训信息、职业病发病信息、填报人、申报时间等。为避免二次录入，系统需实现与国垂职业病危害项目申报审核系统对接，参照《全国公共卫生信息化建设标准与规范》及相关数据集标准，确定信息采集的基本内容、字段格式要求进行数据上报。</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（1）职业病危害项目审核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需关联至用人单位应用系统的职业病危害项目申报功能，由县级卫生行政部门进行审核，审核流程实行属地审核制度，并保留自治区、市审核权限，审核初次申报的职业病危害项目，数据来源于用人单位的申报职业病危害项目。</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①职业病危害项目初次申报审核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审核初次申报的职业病危害项目，数据来源于用人单位的申报职业病危害项目。用人单位申报职业病危害项目后，县卫健局提取统计报表以及职业健康检查汇总报告、职业技术危害因素定期检查报告、定期现状评价报告、控制效果评价报告等进行审核，对通过审核的项目打标签，并把审核消息返回给用人单位；对于未通过审核的项目，打上审核不通过的标签，并填写不通过原因，并将信息反馈给用人单位。</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②年度更新申报审核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审核年度更新申报，数据来源于用人单位的年度更新申报。主管部门在收到年度更新申报后，可以进行审核，对通过审核的年度更新申报打已审核标签，并把审核消息返回给用人单位；对于未通过年度更新申报，打上审核不通过的标签，并填写不通过原因，并将信息反馈给用人单位。</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③变更申报审核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审核变更申报，数据来源于用人单位的变更申报。在提交变更申报后可以进行审核，对通过审核的变更申报打已审核标签，并把审核消息返回给用人单位；对于未通过变更申报，打上审核不通过的标签，并填写不通过原因，并将信息反馈给用人单位。</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2.建设项目职业病防护设施“三同时”备案</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要求主管部门按国家和自治区业务需求对全区的建设项目职业病防护设施“三同时”相关进行管理。需备案的信息包括用人单位基本信息、生产信息、职业病危害因素接触信息、职业病危害因素检测信息、职业健康检查信息、职业健康培训信息、职业病发病信息、填报人、申报时间等。</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为避免二次录入，系统需实现与国垂职业病危害项目申报审核系统对接，参照《全国公共卫生信息化建设标准与规范》及相关数据集标准，确定信息采集的基本内容、字段格式要求进行数据上报。</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（1）建设项目备案管理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①建设项目备案查询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用于管理建设项目备案信息。主管部门可以查看用人单位上报的建设项目信息。备案信息包括建设单位、项目名称、项目性质、批复或备案号、批复或备案日期等。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（2）“三同时”报告管理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①“三同时”报告评审结果</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对用人单位上报的报告进行查询及管理，数据来源于用人单位上报的三同时相关数据。其中包括有职业病危害预评价报告评审、职业病防护设施设计评审、职业病危害控制效果评价报告评审。主管部门可对评审通过的报告进行抽查，并把抽查反馈给用人单位。三同时报告抽查过程中需要使用到专家进行审查的，可调用专家库数据，随机抽取专家。</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②“三同时”报告备案</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用于管理建设项目立项备案信息。主管部门可以在线查看和下载用人单位上报的已通过评审的“三同时”报告，查看审核记录以及之前的审核材料。</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（3）放射“三同时”项目审核</w:t>
            </w:r>
          </w:p>
          <w:p>
            <w:pPr>
              <w:widowControl/>
              <w:adjustRightInd w:val="0"/>
              <w:snapToGrid w:val="0"/>
              <w:spacing w:line="360" w:lineRule="exact"/>
              <w:ind w:left="420" w:leftChars="200"/>
              <w:jc w:val="left"/>
              <w:rPr>
                <w:rFonts w:ascii="宋体" w:hAnsi="宋体" w:cs="宋体"/>
              </w:rPr>
            </w:pPr>
            <w:r>
              <w:rPr>
                <w:rFonts w:hint="eastAsia" w:ascii="宋体" w:hAnsi="宋体" w:cs="宋体"/>
              </w:rPr>
              <w:t>由县级卫生行政部门进行审核，审核流程实行属地审核制度，并保留自治区、市审核权限。</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3.职业健康检查模块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本系统通过与自治区职防院已建设的《广西职业病防治与职业健康管理平台》实现对接，获取职业健康检查相关业务数据，包括：职业病健康检查机构信息、机构医师信息、劳动者职业健康检查结果、用人单位数据、各机构检查到的职业禁忌证人数、各机构检查到的疑似职业病人数，全区职业禁忌证人数、全区疑似职业病人数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（1）职业健康检查机构信息管理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①基本信息统计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用于统计全区职业病健康检查机构信息。卫生行政管理部门可以查看职业健康检查机构的基本信息，审核职业健康检查机构提交的变更信息。系统支持按年度、季度、月度、地域、年龄、性别等维度</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②医师信息统计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用于查看机构医师信息等。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（2）职业健康检查机构备案审核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自治区卫生监督所对于医疗卫生机构的职业健康体检的备案和变更备案申请，自治区卫生健康委根据国家《职业健康检查管理办法》要求审核医疗卫生机构提交的材料真实性、完整性、合法、准确性进行审核，审核通过后准许备案或者变更备案。</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（3）职业健康检查情况</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①劳动者职业健康检查情况</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用于管理劳动者职业健康检查。行政管理部门可以查看职业健康检查机构上报的劳动者职业健康检查结果。</w:t>
            </w:r>
            <w:r>
              <w:rPr>
                <w:rFonts w:hint="eastAsia" w:ascii="宋体" w:hAnsi="宋体" w:cs="宋体"/>
                <w:szCs w:val="21"/>
              </w:rPr>
              <w:t>进行县市疾控中心、自治区级职防院三级审核后上报至国家平台。</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②用人单位职业健康检查情况</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用于管理用人单位职业健康检查。行政管理部门可以查看职业健康检查机构上报的用人单位的劳动人员职业健康检查结果。</w:t>
            </w:r>
            <w:r>
              <w:rPr>
                <w:rFonts w:hint="eastAsia" w:ascii="宋体" w:hAnsi="宋体" w:cs="宋体"/>
                <w:szCs w:val="21"/>
              </w:rPr>
              <w:t>进行县市疾控中心、自治区级职防院三级审核后上报至国家平台。</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（4）职业健康检查统计</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①职业健康检查机构统计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用于统计职业健康检查机构总数量、</w:t>
            </w:r>
            <w:r>
              <w:rPr>
                <w:rFonts w:hint="eastAsia" w:ascii="宋体" w:hAnsi="宋体" w:cs="宋体"/>
                <w:szCs w:val="21"/>
              </w:rPr>
              <w:t>备案类别统计</w:t>
            </w:r>
            <w:r>
              <w:rPr>
                <w:rFonts w:hint="eastAsia" w:ascii="宋体" w:hAnsi="宋体" w:cs="宋体"/>
              </w:rPr>
              <w:t>（包括粉尘类、化学因素类、物理因素类、生物因素类、放射因素类、其他类）、每个城市的机构数量、每个机构年度检测报告出具数量等，统计结果以图表的方式进行数据呈现，支持进行可视化展示。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②职业健康检查医师统计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用于统计全区的医师总数、每个机构的医师数量、医师的学历情况、医师的职称情况等，统计结果以图表的方式进行数据呈现，支持进行可视化展示。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③职业健康情况统计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主管部门按年度、季度、月度、地域、年龄、性别等维度统计各机构检查的职业健康检查用人单位数、各机构检查到的职业禁忌证人数、各机构检查到的疑似职业病人数，全区职业禁忌证人数、全区疑似职业病人数等，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4.职业病随访信息查询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实现自治区职防院对法定报告职业病患者的信息查询。查询信息包括：用人单位基本信息、患者个人基本信息、职业史、职业病危害接触史信息、职业病诊断信息、随访与管理信息，支持对病人开展随机访问和抽查，记录病痛现状，以便开展下一步治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主要由县级职业病防治机构（或相关医疗卫生机构）对职业病患者进行随访，按照国家《职业病随访管理报告卡》标准记录随访过程，并将记录数据录入系统，并按县、市、区逐级上级职业病防治机构。各级县级职业病防治机构可进行权限内容的职业病随访信息查询，信息查询统计支持按年度、季度、月度、地域、性别、年龄、职业病类型等维度进行统计，并做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5.职业病诊断与鉴定模块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由行政管理部门对职业病诊断与鉴定机构的管理。其中包括了对职业病诊断机构管理、对职业病鉴定机构管理、查看劳动者职业诊断和鉴定情况、查看用人单位职业病诊断和鉴定情况、统计职业病诊断鉴定情况。至少包含：用人单位基本信息、患者个人基本信息、职业史、职业病危害接触史、职业病诊断信息、职业病鉴定信息、漏报迟报信息等数据。系统数据通过服务子平台中的职业病诊断机构应用系统采集数据，并由管理部门进行统一管理，并通过对接国垂系统进行数据上报。</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（1）职业病诊断机构信息管理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职业病诊断机构基本信息。管理部门可以查看职业病诊断机构的基本信息，审核职业病诊断机构提交的变更信息。系统支持按行政辖区、机构规模、专业人员数量、成立时间、业务范围等维度进行统计查询。</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（2）职业病诊断机构备案审核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自治区卫生监督所对于医疗卫生机构体检的职业病诊断的备案和变更备案申请，自治区监督所根据《职业病诊断与鉴定管理办法》要求审核医疗卫生机构提交的材料真实性、完整性、合法、准确性进行审核，审核通过后准许备案或者变更备案。</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（3）职业病鉴定机构信息管理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职业病鉴定机构基本信息。卫生行政管理部门可以查看职业病鉴定机构的基本信息，审核职业病鉴定机构提交的变更信息。系统支持按行政辖区、机构规模、专业人员数量、成立时间、业务范围等维度进行统计查询。</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（4）劳动者职业病诊断和鉴定</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①劳动者职业病诊断情况</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用于管理劳动者职业病诊断。管理部门可以查看职业病诊断机构上报的劳动者职业病诊断证明书和诊断结果，查看每个城市、每个单位的职业病诊断确诊数量。</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②劳动者职业病鉴定情况</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用于管理劳动者职业病鉴定。管理部门可以查看职业病鉴定机构上报的劳动者职业病鉴定书和鉴定结果，查看每个城市、每个单位的职业病鉴定确诊数量。</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（5）职业病诊断鉴定情况统计</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①职业病诊断机构统计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全区职业病诊断机构数量、各市职业病诊断机构数量、每个诊断机构诊断的职业病确诊人数、统计全区职业病诊断医师数量、职业病诊断就诊登记例数、确诊新病例总数、按病例大类分布、按各地主要病种分布（如煤工尘肺、矽肺、噪声聋等）、按地区分布、按用工单位行业、企业类型、规模分布情况等，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②职业病鉴定机构统计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用于统计全区职业病鉴定机构数量、各市职业病鉴定机构数量、每个鉴定机构鉴定的职业病确诊人数、统计全区职业病鉴定专家数量等，统计结果以图表的方式进行数据呈现，支持进行可视化展示。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③职业病确诊情况统计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全区职业病确诊人数、申请职业病诊断人数、申请职业病鉴定人数、职业病诊断确诊人数、职业病鉴定确诊人数、职业病信息漏报迟报人数等，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6.化学品毒性鉴定管理模块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用于管理化学品毒性鉴定。其中包括化学品毒性鉴定机构管理，鉴定报告管理以及对化学品毒性鉴定基础资料维护。</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（1）化学品毒性鉴定机构信息查询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用于管理化学品毒性鉴定机构。卫生行政管理部门可以查看化学品毒性鉴定机构的基本信息、鉴定人员的信息等。</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系统支持按行政辖区、机构规模、专业人员数量、成立时间、业务范围等维度进行统计查询。</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（2）化学品毒性鉴定报告查询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用于管理部门查询统计化学品毒性鉴定机构录入对应的化学品毒性鉴定报告。</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7.职业卫生技术服务管理模块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职业卫生技术服务。其中包括职业卫生技术服务机构管理、职业卫生相关报告管理，职业卫生服务技术相关基础资料管理、统计职业卫生技术服务情况，统计结果以图表的方式进行数据呈现，支持进行可视化展示。</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基础信息需要对接国垂职业和放射卫生技术服务机构的系统，对收集到的数据进行管理。收集的主要数据包括：技术服务范围、时间和检查项目等信息。检查项目信息包括职业病危害因素检测、职业病危害现状评价、职业病防护设备设施与防护用品的效果评价。</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（1）基本信息查询管理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基础信息需要对接国垂职业和放射卫生技术服务机构的系统，通过接口获取数据，并通过清洗后录入数据库，并对机构基本数据进行统计查询。系统支持按行政辖区、机构规模、专业人员数量、成立时间、业务范围等维度进行统计查询。</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（2）机构信息变更查询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用于查询职业卫生技术服务机构信息变更情况，数据来源于职业卫生技术服务机构上报的信息变更，支持查询职业卫生技术服务机构信息变更史。</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（3）职业卫生技术服务统计</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①专业技术人员统计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在岗的专业技术人员人数、统计专业技术人员的职称情况、学历教育情况等，系统支持按年度、季度、月度、年龄、区域等维度进行统计查询。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②职业卫生技术服务情况统计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机构服务的单位数量、统计出具的职业病危害因素检测报告数量、统计职业病危害因素检测评价检测（控制效果）、统计完成职业病危害预评价项目数、统计完成职业病危害防护设施设计项目数、统计完成职业病危害控制效果评价项目数等，统计结果以图表的方式进行数据呈现，支持进行可视化展示。系统支持按年度、季度、月度、年龄、区域等维度对职业卫生技术服务的项目进行统计查询。</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8.放射卫生应用管理模块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放射卫生技术服务。管理用户包含省（自治区）、市、县区（各级疾控中心、监督所或卫生健康管理部门）分层管理辖区内放射相关机构信息。放射相关机构管理包括放射卫生机构及相关资料管理、放射诊疗机构及相关资料管理、非医疗放射工作单位及相关资料管理，统计分析放射卫生技术服务机构信息、放射诊疗机构信息、非医疗放射工作单位信息等，统计结果以图表的方式进行数据呈现，支持进行可视化展示。</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基础信息需要对接国垂职业和放射卫生技术服务机构的系统，对全区放射卫生信息系统建立的“放射诊疗机构”“非医疗放射工作单位”“放射卫生技术服务机构”三个基础模块收集到的信息分析管理，以及对接上传国国垂职业和放射卫生技术服务机构的系统。主要数据包括：技术服务范围、时间和检查项目等信息。检测项目信息包括放射卫生防护检测、放射诊疗建设项目评价、个人剂量监测、放射防护器材和含放射性产品检测的效果评价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（1）放射卫生技术服务机构管理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功能使用对象为放射卫生技术服务机构，数据内容应涵盖机构基础录入的信息，进行管理层级划分的分级管理。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①基本信息管理查询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查看所有的放射卫生机构，包括“放射诊疗机构”“放射卫生技术服务机构”“非医疗放射工作单位”。数据来源主要通过服务子系统中放射卫生机构应用系统，管理部门可以查看各级各个放射卫生机构的基本信息，其中包括有注册信息、联系方式、业务范围、医疗机构资质、人员、设备、个人剂量、放射设备质控检测、放射工作场所等检测报告等。</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系统支持按行政辖区、机构规模、专业人员数量、成立时间、业务范围等维度进行统计查询。</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（2）放射诊疗机构管理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功能使用对象为放射诊疗机构，数据内容应涵盖机构基础录入的信息，进行管理层级划分的分级管理。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①基本信息管理查询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查看所有的放射诊疗机构。数据来源主要通过服务子系统中放射诊疗机构应用系统，管理部门可以查看各级各个放射诊疗机构的基本信息。系统支持按行政辖区、机构规模、专业人员数量、成立时间、业务范围等维度进行统计查询。</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②机构信息变更审核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用于审核放射诊疗机构信息变更申请，数据来源于放射诊疗机构上报的信息变更。审核通过后，信息变更成功，审核不通过，卫生行政管理部门需填写驳回原因，信息变更失败。</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（3）非医疗放射工作单位管理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功能使用对象为非医疗放射工作单位，数据内容应涵盖非医疗放射工作单位基础录入的信息，进行管理层级划分的分级管理。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①基本信息管理查询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用于查看所有的放射诊疗机构。数据来源主要通过服务子系统中放射诊疗机构应用系统，管理部门可以查看各级各个放射诊疗机构的基本信息。</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②非医疗放射工作单位信息管理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查看所有的非医疗放射工作单位。数据来源主要通过服务子系统中非医疗放射工作单位应用系统，管理部门可以查看各级各个非医疗放射工作单位的基本信息。系统支持按行政辖区、机构规模、专业人员数量、成立时间、业务范围等维度进行统计查询。</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③非医疗放射工作单位信息变更审核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用于审核非医疗放射工作单位信息变更申请，数据来源于非医疗放射工作单位上报的信息变更。审核通过后，信息变更成功，审核不通过，卫生行政管理部门需填写驳回原因，信息变更失败。</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（4）放射卫生服务统计</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①专业技术人员统计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用于统计在岗的专业技术人员人数、统计专业技术人员的职称情况、统计专业技术人员的学历情况等，统计结果以图表的方式进行数据呈现，支持进行可视化展示。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②放射卫生服务情况统计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用于统计服务的单位数量、统计出具的职业病危害因素检测报告数量、统计完成放射病危害预评价项目数、统计完成放射病危害防护设施设计项目数、统计完成放射病危害控制效果评价项目数等，</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系统支持按年度、季度、月度、年龄、区域等维度进行放射卫生技术服务的项目进行统计查询。统计结果以图表的方式进行数据呈现，支持进行可视化展示。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（5）放射卫生调查报表报送</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上报放射卫生调查报表。放射诊疗机构放射工作人员职业健康管理基本情况表、过量照射死因调查表、非医疗机构放射性危害因素监测相关任务数、市放射诊疗监测完成情况自评表、广西放射卫生技术服务机构评估检查表。相关表格由市级疾控中心填报，自治区级疾控中心负责审核并上报至国家系统。</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9.职业病管理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用于管理职业病情况。其中包括了对单位劳动者职业病情况管理、职业病事故管理、统计职业病报告。</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（1）单位劳动者职业病情况</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①用人单位职业病情况</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用于查看用人单位职业病确诊或者疑似确诊情况，数据来源于职业病诊断机构和职业病鉴定办事机构提供的诊断、鉴定结果。用户可以查看各个单位每种职业病的职业病确诊人数、疑似职业病人数。</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②用人单位职业病确诊或疑似人员档案</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用于查看用人单位职业病确诊或疑似人员档案。用户可以查看各个单位的职业病确诊或者疑似职业病人员的个人信息档案。</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（2）职业病事故管理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①用人单位职业病事故备案</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用于查看职业病事故发生情况，数据来源于用人单位上报的职业病事故信息。职业病防治机构可以查看用人单位上报的职业病事故发生信息。</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②职业病事故统计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用于统计全区职业病事故发生次数，各市职业病事故发生次数等，统计结果以图表的方式进行数据呈现，支持进行可视化展示。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③职业病防治经费信息管理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由各级疾控中心对于看用人单位职业病防治经费信息，其中包括登记职业病防治管理经费情况、宣教培训经费情况、职业病防护设施“三同时”经费情况、工程防护设施管理经费情况、应急救援设备经费情况、个人防护用品经费情况、职业健康监护经费情况、职业病诊疗鉴定经费情况、工伤保险经费情况进行统计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10.宣传教育培训模块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用于管理宣传教育培训。其中包括了对培训管理、考核管理、发证管理、基础信息管理、培训情况统计。</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（1）培训管理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①查看专业技术人员培训情况</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用于管理专业技术人员的培训情况。包括劳动者所在机构信息、专业技术人员信息、报名信息、培训信息、继续教育信息、考核信息等数据采集功能；</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②查看监管人员培训情况</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实现职业健康监管人员宣教培训的信息管理。具备监管机构信息、监管人员信息、报名信息、培训信息、考核信息等数据采集功能。</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③查看用人单位人员培训情况</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实现用人单位主要负责人、职业健康管理人员宣教培训的信息管理。具备用人单位基本信息、主要负责人基本信息、职业健康管理人员基本信息、报名信息、培训信息、考核信息等数据采集功能。</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（2）培训审核管理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①培训课程审核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审核录入的培训课程信息。包括课程名称、课程学时、课程学分、课程分类、课程内容、课程视频、课程文件等，培训教师可以审核录入的课程信息，审核通过的课程才可以用于培训。支持审核人员查看审核情况历史记录。</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②培训考核申请审核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用于审核培训考核申请。考核机构可以对培训负责人提交的考核申请进行审核，审核通过的培训人员可以用于考核安排；审核不通过的培训人员需重新提交培训考核申请。支持审核人员查看审核情况历史记录。</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（3）培训考核情况统计</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①培训情况统计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用于统计全区的培训情况。其中包括统计全区的完成的培训次数、培训人数、培训合格人数，统计结果以图表的方式进行数据呈现，支持进行可视化展示。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②考核情况统计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用于统计全区的考核情况。其中包括统计全区考核机构数量、考核人数、考核合格人数、考核积压人数等，统计结果以图表的方式进行数据呈现，支持进行可视化展示。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11.人员管理模块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用于对系统人员进行管理，其中包括了平台管理人员管理、建设项目评审专家管理、专业技术人员、监督人员管理等。系统管理者可以录入人员的基本信息，对基本信息进行维护。</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（1）人员信息管理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①平台管理人员信息管理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用于录入平台管理人员的信息。包括个人信息、教育信息、工作信息等。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②专业技术人员</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针对职业健康检查机构、职业病诊断机构、职业病鉴定机构、职业卫生技术服务机构、放射卫生机构等机构的专业技术人员管理，系统可支持按性别、年龄、地域、专业、学历、持有证书、工作年限等维度进行统计查询。</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③建设项目评审专家库管理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卫生行政管理部门录入平台职业卫生评审专家，自治区卫生健康委建立职业卫生专家库，并根据需要聘请专家库专家参与职业卫生相关审查监督工作，专家包括职业病诊断专家、职业病鉴定专家、职业技术服务机构评审专家、放射卫生技术服务机构评审专家、质控专家、职业健康专家（包括自治区级、市级、其他）等。专家库专家应当熟悉职业病危害防治有关法律、法规、规章、标准，具有较高的专业技术水平、实践经验和有关业务背景及良好的职业道德，按照客观、公正的原则，对所参与的工作提出技术意见，并对该意见负责。专家库专家实行回避制度，参加监督检查的专家库专家不得参与该建设项目职业病防护设施“三同时”的评审及验收等相应工作，不得与该建设项目建设单位、评价单位、设计单位、施工单位或者监理 单位等相关单位存在直接利害关系。专家库将按要求将专家的基本信息进行管理，包括姓名、年龄、专业、职称级别、职称编号、所在单位等基本信息，同时提供专家库随机抽取功能，以便相关业务应用调用。</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④监督人员管理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用于录入平台管理建设项目监督人员。包括个人信息、教育信息、工作信息等。可关联全民健康信息平台获取监督所人员的基本信息。</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12.执法监督模块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各级卫生监督所用于对职业卫生被监督单位的执法监督检查、抽检、双随机任务等的填报，具备移动执法和统计汇总功能。同时需要对接广西卫生监督执法管理平台，并向该平台推送相关底档、监督检查记录、案件查处等信息数据采集项目和内容，实现平台的数据互联与共享，避免多次填报和不必要的重复建设。以下子模块均遵循该原则。</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（1）监督机构和执法人员的底档与统计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用于建立全区各级卫生健康监督机构及其执法人员底档，并具备相应统计汇总功能，统计结果以图表的方式进行数据呈现，支持进行可视化展示。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（2）监督检查与案件查处情况统计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用于对日常监督检查、专项监督检查、双随机检查抽查、案件查处等情况的统计汇总与分析，统计结果以图表的方式进行数据呈现，支持进行可视化展示。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（3）处理劳动者反馈意见</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根据反馈意见，分层分级分属地处理。处理意见字典包括：需核实后处理、不处理、已处理。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13.联动协作处理模块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各机构、各部门之间协调工作安排。用于可以制定监督检查协作计划、对监督检查协作人员、时间安排等。考虑到自治区卫生监督所存在联合执法需要，本项目新建设的广西职业健康信息综合管理系统应当能够实现与自治区市场监督局的联合执法系统进行对接，促进部门间的联合执法行动，有效降低基层执法人员的工作量。</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（1）联动协作计划</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①联动协作计划申请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用于申请联动协作计划。管理部门可以编写联动协作计划，选择需要联动协作的部门和人员，安排联动协作时间等，联动协作计划编辑完成后，需提交申请审核。</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②联动协作计划审核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用于审核联动协作计划。管理部门可以对上报的联动协作计划进行审核，通过审核的联动协作计划可以正式执行；未通过审核的联动协作计划退回给申请人。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（2）联动协作情况登记</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①联动协作记录</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用于记录联动协作的情况。管理部门可以录入各个部门的工作情况和部门之间的协作情况。</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②联动协作结果</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用于查看联动协作结果。计划申请人可以录入本次联动协作的成果，所有用户可以查看到本次联动协作结果。联动协作记录和联动协作结果支持导出和下载。</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14.职业病危害专项治理模块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查看用人单位上报的单位职业病危害治理情况。所查看的数据至少包含：用人单位基本信息、职业病危害因素接触信息、职业健康检查信息、治理前后职业病危害因素检测信息、治理前后工程防护信息、治理前后个体防护信息、治理前后职业健康管理措施等7项数据。如有已建系统采集了数据，则将自动填充，避免二次录入。</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（1）专项治理信息审核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属地管理用户登录系统查看待管理确认对象。核实用人单位是否正常经营。核实用人单位是否存在职业病危害因素。核实用人单位基本信息，包括作业场所地址、行业类别、经济性质、企业规模、从业人数等。完善用人单位的职业卫生管理人员联系信息。</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（2）专项治理对象纳入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专项治理对象，由属地管理用户进行管理，各属地管理员仅能够查看当前属地的用人单位信息，仅自治区级管理用户有查看所有用人单项信息的完整权限。关联职业健康技术服务机构系统出具的检测报告、职业健康检查机构系统出具的检查报告、职业病项目危害申报模块、用人单位应用系统基础信息等，自动将用人单位接触危害因素，从业人员大于10人且，粉尘、毒物或噪声岗位检测出岗位超标（检测或监测），近三年未开展职业病危害因素定期检测的工业企业等数据信息与管理用户设置的阈值进行比对，一旦满足纳入专项治理的条件，系统自动将用人单位纳入待确认模块，由各政管理部门确定是否将用人单位纳入专项治理名单或各政管理部门可根据本地实际情况自行安排纳入与否，如从业人员数量小于等于10人但由粉尘、毒物或噪声中任意一种或多种因素超标的工业企业，如存在其他物理因素超标的工业企业等。并应当支持属地管理用户自动设置判断项以及阈值，支持各行政管理部门根据本地实际情况自行安排用人单位纳入专项治理名单。</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（3）专项治理名单管理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支持专项治理名单的增、删、改、查。可对需专项治理的企业进行名单确认，确认后将发送短信通知用人单位被作为治理对象，短信内容包括：整治记录编号及填写模块。确认后支持撤销操作，撤销后需重新确认。再次确认后，系统会再次发送短信给该用人单位管理人员。</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（4）用人单位信息完善</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被纳入专项整治名单的企业需进行信息完善。需完善内容包括：经营状态（经营正常/经营已关闭）、是否属于本辖区企业（非本辖区企业会退回上级管理部门进行确认）、是否存在职业病危害因素、是否申报职业病检测、用人单位工作人员是否大于10人，是否按要求开展检测、是否存在超标等根据实际情况进行完善填报。</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（5）批量确认功能</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系统应当支持批量确认功能，包括用人单位信息批量确认和专项治理批量确认。其中，对于用人单位信息不全的记录，系统将不予确认，需完成信息补充后方可勾选。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（6）专项治理行政审核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各级行政管理部门可查看属地用人单位提交的检测、检查报告，对其进行审核，根据专项整治流程，确认用人单位出具的检查报告是否合格，相关信息应当支持在线查看。若报告格式或出具报告的职业卫生技术服务机构资质不符合要求的，应当标明不合格原因，并将检测报告退回。</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（7）专项治理进度统计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专项治理进度，统计内容包括：企业所在地、企业档案数、治理对象数、确认整改数、未确认整改数、整改进行中单位、整改合格数、整改不合格数、整改效果确认数。统计内容可按照地区、行业、经济类型、企业规模进行治理进度统计，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（8）专项治理结果统计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统计专项治理结果，统计内容包括：治理对象数、申报率、工作场所、监测数、监测率、开展治理数、治理合格数、治理不合格数、治理合格率。统计内容可按照地区、行业、经济类型、企业规模进行治理进度统计，统计结果以图表的方式进行数据呈现，支持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（9）专项治理结果查询。</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查询专项治理结果，支持通过地区、单位名称、行业类别、企业规模、治理对象确认时间、治理效果确认时间、超标危害因素、危害因素、整改后异常危害因素、是否申报、是否监测等维度对专项治理结果进行查询。查询信息包括地区、单位名称、单位地址、行业类别、经济性质、企业规模、联系人、联系电话、是否申报、是否监测、整改阶段、整改结果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15.职业病防治经费信息管理</w:t>
            </w:r>
          </w:p>
          <w:p>
            <w:pPr>
              <w:widowControl/>
              <w:adjustRightInd w:val="0"/>
              <w:spacing w:line="360" w:lineRule="exact"/>
              <w:ind w:firstLine="420" w:firstLineChars="200"/>
              <w:jc w:val="left"/>
              <w:rPr>
                <w:rFonts w:ascii="宋体" w:hAnsi="宋体" w:cs="宋体"/>
              </w:rPr>
            </w:pPr>
            <w:r>
              <w:rPr>
                <w:rFonts w:hint="eastAsia" w:ascii="宋体" w:hAnsi="宋体" w:cs="宋体"/>
              </w:rPr>
              <w:t>由各级疾控中心对于看用人单位职业病防治经费信息，其中包括登记职业病防治管理经费情况、宣教培训经费情况、职业病防护设施“三同时”经费情况、工程防护设施管理经费情况、应急救援设备经费情况、个人防护用品经费情况、职业健康监护经费情况、职业病诊疗鉴定经费情况、工伤保险经费情况进行统计等。由用人单位对本单位的职业病防治经费信息进行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16.质控模块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质控模块要求职业健康检查机构、职业病诊断机构、职业卫生技术服务机构在完成工作后将用人单位基本信息、参与技术服务技术人员、职业病危害因素检测结果、技术服务过程图像和技术服务检测报告等信息上传到质控模块。质控模块将与职业健康检查、职业卫生监督等平台实现互联互通，方便对职业卫生技术服务机构进行质量检查，又可以实时掌握全区用人单位开展职业病危害因素检测情况，为卫生监督部门的精准高效监督提供帮助。本模块将对全区各市、县（区）开放，各地区的职业卫生监管、监督部门和职业卫生技术质量控制中心可以在平台中查阅本地区的职业卫生技术服务情况，并且可对相关信息进行统计分析。并对考核指标共36项进行录入，系统对当年度各个考核机构的36项内容进行录入，形成当年度全区职业健康检查机构的考核结果统计。36项考核内容包括人员配置、仪器设备配置、质管部门、质量管理制度、职业健康检查前质量控制、职业健康检查过程中质量控制、职业健康检查后质量控制、数据报送的完整性、数据报送的及时性、数据报送的准确性、疑似职业病报送及时性。</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（1）职业健康检查机构质量控制</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对职业健康检查机构进行质量控制，包括每年在固定时间填报职业健康检查机构能力保持情况表、职业健康检查项目表、职业健康检查执业医师等相关医疗卫生技术人员情况表、职业健康检查仪器和设备清单等，表格样式如表3、表4、表5、表6所示：</w:t>
            </w:r>
          </w:p>
          <w:p>
            <w:pPr>
              <w:pStyle w:val="15"/>
              <w:jc w:val="center"/>
              <w:rPr>
                <w:rFonts w:hint="eastAsia"/>
              </w:rPr>
            </w:pPr>
          </w:p>
          <w:p>
            <w:pPr>
              <w:pStyle w:val="15"/>
              <w:jc w:val="center"/>
            </w:pPr>
            <w:r>
              <w:rPr>
                <w:rFonts w:hint="eastAsia"/>
              </w:rPr>
              <w:t>表 3表格样式</w:t>
            </w:r>
          </w:p>
          <w:tbl>
            <w:tblPr>
              <w:tblStyle w:val="44"/>
              <w:tblW w:w="852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58"/>
              <w:gridCol w:w="1316"/>
              <w:gridCol w:w="1334"/>
              <w:gridCol w:w="1564"/>
              <w:gridCol w:w="1334"/>
              <w:gridCol w:w="121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8" w:hRule="atLeast"/>
                <w:jc w:val="center"/>
              </w:trPr>
              <w:tc>
                <w:tcPr>
                  <w:tcW w:w="17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left"/>
                    <w:rPr>
                      <w:rFonts w:ascii="宋体" w:hAnsi="宋体" w:cs="宋体"/>
                    </w:rPr>
                  </w:pPr>
                  <w:r>
                    <w:rPr>
                      <w:rFonts w:hint="eastAsia" w:ascii="宋体" w:hAnsi="宋体" w:cs="宋体"/>
                    </w:rPr>
                    <w:t>填报单位名称</w:t>
                  </w:r>
                </w:p>
              </w:tc>
              <w:tc>
                <w:tcPr>
                  <w:tcW w:w="6762" w:type="dxa"/>
                  <w:gridSpan w:val="5"/>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7" w:hRule="atLeast"/>
                <w:jc w:val="center"/>
              </w:trPr>
              <w:tc>
                <w:tcPr>
                  <w:tcW w:w="17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单位地址</w:t>
                  </w:r>
                </w:p>
              </w:tc>
              <w:tc>
                <w:tcPr>
                  <w:tcW w:w="4214"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p>
              </w:tc>
              <w:tc>
                <w:tcPr>
                  <w:tcW w:w="133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left"/>
                    <w:rPr>
                      <w:rFonts w:ascii="宋体" w:hAnsi="宋体" w:cs="宋体"/>
                    </w:rPr>
                  </w:pPr>
                  <w:r>
                    <w:rPr>
                      <w:rFonts w:hint="eastAsia" w:ascii="宋体" w:hAnsi="宋体" w:cs="宋体"/>
                    </w:rPr>
                    <w:t>邮政编码</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7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left"/>
                    <w:rPr>
                      <w:rFonts w:ascii="宋体" w:hAnsi="宋体" w:cs="宋体"/>
                    </w:rPr>
                  </w:pPr>
                  <w:r>
                    <w:rPr>
                      <w:rFonts w:hint="eastAsia" w:ascii="宋体" w:hAnsi="宋体" w:cs="宋体"/>
                    </w:rPr>
                    <w:t>组织机构代码</w:t>
                  </w:r>
                </w:p>
              </w:tc>
              <w:tc>
                <w:tcPr>
                  <w:tcW w:w="2650" w:type="dxa"/>
                  <w:gridSpan w:val="2"/>
                  <w:tcBorders>
                    <w:top w:val="single" w:color="auto" w:sz="4" w:space="0"/>
                    <w:left w:val="single" w:color="auto" w:sz="4" w:space="0"/>
                    <w:bottom w:val="single" w:color="auto" w:sz="4" w:space="0"/>
                    <w:right w:val="nil"/>
                  </w:tcBorders>
                  <w:vAlign w:val="center"/>
                </w:tcPr>
                <w:p>
                  <w:pPr>
                    <w:widowControl/>
                    <w:adjustRightInd w:val="0"/>
                    <w:snapToGrid w:val="0"/>
                    <w:spacing w:line="360" w:lineRule="exact"/>
                    <w:ind w:firstLine="420" w:firstLineChars="200"/>
                    <w:jc w:val="left"/>
                    <w:rPr>
                      <w:rFonts w:ascii="宋体" w:hAnsi="宋体" w:cs="宋体"/>
                    </w:rPr>
                  </w:pPr>
                </w:p>
              </w:tc>
              <w:tc>
                <w:tcPr>
                  <w:tcW w:w="156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经济类型</w:t>
                  </w:r>
                </w:p>
              </w:tc>
              <w:tc>
                <w:tcPr>
                  <w:tcW w:w="2548" w:type="dxa"/>
                  <w:gridSpan w:val="2"/>
                  <w:tcBorders>
                    <w:top w:val="single" w:color="auto" w:sz="4" w:space="0"/>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7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电   话</w:t>
                  </w:r>
                </w:p>
              </w:tc>
              <w:tc>
                <w:tcPr>
                  <w:tcW w:w="1316" w:type="dxa"/>
                  <w:tcBorders>
                    <w:top w:val="single" w:color="auto" w:sz="4" w:space="0"/>
                    <w:left w:val="single" w:color="auto" w:sz="4" w:space="0"/>
                    <w:bottom w:val="single" w:color="auto" w:sz="4" w:space="0"/>
                    <w:right w:val="nil"/>
                  </w:tcBorders>
                  <w:vAlign w:val="center"/>
                </w:tcPr>
                <w:p>
                  <w:pPr>
                    <w:widowControl/>
                    <w:adjustRightInd w:val="0"/>
                    <w:snapToGrid w:val="0"/>
                    <w:spacing w:line="360" w:lineRule="exact"/>
                    <w:ind w:firstLine="420" w:firstLineChars="200"/>
                    <w:jc w:val="left"/>
                    <w:rPr>
                      <w:rFonts w:ascii="宋体" w:hAnsi="宋体" w:cs="宋体"/>
                    </w:rPr>
                  </w:pPr>
                </w:p>
              </w:tc>
              <w:tc>
                <w:tcPr>
                  <w:tcW w:w="1334" w:type="dxa"/>
                  <w:tcBorders>
                    <w:top w:val="single" w:color="auto" w:sz="4" w:space="0"/>
                    <w:left w:val="single" w:color="auto" w:sz="4" w:space="0"/>
                    <w:bottom w:val="single" w:color="auto" w:sz="4" w:space="0"/>
                    <w:right w:val="nil"/>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传 真</w:t>
                  </w:r>
                </w:p>
              </w:tc>
              <w:tc>
                <w:tcPr>
                  <w:tcW w:w="156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p>
              </w:tc>
              <w:tc>
                <w:tcPr>
                  <w:tcW w:w="133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left"/>
                    <w:rPr>
                      <w:rFonts w:ascii="宋体" w:hAnsi="宋体" w:cs="宋体"/>
                    </w:rPr>
                  </w:pPr>
                  <w:r>
                    <w:rPr>
                      <w:rFonts w:hint="eastAsia" w:ascii="宋体" w:hAnsi="宋体" w:cs="宋体"/>
                    </w:rPr>
                    <w:t>电子邮件</w:t>
                  </w:r>
                </w:p>
              </w:tc>
              <w:tc>
                <w:tcPr>
                  <w:tcW w:w="1214" w:type="dxa"/>
                  <w:tcBorders>
                    <w:top w:val="single" w:color="auto" w:sz="4" w:space="0"/>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7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法定代表人</w:t>
                  </w:r>
                </w:p>
              </w:tc>
              <w:tc>
                <w:tcPr>
                  <w:tcW w:w="1316" w:type="dxa"/>
                  <w:tcBorders>
                    <w:top w:val="single" w:color="auto" w:sz="4" w:space="0"/>
                    <w:left w:val="single" w:color="auto" w:sz="4" w:space="0"/>
                    <w:bottom w:val="single" w:color="auto" w:sz="4" w:space="0"/>
                    <w:right w:val="nil"/>
                  </w:tcBorders>
                  <w:vAlign w:val="center"/>
                </w:tcPr>
                <w:p>
                  <w:pPr>
                    <w:widowControl/>
                    <w:adjustRightInd w:val="0"/>
                    <w:snapToGrid w:val="0"/>
                    <w:spacing w:line="360" w:lineRule="exact"/>
                    <w:ind w:firstLine="420" w:firstLineChars="200"/>
                    <w:jc w:val="left"/>
                    <w:rPr>
                      <w:rFonts w:ascii="宋体" w:hAnsi="宋体" w:cs="宋体"/>
                    </w:rPr>
                  </w:pPr>
                </w:p>
              </w:tc>
              <w:tc>
                <w:tcPr>
                  <w:tcW w:w="1334" w:type="dxa"/>
                  <w:tcBorders>
                    <w:top w:val="single" w:color="auto" w:sz="4" w:space="0"/>
                    <w:left w:val="single" w:color="auto" w:sz="4" w:space="0"/>
                    <w:bottom w:val="single" w:color="auto" w:sz="4" w:space="0"/>
                    <w:right w:val="nil"/>
                  </w:tcBorders>
                  <w:vAlign w:val="center"/>
                </w:tcPr>
                <w:p>
                  <w:pPr>
                    <w:widowControl/>
                    <w:adjustRightInd w:val="0"/>
                    <w:snapToGrid w:val="0"/>
                    <w:spacing w:line="360" w:lineRule="exact"/>
                    <w:jc w:val="left"/>
                    <w:rPr>
                      <w:rFonts w:ascii="宋体" w:hAnsi="宋体" w:cs="宋体"/>
                    </w:rPr>
                  </w:pPr>
                  <w:r>
                    <w:rPr>
                      <w:rFonts w:hint="eastAsia" w:ascii="宋体" w:hAnsi="宋体" w:cs="宋体"/>
                    </w:rPr>
                    <w:t>身份证号码</w:t>
                  </w:r>
                </w:p>
              </w:tc>
              <w:tc>
                <w:tcPr>
                  <w:tcW w:w="156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p>
              </w:tc>
              <w:tc>
                <w:tcPr>
                  <w:tcW w:w="133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left"/>
                    <w:rPr>
                      <w:rFonts w:ascii="宋体" w:hAnsi="宋体" w:cs="宋体"/>
                    </w:rPr>
                  </w:pPr>
                  <w:r>
                    <w:rPr>
                      <w:rFonts w:hint="eastAsia" w:ascii="宋体" w:hAnsi="宋体" w:cs="宋体"/>
                    </w:rPr>
                    <w:t>职务/职称</w:t>
                  </w:r>
                </w:p>
              </w:tc>
              <w:tc>
                <w:tcPr>
                  <w:tcW w:w="1214" w:type="dxa"/>
                  <w:tcBorders>
                    <w:top w:val="single" w:color="auto" w:sz="4" w:space="0"/>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jc w:val="center"/>
              </w:trPr>
              <w:tc>
                <w:tcPr>
                  <w:tcW w:w="307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left"/>
                    <w:rPr>
                      <w:rFonts w:ascii="宋体" w:hAnsi="宋体" w:cs="宋体"/>
                    </w:rPr>
                  </w:pPr>
                  <w:r>
                    <w:rPr>
                      <w:rFonts w:hint="eastAsia" w:ascii="宋体" w:hAnsi="宋体" w:cs="宋体"/>
                    </w:rPr>
                    <w:t>职业健康检查专业技术人员数</w:t>
                  </w:r>
                </w:p>
              </w:tc>
              <w:tc>
                <w:tcPr>
                  <w:tcW w:w="5446" w:type="dxa"/>
                  <w:gridSpan w:val="4"/>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 xml:space="preserve">      ；其中，执业（助理）医师人数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jc w:val="center"/>
              </w:trPr>
              <w:tc>
                <w:tcPr>
                  <w:tcW w:w="307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left"/>
                    <w:rPr>
                      <w:rFonts w:ascii="宋体" w:hAnsi="宋体" w:cs="宋体"/>
                    </w:rPr>
                  </w:pPr>
                  <w:r>
                    <w:rPr>
                      <w:rFonts w:hint="eastAsia" w:ascii="宋体" w:hAnsi="宋体" w:cs="宋体"/>
                      <w:szCs w:val="21"/>
                    </w:rPr>
                    <w:t>是否参加了实验室间比对和室间质评</w:t>
                  </w:r>
                </w:p>
              </w:tc>
              <w:tc>
                <w:tcPr>
                  <w:tcW w:w="5446" w:type="dxa"/>
                  <w:gridSpan w:val="4"/>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64" w:hRule="atLeast"/>
                <w:jc w:val="center"/>
              </w:trPr>
              <w:tc>
                <w:tcPr>
                  <w:tcW w:w="17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rPr>
                  </w:pPr>
                  <w:r>
                    <w:rPr>
                      <w:rFonts w:hint="eastAsia" w:ascii="宋体" w:hAnsi="宋体" w:cs="宋体"/>
                    </w:rPr>
                    <w:t>开展检查项目类别</w:t>
                  </w:r>
                </w:p>
              </w:tc>
              <w:tc>
                <w:tcPr>
                  <w:tcW w:w="6762" w:type="dxa"/>
                  <w:gridSpan w:val="5"/>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1.接触粉尘类       （ ）      2.接触化学因素类       （ ）</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3.接触物理因素类   （ ）      4.接触生物因素类       （ ）</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5.接触放射因素类   （ ）      6.其他类（特殊作业等）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03" w:hRule="atLeast"/>
                <w:jc w:val="center"/>
              </w:trPr>
              <w:tc>
                <w:tcPr>
                  <w:tcW w:w="8520" w:type="dxa"/>
                  <w:gridSpan w:val="6"/>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本单位保证上述资料属实。</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备案单位法定代表人：　　　       备案单位：</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（签章）                    （公章）</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 xml:space="preserve">年   月   日　 </w:t>
                  </w:r>
                </w:p>
              </w:tc>
            </w:tr>
          </w:tbl>
          <w:p>
            <w:pPr>
              <w:pStyle w:val="15"/>
              <w:widowControl/>
              <w:adjustRightInd w:val="0"/>
              <w:snapToGrid w:val="0"/>
              <w:spacing w:line="360" w:lineRule="exact"/>
              <w:ind w:firstLine="400" w:firstLineChars="200"/>
              <w:jc w:val="center"/>
            </w:pPr>
            <w:r>
              <w:rPr>
                <w:rFonts w:hint="eastAsia"/>
              </w:rPr>
              <w:t>表4 当前开展职业健康检查的项目</w:t>
            </w:r>
          </w:p>
          <w:tbl>
            <w:tblPr>
              <w:tblStyle w:val="44"/>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2"/>
              <w:gridCol w:w="1619"/>
              <w:gridCol w:w="2478"/>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职业健康检查项目</w:t>
                  </w:r>
                </w:p>
              </w:tc>
              <w:tc>
                <w:tcPr>
                  <w:tcW w:w="1619" w:type="dxa"/>
                  <w:vAlign w:val="center"/>
                </w:tcPr>
                <w:p>
                  <w:pPr>
                    <w:widowControl/>
                    <w:adjustRightInd w:val="0"/>
                    <w:snapToGrid w:val="0"/>
                    <w:jc w:val="left"/>
                    <w:rPr>
                      <w:rFonts w:ascii="宋体" w:hAnsi="宋体" w:cs="宋体"/>
                    </w:rPr>
                  </w:pPr>
                  <w:r>
                    <w:rPr>
                      <w:rFonts w:hint="eastAsia" w:ascii="宋体" w:hAnsi="宋体" w:cs="宋体"/>
                    </w:rPr>
                    <w:t>是否开展</w:t>
                  </w:r>
                </w:p>
                <w:p>
                  <w:pPr>
                    <w:widowControl/>
                    <w:adjustRightInd w:val="0"/>
                    <w:snapToGrid w:val="0"/>
                    <w:jc w:val="left"/>
                    <w:rPr>
                      <w:rFonts w:ascii="宋体" w:hAnsi="宋体" w:cs="宋体"/>
                    </w:rPr>
                  </w:pPr>
                  <w:r>
                    <w:rPr>
                      <w:rFonts w:hint="eastAsia" w:ascii="宋体" w:hAnsi="宋体" w:cs="宋体"/>
                    </w:rPr>
                    <w:t>(开展请划√)</w:t>
                  </w:r>
                </w:p>
              </w:tc>
              <w:tc>
                <w:tcPr>
                  <w:tcW w:w="2478" w:type="dxa"/>
                  <w:vAlign w:val="center"/>
                </w:tcPr>
                <w:p>
                  <w:pPr>
                    <w:widowControl/>
                    <w:adjustRightInd w:val="0"/>
                    <w:snapToGrid w:val="0"/>
                    <w:jc w:val="left"/>
                    <w:rPr>
                      <w:rFonts w:ascii="宋体" w:hAnsi="宋体" w:cs="宋体"/>
                    </w:rPr>
                  </w:pPr>
                  <w:r>
                    <w:rPr>
                      <w:rFonts w:hint="eastAsia" w:ascii="宋体" w:hAnsi="宋体" w:cs="宋体"/>
                    </w:rPr>
                    <w:t>是否具备相应生物样本检测能力(具备请划√)</w:t>
                  </w:r>
                </w:p>
              </w:tc>
              <w:tc>
                <w:tcPr>
                  <w:tcW w:w="1749" w:type="dxa"/>
                  <w:vAlign w:val="center"/>
                </w:tcPr>
                <w:p>
                  <w:pPr>
                    <w:widowControl/>
                    <w:adjustRightInd w:val="0"/>
                    <w:snapToGrid w:val="0"/>
                    <w:jc w:val="left"/>
                    <w:rPr>
                      <w:rFonts w:ascii="宋体" w:hAnsi="宋体" w:cs="宋体"/>
                    </w:rPr>
                  </w:pPr>
                  <w:r>
                    <w:rPr>
                      <w:rFonts w:hint="eastAsia" w:ascii="宋体" w:hAnsi="宋体" w:cs="宋体"/>
                    </w:rPr>
                    <w:t>备注（是否外送）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511" w:type="dxa"/>
                  <w:gridSpan w:val="2"/>
                  <w:vAlign w:val="center"/>
                </w:tcPr>
                <w:p>
                  <w:pPr>
                    <w:widowControl/>
                    <w:adjustRightInd w:val="0"/>
                    <w:snapToGrid w:val="0"/>
                    <w:jc w:val="left"/>
                    <w:rPr>
                      <w:rFonts w:ascii="宋体" w:hAnsi="宋体" w:cs="宋体"/>
                    </w:rPr>
                  </w:pPr>
                  <w:r>
                    <w:fldChar w:fldCharType="begin"/>
                  </w:r>
                  <w:r>
                    <w:instrText xml:space="preserve">HYPERLINK "file:///E:\\yang_bak\\杨爱初\\2019\\协会\\备案项目登记表.xls" \l "RANGE!_Toc488242148"</w:instrText>
                  </w:r>
                  <w:r>
                    <w:fldChar w:fldCharType="separate"/>
                  </w:r>
                  <w:r>
                    <w:rPr>
                      <w:rFonts w:hint="eastAsia" w:ascii="宋体" w:hAnsi="宋体" w:cs="宋体"/>
                    </w:rPr>
                    <w:t>1 粉尘作业劳动者职业健康监护</w:t>
                  </w:r>
                  <w:r>
                    <w:fldChar w:fldCharType="end"/>
                  </w:r>
                </w:p>
              </w:tc>
              <w:tc>
                <w:tcPr>
                  <w:tcW w:w="2478" w:type="dxa"/>
                  <w:vAlign w:val="center"/>
                </w:tcPr>
                <w:p>
                  <w:pPr>
                    <w:widowControl/>
                    <w:adjustRightInd w:val="0"/>
                    <w:snapToGrid w:val="0"/>
                    <w:ind w:firstLine="420" w:firstLineChars="200"/>
                    <w:jc w:val="left"/>
                    <w:rPr>
                      <w:rFonts w:ascii="Calibri" w:hAnsi="Calibri"/>
                    </w:rPr>
                  </w:pPr>
                </w:p>
              </w:tc>
              <w:tc>
                <w:tcPr>
                  <w:tcW w:w="1749" w:type="dxa"/>
                  <w:vAlign w:val="center"/>
                </w:tcPr>
                <w:p>
                  <w:pPr>
                    <w:widowControl/>
                    <w:adjustRightInd w:val="0"/>
                    <w:snapToGrid w:val="0"/>
                    <w:ind w:firstLine="420" w:firstLineChars="200"/>
                    <w:jc w:val="left"/>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1.1 游离二氧化硅粉尘（结晶型二氧化硅粉尘）</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1.2 煤尘</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1.3 石棉粉尘</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1.4 其他致尘肺病的无机粉尘</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1.5 棉尘（包括亚麻、软大麻、黄麻粉尘）</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1.6 有机粉尘</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1.7 金属及其化合物粉尘（锡、铁、锑、钡及其化合物等）</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1.8 硬金属粉尘</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1.9 毛沸石粉尘</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511" w:type="dxa"/>
                  <w:gridSpan w:val="2"/>
                  <w:vAlign w:val="center"/>
                </w:tcPr>
                <w:p>
                  <w:pPr>
                    <w:widowControl/>
                    <w:adjustRightInd w:val="0"/>
                    <w:snapToGrid w:val="0"/>
                    <w:jc w:val="left"/>
                    <w:rPr>
                      <w:rFonts w:ascii="宋体" w:hAnsi="宋体" w:cs="宋体"/>
                    </w:rPr>
                  </w:pPr>
                  <w:r>
                    <w:fldChar w:fldCharType="begin"/>
                  </w:r>
                  <w:r>
                    <w:instrText xml:space="preserve">HYPERLINK "file:///E:\\yang_bak\\杨爱初\\2019\\协会\\备案项目登记表.xls" \l "RANGE!_Toc488242081"</w:instrText>
                  </w:r>
                  <w:r>
                    <w:fldChar w:fldCharType="separate"/>
                  </w:r>
                  <w:r>
                    <w:rPr>
                      <w:rFonts w:hint="eastAsia" w:ascii="宋体" w:hAnsi="宋体" w:cs="宋体"/>
                    </w:rPr>
                    <w:t>2 接触有害化学因素作业人员职业健康监护</w:t>
                  </w:r>
                  <w:r>
                    <w:fldChar w:fldCharType="end"/>
                  </w:r>
                </w:p>
              </w:tc>
              <w:tc>
                <w:tcPr>
                  <w:tcW w:w="2478" w:type="dxa"/>
                  <w:vAlign w:val="center"/>
                </w:tcPr>
                <w:p>
                  <w:pPr>
                    <w:widowControl/>
                    <w:adjustRightInd w:val="0"/>
                    <w:snapToGrid w:val="0"/>
                    <w:ind w:firstLine="420" w:firstLineChars="200"/>
                    <w:jc w:val="left"/>
                    <w:rPr>
                      <w:rFonts w:ascii="Calibri" w:hAnsi="Calibri"/>
                    </w:rPr>
                  </w:pPr>
                </w:p>
              </w:tc>
              <w:tc>
                <w:tcPr>
                  <w:tcW w:w="1749" w:type="dxa"/>
                  <w:vAlign w:val="center"/>
                </w:tcPr>
                <w:p>
                  <w:pPr>
                    <w:widowControl/>
                    <w:adjustRightInd w:val="0"/>
                    <w:snapToGrid w:val="0"/>
                    <w:ind w:firstLine="420" w:firstLineChars="200"/>
                    <w:jc w:val="left"/>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2.1 铅及其无机化合物</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2.2 四乙基铅</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2.3 汞及其无机化合物</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2.4 锰及其无机化合物</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2.5 铍及其无机化合物</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2.6 镉及其无机化合物</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2.7 铬及其无机化合物</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2.8 氧化锌</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2.9 砷</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2.10 砷化氢（砷化三氢）</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2.11 磷及其无机化合物</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2.12 磷化氢</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2.13 钡化合物</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2.14 钒及其无机化合物</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2.15 三烷基锡</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2.16 铊及其无机化合物</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2.17 羰基镍</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2.18 氟及其无机化合物</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2.19 苯</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2.20 二硫化碳</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2.21 四氯化碳</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2.22 甲醇</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2.23 汽油</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2.24 溴甲烷</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2.25 1，2-二氯乙烷</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2.26 正己烷</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2.27 苯的氨基与硝基化合物</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2.28 三硝基甲苯</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2.29 联苯胺</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2.30 氯气</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2.31 二氧化硫</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2.32 氮氧化物</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2.33 氨</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2.34 光气</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2.35 甲醛</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2.36 一甲胺</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2.37 一氧化碳</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2.38 硫化氢</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2.39 氯乙烯</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2.40 三氯乙烯</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2.41 氯丙烯</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2.42 氯丁二烯</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2.43 有机氟</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2.44 二异氰酸甲苯酯</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2.45 二甲基甲酰胺</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2.46 氰及腈类化合物</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2.47 酚（酚类化合物如甲酚、邻苯二酚、间苯二酚、对苯二酚等参照执行）</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2.48 五氯酚</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2.49 氯甲醚、双氯甲醚</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2.50 丙烯酰胺</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2.51 偏二甲基肼</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2.52 硫酸二甲酯</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2.53 有机磷</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2.54 氨基甲酸酯</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2.55 拟除虫菊酯类</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2.56 酸雾或酸酐</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2.57 致喘物</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2.58 焦炉逸散物</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2.59 甲苯（二甲苯参照执行）</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2.60 溴丙烷（1-溴丙烷或丙基溴）</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2.61 碘甲烷</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2.62 环氧乙烷</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2.63 氯乙酸</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2.64 铟及其化合物</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2.65 煤焦油、煤焦油沥青、石油沥青</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2.66 β-萘胺</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2.67 其他化学毒物（填写具体名称）</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511" w:type="dxa"/>
                  <w:gridSpan w:val="2"/>
                  <w:vAlign w:val="center"/>
                </w:tcPr>
                <w:p>
                  <w:pPr>
                    <w:widowControl/>
                    <w:adjustRightInd w:val="0"/>
                    <w:snapToGrid w:val="0"/>
                    <w:jc w:val="left"/>
                    <w:rPr>
                      <w:rFonts w:ascii="宋体" w:hAnsi="宋体" w:cs="宋体"/>
                    </w:rPr>
                  </w:pPr>
                  <w:r>
                    <w:rPr>
                      <w:rFonts w:hint="eastAsia" w:ascii="宋体" w:hAnsi="宋体" w:cs="宋体"/>
                    </w:rPr>
                    <w:t>3 接触有害物理因素作业人员职业健康监护</w:t>
                  </w: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3.1 噪声</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3.2 手传振动</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3.3 高温</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3.4 高气压（参见GB 20827）</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3.5 紫外辐射（紫外线）</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3.6 微波</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3.7 低温</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3.8 激光</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511" w:type="dxa"/>
                  <w:gridSpan w:val="2"/>
                  <w:vAlign w:val="center"/>
                </w:tcPr>
                <w:p>
                  <w:pPr>
                    <w:widowControl/>
                    <w:adjustRightInd w:val="0"/>
                    <w:snapToGrid w:val="0"/>
                    <w:jc w:val="left"/>
                    <w:rPr>
                      <w:rFonts w:ascii="宋体" w:hAnsi="宋体" w:cs="宋体"/>
                    </w:rPr>
                  </w:pPr>
                  <w:r>
                    <w:rPr>
                      <w:rFonts w:hint="eastAsia" w:ascii="宋体" w:hAnsi="宋体" w:cs="宋体"/>
                    </w:rPr>
                    <w:t>4 接触有害生物因素作业人员职业健康监护</w:t>
                  </w: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4.1 布鲁氏菌</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4.2 炭疽杆菌</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4.3森林脑炎病毒</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4.4伯氏疏螺旋体</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4.5 人免疫缺陷病毒（艾滋病病毒）</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511" w:type="dxa"/>
                  <w:gridSpan w:val="2"/>
                  <w:vAlign w:val="center"/>
                </w:tcPr>
                <w:p>
                  <w:pPr>
                    <w:widowControl/>
                    <w:adjustRightInd w:val="0"/>
                    <w:snapToGrid w:val="0"/>
                    <w:jc w:val="left"/>
                    <w:rPr>
                      <w:rFonts w:ascii="宋体" w:hAnsi="宋体" w:cs="宋体"/>
                    </w:rPr>
                  </w:pPr>
                  <w:r>
                    <w:rPr>
                      <w:rFonts w:hint="eastAsia" w:ascii="宋体" w:hAnsi="宋体" w:cs="宋体"/>
                    </w:rPr>
                    <w:t>5.电离辐射作业人员职业健康监护</w:t>
                  </w: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5.1 内照射作业</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5.2 外照射作业</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511" w:type="dxa"/>
                  <w:gridSpan w:val="2"/>
                  <w:vAlign w:val="center"/>
                </w:tcPr>
                <w:p>
                  <w:pPr>
                    <w:widowControl/>
                    <w:adjustRightInd w:val="0"/>
                    <w:snapToGrid w:val="0"/>
                    <w:jc w:val="left"/>
                    <w:rPr>
                      <w:rFonts w:ascii="宋体" w:hAnsi="宋体" w:cs="宋体"/>
                    </w:rPr>
                  </w:pPr>
                  <w:r>
                    <w:fldChar w:fldCharType="begin"/>
                  </w:r>
                  <w:r>
                    <w:instrText xml:space="preserve">HYPERLINK "file:///E:\\yang_bak\\杨爱初\\2019\\协会\\备案项目登记表.xls" \l "RANGE!_Toc488242174"</w:instrText>
                  </w:r>
                  <w:r>
                    <w:fldChar w:fldCharType="separate"/>
                  </w:r>
                  <w:r>
                    <w:rPr>
                      <w:rFonts w:hint="eastAsia" w:ascii="宋体" w:hAnsi="宋体" w:cs="宋体"/>
                    </w:rPr>
                    <w:t>6 特殊作业人员职业健康监护</w:t>
                  </w:r>
                  <w:r>
                    <w:fldChar w:fldCharType="end"/>
                  </w:r>
                </w:p>
              </w:tc>
              <w:tc>
                <w:tcPr>
                  <w:tcW w:w="2478" w:type="dxa"/>
                  <w:vAlign w:val="center"/>
                </w:tcPr>
                <w:p>
                  <w:pPr>
                    <w:widowControl/>
                    <w:adjustRightInd w:val="0"/>
                    <w:snapToGrid w:val="0"/>
                    <w:ind w:firstLine="420" w:firstLineChars="200"/>
                    <w:jc w:val="left"/>
                    <w:rPr>
                      <w:rFonts w:ascii="Calibri" w:hAnsi="Calibri"/>
                    </w:rPr>
                  </w:pPr>
                </w:p>
              </w:tc>
              <w:tc>
                <w:tcPr>
                  <w:tcW w:w="1749" w:type="dxa"/>
                  <w:vAlign w:val="center"/>
                </w:tcPr>
                <w:p>
                  <w:pPr>
                    <w:widowControl/>
                    <w:adjustRightInd w:val="0"/>
                    <w:snapToGrid w:val="0"/>
                    <w:ind w:firstLine="420" w:firstLineChars="200"/>
                    <w:jc w:val="left"/>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6.1 电工作业</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6.2 高处作业</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6.3 压力容器作业</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6.4 职业机动车驾驶作业</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6.5 视屏作业</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6.6 高原作业</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6.7 航空作业</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92" w:type="dxa"/>
                  <w:vAlign w:val="center"/>
                </w:tcPr>
                <w:p>
                  <w:pPr>
                    <w:widowControl/>
                    <w:adjustRightInd w:val="0"/>
                    <w:snapToGrid w:val="0"/>
                    <w:jc w:val="left"/>
                    <w:rPr>
                      <w:rFonts w:ascii="宋体" w:hAnsi="宋体" w:cs="宋体"/>
                    </w:rPr>
                  </w:pPr>
                  <w:r>
                    <w:rPr>
                      <w:rFonts w:hint="eastAsia" w:ascii="宋体" w:hAnsi="宋体" w:cs="宋体"/>
                    </w:rPr>
                    <w:t>6.8 刮研作业</w:t>
                  </w:r>
                </w:p>
              </w:tc>
              <w:tc>
                <w:tcPr>
                  <w:tcW w:w="1619" w:type="dxa"/>
                  <w:vAlign w:val="center"/>
                </w:tcPr>
                <w:p>
                  <w:pPr>
                    <w:widowControl/>
                    <w:adjustRightInd w:val="0"/>
                    <w:snapToGrid w:val="0"/>
                    <w:ind w:firstLine="420" w:firstLineChars="200"/>
                    <w:jc w:val="left"/>
                    <w:rPr>
                      <w:rFonts w:ascii="宋体" w:hAnsi="宋体" w:cs="宋体"/>
                    </w:rPr>
                  </w:pPr>
                </w:p>
              </w:tc>
              <w:tc>
                <w:tcPr>
                  <w:tcW w:w="2478" w:type="dxa"/>
                  <w:vAlign w:val="center"/>
                </w:tcPr>
                <w:p>
                  <w:pPr>
                    <w:widowControl/>
                    <w:adjustRightInd w:val="0"/>
                    <w:snapToGrid w:val="0"/>
                    <w:ind w:firstLine="420" w:firstLineChars="200"/>
                    <w:jc w:val="left"/>
                    <w:rPr>
                      <w:rFonts w:ascii="宋体" w:hAnsi="宋体" w:cs="宋体"/>
                    </w:rPr>
                  </w:pPr>
                </w:p>
              </w:tc>
              <w:tc>
                <w:tcPr>
                  <w:tcW w:w="1749" w:type="dxa"/>
                  <w:vAlign w:val="center"/>
                </w:tcPr>
                <w:p>
                  <w:pPr>
                    <w:widowControl/>
                    <w:adjustRightInd w:val="0"/>
                    <w:snapToGrid w:val="0"/>
                    <w:ind w:firstLine="420" w:firstLineChars="200"/>
                    <w:jc w:val="left"/>
                    <w:rPr>
                      <w:rFonts w:ascii="宋体" w:hAnsi="宋体" w:cs="宋体"/>
                    </w:rPr>
                  </w:pPr>
                </w:p>
              </w:tc>
            </w:tr>
          </w:tbl>
          <w:p>
            <w:pPr>
              <w:pStyle w:val="15"/>
              <w:widowControl/>
              <w:adjustRightInd w:val="0"/>
              <w:snapToGrid w:val="0"/>
              <w:spacing w:line="360" w:lineRule="exact"/>
              <w:ind w:firstLine="400" w:firstLineChars="200"/>
              <w:jc w:val="center"/>
            </w:pPr>
            <w:r>
              <w:rPr>
                <w:rFonts w:hint="eastAsia"/>
              </w:rPr>
              <w:t>表5 职业健康检查执业医师等相关医疗卫生技术人员情况表</w:t>
            </w:r>
          </w:p>
          <w:tbl>
            <w:tblPr>
              <w:tblStyle w:val="44"/>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578"/>
              <w:gridCol w:w="762"/>
              <w:gridCol w:w="798"/>
              <w:gridCol w:w="709"/>
              <w:gridCol w:w="839"/>
              <w:gridCol w:w="838"/>
              <w:gridCol w:w="839"/>
              <w:gridCol w:w="1173"/>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dxa"/>
                  <w:vAlign w:val="center"/>
                </w:tcPr>
                <w:p>
                  <w:pPr>
                    <w:widowControl/>
                    <w:adjustRightInd w:val="0"/>
                    <w:snapToGrid w:val="0"/>
                    <w:spacing w:line="360" w:lineRule="exact"/>
                    <w:rPr>
                      <w:rFonts w:ascii="宋体" w:hAnsi="宋体" w:cs="宋体"/>
                    </w:rPr>
                  </w:pPr>
                  <w:r>
                    <w:rPr>
                      <w:rFonts w:hint="eastAsia" w:ascii="宋体" w:hAnsi="宋体" w:cs="宋体"/>
                    </w:rPr>
                    <w:t>姓  名</w:t>
                  </w:r>
                </w:p>
              </w:tc>
              <w:tc>
                <w:tcPr>
                  <w:tcW w:w="578" w:type="dxa"/>
                  <w:vAlign w:val="center"/>
                </w:tcPr>
                <w:p>
                  <w:pPr>
                    <w:widowControl/>
                    <w:adjustRightInd w:val="0"/>
                    <w:snapToGrid w:val="0"/>
                    <w:spacing w:line="360" w:lineRule="exact"/>
                    <w:rPr>
                      <w:rFonts w:ascii="宋体" w:hAnsi="宋体" w:cs="宋体"/>
                    </w:rPr>
                  </w:pPr>
                  <w:r>
                    <w:rPr>
                      <w:rFonts w:hint="eastAsia" w:ascii="宋体" w:hAnsi="宋体" w:cs="宋体"/>
                    </w:rPr>
                    <w:t>性别</w:t>
                  </w:r>
                </w:p>
              </w:tc>
              <w:tc>
                <w:tcPr>
                  <w:tcW w:w="762" w:type="dxa"/>
                  <w:vAlign w:val="center"/>
                </w:tcPr>
                <w:p>
                  <w:pPr>
                    <w:widowControl/>
                    <w:adjustRightInd w:val="0"/>
                    <w:snapToGrid w:val="0"/>
                    <w:spacing w:line="360" w:lineRule="exact"/>
                    <w:rPr>
                      <w:rFonts w:ascii="宋体" w:hAnsi="宋体" w:cs="宋体"/>
                    </w:rPr>
                  </w:pPr>
                  <w:r>
                    <w:rPr>
                      <w:rFonts w:hint="eastAsia" w:ascii="宋体" w:hAnsi="宋体" w:cs="宋体"/>
                    </w:rPr>
                    <w:t>出生年月</w:t>
                  </w:r>
                </w:p>
              </w:tc>
              <w:tc>
                <w:tcPr>
                  <w:tcW w:w="798" w:type="dxa"/>
                  <w:vAlign w:val="center"/>
                </w:tcPr>
                <w:p>
                  <w:pPr>
                    <w:widowControl/>
                    <w:adjustRightInd w:val="0"/>
                    <w:snapToGrid w:val="0"/>
                    <w:spacing w:line="360" w:lineRule="exact"/>
                    <w:rPr>
                      <w:rFonts w:ascii="宋体" w:hAnsi="宋体" w:cs="宋体"/>
                    </w:rPr>
                  </w:pPr>
                  <w:r>
                    <w:rPr>
                      <w:rFonts w:hint="eastAsia" w:ascii="宋体" w:hAnsi="宋体" w:cs="宋体"/>
                    </w:rPr>
                    <w:t>学历</w:t>
                  </w:r>
                </w:p>
              </w:tc>
              <w:tc>
                <w:tcPr>
                  <w:tcW w:w="709" w:type="dxa"/>
                  <w:vAlign w:val="center"/>
                </w:tcPr>
                <w:p>
                  <w:pPr>
                    <w:widowControl/>
                    <w:adjustRightInd w:val="0"/>
                    <w:snapToGrid w:val="0"/>
                    <w:spacing w:line="360" w:lineRule="exact"/>
                    <w:rPr>
                      <w:rFonts w:ascii="宋体" w:hAnsi="宋体" w:cs="宋体"/>
                    </w:rPr>
                  </w:pPr>
                  <w:r>
                    <w:rPr>
                      <w:rFonts w:hint="eastAsia" w:ascii="宋体" w:hAnsi="宋体" w:cs="宋体"/>
                    </w:rPr>
                    <w:t>职务/职称</w:t>
                  </w:r>
                </w:p>
              </w:tc>
              <w:tc>
                <w:tcPr>
                  <w:tcW w:w="839" w:type="dxa"/>
                  <w:vAlign w:val="center"/>
                </w:tcPr>
                <w:p>
                  <w:pPr>
                    <w:widowControl/>
                    <w:adjustRightInd w:val="0"/>
                    <w:snapToGrid w:val="0"/>
                    <w:spacing w:line="360" w:lineRule="exact"/>
                    <w:rPr>
                      <w:rFonts w:ascii="宋体" w:hAnsi="宋体" w:cs="宋体"/>
                    </w:rPr>
                  </w:pPr>
                  <w:r>
                    <w:rPr>
                      <w:rFonts w:hint="eastAsia" w:ascii="宋体" w:hAnsi="宋体" w:cs="宋体"/>
                    </w:rPr>
                    <w:t>所在科室</w:t>
                  </w:r>
                </w:p>
              </w:tc>
              <w:tc>
                <w:tcPr>
                  <w:tcW w:w="838" w:type="dxa"/>
                  <w:vAlign w:val="center"/>
                </w:tcPr>
                <w:p>
                  <w:pPr>
                    <w:widowControl/>
                    <w:adjustRightInd w:val="0"/>
                    <w:snapToGrid w:val="0"/>
                    <w:spacing w:line="360" w:lineRule="exact"/>
                    <w:rPr>
                      <w:rFonts w:ascii="宋体" w:hAnsi="宋体" w:cs="宋体"/>
                    </w:rPr>
                  </w:pPr>
                  <w:r>
                    <w:rPr>
                      <w:rFonts w:hint="eastAsia" w:ascii="宋体" w:hAnsi="宋体" w:cs="宋体"/>
                    </w:rPr>
                    <w:t>从事专业</w:t>
                  </w:r>
                </w:p>
              </w:tc>
              <w:tc>
                <w:tcPr>
                  <w:tcW w:w="839" w:type="dxa"/>
                  <w:vAlign w:val="center"/>
                </w:tcPr>
                <w:p>
                  <w:pPr>
                    <w:widowControl/>
                    <w:adjustRightInd w:val="0"/>
                    <w:snapToGrid w:val="0"/>
                    <w:spacing w:line="360" w:lineRule="exact"/>
                    <w:rPr>
                      <w:rFonts w:ascii="宋体" w:hAnsi="宋体" w:cs="宋体"/>
                    </w:rPr>
                  </w:pPr>
                  <w:r>
                    <w:rPr>
                      <w:rFonts w:hint="eastAsia" w:ascii="宋体" w:hAnsi="宋体" w:cs="宋体"/>
                    </w:rPr>
                    <w:t>工作年限</w:t>
                  </w:r>
                </w:p>
              </w:tc>
              <w:tc>
                <w:tcPr>
                  <w:tcW w:w="1173" w:type="dxa"/>
                  <w:vAlign w:val="center"/>
                </w:tcPr>
                <w:p>
                  <w:pPr>
                    <w:widowControl/>
                    <w:adjustRightInd w:val="0"/>
                    <w:snapToGrid w:val="0"/>
                    <w:spacing w:line="360" w:lineRule="exact"/>
                    <w:rPr>
                      <w:rFonts w:ascii="宋体" w:hAnsi="宋体" w:cs="宋体"/>
                    </w:rPr>
                  </w:pPr>
                  <w:r>
                    <w:rPr>
                      <w:rFonts w:hint="eastAsia" w:ascii="宋体" w:hAnsi="宋体" w:cs="宋体"/>
                    </w:rPr>
                    <w:t>从事职业健康检查工作年限</w:t>
                  </w:r>
                </w:p>
              </w:tc>
              <w:tc>
                <w:tcPr>
                  <w:tcW w:w="1331" w:type="dxa"/>
                  <w:vAlign w:val="center"/>
                </w:tcPr>
                <w:p>
                  <w:pPr>
                    <w:widowControl/>
                    <w:adjustRightInd w:val="0"/>
                    <w:snapToGrid w:val="0"/>
                    <w:spacing w:line="360" w:lineRule="exact"/>
                    <w:rPr>
                      <w:rFonts w:ascii="宋体" w:hAnsi="宋体" w:cs="宋体"/>
                    </w:rPr>
                  </w:pPr>
                  <w:r>
                    <w:rPr>
                      <w:rFonts w:hint="eastAsia" w:ascii="宋体" w:hAnsi="宋体" w:cs="宋体"/>
                    </w:rPr>
                    <w:t>取得职业病诊断等相关资格日期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50" w:type="dxa"/>
                </w:tcPr>
                <w:p>
                  <w:pPr>
                    <w:widowControl/>
                    <w:adjustRightInd w:val="0"/>
                    <w:snapToGrid w:val="0"/>
                    <w:spacing w:line="360" w:lineRule="exact"/>
                    <w:ind w:firstLine="420" w:firstLineChars="200"/>
                    <w:jc w:val="left"/>
                    <w:rPr>
                      <w:rFonts w:ascii="宋体" w:hAnsi="宋体" w:cs="宋体"/>
                    </w:rPr>
                  </w:pPr>
                </w:p>
              </w:tc>
              <w:tc>
                <w:tcPr>
                  <w:tcW w:w="578" w:type="dxa"/>
                </w:tcPr>
                <w:p>
                  <w:pPr>
                    <w:widowControl/>
                    <w:adjustRightInd w:val="0"/>
                    <w:snapToGrid w:val="0"/>
                    <w:spacing w:line="360" w:lineRule="exact"/>
                    <w:ind w:firstLine="420" w:firstLineChars="200"/>
                    <w:jc w:val="left"/>
                    <w:rPr>
                      <w:rFonts w:ascii="宋体" w:hAnsi="宋体" w:cs="宋体"/>
                    </w:rPr>
                  </w:pPr>
                </w:p>
              </w:tc>
              <w:tc>
                <w:tcPr>
                  <w:tcW w:w="762" w:type="dxa"/>
                </w:tcPr>
                <w:p>
                  <w:pPr>
                    <w:widowControl/>
                    <w:adjustRightInd w:val="0"/>
                    <w:snapToGrid w:val="0"/>
                    <w:spacing w:line="360" w:lineRule="exact"/>
                    <w:ind w:firstLine="420" w:firstLineChars="200"/>
                    <w:jc w:val="left"/>
                    <w:rPr>
                      <w:rFonts w:ascii="宋体" w:hAnsi="宋体" w:cs="宋体"/>
                    </w:rPr>
                  </w:pPr>
                </w:p>
              </w:tc>
              <w:tc>
                <w:tcPr>
                  <w:tcW w:w="798" w:type="dxa"/>
                </w:tcPr>
                <w:p>
                  <w:pPr>
                    <w:widowControl/>
                    <w:adjustRightInd w:val="0"/>
                    <w:snapToGrid w:val="0"/>
                    <w:spacing w:line="360" w:lineRule="exact"/>
                    <w:ind w:firstLine="420" w:firstLineChars="200"/>
                    <w:jc w:val="left"/>
                    <w:rPr>
                      <w:rFonts w:ascii="宋体" w:hAnsi="宋体" w:cs="宋体"/>
                    </w:rPr>
                  </w:pPr>
                </w:p>
              </w:tc>
              <w:tc>
                <w:tcPr>
                  <w:tcW w:w="709" w:type="dxa"/>
                </w:tcPr>
                <w:p>
                  <w:pPr>
                    <w:widowControl/>
                    <w:adjustRightInd w:val="0"/>
                    <w:snapToGrid w:val="0"/>
                    <w:spacing w:line="360" w:lineRule="exact"/>
                    <w:ind w:firstLine="420" w:firstLineChars="200"/>
                    <w:jc w:val="left"/>
                    <w:rPr>
                      <w:rFonts w:ascii="宋体" w:hAnsi="宋体" w:cs="宋体"/>
                    </w:rPr>
                  </w:pPr>
                </w:p>
              </w:tc>
              <w:tc>
                <w:tcPr>
                  <w:tcW w:w="839" w:type="dxa"/>
                </w:tcPr>
                <w:p>
                  <w:pPr>
                    <w:widowControl/>
                    <w:adjustRightInd w:val="0"/>
                    <w:snapToGrid w:val="0"/>
                    <w:spacing w:line="360" w:lineRule="exact"/>
                    <w:ind w:firstLine="420" w:firstLineChars="200"/>
                    <w:jc w:val="left"/>
                    <w:rPr>
                      <w:rFonts w:ascii="宋体" w:hAnsi="宋体" w:cs="宋体"/>
                    </w:rPr>
                  </w:pPr>
                </w:p>
              </w:tc>
              <w:tc>
                <w:tcPr>
                  <w:tcW w:w="838" w:type="dxa"/>
                </w:tcPr>
                <w:p>
                  <w:pPr>
                    <w:widowControl/>
                    <w:adjustRightInd w:val="0"/>
                    <w:snapToGrid w:val="0"/>
                    <w:spacing w:line="360" w:lineRule="exact"/>
                    <w:ind w:firstLine="420" w:firstLineChars="200"/>
                    <w:jc w:val="left"/>
                    <w:rPr>
                      <w:rFonts w:ascii="宋体" w:hAnsi="宋体" w:cs="宋体"/>
                    </w:rPr>
                  </w:pPr>
                </w:p>
              </w:tc>
              <w:tc>
                <w:tcPr>
                  <w:tcW w:w="839" w:type="dxa"/>
                </w:tcPr>
                <w:p>
                  <w:pPr>
                    <w:widowControl/>
                    <w:adjustRightInd w:val="0"/>
                    <w:snapToGrid w:val="0"/>
                    <w:spacing w:line="360" w:lineRule="exact"/>
                    <w:ind w:firstLine="420" w:firstLineChars="200"/>
                    <w:jc w:val="left"/>
                    <w:rPr>
                      <w:rFonts w:ascii="宋体" w:hAnsi="宋体" w:cs="宋体"/>
                    </w:rPr>
                  </w:pPr>
                </w:p>
              </w:tc>
              <w:tc>
                <w:tcPr>
                  <w:tcW w:w="1173" w:type="dxa"/>
                </w:tcPr>
                <w:p>
                  <w:pPr>
                    <w:widowControl/>
                    <w:adjustRightInd w:val="0"/>
                    <w:snapToGrid w:val="0"/>
                    <w:spacing w:line="360" w:lineRule="exact"/>
                    <w:ind w:firstLine="420" w:firstLineChars="200"/>
                    <w:jc w:val="left"/>
                    <w:rPr>
                      <w:rFonts w:ascii="宋体" w:hAnsi="宋体" w:cs="宋体"/>
                    </w:rPr>
                  </w:pPr>
                </w:p>
              </w:tc>
              <w:tc>
                <w:tcPr>
                  <w:tcW w:w="1331" w:type="dxa"/>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50" w:type="dxa"/>
                </w:tcPr>
                <w:p>
                  <w:pPr>
                    <w:widowControl/>
                    <w:adjustRightInd w:val="0"/>
                    <w:snapToGrid w:val="0"/>
                    <w:spacing w:line="360" w:lineRule="exact"/>
                    <w:ind w:firstLine="420" w:firstLineChars="200"/>
                    <w:jc w:val="left"/>
                    <w:rPr>
                      <w:rFonts w:ascii="宋体" w:hAnsi="宋体" w:cs="宋体"/>
                    </w:rPr>
                  </w:pPr>
                </w:p>
              </w:tc>
              <w:tc>
                <w:tcPr>
                  <w:tcW w:w="578" w:type="dxa"/>
                </w:tcPr>
                <w:p>
                  <w:pPr>
                    <w:widowControl/>
                    <w:adjustRightInd w:val="0"/>
                    <w:snapToGrid w:val="0"/>
                    <w:spacing w:line="360" w:lineRule="exact"/>
                    <w:ind w:firstLine="420" w:firstLineChars="200"/>
                    <w:jc w:val="left"/>
                    <w:rPr>
                      <w:rFonts w:ascii="宋体" w:hAnsi="宋体" w:cs="宋体"/>
                    </w:rPr>
                  </w:pPr>
                </w:p>
              </w:tc>
              <w:tc>
                <w:tcPr>
                  <w:tcW w:w="762" w:type="dxa"/>
                </w:tcPr>
                <w:p>
                  <w:pPr>
                    <w:widowControl/>
                    <w:adjustRightInd w:val="0"/>
                    <w:snapToGrid w:val="0"/>
                    <w:spacing w:line="360" w:lineRule="exact"/>
                    <w:ind w:firstLine="420" w:firstLineChars="200"/>
                    <w:jc w:val="left"/>
                    <w:rPr>
                      <w:rFonts w:ascii="宋体" w:hAnsi="宋体" w:cs="宋体"/>
                    </w:rPr>
                  </w:pPr>
                </w:p>
              </w:tc>
              <w:tc>
                <w:tcPr>
                  <w:tcW w:w="798" w:type="dxa"/>
                </w:tcPr>
                <w:p>
                  <w:pPr>
                    <w:widowControl/>
                    <w:adjustRightInd w:val="0"/>
                    <w:snapToGrid w:val="0"/>
                    <w:spacing w:line="360" w:lineRule="exact"/>
                    <w:ind w:firstLine="420" w:firstLineChars="200"/>
                    <w:jc w:val="left"/>
                    <w:rPr>
                      <w:rFonts w:ascii="宋体" w:hAnsi="宋体" w:cs="宋体"/>
                    </w:rPr>
                  </w:pPr>
                </w:p>
              </w:tc>
              <w:tc>
                <w:tcPr>
                  <w:tcW w:w="709" w:type="dxa"/>
                </w:tcPr>
                <w:p>
                  <w:pPr>
                    <w:widowControl/>
                    <w:adjustRightInd w:val="0"/>
                    <w:snapToGrid w:val="0"/>
                    <w:spacing w:line="360" w:lineRule="exact"/>
                    <w:ind w:firstLine="420" w:firstLineChars="200"/>
                    <w:jc w:val="left"/>
                    <w:rPr>
                      <w:rFonts w:ascii="宋体" w:hAnsi="宋体" w:cs="宋体"/>
                    </w:rPr>
                  </w:pPr>
                </w:p>
              </w:tc>
              <w:tc>
                <w:tcPr>
                  <w:tcW w:w="839" w:type="dxa"/>
                </w:tcPr>
                <w:p>
                  <w:pPr>
                    <w:widowControl/>
                    <w:adjustRightInd w:val="0"/>
                    <w:snapToGrid w:val="0"/>
                    <w:spacing w:line="360" w:lineRule="exact"/>
                    <w:ind w:firstLine="420" w:firstLineChars="200"/>
                    <w:jc w:val="left"/>
                    <w:rPr>
                      <w:rFonts w:ascii="宋体" w:hAnsi="宋体" w:cs="宋体"/>
                    </w:rPr>
                  </w:pPr>
                </w:p>
              </w:tc>
              <w:tc>
                <w:tcPr>
                  <w:tcW w:w="838" w:type="dxa"/>
                </w:tcPr>
                <w:p>
                  <w:pPr>
                    <w:widowControl/>
                    <w:adjustRightInd w:val="0"/>
                    <w:snapToGrid w:val="0"/>
                    <w:spacing w:line="360" w:lineRule="exact"/>
                    <w:ind w:firstLine="420" w:firstLineChars="200"/>
                    <w:jc w:val="left"/>
                    <w:rPr>
                      <w:rFonts w:ascii="宋体" w:hAnsi="宋体" w:cs="宋体"/>
                    </w:rPr>
                  </w:pPr>
                </w:p>
              </w:tc>
              <w:tc>
                <w:tcPr>
                  <w:tcW w:w="839" w:type="dxa"/>
                </w:tcPr>
                <w:p>
                  <w:pPr>
                    <w:widowControl/>
                    <w:adjustRightInd w:val="0"/>
                    <w:snapToGrid w:val="0"/>
                    <w:spacing w:line="360" w:lineRule="exact"/>
                    <w:ind w:firstLine="420" w:firstLineChars="200"/>
                    <w:jc w:val="left"/>
                    <w:rPr>
                      <w:rFonts w:ascii="宋体" w:hAnsi="宋体" w:cs="宋体"/>
                    </w:rPr>
                  </w:pPr>
                </w:p>
              </w:tc>
              <w:tc>
                <w:tcPr>
                  <w:tcW w:w="1173" w:type="dxa"/>
                </w:tcPr>
                <w:p>
                  <w:pPr>
                    <w:widowControl/>
                    <w:adjustRightInd w:val="0"/>
                    <w:snapToGrid w:val="0"/>
                    <w:spacing w:line="360" w:lineRule="exact"/>
                    <w:ind w:firstLine="420" w:firstLineChars="200"/>
                    <w:jc w:val="left"/>
                    <w:rPr>
                      <w:rFonts w:ascii="宋体" w:hAnsi="宋体" w:cs="宋体"/>
                    </w:rPr>
                  </w:pPr>
                </w:p>
              </w:tc>
              <w:tc>
                <w:tcPr>
                  <w:tcW w:w="1331" w:type="dxa"/>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50" w:type="dxa"/>
                </w:tcPr>
                <w:p>
                  <w:pPr>
                    <w:widowControl/>
                    <w:adjustRightInd w:val="0"/>
                    <w:snapToGrid w:val="0"/>
                    <w:spacing w:line="360" w:lineRule="exact"/>
                    <w:ind w:firstLine="420" w:firstLineChars="200"/>
                    <w:jc w:val="left"/>
                    <w:rPr>
                      <w:rFonts w:ascii="宋体" w:hAnsi="宋体" w:cs="宋体"/>
                    </w:rPr>
                  </w:pPr>
                </w:p>
              </w:tc>
              <w:tc>
                <w:tcPr>
                  <w:tcW w:w="578" w:type="dxa"/>
                </w:tcPr>
                <w:p>
                  <w:pPr>
                    <w:widowControl/>
                    <w:adjustRightInd w:val="0"/>
                    <w:snapToGrid w:val="0"/>
                    <w:spacing w:line="360" w:lineRule="exact"/>
                    <w:ind w:firstLine="420" w:firstLineChars="200"/>
                    <w:jc w:val="left"/>
                    <w:rPr>
                      <w:rFonts w:ascii="宋体" w:hAnsi="宋体" w:cs="宋体"/>
                    </w:rPr>
                  </w:pPr>
                </w:p>
              </w:tc>
              <w:tc>
                <w:tcPr>
                  <w:tcW w:w="762" w:type="dxa"/>
                </w:tcPr>
                <w:p>
                  <w:pPr>
                    <w:widowControl/>
                    <w:adjustRightInd w:val="0"/>
                    <w:snapToGrid w:val="0"/>
                    <w:spacing w:line="360" w:lineRule="exact"/>
                    <w:ind w:firstLine="420" w:firstLineChars="200"/>
                    <w:jc w:val="left"/>
                    <w:rPr>
                      <w:rFonts w:ascii="宋体" w:hAnsi="宋体" w:cs="宋体"/>
                    </w:rPr>
                  </w:pPr>
                </w:p>
              </w:tc>
              <w:tc>
                <w:tcPr>
                  <w:tcW w:w="798" w:type="dxa"/>
                </w:tcPr>
                <w:p>
                  <w:pPr>
                    <w:widowControl/>
                    <w:adjustRightInd w:val="0"/>
                    <w:snapToGrid w:val="0"/>
                    <w:spacing w:line="360" w:lineRule="exact"/>
                    <w:ind w:firstLine="420" w:firstLineChars="200"/>
                    <w:jc w:val="left"/>
                    <w:rPr>
                      <w:rFonts w:ascii="宋体" w:hAnsi="宋体" w:cs="宋体"/>
                    </w:rPr>
                  </w:pPr>
                </w:p>
              </w:tc>
              <w:tc>
                <w:tcPr>
                  <w:tcW w:w="709" w:type="dxa"/>
                </w:tcPr>
                <w:p>
                  <w:pPr>
                    <w:widowControl/>
                    <w:adjustRightInd w:val="0"/>
                    <w:snapToGrid w:val="0"/>
                    <w:spacing w:line="360" w:lineRule="exact"/>
                    <w:ind w:firstLine="420" w:firstLineChars="200"/>
                    <w:jc w:val="left"/>
                    <w:rPr>
                      <w:rFonts w:ascii="宋体" w:hAnsi="宋体" w:cs="宋体"/>
                    </w:rPr>
                  </w:pPr>
                </w:p>
              </w:tc>
              <w:tc>
                <w:tcPr>
                  <w:tcW w:w="839" w:type="dxa"/>
                </w:tcPr>
                <w:p>
                  <w:pPr>
                    <w:widowControl/>
                    <w:adjustRightInd w:val="0"/>
                    <w:snapToGrid w:val="0"/>
                    <w:spacing w:line="360" w:lineRule="exact"/>
                    <w:ind w:firstLine="420" w:firstLineChars="200"/>
                    <w:jc w:val="left"/>
                    <w:rPr>
                      <w:rFonts w:ascii="宋体" w:hAnsi="宋体" w:cs="宋体"/>
                    </w:rPr>
                  </w:pPr>
                </w:p>
              </w:tc>
              <w:tc>
                <w:tcPr>
                  <w:tcW w:w="838" w:type="dxa"/>
                </w:tcPr>
                <w:p>
                  <w:pPr>
                    <w:widowControl/>
                    <w:adjustRightInd w:val="0"/>
                    <w:snapToGrid w:val="0"/>
                    <w:spacing w:line="360" w:lineRule="exact"/>
                    <w:ind w:firstLine="420" w:firstLineChars="200"/>
                    <w:jc w:val="left"/>
                    <w:rPr>
                      <w:rFonts w:ascii="宋体" w:hAnsi="宋体" w:cs="宋体"/>
                    </w:rPr>
                  </w:pPr>
                </w:p>
              </w:tc>
              <w:tc>
                <w:tcPr>
                  <w:tcW w:w="839" w:type="dxa"/>
                </w:tcPr>
                <w:p>
                  <w:pPr>
                    <w:widowControl/>
                    <w:adjustRightInd w:val="0"/>
                    <w:snapToGrid w:val="0"/>
                    <w:spacing w:line="360" w:lineRule="exact"/>
                    <w:ind w:firstLine="420" w:firstLineChars="200"/>
                    <w:jc w:val="left"/>
                    <w:rPr>
                      <w:rFonts w:ascii="宋体" w:hAnsi="宋体" w:cs="宋体"/>
                    </w:rPr>
                  </w:pPr>
                </w:p>
              </w:tc>
              <w:tc>
                <w:tcPr>
                  <w:tcW w:w="1173" w:type="dxa"/>
                </w:tcPr>
                <w:p>
                  <w:pPr>
                    <w:widowControl/>
                    <w:adjustRightInd w:val="0"/>
                    <w:snapToGrid w:val="0"/>
                    <w:spacing w:line="360" w:lineRule="exact"/>
                    <w:ind w:firstLine="420" w:firstLineChars="200"/>
                    <w:jc w:val="left"/>
                    <w:rPr>
                      <w:rFonts w:ascii="宋体" w:hAnsi="宋体" w:cs="宋体"/>
                    </w:rPr>
                  </w:pPr>
                </w:p>
              </w:tc>
              <w:tc>
                <w:tcPr>
                  <w:tcW w:w="1331" w:type="dxa"/>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50" w:type="dxa"/>
                </w:tcPr>
                <w:p>
                  <w:pPr>
                    <w:widowControl/>
                    <w:adjustRightInd w:val="0"/>
                    <w:snapToGrid w:val="0"/>
                    <w:spacing w:line="360" w:lineRule="exact"/>
                    <w:ind w:firstLine="420" w:firstLineChars="200"/>
                    <w:jc w:val="left"/>
                    <w:rPr>
                      <w:rFonts w:ascii="宋体" w:hAnsi="宋体" w:cs="宋体"/>
                    </w:rPr>
                  </w:pPr>
                </w:p>
              </w:tc>
              <w:tc>
                <w:tcPr>
                  <w:tcW w:w="578" w:type="dxa"/>
                </w:tcPr>
                <w:p>
                  <w:pPr>
                    <w:widowControl/>
                    <w:adjustRightInd w:val="0"/>
                    <w:snapToGrid w:val="0"/>
                    <w:spacing w:line="360" w:lineRule="exact"/>
                    <w:ind w:firstLine="420" w:firstLineChars="200"/>
                    <w:jc w:val="left"/>
                    <w:rPr>
                      <w:rFonts w:ascii="宋体" w:hAnsi="宋体" w:cs="宋体"/>
                    </w:rPr>
                  </w:pPr>
                </w:p>
              </w:tc>
              <w:tc>
                <w:tcPr>
                  <w:tcW w:w="762" w:type="dxa"/>
                </w:tcPr>
                <w:p>
                  <w:pPr>
                    <w:widowControl/>
                    <w:adjustRightInd w:val="0"/>
                    <w:snapToGrid w:val="0"/>
                    <w:spacing w:line="360" w:lineRule="exact"/>
                    <w:ind w:firstLine="420" w:firstLineChars="200"/>
                    <w:jc w:val="left"/>
                    <w:rPr>
                      <w:rFonts w:ascii="宋体" w:hAnsi="宋体" w:cs="宋体"/>
                    </w:rPr>
                  </w:pPr>
                </w:p>
              </w:tc>
              <w:tc>
                <w:tcPr>
                  <w:tcW w:w="798" w:type="dxa"/>
                </w:tcPr>
                <w:p>
                  <w:pPr>
                    <w:widowControl/>
                    <w:adjustRightInd w:val="0"/>
                    <w:snapToGrid w:val="0"/>
                    <w:spacing w:line="360" w:lineRule="exact"/>
                    <w:ind w:firstLine="420" w:firstLineChars="200"/>
                    <w:jc w:val="left"/>
                    <w:rPr>
                      <w:rFonts w:ascii="宋体" w:hAnsi="宋体" w:cs="宋体"/>
                    </w:rPr>
                  </w:pPr>
                </w:p>
              </w:tc>
              <w:tc>
                <w:tcPr>
                  <w:tcW w:w="709" w:type="dxa"/>
                </w:tcPr>
                <w:p>
                  <w:pPr>
                    <w:widowControl/>
                    <w:adjustRightInd w:val="0"/>
                    <w:snapToGrid w:val="0"/>
                    <w:spacing w:line="360" w:lineRule="exact"/>
                    <w:ind w:firstLine="420" w:firstLineChars="200"/>
                    <w:jc w:val="left"/>
                    <w:rPr>
                      <w:rFonts w:ascii="宋体" w:hAnsi="宋体" w:cs="宋体"/>
                    </w:rPr>
                  </w:pPr>
                </w:p>
              </w:tc>
              <w:tc>
                <w:tcPr>
                  <w:tcW w:w="839" w:type="dxa"/>
                </w:tcPr>
                <w:p>
                  <w:pPr>
                    <w:widowControl/>
                    <w:adjustRightInd w:val="0"/>
                    <w:snapToGrid w:val="0"/>
                    <w:spacing w:line="360" w:lineRule="exact"/>
                    <w:ind w:firstLine="420" w:firstLineChars="200"/>
                    <w:jc w:val="left"/>
                    <w:rPr>
                      <w:rFonts w:ascii="宋体" w:hAnsi="宋体" w:cs="宋体"/>
                    </w:rPr>
                  </w:pPr>
                </w:p>
              </w:tc>
              <w:tc>
                <w:tcPr>
                  <w:tcW w:w="838" w:type="dxa"/>
                </w:tcPr>
                <w:p>
                  <w:pPr>
                    <w:widowControl/>
                    <w:adjustRightInd w:val="0"/>
                    <w:snapToGrid w:val="0"/>
                    <w:spacing w:line="360" w:lineRule="exact"/>
                    <w:ind w:firstLine="420" w:firstLineChars="200"/>
                    <w:jc w:val="left"/>
                    <w:rPr>
                      <w:rFonts w:ascii="宋体" w:hAnsi="宋体" w:cs="宋体"/>
                    </w:rPr>
                  </w:pPr>
                </w:p>
              </w:tc>
              <w:tc>
                <w:tcPr>
                  <w:tcW w:w="839" w:type="dxa"/>
                </w:tcPr>
                <w:p>
                  <w:pPr>
                    <w:widowControl/>
                    <w:adjustRightInd w:val="0"/>
                    <w:snapToGrid w:val="0"/>
                    <w:spacing w:line="360" w:lineRule="exact"/>
                    <w:ind w:firstLine="420" w:firstLineChars="200"/>
                    <w:jc w:val="left"/>
                    <w:rPr>
                      <w:rFonts w:ascii="宋体" w:hAnsi="宋体" w:cs="宋体"/>
                    </w:rPr>
                  </w:pPr>
                </w:p>
              </w:tc>
              <w:tc>
                <w:tcPr>
                  <w:tcW w:w="1173" w:type="dxa"/>
                </w:tcPr>
                <w:p>
                  <w:pPr>
                    <w:widowControl/>
                    <w:adjustRightInd w:val="0"/>
                    <w:snapToGrid w:val="0"/>
                    <w:spacing w:line="360" w:lineRule="exact"/>
                    <w:ind w:firstLine="420" w:firstLineChars="200"/>
                    <w:jc w:val="left"/>
                    <w:rPr>
                      <w:rFonts w:ascii="宋体" w:hAnsi="宋体" w:cs="宋体"/>
                    </w:rPr>
                  </w:pPr>
                </w:p>
              </w:tc>
              <w:tc>
                <w:tcPr>
                  <w:tcW w:w="1331" w:type="dxa"/>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50" w:type="dxa"/>
                </w:tcPr>
                <w:p>
                  <w:pPr>
                    <w:widowControl/>
                    <w:adjustRightInd w:val="0"/>
                    <w:snapToGrid w:val="0"/>
                    <w:spacing w:line="360" w:lineRule="exact"/>
                    <w:ind w:firstLine="420" w:firstLineChars="200"/>
                    <w:jc w:val="left"/>
                    <w:rPr>
                      <w:rFonts w:ascii="宋体" w:hAnsi="宋体" w:cs="宋体"/>
                    </w:rPr>
                  </w:pPr>
                </w:p>
              </w:tc>
              <w:tc>
                <w:tcPr>
                  <w:tcW w:w="578" w:type="dxa"/>
                </w:tcPr>
                <w:p>
                  <w:pPr>
                    <w:widowControl/>
                    <w:adjustRightInd w:val="0"/>
                    <w:snapToGrid w:val="0"/>
                    <w:spacing w:line="360" w:lineRule="exact"/>
                    <w:ind w:firstLine="420" w:firstLineChars="200"/>
                    <w:jc w:val="left"/>
                    <w:rPr>
                      <w:rFonts w:ascii="宋体" w:hAnsi="宋体" w:cs="宋体"/>
                    </w:rPr>
                  </w:pPr>
                </w:p>
              </w:tc>
              <w:tc>
                <w:tcPr>
                  <w:tcW w:w="762" w:type="dxa"/>
                </w:tcPr>
                <w:p>
                  <w:pPr>
                    <w:widowControl/>
                    <w:adjustRightInd w:val="0"/>
                    <w:snapToGrid w:val="0"/>
                    <w:spacing w:line="360" w:lineRule="exact"/>
                    <w:ind w:firstLine="420" w:firstLineChars="200"/>
                    <w:jc w:val="left"/>
                    <w:rPr>
                      <w:rFonts w:ascii="宋体" w:hAnsi="宋体" w:cs="宋体"/>
                    </w:rPr>
                  </w:pPr>
                </w:p>
              </w:tc>
              <w:tc>
                <w:tcPr>
                  <w:tcW w:w="798" w:type="dxa"/>
                </w:tcPr>
                <w:p>
                  <w:pPr>
                    <w:widowControl/>
                    <w:adjustRightInd w:val="0"/>
                    <w:snapToGrid w:val="0"/>
                    <w:spacing w:line="360" w:lineRule="exact"/>
                    <w:ind w:firstLine="420" w:firstLineChars="200"/>
                    <w:jc w:val="left"/>
                    <w:rPr>
                      <w:rFonts w:ascii="宋体" w:hAnsi="宋体" w:cs="宋体"/>
                    </w:rPr>
                  </w:pPr>
                </w:p>
              </w:tc>
              <w:tc>
                <w:tcPr>
                  <w:tcW w:w="709" w:type="dxa"/>
                </w:tcPr>
                <w:p>
                  <w:pPr>
                    <w:widowControl/>
                    <w:adjustRightInd w:val="0"/>
                    <w:snapToGrid w:val="0"/>
                    <w:spacing w:line="360" w:lineRule="exact"/>
                    <w:ind w:firstLine="420" w:firstLineChars="200"/>
                    <w:jc w:val="left"/>
                    <w:rPr>
                      <w:rFonts w:ascii="宋体" w:hAnsi="宋体" w:cs="宋体"/>
                    </w:rPr>
                  </w:pPr>
                </w:p>
              </w:tc>
              <w:tc>
                <w:tcPr>
                  <w:tcW w:w="839" w:type="dxa"/>
                </w:tcPr>
                <w:p>
                  <w:pPr>
                    <w:widowControl/>
                    <w:adjustRightInd w:val="0"/>
                    <w:snapToGrid w:val="0"/>
                    <w:spacing w:line="360" w:lineRule="exact"/>
                    <w:ind w:firstLine="420" w:firstLineChars="200"/>
                    <w:jc w:val="left"/>
                    <w:rPr>
                      <w:rFonts w:ascii="宋体" w:hAnsi="宋体" w:cs="宋体"/>
                    </w:rPr>
                  </w:pPr>
                </w:p>
              </w:tc>
              <w:tc>
                <w:tcPr>
                  <w:tcW w:w="838" w:type="dxa"/>
                </w:tcPr>
                <w:p>
                  <w:pPr>
                    <w:widowControl/>
                    <w:adjustRightInd w:val="0"/>
                    <w:snapToGrid w:val="0"/>
                    <w:spacing w:line="360" w:lineRule="exact"/>
                    <w:ind w:firstLine="420" w:firstLineChars="200"/>
                    <w:jc w:val="left"/>
                    <w:rPr>
                      <w:rFonts w:ascii="宋体" w:hAnsi="宋体" w:cs="宋体"/>
                    </w:rPr>
                  </w:pPr>
                </w:p>
              </w:tc>
              <w:tc>
                <w:tcPr>
                  <w:tcW w:w="839" w:type="dxa"/>
                </w:tcPr>
                <w:p>
                  <w:pPr>
                    <w:widowControl/>
                    <w:adjustRightInd w:val="0"/>
                    <w:snapToGrid w:val="0"/>
                    <w:spacing w:line="360" w:lineRule="exact"/>
                    <w:ind w:firstLine="420" w:firstLineChars="200"/>
                    <w:jc w:val="left"/>
                    <w:rPr>
                      <w:rFonts w:ascii="宋体" w:hAnsi="宋体" w:cs="宋体"/>
                    </w:rPr>
                  </w:pPr>
                </w:p>
              </w:tc>
              <w:tc>
                <w:tcPr>
                  <w:tcW w:w="1173" w:type="dxa"/>
                </w:tcPr>
                <w:p>
                  <w:pPr>
                    <w:widowControl/>
                    <w:adjustRightInd w:val="0"/>
                    <w:snapToGrid w:val="0"/>
                    <w:spacing w:line="360" w:lineRule="exact"/>
                    <w:ind w:firstLine="420" w:firstLineChars="200"/>
                    <w:jc w:val="left"/>
                    <w:rPr>
                      <w:rFonts w:ascii="宋体" w:hAnsi="宋体" w:cs="宋体"/>
                    </w:rPr>
                  </w:pPr>
                </w:p>
              </w:tc>
              <w:tc>
                <w:tcPr>
                  <w:tcW w:w="1331" w:type="dxa"/>
                </w:tcPr>
                <w:p>
                  <w:pPr>
                    <w:widowControl/>
                    <w:adjustRightInd w:val="0"/>
                    <w:snapToGrid w:val="0"/>
                    <w:spacing w:line="360" w:lineRule="exact"/>
                    <w:ind w:firstLine="420" w:firstLineChars="200"/>
                    <w:jc w:val="left"/>
                    <w:rPr>
                      <w:rFonts w:ascii="宋体" w:hAnsi="宋体" w:cs="宋体"/>
                    </w:rPr>
                  </w:pPr>
                </w:p>
              </w:tc>
            </w:tr>
          </w:tbl>
          <w:p>
            <w:pPr>
              <w:pStyle w:val="15"/>
              <w:widowControl/>
              <w:adjustRightInd w:val="0"/>
              <w:snapToGrid w:val="0"/>
              <w:spacing w:line="360" w:lineRule="exact"/>
              <w:ind w:firstLine="400" w:firstLineChars="200"/>
              <w:jc w:val="center"/>
            </w:pPr>
            <w:r>
              <w:rPr>
                <w:rFonts w:hint="eastAsia"/>
              </w:rPr>
              <w:t>表6 职业健康检查仪器和设备清单</w:t>
            </w:r>
          </w:p>
          <w:tbl>
            <w:tblPr>
              <w:tblStyle w:val="44"/>
              <w:tblW w:w="8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2171"/>
              <w:gridCol w:w="770"/>
              <w:gridCol w:w="770"/>
              <w:gridCol w:w="770"/>
              <w:gridCol w:w="1331"/>
              <w:gridCol w:w="1332"/>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70" w:type="dxa"/>
                  <w:vAlign w:val="center"/>
                </w:tcPr>
                <w:p>
                  <w:pPr>
                    <w:widowControl/>
                    <w:adjustRightInd w:val="0"/>
                    <w:snapToGrid w:val="0"/>
                    <w:jc w:val="left"/>
                    <w:rPr>
                      <w:rFonts w:ascii="宋体" w:hAnsi="宋体" w:cs="宋体"/>
                    </w:rPr>
                  </w:pPr>
                  <w:r>
                    <w:rPr>
                      <w:rFonts w:hint="eastAsia" w:ascii="宋体" w:hAnsi="宋体" w:cs="宋体"/>
                    </w:rPr>
                    <w:t>序号</w:t>
                  </w:r>
                </w:p>
              </w:tc>
              <w:tc>
                <w:tcPr>
                  <w:tcW w:w="2171" w:type="dxa"/>
                  <w:vAlign w:val="center"/>
                </w:tcPr>
                <w:p>
                  <w:pPr>
                    <w:widowControl/>
                    <w:adjustRightInd w:val="0"/>
                    <w:snapToGrid w:val="0"/>
                    <w:ind w:firstLine="420" w:firstLineChars="200"/>
                    <w:jc w:val="left"/>
                    <w:rPr>
                      <w:rFonts w:ascii="宋体" w:hAnsi="宋体" w:cs="宋体"/>
                    </w:rPr>
                  </w:pPr>
                  <w:r>
                    <w:rPr>
                      <w:rFonts w:hint="eastAsia" w:ascii="宋体" w:hAnsi="宋体" w:cs="宋体"/>
                    </w:rPr>
                    <w:t>仪器、设备名称</w:t>
                  </w:r>
                </w:p>
              </w:tc>
              <w:tc>
                <w:tcPr>
                  <w:tcW w:w="770" w:type="dxa"/>
                  <w:vAlign w:val="center"/>
                </w:tcPr>
                <w:p>
                  <w:pPr>
                    <w:widowControl/>
                    <w:adjustRightInd w:val="0"/>
                    <w:snapToGrid w:val="0"/>
                    <w:jc w:val="left"/>
                    <w:rPr>
                      <w:rFonts w:ascii="宋体" w:hAnsi="宋体" w:cs="宋体"/>
                    </w:rPr>
                  </w:pPr>
                  <w:r>
                    <w:rPr>
                      <w:rFonts w:hint="eastAsia" w:ascii="宋体" w:hAnsi="宋体" w:cs="宋体"/>
                    </w:rPr>
                    <w:t>型号</w:t>
                  </w:r>
                </w:p>
              </w:tc>
              <w:tc>
                <w:tcPr>
                  <w:tcW w:w="770" w:type="dxa"/>
                  <w:vAlign w:val="center"/>
                </w:tcPr>
                <w:p>
                  <w:pPr>
                    <w:widowControl/>
                    <w:adjustRightInd w:val="0"/>
                    <w:snapToGrid w:val="0"/>
                    <w:jc w:val="left"/>
                    <w:rPr>
                      <w:rFonts w:ascii="宋体" w:hAnsi="宋体" w:cs="宋体"/>
                    </w:rPr>
                  </w:pPr>
                  <w:r>
                    <w:rPr>
                      <w:rFonts w:hint="eastAsia" w:ascii="宋体" w:hAnsi="宋体" w:cs="宋体"/>
                    </w:rPr>
                    <w:t>数量</w:t>
                  </w:r>
                </w:p>
              </w:tc>
              <w:tc>
                <w:tcPr>
                  <w:tcW w:w="770" w:type="dxa"/>
                  <w:vAlign w:val="center"/>
                </w:tcPr>
                <w:p>
                  <w:pPr>
                    <w:widowControl/>
                    <w:adjustRightInd w:val="0"/>
                    <w:snapToGrid w:val="0"/>
                    <w:jc w:val="left"/>
                    <w:rPr>
                      <w:rFonts w:ascii="宋体" w:hAnsi="宋体" w:cs="宋体"/>
                    </w:rPr>
                  </w:pPr>
                  <w:r>
                    <w:rPr>
                      <w:rFonts w:hint="eastAsia" w:ascii="宋体" w:hAnsi="宋体" w:cs="宋体"/>
                    </w:rPr>
                    <w:t>用途</w:t>
                  </w:r>
                </w:p>
              </w:tc>
              <w:tc>
                <w:tcPr>
                  <w:tcW w:w="1331" w:type="dxa"/>
                  <w:vAlign w:val="center"/>
                </w:tcPr>
                <w:p>
                  <w:pPr>
                    <w:widowControl/>
                    <w:adjustRightInd w:val="0"/>
                    <w:snapToGrid w:val="0"/>
                    <w:jc w:val="left"/>
                    <w:rPr>
                      <w:rFonts w:ascii="宋体" w:hAnsi="宋体" w:cs="宋体"/>
                    </w:rPr>
                  </w:pPr>
                  <w:r>
                    <w:rPr>
                      <w:rFonts w:hint="eastAsia" w:ascii="宋体" w:hAnsi="宋体" w:cs="宋体"/>
                    </w:rPr>
                    <w:t>工作状态</w:t>
                  </w:r>
                </w:p>
              </w:tc>
              <w:tc>
                <w:tcPr>
                  <w:tcW w:w="1332" w:type="dxa"/>
                  <w:vAlign w:val="center"/>
                </w:tcPr>
                <w:p>
                  <w:pPr>
                    <w:widowControl/>
                    <w:adjustRightInd w:val="0"/>
                    <w:snapToGrid w:val="0"/>
                    <w:jc w:val="left"/>
                    <w:rPr>
                      <w:rFonts w:ascii="宋体" w:hAnsi="宋体" w:cs="宋体"/>
                    </w:rPr>
                  </w:pPr>
                  <w:r>
                    <w:rPr>
                      <w:rFonts w:hint="eastAsia" w:ascii="宋体" w:hAnsi="宋体" w:cs="宋体"/>
                    </w:rPr>
                    <w:t>购置日期</w:t>
                  </w:r>
                </w:p>
              </w:tc>
              <w:tc>
                <w:tcPr>
                  <w:tcW w:w="770" w:type="dxa"/>
                  <w:vAlign w:val="center"/>
                </w:tcPr>
                <w:p>
                  <w:pPr>
                    <w:widowControl/>
                    <w:adjustRightInd w:val="0"/>
                    <w:snapToGrid w:val="0"/>
                    <w:jc w:val="left"/>
                    <w:rPr>
                      <w:rFonts w:ascii="宋体" w:hAnsi="宋体" w:cs="宋体"/>
                    </w:rPr>
                  </w:pPr>
                  <w:r>
                    <w:rPr>
                      <w:rFonts w:hint="eastAsia" w:ascii="宋体" w:hAnsi="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0" w:type="dxa"/>
                  <w:vAlign w:val="center"/>
                </w:tcPr>
                <w:p>
                  <w:pPr>
                    <w:widowControl/>
                    <w:adjustRightInd w:val="0"/>
                    <w:snapToGrid w:val="0"/>
                    <w:ind w:firstLine="420" w:firstLineChars="200"/>
                    <w:jc w:val="left"/>
                    <w:rPr>
                      <w:rFonts w:ascii="宋体" w:hAnsi="宋体" w:cs="宋体"/>
                    </w:rPr>
                  </w:pPr>
                </w:p>
              </w:tc>
              <w:tc>
                <w:tcPr>
                  <w:tcW w:w="2171"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c>
                <w:tcPr>
                  <w:tcW w:w="1331" w:type="dxa"/>
                  <w:vAlign w:val="center"/>
                </w:tcPr>
                <w:p>
                  <w:pPr>
                    <w:widowControl/>
                    <w:adjustRightInd w:val="0"/>
                    <w:snapToGrid w:val="0"/>
                    <w:ind w:firstLine="420" w:firstLineChars="200"/>
                    <w:jc w:val="left"/>
                    <w:rPr>
                      <w:rFonts w:ascii="宋体" w:hAnsi="宋体" w:cs="宋体"/>
                    </w:rPr>
                  </w:pPr>
                </w:p>
              </w:tc>
              <w:tc>
                <w:tcPr>
                  <w:tcW w:w="1332"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0" w:type="dxa"/>
                  <w:vAlign w:val="center"/>
                </w:tcPr>
                <w:p>
                  <w:pPr>
                    <w:widowControl/>
                    <w:adjustRightInd w:val="0"/>
                    <w:snapToGrid w:val="0"/>
                    <w:ind w:firstLine="420" w:firstLineChars="200"/>
                    <w:jc w:val="left"/>
                    <w:rPr>
                      <w:rFonts w:ascii="宋体" w:hAnsi="宋体" w:cs="宋体"/>
                    </w:rPr>
                  </w:pPr>
                </w:p>
              </w:tc>
              <w:tc>
                <w:tcPr>
                  <w:tcW w:w="2171"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c>
                <w:tcPr>
                  <w:tcW w:w="1331" w:type="dxa"/>
                  <w:vAlign w:val="center"/>
                </w:tcPr>
                <w:p>
                  <w:pPr>
                    <w:widowControl/>
                    <w:adjustRightInd w:val="0"/>
                    <w:snapToGrid w:val="0"/>
                    <w:ind w:firstLine="420" w:firstLineChars="200"/>
                    <w:jc w:val="left"/>
                    <w:rPr>
                      <w:rFonts w:ascii="宋体" w:hAnsi="宋体" w:cs="宋体"/>
                    </w:rPr>
                  </w:pPr>
                </w:p>
              </w:tc>
              <w:tc>
                <w:tcPr>
                  <w:tcW w:w="1332"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0" w:type="dxa"/>
                  <w:vAlign w:val="center"/>
                </w:tcPr>
                <w:p>
                  <w:pPr>
                    <w:widowControl/>
                    <w:adjustRightInd w:val="0"/>
                    <w:snapToGrid w:val="0"/>
                    <w:ind w:firstLine="420" w:firstLineChars="200"/>
                    <w:jc w:val="left"/>
                    <w:rPr>
                      <w:rFonts w:ascii="宋体" w:hAnsi="宋体" w:cs="宋体"/>
                    </w:rPr>
                  </w:pPr>
                </w:p>
              </w:tc>
              <w:tc>
                <w:tcPr>
                  <w:tcW w:w="2171"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c>
                <w:tcPr>
                  <w:tcW w:w="1331" w:type="dxa"/>
                  <w:vAlign w:val="center"/>
                </w:tcPr>
                <w:p>
                  <w:pPr>
                    <w:widowControl/>
                    <w:adjustRightInd w:val="0"/>
                    <w:snapToGrid w:val="0"/>
                    <w:ind w:firstLine="420" w:firstLineChars="200"/>
                    <w:jc w:val="left"/>
                    <w:rPr>
                      <w:rFonts w:ascii="宋体" w:hAnsi="宋体" w:cs="宋体"/>
                    </w:rPr>
                  </w:pPr>
                </w:p>
              </w:tc>
              <w:tc>
                <w:tcPr>
                  <w:tcW w:w="1332"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0" w:type="dxa"/>
                  <w:vAlign w:val="center"/>
                </w:tcPr>
                <w:p>
                  <w:pPr>
                    <w:widowControl/>
                    <w:adjustRightInd w:val="0"/>
                    <w:snapToGrid w:val="0"/>
                    <w:ind w:firstLine="420" w:firstLineChars="200"/>
                    <w:jc w:val="left"/>
                    <w:rPr>
                      <w:rFonts w:ascii="宋体" w:hAnsi="宋体" w:cs="宋体"/>
                    </w:rPr>
                  </w:pPr>
                </w:p>
              </w:tc>
              <w:tc>
                <w:tcPr>
                  <w:tcW w:w="2171"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c>
                <w:tcPr>
                  <w:tcW w:w="1331" w:type="dxa"/>
                  <w:vAlign w:val="center"/>
                </w:tcPr>
                <w:p>
                  <w:pPr>
                    <w:widowControl/>
                    <w:adjustRightInd w:val="0"/>
                    <w:snapToGrid w:val="0"/>
                    <w:ind w:firstLine="420" w:firstLineChars="200"/>
                    <w:jc w:val="left"/>
                    <w:rPr>
                      <w:rFonts w:ascii="宋体" w:hAnsi="宋体" w:cs="宋体"/>
                    </w:rPr>
                  </w:pPr>
                </w:p>
              </w:tc>
              <w:tc>
                <w:tcPr>
                  <w:tcW w:w="1332"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0" w:type="dxa"/>
                  <w:vAlign w:val="center"/>
                </w:tcPr>
                <w:p>
                  <w:pPr>
                    <w:widowControl/>
                    <w:adjustRightInd w:val="0"/>
                    <w:snapToGrid w:val="0"/>
                    <w:ind w:firstLine="420" w:firstLineChars="200"/>
                    <w:jc w:val="left"/>
                    <w:rPr>
                      <w:rFonts w:ascii="宋体" w:hAnsi="宋体" w:cs="宋体"/>
                    </w:rPr>
                  </w:pPr>
                </w:p>
              </w:tc>
              <w:tc>
                <w:tcPr>
                  <w:tcW w:w="2171"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c>
                <w:tcPr>
                  <w:tcW w:w="1331" w:type="dxa"/>
                  <w:vAlign w:val="center"/>
                </w:tcPr>
                <w:p>
                  <w:pPr>
                    <w:widowControl/>
                    <w:adjustRightInd w:val="0"/>
                    <w:snapToGrid w:val="0"/>
                    <w:ind w:firstLine="420" w:firstLineChars="200"/>
                    <w:jc w:val="left"/>
                    <w:rPr>
                      <w:rFonts w:ascii="宋体" w:hAnsi="宋体" w:cs="宋体"/>
                    </w:rPr>
                  </w:pPr>
                </w:p>
              </w:tc>
              <w:tc>
                <w:tcPr>
                  <w:tcW w:w="1332"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770" w:type="dxa"/>
                  <w:vAlign w:val="center"/>
                </w:tcPr>
                <w:p>
                  <w:pPr>
                    <w:widowControl/>
                    <w:adjustRightInd w:val="0"/>
                    <w:snapToGrid w:val="0"/>
                    <w:ind w:firstLine="420" w:firstLineChars="200"/>
                    <w:jc w:val="left"/>
                    <w:rPr>
                      <w:rFonts w:ascii="宋体" w:hAnsi="宋体" w:cs="宋体"/>
                    </w:rPr>
                  </w:pPr>
                </w:p>
              </w:tc>
              <w:tc>
                <w:tcPr>
                  <w:tcW w:w="2171"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c>
                <w:tcPr>
                  <w:tcW w:w="1331" w:type="dxa"/>
                  <w:vAlign w:val="center"/>
                </w:tcPr>
                <w:p>
                  <w:pPr>
                    <w:widowControl/>
                    <w:adjustRightInd w:val="0"/>
                    <w:snapToGrid w:val="0"/>
                    <w:ind w:firstLine="420" w:firstLineChars="200"/>
                    <w:jc w:val="left"/>
                    <w:rPr>
                      <w:rFonts w:ascii="宋体" w:hAnsi="宋体" w:cs="宋体"/>
                    </w:rPr>
                  </w:pPr>
                </w:p>
              </w:tc>
              <w:tc>
                <w:tcPr>
                  <w:tcW w:w="1332" w:type="dxa"/>
                  <w:vAlign w:val="center"/>
                </w:tcPr>
                <w:p>
                  <w:pPr>
                    <w:widowControl/>
                    <w:adjustRightInd w:val="0"/>
                    <w:snapToGrid w:val="0"/>
                    <w:ind w:firstLine="420" w:firstLineChars="200"/>
                    <w:jc w:val="left"/>
                    <w:rPr>
                      <w:rFonts w:ascii="宋体" w:hAnsi="宋体" w:cs="宋体"/>
                    </w:rPr>
                  </w:pPr>
                </w:p>
              </w:tc>
              <w:tc>
                <w:tcPr>
                  <w:tcW w:w="770" w:type="dxa"/>
                  <w:vAlign w:val="center"/>
                </w:tcPr>
                <w:p>
                  <w:pPr>
                    <w:widowControl/>
                    <w:adjustRightInd w:val="0"/>
                    <w:snapToGrid w:val="0"/>
                    <w:ind w:firstLine="420" w:firstLineChars="200"/>
                    <w:jc w:val="left"/>
                    <w:rPr>
                      <w:rFonts w:ascii="宋体" w:hAnsi="宋体" w:cs="宋体"/>
                    </w:rPr>
                  </w:pPr>
                </w:p>
              </w:tc>
            </w:tr>
          </w:tbl>
          <w:p>
            <w:pPr>
              <w:widowControl/>
              <w:adjustRightInd w:val="0"/>
              <w:snapToGrid w:val="0"/>
              <w:spacing w:line="360" w:lineRule="exact"/>
              <w:ind w:firstLine="422" w:firstLineChars="200"/>
              <w:jc w:val="left"/>
              <w:rPr>
                <w:rFonts w:hint="eastAsia" w:ascii="宋体" w:hAnsi="宋体" w:cs="宋体"/>
                <w:b/>
                <w:bCs/>
              </w:rPr>
            </w:pP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（2）职业卫生技术服务报告质量控制</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质控模块通过对职业健康体检机构、职业卫生技术服务机构、放射卫生技术服务机构提交的服务报告，以及针对服务质量要求的考核指标进行质量控制监督，对报告内容是否按照要求填报进行审核，审核内容包括：报告基本信息、参与人员信息、化学因素、物理因素、放射因素、岗位接触人数、结论与建议、现场图像、报告扫描件。</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如出现不完善或者存在内容缺失的填报内容，系统将驳回重新填写，如下</w:t>
            </w:r>
            <w:r>
              <w:rPr>
                <w:rFonts w:hint="eastAsia" w:ascii="宋体" w:hAnsi="宋体" w:cs="宋体"/>
              </w:rPr>
              <w:fldChar w:fldCharType="begin"/>
            </w:r>
            <w:r>
              <w:rPr>
                <w:rFonts w:hint="eastAsia" w:ascii="宋体" w:hAnsi="宋体" w:cs="宋体"/>
              </w:rPr>
              <w:instrText xml:space="preserve"> REF _Ref23046 \h </w:instrText>
            </w:r>
            <w:r>
              <w:rPr>
                <w:rFonts w:hint="eastAsia" w:ascii="宋体" w:hAnsi="宋体" w:cs="宋体"/>
              </w:rPr>
              <w:fldChar w:fldCharType="separate"/>
            </w:r>
            <w:r>
              <w:t>图 6</w:t>
            </w:r>
            <w:r>
              <w:rPr>
                <w:rFonts w:hint="eastAsia" w:ascii="宋体" w:hAnsi="宋体" w:cs="宋体"/>
              </w:rPr>
              <w:fldChar w:fldCharType="end"/>
            </w:r>
            <w:r>
              <w:rPr>
                <w:rFonts w:hint="eastAsia"/>
              </w:rPr>
              <w:t>4</w:t>
            </w:r>
            <w:r>
              <w:rPr>
                <w:rFonts w:hint="eastAsia" w:ascii="宋体" w:hAnsi="宋体" w:cs="宋体"/>
              </w:rPr>
              <w:t>所示：</w:t>
            </w:r>
          </w:p>
          <w:p>
            <w:pPr>
              <w:widowControl/>
              <w:jc w:val="center"/>
            </w:pPr>
            <w:r>
              <w:drawing>
                <wp:inline distT="0" distB="0" distL="114300" distR="114300">
                  <wp:extent cx="5279390" cy="2148205"/>
                  <wp:effectExtent l="0" t="0" r="16510" b="4445"/>
                  <wp:docPr id="77" name="图片 7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descr="图片"/>
                          <pic:cNvPicPr>
                            <a:picLocks noChangeAspect="1"/>
                          </pic:cNvPicPr>
                        </pic:nvPicPr>
                        <pic:blipFill>
                          <a:blip r:embed="rId83"/>
                          <a:stretch>
                            <a:fillRect/>
                          </a:stretch>
                        </pic:blipFill>
                        <pic:spPr>
                          <a:xfrm>
                            <a:off x="0" y="0"/>
                            <a:ext cx="5279390" cy="2148205"/>
                          </a:xfrm>
                          <a:prstGeom prst="rect">
                            <a:avLst/>
                          </a:prstGeom>
                          <a:noFill/>
                          <a:ln>
                            <a:noFill/>
                          </a:ln>
                        </pic:spPr>
                      </pic:pic>
                    </a:graphicData>
                  </a:graphic>
                </wp:inline>
              </w:drawing>
            </w:r>
          </w:p>
          <w:p>
            <w:pPr>
              <w:pStyle w:val="15"/>
              <w:jc w:val="center"/>
            </w:pPr>
            <w:bookmarkStart w:id="115" w:name="_Ref23046"/>
            <w:r>
              <w:t xml:space="preserve">图 </w:t>
            </w:r>
            <w:r>
              <w:fldChar w:fldCharType="begin"/>
            </w:r>
            <w:r>
              <w:instrText xml:space="preserve"> SEQ 图 \* ARABIC </w:instrText>
            </w:r>
            <w:r>
              <w:fldChar w:fldCharType="separate"/>
            </w:r>
            <w:r>
              <w:t>6</w:t>
            </w:r>
            <w:r>
              <w:fldChar w:fldCharType="end"/>
            </w:r>
            <w:bookmarkEnd w:id="115"/>
            <w:r>
              <w:rPr>
                <w:rFonts w:hint="eastAsia"/>
              </w:rPr>
              <w:t>4 必填项检查</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（3）放射卫生质量控制</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对放射卫生技术服务机构的报告进行质量抽查、技术能力比对，对放射诊疗机构、非医疗放射工作单位质控, 满足广西疾控中心的质控要求，并出具对应的质控报表提供至表格报送单位。</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（4）职业健康指标常规监测质控情况</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参照重点职业病监测质量控制与评估方法。主要对职业健康指标常规监测数据进行质量控制，并根据实际情况填写职业健康指标常规监测数据审核情况汇总表。表格样式如表7所示：</w:t>
            </w:r>
          </w:p>
          <w:p>
            <w:pPr>
              <w:pStyle w:val="15"/>
              <w:jc w:val="center"/>
            </w:pPr>
            <w:r>
              <w:rPr>
                <w:rFonts w:hint="eastAsia"/>
              </w:rPr>
              <w:t>表 7职业健康指标常规监测数据审核情况汇总表</w:t>
            </w:r>
          </w:p>
          <w:tbl>
            <w:tblPr>
              <w:tblStyle w:val="44"/>
              <w:tblW w:w="8517" w:type="dxa"/>
              <w:jc w:val="center"/>
              <w:tblLayout w:type="fixed"/>
              <w:tblCellMar>
                <w:top w:w="0" w:type="dxa"/>
                <w:left w:w="108" w:type="dxa"/>
                <w:bottom w:w="0" w:type="dxa"/>
                <w:right w:w="108" w:type="dxa"/>
              </w:tblCellMar>
            </w:tblPr>
            <w:tblGrid>
              <w:gridCol w:w="991"/>
              <w:gridCol w:w="1541"/>
              <w:gridCol w:w="1541"/>
              <w:gridCol w:w="1541"/>
              <w:gridCol w:w="1323"/>
              <w:gridCol w:w="1580"/>
            </w:tblGrid>
            <w:tr>
              <w:tblPrEx>
                <w:tblCellMar>
                  <w:top w:w="0" w:type="dxa"/>
                  <w:left w:w="108" w:type="dxa"/>
                  <w:bottom w:w="0" w:type="dxa"/>
                  <w:right w:w="108" w:type="dxa"/>
                </w:tblCellMar>
              </w:tblPrEx>
              <w:trPr>
                <w:trHeight w:val="394" w:hRule="atLeast"/>
                <w:jc w:val="center"/>
              </w:trPr>
              <w:tc>
                <w:tcPr>
                  <w:tcW w:w="991" w:type="dxa"/>
                  <w:tcBorders>
                    <w:top w:val="single" w:color="000000" w:sz="4" w:space="0"/>
                    <w:left w:val="single" w:color="auto" w:sz="4" w:space="0"/>
                    <w:bottom w:val="single" w:color="auto" w:sz="4" w:space="0"/>
                    <w:right w:val="single" w:color="000000" w:sz="4" w:space="0"/>
                  </w:tcBorders>
                  <w:vAlign w:val="center"/>
                </w:tcPr>
                <w:p>
                  <w:pPr>
                    <w:widowControl/>
                    <w:adjustRightInd w:val="0"/>
                    <w:snapToGrid w:val="0"/>
                    <w:spacing w:line="360" w:lineRule="exact"/>
                    <w:jc w:val="center"/>
                    <w:rPr>
                      <w:rFonts w:ascii="宋体" w:hAnsi="宋体" w:cs="宋体"/>
                    </w:rPr>
                  </w:pPr>
                  <w:r>
                    <w:rPr>
                      <w:rFonts w:hint="eastAsia" w:ascii="宋体" w:hAnsi="宋体" w:cs="宋体"/>
                    </w:rPr>
                    <w:t>地区</w:t>
                  </w:r>
                </w:p>
              </w:tc>
              <w:tc>
                <w:tcPr>
                  <w:tcW w:w="1541" w:type="dxa"/>
                  <w:tcBorders>
                    <w:top w:val="single" w:color="000000" w:sz="4" w:space="0"/>
                    <w:left w:val="single" w:color="000000" w:sz="4" w:space="0"/>
                    <w:bottom w:val="single" w:color="auto" w:sz="4" w:space="0"/>
                    <w:right w:val="single" w:color="000000" w:sz="4" w:space="0"/>
                  </w:tcBorders>
                  <w:vAlign w:val="center"/>
                </w:tcPr>
                <w:p>
                  <w:pPr>
                    <w:widowControl/>
                    <w:adjustRightInd w:val="0"/>
                    <w:snapToGrid w:val="0"/>
                    <w:spacing w:line="360" w:lineRule="exact"/>
                    <w:jc w:val="center"/>
                    <w:rPr>
                      <w:rFonts w:ascii="宋体" w:hAnsi="宋体" w:cs="宋体"/>
                    </w:rPr>
                  </w:pPr>
                  <w:r>
                    <w:rPr>
                      <w:rFonts w:hint="eastAsia" w:ascii="宋体" w:hAnsi="宋体" w:cs="宋体"/>
                    </w:rPr>
                    <w:t>个案卡报告数</w:t>
                  </w:r>
                </w:p>
              </w:tc>
              <w:tc>
                <w:tcPr>
                  <w:tcW w:w="1541" w:type="dxa"/>
                  <w:tcBorders>
                    <w:top w:val="single" w:color="000000" w:sz="4" w:space="0"/>
                    <w:left w:val="single" w:color="000000" w:sz="4" w:space="0"/>
                    <w:bottom w:val="single" w:color="auto" w:sz="4" w:space="0"/>
                    <w:right w:val="single" w:color="000000" w:sz="4" w:space="0"/>
                  </w:tcBorders>
                  <w:vAlign w:val="center"/>
                </w:tcPr>
                <w:p>
                  <w:pPr>
                    <w:widowControl/>
                    <w:adjustRightInd w:val="0"/>
                    <w:snapToGrid w:val="0"/>
                    <w:spacing w:line="360" w:lineRule="exact"/>
                    <w:jc w:val="center"/>
                    <w:rPr>
                      <w:rFonts w:ascii="宋体" w:hAnsi="宋体" w:cs="宋体"/>
                    </w:rPr>
                  </w:pPr>
                  <w:r>
                    <w:rPr>
                      <w:rFonts w:hint="eastAsia" w:ascii="宋体" w:hAnsi="宋体" w:cs="宋体"/>
                    </w:rPr>
                    <w:t>个案卡审核数</w:t>
                  </w:r>
                </w:p>
              </w:tc>
              <w:tc>
                <w:tcPr>
                  <w:tcW w:w="1541" w:type="dxa"/>
                  <w:tcBorders>
                    <w:top w:val="single" w:color="000000" w:sz="4" w:space="0"/>
                    <w:left w:val="single" w:color="000000" w:sz="4" w:space="0"/>
                    <w:bottom w:val="single" w:color="auto" w:sz="4" w:space="0"/>
                    <w:right w:val="single" w:color="000000" w:sz="4" w:space="0"/>
                  </w:tcBorders>
                  <w:vAlign w:val="center"/>
                </w:tcPr>
                <w:p>
                  <w:pPr>
                    <w:widowControl/>
                    <w:adjustRightInd w:val="0"/>
                    <w:snapToGrid w:val="0"/>
                    <w:spacing w:line="360" w:lineRule="exact"/>
                    <w:jc w:val="center"/>
                    <w:rPr>
                      <w:rFonts w:ascii="宋体" w:hAnsi="宋体" w:cs="宋体"/>
                    </w:rPr>
                  </w:pPr>
                  <w:r>
                    <w:rPr>
                      <w:rFonts w:hint="eastAsia" w:ascii="宋体" w:hAnsi="宋体" w:cs="宋体"/>
                    </w:rPr>
                    <w:t>审核不通过数</w:t>
                  </w:r>
                </w:p>
              </w:tc>
              <w:tc>
                <w:tcPr>
                  <w:tcW w:w="1323" w:type="dxa"/>
                  <w:tcBorders>
                    <w:top w:val="single" w:color="000000" w:sz="4" w:space="0"/>
                    <w:left w:val="single" w:color="000000" w:sz="4" w:space="0"/>
                    <w:bottom w:val="single" w:color="auto" w:sz="4" w:space="0"/>
                    <w:right w:val="single" w:color="000000" w:sz="4" w:space="0"/>
                  </w:tcBorders>
                  <w:vAlign w:val="center"/>
                </w:tcPr>
                <w:p>
                  <w:pPr>
                    <w:widowControl/>
                    <w:adjustRightInd w:val="0"/>
                    <w:snapToGrid w:val="0"/>
                    <w:spacing w:line="360" w:lineRule="exact"/>
                    <w:jc w:val="center"/>
                    <w:rPr>
                      <w:rFonts w:ascii="宋体" w:hAnsi="宋体" w:cs="宋体"/>
                    </w:rPr>
                  </w:pPr>
                  <w:r>
                    <w:rPr>
                      <w:rFonts w:hint="eastAsia" w:ascii="宋体" w:hAnsi="宋体" w:cs="宋体"/>
                    </w:rPr>
                    <w:t>现场复核数</w:t>
                  </w:r>
                </w:p>
              </w:tc>
              <w:tc>
                <w:tcPr>
                  <w:tcW w:w="1580" w:type="dxa"/>
                  <w:tcBorders>
                    <w:top w:val="single" w:color="000000" w:sz="4" w:space="0"/>
                    <w:left w:val="single" w:color="000000" w:sz="4" w:space="0"/>
                    <w:bottom w:val="single" w:color="auto" w:sz="4" w:space="0"/>
                    <w:right w:val="single" w:color="000000" w:sz="4" w:space="0"/>
                  </w:tcBorders>
                  <w:vAlign w:val="center"/>
                </w:tcPr>
                <w:p>
                  <w:pPr>
                    <w:widowControl/>
                    <w:adjustRightInd w:val="0"/>
                    <w:snapToGrid w:val="0"/>
                    <w:spacing w:line="360" w:lineRule="exact"/>
                    <w:jc w:val="center"/>
                    <w:rPr>
                      <w:rFonts w:ascii="宋体" w:hAnsi="宋体" w:cs="宋体"/>
                    </w:rPr>
                  </w:pPr>
                  <w:r>
                    <w:rPr>
                      <w:rFonts w:hint="eastAsia" w:ascii="宋体" w:hAnsi="宋体" w:cs="宋体"/>
                    </w:rPr>
                    <w:t>复核不通过数</w:t>
                  </w:r>
                </w:p>
              </w:tc>
            </w:tr>
            <w:tr>
              <w:tblPrEx>
                <w:tblCellMar>
                  <w:top w:w="0" w:type="dxa"/>
                  <w:left w:w="108" w:type="dxa"/>
                  <w:bottom w:w="0" w:type="dxa"/>
                  <w:right w:w="108" w:type="dxa"/>
                </w:tblCellMar>
              </w:tblPrEx>
              <w:trPr>
                <w:trHeight w:val="344" w:hRule="exact"/>
                <w:jc w:val="center"/>
              </w:trPr>
              <w:tc>
                <w:tcPr>
                  <w:tcW w:w="9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r>
                    <w:rPr>
                      <w:rFonts w:hint="eastAsia" w:ascii="宋体" w:hAnsi="宋体" w:cs="宋体"/>
                    </w:rPr>
                    <w:t>自治区级</w:t>
                  </w:r>
                </w:p>
              </w:tc>
              <w:tc>
                <w:tcPr>
                  <w:tcW w:w="15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p>
              </w:tc>
              <w:tc>
                <w:tcPr>
                  <w:tcW w:w="1541" w:type="dxa"/>
                  <w:tcBorders>
                    <w:top w:val="single" w:color="auto" w:sz="4" w:space="0"/>
                    <w:left w:val="nil"/>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p>
              </w:tc>
              <w:tc>
                <w:tcPr>
                  <w:tcW w:w="15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p>
              </w:tc>
              <w:tc>
                <w:tcPr>
                  <w:tcW w:w="1323" w:type="dxa"/>
                  <w:tcBorders>
                    <w:top w:val="single" w:color="auto" w:sz="4" w:space="0"/>
                    <w:left w:val="nil"/>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p>
              </w:tc>
              <w:tc>
                <w:tcPr>
                  <w:tcW w:w="158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p>
              </w:tc>
            </w:tr>
            <w:tr>
              <w:tblPrEx>
                <w:tblCellMar>
                  <w:top w:w="0" w:type="dxa"/>
                  <w:left w:w="108" w:type="dxa"/>
                  <w:bottom w:w="0" w:type="dxa"/>
                  <w:right w:w="108" w:type="dxa"/>
                </w:tblCellMar>
              </w:tblPrEx>
              <w:trPr>
                <w:trHeight w:val="312" w:hRule="exact"/>
                <w:jc w:val="center"/>
              </w:trPr>
              <w:tc>
                <w:tcPr>
                  <w:tcW w:w="9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r>
                    <w:rPr>
                      <w:rFonts w:hint="eastAsia" w:ascii="宋体" w:hAnsi="宋体" w:cs="宋体"/>
                    </w:rPr>
                    <w:t>地市级</w:t>
                  </w:r>
                </w:p>
              </w:tc>
              <w:tc>
                <w:tcPr>
                  <w:tcW w:w="15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p>
              </w:tc>
              <w:tc>
                <w:tcPr>
                  <w:tcW w:w="1541" w:type="dxa"/>
                  <w:tcBorders>
                    <w:top w:val="single" w:color="auto" w:sz="4" w:space="0"/>
                    <w:left w:val="nil"/>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p>
              </w:tc>
              <w:tc>
                <w:tcPr>
                  <w:tcW w:w="15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p>
              </w:tc>
              <w:tc>
                <w:tcPr>
                  <w:tcW w:w="1323" w:type="dxa"/>
                  <w:tcBorders>
                    <w:top w:val="single" w:color="auto" w:sz="4" w:space="0"/>
                    <w:left w:val="nil"/>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p>
              </w:tc>
              <w:tc>
                <w:tcPr>
                  <w:tcW w:w="158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p>
              </w:tc>
            </w:tr>
            <w:tr>
              <w:tblPrEx>
                <w:tblCellMar>
                  <w:top w:w="0" w:type="dxa"/>
                  <w:left w:w="108" w:type="dxa"/>
                  <w:bottom w:w="0" w:type="dxa"/>
                  <w:right w:w="108" w:type="dxa"/>
                </w:tblCellMar>
              </w:tblPrEx>
              <w:trPr>
                <w:trHeight w:val="312" w:hRule="exact"/>
                <w:jc w:val="center"/>
              </w:trPr>
              <w:tc>
                <w:tcPr>
                  <w:tcW w:w="9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r>
                    <w:rPr>
                      <w:rFonts w:hint="eastAsia" w:ascii="宋体" w:hAnsi="宋体" w:cs="宋体"/>
                    </w:rPr>
                    <w:t>...</w:t>
                  </w:r>
                </w:p>
              </w:tc>
              <w:tc>
                <w:tcPr>
                  <w:tcW w:w="15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p>
              </w:tc>
              <w:tc>
                <w:tcPr>
                  <w:tcW w:w="1541" w:type="dxa"/>
                  <w:tcBorders>
                    <w:top w:val="single" w:color="auto" w:sz="4" w:space="0"/>
                    <w:left w:val="nil"/>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p>
              </w:tc>
              <w:tc>
                <w:tcPr>
                  <w:tcW w:w="15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p>
              </w:tc>
              <w:tc>
                <w:tcPr>
                  <w:tcW w:w="1323" w:type="dxa"/>
                  <w:tcBorders>
                    <w:top w:val="single" w:color="auto" w:sz="4" w:space="0"/>
                    <w:left w:val="nil"/>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p>
              </w:tc>
              <w:tc>
                <w:tcPr>
                  <w:tcW w:w="158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p>
              </w:tc>
            </w:tr>
            <w:tr>
              <w:tblPrEx>
                <w:tblCellMar>
                  <w:top w:w="0" w:type="dxa"/>
                  <w:left w:w="108" w:type="dxa"/>
                  <w:bottom w:w="0" w:type="dxa"/>
                  <w:right w:w="108" w:type="dxa"/>
                </w:tblCellMar>
              </w:tblPrEx>
              <w:trPr>
                <w:trHeight w:val="359" w:hRule="exact"/>
                <w:jc w:val="center"/>
              </w:trPr>
              <w:tc>
                <w:tcPr>
                  <w:tcW w:w="9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r>
                    <w:rPr>
                      <w:rFonts w:hint="eastAsia" w:ascii="宋体" w:hAnsi="宋体" w:cs="宋体"/>
                    </w:rPr>
                    <w:t>合计</w:t>
                  </w:r>
                </w:p>
              </w:tc>
              <w:tc>
                <w:tcPr>
                  <w:tcW w:w="15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p>
              </w:tc>
              <w:tc>
                <w:tcPr>
                  <w:tcW w:w="1541" w:type="dxa"/>
                  <w:tcBorders>
                    <w:top w:val="single" w:color="auto" w:sz="4" w:space="0"/>
                    <w:left w:val="nil"/>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p>
              </w:tc>
              <w:tc>
                <w:tcPr>
                  <w:tcW w:w="15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p>
              </w:tc>
              <w:tc>
                <w:tcPr>
                  <w:tcW w:w="1323" w:type="dxa"/>
                  <w:tcBorders>
                    <w:top w:val="single" w:color="auto" w:sz="4" w:space="0"/>
                    <w:left w:val="nil"/>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p>
              </w:tc>
              <w:tc>
                <w:tcPr>
                  <w:tcW w:w="158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rPr>
                  </w:pPr>
                </w:p>
              </w:tc>
            </w:tr>
          </w:tbl>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（5）职业病诊断机构质量控制</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每年在固定时间填报机构的医疗机构执业许可证、相关部门设置文件；技术负责人、质量负责人、质量控制负责人、职业病诊断医师及相关专业人员名单及对应的专业技术职称证书；与诊断项目相适应且满足相应职业病诊断标准要求的工作场所、仪器设备清单、信息管理条件以及有关档案材料，表格样式如表8、表9、表10所示：</w:t>
            </w:r>
          </w:p>
          <w:p>
            <w:pPr>
              <w:pStyle w:val="15"/>
              <w:jc w:val="center"/>
            </w:pPr>
          </w:p>
          <w:p>
            <w:pPr>
              <w:pStyle w:val="15"/>
              <w:jc w:val="center"/>
            </w:pPr>
          </w:p>
          <w:p>
            <w:pPr>
              <w:pStyle w:val="15"/>
              <w:jc w:val="center"/>
            </w:pPr>
          </w:p>
          <w:p>
            <w:pPr>
              <w:pStyle w:val="15"/>
              <w:jc w:val="center"/>
              <w:rPr>
                <w:rFonts w:hint="eastAsia"/>
              </w:rPr>
            </w:pPr>
          </w:p>
          <w:p>
            <w:pPr>
              <w:pStyle w:val="15"/>
              <w:jc w:val="center"/>
            </w:pPr>
            <w:r>
              <w:rPr>
                <w:rFonts w:hint="eastAsia"/>
              </w:rPr>
              <w:t>表 8表格样式</w:t>
            </w:r>
          </w:p>
          <w:p>
            <w:pPr>
              <w:widowControl/>
              <w:adjustRightInd w:val="0"/>
              <w:snapToGrid w:val="0"/>
              <w:spacing w:line="360" w:lineRule="exact"/>
              <w:ind w:firstLine="422" w:firstLineChars="200"/>
              <w:jc w:val="center"/>
              <w:rPr>
                <w:rFonts w:ascii="宋体" w:hAnsi="宋体" w:cs="宋体"/>
              </w:rPr>
            </w:pPr>
            <w:r>
              <w:rPr>
                <w:rFonts w:hint="eastAsia" w:ascii="宋体" w:hAnsi="宋体" w:cs="宋体"/>
                <w:b/>
                <w:bCs/>
              </w:rPr>
              <w:t>职业病诊断机构能力保持情况自查表</w:t>
            </w:r>
          </w:p>
          <w:tbl>
            <w:tblPr>
              <w:tblStyle w:val="44"/>
              <w:tblW w:w="821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3"/>
              <w:gridCol w:w="1493"/>
              <w:gridCol w:w="1274"/>
              <w:gridCol w:w="1358"/>
              <w:gridCol w:w="878"/>
              <w:gridCol w:w="152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2" w:hRule="exact"/>
                <w:jc w:val="center"/>
              </w:trPr>
              <w:tc>
                <w:tcPr>
                  <w:tcW w:w="16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rPr>
                  </w:pPr>
                  <w:r>
                    <w:rPr>
                      <w:rFonts w:hint="eastAsia" w:ascii="宋体" w:hAnsi="宋体" w:cs="宋体"/>
                    </w:rPr>
                    <w:t>机构名称</w:t>
                  </w:r>
                </w:p>
              </w:tc>
              <w:tc>
                <w:tcPr>
                  <w:tcW w:w="4125"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center"/>
                    <w:rPr>
                      <w:rFonts w:ascii="宋体" w:hAnsi="宋体" w:cs="宋体"/>
                    </w:rPr>
                  </w:pPr>
                </w:p>
              </w:tc>
              <w:tc>
                <w:tcPr>
                  <w:tcW w:w="87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adjustRightInd w:val="0"/>
                    <w:snapToGrid w:val="0"/>
                    <w:jc w:val="center"/>
                    <w:rPr>
                      <w:rFonts w:ascii="宋体" w:hAnsi="宋体" w:cs="宋体"/>
                    </w:rPr>
                  </w:pPr>
                  <w:r>
                    <w:rPr>
                      <w:rFonts w:hint="eastAsia" w:ascii="宋体" w:hAnsi="宋体" w:cs="宋体"/>
                    </w:rPr>
                    <w:t>网址</w:t>
                  </w:r>
                </w:p>
              </w:tc>
              <w:tc>
                <w:tcPr>
                  <w:tcW w:w="15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7" w:hRule="exact"/>
                <w:jc w:val="center"/>
              </w:trPr>
              <w:tc>
                <w:tcPr>
                  <w:tcW w:w="16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rPr>
                  </w:pPr>
                  <w:r>
                    <w:rPr>
                      <w:rFonts w:hint="eastAsia" w:ascii="宋体" w:hAnsi="宋体" w:cs="宋体"/>
                    </w:rPr>
                    <w:t>机构地址</w:t>
                  </w:r>
                </w:p>
              </w:tc>
              <w:tc>
                <w:tcPr>
                  <w:tcW w:w="4125"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center"/>
                    <w:rPr>
                      <w:rFonts w:ascii="宋体" w:hAnsi="宋体" w:cs="宋体"/>
                    </w:rPr>
                  </w:pPr>
                </w:p>
              </w:tc>
              <w:tc>
                <w:tcPr>
                  <w:tcW w:w="87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adjustRightInd w:val="0"/>
                    <w:snapToGrid w:val="0"/>
                    <w:jc w:val="center"/>
                    <w:rPr>
                      <w:rFonts w:ascii="宋体" w:hAnsi="宋体" w:cs="宋体"/>
                    </w:rPr>
                  </w:pPr>
                  <w:r>
                    <w:rPr>
                      <w:rFonts w:hint="eastAsia" w:ascii="宋体" w:hAnsi="宋体" w:cs="宋体"/>
                    </w:rPr>
                    <w:t>邮编</w:t>
                  </w:r>
                </w:p>
              </w:tc>
              <w:tc>
                <w:tcPr>
                  <w:tcW w:w="15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6" w:hRule="exact"/>
                <w:jc w:val="center"/>
              </w:trPr>
              <w:tc>
                <w:tcPr>
                  <w:tcW w:w="16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rPr>
                  </w:pPr>
                  <w:r>
                    <w:rPr>
                      <w:rFonts w:hint="eastAsia" w:ascii="宋体" w:hAnsi="宋体" w:cs="宋体"/>
                    </w:rPr>
                    <w:t>法定代表人</w:t>
                  </w:r>
                </w:p>
              </w:tc>
              <w:tc>
                <w:tcPr>
                  <w:tcW w:w="14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center"/>
                    <w:rPr>
                      <w:rFonts w:ascii="宋体" w:hAnsi="宋体" w:cs="宋体"/>
                    </w:rPr>
                  </w:pPr>
                </w:p>
              </w:tc>
              <w:tc>
                <w:tcPr>
                  <w:tcW w:w="12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adjustRightInd w:val="0"/>
                    <w:snapToGrid w:val="0"/>
                    <w:jc w:val="center"/>
                    <w:rPr>
                      <w:rFonts w:ascii="宋体" w:hAnsi="宋体" w:cs="宋体"/>
                    </w:rPr>
                  </w:pPr>
                  <w:r>
                    <w:rPr>
                      <w:rFonts w:hint="eastAsia" w:ascii="宋体" w:hAnsi="宋体" w:cs="宋体"/>
                    </w:rPr>
                    <w:t>职务/职称</w:t>
                  </w:r>
                </w:p>
              </w:tc>
              <w:tc>
                <w:tcPr>
                  <w:tcW w:w="13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center"/>
                    <w:rPr>
                      <w:rFonts w:ascii="宋体" w:hAnsi="宋体" w:cs="宋体"/>
                    </w:rPr>
                  </w:pPr>
                </w:p>
              </w:tc>
              <w:tc>
                <w:tcPr>
                  <w:tcW w:w="87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adjustRightInd w:val="0"/>
                    <w:snapToGrid w:val="0"/>
                    <w:jc w:val="center"/>
                    <w:rPr>
                      <w:rFonts w:ascii="宋体" w:hAnsi="宋体" w:cs="宋体"/>
                    </w:rPr>
                  </w:pPr>
                  <w:r>
                    <w:rPr>
                      <w:rFonts w:hint="eastAsia" w:ascii="宋体" w:hAnsi="宋体" w:cs="宋体"/>
                    </w:rPr>
                    <w:t>电话</w:t>
                  </w:r>
                </w:p>
              </w:tc>
              <w:tc>
                <w:tcPr>
                  <w:tcW w:w="15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exact"/>
                <w:jc w:val="center"/>
              </w:trPr>
              <w:tc>
                <w:tcPr>
                  <w:tcW w:w="16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rPr>
                  </w:pPr>
                  <w:r>
                    <w:rPr>
                      <w:rFonts w:hint="eastAsia" w:ascii="宋体" w:hAnsi="宋体" w:cs="宋体"/>
                    </w:rPr>
                    <w:t>备案联系人</w:t>
                  </w:r>
                </w:p>
              </w:tc>
              <w:tc>
                <w:tcPr>
                  <w:tcW w:w="14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center"/>
                    <w:rPr>
                      <w:rFonts w:ascii="宋体" w:hAnsi="宋体" w:cs="宋体"/>
                    </w:rPr>
                  </w:pPr>
                </w:p>
              </w:tc>
              <w:tc>
                <w:tcPr>
                  <w:tcW w:w="12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adjustRightInd w:val="0"/>
                    <w:snapToGrid w:val="0"/>
                    <w:jc w:val="center"/>
                    <w:rPr>
                      <w:rFonts w:ascii="宋体" w:hAnsi="宋体" w:cs="宋体"/>
                    </w:rPr>
                  </w:pPr>
                  <w:r>
                    <w:rPr>
                      <w:rFonts w:hint="eastAsia" w:ascii="宋体" w:hAnsi="宋体" w:cs="宋体"/>
                    </w:rPr>
                    <w:t>电话/传真</w:t>
                  </w:r>
                </w:p>
              </w:tc>
              <w:tc>
                <w:tcPr>
                  <w:tcW w:w="13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center"/>
                    <w:rPr>
                      <w:rFonts w:ascii="宋体" w:hAnsi="宋体" w:cs="宋体"/>
                    </w:rPr>
                  </w:pPr>
                </w:p>
              </w:tc>
              <w:tc>
                <w:tcPr>
                  <w:tcW w:w="87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adjustRightInd w:val="0"/>
                    <w:snapToGrid w:val="0"/>
                    <w:jc w:val="center"/>
                    <w:rPr>
                      <w:rFonts w:ascii="宋体" w:hAnsi="宋体" w:cs="宋体"/>
                    </w:rPr>
                  </w:pPr>
                  <w:r>
                    <w:rPr>
                      <w:rFonts w:hint="eastAsia" w:ascii="宋体" w:hAnsi="宋体" w:cs="宋体"/>
                    </w:rPr>
                    <w:t>邮箱</w:t>
                  </w:r>
                </w:p>
              </w:tc>
              <w:tc>
                <w:tcPr>
                  <w:tcW w:w="15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35" w:hRule="atLeast"/>
                <w:jc w:val="center"/>
              </w:trPr>
              <w:tc>
                <w:tcPr>
                  <w:tcW w:w="16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rPr>
                  </w:pPr>
                  <w:r>
                    <w:rPr>
                      <w:rFonts w:hint="eastAsia" w:ascii="宋体" w:hAnsi="宋体" w:cs="宋体"/>
                    </w:rPr>
                    <w:t>备案诊断项目（按照《职业病分类和目录》，在相对应职业病类别后面的括号内打“√”，并明确具体病种名称）</w:t>
                  </w:r>
                </w:p>
              </w:tc>
              <w:tc>
                <w:tcPr>
                  <w:tcW w:w="6525" w:type="dxa"/>
                  <w:gridSpan w:val="5"/>
                  <w:tcBorders>
                    <w:top w:val="single" w:color="auto" w:sz="4" w:space="0"/>
                    <w:left w:val="single" w:color="auto" w:sz="4" w:space="0"/>
                    <w:bottom w:val="single" w:color="auto" w:sz="4" w:space="0"/>
                    <w:right w:val="single" w:color="auto" w:sz="4" w:space="0"/>
                  </w:tcBorders>
                </w:tcPr>
                <w:p>
                  <w:pPr>
                    <w:widowControl/>
                    <w:adjustRightInd w:val="0"/>
                    <w:snapToGrid w:val="0"/>
                    <w:ind w:firstLine="420" w:firstLineChars="200"/>
                    <w:jc w:val="left"/>
                    <w:rPr>
                      <w:rFonts w:ascii="宋体" w:hAnsi="宋体" w:cs="宋体"/>
                    </w:rPr>
                  </w:pPr>
                  <w:r>
                    <w:rPr>
                      <w:rFonts w:hint="eastAsia" w:ascii="宋体" w:hAnsi="宋体" w:cs="宋体"/>
                    </w:rPr>
                    <w:t>职业性尘肺病及其他呼吸系统疾病（   ）</w:t>
                  </w:r>
                </w:p>
                <w:p>
                  <w:pPr>
                    <w:widowControl/>
                    <w:adjustRightInd w:val="0"/>
                    <w:snapToGrid w:val="0"/>
                    <w:ind w:firstLine="420" w:firstLineChars="200"/>
                    <w:jc w:val="left"/>
                    <w:rPr>
                      <w:rFonts w:ascii="宋体" w:hAnsi="宋体" w:cs="宋体"/>
                    </w:rPr>
                  </w:pPr>
                  <w:r>
                    <w:rPr>
                      <w:rFonts w:hint="eastAsia" w:ascii="宋体" w:hAnsi="宋体" w:cs="宋体"/>
                    </w:rPr>
                    <w:t>病种名称：</w:t>
                  </w:r>
                </w:p>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hint="eastAsia" w:ascii="宋体" w:hAnsi="宋体" w:cs="宋体"/>
                    </w:rPr>
                    <w:t>职业性皮肤病                  （   ）</w:t>
                  </w:r>
                </w:p>
                <w:p>
                  <w:pPr>
                    <w:widowControl/>
                    <w:adjustRightInd w:val="0"/>
                    <w:snapToGrid w:val="0"/>
                    <w:ind w:firstLine="420" w:firstLineChars="200"/>
                    <w:jc w:val="left"/>
                    <w:rPr>
                      <w:rFonts w:ascii="宋体" w:hAnsi="宋体" w:cs="宋体"/>
                    </w:rPr>
                  </w:pPr>
                  <w:r>
                    <w:rPr>
                      <w:rFonts w:hint="eastAsia" w:ascii="宋体" w:hAnsi="宋体" w:cs="宋体"/>
                    </w:rPr>
                    <w:t>病种名称：</w:t>
                  </w:r>
                </w:p>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hint="eastAsia" w:ascii="宋体" w:hAnsi="宋体" w:cs="宋体"/>
                    </w:rPr>
                    <w:t>职业性眼病                    （   ）</w:t>
                  </w:r>
                </w:p>
                <w:p>
                  <w:pPr>
                    <w:widowControl/>
                    <w:adjustRightInd w:val="0"/>
                    <w:snapToGrid w:val="0"/>
                    <w:ind w:firstLine="420" w:firstLineChars="200"/>
                    <w:jc w:val="left"/>
                    <w:rPr>
                      <w:rFonts w:ascii="宋体" w:hAnsi="宋体" w:cs="宋体"/>
                    </w:rPr>
                  </w:pPr>
                  <w:r>
                    <w:rPr>
                      <w:rFonts w:hint="eastAsia" w:ascii="宋体" w:hAnsi="宋体" w:cs="宋体"/>
                    </w:rPr>
                    <w:t>病种名称：</w:t>
                  </w:r>
                </w:p>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hint="eastAsia" w:ascii="宋体" w:hAnsi="宋体" w:cs="宋体"/>
                    </w:rPr>
                    <w:t>职业性耳鼻喉口腔疾病          （   ）</w:t>
                  </w:r>
                </w:p>
                <w:p>
                  <w:pPr>
                    <w:widowControl/>
                    <w:adjustRightInd w:val="0"/>
                    <w:snapToGrid w:val="0"/>
                    <w:ind w:firstLine="420" w:firstLineChars="200"/>
                    <w:jc w:val="left"/>
                    <w:rPr>
                      <w:rFonts w:ascii="宋体" w:hAnsi="宋体" w:cs="宋体"/>
                    </w:rPr>
                  </w:pPr>
                  <w:r>
                    <w:rPr>
                      <w:rFonts w:hint="eastAsia" w:ascii="宋体" w:hAnsi="宋体" w:cs="宋体"/>
                    </w:rPr>
                    <w:t>病种名称：</w:t>
                  </w:r>
                </w:p>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hint="eastAsia" w:ascii="宋体" w:hAnsi="宋体" w:cs="宋体"/>
                    </w:rPr>
                    <w:t>职业性化学中毒                （   ）</w:t>
                  </w:r>
                </w:p>
                <w:p>
                  <w:pPr>
                    <w:widowControl/>
                    <w:adjustRightInd w:val="0"/>
                    <w:snapToGrid w:val="0"/>
                    <w:ind w:firstLine="420" w:firstLineChars="200"/>
                    <w:jc w:val="left"/>
                    <w:rPr>
                      <w:rFonts w:ascii="宋体" w:hAnsi="宋体" w:cs="宋体"/>
                    </w:rPr>
                  </w:pPr>
                  <w:r>
                    <w:rPr>
                      <w:rFonts w:hint="eastAsia" w:ascii="宋体" w:hAnsi="宋体" w:cs="宋体"/>
                    </w:rPr>
                    <w:t>病种名称：</w:t>
                  </w:r>
                </w:p>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hint="eastAsia" w:ascii="宋体" w:hAnsi="宋体" w:cs="宋体"/>
                    </w:rPr>
                    <w:t>物理因素所致职业病            （   ）</w:t>
                  </w:r>
                </w:p>
                <w:p>
                  <w:pPr>
                    <w:widowControl/>
                    <w:adjustRightInd w:val="0"/>
                    <w:snapToGrid w:val="0"/>
                    <w:ind w:firstLine="420" w:firstLineChars="200"/>
                    <w:jc w:val="left"/>
                    <w:rPr>
                      <w:rFonts w:ascii="宋体" w:hAnsi="宋体" w:cs="宋体"/>
                    </w:rPr>
                  </w:pPr>
                  <w:r>
                    <w:rPr>
                      <w:rFonts w:hint="eastAsia" w:ascii="宋体" w:hAnsi="宋体" w:cs="宋体"/>
                    </w:rPr>
                    <w:t>病种名称：</w:t>
                  </w:r>
                </w:p>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hint="eastAsia" w:ascii="宋体" w:hAnsi="宋体" w:cs="宋体"/>
                    </w:rPr>
                    <w:t>职业性放射性疾病              （   ）</w:t>
                  </w:r>
                </w:p>
                <w:p>
                  <w:pPr>
                    <w:widowControl/>
                    <w:adjustRightInd w:val="0"/>
                    <w:snapToGrid w:val="0"/>
                    <w:ind w:firstLine="420" w:firstLineChars="200"/>
                    <w:jc w:val="left"/>
                    <w:rPr>
                      <w:rFonts w:ascii="宋体" w:hAnsi="宋体" w:cs="宋体"/>
                    </w:rPr>
                  </w:pPr>
                  <w:r>
                    <w:rPr>
                      <w:rFonts w:hint="eastAsia" w:ascii="宋体" w:hAnsi="宋体" w:cs="宋体"/>
                    </w:rPr>
                    <w:t>病种名称：</w:t>
                  </w:r>
                </w:p>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hint="eastAsia" w:ascii="宋体" w:hAnsi="宋体" w:cs="宋体"/>
                    </w:rPr>
                    <w:t>职业性传染病                  （   ）</w:t>
                  </w:r>
                </w:p>
                <w:p>
                  <w:pPr>
                    <w:widowControl/>
                    <w:adjustRightInd w:val="0"/>
                    <w:snapToGrid w:val="0"/>
                    <w:ind w:firstLine="420" w:firstLineChars="200"/>
                    <w:jc w:val="left"/>
                    <w:rPr>
                      <w:rFonts w:ascii="宋体" w:hAnsi="宋体" w:cs="宋体"/>
                    </w:rPr>
                  </w:pPr>
                  <w:r>
                    <w:rPr>
                      <w:rFonts w:hint="eastAsia" w:ascii="宋体" w:hAnsi="宋体" w:cs="宋体"/>
                    </w:rPr>
                    <w:t>病种名称：</w:t>
                  </w:r>
                </w:p>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hint="eastAsia" w:ascii="宋体" w:hAnsi="宋体" w:cs="宋体"/>
                    </w:rPr>
                    <w:t>职业性肿瘤                    （   ）</w:t>
                  </w:r>
                </w:p>
                <w:p>
                  <w:pPr>
                    <w:widowControl/>
                    <w:adjustRightInd w:val="0"/>
                    <w:snapToGrid w:val="0"/>
                    <w:ind w:firstLine="420" w:firstLineChars="200"/>
                    <w:jc w:val="left"/>
                    <w:rPr>
                      <w:rFonts w:ascii="宋体" w:hAnsi="宋体" w:cs="宋体"/>
                    </w:rPr>
                  </w:pPr>
                  <w:r>
                    <w:rPr>
                      <w:rFonts w:hint="eastAsia" w:ascii="宋体" w:hAnsi="宋体" w:cs="宋体"/>
                    </w:rPr>
                    <w:t>病种名称：</w:t>
                  </w:r>
                </w:p>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hint="eastAsia" w:ascii="宋体" w:hAnsi="宋体" w:cs="宋体"/>
                    </w:rPr>
                    <w:t>十、其他职业病                    （   ）</w:t>
                  </w:r>
                </w:p>
                <w:p>
                  <w:pPr>
                    <w:widowControl/>
                    <w:adjustRightInd w:val="0"/>
                    <w:snapToGrid w:val="0"/>
                    <w:ind w:firstLine="420" w:firstLineChars="200"/>
                    <w:jc w:val="left"/>
                    <w:rPr>
                      <w:rFonts w:ascii="宋体" w:hAnsi="宋体" w:cs="宋体"/>
                    </w:rPr>
                  </w:pPr>
                  <w:r>
                    <w:rPr>
                      <w:rFonts w:hint="eastAsia" w:ascii="宋体" w:hAnsi="宋体" w:cs="宋体"/>
                    </w:rPr>
                    <w:t>病种名称：</w:t>
                  </w:r>
                </w:p>
                <w:p>
                  <w:pPr>
                    <w:widowControl/>
                    <w:adjustRightInd w:val="0"/>
                    <w:snapToGrid w:val="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26" w:hRule="atLeast"/>
                <w:jc w:val="center"/>
              </w:trPr>
              <w:tc>
                <w:tcPr>
                  <w:tcW w:w="8218" w:type="dxa"/>
                  <w:gridSpan w:val="6"/>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hint="eastAsia" w:ascii="宋体" w:hAnsi="宋体" w:cs="宋体"/>
                    </w:rPr>
                    <w:t>本机构保证上述资料真实、准确。</w:t>
                  </w:r>
                </w:p>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hint="eastAsia" w:ascii="宋体" w:hAnsi="宋体" w:cs="宋体"/>
                    </w:rPr>
                    <w:t>机构法定代表人（签章）：     机构（公章）：</w:t>
                  </w:r>
                </w:p>
                <w:p>
                  <w:pPr>
                    <w:widowControl/>
                    <w:adjustRightInd w:val="0"/>
                    <w:snapToGrid w:val="0"/>
                    <w:ind w:firstLine="420" w:firstLineChars="200"/>
                    <w:jc w:val="left"/>
                    <w:rPr>
                      <w:rFonts w:ascii="宋体" w:hAnsi="宋体" w:cs="宋体"/>
                    </w:rPr>
                  </w:pPr>
                </w:p>
                <w:p>
                  <w:pPr>
                    <w:widowControl/>
                    <w:adjustRightInd w:val="0"/>
                    <w:snapToGrid w:val="0"/>
                    <w:ind w:firstLine="420" w:firstLineChars="200"/>
                    <w:jc w:val="left"/>
                    <w:rPr>
                      <w:rFonts w:ascii="宋体" w:hAnsi="宋体" w:cs="宋体"/>
                    </w:rPr>
                  </w:pPr>
                  <w:r>
                    <w:rPr>
                      <w:rFonts w:hint="eastAsia" w:ascii="宋体" w:hAnsi="宋体" w:cs="宋体"/>
                    </w:rPr>
                    <w:t xml:space="preserve">年   月   日　　　　　　                                                              </w:t>
                  </w:r>
                </w:p>
              </w:tc>
            </w:tr>
          </w:tbl>
          <w:p>
            <w:pPr>
              <w:pStyle w:val="15"/>
              <w:widowControl/>
              <w:adjustRightInd w:val="0"/>
              <w:snapToGrid w:val="0"/>
              <w:spacing w:line="360" w:lineRule="exact"/>
              <w:ind w:firstLine="400" w:firstLineChars="200"/>
              <w:jc w:val="center"/>
            </w:pPr>
          </w:p>
          <w:p>
            <w:pPr>
              <w:pStyle w:val="15"/>
              <w:widowControl/>
              <w:adjustRightInd w:val="0"/>
              <w:snapToGrid w:val="0"/>
              <w:spacing w:line="360" w:lineRule="exact"/>
              <w:ind w:firstLine="400" w:firstLineChars="200"/>
              <w:jc w:val="center"/>
            </w:pPr>
            <w:r>
              <w:rPr>
                <w:rFonts w:hint="eastAsia"/>
              </w:rPr>
              <w:t>表9 职业病诊断医师等相关技术人员情况表</w:t>
            </w:r>
          </w:p>
          <w:tbl>
            <w:tblPr>
              <w:tblStyle w:val="44"/>
              <w:tblW w:w="8406" w:type="dxa"/>
              <w:tblInd w:w="3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471"/>
              <w:gridCol w:w="650"/>
              <w:gridCol w:w="586"/>
              <w:gridCol w:w="786"/>
              <w:gridCol w:w="707"/>
              <w:gridCol w:w="750"/>
              <w:gridCol w:w="778"/>
              <w:gridCol w:w="1358"/>
              <w:gridCol w:w="1085"/>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586" w:type="dxa"/>
                  <w:vAlign w:val="center"/>
                </w:tcPr>
                <w:p>
                  <w:pPr>
                    <w:widowControl/>
                    <w:adjustRightInd w:val="0"/>
                    <w:snapToGrid w:val="0"/>
                    <w:spacing w:line="360" w:lineRule="exact"/>
                    <w:jc w:val="left"/>
                    <w:rPr>
                      <w:rFonts w:ascii="宋体" w:hAnsi="宋体" w:cs="宋体"/>
                    </w:rPr>
                  </w:pPr>
                  <w:r>
                    <w:rPr>
                      <w:rFonts w:hint="eastAsia" w:ascii="宋体" w:hAnsi="宋体" w:cs="宋体"/>
                    </w:rPr>
                    <w:t>姓名</w:t>
                  </w:r>
                </w:p>
              </w:tc>
              <w:tc>
                <w:tcPr>
                  <w:tcW w:w="471" w:type="dxa"/>
                  <w:vAlign w:val="center"/>
                </w:tcPr>
                <w:p>
                  <w:pPr>
                    <w:widowControl/>
                    <w:adjustRightInd w:val="0"/>
                    <w:snapToGrid w:val="0"/>
                    <w:spacing w:line="360" w:lineRule="exact"/>
                    <w:jc w:val="left"/>
                    <w:rPr>
                      <w:rFonts w:ascii="宋体" w:hAnsi="宋体" w:cs="宋体"/>
                    </w:rPr>
                  </w:pPr>
                  <w:r>
                    <w:rPr>
                      <w:rFonts w:hint="eastAsia" w:ascii="宋体" w:hAnsi="宋体" w:cs="宋体"/>
                    </w:rPr>
                    <w:t>性别</w:t>
                  </w:r>
                </w:p>
              </w:tc>
              <w:tc>
                <w:tcPr>
                  <w:tcW w:w="650" w:type="dxa"/>
                  <w:vAlign w:val="center"/>
                </w:tcPr>
                <w:p>
                  <w:pPr>
                    <w:widowControl/>
                    <w:adjustRightInd w:val="0"/>
                    <w:snapToGrid w:val="0"/>
                    <w:spacing w:line="360" w:lineRule="exact"/>
                    <w:jc w:val="left"/>
                    <w:rPr>
                      <w:rFonts w:ascii="宋体" w:hAnsi="宋体" w:cs="宋体"/>
                    </w:rPr>
                  </w:pPr>
                  <w:r>
                    <w:rPr>
                      <w:rFonts w:hint="eastAsia" w:ascii="宋体" w:hAnsi="宋体" w:cs="宋体"/>
                    </w:rPr>
                    <w:t>出生</w:t>
                  </w:r>
                </w:p>
                <w:p>
                  <w:pPr>
                    <w:widowControl/>
                    <w:adjustRightInd w:val="0"/>
                    <w:snapToGrid w:val="0"/>
                    <w:spacing w:line="360" w:lineRule="exact"/>
                    <w:jc w:val="left"/>
                    <w:rPr>
                      <w:rFonts w:ascii="宋体" w:hAnsi="宋体" w:cs="宋体"/>
                    </w:rPr>
                  </w:pPr>
                  <w:r>
                    <w:rPr>
                      <w:rFonts w:hint="eastAsia" w:ascii="宋体" w:hAnsi="宋体" w:cs="宋体"/>
                    </w:rPr>
                    <w:t>年月</w:t>
                  </w:r>
                </w:p>
              </w:tc>
              <w:tc>
                <w:tcPr>
                  <w:tcW w:w="586" w:type="dxa"/>
                  <w:vAlign w:val="center"/>
                </w:tcPr>
                <w:p>
                  <w:pPr>
                    <w:widowControl/>
                    <w:adjustRightInd w:val="0"/>
                    <w:snapToGrid w:val="0"/>
                    <w:spacing w:line="360" w:lineRule="exact"/>
                    <w:jc w:val="left"/>
                    <w:rPr>
                      <w:rFonts w:ascii="宋体" w:hAnsi="宋体" w:cs="宋体"/>
                    </w:rPr>
                  </w:pPr>
                  <w:r>
                    <w:rPr>
                      <w:rFonts w:hint="eastAsia" w:ascii="宋体" w:hAnsi="宋体" w:cs="宋体"/>
                    </w:rPr>
                    <w:t>学历</w:t>
                  </w:r>
                </w:p>
              </w:tc>
              <w:tc>
                <w:tcPr>
                  <w:tcW w:w="786" w:type="dxa"/>
                  <w:vAlign w:val="center"/>
                </w:tcPr>
                <w:p>
                  <w:pPr>
                    <w:widowControl/>
                    <w:adjustRightInd w:val="0"/>
                    <w:snapToGrid w:val="0"/>
                    <w:spacing w:line="360" w:lineRule="exact"/>
                    <w:jc w:val="left"/>
                    <w:rPr>
                      <w:rFonts w:ascii="宋体" w:hAnsi="宋体" w:cs="宋体"/>
                    </w:rPr>
                  </w:pPr>
                  <w:r>
                    <w:rPr>
                      <w:rFonts w:hint="eastAsia" w:ascii="宋体" w:hAnsi="宋体" w:cs="宋体"/>
                    </w:rPr>
                    <w:t>职务/职称</w:t>
                  </w:r>
                </w:p>
              </w:tc>
              <w:tc>
                <w:tcPr>
                  <w:tcW w:w="707" w:type="dxa"/>
                  <w:vAlign w:val="center"/>
                </w:tcPr>
                <w:p>
                  <w:pPr>
                    <w:widowControl/>
                    <w:adjustRightInd w:val="0"/>
                    <w:snapToGrid w:val="0"/>
                    <w:spacing w:line="360" w:lineRule="exact"/>
                    <w:jc w:val="left"/>
                    <w:rPr>
                      <w:rFonts w:ascii="宋体" w:hAnsi="宋体" w:cs="宋体"/>
                    </w:rPr>
                  </w:pPr>
                  <w:r>
                    <w:rPr>
                      <w:rFonts w:hint="eastAsia" w:ascii="宋体" w:hAnsi="宋体" w:cs="宋体"/>
                    </w:rPr>
                    <w:t>所在科室</w:t>
                  </w:r>
                </w:p>
              </w:tc>
              <w:tc>
                <w:tcPr>
                  <w:tcW w:w="750" w:type="dxa"/>
                  <w:vAlign w:val="center"/>
                </w:tcPr>
                <w:p>
                  <w:pPr>
                    <w:widowControl/>
                    <w:adjustRightInd w:val="0"/>
                    <w:snapToGrid w:val="0"/>
                    <w:spacing w:line="360" w:lineRule="exact"/>
                    <w:jc w:val="left"/>
                    <w:rPr>
                      <w:rFonts w:ascii="宋体" w:hAnsi="宋体" w:cs="宋体"/>
                    </w:rPr>
                  </w:pPr>
                  <w:r>
                    <w:rPr>
                      <w:rFonts w:hint="eastAsia" w:ascii="宋体" w:hAnsi="宋体" w:cs="宋体"/>
                    </w:rPr>
                    <w:t>从事专业</w:t>
                  </w:r>
                </w:p>
              </w:tc>
              <w:tc>
                <w:tcPr>
                  <w:tcW w:w="778" w:type="dxa"/>
                  <w:vAlign w:val="center"/>
                </w:tcPr>
                <w:p>
                  <w:pPr>
                    <w:widowControl/>
                    <w:adjustRightInd w:val="0"/>
                    <w:snapToGrid w:val="0"/>
                    <w:spacing w:line="360" w:lineRule="exact"/>
                    <w:jc w:val="left"/>
                    <w:rPr>
                      <w:rFonts w:ascii="宋体" w:hAnsi="宋体" w:cs="宋体"/>
                    </w:rPr>
                  </w:pPr>
                  <w:r>
                    <w:rPr>
                      <w:rFonts w:hint="eastAsia" w:ascii="宋体" w:hAnsi="宋体" w:cs="宋体"/>
                    </w:rPr>
                    <w:t>工作年限</w:t>
                  </w:r>
                </w:p>
              </w:tc>
              <w:tc>
                <w:tcPr>
                  <w:tcW w:w="1358" w:type="dxa"/>
                  <w:vAlign w:val="center"/>
                </w:tcPr>
                <w:p>
                  <w:pPr>
                    <w:widowControl/>
                    <w:adjustRightInd w:val="0"/>
                    <w:snapToGrid w:val="0"/>
                    <w:spacing w:line="360" w:lineRule="exact"/>
                    <w:jc w:val="left"/>
                    <w:rPr>
                      <w:rFonts w:ascii="宋体" w:hAnsi="宋体" w:cs="宋体"/>
                    </w:rPr>
                  </w:pPr>
                  <w:r>
                    <w:rPr>
                      <w:rFonts w:hint="eastAsia" w:ascii="宋体" w:hAnsi="宋体" w:cs="宋体"/>
                    </w:rPr>
                    <w:t>取得职业病诊断资格的类别</w:t>
                  </w:r>
                </w:p>
              </w:tc>
              <w:tc>
                <w:tcPr>
                  <w:tcW w:w="1085" w:type="dxa"/>
                  <w:vAlign w:val="center"/>
                </w:tcPr>
                <w:p>
                  <w:pPr>
                    <w:widowControl/>
                    <w:adjustRightInd w:val="0"/>
                    <w:snapToGrid w:val="0"/>
                    <w:spacing w:line="360" w:lineRule="exact"/>
                    <w:jc w:val="left"/>
                    <w:rPr>
                      <w:rFonts w:ascii="宋体" w:hAnsi="宋体" w:cs="宋体"/>
                    </w:rPr>
                  </w:pPr>
                  <w:r>
                    <w:rPr>
                      <w:rFonts w:hint="eastAsia" w:ascii="宋体" w:hAnsi="宋体" w:cs="宋体"/>
                    </w:rPr>
                    <w:t>取得职业病诊断资格的日期</w:t>
                  </w:r>
                </w:p>
              </w:tc>
              <w:tc>
                <w:tcPr>
                  <w:tcW w:w="649" w:type="dxa"/>
                  <w:vAlign w:val="center"/>
                </w:tcPr>
                <w:p>
                  <w:pPr>
                    <w:widowControl/>
                    <w:adjustRightInd w:val="0"/>
                    <w:snapToGrid w:val="0"/>
                    <w:spacing w:line="360" w:lineRule="exact"/>
                    <w:jc w:val="left"/>
                    <w:rPr>
                      <w:rFonts w:ascii="宋体" w:hAnsi="宋体" w:cs="宋体"/>
                    </w:rPr>
                  </w:pPr>
                  <w:r>
                    <w:rPr>
                      <w:rFonts w:hint="eastAsia" w:ascii="宋体" w:hAnsi="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86" w:type="dxa"/>
                </w:tcPr>
                <w:p>
                  <w:pPr>
                    <w:widowControl/>
                    <w:adjustRightInd w:val="0"/>
                    <w:snapToGrid w:val="0"/>
                    <w:spacing w:line="360" w:lineRule="exact"/>
                    <w:ind w:firstLine="420" w:firstLineChars="200"/>
                    <w:jc w:val="left"/>
                    <w:rPr>
                      <w:rFonts w:ascii="宋体" w:hAnsi="宋体" w:cs="宋体"/>
                    </w:rPr>
                  </w:pPr>
                </w:p>
              </w:tc>
              <w:tc>
                <w:tcPr>
                  <w:tcW w:w="471" w:type="dxa"/>
                </w:tcPr>
                <w:p>
                  <w:pPr>
                    <w:widowControl/>
                    <w:adjustRightInd w:val="0"/>
                    <w:snapToGrid w:val="0"/>
                    <w:spacing w:line="360" w:lineRule="exact"/>
                    <w:ind w:firstLine="420" w:firstLineChars="200"/>
                    <w:jc w:val="left"/>
                    <w:rPr>
                      <w:rFonts w:ascii="宋体" w:hAnsi="宋体" w:cs="宋体"/>
                    </w:rPr>
                  </w:pPr>
                </w:p>
              </w:tc>
              <w:tc>
                <w:tcPr>
                  <w:tcW w:w="650" w:type="dxa"/>
                </w:tcPr>
                <w:p>
                  <w:pPr>
                    <w:widowControl/>
                    <w:adjustRightInd w:val="0"/>
                    <w:snapToGrid w:val="0"/>
                    <w:spacing w:line="360" w:lineRule="exact"/>
                    <w:ind w:firstLine="420" w:firstLineChars="200"/>
                    <w:jc w:val="left"/>
                    <w:rPr>
                      <w:rFonts w:ascii="宋体" w:hAnsi="宋体" w:cs="宋体"/>
                    </w:rPr>
                  </w:pPr>
                </w:p>
              </w:tc>
              <w:tc>
                <w:tcPr>
                  <w:tcW w:w="586" w:type="dxa"/>
                </w:tcPr>
                <w:p>
                  <w:pPr>
                    <w:widowControl/>
                    <w:adjustRightInd w:val="0"/>
                    <w:snapToGrid w:val="0"/>
                    <w:spacing w:line="360" w:lineRule="exact"/>
                    <w:ind w:firstLine="420" w:firstLineChars="200"/>
                    <w:jc w:val="left"/>
                    <w:rPr>
                      <w:rFonts w:ascii="宋体" w:hAnsi="宋体" w:cs="宋体"/>
                    </w:rPr>
                  </w:pPr>
                </w:p>
              </w:tc>
              <w:tc>
                <w:tcPr>
                  <w:tcW w:w="786" w:type="dxa"/>
                </w:tcPr>
                <w:p>
                  <w:pPr>
                    <w:widowControl/>
                    <w:adjustRightInd w:val="0"/>
                    <w:snapToGrid w:val="0"/>
                    <w:spacing w:line="360" w:lineRule="exact"/>
                    <w:ind w:firstLine="420" w:firstLineChars="200"/>
                    <w:jc w:val="left"/>
                    <w:rPr>
                      <w:rFonts w:ascii="宋体" w:hAnsi="宋体" w:cs="宋体"/>
                    </w:rPr>
                  </w:pPr>
                </w:p>
              </w:tc>
              <w:tc>
                <w:tcPr>
                  <w:tcW w:w="707" w:type="dxa"/>
                </w:tcPr>
                <w:p>
                  <w:pPr>
                    <w:widowControl/>
                    <w:adjustRightInd w:val="0"/>
                    <w:snapToGrid w:val="0"/>
                    <w:spacing w:line="360" w:lineRule="exact"/>
                    <w:ind w:firstLine="420" w:firstLineChars="200"/>
                    <w:jc w:val="left"/>
                    <w:rPr>
                      <w:rFonts w:ascii="宋体" w:hAnsi="宋体" w:cs="宋体"/>
                    </w:rPr>
                  </w:pPr>
                </w:p>
              </w:tc>
              <w:tc>
                <w:tcPr>
                  <w:tcW w:w="750" w:type="dxa"/>
                </w:tcPr>
                <w:p>
                  <w:pPr>
                    <w:widowControl/>
                    <w:adjustRightInd w:val="0"/>
                    <w:snapToGrid w:val="0"/>
                    <w:spacing w:line="360" w:lineRule="exact"/>
                    <w:ind w:firstLine="420" w:firstLineChars="200"/>
                    <w:jc w:val="left"/>
                    <w:rPr>
                      <w:rFonts w:ascii="宋体" w:hAnsi="宋体" w:cs="宋体"/>
                    </w:rPr>
                  </w:pPr>
                </w:p>
              </w:tc>
              <w:tc>
                <w:tcPr>
                  <w:tcW w:w="778" w:type="dxa"/>
                </w:tcPr>
                <w:p>
                  <w:pPr>
                    <w:widowControl/>
                    <w:adjustRightInd w:val="0"/>
                    <w:snapToGrid w:val="0"/>
                    <w:spacing w:line="360" w:lineRule="exact"/>
                    <w:ind w:firstLine="420" w:firstLineChars="200"/>
                    <w:jc w:val="left"/>
                    <w:rPr>
                      <w:rFonts w:ascii="宋体" w:hAnsi="宋体" w:cs="宋体"/>
                    </w:rPr>
                  </w:pPr>
                </w:p>
              </w:tc>
              <w:tc>
                <w:tcPr>
                  <w:tcW w:w="1358" w:type="dxa"/>
                </w:tcPr>
                <w:p>
                  <w:pPr>
                    <w:widowControl/>
                    <w:adjustRightInd w:val="0"/>
                    <w:snapToGrid w:val="0"/>
                    <w:spacing w:line="360" w:lineRule="exact"/>
                    <w:ind w:firstLine="420" w:firstLineChars="200"/>
                    <w:jc w:val="left"/>
                    <w:rPr>
                      <w:rFonts w:ascii="宋体" w:hAnsi="宋体" w:cs="宋体"/>
                    </w:rPr>
                  </w:pPr>
                </w:p>
              </w:tc>
              <w:tc>
                <w:tcPr>
                  <w:tcW w:w="1085" w:type="dxa"/>
                </w:tcPr>
                <w:p>
                  <w:pPr>
                    <w:widowControl/>
                    <w:adjustRightInd w:val="0"/>
                    <w:snapToGrid w:val="0"/>
                    <w:spacing w:line="360" w:lineRule="exact"/>
                    <w:ind w:firstLine="420" w:firstLineChars="200"/>
                    <w:jc w:val="left"/>
                    <w:rPr>
                      <w:rFonts w:ascii="宋体" w:hAnsi="宋体" w:cs="宋体"/>
                    </w:rPr>
                  </w:pPr>
                </w:p>
              </w:tc>
              <w:tc>
                <w:tcPr>
                  <w:tcW w:w="649" w:type="dxa"/>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86" w:type="dxa"/>
                </w:tcPr>
                <w:p>
                  <w:pPr>
                    <w:widowControl/>
                    <w:adjustRightInd w:val="0"/>
                    <w:snapToGrid w:val="0"/>
                    <w:spacing w:line="360" w:lineRule="exact"/>
                    <w:ind w:firstLine="420" w:firstLineChars="200"/>
                    <w:jc w:val="left"/>
                    <w:rPr>
                      <w:rFonts w:ascii="宋体" w:hAnsi="宋体" w:cs="宋体"/>
                    </w:rPr>
                  </w:pPr>
                </w:p>
              </w:tc>
              <w:tc>
                <w:tcPr>
                  <w:tcW w:w="471" w:type="dxa"/>
                </w:tcPr>
                <w:p>
                  <w:pPr>
                    <w:widowControl/>
                    <w:adjustRightInd w:val="0"/>
                    <w:snapToGrid w:val="0"/>
                    <w:spacing w:line="360" w:lineRule="exact"/>
                    <w:ind w:firstLine="420" w:firstLineChars="200"/>
                    <w:jc w:val="left"/>
                    <w:rPr>
                      <w:rFonts w:ascii="宋体" w:hAnsi="宋体" w:cs="宋体"/>
                    </w:rPr>
                  </w:pPr>
                </w:p>
              </w:tc>
              <w:tc>
                <w:tcPr>
                  <w:tcW w:w="650" w:type="dxa"/>
                </w:tcPr>
                <w:p>
                  <w:pPr>
                    <w:widowControl/>
                    <w:adjustRightInd w:val="0"/>
                    <w:snapToGrid w:val="0"/>
                    <w:spacing w:line="360" w:lineRule="exact"/>
                    <w:ind w:firstLine="420" w:firstLineChars="200"/>
                    <w:jc w:val="left"/>
                    <w:rPr>
                      <w:rFonts w:ascii="宋体" w:hAnsi="宋体" w:cs="宋体"/>
                    </w:rPr>
                  </w:pPr>
                </w:p>
              </w:tc>
              <w:tc>
                <w:tcPr>
                  <w:tcW w:w="586" w:type="dxa"/>
                </w:tcPr>
                <w:p>
                  <w:pPr>
                    <w:widowControl/>
                    <w:adjustRightInd w:val="0"/>
                    <w:snapToGrid w:val="0"/>
                    <w:spacing w:line="360" w:lineRule="exact"/>
                    <w:ind w:firstLine="420" w:firstLineChars="200"/>
                    <w:jc w:val="left"/>
                    <w:rPr>
                      <w:rFonts w:ascii="宋体" w:hAnsi="宋体" w:cs="宋体"/>
                    </w:rPr>
                  </w:pPr>
                </w:p>
              </w:tc>
              <w:tc>
                <w:tcPr>
                  <w:tcW w:w="786" w:type="dxa"/>
                </w:tcPr>
                <w:p>
                  <w:pPr>
                    <w:widowControl/>
                    <w:adjustRightInd w:val="0"/>
                    <w:snapToGrid w:val="0"/>
                    <w:spacing w:line="360" w:lineRule="exact"/>
                    <w:ind w:firstLine="420" w:firstLineChars="200"/>
                    <w:jc w:val="left"/>
                    <w:rPr>
                      <w:rFonts w:ascii="宋体" w:hAnsi="宋体" w:cs="宋体"/>
                    </w:rPr>
                  </w:pPr>
                </w:p>
              </w:tc>
              <w:tc>
                <w:tcPr>
                  <w:tcW w:w="707" w:type="dxa"/>
                </w:tcPr>
                <w:p>
                  <w:pPr>
                    <w:widowControl/>
                    <w:adjustRightInd w:val="0"/>
                    <w:snapToGrid w:val="0"/>
                    <w:spacing w:line="360" w:lineRule="exact"/>
                    <w:ind w:firstLine="420" w:firstLineChars="200"/>
                    <w:jc w:val="left"/>
                    <w:rPr>
                      <w:rFonts w:ascii="宋体" w:hAnsi="宋体" w:cs="宋体"/>
                    </w:rPr>
                  </w:pPr>
                </w:p>
              </w:tc>
              <w:tc>
                <w:tcPr>
                  <w:tcW w:w="750" w:type="dxa"/>
                </w:tcPr>
                <w:p>
                  <w:pPr>
                    <w:widowControl/>
                    <w:adjustRightInd w:val="0"/>
                    <w:snapToGrid w:val="0"/>
                    <w:spacing w:line="360" w:lineRule="exact"/>
                    <w:ind w:firstLine="420" w:firstLineChars="200"/>
                    <w:jc w:val="left"/>
                    <w:rPr>
                      <w:rFonts w:ascii="宋体" w:hAnsi="宋体" w:cs="宋体"/>
                    </w:rPr>
                  </w:pPr>
                </w:p>
              </w:tc>
              <w:tc>
                <w:tcPr>
                  <w:tcW w:w="778" w:type="dxa"/>
                </w:tcPr>
                <w:p>
                  <w:pPr>
                    <w:widowControl/>
                    <w:adjustRightInd w:val="0"/>
                    <w:snapToGrid w:val="0"/>
                    <w:spacing w:line="360" w:lineRule="exact"/>
                    <w:ind w:firstLine="420" w:firstLineChars="200"/>
                    <w:jc w:val="left"/>
                    <w:rPr>
                      <w:rFonts w:ascii="宋体" w:hAnsi="宋体" w:cs="宋体"/>
                    </w:rPr>
                  </w:pPr>
                </w:p>
              </w:tc>
              <w:tc>
                <w:tcPr>
                  <w:tcW w:w="1358" w:type="dxa"/>
                </w:tcPr>
                <w:p>
                  <w:pPr>
                    <w:widowControl/>
                    <w:adjustRightInd w:val="0"/>
                    <w:snapToGrid w:val="0"/>
                    <w:spacing w:line="360" w:lineRule="exact"/>
                    <w:ind w:firstLine="420" w:firstLineChars="200"/>
                    <w:jc w:val="left"/>
                    <w:rPr>
                      <w:rFonts w:ascii="宋体" w:hAnsi="宋体" w:cs="宋体"/>
                    </w:rPr>
                  </w:pPr>
                </w:p>
              </w:tc>
              <w:tc>
                <w:tcPr>
                  <w:tcW w:w="1085" w:type="dxa"/>
                </w:tcPr>
                <w:p>
                  <w:pPr>
                    <w:widowControl/>
                    <w:adjustRightInd w:val="0"/>
                    <w:snapToGrid w:val="0"/>
                    <w:spacing w:line="360" w:lineRule="exact"/>
                    <w:ind w:firstLine="420" w:firstLineChars="200"/>
                    <w:jc w:val="left"/>
                    <w:rPr>
                      <w:rFonts w:ascii="宋体" w:hAnsi="宋体" w:cs="宋体"/>
                    </w:rPr>
                  </w:pPr>
                </w:p>
              </w:tc>
              <w:tc>
                <w:tcPr>
                  <w:tcW w:w="649" w:type="dxa"/>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86" w:type="dxa"/>
                </w:tcPr>
                <w:p>
                  <w:pPr>
                    <w:widowControl/>
                    <w:adjustRightInd w:val="0"/>
                    <w:snapToGrid w:val="0"/>
                    <w:spacing w:line="360" w:lineRule="exact"/>
                    <w:ind w:firstLine="420" w:firstLineChars="200"/>
                    <w:jc w:val="left"/>
                    <w:rPr>
                      <w:rFonts w:ascii="宋体" w:hAnsi="宋体" w:cs="宋体"/>
                    </w:rPr>
                  </w:pPr>
                </w:p>
              </w:tc>
              <w:tc>
                <w:tcPr>
                  <w:tcW w:w="471" w:type="dxa"/>
                </w:tcPr>
                <w:p>
                  <w:pPr>
                    <w:widowControl/>
                    <w:adjustRightInd w:val="0"/>
                    <w:snapToGrid w:val="0"/>
                    <w:spacing w:line="360" w:lineRule="exact"/>
                    <w:ind w:firstLine="420" w:firstLineChars="200"/>
                    <w:jc w:val="left"/>
                    <w:rPr>
                      <w:rFonts w:ascii="宋体" w:hAnsi="宋体" w:cs="宋体"/>
                    </w:rPr>
                  </w:pPr>
                </w:p>
              </w:tc>
              <w:tc>
                <w:tcPr>
                  <w:tcW w:w="650" w:type="dxa"/>
                </w:tcPr>
                <w:p>
                  <w:pPr>
                    <w:widowControl/>
                    <w:adjustRightInd w:val="0"/>
                    <w:snapToGrid w:val="0"/>
                    <w:spacing w:line="360" w:lineRule="exact"/>
                    <w:ind w:firstLine="420" w:firstLineChars="200"/>
                    <w:jc w:val="left"/>
                    <w:rPr>
                      <w:rFonts w:ascii="宋体" w:hAnsi="宋体" w:cs="宋体"/>
                    </w:rPr>
                  </w:pPr>
                </w:p>
              </w:tc>
              <w:tc>
                <w:tcPr>
                  <w:tcW w:w="586" w:type="dxa"/>
                </w:tcPr>
                <w:p>
                  <w:pPr>
                    <w:widowControl/>
                    <w:adjustRightInd w:val="0"/>
                    <w:snapToGrid w:val="0"/>
                    <w:spacing w:line="360" w:lineRule="exact"/>
                    <w:ind w:firstLine="420" w:firstLineChars="200"/>
                    <w:jc w:val="left"/>
                    <w:rPr>
                      <w:rFonts w:ascii="宋体" w:hAnsi="宋体" w:cs="宋体"/>
                    </w:rPr>
                  </w:pPr>
                </w:p>
              </w:tc>
              <w:tc>
                <w:tcPr>
                  <w:tcW w:w="786" w:type="dxa"/>
                </w:tcPr>
                <w:p>
                  <w:pPr>
                    <w:widowControl/>
                    <w:adjustRightInd w:val="0"/>
                    <w:snapToGrid w:val="0"/>
                    <w:spacing w:line="360" w:lineRule="exact"/>
                    <w:ind w:firstLine="420" w:firstLineChars="200"/>
                    <w:jc w:val="left"/>
                    <w:rPr>
                      <w:rFonts w:ascii="宋体" w:hAnsi="宋体" w:cs="宋体"/>
                    </w:rPr>
                  </w:pPr>
                </w:p>
              </w:tc>
              <w:tc>
                <w:tcPr>
                  <w:tcW w:w="707" w:type="dxa"/>
                </w:tcPr>
                <w:p>
                  <w:pPr>
                    <w:widowControl/>
                    <w:adjustRightInd w:val="0"/>
                    <w:snapToGrid w:val="0"/>
                    <w:spacing w:line="360" w:lineRule="exact"/>
                    <w:ind w:firstLine="420" w:firstLineChars="200"/>
                    <w:jc w:val="left"/>
                    <w:rPr>
                      <w:rFonts w:ascii="宋体" w:hAnsi="宋体" w:cs="宋体"/>
                    </w:rPr>
                  </w:pPr>
                </w:p>
              </w:tc>
              <w:tc>
                <w:tcPr>
                  <w:tcW w:w="750" w:type="dxa"/>
                </w:tcPr>
                <w:p>
                  <w:pPr>
                    <w:widowControl/>
                    <w:adjustRightInd w:val="0"/>
                    <w:snapToGrid w:val="0"/>
                    <w:spacing w:line="360" w:lineRule="exact"/>
                    <w:ind w:firstLine="420" w:firstLineChars="200"/>
                    <w:jc w:val="left"/>
                    <w:rPr>
                      <w:rFonts w:ascii="宋体" w:hAnsi="宋体" w:cs="宋体"/>
                    </w:rPr>
                  </w:pPr>
                </w:p>
              </w:tc>
              <w:tc>
                <w:tcPr>
                  <w:tcW w:w="778" w:type="dxa"/>
                </w:tcPr>
                <w:p>
                  <w:pPr>
                    <w:widowControl/>
                    <w:adjustRightInd w:val="0"/>
                    <w:snapToGrid w:val="0"/>
                    <w:spacing w:line="360" w:lineRule="exact"/>
                    <w:ind w:firstLine="420" w:firstLineChars="200"/>
                    <w:jc w:val="left"/>
                    <w:rPr>
                      <w:rFonts w:ascii="宋体" w:hAnsi="宋体" w:cs="宋体"/>
                    </w:rPr>
                  </w:pPr>
                </w:p>
              </w:tc>
              <w:tc>
                <w:tcPr>
                  <w:tcW w:w="1358" w:type="dxa"/>
                </w:tcPr>
                <w:p>
                  <w:pPr>
                    <w:widowControl/>
                    <w:adjustRightInd w:val="0"/>
                    <w:snapToGrid w:val="0"/>
                    <w:spacing w:line="360" w:lineRule="exact"/>
                    <w:ind w:firstLine="420" w:firstLineChars="200"/>
                    <w:jc w:val="left"/>
                    <w:rPr>
                      <w:rFonts w:ascii="宋体" w:hAnsi="宋体" w:cs="宋体"/>
                    </w:rPr>
                  </w:pPr>
                </w:p>
              </w:tc>
              <w:tc>
                <w:tcPr>
                  <w:tcW w:w="1085" w:type="dxa"/>
                </w:tcPr>
                <w:p>
                  <w:pPr>
                    <w:widowControl/>
                    <w:adjustRightInd w:val="0"/>
                    <w:snapToGrid w:val="0"/>
                    <w:spacing w:line="360" w:lineRule="exact"/>
                    <w:ind w:firstLine="420" w:firstLineChars="200"/>
                    <w:jc w:val="left"/>
                    <w:rPr>
                      <w:rFonts w:ascii="宋体" w:hAnsi="宋体" w:cs="宋体"/>
                    </w:rPr>
                  </w:pPr>
                </w:p>
              </w:tc>
              <w:tc>
                <w:tcPr>
                  <w:tcW w:w="649" w:type="dxa"/>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86" w:type="dxa"/>
                </w:tcPr>
                <w:p>
                  <w:pPr>
                    <w:widowControl/>
                    <w:adjustRightInd w:val="0"/>
                    <w:snapToGrid w:val="0"/>
                    <w:spacing w:line="360" w:lineRule="exact"/>
                    <w:ind w:firstLine="420" w:firstLineChars="200"/>
                    <w:jc w:val="left"/>
                    <w:rPr>
                      <w:rFonts w:ascii="宋体" w:hAnsi="宋体" w:cs="宋体"/>
                    </w:rPr>
                  </w:pPr>
                </w:p>
              </w:tc>
              <w:tc>
                <w:tcPr>
                  <w:tcW w:w="471" w:type="dxa"/>
                </w:tcPr>
                <w:p>
                  <w:pPr>
                    <w:widowControl/>
                    <w:adjustRightInd w:val="0"/>
                    <w:snapToGrid w:val="0"/>
                    <w:spacing w:line="360" w:lineRule="exact"/>
                    <w:ind w:firstLine="420" w:firstLineChars="200"/>
                    <w:jc w:val="left"/>
                    <w:rPr>
                      <w:rFonts w:ascii="宋体" w:hAnsi="宋体" w:cs="宋体"/>
                    </w:rPr>
                  </w:pPr>
                </w:p>
              </w:tc>
              <w:tc>
                <w:tcPr>
                  <w:tcW w:w="650" w:type="dxa"/>
                </w:tcPr>
                <w:p>
                  <w:pPr>
                    <w:widowControl/>
                    <w:adjustRightInd w:val="0"/>
                    <w:snapToGrid w:val="0"/>
                    <w:spacing w:line="360" w:lineRule="exact"/>
                    <w:ind w:firstLine="420" w:firstLineChars="200"/>
                    <w:jc w:val="left"/>
                    <w:rPr>
                      <w:rFonts w:ascii="宋体" w:hAnsi="宋体" w:cs="宋体"/>
                    </w:rPr>
                  </w:pPr>
                </w:p>
              </w:tc>
              <w:tc>
                <w:tcPr>
                  <w:tcW w:w="586" w:type="dxa"/>
                </w:tcPr>
                <w:p>
                  <w:pPr>
                    <w:widowControl/>
                    <w:adjustRightInd w:val="0"/>
                    <w:snapToGrid w:val="0"/>
                    <w:spacing w:line="360" w:lineRule="exact"/>
                    <w:ind w:firstLine="420" w:firstLineChars="200"/>
                    <w:jc w:val="left"/>
                    <w:rPr>
                      <w:rFonts w:ascii="宋体" w:hAnsi="宋体" w:cs="宋体"/>
                    </w:rPr>
                  </w:pPr>
                </w:p>
              </w:tc>
              <w:tc>
                <w:tcPr>
                  <w:tcW w:w="786" w:type="dxa"/>
                </w:tcPr>
                <w:p>
                  <w:pPr>
                    <w:widowControl/>
                    <w:adjustRightInd w:val="0"/>
                    <w:snapToGrid w:val="0"/>
                    <w:spacing w:line="360" w:lineRule="exact"/>
                    <w:ind w:firstLine="420" w:firstLineChars="200"/>
                    <w:jc w:val="left"/>
                    <w:rPr>
                      <w:rFonts w:ascii="宋体" w:hAnsi="宋体" w:cs="宋体"/>
                    </w:rPr>
                  </w:pPr>
                </w:p>
              </w:tc>
              <w:tc>
                <w:tcPr>
                  <w:tcW w:w="707" w:type="dxa"/>
                </w:tcPr>
                <w:p>
                  <w:pPr>
                    <w:widowControl/>
                    <w:adjustRightInd w:val="0"/>
                    <w:snapToGrid w:val="0"/>
                    <w:spacing w:line="360" w:lineRule="exact"/>
                    <w:ind w:firstLine="420" w:firstLineChars="200"/>
                    <w:jc w:val="left"/>
                    <w:rPr>
                      <w:rFonts w:ascii="宋体" w:hAnsi="宋体" w:cs="宋体"/>
                    </w:rPr>
                  </w:pPr>
                </w:p>
              </w:tc>
              <w:tc>
                <w:tcPr>
                  <w:tcW w:w="750" w:type="dxa"/>
                </w:tcPr>
                <w:p>
                  <w:pPr>
                    <w:widowControl/>
                    <w:adjustRightInd w:val="0"/>
                    <w:snapToGrid w:val="0"/>
                    <w:spacing w:line="360" w:lineRule="exact"/>
                    <w:ind w:firstLine="420" w:firstLineChars="200"/>
                    <w:jc w:val="left"/>
                    <w:rPr>
                      <w:rFonts w:ascii="宋体" w:hAnsi="宋体" w:cs="宋体"/>
                    </w:rPr>
                  </w:pPr>
                </w:p>
              </w:tc>
              <w:tc>
                <w:tcPr>
                  <w:tcW w:w="778" w:type="dxa"/>
                </w:tcPr>
                <w:p>
                  <w:pPr>
                    <w:widowControl/>
                    <w:adjustRightInd w:val="0"/>
                    <w:snapToGrid w:val="0"/>
                    <w:spacing w:line="360" w:lineRule="exact"/>
                    <w:ind w:firstLine="420" w:firstLineChars="200"/>
                    <w:jc w:val="left"/>
                    <w:rPr>
                      <w:rFonts w:ascii="宋体" w:hAnsi="宋体" w:cs="宋体"/>
                    </w:rPr>
                  </w:pPr>
                </w:p>
              </w:tc>
              <w:tc>
                <w:tcPr>
                  <w:tcW w:w="1358" w:type="dxa"/>
                </w:tcPr>
                <w:p>
                  <w:pPr>
                    <w:widowControl/>
                    <w:adjustRightInd w:val="0"/>
                    <w:snapToGrid w:val="0"/>
                    <w:spacing w:line="360" w:lineRule="exact"/>
                    <w:ind w:firstLine="420" w:firstLineChars="200"/>
                    <w:jc w:val="left"/>
                    <w:rPr>
                      <w:rFonts w:ascii="宋体" w:hAnsi="宋体" w:cs="宋体"/>
                    </w:rPr>
                  </w:pPr>
                </w:p>
              </w:tc>
              <w:tc>
                <w:tcPr>
                  <w:tcW w:w="1085" w:type="dxa"/>
                </w:tcPr>
                <w:p>
                  <w:pPr>
                    <w:widowControl/>
                    <w:adjustRightInd w:val="0"/>
                    <w:snapToGrid w:val="0"/>
                    <w:spacing w:line="360" w:lineRule="exact"/>
                    <w:ind w:firstLine="420" w:firstLineChars="200"/>
                    <w:jc w:val="left"/>
                    <w:rPr>
                      <w:rFonts w:ascii="宋体" w:hAnsi="宋体" w:cs="宋体"/>
                    </w:rPr>
                  </w:pPr>
                </w:p>
              </w:tc>
              <w:tc>
                <w:tcPr>
                  <w:tcW w:w="649" w:type="dxa"/>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86" w:type="dxa"/>
                </w:tcPr>
                <w:p>
                  <w:pPr>
                    <w:widowControl/>
                    <w:adjustRightInd w:val="0"/>
                    <w:snapToGrid w:val="0"/>
                    <w:spacing w:line="360" w:lineRule="exact"/>
                    <w:ind w:firstLine="420" w:firstLineChars="200"/>
                    <w:jc w:val="left"/>
                    <w:rPr>
                      <w:rFonts w:ascii="宋体" w:hAnsi="宋体" w:cs="宋体"/>
                    </w:rPr>
                  </w:pPr>
                </w:p>
              </w:tc>
              <w:tc>
                <w:tcPr>
                  <w:tcW w:w="471" w:type="dxa"/>
                </w:tcPr>
                <w:p>
                  <w:pPr>
                    <w:widowControl/>
                    <w:adjustRightInd w:val="0"/>
                    <w:snapToGrid w:val="0"/>
                    <w:spacing w:line="360" w:lineRule="exact"/>
                    <w:ind w:firstLine="420" w:firstLineChars="200"/>
                    <w:jc w:val="left"/>
                    <w:rPr>
                      <w:rFonts w:ascii="宋体" w:hAnsi="宋体" w:cs="宋体"/>
                    </w:rPr>
                  </w:pPr>
                </w:p>
              </w:tc>
              <w:tc>
                <w:tcPr>
                  <w:tcW w:w="650" w:type="dxa"/>
                </w:tcPr>
                <w:p>
                  <w:pPr>
                    <w:widowControl/>
                    <w:adjustRightInd w:val="0"/>
                    <w:snapToGrid w:val="0"/>
                    <w:spacing w:line="360" w:lineRule="exact"/>
                    <w:ind w:firstLine="420" w:firstLineChars="200"/>
                    <w:jc w:val="left"/>
                    <w:rPr>
                      <w:rFonts w:ascii="宋体" w:hAnsi="宋体" w:cs="宋体"/>
                    </w:rPr>
                  </w:pPr>
                </w:p>
              </w:tc>
              <w:tc>
                <w:tcPr>
                  <w:tcW w:w="586" w:type="dxa"/>
                </w:tcPr>
                <w:p>
                  <w:pPr>
                    <w:widowControl/>
                    <w:adjustRightInd w:val="0"/>
                    <w:snapToGrid w:val="0"/>
                    <w:spacing w:line="360" w:lineRule="exact"/>
                    <w:ind w:firstLine="420" w:firstLineChars="200"/>
                    <w:jc w:val="left"/>
                    <w:rPr>
                      <w:rFonts w:ascii="宋体" w:hAnsi="宋体" w:cs="宋体"/>
                    </w:rPr>
                  </w:pPr>
                </w:p>
              </w:tc>
              <w:tc>
                <w:tcPr>
                  <w:tcW w:w="786" w:type="dxa"/>
                </w:tcPr>
                <w:p>
                  <w:pPr>
                    <w:widowControl/>
                    <w:adjustRightInd w:val="0"/>
                    <w:snapToGrid w:val="0"/>
                    <w:spacing w:line="360" w:lineRule="exact"/>
                    <w:ind w:firstLine="420" w:firstLineChars="200"/>
                    <w:jc w:val="left"/>
                    <w:rPr>
                      <w:rFonts w:ascii="宋体" w:hAnsi="宋体" w:cs="宋体"/>
                    </w:rPr>
                  </w:pPr>
                </w:p>
              </w:tc>
              <w:tc>
                <w:tcPr>
                  <w:tcW w:w="707" w:type="dxa"/>
                </w:tcPr>
                <w:p>
                  <w:pPr>
                    <w:widowControl/>
                    <w:adjustRightInd w:val="0"/>
                    <w:snapToGrid w:val="0"/>
                    <w:spacing w:line="360" w:lineRule="exact"/>
                    <w:ind w:firstLine="420" w:firstLineChars="200"/>
                    <w:jc w:val="left"/>
                    <w:rPr>
                      <w:rFonts w:ascii="宋体" w:hAnsi="宋体" w:cs="宋体"/>
                    </w:rPr>
                  </w:pPr>
                </w:p>
              </w:tc>
              <w:tc>
                <w:tcPr>
                  <w:tcW w:w="750" w:type="dxa"/>
                </w:tcPr>
                <w:p>
                  <w:pPr>
                    <w:widowControl/>
                    <w:adjustRightInd w:val="0"/>
                    <w:snapToGrid w:val="0"/>
                    <w:spacing w:line="360" w:lineRule="exact"/>
                    <w:ind w:firstLine="420" w:firstLineChars="200"/>
                    <w:jc w:val="left"/>
                    <w:rPr>
                      <w:rFonts w:ascii="宋体" w:hAnsi="宋体" w:cs="宋体"/>
                    </w:rPr>
                  </w:pPr>
                </w:p>
              </w:tc>
              <w:tc>
                <w:tcPr>
                  <w:tcW w:w="778" w:type="dxa"/>
                </w:tcPr>
                <w:p>
                  <w:pPr>
                    <w:widowControl/>
                    <w:adjustRightInd w:val="0"/>
                    <w:snapToGrid w:val="0"/>
                    <w:spacing w:line="360" w:lineRule="exact"/>
                    <w:ind w:firstLine="420" w:firstLineChars="200"/>
                    <w:jc w:val="left"/>
                    <w:rPr>
                      <w:rFonts w:ascii="宋体" w:hAnsi="宋体" w:cs="宋体"/>
                    </w:rPr>
                  </w:pPr>
                </w:p>
              </w:tc>
              <w:tc>
                <w:tcPr>
                  <w:tcW w:w="1358" w:type="dxa"/>
                </w:tcPr>
                <w:p>
                  <w:pPr>
                    <w:widowControl/>
                    <w:adjustRightInd w:val="0"/>
                    <w:snapToGrid w:val="0"/>
                    <w:spacing w:line="360" w:lineRule="exact"/>
                    <w:ind w:firstLine="420" w:firstLineChars="200"/>
                    <w:jc w:val="left"/>
                    <w:rPr>
                      <w:rFonts w:ascii="宋体" w:hAnsi="宋体" w:cs="宋体"/>
                    </w:rPr>
                  </w:pPr>
                </w:p>
              </w:tc>
              <w:tc>
                <w:tcPr>
                  <w:tcW w:w="1085" w:type="dxa"/>
                </w:tcPr>
                <w:p>
                  <w:pPr>
                    <w:widowControl/>
                    <w:adjustRightInd w:val="0"/>
                    <w:snapToGrid w:val="0"/>
                    <w:spacing w:line="360" w:lineRule="exact"/>
                    <w:ind w:firstLine="420" w:firstLineChars="200"/>
                    <w:jc w:val="left"/>
                    <w:rPr>
                      <w:rFonts w:ascii="宋体" w:hAnsi="宋体" w:cs="宋体"/>
                    </w:rPr>
                  </w:pPr>
                </w:p>
              </w:tc>
              <w:tc>
                <w:tcPr>
                  <w:tcW w:w="649" w:type="dxa"/>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86" w:type="dxa"/>
                </w:tcPr>
                <w:p>
                  <w:pPr>
                    <w:widowControl/>
                    <w:adjustRightInd w:val="0"/>
                    <w:snapToGrid w:val="0"/>
                    <w:spacing w:line="360" w:lineRule="exact"/>
                    <w:ind w:firstLine="420" w:firstLineChars="200"/>
                    <w:jc w:val="left"/>
                    <w:rPr>
                      <w:rFonts w:ascii="宋体" w:hAnsi="宋体" w:cs="宋体"/>
                    </w:rPr>
                  </w:pPr>
                </w:p>
              </w:tc>
              <w:tc>
                <w:tcPr>
                  <w:tcW w:w="471" w:type="dxa"/>
                </w:tcPr>
                <w:p>
                  <w:pPr>
                    <w:widowControl/>
                    <w:adjustRightInd w:val="0"/>
                    <w:snapToGrid w:val="0"/>
                    <w:spacing w:line="360" w:lineRule="exact"/>
                    <w:ind w:firstLine="420" w:firstLineChars="200"/>
                    <w:jc w:val="left"/>
                    <w:rPr>
                      <w:rFonts w:ascii="宋体" w:hAnsi="宋体" w:cs="宋体"/>
                    </w:rPr>
                  </w:pPr>
                </w:p>
              </w:tc>
              <w:tc>
                <w:tcPr>
                  <w:tcW w:w="650" w:type="dxa"/>
                </w:tcPr>
                <w:p>
                  <w:pPr>
                    <w:widowControl/>
                    <w:adjustRightInd w:val="0"/>
                    <w:snapToGrid w:val="0"/>
                    <w:spacing w:line="360" w:lineRule="exact"/>
                    <w:ind w:firstLine="420" w:firstLineChars="200"/>
                    <w:jc w:val="left"/>
                    <w:rPr>
                      <w:rFonts w:ascii="宋体" w:hAnsi="宋体" w:cs="宋体"/>
                    </w:rPr>
                  </w:pPr>
                </w:p>
              </w:tc>
              <w:tc>
                <w:tcPr>
                  <w:tcW w:w="586" w:type="dxa"/>
                </w:tcPr>
                <w:p>
                  <w:pPr>
                    <w:widowControl/>
                    <w:adjustRightInd w:val="0"/>
                    <w:snapToGrid w:val="0"/>
                    <w:spacing w:line="360" w:lineRule="exact"/>
                    <w:ind w:firstLine="420" w:firstLineChars="200"/>
                    <w:jc w:val="left"/>
                    <w:rPr>
                      <w:rFonts w:ascii="宋体" w:hAnsi="宋体" w:cs="宋体"/>
                    </w:rPr>
                  </w:pPr>
                </w:p>
              </w:tc>
              <w:tc>
                <w:tcPr>
                  <w:tcW w:w="786" w:type="dxa"/>
                </w:tcPr>
                <w:p>
                  <w:pPr>
                    <w:widowControl/>
                    <w:adjustRightInd w:val="0"/>
                    <w:snapToGrid w:val="0"/>
                    <w:spacing w:line="360" w:lineRule="exact"/>
                    <w:ind w:firstLine="420" w:firstLineChars="200"/>
                    <w:jc w:val="left"/>
                    <w:rPr>
                      <w:rFonts w:ascii="宋体" w:hAnsi="宋体" w:cs="宋体"/>
                    </w:rPr>
                  </w:pPr>
                </w:p>
              </w:tc>
              <w:tc>
                <w:tcPr>
                  <w:tcW w:w="707" w:type="dxa"/>
                </w:tcPr>
                <w:p>
                  <w:pPr>
                    <w:widowControl/>
                    <w:adjustRightInd w:val="0"/>
                    <w:snapToGrid w:val="0"/>
                    <w:spacing w:line="360" w:lineRule="exact"/>
                    <w:ind w:firstLine="420" w:firstLineChars="200"/>
                    <w:jc w:val="left"/>
                    <w:rPr>
                      <w:rFonts w:ascii="宋体" w:hAnsi="宋体" w:cs="宋体"/>
                    </w:rPr>
                  </w:pPr>
                </w:p>
              </w:tc>
              <w:tc>
                <w:tcPr>
                  <w:tcW w:w="750" w:type="dxa"/>
                </w:tcPr>
                <w:p>
                  <w:pPr>
                    <w:widowControl/>
                    <w:adjustRightInd w:val="0"/>
                    <w:snapToGrid w:val="0"/>
                    <w:spacing w:line="360" w:lineRule="exact"/>
                    <w:ind w:firstLine="420" w:firstLineChars="200"/>
                    <w:jc w:val="left"/>
                    <w:rPr>
                      <w:rFonts w:ascii="宋体" w:hAnsi="宋体" w:cs="宋体"/>
                    </w:rPr>
                  </w:pPr>
                </w:p>
              </w:tc>
              <w:tc>
                <w:tcPr>
                  <w:tcW w:w="778" w:type="dxa"/>
                </w:tcPr>
                <w:p>
                  <w:pPr>
                    <w:widowControl/>
                    <w:adjustRightInd w:val="0"/>
                    <w:snapToGrid w:val="0"/>
                    <w:spacing w:line="360" w:lineRule="exact"/>
                    <w:ind w:firstLine="420" w:firstLineChars="200"/>
                    <w:jc w:val="left"/>
                    <w:rPr>
                      <w:rFonts w:ascii="宋体" w:hAnsi="宋体" w:cs="宋体"/>
                    </w:rPr>
                  </w:pPr>
                </w:p>
              </w:tc>
              <w:tc>
                <w:tcPr>
                  <w:tcW w:w="1358" w:type="dxa"/>
                </w:tcPr>
                <w:p>
                  <w:pPr>
                    <w:widowControl/>
                    <w:adjustRightInd w:val="0"/>
                    <w:snapToGrid w:val="0"/>
                    <w:spacing w:line="360" w:lineRule="exact"/>
                    <w:ind w:firstLine="420" w:firstLineChars="200"/>
                    <w:jc w:val="left"/>
                    <w:rPr>
                      <w:rFonts w:ascii="宋体" w:hAnsi="宋体" w:cs="宋体"/>
                    </w:rPr>
                  </w:pPr>
                </w:p>
              </w:tc>
              <w:tc>
                <w:tcPr>
                  <w:tcW w:w="1085" w:type="dxa"/>
                </w:tcPr>
                <w:p>
                  <w:pPr>
                    <w:widowControl/>
                    <w:adjustRightInd w:val="0"/>
                    <w:snapToGrid w:val="0"/>
                    <w:spacing w:line="360" w:lineRule="exact"/>
                    <w:ind w:firstLine="420" w:firstLineChars="200"/>
                    <w:jc w:val="left"/>
                    <w:rPr>
                      <w:rFonts w:ascii="宋体" w:hAnsi="宋体" w:cs="宋体"/>
                    </w:rPr>
                  </w:pPr>
                </w:p>
              </w:tc>
              <w:tc>
                <w:tcPr>
                  <w:tcW w:w="649" w:type="dxa"/>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86" w:type="dxa"/>
                </w:tcPr>
                <w:p>
                  <w:pPr>
                    <w:widowControl/>
                    <w:adjustRightInd w:val="0"/>
                    <w:snapToGrid w:val="0"/>
                    <w:spacing w:line="360" w:lineRule="exact"/>
                    <w:ind w:firstLine="420" w:firstLineChars="200"/>
                    <w:jc w:val="left"/>
                    <w:rPr>
                      <w:rFonts w:ascii="宋体" w:hAnsi="宋体" w:cs="宋体"/>
                    </w:rPr>
                  </w:pPr>
                </w:p>
              </w:tc>
              <w:tc>
                <w:tcPr>
                  <w:tcW w:w="471" w:type="dxa"/>
                </w:tcPr>
                <w:p>
                  <w:pPr>
                    <w:widowControl/>
                    <w:adjustRightInd w:val="0"/>
                    <w:snapToGrid w:val="0"/>
                    <w:spacing w:line="360" w:lineRule="exact"/>
                    <w:ind w:firstLine="420" w:firstLineChars="200"/>
                    <w:jc w:val="left"/>
                    <w:rPr>
                      <w:rFonts w:ascii="宋体" w:hAnsi="宋体" w:cs="宋体"/>
                    </w:rPr>
                  </w:pPr>
                </w:p>
              </w:tc>
              <w:tc>
                <w:tcPr>
                  <w:tcW w:w="650" w:type="dxa"/>
                </w:tcPr>
                <w:p>
                  <w:pPr>
                    <w:widowControl/>
                    <w:adjustRightInd w:val="0"/>
                    <w:snapToGrid w:val="0"/>
                    <w:spacing w:line="360" w:lineRule="exact"/>
                    <w:ind w:firstLine="420" w:firstLineChars="200"/>
                    <w:jc w:val="left"/>
                    <w:rPr>
                      <w:rFonts w:ascii="宋体" w:hAnsi="宋体" w:cs="宋体"/>
                    </w:rPr>
                  </w:pPr>
                </w:p>
              </w:tc>
              <w:tc>
                <w:tcPr>
                  <w:tcW w:w="586" w:type="dxa"/>
                </w:tcPr>
                <w:p>
                  <w:pPr>
                    <w:widowControl/>
                    <w:adjustRightInd w:val="0"/>
                    <w:snapToGrid w:val="0"/>
                    <w:spacing w:line="360" w:lineRule="exact"/>
                    <w:ind w:firstLine="420" w:firstLineChars="200"/>
                    <w:jc w:val="left"/>
                    <w:rPr>
                      <w:rFonts w:ascii="宋体" w:hAnsi="宋体" w:cs="宋体"/>
                    </w:rPr>
                  </w:pPr>
                </w:p>
              </w:tc>
              <w:tc>
                <w:tcPr>
                  <w:tcW w:w="786" w:type="dxa"/>
                </w:tcPr>
                <w:p>
                  <w:pPr>
                    <w:widowControl/>
                    <w:adjustRightInd w:val="0"/>
                    <w:snapToGrid w:val="0"/>
                    <w:spacing w:line="360" w:lineRule="exact"/>
                    <w:ind w:firstLine="420" w:firstLineChars="200"/>
                    <w:jc w:val="left"/>
                    <w:rPr>
                      <w:rFonts w:ascii="宋体" w:hAnsi="宋体" w:cs="宋体"/>
                    </w:rPr>
                  </w:pPr>
                </w:p>
              </w:tc>
              <w:tc>
                <w:tcPr>
                  <w:tcW w:w="707" w:type="dxa"/>
                </w:tcPr>
                <w:p>
                  <w:pPr>
                    <w:widowControl/>
                    <w:adjustRightInd w:val="0"/>
                    <w:snapToGrid w:val="0"/>
                    <w:spacing w:line="360" w:lineRule="exact"/>
                    <w:ind w:firstLine="420" w:firstLineChars="200"/>
                    <w:jc w:val="left"/>
                    <w:rPr>
                      <w:rFonts w:ascii="宋体" w:hAnsi="宋体" w:cs="宋体"/>
                    </w:rPr>
                  </w:pPr>
                </w:p>
              </w:tc>
              <w:tc>
                <w:tcPr>
                  <w:tcW w:w="750" w:type="dxa"/>
                </w:tcPr>
                <w:p>
                  <w:pPr>
                    <w:widowControl/>
                    <w:adjustRightInd w:val="0"/>
                    <w:snapToGrid w:val="0"/>
                    <w:spacing w:line="360" w:lineRule="exact"/>
                    <w:ind w:firstLine="420" w:firstLineChars="200"/>
                    <w:jc w:val="left"/>
                    <w:rPr>
                      <w:rFonts w:ascii="宋体" w:hAnsi="宋体" w:cs="宋体"/>
                    </w:rPr>
                  </w:pPr>
                </w:p>
              </w:tc>
              <w:tc>
                <w:tcPr>
                  <w:tcW w:w="778" w:type="dxa"/>
                </w:tcPr>
                <w:p>
                  <w:pPr>
                    <w:widowControl/>
                    <w:adjustRightInd w:val="0"/>
                    <w:snapToGrid w:val="0"/>
                    <w:spacing w:line="360" w:lineRule="exact"/>
                    <w:ind w:firstLine="420" w:firstLineChars="200"/>
                    <w:jc w:val="left"/>
                    <w:rPr>
                      <w:rFonts w:ascii="宋体" w:hAnsi="宋体" w:cs="宋体"/>
                    </w:rPr>
                  </w:pPr>
                </w:p>
              </w:tc>
              <w:tc>
                <w:tcPr>
                  <w:tcW w:w="1358" w:type="dxa"/>
                </w:tcPr>
                <w:p>
                  <w:pPr>
                    <w:widowControl/>
                    <w:adjustRightInd w:val="0"/>
                    <w:snapToGrid w:val="0"/>
                    <w:spacing w:line="360" w:lineRule="exact"/>
                    <w:ind w:firstLine="420" w:firstLineChars="200"/>
                    <w:jc w:val="left"/>
                    <w:rPr>
                      <w:rFonts w:ascii="宋体" w:hAnsi="宋体" w:cs="宋体"/>
                    </w:rPr>
                  </w:pPr>
                </w:p>
              </w:tc>
              <w:tc>
                <w:tcPr>
                  <w:tcW w:w="1085" w:type="dxa"/>
                </w:tcPr>
                <w:p>
                  <w:pPr>
                    <w:widowControl/>
                    <w:adjustRightInd w:val="0"/>
                    <w:snapToGrid w:val="0"/>
                    <w:spacing w:line="360" w:lineRule="exact"/>
                    <w:ind w:firstLine="420" w:firstLineChars="200"/>
                    <w:jc w:val="left"/>
                    <w:rPr>
                      <w:rFonts w:ascii="宋体" w:hAnsi="宋体" w:cs="宋体"/>
                    </w:rPr>
                  </w:pPr>
                </w:p>
              </w:tc>
              <w:tc>
                <w:tcPr>
                  <w:tcW w:w="649" w:type="dxa"/>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86" w:type="dxa"/>
                </w:tcPr>
                <w:p>
                  <w:pPr>
                    <w:widowControl/>
                    <w:adjustRightInd w:val="0"/>
                    <w:snapToGrid w:val="0"/>
                    <w:spacing w:line="360" w:lineRule="exact"/>
                    <w:ind w:firstLine="420" w:firstLineChars="200"/>
                    <w:jc w:val="left"/>
                    <w:rPr>
                      <w:rFonts w:ascii="宋体" w:hAnsi="宋体" w:cs="宋体"/>
                    </w:rPr>
                  </w:pPr>
                </w:p>
              </w:tc>
              <w:tc>
                <w:tcPr>
                  <w:tcW w:w="471" w:type="dxa"/>
                </w:tcPr>
                <w:p>
                  <w:pPr>
                    <w:widowControl/>
                    <w:adjustRightInd w:val="0"/>
                    <w:snapToGrid w:val="0"/>
                    <w:spacing w:line="360" w:lineRule="exact"/>
                    <w:ind w:firstLine="420" w:firstLineChars="200"/>
                    <w:jc w:val="left"/>
                    <w:rPr>
                      <w:rFonts w:ascii="宋体" w:hAnsi="宋体" w:cs="宋体"/>
                    </w:rPr>
                  </w:pPr>
                </w:p>
              </w:tc>
              <w:tc>
                <w:tcPr>
                  <w:tcW w:w="650" w:type="dxa"/>
                </w:tcPr>
                <w:p>
                  <w:pPr>
                    <w:widowControl/>
                    <w:adjustRightInd w:val="0"/>
                    <w:snapToGrid w:val="0"/>
                    <w:spacing w:line="360" w:lineRule="exact"/>
                    <w:ind w:firstLine="420" w:firstLineChars="200"/>
                    <w:jc w:val="left"/>
                    <w:rPr>
                      <w:rFonts w:ascii="宋体" w:hAnsi="宋体" w:cs="宋体"/>
                    </w:rPr>
                  </w:pPr>
                </w:p>
              </w:tc>
              <w:tc>
                <w:tcPr>
                  <w:tcW w:w="586" w:type="dxa"/>
                </w:tcPr>
                <w:p>
                  <w:pPr>
                    <w:widowControl/>
                    <w:adjustRightInd w:val="0"/>
                    <w:snapToGrid w:val="0"/>
                    <w:spacing w:line="360" w:lineRule="exact"/>
                    <w:ind w:firstLine="420" w:firstLineChars="200"/>
                    <w:jc w:val="left"/>
                    <w:rPr>
                      <w:rFonts w:ascii="宋体" w:hAnsi="宋体" w:cs="宋体"/>
                    </w:rPr>
                  </w:pPr>
                </w:p>
              </w:tc>
              <w:tc>
                <w:tcPr>
                  <w:tcW w:w="786" w:type="dxa"/>
                </w:tcPr>
                <w:p>
                  <w:pPr>
                    <w:widowControl/>
                    <w:adjustRightInd w:val="0"/>
                    <w:snapToGrid w:val="0"/>
                    <w:spacing w:line="360" w:lineRule="exact"/>
                    <w:ind w:firstLine="420" w:firstLineChars="200"/>
                    <w:jc w:val="left"/>
                    <w:rPr>
                      <w:rFonts w:ascii="宋体" w:hAnsi="宋体" w:cs="宋体"/>
                    </w:rPr>
                  </w:pPr>
                </w:p>
              </w:tc>
              <w:tc>
                <w:tcPr>
                  <w:tcW w:w="707" w:type="dxa"/>
                </w:tcPr>
                <w:p>
                  <w:pPr>
                    <w:widowControl/>
                    <w:adjustRightInd w:val="0"/>
                    <w:snapToGrid w:val="0"/>
                    <w:spacing w:line="360" w:lineRule="exact"/>
                    <w:ind w:firstLine="420" w:firstLineChars="200"/>
                    <w:jc w:val="left"/>
                    <w:rPr>
                      <w:rFonts w:ascii="宋体" w:hAnsi="宋体" w:cs="宋体"/>
                    </w:rPr>
                  </w:pPr>
                </w:p>
              </w:tc>
              <w:tc>
                <w:tcPr>
                  <w:tcW w:w="750" w:type="dxa"/>
                </w:tcPr>
                <w:p>
                  <w:pPr>
                    <w:widowControl/>
                    <w:adjustRightInd w:val="0"/>
                    <w:snapToGrid w:val="0"/>
                    <w:spacing w:line="360" w:lineRule="exact"/>
                    <w:ind w:firstLine="420" w:firstLineChars="200"/>
                    <w:jc w:val="left"/>
                    <w:rPr>
                      <w:rFonts w:ascii="宋体" w:hAnsi="宋体" w:cs="宋体"/>
                    </w:rPr>
                  </w:pPr>
                </w:p>
              </w:tc>
              <w:tc>
                <w:tcPr>
                  <w:tcW w:w="778" w:type="dxa"/>
                </w:tcPr>
                <w:p>
                  <w:pPr>
                    <w:widowControl/>
                    <w:adjustRightInd w:val="0"/>
                    <w:snapToGrid w:val="0"/>
                    <w:spacing w:line="360" w:lineRule="exact"/>
                    <w:ind w:firstLine="420" w:firstLineChars="200"/>
                    <w:jc w:val="left"/>
                    <w:rPr>
                      <w:rFonts w:ascii="宋体" w:hAnsi="宋体" w:cs="宋体"/>
                    </w:rPr>
                  </w:pPr>
                </w:p>
              </w:tc>
              <w:tc>
                <w:tcPr>
                  <w:tcW w:w="1358" w:type="dxa"/>
                </w:tcPr>
                <w:p>
                  <w:pPr>
                    <w:widowControl/>
                    <w:adjustRightInd w:val="0"/>
                    <w:snapToGrid w:val="0"/>
                    <w:spacing w:line="360" w:lineRule="exact"/>
                    <w:ind w:firstLine="420" w:firstLineChars="200"/>
                    <w:jc w:val="left"/>
                    <w:rPr>
                      <w:rFonts w:ascii="宋体" w:hAnsi="宋体" w:cs="宋体"/>
                    </w:rPr>
                  </w:pPr>
                </w:p>
              </w:tc>
              <w:tc>
                <w:tcPr>
                  <w:tcW w:w="1085" w:type="dxa"/>
                </w:tcPr>
                <w:p>
                  <w:pPr>
                    <w:widowControl/>
                    <w:adjustRightInd w:val="0"/>
                    <w:snapToGrid w:val="0"/>
                    <w:spacing w:line="360" w:lineRule="exact"/>
                    <w:ind w:firstLine="420" w:firstLineChars="200"/>
                    <w:jc w:val="left"/>
                    <w:rPr>
                      <w:rFonts w:ascii="宋体" w:hAnsi="宋体" w:cs="宋体"/>
                    </w:rPr>
                  </w:pPr>
                </w:p>
              </w:tc>
              <w:tc>
                <w:tcPr>
                  <w:tcW w:w="649" w:type="dxa"/>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86" w:type="dxa"/>
                </w:tcPr>
                <w:p>
                  <w:pPr>
                    <w:widowControl/>
                    <w:adjustRightInd w:val="0"/>
                    <w:snapToGrid w:val="0"/>
                    <w:spacing w:line="360" w:lineRule="exact"/>
                    <w:ind w:firstLine="420" w:firstLineChars="200"/>
                    <w:jc w:val="left"/>
                    <w:rPr>
                      <w:rFonts w:ascii="宋体" w:hAnsi="宋体" w:cs="宋体"/>
                    </w:rPr>
                  </w:pPr>
                </w:p>
              </w:tc>
              <w:tc>
                <w:tcPr>
                  <w:tcW w:w="471" w:type="dxa"/>
                </w:tcPr>
                <w:p>
                  <w:pPr>
                    <w:widowControl/>
                    <w:adjustRightInd w:val="0"/>
                    <w:snapToGrid w:val="0"/>
                    <w:spacing w:line="360" w:lineRule="exact"/>
                    <w:ind w:firstLine="420" w:firstLineChars="200"/>
                    <w:jc w:val="left"/>
                    <w:rPr>
                      <w:rFonts w:ascii="宋体" w:hAnsi="宋体" w:cs="宋体"/>
                    </w:rPr>
                  </w:pPr>
                </w:p>
              </w:tc>
              <w:tc>
                <w:tcPr>
                  <w:tcW w:w="650" w:type="dxa"/>
                </w:tcPr>
                <w:p>
                  <w:pPr>
                    <w:widowControl/>
                    <w:adjustRightInd w:val="0"/>
                    <w:snapToGrid w:val="0"/>
                    <w:spacing w:line="360" w:lineRule="exact"/>
                    <w:ind w:firstLine="420" w:firstLineChars="200"/>
                    <w:jc w:val="left"/>
                    <w:rPr>
                      <w:rFonts w:ascii="宋体" w:hAnsi="宋体" w:cs="宋体"/>
                    </w:rPr>
                  </w:pPr>
                </w:p>
              </w:tc>
              <w:tc>
                <w:tcPr>
                  <w:tcW w:w="586" w:type="dxa"/>
                </w:tcPr>
                <w:p>
                  <w:pPr>
                    <w:widowControl/>
                    <w:adjustRightInd w:val="0"/>
                    <w:snapToGrid w:val="0"/>
                    <w:spacing w:line="360" w:lineRule="exact"/>
                    <w:ind w:firstLine="420" w:firstLineChars="200"/>
                    <w:jc w:val="left"/>
                    <w:rPr>
                      <w:rFonts w:ascii="宋体" w:hAnsi="宋体" w:cs="宋体"/>
                    </w:rPr>
                  </w:pPr>
                </w:p>
              </w:tc>
              <w:tc>
                <w:tcPr>
                  <w:tcW w:w="786" w:type="dxa"/>
                </w:tcPr>
                <w:p>
                  <w:pPr>
                    <w:widowControl/>
                    <w:adjustRightInd w:val="0"/>
                    <w:snapToGrid w:val="0"/>
                    <w:spacing w:line="360" w:lineRule="exact"/>
                    <w:ind w:firstLine="420" w:firstLineChars="200"/>
                    <w:jc w:val="left"/>
                    <w:rPr>
                      <w:rFonts w:ascii="宋体" w:hAnsi="宋体" w:cs="宋体"/>
                    </w:rPr>
                  </w:pPr>
                </w:p>
              </w:tc>
              <w:tc>
                <w:tcPr>
                  <w:tcW w:w="707" w:type="dxa"/>
                </w:tcPr>
                <w:p>
                  <w:pPr>
                    <w:widowControl/>
                    <w:adjustRightInd w:val="0"/>
                    <w:snapToGrid w:val="0"/>
                    <w:spacing w:line="360" w:lineRule="exact"/>
                    <w:ind w:firstLine="420" w:firstLineChars="200"/>
                    <w:jc w:val="left"/>
                    <w:rPr>
                      <w:rFonts w:ascii="宋体" w:hAnsi="宋体" w:cs="宋体"/>
                    </w:rPr>
                  </w:pPr>
                </w:p>
              </w:tc>
              <w:tc>
                <w:tcPr>
                  <w:tcW w:w="750" w:type="dxa"/>
                </w:tcPr>
                <w:p>
                  <w:pPr>
                    <w:widowControl/>
                    <w:adjustRightInd w:val="0"/>
                    <w:snapToGrid w:val="0"/>
                    <w:spacing w:line="360" w:lineRule="exact"/>
                    <w:ind w:firstLine="420" w:firstLineChars="200"/>
                    <w:jc w:val="left"/>
                    <w:rPr>
                      <w:rFonts w:ascii="宋体" w:hAnsi="宋体" w:cs="宋体"/>
                    </w:rPr>
                  </w:pPr>
                </w:p>
              </w:tc>
              <w:tc>
                <w:tcPr>
                  <w:tcW w:w="778" w:type="dxa"/>
                </w:tcPr>
                <w:p>
                  <w:pPr>
                    <w:widowControl/>
                    <w:adjustRightInd w:val="0"/>
                    <w:snapToGrid w:val="0"/>
                    <w:spacing w:line="360" w:lineRule="exact"/>
                    <w:ind w:firstLine="420" w:firstLineChars="200"/>
                    <w:jc w:val="left"/>
                    <w:rPr>
                      <w:rFonts w:ascii="宋体" w:hAnsi="宋体" w:cs="宋体"/>
                    </w:rPr>
                  </w:pPr>
                </w:p>
              </w:tc>
              <w:tc>
                <w:tcPr>
                  <w:tcW w:w="1358" w:type="dxa"/>
                </w:tcPr>
                <w:p>
                  <w:pPr>
                    <w:widowControl/>
                    <w:adjustRightInd w:val="0"/>
                    <w:snapToGrid w:val="0"/>
                    <w:spacing w:line="360" w:lineRule="exact"/>
                    <w:ind w:firstLine="420" w:firstLineChars="200"/>
                    <w:jc w:val="left"/>
                    <w:rPr>
                      <w:rFonts w:ascii="宋体" w:hAnsi="宋体" w:cs="宋体"/>
                    </w:rPr>
                  </w:pPr>
                </w:p>
              </w:tc>
              <w:tc>
                <w:tcPr>
                  <w:tcW w:w="1085" w:type="dxa"/>
                </w:tcPr>
                <w:p>
                  <w:pPr>
                    <w:widowControl/>
                    <w:adjustRightInd w:val="0"/>
                    <w:snapToGrid w:val="0"/>
                    <w:spacing w:line="360" w:lineRule="exact"/>
                    <w:ind w:firstLine="420" w:firstLineChars="200"/>
                    <w:jc w:val="left"/>
                    <w:rPr>
                      <w:rFonts w:ascii="宋体" w:hAnsi="宋体" w:cs="宋体"/>
                    </w:rPr>
                  </w:pPr>
                </w:p>
              </w:tc>
              <w:tc>
                <w:tcPr>
                  <w:tcW w:w="649" w:type="dxa"/>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586" w:type="dxa"/>
                </w:tcPr>
                <w:p>
                  <w:pPr>
                    <w:widowControl/>
                    <w:adjustRightInd w:val="0"/>
                    <w:snapToGrid w:val="0"/>
                    <w:spacing w:line="360" w:lineRule="exact"/>
                    <w:ind w:firstLine="420" w:firstLineChars="200"/>
                    <w:jc w:val="left"/>
                    <w:rPr>
                      <w:rFonts w:ascii="宋体" w:hAnsi="宋体" w:cs="宋体"/>
                    </w:rPr>
                  </w:pPr>
                </w:p>
              </w:tc>
              <w:tc>
                <w:tcPr>
                  <w:tcW w:w="471" w:type="dxa"/>
                </w:tcPr>
                <w:p>
                  <w:pPr>
                    <w:widowControl/>
                    <w:adjustRightInd w:val="0"/>
                    <w:snapToGrid w:val="0"/>
                    <w:spacing w:line="360" w:lineRule="exact"/>
                    <w:ind w:firstLine="420" w:firstLineChars="200"/>
                    <w:jc w:val="left"/>
                    <w:rPr>
                      <w:rFonts w:ascii="宋体" w:hAnsi="宋体" w:cs="宋体"/>
                    </w:rPr>
                  </w:pPr>
                </w:p>
              </w:tc>
              <w:tc>
                <w:tcPr>
                  <w:tcW w:w="650" w:type="dxa"/>
                </w:tcPr>
                <w:p>
                  <w:pPr>
                    <w:widowControl/>
                    <w:adjustRightInd w:val="0"/>
                    <w:snapToGrid w:val="0"/>
                    <w:spacing w:line="360" w:lineRule="exact"/>
                    <w:ind w:firstLine="420" w:firstLineChars="200"/>
                    <w:jc w:val="left"/>
                    <w:rPr>
                      <w:rFonts w:ascii="宋体" w:hAnsi="宋体" w:cs="宋体"/>
                    </w:rPr>
                  </w:pPr>
                </w:p>
              </w:tc>
              <w:tc>
                <w:tcPr>
                  <w:tcW w:w="586" w:type="dxa"/>
                </w:tcPr>
                <w:p>
                  <w:pPr>
                    <w:widowControl/>
                    <w:adjustRightInd w:val="0"/>
                    <w:snapToGrid w:val="0"/>
                    <w:spacing w:line="360" w:lineRule="exact"/>
                    <w:ind w:firstLine="420" w:firstLineChars="200"/>
                    <w:jc w:val="left"/>
                    <w:rPr>
                      <w:rFonts w:ascii="宋体" w:hAnsi="宋体" w:cs="宋体"/>
                    </w:rPr>
                  </w:pPr>
                </w:p>
              </w:tc>
              <w:tc>
                <w:tcPr>
                  <w:tcW w:w="786" w:type="dxa"/>
                </w:tcPr>
                <w:p>
                  <w:pPr>
                    <w:widowControl/>
                    <w:adjustRightInd w:val="0"/>
                    <w:snapToGrid w:val="0"/>
                    <w:spacing w:line="360" w:lineRule="exact"/>
                    <w:ind w:firstLine="420" w:firstLineChars="200"/>
                    <w:jc w:val="left"/>
                    <w:rPr>
                      <w:rFonts w:ascii="宋体" w:hAnsi="宋体" w:cs="宋体"/>
                    </w:rPr>
                  </w:pPr>
                </w:p>
              </w:tc>
              <w:tc>
                <w:tcPr>
                  <w:tcW w:w="707" w:type="dxa"/>
                </w:tcPr>
                <w:p>
                  <w:pPr>
                    <w:widowControl/>
                    <w:adjustRightInd w:val="0"/>
                    <w:snapToGrid w:val="0"/>
                    <w:spacing w:line="360" w:lineRule="exact"/>
                    <w:ind w:firstLine="420" w:firstLineChars="200"/>
                    <w:jc w:val="left"/>
                    <w:rPr>
                      <w:rFonts w:ascii="宋体" w:hAnsi="宋体" w:cs="宋体"/>
                    </w:rPr>
                  </w:pPr>
                </w:p>
              </w:tc>
              <w:tc>
                <w:tcPr>
                  <w:tcW w:w="750" w:type="dxa"/>
                </w:tcPr>
                <w:p>
                  <w:pPr>
                    <w:widowControl/>
                    <w:adjustRightInd w:val="0"/>
                    <w:snapToGrid w:val="0"/>
                    <w:spacing w:line="360" w:lineRule="exact"/>
                    <w:ind w:firstLine="420" w:firstLineChars="200"/>
                    <w:jc w:val="left"/>
                    <w:rPr>
                      <w:rFonts w:ascii="宋体" w:hAnsi="宋体" w:cs="宋体"/>
                    </w:rPr>
                  </w:pPr>
                </w:p>
              </w:tc>
              <w:tc>
                <w:tcPr>
                  <w:tcW w:w="778" w:type="dxa"/>
                </w:tcPr>
                <w:p>
                  <w:pPr>
                    <w:widowControl/>
                    <w:adjustRightInd w:val="0"/>
                    <w:snapToGrid w:val="0"/>
                    <w:spacing w:line="360" w:lineRule="exact"/>
                    <w:ind w:firstLine="420" w:firstLineChars="200"/>
                    <w:jc w:val="left"/>
                    <w:rPr>
                      <w:rFonts w:ascii="宋体" w:hAnsi="宋体" w:cs="宋体"/>
                    </w:rPr>
                  </w:pPr>
                </w:p>
              </w:tc>
              <w:tc>
                <w:tcPr>
                  <w:tcW w:w="1358" w:type="dxa"/>
                </w:tcPr>
                <w:p>
                  <w:pPr>
                    <w:widowControl/>
                    <w:adjustRightInd w:val="0"/>
                    <w:snapToGrid w:val="0"/>
                    <w:spacing w:line="360" w:lineRule="exact"/>
                    <w:ind w:firstLine="420" w:firstLineChars="200"/>
                    <w:jc w:val="left"/>
                    <w:rPr>
                      <w:rFonts w:ascii="宋体" w:hAnsi="宋体" w:cs="宋体"/>
                    </w:rPr>
                  </w:pPr>
                </w:p>
              </w:tc>
              <w:tc>
                <w:tcPr>
                  <w:tcW w:w="1085" w:type="dxa"/>
                </w:tcPr>
                <w:p>
                  <w:pPr>
                    <w:widowControl/>
                    <w:adjustRightInd w:val="0"/>
                    <w:snapToGrid w:val="0"/>
                    <w:spacing w:line="360" w:lineRule="exact"/>
                    <w:ind w:firstLine="420" w:firstLineChars="200"/>
                    <w:jc w:val="left"/>
                    <w:rPr>
                      <w:rFonts w:ascii="宋体" w:hAnsi="宋体" w:cs="宋体"/>
                    </w:rPr>
                  </w:pPr>
                </w:p>
              </w:tc>
              <w:tc>
                <w:tcPr>
                  <w:tcW w:w="649" w:type="dxa"/>
                </w:tcPr>
                <w:p>
                  <w:pPr>
                    <w:widowControl/>
                    <w:adjustRightInd w:val="0"/>
                    <w:snapToGrid w:val="0"/>
                    <w:spacing w:line="360" w:lineRule="exact"/>
                    <w:ind w:firstLine="420" w:firstLineChars="200"/>
                    <w:jc w:val="left"/>
                    <w:rPr>
                      <w:rFonts w:ascii="宋体" w:hAnsi="宋体" w:cs="宋体"/>
                    </w:rPr>
                  </w:pPr>
                </w:p>
              </w:tc>
            </w:tr>
          </w:tbl>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填表说明：技术负责人、质量负责人及负责职业病信息报告的人员请在备注中注明。</w:t>
            </w:r>
          </w:p>
          <w:p>
            <w:pPr>
              <w:widowControl/>
              <w:jc w:val="left"/>
            </w:pPr>
          </w:p>
          <w:p>
            <w:pPr>
              <w:pStyle w:val="15"/>
              <w:widowControl/>
              <w:adjustRightInd w:val="0"/>
              <w:snapToGrid w:val="0"/>
              <w:spacing w:line="360" w:lineRule="exact"/>
              <w:ind w:firstLine="400" w:firstLineChars="200"/>
              <w:jc w:val="center"/>
            </w:pPr>
            <w:r>
              <w:rPr>
                <w:rFonts w:hint="eastAsia"/>
              </w:rPr>
              <w:t>表10 职业病诊断仪器和设备清单</w:t>
            </w:r>
          </w:p>
          <w:tbl>
            <w:tblPr>
              <w:tblStyle w:val="44"/>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2332"/>
              <w:gridCol w:w="987"/>
              <w:gridCol w:w="623"/>
              <w:gridCol w:w="1433"/>
              <w:gridCol w:w="1075"/>
              <w:gridCol w:w="1107"/>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05" w:type="dxa"/>
                  <w:vAlign w:val="center"/>
                </w:tcPr>
                <w:p>
                  <w:pPr>
                    <w:widowControl/>
                    <w:adjustRightInd w:val="0"/>
                    <w:snapToGrid w:val="0"/>
                    <w:spacing w:line="360" w:lineRule="exact"/>
                    <w:jc w:val="left"/>
                    <w:rPr>
                      <w:rFonts w:ascii="宋体" w:hAnsi="宋体" w:cs="宋体"/>
                    </w:rPr>
                  </w:pPr>
                  <w:r>
                    <w:rPr>
                      <w:rFonts w:hint="eastAsia" w:ascii="宋体" w:hAnsi="宋体" w:cs="宋体"/>
                    </w:rPr>
                    <w:t>序号</w:t>
                  </w:r>
                </w:p>
              </w:tc>
              <w:tc>
                <w:tcPr>
                  <w:tcW w:w="2332" w:type="dxa"/>
                  <w:vAlign w:val="center"/>
                </w:tcPr>
                <w:p>
                  <w:pPr>
                    <w:widowControl/>
                    <w:adjustRightInd w:val="0"/>
                    <w:snapToGrid w:val="0"/>
                    <w:spacing w:line="360" w:lineRule="exact"/>
                    <w:jc w:val="left"/>
                    <w:rPr>
                      <w:rFonts w:ascii="宋体" w:hAnsi="宋体" w:cs="宋体"/>
                    </w:rPr>
                  </w:pPr>
                  <w:r>
                    <w:rPr>
                      <w:rFonts w:hint="eastAsia" w:ascii="宋体" w:hAnsi="宋体" w:cs="宋体"/>
                    </w:rPr>
                    <w:t>仪器、设备名称</w:t>
                  </w:r>
                </w:p>
              </w:tc>
              <w:tc>
                <w:tcPr>
                  <w:tcW w:w="987" w:type="dxa"/>
                  <w:vAlign w:val="center"/>
                </w:tcPr>
                <w:p>
                  <w:pPr>
                    <w:widowControl/>
                    <w:adjustRightInd w:val="0"/>
                    <w:snapToGrid w:val="0"/>
                    <w:spacing w:line="360" w:lineRule="exact"/>
                    <w:jc w:val="left"/>
                    <w:rPr>
                      <w:rFonts w:ascii="宋体" w:hAnsi="宋体" w:cs="宋体"/>
                    </w:rPr>
                  </w:pPr>
                  <w:r>
                    <w:rPr>
                      <w:rFonts w:hint="eastAsia" w:ascii="宋体" w:hAnsi="宋体" w:cs="宋体"/>
                    </w:rPr>
                    <w:t>型号</w:t>
                  </w:r>
                </w:p>
              </w:tc>
              <w:tc>
                <w:tcPr>
                  <w:tcW w:w="623" w:type="dxa"/>
                  <w:vAlign w:val="center"/>
                </w:tcPr>
                <w:p>
                  <w:pPr>
                    <w:widowControl/>
                    <w:adjustRightInd w:val="0"/>
                    <w:snapToGrid w:val="0"/>
                    <w:spacing w:line="360" w:lineRule="exact"/>
                    <w:jc w:val="left"/>
                    <w:rPr>
                      <w:rFonts w:ascii="宋体" w:hAnsi="宋体" w:cs="宋体"/>
                    </w:rPr>
                  </w:pPr>
                  <w:r>
                    <w:rPr>
                      <w:rFonts w:hint="eastAsia" w:ascii="宋体" w:hAnsi="宋体" w:cs="宋体"/>
                    </w:rPr>
                    <w:t>数量</w:t>
                  </w:r>
                </w:p>
              </w:tc>
              <w:tc>
                <w:tcPr>
                  <w:tcW w:w="1433" w:type="dxa"/>
                  <w:vAlign w:val="center"/>
                </w:tcPr>
                <w:p>
                  <w:pPr>
                    <w:widowControl/>
                    <w:adjustRightInd w:val="0"/>
                    <w:snapToGrid w:val="0"/>
                    <w:spacing w:line="360" w:lineRule="exact"/>
                    <w:jc w:val="left"/>
                    <w:rPr>
                      <w:rFonts w:ascii="宋体" w:hAnsi="宋体" w:cs="宋体"/>
                    </w:rPr>
                  </w:pPr>
                  <w:r>
                    <w:rPr>
                      <w:rFonts w:hint="eastAsia" w:ascii="宋体" w:hAnsi="宋体" w:cs="宋体"/>
                    </w:rPr>
                    <w:t>用途</w:t>
                  </w:r>
                </w:p>
              </w:tc>
              <w:tc>
                <w:tcPr>
                  <w:tcW w:w="1075" w:type="dxa"/>
                  <w:vAlign w:val="center"/>
                </w:tcPr>
                <w:p>
                  <w:pPr>
                    <w:widowControl/>
                    <w:adjustRightInd w:val="0"/>
                    <w:snapToGrid w:val="0"/>
                    <w:spacing w:line="360" w:lineRule="exact"/>
                    <w:jc w:val="left"/>
                    <w:rPr>
                      <w:rFonts w:ascii="宋体" w:hAnsi="宋体" w:cs="宋体"/>
                    </w:rPr>
                  </w:pPr>
                  <w:r>
                    <w:rPr>
                      <w:rFonts w:hint="eastAsia" w:ascii="宋体" w:hAnsi="宋体" w:cs="宋体"/>
                    </w:rPr>
                    <w:t>工作状态</w:t>
                  </w:r>
                </w:p>
              </w:tc>
              <w:tc>
                <w:tcPr>
                  <w:tcW w:w="1107" w:type="dxa"/>
                  <w:vAlign w:val="center"/>
                </w:tcPr>
                <w:p>
                  <w:pPr>
                    <w:widowControl/>
                    <w:adjustRightInd w:val="0"/>
                    <w:snapToGrid w:val="0"/>
                    <w:spacing w:line="360" w:lineRule="exact"/>
                    <w:jc w:val="left"/>
                    <w:rPr>
                      <w:rFonts w:ascii="宋体" w:hAnsi="宋体" w:cs="宋体"/>
                    </w:rPr>
                  </w:pPr>
                  <w:r>
                    <w:rPr>
                      <w:rFonts w:hint="eastAsia" w:ascii="宋体" w:hAnsi="宋体" w:cs="宋体"/>
                    </w:rPr>
                    <w:t>购置日期</w:t>
                  </w:r>
                </w:p>
              </w:tc>
              <w:tc>
                <w:tcPr>
                  <w:tcW w:w="793" w:type="dxa"/>
                  <w:vAlign w:val="center"/>
                </w:tcPr>
                <w:p>
                  <w:pPr>
                    <w:widowControl/>
                    <w:adjustRightInd w:val="0"/>
                    <w:snapToGrid w:val="0"/>
                    <w:spacing w:line="360" w:lineRule="exact"/>
                    <w:jc w:val="left"/>
                    <w:rPr>
                      <w:rFonts w:ascii="宋体" w:hAnsi="宋体" w:cs="宋体"/>
                    </w:rPr>
                  </w:pPr>
                  <w:r>
                    <w:rPr>
                      <w:rFonts w:hint="eastAsia" w:ascii="宋体" w:hAnsi="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05" w:type="dxa"/>
                  <w:vAlign w:val="center"/>
                </w:tcPr>
                <w:p>
                  <w:pPr>
                    <w:widowControl/>
                    <w:adjustRightInd w:val="0"/>
                    <w:snapToGrid w:val="0"/>
                    <w:spacing w:line="360" w:lineRule="exact"/>
                    <w:ind w:firstLine="420" w:firstLineChars="200"/>
                    <w:jc w:val="left"/>
                    <w:rPr>
                      <w:rFonts w:ascii="宋体" w:hAnsi="宋体" w:cs="宋体"/>
                    </w:rPr>
                  </w:pPr>
                </w:p>
              </w:tc>
              <w:tc>
                <w:tcPr>
                  <w:tcW w:w="2332" w:type="dxa"/>
                  <w:vAlign w:val="center"/>
                </w:tcPr>
                <w:p>
                  <w:pPr>
                    <w:widowControl/>
                    <w:adjustRightInd w:val="0"/>
                    <w:snapToGrid w:val="0"/>
                    <w:spacing w:line="360" w:lineRule="exact"/>
                    <w:ind w:firstLine="420" w:firstLineChars="200"/>
                    <w:jc w:val="left"/>
                    <w:rPr>
                      <w:rFonts w:ascii="宋体" w:hAnsi="宋体" w:cs="宋体"/>
                    </w:rPr>
                  </w:pPr>
                </w:p>
              </w:tc>
              <w:tc>
                <w:tcPr>
                  <w:tcW w:w="987" w:type="dxa"/>
                  <w:vAlign w:val="center"/>
                </w:tcPr>
                <w:p>
                  <w:pPr>
                    <w:widowControl/>
                    <w:adjustRightInd w:val="0"/>
                    <w:snapToGrid w:val="0"/>
                    <w:spacing w:line="360" w:lineRule="exact"/>
                    <w:ind w:firstLine="420" w:firstLineChars="200"/>
                    <w:jc w:val="left"/>
                    <w:rPr>
                      <w:rFonts w:ascii="宋体" w:hAnsi="宋体" w:cs="宋体"/>
                    </w:rPr>
                  </w:pPr>
                </w:p>
              </w:tc>
              <w:tc>
                <w:tcPr>
                  <w:tcW w:w="623" w:type="dxa"/>
                  <w:vAlign w:val="center"/>
                </w:tcPr>
                <w:p>
                  <w:pPr>
                    <w:widowControl/>
                    <w:adjustRightInd w:val="0"/>
                    <w:snapToGrid w:val="0"/>
                    <w:spacing w:line="360" w:lineRule="exact"/>
                    <w:ind w:firstLine="420" w:firstLineChars="200"/>
                    <w:jc w:val="left"/>
                    <w:rPr>
                      <w:rFonts w:ascii="宋体" w:hAnsi="宋体" w:cs="宋体"/>
                    </w:rPr>
                  </w:pPr>
                </w:p>
              </w:tc>
              <w:tc>
                <w:tcPr>
                  <w:tcW w:w="1433" w:type="dxa"/>
                  <w:vAlign w:val="center"/>
                </w:tcPr>
                <w:p>
                  <w:pPr>
                    <w:widowControl/>
                    <w:adjustRightInd w:val="0"/>
                    <w:snapToGrid w:val="0"/>
                    <w:spacing w:line="360" w:lineRule="exact"/>
                    <w:ind w:firstLine="420" w:firstLineChars="200"/>
                    <w:jc w:val="left"/>
                    <w:rPr>
                      <w:rFonts w:ascii="宋体" w:hAnsi="宋体" w:cs="宋体"/>
                    </w:rPr>
                  </w:pPr>
                </w:p>
              </w:tc>
              <w:tc>
                <w:tcPr>
                  <w:tcW w:w="1075" w:type="dxa"/>
                  <w:vAlign w:val="center"/>
                </w:tcPr>
                <w:p>
                  <w:pPr>
                    <w:widowControl/>
                    <w:adjustRightInd w:val="0"/>
                    <w:snapToGrid w:val="0"/>
                    <w:spacing w:line="360" w:lineRule="exact"/>
                    <w:ind w:firstLine="420" w:firstLineChars="200"/>
                    <w:jc w:val="left"/>
                    <w:rPr>
                      <w:rFonts w:ascii="宋体" w:hAnsi="宋体" w:cs="宋体"/>
                    </w:rPr>
                  </w:pPr>
                </w:p>
              </w:tc>
              <w:tc>
                <w:tcPr>
                  <w:tcW w:w="1107" w:type="dxa"/>
                  <w:vAlign w:val="center"/>
                </w:tcPr>
                <w:p>
                  <w:pPr>
                    <w:widowControl/>
                    <w:adjustRightInd w:val="0"/>
                    <w:snapToGrid w:val="0"/>
                    <w:spacing w:line="360" w:lineRule="exact"/>
                    <w:ind w:firstLine="420" w:firstLineChars="200"/>
                    <w:jc w:val="left"/>
                    <w:rPr>
                      <w:rFonts w:ascii="宋体" w:hAnsi="宋体" w:cs="宋体"/>
                    </w:rPr>
                  </w:pPr>
                </w:p>
              </w:tc>
              <w:tc>
                <w:tcPr>
                  <w:tcW w:w="793" w:type="dxa"/>
                  <w:vAlign w:val="center"/>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05" w:type="dxa"/>
                  <w:vAlign w:val="center"/>
                </w:tcPr>
                <w:p>
                  <w:pPr>
                    <w:widowControl/>
                    <w:adjustRightInd w:val="0"/>
                    <w:snapToGrid w:val="0"/>
                    <w:spacing w:line="360" w:lineRule="exact"/>
                    <w:ind w:firstLine="420" w:firstLineChars="200"/>
                    <w:jc w:val="left"/>
                    <w:rPr>
                      <w:rFonts w:ascii="宋体" w:hAnsi="宋体" w:cs="宋体"/>
                    </w:rPr>
                  </w:pPr>
                </w:p>
              </w:tc>
              <w:tc>
                <w:tcPr>
                  <w:tcW w:w="2332" w:type="dxa"/>
                  <w:vAlign w:val="center"/>
                </w:tcPr>
                <w:p>
                  <w:pPr>
                    <w:widowControl/>
                    <w:adjustRightInd w:val="0"/>
                    <w:snapToGrid w:val="0"/>
                    <w:spacing w:line="360" w:lineRule="exact"/>
                    <w:ind w:firstLine="420" w:firstLineChars="200"/>
                    <w:jc w:val="left"/>
                    <w:rPr>
                      <w:rFonts w:ascii="宋体" w:hAnsi="宋体" w:cs="宋体"/>
                    </w:rPr>
                  </w:pPr>
                </w:p>
              </w:tc>
              <w:tc>
                <w:tcPr>
                  <w:tcW w:w="987" w:type="dxa"/>
                  <w:vAlign w:val="center"/>
                </w:tcPr>
                <w:p>
                  <w:pPr>
                    <w:widowControl/>
                    <w:adjustRightInd w:val="0"/>
                    <w:snapToGrid w:val="0"/>
                    <w:spacing w:line="360" w:lineRule="exact"/>
                    <w:ind w:firstLine="420" w:firstLineChars="200"/>
                    <w:jc w:val="left"/>
                    <w:rPr>
                      <w:rFonts w:ascii="宋体" w:hAnsi="宋体" w:cs="宋体"/>
                    </w:rPr>
                  </w:pPr>
                </w:p>
              </w:tc>
              <w:tc>
                <w:tcPr>
                  <w:tcW w:w="623" w:type="dxa"/>
                  <w:vAlign w:val="center"/>
                </w:tcPr>
                <w:p>
                  <w:pPr>
                    <w:widowControl/>
                    <w:adjustRightInd w:val="0"/>
                    <w:snapToGrid w:val="0"/>
                    <w:spacing w:line="360" w:lineRule="exact"/>
                    <w:ind w:firstLine="420" w:firstLineChars="200"/>
                    <w:jc w:val="left"/>
                    <w:rPr>
                      <w:rFonts w:ascii="宋体" w:hAnsi="宋体" w:cs="宋体"/>
                    </w:rPr>
                  </w:pPr>
                </w:p>
              </w:tc>
              <w:tc>
                <w:tcPr>
                  <w:tcW w:w="1433" w:type="dxa"/>
                  <w:vAlign w:val="center"/>
                </w:tcPr>
                <w:p>
                  <w:pPr>
                    <w:widowControl/>
                    <w:adjustRightInd w:val="0"/>
                    <w:snapToGrid w:val="0"/>
                    <w:spacing w:line="360" w:lineRule="exact"/>
                    <w:ind w:firstLine="420" w:firstLineChars="200"/>
                    <w:jc w:val="left"/>
                    <w:rPr>
                      <w:rFonts w:ascii="宋体" w:hAnsi="宋体" w:cs="宋体"/>
                    </w:rPr>
                  </w:pPr>
                </w:p>
              </w:tc>
              <w:tc>
                <w:tcPr>
                  <w:tcW w:w="1075" w:type="dxa"/>
                  <w:vAlign w:val="center"/>
                </w:tcPr>
                <w:p>
                  <w:pPr>
                    <w:widowControl/>
                    <w:adjustRightInd w:val="0"/>
                    <w:snapToGrid w:val="0"/>
                    <w:spacing w:line="360" w:lineRule="exact"/>
                    <w:ind w:firstLine="420" w:firstLineChars="200"/>
                    <w:jc w:val="left"/>
                    <w:rPr>
                      <w:rFonts w:ascii="宋体" w:hAnsi="宋体" w:cs="宋体"/>
                    </w:rPr>
                  </w:pPr>
                </w:p>
              </w:tc>
              <w:tc>
                <w:tcPr>
                  <w:tcW w:w="1107" w:type="dxa"/>
                  <w:vAlign w:val="center"/>
                </w:tcPr>
                <w:p>
                  <w:pPr>
                    <w:widowControl/>
                    <w:adjustRightInd w:val="0"/>
                    <w:snapToGrid w:val="0"/>
                    <w:spacing w:line="360" w:lineRule="exact"/>
                    <w:ind w:firstLine="420" w:firstLineChars="200"/>
                    <w:jc w:val="left"/>
                    <w:rPr>
                      <w:rFonts w:ascii="宋体" w:hAnsi="宋体" w:cs="宋体"/>
                    </w:rPr>
                  </w:pPr>
                </w:p>
              </w:tc>
              <w:tc>
                <w:tcPr>
                  <w:tcW w:w="793" w:type="dxa"/>
                  <w:vAlign w:val="center"/>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05" w:type="dxa"/>
                  <w:vAlign w:val="center"/>
                </w:tcPr>
                <w:p>
                  <w:pPr>
                    <w:widowControl/>
                    <w:adjustRightInd w:val="0"/>
                    <w:snapToGrid w:val="0"/>
                    <w:spacing w:line="360" w:lineRule="exact"/>
                    <w:ind w:firstLine="420" w:firstLineChars="200"/>
                    <w:jc w:val="left"/>
                    <w:rPr>
                      <w:rFonts w:ascii="宋体" w:hAnsi="宋体" w:cs="宋体"/>
                    </w:rPr>
                  </w:pPr>
                </w:p>
              </w:tc>
              <w:tc>
                <w:tcPr>
                  <w:tcW w:w="2332" w:type="dxa"/>
                  <w:vAlign w:val="center"/>
                </w:tcPr>
                <w:p>
                  <w:pPr>
                    <w:widowControl/>
                    <w:adjustRightInd w:val="0"/>
                    <w:snapToGrid w:val="0"/>
                    <w:spacing w:line="360" w:lineRule="exact"/>
                    <w:ind w:firstLine="420" w:firstLineChars="200"/>
                    <w:jc w:val="left"/>
                    <w:rPr>
                      <w:rFonts w:ascii="宋体" w:hAnsi="宋体" w:cs="宋体"/>
                    </w:rPr>
                  </w:pPr>
                </w:p>
              </w:tc>
              <w:tc>
                <w:tcPr>
                  <w:tcW w:w="987" w:type="dxa"/>
                  <w:vAlign w:val="center"/>
                </w:tcPr>
                <w:p>
                  <w:pPr>
                    <w:widowControl/>
                    <w:adjustRightInd w:val="0"/>
                    <w:snapToGrid w:val="0"/>
                    <w:spacing w:line="360" w:lineRule="exact"/>
                    <w:ind w:firstLine="420" w:firstLineChars="200"/>
                    <w:jc w:val="left"/>
                    <w:rPr>
                      <w:rFonts w:ascii="宋体" w:hAnsi="宋体" w:cs="宋体"/>
                    </w:rPr>
                  </w:pPr>
                </w:p>
              </w:tc>
              <w:tc>
                <w:tcPr>
                  <w:tcW w:w="623" w:type="dxa"/>
                  <w:vAlign w:val="center"/>
                </w:tcPr>
                <w:p>
                  <w:pPr>
                    <w:widowControl/>
                    <w:adjustRightInd w:val="0"/>
                    <w:snapToGrid w:val="0"/>
                    <w:spacing w:line="360" w:lineRule="exact"/>
                    <w:ind w:firstLine="420" w:firstLineChars="200"/>
                    <w:jc w:val="left"/>
                    <w:rPr>
                      <w:rFonts w:ascii="宋体" w:hAnsi="宋体" w:cs="宋体"/>
                    </w:rPr>
                  </w:pPr>
                </w:p>
              </w:tc>
              <w:tc>
                <w:tcPr>
                  <w:tcW w:w="1433" w:type="dxa"/>
                  <w:vAlign w:val="center"/>
                </w:tcPr>
                <w:p>
                  <w:pPr>
                    <w:widowControl/>
                    <w:adjustRightInd w:val="0"/>
                    <w:snapToGrid w:val="0"/>
                    <w:spacing w:line="360" w:lineRule="exact"/>
                    <w:ind w:firstLine="420" w:firstLineChars="200"/>
                    <w:jc w:val="left"/>
                    <w:rPr>
                      <w:rFonts w:ascii="宋体" w:hAnsi="宋体" w:cs="宋体"/>
                    </w:rPr>
                  </w:pPr>
                </w:p>
              </w:tc>
              <w:tc>
                <w:tcPr>
                  <w:tcW w:w="1075" w:type="dxa"/>
                  <w:vAlign w:val="center"/>
                </w:tcPr>
                <w:p>
                  <w:pPr>
                    <w:widowControl/>
                    <w:adjustRightInd w:val="0"/>
                    <w:snapToGrid w:val="0"/>
                    <w:spacing w:line="360" w:lineRule="exact"/>
                    <w:ind w:firstLine="420" w:firstLineChars="200"/>
                    <w:jc w:val="left"/>
                    <w:rPr>
                      <w:rFonts w:ascii="宋体" w:hAnsi="宋体" w:cs="宋体"/>
                    </w:rPr>
                  </w:pPr>
                </w:p>
              </w:tc>
              <w:tc>
                <w:tcPr>
                  <w:tcW w:w="1107" w:type="dxa"/>
                  <w:vAlign w:val="center"/>
                </w:tcPr>
                <w:p>
                  <w:pPr>
                    <w:widowControl/>
                    <w:adjustRightInd w:val="0"/>
                    <w:snapToGrid w:val="0"/>
                    <w:spacing w:line="360" w:lineRule="exact"/>
                    <w:ind w:firstLine="420" w:firstLineChars="200"/>
                    <w:jc w:val="left"/>
                    <w:rPr>
                      <w:rFonts w:ascii="宋体" w:hAnsi="宋体" w:cs="宋体"/>
                    </w:rPr>
                  </w:pPr>
                </w:p>
              </w:tc>
              <w:tc>
                <w:tcPr>
                  <w:tcW w:w="793" w:type="dxa"/>
                  <w:vAlign w:val="center"/>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05" w:type="dxa"/>
                  <w:vAlign w:val="center"/>
                </w:tcPr>
                <w:p>
                  <w:pPr>
                    <w:widowControl/>
                    <w:adjustRightInd w:val="0"/>
                    <w:snapToGrid w:val="0"/>
                    <w:spacing w:line="360" w:lineRule="exact"/>
                    <w:ind w:firstLine="420" w:firstLineChars="200"/>
                    <w:jc w:val="left"/>
                    <w:rPr>
                      <w:rFonts w:ascii="宋体" w:hAnsi="宋体" w:cs="宋体"/>
                    </w:rPr>
                  </w:pPr>
                </w:p>
              </w:tc>
              <w:tc>
                <w:tcPr>
                  <w:tcW w:w="2332" w:type="dxa"/>
                  <w:vAlign w:val="center"/>
                </w:tcPr>
                <w:p>
                  <w:pPr>
                    <w:widowControl/>
                    <w:adjustRightInd w:val="0"/>
                    <w:snapToGrid w:val="0"/>
                    <w:spacing w:line="360" w:lineRule="exact"/>
                    <w:ind w:firstLine="420" w:firstLineChars="200"/>
                    <w:jc w:val="left"/>
                    <w:rPr>
                      <w:rFonts w:ascii="宋体" w:hAnsi="宋体" w:cs="宋体"/>
                    </w:rPr>
                  </w:pPr>
                </w:p>
              </w:tc>
              <w:tc>
                <w:tcPr>
                  <w:tcW w:w="987" w:type="dxa"/>
                  <w:vAlign w:val="center"/>
                </w:tcPr>
                <w:p>
                  <w:pPr>
                    <w:widowControl/>
                    <w:adjustRightInd w:val="0"/>
                    <w:snapToGrid w:val="0"/>
                    <w:spacing w:line="360" w:lineRule="exact"/>
                    <w:ind w:firstLine="420" w:firstLineChars="200"/>
                    <w:jc w:val="left"/>
                    <w:rPr>
                      <w:rFonts w:ascii="宋体" w:hAnsi="宋体" w:cs="宋体"/>
                    </w:rPr>
                  </w:pPr>
                </w:p>
              </w:tc>
              <w:tc>
                <w:tcPr>
                  <w:tcW w:w="623" w:type="dxa"/>
                  <w:vAlign w:val="center"/>
                </w:tcPr>
                <w:p>
                  <w:pPr>
                    <w:widowControl/>
                    <w:adjustRightInd w:val="0"/>
                    <w:snapToGrid w:val="0"/>
                    <w:spacing w:line="360" w:lineRule="exact"/>
                    <w:ind w:firstLine="420" w:firstLineChars="200"/>
                    <w:jc w:val="left"/>
                    <w:rPr>
                      <w:rFonts w:ascii="宋体" w:hAnsi="宋体" w:cs="宋体"/>
                    </w:rPr>
                  </w:pPr>
                </w:p>
              </w:tc>
              <w:tc>
                <w:tcPr>
                  <w:tcW w:w="1433" w:type="dxa"/>
                  <w:vAlign w:val="center"/>
                </w:tcPr>
                <w:p>
                  <w:pPr>
                    <w:widowControl/>
                    <w:adjustRightInd w:val="0"/>
                    <w:snapToGrid w:val="0"/>
                    <w:spacing w:line="360" w:lineRule="exact"/>
                    <w:ind w:firstLine="420" w:firstLineChars="200"/>
                    <w:jc w:val="left"/>
                    <w:rPr>
                      <w:rFonts w:ascii="宋体" w:hAnsi="宋体" w:cs="宋体"/>
                    </w:rPr>
                  </w:pPr>
                </w:p>
              </w:tc>
              <w:tc>
                <w:tcPr>
                  <w:tcW w:w="1075" w:type="dxa"/>
                  <w:vAlign w:val="center"/>
                </w:tcPr>
                <w:p>
                  <w:pPr>
                    <w:widowControl/>
                    <w:adjustRightInd w:val="0"/>
                    <w:snapToGrid w:val="0"/>
                    <w:spacing w:line="360" w:lineRule="exact"/>
                    <w:ind w:firstLine="420" w:firstLineChars="200"/>
                    <w:jc w:val="left"/>
                    <w:rPr>
                      <w:rFonts w:ascii="宋体" w:hAnsi="宋体" w:cs="宋体"/>
                    </w:rPr>
                  </w:pPr>
                </w:p>
              </w:tc>
              <w:tc>
                <w:tcPr>
                  <w:tcW w:w="1107" w:type="dxa"/>
                  <w:vAlign w:val="center"/>
                </w:tcPr>
                <w:p>
                  <w:pPr>
                    <w:widowControl/>
                    <w:adjustRightInd w:val="0"/>
                    <w:snapToGrid w:val="0"/>
                    <w:spacing w:line="360" w:lineRule="exact"/>
                    <w:ind w:firstLine="420" w:firstLineChars="200"/>
                    <w:jc w:val="left"/>
                    <w:rPr>
                      <w:rFonts w:ascii="宋体" w:hAnsi="宋体" w:cs="宋体"/>
                    </w:rPr>
                  </w:pPr>
                </w:p>
              </w:tc>
              <w:tc>
                <w:tcPr>
                  <w:tcW w:w="793" w:type="dxa"/>
                  <w:vAlign w:val="center"/>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05" w:type="dxa"/>
                  <w:vAlign w:val="center"/>
                </w:tcPr>
                <w:p>
                  <w:pPr>
                    <w:widowControl/>
                    <w:adjustRightInd w:val="0"/>
                    <w:snapToGrid w:val="0"/>
                    <w:spacing w:line="360" w:lineRule="exact"/>
                    <w:ind w:firstLine="420" w:firstLineChars="200"/>
                    <w:jc w:val="left"/>
                    <w:rPr>
                      <w:rFonts w:ascii="宋体" w:hAnsi="宋体" w:cs="宋体"/>
                    </w:rPr>
                  </w:pPr>
                </w:p>
              </w:tc>
              <w:tc>
                <w:tcPr>
                  <w:tcW w:w="2332" w:type="dxa"/>
                  <w:vAlign w:val="center"/>
                </w:tcPr>
                <w:p>
                  <w:pPr>
                    <w:widowControl/>
                    <w:adjustRightInd w:val="0"/>
                    <w:snapToGrid w:val="0"/>
                    <w:spacing w:line="360" w:lineRule="exact"/>
                    <w:ind w:firstLine="420" w:firstLineChars="200"/>
                    <w:jc w:val="left"/>
                    <w:rPr>
                      <w:rFonts w:ascii="宋体" w:hAnsi="宋体" w:cs="宋体"/>
                    </w:rPr>
                  </w:pPr>
                </w:p>
              </w:tc>
              <w:tc>
                <w:tcPr>
                  <w:tcW w:w="987" w:type="dxa"/>
                  <w:vAlign w:val="center"/>
                </w:tcPr>
                <w:p>
                  <w:pPr>
                    <w:widowControl/>
                    <w:adjustRightInd w:val="0"/>
                    <w:snapToGrid w:val="0"/>
                    <w:spacing w:line="360" w:lineRule="exact"/>
                    <w:ind w:firstLine="420" w:firstLineChars="200"/>
                    <w:jc w:val="left"/>
                    <w:rPr>
                      <w:rFonts w:ascii="宋体" w:hAnsi="宋体" w:cs="宋体"/>
                    </w:rPr>
                  </w:pPr>
                </w:p>
              </w:tc>
              <w:tc>
                <w:tcPr>
                  <w:tcW w:w="623" w:type="dxa"/>
                  <w:vAlign w:val="center"/>
                </w:tcPr>
                <w:p>
                  <w:pPr>
                    <w:widowControl/>
                    <w:adjustRightInd w:val="0"/>
                    <w:snapToGrid w:val="0"/>
                    <w:spacing w:line="360" w:lineRule="exact"/>
                    <w:ind w:firstLine="420" w:firstLineChars="200"/>
                    <w:jc w:val="left"/>
                    <w:rPr>
                      <w:rFonts w:ascii="宋体" w:hAnsi="宋体" w:cs="宋体"/>
                    </w:rPr>
                  </w:pPr>
                </w:p>
              </w:tc>
              <w:tc>
                <w:tcPr>
                  <w:tcW w:w="1433" w:type="dxa"/>
                  <w:vAlign w:val="center"/>
                </w:tcPr>
                <w:p>
                  <w:pPr>
                    <w:widowControl/>
                    <w:adjustRightInd w:val="0"/>
                    <w:snapToGrid w:val="0"/>
                    <w:spacing w:line="360" w:lineRule="exact"/>
                    <w:ind w:firstLine="420" w:firstLineChars="200"/>
                    <w:jc w:val="left"/>
                    <w:rPr>
                      <w:rFonts w:ascii="宋体" w:hAnsi="宋体" w:cs="宋体"/>
                    </w:rPr>
                  </w:pPr>
                </w:p>
              </w:tc>
              <w:tc>
                <w:tcPr>
                  <w:tcW w:w="1075" w:type="dxa"/>
                  <w:vAlign w:val="center"/>
                </w:tcPr>
                <w:p>
                  <w:pPr>
                    <w:widowControl/>
                    <w:adjustRightInd w:val="0"/>
                    <w:snapToGrid w:val="0"/>
                    <w:spacing w:line="360" w:lineRule="exact"/>
                    <w:ind w:firstLine="420" w:firstLineChars="200"/>
                    <w:jc w:val="left"/>
                    <w:rPr>
                      <w:rFonts w:ascii="宋体" w:hAnsi="宋体" w:cs="宋体"/>
                    </w:rPr>
                  </w:pPr>
                </w:p>
              </w:tc>
              <w:tc>
                <w:tcPr>
                  <w:tcW w:w="1107" w:type="dxa"/>
                  <w:vAlign w:val="center"/>
                </w:tcPr>
                <w:p>
                  <w:pPr>
                    <w:widowControl/>
                    <w:adjustRightInd w:val="0"/>
                    <w:snapToGrid w:val="0"/>
                    <w:spacing w:line="360" w:lineRule="exact"/>
                    <w:ind w:firstLine="420" w:firstLineChars="200"/>
                    <w:jc w:val="left"/>
                    <w:rPr>
                      <w:rFonts w:ascii="宋体" w:hAnsi="宋体" w:cs="宋体"/>
                    </w:rPr>
                  </w:pPr>
                </w:p>
              </w:tc>
              <w:tc>
                <w:tcPr>
                  <w:tcW w:w="793" w:type="dxa"/>
                  <w:vAlign w:val="center"/>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05" w:type="dxa"/>
                  <w:vAlign w:val="center"/>
                </w:tcPr>
                <w:p>
                  <w:pPr>
                    <w:widowControl/>
                    <w:adjustRightInd w:val="0"/>
                    <w:snapToGrid w:val="0"/>
                    <w:spacing w:line="360" w:lineRule="exact"/>
                    <w:ind w:firstLine="420" w:firstLineChars="200"/>
                    <w:jc w:val="left"/>
                    <w:rPr>
                      <w:rFonts w:ascii="宋体" w:hAnsi="宋体" w:cs="宋体"/>
                    </w:rPr>
                  </w:pPr>
                </w:p>
              </w:tc>
              <w:tc>
                <w:tcPr>
                  <w:tcW w:w="2332" w:type="dxa"/>
                  <w:vAlign w:val="center"/>
                </w:tcPr>
                <w:p>
                  <w:pPr>
                    <w:widowControl/>
                    <w:adjustRightInd w:val="0"/>
                    <w:snapToGrid w:val="0"/>
                    <w:spacing w:line="360" w:lineRule="exact"/>
                    <w:ind w:firstLine="420" w:firstLineChars="200"/>
                    <w:jc w:val="left"/>
                    <w:rPr>
                      <w:rFonts w:ascii="宋体" w:hAnsi="宋体" w:cs="宋体"/>
                    </w:rPr>
                  </w:pPr>
                </w:p>
              </w:tc>
              <w:tc>
                <w:tcPr>
                  <w:tcW w:w="987" w:type="dxa"/>
                  <w:vAlign w:val="center"/>
                </w:tcPr>
                <w:p>
                  <w:pPr>
                    <w:widowControl/>
                    <w:adjustRightInd w:val="0"/>
                    <w:snapToGrid w:val="0"/>
                    <w:spacing w:line="360" w:lineRule="exact"/>
                    <w:ind w:firstLine="420" w:firstLineChars="200"/>
                    <w:jc w:val="left"/>
                    <w:rPr>
                      <w:rFonts w:ascii="宋体" w:hAnsi="宋体" w:cs="宋体"/>
                    </w:rPr>
                  </w:pPr>
                </w:p>
              </w:tc>
              <w:tc>
                <w:tcPr>
                  <w:tcW w:w="623" w:type="dxa"/>
                  <w:vAlign w:val="center"/>
                </w:tcPr>
                <w:p>
                  <w:pPr>
                    <w:widowControl/>
                    <w:adjustRightInd w:val="0"/>
                    <w:snapToGrid w:val="0"/>
                    <w:spacing w:line="360" w:lineRule="exact"/>
                    <w:ind w:firstLine="420" w:firstLineChars="200"/>
                    <w:jc w:val="left"/>
                    <w:rPr>
                      <w:rFonts w:ascii="宋体" w:hAnsi="宋体" w:cs="宋体"/>
                    </w:rPr>
                  </w:pPr>
                </w:p>
              </w:tc>
              <w:tc>
                <w:tcPr>
                  <w:tcW w:w="1433" w:type="dxa"/>
                  <w:vAlign w:val="center"/>
                </w:tcPr>
                <w:p>
                  <w:pPr>
                    <w:widowControl/>
                    <w:adjustRightInd w:val="0"/>
                    <w:snapToGrid w:val="0"/>
                    <w:spacing w:line="360" w:lineRule="exact"/>
                    <w:ind w:firstLine="420" w:firstLineChars="200"/>
                    <w:jc w:val="left"/>
                    <w:rPr>
                      <w:rFonts w:ascii="宋体" w:hAnsi="宋体" w:cs="宋体"/>
                    </w:rPr>
                  </w:pPr>
                </w:p>
              </w:tc>
              <w:tc>
                <w:tcPr>
                  <w:tcW w:w="1075" w:type="dxa"/>
                  <w:vAlign w:val="center"/>
                </w:tcPr>
                <w:p>
                  <w:pPr>
                    <w:widowControl/>
                    <w:adjustRightInd w:val="0"/>
                    <w:snapToGrid w:val="0"/>
                    <w:spacing w:line="360" w:lineRule="exact"/>
                    <w:ind w:firstLine="420" w:firstLineChars="200"/>
                    <w:jc w:val="left"/>
                    <w:rPr>
                      <w:rFonts w:ascii="宋体" w:hAnsi="宋体" w:cs="宋体"/>
                    </w:rPr>
                  </w:pPr>
                </w:p>
              </w:tc>
              <w:tc>
                <w:tcPr>
                  <w:tcW w:w="1107" w:type="dxa"/>
                  <w:vAlign w:val="center"/>
                </w:tcPr>
                <w:p>
                  <w:pPr>
                    <w:widowControl/>
                    <w:adjustRightInd w:val="0"/>
                    <w:snapToGrid w:val="0"/>
                    <w:spacing w:line="360" w:lineRule="exact"/>
                    <w:ind w:firstLine="420" w:firstLineChars="200"/>
                    <w:jc w:val="left"/>
                    <w:rPr>
                      <w:rFonts w:ascii="宋体" w:hAnsi="宋体" w:cs="宋体"/>
                    </w:rPr>
                  </w:pPr>
                </w:p>
              </w:tc>
              <w:tc>
                <w:tcPr>
                  <w:tcW w:w="793" w:type="dxa"/>
                  <w:vAlign w:val="center"/>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05" w:type="dxa"/>
                  <w:vAlign w:val="center"/>
                </w:tcPr>
                <w:p>
                  <w:pPr>
                    <w:widowControl/>
                    <w:adjustRightInd w:val="0"/>
                    <w:snapToGrid w:val="0"/>
                    <w:spacing w:line="360" w:lineRule="exact"/>
                    <w:ind w:firstLine="420" w:firstLineChars="200"/>
                    <w:jc w:val="left"/>
                    <w:rPr>
                      <w:rFonts w:ascii="宋体" w:hAnsi="宋体" w:cs="宋体"/>
                    </w:rPr>
                  </w:pPr>
                </w:p>
              </w:tc>
              <w:tc>
                <w:tcPr>
                  <w:tcW w:w="2332" w:type="dxa"/>
                  <w:vAlign w:val="center"/>
                </w:tcPr>
                <w:p>
                  <w:pPr>
                    <w:widowControl/>
                    <w:adjustRightInd w:val="0"/>
                    <w:snapToGrid w:val="0"/>
                    <w:spacing w:line="360" w:lineRule="exact"/>
                    <w:ind w:firstLine="420" w:firstLineChars="200"/>
                    <w:jc w:val="left"/>
                    <w:rPr>
                      <w:rFonts w:ascii="宋体" w:hAnsi="宋体" w:cs="宋体"/>
                    </w:rPr>
                  </w:pPr>
                </w:p>
              </w:tc>
              <w:tc>
                <w:tcPr>
                  <w:tcW w:w="987" w:type="dxa"/>
                  <w:vAlign w:val="center"/>
                </w:tcPr>
                <w:p>
                  <w:pPr>
                    <w:widowControl/>
                    <w:adjustRightInd w:val="0"/>
                    <w:snapToGrid w:val="0"/>
                    <w:spacing w:line="360" w:lineRule="exact"/>
                    <w:ind w:firstLine="420" w:firstLineChars="200"/>
                    <w:jc w:val="left"/>
                    <w:rPr>
                      <w:rFonts w:ascii="宋体" w:hAnsi="宋体" w:cs="宋体"/>
                    </w:rPr>
                  </w:pPr>
                </w:p>
              </w:tc>
              <w:tc>
                <w:tcPr>
                  <w:tcW w:w="623" w:type="dxa"/>
                  <w:vAlign w:val="center"/>
                </w:tcPr>
                <w:p>
                  <w:pPr>
                    <w:widowControl/>
                    <w:adjustRightInd w:val="0"/>
                    <w:snapToGrid w:val="0"/>
                    <w:spacing w:line="360" w:lineRule="exact"/>
                    <w:ind w:firstLine="420" w:firstLineChars="200"/>
                    <w:jc w:val="left"/>
                    <w:rPr>
                      <w:rFonts w:ascii="宋体" w:hAnsi="宋体" w:cs="宋体"/>
                    </w:rPr>
                  </w:pPr>
                </w:p>
              </w:tc>
              <w:tc>
                <w:tcPr>
                  <w:tcW w:w="1433" w:type="dxa"/>
                  <w:vAlign w:val="center"/>
                </w:tcPr>
                <w:p>
                  <w:pPr>
                    <w:widowControl/>
                    <w:adjustRightInd w:val="0"/>
                    <w:snapToGrid w:val="0"/>
                    <w:spacing w:line="360" w:lineRule="exact"/>
                    <w:ind w:firstLine="420" w:firstLineChars="200"/>
                    <w:jc w:val="left"/>
                    <w:rPr>
                      <w:rFonts w:ascii="宋体" w:hAnsi="宋体" w:cs="宋体"/>
                    </w:rPr>
                  </w:pPr>
                </w:p>
              </w:tc>
              <w:tc>
                <w:tcPr>
                  <w:tcW w:w="1075" w:type="dxa"/>
                  <w:vAlign w:val="center"/>
                </w:tcPr>
                <w:p>
                  <w:pPr>
                    <w:widowControl/>
                    <w:adjustRightInd w:val="0"/>
                    <w:snapToGrid w:val="0"/>
                    <w:spacing w:line="360" w:lineRule="exact"/>
                    <w:ind w:firstLine="420" w:firstLineChars="200"/>
                    <w:jc w:val="left"/>
                    <w:rPr>
                      <w:rFonts w:ascii="宋体" w:hAnsi="宋体" w:cs="宋体"/>
                    </w:rPr>
                  </w:pPr>
                </w:p>
              </w:tc>
              <w:tc>
                <w:tcPr>
                  <w:tcW w:w="1107" w:type="dxa"/>
                  <w:vAlign w:val="center"/>
                </w:tcPr>
                <w:p>
                  <w:pPr>
                    <w:widowControl/>
                    <w:adjustRightInd w:val="0"/>
                    <w:snapToGrid w:val="0"/>
                    <w:spacing w:line="360" w:lineRule="exact"/>
                    <w:ind w:firstLine="420" w:firstLineChars="200"/>
                    <w:jc w:val="left"/>
                    <w:rPr>
                      <w:rFonts w:ascii="宋体" w:hAnsi="宋体" w:cs="宋体"/>
                    </w:rPr>
                  </w:pPr>
                </w:p>
              </w:tc>
              <w:tc>
                <w:tcPr>
                  <w:tcW w:w="793" w:type="dxa"/>
                  <w:vAlign w:val="center"/>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05" w:type="dxa"/>
                  <w:vAlign w:val="center"/>
                </w:tcPr>
                <w:p>
                  <w:pPr>
                    <w:widowControl/>
                    <w:adjustRightInd w:val="0"/>
                    <w:snapToGrid w:val="0"/>
                    <w:spacing w:line="360" w:lineRule="exact"/>
                    <w:ind w:firstLine="420" w:firstLineChars="200"/>
                    <w:jc w:val="left"/>
                    <w:rPr>
                      <w:rFonts w:ascii="宋体" w:hAnsi="宋体" w:cs="宋体"/>
                    </w:rPr>
                  </w:pPr>
                </w:p>
              </w:tc>
              <w:tc>
                <w:tcPr>
                  <w:tcW w:w="2332" w:type="dxa"/>
                  <w:vAlign w:val="center"/>
                </w:tcPr>
                <w:p>
                  <w:pPr>
                    <w:widowControl/>
                    <w:adjustRightInd w:val="0"/>
                    <w:snapToGrid w:val="0"/>
                    <w:spacing w:line="360" w:lineRule="exact"/>
                    <w:ind w:firstLine="420" w:firstLineChars="200"/>
                    <w:jc w:val="left"/>
                    <w:rPr>
                      <w:rFonts w:ascii="宋体" w:hAnsi="宋体" w:cs="宋体"/>
                    </w:rPr>
                  </w:pPr>
                </w:p>
              </w:tc>
              <w:tc>
                <w:tcPr>
                  <w:tcW w:w="987" w:type="dxa"/>
                  <w:vAlign w:val="center"/>
                </w:tcPr>
                <w:p>
                  <w:pPr>
                    <w:widowControl/>
                    <w:adjustRightInd w:val="0"/>
                    <w:snapToGrid w:val="0"/>
                    <w:spacing w:line="360" w:lineRule="exact"/>
                    <w:ind w:firstLine="420" w:firstLineChars="200"/>
                    <w:jc w:val="left"/>
                    <w:rPr>
                      <w:rFonts w:ascii="宋体" w:hAnsi="宋体" w:cs="宋体"/>
                    </w:rPr>
                  </w:pPr>
                </w:p>
              </w:tc>
              <w:tc>
                <w:tcPr>
                  <w:tcW w:w="623" w:type="dxa"/>
                  <w:vAlign w:val="center"/>
                </w:tcPr>
                <w:p>
                  <w:pPr>
                    <w:widowControl/>
                    <w:adjustRightInd w:val="0"/>
                    <w:snapToGrid w:val="0"/>
                    <w:spacing w:line="360" w:lineRule="exact"/>
                    <w:ind w:firstLine="420" w:firstLineChars="200"/>
                    <w:jc w:val="left"/>
                    <w:rPr>
                      <w:rFonts w:ascii="宋体" w:hAnsi="宋体" w:cs="宋体"/>
                    </w:rPr>
                  </w:pPr>
                </w:p>
              </w:tc>
              <w:tc>
                <w:tcPr>
                  <w:tcW w:w="1433" w:type="dxa"/>
                  <w:vAlign w:val="center"/>
                </w:tcPr>
                <w:p>
                  <w:pPr>
                    <w:widowControl/>
                    <w:adjustRightInd w:val="0"/>
                    <w:snapToGrid w:val="0"/>
                    <w:spacing w:line="360" w:lineRule="exact"/>
                    <w:ind w:firstLine="420" w:firstLineChars="200"/>
                    <w:jc w:val="left"/>
                    <w:rPr>
                      <w:rFonts w:ascii="宋体" w:hAnsi="宋体" w:cs="宋体"/>
                    </w:rPr>
                  </w:pPr>
                </w:p>
              </w:tc>
              <w:tc>
                <w:tcPr>
                  <w:tcW w:w="1075" w:type="dxa"/>
                  <w:vAlign w:val="center"/>
                </w:tcPr>
                <w:p>
                  <w:pPr>
                    <w:widowControl/>
                    <w:adjustRightInd w:val="0"/>
                    <w:snapToGrid w:val="0"/>
                    <w:spacing w:line="360" w:lineRule="exact"/>
                    <w:ind w:firstLine="420" w:firstLineChars="200"/>
                    <w:jc w:val="left"/>
                    <w:rPr>
                      <w:rFonts w:ascii="宋体" w:hAnsi="宋体" w:cs="宋体"/>
                    </w:rPr>
                  </w:pPr>
                </w:p>
              </w:tc>
              <w:tc>
                <w:tcPr>
                  <w:tcW w:w="1107" w:type="dxa"/>
                  <w:vAlign w:val="center"/>
                </w:tcPr>
                <w:p>
                  <w:pPr>
                    <w:widowControl/>
                    <w:adjustRightInd w:val="0"/>
                    <w:snapToGrid w:val="0"/>
                    <w:spacing w:line="360" w:lineRule="exact"/>
                    <w:ind w:firstLine="420" w:firstLineChars="200"/>
                    <w:jc w:val="left"/>
                    <w:rPr>
                      <w:rFonts w:ascii="宋体" w:hAnsi="宋体" w:cs="宋体"/>
                    </w:rPr>
                  </w:pPr>
                </w:p>
              </w:tc>
              <w:tc>
                <w:tcPr>
                  <w:tcW w:w="793" w:type="dxa"/>
                  <w:vAlign w:val="center"/>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05" w:type="dxa"/>
                  <w:vAlign w:val="center"/>
                </w:tcPr>
                <w:p>
                  <w:pPr>
                    <w:widowControl/>
                    <w:adjustRightInd w:val="0"/>
                    <w:snapToGrid w:val="0"/>
                    <w:spacing w:line="360" w:lineRule="exact"/>
                    <w:ind w:firstLine="420" w:firstLineChars="200"/>
                    <w:jc w:val="left"/>
                    <w:rPr>
                      <w:rFonts w:ascii="宋体" w:hAnsi="宋体" w:cs="宋体"/>
                    </w:rPr>
                  </w:pPr>
                </w:p>
              </w:tc>
              <w:tc>
                <w:tcPr>
                  <w:tcW w:w="2332" w:type="dxa"/>
                  <w:vAlign w:val="center"/>
                </w:tcPr>
                <w:p>
                  <w:pPr>
                    <w:widowControl/>
                    <w:adjustRightInd w:val="0"/>
                    <w:snapToGrid w:val="0"/>
                    <w:spacing w:line="360" w:lineRule="exact"/>
                    <w:ind w:firstLine="420" w:firstLineChars="200"/>
                    <w:jc w:val="left"/>
                    <w:rPr>
                      <w:rFonts w:ascii="宋体" w:hAnsi="宋体" w:cs="宋体"/>
                    </w:rPr>
                  </w:pPr>
                </w:p>
              </w:tc>
              <w:tc>
                <w:tcPr>
                  <w:tcW w:w="987" w:type="dxa"/>
                  <w:vAlign w:val="center"/>
                </w:tcPr>
                <w:p>
                  <w:pPr>
                    <w:widowControl/>
                    <w:adjustRightInd w:val="0"/>
                    <w:snapToGrid w:val="0"/>
                    <w:spacing w:line="360" w:lineRule="exact"/>
                    <w:ind w:firstLine="420" w:firstLineChars="200"/>
                    <w:jc w:val="left"/>
                    <w:rPr>
                      <w:rFonts w:ascii="宋体" w:hAnsi="宋体" w:cs="宋体"/>
                    </w:rPr>
                  </w:pPr>
                </w:p>
              </w:tc>
              <w:tc>
                <w:tcPr>
                  <w:tcW w:w="623" w:type="dxa"/>
                  <w:vAlign w:val="center"/>
                </w:tcPr>
                <w:p>
                  <w:pPr>
                    <w:widowControl/>
                    <w:adjustRightInd w:val="0"/>
                    <w:snapToGrid w:val="0"/>
                    <w:spacing w:line="360" w:lineRule="exact"/>
                    <w:ind w:firstLine="420" w:firstLineChars="200"/>
                    <w:jc w:val="left"/>
                    <w:rPr>
                      <w:rFonts w:ascii="宋体" w:hAnsi="宋体" w:cs="宋体"/>
                    </w:rPr>
                  </w:pPr>
                </w:p>
              </w:tc>
              <w:tc>
                <w:tcPr>
                  <w:tcW w:w="1433" w:type="dxa"/>
                  <w:vAlign w:val="center"/>
                </w:tcPr>
                <w:p>
                  <w:pPr>
                    <w:widowControl/>
                    <w:adjustRightInd w:val="0"/>
                    <w:snapToGrid w:val="0"/>
                    <w:spacing w:line="360" w:lineRule="exact"/>
                    <w:ind w:firstLine="420" w:firstLineChars="200"/>
                    <w:jc w:val="left"/>
                    <w:rPr>
                      <w:rFonts w:ascii="宋体" w:hAnsi="宋体" w:cs="宋体"/>
                    </w:rPr>
                  </w:pPr>
                </w:p>
              </w:tc>
              <w:tc>
                <w:tcPr>
                  <w:tcW w:w="1075" w:type="dxa"/>
                  <w:vAlign w:val="center"/>
                </w:tcPr>
                <w:p>
                  <w:pPr>
                    <w:widowControl/>
                    <w:adjustRightInd w:val="0"/>
                    <w:snapToGrid w:val="0"/>
                    <w:spacing w:line="360" w:lineRule="exact"/>
                    <w:ind w:firstLine="420" w:firstLineChars="200"/>
                    <w:jc w:val="left"/>
                    <w:rPr>
                      <w:rFonts w:ascii="宋体" w:hAnsi="宋体" w:cs="宋体"/>
                    </w:rPr>
                  </w:pPr>
                </w:p>
              </w:tc>
              <w:tc>
                <w:tcPr>
                  <w:tcW w:w="1107" w:type="dxa"/>
                  <w:vAlign w:val="center"/>
                </w:tcPr>
                <w:p>
                  <w:pPr>
                    <w:widowControl/>
                    <w:adjustRightInd w:val="0"/>
                    <w:snapToGrid w:val="0"/>
                    <w:spacing w:line="360" w:lineRule="exact"/>
                    <w:ind w:firstLine="420" w:firstLineChars="200"/>
                    <w:jc w:val="left"/>
                    <w:rPr>
                      <w:rFonts w:ascii="宋体" w:hAnsi="宋体" w:cs="宋体"/>
                    </w:rPr>
                  </w:pPr>
                </w:p>
              </w:tc>
              <w:tc>
                <w:tcPr>
                  <w:tcW w:w="793" w:type="dxa"/>
                  <w:vAlign w:val="center"/>
                </w:tcPr>
                <w:p>
                  <w:pPr>
                    <w:widowControl/>
                    <w:adjustRightInd w:val="0"/>
                    <w:snapToGrid w:val="0"/>
                    <w:spacing w:line="360" w:lineRule="exact"/>
                    <w:ind w:firstLine="420" w:firstLineChars="20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05" w:type="dxa"/>
                  <w:vAlign w:val="center"/>
                </w:tcPr>
                <w:p>
                  <w:pPr>
                    <w:widowControl/>
                    <w:adjustRightInd w:val="0"/>
                    <w:snapToGrid w:val="0"/>
                    <w:spacing w:line="360" w:lineRule="exact"/>
                    <w:ind w:firstLine="420" w:firstLineChars="200"/>
                    <w:jc w:val="left"/>
                    <w:rPr>
                      <w:rFonts w:ascii="宋体" w:hAnsi="宋体" w:cs="宋体"/>
                    </w:rPr>
                  </w:pPr>
                </w:p>
              </w:tc>
              <w:tc>
                <w:tcPr>
                  <w:tcW w:w="2332" w:type="dxa"/>
                  <w:vAlign w:val="center"/>
                </w:tcPr>
                <w:p>
                  <w:pPr>
                    <w:widowControl/>
                    <w:adjustRightInd w:val="0"/>
                    <w:snapToGrid w:val="0"/>
                    <w:spacing w:line="360" w:lineRule="exact"/>
                    <w:ind w:firstLine="420" w:firstLineChars="200"/>
                    <w:jc w:val="left"/>
                    <w:rPr>
                      <w:rFonts w:ascii="宋体" w:hAnsi="宋体" w:cs="宋体"/>
                    </w:rPr>
                  </w:pPr>
                </w:p>
              </w:tc>
              <w:tc>
                <w:tcPr>
                  <w:tcW w:w="987" w:type="dxa"/>
                  <w:vAlign w:val="center"/>
                </w:tcPr>
                <w:p>
                  <w:pPr>
                    <w:widowControl/>
                    <w:adjustRightInd w:val="0"/>
                    <w:snapToGrid w:val="0"/>
                    <w:spacing w:line="360" w:lineRule="exact"/>
                    <w:ind w:firstLine="420" w:firstLineChars="200"/>
                    <w:jc w:val="left"/>
                    <w:rPr>
                      <w:rFonts w:ascii="宋体" w:hAnsi="宋体" w:cs="宋体"/>
                    </w:rPr>
                  </w:pPr>
                </w:p>
              </w:tc>
              <w:tc>
                <w:tcPr>
                  <w:tcW w:w="623" w:type="dxa"/>
                  <w:vAlign w:val="center"/>
                </w:tcPr>
                <w:p>
                  <w:pPr>
                    <w:widowControl/>
                    <w:adjustRightInd w:val="0"/>
                    <w:snapToGrid w:val="0"/>
                    <w:spacing w:line="360" w:lineRule="exact"/>
                    <w:ind w:firstLine="420" w:firstLineChars="200"/>
                    <w:jc w:val="left"/>
                    <w:rPr>
                      <w:rFonts w:ascii="宋体" w:hAnsi="宋体" w:cs="宋体"/>
                    </w:rPr>
                  </w:pPr>
                </w:p>
              </w:tc>
              <w:tc>
                <w:tcPr>
                  <w:tcW w:w="1433" w:type="dxa"/>
                  <w:vAlign w:val="center"/>
                </w:tcPr>
                <w:p>
                  <w:pPr>
                    <w:widowControl/>
                    <w:adjustRightInd w:val="0"/>
                    <w:snapToGrid w:val="0"/>
                    <w:spacing w:line="360" w:lineRule="exact"/>
                    <w:ind w:firstLine="420" w:firstLineChars="200"/>
                    <w:jc w:val="left"/>
                    <w:rPr>
                      <w:rFonts w:ascii="宋体" w:hAnsi="宋体" w:cs="宋体"/>
                    </w:rPr>
                  </w:pPr>
                </w:p>
              </w:tc>
              <w:tc>
                <w:tcPr>
                  <w:tcW w:w="1075" w:type="dxa"/>
                  <w:vAlign w:val="center"/>
                </w:tcPr>
                <w:p>
                  <w:pPr>
                    <w:widowControl/>
                    <w:adjustRightInd w:val="0"/>
                    <w:snapToGrid w:val="0"/>
                    <w:spacing w:line="360" w:lineRule="exact"/>
                    <w:ind w:firstLine="420" w:firstLineChars="200"/>
                    <w:jc w:val="left"/>
                    <w:rPr>
                      <w:rFonts w:ascii="宋体" w:hAnsi="宋体" w:cs="宋体"/>
                    </w:rPr>
                  </w:pPr>
                </w:p>
              </w:tc>
              <w:tc>
                <w:tcPr>
                  <w:tcW w:w="1107" w:type="dxa"/>
                  <w:vAlign w:val="center"/>
                </w:tcPr>
                <w:p>
                  <w:pPr>
                    <w:widowControl/>
                    <w:adjustRightInd w:val="0"/>
                    <w:snapToGrid w:val="0"/>
                    <w:spacing w:line="360" w:lineRule="exact"/>
                    <w:ind w:firstLine="420" w:firstLineChars="200"/>
                    <w:jc w:val="left"/>
                    <w:rPr>
                      <w:rFonts w:ascii="宋体" w:hAnsi="宋体" w:cs="宋体"/>
                    </w:rPr>
                  </w:pPr>
                </w:p>
              </w:tc>
              <w:tc>
                <w:tcPr>
                  <w:tcW w:w="793" w:type="dxa"/>
                  <w:vAlign w:val="center"/>
                </w:tcPr>
                <w:p>
                  <w:pPr>
                    <w:widowControl/>
                    <w:adjustRightInd w:val="0"/>
                    <w:snapToGrid w:val="0"/>
                    <w:spacing w:line="360" w:lineRule="exact"/>
                    <w:ind w:firstLine="420" w:firstLineChars="200"/>
                    <w:jc w:val="left"/>
                    <w:rPr>
                      <w:rFonts w:ascii="宋体" w:hAnsi="宋体" w:cs="宋体"/>
                    </w:rPr>
                  </w:pPr>
                </w:p>
              </w:tc>
            </w:tr>
          </w:tbl>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（6）迟报漏报提醒模块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针对用人单位基本信息填报更新、用人单位反馈职业技术服务机构、检查机构数据未上传情况、职业健康体检数据填报、迟报漏报的单位进行质量控制，并进行预警。</w:t>
            </w:r>
          </w:p>
          <w:p>
            <w:pPr>
              <w:widowControl/>
              <w:adjustRightInd w:val="0"/>
              <w:snapToGrid w:val="0"/>
              <w:spacing w:line="360" w:lineRule="exact"/>
              <w:ind w:firstLine="422" w:firstLineChars="200"/>
              <w:jc w:val="left"/>
              <w:rPr>
                <w:rFonts w:ascii="宋体" w:hAnsi="宋体" w:cs="宋体"/>
                <w:b/>
                <w:bCs/>
              </w:rPr>
            </w:pPr>
            <w:bookmarkStart w:id="116" w:name="_Toc121818643"/>
            <w:r>
              <w:rPr>
                <w:rFonts w:hint="eastAsia" w:ascii="宋体" w:hAnsi="宋体" w:cs="宋体"/>
                <w:b/>
                <w:bCs/>
              </w:rPr>
              <w:t>17.管理人员手机端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支持在管理人员的手机端对机构备案进行审核和电子签字、接收提醒预警信息、查看报表。</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18.门户网站管理模块</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（1）幻灯横幅管理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用于管理门户网站的幻灯横幅。系统管理者可以新增、修改、删除幻灯横幅，更新的幻灯横幅需要经过审核，审核通过后方可正式使用。</w:t>
            </w:r>
          </w:p>
          <w:p>
            <w:pPr>
              <w:widowControl/>
              <w:numPr>
                <w:ilvl w:val="0"/>
                <w:numId w:val="5"/>
              </w:numPr>
              <w:adjustRightInd w:val="0"/>
              <w:snapToGrid w:val="0"/>
              <w:spacing w:line="360" w:lineRule="exact"/>
              <w:ind w:firstLine="422" w:firstLineChars="200"/>
              <w:jc w:val="left"/>
              <w:rPr>
                <w:rFonts w:ascii="宋体" w:hAnsi="宋体" w:cs="宋体"/>
                <w:b/>
                <w:bCs/>
              </w:rPr>
            </w:pPr>
            <w:r>
              <w:rPr>
                <w:rFonts w:hint="eastAsia" w:ascii="宋体" w:hAnsi="宋体" w:cs="宋体"/>
                <w:b/>
                <w:bCs/>
              </w:rPr>
              <w:t>新闻资讯管理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用于管理门户网站的新闻资讯。系统管理者可以修改、删除、新增新闻资讯，新增和修改的新闻资讯需要经过审核，审核通过后方可正式发布。</w:t>
            </w:r>
          </w:p>
          <w:p>
            <w:pPr>
              <w:widowControl/>
              <w:numPr>
                <w:ilvl w:val="0"/>
                <w:numId w:val="5"/>
              </w:numPr>
              <w:adjustRightInd w:val="0"/>
              <w:snapToGrid w:val="0"/>
              <w:spacing w:line="360" w:lineRule="exact"/>
              <w:ind w:firstLine="422" w:firstLineChars="200"/>
              <w:jc w:val="left"/>
              <w:rPr>
                <w:rFonts w:ascii="宋体" w:hAnsi="宋体" w:cs="宋体"/>
                <w:b/>
                <w:bCs/>
              </w:rPr>
            </w:pPr>
            <w:r>
              <w:rPr>
                <w:rFonts w:hint="eastAsia" w:ascii="宋体" w:hAnsi="宋体" w:cs="宋体"/>
                <w:b/>
                <w:bCs/>
              </w:rPr>
              <w:t>下载管理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用于管理门户网站的下载中心。系统管理者可以修改、删除、新增下载文件，新增和修改的下载文件需要经过审核，审核通过后方可在门户网站的下载中心下载。</w:t>
            </w:r>
          </w:p>
          <w:p>
            <w:pPr>
              <w:widowControl/>
              <w:numPr>
                <w:ilvl w:val="0"/>
                <w:numId w:val="5"/>
              </w:numPr>
              <w:adjustRightInd w:val="0"/>
              <w:snapToGrid w:val="0"/>
              <w:spacing w:line="360" w:lineRule="exact"/>
              <w:ind w:firstLine="422" w:firstLineChars="200"/>
              <w:jc w:val="left"/>
              <w:rPr>
                <w:rFonts w:ascii="宋体" w:hAnsi="宋体" w:cs="宋体"/>
                <w:b/>
                <w:bCs/>
              </w:rPr>
            </w:pPr>
            <w:r>
              <w:rPr>
                <w:rFonts w:hint="eastAsia" w:ascii="宋体" w:hAnsi="宋体" w:cs="宋体"/>
                <w:b/>
                <w:bCs/>
              </w:rPr>
              <w:t>通知公告管理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用于管理门户网站的通知公告。系统管理者可以修改、删除、新增通知公告，新增和修改的通知公告需要经过审核，审核通过后方可正式发布。</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19.消息中心模块</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（1）消息管理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①消息类别管理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用于管理消息类别。系统管理者可以新增、修改、删除消息类别，设置每个类别的消息的触发情况。</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②消息模版管理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用于管理每个类别的消息模块。系统管理者可以编辑消息通知的模版内容。</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③消息通知管理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用于管理每个类别的消息通知。系统管理者可以启用或者停用某个类别的消息通知</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（2）消息通知</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①已读消息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用于展示已读消息。系统管理者可以查看过往的已读的消息通知，也可以删除消息通知。</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②未读消息</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用于展示未读消息。系统管理者进入该模块并读取消息后，该消息变为“已读消息”，且不展示在未读消息模块。</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▲（三）门户网站</w:t>
            </w:r>
            <w:bookmarkEnd w:id="116"/>
            <w:r>
              <w:rPr>
                <w:rFonts w:hint="eastAsia" w:ascii="宋体" w:hAnsi="宋体" w:cs="宋体"/>
                <w:b/>
                <w:bCs/>
              </w:rPr>
              <w:t>。</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门户网站用于展示平台的通知公告、平台新闻、职业健康政策情况、相关业务向导以及各个机构基本信息等。门户网站建设依托自治区卫生健康委官方网站，开设职业健康管理的版块。用户经统一认证模块访问门户网站，使用浏览器或移动端访问广西职业健康信息综合管理平台获取信息和服务。</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1.首页模块</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（1）灯横幅板块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用于展示平台的宣传图片，由平台管理人员在管理子系统平台管理模块进行配置。</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（2）通知公告板块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用于展示平台的通知公告，由平台管理人员在管理子系统平台管理模块进行编辑和发布。</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（3）信息板块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分为多个子板块，其中包括职业卫生技术服务机构子板块、职业病鉴定机构子板块、职业病健康检查机构子板块、职业病诊断机构子板块、放射卫生技术服务机构子板块、放射诊疗机构子板块、非医疗放射工作单位子板块等。各个机构板块展示目前已在系统登记的各个机构的名称、地址、联系人、联系电话、业务范围等基本信息。从该版块点击对应版块即可跳转至对应的业务系统。包括用人单位应用、职业卫生技术服务机构应用、放射卫生技术服务机构应用、职业健康检查机构应用、职业病诊断机构应用、职业病鉴定机构应用、劳动者手机端应用、在线教育培训等服务功能。</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2.业务办理版块</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（1）职业健康检查机构备案申请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系统功能用于符合资质要求的机构医疗机构申请职业健康检查机构备案。并提供备案证明管理办法、资格说明等相关材料下载。系统将自动关联至服务子系统的职业健康检查机构应用系统模块。</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（2）职业病诊断备案申请</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系统功能用于符合资质要求的医疗卫生机构申请职业病诊断机构备案。并提供备案证明管理办法、资格说明等相关材料下载。系统将自动关联至服务子系统的职业健康检查机构应用系统模块。</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3.新闻资讯模块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用于展示职业健康信息相关的新闻和资讯，由平台管理人员在管理子系统平台管理模块进行编辑和发布。根据不同的新闻资讯分类，新闻资讯展示在不同的板块中。</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4.法律法规模块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用于展示公开的法律法规信息。由平台管理人员在管理子系统法律法规模块进行发布，所有用户可以下载或者在线查阅法律法规。</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5.下载中心模块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用于展示可下载的文件，文件由平台管理人员在管理子平台上传和删除，上传后未被删除的文件可以被所有用户下载。</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（四）支撑服务模块。</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▲1.单点登录</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国垂系统《职业健康技术服务机构信息填报系统》、《职业病及健康危害因素监测信息系统》、《职业病危害项目申报系统》、《卫生健康监督信息平台》、《放射工作人员个人剂量监测登记系统-网络版》、《全国放射卫生信息平台》、《广西职业病防治与职业健康管理平台》、《广西职业病康复管理平台》、《广西卫生监督执法管理平台》能在同一界面实现单点登录，</w:t>
            </w:r>
            <w:r>
              <w:rPr>
                <w:rFonts w:hint="eastAsia"/>
              </w:rPr>
              <w:t>用户可以在首次输入面向不同系统的多个用户名和口令后，仅需记忆使用智能门户的一个用户名和口令就可以在不同系统中自如的切换。</w:t>
            </w:r>
            <w:r>
              <w:rPr>
                <w:rFonts w:hint="eastAsia" w:ascii="宋体" w:hAnsi="宋体" w:cs="宋体"/>
              </w:rPr>
              <w:t>对接所有费用包含在本项目范围内，不提供相应承诺函则视为未实质性响应采购文件。</w:t>
            </w:r>
          </w:p>
          <w:p>
            <w:pPr>
              <w:widowControl/>
              <w:adjustRightInd w:val="0"/>
              <w:snapToGrid w:val="0"/>
              <w:spacing w:line="360" w:lineRule="exact"/>
              <w:ind w:firstLine="422" w:firstLineChars="200"/>
              <w:jc w:val="left"/>
              <w:rPr>
                <w:rFonts w:ascii="宋体" w:hAnsi="宋体" w:cs="宋体"/>
                <w:b/>
                <w:bCs/>
                <w:strike/>
              </w:rPr>
            </w:pPr>
            <w:r>
              <w:rPr>
                <w:rFonts w:hint="eastAsia" w:ascii="宋体" w:hAnsi="宋体" w:cs="宋体"/>
                <w:b/>
                <w:bCs/>
              </w:rPr>
              <w:t>▲2.</w:t>
            </w:r>
            <w:r>
              <w:rPr>
                <w:rFonts w:hint="eastAsia"/>
                <w:b/>
                <w:bCs/>
              </w:rPr>
              <w:t>统一用户管理</w:t>
            </w:r>
          </w:p>
          <w:p>
            <w:pPr>
              <w:widowControl/>
              <w:adjustRightInd w:val="0"/>
              <w:snapToGrid w:val="0"/>
              <w:spacing w:line="360" w:lineRule="exact"/>
              <w:ind w:firstLine="420" w:firstLineChars="200"/>
              <w:jc w:val="left"/>
              <w:rPr>
                <w:rFonts w:ascii="宋体" w:hAnsi="宋体" w:cs="宋体"/>
              </w:rPr>
            </w:pPr>
            <w:r>
              <w:rPr>
                <w:rFonts w:hint="eastAsia"/>
              </w:rPr>
              <w:t>随着各个系统的快速建设及系统用户数量的增加，系统维护人员针对用户信息的管理工作负担也在不断增加，同时大量应用系统中用户身份信息重复录入，用户身份信息不一致，也存在安全隐患，而且重复录入用户身份信息工作量巨大。实现多个应用系统的用户管理统一，定义统一的用户管理逻辑，实现统一的用户访问授权模型的建立和维护，提供单一注册的安全解决方案。</w:t>
            </w:r>
            <w:r>
              <w:rPr>
                <w:rFonts w:hint="eastAsia" w:ascii="宋体" w:hAnsi="宋体"/>
                <w:color w:val="000000"/>
                <w:szCs w:val="21"/>
              </w:rPr>
              <w:t>根</w:t>
            </w:r>
            <w:r>
              <w:rPr>
                <w:rFonts w:hint="eastAsia" w:ascii="宋体" w:hAnsi="宋体" w:cs="宋体"/>
              </w:rPr>
              <w:t>据统一用户管理平台提供的功能及其信息内容，将终端用户的身份认证等级分为非注册用户（移动用户号码与其权限进行绑定）、注册用户（在绑定移动用户号码的基础上，通过提交身份证件号码、姓名等个人信息）和实名认证用户（提交身份证件或人脸识别等凭证的照片，并对其身份进行核定的用户），并赋予不同的数据访问权限和功能使用权限，以保证用户的隐私安全。所有的审核模块登录，都需实现实名认证。</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▲3.统一权限管理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基于系统的权限管理：统一权限管理支持多系统的定义，为每个子系统配置各自的角色、权限、资源数据；每个系统可以分配一个管理员对自身系统的权限进行管理；用基于角色的授权机制，按照企业内部的组织结构划分角色，并为用户绑定角色。对于不同的角色分配不同的应用系统，以决定其是否可以访问还是不能访问某个系统。授权后，在单点登录页面中将只会显示其有权访问的系统。</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基于系统资源的权限管理：资源管理用来定义每个子系统有权访问系统的菜单、数据等信息，提供添加、查询、修改等操作功能。当用户登录进入系统后，系统将定义好的资源权限存入系统缓存，当访问该资源地址的时候，子系统SSO组件会从权限缓存中确认是否有权。其中菜单级权限可以定义一棵无限级菜单树。该菜单树集成在门户系统中，主要属性包括：名称、显示效果、功能权限集合、访问资源等其相关属性。数据级权限：在业务应用相同的界面操作下经常会有一些敏感数据，对这些敏感数据只有权限的用户才能访问。针对存放在数据库中的敏感数据需提供数据级权限定义及其校验的功能，用以满足业务中的这种特殊需求。需实现行级权限，列级权限。行级权限是指具有不同操作权限的人员对相同表中同一字段对应的不同记录具有不同的权限。列级数据权限是指针对某表中的部分字段的权限定义，被授权的操作人员只能访问这部分字段，其它字段则被屏蔽，未被授权的操作人员能够访问所有字段对应的数据。</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统一权限管理需实现：用于对平台进行管理，系统管理者可以建立平台组织机构，对不同身份用户开通不同的使用权限，对用户进行管理，对违规用户停用账户等。</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（1）用户角色管理：</w:t>
            </w:r>
            <w:r>
              <w:rPr>
                <w:rFonts w:hint="eastAsia" w:ascii="宋体" w:hAnsi="宋体" w:cs="宋体"/>
              </w:rPr>
              <w:t>用于管理平台用户角色。系统管理者可以新增、修改、删除用户角色。</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（2）角色权限管理：</w:t>
            </w:r>
            <w:r>
              <w:rPr>
                <w:rFonts w:hint="eastAsia" w:ascii="宋体" w:hAnsi="宋体" w:cs="宋体"/>
              </w:rPr>
              <w:t>用于管理平台各个角色的操作权限。系统管理者可以根据用户角色不同，给不同的角色设置不同的数据权限和操作权限。</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▲4.统一授权管理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授权（Authorization）是决定已经通过认证的用户是否可以访问系统的功能，例如访问一处资源。授权部分提供资源接口以统一授权资源，提供了授权图形界面，用于对资源授权和回收权限。</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（1）定制访问策略：</w:t>
            </w:r>
            <w:r>
              <w:rPr>
                <w:rFonts w:hint="eastAsia" w:ascii="宋体" w:hAnsi="宋体" w:cs="宋体"/>
              </w:rPr>
              <w:t>为不同的角色定制不同的访问策略。访问策略包括可以访问的资源和访问控制规则。访问规则设置灵活，如：按时间段，按网段等。可根据不同的情况定制不同的策略，对各种不同情况进行访问控制。针对不同类型的用户提供了简单策略管理和高级策略管理两种模式，满足系统的易用性和灵活性。</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（2）分级授权：</w:t>
            </w:r>
            <w:r>
              <w:rPr>
                <w:rFonts w:hint="eastAsia" w:ascii="宋体" w:hAnsi="宋体" w:cs="宋体"/>
              </w:rPr>
              <w:t>统一内部应用门户可对用户进行分级管理，设定不同级别的系统管理员，本级的管理员只能管理本级的用户，并为用户分配权限，不能管理其他组的用户。超级管理员可以管理所有的用户。解除了总管理员的管理负担，明确管理职责，方便用户管理工具。为了达到分级管理的目的，对以下两个方面进行了分级，一是对角色的分级，二是对资源的分级。其中角色的分级：在组织机构的管理一般是分等级的，所以可以将组织机构分级，每一级分配一个或多个系统管理员，只负责本组织机构内的角色（或人员）的权限分配；资源的分级：在对资源的分级方面，根据业务系统的需求，需要支持将当前运行系统的管理人员把自己拥有的功能权限分配给下属，以及当前运行系统的管理人员把自己拥有的管理权限分配给下属。对资源的管理主要包括菜单级、数据级和页面级资源等，在进行分级权限管理时，本项目中只以菜单级资源进行分级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统一权限管理实现对权限进行定义，包括：角色权限定义、部门权限定义、岗位权限定义，建立基于数据库角色的权限关系和基于组织机构数据权限关系。每个子系统根据用户的类别以及用户对平台资源所执行操作的不同划分成不同的等级，主要是维护权限角色和使用权限角色；部门级的权限角色是根据部门中用户的职权的不同以及用户使用部门中资源的不同划分成不同的等级。</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▲5.</w:t>
            </w:r>
            <w:bookmarkStart w:id="117" w:name="_Toc496541092"/>
            <w:r>
              <w:rPr>
                <w:rFonts w:hint="eastAsia" w:ascii="宋体" w:hAnsi="宋体" w:cs="宋体"/>
                <w:b/>
                <w:bCs/>
              </w:rPr>
              <w:t>统一身份认证</w:t>
            </w:r>
            <w:bookmarkEnd w:id="117"/>
          </w:p>
          <w:p>
            <w:pPr>
              <w:widowControl/>
              <w:numPr>
                <w:ilvl w:val="0"/>
                <w:numId w:val="6"/>
              </w:numPr>
              <w:adjustRightInd w:val="0"/>
              <w:snapToGrid w:val="0"/>
              <w:spacing w:line="360" w:lineRule="exact"/>
              <w:ind w:firstLine="420" w:firstLineChars="200"/>
              <w:jc w:val="left"/>
            </w:pPr>
            <w:r>
              <w:rPr>
                <w:rFonts w:hint="eastAsia"/>
                <w:shd w:val="clear" w:color="auto" w:fill="FFFFFF"/>
              </w:rPr>
              <w:t>对接全民健康信息平台的统一身份认证</w:t>
            </w:r>
            <w:r>
              <w:rPr>
                <w:rFonts w:hint="eastAsia"/>
              </w:rPr>
              <w:t>，基于CA认证平台结合电子印章技术及其他安全认证手段提供统一的身份认证服务。</w:t>
            </w:r>
          </w:p>
          <w:p>
            <w:pPr>
              <w:widowControl/>
              <w:numPr>
                <w:ilvl w:val="0"/>
                <w:numId w:val="6"/>
              </w:numPr>
              <w:adjustRightInd w:val="0"/>
              <w:snapToGrid w:val="0"/>
              <w:spacing w:line="360" w:lineRule="exact"/>
              <w:ind w:firstLine="420" w:firstLineChars="200"/>
              <w:jc w:val="left"/>
              <w:rPr>
                <w:rFonts w:ascii="宋体" w:hAnsi="宋体" w:cs="宋体"/>
              </w:rPr>
            </w:pPr>
            <w:r>
              <w:rPr>
                <w:rFonts w:hint="eastAsia" w:ascii="宋体" w:hAnsi="宋体" w:cs="宋体"/>
              </w:rPr>
              <w:t>双因子结合的身份鉴别：提供基于用户口令和用户数字证书相结合的用户身份鉴别功能。当接收的用户口令和用户数字证书均正确时，才算认证通过，用户口令和用户数据证书有一个不正确或与相应的用户名不匹配，则认证不通过，这种增强的身份认证方式可以更好的防止口令被盗、冒充用户登录等情况。手机端登录的双因子认证需实现人脸识别认证。</w:t>
            </w:r>
          </w:p>
          <w:p>
            <w:pPr>
              <w:widowControl/>
              <w:numPr>
                <w:ilvl w:val="0"/>
                <w:numId w:val="6"/>
              </w:numPr>
              <w:adjustRightInd w:val="0"/>
              <w:snapToGrid w:val="0"/>
              <w:spacing w:line="360" w:lineRule="exact"/>
              <w:ind w:firstLine="420" w:firstLineChars="200"/>
              <w:jc w:val="left"/>
              <w:rPr>
                <w:rFonts w:ascii="宋体" w:hAnsi="宋体" w:cs="宋体"/>
              </w:rPr>
            </w:pPr>
            <w:r>
              <w:rPr>
                <w:rFonts w:hint="eastAsia" w:ascii="宋体" w:hAnsi="宋体" w:cs="宋体"/>
                <w:b w:val="0"/>
                <w:bCs w:val="0"/>
                <w:sz w:val="21"/>
                <w:szCs w:val="24"/>
                <w:lang w:val="en-US" w:eastAsia="zh-CN"/>
              </w:rPr>
              <w:t>可实现OCR证件识别，应用于手机APP端。</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▲6.实现人脸识别</w:t>
            </w:r>
          </w:p>
          <w:p>
            <w:pPr>
              <w:widowControl/>
              <w:adjustRightInd w:val="0"/>
              <w:snapToGrid w:val="0"/>
              <w:spacing w:line="360" w:lineRule="exact"/>
              <w:ind w:firstLine="420" w:firstLineChars="200"/>
              <w:jc w:val="left"/>
              <w:rPr>
                <w:rFonts w:ascii="宋体" w:hAnsi="宋体" w:cs="宋体"/>
                <w:b/>
                <w:bCs/>
              </w:rPr>
            </w:pPr>
            <w:r>
              <w:rPr>
                <w:rFonts w:hint="eastAsia" w:ascii="宋体" w:hAnsi="宋体" w:cs="宋体"/>
              </w:rPr>
              <w:t>人脸识别的费用包含在项目中。</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▲7.服务管理与开放平台</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统一的应用管理提供第三方应用系统注册，统一应用管理组件中注册的应用、模块，可以上架到应用仓库，从而挂接到各系统，终端用户可以按需所取，从应用仓库中下载所需应用。</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提供统一的API注册、发布、调用、监控管理，使支撑平台应用之间的调用更加便捷和安全。可支持子API类别自定义，支持父级别分类，并支持排序。创建与发布包括将各类方法发布到API代理，基本只需要选择对应的方法。API的具体调用信息和参考信息，都在原方法中。API只需要设置标识、版本、级别（调用频率控制）、状态（API生命周期）、授权类型。其中对于授权类型分为3种类型：</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（1）无需授权：</w:t>
            </w:r>
            <w:r>
              <w:rPr>
                <w:rFonts w:hint="eastAsia" w:ascii="宋体" w:hAnsi="宋体" w:cs="宋体"/>
              </w:rPr>
              <w:t>对于无需授权的API即完全开放访问，经过API代理时无需进行授权验证。调用者也不需要提供调用凭证（Token）</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（2）用户授权：</w:t>
            </w:r>
            <w:r>
              <w:rPr>
                <w:rFonts w:hint="eastAsia" w:ascii="宋体" w:hAnsi="宋体" w:cs="宋体"/>
              </w:rPr>
              <w:t>表示API读取的是用户资源，需要对应的用户经过OAuth认证授权后获得的用户凭证才可进行调用，并且只返回对应的用户的数据。</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（3）客户端授权：</w:t>
            </w:r>
            <w:r>
              <w:rPr>
                <w:rFonts w:hint="eastAsia" w:ascii="宋体" w:hAnsi="宋体" w:cs="宋体"/>
              </w:rPr>
              <w:t>表示API直接接受应用系统的订阅，无需经过用户授权。在Oauth过客户端授权模式产生的Token即可进行调用。</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仓库：在开发者平台中，公开的展示所有发布的API信息。包括API的类别、API基本信息、API参数信息、API返回值字段信息。</w:t>
            </w:r>
          </w:p>
          <w:p>
            <w:pPr>
              <w:widowControl/>
              <w:adjustRightInd w:val="0"/>
              <w:snapToGrid w:val="0"/>
              <w:spacing w:line="360" w:lineRule="exact"/>
              <w:ind w:firstLine="420" w:firstLineChars="200"/>
              <w:jc w:val="left"/>
              <w:rPr>
                <w:rFonts w:ascii="宋体" w:hAnsi="宋体"/>
                <w:color w:val="000000"/>
                <w:szCs w:val="21"/>
              </w:rPr>
            </w:pPr>
            <w:r>
              <w:rPr>
                <w:rFonts w:hint="eastAsia" w:ascii="宋体" w:hAnsi="宋体" w:cs="宋体"/>
              </w:rPr>
              <w:t>日志审计：调用日志在API GetWay处理调用请求时产生。每次调用都必须记录一次调用日志。包括调用哪个API、调用者身份、调用参数、调用结果、调用返回值、调用耗时等。这些信息用于最后的统计。在调用过程中如果发生了不可知的错误，需要进行异常捕获。捕获的信息需要记录到异常日志表中。基于API调用的日志数据，即可完成多维度的统计，其中包括API调用次数的统计、响应时间的统计、最后使用API时间的统计、API调用者的统计、API错误调用次数的统计。</w:t>
            </w:r>
          </w:p>
          <w:p>
            <w:pPr>
              <w:widowControl/>
              <w:adjustRightInd w:val="0"/>
              <w:snapToGrid w:val="0"/>
              <w:spacing w:line="360" w:lineRule="exact"/>
              <w:ind w:firstLine="422" w:firstLineChars="200"/>
              <w:jc w:val="left"/>
              <w:rPr>
                <w:rFonts w:ascii="宋体" w:hAnsi="宋体" w:cs="宋体"/>
                <w:b/>
                <w:bCs/>
              </w:rPr>
            </w:pPr>
            <w:r>
              <w:rPr>
                <w:rFonts w:hint="eastAsia" w:ascii="宋体" w:hAnsi="宋体"/>
                <w:b/>
                <w:color w:val="000000"/>
                <w:szCs w:val="21"/>
              </w:rPr>
              <w:t>▲</w:t>
            </w:r>
            <w:r>
              <w:rPr>
                <w:rFonts w:hint="eastAsia" w:ascii="宋体" w:hAnsi="宋体" w:cs="宋体"/>
                <w:b/>
                <w:bCs/>
              </w:rPr>
              <w:t>8.手机端应用集成</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实现用人单位手机端应用、劳动者手机端应用、管理人员（卫健委）手机端应用、监督所移动执法应用、检测报告移动端采集等应用在手机移动端集成，分别可在手机APP、微信小程序、支付宝小程序、html5等进行应用。其中检测报告移动端采集使用对象为放射卫生技术服务机构。支持放射卫生技术服务机构在手机填报检测报告，并能够直接采集检测人员的GPS信息、各测量参数产生时间信息等；监督所移动执法应用主要进行卫生监督所对用人单位、职业卫生技术服务机构、职业健康检查机构、职业病诊断机构、放射卫生技术服务机构、放射诊疗机构的现场执法工作，APP可设置离线工作状态，可在无网络支持的情况下进行监督信息采集。</w:t>
            </w:r>
          </w:p>
          <w:p>
            <w:pPr>
              <w:adjustRightInd w:val="0"/>
              <w:snapToGrid w:val="0"/>
              <w:spacing w:line="300" w:lineRule="exact"/>
              <w:ind w:firstLine="422" w:firstLineChars="200"/>
              <w:rPr>
                <w:rFonts w:ascii="宋体" w:hAnsi="宋体" w:cs="宋体"/>
              </w:rPr>
            </w:pPr>
            <w:r>
              <w:rPr>
                <w:rFonts w:hint="eastAsia" w:ascii="宋体" w:hAnsi="宋体"/>
                <w:b/>
                <w:color w:val="000000"/>
                <w:szCs w:val="21"/>
              </w:rPr>
              <w:t>▲9</w:t>
            </w:r>
            <w:r>
              <w:rPr>
                <w:rFonts w:hint="eastAsia" w:ascii="宋体" w:hAnsi="宋体"/>
                <w:color w:val="000000"/>
                <w:szCs w:val="21"/>
              </w:rPr>
              <w:t>.</w:t>
            </w:r>
            <w:r>
              <w:rPr>
                <w:rFonts w:hint="eastAsia" w:ascii="宋体" w:hAnsi="宋体"/>
                <w:b/>
                <w:bCs/>
                <w:color w:val="000000"/>
                <w:szCs w:val="21"/>
              </w:rPr>
              <w:t>数据接口</w:t>
            </w:r>
          </w:p>
          <w:p>
            <w:pPr>
              <w:widowControl/>
              <w:adjustRightInd w:val="0"/>
              <w:snapToGrid w:val="0"/>
              <w:spacing w:line="360" w:lineRule="exact"/>
              <w:ind w:firstLine="420" w:firstLineChars="200"/>
              <w:jc w:val="left"/>
              <w:rPr>
                <w:rFonts w:ascii="宋体" w:hAnsi="宋体" w:cs="宋体"/>
              </w:rPr>
            </w:pPr>
            <w:r>
              <w:rPr>
                <w:rFonts w:hint="eastAsia" w:ascii="宋体" w:hAnsi="宋体"/>
                <w:color w:val="000000"/>
                <w:szCs w:val="21"/>
              </w:rPr>
              <w:t>根据国家和自治区有关标准，开发与编制信息数据接口程序及接口标准文档，并负责实现与相关信息系统的数据对接</w:t>
            </w:r>
            <w:r>
              <w:rPr>
                <w:rFonts w:hint="eastAsia" w:ascii="宋体" w:hAnsi="宋体" w:cs="宋体"/>
              </w:rPr>
              <w:t>。其中包括：用人单位数据接口、职业卫生技术服务机构数据接口、职业病健康检查机构数据接口、职业病诊断机构数据接口、职业病鉴定机构数据接口、放射卫生数据接口等。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（1）业务数据对接</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①全民健康信息管理平台接口管理。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需对接全民健康信息平台，对接全民健康平台的数据中台和业务中台，实现职业健康数据、业务数据等互联互通，并通过职业健康信息平台与自治区其他横向厅委办局相关业务系统实现数据共享对接。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通过数据交换接口与全民健康信息平台对接，实现从全民健康信息平台调用用户认证与权限信息、服务对象基本信息、医疗卫生人员和专家基本信息、医疗机构基本信息、劳动者电子病历、诊断拍片、统一身份认证、人脸识别等功能、服务。实现将系统获取的如职业健康检查、劳动者职业病史等结构化数据实时推送至主平台；如有非结构化数据，则提供数据接口供主平台随时调用。</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②国垂平台接口管理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预留与国家平台对接的接口，应提供数据采集和信息上报服务，例如职业病诊断和鉴定信息上报、职业病危害项目申报信息采集等。</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对接国垂系统包括：《职业健康技术服务机构信息填报系统》、《职业病及健康危害因素监测信息系统》、《职业病危害项目申报系统》、《卫生健康监督信息平台》、《放射工作人员个人剂量监测登记系统-网络版》、《卫生部外照射个人监测管理子系统脱机版》、《全国放射卫生信息平台》等。</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可调用国垂系统的业务接口，如关联国垂系统《职业健康技术服务机构信息填报系统》，查重劳动者在全国的申请职业病诊断情况；关联国垂系统《职业健康技术服务机构信息填报系统》，查询全国专家库、技术人员名单；关联《卫生健康监督信息平台》获取用人单位的底档数据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③应用系统接口管理，配套服务管理与开放平台使用</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用人单位数据接口。</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职业卫生技术服务机构数据接口。</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职业健康检查机构应用系统数据接口管理。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各个职业健康检查机构数据接口。系统管理者可以启用或者停用各个职业健康检查机构的数据接口，数据接口启用后，职业健康检查机构应用系统才能接收到其他应用系统传送的数据，以及上报信息到其他应用系统。</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职业病诊断机构数据接口。</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职业病鉴定机构数据接口。</w:t>
            </w:r>
          </w:p>
          <w:p>
            <w:pPr>
              <w:widowControl/>
              <w:adjustRightInd w:val="0"/>
              <w:snapToGrid w:val="0"/>
              <w:spacing w:line="360" w:lineRule="exact"/>
              <w:ind w:firstLine="420" w:firstLineChars="200"/>
              <w:jc w:val="left"/>
              <w:rPr>
                <w:rFonts w:hint="eastAsia" w:ascii="宋体" w:hAnsi="宋体" w:eastAsia="宋体" w:cs="宋体"/>
                <w:lang w:eastAsia="zh-CN"/>
              </w:rPr>
            </w:pPr>
            <w:r>
              <w:rPr>
                <w:rFonts w:hint="eastAsia" w:ascii="宋体" w:hAnsi="宋体" w:cs="宋体"/>
              </w:rPr>
              <w:t>放射卫生数据接口</w:t>
            </w:r>
            <w:r>
              <w:rPr>
                <w:rFonts w:hint="eastAsia" w:ascii="宋体" w:hAnsi="宋体" w:cs="宋体"/>
                <w:lang w:eastAsia="zh-CN"/>
              </w:rPr>
              <w:t>。</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在线教育培训系统数据接口。</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各个在线教育培训系统数据接口。系统管理者可以启用或者停用各个在线教育培训系统的数据接口，数据接口启用后，在线教育培训系统才能接收到其他应用系统传送的数据，以及上报信息到其他应用系统。</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④广西业务平台对接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广西职业病防治与职业健康管理平台对接。用于管理从广西职业病防治与职业健康管理平台抓取劳动者的体检数据，实现一次填报系统共用数据。</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广西卫生监督管理平台系统对接。用于管理广西卫生监督管理平台系统数据接口，实现一次填报的问题，一次填报数据共享涉及底档信息的建立、日常监督检查记录、国家及广西双随机监督抽检任务、现场文书制作（移动执法功能）等等，并向该平台推送监督对象等。</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广西职业病康复管理平台对接。根据《全国公共卫生信息化建设标准与规范》对于职业病及危害因素监测的要求，对接广西职业病康复管理平台获取并监测的职业病患者康复情况（例如尘肺病患者的康复情况、放射病患者康复情况等），并支持数据自动抓取等。</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对接医疗机构的HIS系统，获取放射诊疗结果、检验检查结果。</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⑤广西地理信息公共服务平台系统对接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广西地理信息公共服务平台系统数据接口。该接口启用后，“职业病防治电子地图”“人员、机构信息等信息采集模块”等涉及地理空间信息获取的模块才能正常使用。通过与该模块对接，能够获取数据采集发生的地点、经纬度等信息，也能够基于“广西地理信息公共服务平台”提供的空间定位和地图的底图进行各类型数据展示，有助于构建职业病防治“一张图”。</w:t>
            </w:r>
          </w:p>
          <w:p>
            <w:pPr>
              <w:pStyle w:val="16"/>
              <w:widowControl/>
              <w:adjustRightInd w:val="0"/>
              <w:snapToGrid w:val="0"/>
              <w:spacing w:line="360" w:lineRule="exact"/>
              <w:ind w:firstLine="420" w:firstLineChars="200"/>
              <w:rPr>
                <w:rFonts w:ascii="宋体" w:hAnsi="宋体" w:cs="宋体"/>
                <w:lang w:val="en-US" w:eastAsia="zh-CN"/>
              </w:rPr>
            </w:pPr>
            <w:r>
              <w:rPr>
                <w:rFonts w:hint="eastAsia"/>
                <w:lang w:val="en-US" w:eastAsia="zh-CN"/>
              </w:rPr>
              <w:t>⑥对接大数据局一体化平台。</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（2）数据接口性能要求</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①在线监控数据接口</w:t>
            </w:r>
          </w:p>
          <w:p>
            <w:pPr>
              <w:widowControl/>
              <w:adjustRightInd w:val="0"/>
              <w:snapToGrid w:val="0"/>
              <w:spacing w:line="360" w:lineRule="exact"/>
              <w:ind w:firstLine="420" w:firstLineChars="200"/>
              <w:jc w:val="left"/>
              <w:rPr>
                <w:rFonts w:ascii="宋体" w:hAnsi="宋体"/>
                <w:color w:val="000000"/>
                <w:szCs w:val="21"/>
              </w:rPr>
            </w:pPr>
            <w:r>
              <w:rPr>
                <w:rFonts w:hint="eastAsia" w:ascii="宋体" w:hAnsi="宋体" w:cs="宋体"/>
              </w:rPr>
              <w:t>用于管理在线监控数据接口。系统管理者可以启用和停用接入本平台的在线监控数据接口，启用后，在线监控方能将数据传入平台中。</w:t>
            </w:r>
            <w:r>
              <w:rPr>
                <w:rFonts w:hint="eastAsia" w:ascii="宋体" w:hAnsi="宋体"/>
                <w:color w:val="000000"/>
                <w:szCs w:val="21"/>
              </w:rPr>
              <w:t>提供统一的数据交换接口，具备数据导入、导出功能，实现与用人单位、职业技术服务机构、职业诊断机构、医疗机构H</w:t>
            </w:r>
            <w:r>
              <w:rPr>
                <w:rFonts w:ascii="宋体" w:hAnsi="宋体"/>
                <w:color w:val="000000"/>
                <w:szCs w:val="21"/>
              </w:rPr>
              <w:t>IS</w:t>
            </w:r>
            <w:r>
              <w:rPr>
                <w:rFonts w:hint="eastAsia" w:ascii="宋体" w:hAnsi="宋体"/>
                <w:color w:val="000000"/>
                <w:szCs w:val="21"/>
              </w:rPr>
              <w:t>、E</w:t>
            </w:r>
            <w:r>
              <w:rPr>
                <w:rFonts w:ascii="宋体" w:hAnsi="宋体"/>
                <w:color w:val="000000"/>
                <w:szCs w:val="21"/>
              </w:rPr>
              <w:t>MR</w:t>
            </w:r>
            <w:r>
              <w:rPr>
                <w:rFonts w:hint="eastAsia" w:ascii="宋体" w:hAnsi="宋体"/>
                <w:color w:val="000000"/>
                <w:szCs w:val="21"/>
              </w:rPr>
              <w:t>、数据总线等信息系统进行无缝连接。</w:t>
            </w:r>
          </w:p>
          <w:p>
            <w:pPr>
              <w:adjustRightInd w:val="0"/>
              <w:snapToGrid w:val="0"/>
              <w:spacing w:line="300" w:lineRule="exact"/>
              <w:ind w:firstLine="420" w:firstLineChars="200"/>
              <w:rPr>
                <w:rFonts w:ascii="宋体" w:hAnsi="宋体"/>
                <w:color w:val="000000"/>
                <w:szCs w:val="21"/>
              </w:rPr>
            </w:pPr>
            <w:r>
              <w:rPr>
                <w:rFonts w:hint="eastAsia" w:ascii="宋体" w:hAnsi="宋体"/>
                <w:color w:val="000000"/>
                <w:szCs w:val="21"/>
              </w:rPr>
              <w:t>接口方式:基于DB\FTP\HL7\DICOM\WEBSERVICE 等协议的数据采集。具有对电子病历、检验检查报告等纸质扫描文件采集。</w:t>
            </w:r>
          </w:p>
          <w:p>
            <w:pPr>
              <w:adjustRightInd w:val="0"/>
              <w:snapToGrid w:val="0"/>
              <w:spacing w:line="300" w:lineRule="exact"/>
              <w:ind w:firstLine="420" w:firstLineChars="200"/>
              <w:rPr>
                <w:rFonts w:ascii="宋体" w:hAnsi="宋体"/>
                <w:color w:val="000000"/>
                <w:szCs w:val="21"/>
              </w:rPr>
            </w:pPr>
            <w:r>
              <w:rPr>
                <w:rFonts w:hint="eastAsia" w:ascii="宋体" w:hAnsi="宋体"/>
                <w:color w:val="000000"/>
                <w:szCs w:val="21"/>
              </w:rPr>
              <w:t>采集任务调度方式:定时调度、主动扫描、被动监听。采集任务动态分配。动态负载均衡。</w:t>
            </w:r>
          </w:p>
          <w:p>
            <w:pPr>
              <w:adjustRightInd w:val="0"/>
              <w:snapToGrid w:val="0"/>
              <w:spacing w:line="300" w:lineRule="exact"/>
              <w:ind w:firstLine="420" w:firstLineChars="200"/>
              <w:rPr>
                <w:rFonts w:ascii="宋体" w:hAnsi="宋体"/>
                <w:color w:val="000000"/>
                <w:szCs w:val="21"/>
              </w:rPr>
            </w:pPr>
            <w:r>
              <w:rPr>
                <w:rFonts w:hint="eastAsia" w:ascii="宋体" w:hAnsi="宋体"/>
                <w:color w:val="000000"/>
                <w:szCs w:val="21"/>
              </w:rPr>
              <w:t>数据质量管理:采集数据全生命周期管理。从采集、预处理、存储、归档的全流程元数据管理。</w:t>
            </w:r>
          </w:p>
          <w:p>
            <w:pPr>
              <w:adjustRightInd w:val="0"/>
              <w:snapToGrid w:val="0"/>
              <w:spacing w:line="300" w:lineRule="exact"/>
              <w:rPr>
                <w:rFonts w:ascii="宋体" w:hAnsi="宋体"/>
                <w:color w:val="000000"/>
                <w:szCs w:val="21"/>
              </w:rPr>
            </w:pPr>
            <w:r>
              <w:rPr>
                <w:rFonts w:hint="eastAsia" w:ascii="宋体" w:hAnsi="宋体"/>
                <w:color w:val="000000"/>
                <w:szCs w:val="21"/>
              </w:rPr>
              <w:t>提供对数据上传质量和上传稳定性的数据质量评估。</w:t>
            </w:r>
          </w:p>
          <w:p>
            <w:pPr>
              <w:adjustRightInd w:val="0"/>
              <w:snapToGrid w:val="0"/>
              <w:spacing w:line="300" w:lineRule="exact"/>
              <w:ind w:firstLine="420" w:firstLineChars="200"/>
              <w:rPr>
                <w:rFonts w:ascii="宋体" w:hAnsi="宋体"/>
                <w:color w:val="000000"/>
                <w:szCs w:val="21"/>
              </w:rPr>
            </w:pPr>
            <w:r>
              <w:rPr>
                <w:rFonts w:hint="eastAsia" w:ascii="宋体" w:hAnsi="宋体"/>
                <w:color w:val="000000"/>
                <w:szCs w:val="21"/>
              </w:rPr>
              <w:t>三层采集架构:控制流和数据流分离。确保采集节点的动态冗余机制。保障采集节点的高可靠性、高可用性。</w:t>
            </w:r>
          </w:p>
          <w:p>
            <w:pPr>
              <w:adjustRightInd w:val="0"/>
              <w:snapToGrid w:val="0"/>
              <w:spacing w:line="300" w:lineRule="exact"/>
              <w:ind w:firstLine="420" w:firstLineChars="200"/>
              <w:rPr>
                <w:rFonts w:ascii="宋体" w:hAnsi="宋体"/>
                <w:color w:val="000000"/>
                <w:szCs w:val="21"/>
              </w:rPr>
            </w:pPr>
            <w:r>
              <w:rPr>
                <w:rFonts w:hint="eastAsia" w:ascii="宋体" w:hAnsi="宋体"/>
                <w:color w:val="000000"/>
                <w:szCs w:val="21"/>
              </w:rPr>
              <w:t>采集监控能力:具备对采集任务运行情况进行全程监控。具备对采集异常进行报警。具备对采集任务的运行情况进行统计分析。</w:t>
            </w:r>
          </w:p>
          <w:p>
            <w:pPr>
              <w:adjustRightInd w:val="0"/>
              <w:snapToGrid w:val="0"/>
              <w:spacing w:line="300" w:lineRule="exact"/>
              <w:ind w:firstLine="420" w:firstLineChars="200"/>
              <w:rPr>
                <w:rFonts w:ascii="宋体" w:hAnsi="宋体"/>
                <w:color w:val="000000"/>
                <w:szCs w:val="21"/>
              </w:rPr>
            </w:pPr>
            <w:r>
              <w:rPr>
                <w:rFonts w:hint="eastAsia" w:ascii="宋体" w:hAnsi="宋体"/>
                <w:color w:val="000000"/>
                <w:szCs w:val="21"/>
              </w:rPr>
              <w:t>数据共享、交换扩展能力:平台标准化数据管理。标准数据交换规则提供第三方平台数据交换服务。</w:t>
            </w:r>
          </w:p>
          <w:p>
            <w:pPr>
              <w:adjustRightInd w:val="0"/>
              <w:snapToGrid w:val="0"/>
              <w:spacing w:line="300" w:lineRule="exact"/>
              <w:rPr>
                <w:rFonts w:ascii="宋体" w:hAnsi="宋体" w:cs="宋体"/>
              </w:rPr>
            </w:pPr>
            <w:r>
              <w:rPr>
                <w:rFonts w:hint="eastAsia" w:ascii="宋体" w:hAnsi="宋体"/>
                <w:color w:val="000000"/>
                <w:szCs w:val="21"/>
              </w:rPr>
              <w:t>数据采集结构动态扩展，具有除广西壮族自治区职业健康信息综合管理平台外其他平台应用所需数据采集能力。</w:t>
            </w:r>
          </w:p>
          <w:p>
            <w:pPr>
              <w:widowControl/>
              <w:adjustRightInd w:val="0"/>
              <w:snapToGrid w:val="0"/>
              <w:spacing w:line="360" w:lineRule="exact"/>
              <w:ind w:firstLine="420" w:firstLineChars="200"/>
              <w:jc w:val="left"/>
              <w:rPr>
                <w:rFonts w:ascii="宋体" w:hAnsi="宋体" w:cs="宋体"/>
              </w:rPr>
            </w:pPr>
            <w:r>
              <w:rPr>
                <w:rFonts w:hint="eastAsia" w:ascii="宋体" w:hAnsi="宋体"/>
                <w:color w:val="000000"/>
                <w:szCs w:val="21"/>
              </w:rPr>
              <w:t>开发与编制信息数据接口程序及接口标准文档、</w:t>
            </w:r>
            <w:r>
              <w:rPr>
                <w:rFonts w:hint="eastAsia" w:ascii="宋体" w:hAnsi="宋体" w:cs="宋体"/>
              </w:rPr>
              <w:t>对接第三方的接口费用、第三方对接系统的费用包含在本项目范围内，不提供相应承诺函则视为未实质性响应采购文件。</w:t>
            </w:r>
          </w:p>
          <w:p>
            <w:pPr>
              <w:adjustRightInd w:val="0"/>
              <w:snapToGrid w:val="0"/>
              <w:spacing w:line="300" w:lineRule="exact"/>
              <w:ind w:firstLine="420" w:firstLineChars="200"/>
              <w:rPr>
                <w:rFonts w:ascii="宋体" w:hAnsi="宋体"/>
                <w:color w:val="000000"/>
              </w:rPr>
            </w:pPr>
            <w:r>
              <w:rPr>
                <w:rFonts w:ascii="宋体" w:hAnsi="宋体"/>
                <w:color w:val="000000"/>
              </w:rPr>
              <w:t>所开发接口具备行业通用性，并免费开放提供给有需求接入的机构使用，相关接口开发费用包含在项目报价中，不另外增加费用。</w:t>
            </w:r>
          </w:p>
          <w:p>
            <w:pPr>
              <w:widowControl/>
              <w:adjustRightInd w:val="0"/>
              <w:snapToGrid w:val="0"/>
              <w:spacing w:line="360" w:lineRule="exact"/>
              <w:ind w:firstLine="420" w:firstLineChars="200"/>
              <w:jc w:val="left"/>
              <w:rPr>
                <w:rFonts w:ascii="宋体" w:hAnsi="宋体" w:cs="宋体"/>
              </w:rPr>
            </w:pPr>
            <w:r>
              <w:rPr>
                <w:rFonts w:hint="eastAsia" w:ascii="宋体" w:hAnsi="宋体"/>
                <w:color w:val="000000"/>
              </w:rPr>
              <w:t>供应商</w:t>
            </w:r>
            <w:r>
              <w:rPr>
                <w:rFonts w:ascii="宋体" w:hAnsi="宋体"/>
                <w:color w:val="000000"/>
              </w:rPr>
              <w:t>需指派不少于1名技术人员，在建设期和质保期内，接受采购人统一管理，根据实际工作需要，协助采购人</w:t>
            </w:r>
            <w:r>
              <w:rPr>
                <w:rFonts w:hint="eastAsia" w:ascii="宋体" w:hAnsi="宋体"/>
                <w:color w:val="000000"/>
              </w:rPr>
              <w:t>、组建专家团队</w:t>
            </w:r>
            <w:r>
              <w:rPr>
                <w:rFonts w:ascii="宋体" w:hAnsi="宋体"/>
                <w:color w:val="000000"/>
              </w:rPr>
              <w:t>共同制定、完善《广西壮族自治区职业健康信息综合管理平台数据接口标准》和有关规范等文档。</w:t>
            </w:r>
            <w:r>
              <w:rPr>
                <w:rFonts w:hint="eastAsia" w:ascii="宋体" w:hAnsi="宋体"/>
                <w:color w:val="000000"/>
              </w:rPr>
              <w:t>专家费用</w:t>
            </w:r>
            <w:r>
              <w:rPr>
                <w:rFonts w:ascii="宋体" w:hAnsi="宋体"/>
                <w:color w:val="000000"/>
              </w:rPr>
              <w:t>包含在项目报价中，不另外增加费用</w:t>
            </w:r>
            <w:r>
              <w:rPr>
                <w:rFonts w:hint="eastAsia" w:ascii="宋体" w:hAnsi="宋体"/>
                <w:color w:val="000000"/>
              </w:rPr>
              <w:t>。</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▲10.数据库访问、备份、审计</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w:t>
            </w:r>
            <w:r>
              <w:rPr>
                <w:rFonts w:hint="eastAsia" w:ascii="宋体" w:hAnsi="宋体" w:cs="宋体"/>
              </w:rPr>
              <w:t>可实现对关键的管理数据（如用户数据、ldap数据等）定时自动进行压缩备份。</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w:t>
            </w:r>
            <w:r>
              <w:rPr>
                <w:rFonts w:hint="eastAsia" w:ascii="宋体" w:hAnsi="宋体" w:cs="宋体"/>
              </w:rPr>
              <w:t>审计分析与实时侵害检测：提供数据库审计功能，审计类别包括：系统级审计、语句级审计、对象级审计。审计记录存放在数据库外的专门审计文件中，保证审计数据的独立性。审计文件可以脱离数据库系统保存和复制，借助专用工具进行阅读、检索以及合并等维护操作。</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提供审计分析功能，通过审计分析工具Analyzer实现对审计记录的分析。用户能够根据所制定的分析规则，对审计记录进行分析，判断系统中是否存在对系统安全构成威胁的活动。</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提供实时侵害检测功能，用于实时分析当前用户的操作，并查找与该操作相匹配的审计分析规则。根据规则判断用户行为是否是侵害行为，以及确定侵害等级，并根据侵害等级采取相应的响应措施。响应措施包括：实时报警生成、违例进程终止、服务取消和账号锁定或失效。</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▲11.诊断、鉴定线上流程节点管理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实现诊断、鉴定线上流程</w:t>
            </w:r>
            <w:r>
              <w:rPr>
                <w:rFonts w:hint="eastAsia" w:ascii="宋体" w:hAnsi="宋体"/>
                <w:color w:val="000000"/>
                <w:szCs w:val="21"/>
              </w:rPr>
              <w:t>标准文档工作，并且</w:t>
            </w:r>
            <w:r>
              <w:rPr>
                <w:rFonts w:hint="eastAsia" w:ascii="宋体" w:hAnsi="宋体" w:cs="宋体"/>
              </w:rPr>
              <w:t>工作流程管理具备流程自定义功能</w:t>
            </w:r>
            <w:r>
              <w:rPr>
                <w:rFonts w:hint="eastAsia" w:ascii="宋体" w:hAnsi="宋体" w:cs="宋体"/>
                <w:shd w:val="clear" w:color="auto" w:fill="FFFFFF"/>
              </w:rPr>
              <w:t>，涵盖流程</w:t>
            </w:r>
            <w:r>
              <w:rPr>
                <w:rFonts w:hint="eastAsia"/>
                <w:shd w:val="clear" w:color="auto" w:fill="FFFFFF"/>
              </w:rPr>
              <w:t>提交申请、申请受理、全国查重、初审反馈（需核验劳动者身份）、</w:t>
            </w:r>
            <w:r>
              <w:rPr>
                <w:rFonts w:hint="eastAsia" w:ascii="宋体" w:hAnsi="宋体" w:cs="宋体"/>
                <w:shd w:val="clear" w:color="auto" w:fill="FFFFFF"/>
              </w:rPr>
              <w:t>驳回、</w:t>
            </w:r>
            <w:r>
              <w:rPr>
                <w:rFonts w:hint="eastAsia"/>
                <w:shd w:val="clear" w:color="auto" w:fill="FFFFFF"/>
              </w:rPr>
              <w:t>材料补充、诊断受理、缴费情况、书面通知用人单位、诊断、出具职业病诊断证明书</w:t>
            </w:r>
            <w:r>
              <w:rPr>
                <w:rFonts w:hint="eastAsia" w:ascii="宋体" w:hAnsi="宋体" w:cs="宋体"/>
                <w:shd w:val="clear" w:color="auto" w:fill="FFFFFF"/>
              </w:rPr>
              <w:t>等全周期管理，具备流程和表单模板的设置，可灵活增加或删减流程节点，具备对各类审批的分类查询。实现诊断、鉴定线上流程</w:t>
            </w:r>
            <w:r>
              <w:rPr>
                <w:rFonts w:hint="eastAsia" w:ascii="宋体" w:hAnsi="宋体"/>
                <w:color w:val="000000"/>
                <w:szCs w:val="21"/>
                <w:shd w:val="clear" w:color="auto" w:fill="FFFFFF"/>
              </w:rPr>
              <w:t>标准</w:t>
            </w:r>
            <w:r>
              <w:rPr>
                <w:rFonts w:hint="eastAsia" w:ascii="宋体" w:hAnsi="宋体"/>
                <w:color w:val="000000"/>
                <w:szCs w:val="21"/>
              </w:rPr>
              <w:t>文档工作、以及专家制定标准流程</w:t>
            </w:r>
            <w:r>
              <w:rPr>
                <w:rFonts w:hint="eastAsia" w:ascii="宋体" w:hAnsi="宋体" w:cs="宋体"/>
              </w:rPr>
              <w:t>的费用包含在本项目范围内，不提供相应承诺函则视为未实质性响应采购文件。</w:t>
            </w:r>
          </w:p>
          <w:p>
            <w:pPr>
              <w:widowControl/>
              <w:adjustRightInd w:val="0"/>
              <w:snapToGrid w:val="0"/>
              <w:spacing w:line="360" w:lineRule="exact"/>
              <w:ind w:left="420" w:leftChars="200"/>
              <w:jc w:val="left"/>
              <w:rPr>
                <w:rFonts w:ascii="宋体" w:hAnsi="宋体" w:cs="宋体"/>
                <w:b/>
                <w:bCs/>
              </w:rPr>
            </w:pPr>
            <w:r>
              <w:rPr>
                <w:rFonts w:hint="eastAsia" w:ascii="宋体" w:hAnsi="宋体" w:cs="宋体"/>
                <w:b/>
                <w:bCs/>
              </w:rPr>
              <w:t>▲12.分布式应用架构</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所有组件可水平扩展，无单点故障，各组件均有故障自愈功能，存储可实现EC纠删码、多副本方式冗余。</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13.报表管理功能</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具备用户自定义各类报告及业务流中的表单功能，具有图形化设计工具功能，可通过所见即所得的方式自定义设计表单，实现包括可视化报表编辑、多种形式的报表类型展示、报表数据的动态生成、查询参数自定义等功能。表单可实现xml格式存储，可实现表单模板和表单数据的分离。</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▲14.操作审计、日志管理</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w:t>
            </w:r>
            <w:r>
              <w:rPr>
                <w:rFonts w:hint="eastAsia" w:ascii="宋体" w:hAnsi="宋体" w:cs="宋体"/>
              </w:rPr>
              <w:t>提供审计功能，包括操作审计、日志管理。能够将审计日志按照天，月，年等相关策略进行归档或删除，实现关键字检索，时间区间检索，聚合检索审计日志。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操作审计包括：记录用户的系统操作行为（如注册、登录、录入、查询、导出等），其中包括：</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①平台管理人员操作日志：</w:t>
            </w:r>
            <w:r>
              <w:rPr>
                <w:rFonts w:hint="eastAsia" w:ascii="宋体" w:hAnsi="宋体" w:cs="宋体"/>
              </w:rPr>
              <w:t>用于查看平台管理人员在本平台使用操作情况，包括新增、删除、修改、查询等操作记录。</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②建设项目评审专家操作日志：</w:t>
            </w:r>
            <w:r>
              <w:rPr>
                <w:rFonts w:hint="eastAsia" w:ascii="宋体" w:hAnsi="宋体" w:cs="宋体"/>
              </w:rPr>
              <w:t>用于查看建设项目评审专家在本平台使用操作情况，包括专家审核、评审记录等。</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③监督人员操作日志：</w:t>
            </w:r>
            <w:r>
              <w:rPr>
                <w:rFonts w:hint="eastAsia" w:ascii="宋体" w:hAnsi="宋体" w:cs="宋体"/>
              </w:rPr>
              <w:t>用于查看监督人员在本平台使用操作情况，包括新增、删除、修改、查询等操作记录。</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（2）基于API调用的日志数据：</w:t>
            </w:r>
            <w:r>
              <w:rPr>
                <w:rFonts w:hint="eastAsia" w:ascii="宋体" w:hAnsi="宋体" w:cs="宋体"/>
              </w:rPr>
              <w:t>调用日志在API GetWay处理调用请求时产生。每次调用都必须记录一次调用日志。包括调用哪个API、调用者身份、调用参数、调用结果、调用返回值、调用耗时等。在调用过程中如果发生了不可知的错误，需要进行异常捕获。捕获的信息需要记录到异常日志表中接口的交互情况。统计API调用的日志数据，需完成多维度的统计，其中包括API调用次数的统计、响应时间的统计、最后使用API时间的统计、API调用者的统计、API错误调用次数的统计。</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▲15.服务资源监控告预警管理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提供监控告警功能，实现健康状态监测、容器服务监测，并且针对容器、宿主机、集群控制器等组件，实现多维度的告警策略，应提供自动监控报警（如短信、微信等），故障时能快速定位、排查、解决问题。</w:t>
            </w:r>
          </w:p>
          <w:p>
            <w:pPr>
              <w:widowControl/>
              <w:adjustRightInd w:val="0"/>
              <w:snapToGrid w:val="0"/>
              <w:spacing w:line="360" w:lineRule="exact"/>
              <w:ind w:firstLine="422" w:firstLineChars="200"/>
              <w:jc w:val="left"/>
              <w:rPr>
                <w:rFonts w:ascii="宋体" w:hAnsi="宋体"/>
                <w:color w:val="000000"/>
                <w:szCs w:val="21"/>
              </w:rPr>
            </w:pPr>
            <w:r>
              <w:rPr>
                <w:rFonts w:hint="eastAsia" w:ascii="宋体" w:hAnsi="宋体" w:cs="宋体"/>
                <w:b/>
                <w:bCs/>
              </w:rPr>
              <w:t>▲16.短信、微信、邮箱提醒功能</w:t>
            </w:r>
          </w:p>
          <w:p>
            <w:pPr>
              <w:widowControl/>
              <w:adjustRightInd w:val="0"/>
              <w:snapToGrid w:val="0"/>
              <w:spacing w:line="360" w:lineRule="exact"/>
              <w:ind w:firstLine="420" w:firstLineChars="200"/>
              <w:jc w:val="left"/>
              <w:rPr>
                <w:rFonts w:ascii="宋体" w:hAnsi="宋体"/>
                <w:color w:val="000000"/>
                <w:szCs w:val="21"/>
              </w:rPr>
            </w:pPr>
            <w:r>
              <w:rPr>
                <w:rFonts w:hint="eastAsia" w:ascii="宋体" w:hAnsi="宋体"/>
                <w:color w:val="000000"/>
                <w:szCs w:val="21"/>
              </w:rPr>
              <w:t>运维期间提供短信服务，实现对职业健康业务各个环节相关人员的信息提示，将职业病诊断申请、职业病鉴定申请、异常数据、预警提示、年度更新、诊断结果、鉴定结果、审核结果等及时通知相关人员，如企业各类风险的预警通过短信、微信等方式及时通知企业负责人处置等。接收短信的对象主要包括劳动者、用人单位、诊断医师、管理者等。提供规则设定、发送工具、查询统计功能。</w:t>
            </w:r>
            <w:r>
              <w:rPr>
                <w:rFonts w:hint="eastAsia" w:ascii="宋体" w:hAnsi="宋体" w:cs="宋体"/>
              </w:rPr>
              <w:t>短信所有费用包含在本项目范围内，不提供相应承诺函则视为未实质性响应采购文件。</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▲17.消息接收发送功能</w:t>
            </w:r>
          </w:p>
          <w:p>
            <w:pPr>
              <w:widowControl/>
              <w:adjustRightInd w:val="0"/>
              <w:snapToGrid w:val="0"/>
              <w:spacing w:line="360" w:lineRule="exact"/>
              <w:ind w:firstLine="420" w:firstLineChars="200"/>
              <w:jc w:val="left"/>
              <w:rPr>
                <w:rFonts w:ascii="宋体" w:hAnsi="宋体"/>
                <w:color w:val="000000"/>
                <w:szCs w:val="21"/>
              </w:rPr>
            </w:pPr>
            <w:r>
              <w:rPr>
                <w:rFonts w:hint="eastAsia" w:ascii="宋体" w:hAnsi="宋体"/>
                <w:color w:val="000000"/>
                <w:szCs w:val="21"/>
              </w:rPr>
              <w:t>提供消息接收服务和消息推送服务。消息推送服务实现服务器端向用户端信息推送。</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（1）新闻类消息推送:</w:t>
            </w:r>
            <w:r>
              <w:rPr>
                <w:rFonts w:hint="eastAsia" w:ascii="宋体" w:hAnsi="宋体" w:cs="宋体"/>
              </w:rPr>
              <w:t>该功能由平台管理人员进行人工筛选，通过平台功能填写后发布。本功能可以通过平台授权给地方，对本地区用户推送和发布新闻类信息，新闻类信息对全体用户推送。</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（2）业务类消息推送:</w:t>
            </w:r>
            <w:r>
              <w:rPr>
                <w:rFonts w:hint="eastAsia" w:ascii="宋体" w:hAnsi="宋体" w:cs="宋体"/>
              </w:rPr>
              <w:t>该功能由业务系统在业务经办过程的节点环节发起，通过移动平台对终端用户发送通知。业务类消息由业务系统进行鉴权校验。如用人单位手机端、劳动者手机端可以接收提醒信息。劳动者端可推送诊断申请信息等。</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（4）系统消息推送:</w:t>
            </w:r>
            <w:r>
              <w:rPr>
                <w:rFonts w:hint="eastAsia" w:ascii="宋体" w:hAnsi="宋体" w:cs="宋体"/>
              </w:rPr>
              <w:t>该功能由平台发起，推送活动信息、推介信息和版本变更信息。系统消息对全体用户推送。</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（5）政策消息推送:</w:t>
            </w:r>
            <w:r>
              <w:rPr>
                <w:rFonts w:hint="eastAsia" w:ascii="宋体" w:hAnsi="宋体" w:cs="宋体"/>
              </w:rPr>
              <w:t>该功能由平台授权的地方机构，对本地区推送政策消息。政策消息仅对本地区范围用户推送。</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（6）消息模板管理:</w:t>
            </w:r>
            <w:r>
              <w:rPr>
                <w:rFonts w:hint="eastAsia" w:ascii="宋体" w:hAnsi="宋体" w:cs="宋体"/>
              </w:rPr>
              <w:t>该功能可对要推送的消息内容进行模板化管理，在系统中可方便快捷的重复调用。</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（7）消息推送任务管理:</w:t>
            </w:r>
            <w:r>
              <w:rPr>
                <w:rFonts w:hint="eastAsia" w:ascii="宋体" w:hAnsi="宋体" w:cs="宋体"/>
              </w:rPr>
              <w:t>对于要发送的消息内容，可通过该功能创建推送计划（包括推送对象、消息类型、消息内容、推送时间等），由上级管理人员审核通过后，系统将自动按推送时间、推送对象推送相应的消息。</w:t>
            </w:r>
          </w:p>
          <w:p>
            <w:pPr>
              <w:widowControl/>
              <w:adjustRightInd w:val="0"/>
              <w:snapToGrid w:val="0"/>
              <w:spacing w:line="360" w:lineRule="exact"/>
              <w:ind w:firstLine="422" w:firstLineChars="200"/>
              <w:jc w:val="left"/>
              <w:rPr>
                <w:rFonts w:ascii="宋体" w:hAnsi="宋体"/>
                <w:color w:val="000000"/>
                <w:szCs w:val="21"/>
              </w:rPr>
            </w:pPr>
            <w:r>
              <w:rPr>
                <w:rFonts w:hint="eastAsia" w:ascii="宋体" w:hAnsi="宋体" w:cs="宋体"/>
                <w:b/>
                <w:bCs/>
              </w:rPr>
              <w:t>（8）消息统计:</w:t>
            </w:r>
            <w:r>
              <w:rPr>
                <w:rFonts w:hint="eastAsia" w:ascii="宋体" w:hAnsi="宋体" w:cs="宋体"/>
              </w:rPr>
              <w:t>该功能通过对已推送的各类消息的历史记录收集整理，统计结果以图表的方式进行数据呈现，支持进行可视化展示。该功能对平台发出的消息时间、状态、发送者、接收对象等信息进行记录，便于系统的维护。</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▲18.劳动者病史浏览功能</w:t>
            </w:r>
          </w:p>
          <w:p>
            <w:pPr>
              <w:widowControl/>
              <w:adjustRightInd w:val="0"/>
              <w:snapToGrid w:val="0"/>
              <w:spacing w:line="360" w:lineRule="exact"/>
              <w:ind w:firstLine="420" w:firstLineChars="200"/>
              <w:jc w:val="left"/>
              <w:rPr>
                <w:rFonts w:ascii="宋体" w:hAnsi="宋体"/>
                <w:color w:val="000000"/>
                <w:szCs w:val="21"/>
              </w:rPr>
            </w:pPr>
            <w:r>
              <w:rPr>
                <w:rFonts w:hint="eastAsia" w:ascii="宋体" w:hAnsi="宋体"/>
                <w:color w:val="000000"/>
                <w:szCs w:val="21"/>
              </w:rPr>
              <w:t>权限管理：系统维护人员对职业病病历、电子病历浏览使用者的身份进行控制和管理，对其权限进行控制和管理。</w:t>
            </w:r>
          </w:p>
          <w:p>
            <w:pPr>
              <w:widowControl/>
              <w:adjustRightInd w:val="0"/>
              <w:snapToGrid w:val="0"/>
              <w:spacing w:line="360" w:lineRule="exact"/>
              <w:ind w:firstLine="420" w:firstLineChars="200"/>
              <w:jc w:val="left"/>
              <w:rPr>
                <w:rFonts w:ascii="宋体" w:hAnsi="宋体"/>
                <w:color w:val="000000"/>
                <w:szCs w:val="21"/>
              </w:rPr>
            </w:pPr>
            <w:r>
              <w:rPr>
                <w:rFonts w:hint="eastAsia" w:ascii="宋体" w:hAnsi="宋体"/>
                <w:color w:val="000000"/>
                <w:szCs w:val="21"/>
              </w:rPr>
              <w:t>验证登录：通过多种手段识别唯一居民身份，从而得到提供服务的授权。注重系统登录安全性，防止泄露居民隐私。</w:t>
            </w:r>
          </w:p>
          <w:p>
            <w:pPr>
              <w:widowControl/>
              <w:adjustRightInd w:val="0"/>
              <w:snapToGrid w:val="0"/>
              <w:spacing w:line="360" w:lineRule="exact"/>
              <w:ind w:firstLine="420" w:firstLineChars="200"/>
              <w:jc w:val="left"/>
              <w:rPr>
                <w:rFonts w:ascii="宋体" w:hAnsi="宋体"/>
                <w:color w:val="000000"/>
                <w:szCs w:val="21"/>
              </w:rPr>
            </w:pPr>
            <w:r>
              <w:rPr>
                <w:rFonts w:hint="eastAsia" w:ascii="宋体" w:hAnsi="宋体"/>
                <w:color w:val="000000"/>
                <w:szCs w:val="21"/>
              </w:rPr>
              <w:t>病历信息查询：得到授权的医疗机构或医疗工作人员根据患者统一身份识别查询职业病病历信息，作为医疗服务工作参考信息。</w:t>
            </w:r>
          </w:p>
          <w:p>
            <w:pPr>
              <w:widowControl/>
              <w:adjustRightInd w:val="0"/>
              <w:snapToGrid w:val="0"/>
              <w:spacing w:line="360" w:lineRule="exact"/>
              <w:ind w:firstLine="420" w:firstLineChars="200"/>
              <w:jc w:val="left"/>
              <w:rPr>
                <w:rFonts w:ascii="宋体" w:hAnsi="宋体" w:cs="宋体"/>
              </w:rPr>
            </w:pPr>
            <w:r>
              <w:rPr>
                <w:rFonts w:hint="eastAsia" w:ascii="宋体" w:hAnsi="宋体"/>
                <w:color w:val="000000"/>
                <w:szCs w:val="21"/>
              </w:rPr>
              <w:t>日志管理：系统记录病历查询的日志，以及用户登录、调阅的时间、过程以及调阅计算机的IP和MAC地址等信息，以备统计和追溯。</w:t>
            </w:r>
          </w:p>
          <w:p>
            <w:pPr>
              <w:adjustRightInd w:val="0"/>
              <w:snapToGrid w:val="0"/>
              <w:spacing w:line="300" w:lineRule="exact"/>
              <w:ind w:firstLine="422" w:firstLineChars="200"/>
              <w:rPr>
                <w:rFonts w:ascii="宋体" w:hAnsi="宋体"/>
                <w:b/>
                <w:color w:val="000000"/>
                <w:szCs w:val="21"/>
              </w:rPr>
            </w:pPr>
            <w:r>
              <w:rPr>
                <w:rFonts w:hint="eastAsia" w:ascii="宋体" w:hAnsi="宋体" w:cs="宋体"/>
                <w:b/>
                <w:bCs/>
              </w:rPr>
              <w:t>▲</w:t>
            </w:r>
            <w:r>
              <w:rPr>
                <w:rFonts w:hint="eastAsia" w:ascii="宋体" w:hAnsi="宋体"/>
                <w:b/>
                <w:color w:val="000000"/>
                <w:szCs w:val="21"/>
              </w:rPr>
              <w:t>（五）系统管理。</w:t>
            </w:r>
          </w:p>
          <w:p>
            <w:pPr>
              <w:adjustRightInd w:val="0"/>
              <w:snapToGrid w:val="0"/>
              <w:spacing w:line="300" w:lineRule="exact"/>
              <w:ind w:firstLine="420" w:firstLineChars="200"/>
              <w:rPr>
                <w:rFonts w:ascii="宋体" w:hAnsi="宋体"/>
                <w:color w:val="000000"/>
                <w:szCs w:val="21"/>
              </w:rPr>
            </w:pPr>
            <w:r>
              <w:rPr>
                <w:rFonts w:hint="eastAsia" w:ascii="宋体" w:hAnsi="宋体" w:cs="宋体"/>
              </w:rPr>
              <w:t>具备包括基础资源配置管理、行政区划代码管理、专家库管理、机构管理、组织机构管理、用人单位管理、用户权限的设置、密码修改、初始化、系统选项设置等功能。具备多层权限的权限管理，可分为系统、功能模块、业务表单、字段级的权限划分和控制。</w:t>
            </w:r>
          </w:p>
          <w:p>
            <w:pPr>
              <w:adjustRightInd w:val="0"/>
              <w:snapToGrid w:val="0"/>
              <w:spacing w:line="300" w:lineRule="exact"/>
              <w:ind w:firstLine="422" w:firstLineChars="200"/>
              <w:rPr>
                <w:rFonts w:ascii="宋体" w:hAnsi="宋体" w:cs="宋体"/>
              </w:rPr>
            </w:pPr>
            <w:r>
              <w:rPr>
                <w:rFonts w:hint="eastAsia" w:ascii="宋体" w:hAnsi="宋体" w:cs="宋体"/>
                <w:b/>
                <w:bCs/>
              </w:rPr>
              <w:t>▲</w:t>
            </w:r>
            <w:r>
              <w:rPr>
                <w:rFonts w:hint="eastAsia" w:ascii="宋体" w:hAnsi="宋体"/>
                <w:b/>
                <w:color w:val="000000"/>
                <w:szCs w:val="21"/>
              </w:rPr>
              <w:t>（六）</w:t>
            </w:r>
            <w:r>
              <w:rPr>
                <w:rFonts w:hint="eastAsia" w:ascii="宋体" w:hAnsi="宋体" w:cs="宋体"/>
                <w:b/>
                <w:bCs/>
              </w:rPr>
              <w:t>职业病风险预警。</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病风险预警模块的目标是实现职业健康风险监控预警的信息管理根据采集到数据分析结果，及时预警职业病多发单位情况，推进职业病治理。具备用人单位基本信息、职业病危害作业信息、职业病危害因素监测信息、职业健康检查信息、职业病发病信息、职业病危害事故信息、职业健康监督执法信息等数据预警功能。实现对区域单位时间内、用人单位体检指标数据连续异常超过设定阈值进行预警，做到对用人单位职业健康检查率、检查规范率、疑似职业病、确诊职业病、职业禁忌证等情况做到全面掌握，实现对职业病人增加情况进行智能预警。对区域单位时间内、用人单位职业病人申报数据连续增加超过设定阈值进行预警。实现对危害因素监测超标情况进行智能预警。对区域单位时间内、用人单位作业场所职业危害因素监测指标数据连续异常超过设定阈值进行预警。需实现对各类监督管理工作进行智能预警。通过数据交换信息，提醒卫生监督机构对需要申报的相关用人单位进行督促申报。</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1.放射卫生风险预警模块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需实现对个人剂量检测报告、场所检测报告、设备检测报告中超过阈值的数值进行预警，阈值可由自治区级疾控中心进行自由设置。需实现对区域单位时间内、用人单位体检指标数据连续异常超过设定阈值进行预警，做到对用人单位职业健康检查率、检查规范率、疑似职业病、确诊职业病、职业禁忌证等情况做到全面掌握。需实现对职业病人增加情况进行智能预警。对区域单位时间内、用人单位职业病人申报数据连续增加超过设定阈值进行预警。需实现对危害因素监测超标情况进行智能预警。对区域单位时间内、用人单位作业场所职业危害因素监测指标数据连续异常超过设定阈值进行预警。</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2.职防院预警</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按照《职业健康监护技术规范》（GBZ 188-2014）和《用人单位职业病危害风险分级方法》的标准进行预警，预警的项目和阈值可由自治区职防院进行设定，预警方向主要包括：</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w:t>
            </w:r>
            <w:r>
              <w:rPr>
                <w:rFonts w:hint="eastAsia" w:ascii="宋体" w:hAnsi="宋体" w:cs="宋体"/>
              </w:rPr>
              <w:t>对于检测中出现的异常偏高数据值进行预警，阈值由职防院设置；</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w:t>
            </w:r>
            <w:r>
              <w:rPr>
                <w:rFonts w:hint="eastAsia" w:ascii="宋体" w:hAnsi="宋体" w:cs="宋体"/>
              </w:rPr>
              <w:t>对体检中出现的聚集性显著异常进行预警，阈值由职防院设置；</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（3）</w:t>
            </w:r>
            <w:r>
              <w:rPr>
                <w:rFonts w:hint="eastAsia" w:ascii="宋体" w:hAnsi="宋体" w:cs="宋体"/>
              </w:rPr>
              <w:t>结合与去年同期比较结果，对上一年度职业病发病超过100例且本年度职业病发病病例数与上一年度相比变化超过10%，或上一年度小于100例且变化超过20%的情况进行预警；</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（4）</w:t>
            </w:r>
            <w:r>
              <w:rPr>
                <w:rFonts w:hint="eastAsia" w:ascii="宋体" w:hAnsi="宋体" w:cs="宋体"/>
              </w:rPr>
              <w:t>对出现实际接尘工龄不足5年的职业性尘肺病病例的情况进行预警。</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3.自治区卫生监督所预警内容</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根据职业技术服务机构检查超标点的往年数据比对今年数据，对存在异常的数据进行预警（例如异常增加或异常降低）。对用人单位在岗期间体检人数与往年比对，波动超25%即进行预警，波动的阈值可由属地的卫生监督所进行自由设定。需实现对各类监督管理工作进行智能预警。通过数据交换信息，提醒卫生监督机构对需要申报的相关用人单位进行督促申报。</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4.重点职业病监测预警</w:t>
            </w:r>
          </w:p>
          <w:p>
            <w:pPr>
              <w:widowControl/>
              <w:adjustRightInd w:val="0"/>
              <w:snapToGrid w:val="0"/>
              <w:spacing w:line="360" w:lineRule="exact"/>
              <w:ind w:firstLine="420" w:firstLineChars="200"/>
              <w:jc w:val="left"/>
              <w:rPr>
                <w:rFonts w:ascii="宋体" w:hAnsi="宋体"/>
                <w:b/>
                <w:color w:val="000000"/>
                <w:szCs w:val="21"/>
              </w:rPr>
            </w:pPr>
            <w:r>
              <w:rPr>
                <w:rFonts w:hint="eastAsia" w:ascii="宋体" w:hAnsi="宋体" w:cs="宋体"/>
              </w:rPr>
              <w:t>根据重点职业病监测相关数据统计起止时间，明确职业健康检查个案数据上报的三个时间节点：体检报告出具日期在6月16日至9月15日间、9月16日至11月15日间、11月16日至下一年的6月15日的数据，应分别在9月30日前和11月30日前、下一年的6月30日前录入、上传或交换至国家职业病监测信息系统，并完成自治区级数据审核，逾期数据将不纳入统计。系统依据以上时间节点设置录入数据提醒，特别是数据审核提醒，提示区、县、市及时审核和修改审核不通过数据。</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▲（七）法律法规模块。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用于对现存的法律法规进行维护，可以新增新出台的法律法规，删除已废弃的法律法规、变更法律法规内容等。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1.法律法规录入</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（1）法律法规上传</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用于上传法律法规文件。管理部门可以填写法律法规基本信息、上传法律法规文件并将法律法规文件提交审核。</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（2）法律法规变更</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用于管理法律法规变更。管理部门可以变更已通过审核的法律法规，并将变更信息提交审核。</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（3）法律法规审核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用于审核法律法规。管理部门可以对新上传的或者变更的法律法规进行审核，审核通过的法律法规可以用于发布；审核未通过的法律法规不可以发布，并将驳回信息反馈给申请人。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2.法律法规发布</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（1）法律法规发布到用人单位和机构</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把法律法规发布到用人单位和机构。管理部门可以选择未发布给用人单位和机构的法律法规发布到指定的用人单位和机构。发布后，用人单位和机构用户可以在应用系统的法律法规模块在线预览或下载法律法规文件。</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（2）法律法规发布到门户网站</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用于把法律法规发布到门户网站。管理部门可以对未发布到门户网站的法律法规进行发布，发布后，平台的所有用户可以在门户网站在线查看或者下载法律法规文件。</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▲（八）科研管理模块。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对科研进行管理，由各级职业卫生相关部门针对职业健康业务领域的科研项目的管理，通过系统对课题研究管理、技术研究管理、装备防护设施研究管理、行业标准制定、法律法规制定等内容进行综合管理，主要由上级主管部门负责审核下一级单位。</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1.课题研究管理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（1）制定课题研究计划</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用于申报课题研究。各级申报单位可以填写课题研究计划书，填写课题研究主题和课题研究大纲、流程，并将计划提交审核。</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（2）课题研究计划申报审核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审核课题研究计划，各级职业卫生部门根据单位内部的课题研究需求，向上一级主管部门，提交审核的课题研究计划进行审核，通过上一级主管先审核的课题研究计划可以正式执行；未通过审核的课题研究计划退回给原申请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（3）课题研究情况</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用于管理课题研究情况。课题研究计划审核通过后，各级申报单位可以上传和发布课题研究情况。</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（4）课题研究成果</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用于管理课题研究成果。课题研究结束后，课题研究申请人可以上传和发布课题研究成果，其他系统用户和机构可以查看课题研究成果。</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2.技术研究管理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（1）制定技术研究计划</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用于申报技术研究计划。各级申报单位可以填写技术研究计划书，填写制定技术研究主题和制定技术研究大纲、流程，并将计划提交审核。</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（2）技术研究计划申报审核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用于审核课题研究计划，主管部门可以对提交审核的技术研究计划进行审核，通过审核的技术研究计划可以正式执行；未通过审核的技术研究计划退回给申请人。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（3）技术研究情况</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用于管理技术研究情况。技术研究计划审核通过后，各级申报单位可以上传和发布技术研究情况。</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（4）技术研究成果</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用于管理技术研究成果。技术研究结束后上传和发布技术研究成果。</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3.装备防护设施研究管理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（1）制定装备防护设施研究计划</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用于申报装备防护设施研究。各级申报单位可以填写装备防护设施研究计划书，填写装备防护设施研究内容和装备防护设施研究大纲、流程，并将计划提交审核。</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（2）装备防护设施研究计划申报审核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用于审核装备防护设施研究计划，卫生行政管理部门可以对提交审核的装备防护设施研究计划进行审核，通过审核的装备防护设施研究计划可以正式执行；未通过审核的装备防护设施研究计划退回给申请人。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（3）装备防护设施研究情况</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用于管理装备防护设施研究情况。装备防护设施研究计划审核通过后可以上传和发布装备防护设施研究情况。</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（4）装备防护设施研究成果</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用于管理装备防护设施研究成果。装备防护设施研究结束后可以上传和发布装备防护设施研究成果。</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4.行业标准制定研究管理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（1）制定行业标准制定研究计划</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用于申报行业标准制定研究。各级申报单位可以填写行业标准制定研究计划书，填写行业标准制定研究内容和行业标准制定研究大纲、流程，并将计划提交审核。</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（2）行业标准制定研究计划申报审核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用于审核行业标准制定研究计划，卫生行政管理部门可以对提交审核的行业标准制定研究计划进行审核，通过审核的行业标准制定研究计划可以正式执行；未通过审核的行业标准制定研究计划退回给申请人。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（3）行业标准制定研究情况</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用于管理行业标准制定研究情况。行业标准制定研究计划审核通过后可以上传和发布行业标准制定研究情况。</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（4）行业标准制定研究研究成果</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用于管理行业标准制定研究成果。行业标准制定研究结束后可以上传和发布行业标准制定研究成果。</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5.法律法规制定研究管理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（1）制定法律法规制定研究计划</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用于申报法律法规制定研究。各级申报单位可以填写法律法规制定研究计划书，填写法律法规制定研究内容和法律法规制定研究大纲、流程，并将计划提交审核。</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（2）法律法规制定研究计划申报审核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用于审核法律法规制定研究计划，各级申报单位可以对提交审核的法律法规制定研究计划进行审核，通过审核的法律法规制定研究计划可以正式执行，未通过审核的法律法规制定研究计划退回给申请人。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（3）法律法规制定研究情况</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用于管理法律法规制定研究情况。法律法规制定研究计划审核通过后可以上传和发布法律法规制定研究情况。</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（4）法律法规制定研究成果</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用于管理法律法规制定研究成果。法律法规制定研究结束后可以上传和发布法律法规制定研究成果。</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▲（九）交流管理模块</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用于管理平台人员之间的交流。管理人员可以制定交流计划，填写交流主题，其他系统用户和机构可以就交流内容发表意见，系统记录交流内容，交流结束后填写交流成果。</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1.交流计划管理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（1）交流计划申报</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用于申报交流计划。管理人员可以填写交流计划申请书，填写交流主题和交流大纲、流程，并将计划提交审核。</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（2）交流计划审核</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用于审核交流计划。管理人员可以审核交流计划，审核通过的交流计划可以用于在系统内进行交流，审核未通过的交流计划后需填写驳回原因并退回给计划申请人。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2.交流管理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（1）交流板</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用于执行系统内部交流，管理人员可以就通过审核的交流计划的交流主题进行讨论，可以发帖交流，也可以回复、评论别人的发表的内容。</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（2）交流成果展示</w:t>
            </w:r>
          </w:p>
          <w:p>
            <w:pPr>
              <w:widowControl/>
              <w:adjustRightInd w:val="0"/>
              <w:snapToGrid w:val="0"/>
              <w:spacing w:line="360" w:lineRule="exact"/>
              <w:ind w:firstLine="420" w:firstLineChars="200"/>
              <w:jc w:val="left"/>
              <w:rPr>
                <w:rFonts w:ascii="宋体" w:hAnsi="宋体"/>
                <w:b/>
                <w:color w:val="000000"/>
                <w:szCs w:val="21"/>
              </w:rPr>
            </w:pPr>
            <w:r>
              <w:rPr>
                <w:rFonts w:hint="eastAsia" w:ascii="宋体" w:hAnsi="宋体" w:cs="宋体"/>
              </w:rPr>
              <w:t>用于展示交流成果。交流结束后，交流申请人根据交流内容，编写交流成果，并发布。发布后，所有用户可以查阅交流成果。</w:t>
            </w:r>
          </w:p>
          <w:p>
            <w:pPr>
              <w:adjustRightInd w:val="0"/>
              <w:snapToGrid w:val="0"/>
              <w:spacing w:line="300" w:lineRule="exact"/>
              <w:ind w:firstLine="211" w:firstLineChars="100"/>
              <w:rPr>
                <w:rFonts w:ascii="宋体" w:hAnsi="宋体" w:cs="宋体"/>
              </w:rPr>
            </w:pPr>
            <w:r>
              <w:rPr>
                <w:rFonts w:hint="eastAsia" w:ascii="宋体" w:hAnsi="宋体" w:cs="宋体"/>
                <w:b/>
                <w:bCs/>
              </w:rPr>
              <w:t>▲</w:t>
            </w:r>
            <w:r>
              <w:rPr>
                <w:rFonts w:hint="eastAsia" w:ascii="宋体" w:hAnsi="宋体"/>
                <w:b/>
                <w:color w:val="000000"/>
                <w:szCs w:val="21"/>
              </w:rPr>
              <w:t>（十）</w:t>
            </w:r>
            <w:r>
              <w:rPr>
                <w:rFonts w:hint="eastAsia" w:ascii="宋体" w:hAnsi="宋体" w:cs="宋体"/>
                <w:b/>
                <w:bCs/>
              </w:rPr>
              <w:t>大数据决策支持。</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大数据分析平台需实现对用人单位的实时监测和预警、重大危险因素进行实时监控预警。为领导者提供智能的辅助决策。根据从用人单位应用系统、劳动者手机端应用、职业健康检查机构应用系统、职业病诊断机构应用系统、职业病鉴定机构应用系统、职业卫生技术服务机构应用系统、放射卫生机构应用系统和在线教育培训系统等部署在电子政务外网互联网区，采集用人单位、劳动者、相关机构数据并汇聚到的职业健康数据进行大数据分析，对决策提供支持；可用于职业病人数预测、职业病情况预测、对发病率高的职业病危害因素项目加强治理等。可提供业务报表和信息档案的生成能力。通过大数据获取的数据以及统计分析结果可根据事先预设好的表格生成业务报表和信息档案，并支持数据查询和统计功能。同时还提供以下功能：</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1.职业病防治电子地图</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监管部门需实现能够了解辖区内各单位的用人单位情况以及具体的地理位置分布情况。系统根据不同维度（机构类型、申报类型、行业类型、风险等级等）对数据进行分析统计。系统需从宏观到微观，层层展开区域内职业防治整体情况。可从区域情况、危害因素情况、健康检查情况、在线检测数据情况等不同视角切换，全局掌握辖区内职业卫生工作开展情况。系统需可逐步展开查看各类业务详细数据，可深入查看企业单位分布、体检情况、检测情况、人员情况、档案管理情况、组织管理情况、培训情况等。做到智能监管，高效执法。针对职业健康业务领域的所有参与角色，进行多图层全局宏观数据展示与分析。需实现对职业卫生技术服务机构信用等级分布、监督执法机构分布、职业卫生技术支撑机构分布、用人单位分类分级分布等情况做到全面掌握。</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2.职业危害因素分布分析</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可针对区域内所有用人单位涉及的危害因素种类，进行综合统计分析。需按危害因素种类、地区、行业分类、单位规模等维度进行精细化分析。并可结合在线检测实时数据，横向对比，智能评估区域内重点危害情况。</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3.职业病分布分析</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可对区域内所有职业病类型进行综合统计分析，分析辖区内疑似职业病、确诊职业病的数量与种类情况。需从区域的角度查看不同辖区内的劳动者健康情况，评估区域职业卫生监管工作开展情况。需从职业健康检查机构的角度，查看职业病检出情况。可进一步细化至企业进行横向对比，根据企业规模、行业、涉害人数等维度，评估企业职业病防治工作开展情况，做到监管有的放矢，智能可靠。</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4.职业病情况预测</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（1）职业病人数预测</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根据每年的职业病人数增长率，预测未来几年，各类职业病人数的大致数量、职业病患病人数的大致数量，以及职业病发病率等。平台通过对职业病人数预测，可以对发病率高的职业病危害因素项目加强治理提供决策支持。预测结果支持使用图形、数据表等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（2）职业病诊断机构诊断、鉴定情况预测</w:t>
            </w:r>
          </w:p>
          <w:p>
            <w:pPr>
              <w:widowControl/>
              <w:adjustRightInd w:val="0"/>
              <w:snapToGrid w:val="0"/>
              <w:spacing w:line="360" w:lineRule="exact"/>
              <w:ind w:firstLine="420" w:firstLineChars="200"/>
              <w:jc w:val="left"/>
            </w:pPr>
            <w:r>
              <w:rPr>
                <w:rFonts w:hint="eastAsia" w:ascii="宋体" w:hAnsi="宋体" w:cs="宋体"/>
              </w:rPr>
              <w:t>根据在岗的职业病诊断医师、鉴定专家、各机构每年的诊断、鉴定情况，预测未来几年全区职业病诊断、鉴定的人数、诊断确诊人数、鉴定确诊人数等信息。平台通过对职业病诊断机构诊断情况预测，可以对职业病管理等提供决策支持。预测结果支持使用图形、数据表等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（3）职业健康检查情况展示</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健康体检个案检查数量、完成率、上报率；职业健康检查机构数量及分布情况；用工单位数量及分布；职业病和疑似职业病的患者数量、地区分布、行业分布、岗位分布；职业病危害因素（粉尘/化学因素/物理因素）用人单位数、超标率、地区分布、行业分布、岗位分布、浓度分布。</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5.放射卫生当前情况展示</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放射工作人员个人剂量监测率、职业健康检查率、放射诊疗设备质量控制合格率、放射工作场所放射防护合格率、基本台账（各辖区机构数、放射工作人员数等）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6.人员情况预测</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（1）劳动者情况预测</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根据现在岗的劳动者数量以及年度劳动者增长数量，预测未来几年的劳动者情况。平台通过对劳动者情况预测，可以对加强职业病管理、加强培训教育管理等提供决策支持。预测结果支持使用图形、数据表等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（2）职业卫生专业技术人员情况预测</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根据现在岗的职业卫生专业技术人员以及年度职业卫生专业技术人员增长数量等，预测未来几年的职业卫生专业技术人员情况。平台通过对职业卫生专业技术人员情况预测，可以对加强培训教育管理等提供决策支持。预测结果支持使用图形、数据表等进行可视化展示。</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（3）放射卫生技术人员情况预测</w:t>
            </w:r>
          </w:p>
          <w:p>
            <w:pPr>
              <w:widowControl/>
              <w:adjustRightInd w:val="0"/>
              <w:snapToGrid w:val="0"/>
              <w:spacing w:line="360" w:lineRule="exact"/>
              <w:ind w:firstLine="420" w:firstLineChars="200"/>
              <w:jc w:val="left"/>
              <w:rPr>
                <w:rFonts w:ascii="宋体" w:hAnsi="宋体" w:cs="宋体"/>
                <w:b/>
                <w:bCs/>
              </w:rPr>
            </w:pPr>
            <w:r>
              <w:rPr>
                <w:rFonts w:hint="eastAsia" w:ascii="宋体" w:hAnsi="宋体" w:cs="宋体"/>
              </w:rPr>
              <w:t>根据现在岗的放射卫生专业技术人员以及年度放射卫生专业技术人员增长数量等，预测未来几年的放射卫生专业技术人员情况。平台通过对放射卫生专业技术人员情况预测，可以对加强培训教育管理等提供决策支持。预测结果支持使用图形、数据表等进行可视化展示。</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（4）职业病诊断医师情况预测</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（十一）统计分析。</w:t>
            </w:r>
          </w:p>
          <w:p>
            <w:pPr>
              <w:adjustRightInd w:val="0"/>
              <w:snapToGrid w:val="0"/>
              <w:spacing w:line="300" w:lineRule="exact"/>
              <w:ind w:firstLine="420" w:firstLineChars="200"/>
              <w:rPr>
                <w:rFonts w:ascii="宋体" w:hAnsi="宋体"/>
                <w:color w:val="000000"/>
                <w:szCs w:val="21"/>
              </w:rPr>
            </w:pPr>
            <w:r>
              <w:rPr>
                <w:rFonts w:hint="eastAsia" w:ascii="宋体" w:hAnsi="宋体"/>
                <w:color w:val="000000"/>
                <w:szCs w:val="21"/>
              </w:rPr>
              <w:t>实现按照多种分类业务指标分类方法（时间、地域、人群特征、业务特征等不同维度）进行综合查询，以满足不同需要，具有特征维度细分，如按时间查询，根据统计数据的特点，又分为按年度查询、按季度查询、按月度查询等功能。</w:t>
            </w:r>
          </w:p>
          <w:p>
            <w:pPr>
              <w:adjustRightInd w:val="0"/>
              <w:snapToGrid w:val="0"/>
              <w:spacing w:line="300" w:lineRule="exact"/>
              <w:ind w:firstLine="420" w:firstLineChars="200"/>
              <w:rPr>
                <w:rFonts w:ascii="宋体" w:hAnsi="宋体"/>
                <w:color w:val="000000"/>
                <w:szCs w:val="21"/>
              </w:rPr>
            </w:pPr>
            <w:r>
              <w:rPr>
                <w:rFonts w:hint="eastAsia" w:ascii="宋体" w:hAnsi="宋体"/>
                <w:color w:val="000000"/>
                <w:szCs w:val="21"/>
              </w:rPr>
              <w:t>能自动生成多种格式的统计报表、图形，并能查询、打印和导出报表数据。具有报表格式自定义。</w:t>
            </w:r>
          </w:p>
          <w:p>
            <w:pPr>
              <w:adjustRightInd w:val="0"/>
              <w:snapToGrid w:val="0"/>
              <w:spacing w:line="300" w:lineRule="exact"/>
              <w:ind w:firstLine="420" w:firstLineChars="200"/>
              <w:rPr>
                <w:rFonts w:ascii="宋体" w:hAnsi="宋体"/>
                <w:color w:val="000000"/>
                <w:szCs w:val="21"/>
              </w:rPr>
            </w:pPr>
            <w:r>
              <w:rPr>
                <w:rFonts w:hint="eastAsia" w:ascii="宋体" w:hAnsi="宋体"/>
                <w:color w:val="000000"/>
                <w:szCs w:val="21"/>
              </w:rPr>
              <w:t>查询与统计的结果信息可通过浏览器页面、计算机窗体、打印机输出、Excel 报表、图形表现、仪表盘或标准化的XML 格式输出。</w:t>
            </w:r>
          </w:p>
          <w:p>
            <w:pPr>
              <w:widowControl/>
              <w:adjustRightInd w:val="0"/>
              <w:snapToGrid w:val="0"/>
              <w:spacing w:line="360" w:lineRule="exact"/>
              <w:ind w:firstLine="422" w:firstLineChars="200"/>
              <w:jc w:val="left"/>
              <w:rPr>
                <w:rFonts w:ascii="宋体" w:hAnsi="宋体" w:cs="宋体"/>
                <w:b/>
                <w:bCs/>
              </w:rPr>
            </w:pPr>
            <w:bookmarkStart w:id="118" w:name="_Toc10415"/>
            <w:bookmarkStart w:id="119" w:name="_Toc3769"/>
            <w:bookmarkStart w:id="120" w:name="_Toc432"/>
            <w:bookmarkStart w:id="121" w:name="_Toc30972"/>
            <w:bookmarkStart w:id="122" w:name="_Toc15879"/>
            <w:bookmarkStart w:id="123" w:name="_Toc20859"/>
            <w:bookmarkStart w:id="124" w:name="_Toc6676"/>
            <w:bookmarkStart w:id="125" w:name="_Toc21327"/>
            <w:bookmarkStart w:id="126" w:name="_Toc116553966"/>
            <w:bookmarkStart w:id="127" w:name="_Toc9198"/>
            <w:bookmarkStart w:id="128" w:name="_Toc26392"/>
            <w:bookmarkStart w:id="129" w:name="_Toc10179"/>
            <w:r>
              <w:rPr>
                <w:rFonts w:hint="eastAsia" w:ascii="宋体" w:hAnsi="宋体" w:cs="宋体"/>
                <w:b/>
                <w:bCs/>
              </w:rPr>
              <w:t>▲（十二）政务信息共享开放</w:t>
            </w:r>
            <w:bookmarkEnd w:id="118"/>
            <w:bookmarkEnd w:id="119"/>
            <w:bookmarkEnd w:id="120"/>
            <w:bookmarkEnd w:id="121"/>
            <w:bookmarkEnd w:id="122"/>
            <w:bookmarkEnd w:id="123"/>
            <w:bookmarkEnd w:id="124"/>
            <w:bookmarkEnd w:id="125"/>
            <w:bookmarkEnd w:id="126"/>
            <w:bookmarkEnd w:id="127"/>
            <w:bookmarkEnd w:id="128"/>
            <w:bookmarkEnd w:id="129"/>
            <w:bookmarkStart w:id="130" w:name="_Hlk5213894"/>
            <w:bookmarkStart w:id="131" w:name="_Toc27078225"/>
            <w:bookmarkStart w:id="132" w:name="_Toc36132847"/>
            <w:bookmarkStart w:id="133" w:name="_Toc29280235"/>
            <w:bookmarkStart w:id="134" w:name="_Toc29822742"/>
            <w:bookmarkStart w:id="135" w:name="_Toc116553967"/>
            <w:bookmarkStart w:id="136" w:name="_Toc20999"/>
            <w:bookmarkStart w:id="137" w:name="_Toc16453"/>
            <w:bookmarkStart w:id="138" w:name="_Toc11230"/>
            <w:bookmarkStart w:id="139" w:name="_Toc31118"/>
            <w:bookmarkStart w:id="140" w:name="_Toc22522"/>
            <w:bookmarkStart w:id="141" w:name="_Toc7813"/>
            <w:bookmarkStart w:id="142" w:name="_Toc13904"/>
            <w:bookmarkStart w:id="143" w:name="_Toc29387"/>
            <w:bookmarkStart w:id="144" w:name="_Toc23897"/>
            <w:bookmarkStart w:id="145" w:name="_Toc12390"/>
            <w:r>
              <w:rPr>
                <w:rFonts w:hint="eastAsia" w:ascii="宋体" w:hAnsi="宋体" w:cs="宋体"/>
                <w:b/>
                <w:bCs/>
              </w:rPr>
              <w:t>。</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实现信息共享再广西壮族自治区数据共享交换平台（以下简称自治区共享平台）。数据共享对接内容：</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本项目需要通过自治区共享交换平台实现以下数据的接入，如表11所示：</w:t>
            </w:r>
          </w:p>
          <w:p>
            <w:pPr>
              <w:pStyle w:val="15"/>
              <w:jc w:val="center"/>
            </w:pPr>
            <w:r>
              <w:rPr>
                <w:rFonts w:hint="eastAsia"/>
              </w:rPr>
              <w:t>表 11数据需求清单</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966"/>
              <w:gridCol w:w="3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900" w:type="dxa"/>
                  <w:vAlign w:val="center"/>
                </w:tcPr>
                <w:p>
                  <w:pPr>
                    <w:widowControl/>
                    <w:adjustRightInd w:val="0"/>
                    <w:snapToGrid w:val="0"/>
                    <w:spacing w:line="360" w:lineRule="exact"/>
                    <w:jc w:val="left"/>
                    <w:rPr>
                      <w:rFonts w:ascii="宋体" w:hAnsi="宋体" w:cs="宋体"/>
                    </w:rPr>
                  </w:pPr>
                  <w:r>
                    <w:rPr>
                      <w:rFonts w:hint="eastAsia" w:ascii="宋体" w:hAnsi="宋体" w:cs="宋体"/>
                    </w:rPr>
                    <w:t>序号</w:t>
                  </w:r>
                </w:p>
              </w:tc>
              <w:tc>
                <w:tcPr>
                  <w:tcW w:w="396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数据需求</w:t>
                  </w:r>
                </w:p>
              </w:tc>
              <w:tc>
                <w:tcPr>
                  <w:tcW w:w="365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w:t>
                  </w:r>
                </w:p>
              </w:tc>
              <w:tc>
                <w:tcPr>
                  <w:tcW w:w="3966" w:type="dxa"/>
                  <w:vAlign w:val="center"/>
                </w:tcPr>
                <w:p>
                  <w:pPr>
                    <w:widowControl/>
                    <w:adjustRightInd w:val="0"/>
                    <w:snapToGrid w:val="0"/>
                    <w:spacing w:line="360" w:lineRule="exact"/>
                    <w:ind w:firstLine="420" w:firstLineChars="200"/>
                    <w:jc w:val="left"/>
                    <w:rPr>
                      <w:rFonts w:ascii="宋体" w:hAnsi="宋体" w:cs="宋体"/>
                    </w:rPr>
                  </w:pPr>
                  <w:r>
                    <w:rPr>
                      <w:rFonts w:hint="eastAsia"/>
                    </w:rPr>
                    <w:t>广西核与辐射监管系统数据</w:t>
                  </w:r>
                </w:p>
              </w:tc>
              <w:tc>
                <w:tcPr>
                  <w:tcW w:w="365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自治区生态环境厅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2</w:t>
                  </w:r>
                </w:p>
              </w:tc>
              <w:tc>
                <w:tcPr>
                  <w:tcW w:w="396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统一社会信用代码</w:t>
                  </w:r>
                </w:p>
              </w:tc>
              <w:tc>
                <w:tcPr>
                  <w:tcW w:w="365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自治区市场监督管理局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3</w:t>
                  </w:r>
                </w:p>
              </w:tc>
              <w:tc>
                <w:tcPr>
                  <w:tcW w:w="396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人口库</w:t>
                  </w:r>
                </w:p>
              </w:tc>
              <w:tc>
                <w:tcPr>
                  <w:tcW w:w="365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自治区公安厅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4</w:t>
                  </w:r>
                </w:p>
              </w:tc>
              <w:tc>
                <w:tcPr>
                  <w:tcW w:w="396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医保数据</w:t>
                  </w:r>
                </w:p>
              </w:tc>
              <w:tc>
                <w:tcPr>
                  <w:tcW w:w="365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自治区医保局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5</w:t>
                  </w:r>
                </w:p>
              </w:tc>
              <w:tc>
                <w:tcPr>
                  <w:tcW w:w="396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地形及空间数据</w:t>
                  </w:r>
                </w:p>
              </w:tc>
              <w:tc>
                <w:tcPr>
                  <w:tcW w:w="365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广西地理信息公共服务平台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900" w:type="dxa"/>
                  <w:vAlign w:val="center"/>
                </w:tcPr>
                <w:p>
                  <w:pPr>
                    <w:widowControl/>
                    <w:adjustRightInd w:val="0"/>
                    <w:snapToGrid w:val="0"/>
                    <w:spacing w:line="360" w:lineRule="exact"/>
                    <w:ind w:firstLine="420" w:firstLineChars="200"/>
                    <w:jc w:val="left"/>
                    <w:rPr>
                      <w:rFonts w:ascii="宋体" w:hAnsi="宋体" w:cs="宋体"/>
                    </w:rPr>
                  </w:pPr>
                  <w:bookmarkStart w:id="146" w:name="_Toc7109"/>
                  <w:r>
                    <w:rPr>
                      <w:rFonts w:hint="eastAsia" w:ascii="宋体" w:hAnsi="宋体" w:cs="宋体"/>
                    </w:rPr>
                    <w:t>6</w:t>
                  </w:r>
                </w:p>
              </w:tc>
              <w:tc>
                <w:tcPr>
                  <w:tcW w:w="396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卫生执法数据</w:t>
                  </w:r>
                </w:p>
              </w:tc>
              <w:tc>
                <w:tcPr>
                  <w:tcW w:w="365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自治区市场监督管理局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7</w:t>
                  </w:r>
                </w:p>
              </w:tc>
              <w:tc>
                <w:tcPr>
                  <w:tcW w:w="396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职业病危害事故</w:t>
                  </w:r>
                </w:p>
              </w:tc>
              <w:tc>
                <w:tcPr>
                  <w:tcW w:w="365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自治区应急管理厅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8</w:t>
                  </w:r>
                </w:p>
              </w:tc>
              <w:tc>
                <w:tcPr>
                  <w:tcW w:w="396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职业卫生技术服务机构申请资质</w:t>
                  </w:r>
                </w:p>
              </w:tc>
              <w:tc>
                <w:tcPr>
                  <w:tcW w:w="365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广西数字政务一体化平台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9</w:t>
                  </w:r>
                </w:p>
              </w:tc>
              <w:tc>
                <w:tcPr>
                  <w:tcW w:w="396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放射卫生技术服务机构申请资质</w:t>
                  </w:r>
                </w:p>
              </w:tc>
              <w:tc>
                <w:tcPr>
                  <w:tcW w:w="365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广西数字政务一体化平台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10</w:t>
                  </w:r>
                </w:p>
              </w:tc>
              <w:tc>
                <w:tcPr>
                  <w:tcW w:w="396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放射诊疗机构申请资质</w:t>
                  </w:r>
                </w:p>
              </w:tc>
              <w:tc>
                <w:tcPr>
                  <w:tcW w:w="365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广西数字政务一体化平台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11</w:t>
                  </w:r>
                </w:p>
              </w:tc>
              <w:tc>
                <w:tcPr>
                  <w:tcW w:w="3966" w:type="dxa"/>
                  <w:vAlign w:val="center"/>
                </w:tcPr>
                <w:p>
                  <w:pPr>
                    <w:widowControl/>
                    <w:adjustRightInd w:val="0"/>
                    <w:snapToGrid w:val="0"/>
                    <w:spacing w:line="360" w:lineRule="exact"/>
                    <w:ind w:firstLine="315" w:firstLineChars="150"/>
                    <w:jc w:val="left"/>
                    <w:rPr>
                      <w:rFonts w:ascii="宋体" w:hAnsi="宋体" w:cs="宋体"/>
                    </w:rPr>
                  </w:pPr>
                  <w:r>
                    <w:rPr>
                      <w:rFonts w:hint="eastAsia" w:ascii="宋体" w:hAnsi="宋体" w:cs="宋体"/>
                    </w:rPr>
                    <w:t>广西投资项目在线审批监管平台数据</w:t>
                  </w:r>
                </w:p>
              </w:tc>
              <w:tc>
                <w:tcPr>
                  <w:tcW w:w="3656" w:type="dxa"/>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自治区发展改革委</w:t>
                  </w:r>
                </w:p>
              </w:tc>
            </w:tr>
            <w:bookmarkEnd w:id="130"/>
            <w:bookmarkEnd w:id="131"/>
            <w:bookmarkEnd w:id="132"/>
            <w:bookmarkEnd w:id="133"/>
            <w:bookmarkEnd w:id="134"/>
          </w:tbl>
          <w:p>
            <w:pPr>
              <w:widowControl/>
              <w:adjustRightInd w:val="0"/>
              <w:snapToGrid w:val="0"/>
              <w:spacing w:line="360" w:lineRule="exact"/>
              <w:ind w:firstLine="420" w:firstLineChars="200"/>
              <w:rPr>
                <w:rFonts w:ascii="宋体" w:hAnsi="宋体" w:cs="宋体"/>
              </w:rPr>
            </w:pPr>
            <w:r>
              <w:rPr>
                <w:rFonts w:hint="eastAsia" w:ascii="宋体" w:hAnsi="宋体" w:cs="宋体"/>
              </w:rPr>
              <w:t>本项目建设的数据库中可提供的有条件共享的数据库内容如表12所示：</w:t>
            </w:r>
          </w:p>
          <w:p>
            <w:pPr>
              <w:pStyle w:val="15"/>
              <w:jc w:val="center"/>
            </w:pPr>
            <w:r>
              <w:rPr>
                <w:rFonts w:hint="eastAsia"/>
              </w:rPr>
              <w:t>表 12 数据共享清单</w:t>
            </w:r>
          </w:p>
          <w:tbl>
            <w:tblPr>
              <w:tblStyle w:val="44"/>
              <w:tblW w:w="8917" w:type="dxa"/>
              <w:jc w:val="center"/>
              <w:tblLayout w:type="fixed"/>
              <w:tblCellMar>
                <w:top w:w="0" w:type="dxa"/>
                <w:left w:w="0" w:type="dxa"/>
                <w:bottom w:w="0" w:type="dxa"/>
                <w:right w:w="0" w:type="dxa"/>
              </w:tblCellMar>
            </w:tblPr>
            <w:tblGrid>
              <w:gridCol w:w="623"/>
              <w:gridCol w:w="1009"/>
              <w:gridCol w:w="3403"/>
              <w:gridCol w:w="1181"/>
              <w:gridCol w:w="1503"/>
              <w:gridCol w:w="1198"/>
            </w:tblGrid>
            <w:tr>
              <w:tblPrEx>
                <w:tblCellMar>
                  <w:top w:w="0" w:type="dxa"/>
                  <w:left w:w="0" w:type="dxa"/>
                  <w:bottom w:w="0" w:type="dxa"/>
                  <w:right w:w="0" w:type="dxa"/>
                </w:tblCellMar>
              </w:tblPrEx>
              <w:trPr>
                <w:trHeight w:val="176" w:hRule="atLeast"/>
                <w:jc w:val="center"/>
              </w:trPr>
              <w:tc>
                <w:tcPr>
                  <w:tcW w:w="623" w:type="dxa"/>
                  <w:tcBorders>
                    <w:top w:val="single" w:color="000000" w:sz="8" w:space="0"/>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序号</w:t>
                  </w:r>
                </w:p>
              </w:tc>
              <w:tc>
                <w:tcPr>
                  <w:tcW w:w="4412" w:type="dxa"/>
                  <w:gridSpan w:val="2"/>
                  <w:tcBorders>
                    <w:top w:val="single" w:color="000000" w:sz="8" w:space="0"/>
                    <w:left w:val="nil"/>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名称</w:t>
                  </w:r>
                </w:p>
              </w:tc>
              <w:tc>
                <w:tcPr>
                  <w:tcW w:w="1181" w:type="dxa"/>
                  <w:tcBorders>
                    <w:top w:val="single" w:color="000000" w:sz="8" w:space="0"/>
                    <w:left w:val="nil"/>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开放属性</w:t>
                  </w:r>
                </w:p>
              </w:tc>
              <w:tc>
                <w:tcPr>
                  <w:tcW w:w="1503" w:type="dxa"/>
                  <w:tcBorders>
                    <w:top w:val="single" w:color="000000" w:sz="8" w:space="0"/>
                    <w:left w:val="nil"/>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提供方</w:t>
                  </w:r>
                </w:p>
              </w:tc>
              <w:tc>
                <w:tcPr>
                  <w:tcW w:w="1198" w:type="dxa"/>
                  <w:tcBorders>
                    <w:top w:val="single" w:color="000000" w:sz="8" w:space="0"/>
                    <w:left w:val="nil"/>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更新周期</w:t>
                  </w:r>
                </w:p>
              </w:tc>
            </w:tr>
            <w:tr>
              <w:tblPrEx>
                <w:tblCellMar>
                  <w:top w:w="0" w:type="dxa"/>
                  <w:left w:w="0" w:type="dxa"/>
                  <w:bottom w:w="0" w:type="dxa"/>
                  <w:right w:w="0" w:type="dxa"/>
                </w:tblCellMar>
              </w:tblPrEx>
              <w:trPr>
                <w:trHeight w:val="360"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09" w:type="dxa"/>
                  <w:vMerge w:val="restart"/>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用人单位/劳动者基础数据库</w:t>
                  </w: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用人单位职业健康业务数据库</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不定时</w:t>
                  </w:r>
                </w:p>
              </w:tc>
            </w:tr>
            <w:tr>
              <w:tblPrEx>
                <w:tblCellMar>
                  <w:top w:w="0" w:type="dxa"/>
                  <w:left w:w="0" w:type="dxa"/>
                  <w:bottom w:w="0" w:type="dxa"/>
                  <w:right w:w="0" w:type="dxa"/>
                </w:tblCellMar>
              </w:tblPrEx>
              <w:trPr>
                <w:trHeight w:val="291"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09" w:type="dxa"/>
                  <w:vMerge w:val="continue"/>
                  <w:tcBorders>
                    <w:top w:val="nil"/>
                    <w:left w:val="nil"/>
                    <w:bottom w:val="single" w:color="000000" w:sz="8" w:space="0"/>
                    <w:right w:val="single" w:color="000000" w:sz="8" w:space="0"/>
                  </w:tcBorders>
                  <w:tcMar>
                    <w:top w:w="10" w:type="dxa"/>
                    <w:left w:w="10" w:type="dxa"/>
                    <w:right w:w="10" w:type="dxa"/>
                  </w:tcMar>
                  <w:vAlign w:val="center"/>
                </w:tcPr>
                <w:p>
                  <w:pPr>
                    <w:jc w:val="left"/>
                    <w:rPr>
                      <w:rFonts w:ascii="宋体" w:hAnsi="宋体" w:cs="宋体"/>
                      <w:color w:val="000000"/>
                      <w:szCs w:val="21"/>
                    </w:rPr>
                  </w:pP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用人单位职业病危害因素检测数据库</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不定时</w:t>
                  </w:r>
                </w:p>
              </w:tc>
            </w:tr>
            <w:tr>
              <w:tblPrEx>
                <w:tblCellMar>
                  <w:top w:w="0" w:type="dxa"/>
                  <w:left w:w="0" w:type="dxa"/>
                  <w:bottom w:w="0" w:type="dxa"/>
                  <w:right w:w="0" w:type="dxa"/>
                </w:tblCellMar>
              </w:tblPrEx>
              <w:trPr>
                <w:trHeight w:val="348"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09" w:type="dxa"/>
                  <w:vMerge w:val="continue"/>
                  <w:tcBorders>
                    <w:top w:val="nil"/>
                    <w:left w:val="nil"/>
                    <w:bottom w:val="single" w:color="000000" w:sz="8" w:space="0"/>
                    <w:right w:val="single" w:color="000000" w:sz="8" w:space="0"/>
                  </w:tcBorders>
                  <w:tcMar>
                    <w:top w:w="10" w:type="dxa"/>
                    <w:left w:w="10" w:type="dxa"/>
                    <w:right w:w="10" w:type="dxa"/>
                  </w:tcMar>
                  <w:vAlign w:val="center"/>
                </w:tcPr>
                <w:p>
                  <w:pPr>
                    <w:jc w:val="left"/>
                    <w:rPr>
                      <w:rFonts w:ascii="宋体" w:hAnsi="宋体" w:cs="宋体"/>
                      <w:color w:val="000000"/>
                      <w:szCs w:val="21"/>
                    </w:rPr>
                  </w:pP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用人单位职业病危害种类及接触人数、职业健康监护</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不定时</w:t>
                  </w:r>
                </w:p>
              </w:tc>
            </w:tr>
            <w:tr>
              <w:tblPrEx>
                <w:tblCellMar>
                  <w:top w:w="0" w:type="dxa"/>
                  <w:left w:w="0" w:type="dxa"/>
                  <w:bottom w:w="0" w:type="dxa"/>
                  <w:right w:w="0" w:type="dxa"/>
                </w:tblCellMar>
              </w:tblPrEx>
              <w:trPr>
                <w:trHeight w:val="326"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09" w:type="dxa"/>
                  <w:vMerge w:val="continue"/>
                  <w:tcBorders>
                    <w:top w:val="nil"/>
                    <w:left w:val="nil"/>
                    <w:bottom w:val="single" w:color="000000" w:sz="8" w:space="0"/>
                    <w:right w:val="single" w:color="000000" w:sz="8" w:space="0"/>
                  </w:tcBorders>
                  <w:tcMar>
                    <w:top w:w="10" w:type="dxa"/>
                    <w:left w:w="10" w:type="dxa"/>
                    <w:right w:w="10" w:type="dxa"/>
                  </w:tcMar>
                  <w:vAlign w:val="center"/>
                </w:tcPr>
                <w:p>
                  <w:pPr>
                    <w:jc w:val="left"/>
                    <w:rPr>
                      <w:rFonts w:ascii="宋体" w:hAnsi="宋体" w:cs="宋体"/>
                      <w:color w:val="000000"/>
                      <w:szCs w:val="21"/>
                    </w:rPr>
                  </w:pP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用人单位职业健康危害现状信息表</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不定时</w:t>
                  </w:r>
                </w:p>
              </w:tc>
            </w:tr>
            <w:tr>
              <w:tblPrEx>
                <w:tblCellMar>
                  <w:top w:w="0" w:type="dxa"/>
                  <w:left w:w="0" w:type="dxa"/>
                  <w:bottom w:w="0" w:type="dxa"/>
                  <w:right w:w="0" w:type="dxa"/>
                </w:tblCellMar>
              </w:tblPrEx>
              <w:trPr>
                <w:trHeight w:val="291"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09" w:type="dxa"/>
                  <w:vMerge w:val="continue"/>
                  <w:tcBorders>
                    <w:top w:val="nil"/>
                    <w:left w:val="nil"/>
                    <w:bottom w:val="single" w:color="000000" w:sz="8" w:space="0"/>
                    <w:right w:val="single" w:color="000000" w:sz="8" w:space="0"/>
                  </w:tcBorders>
                  <w:tcMar>
                    <w:top w:w="10" w:type="dxa"/>
                    <w:left w:w="10" w:type="dxa"/>
                    <w:right w:w="10" w:type="dxa"/>
                  </w:tcMar>
                  <w:vAlign w:val="center"/>
                </w:tcPr>
                <w:p>
                  <w:pPr>
                    <w:jc w:val="left"/>
                    <w:rPr>
                      <w:rFonts w:ascii="宋体" w:hAnsi="宋体" w:cs="宋体"/>
                      <w:color w:val="000000"/>
                      <w:szCs w:val="21"/>
                    </w:rPr>
                  </w:pP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工作场所职业病危害因素监测信息表</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不定时</w:t>
                  </w:r>
                </w:p>
              </w:tc>
            </w:tr>
            <w:tr>
              <w:tblPrEx>
                <w:tblCellMar>
                  <w:top w:w="0" w:type="dxa"/>
                  <w:left w:w="0" w:type="dxa"/>
                  <w:bottom w:w="0" w:type="dxa"/>
                  <w:right w:w="0" w:type="dxa"/>
                </w:tblCellMar>
              </w:tblPrEx>
              <w:trPr>
                <w:trHeight w:val="336"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6</w:t>
                  </w:r>
                </w:p>
              </w:tc>
              <w:tc>
                <w:tcPr>
                  <w:tcW w:w="1009" w:type="dxa"/>
                  <w:vMerge w:val="continue"/>
                  <w:tcBorders>
                    <w:top w:val="nil"/>
                    <w:left w:val="nil"/>
                    <w:bottom w:val="single" w:color="000000" w:sz="8" w:space="0"/>
                    <w:right w:val="single" w:color="000000" w:sz="8" w:space="0"/>
                  </w:tcBorders>
                  <w:tcMar>
                    <w:top w:w="10" w:type="dxa"/>
                    <w:left w:w="10" w:type="dxa"/>
                    <w:right w:w="10" w:type="dxa"/>
                  </w:tcMar>
                  <w:vAlign w:val="center"/>
                </w:tcPr>
                <w:p>
                  <w:pPr>
                    <w:jc w:val="left"/>
                    <w:rPr>
                      <w:rFonts w:ascii="宋体" w:hAnsi="宋体" w:cs="宋体"/>
                      <w:color w:val="000000"/>
                      <w:szCs w:val="21"/>
                    </w:rPr>
                  </w:pP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企业放射性危害因素监测信息表</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不定时</w:t>
                  </w:r>
                </w:p>
              </w:tc>
            </w:tr>
            <w:tr>
              <w:tblPrEx>
                <w:tblCellMar>
                  <w:top w:w="0" w:type="dxa"/>
                  <w:left w:w="0" w:type="dxa"/>
                  <w:bottom w:w="0" w:type="dxa"/>
                  <w:right w:w="0" w:type="dxa"/>
                </w:tblCellMar>
              </w:tblPrEx>
              <w:trPr>
                <w:trHeight w:val="291"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009" w:type="dxa"/>
                  <w:vMerge w:val="continue"/>
                  <w:tcBorders>
                    <w:top w:val="nil"/>
                    <w:left w:val="nil"/>
                    <w:bottom w:val="single" w:color="000000" w:sz="8" w:space="0"/>
                    <w:right w:val="single" w:color="000000" w:sz="8" w:space="0"/>
                  </w:tcBorders>
                  <w:tcMar>
                    <w:top w:w="10" w:type="dxa"/>
                    <w:left w:w="10" w:type="dxa"/>
                    <w:right w:w="10" w:type="dxa"/>
                  </w:tcMar>
                  <w:vAlign w:val="center"/>
                </w:tcPr>
                <w:p>
                  <w:pPr>
                    <w:jc w:val="left"/>
                    <w:rPr>
                      <w:rFonts w:ascii="宋体" w:hAnsi="宋体" w:cs="宋体"/>
                      <w:color w:val="000000"/>
                      <w:szCs w:val="21"/>
                    </w:rPr>
                  </w:pP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用人单位基本检查信息</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每半年</w:t>
                  </w:r>
                </w:p>
              </w:tc>
            </w:tr>
            <w:tr>
              <w:tblPrEx>
                <w:tblCellMar>
                  <w:top w:w="0" w:type="dxa"/>
                  <w:left w:w="0" w:type="dxa"/>
                  <w:bottom w:w="0" w:type="dxa"/>
                  <w:right w:w="0" w:type="dxa"/>
                </w:tblCellMar>
              </w:tblPrEx>
              <w:trPr>
                <w:trHeight w:val="341"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009" w:type="dxa"/>
                  <w:vMerge w:val="restart"/>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职业卫生监督数据库</w:t>
                  </w: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职业病危害识别信息表</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每半年</w:t>
                  </w:r>
                </w:p>
              </w:tc>
            </w:tr>
            <w:tr>
              <w:tblPrEx>
                <w:tblCellMar>
                  <w:top w:w="0" w:type="dxa"/>
                  <w:left w:w="0" w:type="dxa"/>
                  <w:bottom w:w="0" w:type="dxa"/>
                  <w:right w:w="0" w:type="dxa"/>
                </w:tblCellMar>
              </w:tblPrEx>
              <w:trPr>
                <w:trHeight w:val="436"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009" w:type="dxa"/>
                  <w:vMerge w:val="continue"/>
                  <w:tcBorders>
                    <w:top w:val="nil"/>
                    <w:left w:val="nil"/>
                    <w:bottom w:val="single" w:color="000000" w:sz="8" w:space="0"/>
                    <w:right w:val="single" w:color="000000" w:sz="8" w:space="0"/>
                  </w:tcBorders>
                  <w:tcMar>
                    <w:top w:w="10" w:type="dxa"/>
                    <w:left w:w="10" w:type="dxa"/>
                    <w:right w:w="10" w:type="dxa"/>
                  </w:tcMar>
                  <w:vAlign w:val="center"/>
                </w:tcPr>
                <w:p>
                  <w:pPr>
                    <w:jc w:val="left"/>
                    <w:rPr>
                      <w:rFonts w:ascii="宋体" w:hAnsi="宋体" w:cs="宋体"/>
                      <w:color w:val="000000"/>
                      <w:szCs w:val="21"/>
                    </w:rPr>
                  </w:pP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职业病危害识别信息表</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每半年</w:t>
                  </w:r>
                </w:p>
              </w:tc>
            </w:tr>
            <w:tr>
              <w:tblPrEx>
                <w:tblCellMar>
                  <w:top w:w="0" w:type="dxa"/>
                  <w:left w:w="0" w:type="dxa"/>
                  <w:bottom w:w="0" w:type="dxa"/>
                  <w:right w:w="0" w:type="dxa"/>
                </w:tblCellMar>
              </w:tblPrEx>
              <w:trPr>
                <w:trHeight w:val="333"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009" w:type="dxa"/>
                  <w:vMerge w:val="continue"/>
                  <w:tcBorders>
                    <w:top w:val="nil"/>
                    <w:left w:val="nil"/>
                    <w:bottom w:val="single" w:color="000000" w:sz="8" w:space="0"/>
                    <w:right w:val="single" w:color="000000" w:sz="8" w:space="0"/>
                  </w:tcBorders>
                  <w:tcMar>
                    <w:top w:w="10" w:type="dxa"/>
                    <w:left w:w="10" w:type="dxa"/>
                    <w:right w:w="10" w:type="dxa"/>
                  </w:tcMar>
                  <w:vAlign w:val="center"/>
                </w:tcPr>
                <w:p>
                  <w:pPr>
                    <w:jc w:val="left"/>
                    <w:rPr>
                      <w:rFonts w:ascii="宋体" w:hAnsi="宋体" w:cs="宋体"/>
                      <w:color w:val="000000"/>
                      <w:szCs w:val="21"/>
                    </w:rPr>
                  </w:pP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用人单位监督信息表</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每半年</w:t>
                  </w:r>
                </w:p>
              </w:tc>
            </w:tr>
            <w:tr>
              <w:tblPrEx>
                <w:tblCellMar>
                  <w:top w:w="0" w:type="dxa"/>
                  <w:left w:w="0" w:type="dxa"/>
                  <w:bottom w:w="0" w:type="dxa"/>
                  <w:right w:w="0" w:type="dxa"/>
                </w:tblCellMar>
              </w:tblPrEx>
              <w:trPr>
                <w:trHeight w:val="320"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009" w:type="dxa"/>
                  <w:vMerge w:val="continue"/>
                  <w:tcBorders>
                    <w:top w:val="nil"/>
                    <w:left w:val="nil"/>
                    <w:bottom w:val="single" w:color="000000" w:sz="8" w:space="0"/>
                    <w:right w:val="single" w:color="000000" w:sz="8" w:space="0"/>
                  </w:tcBorders>
                  <w:tcMar>
                    <w:top w:w="10" w:type="dxa"/>
                    <w:left w:w="10" w:type="dxa"/>
                    <w:right w:w="10" w:type="dxa"/>
                  </w:tcMar>
                  <w:vAlign w:val="center"/>
                </w:tcPr>
                <w:p>
                  <w:pPr>
                    <w:jc w:val="left"/>
                    <w:rPr>
                      <w:rFonts w:ascii="宋体" w:hAnsi="宋体" w:cs="宋体"/>
                      <w:color w:val="000000"/>
                      <w:szCs w:val="21"/>
                    </w:rPr>
                  </w:pP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用人单位监督案件查处信息</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每半年</w:t>
                  </w:r>
                </w:p>
              </w:tc>
            </w:tr>
            <w:tr>
              <w:tblPrEx>
                <w:tblCellMar>
                  <w:top w:w="0" w:type="dxa"/>
                  <w:left w:w="0" w:type="dxa"/>
                  <w:bottom w:w="0" w:type="dxa"/>
                  <w:right w:w="0" w:type="dxa"/>
                </w:tblCellMar>
              </w:tblPrEx>
              <w:trPr>
                <w:trHeight w:val="291"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12</w:t>
                  </w:r>
                </w:p>
              </w:tc>
              <w:tc>
                <w:tcPr>
                  <w:tcW w:w="1009" w:type="dxa"/>
                  <w:vMerge w:val="continue"/>
                  <w:tcBorders>
                    <w:top w:val="nil"/>
                    <w:left w:val="nil"/>
                    <w:bottom w:val="single" w:color="000000" w:sz="8" w:space="0"/>
                    <w:right w:val="single" w:color="000000" w:sz="8" w:space="0"/>
                  </w:tcBorders>
                  <w:tcMar>
                    <w:top w:w="10" w:type="dxa"/>
                    <w:left w:w="10" w:type="dxa"/>
                    <w:right w:w="10" w:type="dxa"/>
                  </w:tcMar>
                  <w:vAlign w:val="center"/>
                </w:tcPr>
                <w:p>
                  <w:pPr>
                    <w:jc w:val="left"/>
                    <w:rPr>
                      <w:rFonts w:ascii="宋体" w:hAnsi="宋体" w:cs="宋体"/>
                      <w:color w:val="000000"/>
                      <w:szCs w:val="21"/>
                    </w:rPr>
                  </w:pP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职业卫生技术服务机构信息</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每半年</w:t>
                  </w:r>
                </w:p>
              </w:tc>
            </w:tr>
            <w:tr>
              <w:tblPrEx>
                <w:tblCellMar>
                  <w:top w:w="0" w:type="dxa"/>
                  <w:left w:w="0" w:type="dxa"/>
                  <w:bottom w:w="0" w:type="dxa"/>
                  <w:right w:w="0" w:type="dxa"/>
                </w:tblCellMar>
              </w:tblPrEx>
              <w:trPr>
                <w:trHeight w:val="339"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13</w:t>
                  </w:r>
                </w:p>
              </w:tc>
              <w:tc>
                <w:tcPr>
                  <w:tcW w:w="1009" w:type="dxa"/>
                  <w:vMerge w:val="continue"/>
                  <w:tcBorders>
                    <w:top w:val="nil"/>
                    <w:left w:val="nil"/>
                    <w:bottom w:val="single" w:color="000000" w:sz="8" w:space="0"/>
                    <w:right w:val="single" w:color="000000" w:sz="8" w:space="0"/>
                  </w:tcBorders>
                  <w:tcMar>
                    <w:top w:w="10" w:type="dxa"/>
                    <w:left w:w="10" w:type="dxa"/>
                    <w:right w:w="10" w:type="dxa"/>
                  </w:tcMar>
                  <w:vAlign w:val="center"/>
                </w:tcPr>
                <w:p>
                  <w:pPr>
                    <w:jc w:val="left"/>
                    <w:rPr>
                      <w:rFonts w:ascii="宋体" w:hAnsi="宋体" w:cs="宋体"/>
                      <w:color w:val="000000"/>
                      <w:szCs w:val="21"/>
                    </w:rPr>
                  </w:pP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职业卫生技术服务机构监督检查信息</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每半年</w:t>
                  </w:r>
                </w:p>
              </w:tc>
            </w:tr>
            <w:tr>
              <w:tblPrEx>
                <w:tblCellMar>
                  <w:top w:w="0" w:type="dxa"/>
                  <w:left w:w="0" w:type="dxa"/>
                  <w:bottom w:w="0" w:type="dxa"/>
                  <w:right w:w="0" w:type="dxa"/>
                </w:tblCellMar>
              </w:tblPrEx>
              <w:trPr>
                <w:trHeight w:val="427"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14</w:t>
                  </w:r>
                </w:p>
              </w:tc>
              <w:tc>
                <w:tcPr>
                  <w:tcW w:w="1009" w:type="dxa"/>
                  <w:vMerge w:val="continue"/>
                  <w:tcBorders>
                    <w:top w:val="nil"/>
                    <w:left w:val="nil"/>
                    <w:bottom w:val="single" w:color="000000" w:sz="8" w:space="0"/>
                    <w:right w:val="single" w:color="000000" w:sz="8" w:space="0"/>
                  </w:tcBorders>
                  <w:tcMar>
                    <w:top w:w="10" w:type="dxa"/>
                    <w:left w:w="10" w:type="dxa"/>
                    <w:right w:w="10" w:type="dxa"/>
                  </w:tcMar>
                  <w:vAlign w:val="center"/>
                </w:tcPr>
                <w:p>
                  <w:pPr>
                    <w:jc w:val="left"/>
                    <w:rPr>
                      <w:rFonts w:ascii="宋体" w:hAnsi="宋体" w:cs="宋体"/>
                      <w:color w:val="000000"/>
                      <w:szCs w:val="21"/>
                    </w:rPr>
                  </w:pP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职业健康检查、职业病诊断和放射卫生技术服务机构被监督单位信息</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每半年</w:t>
                  </w:r>
                </w:p>
              </w:tc>
            </w:tr>
            <w:tr>
              <w:tblPrEx>
                <w:tblCellMar>
                  <w:top w:w="0" w:type="dxa"/>
                  <w:left w:w="0" w:type="dxa"/>
                  <w:bottom w:w="0" w:type="dxa"/>
                  <w:right w:w="0" w:type="dxa"/>
                </w:tblCellMar>
              </w:tblPrEx>
              <w:trPr>
                <w:trHeight w:val="488"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15</w:t>
                  </w:r>
                </w:p>
              </w:tc>
              <w:tc>
                <w:tcPr>
                  <w:tcW w:w="1009" w:type="dxa"/>
                  <w:vMerge w:val="continue"/>
                  <w:tcBorders>
                    <w:top w:val="nil"/>
                    <w:left w:val="nil"/>
                    <w:bottom w:val="single" w:color="000000" w:sz="8" w:space="0"/>
                    <w:right w:val="single" w:color="000000" w:sz="8" w:space="0"/>
                  </w:tcBorders>
                  <w:tcMar>
                    <w:top w:w="10" w:type="dxa"/>
                    <w:left w:w="10" w:type="dxa"/>
                    <w:right w:w="10" w:type="dxa"/>
                  </w:tcMar>
                  <w:vAlign w:val="center"/>
                </w:tcPr>
                <w:p>
                  <w:pPr>
                    <w:jc w:val="left"/>
                    <w:rPr>
                      <w:rFonts w:ascii="宋体" w:hAnsi="宋体" w:cs="宋体"/>
                      <w:color w:val="000000"/>
                      <w:szCs w:val="21"/>
                    </w:rPr>
                  </w:pP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职业健康检查、职业病诊断和放射卫生技术服务机构监督检查信息</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每半年</w:t>
                  </w:r>
                </w:p>
              </w:tc>
            </w:tr>
            <w:tr>
              <w:tblPrEx>
                <w:tblCellMar>
                  <w:top w:w="0" w:type="dxa"/>
                  <w:left w:w="0" w:type="dxa"/>
                  <w:bottom w:w="0" w:type="dxa"/>
                  <w:right w:w="0" w:type="dxa"/>
                </w:tblCellMar>
              </w:tblPrEx>
              <w:trPr>
                <w:trHeight w:val="313"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16</w:t>
                  </w:r>
                </w:p>
              </w:tc>
              <w:tc>
                <w:tcPr>
                  <w:tcW w:w="1009" w:type="dxa"/>
                  <w:vMerge w:val="continue"/>
                  <w:tcBorders>
                    <w:top w:val="nil"/>
                    <w:left w:val="nil"/>
                    <w:bottom w:val="single" w:color="000000" w:sz="8" w:space="0"/>
                    <w:right w:val="single" w:color="000000" w:sz="8" w:space="0"/>
                  </w:tcBorders>
                  <w:tcMar>
                    <w:top w:w="10" w:type="dxa"/>
                    <w:left w:w="10" w:type="dxa"/>
                    <w:right w:w="10" w:type="dxa"/>
                  </w:tcMar>
                  <w:vAlign w:val="center"/>
                </w:tcPr>
                <w:p>
                  <w:pPr>
                    <w:jc w:val="left"/>
                    <w:rPr>
                      <w:rFonts w:ascii="宋体" w:hAnsi="宋体" w:cs="宋体"/>
                      <w:color w:val="000000"/>
                      <w:szCs w:val="21"/>
                    </w:rPr>
                  </w:pP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用人单位监督统计表</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每半年</w:t>
                  </w:r>
                </w:p>
              </w:tc>
            </w:tr>
            <w:tr>
              <w:tblPrEx>
                <w:tblCellMar>
                  <w:top w:w="0" w:type="dxa"/>
                  <w:left w:w="0" w:type="dxa"/>
                  <w:bottom w:w="0" w:type="dxa"/>
                  <w:right w:w="0" w:type="dxa"/>
                </w:tblCellMar>
              </w:tblPrEx>
              <w:trPr>
                <w:trHeight w:val="313"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17</w:t>
                  </w:r>
                </w:p>
              </w:tc>
              <w:tc>
                <w:tcPr>
                  <w:tcW w:w="1009" w:type="dxa"/>
                  <w:vMerge w:val="continue"/>
                  <w:tcBorders>
                    <w:top w:val="nil"/>
                    <w:left w:val="nil"/>
                    <w:bottom w:val="single" w:color="000000" w:sz="8" w:space="0"/>
                    <w:right w:val="single" w:color="000000" w:sz="8" w:space="0"/>
                  </w:tcBorders>
                  <w:tcMar>
                    <w:top w:w="10" w:type="dxa"/>
                    <w:left w:w="10" w:type="dxa"/>
                    <w:right w:w="10" w:type="dxa"/>
                  </w:tcMar>
                  <w:vAlign w:val="center"/>
                </w:tcPr>
                <w:p>
                  <w:pPr>
                    <w:jc w:val="left"/>
                    <w:rPr>
                      <w:rFonts w:ascii="宋体" w:hAnsi="宋体" w:cs="宋体"/>
                      <w:color w:val="000000"/>
                      <w:szCs w:val="21"/>
                    </w:rPr>
                  </w:pP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放射诊疗被监督单位数据库</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每半年</w:t>
                  </w:r>
                </w:p>
              </w:tc>
            </w:tr>
            <w:tr>
              <w:tblPrEx>
                <w:tblCellMar>
                  <w:top w:w="0" w:type="dxa"/>
                  <w:left w:w="0" w:type="dxa"/>
                  <w:bottom w:w="0" w:type="dxa"/>
                  <w:right w:w="0" w:type="dxa"/>
                </w:tblCellMar>
              </w:tblPrEx>
              <w:trPr>
                <w:trHeight w:val="327"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18</w:t>
                  </w:r>
                </w:p>
              </w:tc>
              <w:tc>
                <w:tcPr>
                  <w:tcW w:w="1009" w:type="dxa"/>
                  <w:vMerge w:val="continue"/>
                  <w:tcBorders>
                    <w:top w:val="nil"/>
                    <w:left w:val="nil"/>
                    <w:bottom w:val="single" w:color="000000" w:sz="8" w:space="0"/>
                    <w:right w:val="single" w:color="000000" w:sz="8" w:space="0"/>
                  </w:tcBorders>
                  <w:tcMar>
                    <w:top w:w="10" w:type="dxa"/>
                    <w:left w:w="10" w:type="dxa"/>
                    <w:right w:w="10" w:type="dxa"/>
                  </w:tcMar>
                  <w:vAlign w:val="center"/>
                </w:tcPr>
                <w:p>
                  <w:pPr>
                    <w:jc w:val="left"/>
                    <w:rPr>
                      <w:rFonts w:ascii="宋体" w:hAnsi="宋体" w:cs="宋体"/>
                      <w:color w:val="000000"/>
                      <w:szCs w:val="21"/>
                    </w:rPr>
                  </w:pP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放射诊疗监督案件查处数据库</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每半年</w:t>
                  </w:r>
                </w:p>
              </w:tc>
            </w:tr>
            <w:tr>
              <w:tblPrEx>
                <w:tblCellMar>
                  <w:top w:w="0" w:type="dxa"/>
                  <w:left w:w="0" w:type="dxa"/>
                  <w:bottom w:w="0" w:type="dxa"/>
                  <w:right w:w="0" w:type="dxa"/>
                </w:tblCellMar>
              </w:tblPrEx>
              <w:trPr>
                <w:trHeight w:val="309"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19</w:t>
                  </w:r>
                </w:p>
              </w:tc>
              <w:tc>
                <w:tcPr>
                  <w:tcW w:w="1009" w:type="dxa"/>
                  <w:vMerge w:val="continue"/>
                  <w:tcBorders>
                    <w:top w:val="nil"/>
                    <w:left w:val="nil"/>
                    <w:bottom w:val="single" w:color="000000" w:sz="8" w:space="0"/>
                    <w:right w:val="single" w:color="000000" w:sz="8" w:space="0"/>
                  </w:tcBorders>
                  <w:tcMar>
                    <w:top w:w="10" w:type="dxa"/>
                    <w:left w:w="10" w:type="dxa"/>
                    <w:right w:w="10" w:type="dxa"/>
                  </w:tcMar>
                  <w:vAlign w:val="center"/>
                </w:tcPr>
                <w:p>
                  <w:pPr>
                    <w:jc w:val="left"/>
                    <w:rPr>
                      <w:rFonts w:ascii="宋体" w:hAnsi="宋体" w:cs="宋体"/>
                      <w:color w:val="000000"/>
                      <w:szCs w:val="21"/>
                    </w:rPr>
                  </w:pP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放射诊疗监督案件违法事实数据表</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每半年</w:t>
                  </w:r>
                </w:p>
              </w:tc>
            </w:tr>
            <w:tr>
              <w:tblPrEx>
                <w:tblCellMar>
                  <w:top w:w="0" w:type="dxa"/>
                  <w:left w:w="0" w:type="dxa"/>
                  <w:bottom w:w="0" w:type="dxa"/>
                  <w:right w:w="0" w:type="dxa"/>
                </w:tblCellMar>
              </w:tblPrEx>
              <w:trPr>
                <w:trHeight w:val="356"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20</w:t>
                  </w:r>
                </w:p>
              </w:tc>
              <w:tc>
                <w:tcPr>
                  <w:tcW w:w="1009" w:type="dxa"/>
                  <w:vMerge w:val="continue"/>
                  <w:tcBorders>
                    <w:top w:val="nil"/>
                    <w:left w:val="nil"/>
                    <w:bottom w:val="single" w:color="000000" w:sz="8" w:space="0"/>
                    <w:right w:val="single" w:color="000000" w:sz="8" w:space="0"/>
                  </w:tcBorders>
                  <w:tcMar>
                    <w:top w:w="10" w:type="dxa"/>
                    <w:left w:w="10" w:type="dxa"/>
                    <w:right w:w="10" w:type="dxa"/>
                  </w:tcMar>
                  <w:vAlign w:val="center"/>
                </w:tcPr>
                <w:p>
                  <w:pPr>
                    <w:jc w:val="left"/>
                    <w:rPr>
                      <w:rFonts w:ascii="宋体" w:hAnsi="宋体" w:cs="宋体"/>
                      <w:color w:val="000000"/>
                      <w:szCs w:val="21"/>
                    </w:rPr>
                  </w:pP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放射诊疗监督案件结案数据表</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每半年</w:t>
                  </w:r>
                </w:p>
              </w:tc>
            </w:tr>
            <w:tr>
              <w:tblPrEx>
                <w:tblCellMar>
                  <w:top w:w="0" w:type="dxa"/>
                  <w:left w:w="0" w:type="dxa"/>
                  <w:bottom w:w="0" w:type="dxa"/>
                  <w:right w:w="0" w:type="dxa"/>
                </w:tblCellMar>
              </w:tblPrEx>
              <w:trPr>
                <w:trHeight w:val="444"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21</w:t>
                  </w:r>
                </w:p>
              </w:tc>
              <w:tc>
                <w:tcPr>
                  <w:tcW w:w="1009" w:type="dxa"/>
                  <w:vMerge w:val="restart"/>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职业健康检查机构基础数据库</w:t>
                  </w: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职业健康检查机构质量考核信息</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不定时</w:t>
                  </w:r>
                </w:p>
              </w:tc>
            </w:tr>
            <w:tr>
              <w:tblPrEx>
                <w:tblCellMar>
                  <w:top w:w="0" w:type="dxa"/>
                  <w:left w:w="0" w:type="dxa"/>
                  <w:bottom w:w="0" w:type="dxa"/>
                  <w:right w:w="0" w:type="dxa"/>
                </w:tblCellMar>
              </w:tblPrEx>
              <w:trPr>
                <w:trHeight w:val="363"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22</w:t>
                  </w:r>
                </w:p>
              </w:tc>
              <w:tc>
                <w:tcPr>
                  <w:tcW w:w="1009" w:type="dxa"/>
                  <w:vMerge w:val="continue"/>
                  <w:tcBorders>
                    <w:top w:val="nil"/>
                    <w:left w:val="nil"/>
                    <w:bottom w:val="single" w:color="000000" w:sz="8" w:space="0"/>
                    <w:right w:val="single" w:color="000000" w:sz="8" w:space="0"/>
                  </w:tcBorders>
                  <w:tcMar>
                    <w:top w:w="10" w:type="dxa"/>
                    <w:left w:w="10" w:type="dxa"/>
                    <w:right w:w="10" w:type="dxa"/>
                  </w:tcMar>
                  <w:vAlign w:val="center"/>
                </w:tcPr>
                <w:p>
                  <w:pPr>
                    <w:jc w:val="left"/>
                    <w:rPr>
                      <w:rFonts w:ascii="宋体" w:hAnsi="宋体" w:cs="宋体"/>
                      <w:color w:val="000000"/>
                      <w:szCs w:val="21"/>
                    </w:rPr>
                  </w:pP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职业卫生技术服务机构基本信息库</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不定时</w:t>
                  </w:r>
                </w:p>
              </w:tc>
            </w:tr>
            <w:tr>
              <w:tblPrEx>
                <w:tblCellMar>
                  <w:top w:w="0" w:type="dxa"/>
                  <w:left w:w="0" w:type="dxa"/>
                  <w:bottom w:w="0" w:type="dxa"/>
                  <w:right w:w="0" w:type="dxa"/>
                </w:tblCellMar>
              </w:tblPrEx>
              <w:trPr>
                <w:trHeight w:val="415"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23</w:t>
                  </w:r>
                </w:p>
              </w:tc>
              <w:tc>
                <w:tcPr>
                  <w:tcW w:w="1009" w:type="dxa"/>
                  <w:vMerge w:val="restart"/>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职业卫生技术服务机构基础数据库</w:t>
                  </w: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职业卫生技术服务信息报送信息表</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不定时</w:t>
                  </w:r>
                </w:p>
              </w:tc>
            </w:tr>
            <w:tr>
              <w:tblPrEx>
                <w:tblCellMar>
                  <w:top w:w="0" w:type="dxa"/>
                  <w:left w:w="0" w:type="dxa"/>
                  <w:bottom w:w="0" w:type="dxa"/>
                  <w:right w:w="0" w:type="dxa"/>
                </w:tblCellMar>
              </w:tblPrEx>
              <w:trPr>
                <w:trHeight w:val="435"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24</w:t>
                  </w:r>
                </w:p>
              </w:tc>
              <w:tc>
                <w:tcPr>
                  <w:tcW w:w="1009" w:type="dxa"/>
                  <w:vMerge w:val="continue"/>
                  <w:tcBorders>
                    <w:top w:val="nil"/>
                    <w:left w:val="nil"/>
                    <w:bottom w:val="single" w:color="000000" w:sz="8" w:space="0"/>
                    <w:right w:val="single" w:color="000000" w:sz="8" w:space="0"/>
                  </w:tcBorders>
                  <w:tcMar>
                    <w:top w:w="10" w:type="dxa"/>
                    <w:left w:w="10" w:type="dxa"/>
                    <w:right w:w="10" w:type="dxa"/>
                  </w:tcMar>
                  <w:vAlign w:val="center"/>
                </w:tcPr>
                <w:p>
                  <w:pPr>
                    <w:jc w:val="left"/>
                    <w:rPr>
                      <w:rFonts w:ascii="宋体" w:hAnsi="宋体" w:cs="宋体"/>
                      <w:color w:val="000000"/>
                      <w:szCs w:val="21"/>
                    </w:rPr>
                  </w:pP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放射诊疗机构基本信息库</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不定时</w:t>
                  </w:r>
                </w:p>
              </w:tc>
            </w:tr>
            <w:tr>
              <w:tblPrEx>
                <w:tblCellMar>
                  <w:top w:w="0" w:type="dxa"/>
                  <w:left w:w="0" w:type="dxa"/>
                  <w:bottom w:w="0" w:type="dxa"/>
                  <w:right w:w="0" w:type="dxa"/>
                </w:tblCellMar>
              </w:tblPrEx>
              <w:trPr>
                <w:trHeight w:val="444"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25</w:t>
                  </w:r>
                </w:p>
              </w:tc>
              <w:tc>
                <w:tcPr>
                  <w:tcW w:w="1009" w:type="dxa"/>
                  <w:vMerge w:val="restart"/>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放射卫生技术服务机构基础数据库</w:t>
                  </w: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放射诊疗机构放射工作人员信息库</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不定时</w:t>
                  </w:r>
                </w:p>
              </w:tc>
            </w:tr>
            <w:tr>
              <w:tblPrEx>
                <w:tblCellMar>
                  <w:top w:w="0" w:type="dxa"/>
                  <w:left w:w="0" w:type="dxa"/>
                  <w:bottom w:w="0" w:type="dxa"/>
                  <w:right w:w="0" w:type="dxa"/>
                </w:tblCellMar>
              </w:tblPrEx>
              <w:trPr>
                <w:trHeight w:val="337"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26</w:t>
                  </w:r>
                </w:p>
              </w:tc>
              <w:tc>
                <w:tcPr>
                  <w:tcW w:w="1009" w:type="dxa"/>
                  <w:vMerge w:val="continue"/>
                  <w:tcBorders>
                    <w:top w:val="nil"/>
                    <w:left w:val="nil"/>
                    <w:bottom w:val="single" w:color="000000" w:sz="8" w:space="0"/>
                    <w:right w:val="single" w:color="000000" w:sz="8" w:space="0"/>
                  </w:tcBorders>
                  <w:tcMar>
                    <w:top w:w="10" w:type="dxa"/>
                    <w:left w:w="10" w:type="dxa"/>
                    <w:right w:w="10" w:type="dxa"/>
                  </w:tcMar>
                  <w:vAlign w:val="center"/>
                </w:tcPr>
                <w:p>
                  <w:pPr>
                    <w:jc w:val="left"/>
                    <w:rPr>
                      <w:rFonts w:ascii="宋体" w:hAnsi="宋体" w:cs="宋体"/>
                      <w:color w:val="000000"/>
                      <w:szCs w:val="21"/>
                    </w:rPr>
                  </w:pP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职业病防治技术培训基础信息库</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不定时</w:t>
                  </w:r>
                </w:p>
              </w:tc>
            </w:tr>
            <w:tr>
              <w:tblPrEx>
                <w:tblCellMar>
                  <w:top w:w="0" w:type="dxa"/>
                  <w:left w:w="0" w:type="dxa"/>
                  <w:bottom w:w="0" w:type="dxa"/>
                  <w:right w:w="0" w:type="dxa"/>
                </w:tblCellMar>
              </w:tblPrEx>
              <w:trPr>
                <w:trHeight w:val="582" w:hRule="atLeast"/>
                <w:jc w:val="center"/>
              </w:trPr>
              <w:tc>
                <w:tcPr>
                  <w:tcW w:w="623" w:type="dxa"/>
                  <w:tcBorders>
                    <w:top w:val="nil"/>
                    <w:left w:val="single" w:color="000000" w:sz="8" w:space="0"/>
                    <w:bottom w:val="single" w:color="000000" w:sz="8" w:space="0"/>
                    <w:right w:val="single" w:color="000000" w:sz="8" w:space="0"/>
                  </w:tcBorders>
                  <w:tcMar>
                    <w:top w:w="10" w:type="dxa"/>
                    <w:left w:w="10" w:type="dxa"/>
                    <w:right w:w="10"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27</w:t>
                  </w:r>
                </w:p>
              </w:tc>
              <w:tc>
                <w:tcPr>
                  <w:tcW w:w="1009"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职业健康教育培训机构基础数据库</w:t>
                  </w:r>
                </w:p>
              </w:tc>
              <w:tc>
                <w:tcPr>
                  <w:tcW w:w="34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职业病防治技术培训基础信息库</w:t>
                  </w:r>
                </w:p>
              </w:tc>
              <w:tc>
                <w:tcPr>
                  <w:tcW w:w="1181"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有条件共享</w:t>
                  </w:r>
                </w:p>
              </w:tc>
              <w:tc>
                <w:tcPr>
                  <w:tcW w:w="1503"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政务数据共享交换平台</w:t>
                  </w:r>
                </w:p>
              </w:tc>
              <w:tc>
                <w:tcPr>
                  <w:tcW w:w="1198" w:type="dxa"/>
                  <w:tcBorders>
                    <w:top w:val="nil"/>
                    <w:left w:val="nil"/>
                    <w:bottom w:val="single" w:color="000000" w:sz="8" w:space="0"/>
                    <w:right w:val="single" w:color="000000" w:sz="8" w:space="0"/>
                  </w:tcBorders>
                  <w:tcMar>
                    <w:top w:w="10" w:type="dxa"/>
                    <w:left w:w="10" w:type="dxa"/>
                    <w:right w:w="10"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不定时</w:t>
                  </w:r>
                </w:p>
              </w:tc>
            </w:tr>
            <w:bookmarkEnd w:id="135"/>
            <w:bookmarkEnd w:id="136"/>
            <w:bookmarkEnd w:id="137"/>
            <w:bookmarkEnd w:id="138"/>
            <w:bookmarkEnd w:id="139"/>
            <w:bookmarkEnd w:id="140"/>
            <w:bookmarkEnd w:id="141"/>
            <w:bookmarkEnd w:id="142"/>
            <w:bookmarkEnd w:id="143"/>
            <w:bookmarkEnd w:id="144"/>
            <w:bookmarkEnd w:id="145"/>
            <w:bookmarkEnd w:id="146"/>
          </w:tbl>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（十三）服务质量监管。</w:t>
            </w:r>
          </w:p>
          <w:p>
            <w:pPr>
              <w:adjustRightInd w:val="0"/>
              <w:snapToGrid w:val="0"/>
              <w:spacing w:line="300" w:lineRule="exact"/>
              <w:ind w:firstLine="420" w:firstLineChars="200"/>
              <w:rPr>
                <w:rFonts w:ascii="宋体" w:hAnsi="宋体"/>
                <w:color w:val="000000"/>
                <w:szCs w:val="21"/>
              </w:rPr>
            </w:pPr>
            <w:r>
              <w:rPr>
                <w:rFonts w:hint="eastAsia" w:ascii="宋体" w:hAnsi="宋体"/>
                <w:color w:val="000000"/>
                <w:szCs w:val="21"/>
              </w:rPr>
              <w:t>实现劳动者、用人单位对提供服务质量的反馈和评估，包括：职业卫生技术服务机构服务满意分析、职业健康检查机构服务满意分析、</w:t>
            </w:r>
            <w:r>
              <w:rPr>
                <w:rFonts w:hint="eastAsia" w:ascii="宋体" w:hAnsi="宋体" w:cs="宋体"/>
              </w:rPr>
              <w:t>职业病诊断机构</w:t>
            </w:r>
            <w:r>
              <w:rPr>
                <w:rFonts w:hint="eastAsia" w:ascii="宋体" w:hAnsi="宋体"/>
                <w:color w:val="000000"/>
                <w:szCs w:val="21"/>
              </w:rPr>
              <w:t>服务满意分析、职业健康检查机构服务满意分析、放射诊疗机构（医院）、 系统运行情况评价分析等。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▲（十四）密码建设。</w:t>
            </w:r>
          </w:p>
          <w:p>
            <w:pPr>
              <w:adjustRightInd w:val="0"/>
              <w:snapToGrid w:val="0"/>
              <w:spacing w:line="300" w:lineRule="exact"/>
              <w:ind w:firstLine="420" w:firstLineChars="200"/>
              <w:rPr>
                <w:rStyle w:val="52"/>
              </w:rPr>
            </w:pPr>
            <w:r>
              <w:rPr>
                <w:rFonts w:hint="eastAsia" w:ascii="宋体" w:hAnsi="宋体"/>
                <w:color w:val="000000"/>
                <w:szCs w:val="21"/>
              </w:rPr>
              <w:t>根据初步设计中的职业健康信息综合管理平台密码应用方案，完成项目的密码应用建设，并且通过密码测评，达到75分以上。</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五、项目技术指标要求</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（一）技术要求。</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响应供应商应充分理解本项目建设目标与建设内容，并在此基础上开展技术方案设计，明确系统的总体架构，制定合理的技术路线，完成功能模块设计，并据此进行系统模块研发等。</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w:t>
            </w:r>
            <w:r>
              <w:rPr>
                <w:rFonts w:hint="eastAsia" w:ascii="宋体" w:hAnsi="宋体" w:cs="宋体"/>
              </w:rPr>
              <w:t>响应供应商要开展系统源代码版本管理，确保代码清晰，代码成果物与文档成果物保持版本和内容的一致。</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w:t>
            </w:r>
            <w:r>
              <w:rPr>
                <w:rFonts w:hint="eastAsia" w:ascii="宋体" w:hAnsi="宋体" w:cs="宋体"/>
              </w:rPr>
              <w:t>响应供应商应保证针对采购</w:t>
            </w:r>
            <w:r>
              <w:rPr>
                <w:rFonts w:hint="eastAsia" w:ascii="宋体" w:hAnsi="宋体" w:cs="宋体"/>
                <w:lang w:eastAsia="zh-CN"/>
              </w:rPr>
              <w:t>人</w:t>
            </w:r>
            <w:r>
              <w:rPr>
                <w:rFonts w:hint="eastAsia" w:ascii="宋体" w:hAnsi="宋体" w:cs="宋体"/>
              </w:rPr>
              <w:t>所提供的项目成果具备兼容性，后续实施过程中因兼容性导致的问题响应供应商应给予解决。</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3.</w:t>
            </w:r>
            <w:r>
              <w:rPr>
                <w:rFonts w:hint="eastAsia" w:ascii="宋体" w:hAnsi="宋体" w:cs="宋体"/>
              </w:rPr>
              <w:t>响应供应商需严格遵守技术类标准规范、数据类标准规范和业务类标准规范开展项目建设，确保建设成果准确、完整。</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4.</w:t>
            </w:r>
            <w:r>
              <w:rPr>
                <w:rFonts w:hint="eastAsia" w:ascii="宋体" w:hAnsi="宋体" w:cs="宋体"/>
              </w:rPr>
              <w:t>系统应具备分布式架构部署的能力，可以支持横向扩展。</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5.响应供应商须保证提供的系统/产品（设备）具备独立部署、运行的条件和能力，且能满足自治区大数据发展局的云资源部署和管理规定。</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（二）系统功能要求。</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w:t>
            </w:r>
            <w:r>
              <w:rPr>
                <w:rFonts w:hint="eastAsia" w:ascii="宋体" w:hAnsi="宋体" w:cs="宋体"/>
              </w:rPr>
              <w:t>系统前台界面简洁、交互友好，易用性强，易于操作。</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w:t>
            </w:r>
            <w:r>
              <w:rPr>
                <w:rFonts w:hint="eastAsia" w:ascii="宋体" w:hAnsi="宋体" w:cs="宋体"/>
              </w:rPr>
              <w:t>系统需具备完善后台管理功能应，系统管理员可在后台管理系统中各项功能配置，后台管理还具有对系统当中的各项数据进行实时的管理，对数据进行统计等功能。</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（三）系统性能要求。</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w:t>
            </w:r>
            <w:r>
              <w:rPr>
                <w:rFonts w:hint="eastAsia" w:ascii="宋体" w:hAnsi="宋体" w:cs="宋体"/>
              </w:rPr>
              <w:t>用户进行在线实时查询页面操作的数据处理时间应低于3秒；</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w:t>
            </w:r>
            <w:r>
              <w:rPr>
                <w:rFonts w:hint="eastAsia" w:ascii="宋体" w:hAnsi="宋体" w:cs="宋体"/>
              </w:rPr>
              <w:t>系统运行的时间提供7*24小时的运行时间；</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3.</w:t>
            </w:r>
            <w:r>
              <w:rPr>
                <w:rFonts w:hint="eastAsia" w:ascii="宋体" w:hAnsi="宋体" w:cs="宋体"/>
              </w:rPr>
              <w:t>针对高峰时间的用户需求，系统应能够保证用户在有限的时间内获取所需服务，随着业务需求的不断改变与增长，系统应具有可伸缩性。</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4.</w:t>
            </w:r>
            <w:r>
              <w:rPr>
                <w:rFonts w:hint="eastAsia" w:ascii="宋体" w:hAnsi="宋体" w:cs="宋体"/>
              </w:rPr>
              <w:t>错误率：用户访问出错率，包括HTTPS错误率、网络错误率、浏览器错误率，均应低于1%。</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5.</w:t>
            </w:r>
            <w:r>
              <w:rPr>
                <w:rFonts w:hint="eastAsia" w:ascii="宋体" w:hAnsi="宋体" w:cs="宋体"/>
              </w:rPr>
              <w:t>系统正常服务完成率：</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系统可用率＝（统计时段内的应正常服务时间－统计时段内的计划停机时间－统计时段内的服务异常中断时间）/统计时段内的应正常服务时间*100%。系统可用率应≥99.8%。</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6.</w:t>
            </w:r>
            <w:r>
              <w:rPr>
                <w:rFonts w:hint="eastAsia" w:ascii="宋体" w:hAnsi="宋体" w:cs="宋体"/>
              </w:rPr>
              <w:t>系统兼容性：</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系统能够在所有的国产浏览器以及Chrome内核、IE内核、Firefox内核浏览器上正常查看。在保证性能的前提下采用动画、视频、音频等多种技术手段，设计悬浮、切换、展开等交互特效，丰富系统页面表现形式。</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（四）易用性要求。</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项目建设成果应做到功能操作方便、界面易于理解、帮助支持到位，便于部署维护和升级。</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（五）成熟度要求。</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系统设计应采用成熟技术框架，建设过程中采用业务化配置和敏捷开发，而非底层构建，以保证在要求的实施周期内完成建设任务。</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（六）可扩展性要求。</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系统具有开放性，应充分考虑应用功能、数据及网络硬件的扩展，提供系统数据库接口，方便地与其他应用系统进行数据交换。</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六、项目实施要求</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（一）项目管理要求。</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1.项目组织机构</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供应商应在投标文件中明确建设团队的专业性、稳定性。人员配置科学合理、分工明确，至少应包括项目经理、系统分析师、系统设计人员、软件开发人员、测试人员、配置管理员、用户培训、部署实施、运行维护等角色。</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不得在未经采购人同意的情况下更换项目经理。</w:t>
            </w:r>
            <w:r>
              <w:rPr>
                <w:rFonts w:hint="eastAsia" w:ascii="宋体" w:hAnsi="宋体" w:cs="宋体"/>
                <w:lang w:eastAsia="zh-CN"/>
              </w:rPr>
              <w:t>中标</w:t>
            </w:r>
            <w:r>
              <w:rPr>
                <w:rFonts w:hint="eastAsia" w:ascii="宋体" w:hAnsi="宋体" w:cs="宋体"/>
              </w:rPr>
              <w:t>供应商认为需要更换项目经理和项目团队成员时，均应提前7天向</w:t>
            </w:r>
            <w:r>
              <w:rPr>
                <w:rFonts w:hint="eastAsia" w:ascii="宋体" w:hAnsi="宋体" w:cs="宋体"/>
                <w:lang w:eastAsia="zh-CN"/>
              </w:rPr>
              <w:t>采购人</w:t>
            </w:r>
            <w:r>
              <w:rPr>
                <w:rFonts w:hint="eastAsia" w:ascii="宋体" w:hAnsi="宋体" w:cs="宋体"/>
              </w:rPr>
              <w:t>申明原因，同时</w:t>
            </w:r>
            <w:r>
              <w:rPr>
                <w:rFonts w:hint="eastAsia" w:ascii="宋体" w:hAnsi="宋体" w:cs="宋体"/>
                <w:lang w:eastAsia="zh-CN"/>
              </w:rPr>
              <w:t>中标</w:t>
            </w:r>
            <w:r>
              <w:rPr>
                <w:rFonts w:hint="eastAsia" w:ascii="宋体" w:hAnsi="宋体" w:cs="宋体"/>
              </w:rPr>
              <w:t>供应商应提出新的符合合同要求的项目经理和项目团队成员人选，经采购人同意并办理交接手续后方可更换。</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2.项目内容的确定方式</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lang w:eastAsia="zh-CN"/>
              </w:rPr>
              <w:t>中标</w:t>
            </w:r>
            <w:r>
              <w:rPr>
                <w:rFonts w:hint="eastAsia" w:ascii="宋体" w:hAnsi="宋体" w:cs="宋体"/>
              </w:rPr>
              <w:t>供应商与采购人一起通过现场需求调研、联络会等方式明确项目开发内容，并以合同或会议纪要形式加以明确。</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3.变更要求</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如在项目实施过程中需要调整内容、进度等，需经双方共同同意，按合同变更程序办理。</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4.项目质量管理</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w:t>
            </w:r>
            <w:r>
              <w:rPr>
                <w:rFonts w:hint="eastAsia" w:ascii="宋体" w:hAnsi="宋体" w:cs="宋体"/>
              </w:rPr>
              <w:t>供应商应具有完备、成熟的项目开发与管理模型。</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w:t>
            </w:r>
            <w:r>
              <w:rPr>
                <w:rFonts w:hint="eastAsia" w:ascii="宋体" w:hAnsi="宋体" w:cs="宋体"/>
              </w:rPr>
              <w:t>供应商应建立严格的质量保证体系，制定项目建设质量控制方案和实施措施，并督促落实各环节质量控制内容和目标；保证总体规划设计、开发与实施、系统运行与验收等各个阶段工作满足招标方对质量的要求。</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（3）</w:t>
            </w:r>
            <w:r>
              <w:rPr>
                <w:rFonts w:hint="eastAsia" w:ascii="宋体" w:hAnsi="宋体" w:cs="宋体"/>
              </w:rPr>
              <w:t>供应商应根据整个项目的工作计划，对阶段性工作成果进行审查和测试，并向</w:t>
            </w:r>
            <w:r>
              <w:rPr>
                <w:rFonts w:hint="eastAsia" w:ascii="宋体" w:hAnsi="宋体" w:cs="宋体"/>
                <w:lang w:eastAsia="zh-CN"/>
              </w:rPr>
              <w:t>采购人</w:t>
            </w:r>
            <w:r>
              <w:rPr>
                <w:rFonts w:hint="eastAsia" w:ascii="宋体" w:hAnsi="宋体" w:cs="宋体"/>
              </w:rPr>
              <w:t>提交里程碑式工作成果。通过保证各阶段性成果的质量，最终保证整个项目的质量。</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（二）项目实施团队要求。</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项目实施团队以供应商一方的技术力量为主，负责整个项目的进度和质量控制，对整个项目的进度和质量负责；供应商项目工作组成员配合项目建设，监督项目的质量，确保工程按时完成。</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在项目组织机构中应明确项目实施团队各岗位的职责、任职资格，建立健全保障项目顺利实施的各项管理制度和质量保证体系，确保工程顺利实施。</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w:t>
            </w:r>
            <w:r>
              <w:rPr>
                <w:rFonts w:hint="eastAsia" w:ascii="宋体" w:hAnsi="宋体" w:cs="宋体"/>
              </w:rPr>
              <w:t>根据本项目工作的业务性质，应分别配备有业务经验的项目经理、技术总监、技术服务经理等人员承担本项目工作。项目管理人员应具有大型项目管理的实际经验（须提供证明材料），能根据本项目要求制订出切实可行的项目管理流程和项目实施时间进度计划表，并严格实行，保障项目按进度高质量的完成。</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w:t>
            </w:r>
            <w:r>
              <w:rPr>
                <w:rFonts w:hint="eastAsia" w:ascii="宋体" w:hAnsi="宋体" w:cs="宋体"/>
              </w:rPr>
              <w:t>项目经理、软件开发及软件测试责任组长需有3年以上项目管理与分析设计经验、3年以上软件开发经验、1年以上的测试经验。项目经理必须有信息系统项目开发和实施经验，</w:t>
            </w:r>
            <w:r>
              <w:rPr>
                <w:rFonts w:ascii="宋体" w:hAnsi="宋体" w:cs="宋体"/>
              </w:rPr>
              <w:t>且承担过</w:t>
            </w:r>
            <w:r>
              <w:rPr>
                <w:rFonts w:hint="eastAsia" w:ascii="宋体" w:hAnsi="宋体" w:cs="宋体"/>
              </w:rPr>
              <w:t>类似</w:t>
            </w:r>
            <w:r>
              <w:rPr>
                <w:rFonts w:ascii="宋体" w:hAnsi="宋体" w:cs="宋体"/>
                <w:spacing w:val="-2"/>
              </w:rPr>
              <w:t>项目成功案例</w:t>
            </w:r>
            <w:r>
              <w:rPr>
                <w:rFonts w:hint="eastAsia" w:ascii="宋体" w:hAnsi="宋体" w:cs="宋体"/>
              </w:rPr>
              <w:t>（须提供证明材料），须专职并全程负责本项目实施。项目至少配套1名项目经理、6名系统研发工程师、1名移动端研发工程师、1名软件测试工程师。</w:t>
            </w:r>
            <w:r>
              <w:rPr>
                <w:rFonts w:ascii="宋体" w:hAnsi="宋体" w:cs="宋体"/>
              </w:rPr>
              <w:t>证明材料需包括案例的甲方盖章证明、</w:t>
            </w:r>
            <w:r>
              <w:rPr>
                <w:rFonts w:hint="eastAsia" w:ascii="宋体" w:hAnsi="宋体" w:cs="宋体"/>
              </w:rPr>
              <w:t>高级工程师</w:t>
            </w:r>
            <w:r>
              <w:rPr>
                <w:rFonts w:hint="eastAsia" w:hAnsi="宋体"/>
                <w:bCs/>
              </w:rPr>
              <w:t>职称证书复印件</w:t>
            </w:r>
            <w:r>
              <w:rPr>
                <w:rFonts w:ascii="宋体" w:hAnsi="宋体" w:cs="宋体"/>
                <w:spacing w:val="-2"/>
              </w:rPr>
              <w:t>证书</w:t>
            </w:r>
            <w:r>
              <w:rPr>
                <w:rFonts w:ascii="宋体" w:hAnsi="宋体" w:cs="宋体"/>
              </w:rPr>
              <w:t>盖章</w:t>
            </w:r>
            <w:r>
              <w:rPr>
                <w:rFonts w:hint="eastAsia" w:ascii="宋体" w:hAnsi="宋体" w:cs="宋体"/>
              </w:rPr>
              <w:t>及</w:t>
            </w:r>
            <w:r>
              <w:rPr>
                <w:rFonts w:ascii="宋体" w:hAnsi="宋体" w:cs="宋体"/>
              </w:rPr>
              <w:t>近期</w:t>
            </w:r>
            <w:r>
              <w:rPr>
                <w:rFonts w:hint="eastAsia" w:ascii="宋体" w:hAnsi="宋体" w:cs="宋体"/>
              </w:rPr>
              <w:t>1</w:t>
            </w:r>
            <w:r>
              <w:rPr>
                <w:rFonts w:ascii="宋体" w:hAnsi="宋体" w:cs="宋体"/>
              </w:rPr>
              <w:t>个月</w:t>
            </w:r>
            <w:r>
              <w:rPr>
                <w:rFonts w:hint="eastAsia" w:ascii="宋体" w:hAnsi="宋体" w:cs="宋体"/>
              </w:rPr>
              <w:t>供应商</w:t>
            </w:r>
            <w:r>
              <w:rPr>
                <w:rFonts w:ascii="宋体" w:hAnsi="宋体" w:cs="宋体"/>
              </w:rPr>
              <w:t>为上述人员缴纳的社保证明材料。</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项目核心人员必须具备软件研发实施经验，专职、全程负责本项目的研发、实施，未经项目建设单位许可不得更换。项目建设过程中，供应商应更换项目建设单位认为不合适的人员。参与此项目的技术人员必须具有强烈的服务意识和高度的责任感。</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在投标文件中要求填写项目实施人员的信息；要求参与项目实施人员的数量应满足工作量和工期要求等实际需求；供应商须提供详细的人员名单（含项目经理、技术骨干）、项目经历介绍、学历、资质和在本项目中的职责分工等详细资料。</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以上由</w:t>
            </w:r>
            <w:r>
              <w:rPr>
                <w:rFonts w:hint="eastAsia" w:ascii="宋体" w:hAnsi="宋体" w:cs="宋体"/>
                <w:lang w:eastAsia="zh-CN"/>
              </w:rPr>
              <w:t>中标</w:t>
            </w:r>
            <w:r>
              <w:rPr>
                <w:rFonts w:hint="eastAsia" w:ascii="宋体" w:hAnsi="宋体" w:cs="宋体"/>
              </w:rPr>
              <w:t>供应商提供的驻场开发和实施人员在驻场期间工作能力未达到采购</w:t>
            </w:r>
            <w:r>
              <w:rPr>
                <w:rFonts w:hint="eastAsia" w:ascii="宋体" w:hAnsi="宋体" w:cs="宋体"/>
                <w:lang w:eastAsia="zh-CN"/>
              </w:rPr>
              <w:t>人</w:t>
            </w:r>
            <w:r>
              <w:rPr>
                <w:rFonts w:hint="eastAsia" w:ascii="宋体" w:hAnsi="宋体" w:cs="宋体"/>
              </w:rPr>
              <w:t>认可的，</w:t>
            </w:r>
            <w:r>
              <w:rPr>
                <w:rFonts w:hint="eastAsia" w:ascii="宋体" w:hAnsi="宋体" w:cs="宋体"/>
                <w:lang w:eastAsia="zh-CN"/>
              </w:rPr>
              <w:t>中标</w:t>
            </w:r>
            <w:r>
              <w:rPr>
                <w:rFonts w:hint="eastAsia" w:ascii="宋体" w:hAnsi="宋体" w:cs="宋体"/>
              </w:rPr>
              <w:t>供应商必须予以替换。</w:t>
            </w:r>
            <w:r>
              <w:rPr>
                <w:rFonts w:hint="eastAsia" w:ascii="宋体" w:hAnsi="宋体" w:cs="宋体"/>
                <w:lang w:eastAsia="zh-CN"/>
              </w:rPr>
              <w:t>中标</w:t>
            </w:r>
            <w:r>
              <w:rPr>
                <w:rFonts w:hint="eastAsia" w:ascii="宋体" w:hAnsi="宋体" w:cs="宋体"/>
              </w:rPr>
              <w:t>供应商应在签订合同后1个月内，派遣足够的符合要求并通过面试的人员，否则采购人有权终止合同，并视同中标人违约，追究中标人责任；在合同履行期间，如</w:t>
            </w:r>
            <w:r>
              <w:rPr>
                <w:rFonts w:hint="eastAsia" w:ascii="宋体" w:hAnsi="宋体" w:cs="宋体"/>
                <w:lang w:eastAsia="zh-CN"/>
              </w:rPr>
              <w:t>中标</w:t>
            </w:r>
            <w:r>
              <w:rPr>
                <w:rFonts w:hint="eastAsia" w:ascii="宋体" w:hAnsi="宋体" w:cs="宋体"/>
              </w:rPr>
              <w:t>供应商无法继续维持足够的符合要求并通过面试的人员，采购人有权随时终止合同，并视同中标</w:t>
            </w:r>
            <w:r>
              <w:rPr>
                <w:rFonts w:hint="eastAsia" w:ascii="宋体" w:hAnsi="宋体" w:cs="宋体"/>
                <w:lang w:eastAsia="zh-CN"/>
              </w:rPr>
              <w:t>供应商</w:t>
            </w:r>
            <w:r>
              <w:rPr>
                <w:rFonts w:hint="eastAsia" w:ascii="宋体" w:hAnsi="宋体" w:cs="宋体"/>
              </w:rPr>
              <w:t>违约，追究中标</w:t>
            </w:r>
            <w:r>
              <w:rPr>
                <w:rFonts w:hint="eastAsia" w:ascii="宋体" w:hAnsi="宋体" w:cs="宋体"/>
                <w:lang w:eastAsia="zh-CN"/>
              </w:rPr>
              <w:t>供应商的</w:t>
            </w:r>
            <w:r>
              <w:rPr>
                <w:rFonts w:hint="eastAsia" w:ascii="宋体" w:hAnsi="宋体" w:cs="宋体"/>
              </w:rPr>
              <w:t>责任。</w:t>
            </w:r>
            <w:r>
              <w:rPr>
                <w:rFonts w:hint="eastAsia" w:ascii="宋体" w:hAnsi="宋体" w:cs="宋体"/>
                <w:b/>
                <w:bCs/>
              </w:rPr>
              <w:t>采购人不接受以上人员的任何非驻场开发和实施方式</w:t>
            </w:r>
            <w:r>
              <w:rPr>
                <w:rFonts w:hint="eastAsia" w:ascii="宋体" w:hAnsi="宋体" w:cs="宋体"/>
              </w:rPr>
              <w:t>。</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（三）项目工期要求。</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w:t>
            </w:r>
            <w:r>
              <w:rPr>
                <w:rFonts w:hint="eastAsia" w:ascii="宋体" w:hAnsi="宋体" w:cs="宋体"/>
              </w:rPr>
              <w:t>项目建设周期为自合同签订之日起12个月。</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w:t>
            </w:r>
            <w:r>
              <w:rPr>
                <w:rFonts w:hint="eastAsia" w:ascii="宋体" w:hAnsi="宋体" w:cs="宋体"/>
              </w:rPr>
              <w:t>具体进度安排如表13所示：（设项目建设起始日为T，单位为日历日）。</w:t>
            </w:r>
          </w:p>
          <w:p>
            <w:pPr>
              <w:pStyle w:val="15"/>
              <w:widowControl/>
              <w:jc w:val="center"/>
            </w:pPr>
            <w:r>
              <w:rPr>
                <w:rFonts w:hint="eastAsia"/>
              </w:rPr>
              <w:t>表13 项目实施进度表</w:t>
            </w:r>
          </w:p>
          <w:tbl>
            <w:tblPr>
              <w:tblStyle w:val="44"/>
              <w:tblW w:w="8095" w:type="dxa"/>
              <w:jc w:val="center"/>
              <w:tblLayout w:type="fixed"/>
              <w:tblCellMar>
                <w:top w:w="0" w:type="dxa"/>
                <w:left w:w="108" w:type="dxa"/>
                <w:bottom w:w="0" w:type="dxa"/>
                <w:right w:w="108" w:type="dxa"/>
              </w:tblCellMar>
            </w:tblPr>
            <w:tblGrid>
              <w:gridCol w:w="2425"/>
              <w:gridCol w:w="2126"/>
              <w:gridCol w:w="1843"/>
              <w:gridCol w:w="1701"/>
            </w:tblGrid>
            <w:tr>
              <w:tblPrEx>
                <w:tblCellMar>
                  <w:top w:w="0" w:type="dxa"/>
                  <w:left w:w="108" w:type="dxa"/>
                  <w:bottom w:w="0" w:type="dxa"/>
                  <w:right w:w="108" w:type="dxa"/>
                </w:tblCellMar>
              </w:tblPrEx>
              <w:trPr>
                <w:trHeight w:val="272" w:hRule="atLeast"/>
                <w:jc w:val="center"/>
              </w:trPr>
              <w:tc>
                <w:tcPr>
                  <w:tcW w:w="24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　项目内容</w:t>
                  </w:r>
                </w:p>
              </w:tc>
              <w:tc>
                <w:tcPr>
                  <w:tcW w:w="2126" w:type="dxa"/>
                  <w:tcBorders>
                    <w:top w:val="single" w:color="auto" w:sz="4" w:space="0"/>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开始时间</w:t>
                  </w:r>
                </w:p>
              </w:tc>
              <w:tc>
                <w:tcPr>
                  <w:tcW w:w="1843" w:type="dxa"/>
                  <w:tcBorders>
                    <w:top w:val="single" w:color="auto" w:sz="4" w:space="0"/>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结束时间</w:t>
                  </w:r>
                </w:p>
              </w:tc>
              <w:tc>
                <w:tcPr>
                  <w:tcW w:w="1701" w:type="dxa"/>
                  <w:tcBorders>
                    <w:top w:val="single" w:color="auto" w:sz="4" w:space="0"/>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工期长度</w:t>
                  </w:r>
                </w:p>
              </w:tc>
            </w:tr>
            <w:tr>
              <w:tblPrEx>
                <w:tblCellMar>
                  <w:top w:w="0" w:type="dxa"/>
                  <w:left w:w="108" w:type="dxa"/>
                  <w:bottom w:w="0" w:type="dxa"/>
                  <w:right w:w="108" w:type="dxa"/>
                </w:tblCellMar>
              </w:tblPrEx>
              <w:trPr>
                <w:trHeight w:val="272" w:hRule="atLeast"/>
                <w:jc w:val="center"/>
              </w:trPr>
              <w:tc>
                <w:tcPr>
                  <w:tcW w:w="2425" w:type="dxa"/>
                  <w:tcBorders>
                    <w:top w:val="nil"/>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软件需求调研</w:t>
                  </w:r>
                </w:p>
              </w:tc>
              <w:tc>
                <w:tcPr>
                  <w:tcW w:w="2126"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T</w:t>
                  </w:r>
                </w:p>
              </w:tc>
              <w:tc>
                <w:tcPr>
                  <w:tcW w:w="1843"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T+15</w:t>
                  </w:r>
                </w:p>
              </w:tc>
              <w:tc>
                <w:tcPr>
                  <w:tcW w:w="1701"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15</w:t>
                  </w:r>
                </w:p>
              </w:tc>
            </w:tr>
            <w:tr>
              <w:tblPrEx>
                <w:tblCellMar>
                  <w:top w:w="0" w:type="dxa"/>
                  <w:left w:w="108" w:type="dxa"/>
                  <w:bottom w:w="0" w:type="dxa"/>
                  <w:right w:w="108" w:type="dxa"/>
                </w:tblCellMar>
              </w:tblPrEx>
              <w:trPr>
                <w:trHeight w:val="272" w:hRule="atLeast"/>
                <w:jc w:val="center"/>
              </w:trPr>
              <w:tc>
                <w:tcPr>
                  <w:tcW w:w="2425" w:type="dxa"/>
                  <w:tcBorders>
                    <w:top w:val="nil"/>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标准规范制订</w:t>
                  </w:r>
                </w:p>
              </w:tc>
              <w:tc>
                <w:tcPr>
                  <w:tcW w:w="2126"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T</w:t>
                  </w:r>
                </w:p>
              </w:tc>
              <w:tc>
                <w:tcPr>
                  <w:tcW w:w="1843"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T+15</w:t>
                  </w:r>
                </w:p>
              </w:tc>
              <w:tc>
                <w:tcPr>
                  <w:tcW w:w="1701"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15</w:t>
                  </w:r>
                </w:p>
              </w:tc>
            </w:tr>
            <w:tr>
              <w:tblPrEx>
                <w:tblCellMar>
                  <w:top w:w="0" w:type="dxa"/>
                  <w:left w:w="108" w:type="dxa"/>
                  <w:bottom w:w="0" w:type="dxa"/>
                  <w:right w:w="108" w:type="dxa"/>
                </w:tblCellMar>
              </w:tblPrEx>
              <w:trPr>
                <w:trHeight w:val="272" w:hRule="atLeast"/>
                <w:jc w:val="center"/>
              </w:trPr>
              <w:tc>
                <w:tcPr>
                  <w:tcW w:w="2425" w:type="dxa"/>
                  <w:tcBorders>
                    <w:top w:val="nil"/>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概要设计</w:t>
                  </w:r>
                </w:p>
              </w:tc>
              <w:tc>
                <w:tcPr>
                  <w:tcW w:w="2126"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T+15</w:t>
                  </w:r>
                </w:p>
              </w:tc>
              <w:tc>
                <w:tcPr>
                  <w:tcW w:w="1843"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T+30</w:t>
                  </w:r>
                </w:p>
              </w:tc>
              <w:tc>
                <w:tcPr>
                  <w:tcW w:w="1701"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15</w:t>
                  </w:r>
                </w:p>
              </w:tc>
            </w:tr>
            <w:tr>
              <w:tblPrEx>
                <w:tblCellMar>
                  <w:top w:w="0" w:type="dxa"/>
                  <w:left w:w="108" w:type="dxa"/>
                  <w:bottom w:w="0" w:type="dxa"/>
                  <w:right w:w="108" w:type="dxa"/>
                </w:tblCellMar>
              </w:tblPrEx>
              <w:trPr>
                <w:trHeight w:val="272" w:hRule="atLeast"/>
                <w:jc w:val="center"/>
              </w:trPr>
              <w:tc>
                <w:tcPr>
                  <w:tcW w:w="2425" w:type="dxa"/>
                  <w:tcBorders>
                    <w:top w:val="nil"/>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详细设计</w:t>
                  </w:r>
                </w:p>
              </w:tc>
              <w:tc>
                <w:tcPr>
                  <w:tcW w:w="2126"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T+15</w:t>
                  </w:r>
                </w:p>
              </w:tc>
              <w:tc>
                <w:tcPr>
                  <w:tcW w:w="1843"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T+30</w:t>
                  </w:r>
                </w:p>
              </w:tc>
              <w:tc>
                <w:tcPr>
                  <w:tcW w:w="1701"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15</w:t>
                  </w:r>
                </w:p>
              </w:tc>
            </w:tr>
            <w:tr>
              <w:tblPrEx>
                <w:tblCellMar>
                  <w:top w:w="0" w:type="dxa"/>
                  <w:left w:w="108" w:type="dxa"/>
                  <w:bottom w:w="0" w:type="dxa"/>
                  <w:right w:w="108" w:type="dxa"/>
                </w:tblCellMar>
              </w:tblPrEx>
              <w:trPr>
                <w:trHeight w:val="272" w:hRule="atLeast"/>
                <w:jc w:val="center"/>
              </w:trPr>
              <w:tc>
                <w:tcPr>
                  <w:tcW w:w="2425" w:type="dxa"/>
                  <w:tcBorders>
                    <w:top w:val="nil"/>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软件开发</w:t>
                  </w:r>
                </w:p>
              </w:tc>
              <w:tc>
                <w:tcPr>
                  <w:tcW w:w="2126"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T+30</w:t>
                  </w:r>
                </w:p>
              </w:tc>
              <w:tc>
                <w:tcPr>
                  <w:tcW w:w="1843"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T+150</w:t>
                  </w:r>
                </w:p>
              </w:tc>
              <w:tc>
                <w:tcPr>
                  <w:tcW w:w="1701"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120</w:t>
                  </w:r>
                </w:p>
              </w:tc>
            </w:tr>
            <w:tr>
              <w:tblPrEx>
                <w:tblCellMar>
                  <w:top w:w="0" w:type="dxa"/>
                  <w:left w:w="108" w:type="dxa"/>
                  <w:bottom w:w="0" w:type="dxa"/>
                  <w:right w:w="108" w:type="dxa"/>
                </w:tblCellMar>
              </w:tblPrEx>
              <w:trPr>
                <w:trHeight w:val="90" w:hRule="atLeast"/>
                <w:jc w:val="center"/>
              </w:trPr>
              <w:tc>
                <w:tcPr>
                  <w:tcW w:w="2425" w:type="dxa"/>
                  <w:tcBorders>
                    <w:top w:val="nil"/>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软件测试与中验</w:t>
                  </w:r>
                </w:p>
              </w:tc>
              <w:tc>
                <w:tcPr>
                  <w:tcW w:w="2126"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T+100</w:t>
                  </w:r>
                </w:p>
              </w:tc>
              <w:tc>
                <w:tcPr>
                  <w:tcW w:w="1843"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T+115</w:t>
                  </w:r>
                </w:p>
              </w:tc>
              <w:tc>
                <w:tcPr>
                  <w:tcW w:w="1701"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15</w:t>
                  </w:r>
                </w:p>
              </w:tc>
            </w:tr>
            <w:tr>
              <w:tblPrEx>
                <w:tblCellMar>
                  <w:top w:w="0" w:type="dxa"/>
                  <w:left w:w="108" w:type="dxa"/>
                  <w:bottom w:w="0" w:type="dxa"/>
                  <w:right w:w="108" w:type="dxa"/>
                </w:tblCellMar>
              </w:tblPrEx>
              <w:trPr>
                <w:trHeight w:val="272" w:hRule="atLeast"/>
                <w:jc w:val="center"/>
              </w:trPr>
              <w:tc>
                <w:tcPr>
                  <w:tcW w:w="2425" w:type="dxa"/>
                  <w:tcBorders>
                    <w:top w:val="nil"/>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试运行及调试</w:t>
                  </w:r>
                </w:p>
              </w:tc>
              <w:tc>
                <w:tcPr>
                  <w:tcW w:w="2126"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T+150</w:t>
                  </w:r>
                </w:p>
              </w:tc>
              <w:tc>
                <w:tcPr>
                  <w:tcW w:w="1843"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T+270</w:t>
                  </w:r>
                </w:p>
              </w:tc>
              <w:tc>
                <w:tcPr>
                  <w:tcW w:w="1701"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120</w:t>
                  </w:r>
                </w:p>
              </w:tc>
            </w:tr>
            <w:tr>
              <w:tblPrEx>
                <w:tblCellMar>
                  <w:top w:w="0" w:type="dxa"/>
                  <w:left w:w="108" w:type="dxa"/>
                  <w:bottom w:w="0" w:type="dxa"/>
                  <w:right w:w="108" w:type="dxa"/>
                </w:tblCellMar>
              </w:tblPrEx>
              <w:trPr>
                <w:trHeight w:val="272" w:hRule="atLeast"/>
                <w:jc w:val="center"/>
              </w:trPr>
              <w:tc>
                <w:tcPr>
                  <w:tcW w:w="2425" w:type="dxa"/>
                  <w:tcBorders>
                    <w:top w:val="nil"/>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项目互联互通</w:t>
                  </w:r>
                </w:p>
              </w:tc>
              <w:tc>
                <w:tcPr>
                  <w:tcW w:w="2126"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T+180</w:t>
                  </w:r>
                </w:p>
              </w:tc>
              <w:tc>
                <w:tcPr>
                  <w:tcW w:w="1843"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T+270</w:t>
                  </w:r>
                </w:p>
              </w:tc>
              <w:tc>
                <w:tcPr>
                  <w:tcW w:w="1701"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90</w:t>
                  </w:r>
                </w:p>
              </w:tc>
            </w:tr>
            <w:tr>
              <w:tblPrEx>
                <w:tblCellMar>
                  <w:top w:w="0" w:type="dxa"/>
                  <w:left w:w="108" w:type="dxa"/>
                  <w:bottom w:w="0" w:type="dxa"/>
                  <w:right w:w="108" w:type="dxa"/>
                </w:tblCellMar>
              </w:tblPrEx>
              <w:trPr>
                <w:trHeight w:val="393" w:hRule="atLeast"/>
                <w:jc w:val="center"/>
              </w:trPr>
              <w:tc>
                <w:tcPr>
                  <w:tcW w:w="2425" w:type="dxa"/>
                  <w:tcBorders>
                    <w:top w:val="nil"/>
                    <w:left w:val="single" w:color="auto" w:sz="4" w:space="0"/>
                    <w:bottom w:val="single" w:color="auto" w:sz="4" w:space="0"/>
                    <w:right w:val="single" w:color="auto" w:sz="4" w:space="0"/>
                  </w:tcBorders>
                  <w:vAlign w:val="center"/>
                </w:tcPr>
                <w:p>
                  <w:pPr>
                    <w:pStyle w:val="15"/>
                    <w:tabs>
                      <w:tab w:val="left" w:pos="368"/>
                    </w:tabs>
                    <w:spacing w:before="0" w:after="0"/>
                    <w:ind w:firstLine="420" w:firstLineChars="200"/>
                    <w:rPr>
                      <w:rFonts w:ascii="宋体" w:hAnsi="宋体" w:cs="宋体"/>
                    </w:rPr>
                  </w:pPr>
                  <w:r>
                    <w:rPr>
                      <w:rFonts w:hint="eastAsia" w:ascii="宋体" w:hAnsi="宋体" w:eastAsia="宋体" w:cs="宋体"/>
                      <w:sz w:val="21"/>
                      <w:szCs w:val="24"/>
                    </w:rPr>
                    <w:t>用户培训</w:t>
                  </w:r>
                </w:p>
              </w:tc>
              <w:tc>
                <w:tcPr>
                  <w:tcW w:w="2126"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T+270</w:t>
                  </w:r>
                </w:p>
              </w:tc>
              <w:tc>
                <w:tcPr>
                  <w:tcW w:w="1843"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T+330</w:t>
                  </w:r>
                </w:p>
              </w:tc>
              <w:tc>
                <w:tcPr>
                  <w:tcW w:w="1701"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60</w:t>
                  </w:r>
                </w:p>
              </w:tc>
            </w:tr>
            <w:tr>
              <w:tblPrEx>
                <w:tblCellMar>
                  <w:top w:w="0" w:type="dxa"/>
                  <w:left w:w="108" w:type="dxa"/>
                  <w:bottom w:w="0" w:type="dxa"/>
                  <w:right w:w="108" w:type="dxa"/>
                </w:tblCellMar>
              </w:tblPrEx>
              <w:trPr>
                <w:trHeight w:val="272" w:hRule="atLeast"/>
                <w:jc w:val="center"/>
              </w:trPr>
              <w:tc>
                <w:tcPr>
                  <w:tcW w:w="2425" w:type="dxa"/>
                  <w:tcBorders>
                    <w:top w:val="nil"/>
                    <w:left w:val="single" w:color="auto" w:sz="4" w:space="0"/>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项目应用验收</w:t>
                  </w:r>
                </w:p>
              </w:tc>
              <w:tc>
                <w:tcPr>
                  <w:tcW w:w="2126"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T+330</w:t>
                  </w:r>
                </w:p>
              </w:tc>
              <w:tc>
                <w:tcPr>
                  <w:tcW w:w="1843"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T+360</w:t>
                  </w:r>
                </w:p>
              </w:tc>
              <w:tc>
                <w:tcPr>
                  <w:tcW w:w="1701" w:type="dxa"/>
                  <w:tcBorders>
                    <w:top w:val="nil"/>
                    <w:left w:val="nil"/>
                    <w:bottom w:val="single" w:color="auto" w:sz="4" w:space="0"/>
                    <w:right w:val="single" w:color="auto" w:sz="4" w:space="0"/>
                  </w:tcBorders>
                  <w:vAlign w:val="center"/>
                </w:tcPr>
                <w:p>
                  <w:pPr>
                    <w:widowControl/>
                    <w:adjustRightInd w:val="0"/>
                    <w:snapToGrid w:val="0"/>
                    <w:spacing w:line="360" w:lineRule="exact"/>
                    <w:ind w:firstLine="420" w:firstLineChars="200"/>
                    <w:jc w:val="left"/>
                    <w:rPr>
                      <w:rFonts w:ascii="宋体" w:hAnsi="宋体" w:cs="宋体"/>
                    </w:rPr>
                  </w:pPr>
                  <w:r>
                    <w:rPr>
                      <w:rFonts w:hint="eastAsia" w:ascii="宋体" w:hAnsi="宋体" w:cs="宋体"/>
                    </w:rPr>
                    <w:t>30</w:t>
                  </w:r>
                </w:p>
              </w:tc>
            </w:tr>
          </w:tbl>
          <w:p>
            <w:pPr>
              <w:ind w:firstLine="413" w:firstLineChars="196"/>
              <w:rPr>
                <w:rFonts w:ascii="宋体" w:hAnsi="宋体" w:cs="宋体"/>
                <w:b/>
                <w:bCs/>
              </w:rPr>
            </w:pPr>
            <w:r>
              <w:rPr>
                <w:rFonts w:hint="eastAsia" w:ascii="宋体" w:hAnsi="宋体" w:cs="宋体"/>
                <w:b/>
                <w:bCs/>
              </w:rPr>
              <w:t>▲3.进度管理要求</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w:t>
            </w:r>
            <w:r>
              <w:rPr>
                <w:rFonts w:hint="eastAsia" w:ascii="宋体" w:hAnsi="宋体" w:cs="宋体"/>
              </w:rPr>
              <w:t>项目进度管理的依据是项目合同所约定的工期目标。</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w:t>
            </w:r>
            <w:r>
              <w:rPr>
                <w:rFonts w:hint="eastAsia" w:ascii="宋体" w:hAnsi="宋体" w:cs="宋体"/>
              </w:rPr>
              <w:t>在确保项目质量和安全的原则下，控制项目进度。</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（3）</w:t>
            </w:r>
            <w:r>
              <w:rPr>
                <w:rFonts w:hint="eastAsia" w:ascii="宋体" w:hAnsi="宋体" w:cs="宋体"/>
              </w:rPr>
              <w:t>根据工期目标，提交总体进度计划和项目相关文档交付时间表，必须定期提交阶段性工作计划及相关文档（需求调研数、标准规范、概要设计、详细设计、测试报告、部署文档、数据库结构文档、操作手册）、报告、代码等。</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（4）</w:t>
            </w:r>
            <w:r>
              <w:rPr>
                <w:rFonts w:hint="eastAsia" w:ascii="宋体" w:hAnsi="宋体" w:cs="宋体"/>
              </w:rPr>
              <w:t>制定详细的项目建设进度计划，按照合同的进度计划制定具体的实施计划，定期跟踪检查，对可能发生的工程延误提出相应对策。</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（5）</w:t>
            </w:r>
            <w:r>
              <w:rPr>
                <w:rFonts w:hint="eastAsia" w:ascii="宋体" w:hAnsi="宋体" w:cs="宋体"/>
              </w:rPr>
              <w:t>定期或不定期地召开或参加项目例会、协调会议等，通报项目进展情况，提交进度报告，及时解决相关问题，并服从项目监理的监督。</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（四）项目实施过程管理要求。</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1.系统设计开发要求</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w:t>
            </w:r>
            <w:r>
              <w:rPr>
                <w:rFonts w:hint="eastAsia" w:ascii="宋体" w:hAnsi="宋体" w:cs="宋体"/>
              </w:rPr>
              <w:t>需求调研阶段。供应商在项目建设初期应开展充分的项目需求调研活动，由专门的业务咨询人员和需求调研人员来对信息平台的业务流程、业务需求等进行调研，由专门的技术人员对信息平台的总体架构、数据结构、网络结构等进行调研分析。需求调研分析后将提交需求调研报告。</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w:t>
            </w:r>
            <w:r>
              <w:rPr>
                <w:rFonts w:hint="eastAsia" w:ascii="宋体" w:hAnsi="宋体" w:cs="宋体"/>
              </w:rPr>
              <w:t>方案设计阶段。一是由项目设计人员进行项目总体方案设计并提交设计方案书，同时项目经理制定项目实施的具体内容和计划时间，明确具体的项目内容、各自的工作范围和职责，具体的时间进度表、里程碑等。二是系统设计人员进行系统总体设计、概要设计、详细设计等，完成《数据要求说明书》《概要设计说明书》《详细设计说明书》《数据库设计说明书》等。</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（3）</w:t>
            </w:r>
            <w:r>
              <w:rPr>
                <w:rFonts w:hint="eastAsia" w:ascii="宋体" w:hAnsi="宋体" w:cs="宋体"/>
              </w:rPr>
              <w:t>系统开发阶段。供应商应组织系统开发人员根据项目需求、总体设计方案及具体建设方案进行广西职业健康信息综合管理平台的编码实现。</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（4）</w:t>
            </w:r>
            <w:r>
              <w:rPr>
                <w:rFonts w:hint="eastAsia" w:ascii="宋体" w:hAnsi="宋体" w:cs="宋体"/>
              </w:rPr>
              <w:t>内部测试阶段。信息系统软件开发完成后，供应商完成对信息系统的内部测试，包括性能测试、应用逻辑测试、网络测试、压力测试、极端情况测试等。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2.系统部署实施要求</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供应商在信息系统部署实施阶段，应遵循以下要求：</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w:t>
            </w:r>
            <w:r>
              <w:rPr>
                <w:rFonts w:hint="eastAsia" w:ascii="宋体" w:hAnsi="宋体" w:cs="宋体"/>
              </w:rPr>
              <w:t>完成系统开发设计及内部测试后，实施部署广西职业健康信息综合管理平台工作。开展信息系统联调测试，包括相关的数据准备、整理、清洗、装载以及与卫生行政管理部门、自治区政府相关部门的信息系统进行联合运行调试、数据交换测试等。</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w:t>
            </w:r>
            <w:r>
              <w:rPr>
                <w:rFonts w:hint="eastAsia" w:ascii="宋体" w:hAnsi="宋体" w:cs="宋体"/>
              </w:rPr>
              <w:t>在此过程中，提交详细的项目实施方案，严格按照实施方案完成系统开发任务；接受采购人对项目实施进度的监管和阶段性成果的审核；提供项目文档，包括项目管理文档、系统技术文档、数据字典、用户手册和系统管理手册等。同时，须确保项目的每一个环节均应留有文字痕迹，并有执行人员的签名，对于重要的内容要有项目负责人及监理的签字。</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（五）项目质量管理要求。</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按照ISO质量保证体系和CMMI软件质量管理体系，遵守国家标准，确保系统集成和应用软件开发质量。</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1.软件质量控制</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遵循CMMI软件质量管理体系，按照完善的软件开发流程进行软件开发，一是有完整软件需求分析、总体设计、详细设计、开发技术规范、软件测试规范等的完整技术文档体系。二是软件系统必须经过严格的系统测试，包括单元模块测试方案、集成测试方案、系统压力测试方案。三是在工程建设过程中，根据业务情况编写测试用例，拟定测试方案，具体到每一个测试步骤，按计划进行测试，并提交测试报告。</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2.数据质量控制</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一</w:t>
            </w:r>
            <w:r>
              <w:rPr>
                <w:rFonts w:hint="eastAsia" w:ascii="宋体" w:hAnsi="宋体" w:cs="宋体"/>
              </w:rPr>
              <w:t>是本项目与多个异构信息系统对接，应完全按照统一的技术标准规范要求，进行统一的数据交换或采集，标准要求参照项目标准体系原则。</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二</w:t>
            </w:r>
            <w:r>
              <w:rPr>
                <w:rFonts w:hint="eastAsia" w:ascii="宋体" w:hAnsi="宋体" w:cs="宋体"/>
              </w:rPr>
              <w:t>是对于对接的信息系统，采用数据质量评价和采集数据的监控的方式，确保数据的准确性、稳定性、及时性、关联性和完整性。重点做好数据质量监控，建立数据监控机制，保证数据质量。</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3.实施质量控制</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在本项目的实施中，应严格按照ISO9001：2015质量管理体系标准的要求，从组织、质量策划和资源配置、过程质量控制等方面进行全过程质量保证。具体内容包括：</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w:t>
            </w:r>
            <w:r>
              <w:rPr>
                <w:rFonts w:hint="eastAsia" w:ascii="宋体" w:hAnsi="宋体" w:cs="宋体"/>
              </w:rPr>
              <w:t>准备过程中的质量保证措施；</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w:t>
            </w:r>
            <w:r>
              <w:rPr>
                <w:rFonts w:hint="eastAsia" w:ascii="宋体" w:hAnsi="宋体" w:cs="宋体"/>
              </w:rPr>
              <w:t>实施过程中的质量保证措施；</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（3）</w:t>
            </w:r>
            <w:r>
              <w:rPr>
                <w:rFonts w:hint="eastAsia" w:ascii="宋体" w:hAnsi="宋体" w:cs="宋体"/>
              </w:rPr>
              <w:t>技术交底制度；</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（4）</w:t>
            </w:r>
            <w:r>
              <w:rPr>
                <w:rFonts w:hint="eastAsia" w:ascii="宋体" w:hAnsi="宋体" w:cs="宋体"/>
              </w:rPr>
              <w:t>三检制度；</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（5）</w:t>
            </w:r>
            <w:r>
              <w:rPr>
                <w:rFonts w:hint="eastAsia" w:ascii="宋体" w:hAnsi="宋体" w:cs="宋体"/>
              </w:rPr>
              <w:t>质量否决制度；</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（6）</w:t>
            </w:r>
            <w:r>
              <w:rPr>
                <w:rFonts w:hint="eastAsia" w:ascii="宋体" w:hAnsi="宋体" w:cs="宋体"/>
              </w:rPr>
              <w:t>可交付物的保护制度；</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（7）</w:t>
            </w:r>
            <w:r>
              <w:rPr>
                <w:rFonts w:hint="eastAsia" w:ascii="宋体" w:hAnsi="宋体" w:cs="宋体"/>
              </w:rPr>
              <w:t>质量文件记录制度；</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（8）</w:t>
            </w:r>
            <w:r>
              <w:rPr>
                <w:rFonts w:hint="eastAsia" w:ascii="宋体" w:hAnsi="宋体" w:cs="宋体"/>
              </w:rPr>
              <w:t>质量等级评定和核定制度；</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（9）</w:t>
            </w:r>
            <w:r>
              <w:rPr>
                <w:rFonts w:hint="eastAsia" w:ascii="宋体" w:hAnsi="宋体" w:cs="宋体"/>
              </w:rPr>
              <w:t>服务承诺制度。</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（六）系统测试要求。</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在系统安装与测试阶段，供应商应负责完成以下工作内容：</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w:t>
            </w:r>
            <w:r>
              <w:rPr>
                <w:rFonts w:hint="eastAsia" w:ascii="宋体" w:hAnsi="宋体" w:cs="宋体"/>
              </w:rPr>
              <w:t>负责将所有相关产品按照项目实施方案集成为一套可用系统。</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w:t>
            </w:r>
            <w:r>
              <w:rPr>
                <w:rFonts w:hint="eastAsia" w:ascii="宋体" w:hAnsi="宋体" w:cs="宋体"/>
              </w:rPr>
              <w:t>按照相关要求，编制产品测试计划及制定详细的产品测试方案。</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3.</w:t>
            </w:r>
            <w:r>
              <w:rPr>
                <w:rFonts w:hint="eastAsia" w:ascii="宋体" w:hAnsi="宋体" w:cs="宋体"/>
              </w:rPr>
              <w:t>按照项目要求对产品进行系统功能、互联互通等方面的测试，编制并提交《测试报告》。</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4.</w:t>
            </w:r>
            <w:r>
              <w:rPr>
                <w:rFonts w:hint="eastAsia" w:ascii="宋体" w:hAnsi="宋体" w:cs="宋体"/>
              </w:rPr>
              <w:t>根据《中华人民共和国网络安全法》《信息安全等级保护管理办法》《卫生行业信息安全等级保护工作的指导意见》等有关文件要求，达到信息系统等级保护三级要求，编制测试方案并通过测评。</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当信息系统在安装、调测中出现性能指标或功能上不符合设计要求时，项目供应商应负责迅速解决并达到设计要求。当安装、调测中出现不符合设计要求的严重质量问题时，项目建设单位保留索赔的权利。</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（七）运行维护要求。</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依据ITIL理论体系及职业健康信息综合管理平台建设的建设内容，同时包括平台建成的成熟度、稳定性以及运维资金的节约化使用，平台具体平台运行维护包括：</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1.总体要求</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w:t>
            </w:r>
            <w:r>
              <w:rPr>
                <w:rFonts w:hint="eastAsia" w:ascii="宋体" w:hAnsi="宋体" w:cs="宋体"/>
              </w:rPr>
              <w:t>参照采用ITIL运行维护管理体系要求，对广西职业健康信息综合管理平台进行维护维保服务。</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w:t>
            </w:r>
            <w:r>
              <w:rPr>
                <w:rFonts w:hint="eastAsia" w:ascii="宋体" w:hAnsi="宋体" w:cs="宋体"/>
              </w:rPr>
              <w:t>设计专门的系统运维部门承接运维责任，负责应用系统维护、数据管理和基础设施管理，建立完善的运维管理制度，包括安全、人员、数据管理等，保障系统的正常运行。</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（3）</w:t>
            </w:r>
            <w:r>
              <w:rPr>
                <w:rFonts w:hint="eastAsia" w:ascii="宋体" w:hAnsi="宋体" w:cs="宋体"/>
              </w:rPr>
              <w:t>具有完善、可实施和针对性强的技术支持服务方案，为本项目的实施提供及时、有效、专业的现场技术支持服务。</w:t>
            </w:r>
          </w:p>
          <w:p>
            <w:pPr>
              <w:pStyle w:val="16"/>
              <w:widowControl/>
              <w:adjustRightInd w:val="0"/>
              <w:snapToGrid w:val="0"/>
              <w:spacing w:line="360" w:lineRule="exact"/>
              <w:ind w:firstLine="422" w:firstLineChars="200"/>
              <w:rPr>
                <w:rFonts w:ascii="宋体" w:hAnsi="宋体" w:cs="宋体"/>
                <w:lang w:val="en-US" w:eastAsia="zh-CN"/>
              </w:rPr>
            </w:pPr>
            <w:r>
              <w:rPr>
                <w:rFonts w:hint="eastAsia" w:ascii="宋体" w:hAnsi="宋体" w:cs="宋体"/>
                <w:b/>
                <w:bCs/>
                <w:lang w:val="en-US" w:eastAsia="zh-CN"/>
              </w:rPr>
              <w:t>（4）</w:t>
            </w:r>
            <w:r>
              <w:rPr>
                <w:rFonts w:hint="eastAsia" w:ascii="宋体" w:hAnsi="宋体" w:cs="宋体"/>
                <w:lang w:val="en-US" w:eastAsia="zh-CN"/>
              </w:rPr>
              <w:t>提供规范的软件工程售后服务和项目管理方法，提供完整的质量保证体系，对项目全生命流程进行控制。项目售后运维期至少派1名工程师进行软件使用的咨询答疑及维护维保。</w:t>
            </w:r>
            <w:r>
              <w:rPr>
                <w:rFonts w:hint="eastAsia" w:ascii="宋体" w:hAnsi="宋体"/>
                <w:szCs w:val="21"/>
                <w:lang w:val="en-US" w:eastAsia="zh-CN"/>
              </w:rPr>
              <w:t>如供应商有优于此规定的，按供应商服务执行</w:t>
            </w:r>
            <w:r>
              <w:rPr>
                <w:rFonts w:ascii="Arial" w:hAnsi="Arial" w:cs="Arial"/>
                <w:szCs w:val="21"/>
                <w:lang w:val="en-US" w:eastAsia="zh-CN"/>
              </w:rPr>
              <w:t>。</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（5）</w:t>
            </w:r>
            <w:r>
              <w:rPr>
                <w:rFonts w:hint="eastAsia" w:ascii="宋体" w:hAnsi="宋体" w:cs="宋体"/>
              </w:rPr>
              <w:t>质量保证期自项目验收起3年，</w:t>
            </w:r>
            <w:r>
              <w:rPr>
                <w:rFonts w:hint="eastAsia" w:ascii="宋体" w:hAnsi="宋体"/>
                <w:szCs w:val="21"/>
              </w:rPr>
              <w:t>从项目正式验收合格之日起计算，如供应商有优于此规定的，按供应商服务执行</w:t>
            </w:r>
            <w:r>
              <w:rPr>
                <w:rFonts w:ascii="Arial" w:hAnsi="Arial" w:cs="Arial"/>
                <w:szCs w:val="21"/>
              </w:rPr>
              <w:t>。</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（6）</w:t>
            </w:r>
            <w:r>
              <w:rPr>
                <w:rFonts w:hint="eastAsia" w:ascii="宋体" w:hAnsi="宋体" w:cs="宋体"/>
              </w:rPr>
              <w:t>项目售后运维期后，应根据合同要求，以合理价格提供所需要的系统维护及系统更新服务。</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2.运维内容</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w:t>
            </w:r>
            <w:r>
              <w:rPr>
                <w:rFonts w:hint="eastAsia" w:ascii="宋体" w:hAnsi="宋体" w:cs="宋体"/>
              </w:rPr>
              <w:t>改正性维护。即在软件使用过程中识别和纠正软件错误，改正软件缺陷。</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w:t>
            </w:r>
            <w:r>
              <w:rPr>
                <w:rFonts w:hint="eastAsia" w:ascii="宋体" w:hAnsi="宋体" w:cs="宋体"/>
              </w:rPr>
              <w:t>适应性维护。即当软件外部环境或数据环境发生变化时，修改软件以适应变化，根据系统使用单位的业务发展及相关政策调整的要求进行适应性修改。</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（3）</w:t>
            </w:r>
            <w:r>
              <w:rPr>
                <w:rFonts w:hint="eastAsia" w:ascii="宋体" w:hAnsi="宋体" w:cs="宋体"/>
              </w:rPr>
              <w:t>预防性维护。即对可能要发生的变化进行维护。</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（4）</w:t>
            </w:r>
            <w:r>
              <w:rPr>
                <w:rFonts w:hint="eastAsia" w:ascii="宋体" w:hAnsi="宋体" w:cs="宋体"/>
              </w:rPr>
              <w:t>完善性维护。即扩充原有系统的功能。</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需要指出说明的是，平台在运行使用的过程中，会根据配置项的变化产生不同的版本，即草稿状态，格式为0.YZ；正式状态，格式为X.Y（例如1.0版本为第一次正式版本）；修改状态，格式为X.YZ。这里，任何维护都会对平台配置项产生不同程度的影响，进而生成不同的平台版本。这些包括改正软件缺陷、扩充原系统功能、因政策要求调整的适应性修改等（即上述4类）都属于平台运维服务的范畴，供应商不应另行收取费用。源代码版本，必须要通过信息中心的中台系统管理，版本由信息中心的中台系统发布。</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3.运维方式</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（1）驻场服务。</w:t>
            </w:r>
            <w:r>
              <w:rPr>
                <w:rFonts w:hint="eastAsia" w:ascii="宋体" w:hAnsi="宋体" w:cs="宋体"/>
              </w:rPr>
              <w:t>设计以专门技术支持人员常驻现场进行维护服务，在现场及时做出故障诊断，并进行直接排障或配合排障等后续维护，以及提供技术解答和咨询。</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（2）热线服务。</w:t>
            </w:r>
            <w:r>
              <w:rPr>
                <w:rFonts w:hint="eastAsia" w:ascii="宋体" w:hAnsi="宋体" w:cs="宋体"/>
              </w:rPr>
              <w:t>利用电话热线的方式，为对接的卫生健康业务系统、自治区政府相关部门信息系统的管理使用部门以及用人单位和劳动者提供技术解答和咨询。</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4.运维流程</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针对本项目的日常运维工作，包括日常巡检和应急故障处理2部分。</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w:t>
            </w:r>
            <w:r>
              <w:rPr>
                <w:rFonts w:hint="eastAsia" w:ascii="宋体" w:hAnsi="宋体" w:cs="宋体"/>
              </w:rPr>
              <w:t>日常巡检流程；</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w:t>
            </w:r>
            <w:r>
              <w:rPr>
                <w:rFonts w:hint="eastAsia" w:ascii="宋体" w:hAnsi="宋体" w:cs="宋体"/>
              </w:rPr>
              <w:t>应急故障处理流程。</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5.运维系统</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建立运维监控信息系统，有效监控系统平台、数据库、网络设备、服务器、中间件等的运行状态，及时发现业务系统隐患并智能预警，保障平台的正常运转。监控内容包括整体系统、区域网络、安全设备以及监测其可用性、性能、使用率和吞吐量等，及时发现系统中的故障，并对数据进行分析处理，减少故障处理时间。实现方式上，通过数据库探针、网络件探针、中间件探针、操作系统探针以及第三方应用探针，驱动任务模块将运维消息进行记录，同时通过页面的实时运维消息，应以直观的图表呈现并记录运维日志。</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6.其他</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w:t>
            </w:r>
            <w:r>
              <w:rPr>
                <w:rFonts w:hint="eastAsia" w:ascii="宋体" w:hAnsi="宋体" w:cs="宋体"/>
              </w:rPr>
              <w:t>提供7×24小时支持维护服务，必须保证有足够的人员和技术支持负责本系统运维工作，并保证1小时内对提出的维护要求做出实质性反应，并提供应急响应策略。</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w:t>
            </w:r>
            <w:r>
              <w:rPr>
                <w:rFonts w:hint="eastAsia" w:ascii="宋体" w:hAnsi="宋体" w:cs="宋体"/>
              </w:rPr>
              <w:t>系统运行过程中如果出现技术故障（如软件故障、配置丢失等），在此期间按紧急预案处置，确保系统最大限度地不中断运行。应保证提供最短时间内解决此类问题的紧急预案方案，以恢复故障使得系统得以正常运行。</w:t>
            </w:r>
          </w:p>
          <w:p>
            <w:pPr>
              <w:widowControl/>
              <w:adjustRightInd w:val="0"/>
              <w:snapToGrid w:val="0"/>
              <w:spacing w:line="360" w:lineRule="exact"/>
              <w:ind w:firstLine="422" w:firstLineChars="200"/>
              <w:jc w:val="left"/>
              <w:rPr>
                <w:rFonts w:ascii="宋体" w:hAnsi="宋体" w:cs="宋体"/>
                <w:shd w:val="clear" w:color="auto" w:fill="FFFFFF"/>
              </w:rPr>
            </w:pPr>
            <w:r>
              <w:rPr>
                <w:rFonts w:hint="eastAsia" w:ascii="宋体" w:hAnsi="宋体" w:cs="宋体"/>
                <w:b/>
                <w:bCs/>
              </w:rPr>
              <w:t>（3）</w:t>
            </w:r>
            <w:r>
              <w:rPr>
                <w:rFonts w:hint="eastAsia" w:ascii="宋体" w:hAnsi="宋体" w:cs="宋体"/>
              </w:rPr>
              <w:t>系统运行过程中的其它类故障，恢复时间不能超过12小时。</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（4）</w:t>
            </w:r>
            <w:r>
              <w:rPr>
                <w:rFonts w:hint="eastAsia" w:ascii="宋体" w:hAnsi="宋体" w:cs="宋体"/>
              </w:rPr>
              <w:t>保持密切沟通与合作，对关于项目提出的有关技术问题，必须提供切实可行的解决方案。</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（5）</w:t>
            </w:r>
            <w:r>
              <w:rPr>
                <w:rFonts w:hint="eastAsia" w:ascii="宋体" w:hAnsi="宋体" w:cs="宋体"/>
              </w:rPr>
              <w:t>配合其他与此项目有关实施单位共同完成项目运行维护工作。</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（八）培训要求。</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1.总体要求</w:t>
            </w:r>
          </w:p>
          <w:p>
            <w:pPr>
              <w:widowControl/>
              <w:adjustRightInd w:val="0"/>
              <w:snapToGrid w:val="0"/>
              <w:spacing w:line="360" w:lineRule="exact"/>
              <w:ind w:firstLine="420" w:firstLineChars="200"/>
              <w:jc w:val="left"/>
              <w:rPr>
                <w:rFonts w:ascii="宋体" w:hAnsi="宋体" w:cs="宋体"/>
                <w:szCs w:val="21"/>
              </w:rPr>
            </w:pPr>
            <w:r>
              <w:rPr>
                <w:rFonts w:hint="eastAsia" w:ascii="宋体" w:hAnsi="宋体" w:cs="宋体"/>
              </w:rPr>
              <w:t>供应商应全面制定广西职业健康信息综合管理平台建设项目培训计划和培训方案，采取卓有针对且较为合理的培训方式，确保培训工作可以全面落实到位。</w:t>
            </w:r>
            <w:r>
              <w:rPr>
                <w:rFonts w:hint="eastAsia" w:ascii="宋体" w:hAnsi="宋体" w:cs="宋体"/>
                <w:szCs w:val="21"/>
              </w:rPr>
              <w:t>中标人</w:t>
            </w:r>
            <w:r>
              <w:rPr>
                <w:rFonts w:ascii="宋体" w:hAnsi="宋体" w:cs="宋体"/>
                <w:szCs w:val="21"/>
              </w:rPr>
              <w:t>应提供</w:t>
            </w:r>
            <w:r>
              <w:rPr>
                <w:rFonts w:hint="eastAsia" w:ascii="宋体" w:hAnsi="宋体" w:cs="宋体"/>
                <w:szCs w:val="21"/>
              </w:rPr>
              <w:t>不少于3次</w:t>
            </w:r>
            <w:r>
              <w:rPr>
                <w:rFonts w:ascii="宋体" w:hAnsi="宋体" w:cs="宋体"/>
                <w:szCs w:val="21"/>
              </w:rPr>
              <w:t>平台使用培训服务。</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w:t>
            </w:r>
            <w:r>
              <w:rPr>
                <w:rFonts w:hint="eastAsia" w:ascii="宋体" w:hAnsi="宋体" w:cs="宋体"/>
                <w:lang w:eastAsia="zh-CN"/>
              </w:rPr>
              <w:t>中标</w:t>
            </w:r>
            <w:r>
              <w:rPr>
                <w:rFonts w:hint="eastAsia" w:ascii="宋体" w:hAnsi="宋体" w:cs="宋体"/>
              </w:rPr>
              <w:t>供应商应保证提供最有经验的工程人员，为广西职业健康信息综合管理平台提供系统配置、开发、安装、使用和维护等方面的培训。</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w:t>
            </w:r>
            <w:r>
              <w:rPr>
                <w:rFonts w:hint="eastAsia" w:ascii="宋体" w:hAnsi="宋体" w:cs="宋体"/>
              </w:rPr>
              <w:t>提供完整的培训材料，制定丰富全面且深入浅出的培训教材，同时要求培训人员要有较强的语言表达能力。</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（3）</w:t>
            </w:r>
            <w:r>
              <w:rPr>
                <w:rFonts w:hint="eastAsia" w:ascii="宋体" w:hAnsi="宋体" w:cs="宋体"/>
              </w:rPr>
              <w:t>培训内容应包括理论培训、实践操作培训、互动问答等。</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（4）</w:t>
            </w:r>
            <w:r>
              <w:rPr>
                <w:rFonts w:hint="eastAsia" w:ascii="宋体" w:hAnsi="宋体" w:cs="宋体"/>
                <w:lang w:eastAsia="zh-CN"/>
              </w:rPr>
              <w:t>中标</w:t>
            </w:r>
            <w:r>
              <w:rPr>
                <w:rFonts w:hint="eastAsia" w:ascii="宋体" w:hAnsi="宋体" w:cs="宋体"/>
              </w:rPr>
              <w:t>供应商必须建立长效的咨询热线制度，安排专业人员以热线、互联网等方式全面及时解答基层工作人员的问题。</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（5）</w:t>
            </w:r>
            <w:r>
              <w:rPr>
                <w:rFonts w:hint="eastAsia" w:ascii="宋体" w:hAnsi="宋体" w:cs="宋体"/>
              </w:rPr>
              <w:t>培训所涉及的培训费用包括在项目总价中。</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2.培训对象</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系统中的培训对象主要包括以下几类（包括行政部门、用人单位、职业卫生技术服务机构、放射卫生机构、职业健康检查机构、职业病诊断机构、职业病鉴定机构）：</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w:t>
            </w:r>
            <w:r>
              <w:rPr>
                <w:rFonts w:ascii="宋体" w:hAnsi="宋体" w:cs="宋体"/>
              </w:rPr>
              <w:t>领导决策人员</w:t>
            </w:r>
            <w:r>
              <w:rPr>
                <w:rFonts w:hint="eastAsia" w:ascii="宋体" w:hAnsi="宋体" w:cs="宋体"/>
              </w:rPr>
              <w:t>；</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w:t>
            </w:r>
            <w:r>
              <w:rPr>
                <w:rFonts w:ascii="宋体" w:hAnsi="宋体" w:cs="宋体"/>
              </w:rPr>
              <w:t>业务管理人员</w:t>
            </w:r>
            <w:r>
              <w:rPr>
                <w:rFonts w:hint="eastAsia" w:ascii="宋体" w:hAnsi="宋体" w:cs="宋体"/>
              </w:rPr>
              <w:t>；</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（3）</w:t>
            </w:r>
            <w:r>
              <w:rPr>
                <w:rFonts w:ascii="宋体" w:hAnsi="宋体" w:cs="宋体"/>
              </w:rPr>
              <w:t>系统建设相关人员</w:t>
            </w:r>
            <w:r>
              <w:rPr>
                <w:rFonts w:hint="eastAsia" w:ascii="宋体" w:hAnsi="宋体" w:cs="宋体"/>
              </w:rPr>
              <w:t>；</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（4）</w:t>
            </w:r>
            <w:r>
              <w:rPr>
                <w:rFonts w:hint="eastAsia" w:ascii="宋体" w:hAnsi="宋体" w:cs="宋体"/>
              </w:rPr>
              <w:t>系统管理员；</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（5）</w:t>
            </w:r>
            <w:r>
              <w:rPr>
                <w:rFonts w:hint="eastAsia" w:ascii="宋体" w:hAnsi="宋体" w:cs="宋体"/>
              </w:rPr>
              <w:t>系统操作员。</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3.培训内容和要求</w:t>
            </w:r>
          </w:p>
          <w:p>
            <w:pPr>
              <w:widowControl/>
              <w:adjustRightInd w:val="0"/>
              <w:snapToGrid w:val="0"/>
              <w:spacing w:line="360" w:lineRule="exact"/>
              <w:ind w:firstLine="420" w:firstLineChars="200"/>
              <w:jc w:val="left"/>
              <w:rPr>
                <w:rFonts w:ascii="宋体" w:hAnsi="宋体" w:cs="宋体"/>
                <w:strike/>
              </w:rPr>
            </w:pPr>
            <w:r>
              <w:rPr>
                <w:rFonts w:hint="eastAsia" w:ascii="宋体" w:hAnsi="宋体" w:cs="宋体"/>
              </w:rPr>
              <w:t>培训内容包括：一是与系统建设、项目管理以及系统运行管理相关的培训；二是系统建设管理方法培训；三是专业技术培训（应用软件技术、系统操作）。</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试点单位的培训必须提供现场支持。根据项目的实际要求安排技术人员开展现场指导教育，辅助完成基本软件使用和技能培养。项目结束后，安排试点单位进行试点培训测试，以检验相关人员对系统的基本操作能力和掌握水平。</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中标人必须为所有被培训人员提供文字资料和讲义、录音、视频等培训教材，文字资料培训教材必须以印刷品形式提供，费用由中标人支付。所有的资料必须是中文书写。同时所有参与培训的学员也可对于整个培训项目作出评价，当学员普遍反映对培训课程不满意时，采购人可要求中标人重新安排培训，并承担全部费用。</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（九）验收要求。</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1.验收标准</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验收标准包括但不限于以下：供应商完全响应并完成项目合同的所有内容、通过国家电子健康档案与区域卫生信息平台标准符合性测试、通过信息系统安全等级保护三级测评，以及根据项目实际所产生的的变更内容等。</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2.验收流程</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（1）需求分析评审：</w:t>
            </w:r>
            <w:r>
              <w:rPr>
                <w:rFonts w:hint="eastAsia" w:ascii="宋体" w:hAnsi="宋体" w:cs="宋体"/>
              </w:rPr>
              <w:t>供应商完成需求分析文档后，提交正式需求评审材料，采购人组织正式需求评审。若评审未能通过，则需要进一步的修改，重新开始本阶段工作，或对本阶段的提交物进行整改。</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（2）系统设计评审：</w:t>
            </w:r>
            <w:r>
              <w:rPr>
                <w:rFonts w:hint="eastAsia" w:ascii="宋体" w:hAnsi="宋体" w:cs="宋体"/>
              </w:rPr>
              <w:t>要求提交设计的相关文档，向采购人提出详细设计评审申请。采购人组织正式系统设计评审。供应商需根据评审意见进行相应的修订完善，设计评审通过后进入开发阶段。</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（3）项目中期验收（2023年9月底前）：</w:t>
            </w:r>
            <w:r>
              <w:rPr>
                <w:rFonts w:hint="eastAsia" w:ascii="宋体" w:hAnsi="宋体" w:cs="宋体"/>
              </w:rPr>
              <w:t>平台开发完成项目累计工作价值达到合同总额50%，包括设备安装调试、软件系统开发和测试工作等。供应商向采购人提交相关文档，采购人组织各方进行项目中期验收，对供应商提交的相关文档、报告、代码等交付物认真进行审查，供应商需根据中期验收的意见进行相应的整改。验收期间所产生的费用由供应商承担。如首次验收不通过的，后续验收费用由中标人承担。</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（4）项目内部验收：</w:t>
            </w:r>
            <w:r>
              <w:rPr>
                <w:rFonts w:hint="eastAsia" w:ascii="宋体" w:hAnsi="宋体" w:cs="宋体"/>
              </w:rPr>
              <w:t>2023年供应商完成平台建设以及软件需求调研、标准规范制订、概要设计、详细设计、软件开发、软件测试与中验、试运行及调试、项目互联互通后，并提交所有项目文档，包括产品说明书、项目过程文档、系统代码、数据设计、技术文资料和安装说明书、调试/测试文档、操作说明书、运维说明书等文档等。通过采购</w:t>
            </w:r>
            <w:r>
              <w:rPr>
                <w:rFonts w:hint="eastAsia" w:ascii="宋体" w:hAnsi="宋体" w:cs="宋体"/>
                <w:lang w:eastAsia="zh-CN"/>
              </w:rPr>
              <w:t>人</w:t>
            </w:r>
            <w:r>
              <w:rPr>
                <w:rFonts w:hint="eastAsia" w:ascii="宋体" w:hAnsi="宋体" w:cs="宋体"/>
              </w:rPr>
              <w:t>的第一次测评以及业务单位各方的内部验收，出具内部验收报告。采购</w:t>
            </w:r>
            <w:r>
              <w:rPr>
                <w:rFonts w:hint="eastAsia" w:ascii="宋体" w:hAnsi="宋体" w:cs="宋体"/>
                <w:lang w:eastAsia="zh-CN"/>
              </w:rPr>
              <w:t>人</w:t>
            </w:r>
            <w:r>
              <w:rPr>
                <w:rFonts w:hint="eastAsia" w:ascii="宋体" w:hAnsi="宋体" w:cs="宋体"/>
              </w:rPr>
              <w:t>可视情况采用指定第三方验收机构等形式进行验收。</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（5）项目终期验收：</w:t>
            </w:r>
            <w:r>
              <w:rPr>
                <w:rFonts w:hint="eastAsia" w:ascii="宋体" w:hAnsi="宋体" w:cs="宋体"/>
              </w:rPr>
              <w:t>供应商向采购人提出项目交付申请，配合采购人组织各方进行项目终验，提供项目终期验收所需文档以及系统的使用情况、培训情况、工程师工作情况等，通过采购</w:t>
            </w:r>
            <w:r>
              <w:rPr>
                <w:rFonts w:hint="eastAsia" w:ascii="宋体" w:hAnsi="宋体" w:cs="宋体"/>
                <w:lang w:eastAsia="zh-CN"/>
              </w:rPr>
              <w:t>人</w:t>
            </w:r>
            <w:r>
              <w:rPr>
                <w:rFonts w:hint="eastAsia" w:ascii="宋体" w:hAnsi="宋体" w:cs="宋体"/>
              </w:rPr>
              <w:t>的第二次测评以及业务单位各方的终期验收，且通过广西壮族自治区发展改革委验收，出具终期验收报告。终验结束后进入售后服务期。</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前提条件：系统上线试运行不少于2个月；</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试运行期间未发现系统严重缺陷；试点单位都可正常、独立使用系统完成工作；完成项目累计工作价值达到合同总额100%。</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验收方式：根据招标文件的要求、国家有关技术规范和技术标准，结合验收测评、验收符合性审查报告进行系统终验，并且需通过广西</w:t>
            </w:r>
            <w:r>
              <w:rPr>
                <w:rFonts w:ascii="宋体" w:hAnsi="宋体" w:cs="宋体"/>
              </w:rPr>
              <w:t>壮族自治区发展改革委</w:t>
            </w:r>
            <w:r>
              <w:rPr>
                <w:rFonts w:hint="eastAsia" w:ascii="宋体" w:hAnsi="宋体" w:cs="宋体"/>
              </w:rPr>
              <w:t>审批验收通过。对验收不合格的部分，供应商应在采购人规定时间内及时整改完善直至合格后再次组织验收，期间所产生有关验收的费用由供应商承担。</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3.验收责任</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在各阶段的验收过程中，如果采购人认为供应商提供的系统存在重大功能、性能和质量问题不能满足应用及实际要求，或供应商提交的文档资料不全、提供的培训服务不到位等，采购人有权拒绝提交验收合格报告，由此造成的项目延迟责任由项目供应商承担。</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（十）其他要求。</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1.关于软件</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（1）</w:t>
            </w:r>
            <w:r>
              <w:rPr>
                <w:rFonts w:hint="eastAsia" w:ascii="宋体" w:hAnsi="宋体" w:cs="宋体"/>
              </w:rPr>
              <w:t>招标文件的技术要求中列出了采购人可以接受的最低的技术要求。供应商提供的所有软件必须在功能、性能等方面不低于所列的各项要求。</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（2）</w:t>
            </w:r>
            <w:r>
              <w:rPr>
                <w:rFonts w:hint="eastAsia" w:ascii="宋体" w:hAnsi="宋体" w:cs="宋体"/>
              </w:rPr>
              <w:t>供应商所提供的软件必须是在中国有合法使用权。</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（3）</w:t>
            </w:r>
            <w:r>
              <w:rPr>
                <w:rFonts w:hint="eastAsia" w:ascii="宋体" w:hAnsi="宋体" w:cs="宋体"/>
              </w:rPr>
              <w:t>按需求定制开发的软件部分须提供具有详细注释的源代码。</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（4）</w:t>
            </w:r>
            <w:r>
              <w:rPr>
                <w:rFonts w:hint="eastAsia" w:ascii="宋体" w:hAnsi="宋体" w:cs="宋体"/>
              </w:rPr>
              <w:t>项目验收后，如政府相关部门提出与项目实施使用单位的信息管理系统相关的新标准和规范，供应商有责任对系统软件进行修改和升级以符合其要求。</w:t>
            </w:r>
          </w:p>
          <w:p>
            <w:pPr>
              <w:widowControl/>
              <w:adjustRightInd w:val="0"/>
              <w:snapToGrid w:val="0"/>
              <w:spacing w:line="360" w:lineRule="exact"/>
              <w:ind w:firstLine="422" w:firstLineChars="200"/>
              <w:jc w:val="left"/>
              <w:rPr>
                <w:rFonts w:ascii="宋体" w:hAnsi="宋体" w:cs="宋体"/>
                <w:b/>
                <w:bCs/>
              </w:rPr>
            </w:pPr>
            <w:r>
              <w:rPr>
                <w:rFonts w:hint="eastAsia" w:ascii="宋体" w:hAnsi="宋体" w:cs="宋体"/>
                <w:b/>
                <w:bCs/>
              </w:rPr>
              <w:t>2.关于文档</w:t>
            </w:r>
          </w:p>
          <w:p>
            <w:pPr>
              <w:widowControl/>
              <w:adjustRightInd w:val="0"/>
              <w:snapToGrid w:val="0"/>
              <w:spacing w:line="360" w:lineRule="exact"/>
              <w:ind w:firstLine="420" w:firstLineChars="200"/>
              <w:jc w:val="left"/>
              <w:rPr>
                <w:rFonts w:ascii="宋体" w:hAnsi="宋体" w:cs="宋体"/>
              </w:rPr>
            </w:pPr>
            <w:r>
              <w:rPr>
                <w:rFonts w:hint="eastAsia" w:ascii="宋体" w:hAnsi="宋体" w:cs="宋体"/>
              </w:rPr>
              <w:t>（1）遵照《软件文档管理指南》（GBT 16680—1996）要求，供应商应提供项目开发文档、产品文档和管理文档，所提供的文档要求格式清晰、涉及外文词汇的要求有中文标注。本项目验收文档可根据实际情况调整，具体包括但不限于下述项目文档：项目开发计划、软件需求说明书（软件规格说明书）、数据要求说明书、概要设计说明书、详细设计说明书、数据库设计说明书、安装部署手册、用户操作手册、软件维护手册、模块开发卷宗、测试计划、测试分析报告、开发进度周报月报、项目开发总结报告、软件问题报告、软件修改报告、培训方案、截止至项目验收报告签署之日定制开发功能的最新版本源代码等。</w:t>
            </w:r>
          </w:p>
          <w:p>
            <w:pPr>
              <w:widowControl/>
              <w:adjustRightInd w:val="0"/>
              <w:snapToGrid w:val="0"/>
              <w:spacing w:line="360" w:lineRule="exact"/>
              <w:ind w:firstLine="422" w:firstLineChars="200"/>
              <w:jc w:val="left"/>
              <w:rPr>
                <w:rFonts w:ascii="宋体" w:hAnsi="宋体" w:cs="宋体"/>
                <w:color w:val="000000"/>
              </w:rPr>
            </w:pPr>
            <w:r>
              <w:rPr>
                <w:rFonts w:hint="eastAsia" w:ascii="宋体" w:hAnsi="宋体" w:cs="宋体"/>
                <w:b/>
                <w:bCs/>
                <w:color w:val="000000"/>
              </w:rPr>
              <w:t>（2）</w:t>
            </w:r>
            <w:r>
              <w:rPr>
                <w:rFonts w:hint="eastAsia" w:ascii="宋体" w:hAnsi="宋体" w:cs="宋体"/>
                <w:color w:val="000000"/>
              </w:rPr>
              <w:t>供应商必须向采购人移交项目设计相关报告文档一式叁份，包括但不限于全套文件及其电子文档，其中电子文档以只读光盘存储，且必须符合“电子文档格式”的技术要求，同时必须符合《国家电子政务工程建设项目档案管理暂行办法》的归档要求。</w:t>
            </w:r>
          </w:p>
          <w:p>
            <w:pPr>
              <w:widowControl/>
              <w:adjustRightInd w:val="0"/>
              <w:snapToGrid w:val="0"/>
              <w:spacing w:line="360" w:lineRule="exact"/>
              <w:ind w:firstLine="422" w:firstLineChars="200"/>
              <w:jc w:val="left"/>
              <w:rPr>
                <w:rFonts w:ascii="宋体" w:hAnsi="宋体" w:cs="宋体"/>
                <w:b/>
                <w:bCs/>
                <w:color w:val="000000"/>
              </w:rPr>
            </w:pPr>
            <w:r>
              <w:rPr>
                <w:rFonts w:hint="eastAsia" w:ascii="宋体" w:hAnsi="宋体" w:cs="宋体"/>
                <w:b/>
                <w:bCs/>
                <w:color w:val="000000"/>
              </w:rPr>
              <w:t>3.其他</w:t>
            </w:r>
          </w:p>
          <w:p>
            <w:pPr>
              <w:widowControl/>
              <w:adjustRightInd w:val="0"/>
              <w:snapToGrid w:val="0"/>
              <w:spacing w:line="360" w:lineRule="exact"/>
              <w:ind w:firstLine="420" w:firstLineChars="200"/>
              <w:jc w:val="left"/>
              <w:rPr>
                <w:rFonts w:ascii="宋体" w:hAnsi="宋体" w:cs="宋体"/>
              </w:rPr>
            </w:pPr>
            <w:r>
              <w:rPr>
                <w:rFonts w:ascii="宋体" w:hAnsi="宋体" w:cs="宋体"/>
              </w:rPr>
              <w:t>▲</w:t>
            </w:r>
            <w:r>
              <w:rPr>
                <w:rFonts w:hint="eastAsia" w:ascii="宋体" w:hAnsi="宋体" w:cs="宋体"/>
              </w:rPr>
              <w:t>（1）禁止转包，禁止分包。</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szCs w:val="21"/>
              </w:rPr>
              <w:t>▲</w:t>
            </w:r>
            <w:r>
              <w:rPr>
                <w:rFonts w:hint="eastAsia" w:ascii="宋体" w:hAnsi="宋体" w:cs="宋体"/>
              </w:rPr>
              <w:t>（2）投标供应商</w:t>
            </w:r>
            <w:r>
              <w:rPr>
                <w:rFonts w:hint="eastAsia" w:ascii="宋体" w:hAnsi="宋体" w:cs="宋体"/>
                <w:lang w:eastAsia="zh-CN"/>
              </w:rPr>
              <w:t>须</w:t>
            </w:r>
            <w:r>
              <w:rPr>
                <w:rFonts w:hint="eastAsia" w:ascii="宋体" w:hAnsi="宋体" w:cs="宋体"/>
              </w:rPr>
              <w:t>承诺，使用广西壮族自治区的职业健康综合管理平台录入的数据，在国家允许对接的情况下，能够对接上报数据到国垂系统或同步国垂系统的数据返回，其中国垂系统包括《职业健康技术服务机构信息填报系统》、《职业病及健康危害因素监测信息系统》、《职业病危害项目申报系统》、《卫生健康监督信息平台》、《放射工作人员个人剂量监测登记系统-网络版》、《卫生部外照射个人监测管理子系统脱机版》、《全国放射卫生信息平台》，对接所有费用包含在本项目范围内，不提供相应承诺函则视为未实质性响应采购文件。</w:t>
            </w:r>
          </w:p>
          <w:p>
            <w:pPr>
              <w:adjustRightInd w:val="0"/>
              <w:snapToGrid w:val="0"/>
              <w:spacing w:line="300" w:lineRule="exact"/>
              <w:ind w:firstLine="422" w:firstLineChars="200"/>
              <w:rPr>
                <w:rFonts w:ascii="宋体" w:hAnsi="宋体" w:cs="宋体"/>
              </w:rPr>
            </w:pPr>
            <w:r>
              <w:rPr>
                <w:rFonts w:hint="eastAsia" w:ascii="宋体" w:hAnsi="宋体" w:cs="宋体"/>
                <w:b/>
                <w:bCs/>
              </w:rPr>
              <w:t>▲</w:t>
            </w:r>
            <w:r>
              <w:rPr>
                <w:rFonts w:hint="eastAsia" w:ascii="宋体" w:hAnsi="宋体" w:cs="宋体"/>
              </w:rPr>
              <w:t>（3）投标供应商</w:t>
            </w:r>
            <w:r>
              <w:rPr>
                <w:rFonts w:hint="eastAsia" w:ascii="宋体" w:hAnsi="宋体" w:cs="宋体"/>
                <w:lang w:eastAsia="zh-CN"/>
              </w:rPr>
              <w:t>须</w:t>
            </w:r>
            <w:r>
              <w:rPr>
                <w:rFonts w:hint="eastAsia" w:ascii="宋体" w:hAnsi="宋体" w:cs="宋体"/>
              </w:rPr>
              <w:t>承诺，能够对接《广西职业病防治与职业健康管理平台》、《广西职业病康复管理平台》、《广西卫生监督执法管理平台》，三个自治区自建系统可以在职业健康信息综合管理平台实现单点登录。对接所有费用包含在本项目范围内，不提供相应承诺函则视为未实质性响应采购文件。</w:t>
            </w:r>
          </w:p>
          <w:p>
            <w:pPr>
              <w:adjustRightInd w:val="0"/>
              <w:snapToGrid w:val="0"/>
              <w:spacing w:line="300" w:lineRule="exact"/>
              <w:ind w:firstLine="422" w:firstLineChars="200"/>
              <w:rPr>
                <w:rFonts w:ascii="宋体" w:hAnsi="宋体" w:cs="宋体"/>
              </w:rPr>
            </w:pPr>
            <w:r>
              <w:rPr>
                <w:rFonts w:hint="eastAsia" w:ascii="宋体" w:hAnsi="宋体" w:cs="宋体"/>
                <w:b/>
                <w:bCs/>
              </w:rPr>
              <w:t>▲</w:t>
            </w:r>
            <w:r>
              <w:rPr>
                <w:rFonts w:hint="eastAsia" w:ascii="宋体" w:hAnsi="宋体" w:cs="宋体"/>
              </w:rPr>
              <w:t>（4）投标供应商</w:t>
            </w:r>
            <w:r>
              <w:rPr>
                <w:rFonts w:hint="eastAsia" w:ascii="宋体" w:hAnsi="宋体" w:cs="宋体"/>
                <w:lang w:eastAsia="zh-CN"/>
              </w:rPr>
              <w:t>须</w:t>
            </w:r>
            <w:r>
              <w:rPr>
                <w:rFonts w:hint="eastAsia" w:ascii="宋体" w:hAnsi="宋体" w:cs="宋体"/>
              </w:rPr>
              <w:t>承诺，能够对接《广西全民健康信息平台》，对接所有费用包含在本项目范围内，不提供相应承诺函则视为未实质性响应采购文件。</w:t>
            </w:r>
          </w:p>
          <w:p>
            <w:pPr>
              <w:numPr>
                <w:ilvl w:val="0"/>
                <w:numId w:val="5"/>
              </w:numPr>
              <w:adjustRightInd w:val="0"/>
              <w:snapToGrid w:val="0"/>
              <w:spacing w:line="300" w:lineRule="exact"/>
              <w:ind w:firstLine="420" w:firstLineChars="200"/>
              <w:rPr>
                <w:rFonts w:ascii="宋体" w:hAnsi="宋体"/>
                <w:szCs w:val="21"/>
              </w:rPr>
            </w:pPr>
            <w:r>
              <w:rPr>
                <w:rFonts w:hint="eastAsia" w:ascii="宋体" w:hAnsi="宋体"/>
                <w:szCs w:val="21"/>
              </w:rPr>
              <w:t>本项目不具有排他性，</w:t>
            </w:r>
            <w:r>
              <w:rPr>
                <w:rFonts w:hint="eastAsia" w:ascii="宋体" w:hAnsi="宋体"/>
                <w:szCs w:val="21"/>
                <w:lang w:eastAsia="zh-CN"/>
              </w:rPr>
              <w:t>采购人</w:t>
            </w:r>
            <w:r>
              <w:rPr>
                <w:rFonts w:hint="eastAsia" w:ascii="宋体" w:hAnsi="宋体"/>
                <w:szCs w:val="21"/>
              </w:rPr>
              <w:t>有权自主选择本项目业务应用系统通用版软件或自行使用业务应用系统软件，</w:t>
            </w:r>
            <w:r>
              <w:rPr>
                <w:rFonts w:hint="eastAsia" w:ascii="宋体" w:hAnsi="宋体"/>
                <w:szCs w:val="21"/>
                <w:lang w:eastAsia="zh-CN"/>
              </w:rPr>
              <w:t>供应商</w:t>
            </w:r>
            <w:r>
              <w:rPr>
                <w:rFonts w:hint="eastAsia" w:ascii="宋体" w:hAnsi="宋体"/>
                <w:szCs w:val="21"/>
              </w:rPr>
              <w:t>均应一视同仁，主动提供数据接口对接服务，不得设置障碍阻止其他系统软件或相关软件的数据交换业务。</w:t>
            </w:r>
          </w:p>
          <w:p>
            <w:pPr>
              <w:adjustRightInd w:val="0"/>
              <w:snapToGrid w:val="0"/>
              <w:spacing w:line="300" w:lineRule="exact"/>
              <w:ind w:firstLine="420" w:firstLineChars="200"/>
              <w:rPr>
                <w:rFonts w:ascii="宋体" w:hAnsi="宋体"/>
                <w:szCs w:val="21"/>
              </w:rPr>
            </w:pPr>
            <w:r>
              <w:rPr>
                <w:rFonts w:hint="eastAsia" w:ascii="宋体" w:hAnsi="宋体"/>
                <w:szCs w:val="21"/>
              </w:rPr>
              <w:t>（6）在合同期内或合同期满后甲方均有权根据工作需要选择是否继续使用本项目软件。</w:t>
            </w:r>
          </w:p>
          <w:p>
            <w:pPr>
              <w:widowControl/>
              <w:adjustRightInd w:val="0"/>
              <w:snapToGrid w:val="0"/>
              <w:spacing w:line="360" w:lineRule="exact"/>
              <w:ind w:firstLine="422" w:firstLineChars="200"/>
              <w:jc w:val="left"/>
              <w:rPr>
                <w:rFonts w:ascii="宋体" w:hAnsi="宋体" w:cs="宋体"/>
              </w:rPr>
            </w:pPr>
            <w:r>
              <w:rPr>
                <w:rFonts w:hint="eastAsia" w:ascii="宋体" w:hAnsi="宋体" w:cs="宋体"/>
                <w:b/>
                <w:bCs/>
              </w:rPr>
              <w:t>▲</w:t>
            </w:r>
            <w:r>
              <w:rPr>
                <w:rFonts w:hint="eastAsia" w:ascii="宋体" w:hAnsi="宋体" w:cs="宋体"/>
              </w:rPr>
              <w:t>（7）试运行期间，不少于5家不同规模的用人单位（其中包括1家非医疗放射工作单位）作为试点单位，在接受培训后，可独立、正常使用系统完成工作。不少于2家职业卫生技术服务机构、职业健康检查机构、职业病诊断机构、职业病鉴定办事机构、放射职业卫生技术服务机构、放射诊疗机构作为试点单位，在接受培训后，可独立、正常使用系统完成工作。不少于4家监督所、疾控中心、卫健委（局）作为试点单位，在接受培训后，可独立、正常使用系统完成工作。由</w:t>
            </w:r>
            <w:r>
              <w:rPr>
                <w:rFonts w:hint="eastAsia"/>
              </w:rPr>
              <w:t>供应商派遣相关技术人员到试点单位完成培训，相关费用包含在本项目范围内。</w:t>
            </w:r>
          </w:p>
          <w:tbl>
            <w:tblPr>
              <w:tblStyle w:val="44"/>
              <w:tblW w:w="9551" w:type="dxa"/>
              <w:jc w:val="center"/>
              <w:tblLayout w:type="fixed"/>
              <w:tblCellMar>
                <w:top w:w="0" w:type="dxa"/>
                <w:left w:w="0" w:type="dxa"/>
                <w:bottom w:w="0" w:type="dxa"/>
                <w:right w:w="0" w:type="dxa"/>
              </w:tblCellMar>
            </w:tblPr>
            <w:tblGrid>
              <w:gridCol w:w="648"/>
              <w:gridCol w:w="1483"/>
              <w:gridCol w:w="7420"/>
            </w:tblGrid>
            <w:tr>
              <w:tblPrEx>
                <w:tblCellMar>
                  <w:top w:w="0" w:type="dxa"/>
                  <w:left w:w="0" w:type="dxa"/>
                  <w:bottom w:w="0" w:type="dxa"/>
                  <w:right w:w="0" w:type="dxa"/>
                </w:tblCellMar>
              </w:tblPrEx>
              <w:trPr>
                <w:trHeight w:val="319" w:hRule="atLeast"/>
                <w:jc w:val="center"/>
              </w:trPr>
              <w:tc>
                <w:tcPr>
                  <w:tcW w:w="9551"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pPr>
                    <w:widowControl/>
                    <w:wordWrap w:val="0"/>
                    <w:ind w:right="255"/>
                    <w:jc w:val="left"/>
                    <w:rPr>
                      <w:rFonts w:ascii="宋体" w:hAnsi="宋体" w:cs="宋体"/>
                      <w:szCs w:val="21"/>
                    </w:rPr>
                  </w:pPr>
                  <w:r>
                    <w:rPr>
                      <w:rFonts w:ascii="宋体" w:hAnsi="宋体" w:cs="宋体"/>
                      <w:kern w:val="0"/>
                      <w:sz w:val="24"/>
                    </w:rPr>
                    <w:t>Ⅳ</w:t>
                  </w:r>
                  <w:r>
                    <w:rPr>
                      <w:rFonts w:hint="eastAsia" w:ascii="宋体" w:hAnsi="宋体" w:cs="宋体"/>
                      <w:b/>
                      <w:szCs w:val="21"/>
                    </w:rPr>
                    <w:t>、本项目商务要求</w:t>
                  </w:r>
                </w:p>
              </w:tc>
            </w:tr>
            <w:tr>
              <w:tblPrEx>
                <w:tblCellMar>
                  <w:top w:w="0" w:type="dxa"/>
                  <w:left w:w="0" w:type="dxa"/>
                  <w:bottom w:w="0" w:type="dxa"/>
                  <w:right w:w="0" w:type="dxa"/>
                </w:tblCellMar>
              </w:tblPrEx>
              <w:trPr>
                <w:trHeight w:val="29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60" w:lineRule="exact"/>
                    <w:jc w:val="center"/>
                    <w:rPr>
                      <w:rFonts w:ascii="宋体" w:hAnsi="宋体" w:cs="宋体"/>
                      <w:b/>
                      <w:szCs w:val="21"/>
                    </w:rPr>
                  </w:pPr>
                  <w:r>
                    <w:rPr>
                      <w:rFonts w:hint="eastAsia" w:ascii="宋体" w:hAnsi="宋体" w:cs="宋体"/>
                      <w:b/>
                      <w:szCs w:val="21"/>
                    </w:rPr>
                    <w:t>序号</w:t>
                  </w:r>
                </w:p>
              </w:tc>
              <w:tc>
                <w:tcPr>
                  <w:tcW w:w="1483"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60" w:lineRule="exact"/>
                    <w:jc w:val="center"/>
                    <w:rPr>
                      <w:rFonts w:ascii="宋体" w:hAnsi="宋体" w:cs="宋体"/>
                      <w:b/>
                      <w:szCs w:val="21"/>
                    </w:rPr>
                  </w:pPr>
                  <w:r>
                    <w:rPr>
                      <w:rFonts w:hint="eastAsia" w:ascii="宋体" w:hAnsi="宋体" w:cs="宋体"/>
                      <w:b/>
                      <w:szCs w:val="21"/>
                    </w:rPr>
                    <w:t>商务条款</w:t>
                  </w:r>
                </w:p>
              </w:tc>
              <w:tc>
                <w:tcPr>
                  <w:tcW w:w="7420"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00" w:lineRule="exact"/>
                    <w:jc w:val="center"/>
                    <w:rPr>
                      <w:rFonts w:ascii="宋体" w:hAnsi="宋体" w:cs="宋体"/>
                      <w:b/>
                      <w:szCs w:val="21"/>
                    </w:rPr>
                  </w:pPr>
                  <w:r>
                    <w:rPr>
                      <w:rFonts w:hint="eastAsia" w:ascii="宋体" w:hAnsi="宋体" w:cs="宋体"/>
                      <w:b/>
                      <w:szCs w:val="21"/>
                    </w:rPr>
                    <w:t>商务要求</w:t>
                  </w:r>
                </w:p>
              </w:tc>
            </w:tr>
            <w:tr>
              <w:tblPrEx>
                <w:tblCellMar>
                  <w:top w:w="0" w:type="dxa"/>
                  <w:left w:w="0" w:type="dxa"/>
                  <w:bottom w:w="0" w:type="dxa"/>
                  <w:right w:w="0" w:type="dxa"/>
                </w:tblCellMar>
              </w:tblPrEx>
              <w:trPr>
                <w:trHeight w:val="70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60" w:lineRule="exact"/>
                    <w:jc w:val="center"/>
                    <w:rPr>
                      <w:rFonts w:ascii="宋体" w:hAnsi="宋体" w:cs="宋体"/>
                      <w:szCs w:val="21"/>
                    </w:rPr>
                  </w:pPr>
                  <w:r>
                    <w:rPr>
                      <w:rFonts w:hint="eastAsia" w:ascii="宋体" w:hAnsi="宋体" w:cs="宋体"/>
                      <w:szCs w:val="21"/>
                    </w:rPr>
                    <w:t>1</w:t>
                  </w:r>
                </w:p>
              </w:tc>
              <w:tc>
                <w:tcPr>
                  <w:tcW w:w="1483"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60" w:lineRule="exact"/>
                    <w:jc w:val="center"/>
                    <w:rPr>
                      <w:rFonts w:ascii="宋体" w:hAnsi="宋体" w:cs="宋体"/>
                      <w:szCs w:val="21"/>
                    </w:rPr>
                  </w:pPr>
                  <w:r>
                    <w:rPr>
                      <w:rFonts w:hint="eastAsia" w:ascii="宋体" w:hAnsi="宋体" w:cs="宋体"/>
                      <w:szCs w:val="21"/>
                    </w:rPr>
                    <w:t>▲报价要求</w:t>
                  </w:r>
                </w:p>
              </w:tc>
              <w:tc>
                <w:tcPr>
                  <w:tcW w:w="74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53" w:leftChars="25" w:right="53" w:rightChars="25"/>
                    <w:jc w:val="left"/>
                    <w:rPr>
                      <w:rFonts w:ascii="宋体" w:hAnsi="宋体" w:cs="宋体"/>
                    </w:rPr>
                  </w:pPr>
                  <w:r>
                    <w:rPr>
                      <w:rFonts w:hint="eastAsia" w:ascii="宋体" w:hAnsi="宋体" w:cs="宋体"/>
                    </w:rPr>
                    <w:t>1、本项目实行总承包报价；供应商须就本项目的全部服务和货物内容作完整唯一报价，否则磋商响应无效。报价应包含本项目所有标的采购、接口对接费用、软件完善和升级、安装、调试、售后服务3年的运维、劳务、旅差（交通费、住宿费、伙食补助费、必要的保险费用）、培训、印刷、验收等各种费用和售后服务、税金及其它所有成本费用的总和。</w:t>
                  </w:r>
                </w:p>
                <w:p>
                  <w:pPr>
                    <w:kinsoku w:val="0"/>
                    <w:overflowPunct w:val="0"/>
                    <w:adjustRightInd w:val="0"/>
                    <w:snapToGrid w:val="0"/>
                    <w:spacing w:line="360" w:lineRule="exact"/>
                    <w:ind w:left="53" w:leftChars="25" w:right="53" w:rightChars="25"/>
                    <w:rPr>
                      <w:rFonts w:ascii="宋体" w:hAnsi="宋体" w:cs="宋体"/>
                      <w:szCs w:val="22"/>
                    </w:rPr>
                  </w:pPr>
                  <w:r>
                    <w:rPr>
                      <w:rFonts w:hint="eastAsia" w:ascii="宋体" w:hAnsi="宋体" w:cs="宋体"/>
                      <w:szCs w:val="22"/>
                    </w:rPr>
                    <w:t>注：本项目为整体服务包干项目，报价中应包含所有服务内容，中标后采购人服务期内不再另行支付额外费用。供应商的报价≤采购预算。</w:t>
                  </w:r>
                </w:p>
                <w:p>
                  <w:pPr>
                    <w:adjustRightInd w:val="0"/>
                    <w:snapToGrid w:val="0"/>
                    <w:spacing w:line="360" w:lineRule="exact"/>
                    <w:ind w:left="53" w:leftChars="25" w:right="53" w:rightChars="25"/>
                    <w:rPr>
                      <w:rFonts w:ascii="宋体" w:hAnsi="宋体" w:cs="宋体"/>
                    </w:rPr>
                  </w:pPr>
                  <w:r>
                    <w:rPr>
                      <w:rFonts w:hint="eastAsia" w:ascii="宋体" w:hAnsi="宋体" w:cs="宋体"/>
                    </w:rPr>
                    <w:t>2、供应商的报价明显低于其他通过符合性审查供应商的报价，有可能影响产品质量或者不能诚信履约的，其应当在评标现场合理的时间内提供书面说明，必要时提交相关证明材料；供应商不能证明其报价合理性的，评标委员会将其作为无效投标处理。</w:t>
                  </w:r>
                </w:p>
              </w:tc>
            </w:tr>
            <w:tr>
              <w:tblPrEx>
                <w:tblCellMar>
                  <w:top w:w="0" w:type="dxa"/>
                  <w:left w:w="0" w:type="dxa"/>
                  <w:bottom w:w="0" w:type="dxa"/>
                  <w:right w:w="0" w:type="dxa"/>
                </w:tblCellMar>
              </w:tblPrEx>
              <w:trPr>
                <w:trHeight w:val="345"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60" w:lineRule="exact"/>
                    <w:jc w:val="center"/>
                    <w:rPr>
                      <w:rFonts w:ascii="宋体" w:hAnsi="宋体" w:cs="宋体"/>
                      <w:szCs w:val="21"/>
                    </w:rPr>
                  </w:pPr>
                  <w:r>
                    <w:rPr>
                      <w:rFonts w:hint="eastAsia" w:ascii="宋体" w:hAnsi="宋体" w:cs="宋体"/>
                      <w:szCs w:val="21"/>
                    </w:rPr>
                    <w:t>2</w:t>
                  </w:r>
                </w:p>
              </w:tc>
              <w:tc>
                <w:tcPr>
                  <w:tcW w:w="1483"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60" w:lineRule="exact"/>
                    <w:jc w:val="center"/>
                    <w:rPr>
                      <w:rFonts w:ascii="宋体" w:hAnsi="宋体" w:cs="宋体"/>
                      <w:szCs w:val="21"/>
                    </w:rPr>
                  </w:pPr>
                  <w:r>
                    <w:rPr>
                      <w:rFonts w:hint="eastAsia" w:ascii="宋体" w:hAnsi="宋体" w:cs="宋体"/>
                      <w:szCs w:val="21"/>
                    </w:rPr>
                    <w:t>合同签订日期</w:t>
                  </w:r>
                </w:p>
              </w:tc>
              <w:tc>
                <w:tcPr>
                  <w:tcW w:w="74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53" w:leftChars="25" w:right="53" w:rightChars="25"/>
                    <w:jc w:val="left"/>
                    <w:rPr>
                      <w:rFonts w:ascii="宋体" w:hAnsi="宋体" w:cs="宋体"/>
                      <w:szCs w:val="22"/>
                    </w:rPr>
                  </w:pPr>
                  <w:r>
                    <w:rPr>
                      <w:rFonts w:hint="eastAsia" w:ascii="宋体" w:hAnsi="宋体" w:cs="宋体"/>
                      <w:szCs w:val="22"/>
                      <w:lang w:eastAsia="zh-CN"/>
                    </w:rPr>
                    <w:t>中标</w:t>
                  </w:r>
                  <w:r>
                    <w:rPr>
                      <w:rFonts w:hint="eastAsia" w:ascii="宋体" w:hAnsi="宋体" w:cs="宋体"/>
                      <w:szCs w:val="22"/>
                    </w:rPr>
                    <w:t>通知书发出后25日内。</w:t>
                  </w:r>
                </w:p>
              </w:tc>
            </w:tr>
            <w:tr>
              <w:tblPrEx>
                <w:tblCellMar>
                  <w:top w:w="0" w:type="dxa"/>
                  <w:left w:w="0" w:type="dxa"/>
                  <w:bottom w:w="0" w:type="dxa"/>
                  <w:right w:w="0" w:type="dxa"/>
                </w:tblCellMar>
              </w:tblPrEx>
              <w:trPr>
                <w:trHeight w:val="309"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insoku w:val="0"/>
                    <w:overflowPunct w:val="0"/>
                    <w:jc w:val="center"/>
                    <w:rPr>
                      <w:rFonts w:ascii="宋体" w:hAnsi="宋体" w:cs="宋体"/>
                      <w:szCs w:val="21"/>
                    </w:rPr>
                  </w:pPr>
                  <w:r>
                    <w:rPr>
                      <w:rFonts w:hint="eastAsia" w:ascii="宋体" w:hAnsi="宋体" w:cs="宋体"/>
                      <w:szCs w:val="21"/>
                    </w:rPr>
                    <w:t>3</w:t>
                  </w:r>
                </w:p>
              </w:tc>
              <w:tc>
                <w:tcPr>
                  <w:tcW w:w="1483"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60" w:lineRule="exact"/>
                    <w:jc w:val="center"/>
                    <w:rPr>
                      <w:rFonts w:ascii="宋体" w:hAnsi="宋体" w:cs="宋体"/>
                      <w:szCs w:val="21"/>
                    </w:rPr>
                  </w:pPr>
                  <w:r>
                    <w:rPr>
                      <w:rFonts w:hint="eastAsia" w:ascii="宋体" w:hAnsi="宋体" w:cs="宋体"/>
                      <w:szCs w:val="21"/>
                    </w:rPr>
                    <w:t>▲</w:t>
                  </w:r>
                  <w:r>
                    <w:rPr>
                      <w:rFonts w:hint="eastAsia" w:ascii="宋体" w:hAnsi="宋体" w:cs="宋体"/>
                    </w:rPr>
                    <w:t>交付时间</w:t>
                  </w:r>
                </w:p>
              </w:tc>
              <w:tc>
                <w:tcPr>
                  <w:tcW w:w="74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53" w:leftChars="25" w:right="53" w:rightChars="25"/>
                    <w:jc w:val="left"/>
                    <w:rPr>
                      <w:rFonts w:ascii="宋体" w:hAnsi="宋体" w:cs="宋体"/>
                      <w:szCs w:val="22"/>
                    </w:rPr>
                  </w:pPr>
                  <w:r>
                    <w:rPr>
                      <w:rFonts w:hint="eastAsia" w:ascii="宋体" w:hAnsi="宋体" w:cs="宋体"/>
                      <w:szCs w:val="22"/>
                    </w:rPr>
                    <w:t>自</w:t>
                  </w:r>
                  <w:r>
                    <w:rPr>
                      <w:rFonts w:ascii="宋体" w:hAnsi="宋体" w:cs="宋体"/>
                      <w:szCs w:val="22"/>
                    </w:rPr>
                    <w:t>合同</w:t>
                  </w:r>
                  <w:r>
                    <w:rPr>
                      <w:rFonts w:hint="eastAsia" w:ascii="宋体" w:hAnsi="宋体" w:cs="宋体"/>
                      <w:szCs w:val="22"/>
                    </w:rPr>
                    <w:t>签订之日12个月内验收合格并完成交付。</w:t>
                  </w:r>
                </w:p>
              </w:tc>
            </w:tr>
            <w:tr>
              <w:tblPrEx>
                <w:tblCellMar>
                  <w:top w:w="0" w:type="dxa"/>
                  <w:left w:w="0" w:type="dxa"/>
                  <w:bottom w:w="0" w:type="dxa"/>
                  <w:right w:w="0" w:type="dxa"/>
                </w:tblCellMar>
              </w:tblPrEx>
              <w:trPr>
                <w:trHeight w:val="37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60" w:lineRule="exact"/>
                    <w:jc w:val="center"/>
                    <w:rPr>
                      <w:rFonts w:ascii="宋体" w:hAnsi="宋体" w:cs="宋体"/>
                      <w:szCs w:val="21"/>
                    </w:rPr>
                  </w:pPr>
                  <w:r>
                    <w:rPr>
                      <w:rFonts w:hint="eastAsia" w:ascii="宋体" w:hAnsi="宋体" w:cs="宋体"/>
                      <w:szCs w:val="21"/>
                    </w:rPr>
                    <w:t>4</w:t>
                  </w:r>
                </w:p>
              </w:tc>
              <w:tc>
                <w:tcPr>
                  <w:tcW w:w="1483"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60" w:lineRule="exact"/>
                    <w:jc w:val="center"/>
                    <w:rPr>
                      <w:rFonts w:ascii="宋体" w:hAnsi="宋体" w:cs="宋体"/>
                      <w:szCs w:val="21"/>
                    </w:rPr>
                  </w:pPr>
                  <w:r>
                    <w:rPr>
                      <w:rFonts w:hint="eastAsia" w:ascii="宋体" w:hAnsi="宋体" w:cs="宋体"/>
                      <w:szCs w:val="21"/>
                    </w:rPr>
                    <w:t>▲交付地点</w:t>
                  </w:r>
                </w:p>
              </w:tc>
              <w:tc>
                <w:tcPr>
                  <w:tcW w:w="74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53" w:leftChars="25" w:right="53" w:rightChars="25"/>
                    <w:jc w:val="left"/>
                    <w:rPr>
                      <w:rFonts w:ascii="宋体" w:hAnsi="宋体" w:cs="宋体"/>
                      <w:szCs w:val="22"/>
                    </w:rPr>
                  </w:pPr>
                  <w:r>
                    <w:rPr>
                      <w:rFonts w:hint="eastAsia" w:ascii="宋体" w:hAnsi="宋体" w:cs="宋体"/>
                      <w:szCs w:val="22"/>
                    </w:rPr>
                    <w:t>广西南宁市内采购人指定地点。</w:t>
                  </w:r>
                </w:p>
              </w:tc>
            </w:tr>
            <w:tr>
              <w:tblPrEx>
                <w:tblCellMar>
                  <w:top w:w="0" w:type="dxa"/>
                  <w:left w:w="0" w:type="dxa"/>
                  <w:bottom w:w="0" w:type="dxa"/>
                  <w:right w:w="0" w:type="dxa"/>
                </w:tblCellMar>
              </w:tblPrEx>
              <w:trPr>
                <w:trHeight w:val="965"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60" w:lineRule="exact"/>
                    <w:jc w:val="center"/>
                    <w:rPr>
                      <w:rFonts w:ascii="宋体" w:hAnsi="宋体" w:cs="宋体"/>
                      <w:szCs w:val="21"/>
                    </w:rPr>
                  </w:pPr>
                  <w:r>
                    <w:rPr>
                      <w:rFonts w:hint="eastAsia" w:ascii="宋体" w:hAnsi="宋体" w:cs="宋体"/>
                      <w:szCs w:val="21"/>
                    </w:rPr>
                    <w:t>5</w:t>
                  </w:r>
                </w:p>
              </w:tc>
              <w:tc>
                <w:tcPr>
                  <w:tcW w:w="1483"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60" w:lineRule="exact"/>
                    <w:jc w:val="center"/>
                    <w:rPr>
                      <w:rFonts w:ascii="宋体" w:hAnsi="宋体" w:cs="宋体"/>
                      <w:szCs w:val="21"/>
                    </w:rPr>
                  </w:pPr>
                  <w:r>
                    <w:rPr>
                      <w:rFonts w:hint="eastAsia" w:ascii="宋体" w:hAnsi="宋体" w:cs="宋体"/>
                      <w:szCs w:val="21"/>
                    </w:rPr>
                    <w:t>▲保密要求</w:t>
                  </w:r>
                </w:p>
              </w:tc>
              <w:tc>
                <w:tcPr>
                  <w:tcW w:w="74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53" w:leftChars="25" w:right="53" w:rightChars="25"/>
                    <w:rPr>
                      <w:rFonts w:ascii="宋体" w:hAnsi="宋体" w:cs="宋体"/>
                      <w:szCs w:val="22"/>
                    </w:rPr>
                  </w:pPr>
                  <w:r>
                    <w:rPr>
                      <w:rFonts w:hint="eastAsia" w:ascii="宋体" w:hAnsi="宋体" w:cs="宋体"/>
                      <w:szCs w:val="22"/>
                    </w:rPr>
                    <w:t>1、供应商对项目涉及的软件、资料、账号、密码等负有安全保密责任，并需承担因为未尽安全保密责任而引起的损失。项目在建设期、售后服务期和运维过程中，所用软件平台系统、数据库、数与程序接口、硬件设备的用户管理、权限管理、密码管理等统一</w:t>
                  </w:r>
                  <w:r>
                    <w:rPr>
                      <w:rStyle w:val="52"/>
                      <w:rFonts w:hint="eastAsia"/>
                    </w:rPr>
                    <w:t>由</w:t>
                  </w:r>
                  <w:r>
                    <w:rPr>
                      <w:rFonts w:hint="eastAsia" w:ascii="宋体" w:hAnsi="宋体" w:cs="宋体"/>
                      <w:szCs w:val="22"/>
                    </w:rPr>
                    <w:t>采购人负责管理并授权供应商使用，供应商不得在任何环节擅自修改或额外设置用户和密码。供应商需做好信息安全保密工作，非授权用户不能使用系统和数据。</w:t>
                  </w:r>
                </w:p>
                <w:p>
                  <w:pPr>
                    <w:adjustRightInd w:val="0"/>
                    <w:snapToGrid w:val="0"/>
                    <w:spacing w:line="360" w:lineRule="exact"/>
                    <w:ind w:left="53" w:leftChars="25" w:right="53" w:rightChars="25"/>
                    <w:jc w:val="left"/>
                    <w:rPr>
                      <w:rFonts w:ascii="宋体" w:hAnsi="宋体" w:cs="宋体"/>
                    </w:rPr>
                  </w:pPr>
                  <w:r>
                    <w:rPr>
                      <w:rFonts w:hint="eastAsia" w:ascii="宋体" w:hAnsi="宋体" w:cs="宋体"/>
                    </w:rPr>
                    <w:t>2.本项目软件所生成、取得或交换而来的数据归采购人所有，未经采购人书面同意，供应商不得擅自对数据进行存储、提取、分析、截留、阻断、加密等行为，供应商亦无权对第三方泄露本项目产生的任何数据信息内容。</w:t>
                  </w:r>
                </w:p>
                <w:p>
                  <w:pPr>
                    <w:adjustRightInd w:val="0"/>
                    <w:snapToGrid w:val="0"/>
                    <w:spacing w:line="360" w:lineRule="exact"/>
                    <w:ind w:left="53" w:leftChars="25" w:right="53" w:rightChars="25"/>
                    <w:jc w:val="left"/>
                    <w:rPr>
                      <w:rFonts w:ascii="宋体" w:hAnsi="宋体" w:cs="宋体"/>
                    </w:rPr>
                  </w:pPr>
                  <w:r>
                    <w:rPr>
                      <w:rFonts w:hint="eastAsia" w:ascii="宋体" w:hAnsi="宋体" w:cs="宋体"/>
                    </w:rPr>
                    <w:t>3.中标供应商必须与采购人签订保密协议，保密协议内容应包括项目需求、软件开发、接口设计等有关方面。未经采购人书面许可，供应商不得以任何形式向第三方透露本项目的任何内容。</w:t>
                  </w:r>
                </w:p>
              </w:tc>
            </w:tr>
            <w:tr>
              <w:tblPrEx>
                <w:tblCellMar>
                  <w:top w:w="0" w:type="dxa"/>
                  <w:left w:w="0" w:type="dxa"/>
                  <w:bottom w:w="0" w:type="dxa"/>
                  <w:right w:w="0" w:type="dxa"/>
                </w:tblCellMar>
              </w:tblPrEx>
              <w:trPr>
                <w:trHeight w:val="572"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60" w:lineRule="exact"/>
                    <w:jc w:val="center"/>
                    <w:rPr>
                      <w:rFonts w:ascii="宋体" w:hAnsi="宋体" w:cs="宋体"/>
                      <w:szCs w:val="21"/>
                    </w:rPr>
                  </w:pPr>
                  <w:r>
                    <w:rPr>
                      <w:rFonts w:hint="eastAsia" w:ascii="宋体" w:hAnsi="宋体" w:cs="宋体"/>
                      <w:szCs w:val="21"/>
                    </w:rPr>
                    <w:t>6</w:t>
                  </w:r>
                </w:p>
              </w:tc>
              <w:tc>
                <w:tcPr>
                  <w:tcW w:w="1483"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60" w:lineRule="exact"/>
                    <w:jc w:val="center"/>
                    <w:rPr>
                      <w:rFonts w:ascii="宋体" w:hAnsi="宋体" w:cs="宋体"/>
                      <w:szCs w:val="21"/>
                    </w:rPr>
                  </w:pPr>
                  <w:r>
                    <w:rPr>
                      <w:rFonts w:hint="eastAsia" w:ascii="宋体" w:hAnsi="宋体" w:cs="宋体"/>
                      <w:szCs w:val="21"/>
                    </w:rPr>
                    <w:t>▲售后服务要求</w:t>
                  </w:r>
                </w:p>
              </w:tc>
              <w:tc>
                <w:tcPr>
                  <w:tcW w:w="74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53" w:leftChars="25" w:right="53" w:rightChars="25"/>
                    <w:jc w:val="left"/>
                    <w:rPr>
                      <w:rFonts w:ascii="宋体" w:hAnsi="宋体" w:cs="宋体"/>
                    </w:rPr>
                  </w:pPr>
                  <w:r>
                    <w:rPr>
                      <w:rFonts w:hint="eastAsia" w:ascii="宋体" w:hAnsi="宋体" w:cs="宋体"/>
                    </w:rPr>
                    <w:t>1.供应商应具备与本项目匹配的服务能力，需提供必要技术人员和技术服务能力，以响应招标人的售后服务要求。所有软件产品的质保期自本项目终验合格书签订之日起开始计算。</w:t>
                  </w:r>
                </w:p>
                <w:p>
                  <w:pPr>
                    <w:adjustRightInd w:val="0"/>
                    <w:snapToGrid w:val="0"/>
                    <w:spacing w:line="360" w:lineRule="exact"/>
                    <w:ind w:left="53" w:leftChars="25" w:right="53" w:rightChars="25"/>
                    <w:jc w:val="left"/>
                    <w:rPr>
                      <w:rFonts w:ascii="宋体" w:hAnsi="宋体" w:cs="宋体"/>
                    </w:rPr>
                  </w:pPr>
                  <w:r>
                    <w:rPr>
                      <w:rFonts w:hint="eastAsia" w:ascii="宋体" w:hAnsi="宋体" w:cs="宋体"/>
                    </w:rPr>
                    <w:t>2.供应商应提供3年系统软件运维服务和现场驻点服务并承担相应的费用，该期间至少派1名工程师进行软件使用的咨询答疑及维护。</w:t>
                  </w:r>
                  <w:r>
                    <w:rPr>
                      <w:rFonts w:hint="eastAsia" w:ascii="宋体" w:hAnsi="宋体" w:cs="宋体"/>
                      <w:szCs w:val="22"/>
                    </w:rPr>
                    <w:t>如供应商有优于此规定的，按供应商服务执行。</w:t>
                  </w:r>
                </w:p>
                <w:p>
                  <w:pPr>
                    <w:adjustRightInd w:val="0"/>
                    <w:snapToGrid w:val="0"/>
                    <w:spacing w:line="360" w:lineRule="exact"/>
                    <w:ind w:left="53" w:leftChars="25" w:right="53" w:rightChars="25"/>
                    <w:jc w:val="left"/>
                    <w:rPr>
                      <w:rFonts w:ascii="宋体" w:hAnsi="宋体" w:cs="宋体"/>
                    </w:rPr>
                  </w:pPr>
                  <w:r>
                    <w:rPr>
                      <w:rFonts w:hint="eastAsia" w:ascii="宋体" w:hAnsi="宋体" w:cs="宋体"/>
                    </w:rPr>
                    <w:t>3.项目建设期间及质保期均属于服务期，该期限内的所有售后服务，包括软件维护、缺陷修改等所产生的费用均由供应商承担。</w:t>
                  </w:r>
                </w:p>
                <w:p>
                  <w:pPr>
                    <w:adjustRightInd w:val="0"/>
                    <w:snapToGrid w:val="0"/>
                    <w:spacing w:line="360" w:lineRule="exact"/>
                    <w:ind w:left="53" w:leftChars="25" w:right="53" w:rightChars="25"/>
                    <w:jc w:val="left"/>
                    <w:rPr>
                      <w:rFonts w:ascii="宋体" w:hAnsi="宋体" w:cs="宋体"/>
                    </w:rPr>
                  </w:pPr>
                  <w:r>
                    <w:rPr>
                      <w:rFonts w:hint="eastAsia" w:ascii="宋体" w:hAnsi="宋体" w:cs="宋体"/>
                    </w:rPr>
                    <w:t>4.提供7x24电话或电子邮件服务，接到业主报修通知1小时内做出明确响应和安排，2小时内做出故障诊断报告。如需现场服务的，具有解决故障能力的工程师应在2小时内到达现场，并于4小时内解决相关故障问题恢复系统运行。</w:t>
                  </w:r>
                </w:p>
                <w:p>
                  <w:pPr>
                    <w:adjustRightInd w:val="0"/>
                    <w:snapToGrid w:val="0"/>
                    <w:spacing w:line="360" w:lineRule="exact"/>
                    <w:ind w:left="53" w:leftChars="25" w:right="53" w:rightChars="25"/>
                    <w:jc w:val="left"/>
                    <w:rPr>
                      <w:rFonts w:ascii="宋体" w:hAnsi="宋体" w:cs="宋体"/>
                    </w:rPr>
                  </w:pPr>
                  <w:r>
                    <w:rPr>
                      <w:rFonts w:hint="eastAsia" w:ascii="宋体" w:hAnsi="宋体" w:cs="宋体"/>
                    </w:rPr>
                    <w:t>5.供应商必须书面承诺：售后运维期满后，在采购人需要时，供应商必须提供本项目的升级维护服务，售后服务方式及标准与质保期内一致，每年升级维护费用不高于项目投标总报价的5%。</w:t>
                  </w:r>
                </w:p>
                <w:p>
                  <w:pPr>
                    <w:adjustRightInd w:val="0"/>
                    <w:snapToGrid w:val="0"/>
                    <w:spacing w:line="360" w:lineRule="exact"/>
                    <w:ind w:left="53" w:leftChars="25" w:right="53" w:rightChars="25"/>
                    <w:jc w:val="left"/>
                    <w:rPr>
                      <w:rFonts w:ascii="宋体" w:hAnsi="宋体" w:cs="宋体"/>
                    </w:rPr>
                  </w:pPr>
                  <w:r>
                    <w:rPr>
                      <w:rFonts w:hint="eastAsia" w:ascii="宋体" w:hAnsi="宋体" w:cs="宋体"/>
                    </w:rPr>
                    <w:t>6.供应商须针对售后服务要求，在投标文件中提出逻辑清晰，内容全面，合理可行的售后服务方案，包括但不限于售后服务流程、售后服务内容、服务响应时间、服务方式、服务质量管理等。</w:t>
                  </w:r>
                </w:p>
                <w:p>
                  <w:pPr>
                    <w:adjustRightInd w:val="0"/>
                    <w:snapToGrid w:val="0"/>
                    <w:spacing w:line="360" w:lineRule="exact"/>
                    <w:ind w:left="53" w:leftChars="25" w:right="53" w:rightChars="25"/>
                    <w:jc w:val="left"/>
                    <w:rPr>
                      <w:rFonts w:ascii="宋体" w:hAnsi="宋体" w:cs="宋体"/>
                    </w:rPr>
                  </w:pPr>
                  <w:r>
                    <w:rPr>
                      <w:rFonts w:hint="eastAsia" w:ascii="宋体" w:hAnsi="宋体" w:cs="宋体"/>
                    </w:rPr>
                    <w:t>7.</w:t>
                  </w:r>
                  <w:r>
                    <w:rPr>
                      <w:rFonts w:hint="eastAsia"/>
                    </w:rPr>
                    <w:t xml:space="preserve"> </w:t>
                  </w:r>
                  <w:r>
                    <w:rPr>
                      <w:rFonts w:hint="eastAsia" w:ascii="宋体" w:hAnsi="宋体" w:cs="宋体"/>
                    </w:rPr>
                    <w:t>售后运维期内提供不少于每年1次的系统漏洞扫描服务，并出具相应的扫描报告。相关费用包含在本项目中。</w:t>
                  </w:r>
                </w:p>
                <w:p>
                  <w:pPr>
                    <w:adjustRightInd w:val="0"/>
                    <w:snapToGrid w:val="0"/>
                    <w:spacing w:line="360" w:lineRule="exact"/>
                    <w:ind w:left="53" w:leftChars="25" w:right="53" w:rightChars="25"/>
                    <w:jc w:val="left"/>
                    <w:rPr>
                      <w:rFonts w:ascii="宋体" w:hAnsi="宋体" w:cs="宋体"/>
                    </w:rPr>
                  </w:pPr>
                  <w:r>
                    <w:rPr>
                      <w:rFonts w:hint="eastAsia" w:ascii="宋体" w:hAnsi="宋体" w:cs="宋体"/>
                    </w:rPr>
                    <w:t>8.其他：根据评审会、工作对接会、协调会等意见相应修改完善相关内容。</w:t>
                  </w:r>
                </w:p>
              </w:tc>
            </w:tr>
            <w:tr>
              <w:tblPrEx>
                <w:tblCellMar>
                  <w:top w:w="0" w:type="dxa"/>
                  <w:left w:w="0" w:type="dxa"/>
                  <w:bottom w:w="0" w:type="dxa"/>
                  <w:right w:w="0" w:type="dxa"/>
                </w:tblCellMar>
              </w:tblPrEx>
              <w:trPr>
                <w:trHeight w:val="48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60" w:lineRule="exact"/>
                    <w:jc w:val="center"/>
                    <w:rPr>
                      <w:rFonts w:ascii="宋体" w:hAnsi="宋体" w:cs="宋体"/>
                      <w:szCs w:val="21"/>
                    </w:rPr>
                  </w:pPr>
                  <w:r>
                    <w:rPr>
                      <w:rFonts w:hint="eastAsia" w:ascii="宋体" w:hAnsi="宋体" w:cs="宋体"/>
                      <w:szCs w:val="21"/>
                    </w:rPr>
                    <w:t>7</w:t>
                  </w:r>
                </w:p>
              </w:tc>
              <w:tc>
                <w:tcPr>
                  <w:tcW w:w="1483"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60" w:lineRule="exact"/>
                    <w:jc w:val="center"/>
                    <w:rPr>
                      <w:rFonts w:ascii="宋体" w:hAnsi="宋体" w:cs="宋体"/>
                      <w:szCs w:val="21"/>
                    </w:rPr>
                  </w:pPr>
                  <w:r>
                    <w:rPr>
                      <w:rFonts w:hint="eastAsia" w:ascii="宋体" w:hAnsi="宋体" w:cs="宋体"/>
                      <w:szCs w:val="21"/>
                    </w:rPr>
                    <w:t>▲质量保证</w:t>
                  </w:r>
                </w:p>
              </w:tc>
              <w:tc>
                <w:tcPr>
                  <w:tcW w:w="74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53" w:leftChars="25" w:right="53" w:rightChars="25"/>
                    <w:jc w:val="left"/>
                    <w:rPr>
                      <w:rFonts w:ascii="宋体" w:hAnsi="宋体" w:cs="宋体"/>
                      <w:szCs w:val="22"/>
                    </w:rPr>
                  </w:pPr>
                  <w:r>
                    <w:rPr>
                      <w:rFonts w:hint="eastAsia" w:ascii="宋体" w:hAnsi="宋体" w:cs="宋体"/>
                      <w:szCs w:val="22"/>
                    </w:rPr>
                    <w:t>本项目软件部分及其服务等售后运维期统一为3年，从项目正式验收合格之日起计算，如中标供应商投标文件对售后运维期的承诺优于招标文件要求的，售后运维期按中供应商的承诺执行。</w:t>
                  </w:r>
                </w:p>
              </w:tc>
            </w:tr>
            <w:tr>
              <w:tblPrEx>
                <w:tblCellMar>
                  <w:top w:w="0" w:type="dxa"/>
                  <w:left w:w="0" w:type="dxa"/>
                  <w:bottom w:w="0" w:type="dxa"/>
                  <w:right w:w="0" w:type="dxa"/>
                </w:tblCellMar>
              </w:tblPrEx>
              <w:trPr>
                <w:trHeight w:val="73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60" w:lineRule="exact"/>
                    <w:jc w:val="center"/>
                    <w:rPr>
                      <w:rFonts w:ascii="宋体" w:hAnsi="宋体" w:cs="宋体"/>
                      <w:szCs w:val="21"/>
                    </w:rPr>
                  </w:pPr>
                  <w:r>
                    <w:rPr>
                      <w:rFonts w:hint="eastAsia" w:ascii="宋体" w:hAnsi="宋体" w:cs="宋体"/>
                      <w:szCs w:val="21"/>
                    </w:rPr>
                    <w:t>8</w:t>
                  </w:r>
                </w:p>
              </w:tc>
              <w:tc>
                <w:tcPr>
                  <w:tcW w:w="1483"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60" w:lineRule="exact"/>
                    <w:jc w:val="center"/>
                    <w:rPr>
                      <w:rFonts w:ascii="宋体" w:hAnsi="宋体" w:cs="宋体"/>
                      <w:szCs w:val="21"/>
                    </w:rPr>
                  </w:pPr>
                  <w:r>
                    <w:rPr>
                      <w:rFonts w:hint="eastAsia" w:ascii="宋体" w:hAnsi="宋体" w:cs="宋体"/>
                      <w:szCs w:val="21"/>
                    </w:rPr>
                    <w:t>知识产权</w:t>
                  </w:r>
                </w:p>
              </w:tc>
              <w:tc>
                <w:tcPr>
                  <w:tcW w:w="74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53" w:leftChars="25" w:right="53" w:rightChars="25"/>
                    <w:jc w:val="left"/>
                  </w:pPr>
                  <w:r>
                    <w:rPr>
                      <w:rFonts w:hint="eastAsia"/>
                    </w:rPr>
                    <w:t>1.供应商所定制开发的软件和采购的软硬件不得包含有任何侵犯第三方权益的内容和行为，任何第三方如果提出指控，都由供应商与第三方交涉并承担可能发生的一切法律责任和费用。</w:t>
                  </w:r>
                </w:p>
                <w:p>
                  <w:pPr>
                    <w:adjustRightInd w:val="0"/>
                    <w:snapToGrid w:val="0"/>
                    <w:spacing w:line="360" w:lineRule="exact"/>
                    <w:ind w:left="53" w:leftChars="25" w:right="53" w:rightChars="25"/>
                    <w:jc w:val="left"/>
                  </w:pPr>
                  <w:r>
                    <w:rPr>
                      <w:rFonts w:hint="eastAsia"/>
                    </w:rPr>
                    <w:t>2.供应商在响应文件中提供承诺或证明材料。中标供应商服务期内产生的相关成果、产权归采购人所有。供应商必须无条件给采购人提供本项目所委托开发软件产品在开发环境下验证的正式运行版本程序的数据结构、数据字典、开发文档等。本项目所委托开发的软件产品和针对此产品后续的升级衍生产品，采购人享有修改、复制、反编译、二次开发、数据接口对接、传播、增加使用单位和用户等权利。</w:t>
                  </w:r>
                </w:p>
                <w:p>
                  <w:pPr>
                    <w:adjustRightInd w:val="0"/>
                    <w:snapToGrid w:val="0"/>
                    <w:spacing w:line="360" w:lineRule="exact"/>
                    <w:ind w:left="53" w:leftChars="25" w:right="53" w:rightChars="25"/>
                    <w:jc w:val="left"/>
                  </w:pPr>
                  <w:r>
                    <w:rPr>
                      <w:rFonts w:hint="eastAsia"/>
                    </w:rPr>
                    <w:t>3.供应商必须在投标文件中承诺，中标后在建设期和售后运维期内，不再就应用接口对接服务收取任何费用，项目所开发软件产品和针对此产品后续的升级衍生产品永久不就接入设备、终端数量等做任何授权限制。</w:t>
                  </w:r>
                </w:p>
                <w:p>
                  <w:pPr>
                    <w:adjustRightInd w:val="0"/>
                    <w:snapToGrid w:val="0"/>
                    <w:spacing w:line="360" w:lineRule="exact"/>
                    <w:ind w:left="53" w:leftChars="25" w:right="53" w:rightChars="25"/>
                    <w:jc w:val="left"/>
                  </w:pPr>
                  <w:r>
                    <w:rPr>
                      <w:rFonts w:hint="eastAsia"/>
                    </w:rPr>
                    <w:t>4.在合同期内或合同期满后采购人均有权根据工作需要选择是否继续使用本项目软件。</w:t>
                  </w:r>
                </w:p>
                <w:p>
                  <w:pPr>
                    <w:adjustRightInd w:val="0"/>
                    <w:snapToGrid w:val="0"/>
                    <w:spacing w:line="360" w:lineRule="exact"/>
                    <w:ind w:left="53" w:leftChars="25" w:right="53" w:rightChars="25"/>
                    <w:jc w:val="left"/>
                  </w:pPr>
                  <w:r>
                    <w:rPr>
                      <w:rFonts w:hint="eastAsia"/>
                    </w:rPr>
                    <w:t>5.提供未经加密、封装的软件源代码。如源代码中有本公司封装的jar包，必须提供jar包的源码。</w:t>
                  </w:r>
                </w:p>
                <w:p>
                  <w:pPr>
                    <w:adjustRightInd w:val="0"/>
                    <w:snapToGrid w:val="0"/>
                    <w:spacing w:line="360" w:lineRule="exact"/>
                    <w:ind w:left="53" w:leftChars="25" w:right="53" w:rightChars="25"/>
                    <w:jc w:val="left"/>
                  </w:pPr>
                  <w:r>
                    <w:rPr>
                      <w:rFonts w:hint="eastAsia"/>
                    </w:rPr>
                    <w:t>6.本项目不具有排他性，供应商配合相关方提供数据接口对接服务，不得设置障碍阻止其他系统软硬件的数据交换业务。</w:t>
                  </w:r>
                </w:p>
              </w:tc>
            </w:tr>
            <w:tr>
              <w:tblPrEx>
                <w:tblCellMar>
                  <w:top w:w="0" w:type="dxa"/>
                  <w:left w:w="0" w:type="dxa"/>
                  <w:bottom w:w="0" w:type="dxa"/>
                  <w:right w:w="0" w:type="dxa"/>
                </w:tblCellMar>
              </w:tblPrEx>
              <w:trPr>
                <w:trHeight w:val="1902"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60" w:lineRule="exact"/>
                    <w:jc w:val="center"/>
                    <w:rPr>
                      <w:rFonts w:ascii="宋体" w:hAnsi="宋体" w:cs="宋体"/>
                      <w:szCs w:val="21"/>
                    </w:rPr>
                  </w:pPr>
                  <w:r>
                    <w:rPr>
                      <w:rFonts w:hint="eastAsia" w:ascii="宋体" w:hAnsi="宋体" w:cs="宋体"/>
                      <w:szCs w:val="21"/>
                    </w:rPr>
                    <w:t>9</w:t>
                  </w:r>
                </w:p>
              </w:tc>
              <w:tc>
                <w:tcPr>
                  <w:tcW w:w="1483"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60" w:lineRule="exact"/>
                    <w:jc w:val="center"/>
                    <w:rPr>
                      <w:rFonts w:ascii="宋体" w:hAnsi="宋体" w:cs="宋体"/>
                      <w:szCs w:val="21"/>
                    </w:rPr>
                  </w:pPr>
                  <w:r>
                    <w:rPr>
                      <w:rFonts w:hint="eastAsia" w:ascii="宋体" w:hAnsi="宋体" w:cs="宋体"/>
                      <w:szCs w:val="21"/>
                    </w:rPr>
                    <w:t>▲付款方式、时间、条件</w:t>
                  </w:r>
                </w:p>
              </w:tc>
              <w:tc>
                <w:tcPr>
                  <w:tcW w:w="74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53" w:leftChars="25" w:right="53" w:rightChars="25"/>
                    <w:jc w:val="left"/>
                    <w:rPr>
                      <w:rFonts w:ascii="宋体" w:hAnsi="宋体" w:cs="宋体"/>
                      <w:szCs w:val="22"/>
                    </w:rPr>
                  </w:pPr>
                  <w:r>
                    <w:rPr>
                      <w:rFonts w:hint="eastAsia" w:ascii="宋体" w:hAnsi="宋体" w:cs="宋体"/>
                      <w:szCs w:val="22"/>
                    </w:rPr>
                    <w:t>1、中标人在与采购人签订合同前，按合同金额的5%提交履约保证金</w:t>
                  </w:r>
                  <w:r>
                    <w:rPr>
                      <w:rFonts w:hint="eastAsia" w:ascii="宋体" w:hAnsi="宋体" w:cs="宋体"/>
                      <w:szCs w:val="21"/>
                    </w:rPr>
                    <w:t>（</w:t>
                  </w:r>
                  <w:r>
                    <w:rPr>
                      <w:rFonts w:hint="eastAsia" w:ascii="宋体" w:hAnsi="宋体" w:cs="宋体"/>
                      <w:szCs w:val="22"/>
                    </w:rPr>
                    <w:t>对中小企业收取的履约保证金数额按政府采购合同金额的2%</w:t>
                  </w:r>
                  <w:r>
                    <w:rPr>
                      <w:rFonts w:hint="eastAsia" w:ascii="宋体" w:hAnsi="宋体" w:cs="宋体"/>
                      <w:szCs w:val="22"/>
                      <w:lang w:eastAsia="zh-CN"/>
                    </w:rPr>
                    <w:t>收取</w:t>
                  </w:r>
                  <w:r>
                    <w:rPr>
                      <w:rFonts w:hint="eastAsia" w:ascii="宋体" w:hAnsi="宋体" w:cs="宋体"/>
                      <w:szCs w:val="21"/>
                    </w:rPr>
                    <w:t>）</w:t>
                  </w:r>
                  <w:r>
                    <w:rPr>
                      <w:rFonts w:hint="eastAsia" w:ascii="宋体" w:hAnsi="宋体" w:cs="宋体"/>
                      <w:szCs w:val="22"/>
                    </w:rPr>
                    <w:t>，履约保证金须以公司基本账户转账、支票、汇票、本票或者银行、保险机构出具的保函等非现金方式（参照投标保证金）提交，账户信息如下：</w:t>
                  </w:r>
                </w:p>
                <w:p>
                  <w:pPr>
                    <w:adjustRightInd w:val="0"/>
                    <w:snapToGrid w:val="0"/>
                    <w:spacing w:line="360" w:lineRule="exact"/>
                    <w:ind w:left="53" w:leftChars="25" w:right="53" w:rightChars="25"/>
                    <w:jc w:val="left"/>
                    <w:rPr>
                      <w:rFonts w:ascii="宋体" w:hAnsi="宋体" w:cs="宋体"/>
                      <w:b/>
                      <w:bCs/>
                      <w:szCs w:val="22"/>
                      <w:u w:val="single"/>
                    </w:rPr>
                  </w:pPr>
                  <w:r>
                    <w:rPr>
                      <w:rFonts w:hint="eastAsia" w:ascii="宋体" w:hAnsi="宋体" w:cs="宋体"/>
                      <w:b/>
                      <w:bCs/>
                      <w:szCs w:val="22"/>
                      <w:u w:val="single"/>
                    </w:rPr>
                    <w:t>名 称：广西壮族自治区卫生健康统计信息中心</w:t>
                  </w:r>
                </w:p>
                <w:p>
                  <w:pPr>
                    <w:adjustRightInd w:val="0"/>
                    <w:snapToGrid w:val="0"/>
                    <w:spacing w:line="360" w:lineRule="exact"/>
                    <w:ind w:left="53" w:leftChars="25" w:right="53" w:rightChars="25"/>
                    <w:jc w:val="left"/>
                    <w:rPr>
                      <w:rFonts w:ascii="宋体" w:hAnsi="宋体" w:cs="宋体"/>
                      <w:b/>
                      <w:bCs/>
                      <w:szCs w:val="22"/>
                      <w:u w:val="single"/>
                    </w:rPr>
                  </w:pPr>
                  <w:r>
                    <w:rPr>
                      <w:rFonts w:hint="eastAsia" w:ascii="宋体" w:hAnsi="宋体" w:cs="宋体"/>
                      <w:b/>
                      <w:bCs/>
                      <w:szCs w:val="22"/>
                      <w:u w:val="single"/>
                    </w:rPr>
                    <w:t>开户行及帐号：工行南宁桃源支行  2102108109300001087</w:t>
                  </w:r>
                </w:p>
                <w:p>
                  <w:pPr>
                    <w:adjustRightInd w:val="0"/>
                    <w:snapToGrid w:val="0"/>
                    <w:spacing w:line="360" w:lineRule="exact"/>
                    <w:ind w:left="53" w:leftChars="25" w:right="53" w:rightChars="25"/>
                    <w:jc w:val="left"/>
                    <w:rPr>
                      <w:rFonts w:ascii="宋体" w:hAnsi="宋体" w:cs="宋体"/>
                      <w:szCs w:val="22"/>
                    </w:rPr>
                  </w:pPr>
                  <w:r>
                    <w:rPr>
                      <w:rFonts w:hint="eastAsia" w:ascii="宋体" w:hAnsi="宋体" w:cs="宋体"/>
                      <w:szCs w:val="22"/>
                    </w:rPr>
                    <w:t>实施过程中无违约行为的，售后运维期满后，由中标人提出书面申请，采购人无息退还全部履约保证金，涉及违约的违约金和损失赔偿从履约保证金中扣减。保证金不足以抵扣违约赔偿的，采购人有权另外向中标人追偿损失。</w:t>
                  </w:r>
                </w:p>
                <w:p>
                  <w:pPr>
                    <w:adjustRightInd w:val="0"/>
                    <w:snapToGrid w:val="0"/>
                    <w:spacing w:line="360" w:lineRule="exact"/>
                    <w:ind w:left="53" w:leftChars="25" w:right="53" w:rightChars="25"/>
                    <w:jc w:val="left"/>
                    <w:rPr>
                      <w:rFonts w:ascii="宋体" w:hAnsi="宋体" w:cs="宋体"/>
                      <w:szCs w:val="22"/>
                    </w:rPr>
                  </w:pPr>
                  <w:r>
                    <w:rPr>
                      <w:rFonts w:hint="eastAsia" w:ascii="宋体" w:hAnsi="宋体" w:cs="宋体"/>
                      <w:szCs w:val="22"/>
                    </w:rPr>
                    <w:t>2、中标人严格执行项目总体进度计划，非中标人原因造成项目延期的（由中标方提供书面证明材料，并经采购人签字同意认可），不构成违约责任。如中标人成果交付延期造成违约，则每延期1天按合同总金额的千分之二向采购人缴纳违约金，违约金额最高不超过合同金额。</w:t>
                  </w:r>
                </w:p>
                <w:p>
                  <w:pPr>
                    <w:adjustRightInd w:val="0"/>
                    <w:snapToGrid w:val="0"/>
                    <w:spacing w:line="360" w:lineRule="exact"/>
                    <w:ind w:left="53" w:leftChars="25" w:right="53" w:rightChars="25"/>
                    <w:jc w:val="left"/>
                    <w:rPr>
                      <w:rFonts w:ascii="宋体" w:hAnsi="宋体" w:cs="宋体"/>
                      <w:szCs w:val="22"/>
                    </w:rPr>
                  </w:pPr>
                  <w:r>
                    <w:rPr>
                      <w:rFonts w:hint="eastAsia" w:ascii="宋体" w:hAnsi="宋体" w:cs="宋体"/>
                      <w:szCs w:val="22"/>
                    </w:rPr>
                    <w:t>3、合同签订后，采购人支付给中标人合同总金额的40%，中期验收（2023年9月底前）通过后，采购人支付给中标人合同总金额的35%。在项目完成内部验收后，采购人支付给中标人合同总金额的25%。中标人自收到合同款之日起七个工作日内开具发票给采购人。</w:t>
                  </w:r>
                </w:p>
              </w:tc>
            </w:tr>
            <w:tr>
              <w:tblPrEx>
                <w:tblCellMar>
                  <w:top w:w="0" w:type="dxa"/>
                  <w:left w:w="0" w:type="dxa"/>
                  <w:bottom w:w="0" w:type="dxa"/>
                  <w:right w:w="0" w:type="dxa"/>
                </w:tblCellMar>
              </w:tblPrEx>
              <w:trPr>
                <w:trHeight w:val="515"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60" w:lineRule="exact"/>
                    <w:jc w:val="center"/>
                    <w:rPr>
                      <w:rFonts w:ascii="宋体" w:hAnsi="宋体" w:cs="宋体"/>
                      <w:szCs w:val="21"/>
                    </w:rPr>
                  </w:pPr>
                  <w:r>
                    <w:rPr>
                      <w:rFonts w:hint="eastAsia" w:ascii="宋体" w:hAnsi="宋体" w:cs="宋体"/>
                      <w:szCs w:val="21"/>
                    </w:rPr>
                    <w:t>10</w:t>
                  </w:r>
                </w:p>
              </w:tc>
              <w:tc>
                <w:tcPr>
                  <w:tcW w:w="1483"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00" w:lineRule="exact"/>
                    <w:jc w:val="center"/>
                    <w:rPr>
                      <w:rFonts w:ascii="宋体" w:hAnsi="宋体" w:cs="宋体"/>
                      <w:szCs w:val="21"/>
                    </w:rPr>
                  </w:pPr>
                  <w:r>
                    <w:rPr>
                      <w:rFonts w:hint="eastAsia" w:ascii="宋体" w:hAnsi="宋体" w:cs="宋体"/>
                      <w:szCs w:val="21"/>
                    </w:rPr>
                    <w:t>履约保证金</w:t>
                  </w:r>
                </w:p>
              </w:tc>
              <w:tc>
                <w:tcPr>
                  <w:tcW w:w="74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53" w:leftChars="25" w:right="53" w:rightChars="25"/>
                    <w:jc w:val="left"/>
                    <w:rPr>
                      <w:rFonts w:ascii="宋体" w:hAnsi="宋体" w:cs="宋体"/>
                      <w:szCs w:val="22"/>
                    </w:rPr>
                  </w:pPr>
                  <w:r>
                    <w:rPr>
                      <w:rFonts w:hint="eastAsia" w:ascii="宋体" w:hAnsi="宋体" w:cs="宋体"/>
                      <w:szCs w:val="22"/>
                    </w:rPr>
                    <w:t>合同签定后乙方于七个工作日内向甲方指定账户提交履约保证金或担保银行出具的履约保证金保函，履约保证金为合同金额的5%</w:t>
                  </w:r>
                  <w:r>
                    <w:rPr>
                      <w:rFonts w:hint="eastAsia" w:ascii="宋体" w:hAnsi="宋体" w:cs="宋体"/>
                      <w:szCs w:val="21"/>
                    </w:rPr>
                    <w:t>（</w:t>
                  </w:r>
                  <w:r>
                    <w:rPr>
                      <w:rFonts w:hint="eastAsia" w:ascii="宋体" w:hAnsi="宋体" w:cs="宋体"/>
                      <w:szCs w:val="22"/>
                    </w:rPr>
                    <w:t>对中小企业收取的履约保证金数额按政府采购合同金额的2%</w:t>
                  </w:r>
                  <w:r>
                    <w:rPr>
                      <w:rFonts w:hint="eastAsia" w:ascii="宋体" w:hAnsi="宋体" w:cs="宋体"/>
                      <w:szCs w:val="22"/>
                      <w:lang w:eastAsia="zh-CN"/>
                    </w:rPr>
                    <w:t>收取</w:t>
                  </w:r>
                  <w:r>
                    <w:rPr>
                      <w:rFonts w:hint="eastAsia" w:ascii="宋体" w:hAnsi="宋体" w:cs="宋体"/>
                      <w:szCs w:val="21"/>
                    </w:rPr>
                    <w:t>）</w:t>
                  </w:r>
                  <w:r>
                    <w:rPr>
                      <w:rFonts w:hint="eastAsia" w:ascii="宋体" w:hAnsi="宋体" w:cs="宋体"/>
                      <w:szCs w:val="22"/>
                    </w:rPr>
                    <w:t>，售后运维期满后，如乙方无违约行为，甲方根据乙方的书面申请在二十个工作日内将履约保证金无息返还给乙方。</w:t>
                  </w:r>
                </w:p>
              </w:tc>
            </w:tr>
            <w:tr>
              <w:tblPrEx>
                <w:tblCellMar>
                  <w:top w:w="0" w:type="dxa"/>
                  <w:left w:w="0" w:type="dxa"/>
                  <w:bottom w:w="0" w:type="dxa"/>
                  <w:right w:w="0" w:type="dxa"/>
                </w:tblCellMar>
              </w:tblPrEx>
              <w:trPr>
                <w:trHeight w:val="349" w:hRule="atLeast"/>
                <w:jc w:val="center"/>
              </w:trPr>
              <w:tc>
                <w:tcPr>
                  <w:tcW w:w="9551"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pPr>
                    <w:kinsoku w:val="0"/>
                    <w:overflowPunct w:val="0"/>
                    <w:spacing w:line="300" w:lineRule="exact"/>
                    <w:jc w:val="left"/>
                    <w:rPr>
                      <w:rFonts w:ascii="宋体" w:hAnsi="宋体" w:cs="宋体"/>
                      <w:szCs w:val="21"/>
                    </w:rPr>
                  </w:pPr>
                  <w:r>
                    <w:rPr>
                      <w:rFonts w:hint="eastAsia" w:ascii="宋体" w:hAnsi="宋体" w:cs="宋体"/>
                      <w:b/>
                      <w:kern w:val="0"/>
                      <w:szCs w:val="21"/>
                    </w:rPr>
                    <w:t>Ⅴ、本项目其他要求及说明</w:t>
                  </w:r>
                </w:p>
              </w:tc>
            </w:tr>
            <w:tr>
              <w:tblPrEx>
                <w:tblCellMar>
                  <w:top w:w="0" w:type="dxa"/>
                  <w:left w:w="0" w:type="dxa"/>
                  <w:bottom w:w="0" w:type="dxa"/>
                  <w:right w:w="0" w:type="dxa"/>
                </w:tblCellMar>
              </w:tblPrEx>
              <w:trPr>
                <w:trHeight w:val="443"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00" w:lineRule="exact"/>
                    <w:jc w:val="center"/>
                    <w:rPr>
                      <w:rFonts w:ascii="宋体" w:hAnsi="宋体" w:cs="宋体"/>
                      <w:szCs w:val="21"/>
                    </w:rPr>
                  </w:pPr>
                  <w:r>
                    <w:rPr>
                      <w:rFonts w:hint="eastAsia" w:ascii="宋体" w:hAnsi="宋体" w:cs="宋体"/>
                      <w:szCs w:val="21"/>
                    </w:rPr>
                    <w:t>1</w:t>
                  </w:r>
                </w:p>
              </w:tc>
              <w:tc>
                <w:tcPr>
                  <w:tcW w:w="1483"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00" w:lineRule="exact"/>
                    <w:jc w:val="center"/>
                    <w:rPr>
                      <w:rFonts w:ascii="宋体" w:hAnsi="宋体" w:cs="宋体"/>
                      <w:szCs w:val="21"/>
                    </w:rPr>
                  </w:pPr>
                  <w:r>
                    <w:rPr>
                      <w:rFonts w:hint="eastAsia" w:ascii="宋体" w:hAnsi="宋体" w:cs="宋体"/>
                      <w:szCs w:val="21"/>
                    </w:rPr>
                    <w:t>演示要求</w:t>
                  </w:r>
                </w:p>
              </w:tc>
              <w:tc>
                <w:tcPr>
                  <w:tcW w:w="7420"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00" w:lineRule="exact"/>
                    <w:jc w:val="left"/>
                    <w:rPr>
                      <w:rFonts w:ascii="宋体" w:hAnsi="宋体" w:cs="宋体"/>
                      <w:szCs w:val="21"/>
                    </w:rPr>
                  </w:pPr>
                  <w:r>
                    <w:rPr>
                      <w:rFonts w:hint="eastAsia" w:ascii="宋体" w:hAnsi="宋体" w:cs="宋体"/>
                      <w:szCs w:val="21"/>
                    </w:rPr>
                    <w:sym w:font="Wingdings 2" w:char="00A3"/>
                  </w:r>
                  <w:r>
                    <w:rPr>
                      <w:rFonts w:hint="eastAsia" w:ascii="宋体" w:hAnsi="宋体" w:cs="宋体"/>
                      <w:szCs w:val="21"/>
                    </w:rPr>
                    <w:t>无；</w:t>
                  </w:r>
                  <w:r>
                    <w:rPr>
                      <w:rFonts w:hint="eastAsia" w:ascii="宋体" w:hAnsi="宋体" w:cs="宋体"/>
                      <w:szCs w:val="21"/>
                    </w:rPr>
                    <w:sym w:font="Wingdings 2" w:char="0052"/>
                  </w:r>
                  <w:r>
                    <w:rPr>
                      <w:rFonts w:hint="eastAsia" w:ascii="宋体" w:hAnsi="宋体" w:cs="宋体"/>
                      <w:szCs w:val="21"/>
                    </w:rPr>
                    <w:t>有，详见：评标办法。</w:t>
                  </w:r>
                </w:p>
              </w:tc>
            </w:tr>
            <w:tr>
              <w:tblPrEx>
                <w:tblCellMar>
                  <w:top w:w="0" w:type="dxa"/>
                  <w:left w:w="0" w:type="dxa"/>
                  <w:bottom w:w="0" w:type="dxa"/>
                  <w:right w:w="0" w:type="dxa"/>
                </w:tblCellMar>
              </w:tblPrEx>
              <w:trPr>
                <w:trHeight w:val="40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00" w:lineRule="exact"/>
                    <w:jc w:val="center"/>
                    <w:rPr>
                      <w:rFonts w:ascii="宋体" w:hAnsi="宋体" w:cs="宋体"/>
                      <w:szCs w:val="21"/>
                    </w:rPr>
                  </w:pPr>
                  <w:r>
                    <w:rPr>
                      <w:rFonts w:hint="eastAsia" w:ascii="宋体" w:hAnsi="宋体" w:cs="宋体"/>
                      <w:szCs w:val="21"/>
                    </w:rPr>
                    <w:t>2</w:t>
                  </w:r>
                </w:p>
              </w:tc>
              <w:tc>
                <w:tcPr>
                  <w:tcW w:w="1483"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00" w:lineRule="exact"/>
                    <w:jc w:val="center"/>
                    <w:rPr>
                      <w:rFonts w:ascii="宋体" w:hAnsi="宋体" w:cs="宋体"/>
                      <w:szCs w:val="21"/>
                    </w:rPr>
                  </w:pPr>
                  <w:r>
                    <w:rPr>
                      <w:rFonts w:hint="eastAsia" w:ascii="宋体" w:hAnsi="宋体" w:cs="宋体"/>
                      <w:szCs w:val="21"/>
                    </w:rPr>
                    <w:t>本项目附件</w:t>
                  </w:r>
                </w:p>
              </w:tc>
              <w:tc>
                <w:tcPr>
                  <w:tcW w:w="7420"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00" w:lineRule="exact"/>
                    <w:jc w:val="left"/>
                    <w:rPr>
                      <w:rFonts w:ascii="宋体" w:hAnsi="宋体" w:cs="宋体"/>
                      <w:szCs w:val="21"/>
                    </w:rPr>
                  </w:pPr>
                  <w:r>
                    <w:rPr>
                      <w:rFonts w:hint="eastAsia" w:ascii="宋体" w:hAnsi="宋体" w:cs="宋体"/>
                      <w:szCs w:val="21"/>
                    </w:rPr>
                    <w:sym w:font="Wingdings 2" w:char="F052"/>
                  </w:r>
                  <w:r>
                    <w:rPr>
                      <w:rFonts w:hint="eastAsia" w:ascii="宋体" w:hAnsi="宋体" w:cs="宋体"/>
                      <w:szCs w:val="21"/>
                    </w:rPr>
                    <w:t>无；</w:t>
                  </w:r>
                  <w:r>
                    <w:rPr>
                      <w:rFonts w:hint="eastAsia" w:ascii="宋体" w:hAnsi="宋体" w:cs="宋体"/>
                      <w:szCs w:val="21"/>
                    </w:rPr>
                    <w:sym w:font="Wingdings 2" w:char="F0A3"/>
                  </w:r>
                  <w:r>
                    <w:rPr>
                      <w:rFonts w:hint="eastAsia" w:ascii="宋体" w:hAnsi="宋体" w:cs="宋体"/>
                      <w:szCs w:val="21"/>
                    </w:rPr>
                    <w:t>有。</w:t>
                  </w:r>
                </w:p>
              </w:tc>
            </w:tr>
            <w:tr>
              <w:tblPrEx>
                <w:tblCellMar>
                  <w:top w:w="0" w:type="dxa"/>
                  <w:left w:w="0" w:type="dxa"/>
                  <w:bottom w:w="0" w:type="dxa"/>
                  <w:right w:w="0" w:type="dxa"/>
                </w:tblCellMar>
              </w:tblPrEx>
              <w:trPr>
                <w:trHeight w:val="413"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00" w:lineRule="exact"/>
                    <w:jc w:val="center"/>
                    <w:rPr>
                      <w:rFonts w:ascii="宋体" w:hAnsi="宋体" w:cs="宋体"/>
                      <w:szCs w:val="21"/>
                    </w:rPr>
                  </w:pPr>
                  <w:r>
                    <w:rPr>
                      <w:rFonts w:hint="eastAsia" w:ascii="宋体" w:hAnsi="宋体" w:cs="宋体"/>
                      <w:szCs w:val="21"/>
                    </w:rPr>
                    <w:t>3</w:t>
                  </w:r>
                </w:p>
              </w:tc>
              <w:tc>
                <w:tcPr>
                  <w:tcW w:w="1483"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00" w:lineRule="exact"/>
                    <w:jc w:val="center"/>
                    <w:rPr>
                      <w:rFonts w:ascii="宋体" w:hAnsi="宋体" w:cs="宋体"/>
                      <w:szCs w:val="21"/>
                    </w:rPr>
                  </w:pPr>
                  <w:r>
                    <w:rPr>
                      <w:rFonts w:hint="eastAsia" w:ascii="宋体" w:hAnsi="宋体" w:cs="宋体"/>
                      <w:szCs w:val="21"/>
                    </w:rPr>
                    <w:t>本项目图纸</w:t>
                  </w:r>
                </w:p>
              </w:tc>
              <w:tc>
                <w:tcPr>
                  <w:tcW w:w="7420"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00" w:lineRule="exact"/>
                    <w:jc w:val="left"/>
                    <w:rPr>
                      <w:rFonts w:ascii="宋体" w:hAnsi="宋体" w:cs="宋体"/>
                      <w:szCs w:val="21"/>
                    </w:rPr>
                  </w:pPr>
                  <w:r>
                    <w:rPr>
                      <w:rFonts w:hint="eastAsia" w:ascii="宋体" w:hAnsi="宋体" w:cs="宋体"/>
                      <w:szCs w:val="21"/>
                    </w:rPr>
                    <w:sym w:font="Wingdings 2" w:char="F052"/>
                  </w:r>
                  <w:r>
                    <w:rPr>
                      <w:rFonts w:hint="eastAsia" w:ascii="宋体" w:hAnsi="宋体" w:cs="宋体"/>
                      <w:szCs w:val="21"/>
                    </w:rPr>
                    <w:t>无；</w:t>
                  </w:r>
                  <w:r>
                    <w:rPr>
                      <w:rFonts w:hint="eastAsia" w:ascii="宋体" w:hAnsi="宋体" w:cs="宋体"/>
                      <w:szCs w:val="21"/>
                    </w:rPr>
                    <w:sym w:font="Wingdings 2" w:char="F0A3"/>
                  </w:r>
                  <w:r>
                    <w:rPr>
                      <w:rFonts w:hint="eastAsia" w:ascii="宋体" w:hAnsi="宋体" w:cs="宋体"/>
                      <w:szCs w:val="21"/>
                    </w:rPr>
                    <w:t>有。</w:t>
                  </w:r>
                </w:p>
              </w:tc>
            </w:tr>
            <w:tr>
              <w:tblPrEx>
                <w:tblCellMar>
                  <w:top w:w="0" w:type="dxa"/>
                  <w:left w:w="0" w:type="dxa"/>
                  <w:bottom w:w="0" w:type="dxa"/>
                  <w:right w:w="0" w:type="dxa"/>
                </w:tblCellMar>
              </w:tblPrEx>
              <w:trPr>
                <w:trHeight w:val="270"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00" w:lineRule="exact"/>
                    <w:jc w:val="center"/>
                    <w:rPr>
                      <w:rFonts w:ascii="宋体" w:hAnsi="宋体" w:cs="宋体"/>
                      <w:szCs w:val="21"/>
                    </w:rPr>
                  </w:pPr>
                  <w:r>
                    <w:rPr>
                      <w:rFonts w:hint="eastAsia" w:ascii="宋体" w:hAnsi="宋体" w:cs="宋体"/>
                      <w:szCs w:val="21"/>
                    </w:rPr>
                    <w:t>4</w:t>
                  </w:r>
                </w:p>
              </w:tc>
              <w:tc>
                <w:tcPr>
                  <w:tcW w:w="1483"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60" w:lineRule="exact"/>
                    <w:jc w:val="center"/>
                    <w:rPr>
                      <w:rFonts w:ascii="宋体" w:hAnsi="宋体" w:cs="宋体"/>
                      <w:szCs w:val="21"/>
                    </w:rPr>
                  </w:pPr>
                  <w:r>
                    <w:rPr>
                      <w:rFonts w:hint="eastAsia" w:ascii="宋体" w:hAnsi="宋体" w:cs="宋体"/>
                      <w:szCs w:val="21"/>
                    </w:rPr>
                    <w:t>其他</w:t>
                  </w:r>
                </w:p>
              </w:tc>
              <w:tc>
                <w:tcPr>
                  <w:tcW w:w="7420" w:type="dxa"/>
                  <w:tcBorders>
                    <w:top w:val="single" w:color="auto" w:sz="4" w:space="0"/>
                    <w:left w:val="single" w:color="auto" w:sz="4" w:space="0"/>
                    <w:bottom w:val="single" w:color="auto" w:sz="4" w:space="0"/>
                    <w:right w:val="single" w:color="auto" w:sz="4" w:space="0"/>
                  </w:tcBorders>
                  <w:vAlign w:val="center"/>
                </w:tcPr>
                <w:p>
                  <w:pPr>
                    <w:kinsoku w:val="0"/>
                    <w:overflowPunct w:val="0"/>
                    <w:spacing w:line="300" w:lineRule="exact"/>
                    <w:jc w:val="left"/>
                    <w:rPr>
                      <w:rFonts w:ascii="宋体" w:hAnsi="宋体" w:cs="宋体"/>
                      <w:szCs w:val="21"/>
                    </w:rPr>
                  </w:pPr>
                  <w:r>
                    <w:rPr>
                      <w:rFonts w:hint="eastAsia" w:ascii="宋体" w:hAnsi="宋体" w:cs="宋体"/>
                      <w:szCs w:val="21"/>
                    </w:rPr>
                    <w:t>（1）其他未尽事宜由供需双方在政府采购合同中详细约定。</w:t>
                  </w:r>
                </w:p>
                <w:p>
                  <w:pPr>
                    <w:kinsoku w:val="0"/>
                    <w:overflowPunct w:val="0"/>
                    <w:spacing w:line="300" w:lineRule="exact"/>
                    <w:jc w:val="left"/>
                    <w:rPr>
                      <w:rFonts w:ascii="宋体" w:hAnsi="宋体" w:cs="宋体"/>
                      <w:szCs w:val="21"/>
                    </w:rPr>
                  </w:pPr>
                  <w:r>
                    <w:rPr>
                      <w:rFonts w:hint="eastAsia" w:ascii="宋体" w:hAnsi="宋体" w:cs="宋体"/>
                      <w:szCs w:val="21"/>
                    </w:rPr>
                    <w:t>（2）标注“▲”的条款或要求系指实质性条款或实质性要求，必须满足，如存在负偏离将导致响应被否决。</w:t>
                  </w:r>
                </w:p>
              </w:tc>
            </w:tr>
          </w:tbl>
          <w:p>
            <w:pPr>
              <w:widowControl/>
              <w:jc w:val="left"/>
              <w:rPr>
                <w:b/>
                <w:szCs w:val="21"/>
              </w:rPr>
            </w:pPr>
          </w:p>
        </w:tc>
      </w:tr>
      <w:bookmarkEnd w:id="45"/>
      <w:bookmarkEnd w:id="46"/>
    </w:tbl>
    <w:p>
      <w:pPr>
        <w:pStyle w:val="120"/>
        <w:jc w:val="left"/>
        <w:rPr>
          <w:rFonts w:ascii="宋体" w:hAnsi="宋体" w:eastAsia="宋体" w:cs="宋体"/>
          <w:color w:val="000000"/>
        </w:rPr>
      </w:pPr>
      <w:r>
        <w:rPr>
          <w:rFonts w:hint="eastAsia" w:ascii="宋体" w:hAnsi="宋体" w:eastAsia="宋体" w:cs="宋体"/>
          <w:color w:val="000000"/>
        </w:rPr>
        <w:br w:type="page"/>
      </w:r>
      <w:r>
        <w:rPr>
          <w:rFonts w:hint="eastAsia" w:ascii="宋体" w:hAnsi="宋体" w:eastAsia="宋体" w:cs="宋体"/>
          <w:color w:val="000000"/>
        </w:rPr>
        <w:t>附件1：</w:t>
      </w:r>
    </w:p>
    <w:p>
      <w:pPr>
        <w:pStyle w:val="103"/>
        <w:ind w:firstLine="0" w:firstLineChars="0"/>
        <w:jc w:val="center"/>
        <w:rPr>
          <w:rFonts w:ascii="宋体" w:hAnsi="宋体" w:eastAsia="宋体" w:cs="宋体"/>
          <w:color w:val="000000"/>
          <w:sz w:val="30"/>
          <w:szCs w:val="30"/>
        </w:rPr>
      </w:pPr>
      <w:r>
        <w:rPr>
          <w:rFonts w:hint="eastAsia" w:ascii="宋体" w:hAnsi="宋体" w:eastAsia="宋体" w:cs="宋体"/>
          <w:color w:val="000000"/>
          <w:sz w:val="30"/>
          <w:szCs w:val="30"/>
        </w:rPr>
        <w:t>节能产品政府采购品目清单</w:t>
      </w:r>
    </w:p>
    <w:tbl>
      <w:tblPr>
        <w:tblStyle w:val="44"/>
        <w:tblW w:w="848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
        <w:gridCol w:w="554"/>
        <w:gridCol w:w="1614"/>
        <w:gridCol w:w="1350"/>
        <w:gridCol w:w="1868"/>
        <w:gridCol w:w="30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jc w:val="center"/>
        </w:trPr>
        <w:tc>
          <w:tcPr>
            <w:tcW w:w="564" w:type="dxa"/>
            <w:gridSpan w:val="2"/>
            <w:vAlign w:val="center"/>
          </w:tcPr>
          <w:p>
            <w:pPr>
              <w:autoSpaceDE w:val="0"/>
              <w:autoSpaceDN w:val="0"/>
              <w:jc w:val="center"/>
              <w:rPr>
                <w:rFonts w:ascii="宋体" w:hAnsi="宋体" w:cs="宋体"/>
                <w:b/>
                <w:bCs/>
                <w:color w:val="000000"/>
              </w:rPr>
            </w:pPr>
            <w:bookmarkStart w:id="147" w:name="_Hlk72765337"/>
            <w:r>
              <w:rPr>
                <w:rFonts w:hint="eastAsia" w:ascii="宋体" w:hAnsi="宋体" w:cs="宋体"/>
                <w:b/>
                <w:bCs/>
                <w:color w:val="000000"/>
              </w:rPr>
              <w:t>品目序号</w:t>
            </w:r>
          </w:p>
        </w:tc>
        <w:tc>
          <w:tcPr>
            <w:tcW w:w="4832" w:type="dxa"/>
            <w:gridSpan w:val="3"/>
            <w:vAlign w:val="center"/>
          </w:tcPr>
          <w:p>
            <w:pPr>
              <w:autoSpaceDE w:val="0"/>
              <w:autoSpaceDN w:val="0"/>
              <w:jc w:val="center"/>
              <w:rPr>
                <w:rFonts w:ascii="宋体" w:hAnsi="宋体" w:cs="宋体"/>
                <w:b/>
                <w:bCs/>
                <w:color w:val="000000"/>
              </w:rPr>
            </w:pPr>
            <w:r>
              <w:rPr>
                <w:rFonts w:hint="eastAsia" w:ascii="宋体" w:hAnsi="宋体" w:cs="宋体"/>
                <w:b/>
                <w:bCs/>
                <w:color w:val="000000"/>
              </w:rPr>
              <w:t>名称</w:t>
            </w:r>
          </w:p>
        </w:tc>
        <w:tc>
          <w:tcPr>
            <w:tcW w:w="3087" w:type="dxa"/>
            <w:vAlign w:val="center"/>
          </w:tcPr>
          <w:p>
            <w:pPr>
              <w:autoSpaceDE w:val="0"/>
              <w:autoSpaceDN w:val="0"/>
              <w:jc w:val="center"/>
              <w:rPr>
                <w:rFonts w:ascii="宋体" w:hAnsi="宋体" w:cs="宋体"/>
                <w:b/>
                <w:bCs/>
                <w:color w:val="000000"/>
              </w:rPr>
            </w:pPr>
            <w:r>
              <w:rPr>
                <w:rFonts w:hint="eastAsia" w:ascii="宋体" w:hAnsi="宋体" w:cs="宋体"/>
                <w:b/>
                <w:bCs/>
                <w:color w:val="000000"/>
              </w:rPr>
              <w:t>依据的标准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jc w:val="center"/>
        </w:trPr>
        <w:tc>
          <w:tcPr>
            <w:tcW w:w="564" w:type="dxa"/>
            <w:gridSpan w:val="2"/>
            <w:vMerge w:val="restart"/>
            <w:vAlign w:val="center"/>
          </w:tcPr>
          <w:p>
            <w:pPr>
              <w:autoSpaceDE w:val="0"/>
              <w:autoSpaceDN w:val="0"/>
              <w:jc w:val="center"/>
              <w:rPr>
                <w:rFonts w:ascii="宋体" w:hAnsi="宋体" w:cs="宋体"/>
                <w:color w:val="000000"/>
              </w:rPr>
            </w:pPr>
            <w:r>
              <w:rPr>
                <w:rFonts w:hint="eastAsia" w:ascii="宋体" w:hAnsi="宋体" w:cs="宋体"/>
                <w:color w:val="000000"/>
              </w:rPr>
              <w:t>1</w:t>
            </w:r>
          </w:p>
        </w:tc>
        <w:tc>
          <w:tcPr>
            <w:tcW w:w="1614" w:type="dxa"/>
            <w:vMerge w:val="restart"/>
            <w:vAlign w:val="center"/>
          </w:tcPr>
          <w:p>
            <w:pPr>
              <w:autoSpaceDE w:val="0"/>
              <w:autoSpaceDN w:val="0"/>
              <w:jc w:val="center"/>
              <w:rPr>
                <w:rFonts w:ascii="宋体" w:hAnsi="宋体" w:cs="宋体"/>
                <w:color w:val="000000"/>
              </w:rPr>
            </w:pPr>
            <w:r>
              <w:rPr>
                <w:rFonts w:hint="eastAsia" w:ascii="宋体" w:hAnsi="宋体" w:cs="宋体"/>
                <w:color w:val="000000"/>
              </w:rPr>
              <w:t>A020101</w:t>
            </w:r>
            <w:r>
              <w:rPr>
                <w:rFonts w:hint="eastAsia" w:ascii="宋体" w:hAnsi="宋体" w:cs="宋体"/>
                <w:color w:val="000000"/>
                <w:spacing w:val="-20"/>
              </w:rPr>
              <w:t xml:space="preserve"> 计算</w:t>
            </w:r>
            <w:r>
              <w:rPr>
                <w:rFonts w:hint="eastAsia" w:ascii="宋体" w:hAnsi="宋体" w:cs="宋体"/>
                <w:color w:val="000000"/>
              </w:rPr>
              <w:t>机设备</w:t>
            </w:r>
          </w:p>
        </w:tc>
        <w:tc>
          <w:tcPr>
            <w:tcW w:w="1350" w:type="dxa"/>
            <w:vAlign w:val="center"/>
          </w:tcPr>
          <w:p>
            <w:pPr>
              <w:autoSpaceDE w:val="0"/>
              <w:autoSpaceDN w:val="0"/>
              <w:jc w:val="center"/>
              <w:rPr>
                <w:rFonts w:ascii="宋体" w:hAnsi="宋体" w:cs="宋体"/>
                <w:color w:val="000000"/>
              </w:rPr>
            </w:pPr>
            <w:r>
              <w:rPr>
                <w:rFonts w:hint="eastAsia" w:ascii="宋体" w:hAnsi="宋体" w:cs="宋体"/>
                <w:color w:val="000000"/>
              </w:rPr>
              <w:t>★A02010104</w:t>
            </w:r>
            <w:r>
              <w:rPr>
                <w:rFonts w:hint="eastAsia" w:ascii="宋体" w:hAnsi="宋体" w:cs="宋体"/>
                <w:color w:val="000000"/>
                <w:spacing w:val="-7"/>
              </w:rPr>
              <w:t xml:space="preserve"> 台式计</w:t>
            </w:r>
            <w:r>
              <w:rPr>
                <w:rFonts w:hint="eastAsia" w:ascii="宋体" w:hAnsi="宋体" w:cs="宋体"/>
                <w:color w:val="000000"/>
              </w:rPr>
              <w:t>算机</w:t>
            </w:r>
          </w:p>
        </w:tc>
        <w:tc>
          <w:tcPr>
            <w:tcW w:w="1868" w:type="dxa"/>
            <w:vAlign w:val="center"/>
          </w:tcPr>
          <w:p>
            <w:pPr>
              <w:autoSpaceDE w:val="0"/>
              <w:autoSpaceDN w:val="0"/>
              <w:jc w:val="center"/>
              <w:rPr>
                <w:rFonts w:ascii="宋体" w:hAnsi="宋体" w:cs="宋体"/>
                <w:color w:val="000000"/>
              </w:rPr>
            </w:pPr>
          </w:p>
        </w:tc>
        <w:tc>
          <w:tcPr>
            <w:tcW w:w="3087" w:type="dxa"/>
            <w:vAlign w:val="center"/>
          </w:tcPr>
          <w:p>
            <w:pPr>
              <w:autoSpaceDE w:val="0"/>
              <w:autoSpaceDN w:val="0"/>
              <w:jc w:val="center"/>
              <w:rPr>
                <w:rFonts w:ascii="宋体" w:hAnsi="宋体" w:cs="宋体"/>
                <w:color w:val="000000"/>
              </w:rPr>
            </w:pPr>
            <w:r>
              <w:rPr>
                <w:rFonts w:hint="eastAsia" w:ascii="宋体" w:hAnsi="宋体" w:cs="宋体"/>
                <w:color w:val="000000"/>
                <w:spacing w:val="9"/>
              </w:rPr>
              <w:t>《微型计算机能效限定值及能效</w:t>
            </w:r>
            <w:r>
              <w:rPr>
                <w:rFonts w:hint="eastAsia" w:ascii="宋体" w:hAnsi="宋体" w:cs="宋体"/>
                <w:color w:val="000000"/>
              </w:rPr>
              <w:t>等级》（GB28380）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jc w:val="center"/>
        </w:trPr>
        <w:tc>
          <w:tcPr>
            <w:tcW w:w="564" w:type="dxa"/>
            <w:gridSpan w:val="2"/>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Align w:val="center"/>
          </w:tcPr>
          <w:p>
            <w:pPr>
              <w:autoSpaceDE w:val="0"/>
              <w:autoSpaceDN w:val="0"/>
              <w:jc w:val="center"/>
              <w:rPr>
                <w:rFonts w:ascii="宋体" w:hAnsi="宋体" w:cs="宋体"/>
                <w:color w:val="000000"/>
              </w:rPr>
            </w:pPr>
            <w:r>
              <w:rPr>
                <w:rFonts w:hint="eastAsia" w:ascii="宋体" w:hAnsi="宋体" w:cs="宋体"/>
                <w:color w:val="000000"/>
              </w:rPr>
              <w:t>★A02010105</w:t>
            </w:r>
            <w:r>
              <w:rPr>
                <w:rFonts w:hint="eastAsia" w:ascii="宋体" w:hAnsi="宋体" w:cs="宋体"/>
                <w:color w:val="000000"/>
                <w:spacing w:val="-7"/>
              </w:rPr>
              <w:t xml:space="preserve"> 便携式</w:t>
            </w:r>
            <w:r>
              <w:rPr>
                <w:rFonts w:hint="eastAsia" w:ascii="宋体" w:hAnsi="宋体" w:cs="宋体"/>
                <w:color w:val="000000"/>
              </w:rPr>
              <w:t>计算机</w:t>
            </w:r>
          </w:p>
        </w:tc>
        <w:tc>
          <w:tcPr>
            <w:tcW w:w="1868" w:type="dxa"/>
            <w:vAlign w:val="center"/>
          </w:tcPr>
          <w:p>
            <w:pPr>
              <w:autoSpaceDE w:val="0"/>
              <w:autoSpaceDN w:val="0"/>
              <w:jc w:val="center"/>
              <w:rPr>
                <w:rFonts w:ascii="宋体" w:hAnsi="宋体" w:cs="宋体"/>
                <w:color w:val="000000"/>
              </w:rPr>
            </w:pPr>
          </w:p>
        </w:tc>
        <w:tc>
          <w:tcPr>
            <w:tcW w:w="3087" w:type="dxa"/>
            <w:vAlign w:val="center"/>
          </w:tcPr>
          <w:p>
            <w:pPr>
              <w:autoSpaceDE w:val="0"/>
              <w:autoSpaceDN w:val="0"/>
              <w:jc w:val="center"/>
              <w:rPr>
                <w:rFonts w:ascii="宋体" w:hAnsi="宋体" w:cs="宋体"/>
                <w:color w:val="000000"/>
              </w:rPr>
            </w:pPr>
            <w:r>
              <w:rPr>
                <w:rFonts w:hint="eastAsia" w:ascii="宋体" w:hAnsi="宋体" w:cs="宋体"/>
                <w:color w:val="000000"/>
                <w:spacing w:val="9"/>
              </w:rPr>
              <w:t>《微型计算机能效限定值及能效</w:t>
            </w:r>
            <w:r>
              <w:rPr>
                <w:rFonts w:hint="eastAsia" w:ascii="宋体" w:hAnsi="宋体" w:cs="宋体"/>
                <w:color w:val="000000"/>
              </w:rPr>
              <w:t>等级》（GB28380）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564" w:type="dxa"/>
            <w:gridSpan w:val="2"/>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Align w:val="center"/>
          </w:tcPr>
          <w:p>
            <w:pPr>
              <w:autoSpaceDE w:val="0"/>
              <w:autoSpaceDN w:val="0"/>
              <w:jc w:val="center"/>
              <w:rPr>
                <w:rFonts w:ascii="宋体" w:hAnsi="宋体" w:cs="宋体"/>
                <w:color w:val="000000"/>
              </w:rPr>
            </w:pPr>
            <w:r>
              <w:rPr>
                <w:rFonts w:hint="eastAsia" w:ascii="宋体" w:hAnsi="宋体" w:cs="宋体"/>
                <w:color w:val="000000"/>
              </w:rPr>
              <w:t>★A02010107</w:t>
            </w:r>
            <w:r>
              <w:rPr>
                <w:rFonts w:hint="eastAsia" w:ascii="宋体" w:hAnsi="宋体" w:cs="宋体"/>
                <w:color w:val="000000"/>
                <w:spacing w:val="-7"/>
              </w:rPr>
              <w:t xml:space="preserve"> 平板式</w:t>
            </w:r>
            <w:r>
              <w:rPr>
                <w:rFonts w:hint="eastAsia" w:ascii="宋体" w:hAnsi="宋体" w:cs="宋体"/>
                <w:color w:val="000000"/>
              </w:rPr>
              <w:t>微型计算机</w:t>
            </w:r>
          </w:p>
        </w:tc>
        <w:tc>
          <w:tcPr>
            <w:tcW w:w="1868" w:type="dxa"/>
            <w:vAlign w:val="center"/>
          </w:tcPr>
          <w:p>
            <w:pPr>
              <w:autoSpaceDE w:val="0"/>
              <w:autoSpaceDN w:val="0"/>
              <w:jc w:val="center"/>
              <w:rPr>
                <w:rFonts w:ascii="宋体" w:hAnsi="宋体" w:cs="宋体"/>
                <w:color w:val="000000"/>
              </w:rPr>
            </w:pPr>
          </w:p>
        </w:tc>
        <w:tc>
          <w:tcPr>
            <w:tcW w:w="3087" w:type="dxa"/>
            <w:vAlign w:val="center"/>
          </w:tcPr>
          <w:p>
            <w:pPr>
              <w:autoSpaceDE w:val="0"/>
              <w:autoSpaceDN w:val="0"/>
              <w:jc w:val="center"/>
              <w:rPr>
                <w:rFonts w:ascii="宋体" w:hAnsi="宋体" w:cs="宋体"/>
                <w:color w:val="000000"/>
              </w:rPr>
            </w:pPr>
            <w:r>
              <w:rPr>
                <w:rFonts w:hint="eastAsia" w:ascii="宋体" w:hAnsi="宋体" w:cs="宋体"/>
                <w:color w:val="000000"/>
                <w:spacing w:val="9"/>
              </w:rPr>
              <w:t>《微型计算机能效限定值及能效</w:t>
            </w:r>
            <w:r>
              <w:rPr>
                <w:rFonts w:hint="eastAsia" w:ascii="宋体" w:hAnsi="宋体" w:cs="宋体"/>
                <w:color w:val="000000"/>
              </w:rPr>
              <w:t>等级》（GB 28380）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jc w:val="center"/>
        </w:trPr>
        <w:tc>
          <w:tcPr>
            <w:tcW w:w="564" w:type="dxa"/>
            <w:gridSpan w:val="2"/>
            <w:vMerge w:val="restart"/>
            <w:vAlign w:val="center"/>
          </w:tcPr>
          <w:p>
            <w:pPr>
              <w:autoSpaceDE w:val="0"/>
              <w:autoSpaceDN w:val="0"/>
              <w:jc w:val="center"/>
              <w:rPr>
                <w:rFonts w:ascii="宋体" w:hAnsi="宋体" w:cs="宋体"/>
                <w:color w:val="000000"/>
              </w:rPr>
            </w:pPr>
            <w:r>
              <w:rPr>
                <w:rFonts w:hint="eastAsia" w:ascii="宋体" w:hAnsi="宋体" w:cs="宋体"/>
                <w:color w:val="000000"/>
              </w:rPr>
              <w:t>2</w:t>
            </w:r>
          </w:p>
        </w:tc>
        <w:tc>
          <w:tcPr>
            <w:tcW w:w="1614" w:type="dxa"/>
            <w:vMerge w:val="restart"/>
            <w:vAlign w:val="center"/>
          </w:tcPr>
          <w:p>
            <w:pPr>
              <w:autoSpaceDE w:val="0"/>
              <w:autoSpaceDN w:val="0"/>
              <w:jc w:val="center"/>
              <w:rPr>
                <w:rFonts w:ascii="宋体" w:hAnsi="宋体" w:cs="宋体"/>
                <w:color w:val="000000"/>
              </w:rPr>
            </w:pPr>
            <w:r>
              <w:rPr>
                <w:rFonts w:hint="eastAsia" w:ascii="宋体" w:hAnsi="宋体" w:cs="宋体"/>
                <w:color w:val="000000"/>
              </w:rPr>
              <w:t>A020106</w:t>
            </w:r>
            <w:r>
              <w:rPr>
                <w:rFonts w:hint="eastAsia" w:ascii="宋体" w:hAnsi="宋体" w:cs="宋体"/>
                <w:color w:val="000000"/>
                <w:spacing w:val="-20"/>
              </w:rPr>
              <w:t xml:space="preserve"> 输入</w:t>
            </w:r>
            <w:r>
              <w:rPr>
                <w:rFonts w:hint="eastAsia" w:ascii="宋体" w:hAnsi="宋体" w:cs="宋体"/>
                <w:color w:val="000000"/>
              </w:rPr>
              <w:t>输出设备</w:t>
            </w:r>
          </w:p>
        </w:tc>
        <w:tc>
          <w:tcPr>
            <w:tcW w:w="1350" w:type="dxa"/>
            <w:vMerge w:val="restart"/>
            <w:vAlign w:val="center"/>
          </w:tcPr>
          <w:p>
            <w:pPr>
              <w:autoSpaceDE w:val="0"/>
              <w:autoSpaceDN w:val="0"/>
              <w:jc w:val="center"/>
              <w:rPr>
                <w:rFonts w:ascii="宋体" w:hAnsi="宋体" w:cs="宋体"/>
                <w:color w:val="000000"/>
              </w:rPr>
            </w:pPr>
            <w:r>
              <w:rPr>
                <w:rFonts w:hint="eastAsia" w:ascii="宋体" w:hAnsi="宋体" w:cs="宋体"/>
                <w:color w:val="000000"/>
              </w:rPr>
              <w:t>A02010601 打印设备</w:t>
            </w:r>
          </w:p>
        </w:tc>
        <w:tc>
          <w:tcPr>
            <w:tcW w:w="1868" w:type="dxa"/>
            <w:vAlign w:val="center"/>
          </w:tcPr>
          <w:p>
            <w:pPr>
              <w:autoSpaceDE w:val="0"/>
              <w:autoSpaceDN w:val="0"/>
              <w:jc w:val="center"/>
              <w:rPr>
                <w:rFonts w:ascii="宋体" w:hAnsi="宋体" w:cs="宋体"/>
                <w:color w:val="000000"/>
              </w:rPr>
            </w:pPr>
            <w:r>
              <w:rPr>
                <w:rFonts w:hint="eastAsia" w:ascii="宋体" w:hAnsi="宋体" w:cs="宋体"/>
                <w:color w:val="000000"/>
              </w:rPr>
              <w:t>A0201060101</w:t>
            </w:r>
            <w:r>
              <w:rPr>
                <w:rFonts w:hint="eastAsia" w:ascii="宋体" w:hAnsi="宋体" w:cs="宋体"/>
                <w:color w:val="000000"/>
                <w:spacing w:val="18"/>
              </w:rPr>
              <w:t xml:space="preserve"> 喷墨打</w:t>
            </w:r>
            <w:r>
              <w:rPr>
                <w:rFonts w:hint="eastAsia" w:ascii="宋体" w:hAnsi="宋体" w:cs="宋体"/>
                <w:color w:val="000000"/>
              </w:rPr>
              <w:t>印机</w:t>
            </w:r>
          </w:p>
        </w:tc>
        <w:tc>
          <w:tcPr>
            <w:tcW w:w="3087" w:type="dxa"/>
            <w:vAlign w:val="center"/>
          </w:tcPr>
          <w:p>
            <w:pPr>
              <w:autoSpaceDE w:val="0"/>
              <w:autoSpaceDN w:val="0"/>
              <w:jc w:val="center"/>
              <w:rPr>
                <w:rFonts w:ascii="宋体" w:hAnsi="宋体" w:cs="宋体"/>
                <w:color w:val="000000"/>
              </w:rPr>
            </w:pPr>
            <w:r>
              <w:rPr>
                <w:rFonts w:hint="eastAsia" w:ascii="宋体" w:hAnsi="宋体" w:cs="宋体"/>
                <w:color w:val="000000"/>
                <w:spacing w:val="-8"/>
              </w:rPr>
              <w:t>《复印机、打印机和传真机能效限</w:t>
            </w:r>
            <w:r>
              <w:rPr>
                <w:rFonts w:hint="eastAsia" w:ascii="宋体" w:hAnsi="宋体" w:cs="宋体"/>
                <w:color w:val="000000"/>
              </w:rPr>
              <w:t>定值及能效等级》（GB 21521）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jc w:val="center"/>
        </w:trPr>
        <w:tc>
          <w:tcPr>
            <w:tcW w:w="564" w:type="dxa"/>
            <w:gridSpan w:val="2"/>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Merge w:val="continue"/>
            <w:vAlign w:val="center"/>
          </w:tcPr>
          <w:p>
            <w:pPr>
              <w:autoSpaceDE w:val="0"/>
              <w:autoSpaceDN w:val="0"/>
              <w:jc w:val="center"/>
              <w:rPr>
                <w:rFonts w:ascii="宋体" w:hAnsi="宋体" w:cs="宋体"/>
                <w:color w:val="000000"/>
              </w:rPr>
            </w:pPr>
          </w:p>
        </w:tc>
        <w:tc>
          <w:tcPr>
            <w:tcW w:w="1868" w:type="dxa"/>
            <w:vAlign w:val="center"/>
          </w:tcPr>
          <w:p>
            <w:pPr>
              <w:autoSpaceDE w:val="0"/>
              <w:autoSpaceDN w:val="0"/>
              <w:jc w:val="center"/>
              <w:rPr>
                <w:rFonts w:ascii="宋体" w:hAnsi="宋体" w:cs="宋体"/>
                <w:color w:val="000000"/>
              </w:rPr>
            </w:pPr>
            <w:r>
              <w:rPr>
                <w:rFonts w:hint="eastAsia" w:ascii="宋体" w:hAnsi="宋体" w:cs="宋体"/>
                <w:color w:val="000000"/>
                <w:spacing w:val="-26"/>
              </w:rPr>
              <w:t xml:space="preserve">★ </w:t>
            </w:r>
            <w:r>
              <w:rPr>
                <w:rFonts w:hint="eastAsia" w:ascii="宋体" w:hAnsi="宋体" w:cs="宋体"/>
                <w:color w:val="000000"/>
              </w:rPr>
              <w:t>A0201060102</w:t>
            </w:r>
            <w:r>
              <w:rPr>
                <w:rFonts w:hint="eastAsia" w:ascii="宋体" w:hAnsi="宋体" w:cs="宋体"/>
                <w:color w:val="000000"/>
                <w:spacing w:val="38"/>
              </w:rPr>
              <w:t xml:space="preserve"> 激光</w:t>
            </w:r>
            <w:r>
              <w:rPr>
                <w:rFonts w:hint="eastAsia" w:ascii="宋体" w:hAnsi="宋体" w:cs="宋体"/>
                <w:color w:val="000000"/>
              </w:rPr>
              <w:t>打印机</w:t>
            </w:r>
          </w:p>
        </w:tc>
        <w:tc>
          <w:tcPr>
            <w:tcW w:w="3087" w:type="dxa"/>
            <w:vAlign w:val="center"/>
          </w:tcPr>
          <w:p>
            <w:pPr>
              <w:autoSpaceDE w:val="0"/>
              <w:autoSpaceDN w:val="0"/>
              <w:jc w:val="center"/>
              <w:rPr>
                <w:rFonts w:ascii="宋体" w:hAnsi="宋体" w:cs="宋体"/>
                <w:color w:val="000000"/>
              </w:rPr>
            </w:pPr>
            <w:r>
              <w:rPr>
                <w:rFonts w:hint="eastAsia" w:ascii="宋体" w:hAnsi="宋体" w:cs="宋体"/>
                <w:color w:val="000000"/>
                <w:spacing w:val="-8"/>
              </w:rPr>
              <w:t>《复印机、打印机和传真机能效限</w:t>
            </w:r>
            <w:r>
              <w:rPr>
                <w:rFonts w:hint="eastAsia" w:ascii="宋体" w:hAnsi="宋体" w:cs="宋体"/>
                <w:color w:val="000000"/>
              </w:rPr>
              <w:t>定值及能效等级》（GB 21521）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jc w:val="center"/>
        </w:trPr>
        <w:tc>
          <w:tcPr>
            <w:tcW w:w="564" w:type="dxa"/>
            <w:gridSpan w:val="2"/>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Merge w:val="continue"/>
            <w:vAlign w:val="center"/>
          </w:tcPr>
          <w:p>
            <w:pPr>
              <w:autoSpaceDE w:val="0"/>
              <w:autoSpaceDN w:val="0"/>
              <w:jc w:val="center"/>
              <w:rPr>
                <w:rFonts w:ascii="宋体" w:hAnsi="宋体" w:cs="宋体"/>
                <w:color w:val="000000"/>
              </w:rPr>
            </w:pPr>
          </w:p>
        </w:tc>
        <w:tc>
          <w:tcPr>
            <w:tcW w:w="1868" w:type="dxa"/>
            <w:vAlign w:val="center"/>
          </w:tcPr>
          <w:p>
            <w:pPr>
              <w:autoSpaceDE w:val="0"/>
              <w:autoSpaceDN w:val="0"/>
              <w:jc w:val="center"/>
              <w:rPr>
                <w:rFonts w:ascii="宋体" w:hAnsi="宋体" w:cs="宋体"/>
                <w:color w:val="000000"/>
              </w:rPr>
            </w:pPr>
            <w:r>
              <w:rPr>
                <w:rFonts w:hint="eastAsia" w:ascii="宋体" w:hAnsi="宋体" w:cs="宋体"/>
                <w:color w:val="000000"/>
                <w:spacing w:val="-26"/>
              </w:rPr>
              <w:t xml:space="preserve">★ </w:t>
            </w:r>
            <w:r>
              <w:rPr>
                <w:rFonts w:hint="eastAsia" w:ascii="宋体" w:hAnsi="宋体" w:cs="宋体"/>
                <w:color w:val="000000"/>
              </w:rPr>
              <w:t>A0201060104</w:t>
            </w:r>
            <w:r>
              <w:rPr>
                <w:rFonts w:hint="eastAsia" w:ascii="宋体" w:hAnsi="宋体" w:cs="宋体"/>
                <w:color w:val="000000"/>
                <w:spacing w:val="38"/>
              </w:rPr>
              <w:t xml:space="preserve"> 针式</w:t>
            </w:r>
            <w:r>
              <w:rPr>
                <w:rFonts w:hint="eastAsia" w:ascii="宋体" w:hAnsi="宋体" w:cs="宋体"/>
                <w:color w:val="000000"/>
              </w:rPr>
              <w:t>打印机</w:t>
            </w:r>
          </w:p>
        </w:tc>
        <w:tc>
          <w:tcPr>
            <w:tcW w:w="3087" w:type="dxa"/>
            <w:vAlign w:val="center"/>
          </w:tcPr>
          <w:p>
            <w:pPr>
              <w:autoSpaceDE w:val="0"/>
              <w:autoSpaceDN w:val="0"/>
              <w:jc w:val="center"/>
              <w:rPr>
                <w:rFonts w:ascii="宋体" w:hAnsi="宋体" w:cs="宋体"/>
                <w:color w:val="000000"/>
              </w:rPr>
            </w:pPr>
            <w:r>
              <w:rPr>
                <w:rFonts w:hint="eastAsia" w:ascii="宋体" w:hAnsi="宋体" w:cs="宋体"/>
                <w:color w:val="000000"/>
                <w:spacing w:val="-8"/>
              </w:rPr>
              <w:t>《复印机、打印机和传真机能效限</w:t>
            </w:r>
            <w:r>
              <w:rPr>
                <w:rFonts w:hint="eastAsia" w:ascii="宋体" w:hAnsi="宋体" w:cs="宋体"/>
                <w:color w:val="000000"/>
              </w:rPr>
              <w:t>定值及能效等级》（GB 21521）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564" w:type="dxa"/>
            <w:gridSpan w:val="2"/>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Align w:val="center"/>
          </w:tcPr>
          <w:p>
            <w:pPr>
              <w:autoSpaceDE w:val="0"/>
              <w:autoSpaceDN w:val="0"/>
              <w:jc w:val="center"/>
              <w:rPr>
                <w:rFonts w:ascii="宋体" w:hAnsi="宋体" w:cs="宋体"/>
                <w:color w:val="000000"/>
              </w:rPr>
            </w:pPr>
            <w:r>
              <w:rPr>
                <w:rFonts w:hint="eastAsia" w:ascii="宋体" w:hAnsi="宋体" w:cs="宋体"/>
                <w:color w:val="000000"/>
              </w:rPr>
              <w:t>A02010604 显示设备</w:t>
            </w:r>
          </w:p>
        </w:tc>
        <w:tc>
          <w:tcPr>
            <w:tcW w:w="1868" w:type="dxa"/>
            <w:vAlign w:val="center"/>
          </w:tcPr>
          <w:p>
            <w:pPr>
              <w:autoSpaceDE w:val="0"/>
              <w:autoSpaceDN w:val="0"/>
              <w:jc w:val="center"/>
              <w:rPr>
                <w:rFonts w:ascii="宋体" w:hAnsi="宋体" w:cs="宋体"/>
                <w:color w:val="000000"/>
              </w:rPr>
            </w:pPr>
            <w:r>
              <w:rPr>
                <w:rFonts w:hint="eastAsia" w:ascii="宋体" w:hAnsi="宋体" w:cs="宋体"/>
                <w:color w:val="000000"/>
                <w:spacing w:val="-26"/>
              </w:rPr>
              <w:t xml:space="preserve">★ </w:t>
            </w:r>
            <w:r>
              <w:rPr>
                <w:rFonts w:hint="eastAsia" w:ascii="宋体" w:hAnsi="宋体" w:cs="宋体"/>
                <w:color w:val="000000"/>
              </w:rPr>
              <w:t>A0201060401</w:t>
            </w:r>
            <w:r>
              <w:rPr>
                <w:rFonts w:hint="eastAsia" w:ascii="宋体" w:hAnsi="宋体" w:cs="宋体"/>
                <w:color w:val="000000"/>
                <w:spacing w:val="38"/>
              </w:rPr>
              <w:t xml:space="preserve"> 液晶</w:t>
            </w:r>
            <w:r>
              <w:rPr>
                <w:rFonts w:hint="eastAsia" w:ascii="宋体" w:hAnsi="宋体" w:cs="宋体"/>
                <w:color w:val="000000"/>
              </w:rPr>
              <w:t>显示器</w:t>
            </w:r>
          </w:p>
        </w:tc>
        <w:tc>
          <w:tcPr>
            <w:tcW w:w="3087" w:type="dxa"/>
            <w:vAlign w:val="center"/>
          </w:tcPr>
          <w:p>
            <w:pPr>
              <w:autoSpaceDE w:val="0"/>
              <w:autoSpaceDN w:val="0"/>
              <w:jc w:val="center"/>
              <w:rPr>
                <w:rFonts w:ascii="宋体" w:hAnsi="宋体" w:cs="宋体"/>
                <w:color w:val="000000"/>
              </w:rPr>
            </w:pPr>
            <w:r>
              <w:rPr>
                <w:rFonts w:hint="eastAsia" w:ascii="宋体" w:hAnsi="宋体" w:cs="宋体"/>
                <w:color w:val="000000"/>
                <w:spacing w:val="9"/>
              </w:rPr>
              <w:t>《计算机显示器能效限定值及能</w:t>
            </w:r>
            <w:r>
              <w:rPr>
                <w:rFonts w:hint="eastAsia" w:ascii="宋体" w:hAnsi="宋体" w:cs="宋体"/>
                <w:color w:val="000000"/>
              </w:rPr>
              <w:t>效等级》（GB21520）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jc w:val="center"/>
        </w:trPr>
        <w:tc>
          <w:tcPr>
            <w:tcW w:w="564" w:type="dxa"/>
            <w:gridSpan w:val="2"/>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Align w:val="center"/>
          </w:tcPr>
          <w:p>
            <w:pPr>
              <w:autoSpaceDE w:val="0"/>
              <w:autoSpaceDN w:val="0"/>
              <w:jc w:val="center"/>
              <w:rPr>
                <w:rFonts w:ascii="宋体" w:hAnsi="宋体" w:cs="宋体"/>
                <w:color w:val="000000"/>
              </w:rPr>
            </w:pPr>
            <w:r>
              <w:rPr>
                <w:rFonts w:hint="eastAsia" w:ascii="宋体" w:hAnsi="宋体" w:cs="宋体"/>
                <w:color w:val="000000"/>
              </w:rPr>
              <w:t>A02010609</w:t>
            </w:r>
            <w:r>
              <w:rPr>
                <w:rFonts w:hint="eastAsia" w:ascii="宋体" w:hAnsi="宋体" w:cs="宋体"/>
                <w:color w:val="000000"/>
                <w:spacing w:val="-6"/>
              </w:rPr>
              <w:t xml:space="preserve"> 图形图像</w:t>
            </w:r>
            <w:r>
              <w:rPr>
                <w:rFonts w:hint="eastAsia" w:ascii="宋体" w:hAnsi="宋体" w:cs="宋体"/>
                <w:color w:val="000000"/>
              </w:rPr>
              <w:t>输入设备</w:t>
            </w:r>
          </w:p>
        </w:tc>
        <w:tc>
          <w:tcPr>
            <w:tcW w:w="1868" w:type="dxa"/>
            <w:vAlign w:val="center"/>
          </w:tcPr>
          <w:p>
            <w:pPr>
              <w:autoSpaceDE w:val="0"/>
              <w:autoSpaceDN w:val="0"/>
              <w:jc w:val="center"/>
              <w:rPr>
                <w:rFonts w:ascii="宋体" w:hAnsi="宋体" w:cs="宋体"/>
                <w:color w:val="000000"/>
              </w:rPr>
            </w:pPr>
            <w:r>
              <w:rPr>
                <w:rFonts w:hint="eastAsia" w:ascii="宋体" w:hAnsi="宋体" w:cs="宋体"/>
                <w:color w:val="000000"/>
              </w:rPr>
              <w:t>A0201060901</w:t>
            </w:r>
            <w:r>
              <w:rPr>
                <w:rFonts w:hint="eastAsia" w:ascii="宋体" w:hAnsi="宋体" w:cs="宋体"/>
                <w:color w:val="000000"/>
                <w:spacing w:val="-7"/>
              </w:rPr>
              <w:t xml:space="preserve"> 扫描仪</w:t>
            </w:r>
          </w:p>
        </w:tc>
        <w:tc>
          <w:tcPr>
            <w:tcW w:w="3087" w:type="dxa"/>
            <w:vAlign w:val="center"/>
          </w:tcPr>
          <w:p>
            <w:pPr>
              <w:autoSpaceDE w:val="0"/>
              <w:autoSpaceDN w:val="0"/>
              <w:jc w:val="center"/>
              <w:rPr>
                <w:rFonts w:ascii="宋体" w:hAnsi="宋体" w:cs="宋体"/>
                <w:color w:val="000000"/>
              </w:rPr>
            </w:pPr>
            <w:r>
              <w:rPr>
                <w:rFonts w:hint="eastAsia" w:ascii="宋体" w:hAnsi="宋体" w:cs="宋体"/>
                <w:color w:val="000000"/>
              </w:rPr>
              <w:t>参照《复印机、打印机和传真机能</w:t>
            </w:r>
            <w:r>
              <w:rPr>
                <w:rFonts w:hint="eastAsia" w:ascii="宋体" w:hAnsi="宋体" w:cs="宋体"/>
                <w:color w:val="000000"/>
                <w:spacing w:val="-11"/>
              </w:rPr>
              <w:t>效限定值及能效等级》</w:t>
            </w:r>
            <w:r>
              <w:rPr>
                <w:rFonts w:hint="eastAsia" w:ascii="宋体" w:hAnsi="宋体" w:cs="宋体"/>
                <w:color w:val="000000"/>
              </w:rPr>
              <w:t>（GB21521）</w:t>
            </w:r>
            <w:r>
              <w:rPr>
                <w:rFonts w:hint="eastAsia" w:ascii="宋体" w:hAnsi="宋体" w:cs="宋体"/>
                <w:color w:val="000000"/>
                <w:spacing w:val="1"/>
              </w:rPr>
              <w:t xml:space="preserve">中打印速度为 </w:t>
            </w:r>
            <w:r>
              <w:rPr>
                <w:rFonts w:hint="eastAsia" w:ascii="宋体" w:hAnsi="宋体" w:cs="宋体"/>
                <w:color w:val="000000"/>
              </w:rPr>
              <w:t>15</w:t>
            </w:r>
            <w:r>
              <w:rPr>
                <w:rFonts w:hint="eastAsia" w:ascii="宋体" w:hAnsi="宋体" w:cs="宋体"/>
                <w:color w:val="000000"/>
                <w:spacing w:val="6"/>
              </w:rPr>
              <w:t xml:space="preserve"> 页</w:t>
            </w:r>
            <w:r>
              <w:rPr>
                <w:rFonts w:hint="eastAsia" w:ascii="宋体" w:hAnsi="宋体" w:cs="宋体"/>
                <w:color w:val="000000"/>
              </w:rPr>
              <w:t>/分的针式打印机相关要求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jc w:val="center"/>
        </w:trPr>
        <w:tc>
          <w:tcPr>
            <w:tcW w:w="564" w:type="dxa"/>
            <w:gridSpan w:val="2"/>
            <w:vAlign w:val="center"/>
          </w:tcPr>
          <w:p>
            <w:pPr>
              <w:autoSpaceDE w:val="0"/>
              <w:autoSpaceDN w:val="0"/>
              <w:jc w:val="center"/>
              <w:rPr>
                <w:rFonts w:ascii="宋体" w:hAnsi="宋体" w:cs="宋体"/>
                <w:color w:val="000000"/>
              </w:rPr>
            </w:pPr>
            <w:r>
              <w:rPr>
                <w:rFonts w:hint="eastAsia" w:ascii="宋体" w:hAnsi="宋体" w:cs="宋体"/>
                <w:color w:val="000000"/>
              </w:rPr>
              <w:t>3</w:t>
            </w:r>
          </w:p>
        </w:tc>
        <w:tc>
          <w:tcPr>
            <w:tcW w:w="1614" w:type="dxa"/>
            <w:vAlign w:val="center"/>
          </w:tcPr>
          <w:p>
            <w:pPr>
              <w:autoSpaceDE w:val="0"/>
              <w:autoSpaceDN w:val="0"/>
              <w:jc w:val="center"/>
              <w:rPr>
                <w:rFonts w:ascii="宋体" w:hAnsi="宋体" w:cs="宋体"/>
                <w:color w:val="000000"/>
              </w:rPr>
            </w:pPr>
            <w:r>
              <w:rPr>
                <w:rFonts w:hint="eastAsia" w:ascii="宋体" w:hAnsi="宋体" w:cs="宋体"/>
                <w:color w:val="000000"/>
              </w:rPr>
              <w:t>A020202</w:t>
            </w:r>
            <w:r>
              <w:rPr>
                <w:rFonts w:hint="eastAsia" w:ascii="宋体" w:hAnsi="宋体" w:cs="宋体"/>
                <w:color w:val="000000"/>
                <w:spacing w:val="-20"/>
              </w:rPr>
              <w:t xml:space="preserve"> 投影</w:t>
            </w:r>
            <w:r>
              <w:rPr>
                <w:rFonts w:hint="eastAsia" w:ascii="宋体" w:hAnsi="宋体" w:cs="宋体"/>
                <w:color w:val="000000"/>
              </w:rPr>
              <w:t>仪</w:t>
            </w:r>
          </w:p>
        </w:tc>
        <w:tc>
          <w:tcPr>
            <w:tcW w:w="1350" w:type="dxa"/>
            <w:vAlign w:val="center"/>
          </w:tcPr>
          <w:p>
            <w:pPr>
              <w:autoSpaceDE w:val="0"/>
              <w:autoSpaceDN w:val="0"/>
              <w:jc w:val="center"/>
              <w:rPr>
                <w:rFonts w:ascii="宋体" w:hAnsi="宋体" w:cs="宋体"/>
                <w:color w:val="000000"/>
              </w:rPr>
            </w:pPr>
          </w:p>
        </w:tc>
        <w:tc>
          <w:tcPr>
            <w:tcW w:w="1868" w:type="dxa"/>
            <w:vAlign w:val="center"/>
          </w:tcPr>
          <w:p>
            <w:pPr>
              <w:autoSpaceDE w:val="0"/>
              <w:autoSpaceDN w:val="0"/>
              <w:jc w:val="center"/>
              <w:rPr>
                <w:rFonts w:ascii="宋体" w:hAnsi="宋体" w:cs="宋体"/>
                <w:color w:val="000000"/>
              </w:rPr>
            </w:pPr>
          </w:p>
        </w:tc>
        <w:tc>
          <w:tcPr>
            <w:tcW w:w="3087" w:type="dxa"/>
            <w:vAlign w:val="center"/>
          </w:tcPr>
          <w:p>
            <w:pPr>
              <w:autoSpaceDE w:val="0"/>
              <w:autoSpaceDN w:val="0"/>
              <w:jc w:val="center"/>
              <w:rPr>
                <w:rFonts w:ascii="宋体" w:hAnsi="宋体" w:cs="宋体"/>
                <w:color w:val="000000"/>
              </w:rPr>
            </w:pPr>
            <w:r>
              <w:rPr>
                <w:rFonts w:hint="eastAsia" w:ascii="宋体" w:hAnsi="宋体" w:cs="宋体"/>
                <w:color w:val="000000"/>
              </w:rPr>
              <w:t>《投影机能效限定值及能效等级》（GB32028）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jc w:val="center"/>
        </w:trPr>
        <w:tc>
          <w:tcPr>
            <w:tcW w:w="564" w:type="dxa"/>
            <w:gridSpan w:val="2"/>
            <w:vAlign w:val="center"/>
          </w:tcPr>
          <w:p>
            <w:pPr>
              <w:autoSpaceDE w:val="0"/>
              <w:autoSpaceDN w:val="0"/>
              <w:jc w:val="center"/>
              <w:rPr>
                <w:rFonts w:ascii="宋体" w:hAnsi="宋体" w:cs="宋体"/>
                <w:color w:val="000000"/>
              </w:rPr>
            </w:pPr>
            <w:r>
              <w:rPr>
                <w:rFonts w:hint="eastAsia" w:ascii="宋体" w:hAnsi="宋体" w:cs="宋体"/>
                <w:color w:val="000000"/>
              </w:rPr>
              <w:t>4</w:t>
            </w:r>
          </w:p>
        </w:tc>
        <w:tc>
          <w:tcPr>
            <w:tcW w:w="1614" w:type="dxa"/>
            <w:vAlign w:val="center"/>
          </w:tcPr>
          <w:p>
            <w:pPr>
              <w:autoSpaceDE w:val="0"/>
              <w:autoSpaceDN w:val="0"/>
              <w:jc w:val="center"/>
              <w:rPr>
                <w:rFonts w:ascii="宋体" w:hAnsi="宋体" w:cs="宋体"/>
                <w:color w:val="000000"/>
              </w:rPr>
            </w:pPr>
            <w:r>
              <w:rPr>
                <w:rFonts w:hint="eastAsia" w:ascii="宋体" w:hAnsi="宋体" w:cs="宋体"/>
                <w:color w:val="000000"/>
              </w:rPr>
              <w:t>A020204</w:t>
            </w:r>
            <w:r>
              <w:rPr>
                <w:rFonts w:hint="eastAsia" w:ascii="宋体" w:hAnsi="宋体" w:cs="宋体"/>
                <w:color w:val="000000"/>
                <w:spacing w:val="-20"/>
              </w:rPr>
              <w:t xml:space="preserve"> 多功</w:t>
            </w:r>
            <w:r>
              <w:rPr>
                <w:rFonts w:hint="eastAsia" w:ascii="宋体" w:hAnsi="宋体" w:cs="宋体"/>
                <w:color w:val="000000"/>
              </w:rPr>
              <w:t>能一体机</w:t>
            </w:r>
          </w:p>
        </w:tc>
        <w:tc>
          <w:tcPr>
            <w:tcW w:w="1350" w:type="dxa"/>
            <w:vAlign w:val="center"/>
          </w:tcPr>
          <w:p>
            <w:pPr>
              <w:autoSpaceDE w:val="0"/>
              <w:autoSpaceDN w:val="0"/>
              <w:jc w:val="center"/>
              <w:rPr>
                <w:rFonts w:ascii="宋体" w:hAnsi="宋体" w:cs="宋体"/>
                <w:color w:val="000000"/>
              </w:rPr>
            </w:pPr>
          </w:p>
        </w:tc>
        <w:tc>
          <w:tcPr>
            <w:tcW w:w="1868" w:type="dxa"/>
            <w:vAlign w:val="center"/>
          </w:tcPr>
          <w:p>
            <w:pPr>
              <w:autoSpaceDE w:val="0"/>
              <w:autoSpaceDN w:val="0"/>
              <w:jc w:val="center"/>
              <w:rPr>
                <w:rFonts w:ascii="宋体" w:hAnsi="宋体" w:cs="宋体"/>
                <w:color w:val="000000"/>
              </w:rPr>
            </w:pPr>
          </w:p>
        </w:tc>
        <w:tc>
          <w:tcPr>
            <w:tcW w:w="3087" w:type="dxa"/>
            <w:vAlign w:val="center"/>
          </w:tcPr>
          <w:p>
            <w:pPr>
              <w:autoSpaceDE w:val="0"/>
              <w:autoSpaceDN w:val="0"/>
              <w:jc w:val="center"/>
              <w:rPr>
                <w:rFonts w:ascii="宋体" w:hAnsi="宋体" w:cs="宋体"/>
                <w:color w:val="000000"/>
              </w:rPr>
            </w:pPr>
            <w:r>
              <w:rPr>
                <w:rFonts w:hint="eastAsia" w:ascii="宋体" w:hAnsi="宋体" w:cs="宋体"/>
                <w:color w:val="000000"/>
                <w:spacing w:val="-8"/>
              </w:rPr>
              <w:t>《复印机、打印机和传真机能效限</w:t>
            </w:r>
            <w:r>
              <w:rPr>
                <w:rFonts w:hint="eastAsia" w:ascii="宋体" w:hAnsi="宋体" w:cs="宋体"/>
                <w:color w:val="000000"/>
              </w:rPr>
              <w:t>定值及能效等级》（GB 21521）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564" w:type="dxa"/>
            <w:gridSpan w:val="2"/>
            <w:vAlign w:val="center"/>
          </w:tcPr>
          <w:p>
            <w:pPr>
              <w:autoSpaceDE w:val="0"/>
              <w:autoSpaceDN w:val="0"/>
              <w:jc w:val="center"/>
              <w:rPr>
                <w:rFonts w:ascii="宋体" w:hAnsi="宋体" w:cs="宋体"/>
                <w:color w:val="000000"/>
              </w:rPr>
            </w:pPr>
            <w:r>
              <w:rPr>
                <w:rFonts w:hint="eastAsia" w:ascii="宋体" w:hAnsi="宋体" w:cs="宋体"/>
                <w:color w:val="000000"/>
              </w:rPr>
              <w:t>5</w:t>
            </w:r>
          </w:p>
        </w:tc>
        <w:tc>
          <w:tcPr>
            <w:tcW w:w="1614" w:type="dxa"/>
            <w:vAlign w:val="center"/>
          </w:tcPr>
          <w:p>
            <w:pPr>
              <w:autoSpaceDE w:val="0"/>
              <w:autoSpaceDN w:val="0"/>
              <w:jc w:val="center"/>
              <w:rPr>
                <w:rFonts w:ascii="宋体" w:hAnsi="宋体" w:cs="宋体"/>
                <w:color w:val="000000"/>
              </w:rPr>
            </w:pPr>
            <w:r>
              <w:rPr>
                <w:rFonts w:hint="eastAsia" w:ascii="宋体" w:hAnsi="宋体" w:cs="宋体"/>
                <w:color w:val="000000"/>
              </w:rPr>
              <w:t>A020519</w:t>
            </w:r>
            <w:r>
              <w:rPr>
                <w:rFonts w:hint="eastAsia" w:ascii="宋体" w:hAnsi="宋体" w:cs="宋体"/>
                <w:color w:val="000000"/>
                <w:spacing w:val="-25"/>
              </w:rPr>
              <w:t xml:space="preserve"> 泵</w:t>
            </w:r>
          </w:p>
        </w:tc>
        <w:tc>
          <w:tcPr>
            <w:tcW w:w="1350" w:type="dxa"/>
            <w:vAlign w:val="center"/>
          </w:tcPr>
          <w:p>
            <w:pPr>
              <w:autoSpaceDE w:val="0"/>
              <w:autoSpaceDN w:val="0"/>
              <w:jc w:val="center"/>
              <w:rPr>
                <w:rFonts w:ascii="宋体" w:hAnsi="宋体" w:cs="宋体"/>
                <w:color w:val="000000"/>
              </w:rPr>
            </w:pPr>
            <w:r>
              <w:rPr>
                <w:rFonts w:hint="eastAsia" w:ascii="宋体" w:hAnsi="宋体" w:cs="宋体"/>
                <w:color w:val="000000"/>
              </w:rPr>
              <w:t>A02051901</w:t>
            </w:r>
            <w:r>
              <w:rPr>
                <w:rFonts w:hint="eastAsia" w:ascii="宋体" w:hAnsi="宋体" w:cs="宋体"/>
                <w:color w:val="000000"/>
                <w:spacing w:val="-8"/>
              </w:rPr>
              <w:t xml:space="preserve"> 离心泵</w:t>
            </w:r>
          </w:p>
        </w:tc>
        <w:tc>
          <w:tcPr>
            <w:tcW w:w="1868" w:type="dxa"/>
            <w:vAlign w:val="center"/>
          </w:tcPr>
          <w:p>
            <w:pPr>
              <w:autoSpaceDE w:val="0"/>
              <w:autoSpaceDN w:val="0"/>
              <w:jc w:val="center"/>
              <w:rPr>
                <w:rFonts w:ascii="宋体" w:hAnsi="宋体" w:cs="宋体"/>
                <w:color w:val="000000"/>
              </w:rPr>
            </w:pPr>
          </w:p>
        </w:tc>
        <w:tc>
          <w:tcPr>
            <w:tcW w:w="3087" w:type="dxa"/>
            <w:vAlign w:val="center"/>
          </w:tcPr>
          <w:p>
            <w:pPr>
              <w:autoSpaceDE w:val="0"/>
              <w:autoSpaceDN w:val="0"/>
              <w:jc w:val="center"/>
              <w:rPr>
                <w:rFonts w:ascii="宋体" w:hAnsi="宋体" w:cs="宋体"/>
                <w:color w:val="000000"/>
              </w:rPr>
            </w:pPr>
            <w:r>
              <w:rPr>
                <w:rFonts w:hint="eastAsia" w:ascii="宋体" w:hAnsi="宋体" w:cs="宋体"/>
                <w:color w:val="000000"/>
                <w:spacing w:val="9"/>
              </w:rPr>
              <w:t>《清水离心泵能效限定值及节能</w:t>
            </w:r>
            <w:r>
              <w:rPr>
                <w:rFonts w:hint="eastAsia" w:ascii="宋体" w:hAnsi="宋体" w:cs="宋体"/>
                <w:color w:val="000000"/>
              </w:rPr>
              <w:t>评价值》（GB 19762）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564" w:type="dxa"/>
            <w:gridSpan w:val="2"/>
            <w:vMerge w:val="restart"/>
            <w:vAlign w:val="center"/>
          </w:tcPr>
          <w:p>
            <w:pPr>
              <w:autoSpaceDE w:val="0"/>
              <w:autoSpaceDN w:val="0"/>
              <w:jc w:val="center"/>
              <w:rPr>
                <w:rFonts w:ascii="宋体" w:hAnsi="宋体" w:cs="宋体"/>
                <w:color w:val="000000"/>
              </w:rPr>
            </w:pPr>
            <w:r>
              <w:rPr>
                <w:rFonts w:hint="eastAsia" w:ascii="宋体" w:hAnsi="宋体" w:cs="宋体"/>
                <w:color w:val="000000"/>
              </w:rPr>
              <w:t>6</w:t>
            </w:r>
          </w:p>
        </w:tc>
        <w:tc>
          <w:tcPr>
            <w:tcW w:w="1614" w:type="dxa"/>
            <w:vMerge w:val="restart"/>
            <w:vAlign w:val="center"/>
          </w:tcPr>
          <w:p>
            <w:pPr>
              <w:autoSpaceDE w:val="0"/>
              <w:autoSpaceDN w:val="0"/>
              <w:jc w:val="center"/>
              <w:rPr>
                <w:rFonts w:ascii="宋体" w:hAnsi="宋体" w:cs="宋体"/>
                <w:color w:val="000000"/>
              </w:rPr>
            </w:pPr>
            <w:r>
              <w:rPr>
                <w:rFonts w:hint="eastAsia" w:ascii="宋体" w:hAnsi="宋体" w:cs="宋体"/>
                <w:color w:val="000000"/>
              </w:rPr>
              <w:t>A020523</w:t>
            </w:r>
            <w:r>
              <w:rPr>
                <w:rFonts w:hint="eastAsia" w:ascii="宋体" w:hAnsi="宋体" w:cs="宋体"/>
                <w:color w:val="000000"/>
                <w:spacing w:val="-20"/>
              </w:rPr>
              <w:t xml:space="preserve"> 制冷</w:t>
            </w:r>
            <w:r>
              <w:rPr>
                <w:rFonts w:hint="eastAsia" w:ascii="宋体" w:hAnsi="宋体" w:cs="宋体"/>
                <w:color w:val="000000"/>
              </w:rPr>
              <w:t>空调设备</w:t>
            </w:r>
          </w:p>
        </w:tc>
        <w:tc>
          <w:tcPr>
            <w:tcW w:w="1350" w:type="dxa"/>
            <w:vMerge w:val="restart"/>
            <w:vAlign w:val="center"/>
          </w:tcPr>
          <w:p>
            <w:pPr>
              <w:autoSpaceDE w:val="0"/>
              <w:autoSpaceDN w:val="0"/>
              <w:jc w:val="center"/>
              <w:rPr>
                <w:rFonts w:ascii="宋体" w:hAnsi="宋体" w:cs="宋体"/>
                <w:color w:val="000000"/>
              </w:rPr>
            </w:pPr>
            <w:r>
              <w:rPr>
                <w:rFonts w:hint="eastAsia" w:ascii="宋体" w:hAnsi="宋体" w:cs="宋体"/>
                <w:color w:val="000000"/>
              </w:rPr>
              <w:t>★A02052301</w:t>
            </w:r>
            <w:r>
              <w:rPr>
                <w:rFonts w:hint="eastAsia" w:ascii="宋体" w:hAnsi="宋体" w:cs="宋体"/>
                <w:color w:val="000000"/>
                <w:spacing w:val="-7"/>
              </w:rPr>
              <w:t xml:space="preserve"> 制冷压</w:t>
            </w:r>
            <w:r>
              <w:rPr>
                <w:rFonts w:hint="eastAsia" w:ascii="宋体" w:hAnsi="宋体" w:cs="宋体"/>
                <w:color w:val="000000"/>
              </w:rPr>
              <w:t>缩机</w:t>
            </w:r>
          </w:p>
        </w:tc>
        <w:tc>
          <w:tcPr>
            <w:tcW w:w="1868" w:type="dxa"/>
            <w:vAlign w:val="center"/>
          </w:tcPr>
          <w:p>
            <w:pPr>
              <w:autoSpaceDE w:val="0"/>
              <w:autoSpaceDN w:val="0"/>
              <w:jc w:val="center"/>
              <w:rPr>
                <w:rFonts w:ascii="宋体" w:hAnsi="宋体" w:cs="宋体"/>
                <w:color w:val="000000"/>
              </w:rPr>
            </w:pPr>
            <w:r>
              <w:rPr>
                <w:rFonts w:hint="eastAsia" w:ascii="宋体" w:hAnsi="宋体" w:cs="宋体"/>
                <w:color w:val="000000"/>
              </w:rPr>
              <w:t>冷水机组</w:t>
            </w:r>
          </w:p>
        </w:tc>
        <w:tc>
          <w:tcPr>
            <w:tcW w:w="3087" w:type="dxa"/>
            <w:vAlign w:val="center"/>
          </w:tcPr>
          <w:p>
            <w:pPr>
              <w:autoSpaceDE w:val="0"/>
              <w:autoSpaceDN w:val="0"/>
              <w:jc w:val="center"/>
              <w:rPr>
                <w:rFonts w:ascii="宋体" w:hAnsi="宋体" w:cs="宋体"/>
                <w:color w:val="000000"/>
                <w:spacing w:val="9"/>
              </w:rPr>
            </w:pPr>
            <w:r>
              <w:rPr>
                <w:rFonts w:hint="eastAsia" w:ascii="宋体" w:hAnsi="宋体" w:cs="宋体"/>
                <w:color w:val="000000"/>
                <w:spacing w:val="9"/>
              </w:rPr>
              <w:t>《冷水机组能效限定值及能效等</w:t>
            </w:r>
            <w:r>
              <w:rPr>
                <w:rFonts w:hint="eastAsia" w:ascii="宋体" w:hAnsi="宋体" w:cs="宋体"/>
                <w:color w:val="000000"/>
              </w:rPr>
              <w:t>级》（GB19577），《低环境温度</w:t>
            </w:r>
            <w:r>
              <w:rPr>
                <w:rFonts w:hint="eastAsia" w:ascii="宋体" w:hAnsi="宋体" w:cs="宋体"/>
                <w:color w:val="000000"/>
                <w:spacing w:val="-5"/>
              </w:rPr>
              <w:t>空气源热泵</w:t>
            </w:r>
            <w:r>
              <w:rPr>
                <w:rFonts w:hint="eastAsia" w:ascii="宋体" w:hAnsi="宋体" w:cs="宋体"/>
                <w:color w:val="000000"/>
                <w:spacing w:val="-4"/>
              </w:rPr>
              <w:t>（冷水）机组能效限定</w:t>
            </w:r>
            <w:r>
              <w:rPr>
                <w:rFonts w:hint="eastAsia" w:ascii="宋体" w:hAnsi="宋体" w:cs="宋体"/>
                <w:color w:val="000000"/>
              </w:rPr>
              <w:t>值及能效等级》（GB 37480）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564" w:type="dxa"/>
            <w:gridSpan w:val="2"/>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Merge w:val="continue"/>
            <w:vAlign w:val="center"/>
          </w:tcPr>
          <w:p>
            <w:pPr>
              <w:autoSpaceDE w:val="0"/>
              <w:autoSpaceDN w:val="0"/>
              <w:jc w:val="center"/>
              <w:rPr>
                <w:rFonts w:ascii="宋体" w:hAnsi="宋体" w:cs="宋体"/>
                <w:color w:val="000000"/>
              </w:rPr>
            </w:pPr>
          </w:p>
        </w:tc>
        <w:tc>
          <w:tcPr>
            <w:tcW w:w="1868" w:type="dxa"/>
            <w:vAlign w:val="center"/>
          </w:tcPr>
          <w:p>
            <w:pPr>
              <w:autoSpaceDE w:val="0"/>
              <w:autoSpaceDN w:val="0"/>
              <w:jc w:val="center"/>
              <w:rPr>
                <w:rFonts w:ascii="宋体" w:hAnsi="宋体" w:cs="宋体"/>
                <w:color w:val="000000"/>
              </w:rPr>
            </w:pPr>
            <w:r>
              <w:rPr>
                <w:rFonts w:hint="eastAsia" w:ascii="宋体" w:hAnsi="宋体" w:cs="宋体"/>
                <w:color w:val="000000"/>
              </w:rPr>
              <w:t>水源热泵机组</w:t>
            </w:r>
          </w:p>
        </w:tc>
        <w:tc>
          <w:tcPr>
            <w:tcW w:w="3087" w:type="dxa"/>
            <w:vAlign w:val="center"/>
          </w:tcPr>
          <w:p>
            <w:pPr>
              <w:autoSpaceDE w:val="0"/>
              <w:autoSpaceDN w:val="0"/>
              <w:jc w:val="center"/>
              <w:rPr>
                <w:rFonts w:ascii="宋体" w:hAnsi="宋体" w:cs="宋体"/>
                <w:color w:val="000000"/>
                <w:spacing w:val="9"/>
              </w:rPr>
            </w:pPr>
            <w:r>
              <w:rPr>
                <w:rFonts w:hint="eastAsia" w:ascii="宋体" w:hAnsi="宋体" w:cs="宋体"/>
                <w:color w:val="000000"/>
                <w:spacing w:val="-5"/>
              </w:rPr>
              <w:t>《水（地</w:t>
            </w:r>
            <w:r>
              <w:rPr>
                <w:rFonts w:hint="eastAsia" w:ascii="宋体" w:hAnsi="宋体" w:cs="宋体"/>
                <w:color w:val="000000"/>
                <w:spacing w:val="-4"/>
              </w:rPr>
              <w:t>）源热泵机组能效限定值</w:t>
            </w:r>
            <w:r>
              <w:rPr>
                <w:rFonts w:hint="eastAsia" w:ascii="宋体" w:hAnsi="宋体" w:cs="宋体"/>
                <w:color w:val="000000"/>
              </w:rPr>
              <w:t>及能效等级》（GB30721）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564" w:type="dxa"/>
            <w:gridSpan w:val="2"/>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Merge w:val="continue"/>
            <w:vAlign w:val="center"/>
          </w:tcPr>
          <w:p>
            <w:pPr>
              <w:autoSpaceDE w:val="0"/>
              <w:autoSpaceDN w:val="0"/>
              <w:jc w:val="center"/>
              <w:rPr>
                <w:rFonts w:ascii="宋体" w:hAnsi="宋体" w:cs="宋体"/>
                <w:color w:val="000000"/>
              </w:rPr>
            </w:pPr>
          </w:p>
        </w:tc>
        <w:tc>
          <w:tcPr>
            <w:tcW w:w="1868" w:type="dxa"/>
            <w:vAlign w:val="center"/>
          </w:tcPr>
          <w:p>
            <w:pPr>
              <w:autoSpaceDE w:val="0"/>
              <w:autoSpaceDN w:val="0"/>
              <w:jc w:val="center"/>
              <w:rPr>
                <w:rFonts w:ascii="宋体" w:hAnsi="宋体" w:cs="宋体"/>
                <w:color w:val="000000"/>
              </w:rPr>
            </w:pPr>
            <w:r>
              <w:rPr>
                <w:rFonts w:hint="eastAsia" w:ascii="宋体" w:hAnsi="宋体" w:cs="宋体"/>
                <w:color w:val="000000"/>
                <w:spacing w:val="8"/>
              </w:rPr>
              <w:t>溴化锂吸收式冷水机</w:t>
            </w:r>
            <w:r>
              <w:rPr>
                <w:rFonts w:hint="eastAsia" w:ascii="宋体" w:hAnsi="宋体" w:cs="宋体"/>
                <w:color w:val="000000"/>
              </w:rPr>
              <w:t>组</w:t>
            </w:r>
          </w:p>
        </w:tc>
        <w:tc>
          <w:tcPr>
            <w:tcW w:w="3087" w:type="dxa"/>
            <w:vAlign w:val="center"/>
          </w:tcPr>
          <w:p>
            <w:pPr>
              <w:autoSpaceDE w:val="0"/>
              <w:autoSpaceDN w:val="0"/>
              <w:jc w:val="center"/>
              <w:rPr>
                <w:rFonts w:ascii="宋体" w:hAnsi="宋体" w:cs="宋体"/>
                <w:color w:val="000000"/>
                <w:spacing w:val="9"/>
              </w:rPr>
            </w:pPr>
            <w:r>
              <w:rPr>
                <w:rFonts w:hint="eastAsia" w:ascii="宋体" w:hAnsi="宋体" w:cs="宋体"/>
                <w:color w:val="000000"/>
                <w:spacing w:val="9"/>
              </w:rPr>
              <w:t>《溴化锂吸收式冷水机组能效限</w:t>
            </w:r>
            <w:r>
              <w:rPr>
                <w:rFonts w:hint="eastAsia" w:ascii="宋体" w:hAnsi="宋体" w:cs="宋体"/>
                <w:color w:val="000000"/>
              </w:rPr>
              <w:t>定值及能效等级》（GB 29540）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564" w:type="dxa"/>
            <w:gridSpan w:val="2"/>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Merge w:val="restart"/>
            <w:vAlign w:val="center"/>
          </w:tcPr>
          <w:p>
            <w:pPr>
              <w:autoSpaceDE w:val="0"/>
              <w:autoSpaceDN w:val="0"/>
              <w:jc w:val="center"/>
              <w:rPr>
                <w:rFonts w:ascii="宋体" w:hAnsi="宋体" w:cs="宋体"/>
                <w:color w:val="000000"/>
              </w:rPr>
            </w:pPr>
            <w:r>
              <w:rPr>
                <w:rFonts w:hint="eastAsia" w:ascii="宋体" w:hAnsi="宋体" w:cs="宋体"/>
                <w:color w:val="000000"/>
                <w:spacing w:val="-2"/>
              </w:rPr>
              <w:t>★A02052305</w:t>
            </w:r>
            <w:r>
              <w:rPr>
                <w:rFonts w:hint="eastAsia" w:ascii="宋体" w:hAnsi="宋体" w:cs="宋体"/>
                <w:color w:val="000000"/>
                <w:spacing w:val="-7"/>
              </w:rPr>
              <w:t xml:space="preserve"> 空调机</w:t>
            </w:r>
            <w:r>
              <w:rPr>
                <w:rFonts w:hint="eastAsia" w:ascii="宋体" w:hAnsi="宋体" w:cs="宋体"/>
                <w:color w:val="000000"/>
              </w:rPr>
              <w:t>组</w:t>
            </w:r>
          </w:p>
        </w:tc>
        <w:tc>
          <w:tcPr>
            <w:tcW w:w="1868" w:type="dxa"/>
            <w:vAlign w:val="center"/>
          </w:tcPr>
          <w:p>
            <w:pPr>
              <w:autoSpaceDE w:val="0"/>
              <w:autoSpaceDN w:val="0"/>
              <w:jc w:val="center"/>
              <w:rPr>
                <w:rFonts w:ascii="宋体" w:hAnsi="宋体" w:cs="宋体"/>
                <w:color w:val="000000"/>
              </w:rPr>
            </w:pPr>
            <w:r>
              <w:rPr>
                <w:rFonts w:hint="eastAsia" w:ascii="宋体" w:hAnsi="宋体" w:cs="宋体"/>
                <w:color w:val="000000"/>
              </w:rPr>
              <w:t>多联式空调（热泵）机 组 ( 制 冷量&gt;14000W)</w:t>
            </w:r>
          </w:p>
        </w:tc>
        <w:tc>
          <w:tcPr>
            <w:tcW w:w="3087" w:type="dxa"/>
            <w:vAlign w:val="center"/>
          </w:tcPr>
          <w:p>
            <w:pPr>
              <w:autoSpaceDE w:val="0"/>
              <w:autoSpaceDN w:val="0"/>
              <w:jc w:val="center"/>
              <w:rPr>
                <w:rFonts w:ascii="宋体" w:hAnsi="宋体" w:cs="宋体"/>
                <w:color w:val="000000"/>
                <w:spacing w:val="9"/>
              </w:rPr>
            </w:pPr>
            <w:r>
              <w:rPr>
                <w:rFonts w:hint="eastAsia" w:ascii="宋体" w:hAnsi="宋体" w:cs="宋体"/>
                <w:color w:val="000000"/>
              </w:rPr>
              <w:t>《多联式空调（热泵）机组能效限</w:t>
            </w:r>
            <w:r>
              <w:rPr>
                <w:rFonts w:hint="eastAsia" w:ascii="宋体" w:hAnsi="宋体" w:cs="宋体"/>
                <w:color w:val="000000"/>
                <w:spacing w:val="-11"/>
              </w:rPr>
              <w:t>定值及能源效率等级》</w:t>
            </w:r>
            <w:r>
              <w:rPr>
                <w:rFonts w:hint="eastAsia" w:ascii="宋体" w:hAnsi="宋体" w:cs="宋体"/>
                <w:color w:val="000000"/>
              </w:rPr>
              <w:t>（GB21454）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564" w:type="dxa"/>
            <w:gridSpan w:val="2"/>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Merge w:val="continue"/>
            <w:vAlign w:val="center"/>
          </w:tcPr>
          <w:p>
            <w:pPr>
              <w:autoSpaceDE w:val="0"/>
              <w:autoSpaceDN w:val="0"/>
              <w:jc w:val="center"/>
              <w:rPr>
                <w:rFonts w:ascii="宋体" w:hAnsi="宋体" w:cs="宋体"/>
                <w:color w:val="000000"/>
              </w:rPr>
            </w:pPr>
          </w:p>
        </w:tc>
        <w:tc>
          <w:tcPr>
            <w:tcW w:w="1868" w:type="dxa"/>
            <w:vAlign w:val="center"/>
          </w:tcPr>
          <w:p>
            <w:pPr>
              <w:autoSpaceDE w:val="0"/>
              <w:autoSpaceDN w:val="0"/>
              <w:jc w:val="center"/>
              <w:rPr>
                <w:rFonts w:ascii="宋体" w:hAnsi="宋体" w:cs="宋体"/>
                <w:color w:val="000000"/>
                <w:spacing w:val="8"/>
              </w:rPr>
            </w:pPr>
            <w:r>
              <w:rPr>
                <w:rFonts w:hint="eastAsia" w:ascii="宋体" w:hAnsi="宋体" w:cs="宋体"/>
                <w:color w:val="000000"/>
                <w:spacing w:val="35"/>
              </w:rPr>
              <w:t>单元式空气调节机</w:t>
            </w:r>
            <w:r>
              <w:rPr>
                <w:rFonts w:hint="eastAsia" w:ascii="宋体" w:hAnsi="宋体" w:cs="宋体"/>
                <w:color w:val="000000"/>
              </w:rPr>
              <w:t>(制冷量&gt;14000W)</w:t>
            </w:r>
          </w:p>
        </w:tc>
        <w:tc>
          <w:tcPr>
            <w:tcW w:w="3087" w:type="dxa"/>
            <w:vAlign w:val="center"/>
          </w:tcPr>
          <w:p>
            <w:pPr>
              <w:autoSpaceDE w:val="0"/>
              <w:autoSpaceDN w:val="0"/>
              <w:jc w:val="center"/>
              <w:rPr>
                <w:rFonts w:ascii="宋体" w:hAnsi="宋体" w:cs="宋体"/>
                <w:color w:val="000000"/>
                <w:spacing w:val="9"/>
              </w:rPr>
            </w:pPr>
            <w:r>
              <w:rPr>
                <w:rFonts w:hint="eastAsia" w:ascii="宋体" w:hAnsi="宋体" w:cs="宋体"/>
                <w:color w:val="000000"/>
                <w:spacing w:val="9"/>
              </w:rPr>
              <w:t>《单元式空气调节机能效限定值</w:t>
            </w:r>
            <w:r>
              <w:rPr>
                <w:rFonts w:hint="eastAsia" w:ascii="宋体" w:hAnsi="宋体" w:cs="宋体"/>
                <w:color w:val="000000"/>
              </w:rPr>
              <w:t>及能效等级》（GB19576）《风管</w:t>
            </w:r>
            <w:r>
              <w:rPr>
                <w:rFonts w:hint="eastAsia" w:ascii="宋体" w:hAnsi="宋体" w:cs="宋体"/>
                <w:color w:val="000000"/>
                <w:spacing w:val="9"/>
              </w:rPr>
              <w:t>送风式空调机组能效限定值及能</w:t>
            </w:r>
            <w:r>
              <w:rPr>
                <w:rFonts w:hint="eastAsia" w:ascii="宋体" w:hAnsi="宋体" w:cs="宋体"/>
                <w:color w:val="000000"/>
              </w:rPr>
              <w:t>效等级》（GB 37479）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564" w:type="dxa"/>
            <w:gridSpan w:val="2"/>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Align w:val="center"/>
          </w:tcPr>
          <w:p>
            <w:pPr>
              <w:autoSpaceDE w:val="0"/>
              <w:autoSpaceDN w:val="0"/>
              <w:jc w:val="center"/>
              <w:rPr>
                <w:rFonts w:ascii="宋体" w:hAnsi="宋体" w:cs="宋体"/>
                <w:color w:val="000000"/>
              </w:rPr>
            </w:pPr>
            <w:r>
              <w:rPr>
                <w:rFonts w:hint="eastAsia" w:ascii="宋体" w:hAnsi="宋体" w:cs="宋体"/>
                <w:color w:val="000000"/>
                <w:spacing w:val="-2"/>
              </w:rPr>
              <w:t>★A02052309</w:t>
            </w:r>
            <w:r>
              <w:rPr>
                <w:rFonts w:hint="eastAsia" w:ascii="宋体" w:hAnsi="宋体" w:cs="宋体"/>
                <w:color w:val="000000"/>
                <w:spacing w:val="-7"/>
              </w:rPr>
              <w:t xml:space="preserve"> 专用制</w:t>
            </w:r>
            <w:r>
              <w:rPr>
                <w:rFonts w:hint="eastAsia" w:ascii="宋体" w:hAnsi="宋体" w:cs="宋体"/>
                <w:color w:val="000000"/>
              </w:rPr>
              <w:t>冷、空调设备</w:t>
            </w:r>
          </w:p>
        </w:tc>
        <w:tc>
          <w:tcPr>
            <w:tcW w:w="1868" w:type="dxa"/>
            <w:vAlign w:val="center"/>
          </w:tcPr>
          <w:p>
            <w:pPr>
              <w:autoSpaceDE w:val="0"/>
              <w:autoSpaceDN w:val="0"/>
              <w:jc w:val="center"/>
              <w:rPr>
                <w:rFonts w:ascii="宋体" w:hAnsi="宋体" w:cs="宋体"/>
                <w:color w:val="000000"/>
                <w:spacing w:val="8"/>
              </w:rPr>
            </w:pPr>
            <w:r>
              <w:rPr>
                <w:rFonts w:hint="eastAsia" w:ascii="宋体" w:hAnsi="宋体" w:cs="宋体"/>
                <w:color w:val="000000"/>
              </w:rPr>
              <w:t>机房空调</w:t>
            </w:r>
          </w:p>
        </w:tc>
        <w:tc>
          <w:tcPr>
            <w:tcW w:w="3087" w:type="dxa"/>
            <w:vAlign w:val="center"/>
          </w:tcPr>
          <w:p>
            <w:pPr>
              <w:autoSpaceDE w:val="0"/>
              <w:autoSpaceDN w:val="0"/>
              <w:jc w:val="center"/>
              <w:rPr>
                <w:rFonts w:ascii="宋体" w:hAnsi="宋体" w:cs="宋体"/>
                <w:color w:val="000000"/>
                <w:spacing w:val="9"/>
              </w:rPr>
            </w:pPr>
            <w:r>
              <w:rPr>
                <w:rFonts w:hint="eastAsia" w:ascii="宋体" w:hAnsi="宋体" w:cs="宋体"/>
                <w:color w:val="000000"/>
                <w:spacing w:val="9"/>
              </w:rPr>
              <w:t>《单元式空气调节机能效限定值</w:t>
            </w:r>
            <w:r>
              <w:rPr>
                <w:rFonts w:hint="eastAsia" w:ascii="宋体" w:hAnsi="宋体" w:cs="宋体"/>
                <w:color w:val="000000"/>
              </w:rPr>
              <w:t>及能效等级》（GB19576）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564" w:type="dxa"/>
            <w:gridSpan w:val="2"/>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Align w:val="center"/>
          </w:tcPr>
          <w:p>
            <w:pPr>
              <w:autoSpaceDE w:val="0"/>
              <w:autoSpaceDN w:val="0"/>
              <w:jc w:val="center"/>
              <w:rPr>
                <w:rFonts w:ascii="宋体" w:hAnsi="宋体" w:cs="宋体"/>
                <w:color w:val="000000"/>
              </w:rPr>
            </w:pPr>
            <w:r>
              <w:rPr>
                <w:rFonts w:hint="eastAsia" w:ascii="宋体" w:hAnsi="宋体" w:cs="宋体"/>
                <w:color w:val="000000"/>
                <w:spacing w:val="-2"/>
              </w:rPr>
              <w:t>A02052399</w:t>
            </w:r>
            <w:r>
              <w:rPr>
                <w:rFonts w:hint="eastAsia" w:ascii="宋体" w:hAnsi="宋体" w:cs="宋体"/>
                <w:color w:val="000000"/>
                <w:spacing w:val="-6"/>
              </w:rPr>
              <w:t xml:space="preserve"> 其他制冷</w:t>
            </w:r>
            <w:r>
              <w:rPr>
                <w:rFonts w:hint="eastAsia" w:ascii="宋体" w:hAnsi="宋体" w:cs="宋体"/>
                <w:color w:val="000000"/>
              </w:rPr>
              <w:t>空调设备</w:t>
            </w:r>
          </w:p>
        </w:tc>
        <w:tc>
          <w:tcPr>
            <w:tcW w:w="1868" w:type="dxa"/>
            <w:vAlign w:val="center"/>
          </w:tcPr>
          <w:p>
            <w:pPr>
              <w:autoSpaceDE w:val="0"/>
              <w:autoSpaceDN w:val="0"/>
              <w:jc w:val="center"/>
              <w:rPr>
                <w:rFonts w:ascii="宋体" w:hAnsi="宋体" w:cs="宋体"/>
                <w:color w:val="000000"/>
                <w:spacing w:val="8"/>
              </w:rPr>
            </w:pPr>
            <w:r>
              <w:rPr>
                <w:rFonts w:hint="eastAsia" w:ascii="宋体" w:hAnsi="宋体" w:cs="宋体"/>
                <w:color w:val="000000"/>
              </w:rPr>
              <w:t>冷却塔</w:t>
            </w:r>
          </w:p>
        </w:tc>
        <w:tc>
          <w:tcPr>
            <w:tcW w:w="3087" w:type="dxa"/>
            <w:vAlign w:val="center"/>
          </w:tcPr>
          <w:p>
            <w:pPr>
              <w:jc w:val="center"/>
              <w:rPr>
                <w:rFonts w:ascii="宋体" w:hAnsi="宋体" w:cs="宋体"/>
                <w:color w:val="000000"/>
              </w:rPr>
            </w:pPr>
            <w:r>
              <w:rPr>
                <w:rFonts w:hint="eastAsia" w:ascii="宋体" w:hAnsi="宋体" w:cs="宋体"/>
                <w:color w:val="000000"/>
                <w:spacing w:val="2"/>
              </w:rPr>
              <w:t xml:space="preserve">《机械通风冷却塔 第 </w:t>
            </w:r>
            <w:r>
              <w:rPr>
                <w:rFonts w:hint="eastAsia" w:ascii="宋体" w:hAnsi="宋体" w:cs="宋体"/>
                <w:color w:val="000000"/>
              </w:rPr>
              <w:t>1 部分：中小型开式冷却塔</w:t>
            </w:r>
            <w:r>
              <w:rPr>
                <w:rFonts w:hint="eastAsia" w:ascii="宋体" w:hAnsi="宋体" w:cs="宋体"/>
                <w:color w:val="000000"/>
                <w:spacing w:val="-171"/>
              </w:rPr>
              <w:t>》</w:t>
            </w:r>
            <w:r>
              <w:rPr>
                <w:rFonts w:hint="eastAsia" w:ascii="宋体" w:hAnsi="宋体" w:cs="宋体"/>
                <w:color w:val="000000"/>
                <w:spacing w:val="-1"/>
              </w:rPr>
              <w:t>（</w:t>
            </w:r>
            <w:r>
              <w:rPr>
                <w:rFonts w:hint="eastAsia" w:ascii="宋体" w:hAnsi="宋体" w:cs="宋体"/>
                <w:color w:val="000000"/>
                <w:spacing w:val="1"/>
              </w:rPr>
              <w:t>G</w:t>
            </w:r>
            <w:r>
              <w:rPr>
                <w:rFonts w:hint="eastAsia" w:ascii="宋体" w:hAnsi="宋体" w:cs="宋体"/>
                <w:color w:val="000000"/>
              </w:rPr>
              <w:t>B</w:t>
            </w:r>
            <w:r>
              <w:rPr>
                <w:rFonts w:hint="eastAsia" w:ascii="宋体" w:hAnsi="宋体" w:cs="宋体"/>
                <w:color w:val="000000"/>
                <w:spacing w:val="1"/>
              </w:rPr>
              <w:t>/</w:t>
            </w:r>
            <w:r>
              <w:rPr>
                <w:rFonts w:hint="eastAsia" w:ascii="宋体" w:hAnsi="宋体" w:cs="宋体"/>
                <w:color w:val="000000"/>
              </w:rPr>
              <w:t>T7190</w:t>
            </w:r>
            <w:r>
              <w:rPr>
                <w:rFonts w:hint="eastAsia" w:ascii="宋体" w:hAnsi="宋体" w:cs="宋体"/>
                <w:color w:val="000000"/>
                <w:spacing w:val="1"/>
              </w:rPr>
              <w:t>.1</w:t>
            </w:r>
            <w:r>
              <w:rPr>
                <w:rFonts w:hint="eastAsia" w:ascii="宋体" w:hAnsi="宋体" w:cs="宋体"/>
                <w:color w:val="000000"/>
                <w:spacing w:val="-87"/>
              </w:rPr>
              <w:t>）</w:t>
            </w:r>
            <w:r>
              <w:rPr>
                <w:rFonts w:hint="eastAsia" w:ascii="宋体" w:hAnsi="宋体" w:cs="宋体"/>
                <w:color w:val="000000"/>
              </w:rPr>
              <w:t>；</w:t>
            </w:r>
            <w:r>
              <w:rPr>
                <w:rFonts w:hint="eastAsia" w:ascii="宋体" w:hAnsi="宋体" w:cs="宋体"/>
                <w:color w:val="000000"/>
                <w:spacing w:val="4"/>
              </w:rPr>
              <w:t xml:space="preserve">《机械通风冷却塔 第 </w:t>
            </w:r>
            <w:r>
              <w:rPr>
                <w:rFonts w:hint="eastAsia" w:ascii="宋体" w:hAnsi="宋体" w:cs="宋体"/>
                <w:color w:val="000000"/>
              </w:rPr>
              <w:t>2 部分：大型开式冷却塔》（GB/T7190.2）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731" w:hRule="atLeast"/>
          <w:jc w:val="center"/>
        </w:trPr>
        <w:tc>
          <w:tcPr>
            <w:tcW w:w="554" w:type="dxa"/>
            <w:vAlign w:val="center"/>
          </w:tcPr>
          <w:p>
            <w:pPr>
              <w:jc w:val="center"/>
              <w:rPr>
                <w:rFonts w:ascii="宋体" w:hAnsi="宋体" w:cs="宋体"/>
                <w:color w:val="000000"/>
              </w:rPr>
            </w:pPr>
            <w:r>
              <w:rPr>
                <w:rFonts w:hint="eastAsia" w:ascii="宋体" w:hAnsi="宋体" w:cs="宋体"/>
                <w:color w:val="000000"/>
              </w:rPr>
              <w:t>7</w:t>
            </w:r>
          </w:p>
        </w:tc>
        <w:tc>
          <w:tcPr>
            <w:tcW w:w="1614" w:type="dxa"/>
            <w:vAlign w:val="center"/>
          </w:tcPr>
          <w:p>
            <w:pPr>
              <w:jc w:val="center"/>
              <w:rPr>
                <w:rFonts w:ascii="宋体" w:hAnsi="宋体" w:cs="宋体"/>
                <w:color w:val="000000"/>
              </w:rPr>
            </w:pPr>
            <w:r>
              <w:rPr>
                <w:rFonts w:hint="eastAsia" w:ascii="宋体" w:hAnsi="宋体" w:cs="宋体"/>
                <w:color w:val="000000"/>
                <w:spacing w:val="-2"/>
              </w:rPr>
              <w:t>A020601</w:t>
            </w:r>
            <w:r>
              <w:rPr>
                <w:rFonts w:hint="eastAsia" w:ascii="宋体" w:hAnsi="宋体" w:cs="宋体"/>
                <w:color w:val="000000"/>
                <w:spacing w:val="-20"/>
              </w:rPr>
              <w:t xml:space="preserve"> 电机</w:t>
            </w:r>
          </w:p>
        </w:tc>
        <w:tc>
          <w:tcPr>
            <w:tcW w:w="1350" w:type="dxa"/>
            <w:vAlign w:val="center"/>
          </w:tcPr>
          <w:p>
            <w:pPr>
              <w:jc w:val="center"/>
              <w:rPr>
                <w:rFonts w:ascii="宋体" w:hAnsi="宋体" w:cs="宋体"/>
                <w:color w:val="000000"/>
              </w:rPr>
            </w:pPr>
          </w:p>
        </w:tc>
        <w:tc>
          <w:tcPr>
            <w:tcW w:w="1868" w:type="dxa"/>
            <w:vAlign w:val="center"/>
          </w:tcPr>
          <w:p>
            <w:pPr>
              <w:jc w:val="center"/>
              <w:rPr>
                <w:rFonts w:ascii="宋体" w:hAnsi="宋体" w:cs="宋体"/>
                <w:color w:val="000000"/>
              </w:rPr>
            </w:pPr>
          </w:p>
        </w:tc>
        <w:tc>
          <w:tcPr>
            <w:tcW w:w="3087" w:type="dxa"/>
            <w:vAlign w:val="center"/>
          </w:tcPr>
          <w:p>
            <w:pPr>
              <w:jc w:val="center"/>
              <w:rPr>
                <w:rFonts w:ascii="宋体" w:hAnsi="宋体" w:cs="宋体"/>
                <w:color w:val="000000"/>
              </w:rPr>
            </w:pPr>
            <w:r>
              <w:rPr>
                <w:rFonts w:hint="eastAsia" w:ascii="宋体" w:hAnsi="宋体" w:cs="宋体"/>
                <w:color w:val="000000"/>
                <w:spacing w:val="9"/>
              </w:rPr>
              <w:t>《中小型三相异步电动机能效限</w:t>
            </w:r>
            <w:r>
              <w:rPr>
                <w:rFonts w:hint="eastAsia" w:ascii="宋体" w:hAnsi="宋体" w:cs="宋体"/>
                <w:color w:val="000000"/>
              </w:rPr>
              <w:t>定值及能效等级》（GB 18613）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688" w:hRule="atLeast"/>
          <w:jc w:val="center"/>
        </w:trPr>
        <w:tc>
          <w:tcPr>
            <w:tcW w:w="554" w:type="dxa"/>
            <w:vAlign w:val="center"/>
          </w:tcPr>
          <w:p>
            <w:pPr>
              <w:jc w:val="center"/>
              <w:rPr>
                <w:rFonts w:ascii="宋体" w:hAnsi="宋体" w:cs="宋体"/>
                <w:color w:val="000000"/>
              </w:rPr>
            </w:pPr>
            <w:r>
              <w:rPr>
                <w:rFonts w:hint="eastAsia" w:ascii="宋体" w:hAnsi="宋体" w:cs="宋体"/>
                <w:color w:val="000000"/>
              </w:rPr>
              <w:t>8</w:t>
            </w:r>
          </w:p>
        </w:tc>
        <w:tc>
          <w:tcPr>
            <w:tcW w:w="1614" w:type="dxa"/>
            <w:vAlign w:val="center"/>
          </w:tcPr>
          <w:p>
            <w:pPr>
              <w:jc w:val="center"/>
              <w:rPr>
                <w:rFonts w:ascii="宋体" w:hAnsi="宋体" w:cs="宋体"/>
                <w:color w:val="000000"/>
              </w:rPr>
            </w:pPr>
            <w:r>
              <w:rPr>
                <w:rFonts w:hint="eastAsia" w:ascii="宋体" w:hAnsi="宋体" w:cs="宋体"/>
                <w:color w:val="000000"/>
                <w:spacing w:val="-2"/>
              </w:rPr>
              <w:t>A020602</w:t>
            </w:r>
            <w:r>
              <w:rPr>
                <w:rFonts w:hint="eastAsia" w:ascii="宋体" w:hAnsi="宋体" w:cs="宋体"/>
                <w:color w:val="000000"/>
                <w:spacing w:val="-20"/>
              </w:rPr>
              <w:t xml:space="preserve"> 变 压 </w:t>
            </w:r>
            <w:r>
              <w:rPr>
                <w:rFonts w:hint="eastAsia" w:ascii="宋体" w:hAnsi="宋体" w:cs="宋体"/>
                <w:color w:val="000000"/>
              </w:rPr>
              <w:t>器</w:t>
            </w:r>
          </w:p>
        </w:tc>
        <w:tc>
          <w:tcPr>
            <w:tcW w:w="1350" w:type="dxa"/>
            <w:vAlign w:val="center"/>
          </w:tcPr>
          <w:p>
            <w:pPr>
              <w:jc w:val="center"/>
              <w:rPr>
                <w:rFonts w:ascii="宋体" w:hAnsi="宋体" w:cs="宋体"/>
                <w:color w:val="000000"/>
              </w:rPr>
            </w:pPr>
            <w:r>
              <w:rPr>
                <w:rFonts w:hint="eastAsia" w:ascii="宋体" w:hAnsi="宋体" w:cs="宋体"/>
                <w:color w:val="000000"/>
              </w:rPr>
              <w:t>配电变压器</w:t>
            </w:r>
          </w:p>
        </w:tc>
        <w:tc>
          <w:tcPr>
            <w:tcW w:w="1868" w:type="dxa"/>
            <w:vAlign w:val="center"/>
          </w:tcPr>
          <w:p>
            <w:pPr>
              <w:jc w:val="center"/>
              <w:rPr>
                <w:rFonts w:ascii="宋体" w:hAnsi="宋体" w:cs="宋体"/>
                <w:color w:val="000000"/>
              </w:rPr>
            </w:pPr>
          </w:p>
        </w:tc>
        <w:tc>
          <w:tcPr>
            <w:tcW w:w="3087" w:type="dxa"/>
            <w:vAlign w:val="center"/>
          </w:tcPr>
          <w:p>
            <w:pPr>
              <w:jc w:val="center"/>
              <w:rPr>
                <w:rFonts w:ascii="宋体" w:hAnsi="宋体" w:cs="宋体"/>
                <w:color w:val="000000"/>
              </w:rPr>
            </w:pPr>
            <w:r>
              <w:rPr>
                <w:rFonts w:hint="eastAsia" w:ascii="宋体" w:hAnsi="宋体" w:cs="宋体"/>
                <w:color w:val="000000"/>
                <w:spacing w:val="9"/>
              </w:rPr>
              <w:t>《三相配电变压器能效限定值及</w:t>
            </w:r>
            <w:r>
              <w:rPr>
                <w:rFonts w:hint="eastAsia" w:ascii="宋体" w:hAnsi="宋体" w:cs="宋体"/>
                <w:color w:val="000000"/>
              </w:rPr>
              <w:t>能效等级》（GB20052）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880" w:hRule="atLeast"/>
          <w:jc w:val="center"/>
        </w:trPr>
        <w:tc>
          <w:tcPr>
            <w:tcW w:w="554" w:type="dxa"/>
            <w:vAlign w:val="center"/>
          </w:tcPr>
          <w:p>
            <w:pPr>
              <w:jc w:val="center"/>
              <w:rPr>
                <w:rFonts w:ascii="宋体" w:hAnsi="宋体" w:cs="宋体"/>
                <w:color w:val="000000"/>
              </w:rPr>
            </w:pPr>
            <w:r>
              <w:rPr>
                <w:rFonts w:hint="eastAsia" w:ascii="宋体" w:hAnsi="宋体" w:cs="宋体"/>
                <w:color w:val="000000"/>
              </w:rPr>
              <w:t>9</w:t>
            </w:r>
          </w:p>
        </w:tc>
        <w:tc>
          <w:tcPr>
            <w:tcW w:w="1614" w:type="dxa"/>
            <w:vAlign w:val="center"/>
          </w:tcPr>
          <w:p>
            <w:pPr>
              <w:jc w:val="center"/>
              <w:rPr>
                <w:rFonts w:ascii="宋体" w:hAnsi="宋体" w:cs="宋体"/>
                <w:color w:val="000000"/>
              </w:rPr>
            </w:pPr>
            <w:r>
              <w:rPr>
                <w:rFonts w:hint="eastAsia" w:ascii="宋体" w:hAnsi="宋体" w:cs="宋体"/>
                <w:color w:val="000000"/>
                <w:spacing w:val="-2"/>
              </w:rPr>
              <w:t>★A020609</w:t>
            </w:r>
            <w:r>
              <w:rPr>
                <w:rFonts w:hint="eastAsia" w:ascii="宋体" w:hAnsi="宋体" w:cs="宋体"/>
                <w:color w:val="000000"/>
                <w:spacing w:val="-29"/>
              </w:rPr>
              <w:t xml:space="preserve"> 镇 </w:t>
            </w:r>
            <w:r>
              <w:rPr>
                <w:rFonts w:hint="eastAsia" w:ascii="宋体" w:hAnsi="宋体" w:cs="宋体"/>
                <w:color w:val="000000"/>
              </w:rPr>
              <w:t>流器</w:t>
            </w:r>
          </w:p>
        </w:tc>
        <w:tc>
          <w:tcPr>
            <w:tcW w:w="1350" w:type="dxa"/>
            <w:vAlign w:val="center"/>
          </w:tcPr>
          <w:p>
            <w:pPr>
              <w:jc w:val="center"/>
              <w:rPr>
                <w:rFonts w:ascii="宋体" w:hAnsi="宋体" w:cs="宋体"/>
                <w:color w:val="000000"/>
              </w:rPr>
            </w:pPr>
            <w:r>
              <w:rPr>
                <w:rFonts w:hint="eastAsia" w:ascii="宋体" w:hAnsi="宋体" w:cs="宋体"/>
                <w:color w:val="000000"/>
              </w:rPr>
              <w:t>管型荧光灯镇流器</w:t>
            </w:r>
          </w:p>
        </w:tc>
        <w:tc>
          <w:tcPr>
            <w:tcW w:w="1868" w:type="dxa"/>
            <w:vAlign w:val="center"/>
          </w:tcPr>
          <w:p>
            <w:pPr>
              <w:jc w:val="center"/>
              <w:rPr>
                <w:rFonts w:ascii="宋体" w:hAnsi="宋体" w:cs="宋体"/>
                <w:color w:val="000000"/>
              </w:rPr>
            </w:pPr>
          </w:p>
        </w:tc>
        <w:tc>
          <w:tcPr>
            <w:tcW w:w="3087" w:type="dxa"/>
            <w:vAlign w:val="center"/>
          </w:tcPr>
          <w:p>
            <w:pPr>
              <w:jc w:val="center"/>
              <w:rPr>
                <w:rFonts w:ascii="宋体" w:hAnsi="宋体" w:cs="宋体"/>
                <w:color w:val="000000"/>
              </w:rPr>
            </w:pPr>
            <w:r>
              <w:rPr>
                <w:rFonts w:hint="eastAsia" w:ascii="宋体" w:hAnsi="宋体" w:cs="宋体"/>
                <w:color w:val="000000"/>
                <w:spacing w:val="9"/>
              </w:rPr>
              <w:t>《管形荧光灯镇流器能效限定值</w:t>
            </w:r>
            <w:r>
              <w:rPr>
                <w:rFonts w:hint="eastAsia" w:ascii="宋体" w:hAnsi="宋体" w:cs="宋体"/>
                <w:color w:val="000000"/>
              </w:rPr>
              <w:t>及能效等级》（GB17896）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734" w:hRule="atLeast"/>
          <w:jc w:val="center"/>
        </w:trPr>
        <w:tc>
          <w:tcPr>
            <w:tcW w:w="554" w:type="dxa"/>
            <w:vMerge w:val="restart"/>
            <w:vAlign w:val="center"/>
          </w:tcPr>
          <w:p>
            <w:pPr>
              <w:jc w:val="center"/>
              <w:rPr>
                <w:rFonts w:ascii="宋体" w:hAnsi="宋体" w:cs="宋体"/>
                <w:color w:val="000000"/>
              </w:rPr>
            </w:pPr>
            <w:r>
              <w:rPr>
                <w:rFonts w:hint="eastAsia" w:ascii="宋体" w:hAnsi="宋体" w:cs="宋体"/>
                <w:color w:val="000000"/>
              </w:rPr>
              <w:t>10</w:t>
            </w:r>
          </w:p>
        </w:tc>
        <w:tc>
          <w:tcPr>
            <w:tcW w:w="1614" w:type="dxa"/>
            <w:vMerge w:val="restart"/>
            <w:vAlign w:val="center"/>
          </w:tcPr>
          <w:p>
            <w:pPr>
              <w:jc w:val="center"/>
              <w:rPr>
                <w:rFonts w:ascii="宋体" w:hAnsi="宋体" w:cs="宋体"/>
                <w:color w:val="000000"/>
              </w:rPr>
            </w:pPr>
            <w:r>
              <w:rPr>
                <w:rFonts w:hint="eastAsia" w:ascii="宋体" w:hAnsi="宋体" w:cs="宋体"/>
                <w:color w:val="000000"/>
                <w:spacing w:val="-2"/>
              </w:rPr>
              <w:t>A020618</w:t>
            </w:r>
            <w:r>
              <w:rPr>
                <w:rFonts w:hint="eastAsia" w:ascii="宋体" w:hAnsi="宋体" w:cs="宋体"/>
                <w:color w:val="000000"/>
                <w:spacing w:val="-20"/>
              </w:rPr>
              <w:t xml:space="preserve"> 生活</w:t>
            </w:r>
            <w:r>
              <w:rPr>
                <w:rFonts w:hint="eastAsia" w:ascii="宋体" w:hAnsi="宋体" w:cs="宋体"/>
                <w:color w:val="000000"/>
              </w:rPr>
              <w:t>用电器</w:t>
            </w:r>
          </w:p>
        </w:tc>
        <w:tc>
          <w:tcPr>
            <w:tcW w:w="1350" w:type="dxa"/>
            <w:vAlign w:val="center"/>
          </w:tcPr>
          <w:p>
            <w:pPr>
              <w:jc w:val="center"/>
              <w:rPr>
                <w:rFonts w:ascii="宋体" w:hAnsi="宋体" w:cs="宋体"/>
                <w:color w:val="000000"/>
              </w:rPr>
            </w:pPr>
            <w:r>
              <w:rPr>
                <w:rFonts w:hint="eastAsia" w:ascii="宋体" w:hAnsi="宋体" w:cs="宋体"/>
                <w:color w:val="000000"/>
              </w:rPr>
              <w:t>A0206180101 电冰箱</w:t>
            </w:r>
          </w:p>
        </w:tc>
        <w:tc>
          <w:tcPr>
            <w:tcW w:w="1868" w:type="dxa"/>
            <w:vAlign w:val="center"/>
          </w:tcPr>
          <w:p>
            <w:pPr>
              <w:jc w:val="center"/>
              <w:rPr>
                <w:rFonts w:ascii="宋体" w:hAnsi="宋体" w:cs="宋体"/>
                <w:color w:val="000000"/>
              </w:rPr>
            </w:pPr>
          </w:p>
        </w:tc>
        <w:tc>
          <w:tcPr>
            <w:tcW w:w="3087" w:type="dxa"/>
            <w:vAlign w:val="center"/>
          </w:tcPr>
          <w:p>
            <w:pPr>
              <w:jc w:val="center"/>
              <w:rPr>
                <w:rFonts w:ascii="宋体" w:hAnsi="宋体" w:cs="宋体"/>
                <w:color w:val="000000"/>
              </w:rPr>
            </w:pPr>
            <w:r>
              <w:rPr>
                <w:rFonts w:hint="eastAsia" w:ascii="宋体" w:hAnsi="宋体" w:cs="宋体"/>
                <w:color w:val="000000"/>
                <w:spacing w:val="9"/>
              </w:rPr>
              <w:t>《家用电冰箱耗电量限定值及能</w:t>
            </w:r>
            <w:r>
              <w:rPr>
                <w:rFonts w:hint="eastAsia" w:ascii="宋体" w:hAnsi="宋体" w:cs="宋体"/>
                <w:color w:val="000000"/>
              </w:rPr>
              <w:t>效等级》（GB12021.2）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1883" w:hRule="atLeast"/>
          <w:jc w:val="center"/>
        </w:trPr>
        <w:tc>
          <w:tcPr>
            <w:tcW w:w="554" w:type="dxa"/>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Merge w:val="restart"/>
            <w:vAlign w:val="center"/>
          </w:tcPr>
          <w:p>
            <w:pPr>
              <w:jc w:val="center"/>
              <w:rPr>
                <w:rFonts w:ascii="宋体" w:hAnsi="宋体" w:cs="宋体"/>
                <w:color w:val="000000"/>
              </w:rPr>
            </w:pPr>
            <w:r>
              <w:rPr>
                <w:rFonts w:hint="eastAsia" w:ascii="宋体" w:hAnsi="宋体" w:cs="宋体"/>
                <w:color w:val="000000"/>
                <w:spacing w:val="-2"/>
              </w:rPr>
              <w:t>★A0206180203</w:t>
            </w:r>
            <w:r>
              <w:rPr>
                <w:rFonts w:hint="eastAsia" w:ascii="宋体" w:hAnsi="宋体" w:cs="宋体"/>
                <w:color w:val="000000"/>
                <w:spacing w:val="-7"/>
              </w:rPr>
              <w:t xml:space="preserve"> 空调</w:t>
            </w:r>
            <w:r>
              <w:rPr>
                <w:rFonts w:hint="eastAsia" w:ascii="宋体" w:hAnsi="宋体" w:cs="宋体"/>
                <w:color w:val="000000"/>
              </w:rPr>
              <w:t>机</w:t>
            </w:r>
          </w:p>
        </w:tc>
        <w:tc>
          <w:tcPr>
            <w:tcW w:w="1868" w:type="dxa"/>
            <w:vAlign w:val="center"/>
          </w:tcPr>
          <w:p>
            <w:pPr>
              <w:jc w:val="center"/>
              <w:rPr>
                <w:rFonts w:ascii="宋体" w:hAnsi="宋体" w:cs="宋体"/>
                <w:color w:val="000000"/>
              </w:rPr>
            </w:pPr>
            <w:r>
              <w:rPr>
                <w:rFonts w:hint="eastAsia" w:ascii="宋体" w:hAnsi="宋体" w:cs="宋体"/>
                <w:color w:val="000000"/>
              </w:rPr>
              <w:t>房间空气调节器</w:t>
            </w:r>
          </w:p>
        </w:tc>
        <w:tc>
          <w:tcPr>
            <w:tcW w:w="3087" w:type="dxa"/>
            <w:vAlign w:val="center"/>
          </w:tcPr>
          <w:p>
            <w:pPr>
              <w:jc w:val="center"/>
              <w:rPr>
                <w:rFonts w:ascii="宋体" w:hAnsi="宋体" w:cs="宋体"/>
                <w:color w:val="000000"/>
              </w:rPr>
            </w:pPr>
            <w:r>
              <w:rPr>
                <w:rFonts w:hint="eastAsia" w:ascii="宋体" w:hAnsi="宋体" w:cs="宋体"/>
                <w:color w:val="000000"/>
                <w:spacing w:val="9"/>
              </w:rPr>
              <w:t>《转速可控型房间空气调节器能</w:t>
            </w:r>
            <w:r>
              <w:rPr>
                <w:rFonts w:hint="eastAsia" w:ascii="宋体" w:hAnsi="宋体" w:cs="宋体"/>
                <w:color w:val="000000"/>
                <w:spacing w:val="-18"/>
              </w:rPr>
              <w:t xml:space="preserve">效 限 定 值 及 能 效 等 级》 </w:t>
            </w:r>
            <w:r>
              <w:rPr>
                <w:rFonts w:hint="eastAsia" w:ascii="宋体" w:hAnsi="宋体" w:cs="宋体"/>
                <w:color w:val="000000"/>
              </w:rPr>
              <w:t>（ GB21455-2013），</w:t>
            </w:r>
            <w:r>
              <w:rPr>
                <w:rFonts w:hint="eastAsia" w:ascii="宋体" w:hAnsi="宋体" w:cs="宋体"/>
                <w:color w:val="000000"/>
                <w:spacing w:val="6"/>
              </w:rPr>
              <w:t xml:space="preserve">待 </w:t>
            </w:r>
            <w:r>
              <w:rPr>
                <w:rFonts w:hint="eastAsia" w:ascii="宋体" w:hAnsi="宋体" w:cs="宋体"/>
                <w:color w:val="000000"/>
              </w:rPr>
              <w:t>2019</w:t>
            </w:r>
            <w:r>
              <w:rPr>
                <w:rFonts w:hint="eastAsia" w:ascii="宋体" w:hAnsi="宋体" w:cs="宋体"/>
                <w:color w:val="000000"/>
                <w:spacing w:val="2"/>
              </w:rPr>
              <w:t xml:space="preserve"> 年修订发</w:t>
            </w:r>
            <w:r>
              <w:rPr>
                <w:rFonts w:hint="eastAsia" w:ascii="宋体" w:hAnsi="宋体" w:cs="宋体"/>
                <w:color w:val="000000"/>
              </w:rPr>
              <w:t>布后，按《房间空气调节器能效限</w:t>
            </w:r>
            <w:r>
              <w:rPr>
                <w:rFonts w:hint="eastAsia" w:ascii="宋体" w:hAnsi="宋体" w:cs="宋体"/>
                <w:color w:val="000000"/>
                <w:spacing w:val="-1"/>
              </w:rPr>
              <w:t>定值及能效等级</w:t>
            </w:r>
            <w:r>
              <w:rPr>
                <w:rFonts w:hint="eastAsia" w:ascii="宋体" w:hAnsi="宋体" w:cs="宋体"/>
                <w:color w:val="000000"/>
                <w:spacing w:val="-156"/>
              </w:rPr>
              <w:t>》</w:t>
            </w:r>
            <w:r>
              <w:rPr>
                <w:rFonts w:hint="eastAsia" w:ascii="宋体" w:hAnsi="宋体" w:cs="宋体"/>
                <w:color w:val="000000"/>
              </w:rPr>
              <w:t>（GB21455-2019）实施。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947" w:hRule="atLeast"/>
          <w:jc w:val="center"/>
        </w:trPr>
        <w:tc>
          <w:tcPr>
            <w:tcW w:w="554" w:type="dxa"/>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Merge w:val="continue"/>
            <w:vAlign w:val="center"/>
          </w:tcPr>
          <w:p>
            <w:pPr>
              <w:autoSpaceDE w:val="0"/>
              <w:autoSpaceDN w:val="0"/>
              <w:jc w:val="center"/>
              <w:rPr>
                <w:rFonts w:ascii="宋体" w:hAnsi="宋体" w:cs="宋体"/>
                <w:color w:val="000000"/>
              </w:rPr>
            </w:pPr>
          </w:p>
        </w:tc>
        <w:tc>
          <w:tcPr>
            <w:tcW w:w="1868" w:type="dxa"/>
            <w:vAlign w:val="center"/>
          </w:tcPr>
          <w:p>
            <w:pPr>
              <w:jc w:val="center"/>
              <w:rPr>
                <w:rFonts w:ascii="宋体" w:hAnsi="宋体" w:cs="宋体"/>
                <w:color w:val="000000"/>
              </w:rPr>
            </w:pPr>
            <w:r>
              <w:rPr>
                <w:rFonts w:hint="eastAsia" w:ascii="宋体" w:hAnsi="宋体" w:cs="宋体"/>
                <w:color w:val="000000"/>
                <w:spacing w:val="11"/>
              </w:rPr>
              <w:t>多联式空调（</w:t>
            </w:r>
            <w:r>
              <w:rPr>
                <w:rFonts w:hint="eastAsia" w:ascii="宋体" w:hAnsi="宋体" w:cs="宋体"/>
                <w:color w:val="000000"/>
                <w:spacing w:val="12"/>
              </w:rPr>
              <w:t>热泵</w:t>
            </w:r>
            <w:r>
              <w:rPr>
                <w:rFonts w:hint="eastAsia" w:ascii="宋体" w:hAnsi="宋体" w:cs="宋体"/>
                <w:color w:val="000000"/>
              </w:rPr>
              <w:t>）</w:t>
            </w:r>
            <w:r>
              <w:rPr>
                <w:rFonts w:hint="eastAsia" w:ascii="宋体" w:hAnsi="宋体" w:cs="宋体"/>
                <w:color w:val="000000"/>
                <w:spacing w:val="-12"/>
              </w:rPr>
              <w:t xml:space="preserve">机 组 </w:t>
            </w:r>
            <w:r>
              <w:rPr>
                <w:rFonts w:hint="eastAsia" w:ascii="宋体" w:hAnsi="宋体" w:cs="宋体"/>
                <w:color w:val="000000"/>
              </w:rPr>
              <w:t>（</w:t>
            </w:r>
            <w:r>
              <w:rPr>
                <w:rFonts w:hint="eastAsia" w:ascii="宋体" w:hAnsi="宋体" w:cs="宋体"/>
                <w:color w:val="000000"/>
                <w:spacing w:val="-13"/>
              </w:rPr>
              <w:t xml:space="preserve"> 制 冷 量 ≤</w:t>
            </w:r>
            <w:r>
              <w:rPr>
                <w:rFonts w:hint="eastAsia" w:ascii="宋体" w:hAnsi="宋体" w:cs="宋体"/>
                <w:color w:val="000000"/>
              </w:rPr>
              <w:t>14000W）</w:t>
            </w:r>
          </w:p>
        </w:tc>
        <w:tc>
          <w:tcPr>
            <w:tcW w:w="3087" w:type="dxa"/>
            <w:vAlign w:val="center"/>
          </w:tcPr>
          <w:p>
            <w:pPr>
              <w:jc w:val="center"/>
              <w:rPr>
                <w:rFonts w:ascii="宋体" w:hAnsi="宋体" w:cs="宋体"/>
                <w:color w:val="000000"/>
              </w:rPr>
            </w:pPr>
            <w:r>
              <w:rPr>
                <w:rFonts w:hint="eastAsia" w:ascii="宋体" w:hAnsi="宋体" w:cs="宋体"/>
                <w:color w:val="000000"/>
              </w:rPr>
              <w:t>《多联式空调（热泵）机组能效限</w:t>
            </w:r>
            <w:r>
              <w:rPr>
                <w:rFonts w:hint="eastAsia" w:ascii="宋体" w:hAnsi="宋体" w:cs="宋体"/>
                <w:color w:val="000000"/>
                <w:spacing w:val="-11"/>
              </w:rPr>
              <w:t>定值及能源效率等级》</w:t>
            </w:r>
            <w:r>
              <w:rPr>
                <w:rFonts w:hint="eastAsia" w:ascii="宋体" w:hAnsi="宋体" w:cs="宋体"/>
                <w:color w:val="000000"/>
              </w:rPr>
              <w:t>（GB21454）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1259" w:hRule="atLeast"/>
          <w:jc w:val="center"/>
        </w:trPr>
        <w:tc>
          <w:tcPr>
            <w:tcW w:w="554" w:type="dxa"/>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Merge w:val="continue"/>
            <w:vAlign w:val="center"/>
          </w:tcPr>
          <w:p>
            <w:pPr>
              <w:autoSpaceDE w:val="0"/>
              <w:autoSpaceDN w:val="0"/>
              <w:jc w:val="center"/>
              <w:rPr>
                <w:rFonts w:ascii="宋体" w:hAnsi="宋体" w:cs="宋体"/>
                <w:color w:val="000000"/>
              </w:rPr>
            </w:pPr>
          </w:p>
        </w:tc>
        <w:tc>
          <w:tcPr>
            <w:tcW w:w="1868" w:type="dxa"/>
            <w:vAlign w:val="center"/>
          </w:tcPr>
          <w:p>
            <w:pPr>
              <w:jc w:val="center"/>
              <w:rPr>
                <w:rFonts w:ascii="宋体" w:hAnsi="宋体" w:cs="宋体"/>
                <w:color w:val="000000"/>
              </w:rPr>
            </w:pPr>
            <w:r>
              <w:rPr>
                <w:rFonts w:hint="eastAsia" w:ascii="宋体" w:hAnsi="宋体" w:cs="宋体"/>
                <w:color w:val="000000"/>
                <w:spacing w:val="35"/>
              </w:rPr>
              <w:t>单元式空气调节机</w:t>
            </w:r>
            <w:r>
              <w:rPr>
                <w:rFonts w:hint="eastAsia" w:ascii="宋体" w:hAnsi="宋体" w:cs="宋体"/>
                <w:color w:val="000000"/>
              </w:rPr>
              <w:t>(制冷量≤14000W)</w:t>
            </w:r>
          </w:p>
        </w:tc>
        <w:tc>
          <w:tcPr>
            <w:tcW w:w="3087" w:type="dxa"/>
            <w:vAlign w:val="center"/>
          </w:tcPr>
          <w:p>
            <w:pPr>
              <w:jc w:val="center"/>
              <w:rPr>
                <w:rFonts w:ascii="宋体" w:hAnsi="宋体" w:cs="宋体"/>
                <w:color w:val="000000"/>
              </w:rPr>
            </w:pPr>
            <w:r>
              <w:rPr>
                <w:rFonts w:hint="eastAsia" w:ascii="宋体" w:hAnsi="宋体" w:cs="宋体"/>
                <w:color w:val="000000"/>
                <w:spacing w:val="9"/>
              </w:rPr>
              <w:t>《单元式空气调节机能效限定值</w:t>
            </w:r>
            <w:r>
              <w:rPr>
                <w:rFonts w:hint="eastAsia" w:ascii="宋体" w:hAnsi="宋体" w:cs="宋体"/>
                <w:color w:val="000000"/>
                <w:spacing w:val="-13"/>
              </w:rPr>
              <w:t>及能源效率等级》</w:t>
            </w:r>
            <w:r>
              <w:rPr>
                <w:rFonts w:hint="eastAsia" w:ascii="宋体" w:hAnsi="宋体" w:cs="宋体"/>
                <w:color w:val="000000"/>
              </w:rPr>
              <w:t>（</w:t>
            </w:r>
            <w:r>
              <w:rPr>
                <w:rFonts w:hint="eastAsia" w:ascii="宋体" w:hAnsi="宋体" w:cs="宋体"/>
                <w:color w:val="000000"/>
                <w:spacing w:val="1"/>
              </w:rPr>
              <w:t>G</w:t>
            </w:r>
            <w:r>
              <w:rPr>
                <w:rFonts w:hint="eastAsia" w:ascii="宋体" w:hAnsi="宋体" w:cs="宋体"/>
                <w:color w:val="000000"/>
              </w:rPr>
              <w:t>B</w:t>
            </w:r>
            <w:r>
              <w:rPr>
                <w:rFonts w:hint="eastAsia" w:ascii="宋体" w:hAnsi="宋体" w:cs="宋体"/>
                <w:color w:val="000000"/>
                <w:spacing w:val="1"/>
              </w:rPr>
              <w:t>195</w:t>
            </w:r>
            <w:r>
              <w:rPr>
                <w:rFonts w:hint="eastAsia" w:ascii="宋体" w:hAnsi="宋体" w:cs="宋体"/>
                <w:color w:val="000000"/>
              </w:rPr>
              <w:t>7</w:t>
            </w:r>
            <w:r>
              <w:rPr>
                <w:rFonts w:hint="eastAsia" w:ascii="宋体" w:hAnsi="宋体" w:cs="宋体"/>
                <w:color w:val="000000"/>
                <w:spacing w:val="-3"/>
              </w:rPr>
              <w:t>6</w:t>
            </w:r>
            <w:r>
              <w:rPr>
                <w:rFonts w:hint="eastAsia" w:ascii="宋体" w:hAnsi="宋体" w:cs="宋体"/>
                <w:color w:val="000000"/>
                <w:spacing w:val="-104"/>
              </w:rPr>
              <w:t>）</w:t>
            </w:r>
            <w:r>
              <w:rPr>
                <w:rFonts w:hint="eastAsia" w:ascii="宋体" w:hAnsi="宋体" w:cs="宋体"/>
                <w:color w:val="000000"/>
                <w:spacing w:val="-6"/>
              </w:rPr>
              <w:t>《风</w:t>
            </w:r>
            <w:r>
              <w:rPr>
                <w:rFonts w:hint="eastAsia" w:ascii="宋体" w:hAnsi="宋体" w:cs="宋体"/>
                <w:color w:val="000000"/>
                <w:spacing w:val="9"/>
              </w:rPr>
              <w:t>管送风式空调机组能效限定值及</w:t>
            </w:r>
            <w:r>
              <w:rPr>
                <w:rFonts w:hint="eastAsia" w:ascii="宋体" w:hAnsi="宋体" w:cs="宋体"/>
                <w:color w:val="000000"/>
              </w:rPr>
              <w:t>能效等级》（GB37479）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642" w:hRule="atLeast"/>
          <w:jc w:val="center"/>
        </w:trPr>
        <w:tc>
          <w:tcPr>
            <w:tcW w:w="554" w:type="dxa"/>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Align w:val="center"/>
          </w:tcPr>
          <w:p>
            <w:pPr>
              <w:jc w:val="center"/>
              <w:rPr>
                <w:rFonts w:ascii="宋体" w:hAnsi="宋体" w:cs="宋体"/>
                <w:color w:val="000000"/>
              </w:rPr>
            </w:pPr>
            <w:r>
              <w:rPr>
                <w:rFonts w:hint="eastAsia" w:ascii="宋体" w:hAnsi="宋体" w:cs="宋体"/>
                <w:color w:val="000000"/>
              </w:rPr>
              <w:t>A0206180301 洗衣机</w:t>
            </w:r>
          </w:p>
        </w:tc>
        <w:tc>
          <w:tcPr>
            <w:tcW w:w="1868" w:type="dxa"/>
            <w:vAlign w:val="center"/>
          </w:tcPr>
          <w:p>
            <w:pPr>
              <w:jc w:val="center"/>
              <w:rPr>
                <w:rFonts w:ascii="宋体" w:hAnsi="宋体" w:cs="宋体"/>
                <w:color w:val="000000"/>
              </w:rPr>
            </w:pPr>
          </w:p>
        </w:tc>
        <w:tc>
          <w:tcPr>
            <w:tcW w:w="3087" w:type="dxa"/>
            <w:vAlign w:val="center"/>
          </w:tcPr>
          <w:p>
            <w:pPr>
              <w:jc w:val="center"/>
              <w:rPr>
                <w:rFonts w:ascii="宋体" w:hAnsi="宋体" w:cs="宋体"/>
                <w:color w:val="000000"/>
              </w:rPr>
            </w:pPr>
            <w:r>
              <w:rPr>
                <w:rFonts w:hint="eastAsia" w:ascii="宋体" w:hAnsi="宋体" w:cs="宋体"/>
                <w:color w:val="000000"/>
                <w:spacing w:val="9"/>
              </w:rPr>
              <w:t>《电动洗衣机能效水效限定值及</w:t>
            </w:r>
            <w:r>
              <w:rPr>
                <w:rFonts w:hint="eastAsia" w:ascii="宋体" w:hAnsi="宋体" w:cs="宋体"/>
                <w:color w:val="000000"/>
              </w:rPr>
              <w:t>等级》（GB 12021.4）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731" w:hRule="atLeast"/>
          <w:jc w:val="center"/>
        </w:trPr>
        <w:tc>
          <w:tcPr>
            <w:tcW w:w="554" w:type="dxa"/>
            <w:vMerge w:val="continue"/>
            <w:vAlign w:val="center"/>
          </w:tcPr>
          <w:p>
            <w:pPr>
              <w:jc w:val="center"/>
              <w:rPr>
                <w:rFonts w:ascii="宋体" w:hAnsi="宋体" w:cs="宋体"/>
                <w:color w:val="000000"/>
              </w:rPr>
            </w:pPr>
          </w:p>
        </w:tc>
        <w:tc>
          <w:tcPr>
            <w:tcW w:w="1614" w:type="dxa"/>
            <w:vMerge w:val="continue"/>
            <w:vAlign w:val="center"/>
          </w:tcPr>
          <w:p>
            <w:pPr>
              <w:jc w:val="center"/>
              <w:rPr>
                <w:rFonts w:ascii="宋体" w:hAnsi="宋体" w:cs="宋体"/>
                <w:color w:val="000000"/>
              </w:rPr>
            </w:pPr>
          </w:p>
        </w:tc>
        <w:tc>
          <w:tcPr>
            <w:tcW w:w="1350" w:type="dxa"/>
            <w:vMerge w:val="restart"/>
            <w:vAlign w:val="center"/>
          </w:tcPr>
          <w:p>
            <w:pPr>
              <w:jc w:val="center"/>
              <w:rPr>
                <w:rFonts w:ascii="宋体" w:hAnsi="宋体" w:cs="宋体"/>
                <w:color w:val="000000"/>
              </w:rPr>
            </w:pPr>
            <w:r>
              <w:rPr>
                <w:rFonts w:hint="eastAsia" w:ascii="宋体" w:hAnsi="宋体" w:cs="宋体"/>
                <w:color w:val="000000"/>
              </w:rPr>
              <w:t>A02061808</w:t>
            </w:r>
            <w:r>
              <w:rPr>
                <w:rFonts w:hint="eastAsia" w:ascii="宋体" w:hAnsi="宋体" w:cs="宋体"/>
                <w:color w:val="000000"/>
                <w:spacing w:val="-8"/>
              </w:rPr>
              <w:t xml:space="preserve"> 热水器</w:t>
            </w:r>
          </w:p>
        </w:tc>
        <w:tc>
          <w:tcPr>
            <w:tcW w:w="1868" w:type="dxa"/>
            <w:vAlign w:val="center"/>
          </w:tcPr>
          <w:p>
            <w:pPr>
              <w:jc w:val="center"/>
              <w:rPr>
                <w:rFonts w:ascii="宋体" w:hAnsi="宋体" w:cs="宋体"/>
                <w:color w:val="000000"/>
              </w:rPr>
            </w:pPr>
            <w:r>
              <w:rPr>
                <w:rFonts w:hint="eastAsia" w:ascii="宋体" w:hAnsi="宋体" w:cs="宋体"/>
                <w:color w:val="000000"/>
              </w:rPr>
              <w:t>★电热水器</w:t>
            </w:r>
          </w:p>
        </w:tc>
        <w:tc>
          <w:tcPr>
            <w:tcW w:w="3087" w:type="dxa"/>
            <w:vAlign w:val="center"/>
          </w:tcPr>
          <w:p>
            <w:pPr>
              <w:jc w:val="center"/>
              <w:rPr>
                <w:rFonts w:ascii="宋体" w:hAnsi="宋体" w:cs="宋体"/>
                <w:color w:val="000000"/>
              </w:rPr>
            </w:pPr>
            <w:r>
              <w:rPr>
                <w:rFonts w:hint="eastAsia" w:ascii="宋体" w:hAnsi="宋体" w:cs="宋体"/>
                <w:color w:val="000000"/>
                <w:spacing w:val="9"/>
              </w:rPr>
              <w:t>《储水式电热水器能效限定值及</w:t>
            </w:r>
            <w:r>
              <w:rPr>
                <w:rFonts w:hint="eastAsia" w:ascii="宋体" w:hAnsi="宋体" w:cs="宋体"/>
                <w:color w:val="000000"/>
              </w:rPr>
              <w:t>能效等级》（GB21519）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947" w:hRule="atLeast"/>
          <w:jc w:val="center"/>
        </w:trPr>
        <w:tc>
          <w:tcPr>
            <w:tcW w:w="554" w:type="dxa"/>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Merge w:val="continue"/>
            <w:vAlign w:val="center"/>
          </w:tcPr>
          <w:p>
            <w:pPr>
              <w:autoSpaceDE w:val="0"/>
              <w:autoSpaceDN w:val="0"/>
              <w:jc w:val="center"/>
              <w:rPr>
                <w:rFonts w:ascii="宋体" w:hAnsi="宋体" w:cs="宋体"/>
                <w:color w:val="000000"/>
              </w:rPr>
            </w:pPr>
          </w:p>
        </w:tc>
        <w:tc>
          <w:tcPr>
            <w:tcW w:w="1868" w:type="dxa"/>
            <w:vAlign w:val="center"/>
          </w:tcPr>
          <w:p>
            <w:pPr>
              <w:jc w:val="center"/>
              <w:rPr>
                <w:rFonts w:ascii="宋体" w:hAnsi="宋体" w:cs="宋体"/>
                <w:color w:val="000000"/>
              </w:rPr>
            </w:pPr>
            <w:r>
              <w:rPr>
                <w:rFonts w:hint="eastAsia" w:ascii="宋体" w:hAnsi="宋体" w:cs="宋体"/>
                <w:color w:val="000000"/>
              </w:rPr>
              <w:t>燃气热水器</w:t>
            </w:r>
          </w:p>
        </w:tc>
        <w:tc>
          <w:tcPr>
            <w:tcW w:w="3087" w:type="dxa"/>
            <w:vAlign w:val="center"/>
          </w:tcPr>
          <w:p>
            <w:pPr>
              <w:jc w:val="center"/>
              <w:rPr>
                <w:rFonts w:ascii="宋体" w:hAnsi="宋体" w:cs="宋体"/>
                <w:color w:val="000000"/>
              </w:rPr>
            </w:pPr>
            <w:r>
              <w:rPr>
                <w:rFonts w:hint="eastAsia" w:ascii="宋体" w:hAnsi="宋体" w:cs="宋体"/>
                <w:color w:val="000000"/>
                <w:spacing w:val="9"/>
              </w:rPr>
              <w:t>《家用燃气快速热水器和燃气采</w:t>
            </w:r>
            <w:r>
              <w:rPr>
                <w:rFonts w:hint="eastAsia" w:ascii="宋体" w:hAnsi="宋体" w:cs="宋体"/>
                <w:color w:val="000000"/>
                <w:spacing w:val="-1"/>
              </w:rPr>
              <w:t>暖热水炉能效限定值及能效等级》</w:t>
            </w:r>
            <w:r>
              <w:rPr>
                <w:rFonts w:hint="eastAsia" w:ascii="宋体" w:hAnsi="宋体" w:cs="宋体"/>
                <w:color w:val="000000"/>
              </w:rPr>
              <w:t>（GB20665）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813" w:hRule="atLeast"/>
          <w:jc w:val="center"/>
        </w:trPr>
        <w:tc>
          <w:tcPr>
            <w:tcW w:w="554" w:type="dxa"/>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Merge w:val="continue"/>
            <w:vAlign w:val="center"/>
          </w:tcPr>
          <w:p>
            <w:pPr>
              <w:autoSpaceDE w:val="0"/>
              <w:autoSpaceDN w:val="0"/>
              <w:jc w:val="center"/>
              <w:rPr>
                <w:rFonts w:ascii="宋体" w:hAnsi="宋体" w:cs="宋体"/>
                <w:color w:val="000000"/>
              </w:rPr>
            </w:pPr>
          </w:p>
        </w:tc>
        <w:tc>
          <w:tcPr>
            <w:tcW w:w="1868" w:type="dxa"/>
            <w:vAlign w:val="center"/>
          </w:tcPr>
          <w:p>
            <w:pPr>
              <w:jc w:val="center"/>
              <w:rPr>
                <w:rFonts w:ascii="宋体" w:hAnsi="宋体" w:cs="宋体"/>
                <w:color w:val="000000"/>
              </w:rPr>
            </w:pPr>
            <w:r>
              <w:rPr>
                <w:rFonts w:hint="eastAsia" w:ascii="宋体" w:hAnsi="宋体" w:cs="宋体"/>
                <w:color w:val="000000"/>
              </w:rPr>
              <w:t>热泵热水器</w:t>
            </w:r>
          </w:p>
        </w:tc>
        <w:tc>
          <w:tcPr>
            <w:tcW w:w="3087" w:type="dxa"/>
            <w:vAlign w:val="center"/>
          </w:tcPr>
          <w:p>
            <w:pPr>
              <w:jc w:val="center"/>
              <w:rPr>
                <w:rFonts w:ascii="宋体" w:hAnsi="宋体" w:cs="宋体"/>
                <w:color w:val="000000"/>
              </w:rPr>
            </w:pPr>
            <w:r>
              <w:rPr>
                <w:rFonts w:hint="eastAsia" w:ascii="宋体" w:hAnsi="宋体" w:cs="宋体"/>
                <w:color w:val="000000"/>
                <w:spacing w:val="-5"/>
              </w:rPr>
              <w:t>《热泵热水机</w:t>
            </w:r>
            <w:r>
              <w:rPr>
                <w:rFonts w:hint="eastAsia" w:ascii="宋体" w:hAnsi="宋体" w:cs="宋体"/>
                <w:color w:val="000000"/>
                <w:spacing w:val="-4"/>
              </w:rPr>
              <w:t>（器）能效限定值及</w:t>
            </w:r>
            <w:r>
              <w:rPr>
                <w:rFonts w:hint="eastAsia" w:ascii="宋体" w:hAnsi="宋体" w:cs="宋体"/>
                <w:color w:val="000000"/>
              </w:rPr>
              <w:t>能效等级》（GB29541）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731" w:hRule="atLeast"/>
          <w:jc w:val="center"/>
        </w:trPr>
        <w:tc>
          <w:tcPr>
            <w:tcW w:w="554" w:type="dxa"/>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Merge w:val="continue"/>
            <w:vAlign w:val="center"/>
          </w:tcPr>
          <w:p>
            <w:pPr>
              <w:autoSpaceDE w:val="0"/>
              <w:autoSpaceDN w:val="0"/>
              <w:jc w:val="center"/>
              <w:rPr>
                <w:rFonts w:ascii="宋体" w:hAnsi="宋体" w:cs="宋体"/>
                <w:color w:val="000000"/>
              </w:rPr>
            </w:pPr>
          </w:p>
        </w:tc>
        <w:tc>
          <w:tcPr>
            <w:tcW w:w="1868" w:type="dxa"/>
            <w:vAlign w:val="center"/>
          </w:tcPr>
          <w:p>
            <w:pPr>
              <w:jc w:val="center"/>
              <w:rPr>
                <w:rFonts w:ascii="宋体" w:hAnsi="宋体" w:cs="宋体"/>
                <w:color w:val="000000"/>
              </w:rPr>
            </w:pPr>
            <w:r>
              <w:rPr>
                <w:rFonts w:hint="eastAsia" w:ascii="宋体" w:hAnsi="宋体" w:cs="宋体"/>
                <w:color w:val="000000"/>
              </w:rPr>
              <w:t>太阳能热水系统</w:t>
            </w:r>
          </w:p>
        </w:tc>
        <w:tc>
          <w:tcPr>
            <w:tcW w:w="3087" w:type="dxa"/>
            <w:vAlign w:val="center"/>
          </w:tcPr>
          <w:p>
            <w:pPr>
              <w:jc w:val="center"/>
              <w:rPr>
                <w:rFonts w:ascii="宋体" w:hAnsi="宋体" w:cs="宋体"/>
                <w:color w:val="000000"/>
              </w:rPr>
            </w:pPr>
            <w:r>
              <w:rPr>
                <w:rFonts w:hint="eastAsia" w:ascii="宋体" w:hAnsi="宋体" w:cs="宋体"/>
                <w:color w:val="000000"/>
                <w:spacing w:val="9"/>
              </w:rPr>
              <w:t>《家用太阳能热水系统能效限定</w:t>
            </w:r>
            <w:r>
              <w:rPr>
                <w:rFonts w:hint="eastAsia" w:ascii="宋体" w:hAnsi="宋体" w:cs="宋体"/>
                <w:color w:val="000000"/>
              </w:rPr>
              <w:t>值及能效等级》（GB 26969）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892" w:hRule="atLeast"/>
          <w:jc w:val="center"/>
        </w:trPr>
        <w:tc>
          <w:tcPr>
            <w:tcW w:w="554" w:type="dxa"/>
            <w:vMerge w:val="restart"/>
            <w:vAlign w:val="center"/>
          </w:tcPr>
          <w:p>
            <w:pPr>
              <w:jc w:val="center"/>
              <w:rPr>
                <w:rFonts w:ascii="宋体" w:hAnsi="宋体" w:cs="宋体"/>
                <w:color w:val="000000"/>
              </w:rPr>
            </w:pPr>
            <w:r>
              <w:rPr>
                <w:rFonts w:hint="eastAsia" w:ascii="宋体" w:hAnsi="宋体" w:cs="宋体"/>
                <w:color w:val="000000"/>
              </w:rPr>
              <w:t>11</w:t>
            </w:r>
          </w:p>
        </w:tc>
        <w:tc>
          <w:tcPr>
            <w:tcW w:w="1614" w:type="dxa"/>
            <w:vMerge w:val="restart"/>
            <w:vAlign w:val="center"/>
          </w:tcPr>
          <w:p>
            <w:pPr>
              <w:jc w:val="center"/>
              <w:rPr>
                <w:rFonts w:ascii="宋体" w:hAnsi="宋体" w:cs="宋体"/>
                <w:color w:val="000000"/>
              </w:rPr>
            </w:pPr>
            <w:r>
              <w:rPr>
                <w:rFonts w:hint="eastAsia" w:ascii="宋体" w:hAnsi="宋体" w:cs="宋体"/>
                <w:color w:val="000000"/>
                <w:spacing w:val="-2"/>
              </w:rPr>
              <w:t>A020619</w:t>
            </w:r>
            <w:r>
              <w:rPr>
                <w:rFonts w:hint="eastAsia" w:ascii="宋体" w:hAnsi="宋体" w:cs="宋体"/>
                <w:color w:val="000000"/>
                <w:spacing w:val="-20"/>
              </w:rPr>
              <w:t xml:space="preserve"> 照明</w:t>
            </w:r>
            <w:r>
              <w:rPr>
                <w:rFonts w:hint="eastAsia" w:ascii="宋体" w:hAnsi="宋体" w:cs="宋体"/>
                <w:color w:val="000000"/>
              </w:rPr>
              <w:t>设备</w:t>
            </w:r>
          </w:p>
        </w:tc>
        <w:tc>
          <w:tcPr>
            <w:tcW w:w="1350" w:type="dxa"/>
            <w:vAlign w:val="center"/>
          </w:tcPr>
          <w:p>
            <w:pPr>
              <w:jc w:val="center"/>
              <w:rPr>
                <w:rFonts w:ascii="宋体" w:hAnsi="宋体" w:cs="宋体"/>
                <w:color w:val="000000"/>
              </w:rPr>
            </w:pPr>
            <w:r>
              <w:rPr>
                <w:rFonts w:hint="eastAsia" w:ascii="宋体" w:hAnsi="宋体" w:cs="宋体"/>
                <w:color w:val="000000"/>
                <w:spacing w:val="11"/>
              </w:rPr>
              <w:t>★ 普通照明用双端</w:t>
            </w:r>
            <w:r>
              <w:rPr>
                <w:rFonts w:hint="eastAsia" w:ascii="宋体" w:hAnsi="宋体" w:cs="宋体"/>
                <w:color w:val="000000"/>
              </w:rPr>
              <w:t>荧光灯</w:t>
            </w:r>
          </w:p>
        </w:tc>
        <w:tc>
          <w:tcPr>
            <w:tcW w:w="1868" w:type="dxa"/>
            <w:vAlign w:val="center"/>
          </w:tcPr>
          <w:p>
            <w:pPr>
              <w:jc w:val="center"/>
              <w:rPr>
                <w:rFonts w:ascii="宋体" w:hAnsi="宋体" w:cs="宋体"/>
                <w:color w:val="000000"/>
              </w:rPr>
            </w:pPr>
          </w:p>
        </w:tc>
        <w:tc>
          <w:tcPr>
            <w:tcW w:w="3087" w:type="dxa"/>
            <w:vAlign w:val="center"/>
          </w:tcPr>
          <w:p>
            <w:pPr>
              <w:jc w:val="center"/>
              <w:rPr>
                <w:rFonts w:ascii="宋体" w:hAnsi="宋体" w:cs="宋体"/>
                <w:color w:val="000000"/>
              </w:rPr>
            </w:pPr>
            <w:r>
              <w:rPr>
                <w:rFonts w:hint="eastAsia" w:ascii="宋体" w:hAnsi="宋体" w:cs="宋体"/>
                <w:color w:val="000000"/>
                <w:spacing w:val="9"/>
              </w:rPr>
              <w:t>《普通照明用双端荧光灯能效限</w:t>
            </w:r>
            <w:r>
              <w:rPr>
                <w:rFonts w:hint="eastAsia" w:ascii="宋体" w:hAnsi="宋体" w:cs="宋体"/>
                <w:color w:val="000000"/>
              </w:rPr>
              <w:t>定值及能效等级》（GB 19043）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810" w:hRule="atLeast"/>
          <w:jc w:val="center"/>
        </w:trPr>
        <w:tc>
          <w:tcPr>
            <w:tcW w:w="554" w:type="dxa"/>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Align w:val="center"/>
          </w:tcPr>
          <w:p>
            <w:pPr>
              <w:jc w:val="center"/>
              <w:rPr>
                <w:rFonts w:ascii="宋体" w:hAnsi="宋体" w:cs="宋体"/>
                <w:color w:val="000000"/>
              </w:rPr>
            </w:pPr>
            <w:r>
              <w:rPr>
                <w:rFonts w:hint="eastAsia" w:ascii="宋体" w:hAnsi="宋体" w:cs="宋体"/>
                <w:color w:val="000000"/>
              </w:rPr>
              <w:t>LED</w:t>
            </w:r>
            <w:r>
              <w:rPr>
                <w:rFonts w:hint="eastAsia" w:ascii="宋体" w:hAnsi="宋体" w:cs="宋体"/>
                <w:color w:val="000000"/>
                <w:spacing w:val="3"/>
              </w:rPr>
              <w:t xml:space="preserve"> 道路</w:t>
            </w:r>
            <w:r>
              <w:rPr>
                <w:rFonts w:hint="eastAsia" w:ascii="宋体" w:hAnsi="宋体" w:cs="宋体"/>
                <w:color w:val="000000"/>
                <w:spacing w:val="13"/>
              </w:rPr>
              <w:t>/</w:t>
            </w:r>
            <w:r>
              <w:rPr>
                <w:rFonts w:hint="eastAsia" w:ascii="宋体" w:hAnsi="宋体" w:cs="宋体"/>
                <w:color w:val="000000"/>
                <w:spacing w:val="9"/>
              </w:rPr>
              <w:t>隧道照明</w:t>
            </w:r>
            <w:r>
              <w:rPr>
                <w:rFonts w:hint="eastAsia" w:ascii="宋体" w:hAnsi="宋体" w:cs="宋体"/>
                <w:color w:val="000000"/>
              </w:rPr>
              <w:t>产品</w:t>
            </w:r>
          </w:p>
        </w:tc>
        <w:tc>
          <w:tcPr>
            <w:tcW w:w="1868" w:type="dxa"/>
            <w:vAlign w:val="center"/>
          </w:tcPr>
          <w:p>
            <w:pPr>
              <w:jc w:val="center"/>
              <w:rPr>
                <w:rFonts w:ascii="宋体" w:hAnsi="宋体" w:cs="宋体"/>
                <w:color w:val="000000"/>
              </w:rPr>
            </w:pPr>
          </w:p>
        </w:tc>
        <w:tc>
          <w:tcPr>
            <w:tcW w:w="3087" w:type="dxa"/>
            <w:vAlign w:val="center"/>
          </w:tcPr>
          <w:p>
            <w:pPr>
              <w:jc w:val="center"/>
              <w:rPr>
                <w:rFonts w:ascii="宋体" w:hAnsi="宋体" w:cs="宋体"/>
                <w:color w:val="000000"/>
              </w:rPr>
            </w:pPr>
            <w:r>
              <w:rPr>
                <w:rFonts w:hint="eastAsia" w:ascii="宋体" w:hAnsi="宋体" w:cs="宋体"/>
                <w:color w:val="000000"/>
                <w:spacing w:val="1"/>
              </w:rPr>
              <w:t xml:space="preserve">《道路和隧道照明用 </w:t>
            </w:r>
            <w:r>
              <w:rPr>
                <w:rFonts w:hint="eastAsia" w:ascii="宋体" w:hAnsi="宋体" w:cs="宋体"/>
                <w:color w:val="000000"/>
              </w:rPr>
              <w:t>LED</w:t>
            </w:r>
            <w:r>
              <w:rPr>
                <w:rFonts w:hint="eastAsia" w:ascii="宋体" w:hAnsi="宋体" w:cs="宋体"/>
                <w:color w:val="000000"/>
                <w:spacing w:val="3"/>
              </w:rPr>
              <w:t xml:space="preserve"> 灯具能</w:t>
            </w:r>
            <w:r>
              <w:rPr>
                <w:rFonts w:hint="eastAsia" w:ascii="宋体" w:hAnsi="宋体" w:cs="宋体"/>
                <w:color w:val="000000"/>
                <w:spacing w:val="-11"/>
              </w:rPr>
              <w:t>效限定值及能效等级》</w:t>
            </w:r>
            <w:r>
              <w:rPr>
                <w:rFonts w:hint="eastAsia" w:ascii="宋体" w:hAnsi="宋体" w:cs="宋体"/>
                <w:color w:val="000000"/>
              </w:rPr>
              <w:t>（GB37478）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793" w:hRule="atLeast"/>
          <w:jc w:val="center"/>
        </w:trPr>
        <w:tc>
          <w:tcPr>
            <w:tcW w:w="554" w:type="dxa"/>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Align w:val="center"/>
          </w:tcPr>
          <w:p>
            <w:pPr>
              <w:jc w:val="center"/>
              <w:rPr>
                <w:rFonts w:ascii="宋体" w:hAnsi="宋体" w:cs="宋体"/>
                <w:color w:val="000000"/>
              </w:rPr>
            </w:pPr>
            <w:r>
              <w:rPr>
                <w:rFonts w:hint="eastAsia" w:ascii="宋体" w:hAnsi="宋体" w:cs="宋体"/>
                <w:color w:val="000000"/>
              </w:rPr>
              <w:t>LED</w:t>
            </w:r>
            <w:r>
              <w:rPr>
                <w:rFonts w:hint="eastAsia" w:ascii="宋体" w:hAnsi="宋体" w:cs="宋体"/>
                <w:color w:val="000000"/>
                <w:spacing w:val="-13"/>
              </w:rPr>
              <w:t xml:space="preserve"> 筒灯</w:t>
            </w:r>
          </w:p>
        </w:tc>
        <w:tc>
          <w:tcPr>
            <w:tcW w:w="1868" w:type="dxa"/>
            <w:vAlign w:val="center"/>
          </w:tcPr>
          <w:p>
            <w:pPr>
              <w:jc w:val="center"/>
              <w:rPr>
                <w:rFonts w:ascii="宋体" w:hAnsi="宋体" w:cs="宋体"/>
                <w:color w:val="000000"/>
              </w:rPr>
            </w:pPr>
          </w:p>
        </w:tc>
        <w:tc>
          <w:tcPr>
            <w:tcW w:w="3087" w:type="dxa"/>
            <w:vAlign w:val="center"/>
          </w:tcPr>
          <w:p>
            <w:pPr>
              <w:jc w:val="center"/>
              <w:rPr>
                <w:rFonts w:ascii="宋体" w:hAnsi="宋体" w:cs="宋体"/>
                <w:color w:val="000000"/>
              </w:rPr>
            </w:pPr>
            <w:r>
              <w:rPr>
                <w:rFonts w:hint="eastAsia" w:ascii="宋体" w:hAnsi="宋体" w:cs="宋体"/>
                <w:color w:val="000000"/>
                <w:spacing w:val="1"/>
              </w:rPr>
              <w:t xml:space="preserve">《室内照明用 </w:t>
            </w:r>
            <w:r>
              <w:rPr>
                <w:rFonts w:hint="eastAsia" w:ascii="宋体" w:hAnsi="宋体" w:cs="宋体"/>
                <w:color w:val="000000"/>
              </w:rPr>
              <w:t>LED 产品能效限定值及能效等级》（GB 30255）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1031" w:hRule="atLeast"/>
          <w:jc w:val="center"/>
        </w:trPr>
        <w:tc>
          <w:tcPr>
            <w:tcW w:w="554" w:type="dxa"/>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Align w:val="center"/>
          </w:tcPr>
          <w:p>
            <w:pPr>
              <w:jc w:val="center"/>
              <w:rPr>
                <w:rFonts w:ascii="宋体" w:hAnsi="宋体" w:cs="宋体"/>
                <w:color w:val="000000"/>
              </w:rPr>
            </w:pPr>
            <w:r>
              <w:rPr>
                <w:rFonts w:hint="eastAsia" w:ascii="宋体" w:hAnsi="宋体" w:cs="宋体"/>
                <w:color w:val="000000"/>
                <w:spacing w:val="21"/>
              </w:rPr>
              <w:t>普通照明用非定向</w:t>
            </w:r>
            <w:r>
              <w:rPr>
                <w:rFonts w:hint="eastAsia" w:ascii="宋体" w:hAnsi="宋体" w:cs="宋体"/>
                <w:color w:val="000000"/>
                <w:spacing w:val="-11"/>
              </w:rPr>
              <w:t xml:space="preserve">自镇流 </w:t>
            </w:r>
            <w:r>
              <w:rPr>
                <w:rFonts w:hint="eastAsia" w:ascii="宋体" w:hAnsi="宋体" w:cs="宋体"/>
                <w:color w:val="000000"/>
              </w:rPr>
              <w:t>LED</w:t>
            </w:r>
            <w:r>
              <w:rPr>
                <w:rFonts w:hint="eastAsia" w:ascii="宋体" w:hAnsi="宋体" w:cs="宋体"/>
                <w:color w:val="000000"/>
                <w:spacing w:val="-20"/>
              </w:rPr>
              <w:t xml:space="preserve"> 灯</w:t>
            </w:r>
          </w:p>
        </w:tc>
        <w:tc>
          <w:tcPr>
            <w:tcW w:w="1868" w:type="dxa"/>
            <w:vAlign w:val="center"/>
          </w:tcPr>
          <w:p>
            <w:pPr>
              <w:jc w:val="center"/>
              <w:rPr>
                <w:rFonts w:ascii="宋体" w:hAnsi="宋体" w:cs="宋体"/>
                <w:color w:val="000000"/>
              </w:rPr>
            </w:pPr>
          </w:p>
        </w:tc>
        <w:tc>
          <w:tcPr>
            <w:tcW w:w="3087" w:type="dxa"/>
            <w:vAlign w:val="center"/>
          </w:tcPr>
          <w:p>
            <w:pPr>
              <w:jc w:val="center"/>
              <w:rPr>
                <w:rFonts w:ascii="宋体" w:hAnsi="宋体" w:cs="宋体"/>
                <w:color w:val="000000"/>
              </w:rPr>
            </w:pPr>
            <w:r>
              <w:rPr>
                <w:rFonts w:hint="eastAsia" w:ascii="宋体" w:hAnsi="宋体" w:cs="宋体"/>
                <w:color w:val="000000"/>
                <w:spacing w:val="1"/>
              </w:rPr>
              <w:t xml:space="preserve">《室内照明用 </w:t>
            </w:r>
            <w:r>
              <w:rPr>
                <w:rFonts w:hint="eastAsia" w:ascii="宋体" w:hAnsi="宋体" w:cs="宋体"/>
                <w:color w:val="000000"/>
              </w:rPr>
              <w:t>LED 产品能效限定值及能效等级》（GB 30255）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791" w:hRule="atLeast"/>
          <w:jc w:val="center"/>
        </w:trPr>
        <w:tc>
          <w:tcPr>
            <w:tcW w:w="554" w:type="dxa"/>
            <w:vAlign w:val="center"/>
          </w:tcPr>
          <w:p>
            <w:pPr>
              <w:jc w:val="center"/>
              <w:rPr>
                <w:rFonts w:ascii="宋体" w:hAnsi="宋体" w:cs="宋体"/>
                <w:color w:val="000000"/>
              </w:rPr>
            </w:pPr>
            <w:r>
              <w:rPr>
                <w:rFonts w:hint="eastAsia" w:ascii="宋体" w:hAnsi="宋体" w:cs="宋体"/>
                <w:color w:val="000000"/>
              </w:rPr>
              <w:t>12</w:t>
            </w:r>
          </w:p>
        </w:tc>
        <w:tc>
          <w:tcPr>
            <w:tcW w:w="1614" w:type="dxa"/>
            <w:vAlign w:val="center"/>
          </w:tcPr>
          <w:p>
            <w:pPr>
              <w:jc w:val="center"/>
              <w:rPr>
                <w:rFonts w:ascii="宋体" w:hAnsi="宋体" w:cs="宋体"/>
                <w:color w:val="000000"/>
              </w:rPr>
            </w:pPr>
            <w:r>
              <w:rPr>
                <w:rFonts w:hint="eastAsia" w:ascii="宋体" w:hAnsi="宋体" w:cs="宋体"/>
                <w:color w:val="000000"/>
                <w:spacing w:val="-2"/>
              </w:rPr>
              <w:t>★A020910</w:t>
            </w:r>
            <w:r>
              <w:rPr>
                <w:rFonts w:hint="eastAsia" w:ascii="宋体" w:hAnsi="宋体" w:cs="宋体"/>
                <w:color w:val="000000"/>
                <w:spacing w:val="-29"/>
              </w:rPr>
              <w:t xml:space="preserve"> 电 </w:t>
            </w:r>
            <w:r>
              <w:rPr>
                <w:rFonts w:hint="eastAsia" w:ascii="宋体" w:hAnsi="宋体" w:cs="宋体"/>
                <w:color w:val="000000"/>
              </w:rPr>
              <w:t>视设备</w:t>
            </w:r>
          </w:p>
        </w:tc>
        <w:tc>
          <w:tcPr>
            <w:tcW w:w="1350" w:type="dxa"/>
            <w:vAlign w:val="center"/>
          </w:tcPr>
          <w:p>
            <w:pPr>
              <w:jc w:val="center"/>
              <w:rPr>
                <w:rFonts w:ascii="宋体" w:hAnsi="宋体" w:cs="宋体"/>
                <w:color w:val="000000"/>
              </w:rPr>
            </w:pPr>
            <w:r>
              <w:rPr>
                <w:rFonts w:hint="eastAsia" w:ascii="宋体" w:hAnsi="宋体" w:cs="宋体"/>
                <w:color w:val="000000"/>
                <w:spacing w:val="-2"/>
              </w:rPr>
              <w:t>A02091001</w:t>
            </w:r>
            <w:r>
              <w:rPr>
                <w:rFonts w:hint="eastAsia" w:ascii="宋体" w:hAnsi="宋体" w:cs="宋体"/>
                <w:color w:val="000000"/>
                <w:spacing w:val="-6"/>
              </w:rPr>
              <w:t xml:space="preserve"> 普通电视</w:t>
            </w:r>
            <w:r>
              <w:rPr>
                <w:rFonts w:hint="eastAsia" w:ascii="宋体" w:hAnsi="宋体" w:cs="宋体"/>
                <w:color w:val="000000"/>
              </w:rPr>
              <w:t>设备（电视机）</w:t>
            </w:r>
          </w:p>
        </w:tc>
        <w:tc>
          <w:tcPr>
            <w:tcW w:w="1868" w:type="dxa"/>
            <w:vAlign w:val="center"/>
          </w:tcPr>
          <w:p>
            <w:pPr>
              <w:jc w:val="center"/>
              <w:rPr>
                <w:rFonts w:ascii="宋体" w:hAnsi="宋体" w:cs="宋体"/>
                <w:color w:val="000000"/>
              </w:rPr>
            </w:pPr>
          </w:p>
        </w:tc>
        <w:tc>
          <w:tcPr>
            <w:tcW w:w="3087" w:type="dxa"/>
            <w:vAlign w:val="center"/>
          </w:tcPr>
          <w:p>
            <w:pPr>
              <w:jc w:val="center"/>
              <w:rPr>
                <w:rFonts w:ascii="宋体" w:hAnsi="宋体" w:cs="宋体"/>
                <w:color w:val="000000"/>
              </w:rPr>
            </w:pPr>
            <w:r>
              <w:rPr>
                <w:rFonts w:hint="eastAsia" w:ascii="宋体" w:hAnsi="宋体" w:cs="宋体"/>
                <w:color w:val="000000"/>
                <w:spacing w:val="9"/>
              </w:rPr>
              <w:t>《平板电视能效限定值及能效等</w:t>
            </w:r>
            <w:r>
              <w:rPr>
                <w:rFonts w:hint="eastAsia" w:ascii="宋体" w:hAnsi="宋体" w:cs="宋体"/>
                <w:color w:val="000000"/>
              </w:rPr>
              <w:t>级》（GB24850）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1931" w:hRule="atLeast"/>
          <w:jc w:val="center"/>
        </w:trPr>
        <w:tc>
          <w:tcPr>
            <w:tcW w:w="554" w:type="dxa"/>
            <w:vAlign w:val="center"/>
          </w:tcPr>
          <w:p>
            <w:pPr>
              <w:jc w:val="center"/>
              <w:rPr>
                <w:rFonts w:ascii="宋体" w:hAnsi="宋体" w:cs="宋体"/>
                <w:color w:val="000000"/>
              </w:rPr>
            </w:pPr>
            <w:r>
              <w:rPr>
                <w:rFonts w:hint="eastAsia" w:ascii="宋体" w:hAnsi="宋体" w:cs="宋体"/>
                <w:color w:val="000000"/>
              </w:rPr>
              <w:t>13</w:t>
            </w:r>
          </w:p>
        </w:tc>
        <w:tc>
          <w:tcPr>
            <w:tcW w:w="1614" w:type="dxa"/>
            <w:vAlign w:val="center"/>
          </w:tcPr>
          <w:p>
            <w:pPr>
              <w:jc w:val="center"/>
              <w:rPr>
                <w:rFonts w:ascii="宋体" w:hAnsi="宋体" w:cs="宋体"/>
                <w:color w:val="000000"/>
              </w:rPr>
            </w:pPr>
            <w:r>
              <w:rPr>
                <w:rFonts w:hint="eastAsia" w:ascii="宋体" w:hAnsi="宋体" w:cs="宋体"/>
                <w:color w:val="000000"/>
                <w:spacing w:val="-2"/>
              </w:rPr>
              <w:t>★A020911</w:t>
            </w:r>
            <w:r>
              <w:rPr>
                <w:rFonts w:hint="eastAsia" w:ascii="宋体" w:hAnsi="宋体" w:cs="宋体"/>
                <w:color w:val="000000"/>
                <w:spacing w:val="-29"/>
              </w:rPr>
              <w:t xml:space="preserve"> 视 </w:t>
            </w:r>
            <w:r>
              <w:rPr>
                <w:rFonts w:hint="eastAsia" w:ascii="宋体" w:hAnsi="宋体" w:cs="宋体"/>
                <w:color w:val="000000"/>
              </w:rPr>
              <w:t>频设备</w:t>
            </w:r>
          </w:p>
        </w:tc>
        <w:tc>
          <w:tcPr>
            <w:tcW w:w="1350" w:type="dxa"/>
            <w:vAlign w:val="center"/>
          </w:tcPr>
          <w:p>
            <w:pPr>
              <w:jc w:val="center"/>
              <w:rPr>
                <w:rFonts w:ascii="宋体" w:hAnsi="宋体" w:cs="宋体"/>
                <w:color w:val="000000"/>
                <w:spacing w:val="-6"/>
              </w:rPr>
            </w:pPr>
            <w:r>
              <w:rPr>
                <w:rFonts w:hint="eastAsia" w:ascii="宋体" w:hAnsi="宋体" w:cs="宋体"/>
                <w:color w:val="000000"/>
                <w:spacing w:val="-2"/>
              </w:rPr>
              <w:t>A02091107</w:t>
            </w:r>
          </w:p>
          <w:p>
            <w:pPr>
              <w:jc w:val="center"/>
              <w:rPr>
                <w:rFonts w:ascii="宋体" w:hAnsi="宋体" w:cs="宋体"/>
                <w:color w:val="000000"/>
              </w:rPr>
            </w:pPr>
            <w:r>
              <w:rPr>
                <w:rFonts w:hint="eastAsia" w:ascii="宋体" w:hAnsi="宋体" w:cs="宋体"/>
                <w:color w:val="000000"/>
                <w:spacing w:val="-6"/>
              </w:rPr>
              <w:t>视频监控</w:t>
            </w:r>
            <w:r>
              <w:rPr>
                <w:rFonts w:hint="eastAsia" w:ascii="宋体" w:hAnsi="宋体" w:cs="宋体"/>
                <w:color w:val="000000"/>
              </w:rPr>
              <w:t>设备</w:t>
            </w:r>
          </w:p>
        </w:tc>
        <w:tc>
          <w:tcPr>
            <w:tcW w:w="1868" w:type="dxa"/>
            <w:vAlign w:val="center"/>
          </w:tcPr>
          <w:p>
            <w:pPr>
              <w:jc w:val="center"/>
              <w:rPr>
                <w:rFonts w:ascii="宋体" w:hAnsi="宋体" w:cs="宋体"/>
                <w:color w:val="000000"/>
              </w:rPr>
            </w:pPr>
            <w:r>
              <w:rPr>
                <w:rFonts w:hint="eastAsia" w:ascii="宋体" w:hAnsi="宋体" w:cs="宋体"/>
                <w:color w:val="000000"/>
              </w:rPr>
              <w:t>监视器</w:t>
            </w:r>
          </w:p>
        </w:tc>
        <w:tc>
          <w:tcPr>
            <w:tcW w:w="3087" w:type="dxa"/>
            <w:vAlign w:val="center"/>
          </w:tcPr>
          <w:p>
            <w:pPr>
              <w:jc w:val="center"/>
              <w:rPr>
                <w:rFonts w:ascii="宋体" w:hAnsi="宋体" w:cs="宋体"/>
                <w:color w:val="000000"/>
              </w:rPr>
            </w:pPr>
            <w:r>
              <w:rPr>
                <w:rFonts w:hint="eastAsia" w:ascii="宋体" w:hAnsi="宋体" w:cs="宋体"/>
                <w:color w:val="000000"/>
                <w:spacing w:val="9"/>
              </w:rPr>
              <w:t>以射频信号为主要信号输入的监</w:t>
            </w:r>
            <w:r>
              <w:rPr>
                <w:rFonts w:hint="eastAsia" w:ascii="宋体" w:hAnsi="宋体" w:cs="宋体"/>
                <w:color w:val="000000"/>
                <w:spacing w:val="-8"/>
              </w:rPr>
              <w:t>视器应符合《平板电视能效限定值</w:t>
            </w:r>
            <w:r>
              <w:rPr>
                <w:rFonts w:hint="eastAsia" w:ascii="宋体" w:hAnsi="宋体" w:cs="宋体"/>
                <w:color w:val="000000"/>
              </w:rPr>
              <w:t>及能效等级》（GB 24850），</w:t>
            </w:r>
            <w:r>
              <w:rPr>
                <w:rFonts w:hint="eastAsia" w:ascii="宋体" w:hAnsi="宋体" w:cs="宋体"/>
                <w:color w:val="000000"/>
                <w:spacing w:val="9"/>
              </w:rPr>
              <w:t>以数字信号为主要信号输入的监</w:t>
            </w:r>
          </w:p>
          <w:p>
            <w:pPr>
              <w:jc w:val="center"/>
              <w:rPr>
                <w:rFonts w:ascii="宋体" w:hAnsi="宋体" w:cs="宋体"/>
                <w:color w:val="000000"/>
              </w:rPr>
            </w:pPr>
            <w:r>
              <w:rPr>
                <w:rFonts w:hint="eastAsia" w:ascii="宋体" w:hAnsi="宋体" w:cs="宋体"/>
                <w:color w:val="000000"/>
                <w:spacing w:val="-8"/>
              </w:rPr>
              <w:t>视器应符合《计算机显示器能效限</w:t>
            </w:r>
            <w:r>
              <w:rPr>
                <w:rFonts w:hint="eastAsia" w:ascii="宋体" w:hAnsi="宋体" w:cs="宋体"/>
                <w:color w:val="000000"/>
              </w:rPr>
              <w:t>定值及能效等级》（GB 21520）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777" w:hRule="atLeast"/>
          <w:jc w:val="center"/>
        </w:trPr>
        <w:tc>
          <w:tcPr>
            <w:tcW w:w="554" w:type="dxa"/>
            <w:vAlign w:val="center"/>
          </w:tcPr>
          <w:p>
            <w:pPr>
              <w:jc w:val="center"/>
              <w:rPr>
                <w:rFonts w:ascii="宋体" w:hAnsi="宋体" w:cs="宋体"/>
                <w:color w:val="000000"/>
              </w:rPr>
            </w:pPr>
            <w:r>
              <w:rPr>
                <w:rFonts w:hint="eastAsia" w:ascii="宋体" w:hAnsi="宋体" w:cs="宋体"/>
                <w:color w:val="000000"/>
              </w:rPr>
              <w:t>14</w:t>
            </w:r>
          </w:p>
        </w:tc>
        <w:tc>
          <w:tcPr>
            <w:tcW w:w="1614" w:type="dxa"/>
            <w:vAlign w:val="center"/>
          </w:tcPr>
          <w:p>
            <w:pPr>
              <w:jc w:val="center"/>
              <w:rPr>
                <w:rFonts w:ascii="宋体" w:hAnsi="宋体" w:cs="宋体"/>
                <w:color w:val="000000"/>
              </w:rPr>
            </w:pPr>
            <w:r>
              <w:rPr>
                <w:rFonts w:hint="eastAsia" w:ascii="宋体" w:hAnsi="宋体" w:cs="宋体"/>
                <w:color w:val="000000"/>
                <w:spacing w:val="-2"/>
              </w:rPr>
              <w:t>A031210</w:t>
            </w:r>
            <w:r>
              <w:rPr>
                <w:rFonts w:hint="eastAsia" w:ascii="宋体" w:hAnsi="宋体" w:cs="宋体"/>
                <w:color w:val="000000"/>
                <w:spacing w:val="-20"/>
              </w:rPr>
              <w:t xml:space="preserve"> 饮 食 </w:t>
            </w:r>
            <w:r>
              <w:rPr>
                <w:rFonts w:hint="eastAsia" w:ascii="宋体" w:hAnsi="宋体" w:cs="宋体"/>
                <w:color w:val="000000"/>
              </w:rPr>
              <w:t>炊事机械</w:t>
            </w:r>
          </w:p>
        </w:tc>
        <w:tc>
          <w:tcPr>
            <w:tcW w:w="1350" w:type="dxa"/>
            <w:vAlign w:val="center"/>
          </w:tcPr>
          <w:p>
            <w:pPr>
              <w:jc w:val="center"/>
              <w:rPr>
                <w:rFonts w:ascii="宋体" w:hAnsi="宋体" w:cs="宋体"/>
                <w:color w:val="000000"/>
              </w:rPr>
            </w:pPr>
            <w:r>
              <w:rPr>
                <w:rFonts w:hint="eastAsia" w:ascii="宋体" w:hAnsi="宋体" w:cs="宋体"/>
                <w:color w:val="000000"/>
              </w:rPr>
              <w:t>商用燃气灶具</w:t>
            </w:r>
          </w:p>
        </w:tc>
        <w:tc>
          <w:tcPr>
            <w:tcW w:w="1868" w:type="dxa"/>
            <w:vAlign w:val="center"/>
          </w:tcPr>
          <w:p>
            <w:pPr>
              <w:jc w:val="center"/>
              <w:rPr>
                <w:rFonts w:ascii="宋体" w:hAnsi="宋体" w:cs="宋体"/>
                <w:color w:val="000000"/>
              </w:rPr>
            </w:pPr>
          </w:p>
        </w:tc>
        <w:tc>
          <w:tcPr>
            <w:tcW w:w="3087" w:type="dxa"/>
            <w:vAlign w:val="center"/>
          </w:tcPr>
          <w:p>
            <w:pPr>
              <w:jc w:val="center"/>
              <w:rPr>
                <w:rFonts w:ascii="宋体" w:hAnsi="宋体" w:cs="宋体"/>
                <w:color w:val="000000"/>
              </w:rPr>
            </w:pPr>
            <w:r>
              <w:rPr>
                <w:rFonts w:hint="eastAsia" w:ascii="宋体" w:hAnsi="宋体" w:cs="宋体"/>
                <w:color w:val="000000"/>
                <w:spacing w:val="9"/>
              </w:rPr>
              <w:t>《商用燃气灶具能效限定值及能</w:t>
            </w:r>
            <w:r>
              <w:rPr>
                <w:rFonts w:hint="eastAsia" w:ascii="宋体" w:hAnsi="宋体" w:cs="宋体"/>
                <w:color w:val="000000"/>
              </w:rPr>
              <w:t>效等级》（GB30531）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875" w:hRule="atLeast"/>
          <w:jc w:val="center"/>
        </w:trPr>
        <w:tc>
          <w:tcPr>
            <w:tcW w:w="554" w:type="dxa"/>
            <w:vMerge w:val="restart"/>
            <w:vAlign w:val="center"/>
          </w:tcPr>
          <w:p>
            <w:pPr>
              <w:jc w:val="center"/>
              <w:rPr>
                <w:rFonts w:ascii="宋体" w:hAnsi="宋体" w:cs="宋体"/>
                <w:color w:val="000000"/>
              </w:rPr>
            </w:pPr>
            <w:r>
              <w:rPr>
                <w:rFonts w:hint="eastAsia" w:ascii="宋体" w:hAnsi="宋体" w:cs="宋体"/>
                <w:color w:val="000000"/>
              </w:rPr>
              <w:t>15</w:t>
            </w:r>
          </w:p>
        </w:tc>
        <w:tc>
          <w:tcPr>
            <w:tcW w:w="1614" w:type="dxa"/>
            <w:vMerge w:val="restart"/>
            <w:vAlign w:val="center"/>
          </w:tcPr>
          <w:p>
            <w:pPr>
              <w:jc w:val="center"/>
              <w:rPr>
                <w:rFonts w:ascii="宋体" w:hAnsi="宋体" w:cs="宋体"/>
                <w:color w:val="000000"/>
              </w:rPr>
            </w:pPr>
            <w:r>
              <w:rPr>
                <w:rFonts w:hint="eastAsia" w:ascii="宋体" w:hAnsi="宋体" w:cs="宋体"/>
                <w:color w:val="000000"/>
                <w:spacing w:val="-2"/>
              </w:rPr>
              <w:t>★A060805</w:t>
            </w:r>
            <w:r>
              <w:rPr>
                <w:rFonts w:hint="eastAsia" w:ascii="宋体" w:hAnsi="宋体" w:cs="宋体"/>
                <w:color w:val="000000"/>
                <w:spacing w:val="-29"/>
              </w:rPr>
              <w:t xml:space="preserve"> 便 </w:t>
            </w:r>
            <w:r>
              <w:rPr>
                <w:rFonts w:hint="eastAsia" w:ascii="宋体" w:hAnsi="宋体" w:cs="宋体"/>
                <w:color w:val="000000"/>
              </w:rPr>
              <w:t>器</w:t>
            </w:r>
          </w:p>
        </w:tc>
        <w:tc>
          <w:tcPr>
            <w:tcW w:w="1350" w:type="dxa"/>
            <w:vAlign w:val="center"/>
          </w:tcPr>
          <w:p>
            <w:pPr>
              <w:jc w:val="center"/>
              <w:rPr>
                <w:rFonts w:ascii="宋体" w:hAnsi="宋体" w:cs="宋体"/>
                <w:color w:val="000000"/>
              </w:rPr>
            </w:pPr>
            <w:r>
              <w:rPr>
                <w:rFonts w:hint="eastAsia" w:ascii="宋体" w:hAnsi="宋体" w:cs="宋体"/>
                <w:color w:val="000000"/>
              </w:rPr>
              <w:t>坐便器</w:t>
            </w:r>
          </w:p>
        </w:tc>
        <w:tc>
          <w:tcPr>
            <w:tcW w:w="1868" w:type="dxa"/>
            <w:vAlign w:val="center"/>
          </w:tcPr>
          <w:p>
            <w:pPr>
              <w:jc w:val="center"/>
              <w:rPr>
                <w:rFonts w:ascii="宋体" w:hAnsi="宋体" w:cs="宋体"/>
                <w:color w:val="000000"/>
              </w:rPr>
            </w:pPr>
          </w:p>
        </w:tc>
        <w:tc>
          <w:tcPr>
            <w:tcW w:w="3087" w:type="dxa"/>
            <w:vAlign w:val="center"/>
          </w:tcPr>
          <w:p>
            <w:pPr>
              <w:jc w:val="center"/>
              <w:rPr>
                <w:rFonts w:ascii="宋体" w:hAnsi="宋体" w:cs="宋体"/>
                <w:color w:val="000000"/>
              </w:rPr>
            </w:pPr>
            <w:r>
              <w:rPr>
                <w:rFonts w:hint="eastAsia" w:ascii="宋体" w:hAnsi="宋体" w:cs="宋体"/>
                <w:color w:val="000000"/>
              </w:rPr>
              <w:t>《坐便器水效限定值及水效等级》（GB25502）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875" w:hRule="atLeast"/>
          <w:jc w:val="center"/>
        </w:trPr>
        <w:tc>
          <w:tcPr>
            <w:tcW w:w="554" w:type="dxa"/>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Align w:val="center"/>
          </w:tcPr>
          <w:p>
            <w:pPr>
              <w:jc w:val="center"/>
              <w:rPr>
                <w:rFonts w:ascii="宋体" w:hAnsi="宋体" w:cs="宋体"/>
                <w:color w:val="000000"/>
              </w:rPr>
            </w:pPr>
            <w:r>
              <w:rPr>
                <w:rFonts w:hint="eastAsia" w:ascii="宋体" w:hAnsi="宋体" w:cs="宋体"/>
                <w:color w:val="000000"/>
              </w:rPr>
              <w:t>蹲便器</w:t>
            </w:r>
          </w:p>
        </w:tc>
        <w:tc>
          <w:tcPr>
            <w:tcW w:w="1868" w:type="dxa"/>
            <w:vAlign w:val="center"/>
          </w:tcPr>
          <w:p>
            <w:pPr>
              <w:jc w:val="center"/>
              <w:rPr>
                <w:rFonts w:ascii="宋体" w:hAnsi="宋体" w:cs="宋体"/>
                <w:color w:val="000000"/>
              </w:rPr>
            </w:pPr>
          </w:p>
        </w:tc>
        <w:tc>
          <w:tcPr>
            <w:tcW w:w="3087" w:type="dxa"/>
            <w:vAlign w:val="center"/>
          </w:tcPr>
          <w:p>
            <w:pPr>
              <w:jc w:val="center"/>
              <w:rPr>
                <w:rFonts w:ascii="宋体" w:hAnsi="宋体" w:cs="宋体"/>
                <w:color w:val="000000"/>
              </w:rPr>
            </w:pPr>
            <w:r>
              <w:rPr>
                <w:rFonts w:hint="eastAsia" w:ascii="宋体" w:hAnsi="宋体" w:cs="宋体"/>
                <w:color w:val="000000"/>
                <w:spacing w:val="9"/>
              </w:rPr>
              <w:t>《蹲便器用水效率限定值及用水</w:t>
            </w:r>
            <w:r>
              <w:rPr>
                <w:rFonts w:hint="eastAsia" w:ascii="宋体" w:hAnsi="宋体" w:cs="宋体"/>
                <w:color w:val="000000"/>
              </w:rPr>
              <w:t>效率等级》（GB30717）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878" w:hRule="atLeast"/>
          <w:jc w:val="center"/>
        </w:trPr>
        <w:tc>
          <w:tcPr>
            <w:tcW w:w="554" w:type="dxa"/>
            <w:vMerge w:val="continue"/>
            <w:vAlign w:val="center"/>
          </w:tcPr>
          <w:p>
            <w:pPr>
              <w:autoSpaceDE w:val="0"/>
              <w:autoSpaceDN w:val="0"/>
              <w:jc w:val="center"/>
              <w:rPr>
                <w:rFonts w:ascii="宋体" w:hAnsi="宋体" w:cs="宋体"/>
                <w:color w:val="000000"/>
              </w:rPr>
            </w:pPr>
          </w:p>
        </w:tc>
        <w:tc>
          <w:tcPr>
            <w:tcW w:w="1614" w:type="dxa"/>
            <w:vMerge w:val="continue"/>
            <w:vAlign w:val="center"/>
          </w:tcPr>
          <w:p>
            <w:pPr>
              <w:autoSpaceDE w:val="0"/>
              <w:autoSpaceDN w:val="0"/>
              <w:jc w:val="center"/>
              <w:rPr>
                <w:rFonts w:ascii="宋体" w:hAnsi="宋体" w:cs="宋体"/>
                <w:color w:val="000000"/>
              </w:rPr>
            </w:pPr>
          </w:p>
        </w:tc>
        <w:tc>
          <w:tcPr>
            <w:tcW w:w="1350" w:type="dxa"/>
            <w:vAlign w:val="center"/>
          </w:tcPr>
          <w:p>
            <w:pPr>
              <w:jc w:val="center"/>
              <w:rPr>
                <w:rFonts w:ascii="宋体" w:hAnsi="宋体" w:cs="宋体"/>
                <w:color w:val="000000"/>
              </w:rPr>
            </w:pPr>
            <w:r>
              <w:rPr>
                <w:rFonts w:hint="eastAsia" w:ascii="宋体" w:hAnsi="宋体" w:cs="宋体"/>
                <w:color w:val="000000"/>
              </w:rPr>
              <w:t>小便器</w:t>
            </w:r>
          </w:p>
        </w:tc>
        <w:tc>
          <w:tcPr>
            <w:tcW w:w="1868" w:type="dxa"/>
            <w:vAlign w:val="center"/>
          </w:tcPr>
          <w:p>
            <w:pPr>
              <w:jc w:val="center"/>
              <w:rPr>
                <w:rFonts w:ascii="宋体" w:hAnsi="宋体" w:cs="宋体"/>
                <w:color w:val="000000"/>
              </w:rPr>
            </w:pPr>
          </w:p>
        </w:tc>
        <w:tc>
          <w:tcPr>
            <w:tcW w:w="3087" w:type="dxa"/>
            <w:vAlign w:val="center"/>
          </w:tcPr>
          <w:p>
            <w:pPr>
              <w:jc w:val="center"/>
              <w:rPr>
                <w:rFonts w:ascii="宋体" w:hAnsi="宋体" w:cs="宋体"/>
                <w:color w:val="000000"/>
              </w:rPr>
            </w:pPr>
            <w:r>
              <w:rPr>
                <w:rFonts w:hint="eastAsia" w:ascii="宋体" w:hAnsi="宋体" w:cs="宋体"/>
                <w:color w:val="000000"/>
                <w:spacing w:val="9"/>
              </w:rPr>
              <w:t>《小便器用水效率限定值及用水</w:t>
            </w:r>
            <w:r>
              <w:rPr>
                <w:rFonts w:hint="eastAsia" w:ascii="宋体" w:hAnsi="宋体" w:cs="宋体"/>
                <w:color w:val="000000"/>
              </w:rPr>
              <w:t>效率等级》（GB28377）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933" w:hRule="atLeast"/>
          <w:jc w:val="center"/>
        </w:trPr>
        <w:tc>
          <w:tcPr>
            <w:tcW w:w="554" w:type="dxa"/>
            <w:vAlign w:val="center"/>
          </w:tcPr>
          <w:p>
            <w:pPr>
              <w:jc w:val="center"/>
              <w:rPr>
                <w:rFonts w:ascii="宋体" w:hAnsi="宋体" w:cs="宋体"/>
                <w:color w:val="000000"/>
              </w:rPr>
            </w:pPr>
            <w:r>
              <w:rPr>
                <w:rFonts w:hint="eastAsia" w:ascii="宋体" w:hAnsi="宋体" w:cs="宋体"/>
                <w:color w:val="000000"/>
              </w:rPr>
              <w:t>16</w:t>
            </w:r>
          </w:p>
        </w:tc>
        <w:tc>
          <w:tcPr>
            <w:tcW w:w="1614" w:type="dxa"/>
            <w:vAlign w:val="center"/>
          </w:tcPr>
          <w:p>
            <w:pPr>
              <w:jc w:val="center"/>
              <w:rPr>
                <w:rFonts w:ascii="宋体" w:hAnsi="宋体" w:cs="宋体"/>
                <w:color w:val="000000"/>
              </w:rPr>
            </w:pPr>
            <w:r>
              <w:rPr>
                <w:rFonts w:hint="eastAsia" w:ascii="宋体" w:hAnsi="宋体" w:cs="宋体"/>
                <w:color w:val="000000"/>
                <w:spacing w:val="-2"/>
              </w:rPr>
              <w:t>★A060806</w:t>
            </w:r>
            <w:r>
              <w:rPr>
                <w:rFonts w:hint="eastAsia" w:ascii="宋体" w:hAnsi="宋体" w:cs="宋体"/>
                <w:color w:val="000000"/>
                <w:spacing w:val="-29"/>
              </w:rPr>
              <w:t xml:space="preserve"> 水 </w:t>
            </w:r>
            <w:r>
              <w:rPr>
                <w:rFonts w:hint="eastAsia" w:ascii="宋体" w:hAnsi="宋体" w:cs="宋体"/>
                <w:color w:val="000000"/>
              </w:rPr>
              <w:t>嘴</w:t>
            </w:r>
          </w:p>
        </w:tc>
        <w:tc>
          <w:tcPr>
            <w:tcW w:w="1350" w:type="dxa"/>
            <w:vAlign w:val="center"/>
          </w:tcPr>
          <w:p>
            <w:pPr>
              <w:jc w:val="center"/>
              <w:rPr>
                <w:rFonts w:ascii="宋体" w:hAnsi="宋体" w:cs="宋体"/>
                <w:color w:val="000000"/>
              </w:rPr>
            </w:pPr>
          </w:p>
        </w:tc>
        <w:tc>
          <w:tcPr>
            <w:tcW w:w="1868" w:type="dxa"/>
            <w:vAlign w:val="center"/>
          </w:tcPr>
          <w:p>
            <w:pPr>
              <w:jc w:val="center"/>
              <w:rPr>
                <w:rFonts w:ascii="宋体" w:hAnsi="宋体" w:cs="宋体"/>
                <w:color w:val="000000"/>
              </w:rPr>
            </w:pPr>
          </w:p>
        </w:tc>
        <w:tc>
          <w:tcPr>
            <w:tcW w:w="3087" w:type="dxa"/>
            <w:vAlign w:val="center"/>
          </w:tcPr>
          <w:p>
            <w:pPr>
              <w:jc w:val="center"/>
              <w:rPr>
                <w:rFonts w:ascii="宋体" w:hAnsi="宋体" w:cs="宋体"/>
                <w:color w:val="000000"/>
              </w:rPr>
            </w:pPr>
            <w:r>
              <w:rPr>
                <w:rFonts w:hint="eastAsia" w:ascii="宋体" w:hAnsi="宋体" w:cs="宋体"/>
                <w:color w:val="000000"/>
                <w:spacing w:val="9"/>
              </w:rPr>
              <w:t>《水嘴用水效率限定值及用水效</w:t>
            </w:r>
            <w:r>
              <w:rPr>
                <w:rFonts w:hint="eastAsia" w:ascii="宋体" w:hAnsi="宋体" w:cs="宋体"/>
                <w:color w:val="000000"/>
              </w:rPr>
              <w:t>率等级》（GB25501）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851" w:hRule="atLeast"/>
          <w:jc w:val="center"/>
        </w:trPr>
        <w:tc>
          <w:tcPr>
            <w:tcW w:w="554" w:type="dxa"/>
            <w:vAlign w:val="center"/>
          </w:tcPr>
          <w:p>
            <w:pPr>
              <w:jc w:val="center"/>
              <w:rPr>
                <w:rFonts w:ascii="宋体" w:hAnsi="宋体" w:cs="宋体"/>
                <w:color w:val="000000"/>
              </w:rPr>
            </w:pPr>
            <w:r>
              <w:rPr>
                <w:rFonts w:hint="eastAsia" w:ascii="宋体" w:hAnsi="宋体" w:cs="宋体"/>
                <w:color w:val="000000"/>
              </w:rPr>
              <w:t>17</w:t>
            </w:r>
          </w:p>
        </w:tc>
        <w:tc>
          <w:tcPr>
            <w:tcW w:w="1614" w:type="dxa"/>
            <w:vAlign w:val="center"/>
          </w:tcPr>
          <w:p>
            <w:pPr>
              <w:jc w:val="center"/>
              <w:rPr>
                <w:rFonts w:ascii="宋体" w:hAnsi="宋体" w:cs="宋体"/>
                <w:color w:val="000000"/>
                <w:spacing w:val="-20"/>
              </w:rPr>
            </w:pPr>
            <w:r>
              <w:rPr>
                <w:rFonts w:hint="eastAsia" w:ascii="宋体" w:hAnsi="宋体" w:cs="宋体"/>
                <w:color w:val="000000"/>
                <w:spacing w:val="-2"/>
              </w:rPr>
              <w:t>A060807</w:t>
            </w:r>
            <w:r>
              <w:rPr>
                <w:rFonts w:hint="eastAsia" w:ascii="宋体" w:hAnsi="宋体" w:cs="宋体"/>
                <w:color w:val="000000"/>
                <w:spacing w:val="-20"/>
              </w:rPr>
              <w:t xml:space="preserve"> 便</w:t>
            </w:r>
          </w:p>
          <w:p>
            <w:pPr>
              <w:jc w:val="center"/>
              <w:rPr>
                <w:rFonts w:ascii="宋体" w:hAnsi="宋体" w:cs="宋体"/>
                <w:color w:val="000000"/>
              </w:rPr>
            </w:pPr>
            <w:r>
              <w:rPr>
                <w:rFonts w:hint="eastAsia" w:ascii="宋体" w:hAnsi="宋体" w:cs="宋体"/>
                <w:color w:val="000000"/>
                <w:spacing w:val="-20"/>
              </w:rPr>
              <w:t>器</w:t>
            </w:r>
            <w:r>
              <w:rPr>
                <w:rFonts w:hint="eastAsia" w:ascii="宋体" w:hAnsi="宋体" w:cs="宋体"/>
                <w:color w:val="000000"/>
              </w:rPr>
              <w:t>冲洗阀</w:t>
            </w:r>
          </w:p>
        </w:tc>
        <w:tc>
          <w:tcPr>
            <w:tcW w:w="1350" w:type="dxa"/>
            <w:vAlign w:val="center"/>
          </w:tcPr>
          <w:p>
            <w:pPr>
              <w:jc w:val="center"/>
              <w:rPr>
                <w:rFonts w:ascii="宋体" w:hAnsi="宋体" w:cs="宋体"/>
                <w:color w:val="000000"/>
              </w:rPr>
            </w:pPr>
          </w:p>
        </w:tc>
        <w:tc>
          <w:tcPr>
            <w:tcW w:w="1868" w:type="dxa"/>
            <w:vAlign w:val="center"/>
          </w:tcPr>
          <w:p>
            <w:pPr>
              <w:jc w:val="center"/>
              <w:rPr>
                <w:rFonts w:ascii="宋体" w:hAnsi="宋体" w:cs="宋体"/>
                <w:color w:val="000000"/>
              </w:rPr>
            </w:pPr>
          </w:p>
        </w:tc>
        <w:tc>
          <w:tcPr>
            <w:tcW w:w="3087" w:type="dxa"/>
            <w:vAlign w:val="center"/>
          </w:tcPr>
          <w:p>
            <w:pPr>
              <w:jc w:val="center"/>
              <w:rPr>
                <w:rFonts w:ascii="宋体" w:hAnsi="宋体" w:cs="宋体"/>
                <w:color w:val="000000"/>
              </w:rPr>
            </w:pPr>
            <w:r>
              <w:rPr>
                <w:rFonts w:hint="eastAsia" w:ascii="宋体" w:hAnsi="宋体" w:cs="宋体"/>
                <w:color w:val="000000"/>
                <w:spacing w:val="9"/>
              </w:rPr>
              <w:t>《便器冲洗阀用水效率限定值及</w:t>
            </w:r>
            <w:r>
              <w:rPr>
                <w:rFonts w:hint="eastAsia" w:ascii="宋体" w:hAnsi="宋体" w:cs="宋体"/>
                <w:color w:val="000000"/>
              </w:rPr>
              <w:t>用水效率等级》（GB 28379）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892" w:hRule="atLeast"/>
          <w:jc w:val="center"/>
        </w:trPr>
        <w:tc>
          <w:tcPr>
            <w:tcW w:w="554" w:type="dxa"/>
            <w:vAlign w:val="center"/>
          </w:tcPr>
          <w:p>
            <w:pPr>
              <w:jc w:val="center"/>
              <w:rPr>
                <w:rFonts w:ascii="宋体" w:hAnsi="宋体" w:cs="宋体"/>
                <w:color w:val="000000"/>
              </w:rPr>
            </w:pPr>
            <w:r>
              <w:rPr>
                <w:rFonts w:hint="eastAsia" w:ascii="宋体" w:hAnsi="宋体" w:cs="宋体"/>
                <w:color w:val="000000"/>
              </w:rPr>
              <w:t>18</w:t>
            </w:r>
          </w:p>
        </w:tc>
        <w:tc>
          <w:tcPr>
            <w:tcW w:w="1614" w:type="dxa"/>
            <w:vAlign w:val="center"/>
          </w:tcPr>
          <w:p>
            <w:pPr>
              <w:jc w:val="center"/>
              <w:rPr>
                <w:rFonts w:ascii="宋体" w:hAnsi="宋体" w:cs="宋体"/>
                <w:color w:val="000000"/>
              </w:rPr>
            </w:pPr>
            <w:r>
              <w:rPr>
                <w:rFonts w:hint="eastAsia" w:ascii="宋体" w:hAnsi="宋体" w:cs="宋体"/>
                <w:color w:val="000000"/>
              </w:rPr>
              <w:t>A060810</w:t>
            </w:r>
            <w:r>
              <w:rPr>
                <w:rFonts w:hint="eastAsia" w:ascii="宋体" w:hAnsi="宋体" w:cs="宋体"/>
                <w:color w:val="000000"/>
                <w:spacing w:val="-9"/>
              </w:rPr>
              <w:t xml:space="preserve"> 淋浴</w:t>
            </w:r>
            <w:r>
              <w:rPr>
                <w:rFonts w:hint="eastAsia" w:ascii="宋体" w:hAnsi="宋体" w:cs="宋体"/>
                <w:color w:val="000000"/>
              </w:rPr>
              <w:t>器</w:t>
            </w:r>
          </w:p>
        </w:tc>
        <w:tc>
          <w:tcPr>
            <w:tcW w:w="1350" w:type="dxa"/>
            <w:vAlign w:val="center"/>
          </w:tcPr>
          <w:p>
            <w:pPr>
              <w:jc w:val="center"/>
              <w:rPr>
                <w:rFonts w:ascii="宋体" w:hAnsi="宋体" w:cs="宋体"/>
                <w:color w:val="000000"/>
              </w:rPr>
            </w:pPr>
          </w:p>
        </w:tc>
        <w:tc>
          <w:tcPr>
            <w:tcW w:w="1868" w:type="dxa"/>
            <w:vAlign w:val="center"/>
          </w:tcPr>
          <w:p>
            <w:pPr>
              <w:jc w:val="center"/>
              <w:rPr>
                <w:rFonts w:ascii="宋体" w:hAnsi="宋体" w:cs="宋体"/>
                <w:color w:val="000000"/>
              </w:rPr>
            </w:pPr>
          </w:p>
        </w:tc>
        <w:tc>
          <w:tcPr>
            <w:tcW w:w="3087" w:type="dxa"/>
            <w:vAlign w:val="center"/>
          </w:tcPr>
          <w:p>
            <w:pPr>
              <w:jc w:val="center"/>
              <w:rPr>
                <w:rFonts w:ascii="宋体" w:hAnsi="宋体" w:cs="宋体"/>
                <w:color w:val="000000"/>
              </w:rPr>
            </w:pPr>
            <w:r>
              <w:rPr>
                <w:rFonts w:hint="eastAsia" w:ascii="宋体" w:hAnsi="宋体" w:cs="宋体"/>
                <w:color w:val="000000"/>
                <w:spacing w:val="9"/>
              </w:rPr>
              <w:t>《淋浴器用水效率限定值及用水</w:t>
            </w:r>
            <w:r>
              <w:rPr>
                <w:rFonts w:hint="eastAsia" w:ascii="宋体" w:hAnsi="宋体" w:cs="宋体"/>
                <w:color w:val="000000"/>
              </w:rPr>
              <w:t>效率等级》（GB28378）</w:t>
            </w:r>
          </w:p>
        </w:tc>
      </w:tr>
      <w:bookmarkEnd w:id="147"/>
    </w:tbl>
    <w:p>
      <w:pPr>
        <w:widowControl/>
        <w:spacing w:line="360" w:lineRule="auto"/>
        <w:rPr>
          <w:rFonts w:ascii="宋体" w:hAnsi="宋体" w:cs="宋体"/>
          <w:color w:val="000000"/>
        </w:rPr>
      </w:pPr>
      <w:r>
        <w:rPr>
          <w:rFonts w:hint="eastAsia" w:ascii="宋体" w:hAnsi="宋体" w:cs="宋体"/>
          <w:color w:val="000000"/>
        </w:rPr>
        <w:t>注：1.节能产品认证应依据相关国家标准的最新版本，依据国家标准中二级能效（水效）指标。</w:t>
      </w:r>
    </w:p>
    <w:p>
      <w:pPr>
        <w:rPr>
          <w:rFonts w:hint="eastAsia" w:ascii="宋体" w:hAnsi="宋体" w:cs="宋体"/>
          <w:color w:val="000000"/>
        </w:rPr>
      </w:pPr>
      <w:r>
        <w:rPr>
          <w:rFonts w:hint="eastAsia" w:ascii="宋体" w:hAnsi="宋体" w:cs="宋体"/>
          <w:color w:val="000000"/>
        </w:rPr>
        <w:t>2.以“★”标注的为政府强制采购产品。</w:t>
      </w:r>
    </w:p>
    <w:p>
      <w:pPr>
        <w:pStyle w:val="24"/>
        <w:jc w:val="left"/>
        <w:rPr>
          <w:rFonts w:hAnsi="宋体" w:cs="宋体"/>
          <w:b/>
          <w:bCs/>
          <w:sz w:val="32"/>
          <w:szCs w:val="32"/>
        </w:rPr>
      </w:pPr>
      <w:r>
        <w:rPr>
          <w:rFonts w:hint="eastAsia" w:ascii="宋体" w:hAnsi="宋体" w:cs="宋体"/>
          <w:color w:val="000000"/>
        </w:rPr>
        <w:br w:type="page"/>
      </w:r>
      <w:r>
        <w:rPr>
          <w:rFonts w:hint="eastAsia" w:hAnsi="宋体" w:cs="宋体"/>
          <w:b/>
          <w:bCs/>
          <w:sz w:val="32"/>
          <w:szCs w:val="32"/>
        </w:rPr>
        <w:t>附件2：</w:t>
      </w:r>
    </w:p>
    <w:p>
      <w:pPr>
        <w:spacing w:line="528" w:lineRule="exact"/>
        <w:ind w:left="1871"/>
        <w:jc w:val="center"/>
        <w:rPr>
          <w:rFonts w:ascii="宋体" w:hAnsi="宋体" w:cs="宋体"/>
          <w:b/>
          <w:bCs/>
          <w:sz w:val="32"/>
          <w:szCs w:val="32"/>
        </w:rPr>
      </w:pPr>
      <w:r>
        <w:rPr>
          <w:rFonts w:hint="eastAsia" w:ascii="宋体" w:hAnsi="宋体" w:cs="宋体"/>
          <w:b/>
          <w:bCs/>
          <w:sz w:val="32"/>
          <w:szCs w:val="32"/>
        </w:rPr>
        <w:t>中小微企业划型标准</w:t>
      </w:r>
    </w:p>
    <w:tbl>
      <w:tblPr>
        <w:tblStyle w:val="44"/>
        <w:tblW w:w="9590" w:type="dxa"/>
        <w:tblInd w:w="160" w:type="dxa"/>
        <w:tblLayout w:type="fixed"/>
        <w:tblCellMar>
          <w:top w:w="0" w:type="dxa"/>
          <w:left w:w="108" w:type="dxa"/>
          <w:bottom w:w="0" w:type="dxa"/>
          <w:right w:w="108" w:type="dxa"/>
        </w:tblCellMar>
      </w:tblPr>
      <w:tblGrid>
        <w:gridCol w:w="2075"/>
        <w:gridCol w:w="1985"/>
        <w:gridCol w:w="851"/>
        <w:gridCol w:w="1843"/>
        <w:gridCol w:w="1702"/>
        <w:gridCol w:w="1134"/>
      </w:tblGrid>
      <w:tr>
        <w:tblPrEx>
          <w:tblCellMar>
            <w:top w:w="0" w:type="dxa"/>
            <w:left w:w="108" w:type="dxa"/>
            <w:bottom w:w="0" w:type="dxa"/>
            <w:right w:w="108" w:type="dxa"/>
          </w:tblCellMar>
        </w:tblPrEx>
        <w:trPr>
          <w:trHeight w:val="285" w:hRule="atLeast"/>
        </w:trPr>
        <w:tc>
          <w:tcPr>
            <w:tcW w:w="2075" w:type="dxa"/>
            <w:tcBorders>
              <w:top w:val="single" w:color="auto" w:sz="4" w:space="0"/>
              <w:left w:val="single" w:color="auto" w:sz="4" w:space="0"/>
              <w:bottom w:val="single" w:color="auto" w:sz="4" w:space="0"/>
              <w:right w:val="single" w:color="auto" w:sz="4" w:space="0"/>
            </w:tcBorders>
            <w:vAlign w:val="center"/>
          </w:tcPr>
          <w:p>
            <w:pPr>
              <w:widowControl/>
              <w:spacing w:line="336" w:lineRule="auto"/>
              <w:jc w:val="left"/>
              <w:rPr>
                <w:rFonts w:ascii="宋体" w:hAnsi="宋体" w:cs="宋体"/>
                <w:b/>
                <w:kern w:val="0"/>
                <w:sz w:val="24"/>
              </w:rPr>
            </w:pPr>
            <w:r>
              <w:rPr>
                <w:rFonts w:hint="eastAsia" w:ascii="宋体" w:hAnsi="宋体" w:cs="宋体"/>
                <w:b/>
                <w:kern w:val="0"/>
                <w:sz w:val="24"/>
              </w:rPr>
              <w:t>行业名称</w:t>
            </w:r>
          </w:p>
        </w:tc>
        <w:tc>
          <w:tcPr>
            <w:tcW w:w="1985" w:type="dxa"/>
            <w:tcBorders>
              <w:top w:val="single" w:color="auto" w:sz="4" w:space="0"/>
              <w:left w:val="nil"/>
              <w:bottom w:val="single" w:color="auto" w:sz="4" w:space="0"/>
              <w:right w:val="single" w:color="auto" w:sz="4" w:space="0"/>
            </w:tcBorders>
            <w:vAlign w:val="center"/>
          </w:tcPr>
          <w:p>
            <w:pPr>
              <w:widowControl/>
              <w:spacing w:line="336" w:lineRule="auto"/>
              <w:jc w:val="left"/>
              <w:rPr>
                <w:rFonts w:ascii="宋体" w:hAnsi="宋体" w:cs="宋体"/>
                <w:b/>
                <w:kern w:val="0"/>
                <w:sz w:val="24"/>
              </w:rPr>
            </w:pPr>
            <w:r>
              <w:rPr>
                <w:rFonts w:hint="eastAsia" w:ascii="宋体" w:hAnsi="宋体" w:cs="宋体"/>
                <w:b/>
                <w:kern w:val="0"/>
                <w:sz w:val="24"/>
              </w:rPr>
              <w:t>指标名称</w:t>
            </w:r>
          </w:p>
        </w:tc>
        <w:tc>
          <w:tcPr>
            <w:tcW w:w="851" w:type="dxa"/>
            <w:tcBorders>
              <w:top w:val="single" w:color="auto" w:sz="4" w:space="0"/>
              <w:left w:val="nil"/>
              <w:bottom w:val="single" w:color="auto" w:sz="4" w:space="0"/>
              <w:right w:val="single" w:color="auto" w:sz="4" w:space="0"/>
            </w:tcBorders>
            <w:vAlign w:val="center"/>
          </w:tcPr>
          <w:p>
            <w:pPr>
              <w:widowControl/>
              <w:spacing w:line="336" w:lineRule="auto"/>
              <w:jc w:val="left"/>
              <w:rPr>
                <w:rFonts w:ascii="宋体" w:hAnsi="宋体" w:cs="宋体"/>
                <w:b/>
                <w:kern w:val="0"/>
                <w:sz w:val="24"/>
              </w:rPr>
            </w:pPr>
            <w:r>
              <w:rPr>
                <w:rFonts w:hint="eastAsia" w:ascii="宋体" w:hAnsi="宋体" w:cs="宋体"/>
                <w:b/>
                <w:kern w:val="0"/>
                <w:sz w:val="24"/>
              </w:rPr>
              <w:t>计量单位</w:t>
            </w:r>
          </w:p>
        </w:tc>
        <w:tc>
          <w:tcPr>
            <w:tcW w:w="1843" w:type="dxa"/>
            <w:tcBorders>
              <w:top w:val="single" w:color="auto" w:sz="4" w:space="0"/>
              <w:left w:val="nil"/>
              <w:bottom w:val="single" w:color="auto" w:sz="4" w:space="0"/>
              <w:right w:val="single" w:color="auto" w:sz="4" w:space="0"/>
            </w:tcBorders>
            <w:vAlign w:val="center"/>
          </w:tcPr>
          <w:p>
            <w:pPr>
              <w:widowControl/>
              <w:spacing w:line="336" w:lineRule="auto"/>
              <w:jc w:val="left"/>
              <w:rPr>
                <w:rFonts w:ascii="宋体" w:hAnsi="宋体" w:cs="宋体"/>
                <w:b/>
                <w:kern w:val="0"/>
                <w:sz w:val="24"/>
              </w:rPr>
            </w:pPr>
            <w:r>
              <w:rPr>
                <w:rFonts w:hint="eastAsia" w:ascii="宋体" w:hAnsi="宋体" w:cs="宋体"/>
                <w:b/>
                <w:kern w:val="0"/>
                <w:sz w:val="24"/>
              </w:rPr>
              <w:t>中型</w:t>
            </w:r>
          </w:p>
        </w:tc>
        <w:tc>
          <w:tcPr>
            <w:tcW w:w="1702" w:type="dxa"/>
            <w:tcBorders>
              <w:top w:val="single" w:color="auto" w:sz="4" w:space="0"/>
              <w:left w:val="nil"/>
              <w:bottom w:val="single" w:color="auto" w:sz="4" w:space="0"/>
              <w:right w:val="single" w:color="auto" w:sz="4" w:space="0"/>
            </w:tcBorders>
            <w:vAlign w:val="center"/>
          </w:tcPr>
          <w:p>
            <w:pPr>
              <w:widowControl/>
              <w:spacing w:line="336" w:lineRule="auto"/>
              <w:jc w:val="left"/>
              <w:rPr>
                <w:rFonts w:ascii="宋体" w:hAnsi="宋体" w:cs="宋体"/>
                <w:b/>
                <w:kern w:val="0"/>
                <w:sz w:val="24"/>
              </w:rPr>
            </w:pPr>
            <w:r>
              <w:rPr>
                <w:rFonts w:hint="eastAsia" w:ascii="宋体" w:hAnsi="宋体" w:cs="宋体"/>
                <w:b/>
                <w:kern w:val="0"/>
                <w:sz w:val="24"/>
              </w:rPr>
              <w:t>小型</w:t>
            </w:r>
          </w:p>
        </w:tc>
        <w:tc>
          <w:tcPr>
            <w:tcW w:w="1134" w:type="dxa"/>
            <w:tcBorders>
              <w:top w:val="single" w:color="auto" w:sz="4" w:space="0"/>
              <w:left w:val="nil"/>
              <w:bottom w:val="single" w:color="auto" w:sz="4" w:space="0"/>
              <w:right w:val="single" w:color="auto" w:sz="4" w:space="0"/>
            </w:tcBorders>
            <w:vAlign w:val="center"/>
          </w:tcPr>
          <w:p>
            <w:pPr>
              <w:widowControl/>
              <w:spacing w:line="336" w:lineRule="auto"/>
              <w:jc w:val="left"/>
              <w:rPr>
                <w:rFonts w:ascii="宋体" w:hAnsi="宋体" w:cs="宋体"/>
                <w:b/>
                <w:kern w:val="0"/>
                <w:sz w:val="24"/>
              </w:rPr>
            </w:pPr>
            <w:r>
              <w:rPr>
                <w:rFonts w:hint="eastAsia" w:ascii="宋体" w:hAnsi="宋体" w:cs="宋体"/>
                <w:b/>
                <w:kern w:val="0"/>
                <w:sz w:val="24"/>
              </w:rPr>
              <w:t>微型</w:t>
            </w:r>
          </w:p>
        </w:tc>
      </w:tr>
      <w:tr>
        <w:tblPrEx>
          <w:tblCellMar>
            <w:top w:w="0" w:type="dxa"/>
            <w:left w:w="108" w:type="dxa"/>
            <w:bottom w:w="0" w:type="dxa"/>
            <w:right w:w="108" w:type="dxa"/>
          </w:tblCellMar>
        </w:tblPrEx>
        <w:trPr>
          <w:trHeight w:val="225" w:hRule="atLeast"/>
        </w:trPr>
        <w:tc>
          <w:tcPr>
            <w:tcW w:w="2075" w:type="dxa"/>
            <w:tcBorders>
              <w:top w:val="nil"/>
              <w:left w:val="single" w:color="auto" w:sz="4" w:space="0"/>
              <w:bottom w:val="single" w:color="auto" w:sz="4" w:space="0"/>
              <w:right w:val="single" w:color="auto" w:sz="4" w:space="0"/>
            </w:tcBorders>
            <w:vAlign w:val="bottom"/>
          </w:tcPr>
          <w:p>
            <w:pPr>
              <w:widowControl/>
              <w:spacing w:line="336" w:lineRule="auto"/>
              <w:jc w:val="center"/>
              <w:rPr>
                <w:rFonts w:ascii="宋体" w:hAnsi="宋体" w:cs="宋体"/>
                <w:b/>
                <w:bCs/>
                <w:kern w:val="0"/>
                <w:sz w:val="18"/>
                <w:szCs w:val="18"/>
              </w:rPr>
            </w:pPr>
            <w:r>
              <w:rPr>
                <w:rFonts w:hint="eastAsia" w:ascii="宋体" w:hAnsi="宋体" w:cs="宋体"/>
                <w:b/>
                <w:bCs/>
                <w:kern w:val="0"/>
                <w:sz w:val="18"/>
                <w:szCs w:val="18"/>
              </w:rPr>
              <w:t>农、林、牧、渔</w:t>
            </w: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500≤Y＜20000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50≤Y＜500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Y＜50</w:t>
            </w:r>
          </w:p>
        </w:tc>
      </w:tr>
      <w:tr>
        <w:tblPrEx>
          <w:tblCellMar>
            <w:top w:w="0" w:type="dxa"/>
            <w:left w:w="108" w:type="dxa"/>
            <w:bottom w:w="0" w:type="dxa"/>
            <w:right w:w="108" w:type="dxa"/>
          </w:tblCellMar>
        </w:tblPrEx>
        <w:trPr>
          <w:trHeight w:val="225" w:hRule="atLeast"/>
        </w:trPr>
        <w:tc>
          <w:tcPr>
            <w:tcW w:w="2075" w:type="dxa"/>
            <w:vMerge w:val="restart"/>
            <w:tcBorders>
              <w:top w:val="nil"/>
              <w:left w:val="single" w:color="auto" w:sz="4" w:space="0"/>
              <w:bottom w:val="single" w:color="auto" w:sz="4" w:space="0"/>
              <w:right w:val="single" w:color="auto" w:sz="4" w:space="0"/>
            </w:tcBorders>
            <w:vAlign w:val="bottom"/>
          </w:tcPr>
          <w:p>
            <w:pPr>
              <w:widowControl/>
              <w:spacing w:line="336" w:lineRule="auto"/>
              <w:jc w:val="center"/>
              <w:rPr>
                <w:rFonts w:ascii="宋体" w:hAnsi="宋体" w:cs="宋体"/>
                <w:b/>
                <w:bCs/>
                <w:kern w:val="0"/>
                <w:sz w:val="18"/>
                <w:szCs w:val="18"/>
              </w:rPr>
            </w:pPr>
            <w:r>
              <w:rPr>
                <w:rFonts w:hint="eastAsia" w:ascii="宋体" w:hAnsi="宋体" w:cs="宋体"/>
                <w:b/>
                <w:bCs/>
                <w:kern w:val="0"/>
                <w:sz w:val="18"/>
                <w:szCs w:val="18"/>
              </w:rPr>
              <w:t>工业</w:t>
            </w: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300≤X＜1000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20≤X＜300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trPr>
        <w:tc>
          <w:tcPr>
            <w:tcW w:w="2075" w:type="dxa"/>
            <w:vMerge w:val="continue"/>
            <w:tcBorders>
              <w:top w:val="nil"/>
              <w:left w:val="single" w:color="auto" w:sz="4" w:space="0"/>
              <w:bottom w:val="single" w:color="auto" w:sz="4" w:space="0"/>
              <w:right w:val="single" w:color="auto" w:sz="4" w:space="0"/>
            </w:tcBorders>
            <w:vAlign w:val="center"/>
          </w:tcPr>
          <w:p>
            <w:pPr>
              <w:widowControl/>
              <w:spacing w:line="336" w:lineRule="auto"/>
              <w:jc w:val="left"/>
              <w:rPr>
                <w:rFonts w:ascii="宋体" w:hAnsi="宋体"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2000≤Y＜40000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300≤Y＜2000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Y＜300</w:t>
            </w:r>
          </w:p>
        </w:tc>
      </w:tr>
      <w:tr>
        <w:tblPrEx>
          <w:tblCellMar>
            <w:top w:w="0" w:type="dxa"/>
            <w:left w:w="108" w:type="dxa"/>
            <w:bottom w:w="0" w:type="dxa"/>
            <w:right w:w="108" w:type="dxa"/>
          </w:tblCellMar>
        </w:tblPrEx>
        <w:trPr>
          <w:trHeight w:val="225" w:hRule="atLeast"/>
        </w:trPr>
        <w:tc>
          <w:tcPr>
            <w:tcW w:w="2075" w:type="dxa"/>
            <w:vMerge w:val="restart"/>
            <w:tcBorders>
              <w:top w:val="nil"/>
              <w:left w:val="single" w:color="auto" w:sz="4" w:space="0"/>
              <w:bottom w:val="single" w:color="auto" w:sz="4" w:space="0"/>
              <w:right w:val="single" w:color="auto" w:sz="4" w:space="0"/>
            </w:tcBorders>
            <w:vAlign w:val="bottom"/>
          </w:tcPr>
          <w:p>
            <w:pPr>
              <w:widowControl/>
              <w:spacing w:line="336" w:lineRule="auto"/>
              <w:jc w:val="center"/>
              <w:rPr>
                <w:rFonts w:ascii="宋体" w:hAnsi="宋体" w:cs="宋体"/>
                <w:b/>
                <w:bCs/>
                <w:kern w:val="0"/>
                <w:sz w:val="18"/>
                <w:szCs w:val="18"/>
              </w:rPr>
            </w:pPr>
            <w:r>
              <w:rPr>
                <w:rFonts w:hint="eastAsia" w:ascii="宋体" w:hAnsi="宋体" w:cs="宋体"/>
                <w:b/>
                <w:bCs/>
                <w:kern w:val="0"/>
                <w:sz w:val="18"/>
                <w:szCs w:val="18"/>
              </w:rPr>
              <w:t>建筑业</w:t>
            </w: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6000≤Y＜80000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300≤Y＜6000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Y＜300</w:t>
            </w:r>
          </w:p>
        </w:tc>
      </w:tr>
      <w:tr>
        <w:tblPrEx>
          <w:tblCellMar>
            <w:top w:w="0" w:type="dxa"/>
            <w:left w:w="108" w:type="dxa"/>
            <w:bottom w:w="0" w:type="dxa"/>
            <w:right w:w="108" w:type="dxa"/>
          </w:tblCellMar>
        </w:tblPrEx>
        <w:trPr>
          <w:trHeight w:val="225" w:hRule="atLeast"/>
        </w:trPr>
        <w:tc>
          <w:tcPr>
            <w:tcW w:w="2075" w:type="dxa"/>
            <w:vMerge w:val="continue"/>
            <w:tcBorders>
              <w:top w:val="nil"/>
              <w:left w:val="single" w:color="auto" w:sz="4" w:space="0"/>
              <w:bottom w:val="single" w:color="auto" w:sz="4" w:space="0"/>
              <w:right w:val="single" w:color="auto" w:sz="4" w:space="0"/>
            </w:tcBorders>
            <w:vAlign w:val="center"/>
          </w:tcPr>
          <w:p>
            <w:pPr>
              <w:widowControl/>
              <w:spacing w:line="336" w:lineRule="auto"/>
              <w:jc w:val="left"/>
              <w:rPr>
                <w:rFonts w:ascii="宋体" w:hAnsi="宋体"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资产总额（Z）</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5000≤Z＜80000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300≤Z＜5000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Z＜300</w:t>
            </w:r>
          </w:p>
        </w:tc>
      </w:tr>
      <w:tr>
        <w:tblPrEx>
          <w:tblCellMar>
            <w:top w:w="0" w:type="dxa"/>
            <w:left w:w="108" w:type="dxa"/>
            <w:bottom w:w="0" w:type="dxa"/>
            <w:right w:w="108" w:type="dxa"/>
          </w:tblCellMar>
        </w:tblPrEx>
        <w:trPr>
          <w:trHeight w:val="225" w:hRule="atLeast"/>
        </w:trPr>
        <w:tc>
          <w:tcPr>
            <w:tcW w:w="2075" w:type="dxa"/>
            <w:vMerge w:val="restart"/>
            <w:tcBorders>
              <w:top w:val="nil"/>
              <w:left w:val="single" w:color="auto" w:sz="4" w:space="0"/>
              <w:bottom w:val="single" w:color="auto" w:sz="4" w:space="0"/>
              <w:right w:val="single" w:color="auto" w:sz="4" w:space="0"/>
            </w:tcBorders>
            <w:vAlign w:val="bottom"/>
          </w:tcPr>
          <w:p>
            <w:pPr>
              <w:widowControl/>
              <w:spacing w:line="336" w:lineRule="auto"/>
              <w:jc w:val="center"/>
              <w:rPr>
                <w:rFonts w:ascii="宋体" w:hAnsi="宋体" w:cs="宋体"/>
                <w:b/>
                <w:bCs/>
                <w:kern w:val="0"/>
                <w:sz w:val="18"/>
                <w:szCs w:val="18"/>
              </w:rPr>
            </w:pPr>
            <w:r>
              <w:rPr>
                <w:rFonts w:hint="eastAsia" w:ascii="宋体" w:hAnsi="宋体" w:cs="宋体"/>
                <w:b/>
                <w:bCs/>
                <w:kern w:val="0"/>
                <w:sz w:val="18"/>
                <w:szCs w:val="18"/>
              </w:rPr>
              <w:t>批发业</w:t>
            </w: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20≤X＜200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5≤X＜20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X＜5</w:t>
            </w:r>
          </w:p>
        </w:tc>
      </w:tr>
      <w:tr>
        <w:tblPrEx>
          <w:tblCellMar>
            <w:top w:w="0" w:type="dxa"/>
            <w:left w:w="108" w:type="dxa"/>
            <w:bottom w:w="0" w:type="dxa"/>
            <w:right w:w="108" w:type="dxa"/>
          </w:tblCellMar>
        </w:tblPrEx>
        <w:trPr>
          <w:trHeight w:val="225" w:hRule="atLeast"/>
        </w:trPr>
        <w:tc>
          <w:tcPr>
            <w:tcW w:w="2075" w:type="dxa"/>
            <w:vMerge w:val="continue"/>
            <w:tcBorders>
              <w:top w:val="nil"/>
              <w:left w:val="single" w:color="auto" w:sz="4" w:space="0"/>
              <w:bottom w:val="single" w:color="auto" w:sz="4" w:space="0"/>
              <w:right w:val="single" w:color="auto" w:sz="4" w:space="0"/>
            </w:tcBorders>
            <w:vAlign w:val="center"/>
          </w:tcPr>
          <w:p>
            <w:pPr>
              <w:widowControl/>
              <w:spacing w:line="336" w:lineRule="auto"/>
              <w:jc w:val="left"/>
              <w:rPr>
                <w:rFonts w:ascii="宋体" w:hAnsi="宋体"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5000≤Y＜40000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1000≤Y＜5000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Y＜1000</w:t>
            </w:r>
          </w:p>
        </w:tc>
      </w:tr>
      <w:tr>
        <w:tblPrEx>
          <w:tblCellMar>
            <w:top w:w="0" w:type="dxa"/>
            <w:left w:w="108" w:type="dxa"/>
            <w:bottom w:w="0" w:type="dxa"/>
            <w:right w:w="108" w:type="dxa"/>
          </w:tblCellMar>
        </w:tblPrEx>
        <w:trPr>
          <w:trHeight w:val="225" w:hRule="atLeast"/>
        </w:trPr>
        <w:tc>
          <w:tcPr>
            <w:tcW w:w="2075" w:type="dxa"/>
            <w:vMerge w:val="restart"/>
            <w:tcBorders>
              <w:top w:val="nil"/>
              <w:left w:val="single" w:color="auto" w:sz="4" w:space="0"/>
              <w:bottom w:val="single" w:color="auto" w:sz="4" w:space="0"/>
              <w:right w:val="single" w:color="auto" w:sz="4" w:space="0"/>
            </w:tcBorders>
            <w:vAlign w:val="bottom"/>
          </w:tcPr>
          <w:p>
            <w:pPr>
              <w:widowControl/>
              <w:spacing w:line="336" w:lineRule="auto"/>
              <w:jc w:val="center"/>
              <w:rPr>
                <w:rFonts w:ascii="宋体" w:hAnsi="宋体" w:cs="宋体"/>
                <w:b/>
                <w:bCs/>
                <w:kern w:val="0"/>
                <w:sz w:val="18"/>
                <w:szCs w:val="18"/>
              </w:rPr>
            </w:pPr>
            <w:r>
              <w:rPr>
                <w:rFonts w:hint="eastAsia" w:ascii="宋体" w:hAnsi="宋体" w:cs="宋体"/>
                <w:b/>
                <w:bCs/>
                <w:kern w:val="0"/>
                <w:sz w:val="18"/>
                <w:szCs w:val="18"/>
              </w:rPr>
              <w:t>零售业</w:t>
            </w: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50≤X＜300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10≤X＜50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trPr>
        <w:tc>
          <w:tcPr>
            <w:tcW w:w="2075" w:type="dxa"/>
            <w:vMerge w:val="continue"/>
            <w:tcBorders>
              <w:top w:val="nil"/>
              <w:left w:val="single" w:color="auto" w:sz="4" w:space="0"/>
              <w:bottom w:val="single" w:color="auto" w:sz="4" w:space="0"/>
              <w:right w:val="single" w:color="auto" w:sz="4" w:space="0"/>
            </w:tcBorders>
            <w:vAlign w:val="center"/>
          </w:tcPr>
          <w:p>
            <w:pPr>
              <w:widowControl/>
              <w:spacing w:line="336" w:lineRule="auto"/>
              <w:jc w:val="left"/>
              <w:rPr>
                <w:rFonts w:ascii="宋体" w:hAnsi="宋体"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500≤Y＜20000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100≤Y＜500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trPr>
        <w:tc>
          <w:tcPr>
            <w:tcW w:w="2075" w:type="dxa"/>
            <w:vMerge w:val="restart"/>
            <w:tcBorders>
              <w:top w:val="nil"/>
              <w:left w:val="single" w:color="auto" w:sz="4" w:space="0"/>
              <w:bottom w:val="single" w:color="auto" w:sz="4" w:space="0"/>
              <w:right w:val="single" w:color="auto" w:sz="4" w:space="0"/>
            </w:tcBorders>
            <w:vAlign w:val="bottom"/>
          </w:tcPr>
          <w:p>
            <w:pPr>
              <w:widowControl/>
              <w:spacing w:line="336" w:lineRule="auto"/>
              <w:jc w:val="center"/>
              <w:rPr>
                <w:rFonts w:ascii="宋体" w:hAnsi="宋体" w:cs="宋体"/>
                <w:b/>
                <w:bCs/>
                <w:kern w:val="0"/>
                <w:sz w:val="18"/>
                <w:szCs w:val="18"/>
              </w:rPr>
            </w:pPr>
            <w:r>
              <w:rPr>
                <w:rFonts w:hint="eastAsia" w:ascii="宋体" w:hAnsi="宋体" w:cs="宋体"/>
                <w:b/>
                <w:bCs/>
                <w:kern w:val="0"/>
                <w:sz w:val="18"/>
                <w:szCs w:val="18"/>
              </w:rPr>
              <w:t>交通运输业</w:t>
            </w: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300≤X＜1000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20≤X＜300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trPr>
        <w:tc>
          <w:tcPr>
            <w:tcW w:w="2075" w:type="dxa"/>
            <w:vMerge w:val="continue"/>
            <w:tcBorders>
              <w:top w:val="nil"/>
              <w:left w:val="single" w:color="auto" w:sz="4" w:space="0"/>
              <w:bottom w:val="single" w:color="auto" w:sz="4" w:space="0"/>
              <w:right w:val="single" w:color="auto" w:sz="4" w:space="0"/>
            </w:tcBorders>
            <w:vAlign w:val="center"/>
          </w:tcPr>
          <w:p>
            <w:pPr>
              <w:widowControl/>
              <w:spacing w:line="336" w:lineRule="auto"/>
              <w:jc w:val="left"/>
              <w:rPr>
                <w:rFonts w:ascii="宋体" w:hAnsi="宋体"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3000≤Y＜30000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200≤Y＜3000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Y＜200</w:t>
            </w:r>
          </w:p>
        </w:tc>
      </w:tr>
      <w:tr>
        <w:tblPrEx>
          <w:tblCellMar>
            <w:top w:w="0" w:type="dxa"/>
            <w:left w:w="108" w:type="dxa"/>
            <w:bottom w:w="0" w:type="dxa"/>
            <w:right w:w="108" w:type="dxa"/>
          </w:tblCellMar>
        </w:tblPrEx>
        <w:trPr>
          <w:trHeight w:val="225" w:hRule="atLeast"/>
        </w:trPr>
        <w:tc>
          <w:tcPr>
            <w:tcW w:w="2075" w:type="dxa"/>
            <w:vMerge w:val="restart"/>
            <w:tcBorders>
              <w:top w:val="nil"/>
              <w:left w:val="single" w:color="auto" w:sz="4" w:space="0"/>
              <w:bottom w:val="single" w:color="auto" w:sz="4" w:space="0"/>
              <w:right w:val="single" w:color="auto" w:sz="4" w:space="0"/>
            </w:tcBorders>
            <w:vAlign w:val="bottom"/>
          </w:tcPr>
          <w:p>
            <w:pPr>
              <w:widowControl/>
              <w:spacing w:line="336" w:lineRule="auto"/>
              <w:jc w:val="center"/>
              <w:rPr>
                <w:rFonts w:ascii="宋体" w:hAnsi="宋体" w:cs="宋体"/>
                <w:b/>
                <w:bCs/>
                <w:kern w:val="0"/>
                <w:sz w:val="18"/>
                <w:szCs w:val="18"/>
              </w:rPr>
            </w:pPr>
            <w:r>
              <w:rPr>
                <w:rFonts w:hint="eastAsia" w:ascii="宋体" w:hAnsi="宋体" w:cs="宋体"/>
                <w:b/>
                <w:bCs/>
                <w:kern w:val="0"/>
                <w:sz w:val="18"/>
                <w:szCs w:val="18"/>
              </w:rPr>
              <w:t>仓储业</w:t>
            </w: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100≤X＜200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20≤X＜100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trPr>
        <w:tc>
          <w:tcPr>
            <w:tcW w:w="2075" w:type="dxa"/>
            <w:vMerge w:val="continue"/>
            <w:tcBorders>
              <w:top w:val="nil"/>
              <w:left w:val="single" w:color="auto" w:sz="4" w:space="0"/>
              <w:bottom w:val="single" w:color="auto" w:sz="4" w:space="0"/>
              <w:right w:val="single" w:color="auto" w:sz="4" w:space="0"/>
            </w:tcBorders>
            <w:vAlign w:val="center"/>
          </w:tcPr>
          <w:p>
            <w:pPr>
              <w:widowControl/>
              <w:spacing w:line="336" w:lineRule="auto"/>
              <w:jc w:val="left"/>
              <w:rPr>
                <w:rFonts w:ascii="宋体" w:hAnsi="宋体"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1000≤Y＜30000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100≤Y＜1000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trPr>
        <w:tc>
          <w:tcPr>
            <w:tcW w:w="2075" w:type="dxa"/>
            <w:vMerge w:val="restart"/>
            <w:tcBorders>
              <w:top w:val="nil"/>
              <w:left w:val="single" w:color="auto" w:sz="4" w:space="0"/>
              <w:bottom w:val="single" w:color="auto" w:sz="4" w:space="0"/>
              <w:right w:val="single" w:color="auto" w:sz="4" w:space="0"/>
            </w:tcBorders>
            <w:vAlign w:val="bottom"/>
          </w:tcPr>
          <w:p>
            <w:pPr>
              <w:widowControl/>
              <w:spacing w:line="336" w:lineRule="auto"/>
              <w:jc w:val="center"/>
              <w:rPr>
                <w:rFonts w:ascii="宋体" w:hAnsi="宋体" w:cs="宋体"/>
                <w:b/>
                <w:bCs/>
                <w:kern w:val="0"/>
                <w:sz w:val="18"/>
                <w:szCs w:val="18"/>
              </w:rPr>
            </w:pPr>
            <w:r>
              <w:rPr>
                <w:rFonts w:hint="eastAsia" w:ascii="宋体" w:hAnsi="宋体" w:cs="宋体"/>
                <w:b/>
                <w:bCs/>
                <w:kern w:val="0"/>
                <w:sz w:val="18"/>
                <w:szCs w:val="18"/>
              </w:rPr>
              <w:t>邮政业</w:t>
            </w: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300≤X＜1000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20≤X＜300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trPr>
        <w:tc>
          <w:tcPr>
            <w:tcW w:w="2075" w:type="dxa"/>
            <w:vMerge w:val="continue"/>
            <w:tcBorders>
              <w:top w:val="nil"/>
              <w:left w:val="single" w:color="auto" w:sz="4" w:space="0"/>
              <w:bottom w:val="single" w:color="auto" w:sz="4" w:space="0"/>
              <w:right w:val="single" w:color="auto" w:sz="4" w:space="0"/>
            </w:tcBorders>
            <w:vAlign w:val="center"/>
          </w:tcPr>
          <w:p>
            <w:pPr>
              <w:widowControl/>
              <w:spacing w:line="336" w:lineRule="auto"/>
              <w:jc w:val="left"/>
              <w:rPr>
                <w:rFonts w:ascii="宋体" w:hAnsi="宋体"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2000≤Y＜30000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100≤Y＜2000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trPr>
        <w:tc>
          <w:tcPr>
            <w:tcW w:w="2075" w:type="dxa"/>
            <w:vMerge w:val="restart"/>
            <w:tcBorders>
              <w:top w:val="nil"/>
              <w:left w:val="single" w:color="auto" w:sz="4" w:space="0"/>
              <w:bottom w:val="single" w:color="auto" w:sz="4" w:space="0"/>
              <w:right w:val="single" w:color="auto" w:sz="4" w:space="0"/>
            </w:tcBorders>
            <w:vAlign w:val="bottom"/>
          </w:tcPr>
          <w:p>
            <w:pPr>
              <w:widowControl/>
              <w:spacing w:line="336" w:lineRule="auto"/>
              <w:jc w:val="center"/>
              <w:rPr>
                <w:rFonts w:ascii="宋体" w:hAnsi="宋体" w:cs="宋体"/>
                <w:b/>
                <w:bCs/>
                <w:kern w:val="0"/>
                <w:sz w:val="18"/>
                <w:szCs w:val="18"/>
              </w:rPr>
            </w:pPr>
            <w:r>
              <w:rPr>
                <w:rFonts w:hint="eastAsia" w:ascii="宋体" w:hAnsi="宋体" w:cs="宋体"/>
                <w:b/>
                <w:bCs/>
                <w:kern w:val="0"/>
                <w:sz w:val="18"/>
                <w:szCs w:val="18"/>
              </w:rPr>
              <w:t>住宿业</w:t>
            </w: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100≤X＜300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10≤X＜100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trPr>
        <w:tc>
          <w:tcPr>
            <w:tcW w:w="2075" w:type="dxa"/>
            <w:vMerge w:val="continue"/>
            <w:tcBorders>
              <w:top w:val="nil"/>
              <w:left w:val="single" w:color="auto" w:sz="4" w:space="0"/>
              <w:bottom w:val="single" w:color="auto" w:sz="4" w:space="0"/>
              <w:right w:val="single" w:color="auto" w:sz="4" w:space="0"/>
            </w:tcBorders>
            <w:vAlign w:val="center"/>
          </w:tcPr>
          <w:p>
            <w:pPr>
              <w:widowControl/>
              <w:spacing w:line="336" w:lineRule="auto"/>
              <w:jc w:val="left"/>
              <w:rPr>
                <w:rFonts w:ascii="宋体" w:hAnsi="宋体"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2000≤Y＜10000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100≤Y＜2000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trPr>
        <w:tc>
          <w:tcPr>
            <w:tcW w:w="2075" w:type="dxa"/>
            <w:vMerge w:val="restart"/>
            <w:tcBorders>
              <w:top w:val="nil"/>
              <w:left w:val="single" w:color="auto" w:sz="4" w:space="0"/>
              <w:bottom w:val="single" w:color="auto" w:sz="4" w:space="0"/>
              <w:right w:val="single" w:color="auto" w:sz="4" w:space="0"/>
            </w:tcBorders>
            <w:vAlign w:val="bottom"/>
          </w:tcPr>
          <w:p>
            <w:pPr>
              <w:widowControl/>
              <w:spacing w:line="336" w:lineRule="auto"/>
              <w:jc w:val="center"/>
              <w:rPr>
                <w:rFonts w:ascii="宋体" w:hAnsi="宋体" w:cs="宋体"/>
                <w:b/>
                <w:bCs/>
                <w:kern w:val="0"/>
                <w:sz w:val="18"/>
                <w:szCs w:val="18"/>
              </w:rPr>
            </w:pPr>
            <w:r>
              <w:rPr>
                <w:rFonts w:hint="eastAsia" w:ascii="宋体" w:hAnsi="宋体" w:cs="宋体"/>
                <w:b/>
                <w:bCs/>
                <w:kern w:val="0"/>
                <w:sz w:val="18"/>
                <w:szCs w:val="18"/>
              </w:rPr>
              <w:t>餐饮业</w:t>
            </w: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100≤X＜300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10≤X＜100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trPr>
        <w:tc>
          <w:tcPr>
            <w:tcW w:w="2075" w:type="dxa"/>
            <w:vMerge w:val="continue"/>
            <w:tcBorders>
              <w:top w:val="nil"/>
              <w:left w:val="single" w:color="auto" w:sz="4" w:space="0"/>
              <w:bottom w:val="single" w:color="auto" w:sz="4" w:space="0"/>
              <w:right w:val="single" w:color="auto" w:sz="4" w:space="0"/>
            </w:tcBorders>
            <w:vAlign w:val="center"/>
          </w:tcPr>
          <w:p>
            <w:pPr>
              <w:widowControl/>
              <w:spacing w:line="336" w:lineRule="auto"/>
              <w:jc w:val="left"/>
              <w:rPr>
                <w:rFonts w:ascii="宋体" w:hAnsi="宋体"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2000≤Y＜10000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100≤Y＜2000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trPr>
        <w:tc>
          <w:tcPr>
            <w:tcW w:w="2075" w:type="dxa"/>
            <w:vMerge w:val="restart"/>
            <w:tcBorders>
              <w:top w:val="nil"/>
              <w:left w:val="single" w:color="auto" w:sz="4" w:space="0"/>
              <w:bottom w:val="single" w:color="auto" w:sz="4" w:space="0"/>
              <w:right w:val="single" w:color="auto" w:sz="4" w:space="0"/>
            </w:tcBorders>
            <w:vAlign w:val="bottom"/>
          </w:tcPr>
          <w:p>
            <w:pPr>
              <w:widowControl/>
              <w:spacing w:line="336" w:lineRule="auto"/>
              <w:jc w:val="center"/>
              <w:rPr>
                <w:rFonts w:ascii="宋体" w:hAnsi="宋体" w:cs="宋体"/>
                <w:b/>
                <w:bCs/>
                <w:kern w:val="0"/>
                <w:sz w:val="18"/>
                <w:szCs w:val="18"/>
              </w:rPr>
            </w:pPr>
            <w:r>
              <w:rPr>
                <w:rFonts w:hint="eastAsia" w:ascii="宋体" w:hAnsi="宋体" w:cs="宋体"/>
                <w:b/>
                <w:bCs/>
                <w:kern w:val="0"/>
                <w:sz w:val="18"/>
                <w:szCs w:val="18"/>
              </w:rPr>
              <w:t>信息传输业</w:t>
            </w: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100≤X＜2000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10≤X＜100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trPr>
        <w:tc>
          <w:tcPr>
            <w:tcW w:w="2075" w:type="dxa"/>
            <w:vMerge w:val="continue"/>
            <w:tcBorders>
              <w:top w:val="nil"/>
              <w:left w:val="single" w:color="auto" w:sz="4" w:space="0"/>
              <w:bottom w:val="single" w:color="auto" w:sz="4" w:space="0"/>
              <w:right w:val="single" w:color="auto" w:sz="4" w:space="0"/>
            </w:tcBorders>
            <w:vAlign w:val="center"/>
          </w:tcPr>
          <w:p>
            <w:pPr>
              <w:widowControl/>
              <w:spacing w:line="336" w:lineRule="auto"/>
              <w:jc w:val="left"/>
              <w:rPr>
                <w:rFonts w:ascii="宋体" w:hAnsi="宋体"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1000≤Y＜100000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100≤Y＜1000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trPr>
        <w:tc>
          <w:tcPr>
            <w:tcW w:w="2075" w:type="dxa"/>
            <w:vMerge w:val="restart"/>
            <w:tcBorders>
              <w:top w:val="nil"/>
              <w:left w:val="single" w:color="auto" w:sz="4" w:space="0"/>
              <w:bottom w:val="single" w:color="auto" w:sz="4" w:space="0"/>
              <w:right w:val="single" w:color="auto" w:sz="4" w:space="0"/>
            </w:tcBorders>
            <w:vAlign w:val="bottom"/>
          </w:tcPr>
          <w:p>
            <w:pPr>
              <w:widowControl/>
              <w:spacing w:line="336" w:lineRule="auto"/>
              <w:jc w:val="center"/>
              <w:rPr>
                <w:rFonts w:ascii="宋体" w:hAnsi="宋体" w:cs="宋体"/>
                <w:b/>
                <w:bCs/>
                <w:kern w:val="0"/>
                <w:sz w:val="18"/>
                <w:szCs w:val="18"/>
              </w:rPr>
            </w:pPr>
            <w:r>
              <w:rPr>
                <w:rFonts w:hint="eastAsia" w:ascii="宋体" w:hAnsi="宋体" w:cs="宋体"/>
                <w:b/>
                <w:bCs/>
                <w:kern w:val="0"/>
                <w:sz w:val="18"/>
                <w:szCs w:val="18"/>
              </w:rPr>
              <w:t>软件和信息技术服务业</w:t>
            </w: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100≤X＜300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10≤X＜100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trPr>
        <w:tc>
          <w:tcPr>
            <w:tcW w:w="2075" w:type="dxa"/>
            <w:vMerge w:val="continue"/>
            <w:tcBorders>
              <w:top w:val="nil"/>
              <w:left w:val="single" w:color="auto" w:sz="4" w:space="0"/>
              <w:bottom w:val="single" w:color="auto" w:sz="4" w:space="0"/>
              <w:right w:val="single" w:color="auto" w:sz="4" w:space="0"/>
            </w:tcBorders>
            <w:vAlign w:val="center"/>
          </w:tcPr>
          <w:p>
            <w:pPr>
              <w:widowControl/>
              <w:spacing w:line="336" w:lineRule="auto"/>
              <w:jc w:val="left"/>
              <w:rPr>
                <w:rFonts w:ascii="宋体" w:hAnsi="宋体"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1000≤Y＜10000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50≤Y＜1000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Y＜50</w:t>
            </w:r>
          </w:p>
        </w:tc>
      </w:tr>
      <w:tr>
        <w:tblPrEx>
          <w:tblCellMar>
            <w:top w:w="0" w:type="dxa"/>
            <w:left w:w="108" w:type="dxa"/>
            <w:bottom w:w="0" w:type="dxa"/>
            <w:right w:w="108" w:type="dxa"/>
          </w:tblCellMar>
        </w:tblPrEx>
        <w:trPr>
          <w:trHeight w:val="225" w:hRule="atLeast"/>
        </w:trPr>
        <w:tc>
          <w:tcPr>
            <w:tcW w:w="2075" w:type="dxa"/>
            <w:vMerge w:val="restart"/>
            <w:tcBorders>
              <w:top w:val="nil"/>
              <w:left w:val="single" w:color="auto" w:sz="4" w:space="0"/>
              <w:bottom w:val="single" w:color="auto" w:sz="4" w:space="0"/>
              <w:right w:val="single" w:color="auto" w:sz="4" w:space="0"/>
            </w:tcBorders>
            <w:vAlign w:val="bottom"/>
          </w:tcPr>
          <w:p>
            <w:pPr>
              <w:widowControl/>
              <w:spacing w:line="336" w:lineRule="auto"/>
              <w:jc w:val="center"/>
              <w:rPr>
                <w:rFonts w:ascii="宋体" w:hAnsi="宋体" w:cs="宋体"/>
                <w:b/>
                <w:bCs/>
                <w:kern w:val="0"/>
                <w:sz w:val="18"/>
                <w:szCs w:val="18"/>
              </w:rPr>
            </w:pPr>
            <w:r>
              <w:rPr>
                <w:rFonts w:hint="eastAsia" w:ascii="宋体" w:hAnsi="宋体" w:cs="宋体"/>
                <w:b/>
                <w:bCs/>
                <w:kern w:val="0"/>
                <w:sz w:val="18"/>
                <w:szCs w:val="18"/>
              </w:rPr>
              <w:t>房地产开发经营</w:t>
            </w: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1000≤Y＜200000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100≤X＜1000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X＜100</w:t>
            </w:r>
          </w:p>
        </w:tc>
      </w:tr>
      <w:tr>
        <w:tblPrEx>
          <w:tblCellMar>
            <w:top w:w="0" w:type="dxa"/>
            <w:left w:w="108" w:type="dxa"/>
            <w:bottom w:w="0" w:type="dxa"/>
            <w:right w:w="108" w:type="dxa"/>
          </w:tblCellMar>
        </w:tblPrEx>
        <w:trPr>
          <w:trHeight w:val="225" w:hRule="atLeast"/>
        </w:trPr>
        <w:tc>
          <w:tcPr>
            <w:tcW w:w="2075" w:type="dxa"/>
            <w:vMerge w:val="continue"/>
            <w:tcBorders>
              <w:top w:val="nil"/>
              <w:left w:val="single" w:color="auto" w:sz="4" w:space="0"/>
              <w:bottom w:val="single" w:color="auto" w:sz="4" w:space="0"/>
              <w:right w:val="single" w:color="auto" w:sz="4" w:space="0"/>
            </w:tcBorders>
            <w:vAlign w:val="center"/>
          </w:tcPr>
          <w:p>
            <w:pPr>
              <w:widowControl/>
              <w:spacing w:line="336" w:lineRule="auto"/>
              <w:jc w:val="left"/>
              <w:rPr>
                <w:rFonts w:ascii="宋体" w:hAnsi="宋体"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资产总额（Z）</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5000≤Z＜10000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2000≤Y＜5000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Y＜2000</w:t>
            </w:r>
          </w:p>
        </w:tc>
      </w:tr>
      <w:tr>
        <w:tblPrEx>
          <w:tblCellMar>
            <w:top w:w="0" w:type="dxa"/>
            <w:left w:w="108" w:type="dxa"/>
            <w:bottom w:w="0" w:type="dxa"/>
            <w:right w:w="108" w:type="dxa"/>
          </w:tblCellMar>
        </w:tblPrEx>
        <w:trPr>
          <w:trHeight w:val="225" w:hRule="atLeast"/>
        </w:trPr>
        <w:tc>
          <w:tcPr>
            <w:tcW w:w="2075" w:type="dxa"/>
            <w:vMerge w:val="restart"/>
            <w:tcBorders>
              <w:top w:val="nil"/>
              <w:left w:val="single" w:color="auto" w:sz="4" w:space="0"/>
              <w:bottom w:val="single" w:color="auto" w:sz="4" w:space="0"/>
              <w:right w:val="single" w:color="auto" w:sz="4" w:space="0"/>
            </w:tcBorders>
            <w:vAlign w:val="bottom"/>
          </w:tcPr>
          <w:p>
            <w:pPr>
              <w:widowControl/>
              <w:spacing w:line="336" w:lineRule="auto"/>
              <w:jc w:val="center"/>
              <w:rPr>
                <w:rFonts w:ascii="宋体" w:hAnsi="宋体" w:cs="宋体"/>
                <w:b/>
                <w:bCs/>
                <w:kern w:val="0"/>
                <w:sz w:val="18"/>
                <w:szCs w:val="18"/>
              </w:rPr>
            </w:pPr>
            <w:r>
              <w:rPr>
                <w:rFonts w:hint="eastAsia" w:ascii="宋体" w:hAnsi="宋体" w:cs="宋体"/>
                <w:b/>
                <w:bCs/>
                <w:kern w:val="0"/>
                <w:sz w:val="18"/>
                <w:szCs w:val="18"/>
              </w:rPr>
              <w:t>物业管理</w:t>
            </w: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300≤X＜1000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100≤X＜300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X＜100</w:t>
            </w:r>
          </w:p>
        </w:tc>
      </w:tr>
      <w:tr>
        <w:tblPrEx>
          <w:tblCellMar>
            <w:top w:w="0" w:type="dxa"/>
            <w:left w:w="108" w:type="dxa"/>
            <w:bottom w:w="0" w:type="dxa"/>
            <w:right w:w="108" w:type="dxa"/>
          </w:tblCellMar>
        </w:tblPrEx>
        <w:trPr>
          <w:trHeight w:val="225" w:hRule="atLeast"/>
        </w:trPr>
        <w:tc>
          <w:tcPr>
            <w:tcW w:w="2075" w:type="dxa"/>
            <w:vMerge w:val="continue"/>
            <w:tcBorders>
              <w:top w:val="nil"/>
              <w:left w:val="single" w:color="auto" w:sz="4" w:space="0"/>
              <w:bottom w:val="single" w:color="auto" w:sz="4" w:space="0"/>
              <w:right w:val="single" w:color="auto" w:sz="4" w:space="0"/>
            </w:tcBorders>
            <w:vAlign w:val="center"/>
          </w:tcPr>
          <w:p>
            <w:pPr>
              <w:widowControl/>
              <w:spacing w:line="336" w:lineRule="auto"/>
              <w:jc w:val="left"/>
              <w:rPr>
                <w:rFonts w:ascii="宋体" w:hAnsi="宋体"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1000≤Y＜5000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500≤Y＜1000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Y＜500</w:t>
            </w:r>
          </w:p>
        </w:tc>
      </w:tr>
      <w:tr>
        <w:tblPrEx>
          <w:tblCellMar>
            <w:top w:w="0" w:type="dxa"/>
            <w:left w:w="108" w:type="dxa"/>
            <w:bottom w:w="0" w:type="dxa"/>
            <w:right w:w="108" w:type="dxa"/>
          </w:tblCellMar>
        </w:tblPrEx>
        <w:trPr>
          <w:trHeight w:val="225" w:hRule="atLeast"/>
        </w:trPr>
        <w:tc>
          <w:tcPr>
            <w:tcW w:w="2075" w:type="dxa"/>
            <w:vMerge w:val="restart"/>
            <w:tcBorders>
              <w:top w:val="nil"/>
              <w:left w:val="single" w:color="auto" w:sz="4" w:space="0"/>
              <w:bottom w:val="single" w:color="auto" w:sz="4" w:space="0"/>
              <w:right w:val="single" w:color="auto" w:sz="4" w:space="0"/>
            </w:tcBorders>
            <w:vAlign w:val="bottom"/>
          </w:tcPr>
          <w:p>
            <w:pPr>
              <w:widowControl/>
              <w:spacing w:line="336" w:lineRule="auto"/>
              <w:jc w:val="center"/>
              <w:rPr>
                <w:rFonts w:ascii="宋体" w:hAnsi="宋体" w:cs="宋体"/>
                <w:b/>
                <w:bCs/>
                <w:kern w:val="0"/>
                <w:sz w:val="18"/>
                <w:szCs w:val="18"/>
              </w:rPr>
            </w:pPr>
            <w:r>
              <w:rPr>
                <w:rFonts w:hint="eastAsia" w:ascii="宋体" w:hAnsi="宋体" w:cs="宋体"/>
                <w:b/>
                <w:bCs/>
                <w:kern w:val="0"/>
                <w:sz w:val="18"/>
                <w:szCs w:val="18"/>
              </w:rPr>
              <w:t>租赁和商务服务业</w:t>
            </w: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100≤X＜300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10≤X＜100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trPr>
        <w:tc>
          <w:tcPr>
            <w:tcW w:w="2075" w:type="dxa"/>
            <w:vMerge w:val="continue"/>
            <w:tcBorders>
              <w:top w:val="nil"/>
              <w:left w:val="single" w:color="auto" w:sz="4" w:space="0"/>
              <w:bottom w:val="single" w:color="auto" w:sz="4" w:space="0"/>
              <w:right w:val="single" w:color="auto" w:sz="4" w:space="0"/>
            </w:tcBorders>
            <w:vAlign w:val="center"/>
          </w:tcPr>
          <w:p>
            <w:pPr>
              <w:widowControl/>
              <w:spacing w:line="336" w:lineRule="auto"/>
              <w:jc w:val="left"/>
              <w:rPr>
                <w:rFonts w:ascii="宋体" w:hAnsi="宋体"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资产总额（Z）</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8000≤Z＜120000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100≤Z＜8000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trPr>
        <w:tc>
          <w:tcPr>
            <w:tcW w:w="2075" w:type="dxa"/>
            <w:tcBorders>
              <w:top w:val="nil"/>
              <w:left w:val="single" w:color="auto" w:sz="4" w:space="0"/>
              <w:bottom w:val="single" w:color="auto" w:sz="4" w:space="0"/>
              <w:right w:val="single" w:color="auto" w:sz="4" w:space="0"/>
            </w:tcBorders>
            <w:vAlign w:val="bottom"/>
          </w:tcPr>
          <w:p>
            <w:pPr>
              <w:widowControl/>
              <w:spacing w:line="336" w:lineRule="auto"/>
              <w:jc w:val="center"/>
              <w:rPr>
                <w:rFonts w:ascii="宋体" w:hAnsi="宋体" w:cs="宋体"/>
                <w:b/>
                <w:bCs/>
                <w:kern w:val="0"/>
                <w:sz w:val="18"/>
                <w:szCs w:val="18"/>
              </w:rPr>
            </w:pPr>
            <w:r>
              <w:rPr>
                <w:rFonts w:hint="eastAsia" w:ascii="宋体" w:hAnsi="宋体" w:cs="宋体"/>
                <w:b/>
                <w:bCs/>
                <w:kern w:val="0"/>
                <w:sz w:val="18"/>
                <w:szCs w:val="18"/>
              </w:rPr>
              <w:t>其他未列明行业</w:t>
            </w:r>
          </w:p>
        </w:tc>
        <w:tc>
          <w:tcPr>
            <w:tcW w:w="1985"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100≤X＜300</w:t>
            </w:r>
          </w:p>
        </w:tc>
        <w:tc>
          <w:tcPr>
            <w:tcW w:w="1702"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10≤X＜100</w:t>
            </w:r>
          </w:p>
        </w:tc>
        <w:tc>
          <w:tcPr>
            <w:tcW w:w="1134" w:type="dxa"/>
            <w:tcBorders>
              <w:top w:val="nil"/>
              <w:left w:val="nil"/>
              <w:bottom w:val="single" w:color="auto" w:sz="4" w:space="0"/>
              <w:right w:val="single" w:color="auto" w:sz="4" w:space="0"/>
            </w:tcBorders>
            <w:vAlign w:val="center"/>
          </w:tcPr>
          <w:p>
            <w:pPr>
              <w:widowControl/>
              <w:spacing w:line="336" w:lineRule="auto"/>
              <w:jc w:val="left"/>
              <w:rPr>
                <w:rFonts w:ascii="宋体" w:hAnsi="宋体" w:cs="宋体"/>
                <w:kern w:val="0"/>
                <w:sz w:val="18"/>
                <w:szCs w:val="18"/>
              </w:rPr>
            </w:pPr>
            <w:r>
              <w:rPr>
                <w:rFonts w:hint="eastAsia" w:ascii="宋体" w:hAnsi="宋体" w:cs="宋体"/>
                <w:kern w:val="0"/>
                <w:sz w:val="18"/>
                <w:szCs w:val="18"/>
              </w:rPr>
              <w:t>X＜10</w:t>
            </w:r>
          </w:p>
        </w:tc>
      </w:tr>
    </w:tbl>
    <w:p>
      <w:pPr>
        <w:spacing w:line="336" w:lineRule="auto"/>
        <w:ind w:firstLine="525" w:firstLineChars="250"/>
        <w:rPr>
          <w:rFonts w:ascii="宋体" w:hAnsi="宋体" w:cs="宋体"/>
          <w:szCs w:val="21"/>
        </w:rPr>
      </w:pPr>
      <w:r>
        <w:rPr>
          <w:rFonts w:hint="eastAsia" w:ascii="宋体" w:hAnsi="宋体" w:cs="宋体"/>
          <w:szCs w:val="21"/>
        </w:rPr>
        <w:t>说明：上述标准参照《关于印发中小企业划型标准规定的通知》（工信部联企业[2011]300号），大型、中型和小型企业须同时满足所列指标的下限，否则下划一档；微型企业只须满足所列指标中的一项即可。</w:t>
      </w:r>
    </w:p>
    <w:p>
      <w:pPr>
        <w:pStyle w:val="3"/>
        <w:keepNext w:val="0"/>
        <w:keepLines w:val="0"/>
        <w:tabs>
          <w:tab w:val="left" w:pos="0"/>
          <w:tab w:val="left" w:pos="3165"/>
          <w:tab w:val="center" w:pos="4153"/>
        </w:tabs>
        <w:autoSpaceDE w:val="0"/>
        <w:autoSpaceDN w:val="0"/>
        <w:adjustRightInd w:val="0"/>
        <w:spacing w:before="0" w:after="0" w:line="360" w:lineRule="auto"/>
        <w:jc w:val="center"/>
        <w:rPr>
          <w:rFonts w:ascii="宋体" w:hAnsi="宋体" w:cs="宋体"/>
          <w:color w:val="000000"/>
        </w:rPr>
      </w:pPr>
      <w:r>
        <w:rPr>
          <w:rFonts w:ascii="宋体" w:hAnsi="宋体" w:cs="宋体"/>
        </w:rPr>
        <w:br w:type="page"/>
      </w:r>
      <w:bookmarkStart w:id="148" w:name="_Toc25688"/>
      <w:r>
        <w:rPr>
          <w:rFonts w:hint="eastAsia" w:ascii="宋体" w:hAnsi="宋体" w:cs="宋体"/>
          <w:color w:val="000000"/>
        </w:rPr>
        <w:t>第三章  投标人须知</w:t>
      </w:r>
      <w:bookmarkEnd w:id="148"/>
    </w:p>
    <w:p>
      <w:pPr>
        <w:jc w:val="center"/>
        <w:rPr>
          <w:rFonts w:ascii="宋体" w:hAnsi="宋体" w:cs="宋体"/>
          <w:color w:val="000000"/>
          <w:sz w:val="36"/>
          <w:szCs w:val="36"/>
        </w:rPr>
      </w:pPr>
      <w:bookmarkStart w:id="149" w:name="_Toc254970526"/>
      <w:bookmarkStart w:id="150" w:name="_Toc254970667"/>
      <w:r>
        <w:rPr>
          <w:rFonts w:hint="eastAsia" w:ascii="宋体" w:hAnsi="宋体" w:cs="宋体"/>
          <w:color w:val="000000"/>
          <w:sz w:val="36"/>
          <w:szCs w:val="36"/>
        </w:rPr>
        <w:t>投标人须知前附表</w:t>
      </w:r>
      <w:bookmarkEnd w:id="149"/>
      <w:bookmarkEnd w:id="150"/>
    </w:p>
    <w:tbl>
      <w:tblPr>
        <w:tblStyle w:val="44"/>
        <w:tblW w:w="925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88"/>
        <w:gridCol w:w="826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ascii="宋体" w:hAnsi="宋体" w:cs="宋体"/>
                <w:color w:val="000000"/>
                <w:szCs w:val="21"/>
              </w:rPr>
            </w:pPr>
            <w:r>
              <w:rPr>
                <w:rFonts w:hint="eastAsia" w:ascii="宋体" w:hAnsi="宋体" w:cs="宋体"/>
                <w:color w:val="000000"/>
                <w:szCs w:val="21"/>
              </w:rPr>
              <w:t>条款号</w:t>
            </w:r>
          </w:p>
        </w:tc>
        <w:tc>
          <w:tcPr>
            <w:tcW w:w="826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000000"/>
                <w:szCs w:val="21"/>
              </w:rPr>
            </w:pPr>
            <w:r>
              <w:rPr>
                <w:rFonts w:hint="eastAsia" w:ascii="宋体" w:hAnsi="宋体" w:cs="宋体"/>
                <w:color w:val="000000"/>
                <w:szCs w:val="21"/>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000000"/>
                <w:szCs w:val="21"/>
              </w:rPr>
            </w:pPr>
            <w:r>
              <w:rPr>
                <w:rFonts w:hint="eastAsia" w:ascii="宋体" w:hAnsi="宋体" w:cs="宋体"/>
                <w:color w:val="000000"/>
                <w:szCs w:val="21"/>
              </w:rPr>
              <w:t>3</w:t>
            </w:r>
          </w:p>
        </w:tc>
        <w:tc>
          <w:tcPr>
            <w:tcW w:w="826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ascii="宋体" w:hAnsi="宋体" w:cs="宋体"/>
                <w:color w:val="000000"/>
                <w:szCs w:val="21"/>
              </w:rPr>
            </w:pPr>
            <w:r>
              <w:rPr>
                <w:rFonts w:hint="eastAsia" w:ascii="宋体" w:hAnsi="宋体" w:cs="宋体"/>
                <w:color w:val="000000"/>
                <w:szCs w:val="21"/>
              </w:rPr>
              <w:t>1.投标人的资格要求详见招标公告。</w:t>
            </w:r>
          </w:p>
          <w:p>
            <w:pPr>
              <w:snapToGrid w:val="0"/>
              <w:spacing w:line="400" w:lineRule="exact"/>
              <w:jc w:val="left"/>
              <w:rPr>
                <w:rFonts w:ascii="宋体" w:hAnsi="宋体" w:cs="宋体"/>
                <w:color w:val="000000"/>
                <w:szCs w:val="21"/>
              </w:rPr>
            </w:pPr>
            <w:r>
              <w:rPr>
                <w:rFonts w:hint="eastAsia" w:ascii="宋体" w:hAnsi="宋体" w:cs="宋体"/>
                <w:color w:val="000000"/>
                <w:szCs w:val="21"/>
              </w:rPr>
              <w:t>2.投标人出现下列情形之一的，不得参加政府采购活动：</w:t>
            </w:r>
          </w:p>
          <w:p>
            <w:pPr>
              <w:snapToGrid w:val="0"/>
              <w:spacing w:line="400" w:lineRule="exact"/>
              <w:jc w:val="left"/>
              <w:rPr>
                <w:rFonts w:ascii="宋体" w:hAnsi="宋体" w:cs="宋体"/>
                <w:color w:val="000000"/>
                <w:szCs w:val="21"/>
              </w:rPr>
            </w:pPr>
            <w:r>
              <w:rPr>
                <w:rFonts w:hint="eastAsia" w:ascii="宋体" w:hAnsi="宋体" w:cs="宋体"/>
                <w:color w:val="000000"/>
                <w:szCs w:val="21"/>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napToGrid w:val="0"/>
              <w:spacing w:line="400" w:lineRule="exact"/>
              <w:jc w:val="left"/>
              <w:rPr>
                <w:rFonts w:ascii="宋体" w:hAnsi="宋体" w:cs="宋体"/>
                <w:color w:val="000000"/>
                <w:szCs w:val="21"/>
              </w:rPr>
            </w:pPr>
            <w:r>
              <w:rPr>
                <w:rFonts w:hint="eastAsia" w:ascii="宋体" w:hAnsi="宋体" w:cs="宋体"/>
                <w:color w:val="000000"/>
                <w:szCs w:val="21"/>
              </w:rPr>
              <w:t>2.2对在“信用中国”网站（www.creditchina.gov.cn）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000000"/>
                <w:szCs w:val="21"/>
              </w:rPr>
            </w:pPr>
            <w:bookmarkStart w:id="151" w:name="_9.2"/>
            <w:bookmarkEnd w:id="151"/>
            <w:bookmarkStart w:id="152" w:name="_5"/>
            <w:bookmarkEnd w:id="152"/>
            <w:bookmarkStart w:id="153" w:name="_8.1"/>
            <w:bookmarkEnd w:id="153"/>
            <w:r>
              <w:rPr>
                <w:rFonts w:hint="eastAsia" w:ascii="宋体" w:hAnsi="宋体" w:cs="宋体"/>
                <w:color w:val="000000"/>
                <w:szCs w:val="21"/>
              </w:rPr>
              <w:t>6.1</w:t>
            </w:r>
          </w:p>
        </w:tc>
        <w:tc>
          <w:tcPr>
            <w:tcW w:w="8264" w:type="dxa"/>
            <w:tcBorders>
              <w:top w:val="single" w:color="auto" w:sz="4" w:space="0"/>
              <w:left w:val="single" w:color="auto" w:sz="4" w:space="0"/>
              <w:bottom w:val="single" w:color="auto" w:sz="4" w:space="0"/>
              <w:right w:val="single" w:color="auto" w:sz="4" w:space="0"/>
            </w:tcBorders>
            <w:vAlign w:val="center"/>
          </w:tcPr>
          <w:p>
            <w:pPr>
              <w:pStyle w:val="16"/>
              <w:spacing w:line="400" w:lineRule="exact"/>
              <w:rPr>
                <w:rFonts w:ascii="宋体" w:hAnsi="宋体" w:cs="宋体"/>
                <w:color w:val="000000"/>
                <w:szCs w:val="21"/>
                <w:lang w:val="en-US" w:eastAsia="zh-CN"/>
              </w:rPr>
            </w:pPr>
            <w:r>
              <w:rPr>
                <w:rFonts w:hint="eastAsia" w:ascii="宋体" w:hAnsi="宋体" w:cs="宋体"/>
                <w:color w:val="000000"/>
                <w:szCs w:val="21"/>
                <w:lang w:val="en-US" w:eastAsia="zh-CN"/>
              </w:rPr>
              <w:t>本项目是否接受联合体投标：详见招标公告。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000000"/>
                <w:szCs w:val="21"/>
              </w:rPr>
            </w:pPr>
            <w:r>
              <w:rPr>
                <w:rFonts w:hint="eastAsia" w:ascii="宋体" w:hAnsi="宋体" w:cs="宋体"/>
                <w:color w:val="000000"/>
                <w:szCs w:val="21"/>
              </w:rPr>
              <w:t>7.2</w:t>
            </w:r>
          </w:p>
        </w:tc>
        <w:tc>
          <w:tcPr>
            <w:tcW w:w="8264" w:type="dxa"/>
            <w:tcBorders>
              <w:top w:val="single" w:color="auto" w:sz="4" w:space="0"/>
              <w:left w:val="single" w:color="auto" w:sz="4" w:space="0"/>
              <w:bottom w:val="single" w:color="auto" w:sz="4" w:space="0"/>
              <w:right w:val="single" w:color="auto" w:sz="4" w:space="0"/>
            </w:tcBorders>
            <w:vAlign w:val="center"/>
          </w:tcPr>
          <w:p>
            <w:pPr>
              <w:pStyle w:val="16"/>
              <w:spacing w:line="400" w:lineRule="exact"/>
              <w:rPr>
                <w:rFonts w:ascii="宋体" w:hAnsi="宋体" w:cs="宋体"/>
                <w:color w:val="000000"/>
                <w:szCs w:val="21"/>
                <w:lang w:val="en-US" w:eastAsia="zh-CN"/>
              </w:rPr>
            </w:pPr>
            <w:r>
              <w:rPr>
                <w:rFonts w:hint="eastAsia" w:ascii="宋体" w:hAnsi="宋体" w:cs="宋体"/>
                <w:color w:val="000000"/>
                <w:szCs w:val="21"/>
                <w:lang w:val="en-US" w:eastAsia="zh-CN"/>
              </w:rPr>
              <w:t>☑不允许分包</w:t>
            </w:r>
          </w:p>
          <w:p>
            <w:pPr>
              <w:pStyle w:val="16"/>
              <w:spacing w:line="400" w:lineRule="exact"/>
              <w:rPr>
                <w:rFonts w:ascii="宋体" w:hAnsi="宋体" w:cs="宋体"/>
                <w:color w:val="000000"/>
                <w:szCs w:val="21"/>
                <w:lang w:val="en-US" w:eastAsia="zh-CN"/>
              </w:rPr>
            </w:pPr>
            <w:r>
              <w:rPr>
                <w:rFonts w:hint="eastAsia" w:ascii="宋体" w:hAnsi="宋体" w:cs="宋体"/>
                <w:color w:val="000000"/>
                <w:szCs w:val="21"/>
                <w:lang w:val="en-US" w:eastAsia="zh-CN"/>
              </w:rPr>
              <w:t>□允许分包</w:t>
            </w:r>
          </w:p>
          <w:p>
            <w:pPr>
              <w:pStyle w:val="16"/>
              <w:spacing w:line="400" w:lineRule="exact"/>
              <w:rPr>
                <w:rFonts w:ascii="宋体" w:hAnsi="宋体" w:cs="宋体"/>
                <w:color w:val="000000"/>
                <w:szCs w:val="21"/>
                <w:u w:val="single"/>
                <w:lang w:val="en-US" w:eastAsia="zh-CN"/>
              </w:rPr>
            </w:pPr>
            <w:r>
              <w:rPr>
                <w:rFonts w:hint="eastAsia" w:ascii="宋体" w:hAnsi="宋体" w:cs="宋体"/>
                <w:color w:val="000000"/>
                <w:szCs w:val="21"/>
                <w:lang w:val="en-US" w:eastAsia="zh-CN"/>
              </w:rPr>
              <w:t>分包内容：</w:t>
            </w:r>
            <w:r>
              <w:rPr>
                <w:rFonts w:hint="eastAsia" w:ascii="宋体" w:hAnsi="宋体" w:cs="宋体"/>
                <w:color w:val="000000"/>
                <w:szCs w:val="21"/>
                <w:u w:val="single"/>
                <w:lang w:val="en-US" w:eastAsia="zh-CN"/>
              </w:rPr>
              <w:t xml:space="preserve">  / 。</w:t>
            </w:r>
          </w:p>
          <w:p>
            <w:pPr>
              <w:pStyle w:val="16"/>
              <w:spacing w:line="400" w:lineRule="exact"/>
              <w:jc w:val="both"/>
              <w:rPr>
                <w:rFonts w:ascii="宋体" w:hAnsi="宋体" w:cs="宋体"/>
                <w:color w:val="000000"/>
                <w:szCs w:val="21"/>
                <w:u w:val="single"/>
                <w:lang w:val="en-US" w:eastAsia="zh-CN"/>
              </w:rPr>
            </w:pPr>
            <w:r>
              <w:rPr>
                <w:rFonts w:hint="eastAsia" w:ascii="宋体" w:hAnsi="宋体" w:cs="宋体"/>
                <w:color w:val="000000"/>
                <w:szCs w:val="21"/>
                <w:lang w:val="en-US" w:eastAsia="zh-CN"/>
              </w:rPr>
              <w:t>分包金额或者比例：</w:t>
            </w:r>
            <w:r>
              <w:rPr>
                <w:rFonts w:hint="eastAsia" w:ascii="宋体" w:hAnsi="宋体" w:cs="宋体"/>
                <w:color w:val="000000"/>
                <w:szCs w:val="21"/>
                <w:u w:val="single"/>
                <w:lang w:val="en-US" w:eastAsia="zh-CN"/>
              </w:rPr>
              <w:t xml:space="preserve">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66" w:hRule="atLeast"/>
        </w:trPr>
        <w:tc>
          <w:tcPr>
            <w:tcW w:w="988" w:type="dxa"/>
            <w:vMerge w:val="restart"/>
            <w:tcBorders>
              <w:top w:val="single" w:color="auto" w:sz="4" w:space="0"/>
              <w:left w:val="single" w:color="auto" w:sz="4" w:space="0"/>
              <w:right w:val="single" w:color="auto" w:sz="4" w:space="0"/>
            </w:tcBorders>
            <w:vAlign w:val="center"/>
          </w:tcPr>
          <w:p>
            <w:pPr>
              <w:spacing w:line="400" w:lineRule="exact"/>
              <w:jc w:val="center"/>
              <w:rPr>
                <w:rFonts w:ascii="宋体" w:hAnsi="宋体" w:cs="宋体"/>
                <w:color w:val="000000"/>
                <w:szCs w:val="21"/>
              </w:rPr>
            </w:pPr>
            <w:r>
              <w:rPr>
                <w:rFonts w:hint="eastAsia" w:ascii="宋体" w:hAnsi="宋体" w:cs="宋体"/>
                <w:color w:val="000000"/>
                <w:szCs w:val="21"/>
              </w:rPr>
              <w:t>11.2</w:t>
            </w:r>
          </w:p>
        </w:tc>
        <w:tc>
          <w:tcPr>
            <w:tcW w:w="826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color w:val="000000"/>
                <w:szCs w:val="21"/>
              </w:rPr>
            </w:pPr>
            <w:r>
              <w:rPr>
                <w:rFonts w:hint="eastAsia" w:ascii="宋体" w:hAnsi="宋体" w:cs="宋体"/>
                <w:color w:val="000000"/>
                <w:szCs w:val="21"/>
              </w:rPr>
              <w:t>☑不组织现场考察</w:t>
            </w:r>
          </w:p>
          <w:p>
            <w:pPr>
              <w:snapToGrid w:val="0"/>
              <w:spacing w:line="400" w:lineRule="exact"/>
              <w:rPr>
                <w:rFonts w:ascii="宋体" w:hAnsi="宋体" w:cs="宋体"/>
                <w:color w:val="000000"/>
                <w:szCs w:val="21"/>
              </w:rPr>
            </w:pPr>
            <w:r>
              <w:rPr>
                <w:rFonts w:hint="eastAsia" w:ascii="宋体" w:hAnsi="宋体" w:cs="宋体"/>
                <w:color w:val="000000"/>
                <w:szCs w:val="21"/>
              </w:rPr>
              <w:t>□组织现场考察：</w:t>
            </w:r>
          </w:p>
          <w:p>
            <w:pPr>
              <w:snapToGrid w:val="0"/>
              <w:spacing w:line="400" w:lineRule="exact"/>
              <w:rPr>
                <w:rFonts w:ascii="宋体" w:hAnsi="宋体" w:cs="宋体"/>
                <w:color w:val="000000"/>
                <w:szCs w:val="21"/>
                <w:u w:val="single"/>
              </w:rPr>
            </w:pPr>
            <w:r>
              <w:rPr>
                <w:rFonts w:hint="eastAsia" w:ascii="宋体" w:hAnsi="宋体" w:cs="宋体"/>
                <w:color w:val="000000"/>
                <w:szCs w:val="21"/>
              </w:rPr>
              <w:t>集中时间：</w:t>
            </w:r>
            <w:r>
              <w:rPr>
                <w:rFonts w:hint="eastAsia" w:ascii="宋体" w:hAnsi="宋体" w:cs="宋体"/>
                <w:color w:val="000000"/>
                <w:szCs w:val="21"/>
                <w:u w:val="single"/>
              </w:rPr>
              <w:t xml:space="preserve"> / </w:t>
            </w:r>
            <w:r>
              <w:rPr>
                <w:rFonts w:hint="eastAsia" w:ascii="宋体" w:hAnsi="宋体" w:cs="宋体"/>
                <w:color w:val="000000"/>
                <w:szCs w:val="21"/>
              </w:rPr>
              <w:t>年</w:t>
            </w:r>
            <w:r>
              <w:rPr>
                <w:rFonts w:hint="eastAsia" w:ascii="宋体" w:hAnsi="宋体" w:cs="宋体"/>
                <w:color w:val="000000"/>
                <w:szCs w:val="21"/>
                <w:u w:val="single"/>
              </w:rPr>
              <w:t xml:space="preserve"> / </w:t>
            </w:r>
            <w:r>
              <w:rPr>
                <w:rFonts w:hint="eastAsia" w:ascii="宋体" w:hAnsi="宋体" w:cs="宋体"/>
                <w:color w:val="000000"/>
                <w:szCs w:val="21"/>
              </w:rPr>
              <w:t>月</w:t>
            </w:r>
            <w:r>
              <w:rPr>
                <w:rFonts w:hint="eastAsia" w:ascii="宋体" w:hAnsi="宋体" w:cs="宋体"/>
                <w:color w:val="000000"/>
                <w:szCs w:val="21"/>
                <w:u w:val="single"/>
              </w:rPr>
              <w:t xml:space="preserve"> / </w:t>
            </w:r>
            <w:r>
              <w:rPr>
                <w:rFonts w:hint="eastAsia" w:ascii="宋体" w:hAnsi="宋体" w:cs="宋体"/>
                <w:color w:val="000000"/>
                <w:szCs w:val="21"/>
              </w:rPr>
              <w:t xml:space="preserve">日 </w:t>
            </w:r>
            <w:r>
              <w:rPr>
                <w:rFonts w:hint="eastAsia" w:ascii="宋体" w:hAnsi="宋体" w:cs="宋体"/>
                <w:color w:val="000000"/>
                <w:szCs w:val="21"/>
                <w:u w:val="single"/>
              </w:rPr>
              <w:t xml:space="preserve"> / </w:t>
            </w:r>
            <w:r>
              <w:rPr>
                <w:rFonts w:hint="eastAsia" w:ascii="宋体" w:hAnsi="宋体" w:cs="宋体"/>
                <w:color w:val="000000"/>
                <w:szCs w:val="21"/>
              </w:rPr>
              <w:t>时</w:t>
            </w:r>
            <w:r>
              <w:rPr>
                <w:rFonts w:hint="eastAsia" w:ascii="宋体" w:hAnsi="宋体" w:cs="宋体"/>
                <w:color w:val="000000"/>
                <w:szCs w:val="21"/>
                <w:u w:val="single"/>
              </w:rPr>
              <w:t xml:space="preserve"> / 分</w:t>
            </w:r>
            <w:r>
              <w:rPr>
                <w:rFonts w:hint="eastAsia" w:ascii="宋体" w:hAnsi="宋体" w:cs="宋体"/>
                <w:color w:val="000000"/>
                <w:szCs w:val="21"/>
              </w:rPr>
              <w:t>，逾期后果自负。集中地点：</w:t>
            </w:r>
            <w:r>
              <w:rPr>
                <w:rFonts w:hint="eastAsia" w:ascii="宋体" w:hAnsi="宋体" w:cs="宋体"/>
                <w:color w:val="000000"/>
                <w:szCs w:val="21"/>
                <w:u w:val="single"/>
              </w:rPr>
              <w:t xml:space="preserve"> / </w:t>
            </w:r>
          </w:p>
          <w:p>
            <w:pPr>
              <w:snapToGrid w:val="0"/>
              <w:spacing w:line="400" w:lineRule="exact"/>
              <w:rPr>
                <w:rFonts w:ascii="宋体" w:hAnsi="宋体" w:cs="宋体"/>
                <w:color w:val="000000"/>
                <w:szCs w:val="21"/>
              </w:rPr>
            </w:pPr>
            <w:r>
              <w:rPr>
                <w:rFonts w:hint="eastAsia" w:ascii="宋体" w:hAnsi="宋体" w:cs="宋体"/>
                <w:color w:val="000000"/>
                <w:szCs w:val="21"/>
              </w:rPr>
              <w:t>联系人：</w:t>
            </w:r>
            <w:r>
              <w:rPr>
                <w:rFonts w:hint="eastAsia" w:ascii="宋体" w:hAnsi="宋体" w:cs="宋体"/>
                <w:color w:val="000000"/>
                <w:szCs w:val="21"/>
                <w:u w:val="single"/>
              </w:rPr>
              <w:t xml:space="preserve"> / </w:t>
            </w:r>
            <w:r>
              <w:rPr>
                <w:rFonts w:hint="eastAsia" w:ascii="宋体" w:hAnsi="宋体" w:cs="宋体"/>
                <w:color w:val="000000"/>
                <w:szCs w:val="21"/>
              </w:rPr>
              <w:t>；联系电话：</w:t>
            </w:r>
            <w:r>
              <w:rPr>
                <w:rFonts w:hint="eastAsia" w:ascii="宋体" w:hAnsi="宋体" w:cs="宋体"/>
                <w:color w:val="000000"/>
                <w:szCs w:val="21"/>
                <w:u w:val="single"/>
              </w:rPr>
              <w:t xml:space="preserve">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03" w:hRule="atLeast"/>
        </w:trPr>
        <w:tc>
          <w:tcPr>
            <w:tcW w:w="988" w:type="dxa"/>
            <w:vMerge w:val="continue"/>
            <w:tcBorders>
              <w:left w:val="single" w:color="auto" w:sz="4" w:space="0"/>
              <w:bottom w:val="single" w:color="auto" w:sz="4" w:space="0"/>
              <w:right w:val="single" w:color="auto" w:sz="4" w:space="0"/>
            </w:tcBorders>
            <w:vAlign w:val="center"/>
          </w:tcPr>
          <w:p>
            <w:pPr>
              <w:spacing w:line="400" w:lineRule="exact"/>
              <w:jc w:val="center"/>
              <w:rPr>
                <w:rFonts w:ascii="宋体" w:hAnsi="宋体" w:cs="宋体"/>
                <w:color w:val="000000"/>
                <w:szCs w:val="21"/>
              </w:rPr>
            </w:pPr>
          </w:p>
        </w:tc>
        <w:tc>
          <w:tcPr>
            <w:tcW w:w="826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color w:val="000000"/>
                <w:szCs w:val="21"/>
              </w:rPr>
            </w:pPr>
            <w:r>
              <w:rPr>
                <w:rFonts w:hint="eastAsia" w:ascii="宋体" w:hAnsi="宋体" w:cs="宋体"/>
                <w:color w:val="000000"/>
                <w:szCs w:val="21"/>
              </w:rPr>
              <w:t>☑不组织召开开标前答疑会</w:t>
            </w:r>
          </w:p>
          <w:p>
            <w:pPr>
              <w:snapToGrid w:val="0"/>
              <w:spacing w:line="400" w:lineRule="exact"/>
              <w:rPr>
                <w:rFonts w:ascii="宋体" w:hAnsi="宋体" w:cs="宋体"/>
                <w:color w:val="000000"/>
                <w:szCs w:val="21"/>
              </w:rPr>
            </w:pPr>
            <w:r>
              <w:rPr>
                <w:rFonts w:hint="eastAsia" w:ascii="宋体" w:hAnsi="宋体" w:cs="宋体"/>
                <w:color w:val="000000"/>
                <w:szCs w:val="21"/>
              </w:rPr>
              <w:t>□组织召开开标前答疑会</w:t>
            </w:r>
          </w:p>
          <w:p>
            <w:pPr>
              <w:snapToGrid w:val="0"/>
              <w:spacing w:line="400" w:lineRule="exact"/>
              <w:rPr>
                <w:rFonts w:ascii="宋体" w:hAnsi="宋体" w:cs="宋体"/>
                <w:color w:val="000000"/>
                <w:szCs w:val="21"/>
              </w:rPr>
            </w:pPr>
            <w:r>
              <w:rPr>
                <w:rFonts w:hint="eastAsia" w:ascii="宋体" w:hAnsi="宋体" w:cs="宋体"/>
                <w:color w:val="000000"/>
                <w:szCs w:val="21"/>
              </w:rPr>
              <w:t>会议开始时间：</w:t>
            </w:r>
            <w:r>
              <w:rPr>
                <w:rFonts w:hint="eastAsia" w:ascii="宋体" w:hAnsi="宋体" w:cs="宋体"/>
                <w:color w:val="000000"/>
                <w:szCs w:val="21"/>
                <w:u w:val="single"/>
              </w:rPr>
              <w:t xml:space="preserve"> / </w:t>
            </w:r>
            <w:r>
              <w:rPr>
                <w:rFonts w:hint="eastAsia" w:ascii="宋体" w:hAnsi="宋体" w:cs="宋体"/>
                <w:color w:val="000000"/>
                <w:szCs w:val="21"/>
              </w:rPr>
              <w:t>年</w:t>
            </w:r>
            <w:r>
              <w:rPr>
                <w:rFonts w:hint="eastAsia" w:ascii="宋体" w:hAnsi="宋体" w:cs="宋体"/>
                <w:color w:val="000000"/>
                <w:szCs w:val="21"/>
                <w:u w:val="single"/>
              </w:rPr>
              <w:t xml:space="preserve"> / </w:t>
            </w:r>
            <w:r>
              <w:rPr>
                <w:rFonts w:hint="eastAsia" w:ascii="宋体" w:hAnsi="宋体" w:cs="宋体"/>
                <w:color w:val="000000"/>
                <w:szCs w:val="21"/>
              </w:rPr>
              <w:t>月</w:t>
            </w:r>
            <w:r>
              <w:rPr>
                <w:rFonts w:hint="eastAsia" w:ascii="宋体" w:hAnsi="宋体" w:cs="宋体"/>
                <w:color w:val="000000"/>
                <w:szCs w:val="21"/>
                <w:u w:val="single"/>
              </w:rPr>
              <w:t xml:space="preserve"> / </w:t>
            </w:r>
            <w:r>
              <w:rPr>
                <w:rFonts w:hint="eastAsia" w:ascii="宋体" w:hAnsi="宋体" w:cs="宋体"/>
                <w:color w:val="000000"/>
                <w:szCs w:val="21"/>
              </w:rPr>
              <w:t xml:space="preserve">日 </w:t>
            </w:r>
            <w:r>
              <w:rPr>
                <w:rFonts w:hint="eastAsia" w:ascii="宋体" w:hAnsi="宋体" w:cs="宋体"/>
                <w:color w:val="000000"/>
                <w:szCs w:val="21"/>
                <w:u w:val="single"/>
              </w:rPr>
              <w:t xml:space="preserve"> / </w:t>
            </w:r>
            <w:r>
              <w:rPr>
                <w:rFonts w:hint="eastAsia" w:ascii="宋体" w:hAnsi="宋体" w:cs="宋体"/>
                <w:color w:val="000000"/>
                <w:szCs w:val="21"/>
              </w:rPr>
              <w:t>时</w:t>
            </w:r>
            <w:r>
              <w:rPr>
                <w:rFonts w:hint="eastAsia" w:ascii="宋体" w:hAnsi="宋体" w:cs="宋体"/>
                <w:color w:val="000000"/>
                <w:szCs w:val="21"/>
                <w:u w:val="single"/>
              </w:rPr>
              <w:t xml:space="preserve"> / 分</w:t>
            </w:r>
            <w:r>
              <w:rPr>
                <w:rFonts w:hint="eastAsia" w:ascii="宋体" w:hAnsi="宋体" w:cs="宋体"/>
                <w:color w:val="000000"/>
                <w:szCs w:val="21"/>
              </w:rPr>
              <w:t>，逾期后果自负。会议地点：</w:t>
            </w:r>
            <w:r>
              <w:rPr>
                <w:rFonts w:hint="eastAsia" w:ascii="宋体" w:hAnsi="宋体" w:cs="宋体"/>
                <w:color w:val="000000"/>
                <w:szCs w:val="21"/>
                <w:u w:val="single"/>
              </w:rPr>
              <w:t xml:space="preserve">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vMerge w:val="restart"/>
            <w:tcBorders>
              <w:top w:val="single" w:color="auto" w:sz="4" w:space="0"/>
              <w:left w:val="single" w:color="auto" w:sz="4" w:space="0"/>
              <w:right w:val="single" w:color="auto" w:sz="4" w:space="0"/>
            </w:tcBorders>
            <w:vAlign w:val="center"/>
          </w:tcPr>
          <w:p>
            <w:pPr>
              <w:spacing w:line="400" w:lineRule="exact"/>
              <w:jc w:val="center"/>
              <w:rPr>
                <w:rFonts w:ascii="宋体" w:hAnsi="宋体" w:cs="宋体"/>
                <w:color w:val="000000"/>
                <w:szCs w:val="21"/>
              </w:rPr>
            </w:pPr>
            <w:bookmarkStart w:id="154" w:name="_13.1"/>
            <w:bookmarkEnd w:id="154"/>
            <w:r>
              <w:rPr>
                <w:rFonts w:hint="eastAsia" w:ascii="宋体" w:hAnsi="宋体" w:cs="宋体"/>
                <w:color w:val="000000"/>
                <w:szCs w:val="21"/>
              </w:rPr>
              <w:t>13</w:t>
            </w:r>
          </w:p>
        </w:tc>
        <w:tc>
          <w:tcPr>
            <w:tcW w:w="826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ascii="宋体" w:hAnsi="宋体" w:cs="宋体"/>
                <w:b/>
                <w:color w:val="000000"/>
                <w:szCs w:val="21"/>
              </w:rPr>
            </w:pPr>
            <w:r>
              <w:rPr>
                <w:rFonts w:hint="eastAsia" w:ascii="宋体" w:hAnsi="宋体" w:cs="宋体"/>
                <w:b/>
                <w:color w:val="000000"/>
                <w:szCs w:val="21"/>
              </w:rPr>
              <w:t>报价文件：</w:t>
            </w:r>
          </w:p>
          <w:p>
            <w:pPr>
              <w:tabs>
                <w:tab w:val="left" w:pos="459"/>
              </w:tabs>
              <w:snapToGrid w:val="0"/>
              <w:spacing w:line="400" w:lineRule="exact"/>
              <w:jc w:val="left"/>
              <w:rPr>
                <w:rFonts w:ascii="宋体" w:hAnsi="宋体" w:cs="宋体"/>
                <w:color w:val="000000"/>
                <w:szCs w:val="21"/>
              </w:rPr>
            </w:pPr>
            <w:r>
              <w:rPr>
                <w:rFonts w:hint="eastAsia" w:ascii="宋体" w:hAnsi="宋体" w:cs="宋体"/>
                <w:color w:val="000000"/>
                <w:szCs w:val="21"/>
              </w:rPr>
              <w:t>1.投标函（格式见第六章）；</w:t>
            </w:r>
            <w:r>
              <w:rPr>
                <w:rFonts w:hint="eastAsia" w:ascii="宋体" w:hAnsi="宋体" w:cs="宋体"/>
                <w:b/>
                <w:color w:val="000000"/>
                <w:szCs w:val="21"/>
              </w:rPr>
              <w:t>（必须提供，否则按无效投标处理）</w:t>
            </w:r>
          </w:p>
          <w:p>
            <w:pPr>
              <w:tabs>
                <w:tab w:val="left" w:pos="459"/>
              </w:tabs>
              <w:snapToGrid w:val="0"/>
              <w:spacing w:line="400" w:lineRule="exact"/>
              <w:jc w:val="left"/>
              <w:rPr>
                <w:rFonts w:ascii="宋体" w:hAnsi="宋体" w:cs="宋体"/>
                <w:color w:val="000000"/>
                <w:szCs w:val="21"/>
              </w:rPr>
            </w:pPr>
            <w:r>
              <w:rPr>
                <w:rFonts w:hint="eastAsia" w:ascii="宋体" w:hAnsi="宋体" w:cs="宋体"/>
                <w:color w:val="000000"/>
                <w:szCs w:val="21"/>
              </w:rPr>
              <w:t>2.开标一览表（格式见第六章）；（</w:t>
            </w:r>
            <w:r>
              <w:rPr>
                <w:rFonts w:hint="eastAsia" w:ascii="宋体" w:hAnsi="宋体" w:cs="宋体"/>
                <w:b/>
                <w:color w:val="000000"/>
                <w:szCs w:val="21"/>
              </w:rPr>
              <w:t>必须提供，否则按无效投标处理</w:t>
            </w:r>
            <w:r>
              <w:rPr>
                <w:rFonts w:hint="eastAsia" w:ascii="宋体" w:hAnsi="宋体" w:cs="宋体"/>
                <w:color w:val="000000"/>
                <w:szCs w:val="21"/>
              </w:rPr>
              <w:t>）</w:t>
            </w:r>
          </w:p>
          <w:p>
            <w:pPr>
              <w:tabs>
                <w:tab w:val="left" w:pos="459"/>
              </w:tabs>
              <w:snapToGrid w:val="0"/>
              <w:spacing w:line="400" w:lineRule="exact"/>
              <w:jc w:val="left"/>
              <w:rPr>
                <w:rFonts w:ascii="宋体" w:hAnsi="宋体" w:cs="宋体"/>
                <w:color w:val="000000"/>
                <w:szCs w:val="21"/>
              </w:rPr>
            </w:pPr>
            <w:r>
              <w:rPr>
                <w:rFonts w:hint="eastAsia" w:ascii="宋体" w:hAnsi="宋体" w:cs="宋体"/>
                <w:color w:val="000000"/>
                <w:szCs w:val="21"/>
              </w:rPr>
              <w:t>3.投标人针对报价需要说明的其他文件和说明（格式自拟）。（如有，请提供）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vMerge w:val="continue"/>
            <w:tcBorders>
              <w:left w:val="single" w:color="auto" w:sz="4" w:space="0"/>
              <w:right w:val="single" w:color="auto" w:sz="4" w:space="0"/>
            </w:tcBorders>
            <w:vAlign w:val="center"/>
          </w:tcPr>
          <w:p>
            <w:pPr>
              <w:spacing w:line="400" w:lineRule="exact"/>
              <w:rPr>
                <w:rFonts w:ascii="宋体" w:hAnsi="宋体" w:cs="宋体"/>
                <w:color w:val="000000"/>
                <w:szCs w:val="21"/>
              </w:rPr>
            </w:pPr>
            <w:bookmarkStart w:id="155" w:name="_13.2"/>
            <w:bookmarkEnd w:id="155"/>
          </w:p>
        </w:tc>
        <w:tc>
          <w:tcPr>
            <w:tcW w:w="826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ascii="宋体" w:hAnsi="宋体" w:cs="宋体"/>
                <w:b/>
                <w:color w:val="000000"/>
                <w:szCs w:val="21"/>
              </w:rPr>
            </w:pPr>
            <w:r>
              <w:rPr>
                <w:rFonts w:hint="eastAsia" w:ascii="宋体" w:hAnsi="宋体" w:cs="宋体"/>
                <w:b/>
                <w:color w:val="000000"/>
                <w:szCs w:val="21"/>
              </w:rPr>
              <w:t>资格证明文件（投标人所提供的材料不完整，或模糊不清以致关键信息无法辨认的，责任自负）:</w:t>
            </w:r>
          </w:p>
          <w:p>
            <w:pPr>
              <w:snapToGrid w:val="0"/>
              <w:spacing w:line="400" w:lineRule="exact"/>
              <w:jc w:val="left"/>
              <w:rPr>
                <w:rFonts w:ascii="宋体" w:hAnsi="宋体" w:cs="宋体"/>
                <w:b/>
                <w:color w:val="000000"/>
                <w:szCs w:val="21"/>
              </w:rPr>
            </w:pPr>
            <w:r>
              <w:rPr>
                <w:rFonts w:hint="eastAsia" w:ascii="宋体" w:hAnsi="宋体" w:cs="宋体"/>
                <w:color w:val="000000"/>
                <w:szCs w:val="21"/>
              </w:rPr>
              <w:t>1.投标人为法人或者其他组织的，提供营业执照等证明文件复印件（如营业执照或者事业单位法人证书或者</w:t>
            </w:r>
            <w:r>
              <w:rPr>
                <w:rStyle w:val="86"/>
                <w:rFonts w:hint="eastAsia"/>
                <w:sz w:val="21"/>
                <w:szCs w:val="21"/>
              </w:rPr>
              <w:t>执业许可证</w:t>
            </w:r>
            <w:r>
              <w:rPr>
                <w:rFonts w:hint="eastAsia" w:ascii="宋体" w:hAnsi="宋体" w:cs="宋体"/>
                <w:color w:val="000000"/>
                <w:szCs w:val="21"/>
              </w:rPr>
              <w:t>或者登记证书等），投标人为自然人的，提供身份证复印件；（</w:t>
            </w:r>
            <w:r>
              <w:rPr>
                <w:rFonts w:hint="eastAsia" w:ascii="宋体" w:hAnsi="宋体" w:cs="宋体"/>
                <w:b/>
                <w:color w:val="000000"/>
                <w:szCs w:val="21"/>
              </w:rPr>
              <w:t>必须提供，否则按无效投标处理</w:t>
            </w:r>
            <w:r>
              <w:rPr>
                <w:rFonts w:hint="eastAsia" w:ascii="宋体" w:hAnsi="宋体" w:cs="宋体"/>
                <w:color w:val="000000"/>
                <w:szCs w:val="21"/>
              </w:rPr>
              <w:t>）</w:t>
            </w:r>
          </w:p>
          <w:p>
            <w:pPr>
              <w:snapToGrid w:val="0"/>
              <w:spacing w:line="400" w:lineRule="exact"/>
              <w:jc w:val="left"/>
              <w:rPr>
                <w:rFonts w:ascii="宋体" w:hAnsi="宋体" w:cs="宋体"/>
                <w:b/>
                <w:color w:val="000000"/>
                <w:szCs w:val="21"/>
              </w:rPr>
            </w:pPr>
            <w:r>
              <w:rPr>
                <w:rFonts w:hint="eastAsia" w:ascii="宋体" w:hAnsi="宋体" w:cs="宋体"/>
                <w:color w:val="000000"/>
                <w:szCs w:val="21"/>
              </w:rPr>
              <w:t>2.投标人依法缴纳税收的相关材料（</w:t>
            </w:r>
            <w:r>
              <w:rPr>
                <w:rFonts w:hint="eastAsia" w:ascii="宋体" w:hAnsi="宋体" w:cs="宋体"/>
                <w:color w:val="000000"/>
                <w:szCs w:val="21"/>
                <w:u w:val="single"/>
              </w:rPr>
              <w:t>2022</w:t>
            </w:r>
            <w:r>
              <w:rPr>
                <w:rFonts w:hint="eastAsia" w:ascii="宋体" w:hAnsi="宋体" w:cs="宋体"/>
                <w:color w:val="000000"/>
                <w:szCs w:val="21"/>
              </w:rPr>
              <w:t>年</w:t>
            </w:r>
            <w:r>
              <w:rPr>
                <w:rFonts w:hint="eastAsia" w:ascii="宋体" w:hAnsi="宋体" w:cs="宋体"/>
                <w:color w:val="000000"/>
                <w:szCs w:val="21"/>
                <w:u w:val="single"/>
              </w:rPr>
              <w:t xml:space="preserve"> 10</w:t>
            </w:r>
            <w:r>
              <w:rPr>
                <w:rFonts w:hint="eastAsia" w:ascii="宋体" w:hAnsi="宋体" w:cs="宋体"/>
                <w:color w:val="000000"/>
                <w:szCs w:val="21"/>
              </w:rPr>
              <w:t>月至</w:t>
            </w:r>
            <w:r>
              <w:rPr>
                <w:rFonts w:hint="eastAsia" w:ascii="宋体" w:hAnsi="宋体" w:cs="宋体"/>
                <w:color w:val="000000"/>
                <w:szCs w:val="21"/>
                <w:u w:val="single"/>
              </w:rPr>
              <w:t>2023</w:t>
            </w:r>
            <w:r>
              <w:rPr>
                <w:rFonts w:hint="eastAsia" w:ascii="宋体" w:hAnsi="宋体" w:cs="宋体"/>
                <w:color w:val="000000"/>
                <w:szCs w:val="21"/>
              </w:rPr>
              <w:t>年</w:t>
            </w:r>
            <w:r>
              <w:rPr>
                <w:rFonts w:hint="eastAsia" w:ascii="宋体" w:hAnsi="宋体" w:cs="宋体"/>
                <w:color w:val="000000"/>
                <w:szCs w:val="21"/>
                <w:u w:val="single"/>
              </w:rPr>
              <w:t xml:space="preserve"> 3</w:t>
            </w:r>
            <w:r>
              <w:rPr>
                <w:rFonts w:hint="eastAsia" w:ascii="宋体" w:hAnsi="宋体" w:cs="宋体"/>
                <w:color w:val="000000"/>
                <w:szCs w:val="21"/>
              </w:rPr>
              <w:t>月内任意一个月的依法缴纳税收的凭据复印件；依法免税或零申报的供应商，必须提供相应文件证明其依法免税或零申报。从成立之日起到投标文件提交截止时间止不足要求月数的，只需提供从成立之日起的依法缴纳税收相应证明文件）；（</w:t>
            </w:r>
            <w:r>
              <w:rPr>
                <w:rFonts w:hint="eastAsia" w:ascii="宋体" w:hAnsi="宋体" w:cs="宋体"/>
                <w:b/>
                <w:color w:val="000000"/>
                <w:szCs w:val="21"/>
              </w:rPr>
              <w:t>必须提供，否则按无效投标处理</w:t>
            </w:r>
            <w:r>
              <w:rPr>
                <w:rFonts w:hint="eastAsia" w:ascii="宋体" w:hAnsi="宋体" w:cs="宋体"/>
                <w:color w:val="000000"/>
                <w:szCs w:val="21"/>
              </w:rPr>
              <w:t>）</w:t>
            </w:r>
          </w:p>
          <w:p>
            <w:pPr>
              <w:snapToGrid w:val="0"/>
              <w:spacing w:line="400" w:lineRule="exact"/>
              <w:jc w:val="left"/>
              <w:rPr>
                <w:rFonts w:ascii="宋体" w:hAnsi="宋体" w:cs="宋体"/>
                <w:b/>
                <w:color w:val="000000"/>
                <w:szCs w:val="21"/>
              </w:rPr>
            </w:pPr>
            <w:r>
              <w:rPr>
                <w:rFonts w:hint="eastAsia" w:ascii="宋体" w:hAnsi="宋体" w:cs="宋体"/>
                <w:color w:val="000000"/>
                <w:szCs w:val="21"/>
              </w:rPr>
              <w:t>3.投标人依法缴纳社会保障资金的相关材料[</w:t>
            </w:r>
            <w:r>
              <w:rPr>
                <w:rFonts w:hint="eastAsia" w:ascii="宋体" w:hAnsi="宋体" w:cs="宋体"/>
                <w:color w:val="000000"/>
                <w:szCs w:val="21"/>
                <w:u w:val="single"/>
              </w:rPr>
              <w:t>2022</w:t>
            </w:r>
            <w:r>
              <w:rPr>
                <w:rFonts w:hint="eastAsia" w:ascii="宋体" w:hAnsi="宋体" w:cs="宋体"/>
                <w:color w:val="000000"/>
                <w:szCs w:val="21"/>
              </w:rPr>
              <w:t>年</w:t>
            </w:r>
            <w:r>
              <w:rPr>
                <w:rFonts w:hint="eastAsia" w:ascii="宋体" w:hAnsi="宋体" w:cs="宋体"/>
                <w:color w:val="000000"/>
                <w:szCs w:val="21"/>
                <w:u w:val="single"/>
              </w:rPr>
              <w:t xml:space="preserve"> 10</w:t>
            </w:r>
            <w:r>
              <w:rPr>
                <w:rFonts w:hint="eastAsia" w:ascii="宋体" w:hAnsi="宋体" w:cs="宋体"/>
                <w:color w:val="000000"/>
                <w:szCs w:val="21"/>
              </w:rPr>
              <w:t>月至</w:t>
            </w:r>
            <w:r>
              <w:rPr>
                <w:rFonts w:hint="eastAsia" w:ascii="宋体" w:hAnsi="宋体" w:cs="宋体"/>
                <w:color w:val="000000"/>
                <w:szCs w:val="21"/>
                <w:u w:val="single"/>
              </w:rPr>
              <w:t>2023</w:t>
            </w:r>
            <w:r>
              <w:rPr>
                <w:rFonts w:hint="eastAsia" w:ascii="宋体" w:hAnsi="宋体" w:cs="宋体"/>
                <w:color w:val="000000"/>
                <w:szCs w:val="21"/>
              </w:rPr>
              <w:t>年</w:t>
            </w:r>
            <w:r>
              <w:rPr>
                <w:rFonts w:hint="eastAsia" w:ascii="宋体" w:hAnsi="宋体" w:cs="宋体"/>
                <w:color w:val="000000"/>
                <w:szCs w:val="21"/>
                <w:u w:val="single"/>
              </w:rPr>
              <w:t xml:space="preserve"> 3 </w:t>
            </w:r>
            <w:r>
              <w:rPr>
                <w:rFonts w:hint="eastAsia" w:ascii="宋体" w:hAnsi="宋体" w:cs="宋体"/>
                <w:color w:val="000000"/>
                <w:szCs w:val="21"/>
              </w:rPr>
              <w:t>月内任意一个月的依法缴纳社会保障资金的缴费凭证（或专用收据或者社会保险缴纳清单）复印件；依法不需要缴纳社会保障资金的供应商，必须提供相应文件证明不需要缴纳社会保障资金。从成立之日起到投标文件提交截止时间止不足要求月数的只需提供从成立之日起的依法缴纳社会保障资金的相应证明文件]；（</w:t>
            </w:r>
            <w:r>
              <w:rPr>
                <w:rFonts w:hint="eastAsia" w:ascii="宋体" w:hAnsi="宋体" w:cs="宋体"/>
                <w:b/>
                <w:color w:val="000000"/>
                <w:szCs w:val="21"/>
              </w:rPr>
              <w:t>必须提供，否则按无效投标处理</w:t>
            </w:r>
            <w:r>
              <w:rPr>
                <w:rFonts w:hint="eastAsia" w:ascii="宋体" w:hAnsi="宋体" w:cs="宋体"/>
                <w:color w:val="000000"/>
                <w:szCs w:val="21"/>
              </w:rPr>
              <w:t>）</w:t>
            </w:r>
          </w:p>
          <w:p>
            <w:pPr>
              <w:snapToGrid w:val="0"/>
              <w:spacing w:line="400" w:lineRule="exact"/>
              <w:jc w:val="left"/>
              <w:rPr>
                <w:rFonts w:ascii="宋体" w:hAnsi="宋体" w:cs="宋体"/>
                <w:b/>
                <w:color w:val="000000"/>
                <w:szCs w:val="21"/>
              </w:rPr>
            </w:pPr>
            <w:r>
              <w:rPr>
                <w:rFonts w:hint="eastAsia" w:ascii="宋体" w:hAnsi="宋体" w:cs="宋体"/>
                <w:color w:val="000000"/>
                <w:szCs w:val="21"/>
              </w:rPr>
              <w:t>4.投标人财务状况报告</w:t>
            </w:r>
            <w:r>
              <w:rPr>
                <w:rFonts w:hint="eastAsia" w:ascii="宋体" w:hAnsi="宋体"/>
                <w:szCs w:val="21"/>
              </w:rPr>
              <w:t>（2021年度或2022年度经第三方审计的财务审计报告复印件或者银行出具的资信证明；投标人属于成立时间</w:t>
            </w:r>
            <w:r>
              <w:rPr>
                <w:rFonts w:hint="eastAsia" w:ascii="宋体" w:hAnsi="宋体"/>
                <w:kern w:val="0"/>
                <w:szCs w:val="21"/>
              </w:rPr>
              <w:t>在规定年度之后</w:t>
            </w:r>
            <w:r>
              <w:rPr>
                <w:rFonts w:hint="eastAsia" w:ascii="宋体" w:hAnsi="宋体"/>
                <w:szCs w:val="21"/>
              </w:rPr>
              <w:t>的法人或其他组织，须提供成立之日起至投标截止时间前的月报表或银行出具的资信证明；资信证明应在有效期内，未注明有效期的，银行出具时间至投标截止时间不超过一年）</w:t>
            </w:r>
            <w:r>
              <w:rPr>
                <w:rFonts w:hint="eastAsia" w:ascii="宋体" w:hAnsi="宋体" w:cs="宋体"/>
                <w:color w:val="000000"/>
                <w:szCs w:val="21"/>
              </w:rPr>
              <w:t>；（</w:t>
            </w:r>
            <w:r>
              <w:rPr>
                <w:rFonts w:hint="eastAsia" w:ascii="宋体" w:hAnsi="宋体" w:cs="宋体"/>
                <w:b/>
                <w:color w:val="000000"/>
                <w:szCs w:val="21"/>
              </w:rPr>
              <w:t>必须提供，否则按无效投标处理</w:t>
            </w:r>
            <w:r>
              <w:rPr>
                <w:rFonts w:hint="eastAsia" w:ascii="宋体" w:hAnsi="宋体" w:cs="宋体"/>
                <w:color w:val="000000"/>
                <w:szCs w:val="21"/>
              </w:rPr>
              <w:t>）</w:t>
            </w:r>
          </w:p>
          <w:p>
            <w:pPr>
              <w:snapToGrid w:val="0"/>
              <w:spacing w:line="400" w:lineRule="exact"/>
              <w:jc w:val="left"/>
              <w:rPr>
                <w:rFonts w:ascii="宋体" w:hAnsi="宋体" w:cs="宋体"/>
                <w:color w:val="000000"/>
                <w:szCs w:val="21"/>
              </w:rPr>
            </w:pPr>
            <w:r>
              <w:rPr>
                <w:rFonts w:hint="eastAsia" w:ascii="宋体" w:hAnsi="宋体" w:cs="宋体"/>
                <w:color w:val="000000"/>
                <w:szCs w:val="21"/>
              </w:rPr>
              <w:t>5.投标人直接控股、管理关系信息表（格式见第六章）；（</w:t>
            </w:r>
            <w:r>
              <w:rPr>
                <w:rFonts w:hint="eastAsia" w:ascii="宋体" w:hAnsi="宋体" w:cs="宋体"/>
                <w:b/>
                <w:color w:val="000000"/>
                <w:szCs w:val="21"/>
              </w:rPr>
              <w:t>必须提供，否则按无效投标处理</w:t>
            </w:r>
            <w:r>
              <w:rPr>
                <w:rFonts w:hint="eastAsia" w:ascii="宋体" w:hAnsi="宋体" w:cs="宋体"/>
                <w:color w:val="000000"/>
                <w:szCs w:val="21"/>
              </w:rPr>
              <w:t>）</w:t>
            </w:r>
          </w:p>
          <w:p>
            <w:pPr>
              <w:snapToGrid w:val="0"/>
              <w:spacing w:line="400" w:lineRule="exact"/>
              <w:jc w:val="left"/>
              <w:rPr>
                <w:rFonts w:ascii="宋体" w:hAnsi="宋体" w:cs="宋体"/>
                <w:b/>
                <w:color w:val="000000"/>
                <w:szCs w:val="21"/>
              </w:rPr>
            </w:pPr>
            <w:r>
              <w:rPr>
                <w:rFonts w:hint="eastAsia" w:ascii="宋体" w:hAnsi="宋体" w:cs="宋体"/>
                <w:color w:val="000000"/>
                <w:szCs w:val="21"/>
              </w:rPr>
              <w:t>6.投标声明（格式见第六章）；（</w:t>
            </w:r>
            <w:r>
              <w:rPr>
                <w:rFonts w:hint="eastAsia" w:ascii="宋体" w:hAnsi="宋体" w:cs="宋体"/>
                <w:b/>
                <w:color w:val="000000"/>
                <w:szCs w:val="21"/>
              </w:rPr>
              <w:t>必须提供，否则按无效投标处理</w:t>
            </w:r>
            <w:r>
              <w:rPr>
                <w:rFonts w:hint="eastAsia" w:ascii="宋体" w:hAnsi="宋体" w:cs="宋体"/>
                <w:color w:val="000000"/>
                <w:szCs w:val="21"/>
              </w:rPr>
              <w:t>）</w:t>
            </w:r>
          </w:p>
          <w:p>
            <w:pPr>
              <w:snapToGrid w:val="0"/>
              <w:spacing w:line="400" w:lineRule="exact"/>
              <w:jc w:val="left"/>
              <w:rPr>
                <w:rFonts w:ascii="宋体" w:hAnsi="宋体" w:cs="宋体"/>
                <w:color w:val="000000"/>
                <w:szCs w:val="21"/>
              </w:rPr>
            </w:pPr>
            <w:r>
              <w:rPr>
                <w:rFonts w:hint="eastAsia" w:ascii="宋体" w:hAnsi="宋体" w:cs="宋体"/>
                <w:color w:val="000000"/>
                <w:szCs w:val="21"/>
              </w:rPr>
              <w:t>7.除招标文件规定必须提供以外，投标人认为需要提供的其他证明材料（如有，请提供）。</w:t>
            </w:r>
          </w:p>
          <w:p>
            <w:pPr>
              <w:snapToGrid w:val="0"/>
              <w:spacing w:line="400" w:lineRule="exact"/>
              <w:jc w:val="left"/>
              <w:rPr>
                <w:rFonts w:ascii="宋体" w:hAnsi="宋体" w:cs="宋体"/>
                <w:b/>
                <w:bCs/>
                <w:color w:val="000000"/>
                <w:szCs w:val="21"/>
              </w:rPr>
            </w:pPr>
            <w:r>
              <w:rPr>
                <w:rFonts w:hint="eastAsia" w:ascii="宋体" w:hAnsi="宋体" w:cs="宋体"/>
                <w:b/>
                <w:bCs/>
                <w:color w:val="000000"/>
                <w:szCs w:val="21"/>
              </w:rPr>
              <w:t>注：</w:t>
            </w:r>
          </w:p>
          <w:p>
            <w:pPr>
              <w:snapToGrid w:val="0"/>
              <w:spacing w:line="400" w:lineRule="exact"/>
            </w:pPr>
            <w:r>
              <w:rPr>
                <w:rFonts w:hint="eastAsia" w:ascii="宋体" w:hAnsi="宋体" w:cs="宋体"/>
                <w:b/>
                <w:bCs/>
                <w:color w:val="000000"/>
                <w:szCs w:val="21"/>
              </w:rPr>
              <w:t>1.以上标明“必须提供”的材料属于复印件的，必须加盖投标人电子签章，否则按无效投标</w:t>
            </w:r>
            <w:r>
              <w:rPr>
                <w:rFonts w:hint="eastAsia" w:ascii="宋体" w:hAnsi="宋体" w:cs="宋体"/>
                <w:b/>
                <w:color w:val="000000"/>
                <w:szCs w:val="21"/>
              </w:rPr>
              <w:t>处理。</w:t>
            </w:r>
          </w:p>
          <w:p>
            <w:pPr>
              <w:snapToGrid w:val="0"/>
              <w:spacing w:line="400" w:lineRule="exact"/>
              <w:jc w:val="left"/>
              <w:rPr>
                <w:rFonts w:ascii="宋体" w:hAnsi="宋体" w:cs="宋体"/>
                <w:b/>
                <w:bCs/>
                <w:color w:val="000000"/>
                <w:szCs w:val="21"/>
              </w:rPr>
            </w:pPr>
            <w:r>
              <w:rPr>
                <w:rFonts w:hint="eastAsia" w:ascii="宋体" w:hAnsi="宋体" w:cs="宋体"/>
                <w:color w:val="000000"/>
                <w:szCs w:val="21"/>
              </w:rPr>
              <w:t>▲</w:t>
            </w:r>
            <w:r>
              <w:rPr>
                <w:rFonts w:hint="eastAsia" w:ascii="宋体" w:hAnsi="宋体" w:cs="宋体"/>
                <w:b/>
                <w:bCs/>
                <w:color w:val="000000"/>
                <w:szCs w:val="21"/>
              </w:rPr>
              <w:t>2.分公司参加投标的，应当取得总公司授权。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vMerge w:val="continue"/>
            <w:tcBorders>
              <w:left w:val="single" w:color="auto" w:sz="4" w:space="0"/>
              <w:right w:val="single" w:color="auto" w:sz="4" w:space="0"/>
            </w:tcBorders>
            <w:vAlign w:val="center"/>
          </w:tcPr>
          <w:p>
            <w:pPr>
              <w:spacing w:line="400" w:lineRule="exact"/>
              <w:rPr>
                <w:rFonts w:ascii="宋体" w:hAnsi="宋体" w:cs="宋体"/>
                <w:color w:val="000000"/>
                <w:szCs w:val="21"/>
              </w:rPr>
            </w:pPr>
            <w:bookmarkStart w:id="156" w:name="_13.3"/>
            <w:bookmarkEnd w:id="156"/>
          </w:p>
        </w:tc>
        <w:tc>
          <w:tcPr>
            <w:tcW w:w="826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ascii="宋体" w:hAnsi="宋体" w:cs="宋体"/>
                <w:b/>
                <w:color w:val="000000"/>
                <w:szCs w:val="21"/>
              </w:rPr>
            </w:pPr>
            <w:r>
              <w:rPr>
                <w:rFonts w:hint="eastAsia" w:ascii="宋体" w:hAnsi="宋体" w:cs="宋体"/>
                <w:b/>
                <w:color w:val="000000"/>
                <w:szCs w:val="21"/>
              </w:rPr>
              <w:t>商务文件：</w:t>
            </w:r>
          </w:p>
          <w:p>
            <w:pPr>
              <w:snapToGrid w:val="0"/>
              <w:spacing w:line="400" w:lineRule="exact"/>
              <w:jc w:val="left"/>
              <w:rPr>
                <w:rFonts w:ascii="宋体" w:hAnsi="宋体" w:cs="宋体"/>
                <w:color w:val="000000"/>
                <w:szCs w:val="21"/>
              </w:rPr>
            </w:pPr>
            <w:r>
              <w:rPr>
                <w:rFonts w:hint="eastAsia" w:ascii="宋体" w:hAnsi="宋体" w:cs="宋体"/>
                <w:color w:val="000000"/>
                <w:szCs w:val="21"/>
              </w:rPr>
              <w:t>1.无串通投标行为的承诺函（格式见第六章）；（</w:t>
            </w:r>
            <w:r>
              <w:rPr>
                <w:rFonts w:hint="eastAsia" w:ascii="宋体" w:hAnsi="宋体" w:cs="宋体"/>
                <w:b/>
                <w:color w:val="000000"/>
                <w:szCs w:val="21"/>
              </w:rPr>
              <w:t>必须提供，否则按无效投标处理</w:t>
            </w:r>
            <w:r>
              <w:rPr>
                <w:rFonts w:hint="eastAsia" w:ascii="宋体" w:hAnsi="宋体" w:cs="宋体"/>
                <w:color w:val="000000"/>
                <w:szCs w:val="21"/>
              </w:rPr>
              <w:t>）</w:t>
            </w:r>
          </w:p>
          <w:p>
            <w:pPr>
              <w:snapToGrid w:val="0"/>
              <w:spacing w:line="400" w:lineRule="exact"/>
              <w:jc w:val="left"/>
              <w:rPr>
                <w:rFonts w:ascii="宋体" w:hAnsi="宋体" w:cs="宋体"/>
                <w:color w:val="000000"/>
                <w:szCs w:val="21"/>
              </w:rPr>
            </w:pPr>
            <w:r>
              <w:rPr>
                <w:rFonts w:hint="eastAsia" w:ascii="宋体" w:hAnsi="宋体" w:cs="宋体"/>
                <w:color w:val="000000"/>
                <w:szCs w:val="21"/>
              </w:rPr>
              <w:t>2.投标保证金提交凭证；（</w:t>
            </w:r>
            <w:r>
              <w:rPr>
                <w:rFonts w:hint="eastAsia" w:ascii="宋体" w:hAnsi="宋体" w:cs="宋体"/>
                <w:b/>
                <w:bCs/>
                <w:color w:val="000000"/>
                <w:szCs w:val="21"/>
              </w:rPr>
              <w:t>必须提供</w:t>
            </w:r>
            <w:r>
              <w:rPr>
                <w:rFonts w:hint="eastAsia" w:ascii="宋体" w:hAnsi="宋体" w:cs="宋体"/>
                <w:b/>
                <w:color w:val="000000"/>
                <w:szCs w:val="21"/>
              </w:rPr>
              <w:t>，否则按无效投标处理</w:t>
            </w:r>
            <w:r>
              <w:rPr>
                <w:rFonts w:hint="eastAsia" w:ascii="宋体" w:hAnsi="宋体" w:cs="宋体"/>
                <w:color w:val="000000"/>
                <w:szCs w:val="21"/>
              </w:rPr>
              <w:t>）</w:t>
            </w:r>
          </w:p>
          <w:p>
            <w:pPr>
              <w:snapToGrid w:val="0"/>
              <w:spacing w:line="400" w:lineRule="exact"/>
              <w:jc w:val="left"/>
              <w:rPr>
                <w:rFonts w:ascii="宋体" w:hAnsi="宋体" w:cs="宋体"/>
                <w:color w:val="000000"/>
                <w:szCs w:val="21"/>
              </w:rPr>
            </w:pPr>
            <w:r>
              <w:rPr>
                <w:rFonts w:hint="eastAsia" w:ascii="宋体" w:hAnsi="宋体" w:cs="宋体"/>
                <w:color w:val="000000"/>
                <w:szCs w:val="21"/>
              </w:rPr>
              <w:t>3.法定代表人身份证明及法定代表人有效身份证正反面复印件（格式见第六章）；（</w:t>
            </w:r>
            <w:r>
              <w:rPr>
                <w:rFonts w:hint="eastAsia" w:ascii="宋体" w:hAnsi="宋体" w:cs="宋体"/>
                <w:b/>
                <w:bCs/>
                <w:color w:val="000000"/>
                <w:szCs w:val="21"/>
              </w:rPr>
              <w:t>除自然人投标外，</w:t>
            </w:r>
            <w:r>
              <w:rPr>
                <w:rFonts w:hint="eastAsia" w:ascii="宋体" w:hAnsi="宋体" w:cs="宋体"/>
                <w:b/>
                <w:color w:val="000000"/>
                <w:szCs w:val="21"/>
              </w:rPr>
              <w:t>必须提供，否则按无效投标处理</w:t>
            </w:r>
            <w:r>
              <w:rPr>
                <w:rFonts w:hint="eastAsia" w:ascii="宋体" w:hAnsi="宋体" w:cs="宋体"/>
                <w:color w:val="000000"/>
                <w:szCs w:val="21"/>
              </w:rPr>
              <w:t>）</w:t>
            </w:r>
          </w:p>
          <w:p>
            <w:pPr>
              <w:snapToGrid w:val="0"/>
              <w:spacing w:line="400" w:lineRule="exact"/>
              <w:jc w:val="left"/>
              <w:rPr>
                <w:rFonts w:ascii="宋体" w:hAnsi="宋体" w:cs="宋体"/>
                <w:color w:val="000000"/>
                <w:szCs w:val="21"/>
              </w:rPr>
            </w:pPr>
            <w:r>
              <w:rPr>
                <w:rFonts w:hint="eastAsia" w:ascii="宋体" w:hAnsi="宋体" w:cs="宋体"/>
                <w:color w:val="000000"/>
                <w:szCs w:val="21"/>
              </w:rPr>
              <w:t>4.授权委托书及委托代理人有效身份证正反面复印件（格式见第六章）；（</w:t>
            </w:r>
            <w:r>
              <w:rPr>
                <w:rFonts w:hint="eastAsia" w:ascii="宋体" w:hAnsi="宋体" w:cs="宋体"/>
                <w:b/>
                <w:color w:val="000000"/>
                <w:szCs w:val="21"/>
              </w:rPr>
              <w:t>委托时必须提供，否则按无效投标处理</w:t>
            </w:r>
            <w:r>
              <w:rPr>
                <w:rFonts w:hint="eastAsia" w:ascii="宋体" w:hAnsi="宋体" w:cs="宋体"/>
                <w:color w:val="000000"/>
                <w:szCs w:val="21"/>
              </w:rPr>
              <w:t>）</w:t>
            </w:r>
          </w:p>
          <w:p>
            <w:pPr>
              <w:snapToGrid w:val="0"/>
              <w:spacing w:line="400" w:lineRule="exact"/>
              <w:jc w:val="left"/>
              <w:rPr>
                <w:rFonts w:ascii="宋体" w:hAnsi="宋体" w:cs="宋体"/>
                <w:color w:val="000000"/>
                <w:szCs w:val="21"/>
              </w:rPr>
            </w:pPr>
            <w:r>
              <w:rPr>
                <w:rFonts w:hint="eastAsia" w:ascii="宋体" w:hAnsi="宋体" w:cs="宋体"/>
                <w:color w:val="000000"/>
                <w:szCs w:val="21"/>
              </w:rPr>
              <w:t>5.商务要求偏离表（格式见第六章）；（</w:t>
            </w:r>
            <w:r>
              <w:rPr>
                <w:rFonts w:hint="eastAsia" w:ascii="宋体" w:hAnsi="宋体" w:cs="宋体"/>
                <w:b/>
                <w:color w:val="000000"/>
                <w:szCs w:val="21"/>
              </w:rPr>
              <w:t>必须提供，否则按无效投标处理</w:t>
            </w:r>
            <w:r>
              <w:rPr>
                <w:rFonts w:hint="eastAsia" w:ascii="宋体" w:hAnsi="宋体" w:cs="宋体"/>
                <w:color w:val="000000"/>
                <w:szCs w:val="21"/>
              </w:rPr>
              <w:t>）</w:t>
            </w:r>
          </w:p>
          <w:p>
            <w:pPr>
              <w:snapToGrid w:val="0"/>
              <w:spacing w:line="400" w:lineRule="exact"/>
              <w:jc w:val="left"/>
              <w:rPr>
                <w:rFonts w:ascii="宋体" w:hAnsi="宋体" w:cs="宋体"/>
                <w:color w:val="000000"/>
                <w:szCs w:val="21"/>
              </w:rPr>
            </w:pPr>
            <w:r>
              <w:rPr>
                <w:rFonts w:hint="eastAsia" w:ascii="宋体" w:hAnsi="宋体" w:cs="宋体"/>
                <w:color w:val="000000"/>
                <w:szCs w:val="21"/>
              </w:rPr>
              <w:t>6.承诺函（格式见第六章）；（</w:t>
            </w:r>
            <w:r>
              <w:rPr>
                <w:rFonts w:hint="eastAsia" w:ascii="宋体" w:hAnsi="宋体" w:cs="宋体"/>
                <w:b/>
                <w:color w:val="000000"/>
                <w:szCs w:val="21"/>
              </w:rPr>
              <w:t>必须提供，否则按无效投标处理</w:t>
            </w:r>
            <w:r>
              <w:rPr>
                <w:rFonts w:hint="eastAsia" w:ascii="宋体" w:hAnsi="宋体" w:cs="宋体"/>
                <w:color w:val="000000"/>
                <w:szCs w:val="21"/>
              </w:rPr>
              <w:t>）</w:t>
            </w:r>
          </w:p>
          <w:p>
            <w:pPr>
              <w:snapToGrid w:val="0"/>
              <w:spacing w:line="400" w:lineRule="exact"/>
              <w:jc w:val="left"/>
              <w:rPr>
                <w:rFonts w:ascii="宋体" w:hAnsi="宋体" w:cs="宋体"/>
                <w:color w:val="000000"/>
                <w:szCs w:val="21"/>
              </w:rPr>
            </w:pPr>
            <w:r>
              <w:rPr>
                <w:rFonts w:hint="eastAsia" w:ascii="宋体" w:hAnsi="宋体" w:cs="宋体"/>
                <w:color w:val="000000"/>
                <w:szCs w:val="21"/>
              </w:rPr>
              <w:t>7.投标人情况介绍（格式自拟）；（如有，请提供）</w:t>
            </w:r>
          </w:p>
          <w:p>
            <w:pPr>
              <w:snapToGrid w:val="0"/>
              <w:spacing w:line="400" w:lineRule="exact"/>
              <w:jc w:val="left"/>
              <w:rPr>
                <w:rFonts w:ascii="宋体" w:hAnsi="宋体" w:cs="宋体"/>
                <w:color w:val="000000"/>
                <w:szCs w:val="21"/>
              </w:rPr>
            </w:pPr>
            <w:r>
              <w:rPr>
                <w:rFonts w:hint="eastAsia" w:ascii="宋体" w:hAnsi="宋体" w:cs="宋体"/>
                <w:color w:val="000000"/>
                <w:szCs w:val="21"/>
              </w:rPr>
              <w:t>8.除招标文件规定必须提供以外，投标人认为需要提供的其他证明材料（格式自拟）。（投标人根据“第二章 采购需求”及“第四章 评标方法及标准”提供有关证明材料）。</w:t>
            </w:r>
          </w:p>
          <w:p>
            <w:pPr>
              <w:snapToGrid w:val="0"/>
              <w:spacing w:line="400" w:lineRule="exact"/>
              <w:jc w:val="left"/>
              <w:rPr>
                <w:rFonts w:ascii="宋体" w:hAnsi="宋体" w:cs="宋体"/>
                <w:b/>
                <w:color w:val="000000"/>
                <w:szCs w:val="21"/>
              </w:rPr>
            </w:pPr>
            <w:r>
              <w:rPr>
                <w:rFonts w:hint="eastAsia" w:ascii="宋体" w:hAnsi="宋体" w:cs="宋体"/>
                <w:b/>
                <w:bCs/>
                <w:color w:val="000000"/>
                <w:szCs w:val="21"/>
              </w:rPr>
              <w:t>注：以上标明“必须提供”的材料属于复印件的，必须加盖投标人电子签章，否则按无效投标</w:t>
            </w:r>
            <w:r>
              <w:rPr>
                <w:rFonts w:hint="eastAsia" w:ascii="宋体" w:hAnsi="宋体" w:cs="宋体"/>
                <w:b/>
                <w:color w:val="000000"/>
                <w:szCs w:val="21"/>
              </w:rPr>
              <w:t>处理</w:t>
            </w:r>
            <w:r>
              <w:rPr>
                <w:rFonts w:hint="eastAsia" w:ascii="宋体" w:hAnsi="宋体" w:cs="宋体"/>
                <w:b/>
                <w:bCs/>
                <w:color w:val="00000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vMerge w:val="continue"/>
            <w:tcBorders>
              <w:left w:val="single" w:color="auto" w:sz="4" w:space="0"/>
              <w:right w:val="single" w:color="auto" w:sz="4" w:space="0"/>
            </w:tcBorders>
            <w:vAlign w:val="center"/>
          </w:tcPr>
          <w:p>
            <w:pPr>
              <w:spacing w:line="400" w:lineRule="exact"/>
              <w:rPr>
                <w:rFonts w:ascii="宋体" w:hAnsi="宋体" w:cs="宋体"/>
                <w:color w:val="000000"/>
                <w:szCs w:val="21"/>
              </w:rPr>
            </w:pPr>
            <w:bookmarkStart w:id="157" w:name="_13.4"/>
            <w:bookmarkEnd w:id="157"/>
          </w:p>
        </w:tc>
        <w:tc>
          <w:tcPr>
            <w:tcW w:w="826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ascii="宋体" w:hAnsi="宋体" w:cs="宋体"/>
                <w:b/>
                <w:color w:val="000000"/>
                <w:szCs w:val="21"/>
              </w:rPr>
            </w:pPr>
            <w:r>
              <w:rPr>
                <w:rFonts w:hint="eastAsia" w:ascii="宋体" w:hAnsi="宋体" w:cs="宋体"/>
                <w:b/>
                <w:color w:val="000000"/>
                <w:szCs w:val="21"/>
              </w:rPr>
              <w:t>技术文件：</w:t>
            </w:r>
          </w:p>
          <w:p>
            <w:pPr>
              <w:snapToGrid w:val="0"/>
              <w:spacing w:line="400" w:lineRule="exact"/>
              <w:jc w:val="left"/>
              <w:rPr>
                <w:rFonts w:ascii="宋体" w:hAnsi="宋体" w:cs="宋体"/>
                <w:color w:val="000000"/>
                <w:szCs w:val="21"/>
              </w:rPr>
            </w:pPr>
            <w:r>
              <w:rPr>
                <w:rFonts w:hint="eastAsia" w:ascii="宋体" w:hAnsi="宋体" w:cs="宋体"/>
                <w:color w:val="000000"/>
                <w:szCs w:val="21"/>
              </w:rPr>
              <w:t>1.服务要求偏离表（格式见第六章）；（</w:t>
            </w:r>
            <w:r>
              <w:rPr>
                <w:rFonts w:hint="eastAsia" w:ascii="宋体" w:hAnsi="宋体" w:cs="宋体"/>
                <w:b/>
                <w:color w:val="000000"/>
                <w:szCs w:val="21"/>
              </w:rPr>
              <w:t>必须提供，否则按无效投标处理</w:t>
            </w:r>
            <w:r>
              <w:rPr>
                <w:rFonts w:hint="eastAsia" w:ascii="宋体" w:hAnsi="宋体" w:cs="宋体"/>
                <w:color w:val="000000"/>
                <w:szCs w:val="21"/>
              </w:rPr>
              <w:t>）</w:t>
            </w:r>
          </w:p>
          <w:p>
            <w:pPr>
              <w:snapToGrid w:val="0"/>
              <w:spacing w:line="400" w:lineRule="exact"/>
              <w:jc w:val="left"/>
              <w:rPr>
                <w:rFonts w:ascii="宋体" w:hAnsi="宋体" w:cs="宋体"/>
                <w:color w:val="000000"/>
                <w:szCs w:val="21"/>
              </w:rPr>
            </w:pPr>
            <w:r>
              <w:rPr>
                <w:rFonts w:hint="eastAsia" w:ascii="宋体" w:hAnsi="宋体" w:cs="宋体"/>
                <w:color w:val="000000"/>
                <w:szCs w:val="21"/>
              </w:rPr>
              <w:t>2.服务方案（格式自拟）；（如有，请提供）</w:t>
            </w:r>
          </w:p>
          <w:p>
            <w:pPr>
              <w:snapToGrid w:val="0"/>
              <w:spacing w:line="400" w:lineRule="exact"/>
              <w:jc w:val="left"/>
              <w:rPr>
                <w:rFonts w:ascii="宋体" w:hAnsi="宋体" w:cs="宋体"/>
                <w:color w:val="000000"/>
                <w:szCs w:val="21"/>
              </w:rPr>
            </w:pPr>
            <w:r>
              <w:rPr>
                <w:rFonts w:hint="eastAsia" w:ascii="宋体" w:hAnsi="宋体" w:cs="宋体"/>
                <w:color w:val="000000"/>
                <w:szCs w:val="21"/>
              </w:rPr>
              <w:t>3.</w:t>
            </w:r>
            <w:r>
              <w:rPr>
                <w:rFonts w:hint="eastAsia" w:ascii="宋体" w:hAnsi="宋体"/>
                <w:color w:val="000000"/>
                <w:szCs w:val="21"/>
              </w:rPr>
              <w:t>项目实施人员一览表</w:t>
            </w:r>
            <w:r>
              <w:rPr>
                <w:rFonts w:hint="eastAsia" w:ascii="宋体" w:hAnsi="宋体" w:cs="宋体"/>
                <w:color w:val="000000"/>
                <w:szCs w:val="21"/>
              </w:rPr>
              <w:t>（格式自拟）；（如有，请提供）</w:t>
            </w:r>
          </w:p>
          <w:p>
            <w:pPr>
              <w:snapToGrid w:val="0"/>
              <w:spacing w:line="400" w:lineRule="exact"/>
              <w:jc w:val="left"/>
              <w:rPr>
                <w:rFonts w:ascii="宋体" w:hAnsi="宋体" w:cs="宋体"/>
                <w:bCs/>
                <w:color w:val="000000"/>
                <w:szCs w:val="21"/>
              </w:rPr>
            </w:pPr>
            <w:r>
              <w:rPr>
                <w:rFonts w:hint="eastAsia" w:ascii="宋体" w:hAnsi="宋体" w:cs="宋体"/>
                <w:color w:val="000000"/>
                <w:szCs w:val="21"/>
              </w:rPr>
              <w:t>4.除招标文件规定必须提供以外，投标人需要说明的其他文件和说明（格式自拟）。（如有，请提供）</w:t>
            </w:r>
          </w:p>
          <w:p>
            <w:pPr>
              <w:snapToGrid w:val="0"/>
              <w:spacing w:line="400" w:lineRule="exact"/>
              <w:jc w:val="left"/>
              <w:rPr>
                <w:rFonts w:ascii="宋体" w:hAnsi="宋体" w:cs="宋体"/>
                <w:b/>
                <w:bCs/>
                <w:color w:val="000000"/>
                <w:szCs w:val="21"/>
              </w:rPr>
            </w:pPr>
            <w:r>
              <w:rPr>
                <w:rFonts w:hint="eastAsia" w:ascii="宋体" w:hAnsi="宋体" w:cs="宋体"/>
                <w:b/>
                <w:bCs/>
                <w:color w:val="000000"/>
                <w:szCs w:val="21"/>
              </w:rPr>
              <w:t>注：以上标明“必须提供”的材料属于复印件的，必须加盖投标人电子签章，否则按无效投标</w:t>
            </w:r>
            <w:r>
              <w:rPr>
                <w:rFonts w:hint="eastAsia" w:ascii="宋体" w:hAnsi="宋体" w:cs="宋体"/>
                <w:b/>
                <w:color w:val="000000"/>
                <w:szCs w:val="21"/>
              </w:rPr>
              <w:t>处理</w:t>
            </w:r>
            <w:r>
              <w:rPr>
                <w:rFonts w:hint="eastAsia" w:ascii="宋体" w:hAnsi="宋体" w:cs="宋体"/>
                <w:b/>
                <w:bCs/>
                <w:color w:val="00000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vMerge w:val="continue"/>
            <w:tcBorders>
              <w:left w:val="single" w:color="auto" w:sz="4" w:space="0"/>
              <w:bottom w:val="single" w:color="auto" w:sz="4" w:space="0"/>
              <w:right w:val="single" w:color="auto" w:sz="4" w:space="0"/>
            </w:tcBorders>
            <w:vAlign w:val="center"/>
          </w:tcPr>
          <w:p>
            <w:pPr>
              <w:spacing w:line="400" w:lineRule="exact"/>
              <w:rPr>
                <w:rFonts w:ascii="宋体" w:hAnsi="宋体" w:cs="宋体"/>
                <w:color w:val="000000"/>
                <w:szCs w:val="21"/>
              </w:rPr>
            </w:pPr>
          </w:p>
        </w:tc>
        <w:tc>
          <w:tcPr>
            <w:tcW w:w="826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ascii="宋体" w:hAnsi="宋体" w:cs="宋体"/>
                <w:b/>
                <w:bCs/>
                <w:color w:val="000000"/>
                <w:szCs w:val="21"/>
              </w:rPr>
            </w:pPr>
            <w:r>
              <w:rPr>
                <w:rFonts w:hint="eastAsia" w:ascii="宋体" w:hAnsi="宋体" w:cs="宋体"/>
                <w:b/>
                <w:bCs/>
                <w:color w:val="000000"/>
                <w:szCs w:val="21"/>
              </w:rPr>
              <w:t>注：根据政采云电子投标客户端的要求，商务、技术文件应合并成一个文件上传，投标人可根据商务、技术文件内容自行编制，对应的文件目录应只生成一个，且页码应保持连续性。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s="宋体"/>
                <w:color w:val="000000"/>
                <w:szCs w:val="21"/>
              </w:rPr>
            </w:pPr>
            <w:bookmarkStart w:id="158" w:name="_16.2"/>
            <w:bookmarkEnd w:id="158"/>
            <w:bookmarkStart w:id="159" w:name="_13.5"/>
            <w:bookmarkEnd w:id="159"/>
            <w:r>
              <w:rPr>
                <w:rFonts w:hint="eastAsia" w:ascii="宋体" w:hAnsi="宋体" w:cs="宋体"/>
                <w:color w:val="000000"/>
                <w:szCs w:val="21"/>
              </w:rPr>
              <w:t>16</w:t>
            </w:r>
            <w:bookmarkStart w:id="160" w:name="_Hlt19693759"/>
            <w:bookmarkStart w:id="161" w:name="_Hlt19194067"/>
            <w:bookmarkStart w:id="162" w:name="_Hlt19693758"/>
            <w:bookmarkStart w:id="163" w:name="_Hlt19194066"/>
            <w:r>
              <w:rPr>
                <w:rFonts w:hint="eastAsia" w:ascii="宋体" w:hAnsi="宋体" w:cs="宋体"/>
                <w:color w:val="000000"/>
                <w:szCs w:val="21"/>
              </w:rPr>
              <w:t>.</w:t>
            </w:r>
            <w:bookmarkEnd w:id="160"/>
            <w:bookmarkEnd w:id="161"/>
            <w:bookmarkEnd w:id="162"/>
            <w:bookmarkEnd w:id="163"/>
            <w:r>
              <w:rPr>
                <w:rFonts w:hint="eastAsia" w:ascii="宋体" w:hAnsi="宋体" w:cs="宋体"/>
                <w:color w:val="000000"/>
                <w:szCs w:val="21"/>
              </w:rPr>
              <w:t>2</w:t>
            </w:r>
          </w:p>
        </w:tc>
        <w:tc>
          <w:tcPr>
            <w:tcW w:w="826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b/>
                <w:i/>
                <w:color w:val="000000"/>
                <w:szCs w:val="21"/>
              </w:rPr>
            </w:pPr>
            <w:r>
              <w:rPr>
                <w:rFonts w:hint="eastAsia" w:ascii="宋体" w:hAnsi="宋体" w:cs="宋体"/>
                <w:color w:val="000000"/>
                <w:szCs w:val="21"/>
              </w:rPr>
              <w:t>投标报价是履行合同的最终价格，即满足全部采购需求所应提供的服务，包括但不限于：中标人完成本项目所有工作任务（出具成果文件）所需的一切费用（含完成项目过程中所需的劳务、技术服务费、交通差旅费、资料印刷费、调研、材料、设备、仪器、运输、检测与试验、安全警戒、评审、咨询、会务、管理、招标代理服务费、保险、税费、利润等费用，以及合同明示或暗示的所有责任、义务和一般风险等的一切费用等各种费用在内），即总价包干。合同价不因任何因素而调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s="宋体"/>
                <w:color w:val="000000"/>
                <w:szCs w:val="21"/>
              </w:rPr>
            </w:pPr>
            <w:bookmarkStart w:id="164" w:name="_17.1"/>
            <w:bookmarkEnd w:id="164"/>
            <w:r>
              <w:rPr>
                <w:rFonts w:hint="eastAsia" w:ascii="宋体" w:hAnsi="宋体" w:cs="宋体"/>
                <w:color w:val="000000"/>
                <w:szCs w:val="21"/>
              </w:rPr>
              <w:t>17.2</w:t>
            </w:r>
          </w:p>
        </w:tc>
        <w:tc>
          <w:tcPr>
            <w:tcW w:w="826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color w:val="000000"/>
                <w:szCs w:val="21"/>
              </w:rPr>
            </w:pPr>
            <w:r>
              <w:rPr>
                <w:rFonts w:hint="eastAsia" w:ascii="宋体" w:hAnsi="宋体" w:cs="宋体"/>
                <w:color w:val="000000"/>
                <w:szCs w:val="21"/>
              </w:rPr>
              <w:t>投标有效期：自投标截止之日起</w:t>
            </w:r>
            <w:r>
              <w:rPr>
                <w:rFonts w:hint="eastAsia" w:ascii="宋体" w:hAnsi="宋体" w:cs="宋体"/>
                <w:color w:val="000000"/>
                <w:szCs w:val="21"/>
                <w:u w:val="single"/>
              </w:rPr>
              <w:t xml:space="preserve"> 60 </w:t>
            </w:r>
            <w:r>
              <w:rPr>
                <w:rFonts w:hint="eastAsia" w:ascii="宋体" w:hAnsi="宋体" w:cs="宋体"/>
                <w:color w:val="000000"/>
                <w:szCs w:val="21"/>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s="宋体"/>
                <w:color w:val="000000"/>
                <w:szCs w:val="21"/>
              </w:rPr>
            </w:pPr>
            <w:bookmarkStart w:id="165" w:name="_18"/>
            <w:bookmarkEnd w:id="165"/>
            <w:r>
              <w:rPr>
                <w:rFonts w:hint="eastAsia" w:ascii="宋体" w:hAnsi="宋体" w:cs="宋体"/>
                <w:color w:val="000000"/>
                <w:szCs w:val="21"/>
              </w:rPr>
              <w:t>18.1</w:t>
            </w:r>
          </w:p>
        </w:tc>
        <w:tc>
          <w:tcPr>
            <w:tcW w:w="826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color w:val="000000"/>
                <w:szCs w:val="21"/>
              </w:rPr>
            </w:pPr>
            <w:r>
              <w:rPr>
                <w:rFonts w:hint="eastAsia" w:ascii="宋体" w:hAnsi="宋体" w:cs="宋体"/>
                <w:color w:val="000000"/>
                <w:szCs w:val="21"/>
              </w:rPr>
              <w:t>□本项目不收取投标保证金。</w:t>
            </w:r>
          </w:p>
          <w:p>
            <w:pPr>
              <w:autoSpaceDE w:val="0"/>
              <w:autoSpaceDN w:val="0"/>
              <w:snapToGrid w:val="0"/>
              <w:spacing w:line="360" w:lineRule="auto"/>
              <w:textAlignment w:val="bottom"/>
              <w:rPr>
                <w:rFonts w:ascii="宋体" w:hAnsi="宋体" w:cs="宋体"/>
                <w:color w:val="000000"/>
                <w:szCs w:val="21"/>
              </w:rPr>
            </w:pPr>
            <w:r>
              <w:rPr>
                <w:rFonts w:hint="eastAsia" w:ascii="宋体" w:hAnsi="宋体" w:cs="宋体"/>
                <w:color w:val="000000"/>
                <w:szCs w:val="21"/>
              </w:rPr>
              <w:t>☑本项目收取投标保证金，具体规定如下：</w:t>
            </w:r>
          </w:p>
          <w:p>
            <w:pPr>
              <w:snapToGrid w:val="0"/>
              <w:spacing w:line="360" w:lineRule="auto"/>
              <w:rPr>
                <w:rFonts w:ascii="宋体" w:hAnsi="宋体" w:cs="宋体"/>
                <w:szCs w:val="21"/>
              </w:rPr>
            </w:pPr>
            <w:r>
              <w:rPr>
                <w:rFonts w:hint="eastAsia" w:ascii="宋体" w:hAnsi="宋体" w:cs="宋体"/>
                <w:b/>
                <w:color w:val="000000"/>
                <w:kern w:val="0"/>
                <w:szCs w:val="21"/>
              </w:rPr>
              <w:t>投标保证金：人民币柒万捌仟元整（￥</w:t>
            </w:r>
            <w:r>
              <w:rPr>
                <w:rFonts w:hint="eastAsia" w:ascii="宋体" w:hAnsi="宋体" w:cs="宋体"/>
                <w:b/>
                <w:kern w:val="0"/>
                <w:szCs w:val="21"/>
              </w:rPr>
              <w:t>78000.00元）</w:t>
            </w:r>
            <w:r>
              <w:rPr>
                <w:rFonts w:hint="eastAsia" w:ascii="宋体" w:hAnsi="宋体" w:cs="宋体"/>
                <w:kern w:val="0"/>
                <w:szCs w:val="21"/>
              </w:rPr>
              <w:t>。</w:t>
            </w:r>
          </w:p>
          <w:p>
            <w:pPr>
              <w:snapToGrid w:val="0"/>
              <w:spacing w:line="360" w:lineRule="auto"/>
              <w:rPr>
                <w:rFonts w:ascii="宋体" w:hAnsi="宋体" w:cs="宋体"/>
                <w:szCs w:val="21"/>
              </w:rPr>
            </w:pPr>
            <w:r>
              <w:rPr>
                <w:rFonts w:hint="eastAsia" w:ascii="宋体" w:hAnsi="宋体" w:cs="宋体"/>
                <w:b/>
                <w:color w:val="000000"/>
                <w:kern w:val="0"/>
                <w:szCs w:val="21"/>
              </w:rPr>
              <w:t>投标保证金的交纳方式：银行转账、支票、汇票、本票或者银行、保险机构出具的保函，禁止采用现钞方式</w:t>
            </w:r>
            <w:r>
              <w:rPr>
                <w:rFonts w:hint="eastAsia" w:ascii="宋体" w:hAnsi="宋体" w:cs="宋体"/>
                <w:color w:val="000000"/>
                <w:kern w:val="0"/>
                <w:szCs w:val="21"/>
              </w:rPr>
              <w:t>。采用银行转账方式的，在投标截止时间前交至指定账户并且到账【</w:t>
            </w:r>
            <w:r>
              <w:rPr>
                <w:rFonts w:hint="eastAsia" w:ascii="宋体" w:hAnsi="宋体" w:cs="宋体"/>
                <w:b/>
                <w:bCs/>
                <w:color w:val="000000"/>
                <w:kern w:val="0"/>
                <w:szCs w:val="21"/>
              </w:rPr>
              <w:t>开户名称：广西正海招标有限公司，开户银行：广西北部湾银行南宁市兴宁支行，银行账号：800105504300012，北部湾行号：313611014014</w:t>
            </w:r>
            <w:r>
              <w:rPr>
                <w:rFonts w:hint="eastAsia" w:ascii="宋体" w:hAnsi="宋体" w:cs="宋体"/>
                <w:color w:val="000000"/>
                <w:kern w:val="0"/>
                <w:szCs w:val="21"/>
              </w:rPr>
              <w:t>】；采用支票、汇票、本票或者保函等方式的，在投标截止时间前，投标人必须递交单独密封的支票、汇票、本票或者保函原件。否则视为无效投标保证金。</w:t>
            </w:r>
            <w:r>
              <w:rPr>
                <w:rFonts w:hint="eastAsia" w:ascii="宋体" w:hAnsi="宋体" w:cs="宋体"/>
                <w:b/>
                <w:bCs/>
                <w:color w:val="000000"/>
                <w:kern w:val="0"/>
                <w:szCs w:val="21"/>
              </w:rPr>
              <w:t>注：投标保证金转账时请备注“项目编号+投标保证金”等字样。</w:t>
            </w:r>
          </w:p>
          <w:p>
            <w:pPr>
              <w:snapToGrid w:val="0"/>
              <w:spacing w:line="400" w:lineRule="exact"/>
              <w:rPr>
                <w:rFonts w:ascii="宋体" w:hAnsi="宋体" w:cs="宋体"/>
                <w:color w:val="000000"/>
                <w:szCs w:val="21"/>
              </w:rPr>
            </w:pPr>
            <w:r>
              <w:rPr>
                <w:rFonts w:hint="eastAsia" w:ascii="宋体" w:hAnsi="宋体" w:cs="宋体"/>
                <w:color w:val="000000"/>
                <w:szCs w:val="21"/>
              </w:rPr>
              <w:t>相关要求：</w:t>
            </w:r>
          </w:p>
          <w:p>
            <w:pPr>
              <w:pStyle w:val="16"/>
              <w:spacing w:line="400" w:lineRule="exact"/>
              <w:rPr>
                <w:rFonts w:ascii="宋体" w:hAnsi="宋体" w:cs="宋体"/>
                <w:color w:val="000000"/>
                <w:szCs w:val="21"/>
                <w:lang w:val="en-US" w:eastAsia="zh-CN"/>
              </w:rPr>
            </w:pPr>
            <w:r>
              <w:rPr>
                <w:rFonts w:hint="eastAsia" w:ascii="宋体" w:hAnsi="宋体" w:cs="宋体"/>
                <w:color w:val="000000"/>
                <w:szCs w:val="21"/>
                <w:lang w:val="en-US" w:eastAsia="zh-CN"/>
              </w:rPr>
              <w:t>1.投标保证金采用银行转账交纳方式的，在投标截止时间前交至指定账户并且到账，投标人应将银行转账底单的复印件作为投标保证金提交凭证，放置于商务文件中，</w:t>
            </w:r>
            <w:r>
              <w:rPr>
                <w:rFonts w:hint="eastAsia" w:ascii="宋体" w:hAnsi="宋体" w:cs="宋体"/>
                <w:b/>
                <w:color w:val="000000"/>
                <w:szCs w:val="21"/>
                <w:lang w:val="en-US" w:eastAsia="zh-CN"/>
              </w:rPr>
              <w:t>否则投标无效</w:t>
            </w:r>
            <w:r>
              <w:rPr>
                <w:rFonts w:hint="eastAsia" w:ascii="宋体" w:hAnsi="宋体" w:cs="宋体"/>
                <w:color w:val="000000"/>
                <w:szCs w:val="21"/>
                <w:lang w:val="en-US" w:eastAsia="zh-CN"/>
              </w:rPr>
              <w:t>。</w:t>
            </w:r>
          </w:p>
          <w:p>
            <w:pPr>
              <w:pStyle w:val="16"/>
              <w:spacing w:line="400" w:lineRule="exact"/>
              <w:rPr>
                <w:rFonts w:ascii="宋体" w:hAnsi="宋体" w:cs="宋体"/>
                <w:color w:val="000000"/>
                <w:szCs w:val="21"/>
                <w:lang w:val="en-US" w:eastAsia="zh-CN"/>
              </w:rPr>
            </w:pPr>
            <w:r>
              <w:rPr>
                <w:rFonts w:hint="eastAsia" w:ascii="宋体" w:hAnsi="宋体" w:cs="宋体"/>
                <w:color w:val="000000"/>
                <w:szCs w:val="21"/>
                <w:lang w:val="en-US" w:eastAsia="zh-CN"/>
              </w:rPr>
              <w:t>2.投标保证金采用支票、汇票、本票或者银行、保险机构出具的保函交纳方式的，投标人应在投标截止时间前采用现场或邮寄方式（现场提交地址：</w:t>
            </w:r>
            <w:r>
              <w:rPr>
                <w:rFonts w:hint="eastAsia" w:ascii="宋体" w:hAnsi="宋体" w:cs="宋体"/>
                <w:color w:val="000000"/>
                <w:szCs w:val="21"/>
                <w:u w:val="single"/>
                <w:lang w:val="en-US" w:eastAsia="zh-CN"/>
              </w:rPr>
              <w:t>南宁市青秀区茅桥路2号习艺基地A栋3楼广西正海招标有限公司</w:t>
            </w:r>
            <w:r>
              <w:rPr>
                <w:rFonts w:hint="eastAsia" w:ascii="宋体" w:hAnsi="宋体" w:cs="宋体"/>
                <w:color w:val="000000"/>
                <w:szCs w:val="21"/>
                <w:lang w:val="en-US" w:eastAsia="zh-CN"/>
              </w:rPr>
              <w:t>；邮寄地址：</w:t>
            </w:r>
            <w:r>
              <w:rPr>
                <w:rFonts w:hint="eastAsia" w:ascii="宋体" w:hAnsi="宋体" w:cs="宋体"/>
                <w:color w:val="000000"/>
                <w:szCs w:val="21"/>
                <w:u w:val="single"/>
                <w:lang w:val="en-US" w:eastAsia="zh-CN"/>
              </w:rPr>
              <w:t>南宁市青秀区茅桥路2号习艺基地A栋3楼广西正海招标有限公司</w:t>
            </w:r>
            <w:r>
              <w:rPr>
                <w:rFonts w:hint="eastAsia" w:ascii="宋体" w:hAnsi="宋体" w:cs="宋体"/>
                <w:color w:val="000000"/>
                <w:szCs w:val="21"/>
                <w:lang w:val="en-US" w:eastAsia="zh-CN"/>
              </w:rPr>
              <w:t>，收件人：</w:t>
            </w:r>
            <w:r>
              <w:rPr>
                <w:rFonts w:hint="eastAsia" w:ascii="宋体" w:hAnsi="宋体" w:cs="宋体"/>
                <w:color w:val="000000"/>
                <w:szCs w:val="21"/>
                <w:u w:val="single"/>
                <w:lang w:val="en-US" w:eastAsia="zh-CN"/>
              </w:rPr>
              <w:t>覃相健</w:t>
            </w:r>
            <w:r>
              <w:rPr>
                <w:rFonts w:hint="eastAsia" w:ascii="宋体" w:hAnsi="宋体" w:cs="宋体"/>
                <w:color w:val="000000"/>
                <w:szCs w:val="21"/>
                <w:lang w:val="en-US" w:eastAsia="zh-CN"/>
              </w:rPr>
              <w:t>，联系方式：</w:t>
            </w:r>
            <w:r>
              <w:rPr>
                <w:rFonts w:hint="eastAsia" w:ascii="宋体" w:hAnsi="宋体" w:cs="宋体"/>
                <w:color w:val="000000"/>
                <w:szCs w:val="21"/>
                <w:u w:val="single"/>
                <w:lang w:val="en-US" w:eastAsia="zh-CN"/>
              </w:rPr>
              <w:t>0771-2865989</w:t>
            </w:r>
            <w:r>
              <w:rPr>
                <w:rFonts w:hint="eastAsia" w:ascii="宋体" w:hAnsi="宋体" w:cs="宋体"/>
                <w:color w:val="000000"/>
                <w:szCs w:val="21"/>
                <w:lang w:val="en-US" w:eastAsia="zh-CN"/>
              </w:rPr>
              <w:t>）将</w:t>
            </w:r>
            <w:r>
              <w:rPr>
                <w:rFonts w:hint="eastAsia" w:ascii="宋体" w:hAnsi="宋体" w:cs="宋体"/>
                <w:color w:val="000000"/>
                <w:kern w:val="0"/>
                <w:szCs w:val="21"/>
                <w:lang w:val="en-US" w:eastAsia="zh-CN"/>
              </w:rPr>
              <w:t>单独密封的</w:t>
            </w:r>
            <w:r>
              <w:rPr>
                <w:rFonts w:hint="eastAsia" w:ascii="宋体" w:hAnsi="宋体" w:cs="宋体"/>
                <w:color w:val="000000"/>
                <w:szCs w:val="21"/>
                <w:lang w:val="en-US" w:eastAsia="zh-CN"/>
              </w:rPr>
              <w:t>支票、汇票、本票或者银行、保险机构出具的保函原件提交给采购人或者采购代理机构，由采购人或者采购代理机构向投标人出具回执（邮寄方式的除外），并妥善保管。</w:t>
            </w:r>
          </w:p>
          <w:p>
            <w:pPr>
              <w:snapToGrid w:val="0"/>
              <w:spacing w:line="400" w:lineRule="exact"/>
              <w:rPr>
                <w:rFonts w:ascii="宋体" w:hAnsi="宋体" w:cs="宋体"/>
                <w:b/>
                <w:color w:val="000000"/>
                <w:szCs w:val="21"/>
              </w:rPr>
            </w:pPr>
            <w:r>
              <w:rPr>
                <w:rFonts w:hint="eastAsia" w:ascii="宋体" w:hAnsi="宋体" w:cs="宋体"/>
                <w:b/>
                <w:color w:val="000000"/>
                <w:szCs w:val="21"/>
              </w:rPr>
              <w:t xml:space="preserve">备注： </w:t>
            </w:r>
          </w:p>
          <w:p>
            <w:pPr>
              <w:snapToGrid w:val="0"/>
              <w:spacing w:line="400" w:lineRule="exact"/>
              <w:rPr>
                <w:rFonts w:ascii="宋体" w:hAnsi="宋体" w:cs="宋体"/>
                <w:b/>
                <w:color w:val="000000"/>
                <w:szCs w:val="21"/>
              </w:rPr>
            </w:pPr>
            <w:r>
              <w:rPr>
                <w:rFonts w:hint="eastAsia" w:ascii="宋体" w:hAnsi="宋体" w:cs="宋体"/>
                <w:b/>
                <w:color w:val="000000"/>
                <w:szCs w:val="21"/>
              </w:rPr>
              <w:t>1.投标保证金在投标截止时间后提交的，或者不按规定交纳方式交纳的，或者未足额交纳的（包含保函额度不足的），视为无效投标保证金。</w:t>
            </w:r>
          </w:p>
          <w:p>
            <w:pPr>
              <w:snapToGrid w:val="0"/>
              <w:spacing w:line="400" w:lineRule="exact"/>
              <w:rPr>
                <w:rFonts w:ascii="宋体" w:hAnsi="宋体" w:cs="宋体"/>
                <w:b/>
                <w:color w:val="000000"/>
                <w:szCs w:val="21"/>
              </w:rPr>
            </w:pPr>
            <w:r>
              <w:rPr>
                <w:rFonts w:hint="eastAsia" w:ascii="宋体" w:hAnsi="宋体" w:cs="宋体"/>
                <w:b/>
                <w:color w:val="000000"/>
                <w:szCs w:val="21"/>
              </w:rPr>
              <w:t>2.投标人采用现钞方式或者从个人账户（自然人投标除外）转出的投标保证金，视为无效投标保证金。</w:t>
            </w:r>
          </w:p>
          <w:p>
            <w:pPr>
              <w:snapToGrid w:val="0"/>
              <w:spacing w:line="400" w:lineRule="exact"/>
              <w:rPr>
                <w:rFonts w:ascii="宋体" w:hAnsi="宋体" w:cs="宋体"/>
                <w:b/>
                <w:color w:val="000000"/>
                <w:szCs w:val="21"/>
              </w:rPr>
            </w:pPr>
            <w:r>
              <w:rPr>
                <w:rFonts w:hint="eastAsia" w:ascii="宋体" w:hAnsi="宋体" w:cs="宋体"/>
                <w:b/>
                <w:color w:val="000000"/>
                <w:szCs w:val="21"/>
              </w:rPr>
              <w:t>3.支票、汇票或者本票出现无效或者背书情形的，视为无效投标保证金。</w:t>
            </w:r>
          </w:p>
          <w:p>
            <w:pPr>
              <w:snapToGrid w:val="0"/>
              <w:spacing w:line="400" w:lineRule="exact"/>
              <w:rPr>
                <w:rFonts w:ascii="宋体" w:hAnsi="宋体" w:cs="宋体"/>
                <w:b/>
                <w:color w:val="000000"/>
                <w:szCs w:val="21"/>
              </w:rPr>
            </w:pPr>
            <w:r>
              <w:rPr>
                <w:rFonts w:hint="eastAsia" w:ascii="宋体" w:hAnsi="宋体" w:cs="宋体"/>
                <w:b/>
                <w:color w:val="000000"/>
                <w:szCs w:val="21"/>
              </w:rPr>
              <w:t>4.保函有效期低于投标有效期的，视为无效投标保证金。</w:t>
            </w:r>
          </w:p>
          <w:p>
            <w:pPr>
              <w:snapToGrid w:val="0"/>
              <w:spacing w:line="400" w:lineRule="exact"/>
              <w:rPr>
                <w:rFonts w:ascii="宋体" w:hAnsi="宋体" w:cs="宋体"/>
                <w:b/>
                <w:color w:val="000000"/>
                <w:szCs w:val="21"/>
              </w:rPr>
            </w:pPr>
            <w:r>
              <w:rPr>
                <w:rFonts w:hint="eastAsia" w:ascii="宋体" w:hAnsi="宋体" w:cs="宋体"/>
                <w:b/>
                <w:color w:val="000000"/>
                <w:szCs w:val="21"/>
              </w:rPr>
              <w:t>5.采用银行、保险机构出具保函的，必须为无条件保函，否则视为无效投标保证金。</w:t>
            </w:r>
          </w:p>
          <w:p>
            <w:pPr>
              <w:snapToGrid w:val="0"/>
              <w:spacing w:line="400" w:lineRule="exact"/>
              <w:rPr>
                <w:rFonts w:ascii="宋体" w:hAnsi="宋体" w:cs="宋体"/>
                <w:b/>
                <w:color w:val="000000"/>
                <w:szCs w:val="21"/>
              </w:rPr>
            </w:pPr>
            <w:r>
              <w:rPr>
                <w:rFonts w:hint="eastAsia" w:ascii="宋体" w:hAnsi="宋体" w:cs="宋体"/>
                <w:b/>
                <w:color w:val="000000"/>
                <w:szCs w:val="21"/>
              </w:rPr>
              <w:t>6.政采云平台暂未支持电子保函功能，故本项目暂不接受电子保函形式的保证金。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9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000000"/>
                <w:szCs w:val="21"/>
              </w:rPr>
            </w:pPr>
            <w:bookmarkStart w:id="166" w:name="_21.1"/>
            <w:bookmarkEnd w:id="166"/>
            <w:bookmarkStart w:id="167" w:name="_19.2"/>
            <w:bookmarkEnd w:id="167"/>
            <w:r>
              <w:rPr>
                <w:rFonts w:hint="eastAsia" w:ascii="宋体" w:hAnsi="宋体" w:cs="宋体"/>
                <w:color w:val="000000"/>
                <w:szCs w:val="21"/>
              </w:rPr>
              <w:t>20</w:t>
            </w:r>
          </w:p>
        </w:tc>
        <w:tc>
          <w:tcPr>
            <w:tcW w:w="826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textAlignment w:val="bottom"/>
              <w:rPr>
                <w:rFonts w:ascii="宋体" w:hAnsi="宋体" w:cs="宋体"/>
                <w:color w:val="000000"/>
                <w:szCs w:val="21"/>
              </w:rPr>
            </w:pPr>
            <w:r>
              <w:rPr>
                <w:rFonts w:hint="eastAsia" w:ascii="宋体" w:hAnsi="宋体" w:cs="宋体"/>
                <w:color w:val="000000"/>
                <w:szCs w:val="21"/>
              </w:rPr>
              <w:t>本项目不接受电子备份投标文件。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988"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ascii="宋体" w:hAnsi="宋体" w:cs="宋体"/>
                <w:color w:val="000000"/>
                <w:szCs w:val="21"/>
              </w:rPr>
            </w:pPr>
            <w:r>
              <w:rPr>
                <w:rFonts w:hint="eastAsia" w:ascii="宋体" w:hAnsi="宋体" w:cs="宋体"/>
                <w:color w:val="000000"/>
                <w:szCs w:val="21"/>
              </w:rPr>
              <w:t>21.1</w:t>
            </w:r>
          </w:p>
        </w:tc>
        <w:tc>
          <w:tcPr>
            <w:tcW w:w="8264"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ascii="宋体" w:hAnsi="宋体" w:cs="宋体"/>
                <w:color w:val="000000"/>
                <w:szCs w:val="21"/>
                <w:u w:val="single"/>
              </w:rPr>
            </w:pPr>
            <w:r>
              <w:rPr>
                <w:rFonts w:hint="eastAsia" w:ascii="宋体" w:hAnsi="宋体" w:cs="宋体"/>
                <w:color w:val="000000"/>
                <w:szCs w:val="21"/>
              </w:rPr>
              <w:t>1.投标文件提交截止时间：详见招标公告</w:t>
            </w:r>
          </w:p>
          <w:p>
            <w:pPr>
              <w:snapToGrid w:val="0"/>
              <w:spacing w:line="390" w:lineRule="exact"/>
              <w:rPr>
                <w:rFonts w:ascii="宋体" w:hAnsi="宋体" w:cs="宋体"/>
                <w:color w:val="000000"/>
                <w:szCs w:val="21"/>
              </w:rPr>
            </w:pPr>
            <w:r>
              <w:rPr>
                <w:rFonts w:hint="eastAsia" w:ascii="宋体" w:hAnsi="宋体" w:cs="宋体"/>
                <w:color w:val="000000"/>
                <w:szCs w:val="21"/>
              </w:rPr>
              <w:t>2.投标地点：详见招标公告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ascii="宋体" w:hAnsi="宋体" w:cs="宋体"/>
                <w:color w:val="000000"/>
                <w:szCs w:val="21"/>
              </w:rPr>
            </w:pPr>
            <w:bookmarkStart w:id="168" w:name="_23"/>
            <w:bookmarkEnd w:id="168"/>
            <w:r>
              <w:rPr>
                <w:rFonts w:hint="eastAsia" w:ascii="宋体" w:hAnsi="宋体" w:cs="宋体"/>
                <w:color w:val="000000"/>
                <w:szCs w:val="21"/>
              </w:rPr>
              <w:t>23</w:t>
            </w:r>
          </w:p>
        </w:tc>
        <w:tc>
          <w:tcPr>
            <w:tcW w:w="8264"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ascii="宋体" w:hAnsi="宋体" w:cs="宋体"/>
                <w:color w:val="000000"/>
                <w:szCs w:val="21"/>
              </w:rPr>
            </w:pPr>
            <w:r>
              <w:rPr>
                <w:rFonts w:hint="eastAsia" w:ascii="宋体" w:hAnsi="宋体" w:cs="宋体"/>
                <w:color w:val="000000"/>
                <w:szCs w:val="21"/>
              </w:rPr>
              <w:t>1.开标时间：详见招标公告</w:t>
            </w:r>
          </w:p>
          <w:p>
            <w:pPr>
              <w:snapToGrid w:val="0"/>
              <w:spacing w:line="390" w:lineRule="exact"/>
              <w:rPr>
                <w:rFonts w:ascii="宋体" w:hAnsi="宋体" w:cs="宋体"/>
                <w:color w:val="000000"/>
                <w:szCs w:val="21"/>
              </w:rPr>
            </w:pPr>
            <w:r>
              <w:rPr>
                <w:rFonts w:hint="eastAsia" w:ascii="宋体" w:hAnsi="宋体" w:cs="宋体"/>
                <w:color w:val="000000"/>
                <w:szCs w:val="21"/>
              </w:rPr>
              <w:t>2.开标地点：详见招标公告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ascii="宋体" w:hAnsi="宋体" w:cs="宋体"/>
                <w:color w:val="000000"/>
                <w:szCs w:val="21"/>
              </w:rPr>
            </w:pPr>
            <w:r>
              <w:rPr>
                <w:rFonts w:hint="eastAsia" w:ascii="宋体" w:hAnsi="宋体" w:cs="宋体"/>
                <w:color w:val="000000"/>
                <w:szCs w:val="21"/>
              </w:rPr>
              <w:t>24.3（1）</w:t>
            </w:r>
          </w:p>
        </w:tc>
        <w:tc>
          <w:tcPr>
            <w:tcW w:w="8264"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ascii="宋体" w:hAnsi="宋体" w:cs="宋体"/>
                <w:color w:val="000000"/>
                <w:szCs w:val="21"/>
              </w:rPr>
            </w:pPr>
            <w:r>
              <w:rPr>
                <w:rFonts w:hint="eastAsia" w:ascii="宋体" w:hAnsi="宋体" w:cs="宋体"/>
                <w:color w:val="000000"/>
                <w:szCs w:val="21"/>
              </w:rPr>
              <w:t>电子投标文件解密时间：</w:t>
            </w:r>
            <w:r>
              <w:rPr>
                <w:rFonts w:hint="eastAsia" w:ascii="宋体" w:hAnsi="宋体" w:cs="宋体"/>
                <w:color w:val="000000"/>
                <w:szCs w:val="21"/>
                <w:u w:val="single"/>
              </w:rPr>
              <w:t xml:space="preserve"> 30 </w:t>
            </w:r>
            <w:r>
              <w:rPr>
                <w:rFonts w:hint="eastAsia" w:ascii="宋体" w:hAnsi="宋体" w:cs="宋体"/>
                <w:color w:val="000000"/>
                <w:szCs w:val="21"/>
              </w:rPr>
              <w:t>分钟。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ascii="宋体" w:hAnsi="宋体" w:cs="宋体"/>
                <w:color w:val="000000"/>
                <w:szCs w:val="21"/>
              </w:rPr>
            </w:pPr>
            <w:bookmarkStart w:id="169" w:name="_25.3"/>
            <w:bookmarkEnd w:id="169"/>
            <w:r>
              <w:rPr>
                <w:rFonts w:hint="eastAsia" w:ascii="宋体" w:hAnsi="宋体" w:cs="宋体"/>
                <w:color w:val="000000"/>
                <w:szCs w:val="21"/>
              </w:rPr>
              <w:t>25.3（2）</w:t>
            </w:r>
          </w:p>
        </w:tc>
        <w:tc>
          <w:tcPr>
            <w:tcW w:w="8264"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ascii="宋体" w:hAnsi="宋体" w:cs="宋体"/>
                <w:color w:val="000000"/>
                <w:szCs w:val="21"/>
              </w:rPr>
            </w:pPr>
            <w:r>
              <w:rPr>
                <w:rFonts w:hint="eastAsia" w:ascii="宋体" w:hAnsi="宋体" w:cs="宋体"/>
                <w:color w:val="000000"/>
                <w:szCs w:val="21"/>
              </w:rPr>
              <w:t>采购人或者采购代理机构在资格审查结束前，对投标人进行信用查询。</w:t>
            </w:r>
          </w:p>
          <w:p>
            <w:pPr>
              <w:snapToGrid w:val="0"/>
              <w:spacing w:line="390" w:lineRule="exact"/>
              <w:rPr>
                <w:rFonts w:ascii="宋体" w:hAnsi="宋体" w:cs="宋体"/>
                <w:color w:val="000000"/>
                <w:szCs w:val="21"/>
              </w:rPr>
            </w:pPr>
            <w:r>
              <w:rPr>
                <w:rFonts w:hint="eastAsia" w:ascii="宋体" w:hAnsi="宋体" w:cs="宋体"/>
                <w:color w:val="000000"/>
                <w:szCs w:val="21"/>
              </w:rPr>
              <w:t>查询渠道：“信用中国”网站（www.creditchina.gov.cn） 、中国政府采购网（www.ccgp.gov.cn）。</w:t>
            </w:r>
          </w:p>
          <w:p>
            <w:pPr>
              <w:snapToGrid w:val="0"/>
              <w:spacing w:line="390" w:lineRule="exact"/>
              <w:rPr>
                <w:rFonts w:ascii="宋体" w:hAnsi="宋体" w:cs="宋体"/>
                <w:color w:val="000000"/>
                <w:szCs w:val="21"/>
              </w:rPr>
            </w:pPr>
            <w:r>
              <w:rPr>
                <w:rFonts w:hint="eastAsia" w:ascii="宋体" w:hAnsi="宋体" w:cs="宋体"/>
                <w:color w:val="000000"/>
                <w:szCs w:val="21"/>
              </w:rPr>
              <w:t>信用查询截止时点：资格审查结束前</w:t>
            </w:r>
          </w:p>
          <w:p>
            <w:pPr>
              <w:snapToGrid w:val="0"/>
              <w:spacing w:line="390" w:lineRule="exact"/>
              <w:rPr>
                <w:rFonts w:ascii="宋体" w:hAnsi="宋体" w:cs="宋体"/>
                <w:color w:val="000000"/>
                <w:szCs w:val="21"/>
              </w:rPr>
            </w:pPr>
            <w:r>
              <w:rPr>
                <w:rFonts w:hint="eastAsia" w:ascii="宋体" w:hAnsi="宋体" w:cs="宋体"/>
                <w:color w:val="000000"/>
                <w:szCs w:val="21"/>
              </w:rPr>
              <w:t>查询记录和证据留存方式：在查询网站中直接截图查询记录，截图作为在“政采云”平台附件上传保存。</w:t>
            </w:r>
          </w:p>
          <w:p>
            <w:pPr>
              <w:snapToGrid w:val="0"/>
              <w:spacing w:line="390" w:lineRule="exact"/>
              <w:rPr>
                <w:rFonts w:ascii="宋体" w:hAnsi="宋体" w:cs="宋体"/>
                <w:b/>
                <w:color w:val="000000"/>
                <w:szCs w:val="21"/>
              </w:rPr>
            </w:pPr>
            <w:r>
              <w:rPr>
                <w:rFonts w:hint="eastAsia" w:ascii="宋体" w:hAnsi="宋体" w:cs="宋体"/>
                <w:color w:val="000000"/>
                <w:szCs w:val="21"/>
              </w:rPr>
              <w:t>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应当拒绝其参与政府采购活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ascii="宋体" w:hAnsi="宋体" w:cs="宋体"/>
                <w:color w:val="000000"/>
                <w:szCs w:val="21"/>
              </w:rPr>
            </w:pPr>
            <w:bookmarkStart w:id="170" w:name="_26"/>
            <w:bookmarkEnd w:id="170"/>
            <w:r>
              <w:rPr>
                <w:rFonts w:hint="eastAsia" w:ascii="宋体" w:hAnsi="宋体" w:cs="宋体"/>
                <w:color w:val="000000"/>
                <w:szCs w:val="21"/>
              </w:rPr>
              <w:t>26.1</w:t>
            </w:r>
          </w:p>
        </w:tc>
        <w:tc>
          <w:tcPr>
            <w:tcW w:w="826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ascii="宋体" w:hAnsi="宋体" w:cs="宋体"/>
                <w:color w:val="000000"/>
                <w:szCs w:val="21"/>
              </w:rPr>
            </w:pPr>
            <w:r>
              <w:rPr>
                <w:rFonts w:hint="eastAsia" w:ascii="宋体" w:hAnsi="宋体" w:cs="宋体"/>
                <w:color w:val="000000"/>
                <w:szCs w:val="21"/>
              </w:rPr>
              <w:t>评标委员会的人数：</w:t>
            </w:r>
            <w:r>
              <w:rPr>
                <w:rFonts w:hint="eastAsia" w:ascii="宋体" w:hAnsi="宋体" w:cs="宋体"/>
                <w:color w:val="000000"/>
                <w:szCs w:val="21"/>
                <w:u w:val="single"/>
              </w:rPr>
              <w:t xml:space="preserve"> 5 </w:t>
            </w:r>
            <w:r>
              <w:rPr>
                <w:rFonts w:hint="eastAsia" w:ascii="宋体" w:hAnsi="宋体" w:cs="宋体"/>
                <w:color w:val="000000"/>
                <w:szCs w:val="21"/>
              </w:rPr>
              <w:t>人或以上单数。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ascii="宋体" w:hAnsi="宋体" w:cs="宋体"/>
                <w:color w:val="000000"/>
                <w:szCs w:val="21"/>
              </w:rPr>
            </w:pPr>
            <w:bookmarkStart w:id="171" w:name="_28.3"/>
            <w:bookmarkEnd w:id="171"/>
            <w:r>
              <w:rPr>
                <w:rFonts w:hint="eastAsia" w:ascii="宋体" w:hAnsi="宋体" w:cs="宋体"/>
                <w:color w:val="000000"/>
                <w:szCs w:val="21"/>
              </w:rPr>
              <w:t>29.1</w:t>
            </w:r>
          </w:p>
        </w:tc>
        <w:tc>
          <w:tcPr>
            <w:tcW w:w="826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ascii="宋体" w:hAnsi="宋体" w:cs="宋体"/>
                <w:color w:val="000000"/>
                <w:szCs w:val="21"/>
              </w:rPr>
            </w:pPr>
            <w:r>
              <w:rPr>
                <w:rFonts w:hint="eastAsia" w:ascii="宋体" w:hAnsi="宋体" w:cs="宋体"/>
                <w:color w:val="000000"/>
                <w:szCs w:val="21"/>
              </w:rPr>
              <w:t>评标方法：☑综合评分法；□最低评标报法。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88"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ascii="宋体" w:hAnsi="宋体" w:cs="宋体"/>
                <w:color w:val="000000"/>
                <w:szCs w:val="21"/>
              </w:rPr>
            </w:pPr>
            <w:bookmarkStart w:id="172" w:name="_29.2.2（2）"/>
            <w:bookmarkEnd w:id="172"/>
            <w:r>
              <w:rPr>
                <w:rFonts w:hint="eastAsia" w:ascii="宋体" w:hAnsi="宋体" w:cs="宋体"/>
                <w:color w:val="000000"/>
                <w:szCs w:val="21"/>
              </w:rPr>
              <w:t>29.2</w:t>
            </w:r>
          </w:p>
        </w:tc>
        <w:tc>
          <w:tcPr>
            <w:tcW w:w="8264" w:type="dxa"/>
            <w:tcBorders>
              <w:top w:val="single" w:color="auto" w:sz="4" w:space="0"/>
              <w:left w:val="single" w:color="auto" w:sz="4" w:space="0"/>
              <w:right w:val="single" w:color="auto" w:sz="4" w:space="0"/>
            </w:tcBorders>
            <w:vAlign w:val="center"/>
          </w:tcPr>
          <w:p>
            <w:pPr>
              <w:snapToGrid w:val="0"/>
              <w:spacing w:line="390" w:lineRule="exact"/>
              <w:rPr>
                <w:rFonts w:ascii="宋体" w:hAnsi="宋体" w:cs="宋体"/>
                <w:color w:val="000000"/>
                <w:szCs w:val="21"/>
              </w:rPr>
            </w:pPr>
            <w:r>
              <w:rPr>
                <w:rFonts w:hint="eastAsia" w:ascii="宋体" w:hAnsi="宋体" w:cs="宋体"/>
                <w:color w:val="000000"/>
                <w:szCs w:val="21"/>
              </w:rPr>
              <w:t>商务要求评审中允许负偏离的条款数为</w:t>
            </w:r>
            <w:r>
              <w:rPr>
                <w:rFonts w:hint="eastAsia" w:ascii="宋体" w:hAnsi="宋体" w:cs="宋体"/>
                <w:color w:val="000000"/>
                <w:szCs w:val="21"/>
                <w:u w:val="single"/>
              </w:rPr>
              <w:t xml:space="preserve"> 0 </w:t>
            </w:r>
            <w:r>
              <w:rPr>
                <w:rFonts w:hint="eastAsia" w:ascii="宋体" w:hAnsi="宋体" w:cs="宋体"/>
                <w:color w:val="000000"/>
                <w:szCs w:val="21"/>
              </w:rPr>
              <w:t>项。</w:t>
            </w:r>
          </w:p>
          <w:p>
            <w:pPr>
              <w:snapToGrid w:val="0"/>
              <w:spacing w:line="390" w:lineRule="exact"/>
              <w:rPr>
                <w:rFonts w:ascii="宋体" w:hAnsi="宋体" w:cs="宋体"/>
                <w:color w:val="000000"/>
                <w:szCs w:val="21"/>
              </w:rPr>
            </w:pPr>
            <w:r>
              <w:rPr>
                <w:rFonts w:hint="eastAsia" w:ascii="宋体" w:hAnsi="宋体" w:cs="宋体"/>
                <w:color w:val="000000"/>
                <w:szCs w:val="21"/>
              </w:rPr>
              <w:t>技术要求评审中允许负偏离的条款数为</w:t>
            </w:r>
            <w:r>
              <w:rPr>
                <w:rFonts w:hint="eastAsia" w:ascii="宋体" w:hAnsi="宋体" w:cs="宋体"/>
                <w:color w:val="000000"/>
                <w:szCs w:val="21"/>
                <w:u w:val="single"/>
              </w:rPr>
              <w:t xml:space="preserve"> 2 </w:t>
            </w:r>
            <w:r>
              <w:rPr>
                <w:rFonts w:hint="eastAsia" w:ascii="宋体" w:hAnsi="宋体" w:cs="宋体"/>
                <w:color w:val="000000"/>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88" w:type="dxa"/>
            <w:tcBorders>
              <w:top w:val="single" w:color="auto" w:sz="4" w:space="0"/>
              <w:left w:val="single" w:color="auto" w:sz="4" w:space="0"/>
              <w:right w:val="single" w:color="auto" w:sz="4" w:space="0"/>
            </w:tcBorders>
            <w:vAlign w:val="center"/>
          </w:tcPr>
          <w:p>
            <w:pPr>
              <w:spacing w:line="390" w:lineRule="exact"/>
              <w:jc w:val="center"/>
              <w:rPr>
                <w:rFonts w:ascii="宋体" w:hAnsi="宋体" w:cs="宋体"/>
                <w:color w:val="000000"/>
                <w:szCs w:val="21"/>
              </w:rPr>
            </w:pPr>
            <w:r>
              <w:rPr>
                <w:rFonts w:hint="eastAsia" w:ascii="宋体" w:hAnsi="宋体" w:cs="宋体"/>
                <w:color w:val="000000"/>
                <w:szCs w:val="21"/>
              </w:rPr>
              <w:t>29.3</w:t>
            </w:r>
          </w:p>
        </w:tc>
        <w:tc>
          <w:tcPr>
            <w:tcW w:w="8264" w:type="dxa"/>
            <w:tcBorders>
              <w:top w:val="single" w:color="auto" w:sz="4" w:space="0"/>
              <w:left w:val="single" w:color="auto" w:sz="4" w:space="0"/>
              <w:right w:val="single" w:color="auto" w:sz="4" w:space="0"/>
            </w:tcBorders>
            <w:vAlign w:val="center"/>
          </w:tcPr>
          <w:p>
            <w:pPr>
              <w:snapToGrid w:val="0"/>
              <w:spacing w:line="390" w:lineRule="exact"/>
              <w:rPr>
                <w:rFonts w:ascii="宋体" w:hAnsi="宋体" w:cs="宋体"/>
                <w:color w:val="000000"/>
                <w:szCs w:val="21"/>
              </w:rPr>
            </w:pPr>
            <w:r>
              <w:rPr>
                <w:rFonts w:hint="eastAsia" w:ascii="宋体" w:hAnsi="宋体" w:cs="宋体"/>
                <w:color w:val="000000"/>
                <w:szCs w:val="21"/>
              </w:rPr>
              <w:t>中标候选人推荐数量：</w:t>
            </w:r>
          </w:p>
          <w:p>
            <w:pPr>
              <w:snapToGrid w:val="0"/>
              <w:spacing w:line="390" w:lineRule="exact"/>
              <w:rPr>
                <w:rFonts w:ascii="宋体" w:hAnsi="宋体" w:cs="宋体"/>
                <w:color w:val="000000"/>
                <w:szCs w:val="21"/>
              </w:rPr>
            </w:pPr>
            <w:r>
              <w:rPr>
                <w:rFonts w:hint="eastAsia" w:ascii="宋体" w:hAnsi="宋体" w:cs="宋体"/>
                <w:color w:val="000000"/>
                <w:szCs w:val="21"/>
              </w:rPr>
              <w:sym w:font="Wingdings 2" w:char="0052"/>
            </w:r>
            <w:r>
              <w:rPr>
                <w:rFonts w:hint="eastAsia" w:ascii="宋体" w:hAnsi="宋体" w:cs="宋体"/>
                <w:color w:val="000000"/>
                <w:szCs w:val="21"/>
                <w:u w:val="single"/>
              </w:rPr>
              <w:t xml:space="preserve"> 3 </w:t>
            </w:r>
            <w:r>
              <w:rPr>
                <w:rFonts w:hint="eastAsia" w:ascii="宋体" w:hAnsi="宋体" w:cs="宋体"/>
                <w:color w:val="000000"/>
                <w:szCs w:val="21"/>
              </w:rPr>
              <w:t>名</w:t>
            </w:r>
          </w:p>
          <w:p>
            <w:pPr>
              <w:snapToGrid w:val="0"/>
              <w:spacing w:line="390" w:lineRule="exact"/>
              <w:rPr>
                <w:rFonts w:ascii="宋体" w:hAnsi="宋体" w:cs="宋体"/>
                <w:color w:val="000000"/>
                <w:szCs w:val="21"/>
              </w:rPr>
            </w:pPr>
            <w:r>
              <w:rPr>
                <w:rFonts w:hint="eastAsia" w:ascii="宋体" w:hAnsi="宋体" w:cs="宋体"/>
                <w:color w:val="000000"/>
                <w:szCs w:val="21"/>
              </w:rPr>
              <w:t>□根据总得分由高到低排列次序并全部推荐为中标候选人。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ascii="宋体" w:hAnsi="宋体" w:cs="宋体"/>
                <w:color w:val="000000"/>
                <w:szCs w:val="21"/>
              </w:rPr>
            </w:pPr>
            <w:r>
              <w:rPr>
                <w:rFonts w:hint="eastAsia" w:ascii="宋体" w:hAnsi="宋体" w:cs="宋体"/>
                <w:color w:val="000000"/>
                <w:szCs w:val="21"/>
              </w:rPr>
              <w:t>30.1</w:t>
            </w:r>
          </w:p>
        </w:tc>
        <w:tc>
          <w:tcPr>
            <w:tcW w:w="826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ascii="宋体" w:hAnsi="宋体" w:cs="宋体"/>
                <w:color w:val="000000"/>
                <w:szCs w:val="21"/>
              </w:rPr>
            </w:pPr>
            <w:r>
              <w:rPr>
                <w:rFonts w:hint="eastAsia" w:ascii="宋体" w:hAnsi="宋体" w:cs="宋体"/>
                <w:color w:val="000000"/>
                <w:szCs w:val="21"/>
              </w:rPr>
              <w:t>采购人确定中标人时，出现中标候选人并列的情形，采购人按以下的方式确定中标人：</w:t>
            </w:r>
          </w:p>
          <w:p>
            <w:pPr>
              <w:autoSpaceDE w:val="0"/>
              <w:autoSpaceDN w:val="0"/>
              <w:snapToGrid w:val="0"/>
              <w:spacing w:line="390" w:lineRule="exact"/>
              <w:textAlignment w:val="bottom"/>
              <w:rPr>
                <w:rFonts w:ascii="宋体" w:hAnsi="宋体" w:cs="宋体"/>
                <w:color w:val="000000"/>
                <w:szCs w:val="21"/>
              </w:rPr>
            </w:pPr>
            <w:r>
              <w:rPr>
                <w:rFonts w:hint="eastAsia" w:ascii="宋体" w:hAnsi="宋体" w:cs="宋体"/>
                <w:color w:val="000000"/>
                <w:szCs w:val="21"/>
              </w:rPr>
              <w:t>☑</w:t>
            </w:r>
            <w:r>
              <w:rPr>
                <w:rFonts w:hint="eastAsia" w:ascii="宋体" w:hAnsi="宋体" w:cs="宋体"/>
                <w:iCs/>
                <w:color w:val="000000"/>
                <w:szCs w:val="21"/>
              </w:rPr>
              <w:t>依次按投标报价低的优先、技术评分高的优先、商务评分高的优先、服务</w:t>
            </w:r>
            <w:r>
              <w:rPr>
                <w:rFonts w:hint="eastAsia" w:ascii="宋体" w:hAnsi="宋体" w:cs="宋体"/>
                <w:color w:val="000000"/>
                <w:szCs w:val="21"/>
              </w:rPr>
              <w:t>方案</w:t>
            </w:r>
            <w:r>
              <w:rPr>
                <w:rFonts w:hint="eastAsia" w:ascii="宋体" w:hAnsi="宋体" w:cs="宋体"/>
                <w:iCs/>
                <w:color w:val="000000"/>
                <w:szCs w:val="21"/>
              </w:rPr>
              <w:t>分高的优先顺序确定；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88"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color w:val="000000"/>
                <w:szCs w:val="21"/>
              </w:rPr>
            </w:pPr>
            <w:bookmarkStart w:id="173" w:name="_39.1"/>
            <w:bookmarkEnd w:id="173"/>
            <w:r>
              <w:rPr>
                <w:rFonts w:hint="eastAsia" w:ascii="宋体" w:hAnsi="宋体" w:cs="宋体"/>
                <w:color w:val="000000"/>
                <w:szCs w:val="21"/>
              </w:rPr>
              <w:t>35.1</w:t>
            </w:r>
          </w:p>
        </w:tc>
        <w:tc>
          <w:tcPr>
            <w:tcW w:w="826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80" w:lineRule="exact"/>
              <w:textAlignment w:val="bottom"/>
              <w:rPr>
                <w:rFonts w:ascii="宋体" w:hAnsi="宋体" w:cs="宋体"/>
                <w:color w:val="000000"/>
                <w:szCs w:val="21"/>
              </w:rPr>
            </w:pPr>
            <w:r>
              <w:rPr>
                <w:rFonts w:hint="eastAsia" w:ascii="宋体" w:hAnsi="宋体" w:cs="宋体"/>
                <w:color w:val="000000"/>
                <w:szCs w:val="21"/>
              </w:rPr>
              <w:sym w:font="Wingdings 2" w:char="0052"/>
            </w:r>
            <w:r>
              <w:rPr>
                <w:rFonts w:hint="eastAsia" w:ascii="宋体" w:hAnsi="宋体" w:cs="宋体"/>
                <w:color w:val="000000"/>
                <w:szCs w:val="21"/>
              </w:rPr>
              <w:t>本项目收取履约保证金，具体规定如下：</w:t>
            </w:r>
          </w:p>
          <w:p>
            <w:pPr>
              <w:pStyle w:val="16"/>
              <w:spacing w:line="380" w:lineRule="exact"/>
              <w:rPr>
                <w:rFonts w:ascii="宋体" w:hAnsi="宋体" w:cs="宋体"/>
                <w:color w:val="000000"/>
                <w:szCs w:val="21"/>
                <w:lang w:val="en-US" w:eastAsia="zh-CN"/>
              </w:rPr>
            </w:pPr>
            <w:r>
              <w:rPr>
                <w:rFonts w:hint="eastAsia" w:ascii="宋体" w:hAnsi="宋体" w:cs="宋体"/>
                <w:color w:val="000000"/>
                <w:szCs w:val="21"/>
                <w:lang w:val="en-US" w:eastAsia="zh-CN"/>
              </w:rPr>
              <w:t>履约保证金金额：合同金额</w:t>
            </w:r>
            <w:r>
              <w:rPr>
                <w:rFonts w:hint="eastAsia" w:ascii="宋体" w:hAnsi="宋体" w:cs="宋体"/>
                <w:szCs w:val="21"/>
                <w:lang w:val="en-US" w:eastAsia="zh-CN"/>
              </w:rPr>
              <w:t>的</w:t>
            </w:r>
            <w:r>
              <w:rPr>
                <w:rFonts w:hint="eastAsia" w:ascii="宋体" w:hAnsi="宋体" w:cs="宋体"/>
                <w:szCs w:val="21"/>
                <w:u w:val="single"/>
                <w:lang w:val="en-US" w:eastAsia="zh-CN"/>
              </w:rPr>
              <w:t>5</w:t>
            </w:r>
            <w:r>
              <w:rPr>
                <w:rFonts w:hint="eastAsia" w:ascii="宋体" w:hAnsi="宋体" w:cs="宋体"/>
                <w:szCs w:val="21"/>
                <w:lang w:val="en-US" w:eastAsia="zh-CN"/>
              </w:rPr>
              <w:t>%收取（</w:t>
            </w:r>
            <w:r>
              <w:rPr>
                <w:rFonts w:hint="eastAsia" w:ascii="宋体" w:hAnsi="宋体" w:cs="宋体"/>
                <w:szCs w:val="22"/>
                <w:lang w:val="en-US" w:eastAsia="zh-CN"/>
              </w:rPr>
              <w:t>对中小企业收取的履约保证金数额按政府采购合同金额的2%收取</w:t>
            </w:r>
            <w:r>
              <w:rPr>
                <w:rFonts w:hint="eastAsia" w:ascii="宋体" w:hAnsi="宋体" w:cs="宋体"/>
                <w:szCs w:val="21"/>
                <w:lang w:val="en-US" w:eastAsia="zh-CN"/>
              </w:rPr>
              <w:t>）。</w:t>
            </w:r>
          </w:p>
          <w:p>
            <w:pPr>
              <w:adjustRightInd w:val="0"/>
              <w:snapToGrid w:val="0"/>
              <w:spacing w:line="360" w:lineRule="exact"/>
              <w:ind w:left="53" w:leftChars="25" w:right="53" w:rightChars="25"/>
              <w:jc w:val="left"/>
              <w:rPr>
                <w:rFonts w:ascii="宋体" w:hAnsi="宋体" w:cs="宋体"/>
                <w:b/>
                <w:bCs/>
                <w:szCs w:val="22"/>
                <w:u w:val="single"/>
              </w:rPr>
            </w:pPr>
            <w:r>
              <w:rPr>
                <w:rFonts w:hint="eastAsia" w:ascii="宋体" w:hAnsi="宋体" w:cs="宋体"/>
                <w:color w:val="000000"/>
                <w:szCs w:val="21"/>
              </w:rPr>
              <w:t>履约保证金递交方式：银行转账、支票、汇票、本票或者银行、保险机构出具的保函等非现金方式（参照投标保证金）。</w:t>
            </w:r>
          </w:p>
          <w:p>
            <w:pPr>
              <w:autoSpaceDE w:val="0"/>
              <w:autoSpaceDN w:val="0"/>
              <w:snapToGrid w:val="0"/>
              <w:spacing w:line="380" w:lineRule="exact"/>
              <w:textAlignment w:val="bottom"/>
              <w:rPr>
                <w:rFonts w:ascii="宋体" w:hAnsi="宋体" w:cs="宋体"/>
                <w:color w:val="000000"/>
                <w:szCs w:val="21"/>
                <w:u w:val="single"/>
              </w:rPr>
            </w:pPr>
            <w:r>
              <w:rPr>
                <w:rFonts w:hint="eastAsia" w:ascii="宋体" w:hAnsi="宋体" w:cs="宋体"/>
                <w:color w:val="000000"/>
                <w:szCs w:val="21"/>
              </w:rPr>
              <w:t>履约保证金退付方式、时间及条件：中标人在签订合同前把履约保证金足额交到采购人指定账户。</w:t>
            </w:r>
            <w:r>
              <w:rPr>
                <w:rFonts w:hint="eastAsia" w:ascii="宋体" w:hAnsi="宋体" w:cs="宋体"/>
                <w:szCs w:val="22"/>
              </w:rPr>
              <w:t>实施过程中无违约行为的，售后运维期满后，由中标人提出书面申请，采购人无息退还全部履约保证金，涉及违约的违约金和损失赔偿从履约保证金中扣减</w:t>
            </w:r>
            <w:r>
              <w:rPr>
                <w:rFonts w:hint="eastAsia" w:ascii="宋体" w:hAnsi="宋体" w:cs="宋体"/>
                <w:color w:val="000000"/>
                <w:szCs w:val="21"/>
              </w:rPr>
              <w:t>。</w:t>
            </w:r>
          </w:p>
          <w:p>
            <w:pPr>
              <w:autoSpaceDE w:val="0"/>
              <w:autoSpaceDN w:val="0"/>
              <w:snapToGrid w:val="0"/>
              <w:spacing w:line="380" w:lineRule="exact"/>
              <w:textAlignment w:val="bottom"/>
              <w:rPr>
                <w:rFonts w:ascii="宋体" w:hAnsi="宋体" w:cs="宋体"/>
                <w:color w:val="000000"/>
                <w:szCs w:val="21"/>
              </w:rPr>
            </w:pPr>
            <w:r>
              <w:rPr>
                <w:rFonts w:hint="eastAsia" w:ascii="宋体" w:hAnsi="宋体" w:cs="宋体"/>
                <w:color w:val="000000"/>
                <w:szCs w:val="21"/>
              </w:rPr>
              <w:t>履约保证金指定账户：</w:t>
            </w:r>
          </w:p>
          <w:p>
            <w:pPr>
              <w:adjustRightInd w:val="0"/>
              <w:snapToGrid w:val="0"/>
              <w:spacing w:line="360" w:lineRule="exact"/>
              <w:ind w:right="53" w:rightChars="25"/>
              <w:jc w:val="left"/>
              <w:rPr>
                <w:rFonts w:ascii="宋体" w:hAnsi="宋体" w:cs="宋体"/>
                <w:b/>
                <w:bCs/>
              </w:rPr>
            </w:pPr>
            <w:r>
              <w:rPr>
                <w:rFonts w:hint="eastAsia" w:ascii="宋体" w:hAnsi="宋体" w:cs="宋体"/>
                <w:b/>
                <w:bCs/>
                <w:szCs w:val="22"/>
              </w:rPr>
              <w:t>名 称：广西壮族自治区卫生健康统计信息中心</w:t>
            </w:r>
          </w:p>
          <w:p>
            <w:pPr>
              <w:adjustRightInd w:val="0"/>
              <w:snapToGrid w:val="0"/>
              <w:spacing w:line="360" w:lineRule="exact"/>
              <w:ind w:right="53" w:rightChars="25"/>
              <w:jc w:val="left"/>
              <w:rPr>
                <w:rFonts w:ascii="宋体" w:hAnsi="宋体" w:cs="宋体"/>
                <w:b/>
                <w:bCs/>
              </w:rPr>
            </w:pPr>
            <w:r>
              <w:rPr>
                <w:rFonts w:hint="eastAsia" w:ascii="宋体" w:hAnsi="宋体" w:cs="宋体"/>
                <w:b/>
                <w:bCs/>
                <w:szCs w:val="22"/>
              </w:rPr>
              <w:t>开户行及帐号：工行南宁桃源支行  2102108109300001087</w:t>
            </w:r>
          </w:p>
          <w:p>
            <w:pPr>
              <w:spacing w:line="380" w:lineRule="exact"/>
              <w:jc w:val="left"/>
              <w:rPr>
                <w:rFonts w:ascii="宋体" w:hAnsi="宋体" w:cs="宋体"/>
                <w:color w:val="000000"/>
                <w:szCs w:val="21"/>
              </w:rPr>
            </w:pPr>
            <w:r>
              <w:rPr>
                <w:rFonts w:hint="eastAsia" w:ascii="宋体" w:hAnsi="宋体" w:cs="宋体"/>
                <w:color w:val="000000"/>
                <w:szCs w:val="21"/>
              </w:rPr>
              <w:t>备注：</w:t>
            </w:r>
          </w:p>
          <w:p>
            <w:pPr>
              <w:spacing w:line="380" w:lineRule="exact"/>
              <w:jc w:val="left"/>
              <w:rPr>
                <w:rFonts w:ascii="宋体" w:hAnsi="宋体" w:cs="宋体"/>
                <w:b/>
                <w:bCs/>
                <w:color w:val="000000"/>
                <w:kern w:val="0"/>
                <w:szCs w:val="21"/>
              </w:rPr>
            </w:pPr>
            <w:r>
              <w:rPr>
                <w:rFonts w:hint="eastAsia" w:ascii="宋体" w:hAnsi="宋体" w:cs="宋体"/>
                <w:b/>
                <w:bCs/>
                <w:color w:val="000000"/>
                <w:kern w:val="0"/>
                <w:szCs w:val="21"/>
              </w:rPr>
              <w:t xml:space="preserve">1. 根据《广西壮族自治区财政厅关于进一步发挥政府采购政策功能促进企业发展的 </w:t>
            </w:r>
          </w:p>
          <w:p>
            <w:pPr>
              <w:spacing w:line="380" w:lineRule="exact"/>
              <w:jc w:val="left"/>
              <w:rPr>
                <w:rFonts w:ascii="宋体" w:hAnsi="宋体" w:cs="宋体"/>
                <w:b/>
                <w:bCs/>
                <w:color w:val="000000"/>
                <w:kern w:val="0"/>
                <w:szCs w:val="21"/>
              </w:rPr>
            </w:pPr>
            <w:r>
              <w:rPr>
                <w:rFonts w:hint="eastAsia" w:ascii="宋体" w:hAnsi="宋体" w:cs="宋体"/>
                <w:b/>
                <w:bCs/>
                <w:color w:val="000000"/>
                <w:kern w:val="0"/>
                <w:szCs w:val="21"/>
              </w:rPr>
              <w:t xml:space="preserve">通知》（桂财采〔2022〕30 号）规定，采购人在与中小微企业签订政府采购合同时， </w:t>
            </w:r>
          </w:p>
          <w:p>
            <w:pPr>
              <w:spacing w:line="380" w:lineRule="exact"/>
              <w:jc w:val="left"/>
              <w:rPr>
                <w:rFonts w:ascii="宋体" w:hAnsi="宋体" w:cs="宋体"/>
                <w:b/>
                <w:bCs/>
                <w:color w:val="000000"/>
                <w:kern w:val="0"/>
                <w:szCs w:val="21"/>
              </w:rPr>
            </w:pPr>
            <w:r>
              <w:rPr>
                <w:rFonts w:hint="eastAsia" w:ascii="宋体" w:hAnsi="宋体" w:cs="宋体"/>
                <w:b/>
                <w:bCs/>
                <w:color w:val="000000"/>
                <w:kern w:val="0"/>
                <w:szCs w:val="21"/>
              </w:rPr>
              <w:t xml:space="preserve">减少或免于收取履约保证金，有必要收取履约保证金的，收取的履约保证金不得超过 </w:t>
            </w:r>
          </w:p>
          <w:p>
            <w:pPr>
              <w:spacing w:line="380" w:lineRule="exact"/>
              <w:jc w:val="left"/>
              <w:rPr>
                <w:rFonts w:ascii="宋体" w:hAnsi="宋体" w:cs="宋体"/>
                <w:b/>
                <w:bCs/>
                <w:color w:val="000000"/>
                <w:kern w:val="0"/>
                <w:szCs w:val="21"/>
              </w:rPr>
            </w:pPr>
            <w:r>
              <w:rPr>
                <w:rFonts w:hint="eastAsia" w:ascii="宋体" w:hAnsi="宋体" w:cs="宋体"/>
                <w:b/>
                <w:bCs/>
                <w:color w:val="000000"/>
                <w:kern w:val="0"/>
                <w:szCs w:val="21"/>
              </w:rPr>
              <w:t xml:space="preserve">政府采购合同金额的2%。 </w:t>
            </w:r>
          </w:p>
          <w:p>
            <w:pPr>
              <w:spacing w:line="380" w:lineRule="exact"/>
              <w:jc w:val="left"/>
              <w:rPr>
                <w:rFonts w:ascii="宋体" w:hAnsi="宋体" w:cs="宋体"/>
                <w:b/>
                <w:bCs/>
                <w:color w:val="000000"/>
                <w:kern w:val="0"/>
                <w:szCs w:val="21"/>
              </w:rPr>
            </w:pPr>
            <w:r>
              <w:rPr>
                <w:rFonts w:hint="eastAsia" w:ascii="宋体" w:hAnsi="宋体" w:cs="宋体"/>
                <w:b/>
                <w:bCs/>
                <w:color w:val="000000"/>
                <w:kern w:val="0"/>
                <w:szCs w:val="21"/>
              </w:rPr>
              <w:t xml:space="preserve">2.履约保证金不足额缴纳的，或者银行、保险机构出具的保函额度不足的或者保函 </w:t>
            </w:r>
          </w:p>
          <w:p>
            <w:pPr>
              <w:spacing w:line="380" w:lineRule="exact"/>
              <w:jc w:val="left"/>
              <w:rPr>
                <w:rFonts w:ascii="宋体" w:hAnsi="宋体" w:cs="宋体"/>
                <w:b/>
                <w:bCs/>
                <w:color w:val="000000"/>
                <w:kern w:val="0"/>
                <w:szCs w:val="21"/>
              </w:rPr>
            </w:pPr>
            <w:r>
              <w:rPr>
                <w:rFonts w:hint="eastAsia" w:ascii="宋体" w:hAnsi="宋体" w:cs="宋体"/>
                <w:b/>
                <w:bCs/>
                <w:color w:val="000000"/>
                <w:kern w:val="0"/>
                <w:szCs w:val="21"/>
              </w:rPr>
              <w:t xml:space="preserve">有效期低于合同履行期限（即签订采购合同之日起至履行完合同约定的权利及义务之 </w:t>
            </w:r>
          </w:p>
          <w:p>
            <w:pPr>
              <w:spacing w:line="380" w:lineRule="exact"/>
              <w:jc w:val="left"/>
              <w:rPr>
                <w:rFonts w:ascii="宋体" w:hAnsi="宋体" w:cs="宋体"/>
                <w:b/>
                <w:bCs/>
                <w:color w:val="000000"/>
                <w:kern w:val="0"/>
                <w:szCs w:val="21"/>
              </w:rPr>
            </w:pPr>
            <w:r>
              <w:rPr>
                <w:rFonts w:hint="eastAsia" w:ascii="宋体" w:hAnsi="宋体" w:cs="宋体"/>
                <w:b/>
                <w:bCs/>
                <w:color w:val="000000"/>
                <w:kern w:val="0"/>
                <w:szCs w:val="21"/>
              </w:rPr>
              <w:t xml:space="preserve">日止）的，不予签订合同。 </w:t>
            </w:r>
          </w:p>
          <w:p>
            <w:pPr>
              <w:spacing w:line="380" w:lineRule="exact"/>
              <w:jc w:val="left"/>
              <w:rPr>
                <w:rFonts w:ascii="宋体" w:hAnsi="宋体" w:cs="宋体"/>
                <w:b/>
                <w:bCs/>
                <w:color w:val="000000"/>
                <w:kern w:val="0"/>
                <w:szCs w:val="21"/>
              </w:rPr>
            </w:pPr>
            <w:r>
              <w:rPr>
                <w:rFonts w:hint="eastAsia" w:ascii="宋体" w:hAnsi="宋体" w:cs="宋体"/>
                <w:b/>
                <w:bCs/>
                <w:color w:val="000000"/>
                <w:kern w:val="0"/>
                <w:szCs w:val="21"/>
              </w:rPr>
              <w:t xml:space="preserve">3.采用银行、保险机构出具的保函的，必须为无条件保函，否则不予签订合同。 </w:t>
            </w:r>
          </w:p>
          <w:p>
            <w:pPr>
              <w:spacing w:line="380" w:lineRule="exact"/>
              <w:jc w:val="left"/>
              <w:rPr>
                <w:rFonts w:ascii="宋体" w:hAnsi="宋体" w:cs="宋体"/>
                <w:b/>
                <w:bCs/>
                <w:color w:val="000000"/>
                <w:kern w:val="0"/>
                <w:szCs w:val="21"/>
              </w:rPr>
            </w:pPr>
            <w:r>
              <w:rPr>
                <w:rFonts w:hint="eastAsia" w:ascii="宋体" w:hAnsi="宋体" w:cs="宋体"/>
                <w:b/>
                <w:bCs/>
                <w:color w:val="000000"/>
                <w:kern w:val="0"/>
                <w:szCs w:val="21"/>
              </w:rPr>
              <w:t xml:space="preserve">4.供应商为联合体的，由联合体任意一方按规定提交的履约保证金，视为有效履约保 </w:t>
            </w:r>
          </w:p>
          <w:p>
            <w:pPr>
              <w:spacing w:line="380" w:lineRule="exact"/>
              <w:jc w:val="left"/>
              <w:rPr>
                <w:rFonts w:ascii="宋体" w:hAnsi="宋体" w:cs="宋体"/>
                <w:color w:val="000000"/>
                <w:kern w:val="0"/>
                <w:szCs w:val="21"/>
              </w:rPr>
            </w:pPr>
            <w:r>
              <w:rPr>
                <w:rFonts w:hint="eastAsia" w:ascii="宋体" w:hAnsi="宋体" w:cs="宋体"/>
                <w:b/>
                <w:bCs/>
                <w:color w:val="000000"/>
                <w:kern w:val="0"/>
                <w:szCs w:val="21"/>
              </w:rPr>
              <w:t>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28" w:hRule="atLeast"/>
        </w:trPr>
        <w:tc>
          <w:tcPr>
            <w:tcW w:w="988"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color w:val="000000"/>
                <w:szCs w:val="21"/>
              </w:rPr>
            </w:pPr>
            <w:bookmarkStart w:id="174" w:name="_40.1"/>
            <w:bookmarkEnd w:id="174"/>
            <w:r>
              <w:rPr>
                <w:rFonts w:hint="eastAsia" w:ascii="宋体" w:hAnsi="宋体" w:cs="宋体"/>
                <w:color w:val="000000"/>
                <w:szCs w:val="21"/>
              </w:rPr>
              <w:t>36.1</w:t>
            </w:r>
          </w:p>
        </w:tc>
        <w:tc>
          <w:tcPr>
            <w:tcW w:w="826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80" w:lineRule="exact"/>
              <w:textAlignment w:val="bottom"/>
              <w:rPr>
                <w:rFonts w:ascii="宋体" w:hAnsi="宋体" w:cs="宋体"/>
                <w:color w:val="000000"/>
                <w:szCs w:val="21"/>
              </w:rPr>
            </w:pPr>
            <w:r>
              <w:rPr>
                <w:rFonts w:hint="eastAsia" w:ascii="宋体" w:hAnsi="宋体" w:cs="宋体"/>
                <w:color w:val="000000"/>
                <w:szCs w:val="21"/>
              </w:rPr>
              <w:t xml:space="preserve">签订合同携带的证明材料： </w:t>
            </w:r>
          </w:p>
          <w:p>
            <w:pPr>
              <w:autoSpaceDE w:val="0"/>
              <w:autoSpaceDN w:val="0"/>
              <w:snapToGrid w:val="0"/>
              <w:spacing w:line="380" w:lineRule="exact"/>
              <w:textAlignment w:val="bottom"/>
              <w:rPr>
                <w:rFonts w:ascii="宋体" w:hAnsi="宋体" w:cs="宋体"/>
                <w:color w:val="000000"/>
                <w:szCs w:val="21"/>
              </w:rPr>
            </w:pPr>
            <w:r>
              <w:rPr>
                <w:rFonts w:hint="eastAsia" w:ascii="宋体" w:hAnsi="宋体" w:cs="宋体"/>
                <w:color w:val="000000"/>
                <w:szCs w:val="21"/>
              </w:rPr>
              <w:t>委托代理人负责签订合同的，须携带授权委托书及委托代理人身份证原件等其他资格证件。</w:t>
            </w:r>
          </w:p>
          <w:p>
            <w:pPr>
              <w:autoSpaceDE w:val="0"/>
              <w:autoSpaceDN w:val="0"/>
              <w:snapToGrid w:val="0"/>
              <w:spacing w:line="380" w:lineRule="exact"/>
              <w:textAlignment w:val="bottom"/>
              <w:rPr>
                <w:rFonts w:ascii="宋体" w:hAnsi="宋体" w:cs="宋体"/>
                <w:color w:val="000000"/>
                <w:szCs w:val="21"/>
              </w:rPr>
            </w:pPr>
            <w:r>
              <w:rPr>
                <w:rFonts w:hint="eastAsia" w:ascii="宋体" w:hAnsi="宋体" w:cs="宋体"/>
                <w:color w:val="000000"/>
                <w:szCs w:val="21"/>
              </w:rPr>
              <w:t>法定代表人负责签订合同的，须携带法定代表人身份证明原件及身份证原件等其他证明材料。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color w:val="000000"/>
                <w:szCs w:val="21"/>
              </w:rPr>
            </w:pPr>
            <w:r>
              <w:rPr>
                <w:rFonts w:hint="eastAsia" w:ascii="宋体" w:hAnsi="宋体" w:cs="宋体"/>
                <w:color w:val="000000"/>
                <w:szCs w:val="21"/>
              </w:rPr>
              <w:t>38.2</w:t>
            </w:r>
          </w:p>
        </w:tc>
        <w:tc>
          <w:tcPr>
            <w:tcW w:w="8264"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s="宋体"/>
                <w:color w:val="000000"/>
                <w:szCs w:val="21"/>
              </w:rPr>
            </w:pPr>
            <w:r>
              <w:rPr>
                <w:rFonts w:hint="eastAsia" w:ascii="宋体" w:hAnsi="宋体" w:cs="宋体"/>
                <w:color w:val="000000"/>
                <w:szCs w:val="21"/>
              </w:rPr>
              <w:t>接收质疑函方式：以书面形式</w:t>
            </w:r>
          </w:p>
          <w:p>
            <w:pPr>
              <w:snapToGrid w:val="0"/>
              <w:spacing w:line="380" w:lineRule="exact"/>
              <w:rPr>
                <w:rFonts w:ascii="宋体" w:hAnsi="宋体" w:cs="宋体"/>
                <w:color w:val="000000"/>
                <w:szCs w:val="21"/>
              </w:rPr>
            </w:pPr>
            <w:r>
              <w:rPr>
                <w:rFonts w:hint="eastAsia" w:ascii="宋体" w:hAnsi="宋体" w:cs="宋体"/>
                <w:color w:val="000000"/>
                <w:szCs w:val="21"/>
              </w:rPr>
              <w:t>质疑联系部门及联系方式：</w:t>
            </w:r>
            <w:r>
              <w:rPr>
                <w:rFonts w:hint="eastAsia" w:ascii="宋体" w:hAnsi="宋体" w:cs="宋体"/>
                <w:color w:val="000000"/>
                <w:szCs w:val="21"/>
                <w:u w:val="single"/>
              </w:rPr>
              <w:t>广西正海招标有限公司</w:t>
            </w:r>
            <w:r>
              <w:rPr>
                <w:rFonts w:hint="eastAsia" w:ascii="宋体" w:hAnsi="宋体" w:cs="宋体"/>
                <w:color w:val="000000"/>
                <w:szCs w:val="21"/>
              </w:rPr>
              <w:t>，联系电话：</w:t>
            </w:r>
            <w:r>
              <w:rPr>
                <w:rFonts w:hint="eastAsia" w:ascii="宋体" w:hAnsi="宋体" w:cs="宋体"/>
                <w:color w:val="000000"/>
                <w:szCs w:val="21"/>
                <w:u w:val="single"/>
              </w:rPr>
              <w:t>0771-2865989</w:t>
            </w:r>
            <w:r>
              <w:rPr>
                <w:rFonts w:hint="eastAsia" w:ascii="宋体" w:hAnsi="宋体" w:cs="宋体"/>
                <w:color w:val="000000"/>
                <w:szCs w:val="21"/>
              </w:rPr>
              <w:t>，通讯地址：</w:t>
            </w:r>
            <w:r>
              <w:rPr>
                <w:rFonts w:hint="eastAsia" w:ascii="宋体" w:hAnsi="宋体" w:cs="宋体"/>
                <w:color w:val="000000"/>
                <w:szCs w:val="21"/>
                <w:u w:val="single"/>
              </w:rPr>
              <w:t>南宁市青秀区茅桥路2号习艺基地A栋3楼广西正海招标有限公司</w:t>
            </w:r>
            <w:r>
              <w:rPr>
                <w:rFonts w:hint="eastAsia" w:ascii="宋体" w:hAnsi="宋体" w:cs="宋体"/>
                <w:color w:val="000000"/>
                <w:szCs w:val="21"/>
              </w:rPr>
              <w:t>。</w:t>
            </w:r>
          </w:p>
          <w:p>
            <w:pPr>
              <w:autoSpaceDE w:val="0"/>
              <w:autoSpaceDN w:val="0"/>
              <w:snapToGrid w:val="0"/>
              <w:spacing w:line="380" w:lineRule="exact"/>
              <w:textAlignment w:val="bottom"/>
              <w:rPr>
                <w:rFonts w:ascii="宋体" w:hAnsi="宋体" w:cs="宋体"/>
                <w:color w:val="000000"/>
                <w:szCs w:val="21"/>
              </w:rPr>
            </w:pPr>
            <w:r>
              <w:rPr>
                <w:rFonts w:hint="eastAsia" w:ascii="宋体" w:hAnsi="宋体" w:cs="宋体"/>
                <w:color w:val="000000"/>
                <w:szCs w:val="21"/>
              </w:rPr>
              <w:t>业务时间：工作日每天上午8时00分到12时00分，下午</w:t>
            </w:r>
            <w:r>
              <w:rPr>
                <w:rFonts w:hint="eastAsia" w:ascii="宋体" w:hAnsi="宋体" w:cs="宋体"/>
                <w:color w:val="000000"/>
                <w:szCs w:val="21"/>
                <w:lang w:val="en-US" w:eastAsia="zh-CN"/>
              </w:rPr>
              <w:t>15</w:t>
            </w:r>
            <w:r>
              <w:rPr>
                <w:rFonts w:hint="eastAsia" w:ascii="宋体" w:hAnsi="宋体" w:cs="宋体"/>
                <w:color w:val="000000"/>
                <w:szCs w:val="21"/>
              </w:rPr>
              <w:t>时00分到</w:t>
            </w:r>
            <w:r>
              <w:rPr>
                <w:rFonts w:hint="eastAsia" w:ascii="宋体" w:hAnsi="宋体" w:cs="宋体"/>
                <w:color w:val="000000"/>
                <w:szCs w:val="21"/>
                <w:lang w:val="en-US" w:eastAsia="zh-CN"/>
              </w:rPr>
              <w:t>18</w:t>
            </w:r>
            <w:r>
              <w:rPr>
                <w:rFonts w:hint="eastAsia" w:ascii="宋体" w:hAnsi="宋体" w:cs="宋体"/>
                <w:color w:val="000000"/>
                <w:szCs w:val="21"/>
              </w:rPr>
              <w:t>时00分。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color w:val="000000"/>
                <w:szCs w:val="21"/>
              </w:rPr>
            </w:pPr>
            <w:bookmarkStart w:id="175" w:name="_42"/>
            <w:bookmarkEnd w:id="175"/>
            <w:bookmarkStart w:id="176" w:name="_41"/>
            <w:bookmarkEnd w:id="176"/>
            <w:bookmarkStart w:id="177" w:name="_Hlt17709148"/>
            <w:r>
              <w:rPr>
                <w:rFonts w:hint="eastAsia" w:ascii="宋体" w:hAnsi="宋体" w:cs="宋体"/>
                <w:color w:val="000000"/>
                <w:szCs w:val="21"/>
              </w:rPr>
              <w:t>3</w:t>
            </w:r>
            <w:bookmarkEnd w:id="177"/>
            <w:r>
              <w:rPr>
                <w:rFonts w:hint="eastAsia" w:ascii="宋体" w:hAnsi="宋体" w:cs="宋体"/>
                <w:color w:val="000000"/>
                <w:szCs w:val="21"/>
              </w:rPr>
              <w:t>9.1</w:t>
            </w:r>
          </w:p>
        </w:tc>
        <w:tc>
          <w:tcPr>
            <w:tcW w:w="8264" w:type="dxa"/>
            <w:tcBorders>
              <w:top w:val="single" w:color="auto" w:sz="4" w:space="0"/>
              <w:left w:val="single" w:color="auto" w:sz="4" w:space="0"/>
              <w:bottom w:val="single" w:color="auto" w:sz="4" w:space="0"/>
              <w:right w:val="single" w:color="auto" w:sz="4" w:space="0"/>
            </w:tcBorders>
            <w:vAlign w:val="center"/>
          </w:tcPr>
          <w:p>
            <w:pPr>
              <w:pStyle w:val="24"/>
              <w:snapToGrid w:val="0"/>
              <w:spacing w:line="380" w:lineRule="exact"/>
              <w:rPr>
                <w:rFonts w:hAnsi="宋体" w:cs="宋体"/>
                <w:color w:val="000000"/>
                <w:sz w:val="21"/>
                <w:lang w:val="en-US" w:eastAsia="zh-CN"/>
              </w:rPr>
            </w:pPr>
            <w:r>
              <w:rPr>
                <w:rFonts w:hint="eastAsia" w:hAnsi="宋体" w:cs="宋体"/>
                <w:color w:val="000000"/>
                <w:sz w:val="21"/>
                <w:lang w:val="en-US" w:eastAsia="zh-CN"/>
              </w:rPr>
              <w:t>1.采购代理费支付方式：</w:t>
            </w:r>
          </w:p>
          <w:p>
            <w:pPr>
              <w:pStyle w:val="24"/>
              <w:snapToGrid w:val="0"/>
              <w:spacing w:line="380" w:lineRule="exact"/>
              <w:rPr>
                <w:rFonts w:hAnsi="宋体" w:cs="宋体"/>
                <w:color w:val="000000"/>
                <w:sz w:val="21"/>
                <w:lang w:val="en-US" w:eastAsia="zh-CN"/>
              </w:rPr>
            </w:pPr>
            <w:r>
              <w:rPr>
                <w:rFonts w:hint="eastAsia" w:hAnsi="宋体" w:cs="宋体"/>
                <w:color w:val="000000"/>
                <w:sz w:val="21"/>
                <w:lang w:val="en-US" w:eastAsia="zh-CN"/>
              </w:rPr>
              <w:t>☑本项目招标代理服务费由</w:t>
            </w:r>
            <w:r>
              <w:rPr>
                <w:rFonts w:hint="eastAsia" w:hAnsi="宋体" w:cs="宋体"/>
                <w:color w:val="000000"/>
                <w:sz w:val="21"/>
                <w:u w:val="single"/>
                <w:lang w:val="en-US" w:eastAsia="zh-CN"/>
              </w:rPr>
              <w:t>中标人</w:t>
            </w:r>
            <w:r>
              <w:rPr>
                <w:rFonts w:hint="eastAsia" w:hAnsi="宋体" w:cs="宋体"/>
                <w:color w:val="000000"/>
                <w:sz w:val="21"/>
                <w:lang w:val="en-US" w:eastAsia="zh-CN"/>
              </w:rPr>
              <w:t>在领取中标通知书前，一次性向采购代理机构支付。</w:t>
            </w:r>
          </w:p>
          <w:p>
            <w:pPr>
              <w:pStyle w:val="24"/>
              <w:snapToGrid w:val="0"/>
              <w:spacing w:line="380" w:lineRule="exact"/>
              <w:rPr>
                <w:rFonts w:hAnsi="宋体" w:cs="宋体"/>
                <w:color w:val="000000"/>
                <w:sz w:val="21"/>
                <w:lang w:val="en-US" w:eastAsia="zh-CN"/>
              </w:rPr>
            </w:pPr>
            <w:r>
              <w:rPr>
                <w:rFonts w:hint="eastAsia" w:hAnsi="宋体" w:cs="宋体"/>
                <w:color w:val="000000"/>
                <w:sz w:val="21"/>
                <w:lang w:val="en-US" w:eastAsia="zh-CN"/>
              </w:rPr>
              <w:t>□采购人支付。</w:t>
            </w:r>
          </w:p>
          <w:p>
            <w:pPr>
              <w:pStyle w:val="24"/>
              <w:snapToGrid w:val="0"/>
              <w:spacing w:line="380" w:lineRule="exact"/>
              <w:rPr>
                <w:rFonts w:hAnsi="宋体" w:cs="宋体"/>
                <w:color w:val="000000"/>
                <w:sz w:val="21"/>
                <w:lang w:val="en-US" w:eastAsia="zh-CN"/>
              </w:rPr>
            </w:pPr>
            <w:r>
              <w:rPr>
                <w:rFonts w:hint="eastAsia" w:hAnsi="宋体" w:cs="宋体"/>
                <w:color w:val="000000"/>
                <w:sz w:val="21"/>
                <w:lang w:val="en-US" w:eastAsia="zh-CN"/>
              </w:rPr>
              <w:t>2.采购代理费收取标准：</w:t>
            </w:r>
          </w:p>
          <w:p>
            <w:pPr>
              <w:pStyle w:val="24"/>
              <w:snapToGrid w:val="0"/>
              <w:spacing w:line="380" w:lineRule="exact"/>
              <w:rPr>
                <w:rFonts w:hAnsi="宋体" w:cs="宋体"/>
                <w:color w:val="000000"/>
                <w:sz w:val="21"/>
                <w:lang w:val="en-US" w:eastAsia="zh-CN"/>
              </w:rPr>
            </w:pPr>
            <w:r>
              <w:rPr>
                <w:rFonts w:hint="eastAsia" w:ascii="MS Mincho" w:hAnsi="MS Mincho" w:eastAsia="MS Mincho" w:cs="MS Mincho"/>
                <w:color w:val="000000"/>
                <w:sz w:val="21"/>
                <w:lang w:val="en-US" w:eastAsia="zh-CN"/>
              </w:rPr>
              <w:t>☑</w:t>
            </w:r>
            <w:r>
              <w:rPr>
                <w:rFonts w:hint="eastAsia" w:hAnsi="宋体" w:cs="宋体"/>
                <w:color w:val="000000"/>
                <w:sz w:val="21"/>
                <w:lang w:val="en-US" w:eastAsia="zh-CN"/>
              </w:rPr>
              <w:t>以项目（□中标金额/</w:t>
            </w:r>
            <w:r>
              <w:rPr>
                <w:rFonts w:hint="eastAsia" w:ascii="MS Mincho" w:hAnsi="MS Mincho" w:eastAsia="MS Mincho" w:cs="MS Mincho"/>
                <w:color w:val="000000"/>
                <w:lang w:val="en-US" w:eastAsia="zh-CN"/>
              </w:rPr>
              <w:t>☑</w:t>
            </w:r>
            <w:r>
              <w:rPr>
                <w:rFonts w:hint="eastAsia" w:hAnsi="宋体" w:cs="宋体"/>
                <w:color w:val="000000"/>
                <w:sz w:val="21"/>
                <w:lang w:val="en-US" w:eastAsia="zh-CN"/>
              </w:rPr>
              <w:t>采购预算/□暂定中标金额/□其他</w:t>
            </w:r>
            <w:r>
              <w:rPr>
                <w:rFonts w:hint="eastAsia" w:hAnsi="宋体" w:cs="宋体"/>
                <w:color w:val="000000"/>
                <w:sz w:val="21"/>
                <w:u w:val="single"/>
                <w:lang w:val="en-US" w:eastAsia="zh-CN"/>
              </w:rPr>
              <w:t xml:space="preserve"> / </w:t>
            </w:r>
            <w:r>
              <w:rPr>
                <w:rFonts w:hint="eastAsia" w:hAnsi="宋体" w:cs="宋体"/>
                <w:color w:val="000000"/>
                <w:sz w:val="21"/>
                <w:lang w:val="en-US" w:eastAsia="zh-CN"/>
              </w:rPr>
              <w:t>）为计费额，按本须知正文第39.2条规定的收费计算标准（□货物招标/☑服务招标/□工程招标）采用差额定率累进法计算出收费基准价格，采购代理收费以（☑收费基准价格/□收费基准价格下浮</w:t>
            </w:r>
            <w:r>
              <w:rPr>
                <w:rFonts w:hint="eastAsia" w:hAnsi="宋体" w:cs="宋体"/>
                <w:color w:val="000000"/>
                <w:sz w:val="21"/>
                <w:u w:val="single"/>
                <w:lang w:val="en-US" w:eastAsia="zh-CN"/>
              </w:rPr>
              <w:t xml:space="preserve"> / %</w:t>
            </w:r>
            <w:r>
              <w:rPr>
                <w:rFonts w:hint="eastAsia" w:hAnsi="宋体" w:cs="宋体"/>
                <w:color w:val="000000"/>
                <w:sz w:val="21"/>
                <w:lang w:val="en-US" w:eastAsia="zh-CN"/>
              </w:rPr>
              <w:t>/□收费基准价格上浮</w:t>
            </w:r>
            <w:r>
              <w:rPr>
                <w:rFonts w:hint="eastAsia" w:hAnsi="宋体" w:cs="宋体"/>
                <w:color w:val="000000"/>
                <w:sz w:val="21"/>
                <w:u w:val="single"/>
                <w:lang w:val="en-US" w:eastAsia="zh-CN"/>
              </w:rPr>
              <w:t xml:space="preserve"> / %</w:t>
            </w:r>
            <w:r>
              <w:rPr>
                <w:rFonts w:hint="eastAsia" w:hAnsi="宋体" w:cs="宋体"/>
                <w:color w:val="000000"/>
                <w:sz w:val="21"/>
                <w:lang w:val="en-US" w:eastAsia="zh-CN"/>
              </w:rPr>
              <w:t>）收取。</w:t>
            </w:r>
          </w:p>
          <w:p>
            <w:pPr>
              <w:pStyle w:val="24"/>
              <w:snapToGrid w:val="0"/>
              <w:spacing w:line="380" w:lineRule="exact"/>
              <w:rPr>
                <w:rFonts w:hAnsi="宋体" w:cs="宋体"/>
                <w:color w:val="000000"/>
                <w:sz w:val="21"/>
                <w:u w:val="single"/>
                <w:lang w:val="en-US" w:eastAsia="zh-CN"/>
              </w:rPr>
            </w:pPr>
            <w:r>
              <w:rPr>
                <w:rFonts w:hint="eastAsia" w:hAnsi="宋体" w:cs="宋体"/>
                <w:color w:val="000000"/>
                <w:sz w:val="21"/>
                <w:lang w:val="en-US" w:eastAsia="zh-CN"/>
              </w:rPr>
              <w:t>□固定采购代理收费</w:t>
            </w:r>
            <w:r>
              <w:rPr>
                <w:rFonts w:hint="eastAsia" w:hAnsi="宋体" w:cs="宋体"/>
                <w:color w:val="000000"/>
                <w:sz w:val="21"/>
                <w:u w:val="single"/>
                <w:lang w:val="en-US" w:eastAsia="zh-CN"/>
              </w:rPr>
              <w:t xml:space="preserve"> / 。</w:t>
            </w:r>
          </w:p>
          <w:p>
            <w:pPr>
              <w:pStyle w:val="24"/>
              <w:snapToGrid w:val="0"/>
              <w:spacing w:line="380" w:lineRule="exact"/>
              <w:rPr>
                <w:rFonts w:hAnsi="宋体" w:cs="宋体"/>
                <w:color w:val="000000"/>
                <w:sz w:val="21"/>
                <w:lang w:val="en-US" w:eastAsia="zh-CN"/>
              </w:rPr>
            </w:pPr>
            <w:r>
              <w:rPr>
                <w:rFonts w:hint="eastAsia" w:hAnsi="宋体" w:cs="宋体"/>
                <w:color w:val="000000"/>
                <w:sz w:val="21"/>
                <w:lang w:val="en-US" w:eastAsia="zh-CN"/>
              </w:rPr>
              <w:t>3.代理机构银行账户信息如下：</w:t>
            </w:r>
          </w:p>
          <w:p>
            <w:pPr>
              <w:pStyle w:val="24"/>
              <w:snapToGrid w:val="0"/>
              <w:spacing w:line="380" w:lineRule="exact"/>
              <w:rPr>
                <w:rFonts w:hAnsi="宋体" w:cs="宋体"/>
                <w:color w:val="000000"/>
                <w:sz w:val="21"/>
                <w:lang w:val="en-US" w:eastAsia="zh-CN"/>
              </w:rPr>
            </w:pPr>
            <w:r>
              <w:rPr>
                <w:rFonts w:hint="eastAsia" w:hAnsi="宋体" w:cs="宋体"/>
                <w:color w:val="000000"/>
                <w:sz w:val="21"/>
                <w:lang w:val="en-US" w:eastAsia="zh-CN"/>
              </w:rPr>
              <w:t>账户名称：广西正海招标有限公司</w:t>
            </w:r>
          </w:p>
          <w:p>
            <w:pPr>
              <w:pStyle w:val="24"/>
              <w:snapToGrid w:val="0"/>
              <w:spacing w:line="380" w:lineRule="exact"/>
              <w:rPr>
                <w:rFonts w:hAnsi="宋体" w:cs="宋体"/>
                <w:color w:val="000000"/>
                <w:sz w:val="21"/>
                <w:lang w:val="en-US" w:eastAsia="zh-CN"/>
              </w:rPr>
            </w:pPr>
            <w:r>
              <w:rPr>
                <w:rFonts w:hint="eastAsia" w:hAnsi="宋体" w:cs="宋体"/>
                <w:color w:val="000000"/>
                <w:sz w:val="21"/>
                <w:lang w:val="en-US" w:eastAsia="zh-CN"/>
              </w:rPr>
              <w:t>开户银行：中国光大银行股份有限公司南宁长湖支行</w:t>
            </w:r>
          </w:p>
          <w:p>
            <w:pPr>
              <w:pStyle w:val="24"/>
              <w:snapToGrid w:val="0"/>
              <w:spacing w:line="380" w:lineRule="exact"/>
              <w:rPr>
                <w:rFonts w:hAnsi="宋体" w:cs="宋体"/>
                <w:color w:val="000000"/>
                <w:sz w:val="21"/>
                <w:lang w:val="en-US" w:eastAsia="zh-CN"/>
              </w:rPr>
            </w:pPr>
            <w:r>
              <w:rPr>
                <w:rFonts w:hint="eastAsia" w:hAnsi="宋体" w:cs="宋体"/>
                <w:color w:val="000000"/>
                <w:sz w:val="21"/>
                <w:lang w:val="en-US" w:eastAsia="zh-CN"/>
              </w:rPr>
              <w:t>银行账号：</w:t>
            </w:r>
            <w:r>
              <w:rPr>
                <w:rFonts w:hint="eastAsia" w:hAnsi="宋体" w:cs="宋体"/>
                <w:bCs/>
                <w:color w:val="000000"/>
                <w:sz w:val="21"/>
                <w:lang w:val="en-US" w:eastAsia="zh-CN"/>
              </w:rPr>
              <w:t>7908 0188 0000 35937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s="宋体"/>
                <w:color w:val="000000"/>
                <w:szCs w:val="21"/>
              </w:rPr>
            </w:pPr>
            <w:r>
              <w:rPr>
                <w:rFonts w:hint="eastAsia" w:ascii="宋体" w:hAnsi="宋体" w:cs="宋体"/>
                <w:color w:val="000000"/>
                <w:szCs w:val="21"/>
              </w:rPr>
              <w:t>40.1</w:t>
            </w:r>
          </w:p>
        </w:tc>
        <w:tc>
          <w:tcPr>
            <w:tcW w:w="8264"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s="宋体"/>
                <w:color w:val="000000"/>
                <w:szCs w:val="21"/>
              </w:rPr>
            </w:pPr>
            <w:r>
              <w:rPr>
                <w:rFonts w:hint="eastAsia" w:ascii="宋体" w:hAnsi="宋体" w:cs="宋体"/>
                <w:color w:val="000000"/>
                <w:szCs w:val="21"/>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s="宋体"/>
                <w:color w:val="000000"/>
                <w:szCs w:val="21"/>
              </w:rPr>
            </w:pPr>
            <w:r>
              <w:rPr>
                <w:rFonts w:hint="eastAsia" w:ascii="宋体" w:hAnsi="宋体" w:cs="宋体"/>
                <w:color w:val="000000"/>
                <w:szCs w:val="21"/>
              </w:rPr>
              <w:t>40.2</w:t>
            </w:r>
          </w:p>
        </w:tc>
        <w:tc>
          <w:tcPr>
            <w:tcW w:w="8264" w:type="dxa"/>
            <w:tcBorders>
              <w:top w:val="single" w:color="auto" w:sz="4" w:space="0"/>
              <w:left w:val="single" w:color="auto" w:sz="4" w:space="0"/>
              <w:bottom w:val="single" w:color="auto" w:sz="4" w:space="0"/>
              <w:right w:val="single" w:color="auto" w:sz="4" w:space="0"/>
            </w:tcBorders>
            <w:vAlign w:val="center"/>
          </w:tcPr>
          <w:p>
            <w:pPr>
              <w:pStyle w:val="24"/>
              <w:snapToGrid w:val="0"/>
              <w:spacing w:line="380" w:lineRule="exact"/>
              <w:rPr>
                <w:rFonts w:hAnsi="宋体" w:cs="宋体"/>
                <w:bCs/>
                <w:color w:val="000000"/>
                <w:sz w:val="21"/>
                <w:lang w:val="en-US" w:eastAsia="zh-CN"/>
              </w:rPr>
            </w:pPr>
            <w:r>
              <w:rPr>
                <w:rFonts w:hint="eastAsia" w:hAnsi="宋体" w:cs="宋体"/>
                <w:bCs/>
                <w:color w:val="000000"/>
                <w:sz w:val="21"/>
                <w:lang w:val="en-US" w:eastAsia="zh-CN"/>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pPr>
              <w:pStyle w:val="24"/>
              <w:snapToGrid w:val="0"/>
              <w:spacing w:line="380" w:lineRule="exact"/>
              <w:rPr>
                <w:rFonts w:hAnsi="宋体" w:cs="宋体"/>
                <w:bCs/>
                <w:color w:val="000000"/>
                <w:sz w:val="21"/>
                <w:lang w:val="en-US" w:eastAsia="zh-CN"/>
              </w:rPr>
            </w:pPr>
            <w:r>
              <w:rPr>
                <w:rFonts w:hint="eastAsia" w:hAnsi="宋体" w:cs="宋体"/>
                <w:bCs/>
                <w:color w:val="000000"/>
                <w:sz w:val="21"/>
                <w:lang w:val="en-US" w:eastAsia="zh-CN"/>
              </w:rPr>
              <w:t>2.本招标文件所称的“</w:t>
            </w:r>
            <w:r>
              <w:rPr>
                <w:rFonts w:hint="eastAsia" w:hAnsi="宋体" w:cs="宋体"/>
                <w:color w:val="000000"/>
                <w:sz w:val="21"/>
                <w:lang w:val="en-US" w:eastAsia="zh-CN"/>
              </w:rPr>
              <w:t>电子签章</w:t>
            </w:r>
            <w:r>
              <w:rPr>
                <w:rFonts w:hint="eastAsia" w:hAnsi="宋体" w:cs="宋体"/>
                <w:bCs/>
                <w:color w:val="000000"/>
                <w:sz w:val="21"/>
                <w:lang w:val="en-US" w:eastAsia="zh-CN"/>
              </w:rPr>
              <w:t>”、“电子签名”</w:t>
            </w:r>
            <w:r>
              <w:rPr>
                <w:rFonts w:hint="eastAsia" w:hAnsi="宋体" w:cs="宋体"/>
                <w:color w:val="000000"/>
                <w:sz w:val="21"/>
                <w:lang w:val="en-US" w:eastAsia="zh-CN"/>
              </w:rPr>
              <w:t>，是指经“政采云”平台认可的CA认证的电子签名数据为表现形式的印章，可用于签署电子投标文件，电子印章与实物印章具有同等法律效力，不因其采用电子化表现形式而否定其法律效力。</w:t>
            </w:r>
          </w:p>
          <w:p>
            <w:pPr>
              <w:pStyle w:val="24"/>
              <w:snapToGrid w:val="0"/>
              <w:spacing w:line="380" w:lineRule="exact"/>
              <w:rPr>
                <w:rFonts w:hAnsi="宋体" w:cs="宋体"/>
                <w:bCs/>
                <w:color w:val="000000"/>
                <w:sz w:val="21"/>
                <w:lang w:val="en-US" w:eastAsia="zh-CN"/>
              </w:rPr>
            </w:pPr>
            <w:r>
              <w:rPr>
                <w:rFonts w:hint="eastAsia" w:hAnsi="宋体" w:cs="宋体"/>
                <w:bCs/>
                <w:color w:val="000000"/>
                <w:sz w:val="21"/>
                <w:lang w:val="en-US" w:eastAsia="zh-CN"/>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pPr>
              <w:pStyle w:val="24"/>
              <w:snapToGrid w:val="0"/>
              <w:spacing w:line="380" w:lineRule="exact"/>
              <w:rPr>
                <w:rFonts w:hAnsi="宋体" w:cs="宋体"/>
                <w:bCs/>
                <w:color w:val="000000"/>
                <w:sz w:val="21"/>
                <w:lang w:val="en-US" w:eastAsia="zh-CN"/>
              </w:rPr>
            </w:pPr>
            <w:r>
              <w:rPr>
                <w:rFonts w:hint="eastAsia" w:hAnsi="宋体" w:cs="宋体"/>
                <w:bCs/>
                <w:color w:val="000000"/>
                <w:sz w:val="21"/>
                <w:lang w:val="en-US" w:eastAsia="zh-CN"/>
              </w:rPr>
              <w:t>4.本招标文件中描述投标人的“签字”是指投标人的法定代表人或者委托代理人亲自在文件规定签字处亲笔写上个人的名字的行为，私章、签字章、印鉴、影印等其他形式均不能代替亲笔签字。</w:t>
            </w:r>
          </w:p>
          <w:p>
            <w:pPr>
              <w:spacing w:line="380" w:lineRule="exact"/>
              <w:jc w:val="left"/>
              <w:rPr>
                <w:rFonts w:ascii="宋体" w:hAnsi="宋体" w:cs="宋体"/>
                <w:color w:val="000000"/>
                <w:szCs w:val="21"/>
              </w:rPr>
            </w:pPr>
            <w:r>
              <w:rPr>
                <w:rFonts w:hint="eastAsia" w:ascii="宋体" w:hAnsi="宋体" w:cs="宋体"/>
                <w:bCs/>
                <w:color w:val="000000"/>
                <w:szCs w:val="21"/>
              </w:rPr>
              <w:t>5.</w:t>
            </w:r>
            <w:r>
              <w:rPr>
                <w:rFonts w:hint="eastAsia" w:ascii="宋体" w:hAnsi="宋体" w:cs="宋体"/>
                <w:bCs/>
                <w:color w:val="000000"/>
                <w:kern w:val="0"/>
                <w:szCs w:val="21"/>
              </w:rPr>
              <w:t>本招标文件所称的“以上”“以下”“以内”“届满”，包括本数；所称的“不满”“超过”“以外”，不包括本数。</w:t>
            </w:r>
          </w:p>
        </w:tc>
      </w:tr>
    </w:tbl>
    <w:p>
      <w:pPr>
        <w:pStyle w:val="5"/>
        <w:keepNext w:val="0"/>
        <w:keepLines w:val="0"/>
        <w:spacing w:before="100" w:after="60" w:line="415" w:lineRule="auto"/>
        <w:jc w:val="center"/>
        <w:rPr>
          <w:rFonts w:ascii="宋体" w:hAnsi="宋体" w:cs="宋体"/>
          <w:color w:val="000000"/>
        </w:rPr>
      </w:pPr>
      <w:r>
        <w:rPr>
          <w:rFonts w:hint="eastAsia" w:ascii="宋体" w:hAnsi="宋体" w:cs="宋体"/>
          <w:color w:val="000000"/>
        </w:rPr>
        <w:br w:type="page"/>
      </w:r>
      <w:r>
        <w:rPr>
          <w:rFonts w:hint="eastAsia" w:ascii="宋体" w:hAnsi="宋体" w:cs="宋体"/>
          <w:color w:val="000000"/>
        </w:rPr>
        <w:t>投标人须知正文</w:t>
      </w:r>
    </w:p>
    <w:p>
      <w:pPr>
        <w:pStyle w:val="5"/>
        <w:keepNext w:val="0"/>
        <w:keepLines w:val="0"/>
        <w:spacing w:before="100" w:after="60" w:line="415" w:lineRule="auto"/>
        <w:jc w:val="center"/>
        <w:rPr>
          <w:rFonts w:ascii="宋体" w:hAnsi="宋体" w:cs="宋体"/>
          <w:color w:val="000000"/>
        </w:rPr>
      </w:pPr>
      <w:r>
        <w:rPr>
          <w:rFonts w:hint="eastAsia" w:ascii="宋体" w:hAnsi="宋体" w:cs="宋体"/>
          <w:color w:val="000000"/>
        </w:rPr>
        <w:t>一、总  则</w:t>
      </w:r>
    </w:p>
    <w:p>
      <w:pPr>
        <w:pStyle w:val="7"/>
        <w:keepNext w:val="0"/>
        <w:keepLines w:val="0"/>
        <w:spacing w:before="0" w:after="0" w:line="360" w:lineRule="auto"/>
        <w:ind w:left="420" w:leftChars="200"/>
        <w:rPr>
          <w:rFonts w:ascii="宋体" w:hAnsi="宋体" w:cs="宋体"/>
          <w:color w:val="000000"/>
          <w:sz w:val="24"/>
        </w:rPr>
      </w:pPr>
      <w:bookmarkStart w:id="178" w:name="_Toc254970527"/>
      <w:bookmarkStart w:id="179" w:name="_Toc254970668"/>
      <w:r>
        <w:rPr>
          <w:rFonts w:hint="eastAsia" w:ascii="宋体" w:hAnsi="宋体" w:cs="宋体"/>
          <w:color w:val="000000"/>
          <w:sz w:val="24"/>
        </w:rPr>
        <w:t>1.适用范围</w:t>
      </w:r>
      <w:bookmarkEnd w:id="178"/>
      <w:bookmarkEnd w:id="179"/>
    </w:p>
    <w:p>
      <w:pPr>
        <w:snapToGri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pPr>
        <w:snapToGri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1.2本招标文件</w:t>
      </w:r>
      <w:r>
        <w:rPr>
          <w:rFonts w:hint="eastAsia" w:ascii="宋体" w:hAnsi="宋体" w:cs="宋体"/>
          <w:color w:val="000000"/>
          <w:spacing w:val="-6"/>
          <w:szCs w:val="21"/>
        </w:rPr>
        <w:t>适用于本项目的所有采购程序和环节（法律、法规另有规定的，从其规定）。</w:t>
      </w:r>
    </w:p>
    <w:p>
      <w:pPr>
        <w:pStyle w:val="7"/>
        <w:keepNext w:val="0"/>
        <w:keepLines w:val="0"/>
        <w:spacing w:before="0" w:after="0" w:line="360" w:lineRule="auto"/>
        <w:ind w:left="420" w:leftChars="200"/>
        <w:rPr>
          <w:rFonts w:ascii="宋体" w:hAnsi="宋体" w:cs="宋体"/>
          <w:color w:val="000000"/>
          <w:sz w:val="24"/>
        </w:rPr>
      </w:pPr>
      <w:bookmarkStart w:id="180" w:name="_Toc254970528"/>
      <w:bookmarkStart w:id="181" w:name="_Toc254970669"/>
      <w:r>
        <w:rPr>
          <w:rFonts w:hint="eastAsia" w:ascii="宋体" w:hAnsi="宋体" w:cs="宋体"/>
          <w:color w:val="000000"/>
          <w:sz w:val="24"/>
        </w:rPr>
        <w:t>2.定义</w:t>
      </w:r>
      <w:bookmarkEnd w:id="180"/>
      <w:bookmarkEnd w:id="181"/>
    </w:p>
    <w:p>
      <w:pPr>
        <w:pStyle w:val="7"/>
        <w:keepNext w:val="0"/>
        <w:keepLines w:val="0"/>
        <w:spacing w:before="0" w:after="0" w:line="360" w:lineRule="auto"/>
        <w:ind w:left="420" w:leftChars="200"/>
        <w:rPr>
          <w:rFonts w:ascii="宋体" w:hAnsi="宋体" w:cs="宋体"/>
          <w:b w:val="0"/>
          <w:color w:val="000000"/>
          <w:sz w:val="21"/>
          <w:szCs w:val="21"/>
        </w:rPr>
      </w:pPr>
      <w:r>
        <w:rPr>
          <w:rFonts w:hint="eastAsia" w:ascii="宋体" w:hAnsi="宋体" w:cs="宋体"/>
          <w:b w:val="0"/>
          <w:color w:val="000000"/>
          <w:sz w:val="21"/>
          <w:szCs w:val="21"/>
        </w:rPr>
        <w:t>2.1“采购人”是指依法进行政府采购的国家机关、事业单位、团体组织。</w:t>
      </w:r>
    </w:p>
    <w:p>
      <w:pPr>
        <w:pStyle w:val="7"/>
        <w:keepNext w:val="0"/>
        <w:keepLines w:val="0"/>
        <w:spacing w:before="0" w:after="0" w:line="360" w:lineRule="auto"/>
        <w:ind w:left="420" w:leftChars="200"/>
        <w:rPr>
          <w:rFonts w:ascii="宋体" w:hAnsi="宋体" w:cs="宋体"/>
          <w:b w:val="0"/>
          <w:color w:val="000000"/>
          <w:sz w:val="21"/>
          <w:szCs w:val="21"/>
        </w:rPr>
      </w:pPr>
      <w:r>
        <w:rPr>
          <w:rFonts w:hint="eastAsia" w:ascii="宋体" w:hAnsi="宋体" w:cs="宋体"/>
          <w:b w:val="0"/>
          <w:color w:val="000000"/>
          <w:sz w:val="21"/>
          <w:szCs w:val="21"/>
        </w:rPr>
        <w:t>2.2“采购代理机构”是指政府采购集中采购机构和集中采购机构以外的采购代理机构。</w:t>
      </w:r>
    </w:p>
    <w:p>
      <w:pPr>
        <w:pStyle w:val="7"/>
        <w:keepNext w:val="0"/>
        <w:keepLines w:val="0"/>
        <w:spacing w:before="0" w:after="0" w:line="360" w:lineRule="auto"/>
        <w:ind w:left="420" w:leftChars="200"/>
        <w:rPr>
          <w:rFonts w:ascii="宋体" w:hAnsi="宋体" w:cs="宋体"/>
          <w:b w:val="0"/>
          <w:color w:val="000000"/>
          <w:sz w:val="21"/>
          <w:szCs w:val="21"/>
        </w:rPr>
      </w:pPr>
      <w:r>
        <w:rPr>
          <w:rFonts w:hint="eastAsia" w:ascii="宋体" w:hAnsi="宋体" w:cs="宋体"/>
          <w:b w:val="0"/>
          <w:color w:val="000000"/>
          <w:sz w:val="21"/>
          <w:szCs w:val="21"/>
        </w:rPr>
        <w:t>2.3“供应商”是指向采购人提供货物、工程或者服务的法人、其他组织或者自然人。</w:t>
      </w:r>
    </w:p>
    <w:p>
      <w:pPr>
        <w:pStyle w:val="8"/>
        <w:spacing w:line="360" w:lineRule="auto"/>
        <w:rPr>
          <w:rFonts w:ascii="宋体" w:hAnsi="宋体" w:cs="宋体"/>
          <w:color w:val="000000"/>
          <w:szCs w:val="21"/>
        </w:rPr>
      </w:pPr>
      <w:r>
        <w:rPr>
          <w:rFonts w:hint="eastAsia" w:ascii="宋体" w:hAnsi="宋体" w:cs="宋体"/>
          <w:color w:val="000000"/>
          <w:szCs w:val="21"/>
        </w:rPr>
        <w:t>2.4“投标人”是指响应招标、参加投标竞争的法人、其他组织或者自然人。</w:t>
      </w:r>
    </w:p>
    <w:p>
      <w:pPr>
        <w:pStyle w:val="7"/>
        <w:keepNext w:val="0"/>
        <w:keepLines w:val="0"/>
        <w:spacing w:before="0" w:after="0" w:line="360" w:lineRule="auto"/>
        <w:ind w:firstLine="420" w:firstLineChars="200"/>
        <w:rPr>
          <w:rFonts w:ascii="宋体" w:hAnsi="宋体" w:cs="宋体"/>
          <w:b w:val="0"/>
          <w:color w:val="000000"/>
          <w:sz w:val="21"/>
          <w:szCs w:val="21"/>
        </w:rPr>
      </w:pPr>
      <w:r>
        <w:rPr>
          <w:rFonts w:hint="eastAsia" w:ascii="宋体" w:hAnsi="宋体" w:cs="宋体"/>
          <w:b w:val="0"/>
          <w:color w:val="000000"/>
          <w:sz w:val="21"/>
          <w:szCs w:val="21"/>
        </w:rPr>
        <w:t>2.5“服务”是指除货物和工程以外的其他政府采购对象。</w:t>
      </w:r>
    </w:p>
    <w:p>
      <w:pPr>
        <w:pStyle w:val="7"/>
        <w:keepNext w:val="0"/>
        <w:keepLines w:val="0"/>
        <w:spacing w:before="0" w:after="0" w:line="360" w:lineRule="auto"/>
        <w:rPr>
          <w:rFonts w:ascii="宋体" w:hAnsi="宋体" w:cs="宋体"/>
          <w:b w:val="0"/>
          <w:color w:val="000000"/>
          <w:sz w:val="21"/>
          <w:szCs w:val="21"/>
        </w:rPr>
      </w:pPr>
      <w:r>
        <w:rPr>
          <w:rFonts w:hint="eastAsia" w:ascii="宋体" w:hAnsi="宋体" w:cs="宋体"/>
          <w:b w:val="0"/>
          <w:color w:val="000000"/>
          <w:sz w:val="21"/>
          <w:szCs w:val="21"/>
        </w:rPr>
        <w:t xml:space="preserve">    2.6“书面形式”是指合同书、信件和数据电文（包括电报、电传、传真、电子数据交换和电子邮件）等可以有形地表现所载内容的形式。</w:t>
      </w:r>
    </w:p>
    <w:p>
      <w:pPr>
        <w:pStyle w:val="7"/>
        <w:keepNext w:val="0"/>
        <w:keepLines w:val="0"/>
        <w:spacing w:before="0" w:after="0" w:line="360" w:lineRule="auto"/>
        <w:ind w:firstLine="420" w:firstLineChars="200"/>
        <w:rPr>
          <w:rFonts w:ascii="宋体" w:hAnsi="宋体" w:cs="宋体"/>
          <w:b w:val="0"/>
          <w:color w:val="000000"/>
          <w:sz w:val="21"/>
          <w:szCs w:val="21"/>
        </w:rPr>
      </w:pPr>
      <w:r>
        <w:rPr>
          <w:rFonts w:hint="eastAsia" w:ascii="宋体" w:hAnsi="宋体" w:cs="宋体"/>
          <w:b w:val="0"/>
          <w:color w:val="000000"/>
          <w:sz w:val="21"/>
          <w:szCs w:val="21"/>
        </w:rPr>
        <w:t>2.7“实质性要求”是指招标文件中已经指明不满足则投标无效的条款，或者不能负偏离的条款，或者采购需求中带“▲”的条款。</w:t>
      </w:r>
    </w:p>
    <w:p>
      <w:pPr>
        <w:snapToGri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2.8“正偏离”，是指投标文件对招标文件“采购需求”中有关条款作出的响应优于条款要求并有利于采购人的情形。</w:t>
      </w:r>
    </w:p>
    <w:p>
      <w:pPr>
        <w:snapToGri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2.9“负偏离”，是指投标文件对招标文件“采购需求”中有关条款作出的响应不满足条款要求，导致采购人要求不能得到满足的情形。</w:t>
      </w:r>
    </w:p>
    <w:p>
      <w:pPr>
        <w:snapToGri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2.10“允许负偏离的条款”是指采购需求中的不属于“实质性要求”的条款。</w:t>
      </w:r>
      <w:bookmarkStart w:id="182" w:name="_Toc254970529"/>
      <w:bookmarkStart w:id="183" w:name="_Toc254970670"/>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3.</w:t>
      </w:r>
      <w:bookmarkEnd w:id="182"/>
      <w:bookmarkEnd w:id="183"/>
      <w:r>
        <w:rPr>
          <w:rFonts w:hint="eastAsia" w:ascii="宋体" w:hAnsi="宋体" w:cs="宋体"/>
          <w:color w:val="000000"/>
          <w:sz w:val="24"/>
        </w:rPr>
        <w:t>投标人的资格要求</w:t>
      </w:r>
    </w:p>
    <w:p>
      <w:pPr>
        <w:snapToGri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投标人的资格要求详见“投标人须知前附表”。</w:t>
      </w:r>
    </w:p>
    <w:p>
      <w:pPr>
        <w:pStyle w:val="7"/>
        <w:keepNext w:val="0"/>
        <w:keepLines w:val="0"/>
        <w:spacing w:before="0" w:after="0" w:line="360" w:lineRule="auto"/>
        <w:ind w:left="420" w:leftChars="200"/>
        <w:rPr>
          <w:rFonts w:ascii="宋体" w:hAnsi="宋体" w:cs="宋体"/>
          <w:color w:val="000000"/>
          <w:sz w:val="24"/>
        </w:rPr>
      </w:pPr>
      <w:bookmarkStart w:id="184" w:name="_Toc254970671"/>
      <w:bookmarkStart w:id="185" w:name="_Toc254970530"/>
      <w:r>
        <w:rPr>
          <w:rFonts w:hint="eastAsia" w:ascii="宋体" w:hAnsi="宋体" w:cs="宋体"/>
          <w:color w:val="000000"/>
          <w:sz w:val="24"/>
        </w:rPr>
        <w:t>4.投标委托</w:t>
      </w:r>
      <w:bookmarkEnd w:id="184"/>
      <w:bookmarkEnd w:id="185"/>
    </w:p>
    <w:p>
      <w:pPr>
        <w:snapToGri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投标人代表参加投标活动过程中必须携带个人有效身份证件。如投标人代表不是法定代表人，须持有授权委托书（按第六章要求格式填写）。</w:t>
      </w:r>
    </w:p>
    <w:p>
      <w:pPr>
        <w:pStyle w:val="7"/>
        <w:keepNext w:val="0"/>
        <w:keepLines w:val="0"/>
        <w:spacing w:before="0" w:after="0" w:line="360" w:lineRule="auto"/>
        <w:ind w:left="420" w:leftChars="200"/>
        <w:rPr>
          <w:rFonts w:ascii="宋体" w:hAnsi="宋体" w:cs="宋体"/>
          <w:color w:val="000000"/>
          <w:sz w:val="24"/>
        </w:rPr>
      </w:pPr>
      <w:bookmarkStart w:id="186" w:name="_5.投标费用"/>
      <w:bookmarkEnd w:id="186"/>
      <w:bookmarkStart w:id="187" w:name="_Toc254970672"/>
      <w:bookmarkStart w:id="188" w:name="_Toc254970531"/>
      <w:r>
        <w:rPr>
          <w:rFonts w:hint="eastAsia" w:ascii="宋体" w:hAnsi="宋体" w:cs="宋体"/>
          <w:color w:val="000000"/>
          <w:sz w:val="24"/>
        </w:rPr>
        <w:t>5.投标费用</w:t>
      </w:r>
      <w:bookmarkEnd w:id="187"/>
      <w:bookmarkEnd w:id="188"/>
    </w:p>
    <w:p>
      <w:pPr>
        <w:snapToGri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投标费用：投标人应承担参与本次采购活动有关的所有费用，包括但不限于获取招标文件、勘查现场、编制和提交投标文件、参加澄清说明、签订合同等，不论投标结果如何，均应自行承担。</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6.联合体投标</w:t>
      </w:r>
    </w:p>
    <w:p>
      <w:pPr>
        <w:snapToGri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6.1本项目是否接受联合体投标，详见“投标人须知前附表”。</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 xml:space="preserve">7.转包与分包             </w:t>
      </w:r>
    </w:p>
    <w:p>
      <w:pPr>
        <w:pStyle w:val="7"/>
        <w:keepNext w:val="0"/>
        <w:keepLines w:val="0"/>
        <w:spacing w:before="0" w:after="0" w:line="360" w:lineRule="auto"/>
        <w:ind w:left="420" w:leftChars="200"/>
        <w:rPr>
          <w:rFonts w:ascii="宋体" w:hAnsi="宋体" w:cs="宋体"/>
          <w:b w:val="0"/>
          <w:color w:val="000000"/>
          <w:sz w:val="21"/>
          <w:szCs w:val="21"/>
        </w:rPr>
      </w:pPr>
      <w:bookmarkStart w:id="189" w:name="_Toc254970673"/>
      <w:bookmarkStart w:id="190" w:name="_Toc254970532"/>
      <w:r>
        <w:rPr>
          <w:rFonts w:hint="eastAsia" w:ascii="宋体" w:hAnsi="宋体" w:cs="宋体"/>
          <w:b w:val="0"/>
          <w:color w:val="000000"/>
          <w:sz w:val="21"/>
          <w:szCs w:val="21"/>
        </w:rPr>
        <w:t>7.1本项目不允许转包。</w:t>
      </w:r>
    </w:p>
    <w:p>
      <w:pPr>
        <w:pStyle w:val="7"/>
        <w:keepNext w:val="0"/>
        <w:keepLines w:val="0"/>
        <w:spacing w:before="0" w:after="0" w:line="360" w:lineRule="auto"/>
        <w:ind w:firstLine="315" w:firstLineChars="150"/>
        <w:rPr>
          <w:rFonts w:ascii="宋体" w:hAnsi="宋体" w:cs="宋体"/>
          <w:b w:val="0"/>
          <w:color w:val="000000"/>
          <w:sz w:val="21"/>
          <w:szCs w:val="21"/>
        </w:rPr>
      </w:pPr>
      <w:r>
        <w:rPr>
          <w:rFonts w:hint="eastAsia" w:ascii="宋体" w:hAnsi="宋体" w:cs="宋体"/>
          <w:b w:val="0"/>
          <w:color w:val="000000"/>
          <w:sz w:val="21"/>
          <w:szCs w:val="21"/>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pPr>
        <w:pStyle w:val="7"/>
        <w:keepNext w:val="0"/>
        <w:keepLines w:val="0"/>
        <w:spacing w:before="0" w:after="0" w:line="360" w:lineRule="auto"/>
        <w:ind w:firstLine="315" w:firstLineChars="150"/>
        <w:rPr>
          <w:rFonts w:ascii="宋体" w:hAnsi="宋体" w:cs="宋体"/>
          <w:b w:val="0"/>
          <w:color w:val="000000"/>
          <w:sz w:val="21"/>
          <w:szCs w:val="21"/>
        </w:rPr>
      </w:pPr>
      <w:r>
        <w:rPr>
          <w:rFonts w:hint="eastAsia" w:ascii="宋体" w:hAnsi="宋体" w:cs="宋体"/>
          <w:b w:val="0"/>
          <w:color w:val="000000"/>
          <w:sz w:val="21"/>
          <w:szCs w:val="21"/>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8.特别说明</w:t>
      </w:r>
      <w:bookmarkEnd w:id="189"/>
      <w:bookmarkEnd w:id="190"/>
    </w:p>
    <w:p>
      <w:pPr>
        <w:pStyle w:val="7"/>
        <w:keepNext w:val="0"/>
        <w:keepLines w:val="0"/>
        <w:spacing w:before="0" w:after="0" w:line="360" w:lineRule="auto"/>
        <w:ind w:firstLine="367" w:firstLineChars="175"/>
        <w:rPr>
          <w:rFonts w:ascii="宋体" w:hAnsi="宋体" w:cs="宋体"/>
          <w:b w:val="0"/>
          <w:color w:val="000000"/>
          <w:sz w:val="21"/>
          <w:szCs w:val="21"/>
        </w:rPr>
      </w:pPr>
      <w:r>
        <w:rPr>
          <w:rFonts w:hint="eastAsia" w:ascii="宋体" w:hAnsi="宋体" w:cs="宋体"/>
          <w:b w:val="0"/>
          <w:color w:val="000000"/>
          <w:sz w:val="21"/>
          <w:szCs w:val="21"/>
        </w:rPr>
        <w:t>8.1如果本招标文件要求提供投标人或制造商的资格、信誉、荣誉、业绩与企业认证等材料的，资格、信誉、荣誉、业绩与企业认证等必须为投标人或者制造商所拥有或自身获得 。</w:t>
      </w:r>
    </w:p>
    <w:p>
      <w:pPr>
        <w:pStyle w:val="7"/>
        <w:keepNext w:val="0"/>
        <w:keepLines w:val="0"/>
        <w:spacing w:before="0" w:after="0" w:line="360" w:lineRule="auto"/>
        <w:ind w:firstLine="367" w:firstLineChars="175"/>
        <w:rPr>
          <w:rFonts w:ascii="宋体" w:hAnsi="宋体" w:cs="宋体"/>
          <w:b w:val="0"/>
          <w:color w:val="000000"/>
          <w:sz w:val="21"/>
          <w:szCs w:val="21"/>
        </w:rPr>
      </w:pPr>
      <w:r>
        <w:rPr>
          <w:rFonts w:hint="eastAsia" w:ascii="宋体" w:hAnsi="宋体" w:cs="宋体"/>
          <w:b w:val="0"/>
          <w:color w:val="000000"/>
          <w:sz w:val="21"/>
          <w:szCs w:val="21"/>
        </w:rPr>
        <w:t>8.2投标人应仔细阅读招标文件的所有内容，按照招标文件的要求提交投标文件，并对所提供的全部资料的真实性承担法律责任。</w:t>
      </w:r>
    </w:p>
    <w:p>
      <w:pPr>
        <w:pStyle w:val="7"/>
        <w:keepNext w:val="0"/>
        <w:keepLines w:val="0"/>
        <w:spacing w:before="0" w:after="0" w:line="360" w:lineRule="auto"/>
        <w:ind w:firstLine="367" w:firstLineChars="175"/>
        <w:rPr>
          <w:rFonts w:ascii="宋体" w:hAnsi="宋体" w:cs="宋体"/>
          <w:b w:val="0"/>
          <w:color w:val="000000"/>
          <w:sz w:val="21"/>
          <w:szCs w:val="21"/>
        </w:rPr>
      </w:pPr>
      <w:r>
        <w:rPr>
          <w:rFonts w:hint="eastAsia" w:ascii="宋体" w:hAnsi="宋体" w:cs="宋体"/>
          <w:b w:val="0"/>
          <w:color w:val="000000"/>
          <w:sz w:val="21"/>
          <w:szCs w:val="21"/>
        </w:rPr>
        <w:t>8.3投标人在投标活动中提供任何虚假材料，将报监管部门查处；中标后发现的，中标人须依照《中华人民共和国消费者权益保护法》规定赔偿采购人，且民事赔偿并不免除违法投标人的行政与刑事责任。</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9.回避与串通投标</w:t>
      </w:r>
    </w:p>
    <w:p>
      <w:pPr>
        <w:pStyle w:val="7"/>
        <w:keepNext w:val="0"/>
        <w:keepLines w:val="0"/>
        <w:spacing w:before="0" w:after="0" w:line="360" w:lineRule="auto"/>
        <w:ind w:firstLine="367" w:firstLineChars="175"/>
        <w:rPr>
          <w:rFonts w:ascii="宋体" w:hAnsi="宋体" w:cs="宋体"/>
          <w:b w:val="0"/>
          <w:color w:val="000000"/>
          <w:sz w:val="21"/>
          <w:szCs w:val="21"/>
        </w:rPr>
      </w:pPr>
      <w:r>
        <w:rPr>
          <w:rFonts w:hint="eastAsia" w:ascii="宋体" w:hAnsi="宋体" w:cs="宋体"/>
          <w:b w:val="0"/>
          <w:color w:val="000000"/>
          <w:sz w:val="21"/>
          <w:szCs w:val="21"/>
        </w:rPr>
        <w:t>9.1在政府采购活动中，采购人员及相关人员与供应商有下列利害关系之一的，应当回避：</w:t>
      </w:r>
    </w:p>
    <w:p>
      <w:pPr>
        <w:pStyle w:val="24"/>
        <w:snapToGrid w:val="0"/>
        <w:spacing w:line="360" w:lineRule="auto"/>
        <w:ind w:left="2" w:leftChars="1" w:firstLine="420" w:firstLineChars="200"/>
        <w:rPr>
          <w:rFonts w:hAnsi="宋体" w:cs="宋体"/>
          <w:color w:val="000000"/>
          <w:kern w:val="2"/>
          <w:sz w:val="21"/>
        </w:rPr>
      </w:pPr>
      <w:r>
        <w:rPr>
          <w:rFonts w:hint="eastAsia" w:hAnsi="宋体" w:cs="宋体"/>
          <w:color w:val="000000"/>
          <w:kern w:val="2"/>
          <w:sz w:val="21"/>
        </w:rPr>
        <w:t>（1）参加采购活动前3年内与供应商存在劳动关系；</w:t>
      </w:r>
    </w:p>
    <w:p>
      <w:pPr>
        <w:pStyle w:val="24"/>
        <w:snapToGrid w:val="0"/>
        <w:spacing w:line="360" w:lineRule="auto"/>
        <w:ind w:left="2" w:leftChars="1" w:firstLine="420" w:firstLineChars="200"/>
        <w:rPr>
          <w:rFonts w:hAnsi="宋体" w:cs="宋体"/>
          <w:color w:val="000000"/>
          <w:kern w:val="2"/>
          <w:sz w:val="21"/>
        </w:rPr>
      </w:pPr>
      <w:r>
        <w:rPr>
          <w:rFonts w:hint="eastAsia" w:hAnsi="宋体" w:cs="宋体"/>
          <w:color w:val="000000"/>
          <w:kern w:val="2"/>
          <w:sz w:val="21"/>
        </w:rPr>
        <w:t>（2）参加采购活动前3年内担任供应商的董事、监事；</w:t>
      </w:r>
    </w:p>
    <w:p>
      <w:pPr>
        <w:pStyle w:val="24"/>
        <w:snapToGrid w:val="0"/>
        <w:spacing w:line="360" w:lineRule="auto"/>
        <w:ind w:left="2" w:leftChars="1" w:firstLine="420" w:firstLineChars="200"/>
        <w:rPr>
          <w:rFonts w:hAnsi="宋体" w:cs="宋体"/>
          <w:color w:val="000000"/>
          <w:kern w:val="2"/>
          <w:sz w:val="21"/>
        </w:rPr>
      </w:pPr>
      <w:r>
        <w:rPr>
          <w:rFonts w:hint="eastAsia" w:hAnsi="宋体" w:cs="宋体"/>
          <w:color w:val="000000"/>
          <w:kern w:val="2"/>
          <w:sz w:val="21"/>
        </w:rPr>
        <w:t>（3）参加采购活动前3年内是供应商的控股股东或者实际控制人；</w:t>
      </w:r>
    </w:p>
    <w:p>
      <w:pPr>
        <w:pStyle w:val="24"/>
        <w:snapToGrid w:val="0"/>
        <w:spacing w:line="360" w:lineRule="auto"/>
        <w:ind w:left="2" w:leftChars="1" w:firstLine="420" w:firstLineChars="200"/>
        <w:rPr>
          <w:rFonts w:hAnsi="宋体" w:cs="宋体"/>
          <w:color w:val="000000"/>
          <w:kern w:val="2"/>
          <w:sz w:val="21"/>
        </w:rPr>
      </w:pPr>
      <w:r>
        <w:rPr>
          <w:rFonts w:hint="eastAsia" w:hAnsi="宋体" w:cs="宋体"/>
          <w:color w:val="000000"/>
          <w:kern w:val="2"/>
          <w:sz w:val="21"/>
        </w:rPr>
        <w:t>（4）与供应商的法定代表人或者负责人有夫妻、直系血亲、三代以内旁系血亲或者近姻亲关系；</w:t>
      </w:r>
    </w:p>
    <w:p>
      <w:pPr>
        <w:pStyle w:val="24"/>
        <w:snapToGrid w:val="0"/>
        <w:spacing w:line="360" w:lineRule="auto"/>
        <w:ind w:left="2" w:leftChars="1" w:firstLine="420" w:firstLineChars="200"/>
        <w:rPr>
          <w:rFonts w:hAnsi="宋体" w:cs="宋体"/>
          <w:color w:val="000000"/>
          <w:kern w:val="2"/>
          <w:sz w:val="21"/>
        </w:rPr>
      </w:pPr>
      <w:r>
        <w:rPr>
          <w:rFonts w:hint="eastAsia" w:hAnsi="宋体" w:cs="宋体"/>
          <w:color w:val="000000"/>
          <w:kern w:val="2"/>
          <w:sz w:val="21"/>
        </w:rPr>
        <w:t>（5）与供应商有其他可能影响政府采购活动公平、公正进行的关系。</w:t>
      </w:r>
    </w:p>
    <w:p>
      <w:pPr>
        <w:pStyle w:val="24"/>
        <w:snapToGrid w:val="0"/>
        <w:spacing w:line="360" w:lineRule="auto"/>
        <w:ind w:left="2" w:leftChars="1" w:firstLine="420" w:firstLineChars="200"/>
        <w:rPr>
          <w:rFonts w:hAnsi="宋体" w:cs="宋体"/>
          <w:color w:val="000000"/>
          <w:kern w:val="2"/>
          <w:sz w:val="21"/>
        </w:rPr>
      </w:pPr>
      <w:r>
        <w:rPr>
          <w:rFonts w:hint="eastAsia" w:hAnsi="宋体" w:cs="宋体"/>
          <w:color w:val="000000"/>
          <w:kern w:val="2"/>
          <w:sz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7"/>
        <w:keepNext w:val="0"/>
        <w:keepLines w:val="0"/>
        <w:spacing w:before="0" w:after="0" w:line="360" w:lineRule="auto"/>
        <w:ind w:left="420" w:leftChars="200"/>
        <w:rPr>
          <w:rFonts w:ascii="宋体" w:hAnsi="宋体" w:cs="宋体"/>
          <w:color w:val="000000"/>
          <w:sz w:val="21"/>
          <w:szCs w:val="21"/>
        </w:rPr>
      </w:pPr>
      <w:r>
        <w:rPr>
          <w:rFonts w:hint="eastAsia" w:ascii="宋体" w:hAnsi="宋体" w:cs="宋体"/>
          <w:color w:val="000000"/>
          <w:sz w:val="21"/>
          <w:szCs w:val="21"/>
        </w:rPr>
        <w:t>9.2有下列情形之一的视为投标人相互串通投标，投标文件将被视为无效：</w:t>
      </w:r>
    </w:p>
    <w:p>
      <w:pPr>
        <w:pStyle w:val="24"/>
        <w:snapToGrid w:val="0"/>
        <w:spacing w:line="360" w:lineRule="auto"/>
        <w:ind w:left="2" w:leftChars="1" w:firstLine="422" w:firstLineChars="200"/>
        <w:rPr>
          <w:rFonts w:hAnsi="宋体" w:cs="宋体"/>
          <w:b/>
          <w:color w:val="000000"/>
          <w:kern w:val="2"/>
          <w:sz w:val="21"/>
        </w:rPr>
      </w:pPr>
      <w:r>
        <w:rPr>
          <w:rFonts w:hint="eastAsia" w:hAnsi="宋体" w:cs="宋体"/>
          <w:b/>
          <w:color w:val="000000"/>
          <w:kern w:val="2"/>
          <w:sz w:val="21"/>
        </w:rPr>
        <w:t xml:space="preserve">（1）不同投标人的投标文件由同一单位或者个人编制； </w:t>
      </w:r>
    </w:p>
    <w:p>
      <w:pPr>
        <w:pStyle w:val="24"/>
        <w:snapToGrid w:val="0"/>
        <w:spacing w:line="360" w:lineRule="auto"/>
        <w:ind w:left="2" w:leftChars="1" w:firstLine="422" w:firstLineChars="200"/>
        <w:rPr>
          <w:rFonts w:hAnsi="宋体" w:cs="宋体"/>
          <w:b/>
          <w:color w:val="000000"/>
          <w:kern w:val="2"/>
          <w:sz w:val="21"/>
        </w:rPr>
      </w:pPr>
      <w:r>
        <w:rPr>
          <w:rFonts w:hint="eastAsia" w:hAnsi="宋体" w:cs="宋体"/>
          <w:b/>
          <w:color w:val="000000"/>
          <w:kern w:val="2"/>
          <w:sz w:val="21"/>
        </w:rPr>
        <w:t>（2）不同投标人委托同一单位或者个人办理投标事宜；</w:t>
      </w:r>
    </w:p>
    <w:p>
      <w:pPr>
        <w:pStyle w:val="24"/>
        <w:snapToGrid w:val="0"/>
        <w:spacing w:line="360" w:lineRule="auto"/>
        <w:ind w:left="2" w:leftChars="1" w:firstLine="422" w:firstLineChars="200"/>
        <w:rPr>
          <w:rFonts w:hAnsi="宋体" w:cs="宋体"/>
          <w:b/>
          <w:color w:val="000000"/>
          <w:kern w:val="2"/>
          <w:sz w:val="21"/>
        </w:rPr>
      </w:pPr>
      <w:r>
        <w:rPr>
          <w:rFonts w:hint="eastAsia" w:hAnsi="宋体" w:cs="宋体"/>
          <w:b/>
          <w:color w:val="000000"/>
          <w:kern w:val="2"/>
          <w:sz w:val="21"/>
        </w:rPr>
        <w:t>（3）不同的投标人的投标文件载明的项目管理员为同一个人；</w:t>
      </w:r>
    </w:p>
    <w:p>
      <w:pPr>
        <w:pStyle w:val="24"/>
        <w:snapToGrid w:val="0"/>
        <w:spacing w:line="360" w:lineRule="auto"/>
        <w:ind w:left="2" w:leftChars="1" w:firstLine="422" w:firstLineChars="200"/>
        <w:rPr>
          <w:rFonts w:hAnsi="宋体" w:cs="宋体"/>
          <w:b/>
          <w:color w:val="000000"/>
          <w:kern w:val="2"/>
          <w:sz w:val="21"/>
        </w:rPr>
      </w:pPr>
      <w:r>
        <w:rPr>
          <w:rFonts w:hint="eastAsia" w:hAnsi="宋体" w:cs="宋体"/>
          <w:b/>
          <w:color w:val="000000"/>
          <w:kern w:val="2"/>
          <w:sz w:val="21"/>
        </w:rPr>
        <w:t>（4）不同投标人的投标文件异常一致或者投标报价呈规律性差异；</w:t>
      </w:r>
    </w:p>
    <w:p>
      <w:pPr>
        <w:pStyle w:val="24"/>
        <w:snapToGrid w:val="0"/>
        <w:spacing w:line="360" w:lineRule="auto"/>
        <w:ind w:left="2" w:leftChars="1" w:firstLine="422" w:firstLineChars="200"/>
        <w:rPr>
          <w:rFonts w:hAnsi="宋体" w:cs="宋体"/>
          <w:b/>
          <w:color w:val="000000"/>
          <w:kern w:val="2"/>
          <w:sz w:val="21"/>
        </w:rPr>
      </w:pPr>
      <w:r>
        <w:rPr>
          <w:rFonts w:hint="eastAsia" w:hAnsi="宋体" w:cs="宋体"/>
          <w:b/>
          <w:color w:val="000000"/>
          <w:kern w:val="2"/>
          <w:sz w:val="21"/>
        </w:rPr>
        <w:t>（5）不同投标人的投标文件相互混装；</w:t>
      </w:r>
    </w:p>
    <w:p>
      <w:pPr>
        <w:pStyle w:val="24"/>
        <w:snapToGrid w:val="0"/>
        <w:spacing w:line="360" w:lineRule="auto"/>
        <w:ind w:left="2" w:leftChars="1" w:firstLine="422" w:firstLineChars="200"/>
        <w:rPr>
          <w:rFonts w:hAnsi="宋体" w:cs="宋体"/>
          <w:b/>
          <w:color w:val="000000"/>
          <w:kern w:val="2"/>
          <w:sz w:val="21"/>
        </w:rPr>
      </w:pPr>
      <w:r>
        <w:rPr>
          <w:rFonts w:hint="eastAsia" w:hAnsi="宋体" w:cs="宋体"/>
          <w:b/>
          <w:color w:val="000000"/>
          <w:kern w:val="2"/>
          <w:sz w:val="21"/>
        </w:rPr>
        <w:t>（6）不同投标人的投标保证金从同一单位或者个人账户转出。</w:t>
      </w:r>
    </w:p>
    <w:p>
      <w:pPr>
        <w:pStyle w:val="7"/>
        <w:keepNext w:val="0"/>
        <w:keepLines w:val="0"/>
        <w:spacing w:before="0" w:after="0" w:line="360" w:lineRule="auto"/>
        <w:ind w:left="420" w:leftChars="200"/>
        <w:rPr>
          <w:rFonts w:ascii="宋体" w:hAnsi="宋体" w:cs="宋体"/>
          <w:b w:val="0"/>
          <w:color w:val="000000"/>
          <w:sz w:val="21"/>
          <w:szCs w:val="21"/>
        </w:rPr>
      </w:pPr>
      <w:r>
        <w:rPr>
          <w:rFonts w:hint="eastAsia" w:ascii="宋体" w:hAnsi="宋体" w:cs="宋体"/>
          <w:b w:val="0"/>
          <w:color w:val="000000"/>
          <w:sz w:val="21"/>
          <w:szCs w:val="21"/>
        </w:rPr>
        <w:t>9.3供应商有下列情形之一的，属于恶意串通行为，将报同级监督管理部门：</w:t>
      </w:r>
    </w:p>
    <w:p>
      <w:pPr>
        <w:pStyle w:val="24"/>
        <w:snapToGrid w:val="0"/>
        <w:spacing w:line="360" w:lineRule="auto"/>
        <w:ind w:left="2" w:leftChars="1" w:firstLine="420" w:firstLineChars="200"/>
        <w:rPr>
          <w:rFonts w:hAnsi="宋体" w:cs="宋体"/>
          <w:color w:val="000000"/>
          <w:kern w:val="2"/>
          <w:sz w:val="21"/>
        </w:rPr>
      </w:pPr>
      <w:r>
        <w:rPr>
          <w:rFonts w:hint="eastAsia" w:hAnsi="宋体" w:cs="宋体"/>
          <w:color w:val="000000"/>
          <w:kern w:val="2"/>
          <w:sz w:val="21"/>
        </w:rPr>
        <w:t>（1）供应商直接或者间接从采购人或者采购代理机构处获得其他供应商的相关信息并修改其投标文件或者响应文件；</w:t>
      </w:r>
    </w:p>
    <w:p>
      <w:pPr>
        <w:pStyle w:val="24"/>
        <w:snapToGrid w:val="0"/>
        <w:spacing w:line="360" w:lineRule="auto"/>
        <w:ind w:left="2" w:leftChars="1" w:firstLine="420" w:firstLineChars="200"/>
        <w:rPr>
          <w:rFonts w:hAnsi="宋体" w:cs="宋体"/>
          <w:color w:val="000000"/>
          <w:kern w:val="2"/>
          <w:sz w:val="21"/>
        </w:rPr>
      </w:pPr>
      <w:r>
        <w:rPr>
          <w:rFonts w:hint="eastAsia" w:hAnsi="宋体" w:cs="宋体"/>
          <w:color w:val="000000"/>
          <w:kern w:val="2"/>
          <w:sz w:val="21"/>
        </w:rPr>
        <w:t>（2）供应商按照采购人或者采购代理机构的授意撤换、修改投标文件或者响应文件；</w:t>
      </w:r>
    </w:p>
    <w:p>
      <w:pPr>
        <w:pStyle w:val="24"/>
        <w:snapToGrid w:val="0"/>
        <w:spacing w:line="360" w:lineRule="auto"/>
        <w:ind w:left="2" w:leftChars="1" w:firstLine="420" w:firstLineChars="200"/>
        <w:rPr>
          <w:rFonts w:hAnsi="宋体" w:cs="宋体"/>
          <w:color w:val="000000"/>
          <w:kern w:val="2"/>
          <w:sz w:val="21"/>
        </w:rPr>
      </w:pPr>
      <w:r>
        <w:rPr>
          <w:rFonts w:hint="eastAsia" w:hAnsi="宋体" w:cs="宋体"/>
          <w:color w:val="000000"/>
          <w:kern w:val="2"/>
          <w:sz w:val="21"/>
        </w:rPr>
        <w:t>（3）供应商之间协商报价、技术方案等投标文件或者响应文件的实质性内容；</w:t>
      </w:r>
    </w:p>
    <w:p>
      <w:pPr>
        <w:pStyle w:val="24"/>
        <w:snapToGrid w:val="0"/>
        <w:spacing w:line="360" w:lineRule="auto"/>
        <w:ind w:left="2" w:leftChars="1" w:firstLine="420" w:firstLineChars="200"/>
        <w:rPr>
          <w:rFonts w:hAnsi="宋体" w:cs="宋体"/>
          <w:color w:val="000000"/>
          <w:kern w:val="2"/>
          <w:sz w:val="21"/>
        </w:rPr>
      </w:pPr>
      <w:r>
        <w:rPr>
          <w:rFonts w:hint="eastAsia" w:hAnsi="宋体" w:cs="宋体"/>
          <w:color w:val="000000"/>
          <w:kern w:val="2"/>
          <w:sz w:val="21"/>
        </w:rPr>
        <w:t>（4）属于同一集团、协会、商会等组织成员的供应商按照该组织要求协同参加政府采购活动；</w:t>
      </w:r>
    </w:p>
    <w:p>
      <w:pPr>
        <w:pStyle w:val="24"/>
        <w:snapToGrid w:val="0"/>
        <w:spacing w:line="360" w:lineRule="auto"/>
        <w:ind w:left="2" w:leftChars="1" w:firstLine="420" w:firstLineChars="200"/>
        <w:rPr>
          <w:rFonts w:hAnsi="宋体" w:cs="宋体"/>
          <w:color w:val="000000"/>
          <w:kern w:val="2"/>
          <w:sz w:val="21"/>
        </w:rPr>
      </w:pPr>
      <w:r>
        <w:rPr>
          <w:rFonts w:hint="eastAsia" w:hAnsi="宋体" w:cs="宋体"/>
          <w:color w:val="000000"/>
          <w:kern w:val="2"/>
          <w:sz w:val="21"/>
        </w:rPr>
        <w:t>（5）供应商之间事先约定一致抬高或者压低投标报价，或者在招标项目中事先约定轮流以高价位或者低价位中标，或者事先约定由某一特定供应商中标，然后再参加投标；</w:t>
      </w:r>
    </w:p>
    <w:p>
      <w:pPr>
        <w:pStyle w:val="24"/>
        <w:snapToGrid w:val="0"/>
        <w:spacing w:line="360" w:lineRule="auto"/>
        <w:ind w:left="2" w:leftChars="1" w:firstLine="420" w:firstLineChars="200"/>
        <w:rPr>
          <w:rFonts w:hAnsi="宋体" w:cs="宋体"/>
          <w:color w:val="000000"/>
          <w:kern w:val="2"/>
          <w:sz w:val="21"/>
        </w:rPr>
      </w:pPr>
      <w:r>
        <w:rPr>
          <w:rFonts w:hint="eastAsia" w:hAnsi="宋体" w:cs="宋体"/>
          <w:color w:val="000000"/>
          <w:kern w:val="2"/>
          <w:sz w:val="21"/>
        </w:rPr>
        <w:t>（6）供应商之间商定部分供应商放弃参加政府采购活动或者放弃中标；</w:t>
      </w:r>
    </w:p>
    <w:p>
      <w:pPr>
        <w:pStyle w:val="24"/>
        <w:snapToGrid w:val="0"/>
        <w:spacing w:line="360" w:lineRule="auto"/>
        <w:ind w:left="2" w:leftChars="1" w:firstLine="420" w:firstLineChars="200"/>
        <w:rPr>
          <w:rFonts w:hAnsi="宋体" w:cs="宋体"/>
          <w:color w:val="000000"/>
          <w:kern w:val="2"/>
          <w:sz w:val="21"/>
        </w:rPr>
      </w:pPr>
      <w:r>
        <w:rPr>
          <w:rFonts w:hint="eastAsia" w:hAnsi="宋体" w:cs="宋体"/>
          <w:color w:val="000000"/>
          <w:kern w:val="2"/>
          <w:sz w:val="21"/>
        </w:rPr>
        <w:t>（7）供应商与采购人或者采购代理机构之间、供应商相互之间，为谋求特定供应商中标或者排斥其他供应商的其他串通行为。</w:t>
      </w:r>
    </w:p>
    <w:p>
      <w:pPr>
        <w:pStyle w:val="5"/>
        <w:keepNext w:val="0"/>
        <w:keepLines w:val="0"/>
        <w:spacing w:before="100" w:after="60" w:line="415" w:lineRule="auto"/>
        <w:jc w:val="center"/>
        <w:rPr>
          <w:rFonts w:ascii="宋体" w:hAnsi="宋体" w:cs="宋体"/>
          <w:color w:val="000000"/>
        </w:rPr>
      </w:pPr>
      <w:bookmarkStart w:id="191" w:name="_Toc254970534"/>
      <w:bookmarkStart w:id="192" w:name="_Toc254970675"/>
      <w:r>
        <w:rPr>
          <w:rFonts w:hint="eastAsia" w:ascii="宋体" w:hAnsi="宋体" w:cs="宋体"/>
          <w:color w:val="000000"/>
        </w:rPr>
        <w:t>二、招标文件</w:t>
      </w:r>
      <w:bookmarkEnd w:id="191"/>
      <w:bookmarkEnd w:id="192"/>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10.招标文件的组成</w:t>
      </w:r>
    </w:p>
    <w:p>
      <w:pPr>
        <w:snapToGrid w:val="0"/>
        <w:spacing w:line="360" w:lineRule="auto"/>
        <w:ind w:firstLine="420"/>
        <w:jc w:val="left"/>
        <w:rPr>
          <w:rFonts w:ascii="宋体" w:hAnsi="宋体" w:cs="宋体"/>
          <w:color w:val="000000"/>
          <w:szCs w:val="21"/>
        </w:rPr>
      </w:pPr>
      <w:r>
        <w:rPr>
          <w:rFonts w:hint="eastAsia" w:ascii="宋体" w:hAnsi="宋体" w:cs="宋体"/>
          <w:color w:val="000000"/>
          <w:szCs w:val="21"/>
        </w:rPr>
        <w:t>（1）招标公告；</w:t>
      </w:r>
    </w:p>
    <w:p>
      <w:pPr>
        <w:snapToGrid w:val="0"/>
        <w:spacing w:line="360" w:lineRule="auto"/>
        <w:ind w:firstLine="420"/>
        <w:jc w:val="left"/>
        <w:rPr>
          <w:rFonts w:ascii="宋体" w:hAnsi="宋体" w:cs="宋体"/>
          <w:color w:val="000000"/>
          <w:szCs w:val="21"/>
        </w:rPr>
      </w:pPr>
      <w:r>
        <w:rPr>
          <w:rFonts w:hint="eastAsia" w:ascii="宋体" w:hAnsi="宋体" w:cs="宋体"/>
          <w:color w:val="000000"/>
          <w:szCs w:val="21"/>
        </w:rPr>
        <w:t xml:space="preserve">（2）采购需求； </w:t>
      </w:r>
    </w:p>
    <w:p>
      <w:pPr>
        <w:snapToGrid w:val="0"/>
        <w:spacing w:line="360" w:lineRule="auto"/>
        <w:ind w:firstLine="420"/>
        <w:jc w:val="left"/>
        <w:rPr>
          <w:rFonts w:ascii="宋体" w:hAnsi="宋体" w:cs="宋体"/>
          <w:color w:val="000000"/>
          <w:szCs w:val="21"/>
        </w:rPr>
      </w:pPr>
      <w:r>
        <w:rPr>
          <w:rFonts w:hint="eastAsia" w:ascii="宋体" w:hAnsi="宋体" w:cs="宋体"/>
          <w:color w:val="000000"/>
          <w:szCs w:val="21"/>
        </w:rPr>
        <w:t>（3）投标人须知；</w:t>
      </w:r>
    </w:p>
    <w:p>
      <w:pPr>
        <w:snapToGrid w:val="0"/>
        <w:spacing w:line="360" w:lineRule="auto"/>
        <w:ind w:firstLine="420"/>
        <w:jc w:val="left"/>
        <w:rPr>
          <w:rFonts w:ascii="宋体" w:hAnsi="宋体" w:cs="宋体"/>
          <w:color w:val="000000"/>
          <w:szCs w:val="21"/>
        </w:rPr>
      </w:pPr>
      <w:r>
        <w:rPr>
          <w:rFonts w:hint="eastAsia" w:ascii="宋体" w:hAnsi="宋体" w:cs="宋体"/>
          <w:color w:val="000000"/>
          <w:szCs w:val="21"/>
        </w:rPr>
        <w:t>（4）评标方法及评标标准；</w:t>
      </w:r>
    </w:p>
    <w:p>
      <w:pPr>
        <w:snapToGrid w:val="0"/>
        <w:spacing w:line="360" w:lineRule="auto"/>
        <w:ind w:firstLine="420"/>
        <w:jc w:val="left"/>
        <w:rPr>
          <w:rFonts w:ascii="宋体" w:hAnsi="宋体" w:cs="宋体"/>
          <w:color w:val="000000"/>
          <w:szCs w:val="21"/>
        </w:rPr>
      </w:pPr>
      <w:r>
        <w:rPr>
          <w:rFonts w:hint="eastAsia" w:ascii="宋体" w:hAnsi="宋体" w:cs="宋体"/>
          <w:color w:val="000000"/>
          <w:szCs w:val="21"/>
        </w:rPr>
        <w:t>（5）拟签订的合同文本；</w:t>
      </w:r>
    </w:p>
    <w:p>
      <w:pPr>
        <w:snapToGrid w:val="0"/>
        <w:spacing w:line="360" w:lineRule="auto"/>
        <w:ind w:firstLine="420"/>
        <w:jc w:val="left"/>
        <w:rPr>
          <w:rFonts w:ascii="宋体" w:hAnsi="宋体" w:cs="宋体"/>
          <w:color w:val="000000"/>
          <w:szCs w:val="21"/>
        </w:rPr>
      </w:pPr>
      <w:r>
        <w:rPr>
          <w:rFonts w:hint="eastAsia" w:ascii="宋体" w:hAnsi="宋体" w:cs="宋体"/>
          <w:color w:val="000000"/>
          <w:szCs w:val="21"/>
        </w:rPr>
        <w:t>（6）投标文件格式。</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11.招标文件的澄清、修改 、现场考察和答疑会</w:t>
      </w:r>
    </w:p>
    <w:p>
      <w:pPr>
        <w:pStyle w:val="7"/>
        <w:keepNext w:val="0"/>
        <w:keepLines w:val="0"/>
        <w:spacing w:before="0" w:after="0" w:line="360" w:lineRule="auto"/>
        <w:ind w:firstLine="315" w:firstLineChars="150"/>
        <w:rPr>
          <w:rFonts w:ascii="宋体" w:hAnsi="宋体" w:cs="宋体"/>
          <w:b w:val="0"/>
          <w:color w:val="000000"/>
          <w:sz w:val="21"/>
          <w:szCs w:val="21"/>
        </w:rPr>
      </w:pPr>
      <w:r>
        <w:rPr>
          <w:rFonts w:hint="eastAsia" w:ascii="宋体" w:hAnsi="宋体" w:cs="宋体"/>
          <w:b w:val="0"/>
          <w:color w:val="000000"/>
          <w:sz w:val="21"/>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11.2</w:t>
      </w:r>
      <w:bookmarkStart w:id="193" w:name="_Hlk53134511"/>
      <w:r>
        <w:rPr>
          <w:rFonts w:hint="eastAsia" w:hAnsi="宋体" w:cs="宋体"/>
          <w:color w:val="000000"/>
          <w:sz w:val="21"/>
        </w:rPr>
        <w:t>采购人或者采购代理机构可以在招标文件提供期限截止后，组织已获取招标文件的潜在投标人现场考察或者召开开标前答疑会，具体详见“投标人须知前附表”。</w:t>
      </w:r>
    </w:p>
    <w:bookmarkEnd w:id="193"/>
    <w:p>
      <w:pPr>
        <w:pStyle w:val="5"/>
        <w:keepNext w:val="0"/>
        <w:keepLines w:val="0"/>
        <w:spacing w:before="100" w:after="60" w:line="415" w:lineRule="auto"/>
        <w:jc w:val="center"/>
        <w:rPr>
          <w:rFonts w:ascii="宋体" w:hAnsi="宋体" w:cs="宋体"/>
          <w:color w:val="000000"/>
        </w:rPr>
      </w:pPr>
      <w:bookmarkStart w:id="194" w:name="_Toc254970676"/>
      <w:bookmarkStart w:id="195" w:name="_Toc254970535"/>
      <w:r>
        <w:rPr>
          <w:rFonts w:hint="eastAsia" w:ascii="宋体" w:hAnsi="宋体" w:cs="宋体"/>
          <w:color w:val="000000"/>
        </w:rPr>
        <w:t>三、投标文件的编制</w:t>
      </w:r>
      <w:bookmarkEnd w:id="194"/>
      <w:bookmarkEnd w:id="195"/>
    </w:p>
    <w:p>
      <w:pPr>
        <w:pStyle w:val="7"/>
        <w:keepNext w:val="0"/>
        <w:keepLines w:val="0"/>
        <w:spacing w:before="0" w:after="0" w:line="360" w:lineRule="auto"/>
        <w:ind w:left="420" w:leftChars="200"/>
        <w:rPr>
          <w:rFonts w:ascii="宋体" w:hAnsi="宋体" w:cs="宋体"/>
          <w:color w:val="000000"/>
          <w:sz w:val="24"/>
        </w:rPr>
      </w:pPr>
      <w:bookmarkStart w:id="196" w:name="_Toc254970677"/>
      <w:bookmarkStart w:id="197" w:name="_Toc254970536"/>
      <w:r>
        <w:rPr>
          <w:rFonts w:hint="eastAsia" w:ascii="宋体" w:hAnsi="宋体" w:cs="宋体"/>
          <w:color w:val="000000"/>
          <w:sz w:val="24"/>
        </w:rPr>
        <w:t>12.投标文件的编制原则</w:t>
      </w:r>
    </w:p>
    <w:p>
      <w:pPr>
        <w:snapToGrid w:val="0"/>
        <w:spacing w:line="360" w:lineRule="auto"/>
        <w:ind w:firstLine="420"/>
        <w:jc w:val="left"/>
        <w:rPr>
          <w:rFonts w:ascii="宋体" w:hAnsi="宋体" w:cs="宋体"/>
          <w:color w:val="000000"/>
          <w:szCs w:val="21"/>
        </w:rPr>
      </w:pPr>
      <w:r>
        <w:rPr>
          <w:rFonts w:hint="eastAsia" w:ascii="宋体" w:hAnsi="宋体" w:cs="宋体"/>
          <w:color w:val="000000"/>
          <w:szCs w:val="21"/>
        </w:rPr>
        <w:t>投标人必须按照招标文件的要求编制投标文件。投标文件必须对招标文件提出的要求和条件作出明确响应。</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13.投标文件的组成</w:t>
      </w:r>
      <w:bookmarkEnd w:id="196"/>
      <w:bookmarkEnd w:id="197"/>
    </w:p>
    <w:p>
      <w:pPr>
        <w:snapToGri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投标文件由报价文件、资格证明文件、商务文件、技术文件四部分组成。</w:t>
      </w:r>
    </w:p>
    <w:p>
      <w:pPr>
        <w:pStyle w:val="7"/>
        <w:keepNext w:val="0"/>
        <w:keepLines w:val="0"/>
        <w:spacing w:before="0" w:after="0" w:line="360" w:lineRule="auto"/>
        <w:ind w:left="420" w:leftChars="200"/>
        <w:rPr>
          <w:rFonts w:ascii="宋体" w:hAnsi="宋体" w:cs="宋体"/>
          <w:b w:val="0"/>
          <w:color w:val="000000"/>
          <w:sz w:val="21"/>
          <w:szCs w:val="21"/>
        </w:rPr>
      </w:pPr>
      <w:bookmarkStart w:id="198" w:name="_13.1报价文件:_具体材料见“投标人须知前附表”。"/>
      <w:bookmarkEnd w:id="198"/>
      <w:r>
        <w:rPr>
          <w:rFonts w:hint="eastAsia" w:ascii="宋体" w:hAnsi="宋体" w:cs="宋体"/>
          <w:b w:val="0"/>
          <w:color w:val="000000"/>
          <w:sz w:val="21"/>
          <w:szCs w:val="21"/>
        </w:rPr>
        <w:t>（1）报价文件： 具体材料见“投标人须知前附表”。</w:t>
      </w:r>
    </w:p>
    <w:p>
      <w:pPr>
        <w:pStyle w:val="7"/>
        <w:keepNext w:val="0"/>
        <w:keepLines w:val="0"/>
        <w:spacing w:before="0" w:after="0" w:line="360" w:lineRule="auto"/>
        <w:ind w:left="420" w:leftChars="200"/>
        <w:rPr>
          <w:rFonts w:ascii="宋体" w:hAnsi="宋体" w:cs="宋体"/>
          <w:b w:val="0"/>
          <w:color w:val="000000"/>
          <w:sz w:val="21"/>
          <w:szCs w:val="21"/>
        </w:rPr>
      </w:pPr>
      <w:bookmarkStart w:id="199" w:name="_13.2资格证明文件：具体材料见“投标人须知前附表”。"/>
      <w:bookmarkEnd w:id="199"/>
      <w:r>
        <w:rPr>
          <w:rFonts w:hint="eastAsia" w:ascii="宋体" w:hAnsi="宋体" w:cs="宋体"/>
          <w:b w:val="0"/>
          <w:color w:val="000000"/>
          <w:sz w:val="21"/>
          <w:szCs w:val="21"/>
        </w:rPr>
        <w:t>（2）资格证明文件：具体材料见“投标人须知前附表”。</w:t>
      </w:r>
    </w:p>
    <w:p>
      <w:pPr>
        <w:pStyle w:val="7"/>
        <w:keepNext w:val="0"/>
        <w:keepLines w:val="0"/>
        <w:spacing w:before="0" w:after="0" w:line="360" w:lineRule="auto"/>
        <w:ind w:left="420" w:leftChars="200"/>
        <w:rPr>
          <w:rFonts w:ascii="宋体" w:hAnsi="宋体" w:cs="宋体"/>
          <w:b w:val="0"/>
          <w:color w:val="000000"/>
          <w:sz w:val="21"/>
          <w:szCs w:val="21"/>
        </w:rPr>
      </w:pPr>
      <w:bookmarkStart w:id="200" w:name="_13.3商务文件:_具体材料见“投标人须知前附表”。"/>
      <w:bookmarkEnd w:id="200"/>
      <w:r>
        <w:rPr>
          <w:rFonts w:hint="eastAsia" w:ascii="宋体" w:hAnsi="宋体" w:cs="宋体"/>
          <w:b w:val="0"/>
          <w:color w:val="000000"/>
          <w:sz w:val="21"/>
          <w:szCs w:val="21"/>
        </w:rPr>
        <w:t>（3）商务文件：具体材料见“投标人须知前附表”。</w:t>
      </w:r>
    </w:p>
    <w:p>
      <w:pPr>
        <w:pStyle w:val="7"/>
        <w:keepNext w:val="0"/>
        <w:keepLines w:val="0"/>
        <w:spacing w:before="0" w:after="0" w:line="360" w:lineRule="auto"/>
        <w:ind w:left="420" w:leftChars="200"/>
        <w:rPr>
          <w:rFonts w:ascii="宋体" w:hAnsi="宋体" w:cs="宋体"/>
          <w:b w:val="0"/>
          <w:color w:val="000000"/>
          <w:sz w:val="21"/>
          <w:szCs w:val="21"/>
        </w:rPr>
      </w:pPr>
      <w:bookmarkStart w:id="201" w:name="_13.4技术文件：具体材料见“投标人须知前附表”。"/>
      <w:bookmarkEnd w:id="201"/>
      <w:r>
        <w:rPr>
          <w:rFonts w:hint="eastAsia" w:ascii="宋体" w:hAnsi="宋体" w:cs="宋体"/>
          <w:b w:val="0"/>
          <w:color w:val="000000"/>
          <w:sz w:val="21"/>
          <w:szCs w:val="21"/>
        </w:rPr>
        <w:t>（4）技术文件：具体材料见“投标人须知前附表”。</w:t>
      </w:r>
    </w:p>
    <w:p>
      <w:pPr>
        <w:pStyle w:val="7"/>
        <w:keepNext w:val="0"/>
        <w:keepLines w:val="0"/>
        <w:spacing w:before="0" w:after="0" w:line="360" w:lineRule="auto"/>
        <w:ind w:left="420" w:leftChars="200"/>
        <w:rPr>
          <w:rFonts w:ascii="宋体" w:hAnsi="宋体" w:cs="宋体"/>
          <w:color w:val="000000"/>
          <w:sz w:val="24"/>
        </w:rPr>
      </w:pPr>
      <w:bookmarkStart w:id="202" w:name="_13.5投标文件电子版：具体材料见“投标人须知前附表”。"/>
      <w:bookmarkEnd w:id="202"/>
      <w:bookmarkStart w:id="203" w:name="_Toc254970678"/>
      <w:bookmarkStart w:id="204" w:name="_Toc254970537"/>
      <w:r>
        <w:rPr>
          <w:rFonts w:hint="eastAsia" w:ascii="宋体" w:hAnsi="宋体" w:cs="宋体"/>
          <w:color w:val="000000"/>
          <w:sz w:val="24"/>
        </w:rPr>
        <w:t>14.投标文件的语言及计量</w:t>
      </w:r>
      <w:bookmarkEnd w:id="203"/>
      <w:bookmarkEnd w:id="204"/>
    </w:p>
    <w:p>
      <w:pPr>
        <w:pStyle w:val="7"/>
        <w:keepNext w:val="0"/>
        <w:keepLines w:val="0"/>
        <w:spacing w:before="0" w:after="0" w:line="360" w:lineRule="auto"/>
        <w:ind w:left="420" w:leftChars="200"/>
        <w:rPr>
          <w:rFonts w:ascii="宋体" w:hAnsi="宋体" w:cs="宋体"/>
          <w:b w:val="0"/>
          <w:color w:val="000000"/>
          <w:sz w:val="21"/>
          <w:szCs w:val="21"/>
        </w:rPr>
      </w:pPr>
      <w:r>
        <w:rPr>
          <w:rFonts w:hint="eastAsia" w:ascii="宋体" w:hAnsi="宋体" w:cs="宋体"/>
          <w:b w:val="0"/>
          <w:color w:val="000000"/>
          <w:sz w:val="21"/>
          <w:szCs w:val="21"/>
        </w:rPr>
        <w:t>14.1语言文字</w:t>
      </w:r>
    </w:p>
    <w:p>
      <w:pPr>
        <w:pStyle w:val="7"/>
        <w:keepNext w:val="0"/>
        <w:keepLines w:val="0"/>
        <w:spacing w:before="0" w:after="0" w:line="360" w:lineRule="auto"/>
        <w:ind w:firstLine="420" w:firstLineChars="200"/>
        <w:rPr>
          <w:rFonts w:ascii="宋体" w:hAnsi="宋体" w:cs="宋体"/>
          <w:b w:val="0"/>
          <w:color w:val="000000"/>
          <w:sz w:val="21"/>
          <w:szCs w:val="21"/>
        </w:rPr>
      </w:pPr>
      <w:r>
        <w:rPr>
          <w:rFonts w:hint="eastAsia" w:ascii="宋体" w:hAnsi="宋体" w:cs="宋体"/>
          <w:b w:val="0"/>
          <w:color w:val="000000"/>
          <w:sz w:val="2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pStyle w:val="7"/>
        <w:keepNext w:val="0"/>
        <w:keepLines w:val="0"/>
        <w:spacing w:before="0" w:after="0" w:line="360" w:lineRule="auto"/>
        <w:ind w:firstLine="420" w:firstLineChars="200"/>
        <w:rPr>
          <w:rFonts w:ascii="宋体" w:hAnsi="宋体" w:cs="宋体"/>
          <w:b w:val="0"/>
          <w:color w:val="000000"/>
          <w:sz w:val="21"/>
          <w:szCs w:val="21"/>
        </w:rPr>
      </w:pPr>
      <w:r>
        <w:rPr>
          <w:rFonts w:hint="eastAsia" w:ascii="宋体" w:hAnsi="宋体" w:cs="宋体"/>
          <w:b w:val="0"/>
          <w:color w:val="000000"/>
          <w:sz w:val="21"/>
          <w:szCs w:val="21"/>
        </w:rPr>
        <w:t>14.2投标计量单位</w:t>
      </w:r>
    </w:p>
    <w:p>
      <w:pPr>
        <w:pStyle w:val="7"/>
        <w:keepNext w:val="0"/>
        <w:keepLines w:val="0"/>
        <w:spacing w:before="0" w:after="0" w:line="360" w:lineRule="auto"/>
        <w:ind w:firstLine="420" w:firstLineChars="200"/>
        <w:rPr>
          <w:rFonts w:ascii="宋体" w:hAnsi="宋体" w:cs="宋体"/>
          <w:b w:val="0"/>
          <w:color w:val="000000"/>
          <w:sz w:val="21"/>
          <w:szCs w:val="21"/>
        </w:rPr>
      </w:pPr>
      <w:r>
        <w:rPr>
          <w:rFonts w:hint="eastAsia" w:ascii="宋体" w:hAnsi="宋体" w:cs="宋体"/>
          <w:b w:val="0"/>
          <w:color w:val="000000"/>
          <w:sz w:val="21"/>
          <w:szCs w:val="21"/>
        </w:rPr>
        <w:t>招标文件已有明确规定的，使用招标文件规定的计量单位；招标文件没有规定的，应采用中华人民共和国法定计量单位，货币种类为人民币</w:t>
      </w:r>
      <w:r>
        <w:rPr>
          <w:rFonts w:hint="eastAsia" w:ascii="宋体" w:hAnsi="宋体" w:cs="宋体"/>
          <w:bCs/>
          <w:color w:val="000000"/>
          <w:sz w:val="21"/>
          <w:szCs w:val="21"/>
        </w:rPr>
        <w:t>，否则视同未响应。</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15.投标的风险</w:t>
      </w:r>
    </w:p>
    <w:p>
      <w:pPr>
        <w:pStyle w:val="24"/>
        <w:snapToGrid w:val="0"/>
        <w:spacing w:line="360" w:lineRule="auto"/>
        <w:ind w:firstLine="420" w:firstLineChars="200"/>
        <w:jc w:val="left"/>
        <w:rPr>
          <w:rFonts w:hAnsi="宋体" w:cs="宋体"/>
          <w:color w:val="000000"/>
          <w:sz w:val="21"/>
        </w:rPr>
      </w:pPr>
      <w:r>
        <w:rPr>
          <w:rFonts w:hint="eastAsia" w:hAnsi="宋体" w:cs="宋体"/>
          <w:color w:val="000000"/>
          <w:sz w:val="21"/>
        </w:rPr>
        <w:t>投标人没有按照招标文件要求提供全部资料，或者投标人没有对招标文件作出实质性响应是投标人的风险，并可能导致其投标被拒绝。</w:t>
      </w:r>
    </w:p>
    <w:p>
      <w:pPr>
        <w:pStyle w:val="7"/>
        <w:keepNext w:val="0"/>
        <w:keepLines w:val="0"/>
        <w:spacing w:before="0" w:after="0" w:line="360" w:lineRule="auto"/>
        <w:ind w:left="420" w:leftChars="200"/>
        <w:rPr>
          <w:rFonts w:ascii="宋体" w:hAnsi="宋体" w:cs="宋体"/>
          <w:color w:val="000000"/>
          <w:sz w:val="24"/>
        </w:rPr>
      </w:pPr>
      <w:bookmarkStart w:id="205" w:name="_Toc254970679"/>
      <w:bookmarkStart w:id="206" w:name="_Toc254970538"/>
      <w:r>
        <w:rPr>
          <w:rFonts w:hint="eastAsia" w:ascii="宋体" w:hAnsi="宋体" w:cs="宋体"/>
          <w:color w:val="000000"/>
          <w:sz w:val="24"/>
        </w:rPr>
        <w:t>16.投标报价</w:t>
      </w:r>
      <w:bookmarkEnd w:id="205"/>
      <w:bookmarkEnd w:id="206"/>
    </w:p>
    <w:p>
      <w:pPr>
        <w:pStyle w:val="7"/>
        <w:keepNext w:val="0"/>
        <w:keepLines w:val="0"/>
        <w:spacing w:before="0" w:after="0" w:line="360" w:lineRule="auto"/>
        <w:ind w:left="420" w:leftChars="200"/>
        <w:rPr>
          <w:rFonts w:ascii="宋体" w:hAnsi="宋体" w:cs="宋体"/>
          <w:b w:val="0"/>
          <w:color w:val="000000"/>
          <w:sz w:val="21"/>
          <w:szCs w:val="21"/>
        </w:rPr>
      </w:pPr>
      <w:r>
        <w:rPr>
          <w:rFonts w:hint="eastAsia" w:ascii="宋体" w:hAnsi="宋体" w:cs="宋体"/>
          <w:b w:val="0"/>
          <w:color w:val="000000"/>
          <w:sz w:val="21"/>
          <w:szCs w:val="21"/>
        </w:rPr>
        <w:t>16.1投标报价应按“第六章　投标文件格式”中“开标一览表”格式填写。</w:t>
      </w:r>
    </w:p>
    <w:p>
      <w:pPr>
        <w:pStyle w:val="7"/>
        <w:keepNext w:val="0"/>
        <w:keepLines w:val="0"/>
        <w:spacing w:before="0" w:after="0" w:line="360" w:lineRule="auto"/>
        <w:ind w:left="420" w:leftChars="200"/>
        <w:rPr>
          <w:rFonts w:ascii="宋体" w:hAnsi="宋体" w:cs="宋体"/>
          <w:b w:val="0"/>
          <w:color w:val="000000"/>
          <w:sz w:val="21"/>
          <w:szCs w:val="21"/>
        </w:rPr>
      </w:pPr>
      <w:bookmarkStart w:id="207" w:name="_16.2投标报价具体定义见投标人须知前附表。"/>
      <w:bookmarkEnd w:id="207"/>
      <w:r>
        <w:rPr>
          <w:rFonts w:hint="eastAsia" w:ascii="宋体" w:hAnsi="宋体" w:cs="宋体"/>
          <w:b w:val="0"/>
          <w:color w:val="000000"/>
          <w:sz w:val="21"/>
          <w:szCs w:val="21"/>
        </w:rPr>
        <w:t>16.2投标报价具体包括内容详见“投标人须知前附表”。</w:t>
      </w:r>
    </w:p>
    <w:p>
      <w:pPr>
        <w:pStyle w:val="7"/>
        <w:keepNext w:val="0"/>
        <w:keepLines w:val="0"/>
        <w:spacing w:before="0" w:after="0" w:line="360" w:lineRule="auto"/>
        <w:ind w:firstLine="420" w:firstLineChars="200"/>
        <w:rPr>
          <w:rFonts w:ascii="宋体" w:hAnsi="宋体" w:cs="宋体"/>
          <w:b w:val="0"/>
          <w:color w:val="000000"/>
          <w:sz w:val="21"/>
          <w:szCs w:val="21"/>
        </w:rPr>
      </w:pPr>
      <w:r>
        <w:rPr>
          <w:rFonts w:hint="eastAsia" w:ascii="宋体" w:hAnsi="宋体" w:cs="宋体"/>
          <w:b w:val="0"/>
          <w:color w:val="000000"/>
          <w:sz w:val="21"/>
          <w:szCs w:val="21"/>
        </w:rPr>
        <w:t>16.3投标人可须就所投某个分标的内容或所有分标全部内容分别作完整唯一总价报价，不得存在漏项报价。</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17.投标有效期</w:t>
      </w:r>
    </w:p>
    <w:p>
      <w:pPr>
        <w:pStyle w:val="7"/>
        <w:keepNext w:val="0"/>
        <w:keepLines w:val="0"/>
        <w:spacing w:before="0" w:after="0" w:line="360" w:lineRule="auto"/>
        <w:ind w:firstLine="420" w:firstLineChars="200"/>
        <w:rPr>
          <w:rFonts w:ascii="宋体" w:hAnsi="宋体" w:cs="宋体"/>
          <w:b w:val="0"/>
          <w:color w:val="000000"/>
          <w:sz w:val="21"/>
          <w:szCs w:val="21"/>
        </w:rPr>
      </w:pPr>
      <w:bookmarkStart w:id="208" w:name="_17.1投标有效期应按“投标人须知中的前附表”规定的期限。"/>
      <w:bookmarkEnd w:id="208"/>
      <w:r>
        <w:rPr>
          <w:rFonts w:hint="eastAsia" w:ascii="宋体" w:hAnsi="宋体" w:cs="宋体"/>
          <w:b w:val="0"/>
          <w:color w:val="000000"/>
          <w:sz w:val="21"/>
          <w:szCs w:val="21"/>
        </w:rPr>
        <w:t>17.1投标有效期是指为保证采购人有足够的时间在开标后完成评标、定标、合同签订等工作而要求投标人提交的投标文件在一定时间内保持有效的期限。</w:t>
      </w:r>
    </w:p>
    <w:p>
      <w:pPr>
        <w:pStyle w:val="7"/>
        <w:keepNext w:val="0"/>
        <w:keepLines w:val="0"/>
        <w:spacing w:before="0" w:after="0" w:line="360" w:lineRule="auto"/>
        <w:ind w:left="420" w:leftChars="200"/>
        <w:rPr>
          <w:rFonts w:ascii="宋体" w:hAnsi="宋体" w:cs="宋体"/>
          <w:b w:val="0"/>
          <w:color w:val="000000"/>
          <w:sz w:val="21"/>
          <w:szCs w:val="21"/>
        </w:rPr>
      </w:pPr>
      <w:r>
        <w:rPr>
          <w:rFonts w:hint="eastAsia" w:ascii="宋体" w:hAnsi="宋体" w:cs="宋体"/>
          <w:b w:val="0"/>
          <w:color w:val="000000"/>
          <w:sz w:val="21"/>
          <w:szCs w:val="21"/>
        </w:rPr>
        <w:t>17.2</w:t>
      </w:r>
      <w:bookmarkStart w:id="209" w:name="_Toc254970540"/>
      <w:bookmarkStart w:id="210" w:name="_Toc254970681"/>
      <w:r>
        <w:rPr>
          <w:rFonts w:hint="eastAsia" w:ascii="宋体" w:hAnsi="宋体" w:cs="宋体"/>
          <w:b w:val="0"/>
          <w:color w:val="000000"/>
          <w:sz w:val="21"/>
          <w:szCs w:val="21"/>
        </w:rPr>
        <w:t xml:space="preserve"> 投标有效期应按规定的期限作出承诺，具体详见“投标人须知前附表”。</w:t>
      </w:r>
    </w:p>
    <w:p>
      <w:pPr>
        <w:pStyle w:val="7"/>
        <w:keepNext w:val="0"/>
        <w:keepLines w:val="0"/>
        <w:spacing w:before="0" w:after="0" w:line="360" w:lineRule="auto"/>
        <w:ind w:left="420" w:leftChars="200"/>
        <w:rPr>
          <w:rFonts w:ascii="宋体" w:hAnsi="宋体" w:cs="宋体"/>
          <w:b w:val="0"/>
          <w:color w:val="000000"/>
          <w:sz w:val="21"/>
          <w:szCs w:val="21"/>
        </w:rPr>
      </w:pPr>
      <w:r>
        <w:rPr>
          <w:rFonts w:hint="eastAsia" w:ascii="宋体" w:hAnsi="宋体" w:cs="宋体"/>
          <w:b w:val="0"/>
          <w:color w:val="000000"/>
          <w:sz w:val="21"/>
          <w:szCs w:val="21"/>
        </w:rPr>
        <w:t>17.3投标人的投标文件在投标有效期内均保持有效。</w:t>
      </w:r>
      <w:bookmarkEnd w:id="209"/>
      <w:bookmarkEnd w:id="210"/>
    </w:p>
    <w:p>
      <w:pPr>
        <w:pStyle w:val="7"/>
        <w:keepNext w:val="0"/>
        <w:keepLines w:val="0"/>
        <w:spacing w:before="0" w:after="0" w:line="360" w:lineRule="auto"/>
        <w:ind w:left="420" w:leftChars="200"/>
        <w:rPr>
          <w:rFonts w:ascii="宋体" w:hAnsi="宋体" w:cs="宋体"/>
          <w:color w:val="000000"/>
          <w:sz w:val="24"/>
        </w:rPr>
      </w:pPr>
      <w:bookmarkStart w:id="211" w:name="_18.投标保证金"/>
      <w:bookmarkEnd w:id="211"/>
      <w:bookmarkStart w:id="212" w:name="_Toc254970541"/>
      <w:bookmarkStart w:id="213" w:name="_Toc254970682"/>
      <w:r>
        <w:rPr>
          <w:rFonts w:hint="eastAsia" w:ascii="宋体" w:hAnsi="宋体" w:cs="宋体"/>
          <w:color w:val="000000"/>
          <w:sz w:val="24"/>
        </w:rPr>
        <w:t>18.投标保证金</w:t>
      </w:r>
      <w:bookmarkEnd w:id="212"/>
      <w:bookmarkEnd w:id="213"/>
    </w:p>
    <w:p>
      <w:pPr>
        <w:pStyle w:val="7"/>
        <w:keepNext w:val="0"/>
        <w:keepLines w:val="0"/>
        <w:spacing w:before="0" w:after="0" w:line="360" w:lineRule="auto"/>
        <w:ind w:left="420" w:leftChars="200"/>
        <w:rPr>
          <w:rFonts w:ascii="宋体" w:hAnsi="宋体" w:cs="宋体"/>
          <w:b w:val="0"/>
          <w:color w:val="000000"/>
          <w:sz w:val="21"/>
          <w:szCs w:val="21"/>
        </w:rPr>
      </w:pPr>
      <w:r>
        <w:rPr>
          <w:rFonts w:hint="eastAsia" w:ascii="宋体" w:hAnsi="宋体" w:cs="宋体"/>
          <w:b w:val="0"/>
          <w:color w:val="000000"/>
          <w:sz w:val="21"/>
          <w:szCs w:val="21"/>
        </w:rPr>
        <w:t>18.1投标人须按“投标人须知前附表” 的规定提交投标保证金。</w:t>
      </w:r>
    </w:p>
    <w:p>
      <w:pPr>
        <w:pStyle w:val="7"/>
        <w:keepNext w:val="0"/>
        <w:keepLines w:val="0"/>
        <w:spacing w:before="0" w:after="0" w:line="360" w:lineRule="auto"/>
        <w:ind w:firstLine="420" w:firstLineChars="200"/>
        <w:rPr>
          <w:rFonts w:ascii="宋体" w:hAnsi="宋体" w:cs="宋体"/>
          <w:b w:val="0"/>
          <w:color w:val="000000"/>
          <w:sz w:val="21"/>
          <w:szCs w:val="21"/>
        </w:rPr>
      </w:pPr>
      <w:r>
        <w:rPr>
          <w:rFonts w:hint="eastAsia" w:ascii="宋体" w:hAnsi="宋体" w:cs="宋体"/>
          <w:b w:val="0"/>
          <w:color w:val="000000"/>
          <w:sz w:val="21"/>
          <w:szCs w:val="21"/>
        </w:rPr>
        <w:t>18.2投标保证金的退还</w:t>
      </w:r>
    </w:p>
    <w:p>
      <w:pPr>
        <w:pStyle w:val="7"/>
        <w:keepNext w:val="0"/>
        <w:keepLines w:val="0"/>
        <w:spacing w:before="0" w:after="0" w:line="360" w:lineRule="auto"/>
        <w:ind w:firstLine="420" w:firstLineChars="200"/>
        <w:rPr>
          <w:rFonts w:ascii="宋体" w:hAnsi="宋体" w:cs="宋体"/>
          <w:b w:val="0"/>
          <w:color w:val="000000"/>
          <w:sz w:val="21"/>
          <w:szCs w:val="21"/>
        </w:rPr>
      </w:pPr>
      <w:r>
        <w:rPr>
          <w:rFonts w:hint="eastAsia" w:ascii="宋体" w:hAnsi="宋体" w:cs="宋体"/>
          <w:b w:val="0"/>
          <w:color w:val="000000"/>
          <w:sz w:val="21"/>
          <w:szCs w:val="21"/>
        </w:rPr>
        <w:t xml:space="preserve">未中标人的投标保证金自中标通知书发出之日起4个工作日内退还；中标人的投标保证金自政府采购合同签订之日起4个工作日内退还。 </w:t>
      </w:r>
    </w:p>
    <w:p>
      <w:pPr>
        <w:pStyle w:val="7"/>
        <w:keepNext w:val="0"/>
        <w:keepLines w:val="0"/>
        <w:spacing w:before="0" w:after="0" w:line="360" w:lineRule="auto"/>
        <w:ind w:left="420" w:leftChars="200"/>
        <w:rPr>
          <w:rFonts w:ascii="宋体" w:hAnsi="宋体" w:cs="宋体"/>
          <w:b w:val="0"/>
          <w:color w:val="000000"/>
          <w:sz w:val="21"/>
          <w:szCs w:val="21"/>
        </w:rPr>
      </w:pPr>
      <w:r>
        <w:rPr>
          <w:rFonts w:hint="eastAsia" w:ascii="宋体" w:hAnsi="宋体" w:cs="宋体"/>
          <w:b w:val="0"/>
          <w:color w:val="000000"/>
          <w:sz w:val="21"/>
          <w:szCs w:val="21"/>
        </w:rPr>
        <w:t>18.3除逾期退还投标保证金和终止招标的情形以外，投标保证金不计息。</w:t>
      </w:r>
    </w:p>
    <w:p>
      <w:pPr>
        <w:pStyle w:val="7"/>
        <w:keepNext w:val="0"/>
        <w:keepLines w:val="0"/>
        <w:spacing w:before="0" w:after="0" w:line="360" w:lineRule="auto"/>
        <w:ind w:left="420" w:leftChars="200"/>
        <w:rPr>
          <w:rFonts w:ascii="宋体" w:hAnsi="宋体" w:cs="宋体"/>
          <w:b w:val="0"/>
          <w:color w:val="000000"/>
          <w:sz w:val="21"/>
          <w:szCs w:val="21"/>
        </w:rPr>
      </w:pPr>
      <w:r>
        <w:rPr>
          <w:rFonts w:hint="eastAsia" w:ascii="宋体" w:hAnsi="宋体" w:cs="宋体"/>
          <w:b w:val="0"/>
          <w:color w:val="000000"/>
          <w:sz w:val="21"/>
          <w:szCs w:val="21"/>
        </w:rPr>
        <w:t xml:space="preserve">18.4投标人有下列情形之一的，投标保证金将不予退还： </w:t>
      </w:r>
    </w:p>
    <w:p>
      <w:pPr>
        <w:snapToGrid w:val="0"/>
        <w:spacing w:line="360" w:lineRule="auto"/>
        <w:ind w:firstLine="411" w:firstLineChars="196"/>
        <w:jc w:val="left"/>
        <w:rPr>
          <w:rFonts w:ascii="宋体" w:hAnsi="宋体" w:cs="宋体"/>
          <w:color w:val="000000"/>
          <w:szCs w:val="21"/>
        </w:rPr>
      </w:pPr>
      <w:r>
        <w:rPr>
          <w:rFonts w:hint="eastAsia" w:ascii="宋体" w:hAnsi="宋体" w:cs="宋体"/>
          <w:color w:val="000000"/>
          <w:szCs w:val="21"/>
        </w:rPr>
        <w:t>（1）投标人在投标有效期内撤销投标文件的；</w:t>
      </w:r>
    </w:p>
    <w:p>
      <w:pPr>
        <w:snapToGrid w:val="0"/>
        <w:spacing w:line="360" w:lineRule="auto"/>
        <w:ind w:firstLine="411" w:firstLineChars="196"/>
        <w:jc w:val="left"/>
        <w:rPr>
          <w:rFonts w:ascii="宋体" w:hAnsi="宋体" w:cs="宋体"/>
          <w:color w:val="000000"/>
          <w:szCs w:val="21"/>
        </w:rPr>
      </w:pPr>
      <w:r>
        <w:rPr>
          <w:rFonts w:hint="eastAsia" w:ascii="宋体" w:hAnsi="宋体" w:cs="宋体"/>
          <w:color w:val="000000"/>
          <w:szCs w:val="21"/>
        </w:rPr>
        <w:t>（2）未按规定提交履约保证金的；</w:t>
      </w:r>
    </w:p>
    <w:p>
      <w:pPr>
        <w:snapToGrid w:val="0"/>
        <w:spacing w:line="360" w:lineRule="auto"/>
        <w:ind w:firstLine="411" w:firstLineChars="196"/>
        <w:jc w:val="left"/>
        <w:rPr>
          <w:rFonts w:ascii="宋体" w:hAnsi="宋体" w:cs="宋体"/>
          <w:color w:val="000000"/>
          <w:szCs w:val="21"/>
        </w:rPr>
      </w:pPr>
      <w:r>
        <w:rPr>
          <w:rFonts w:hint="eastAsia" w:ascii="宋体" w:hAnsi="宋体" w:cs="宋体"/>
          <w:color w:val="000000"/>
          <w:szCs w:val="21"/>
        </w:rPr>
        <w:t>（3）投标人在投标过程中弄虚作假，提供虚假材料的；</w:t>
      </w:r>
    </w:p>
    <w:p>
      <w:pPr>
        <w:snapToGrid w:val="0"/>
        <w:spacing w:line="360" w:lineRule="auto"/>
        <w:ind w:firstLine="411" w:firstLineChars="196"/>
        <w:rPr>
          <w:rFonts w:ascii="宋体" w:hAnsi="宋体" w:cs="宋体"/>
          <w:color w:val="000000"/>
          <w:szCs w:val="21"/>
        </w:rPr>
      </w:pPr>
      <w:r>
        <w:rPr>
          <w:rFonts w:hint="eastAsia" w:ascii="宋体" w:hAnsi="宋体" w:cs="宋体"/>
          <w:color w:val="000000"/>
          <w:szCs w:val="21"/>
        </w:rPr>
        <w:t>（4）中标人无正当理由不与采购人签订合同的；</w:t>
      </w:r>
    </w:p>
    <w:p>
      <w:pPr>
        <w:snapToGrid w:val="0"/>
        <w:spacing w:line="360" w:lineRule="auto"/>
        <w:ind w:firstLine="420" w:firstLineChars="200"/>
        <w:rPr>
          <w:rFonts w:ascii="宋体" w:hAnsi="宋体" w:cs="宋体"/>
          <w:color w:val="000000"/>
          <w:szCs w:val="21"/>
        </w:rPr>
      </w:pPr>
      <w:bookmarkStart w:id="214" w:name="_Toc254970542"/>
      <w:bookmarkStart w:id="215" w:name="_Toc254970683"/>
      <w:r>
        <w:rPr>
          <w:rFonts w:hint="eastAsia" w:ascii="宋体" w:hAnsi="宋体" w:cs="宋体"/>
          <w:color w:val="000000"/>
          <w:szCs w:val="21"/>
        </w:rPr>
        <w:t>（5）投标人出现本章第9.2、9.3情形的；</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（6）法律法规规定的其他情形。</w:t>
      </w:r>
    </w:p>
    <w:bookmarkEnd w:id="214"/>
    <w:bookmarkEnd w:id="215"/>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19.投标文件的编制</w:t>
      </w:r>
    </w:p>
    <w:p>
      <w:pPr>
        <w:pStyle w:val="7"/>
        <w:keepNext w:val="0"/>
        <w:keepLines w:val="0"/>
        <w:spacing w:before="0" w:after="0" w:line="360" w:lineRule="auto"/>
        <w:ind w:firstLine="315" w:firstLineChars="150"/>
        <w:rPr>
          <w:rFonts w:ascii="宋体" w:hAnsi="宋体" w:cs="宋体"/>
          <w:b w:val="0"/>
          <w:color w:val="000000"/>
          <w:sz w:val="21"/>
          <w:szCs w:val="21"/>
        </w:rPr>
      </w:pPr>
      <w:r>
        <w:rPr>
          <w:rFonts w:hint="eastAsia" w:ascii="宋体" w:hAnsi="宋体" w:cs="宋体"/>
          <w:b w:val="0"/>
          <w:color w:val="000000"/>
          <w:sz w:val="21"/>
          <w:szCs w:val="21"/>
        </w:rPr>
        <w:t xml:space="preserve"> 19.1投标人应先安装“政采云电子投标客户端”（请自行前往“政采云”平台进行下载），并按照本项目招标文件规定的格式和顺序和“政采云”平台的要求编制并加密。投标文件内容不完整、编排混乱导致投标文件被误读、漏读或者查找不到相关内容的，由此引发的后果由投标人承担。</w:t>
      </w:r>
    </w:p>
    <w:p>
      <w:pPr>
        <w:pStyle w:val="7"/>
        <w:keepNext w:val="0"/>
        <w:keepLines w:val="0"/>
        <w:spacing w:before="0" w:after="0" w:line="360" w:lineRule="auto"/>
        <w:ind w:firstLine="315" w:firstLineChars="150"/>
        <w:rPr>
          <w:rFonts w:ascii="宋体" w:hAnsi="宋体" w:cs="宋体"/>
          <w:b w:val="0"/>
          <w:color w:val="000000"/>
          <w:sz w:val="21"/>
          <w:szCs w:val="21"/>
        </w:rPr>
      </w:pPr>
      <w:bookmarkStart w:id="216" w:name="_19.2投标文件应按报价文件、资格证明文件、商务文件、技术文件分别编制"/>
      <w:bookmarkEnd w:id="216"/>
      <w:r>
        <w:rPr>
          <w:rFonts w:hint="eastAsia" w:ascii="宋体" w:hAnsi="宋体" w:cs="宋体"/>
          <w:b w:val="0"/>
          <w:color w:val="000000"/>
          <w:sz w:val="21"/>
          <w:szCs w:val="21"/>
        </w:rPr>
        <w:t>19.2为确保网上操作合法、有效和安全，投标人应当在投标截止时间前完成在“政采云”平台的身份认证，确保在电子投标过程中能够对相关数据电文进行加密和使用电子签章。</w:t>
      </w:r>
    </w:p>
    <w:p>
      <w:pPr>
        <w:pStyle w:val="7"/>
        <w:keepNext w:val="0"/>
        <w:keepLines w:val="0"/>
        <w:spacing w:before="0" w:after="0" w:line="360" w:lineRule="auto"/>
        <w:rPr>
          <w:rFonts w:ascii="宋体" w:hAnsi="宋体" w:cs="宋体"/>
          <w:b w:val="0"/>
          <w:color w:val="000000"/>
          <w:sz w:val="21"/>
          <w:szCs w:val="21"/>
        </w:rPr>
      </w:pPr>
      <w:r>
        <w:rPr>
          <w:rFonts w:hint="eastAsia" w:ascii="宋体" w:hAnsi="宋体" w:cs="宋体"/>
          <w:b w:val="0"/>
          <w:color w:val="000000"/>
          <w:sz w:val="21"/>
          <w:szCs w:val="21"/>
        </w:rPr>
        <w:t xml:space="preserve">   19.3投标文件须由投标人在规定位置签字（或者电子签名）、盖章（具体以投标人须知前附表或投标文件格式规定为准），</w:t>
      </w:r>
      <w:r>
        <w:rPr>
          <w:rFonts w:hint="eastAsia" w:ascii="宋体" w:hAnsi="宋体" w:cs="宋体"/>
          <w:bCs/>
          <w:color w:val="000000"/>
          <w:sz w:val="21"/>
          <w:szCs w:val="21"/>
        </w:rPr>
        <w:t>否则按无效投标处理</w:t>
      </w:r>
      <w:r>
        <w:rPr>
          <w:rFonts w:hint="eastAsia" w:ascii="宋体" w:hAnsi="宋体" w:cs="宋体"/>
          <w:b w:val="0"/>
          <w:color w:val="000000"/>
          <w:sz w:val="21"/>
          <w:szCs w:val="21"/>
        </w:rPr>
        <w:t>。</w:t>
      </w:r>
    </w:p>
    <w:p>
      <w:pPr>
        <w:pStyle w:val="7"/>
        <w:keepNext w:val="0"/>
        <w:keepLines w:val="0"/>
        <w:spacing w:before="0" w:after="0" w:line="360" w:lineRule="auto"/>
        <w:ind w:firstLine="315" w:firstLineChars="150"/>
        <w:rPr>
          <w:rFonts w:ascii="宋体" w:hAnsi="宋体" w:cs="宋体"/>
          <w:b w:val="0"/>
          <w:color w:val="000000"/>
          <w:sz w:val="21"/>
          <w:szCs w:val="21"/>
        </w:rPr>
      </w:pPr>
      <w:r>
        <w:rPr>
          <w:rFonts w:hint="eastAsia" w:ascii="宋体" w:hAnsi="宋体" w:cs="宋体"/>
          <w:b w:val="0"/>
          <w:color w:val="000000"/>
          <w:sz w:val="21"/>
          <w:szCs w:val="21"/>
        </w:rPr>
        <w:t>19.4投标文件中标注的投标人名称应与主体资格证明（如营业执照或者事业单位法人证书或者执业许可证或者登记证书等）及公章一致，并与“政采云”中获取招标文件的投标人名称一致，投标人为自然人的，标注的投标人名称应与身份证姓名及签名一致，</w:t>
      </w:r>
      <w:r>
        <w:rPr>
          <w:rFonts w:hint="eastAsia" w:ascii="宋体" w:hAnsi="宋体" w:cs="宋体"/>
          <w:color w:val="000000"/>
          <w:sz w:val="21"/>
          <w:szCs w:val="21"/>
        </w:rPr>
        <w:t>否则按无效投标处理</w:t>
      </w:r>
      <w:r>
        <w:rPr>
          <w:rFonts w:hint="eastAsia" w:ascii="宋体" w:hAnsi="宋体" w:cs="宋体"/>
          <w:b w:val="0"/>
          <w:color w:val="000000"/>
          <w:sz w:val="21"/>
          <w:szCs w:val="21"/>
        </w:rPr>
        <w:t>。</w:t>
      </w:r>
    </w:p>
    <w:p>
      <w:pPr>
        <w:pStyle w:val="7"/>
        <w:keepNext w:val="0"/>
        <w:keepLines w:val="0"/>
        <w:spacing w:before="0" w:after="0" w:line="360" w:lineRule="auto"/>
        <w:ind w:firstLine="315" w:firstLineChars="150"/>
        <w:rPr>
          <w:rFonts w:ascii="宋体" w:hAnsi="宋体" w:cs="宋体"/>
          <w:b w:val="0"/>
          <w:color w:val="000000"/>
          <w:sz w:val="21"/>
          <w:szCs w:val="21"/>
        </w:rPr>
      </w:pPr>
      <w:r>
        <w:rPr>
          <w:rFonts w:hint="eastAsia" w:ascii="宋体" w:hAnsi="宋体" w:cs="宋体"/>
          <w:b w:val="0"/>
          <w:color w:val="000000"/>
          <w:sz w:val="21"/>
          <w:szCs w:val="21"/>
        </w:rPr>
        <w:t>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20.电子备份投标文件</w:t>
      </w:r>
    </w:p>
    <w:p>
      <w:pPr>
        <w:spacing w:line="360" w:lineRule="auto"/>
        <w:ind w:firstLine="420" w:firstLineChars="200"/>
        <w:rPr>
          <w:rFonts w:ascii="宋体" w:hAnsi="宋体" w:cs="宋体"/>
          <w:color w:val="000000"/>
          <w:sz w:val="24"/>
        </w:rPr>
      </w:pPr>
      <w:r>
        <w:rPr>
          <w:rFonts w:hint="eastAsia" w:ascii="宋体" w:hAnsi="宋体" w:cs="宋体"/>
          <w:color w:val="000000"/>
        </w:rPr>
        <w:t>电子备份投标文件是指通过“政采云电子投标客户端”在线编制生成且后缀名为“bfbs”的文件，是否接受电子备份投标文件</w:t>
      </w:r>
      <w:r>
        <w:rPr>
          <w:rFonts w:hint="eastAsia" w:ascii="宋体" w:hAnsi="宋体" w:cs="宋体"/>
          <w:bCs/>
          <w:color w:val="000000"/>
          <w:szCs w:val="21"/>
        </w:rPr>
        <w:t>详见在“投标人须知前附表”。</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21.投标文件的提交</w:t>
      </w:r>
    </w:p>
    <w:p>
      <w:pPr>
        <w:spacing w:line="360" w:lineRule="auto"/>
        <w:ind w:firstLine="420" w:firstLineChars="200"/>
        <w:rPr>
          <w:rFonts w:ascii="宋体" w:hAnsi="宋体" w:cs="宋体"/>
          <w:b/>
          <w:color w:val="000000"/>
        </w:rPr>
      </w:pPr>
      <w:bookmarkStart w:id="217" w:name="_21.1投标人必须在“投标人须知中的前附表”规定的投标文件接收时间和投"/>
      <w:bookmarkEnd w:id="217"/>
      <w:r>
        <w:rPr>
          <w:rFonts w:hint="eastAsia" w:ascii="宋体" w:hAnsi="宋体" w:cs="宋体"/>
          <w:bCs/>
          <w:color w:val="000000"/>
          <w:szCs w:val="21"/>
        </w:rPr>
        <w:t>21.1投标人必须在“投标人须知前附表”规定的</w:t>
      </w:r>
      <w:r>
        <w:rPr>
          <w:rFonts w:hint="eastAsia" w:ascii="宋体" w:hAnsi="宋体" w:cs="宋体"/>
          <w:color w:val="000000"/>
          <w:szCs w:val="21"/>
        </w:rPr>
        <w:t>投标文件提交截止时间前将</w:t>
      </w:r>
      <w:r>
        <w:rPr>
          <w:rFonts w:hint="eastAsia" w:ascii="宋体" w:hAnsi="宋体" w:cs="宋体"/>
          <w:bCs/>
          <w:color w:val="000000"/>
          <w:szCs w:val="21"/>
        </w:rPr>
        <w:t>电子投标文件提交至投标地点。电子投标文件应在制作完成后，在投标截止时间前通过有效数字证书（CA认证锁）进行电子签章、加密，然后通过网络将加密的电子投标文件递交至</w:t>
      </w:r>
      <w:r>
        <w:rPr>
          <w:rFonts w:hint="eastAsia" w:ascii="宋体" w:hAnsi="宋体" w:cs="宋体"/>
          <w:b/>
          <w:color w:val="000000"/>
          <w:szCs w:val="21"/>
        </w:rPr>
        <w:t>“政采云”平台</w:t>
      </w:r>
      <w:r>
        <w:rPr>
          <w:rFonts w:hint="eastAsia" w:ascii="宋体" w:hAnsi="宋体" w:cs="宋体"/>
          <w:bCs/>
          <w:color w:val="000000"/>
          <w:szCs w:val="21"/>
        </w:rPr>
        <w:t xml:space="preserve">。 </w:t>
      </w:r>
    </w:p>
    <w:p>
      <w:pPr>
        <w:spacing w:line="360" w:lineRule="auto"/>
        <w:ind w:firstLine="422" w:firstLineChars="200"/>
        <w:rPr>
          <w:rFonts w:ascii="宋体" w:hAnsi="宋体" w:cs="宋体"/>
          <w:b/>
          <w:color w:val="000000"/>
          <w:szCs w:val="20"/>
        </w:rPr>
      </w:pPr>
      <w:r>
        <w:rPr>
          <w:rFonts w:hint="eastAsia" w:ascii="宋体" w:hAnsi="宋体" w:cs="宋体"/>
          <w:b/>
          <w:color w:val="000000"/>
          <w:szCs w:val="21"/>
        </w:rPr>
        <w:t>21.2未在规定时间内提交或者未按照招标文件要求加密的电子投标文件，“政采云”平台将拒收。</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22. 投标文件的补充、修改、撤回与退回</w:t>
      </w:r>
    </w:p>
    <w:p>
      <w:pPr>
        <w:snapToGrid w:val="0"/>
        <w:spacing w:line="360" w:lineRule="auto"/>
        <w:ind w:firstLine="420"/>
        <w:jc w:val="left"/>
        <w:rPr>
          <w:rFonts w:ascii="宋体" w:hAnsi="宋体" w:cs="宋体"/>
          <w:color w:val="000000"/>
          <w:szCs w:val="21"/>
        </w:rPr>
      </w:pPr>
      <w:bookmarkStart w:id="218" w:name="_Toc254970543"/>
      <w:bookmarkStart w:id="219" w:name="_Toc254970684"/>
      <w:r>
        <w:rPr>
          <w:rFonts w:hint="eastAsia" w:ascii="宋体" w:hAnsi="宋体" w:cs="宋体"/>
          <w:color w:val="000000"/>
          <w:szCs w:val="21"/>
        </w:rPr>
        <w:t>22.1</w:t>
      </w:r>
      <w:r>
        <w:rPr>
          <w:rFonts w:hint="eastAsia" w:ascii="宋体" w:hAnsi="宋体" w:cs="宋体"/>
          <w:bCs/>
          <w:color w:val="000000"/>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政采云”平台将予以拒收。</w:t>
      </w:r>
      <w:r>
        <w:rPr>
          <w:rFonts w:hint="eastAsia" w:ascii="宋体" w:hAnsi="宋体" w:cs="宋体"/>
          <w:color w:val="000000"/>
          <w:szCs w:val="21"/>
        </w:rPr>
        <w:t>（补充、修改或者撤回方式可登陆</w:t>
      </w:r>
      <w:r>
        <w:rPr>
          <w:rFonts w:hint="eastAsia" w:ascii="宋体" w:hAnsi="宋体" w:cs="宋体"/>
          <w:color w:val="000000"/>
          <w:kern w:val="0"/>
          <w:szCs w:val="21"/>
        </w:rPr>
        <w:t>“政采云”平台，</w:t>
      </w:r>
      <w:r>
        <w:rPr>
          <w:rFonts w:hint="eastAsia" w:ascii="宋体" w:hAnsi="宋体" w:cs="宋体"/>
          <w:color w:val="000000"/>
          <w:szCs w:val="21"/>
        </w:rPr>
        <w:t>依次进入“服务中心”中查看 “电子投标文件制作与投送教程”）</w:t>
      </w:r>
    </w:p>
    <w:bookmarkEnd w:id="218"/>
    <w:bookmarkEnd w:id="219"/>
    <w:p>
      <w:pPr>
        <w:pStyle w:val="108"/>
        <w:spacing w:before="0"/>
        <w:ind w:firstLine="420"/>
        <w:rPr>
          <w:rFonts w:ascii="宋体" w:hAnsi="宋体" w:cs="宋体"/>
          <w:color w:val="000000"/>
          <w:sz w:val="21"/>
          <w:szCs w:val="21"/>
        </w:rPr>
      </w:pPr>
      <w:r>
        <w:rPr>
          <w:rFonts w:hint="eastAsia" w:ascii="宋体" w:hAnsi="宋体" w:cs="宋体"/>
          <w:color w:val="000000"/>
          <w:sz w:val="21"/>
          <w:szCs w:val="21"/>
        </w:rPr>
        <w:t>22.2“政采云”平台收到投标文件后向供应商发出确认回执通知。在投标截止时间前，除供应商补充、修改或者撤回投标文件外，任何单位和个人不得解密或提取投标文件。</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22.3在投标截止时间后，采购人和采购代理机构对已提交的投标文件概不退回。</w:t>
      </w:r>
    </w:p>
    <w:p>
      <w:pPr>
        <w:pStyle w:val="5"/>
        <w:keepNext w:val="0"/>
        <w:keepLines w:val="0"/>
        <w:spacing w:before="100" w:after="60" w:line="415" w:lineRule="auto"/>
        <w:jc w:val="center"/>
        <w:rPr>
          <w:rFonts w:ascii="宋体" w:hAnsi="宋体" w:cs="宋体"/>
          <w:color w:val="000000"/>
        </w:rPr>
      </w:pPr>
      <w:bookmarkStart w:id="220" w:name="_Toc254970685"/>
      <w:bookmarkStart w:id="221" w:name="_Toc254970544"/>
      <w:r>
        <w:rPr>
          <w:rFonts w:hint="eastAsia" w:ascii="宋体" w:hAnsi="宋体" w:cs="宋体"/>
          <w:color w:val="000000"/>
        </w:rPr>
        <w:t>四、开    标</w:t>
      </w:r>
      <w:bookmarkEnd w:id="220"/>
      <w:bookmarkEnd w:id="221"/>
    </w:p>
    <w:p>
      <w:pPr>
        <w:pStyle w:val="7"/>
        <w:keepNext w:val="0"/>
        <w:keepLines w:val="0"/>
        <w:spacing w:before="0" w:after="0" w:line="360" w:lineRule="auto"/>
        <w:ind w:left="420" w:leftChars="200"/>
        <w:rPr>
          <w:rFonts w:ascii="宋体" w:hAnsi="宋体" w:cs="宋体"/>
          <w:color w:val="000000"/>
          <w:sz w:val="24"/>
        </w:rPr>
      </w:pPr>
      <w:bookmarkStart w:id="222" w:name="_23.开标时间和地点"/>
      <w:bookmarkEnd w:id="222"/>
      <w:r>
        <w:rPr>
          <w:rFonts w:hint="eastAsia" w:ascii="宋体" w:hAnsi="宋体" w:cs="宋体"/>
          <w:color w:val="000000"/>
          <w:sz w:val="24"/>
        </w:rPr>
        <w:t>23.开标时间和地点</w:t>
      </w:r>
    </w:p>
    <w:p>
      <w:pPr>
        <w:spacing w:line="360" w:lineRule="auto"/>
        <w:ind w:firstLine="420" w:firstLineChars="200"/>
        <w:rPr>
          <w:rFonts w:ascii="宋体" w:hAnsi="宋体" w:cs="宋体"/>
          <w:bCs/>
          <w:color w:val="000000"/>
        </w:rPr>
      </w:pPr>
      <w:r>
        <w:rPr>
          <w:rFonts w:hint="eastAsia" w:ascii="宋体" w:hAnsi="宋体" w:cs="宋体"/>
          <w:bCs/>
          <w:color w:val="000000"/>
        </w:rPr>
        <w:t>开标时间及地点详见“投标人须知前附表”</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24.开标程序</w:t>
      </w:r>
    </w:p>
    <w:p>
      <w:pPr>
        <w:pStyle w:val="8"/>
        <w:spacing w:line="360" w:lineRule="auto"/>
        <w:rPr>
          <w:rFonts w:ascii="宋体" w:hAnsi="宋体" w:cs="宋体"/>
          <w:color w:val="000000"/>
        </w:rPr>
      </w:pPr>
      <w:r>
        <w:rPr>
          <w:rFonts w:hint="eastAsia" w:ascii="宋体" w:hAnsi="宋体" w:cs="宋体"/>
          <w:color w:val="000000"/>
        </w:rPr>
        <w:t>24.1提交投标文件截止时间止，投标人不足3家的，不得开标。</w:t>
      </w:r>
    </w:p>
    <w:p>
      <w:pPr>
        <w:pStyle w:val="8"/>
        <w:spacing w:line="360" w:lineRule="auto"/>
        <w:rPr>
          <w:rFonts w:ascii="宋体" w:hAnsi="宋体" w:cs="宋体"/>
          <w:color w:val="000000"/>
        </w:rPr>
      </w:pPr>
      <w:r>
        <w:rPr>
          <w:rFonts w:hint="eastAsia" w:ascii="宋体" w:hAnsi="宋体" w:cs="宋体"/>
          <w:color w:val="000000"/>
        </w:rPr>
        <w:t>24.2采购代理机构将按照招标文件规定的时间通过“政采云”平台组织线上开标活动，所有供应商均应当准时在线参加，投标人因未在线参加开标而导致投标文件无法按时解密等一切后果由投标人自己承担。</w:t>
      </w:r>
    </w:p>
    <w:p>
      <w:pPr>
        <w:pStyle w:val="8"/>
        <w:spacing w:line="360" w:lineRule="auto"/>
        <w:rPr>
          <w:rFonts w:ascii="宋体" w:hAnsi="宋体" w:cs="宋体"/>
          <w:color w:val="000000"/>
        </w:rPr>
      </w:pPr>
      <w:r>
        <w:rPr>
          <w:rFonts w:hint="eastAsia" w:ascii="宋体" w:hAnsi="宋体" w:cs="宋体"/>
          <w:color w:val="000000"/>
        </w:rPr>
        <w:t>24.3开标程序</w:t>
      </w:r>
    </w:p>
    <w:p>
      <w:pPr>
        <w:pStyle w:val="8"/>
        <w:spacing w:line="360" w:lineRule="auto"/>
        <w:rPr>
          <w:rFonts w:ascii="宋体" w:hAnsi="宋体" w:cs="宋体"/>
          <w:color w:val="000000"/>
        </w:rPr>
      </w:pPr>
      <w:r>
        <w:rPr>
          <w:rFonts w:hint="eastAsia" w:ascii="宋体" w:hAnsi="宋体" w:cs="宋体"/>
          <w:color w:val="000000"/>
        </w:rPr>
        <w:t>（1）解密电子投标文件。“政采云”平台按开标时间自动提取所有投标文件。采购代理机构依托“政采云”平台向各投标人发出电子加密投标文件【开始解密】通知，由投标人按</w:t>
      </w:r>
      <w:r>
        <w:rPr>
          <w:rFonts w:hint="eastAsia" w:ascii="宋体" w:hAnsi="宋体" w:cs="宋体"/>
          <w:bCs/>
          <w:color w:val="000000"/>
          <w:szCs w:val="21"/>
        </w:rPr>
        <w:t>“投标人须知前附表”</w:t>
      </w:r>
      <w:r>
        <w:rPr>
          <w:rFonts w:hint="eastAsia" w:ascii="宋体" w:hAnsi="宋体" w:cs="宋体"/>
          <w:color w:val="000000"/>
        </w:rPr>
        <w:t>规定的时间内自行进行投标文件解密。投标人的法定代表人或其委托代理人须凭加密时所用的CA锁准时登录到“政采云”平台电子开标大厅签到并对电子投标文件解密。</w:t>
      </w:r>
      <w:r>
        <w:rPr>
          <w:rFonts w:hint="eastAsia" w:ascii="宋体" w:hAnsi="宋体" w:cs="宋体"/>
          <w:b/>
          <w:color w:val="000000"/>
        </w:rPr>
        <w:t>投标人未在规定的时间内解密投标文件或者解密失败的，</w:t>
      </w:r>
      <w:r>
        <w:rPr>
          <w:rFonts w:hint="eastAsia" w:ascii="宋体" w:hAnsi="宋体" w:cs="宋体"/>
          <w:b/>
          <w:color w:val="000000"/>
          <w:szCs w:val="21"/>
        </w:rPr>
        <w:t>投标人的投标文件作无效处理</w:t>
      </w:r>
      <w:r>
        <w:rPr>
          <w:rFonts w:hint="eastAsia" w:ascii="宋体" w:hAnsi="宋体" w:cs="宋体"/>
          <w:b/>
          <w:color w:val="000000"/>
        </w:rPr>
        <w:t>。</w:t>
      </w:r>
    </w:p>
    <w:p>
      <w:pPr>
        <w:pStyle w:val="8"/>
        <w:spacing w:line="360" w:lineRule="auto"/>
        <w:rPr>
          <w:rFonts w:ascii="宋体" w:hAnsi="宋体" w:cs="宋体"/>
          <w:color w:val="000000"/>
        </w:rPr>
      </w:pPr>
      <w:r>
        <w:rPr>
          <w:rFonts w:hint="eastAsia" w:ascii="宋体" w:hAnsi="宋体" w:cs="宋体"/>
          <w:color w:val="000000"/>
        </w:rPr>
        <w:t>（2）电子唱标。投标文件解密结束，宣布的内容均在“政采云”平台远程开标大厅展示，具体详见</w:t>
      </w:r>
      <w:r>
        <w:rPr>
          <w:rFonts w:hint="eastAsia" w:ascii="宋体" w:hAnsi="宋体" w:cs="宋体"/>
          <w:bCs/>
          <w:color w:val="000000"/>
        </w:rPr>
        <w:t>“投标人须知前附表”</w:t>
      </w:r>
      <w:r>
        <w:rPr>
          <w:rFonts w:hint="eastAsia" w:ascii="宋体" w:hAnsi="宋体" w:cs="宋体"/>
          <w:color w:val="000000"/>
        </w:rPr>
        <w:t>；</w:t>
      </w:r>
    </w:p>
    <w:p>
      <w:pPr>
        <w:pStyle w:val="8"/>
        <w:spacing w:line="360" w:lineRule="auto"/>
        <w:rPr>
          <w:rFonts w:ascii="宋体" w:hAnsi="宋体" w:cs="宋体"/>
          <w:color w:val="000000"/>
        </w:rPr>
      </w:pPr>
      <w:r>
        <w:rPr>
          <w:rFonts w:hint="eastAsia" w:ascii="宋体" w:hAnsi="宋体" w:cs="宋体"/>
          <w:color w:val="000000"/>
        </w:rPr>
        <w:t>（3）开标过程由采购代理机构如实记录，并电子留痕，由参加电子开标的各投标人代表对电子开标记录在开标记录公布后15分钟内进行当场校核及勘误，并线上确认是否有异议，未确认的视同认可开标结果。</w:t>
      </w:r>
    </w:p>
    <w:p>
      <w:pPr>
        <w:pStyle w:val="8"/>
        <w:spacing w:line="360" w:lineRule="auto"/>
        <w:rPr>
          <w:rFonts w:ascii="宋体" w:hAnsi="宋体" w:cs="宋体"/>
          <w:color w:val="000000"/>
        </w:rPr>
      </w:pPr>
      <w:r>
        <w:rPr>
          <w:rFonts w:hint="eastAsia" w:ascii="宋体" w:hAnsi="宋体" w:cs="宋体"/>
          <w:color w:val="000000"/>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pStyle w:val="8"/>
        <w:spacing w:line="360" w:lineRule="auto"/>
        <w:rPr>
          <w:rFonts w:ascii="宋体" w:hAnsi="宋体" w:cs="宋体"/>
          <w:color w:val="000000"/>
          <w:szCs w:val="21"/>
        </w:rPr>
      </w:pPr>
      <w:r>
        <w:rPr>
          <w:rFonts w:hint="eastAsia" w:ascii="宋体" w:hAnsi="宋体" w:cs="宋体"/>
          <w:color w:val="000000"/>
          <w:szCs w:val="21"/>
        </w:rPr>
        <w:t>（5）开标结束。</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特别说明：如遇“政采云”平台电子化开标或评审程序调整的，按调整后执行。</w:t>
      </w:r>
    </w:p>
    <w:p>
      <w:pPr>
        <w:pStyle w:val="5"/>
        <w:keepNext w:val="0"/>
        <w:keepLines w:val="0"/>
        <w:spacing w:before="100" w:after="60" w:line="415" w:lineRule="auto"/>
        <w:jc w:val="center"/>
        <w:rPr>
          <w:rFonts w:ascii="宋体" w:hAnsi="宋体" w:cs="宋体"/>
          <w:color w:val="000000"/>
        </w:rPr>
      </w:pPr>
      <w:r>
        <w:rPr>
          <w:rFonts w:hint="eastAsia" w:ascii="宋体" w:hAnsi="宋体" w:cs="宋体"/>
          <w:color w:val="000000"/>
        </w:rPr>
        <w:t>五、资格审查</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25.资格审查</w:t>
      </w:r>
    </w:p>
    <w:p>
      <w:pPr>
        <w:pStyle w:val="7"/>
        <w:keepNext w:val="0"/>
        <w:keepLines w:val="0"/>
        <w:spacing w:before="0" w:after="0" w:line="360" w:lineRule="auto"/>
        <w:ind w:firstLine="315" w:firstLineChars="150"/>
        <w:rPr>
          <w:rFonts w:ascii="宋体" w:hAnsi="宋体" w:cs="宋体"/>
          <w:b w:val="0"/>
          <w:color w:val="000000"/>
          <w:sz w:val="21"/>
          <w:szCs w:val="21"/>
        </w:rPr>
      </w:pPr>
      <w:r>
        <w:rPr>
          <w:rFonts w:hint="eastAsia" w:ascii="宋体" w:hAnsi="宋体" w:cs="宋体"/>
          <w:b w:val="0"/>
          <w:color w:val="000000"/>
          <w:sz w:val="21"/>
          <w:szCs w:val="21"/>
        </w:rPr>
        <w:t xml:space="preserve"> 25.1开标结束后，采购人或者采购代理机构通过电子开评标系统依据招标文件对电子投标文件进行线上资格审查。</w:t>
      </w:r>
    </w:p>
    <w:p>
      <w:pPr>
        <w:pStyle w:val="7"/>
        <w:keepNext w:val="0"/>
        <w:keepLines w:val="0"/>
        <w:spacing w:before="0" w:after="0" w:line="360" w:lineRule="auto"/>
        <w:ind w:firstLine="315" w:firstLineChars="150"/>
        <w:rPr>
          <w:rFonts w:ascii="宋体" w:hAnsi="宋体" w:cs="宋体"/>
          <w:b w:val="0"/>
          <w:color w:val="000000"/>
          <w:sz w:val="21"/>
          <w:szCs w:val="21"/>
        </w:rPr>
      </w:pPr>
      <w:r>
        <w:rPr>
          <w:rFonts w:hint="eastAsia" w:ascii="宋体" w:hAnsi="宋体" w:cs="宋体"/>
          <w:b w:val="0"/>
          <w:color w:val="000000"/>
          <w:sz w:val="21"/>
          <w:szCs w:val="21"/>
        </w:rPr>
        <w:t xml:space="preserve"> 25.2资格审查标准为本招标文件中载明对投标人资格要求的条件。本项目资格审查采用合格制，凡符合招标文件规定的投标人资格要求的投标人均通过资格审查。</w:t>
      </w:r>
    </w:p>
    <w:p>
      <w:pPr>
        <w:pStyle w:val="7"/>
        <w:keepNext w:val="0"/>
        <w:keepLines w:val="0"/>
        <w:numPr>
          <w:ilvl w:val="0"/>
          <w:numId w:val="0"/>
        </w:numPr>
        <w:spacing w:before="0" w:after="0" w:line="360" w:lineRule="auto"/>
        <w:ind w:firstLine="422" w:firstLineChars="200"/>
        <w:rPr>
          <w:rFonts w:ascii="宋体" w:hAnsi="宋体" w:cs="宋体"/>
          <w:color w:val="000000"/>
          <w:sz w:val="21"/>
          <w:szCs w:val="21"/>
        </w:rPr>
      </w:pPr>
      <w:bookmarkStart w:id="223" w:name="_25.3_投标人有下列情形之一的，资格审查不通过而导致其投标无效："/>
      <w:bookmarkEnd w:id="223"/>
      <w:r>
        <w:rPr>
          <w:rFonts w:hint="eastAsia" w:ascii="宋体" w:hAnsi="宋体" w:cs="宋体"/>
          <w:color w:val="000000"/>
          <w:sz w:val="21"/>
          <w:szCs w:val="21"/>
        </w:rPr>
        <w:t>25.3 投标人有下列情形之一的，资格审查不通过，作无效投标处理：</w:t>
      </w:r>
    </w:p>
    <w:p>
      <w:pPr>
        <w:pStyle w:val="24"/>
        <w:snapToGrid w:val="0"/>
        <w:spacing w:line="360" w:lineRule="auto"/>
        <w:ind w:firstLine="422" w:firstLineChars="200"/>
        <w:rPr>
          <w:rFonts w:hAnsi="宋体" w:cs="宋体"/>
          <w:b/>
          <w:color w:val="000000"/>
          <w:sz w:val="21"/>
        </w:rPr>
      </w:pPr>
      <w:r>
        <w:rPr>
          <w:rFonts w:hint="eastAsia" w:hAnsi="宋体" w:cs="宋体"/>
          <w:b/>
          <w:color w:val="000000"/>
          <w:sz w:val="21"/>
        </w:rPr>
        <w:t>（1）不具备招标文件中规定的资格要求的；</w:t>
      </w:r>
    </w:p>
    <w:p>
      <w:pPr>
        <w:pStyle w:val="24"/>
        <w:snapToGrid w:val="0"/>
        <w:spacing w:line="360" w:lineRule="auto"/>
        <w:ind w:firstLine="422" w:firstLineChars="200"/>
        <w:rPr>
          <w:rFonts w:hAnsi="宋体" w:cs="宋体"/>
          <w:b/>
          <w:color w:val="000000"/>
          <w:sz w:val="21"/>
        </w:rPr>
      </w:pPr>
      <w:r>
        <w:rPr>
          <w:rFonts w:hint="eastAsia" w:hAnsi="宋体" w:cs="宋体"/>
          <w:b/>
          <w:color w:val="000000"/>
          <w:sz w:val="21"/>
        </w:rPr>
        <w:t>（2）在“信用中国”网站（www.creditchina.gov.cn）、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政采云”平台已与“信用中国”网站、中国政府采购网实现数据对接，可直接在线查询）</w:t>
      </w:r>
    </w:p>
    <w:p>
      <w:pPr>
        <w:pStyle w:val="24"/>
        <w:snapToGrid w:val="0"/>
        <w:spacing w:line="360" w:lineRule="auto"/>
        <w:ind w:firstLine="422" w:firstLineChars="200"/>
        <w:rPr>
          <w:rFonts w:hAnsi="宋体" w:cs="宋体"/>
          <w:b/>
          <w:color w:val="000000"/>
          <w:sz w:val="21"/>
        </w:rPr>
      </w:pPr>
      <w:r>
        <w:rPr>
          <w:rFonts w:hint="eastAsia" w:hAnsi="宋体" w:cs="宋体"/>
          <w:b/>
          <w:color w:val="000000"/>
          <w:sz w:val="21"/>
        </w:rPr>
        <w:t>（3）同一合同项下的不同投标人，单位负责人为同一人或者存在直接控股、管理关系的；为本项目提供过整体设计、规范编制或者项目管理、监理、检测等服务的供应商，再参加该采购项目的其他采购活动的；</w:t>
      </w:r>
    </w:p>
    <w:p>
      <w:pPr>
        <w:pStyle w:val="24"/>
        <w:snapToGrid w:val="0"/>
        <w:spacing w:line="360" w:lineRule="auto"/>
        <w:ind w:firstLine="422" w:firstLineChars="200"/>
        <w:rPr>
          <w:rFonts w:hAnsi="宋体" w:cs="宋体"/>
          <w:b/>
          <w:color w:val="000000"/>
          <w:sz w:val="21"/>
        </w:rPr>
      </w:pPr>
      <w:r>
        <w:rPr>
          <w:rFonts w:hint="eastAsia" w:hAnsi="宋体" w:cs="宋体"/>
          <w:b/>
          <w:color w:val="000000"/>
          <w:sz w:val="21"/>
        </w:rPr>
        <w:t>（4）投标文件中的资格证明文件缺少任一项“投标人须知前附表”资格证明文件规定“必须提供”的文件资料的；</w:t>
      </w:r>
    </w:p>
    <w:p>
      <w:pPr>
        <w:pStyle w:val="24"/>
        <w:snapToGrid w:val="0"/>
        <w:spacing w:line="360" w:lineRule="auto"/>
        <w:ind w:firstLine="422" w:firstLineChars="200"/>
        <w:rPr>
          <w:rFonts w:hAnsi="宋体" w:cs="宋体"/>
          <w:b/>
          <w:color w:val="000000"/>
          <w:sz w:val="21"/>
        </w:rPr>
      </w:pPr>
      <w:r>
        <w:rPr>
          <w:rFonts w:hint="eastAsia" w:hAnsi="宋体" w:cs="宋体"/>
          <w:b/>
          <w:color w:val="000000"/>
          <w:sz w:val="21"/>
        </w:rPr>
        <w:t>（5）投标文件中的资格证明文件出现任一项不符合“投标人须知前附表”资格证明文件规定“必须提供”的文件资料要求或者无效的。</w:t>
      </w:r>
    </w:p>
    <w:p>
      <w:pPr>
        <w:pStyle w:val="7"/>
        <w:keepNext w:val="0"/>
        <w:keepLines w:val="0"/>
        <w:spacing w:before="0" w:after="0" w:line="360" w:lineRule="auto"/>
        <w:ind w:left="420" w:leftChars="200"/>
        <w:rPr>
          <w:rFonts w:ascii="宋体" w:hAnsi="宋体" w:cs="宋体"/>
          <w:b w:val="0"/>
          <w:color w:val="000000"/>
          <w:sz w:val="21"/>
          <w:szCs w:val="21"/>
        </w:rPr>
      </w:pPr>
      <w:r>
        <w:rPr>
          <w:rFonts w:hint="eastAsia" w:ascii="宋体" w:hAnsi="宋体" w:cs="宋体"/>
          <w:color w:val="000000"/>
          <w:sz w:val="21"/>
          <w:szCs w:val="21"/>
        </w:rPr>
        <w:t>25.4合格投标人不足3家的，不得评标。</w:t>
      </w:r>
    </w:p>
    <w:p>
      <w:pPr>
        <w:pStyle w:val="5"/>
        <w:keepNext w:val="0"/>
        <w:keepLines w:val="0"/>
        <w:spacing w:before="100" w:after="60" w:line="415" w:lineRule="auto"/>
        <w:jc w:val="center"/>
        <w:rPr>
          <w:rFonts w:ascii="宋体" w:hAnsi="宋体" w:cs="宋体"/>
          <w:color w:val="000000"/>
        </w:rPr>
      </w:pPr>
      <w:r>
        <w:rPr>
          <w:rFonts w:hint="eastAsia" w:ascii="宋体" w:hAnsi="宋体" w:cs="宋体"/>
          <w:color w:val="000000"/>
        </w:rPr>
        <w:t>六、评   标</w:t>
      </w:r>
    </w:p>
    <w:p>
      <w:pPr>
        <w:pStyle w:val="7"/>
        <w:keepNext w:val="0"/>
        <w:keepLines w:val="0"/>
        <w:spacing w:before="0" w:after="0" w:line="360" w:lineRule="auto"/>
        <w:ind w:left="420" w:leftChars="200"/>
        <w:rPr>
          <w:rFonts w:ascii="宋体" w:hAnsi="宋体" w:cs="宋体"/>
          <w:color w:val="000000"/>
          <w:sz w:val="24"/>
        </w:rPr>
      </w:pPr>
      <w:bookmarkStart w:id="224" w:name="_26.组建评标委员会"/>
      <w:bookmarkEnd w:id="224"/>
      <w:r>
        <w:rPr>
          <w:rFonts w:hint="eastAsia" w:ascii="宋体" w:hAnsi="宋体" w:cs="宋体"/>
          <w:color w:val="000000"/>
          <w:sz w:val="24"/>
        </w:rPr>
        <w:t>26.组建评标委员会</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26.1评标委员会由采购人代表和评审专家组成，具体人数详见“投标人须知前附表”，其中评审专家不得少于成员总数的三分之二。</w:t>
      </w:r>
    </w:p>
    <w:p>
      <w:pPr>
        <w:pStyle w:val="24"/>
        <w:snapToGrid w:val="0"/>
        <w:spacing w:line="360" w:lineRule="auto"/>
        <w:ind w:left="2" w:leftChars="1" w:firstLine="420" w:firstLineChars="200"/>
        <w:rPr>
          <w:rFonts w:hAnsi="宋体" w:cs="宋体"/>
          <w:color w:val="000000"/>
          <w:sz w:val="21"/>
        </w:rPr>
      </w:pPr>
      <w:r>
        <w:rPr>
          <w:rFonts w:hint="eastAsia" w:hAnsi="宋体" w:cs="宋体"/>
          <w:color w:val="000000"/>
          <w:sz w:val="21"/>
        </w:rPr>
        <w:t>26.2参加过采购项目前期咨询论证的专家，不得参加该采购项目的评审活动。</w:t>
      </w:r>
    </w:p>
    <w:p>
      <w:pPr>
        <w:pStyle w:val="24"/>
        <w:snapToGrid w:val="0"/>
        <w:spacing w:line="360" w:lineRule="auto"/>
        <w:ind w:left="2" w:leftChars="1" w:firstLine="420" w:firstLineChars="200"/>
        <w:rPr>
          <w:rFonts w:hAnsi="宋体" w:cs="宋体"/>
          <w:color w:val="000000"/>
          <w:sz w:val="21"/>
        </w:rPr>
      </w:pPr>
      <w:r>
        <w:rPr>
          <w:rFonts w:hint="eastAsia" w:hAnsi="宋体" w:cs="宋体"/>
          <w:color w:val="000000"/>
          <w:sz w:val="21"/>
        </w:rPr>
        <w:t>26.3</w:t>
      </w:r>
      <w:r>
        <w:rPr>
          <w:rFonts w:hint="eastAsia" w:hAnsi="宋体" w:cs="宋体"/>
          <w:bCs/>
          <w:color w:val="000000"/>
          <w:sz w:val="21"/>
        </w:rPr>
        <w:t>采购代理机构应当基于“政采云”平台抽（选）取评审专家。</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27.评标的依据</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评标委员会以“第四章 评标方法和评标标准”为依据对投标文件进行评审，没有规定的方法、评审因素和标准，不作为评标依据。</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28.评标原则</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28.2</w:t>
      </w:r>
      <w:bookmarkStart w:id="225" w:name="_28.3评标方法。本项目将按须知前附表规定的评标办法进行评标，具体评标"/>
      <w:bookmarkEnd w:id="225"/>
      <w:r>
        <w:rPr>
          <w:rFonts w:hint="eastAsia" w:hAnsi="宋体" w:cs="宋体"/>
          <w:color w:val="000000"/>
          <w:sz w:val="21"/>
        </w:rPr>
        <w:t>评委表决。评标委员会成员对需要共同认定的事项存在争议的，应当按照少数服从多数的原则作出结论。</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28.4评标过程的监控。本项目电子评标过程实行网上留痕、全程录音、录像监控，</w:t>
      </w:r>
      <w:r>
        <w:rPr>
          <w:rFonts w:hint="eastAsia" w:hAnsi="宋体" w:cs="宋体"/>
          <w:b/>
          <w:color w:val="000000"/>
          <w:sz w:val="21"/>
        </w:rPr>
        <w:t>投标人在评标过程中所进行的试图影响评标结果的不公正活动，可能导致其投标按无效处理。</w:t>
      </w:r>
    </w:p>
    <w:p>
      <w:pPr>
        <w:pStyle w:val="7"/>
        <w:keepNext w:val="0"/>
        <w:keepLines w:val="0"/>
        <w:spacing w:before="0" w:after="0" w:line="360" w:lineRule="auto"/>
        <w:ind w:left="420" w:leftChars="200"/>
        <w:rPr>
          <w:rFonts w:ascii="宋体" w:hAnsi="宋体" w:cs="宋体"/>
          <w:color w:val="000000"/>
          <w:sz w:val="21"/>
          <w:szCs w:val="21"/>
        </w:rPr>
      </w:pPr>
      <w:r>
        <w:rPr>
          <w:rFonts w:hint="eastAsia" w:ascii="宋体" w:hAnsi="宋体" w:cs="宋体"/>
          <w:color w:val="000000"/>
          <w:sz w:val="21"/>
          <w:szCs w:val="21"/>
        </w:rPr>
        <w:t>29.评标方法及中标候选人推荐</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29.1本项目的评标方法详见“投标人须知前附表”。</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29.2 商务/技术要求允许负偏离的条款数详见“投标人须知前附表”。</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29.3 中标候选人推荐数量详见“投标人须知前附表”。</w:t>
      </w:r>
    </w:p>
    <w:p>
      <w:pPr>
        <w:spacing w:line="360" w:lineRule="auto"/>
        <w:ind w:firstLine="420" w:firstLineChars="200"/>
        <w:rPr>
          <w:rFonts w:ascii="宋体" w:hAnsi="宋体" w:cs="宋体"/>
          <w:color w:val="000000"/>
        </w:rPr>
      </w:pPr>
      <w:r>
        <w:rPr>
          <w:rFonts w:hint="eastAsia" w:ascii="宋体" w:hAnsi="宋体" w:cs="宋体"/>
          <w:color w:val="000000"/>
          <w:szCs w:val="21"/>
        </w:rPr>
        <w:t>29.4 电子交易活动的中止。采购过程中出现以下情形，导致</w:t>
      </w:r>
      <w:r>
        <w:rPr>
          <w:rFonts w:hint="eastAsia" w:ascii="宋体" w:hAnsi="宋体" w:cs="宋体"/>
          <w:color w:val="000000"/>
        </w:rPr>
        <w:t>电子交易平台无法正常运行，或者无法保证电子交易的公平、公正和安全时，采购代理机构可以中止电子交易活动：</w:t>
      </w:r>
    </w:p>
    <w:p>
      <w:pPr>
        <w:spacing w:line="360" w:lineRule="auto"/>
        <w:ind w:firstLine="420" w:firstLineChars="200"/>
        <w:rPr>
          <w:rFonts w:ascii="宋体" w:hAnsi="宋体" w:cs="宋体"/>
          <w:color w:val="000000"/>
        </w:rPr>
      </w:pPr>
      <w:r>
        <w:rPr>
          <w:rFonts w:hint="eastAsia" w:ascii="宋体" w:hAnsi="宋体" w:cs="宋体"/>
          <w:color w:val="000000"/>
        </w:rPr>
        <w:t xml:space="preserve">（1）电子交易平台发生故障而无法登录访问的； </w:t>
      </w:r>
    </w:p>
    <w:p>
      <w:pPr>
        <w:spacing w:line="360" w:lineRule="auto"/>
        <w:ind w:firstLine="420" w:firstLineChars="200"/>
        <w:rPr>
          <w:rFonts w:ascii="宋体" w:hAnsi="宋体" w:cs="宋体"/>
          <w:color w:val="000000"/>
        </w:rPr>
      </w:pPr>
      <w:r>
        <w:rPr>
          <w:rFonts w:hint="eastAsia" w:ascii="宋体" w:hAnsi="宋体" w:cs="宋体"/>
          <w:color w:val="000000"/>
        </w:rPr>
        <w:t>（2）电子交易平台应用或数据库出现错误，不能进行正常操作的；</w:t>
      </w:r>
    </w:p>
    <w:p>
      <w:pPr>
        <w:spacing w:line="360" w:lineRule="auto"/>
        <w:ind w:firstLine="420" w:firstLineChars="200"/>
        <w:rPr>
          <w:rFonts w:ascii="宋体" w:hAnsi="宋体" w:cs="宋体"/>
          <w:color w:val="000000"/>
        </w:rPr>
      </w:pPr>
      <w:r>
        <w:rPr>
          <w:rFonts w:hint="eastAsia" w:ascii="宋体" w:hAnsi="宋体" w:cs="宋体"/>
          <w:color w:val="000000"/>
        </w:rPr>
        <w:t>（3）电子交易平台发现严重安全漏洞，有潜在泄密危险的；</w:t>
      </w:r>
    </w:p>
    <w:p>
      <w:pPr>
        <w:spacing w:line="360" w:lineRule="auto"/>
        <w:ind w:firstLine="420" w:firstLineChars="200"/>
        <w:rPr>
          <w:rFonts w:ascii="宋体" w:hAnsi="宋体" w:cs="宋体"/>
          <w:color w:val="000000"/>
        </w:rPr>
      </w:pPr>
      <w:r>
        <w:rPr>
          <w:rFonts w:hint="eastAsia" w:ascii="宋体" w:hAnsi="宋体" w:cs="宋体"/>
          <w:color w:val="000000"/>
        </w:rPr>
        <w:t xml:space="preserve">（4）病毒发作导致不能进行正常操作的； </w:t>
      </w:r>
    </w:p>
    <w:p>
      <w:pPr>
        <w:spacing w:line="360" w:lineRule="auto"/>
        <w:ind w:firstLine="420" w:firstLineChars="200"/>
        <w:rPr>
          <w:rFonts w:ascii="宋体" w:hAnsi="宋体" w:cs="宋体"/>
          <w:color w:val="000000"/>
        </w:rPr>
      </w:pPr>
      <w:r>
        <w:rPr>
          <w:rFonts w:hint="eastAsia" w:ascii="宋体" w:hAnsi="宋体" w:cs="宋体"/>
          <w:color w:val="000000"/>
        </w:rPr>
        <w:t>（5）其他无法保证电子交易的公平、公正和安全的情况。</w:t>
      </w:r>
    </w:p>
    <w:p>
      <w:pPr>
        <w:spacing w:line="360" w:lineRule="auto"/>
        <w:ind w:firstLine="420" w:firstLineChars="200"/>
        <w:rPr>
          <w:rFonts w:ascii="宋体" w:hAnsi="宋体" w:cs="宋体"/>
          <w:color w:val="000000"/>
        </w:rPr>
      </w:pPr>
      <w:r>
        <w:rPr>
          <w:rFonts w:hint="eastAsia" w:ascii="宋体" w:hAnsi="宋体" w:cs="宋体"/>
          <w:color w:val="000000"/>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pPr>
        <w:pStyle w:val="5"/>
        <w:keepNext w:val="0"/>
        <w:keepLines w:val="0"/>
        <w:spacing w:before="100" w:after="60" w:line="415" w:lineRule="auto"/>
        <w:jc w:val="center"/>
        <w:rPr>
          <w:rFonts w:ascii="宋体" w:hAnsi="宋体" w:cs="宋体"/>
          <w:color w:val="000000"/>
        </w:rPr>
      </w:pPr>
      <w:bookmarkStart w:id="226" w:name="_Toc254970687"/>
      <w:bookmarkStart w:id="227" w:name="_Toc254970546"/>
      <w:r>
        <w:rPr>
          <w:rFonts w:hint="eastAsia" w:ascii="宋体" w:hAnsi="宋体" w:cs="宋体"/>
          <w:color w:val="000000"/>
        </w:rPr>
        <w:t>七、</w:t>
      </w:r>
      <w:bookmarkEnd w:id="226"/>
      <w:bookmarkEnd w:id="227"/>
      <w:r>
        <w:rPr>
          <w:rFonts w:hint="eastAsia" w:ascii="宋体" w:hAnsi="宋体" w:cs="宋体"/>
          <w:color w:val="000000"/>
        </w:rPr>
        <w:t>中标和合同</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30 确定中标人</w:t>
      </w:r>
    </w:p>
    <w:p>
      <w:pPr>
        <w:pStyle w:val="7"/>
        <w:keepNext w:val="0"/>
        <w:keepLines w:val="0"/>
        <w:spacing w:before="0" w:after="0" w:line="360" w:lineRule="auto"/>
        <w:ind w:firstLine="420" w:firstLineChars="200"/>
        <w:rPr>
          <w:rFonts w:ascii="宋体" w:hAnsi="宋体" w:cs="宋体"/>
          <w:b w:val="0"/>
          <w:color w:val="000000"/>
          <w:sz w:val="21"/>
          <w:szCs w:val="21"/>
        </w:rPr>
      </w:pPr>
      <w:r>
        <w:rPr>
          <w:rFonts w:hint="eastAsia" w:ascii="宋体" w:hAnsi="宋体" w:cs="宋体"/>
          <w:b w:val="0"/>
          <w:color w:val="000000"/>
          <w:sz w:val="21"/>
          <w:szCs w:val="21"/>
        </w:rPr>
        <w:t>30.1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30.2采购人在收到评标报告5个工作日内未按评标报告推荐的中标候选人顺序确定中标人，又不能说明合法理由的，视同按评标报告推荐的顺序确定排名第一的中标候选人为中标人。</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30.3出现下列情形之一的，应予废标：</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（1）符合专业条件的供应商或者对招标文件作实质响应的供应商不足三家的；</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（2）出现影响采购公正的违法、违规行为的；</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（3）投标人的报价均超过了采购预算，采购人不能支付的；</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（4）因重大变故，采购任务取消的。</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废标后，采购人应当将废标理由通知所有投标人。</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31. 结果公告</w:t>
      </w:r>
    </w:p>
    <w:p>
      <w:pPr>
        <w:pStyle w:val="7"/>
        <w:keepNext w:val="0"/>
        <w:keepLines w:val="0"/>
        <w:spacing w:before="0" w:after="0" w:line="360" w:lineRule="auto"/>
        <w:ind w:firstLine="420" w:firstLineChars="200"/>
        <w:rPr>
          <w:rFonts w:ascii="宋体" w:hAnsi="宋体" w:cs="宋体"/>
          <w:b w:val="0"/>
          <w:color w:val="000000"/>
          <w:sz w:val="21"/>
          <w:szCs w:val="21"/>
        </w:rPr>
      </w:pPr>
      <w:r>
        <w:rPr>
          <w:rFonts w:hint="eastAsia" w:ascii="宋体" w:hAnsi="宋体" w:cs="宋体"/>
          <w:b w:val="0"/>
          <w:color w:val="000000"/>
          <w:sz w:val="21"/>
          <w:szCs w:val="21"/>
        </w:rPr>
        <w:t>31.1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以上信息查询记录及相关证据与采购文件一并保存。</w:t>
      </w:r>
    </w:p>
    <w:p>
      <w:pPr>
        <w:pStyle w:val="7"/>
        <w:keepNext w:val="0"/>
        <w:keepLines w:val="0"/>
        <w:spacing w:before="0" w:after="0" w:line="360" w:lineRule="auto"/>
        <w:ind w:firstLine="420" w:firstLineChars="200"/>
        <w:rPr>
          <w:rFonts w:ascii="宋体" w:hAnsi="宋体" w:cs="宋体"/>
          <w:b w:val="0"/>
          <w:color w:val="000000"/>
          <w:sz w:val="21"/>
          <w:szCs w:val="21"/>
        </w:rPr>
      </w:pPr>
      <w:r>
        <w:rPr>
          <w:rFonts w:hint="eastAsia" w:ascii="宋体" w:hAnsi="宋体" w:cs="宋体"/>
          <w:b w:val="0"/>
          <w:color w:val="000000"/>
          <w:sz w:val="21"/>
          <w:szCs w:val="21"/>
        </w:rPr>
        <w:t>31.2中标人享受《政府采购促进中小企业发展管理办法》（财库〔2020〕46号）规定的中小企业扶持政策的，采购人、采购代理机构应当随中标结果公开中标人的《中小企业声明函》。</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32.发出中标通知书</w:t>
      </w:r>
    </w:p>
    <w:p>
      <w:pPr>
        <w:pStyle w:val="7"/>
        <w:keepNext w:val="0"/>
        <w:keepLines w:val="0"/>
        <w:spacing w:before="0" w:after="0" w:line="360" w:lineRule="auto"/>
        <w:rPr>
          <w:rFonts w:ascii="宋体" w:hAnsi="宋体" w:cs="宋体"/>
          <w:b w:val="0"/>
          <w:color w:val="000000"/>
          <w:sz w:val="21"/>
          <w:szCs w:val="21"/>
        </w:rPr>
      </w:pPr>
      <w:r>
        <w:rPr>
          <w:rFonts w:hint="eastAsia" w:ascii="宋体" w:hAnsi="宋体" w:cs="宋体"/>
          <w:b w:val="0"/>
          <w:color w:val="000000"/>
          <w:sz w:val="21"/>
          <w:szCs w:val="21"/>
        </w:rPr>
        <w:t xml:space="preserve">    在发布中标公告的同时，采购代理机构向中标人通过“政采云”平台发出电子中标通知书。对未通过资格审查的投标人，应当告知其未通过的原因；采用综合评分办法评审的，还应当告知未中标人本人的评审得分与排序。</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33. 无义务解释未中标原因</w:t>
      </w:r>
    </w:p>
    <w:p>
      <w:pPr>
        <w:pStyle w:val="7"/>
        <w:keepNext w:val="0"/>
        <w:keepLines w:val="0"/>
        <w:spacing w:before="0" w:after="0" w:line="360" w:lineRule="auto"/>
        <w:ind w:left="420" w:leftChars="200"/>
        <w:rPr>
          <w:rFonts w:ascii="宋体" w:hAnsi="宋体" w:cs="宋体"/>
          <w:b w:val="0"/>
          <w:color w:val="000000"/>
          <w:sz w:val="21"/>
          <w:szCs w:val="21"/>
        </w:rPr>
      </w:pPr>
      <w:r>
        <w:rPr>
          <w:rFonts w:hint="eastAsia" w:ascii="宋体" w:hAnsi="宋体" w:cs="宋体"/>
          <w:b w:val="0"/>
          <w:color w:val="000000"/>
          <w:sz w:val="21"/>
          <w:szCs w:val="21"/>
        </w:rPr>
        <w:t>采购代理机构无义务向未中标的投标人解释未中标原因。</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34.合同授予标准</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合同将授予被确定实质上响应招标文件要求，具备履行合同能力的中标人。</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35.履约保证金</w:t>
      </w:r>
    </w:p>
    <w:p>
      <w:pPr>
        <w:pStyle w:val="7"/>
        <w:keepNext w:val="0"/>
        <w:keepLines w:val="0"/>
        <w:spacing w:before="0" w:after="0" w:line="360" w:lineRule="auto"/>
        <w:ind w:firstLine="315" w:firstLineChars="150"/>
        <w:rPr>
          <w:rFonts w:ascii="宋体" w:hAnsi="宋体" w:cs="宋体"/>
          <w:b w:val="0"/>
          <w:color w:val="000000"/>
          <w:sz w:val="21"/>
          <w:szCs w:val="21"/>
        </w:rPr>
      </w:pPr>
      <w:bookmarkStart w:id="228" w:name="_39.1中标人须于签订合同前按本须知前附表规定的金额转账或电汇到指定账"/>
      <w:bookmarkEnd w:id="228"/>
      <w:r>
        <w:rPr>
          <w:rFonts w:hint="eastAsia" w:ascii="宋体" w:hAnsi="宋体" w:cs="宋体"/>
          <w:b w:val="0"/>
          <w:color w:val="000000"/>
          <w:sz w:val="21"/>
          <w:szCs w:val="21"/>
        </w:rPr>
        <w:t xml:space="preserve"> 35.1 履约保证金的金额、提交方式、退付的时间和条件详见 “投标人须知前附表”。中标人未按规定提交履约保证金的，视为拒绝与采购人签订合同。</w:t>
      </w:r>
    </w:p>
    <w:p>
      <w:pPr>
        <w:pStyle w:val="7"/>
        <w:keepNext w:val="0"/>
        <w:keepLines w:val="0"/>
        <w:spacing w:before="0" w:after="0" w:line="360" w:lineRule="auto"/>
        <w:ind w:firstLine="315" w:firstLineChars="150"/>
        <w:rPr>
          <w:rFonts w:ascii="宋体" w:hAnsi="宋体" w:cs="宋体"/>
          <w:color w:val="000000"/>
          <w:sz w:val="21"/>
          <w:szCs w:val="21"/>
        </w:rPr>
      </w:pPr>
      <w:r>
        <w:rPr>
          <w:rFonts w:hint="eastAsia" w:ascii="宋体" w:hAnsi="宋体" w:cs="宋体"/>
          <w:b w:val="0"/>
          <w:bCs/>
          <w:color w:val="000000"/>
          <w:sz w:val="21"/>
          <w:szCs w:val="21"/>
        </w:rPr>
        <w:t>35.2在履约保证金退还日期前，若中标人的开户名称、开户银行、帐号有变动的，请以书面形式通知履约保证金收取单位，否则由此产生的后果由中标人自行承担。</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36.签订合同</w:t>
      </w:r>
    </w:p>
    <w:p>
      <w:pPr>
        <w:pStyle w:val="7"/>
        <w:keepNext w:val="0"/>
        <w:keepLines w:val="0"/>
        <w:spacing w:before="0" w:after="0" w:line="360" w:lineRule="auto"/>
        <w:ind w:firstLine="316" w:firstLineChars="150"/>
        <w:rPr>
          <w:rFonts w:ascii="宋体" w:hAnsi="宋体" w:cs="宋体"/>
          <w:b w:val="0"/>
          <w:color w:val="000000"/>
          <w:sz w:val="21"/>
          <w:szCs w:val="21"/>
        </w:rPr>
      </w:pPr>
      <w:bookmarkStart w:id="229" w:name="_40.1投标人接到中标通知书后，按须知前附表规定向采购人出示相关资格证"/>
      <w:bookmarkEnd w:id="229"/>
      <w:r>
        <w:rPr>
          <w:rFonts w:hint="eastAsia" w:ascii="宋体" w:hAnsi="宋体" w:cs="宋体"/>
          <w:color w:val="000000"/>
          <w:sz w:val="21"/>
          <w:szCs w:val="21"/>
        </w:rPr>
        <w:t>36.1签订电子采购合同：中标人领取电子中标通知书后，</w:t>
      </w:r>
      <w:r>
        <w:rPr>
          <w:rFonts w:hint="eastAsia" w:ascii="宋体" w:hAnsi="宋体" w:cs="宋体"/>
          <w:color w:val="000000"/>
          <w:kern w:val="0"/>
          <w:sz w:val="21"/>
          <w:szCs w:val="21"/>
        </w:rPr>
        <w:t>在</w:t>
      </w:r>
      <w:r>
        <w:rPr>
          <w:rFonts w:hint="eastAsia" w:ascii="宋体" w:hAnsi="宋体" w:cs="宋体"/>
          <w:color w:val="000000"/>
          <w:kern w:val="0"/>
          <w:sz w:val="21"/>
          <w:szCs w:val="21"/>
          <w:lang w:val="zh-CN"/>
        </w:rPr>
        <w:t>规定的日期、时间、地点，由法定代表人或其授权代表与采购人代表签订电子采购合同。</w:t>
      </w:r>
    </w:p>
    <w:p>
      <w:pPr>
        <w:pStyle w:val="7"/>
        <w:keepNext w:val="0"/>
        <w:keepLines w:val="0"/>
        <w:spacing w:before="0" w:after="0" w:line="360" w:lineRule="auto"/>
        <w:ind w:firstLine="315" w:firstLineChars="150"/>
        <w:rPr>
          <w:rFonts w:ascii="宋体" w:hAnsi="宋体" w:cs="宋体"/>
          <w:b w:val="0"/>
          <w:color w:val="000000"/>
          <w:sz w:val="21"/>
          <w:szCs w:val="21"/>
        </w:rPr>
      </w:pPr>
      <w:r>
        <w:rPr>
          <w:rFonts w:hint="eastAsia" w:ascii="宋体" w:hAnsi="宋体" w:cs="宋体"/>
          <w:b w:val="0"/>
          <w:color w:val="000000"/>
          <w:sz w:val="21"/>
          <w:szCs w:val="21"/>
        </w:rPr>
        <w:t xml:space="preserve"> 线下签订纸质合同：投标人领取中标通知书后，按“投标人须知前附表”规定向采购人出示相关证明材料，经采购人核验合格后方可签订合同。</w:t>
      </w:r>
    </w:p>
    <w:p>
      <w:pPr>
        <w:pStyle w:val="7"/>
        <w:keepNext w:val="0"/>
        <w:keepLines w:val="0"/>
        <w:numPr>
          <w:ilvl w:val="0"/>
          <w:numId w:val="0"/>
        </w:numPr>
        <w:spacing w:before="0" w:after="0" w:line="360" w:lineRule="auto"/>
        <w:ind w:firstLine="420" w:firstLineChars="200"/>
        <w:rPr>
          <w:rFonts w:ascii="宋体" w:hAnsi="宋体" w:cs="宋体"/>
          <w:b w:val="0"/>
          <w:color w:val="000000"/>
          <w:sz w:val="21"/>
          <w:szCs w:val="21"/>
        </w:rPr>
      </w:pPr>
      <w:r>
        <w:rPr>
          <w:rFonts w:hint="eastAsia" w:ascii="宋体" w:hAnsi="宋体" w:cs="宋体"/>
          <w:b w:val="0"/>
          <w:color w:val="000000"/>
          <w:sz w:val="21"/>
          <w:szCs w:val="21"/>
        </w:rPr>
        <w:t>36.2签订合同时间：按中标通知书规定的时间与采购人签订合同。</w:t>
      </w:r>
    </w:p>
    <w:p>
      <w:pPr>
        <w:pStyle w:val="7"/>
        <w:keepNext w:val="0"/>
        <w:keepLines w:val="0"/>
        <w:spacing w:before="0" w:after="0" w:line="360" w:lineRule="auto"/>
        <w:rPr>
          <w:rFonts w:ascii="宋体" w:hAnsi="宋体" w:cs="宋体"/>
          <w:b w:val="0"/>
          <w:color w:val="000000"/>
          <w:sz w:val="21"/>
          <w:szCs w:val="21"/>
        </w:rPr>
      </w:pPr>
      <w:r>
        <w:rPr>
          <w:rFonts w:hint="eastAsia" w:ascii="宋体" w:hAnsi="宋体" w:cs="宋体"/>
          <w:b w:val="0"/>
          <w:color w:val="000000"/>
          <w:sz w:val="21"/>
          <w:szCs w:val="21"/>
        </w:rPr>
        <w:t xml:space="preserve">    36.3中标人拒绝签订政府采购合同（包括但不限于放弃中标、因不可抗力不能履行合同而放弃签订合同），采购人可以按照评审报告推荐的中标候选人名单排序，确定下一候选人为中标人，也可以重新开展政府采购活动。如采购人无正当理由拒签合同的，给中标人造成损失的，中标人可追究采购人承担相应的法律责任。</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36.4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36.5采购人或中标人不得单方面向合同另一方提出任何招标文件没有约定的条件或不合理的要求，作为签订合同的条件；也不得协商另行订立背离招标文件和合同实质性内容的协议。</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36.6如签订合同并生效后，供应商无故拒绝或延期，除按照合同条款处理外，将承担相应的法律责任。</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36.7政府采购合同履行中，采购人需追加与合同标的相同的货物、工程或者服务的，在不改变合同其他条款的前提下，可以与供应商协商签订补充合同，但所有补充合同的采购金额不得超过原合同采购金额的10%。</w:t>
      </w:r>
    </w:p>
    <w:p>
      <w:pPr>
        <w:pStyle w:val="7"/>
        <w:keepNext w:val="0"/>
        <w:keepLines w:val="0"/>
        <w:spacing w:before="0" w:after="0" w:line="360" w:lineRule="auto"/>
        <w:ind w:left="420" w:leftChars="200"/>
        <w:rPr>
          <w:rFonts w:ascii="宋体" w:hAnsi="宋体" w:cs="宋体"/>
          <w:color w:val="000000"/>
          <w:sz w:val="24"/>
        </w:rPr>
      </w:pPr>
      <w:bookmarkStart w:id="230" w:name="_41.政府采购合同公告"/>
      <w:bookmarkEnd w:id="230"/>
      <w:r>
        <w:rPr>
          <w:rFonts w:hint="eastAsia" w:ascii="宋体" w:hAnsi="宋体" w:cs="宋体"/>
          <w:color w:val="000000"/>
          <w:sz w:val="24"/>
        </w:rPr>
        <w:t>37.政府采购合同公告</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采购人或者受托采购代理机构应当自政府采购合同签订之日起2个工作日内，将政府采购合同在省级以上人民政府财政部门指定的媒体上公告，但政府采购合同中涉及国家秘密、商业秘密的内容除外。</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38. 询问、质疑和投诉</w:t>
      </w:r>
    </w:p>
    <w:p>
      <w:pPr>
        <w:pStyle w:val="8"/>
        <w:spacing w:line="360" w:lineRule="auto"/>
        <w:rPr>
          <w:rFonts w:ascii="宋体" w:hAnsi="宋体" w:cs="宋体"/>
          <w:color w:val="000000"/>
          <w:szCs w:val="21"/>
        </w:rPr>
      </w:pPr>
      <w:r>
        <w:rPr>
          <w:rFonts w:hint="eastAsia" w:ascii="宋体" w:hAnsi="宋体" w:cs="宋体"/>
          <w:color w:val="000000"/>
          <w:szCs w:val="21"/>
        </w:rPr>
        <w:t>38.1供应商对政府采购活动事项有疑问的，可以向采购人提出询问，采购人或者采购代理机构应当在3个工作日内对供应商依法提出的询问作出答复，但答复的内容不得涉及商业秘密。</w:t>
      </w:r>
    </w:p>
    <w:p>
      <w:pPr>
        <w:pStyle w:val="7"/>
        <w:keepNext w:val="0"/>
        <w:keepLines w:val="0"/>
        <w:spacing w:before="0" w:after="0" w:line="360" w:lineRule="auto"/>
        <w:ind w:firstLine="315" w:firstLineChars="150"/>
        <w:rPr>
          <w:rFonts w:ascii="宋体" w:hAnsi="宋体" w:cs="宋体"/>
          <w:b w:val="0"/>
          <w:color w:val="000000"/>
          <w:sz w:val="21"/>
          <w:szCs w:val="21"/>
        </w:rPr>
      </w:pPr>
      <w:r>
        <w:rPr>
          <w:rFonts w:hint="eastAsia" w:ascii="宋体" w:hAnsi="宋体" w:cs="宋体"/>
          <w:b w:val="0"/>
          <w:color w:val="000000"/>
          <w:sz w:val="21"/>
          <w:szCs w:val="21"/>
        </w:rPr>
        <w:t xml:space="preserve"> 38.2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（1）对可以质疑的招标文件提出质疑的，为收到招标文件之日或者招标文件公告期限届满之日；</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（2）对采购过程提出质疑的，为各采购程序环节结束之日；</w:t>
      </w:r>
    </w:p>
    <w:p>
      <w:pPr>
        <w:pStyle w:val="24"/>
        <w:snapToGrid w:val="0"/>
        <w:spacing w:line="360" w:lineRule="auto"/>
        <w:ind w:firstLine="420" w:firstLineChars="200"/>
        <w:rPr>
          <w:rFonts w:hAnsi="宋体" w:cs="宋体"/>
          <w:bCs/>
          <w:color w:val="000000"/>
          <w:sz w:val="21"/>
        </w:rPr>
      </w:pPr>
      <w:r>
        <w:rPr>
          <w:rFonts w:hint="eastAsia" w:hAnsi="宋体" w:cs="宋体"/>
          <w:color w:val="000000"/>
          <w:sz w:val="21"/>
        </w:rPr>
        <w:t>（3）对中标结果提出质疑的，为中标结果公告期限届满之日。</w:t>
      </w:r>
    </w:p>
    <w:p>
      <w:pPr>
        <w:pStyle w:val="7"/>
        <w:keepNext w:val="0"/>
        <w:keepLines w:val="0"/>
        <w:spacing w:before="0" w:after="0" w:line="360" w:lineRule="auto"/>
        <w:ind w:firstLine="315" w:firstLineChars="150"/>
        <w:rPr>
          <w:rFonts w:ascii="宋体" w:hAnsi="宋体" w:cs="宋体"/>
          <w:b w:val="0"/>
          <w:color w:val="000000"/>
          <w:sz w:val="21"/>
          <w:szCs w:val="21"/>
        </w:rPr>
      </w:pPr>
      <w:bookmarkStart w:id="231" w:name="_9.2质疑、投诉应当采用书面形式，质疑函、投诉书均应明确阐述招标文件、"/>
      <w:bookmarkEnd w:id="231"/>
      <w:r>
        <w:rPr>
          <w:rFonts w:hint="eastAsia" w:ascii="宋体" w:hAnsi="宋体" w:cs="宋体"/>
          <w:b w:val="0"/>
          <w:color w:val="000000"/>
          <w:sz w:val="21"/>
          <w:szCs w:val="21"/>
        </w:rPr>
        <w:t xml:space="preserve"> 38.3 </w:t>
      </w:r>
      <w:r>
        <w:rPr>
          <w:rFonts w:hint="eastAsia" w:ascii="宋体" w:hAnsi="宋体" w:cs="宋体"/>
          <w:b w:val="0"/>
          <w:bCs/>
          <w:color w:val="000000"/>
          <w:sz w:val="21"/>
        </w:rPr>
        <w:t>供应商提出质疑应当提交质疑函和必要的证明材料，针对同一采购程序环节的质疑必须在法定质疑期内一次性提出。质疑函应当包括下列内容（质疑函格式见第六章）：</w:t>
      </w:r>
    </w:p>
    <w:p>
      <w:pPr>
        <w:pStyle w:val="24"/>
        <w:snapToGrid w:val="0"/>
        <w:spacing w:line="360" w:lineRule="auto"/>
        <w:ind w:firstLine="420" w:firstLineChars="200"/>
        <w:rPr>
          <w:rFonts w:hAnsi="宋体" w:cs="宋体"/>
          <w:bCs/>
          <w:color w:val="000000"/>
          <w:sz w:val="21"/>
        </w:rPr>
      </w:pPr>
      <w:r>
        <w:rPr>
          <w:rFonts w:hint="eastAsia" w:hAnsi="宋体" w:cs="宋体"/>
          <w:bCs/>
          <w:color w:val="000000"/>
          <w:sz w:val="21"/>
        </w:rPr>
        <w:t>（1）供应商的姓名或者名称、地址、邮编、联系人及联系电话；</w:t>
      </w:r>
    </w:p>
    <w:p>
      <w:pPr>
        <w:pStyle w:val="24"/>
        <w:snapToGrid w:val="0"/>
        <w:spacing w:line="360" w:lineRule="auto"/>
        <w:ind w:firstLine="420" w:firstLineChars="200"/>
        <w:rPr>
          <w:rFonts w:hAnsi="宋体" w:cs="宋体"/>
          <w:bCs/>
          <w:color w:val="000000"/>
          <w:sz w:val="21"/>
        </w:rPr>
      </w:pPr>
      <w:r>
        <w:rPr>
          <w:rFonts w:hint="eastAsia" w:hAnsi="宋体" w:cs="宋体"/>
          <w:bCs/>
          <w:color w:val="000000"/>
          <w:sz w:val="21"/>
        </w:rPr>
        <w:t>（2）质疑项目的名称、编号；</w:t>
      </w:r>
    </w:p>
    <w:p>
      <w:pPr>
        <w:pStyle w:val="24"/>
        <w:snapToGrid w:val="0"/>
        <w:spacing w:line="360" w:lineRule="auto"/>
        <w:ind w:firstLine="420" w:firstLineChars="200"/>
        <w:rPr>
          <w:rFonts w:hAnsi="宋体" w:cs="宋体"/>
          <w:bCs/>
          <w:color w:val="000000"/>
          <w:sz w:val="21"/>
        </w:rPr>
      </w:pPr>
      <w:r>
        <w:rPr>
          <w:rFonts w:hint="eastAsia" w:hAnsi="宋体" w:cs="宋体"/>
          <w:bCs/>
          <w:color w:val="000000"/>
          <w:sz w:val="21"/>
        </w:rPr>
        <w:t>（3）具体、明确的质疑事项和与质疑事项相关的请求；</w:t>
      </w:r>
    </w:p>
    <w:p>
      <w:pPr>
        <w:pStyle w:val="24"/>
        <w:snapToGrid w:val="0"/>
        <w:spacing w:line="360" w:lineRule="auto"/>
        <w:ind w:firstLine="420" w:firstLineChars="200"/>
        <w:rPr>
          <w:rFonts w:hAnsi="宋体" w:cs="宋体"/>
          <w:bCs/>
          <w:color w:val="000000"/>
          <w:sz w:val="21"/>
        </w:rPr>
      </w:pPr>
      <w:r>
        <w:rPr>
          <w:rFonts w:hint="eastAsia" w:hAnsi="宋体" w:cs="宋体"/>
          <w:bCs/>
          <w:color w:val="000000"/>
          <w:sz w:val="21"/>
        </w:rPr>
        <w:t>（4）事实依据；</w:t>
      </w:r>
    </w:p>
    <w:p>
      <w:pPr>
        <w:pStyle w:val="24"/>
        <w:snapToGrid w:val="0"/>
        <w:spacing w:line="360" w:lineRule="auto"/>
        <w:ind w:firstLine="420" w:firstLineChars="200"/>
        <w:rPr>
          <w:rFonts w:hAnsi="宋体" w:cs="宋体"/>
          <w:bCs/>
          <w:color w:val="000000"/>
          <w:sz w:val="21"/>
        </w:rPr>
      </w:pPr>
      <w:r>
        <w:rPr>
          <w:rFonts w:hint="eastAsia" w:hAnsi="宋体" w:cs="宋体"/>
          <w:bCs/>
          <w:color w:val="000000"/>
          <w:sz w:val="21"/>
        </w:rPr>
        <w:t>（5）必要的法律依据；</w:t>
      </w:r>
    </w:p>
    <w:p>
      <w:pPr>
        <w:pStyle w:val="24"/>
        <w:snapToGrid w:val="0"/>
        <w:spacing w:line="360" w:lineRule="auto"/>
        <w:ind w:firstLine="420" w:firstLineChars="200"/>
        <w:rPr>
          <w:rFonts w:hAnsi="宋体" w:cs="宋体"/>
          <w:bCs/>
          <w:color w:val="000000"/>
          <w:sz w:val="21"/>
        </w:rPr>
      </w:pPr>
      <w:r>
        <w:rPr>
          <w:rFonts w:hint="eastAsia" w:hAnsi="宋体" w:cs="宋体"/>
          <w:bCs/>
          <w:color w:val="000000"/>
          <w:sz w:val="21"/>
        </w:rPr>
        <w:t>（6）提出质疑的日期。</w:t>
      </w:r>
    </w:p>
    <w:p>
      <w:pPr>
        <w:pStyle w:val="24"/>
        <w:snapToGrid w:val="0"/>
        <w:spacing w:line="360" w:lineRule="auto"/>
        <w:ind w:firstLine="420" w:firstLineChars="200"/>
        <w:rPr>
          <w:rFonts w:hAnsi="宋体" w:cs="宋体"/>
          <w:bCs/>
          <w:color w:val="000000"/>
          <w:sz w:val="21"/>
        </w:rPr>
      </w:pPr>
      <w:r>
        <w:rPr>
          <w:rFonts w:hint="eastAsia" w:hAnsi="宋体" w:cs="宋体"/>
          <w:bCs/>
          <w:color w:val="000000"/>
          <w:sz w:val="21"/>
        </w:rPr>
        <w:t>供应商为自然人的，应当由本人签字；供应商为法人或者其他组织的，应当由法定代表人、主要负责人，或者其委托代理人签字或者盖章，并加盖公章。</w:t>
      </w:r>
    </w:p>
    <w:p>
      <w:pPr>
        <w:pStyle w:val="7"/>
        <w:keepNext w:val="0"/>
        <w:keepLines w:val="0"/>
        <w:snapToGrid w:val="0"/>
        <w:spacing w:before="0" w:after="0" w:line="360" w:lineRule="auto"/>
        <w:ind w:firstLine="420" w:firstLineChars="200"/>
        <w:rPr>
          <w:rFonts w:ascii="宋体" w:hAnsi="宋体" w:cs="宋体"/>
          <w:b w:val="0"/>
          <w:bCs/>
          <w:color w:val="000000"/>
          <w:sz w:val="21"/>
          <w:szCs w:val="21"/>
        </w:rPr>
      </w:pPr>
      <w:r>
        <w:rPr>
          <w:rFonts w:hint="eastAsia" w:ascii="宋体" w:hAnsi="宋体" w:cs="宋体"/>
          <w:b w:val="0"/>
          <w:color w:val="000000"/>
          <w:sz w:val="21"/>
          <w:szCs w:val="21"/>
        </w:rPr>
        <w:t>3</w:t>
      </w:r>
      <w:r>
        <w:rPr>
          <w:rFonts w:hint="eastAsia" w:ascii="宋体" w:hAnsi="宋体" w:cs="宋体"/>
          <w:b w:val="0"/>
          <w:bCs/>
          <w:color w:val="000000"/>
          <w:sz w:val="21"/>
          <w:szCs w:val="21"/>
        </w:rPr>
        <w:t>8.4采购人、采购代理机构认为供应商质疑不成立，或者成立但未对中标结果构成影响的，继续开展采购活动；认为供应商质疑成立且影响或者可能影响中标结果的，按照下列情况处理：</w:t>
      </w:r>
    </w:p>
    <w:p>
      <w:pPr>
        <w:pStyle w:val="24"/>
        <w:snapToGrid w:val="0"/>
        <w:spacing w:line="360" w:lineRule="auto"/>
        <w:rPr>
          <w:rFonts w:hAnsi="宋体" w:cs="宋体"/>
          <w:bCs/>
          <w:color w:val="000000"/>
          <w:sz w:val="21"/>
        </w:rPr>
      </w:pPr>
      <w:r>
        <w:rPr>
          <w:rFonts w:hint="eastAsia" w:hAnsi="宋体" w:cs="宋体"/>
          <w:bCs/>
          <w:color w:val="000000"/>
          <w:sz w:val="21"/>
        </w:rPr>
        <w:t>　　（一）对招标文件提出的质疑，依法通过澄清或者修改可以继续开展采购活动的，澄清或者修改招标文件后继续开展采购活动；否则应当修改招标文件后重新开展采购活动。</w:t>
      </w:r>
    </w:p>
    <w:p>
      <w:pPr>
        <w:pStyle w:val="24"/>
        <w:snapToGrid w:val="0"/>
        <w:spacing w:line="360" w:lineRule="auto"/>
        <w:rPr>
          <w:rFonts w:hAnsi="宋体" w:cs="宋体"/>
          <w:bCs/>
          <w:color w:val="000000"/>
          <w:sz w:val="21"/>
        </w:rPr>
      </w:pPr>
      <w:r>
        <w:rPr>
          <w:rFonts w:hint="eastAsia" w:hAnsi="宋体" w:cs="宋体"/>
          <w:bCs/>
          <w:color w:val="000000"/>
          <w:sz w:val="21"/>
        </w:rPr>
        <w:t>　　（二）对采购过程、中标结果提出的质疑，合格供应商符合法定数量时，可以从合格的中标候选人中另行确定中标人的，应当依法另行确定中标人；否则应当重新开展采购活动。</w:t>
      </w:r>
    </w:p>
    <w:p>
      <w:pPr>
        <w:pStyle w:val="24"/>
        <w:snapToGrid w:val="0"/>
        <w:spacing w:line="360" w:lineRule="auto"/>
        <w:ind w:firstLine="420"/>
        <w:rPr>
          <w:rFonts w:hAnsi="宋体" w:cs="宋体"/>
          <w:bCs/>
          <w:color w:val="000000"/>
          <w:sz w:val="21"/>
        </w:rPr>
      </w:pPr>
      <w:r>
        <w:rPr>
          <w:rFonts w:hint="eastAsia" w:hAnsi="宋体" w:cs="宋体"/>
          <w:bCs/>
          <w:color w:val="000000"/>
          <w:sz w:val="21"/>
        </w:rPr>
        <w:t>质疑答复导致中标结果改变的，采购人或者采购代理机构应当将有关情况书面报告本级财政部门。</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见第六章）。</w:t>
      </w:r>
    </w:p>
    <w:p>
      <w:pPr>
        <w:pStyle w:val="5"/>
        <w:keepNext w:val="0"/>
        <w:keepLines w:val="0"/>
        <w:spacing w:before="100" w:after="60" w:line="415" w:lineRule="auto"/>
        <w:jc w:val="center"/>
        <w:rPr>
          <w:rFonts w:ascii="宋体" w:hAnsi="宋体" w:cs="宋体"/>
          <w:color w:val="000000"/>
        </w:rPr>
      </w:pPr>
      <w:bookmarkStart w:id="232" w:name="_八、其他事项"/>
      <w:bookmarkEnd w:id="232"/>
      <w:r>
        <w:rPr>
          <w:rFonts w:hint="eastAsia" w:ascii="宋体" w:hAnsi="宋体" w:cs="宋体"/>
          <w:color w:val="000000"/>
        </w:rPr>
        <w:t>八、其他事项</w:t>
      </w:r>
    </w:p>
    <w:p>
      <w:pPr>
        <w:pStyle w:val="7"/>
        <w:keepNext w:val="0"/>
        <w:keepLines w:val="0"/>
        <w:spacing w:before="0" w:after="0" w:line="360" w:lineRule="auto"/>
        <w:ind w:left="420" w:leftChars="200"/>
        <w:rPr>
          <w:rFonts w:ascii="宋体" w:hAnsi="宋体" w:cs="宋体"/>
          <w:color w:val="000000"/>
          <w:sz w:val="24"/>
        </w:rPr>
      </w:pPr>
      <w:bookmarkStart w:id="233" w:name="_42.代理服务费"/>
      <w:bookmarkEnd w:id="233"/>
      <w:r>
        <w:rPr>
          <w:rFonts w:hint="eastAsia" w:ascii="宋体" w:hAnsi="宋体" w:cs="宋体"/>
          <w:color w:val="000000"/>
          <w:sz w:val="24"/>
        </w:rPr>
        <w:t>39.招标代理服务费</w:t>
      </w:r>
    </w:p>
    <w:p>
      <w:pPr>
        <w:pStyle w:val="7"/>
        <w:keepNext w:val="0"/>
        <w:keepLines w:val="0"/>
        <w:spacing w:before="0" w:after="0" w:line="360" w:lineRule="auto"/>
        <w:ind w:left="420" w:leftChars="200"/>
        <w:rPr>
          <w:rFonts w:ascii="宋体" w:hAnsi="宋体" w:cs="宋体"/>
          <w:b w:val="0"/>
          <w:color w:val="000000"/>
          <w:sz w:val="21"/>
          <w:szCs w:val="21"/>
        </w:rPr>
      </w:pPr>
      <w:r>
        <w:rPr>
          <w:rFonts w:hint="eastAsia" w:ascii="宋体" w:hAnsi="宋体" w:cs="宋体"/>
          <w:b w:val="0"/>
          <w:color w:val="000000"/>
          <w:sz w:val="21"/>
          <w:szCs w:val="21"/>
        </w:rPr>
        <w:t>39.1代理服务收取标准及缴费账户详见“投标人须知前附表”。</w:t>
      </w:r>
    </w:p>
    <w:p>
      <w:pPr>
        <w:pStyle w:val="7"/>
        <w:keepNext w:val="0"/>
        <w:keepLines w:val="0"/>
        <w:spacing w:before="0" w:after="0" w:line="360" w:lineRule="auto"/>
        <w:ind w:left="420" w:leftChars="200"/>
        <w:rPr>
          <w:rFonts w:ascii="宋体" w:hAnsi="宋体" w:cs="宋体"/>
          <w:color w:val="000000"/>
          <w:szCs w:val="21"/>
        </w:rPr>
      </w:pPr>
      <w:r>
        <w:rPr>
          <w:rFonts w:hint="eastAsia" w:ascii="宋体" w:hAnsi="宋体" w:cs="宋体"/>
          <w:color w:val="000000"/>
          <w:sz w:val="21"/>
          <w:szCs w:val="21"/>
        </w:rPr>
        <w:t>39.2代理服务收费标准：</w:t>
      </w:r>
    </w:p>
    <w:tbl>
      <w:tblPr>
        <w:tblStyle w:val="44"/>
        <w:tblW w:w="8491"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7"/>
        <w:gridCol w:w="1662"/>
        <w:gridCol w:w="1690"/>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477" w:type="dxa"/>
            <w:tcBorders>
              <w:tl2br w:val="single" w:color="auto" w:sz="4" w:space="0"/>
            </w:tcBorders>
          </w:tcPr>
          <w:p>
            <w:pPr>
              <w:spacing w:line="360" w:lineRule="auto"/>
              <w:rPr>
                <w:rFonts w:ascii="宋体" w:hAnsi="宋体" w:cs="宋体"/>
                <w:color w:val="000000"/>
                <w:szCs w:val="21"/>
              </w:rPr>
            </w:pPr>
            <w:r>
              <w:rPr>
                <w:rFonts w:hint="eastAsia" w:ascii="宋体" w:hAnsi="宋体" w:cs="宋体"/>
                <w:color w:val="000000"/>
                <w:szCs w:val="21"/>
              </w:rPr>
              <w:t xml:space="preserve">               费率</w:t>
            </w:r>
          </w:p>
          <w:p>
            <w:pPr>
              <w:spacing w:line="360" w:lineRule="auto"/>
              <w:rPr>
                <w:rFonts w:ascii="宋体" w:hAnsi="宋体" w:cs="宋体"/>
                <w:color w:val="000000"/>
                <w:szCs w:val="21"/>
              </w:rPr>
            </w:pPr>
            <w:r>
              <w:rPr>
                <w:rFonts w:hint="eastAsia" w:ascii="宋体" w:hAnsi="宋体" w:cs="宋体"/>
                <w:color w:val="000000"/>
                <w:szCs w:val="21"/>
              </w:rPr>
              <w:t>中标金额</w:t>
            </w:r>
          </w:p>
        </w:tc>
        <w:tc>
          <w:tcPr>
            <w:tcW w:w="1662" w:type="dxa"/>
            <w:vAlign w:val="center"/>
          </w:tcPr>
          <w:p>
            <w:pPr>
              <w:spacing w:line="360" w:lineRule="auto"/>
              <w:ind w:firstLine="105" w:firstLineChars="50"/>
              <w:jc w:val="center"/>
              <w:rPr>
                <w:rFonts w:ascii="宋体" w:hAnsi="宋体" w:cs="宋体"/>
                <w:color w:val="000000"/>
                <w:szCs w:val="21"/>
              </w:rPr>
            </w:pPr>
            <w:r>
              <w:rPr>
                <w:rFonts w:hint="eastAsia" w:ascii="宋体" w:hAnsi="宋体" w:cs="宋体"/>
                <w:color w:val="000000"/>
                <w:szCs w:val="21"/>
              </w:rPr>
              <w:t>货物招标</w:t>
            </w:r>
          </w:p>
        </w:tc>
        <w:tc>
          <w:tcPr>
            <w:tcW w:w="1690"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服务招标</w:t>
            </w:r>
          </w:p>
        </w:tc>
        <w:tc>
          <w:tcPr>
            <w:tcW w:w="1662"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477" w:type="dxa"/>
          </w:tcPr>
          <w:p>
            <w:pPr>
              <w:spacing w:line="360" w:lineRule="auto"/>
              <w:rPr>
                <w:rFonts w:ascii="宋体" w:hAnsi="宋体" w:cs="宋体"/>
                <w:color w:val="000000"/>
                <w:szCs w:val="21"/>
              </w:rPr>
            </w:pPr>
            <w:r>
              <w:rPr>
                <w:rFonts w:hint="eastAsia" w:ascii="宋体" w:hAnsi="宋体" w:cs="宋体"/>
                <w:color w:val="000000"/>
                <w:szCs w:val="21"/>
              </w:rPr>
              <w:t>100万元以下</w:t>
            </w:r>
          </w:p>
        </w:tc>
        <w:tc>
          <w:tcPr>
            <w:tcW w:w="1662" w:type="dxa"/>
          </w:tcPr>
          <w:p>
            <w:pPr>
              <w:spacing w:line="360" w:lineRule="auto"/>
              <w:rPr>
                <w:rFonts w:ascii="宋体" w:hAnsi="宋体" w:cs="宋体"/>
                <w:color w:val="000000"/>
                <w:szCs w:val="21"/>
              </w:rPr>
            </w:pPr>
            <w:r>
              <w:rPr>
                <w:rFonts w:hint="eastAsia" w:ascii="宋体" w:hAnsi="宋体" w:cs="宋体"/>
                <w:color w:val="000000"/>
                <w:kern w:val="0"/>
                <w:szCs w:val="21"/>
              </w:rPr>
              <w:t xml:space="preserve">  1.5%                </w:t>
            </w:r>
          </w:p>
        </w:tc>
        <w:tc>
          <w:tcPr>
            <w:tcW w:w="1690" w:type="dxa"/>
          </w:tcPr>
          <w:p>
            <w:pPr>
              <w:spacing w:line="360" w:lineRule="auto"/>
              <w:ind w:firstLine="210" w:firstLineChars="100"/>
              <w:rPr>
                <w:rFonts w:ascii="宋体" w:hAnsi="宋体" w:cs="宋体"/>
                <w:color w:val="000000"/>
                <w:szCs w:val="21"/>
              </w:rPr>
            </w:pPr>
            <w:r>
              <w:rPr>
                <w:rFonts w:hint="eastAsia" w:ascii="宋体" w:hAnsi="宋体" w:cs="宋体"/>
                <w:color w:val="000000"/>
                <w:kern w:val="0"/>
                <w:szCs w:val="21"/>
              </w:rPr>
              <w:t>1.5%</w:t>
            </w:r>
          </w:p>
        </w:tc>
        <w:tc>
          <w:tcPr>
            <w:tcW w:w="1662" w:type="dxa"/>
          </w:tcPr>
          <w:p>
            <w:pPr>
              <w:spacing w:line="360" w:lineRule="auto"/>
              <w:ind w:firstLine="210" w:firstLineChars="100"/>
              <w:rPr>
                <w:rFonts w:ascii="宋体" w:hAnsi="宋体" w:cs="宋体"/>
                <w:color w:val="000000"/>
                <w:szCs w:val="21"/>
              </w:rPr>
            </w:pPr>
            <w:r>
              <w:rPr>
                <w:rFonts w:hint="eastAsia" w:ascii="宋体" w:hAnsi="宋体" w:cs="宋体"/>
                <w:color w:val="000000"/>
                <w:kern w:val="0"/>
                <w:szCs w:val="21"/>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477" w:type="dxa"/>
          </w:tcPr>
          <w:p>
            <w:pPr>
              <w:spacing w:line="360" w:lineRule="auto"/>
              <w:rPr>
                <w:rFonts w:ascii="宋体" w:hAnsi="宋体" w:cs="宋体"/>
                <w:color w:val="000000"/>
                <w:szCs w:val="21"/>
              </w:rPr>
            </w:pPr>
            <w:r>
              <w:rPr>
                <w:rFonts w:hint="eastAsia" w:ascii="宋体" w:hAnsi="宋体" w:cs="宋体"/>
                <w:color w:val="000000"/>
                <w:szCs w:val="21"/>
              </w:rPr>
              <w:t>100～500万元</w:t>
            </w:r>
          </w:p>
        </w:tc>
        <w:tc>
          <w:tcPr>
            <w:tcW w:w="1662" w:type="dxa"/>
          </w:tcPr>
          <w:p>
            <w:pPr>
              <w:spacing w:line="360" w:lineRule="auto"/>
              <w:ind w:firstLine="210" w:firstLineChars="100"/>
              <w:rPr>
                <w:rFonts w:ascii="宋体" w:hAnsi="宋体" w:cs="宋体"/>
                <w:color w:val="000000"/>
                <w:szCs w:val="21"/>
              </w:rPr>
            </w:pPr>
            <w:r>
              <w:rPr>
                <w:rFonts w:hint="eastAsia" w:ascii="宋体" w:hAnsi="宋体" w:cs="宋体"/>
                <w:color w:val="000000"/>
                <w:kern w:val="0"/>
                <w:szCs w:val="21"/>
              </w:rPr>
              <w:t xml:space="preserve">1.1%                 </w:t>
            </w:r>
          </w:p>
        </w:tc>
        <w:tc>
          <w:tcPr>
            <w:tcW w:w="1690" w:type="dxa"/>
          </w:tcPr>
          <w:p>
            <w:pPr>
              <w:spacing w:line="360" w:lineRule="auto"/>
              <w:ind w:firstLine="210" w:firstLineChars="100"/>
              <w:rPr>
                <w:rFonts w:ascii="宋体" w:hAnsi="宋体" w:cs="宋体"/>
                <w:color w:val="000000"/>
                <w:szCs w:val="21"/>
              </w:rPr>
            </w:pPr>
            <w:r>
              <w:rPr>
                <w:rFonts w:hint="eastAsia" w:ascii="宋体" w:hAnsi="宋体" w:cs="宋体"/>
                <w:color w:val="000000"/>
                <w:kern w:val="0"/>
                <w:szCs w:val="21"/>
              </w:rPr>
              <w:t>0.8%</w:t>
            </w:r>
          </w:p>
        </w:tc>
        <w:tc>
          <w:tcPr>
            <w:tcW w:w="1662" w:type="dxa"/>
          </w:tcPr>
          <w:p>
            <w:pPr>
              <w:spacing w:line="360" w:lineRule="auto"/>
              <w:ind w:firstLine="210" w:firstLineChars="100"/>
              <w:rPr>
                <w:rFonts w:ascii="宋体" w:hAnsi="宋体" w:cs="宋体"/>
                <w:color w:val="000000"/>
                <w:szCs w:val="21"/>
              </w:rPr>
            </w:pPr>
            <w:r>
              <w:rPr>
                <w:rFonts w:hint="eastAsia" w:ascii="宋体" w:hAnsi="宋体" w:cs="宋体"/>
                <w:color w:val="000000"/>
                <w:kern w:val="0"/>
                <w:szCs w:val="21"/>
              </w:rPr>
              <w:t xml:space="preserve">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477" w:type="dxa"/>
          </w:tcPr>
          <w:p>
            <w:pPr>
              <w:spacing w:line="360" w:lineRule="auto"/>
              <w:rPr>
                <w:rFonts w:ascii="宋体" w:hAnsi="宋体" w:cs="宋体"/>
                <w:color w:val="000000"/>
                <w:szCs w:val="21"/>
              </w:rPr>
            </w:pPr>
            <w:r>
              <w:rPr>
                <w:rFonts w:hint="eastAsia" w:ascii="宋体" w:hAnsi="宋体" w:cs="宋体"/>
                <w:color w:val="000000"/>
                <w:szCs w:val="21"/>
              </w:rPr>
              <w:t>500～1000万元</w:t>
            </w:r>
          </w:p>
        </w:tc>
        <w:tc>
          <w:tcPr>
            <w:tcW w:w="1662" w:type="dxa"/>
          </w:tcPr>
          <w:p>
            <w:pPr>
              <w:spacing w:line="360" w:lineRule="auto"/>
              <w:rPr>
                <w:rFonts w:ascii="宋体" w:hAnsi="宋体" w:cs="宋体"/>
                <w:color w:val="000000"/>
                <w:szCs w:val="21"/>
              </w:rPr>
            </w:pPr>
            <w:r>
              <w:rPr>
                <w:rFonts w:hint="eastAsia" w:ascii="宋体" w:hAnsi="宋体" w:cs="宋体"/>
                <w:color w:val="000000"/>
                <w:kern w:val="0"/>
                <w:szCs w:val="21"/>
              </w:rPr>
              <w:t xml:space="preserve">  0.8%                </w:t>
            </w:r>
          </w:p>
        </w:tc>
        <w:tc>
          <w:tcPr>
            <w:tcW w:w="1690" w:type="dxa"/>
          </w:tcPr>
          <w:p>
            <w:pPr>
              <w:spacing w:line="360" w:lineRule="auto"/>
              <w:ind w:firstLine="210" w:firstLineChars="100"/>
              <w:rPr>
                <w:rFonts w:ascii="宋体" w:hAnsi="宋体" w:cs="宋体"/>
                <w:color w:val="000000"/>
                <w:szCs w:val="21"/>
              </w:rPr>
            </w:pPr>
            <w:r>
              <w:rPr>
                <w:rFonts w:hint="eastAsia" w:ascii="宋体" w:hAnsi="宋体" w:cs="宋体"/>
                <w:color w:val="000000"/>
                <w:kern w:val="0"/>
                <w:szCs w:val="21"/>
              </w:rPr>
              <w:t>0.45%</w:t>
            </w:r>
          </w:p>
        </w:tc>
        <w:tc>
          <w:tcPr>
            <w:tcW w:w="1662" w:type="dxa"/>
          </w:tcPr>
          <w:p>
            <w:pPr>
              <w:spacing w:line="360" w:lineRule="auto"/>
              <w:ind w:firstLine="210" w:firstLineChars="100"/>
              <w:rPr>
                <w:rFonts w:ascii="宋体" w:hAnsi="宋体" w:cs="宋体"/>
                <w:color w:val="000000"/>
                <w:szCs w:val="21"/>
              </w:rPr>
            </w:pPr>
            <w:r>
              <w:rPr>
                <w:rFonts w:hint="eastAsia" w:ascii="宋体" w:hAnsi="宋体" w:cs="宋体"/>
                <w:color w:val="000000"/>
                <w:kern w:val="0"/>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477" w:type="dxa"/>
          </w:tcPr>
          <w:p>
            <w:pPr>
              <w:spacing w:line="360" w:lineRule="auto"/>
              <w:rPr>
                <w:rFonts w:ascii="宋体" w:hAnsi="宋体" w:cs="宋体"/>
                <w:color w:val="000000"/>
                <w:szCs w:val="21"/>
              </w:rPr>
            </w:pPr>
            <w:r>
              <w:rPr>
                <w:rFonts w:hint="eastAsia" w:ascii="宋体" w:hAnsi="宋体" w:cs="宋体"/>
                <w:color w:val="000000"/>
                <w:szCs w:val="21"/>
              </w:rPr>
              <w:t>1000～5000万元</w:t>
            </w:r>
          </w:p>
        </w:tc>
        <w:tc>
          <w:tcPr>
            <w:tcW w:w="1662" w:type="dxa"/>
          </w:tcPr>
          <w:p>
            <w:pPr>
              <w:spacing w:line="360" w:lineRule="auto"/>
              <w:ind w:firstLine="210" w:firstLineChars="100"/>
              <w:rPr>
                <w:rFonts w:ascii="宋体" w:hAnsi="宋体" w:cs="宋体"/>
                <w:color w:val="000000"/>
                <w:szCs w:val="21"/>
              </w:rPr>
            </w:pPr>
            <w:r>
              <w:rPr>
                <w:rFonts w:hint="eastAsia" w:ascii="宋体" w:hAnsi="宋体" w:cs="宋体"/>
                <w:color w:val="000000"/>
                <w:kern w:val="0"/>
                <w:szCs w:val="21"/>
              </w:rPr>
              <w:t xml:space="preserve">0.5%                </w:t>
            </w:r>
          </w:p>
        </w:tc>
        <w:tc>
          <w:tcPr>
            <w:tcW w:w="1690" w:type="dxa"/>
          </w:tcPr>
          <w:p>
            <w:pPr>
              <w:spacing w:line="360" w:lineRule="auto"/>
              <w:ind w:firstLine="210" w:firstLineChars="100"/>
              <w:rPr>
                <w:rFonts w:ascii="宋体" w:hAnsi="宋体" w:cs="宋体"/>
                <w:color w:val="000000"/>
                <w:szCs w:val="21"/>
              </w:rPr>
            </w:pPr>
            <w:r>
              <w:rPr>
                <w:rFonts w:hint="eastAsia" w:ascii="宋体" w:hAnsi="宋体" w:cs="宋体"/>
                <w:color w:val="000000"/>
                <w:kern w:val="0"/>
                <w:szCs w:val="21"/>
              </w:rPr>
              <w:t>0.25%</w:t>
            </w:r>
          </w:p>
        </w:tc>
        <w:tc>
          <w:tcPr>
            <w:tcW w:w="1662" w:type="dxa"/>
          </w:tcPr>
          <w:p>
            <w:pPr>
              <w:spacing w:line="360" w:lineRule="auto"/>
              <w:ind w:firstLine="210" w:firstLineChars="100"/>
              <w:rPr>
                <w:rFonts w:ascii="宋体" w:hAnsi="宋体" w:cs="宋体"/>
                <w:color w:val="000000"/>
                <w:szCs w:val="21"/>
              </w:rPr>
            </w:pPr>
            <w:r>
              <w:rPr>
                <w:rFonts w:hint="eastAsia" w:ascii="宋体" w:hAnsi="宋体" w:cs="宋体"/>
                <w:color w:val="000000"/>
                <w:kern w:val="0"/>
                <w:szCs w:val="21"/>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477" w:type="dxa"/>
          </w:tcPr>
          <w:p>
            <w:pPr>
              <w:spacing w:line="360" w:lineRule="auto"/>
              <w:rPr>
                <w:rFonts w:ascii="宋体" w:hAnsi="宋体" w:cs="宋体"/>
                <w:color w:val="000000"/>
                <w:szCs w:val="21"/>
              </w:rPr>
            </w:pPr>
            <w:r>
              <w:rPr>
                <w:rFonts w:hint="eastAsia" w:ascii="宋体" w:hAnsi="宋体" w:cs="宋体"/>
                <w:color w:val="000000"/>
                <w:szCs w:val="21"/>
              </w:rPr>
              <w:t>5000万元～1亿元</w:t>
            </w:r>
          </w:p>
        </w:tc>
        <w:tc>
          <w:tcPr>
            <w:tcW w:w="1662" w:type="dxa"/>
          </w:tcPr>
          <w:p>
            <w:pPr>
              <w:spacing w:line="360" w:lineRule="auto"/>
              <w:ind w:firstLine="210" w:firstLineChars="100"/>
              <w:rPr>
                <w:rFonts w:ascii="宋体" w:hAnsi="宋体" w:cs="宋体"/>
                <w:color w:val="000000"/>
                <w:szCs w:val="21"/>
              </w:rPr>
            </w:pPr>
            <w:r>
              <w:rPr>
                <w:rFonts w:hint="eastAsia" w:ascii="宋体" w:hAnsi="宋体" w:cs="宋体"/>
                <w:color w:val="000000"/>
                <w:kern w:val="0"/>
                <w:szCs w:val="21"/>
              </w:rPr>
              <w:t xml:space="preserve">0.25%                 </w:t>
            </w:r>
          </w:p>
        </w:tc>
        <w:tc>
          <w:tcPr>
            <w:tcW w:w="1690" w:type="dxa"/>
          </w:tcPr>
          <w:p>
            <w:pPr>
              <w:spacing w:line="360" w:lineRule="auto"/>
              <w:ind w:firstLine="210" w:firstLineChars="100"/>
              <w:rPr>
                <w:rFonts w:ascii="宋体" w:hAnsi="宋体" w:cs="宋体"/>
                <w:color w:val="000000"/>
                <w:szCs w:val="21"/>
              </w:rPr>
            </w:pPr>
            <w:r>
              <w:rPr>
                <w:rFonts w:hint="eastAsia" w:ascii="宋体" w:hAnsi="宋体" w:cs="宋体"/>
                <w:color w:val="000000"/>
                <w:kern w:val="0"/>
                <w:szCs w:val="21"/>
              </w:rPr>
              <w:t>0.1%</w:t>
            </w:r>
          </w:p>
        </w:tc>
        <w:tc>
          <w:tcPr>
            <w:tcW w:w="1662" w:type="dxa"/>
          </w:tcPr>
          <w:p>
            <w:pPr>
              <w:spacing w:line="360" w:lineRule="auto"/>
              <w:ind w:firstLine="210" w:firstLineChars="100"/>
              <w:rPr>
                <w:rFonts w:ascii="宋体" w:hAnsi="宋体" w:cs="宋体"/>
                <w:color w:val="000000"/>
                <w:szCs w:val="21"/>
              </w:rPr>
            </w:pPr>
            <w:r>
              <w:rPr>
                <w:rFonts w:hint="eastAsia" w:ascii="宋体" w:hAnsi="宋体" w:cs="宋体"/>
                <w:color w:val="000000"/>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477" w:type="dxa"/>
          </w:tcPr>
          <w:p>
            <w:pPr>
              <w:spacing w:line="360" w:lineRule="auto"/>
              <w:rPr>
                <w:rFonts w:ascii="宋体" w:hAnsi="宋体" w:cs="宋体"/>
                <w:color w:val="000000"/>
                <w:szCs w:val="21"/>
              </w:rPr>
            </w:pPr>
            <w:r>
              <w:rPr>
                <w:rFonts w:hint="eastAsia" w:ascii="宋体" w:hAnsi="宋体" w:cs="宋体"/>
                <w:color w:val="000000"/>
                <w:szCs w:val="21"/>
              </w:rPr>
              <w:t>1～5亿元</w:t>
            </w:r>
          </w:p>
        </w:tc>
        <w:tc>
          <w:tcPr>
            <w:tcW w:w="1662" w:type="dxa"/>
          </w:tcPr>
          <w:p>
            <w:pPr>
              <w:spacing w:line="360" w:lineRule="auto"/>
              <w:ind w:firstLine="210" w:firstLineChars="100"/>
              <w:rPr>
                <w:rFonts w:ascii="宋体" w:hAnsi="宋体" w:cs="宋体"/>
                <w:color w:val="000000"/>
                <w:szCs w:val="21"/>
              </w:rPr>
            </w:pPr>
            <w:r>
              <w:rPr>
                <w:rFonts w:hint="eastAsia" w:ascii="宋体" w:hAnsi="宋体" w:cs="宋体"/>
                <w:color w:val="000000"/>
                <w:szCs w:val="21"/>
              </w:rPr>
              <w:t>0.05%</w:t>
            </w:r>
          </w:p>
        </w:tc>
        <w:tc>
          <w:tcPr>
            <w:tcW w:w="1690" w:type="dxa"/>
          </w:tcPr>
          <w:p>
            <w:pPr>
              <w:spacing w:line="360" w:lineRule="auto"/>
              <w:rPr>
                <w:rFonts w:ascii="宋体" w:hAnsi="宋体" w:cs="宋体"/>
                <w:color w:val="000000"/>
                <w:szCs w:val="21"/>
              </w:rPr>
            </w:pPr>
            <w:r>
              <w:rPr>
                <w:rFonts w:hint="eastAsia" w:ascii="宋体" w:hAnsi="宋体" w:cs="宋体"/>
                <w:color w:val="000000"/>
                <w:szCs w:val="21"/>
              </w:rPr>
              <w:t xml:space="preserve">  0.05%</w:t>
            </w:r>
          </w:p>
        </w:tc>
        <w:tc>
          <w:tcPr>
            <w:tcW w:w="1662" w:type="dxa"/>
          </w:tcPr>
          <w:p>
            <w:pPr>
              <w:spacing w:line="360" w:lineRule="auto"/>
              <w:rPr>
                <w:rFonts w:ascii="宋体" w:hAnsi="宋体" w:cs="宋体"/>
                <w:color w:val="000000"/>
                <w:szCs w:val="21"/>
              </w:rPr>
            </w:pPr>
            <w:r>
              <w:rPr>
                <w:rFonts w:hint="eastAsia" w:ascii="宋体" w:hAnsi="宋体" w:cs="宋体"/>
                <w:color w:val="000000"/>
                <w:szCs w:val="21"/>
              </w:rPr>
              <w:t xml:space="preserve">  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477" w:type="dxa"/>
          </w:tcPr>
          <w:p>
            <w:pPr>
              <w:spacing w:line="360" w:lineRule="auto"/>
              <w:rPr>
                <w:rFonts w:ascii="宋体" w:hAnsi="宋体" w:cs="宋体"/>
                <w:color w:val="000000"/>
                <w:szCs w:val="21"/>
              </w:rPr>
            </w:pPr>
            <w:r>
              <w:rPr>
                <w:rFonts w:hint="eastAsia" w:ascii="宋体" w:hAnsi="宋体" w:cs="宋体"/>
                <w:color w:val="000000"/>
                <w:szCs w:val="21"/>
              </w:rPr>
              <w:t>5～10亿元</w:t>
            </w:r>
          </w:p>
        </w:tc>
        <w:tc>
          <w:tcPr>
            <w:tcW w:w="1662" w:type="dxa"/>
          </w:tcPr>
          <w:p>
            <w:pPr>
              <w:spacing w:line="360" w:lineRule="auto"/>
              <w:ind w:firstLine="105" w:firstLineChars="50"/>
              <w:rPr>
                <w:rFonts w:ascii="宋体" w:hAnsi="宋体" w:cs="宋体"/>
                <w:color w:val="000000"/>
                <w:szCs w:val="21"/>
              </w:rPr>
            </w:pPr>
            <w:r>
              <w:rPr>
                <w:rFonts w:hint="eastAsia" w:ascii="宋体" w:hAnsi="宋体" w:cs="宋体"/>
                <w:color w:val="000000"/>
                <w:szCs w:val="21"/>
              </w:rPr>
              <w:t>0.035%</w:t>
            </w:r>
          </w:p>
        </w:tc>
        <w:tc>
          <w:tcPr>
            <w:tcW w:w="1690" w:type="dxa"/>
          </w:tcPr>
          <w:p>
            <w:pPr>
              <w:spacing w:line="360" w:lineRule="auto"/>
              <w:rPr>
                <w:rFonts w:ascii="宋体" w:hAnsi="宋体" w:cs="宋体"/>
                <w:color w:val="000000"/>
                <w:szCs w:val="21"/>
              </w:rPr>
            </w:pPr>
            <w:r>
              <w:rPr>
                <w:rFonts w:hint="eastAsia" w:ascii="宋体" w:hAnsi="宋体" w:cs="宋体"/>
                <w:color w:val="000000"/>
                <w:szCs w:val="21"/>
              </w:rPr>
              <w:t xml:space="preserve">  0.035%</w:t>
            </w:r>
          </w:p>
        </w:tc>
        <w:tc>
          <w:tcPr>
            <w:tcW w:w="1662" w:type="dxa"/>
          </w:tcPr>
          <w:p>
            <w:pPr>
              <w:spacing w:line="360" w:lineRule="auto"/>
              <w:ind w:firstLine="105" w:firstLineChars="50"/>
              <w:rPr>
                <w:rFonts w:ascii="宋体" w:hAnsi="宋体" w:cs="宋体"/>
                <w:color w:val="000000"/>
                <w:szCs w:val="21"/>
              </w:rPr>
            </w:pPr>
            <w:r>
              <w:rPr>
                <w:rFonts w:hint="eastAsia" w:ascii="宋体" w:hAnsi="宋体" w:cs="宋体"/>
                <w:color w:val="000000"/>
                <w:szCs w:val="21"/>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477" w:type="dxa"/>
          </w:tcPr>
          <w:p>
            <w:pPr>
              <w:spacing w:line="360" w:lineRule="auto"/>
              <w:rPr>
                <w:rFonts w:ascii="宋体" w:hAnsi="宋体" w:cs="宋体"/>
                <w:color w:val="000000"/>
                <w:szCs w:val="21"/>
              </w:rPr>
            </w:pPr>
            <w:r>
              <w:rPr>
                <w:rFonts w:hint="eastAsia" w:ascii="宋体" w:hAnsi="宋体" w:cs="宋体"/>
                <w:color w:val="000000"/>
                <w:szCs w:val="21"/>
              </w:rPr>
              <w:t>10～50亿元</w:t>
            </w:r>
          </w:p>
        </w:tc>
        <w:tc>
          <w:tcPr>
            <w:tcW w:w="1662" w:type="dxa"/>
          </w:tcPr>
          <w:p>
            <w:pPr>
              <w:spacing w:line="360" w:lineRule="auto"/>
              <w:ind w:firstLine="105" w:firstLineChars="50"/>
              <w:rPr>
                <w:rFonts w:ascii="宋体" w:hAnsi="宋体" w:cs="宋体"/>
                <w:color w:val="000000"/>
                <w:szCs w:val="21"/>
              </w:rPr>
            </w:pPr>
            <w:r>
              <w:rPr>
                <w:rFonts w:hint="eastAsia" w:ascii="宋体" w:hAnsi="宋体" w:cs="宋体"/>
                <w:color w:val="000000"/>
                <w:szCs w:val="21"/>
              </w:rPr>
              <w:t>0.008%</w:t>
            </w:r>
          </w:p>
        </w:tc>
        <w:tc>
          <w:tcPr>
            <w:tcW w:w="1690" w:type="dxa"/>
          </w:tcPr>
          <w:p>
            <w:pPr>
              <w:spacing w:line="360" w:lineRule="auto"/>
              <w:ind w:firstLine="210" w:firstLineChars="100"/>
              <w:rPr>
                <w:rFonts w:ascii="宋体" w:hAnsi="宋体" w:cs="宋体"/>
                <w:color w:val="000000"/>
                <w:szCs w:val="21"/>
              </w:rPr>
            </w:pPr>
            <w:r>
              <w:rPr>
                <w:rFonts w:hint="eastAsia" w:ascii="宋体" w:hAnsi="宋体" w:cs="宋体"/>
                <w:color w:val="000000"/>
                <w:szCs w:val="21"/>
              </w:rPr>
              <w:t>0.008%</w:t>
            </w:r>
          </w:p>
        </w:tc>
        <w:tc>
          <w:tcPr>
            <w:tcW w:w="1662" w:type="dxa"/>
          </w:tcPr>
          <w:p>
            <w:pPr>
              <w:spacing w:line="360" w:lineRule="auto"/>
              <w:ind w:firstLine="105" w:firstLineChars="50"/>
              <w:rPr>
                <w:rFonts w:ascii="宋体" w:hAnsi="宋体" w:cs="宋体"/>
                <w:color w:val="000000"/>
                <w:szCs w:val="21"/>
              </w:rPr>
            </w:pPr>
            <w:r>
              <w:rPr>
                <w:rFonts w:hint="eastAsia" w:ascii="宋体" w:hAnsi="宋体" w:cs="宋体"/>
                <w:color w:val="000000"/>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477" w:type="dxa"/>
          </w:tcPr>
          <w:p>
            <w:pPr>
              <w:spacing w:line="360" w:lineRule="auto"/>
              <w:rPr>
                <w:rFonts w:ascii="宋体" w:hAnsi="宋体" w:cs="宋体"/>
                <w:color w:val="000000"/>
                <w:szCs w:val="21"/>
              </w:rPr>
            </w:pPr>
            <w:r>
              <w:rPr>
                <w:rFonts w:hint="eastAsia" w:ascii="宋体" w:hAnsi="宋体" w:cs="宋体"/>
                <w:color w:val="000000"/>
                <w:szCs w:val="21"/>
              </w:rPr>
              <w:t>50～100亿元</w:t>
            </w:r>
          </w:p>
        </w:tc>
        <w:tc>
          <w:tcPr>
            <w:tcW w:w="1662" w:type="dxa"/>
          </w:tcPr>
          <w:p>
            <w:pPr>
              <w:spacing w:line="360" w:lineRule="auto"/>
              <w:rPr>
                <w:rFonts w:ascii="宋体" w:hAnsi="宋体" w:cs="宋体"/>
                <w:color w:val="000000"/>
                <w:szCs w:val="21"/>
              </w:rPr>
            </w:pPr>
            <w:r>
              <w:rPr>
                <w:rFonts w:hint="eastAsia" w:ascii="宋体" w:hAnsi="宋体" w:cs="宋体"/>
                <w:color w:val="000000"/>
                <w:szCs w:val="21"/>
              </w:rPr>
              <w:t xml:space="preserve"> 0.006%</w:t>
            </w:r>
          </w:p>
        </w:tc>
        <w:tc>
          <w:tcPr>
            <w:tcW w:w="1690" w:type="dxa"/>
          </w:tcPr>
          <w:p>
            <w:pPr>
              <w:spacing w:line="360" w:lineRule="auto"/>
              <w:ind w:firstLine="210" w:firstLineChars="100"/>
              <w:rPr>
                <w:rFonts w:ascii="宋体" w:hAnsi="宋体" w:cs="宋体"/>
                <w:color w:val="000000"/>
                <w:szCs w:val="21"/>
              </w:rPr>
            </w:pPr>
            <w:r>
              <w:rPr>
                <w:rFonts w:hint="eastAsia" w:ascii="宋体" w:hAnsi="宋体" w:cs="宋体"/>
                <w:color w:val="000000"/>
                <w:szCs w:val="21"/>
              </w:rPr>
              <w:t>0.006%</w:t>
            </w:r>
          </w:p>
        </w:tc>
        <w:tc>
          <w:tcPr>
            <w:tcW w:w="1662" w:type="dxa"/>
          </w:tcPr>
          <w:p>
            <w:pPr>
              <w:spacing w:line="360" w:lineRule="auto"/>
              <w:ind w:firstLine="105" w:firstLineChars="50"/>
              <w:rPr>
                <w:rFonts w:ascii="宋体" w:hAnsi="宋体" w:cs="宋体"/>
                <w:color w:val="000000"/>
                <w:szCs w:val="21"/>
              </w:rPr>
            </w:pPr>
            <w:r>
              <w:rPr>
                <w:rFonts w:hint="eastAsia" w:ascii="宋体" w:hAnsi="宋体" w:cs="宋体"/>
                <w:color w:val="000000"/>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477" w:type="dxa"/>
          </w:tcPr>
          <w:p>
            <w:pPr>
              <w:spacing w:line="360" w:lineRule="auto"/>
              <w:rPr>
                <w:rFonts w:ascii="宋体" w:hAnsi="宋体" w:cs="宋体"/>
                <w:color w:val="000000"/>
                <w:szCs w:val="21"/>
              </w:rPr>
            </w:pPr>
            <w:r>
              <w:rPr>
                <w:rFonts w:hint="eastAsia" w:ascii="宋体" w:hAnsi="宋体" w:cs="宋体"/>
                <w:color w:val="000000"/>
                <w:szCs w:val="21"/>
              </w:rPr>
              <w:t>100亿以上</w:t>
            </w:r>
          </w:p>
        </w:tc>
        <w:tc>
          <w:tcPr>
            <w:tcW w:w="1662" w:type="dxa"/>
          </w:tcPr>
          <w:p>
            <w:pPr>
              <w:spacing w:line="360" w:lineRule="auto"/>
              <w:rPr>
                <w:rFonts w:ascii="宋体" w:hAnsi="宋体" w:cs="宋体"/>
                <w:color w:val="000000"/>
                <w:szCs w:val="21"/>
              </w:rPr>
            </w:pPr>
            <w:r>
              <w:rPr>
                <w:rFonts w:hint="eastAsia" w:ascii="宋体" w:hAnsi="宋体" w:cs="宋体"/>
                <w:color w:val="000000"/>
                <w:szCs w:val="21"/>
              </w:rPr>
              <w:t xml:space="preserve"> 0.004%</w:t>
            </w:r>
          </w:p>
        </w:tc>
        <w:tc>
          <w:tcPr>
            <w:tcW w:w="1690" w:type="dxa"/>
          </w:tcPr>
          <w:p>
            <w:pPr>
              <w:spacing w:line="360" w:lineRule="auto"/>
              <w:ind w:firstLine="210" w:firstLineChars="100"/>
              <w:rPr>
                <w:rFonts w:ascii="宋体" w:hAnsi="宋体" w:cs="宋体"/>
                <w:color w:val="000000"/>
                <w:szCs w:val="21"/>
              </w:rPr>
            </w:pPr>
            <w:r>
              <w:rPr>
                <w:rFonts w:hint="eastAsia" w:ascii="宋体" w:hAnsi="宋体" w:cs="宋体"/>
                <w:color w:val="000000"/>
                <w:szCs w:val="21"/>
              </w:rPr>
              <w:t>0.004%</w:t>
            </w:r>
          </w:p>
        </w:tc>
        <w:tc>
          <w:tcPr>
            <w:tcW w:w="1662" w:type="dxa"/>
          </w:tcPr>
          <w:p>
            <w:pPr>
              <w:spacing w:line="360" w:lineRule="auto"/>
              <w:ind w:firstLine="105" w:firstLineChars="50"/>
              <w:rPr>
                <w:rFonts w:ascii="宋体" w:hAnsi="宋体" w:cs="宋体"/>
                <w:color w:val="000000"/>
                <w:szCs w:val="21"/>
              </w:rPr>
            </w:pPr>
            <w:r>
              <w:rPr>
                <w:rFonts w:hint="eastAsia" w:ascii="宋体" w:hAnsi="宋体" w:cs="宋体"/>
                <w:color w:val="000000"/>
                <w:szCs w:val="21"/>
              </w:rPr>
              <w:t>0.004%</w:t>
            </w:r>
          </w:p>
        </w:tc>
      </w:tr>
    </w:tbl>
    <w:p>
      <w:pPr>
        <w:spacing w:line="360" w:lineRule="auto"/>
        <w:ind w:firstLine="420" w:firstLineChars="200"/>
        <w:rPr>
          <w:rFonts w:ascii="宋体" w:hAnsi="宋体" w:cs="宋体"/>
          <w:color w:val="000000"/>
          <w:szCs w:val="21"/>
        </w:rPr>
      </w:pPr>
      <w:r>
        <w:rPr>
          <w:rFonts w:hint="eastAsia" w:ascii="宋体" w:hAnsi="宋体" w:cs="宋体"/>
          <w:color w:val="000000"/>
          <w:szCs w:val="21"/>
        </w:rPr>
        <w:t xml:space="preserve">注: </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（1）按本表费率计算的收费为采购代理的收费基准价格；</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（2）采购代理收费按差额定率累进法计算。</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例如：某服务采购代理业务中标金额或者暂定价为200万元，计算采购代理收费额如下：</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100 万元×l.5 %＝ 1.5 万元</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 200 － 100 ）万元 ×0.8%＝0.8万元</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合计收费＝ 1.5+0.8＝ 2.3（万元）</w:t>
      </w:r>
    </w:p>
    <w:p>
      <w:pPr>
        <w:pStyle w:val="7"/>
        <w:keepNext w:val="0"/>
        <w:keepLines w:val="0"/>
        <w:spacing w:before="0" w:after="0" w:line="360" w:lineRule="auto"/>
        <w:ind w:left="420" w:leftChars="200"/>
        <w:rPr>
          <w:rFonts w:ascii="宋体" w:hAnsi="宋体" w:cs="宋体"/>
          <w:color w:val="000000"/>
          <w:sz w:val="24"/>
        </w:rPr>
      </w:pPr>
      <w:r>
        <w:rPr>
          <w:rFonts w:hint="eastAsia" w:ascii="宋体" w:hAnsi="宋体" w:cs="宋体"/>
          <w:color w:val="000000"/>
          <w:sz w:val="24"/>
        </w:rPr>
        <w:t>40. 需要补充的其他内容</w:t>
      </w:r>
    </w:p>
    <w:p>
      <w:pPr>
        <w:pStyle w:val="24"/>
        <w:spacing w:line="360" w:lineRule="auto"/>
        <w:ind w:firstLine="420" w:firstLineChars="200"/>
        <w:rPr>
          <w:rFonts w:hAnsi="宋体" w:cs="宋体"/>
          <w:color w:val="000000"/>
          <w:sz w:val="21"/>
        </w:rPr>
      </w:pPr>
      <w:r>
        <w:rPr>
          <w:rFonts w:hint="eastAsia" w:hAnsi="宋体" w:cs="宋体"/>
          <w:color w:val="000000"/>
          <w:sz w:val="21"/>
        </w:rPr>
        <w:t>40.1本招标文件解释规则详见“投标人须知前附表”。</w:t>
      </w:r>
    </w:p>
    <w:p>
      <w:pPr>
        <w:pStyle w:val="24"/>
        <w:spacing w:line="360" w:lineRule="auto"/>
        <w:ind w:firstLine="420" w:firstLineChars="200"/>
        <w:rPr>
          <w:rFonts w:hAnsi="宋体" w:cs="宋体"/>
          <w:color w:val="000000"/>
          <w:sz w:val="21"/>
        </w:rPr>
      </w:pPr>
      <w:r>
        <w:rPr>
          <w:rFonts w:hint="eastAsia" w:hAnsi="宋体" w:cs="宋体"/>
          <w:color w:val="000000"/>
          <w:sz w:val="21"/>
        </w:rPr>
        <w:t>40.2 其他事项详见“投标人须知前附表”。</w:t>
      </w:r>
    </w:p>
    <w:p>
      <w:pPr>
        <w:pStyle w:val="24"/>
        <w:spacing w:line="360" w:lineRule="auto"/>
        <w:ind w:firstLine="420" w:firstLineChars="200"/>
        <w:rPr>
          <w:rFonts w:hAnsi="宋体" w:cs="宋体"/>
          <w:color w:val="000000"/>
          <w:sz w:val="21"/>
        </w:rPr>
      </w:pPr>
      <w:r>
        <w:rPr>
          <w:rFonts w:hint="eastAsia" w:hAnsi="宋体" w:cs="宋体"/>
          <w:color w:val="000000"/>
          <w:sz w:val="21"/>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pPr>
        <w:pStyle w:val="24"/>
        <w:spacing w:line="360" w:lineRule="auto"/>
        <w:ind w:firstLine="420" w:firstLineChars="200"/>
        <w:rPr>
          <w:rFonts w:hAnsi="宋体" w:cs="宋体"/>
          <w:color w:val="000000"/>
          <w:sz w:val="21"/>
        </w:rPr>
      </w:pPr>
      <w:r>
        <w:rPr>
          <w:rFonts w:hint="eastAsia" w:hAnsi="宋体" w:cs="宋体"/>
          <w:color w:val="000000"/>
          <w:sz w:val="21"/>
        </w:rPr>
        <w:t>（1）在货物采购项目中，货物由中小企业制造，即货物由中小企业生产且使用该中小企业商号或者注册商标，不对其中涉及的工程承建商和服务的承接商作出要求；</w:t>
      </w:r>
    </w:p>
    <w:p>
      <w:pPr>
        <w:pStyle w:val="24"/>
        <w:spacing w:line="360" w:lineRule="auto"/>
        <w:ind w:firstLine="420" w:firstLineChars="200"/>
        <w:rPr>
          <w:rFonts w:hAnsi="宋体" w:cs="宋体"/>
          <w:color w:val="000000"/>
          <w:sz w:val="21"/>
        </w:rPr>
      </w:pPr>
      <w:r>
        <w:rPr>
          <w:rFonts w:hint="eastAsia" w:hAnsi="宋体" w:cs="宋体"/>
          <w:color w:val="000000"/>
          <w:sz w:val="21"/>
        </w:rPr>
        <w:t>（2）在工程采购项目中，工程由中小企业承建，即工程施工单位为中小企业，不对其中涉及的货物的制造商和服务的承接商作出要求；</w:t>
      </w:r>
    </w:p>
    <w:p>
      <w:pPr>
        <w:pStyle w:val="24"/>
        <w:spacing w:line="360" w:lineRule="auto"/>
        <w:ind w:firstLine="420" w:firstLineChars="200"/>
        <w:rPr>
          <w:rFonts w:hAnsi="宋体" w:cs="宋体"/>
          <w:color w:val="000000"/>
          <w:sz w:val="21"/>
        </w:rPr>
      </w:pPr>
      <w:r>
        <w:rPr>
          <w:rFonts w:hint="eastAsia" w:hAnsi="宋体" w:cs="宋体"/>
          <w:color w:val="000000"/>
          <w:sz w:val="21"/>
        </w:rPr>
        <w:t>（3）在服务采购项目中，服务由中小企业承接，即提供服务的人员为中小企业依照《中华人民共和国劳动合同法》订立劳动合同的从业人员，不对其中涉及的货物的制造商和工程承建商作出要求。</w:t>
      </w:r>
    </w:p>
    <w:p>
      <w:pPr>
        <w:pStyle w:val="24"/>
        <w:spacing w:line="360" w:lineRule="auto"/>
        <w:ind w:firstLine="420" w:firstLineChars="200"/>
        <w:rPr>
          <w:rFonts w:hAnsi="宋体" w:cs="宋体"/>
          <w:color w:val="000000"/>
          <w:sz w:val="21"/>
        </w:rPr>
      </w:pPr>
      <w:r>
        <w:rPr>
          <w:rFonts w:hint="eastAsia" w:hAnsi="宋体" w:cs="宋体"/>
          <w:color w:val="000000"/>
          <w:sz w:val="21"/>
        </w:rPr>
        <w:t>在货物采购项目中，供应商提供的货物既有中小企业制造货物，也有大型企业制造货物的，不享受本招标文件规定的中小企业扶持政策。</w:t>
      </w:r>
    </w:p>
    <w:p>
      <w:pPr>
        <w:spacing w:line="360" w:lineRule="auto"/>
        <w:ind w:firstLine="420" w:firstLineChars="200"/>
        <w:rPr>
          <w:rFonts w:ascii="宋体" w:hAnsi="宋体" w:cs="宋体"/>
          <w:color w:val="000000"/>
        </w:rPr>
      </w:pPr>
      <w:r>
        <w:rPr>
          <w:rFonts w:hint="eastAsia" w:ascii="宋体" w:hAnsi="宋体" w:cs="宋体"/>
          <w:color w:val="000000"/>
        </w:rPr>
        <w:t>依据本招标文件规定享受扶持政策获得政府采购合同的，小微企业不得将合同分包给大中型企业，中型企业不得将合同分包给大型企业。</w:t>
      </w:r>
      <w:r>
        <w:rPr>
          <w:rFonts w:hint="eastAsia" w:ascii="宋体" w:hAnsi="宋体" w:cs="宋体"/>
          <w:color w:val="000000"/>
        </w:rPr>
        <w:br w:type="page"/>
      </w:r>
      <w:r>
        <w:rPr>
          <w:rFonts w:hint="eastAsia" w:ascii="宋体" w:hAnsi="宋体" w:cs="宋体"/>
          <w:bCs/>
          <w:color w:val="000000"/>
          <w:sz w:val="32"/>
          <w:szCs w:val="32"/>
        </w:rPr>
        <w:t>附件1：</w:t>
      </w:r>
    </w:p>
    <w:p>
      <w:pPr>
        <w:widowControl/>
        <w:shd w:val="clear" w:color="auto" w:fill="FFFFFF"/>
        <w:spacing w:line="480" w:lineRule="atLeast"/>
        <w:jc w:val="center"/>
        <w:rPr>
          <w:rFonts w:ascii="宋体" w:hAnsi="宋体" w:cs="宋体"/>
          <w:color w:val="000000"/>
          <w:kern w:val="0"/>
          <w:sz w:val="32"/>
          <w:szCs w:val="32"/>
        </w:rPr>
      </w:pPr>
      <w:r>
        <w:rPr>
          <w:rFonts w:hint="eastAsia" w:ascii="宋体" w:hAnsi="宋体" w:cs="宋体"/>
          <w:b/>
          <w:bCs/>
          <w:color w:val="000000"/>
          <w:kern w:val="0"/>
          <w:sz w:val="32"/>
          <w:szCs w:val="32"/>
        </w:rPr>
        <w:t>采购项目合同验收书（格式）</w:t>
      </w:r>
    </w:p>
    <w:p>
      <w:pPr>
        <w:widowControl/>
        <w:shd w:val="clear" w:color="auto" w:fill="FFFFFF"/>
        <w:spacing w:line="480" w:lineRule="atLeast"/>
        <w:jc w:val="center"/>
        <w:rPr>
          <w:rFonts w:ascii="宋体" w:hAnsi="宋体" w:cs="宋体"/>
          <w:color w:val="000000"/>
          <w:kern w:val="0"/>
          <w:sz w:val="32"/>
          <w:szCs w:val="32"/>
        </w:rPr>
      </w:pPr>
    </w:p>
    <w:p>
      <w:pPr>
        <w:widowControl/>
        <w:shd w:val="clear" w:color="auto" w:fill="FFFFFF"/>
        <w:snapToGrid w:val="0"/>
        <w:spacing w:line="320" w:lineRule="atLeast"/>
        <w:ind w:firstLine="480"/>
        <w:jc w:val="left"/>
        <w:rPr>
          <w:rFonts w:ascii="宋体" w:hAnsi="宋体" w:cs="宋体"/>
          <w:color w:val="000000"/>
          <w:kern w:val="0"/>
          <w:szCs w:val="21"/>
        </w:rPr>
      </w:pPr>
      <w:r>
        <w:rPr>
          <w:rFonts w:hint="eastAsia" w:ascii="宋体" w:hAnsi="宋体" w:cs="宋体"/>
          <w:color w:val="000000"/>
          <w:kern w:val="0"/>
          <w:szCs w:val="21"/>
        </w:rPr>
        <w:t>根据政府采购项目（</w:t>
      </w:r>
      <w:r>
        <w:rPr>
          <w:rFonts w:hint="eastAsia" w:ascii="宋体" w:hAnsi="宋体" w:cs="宋体"/>
          <w:color w:val="000000"/>
          <w:kern w:val="0"/>
          <w:szCs w:val="21"/>
          <w:u w:val="single"/>
        </w:rPr>
        <w:t>采购合同编号：</w:t>
      </w:r>
      <w:r>
        <w:rPr>
          <w:rFonts w:hint="eastAsia" w:ascii="宋体" w:hAnsi="宋体" w:cs="宋体"/>
          <w:color w:val="000000"/>
          <w:kern w:val="0"/>
          <w:szCs w:val="21"/>
          <w:u w:val="single"/>
        </w:rPr>
        <w:softHyphen/>
      </w:r>
      <w:r>
        <w:rPr>
          <w:rFonts w:hint="eastAsia" w:ascii="宋体" w:hAnsi="宋体" w:cs="宋体"/>
          <w:color w:val="000000"/>
          <w:kern w:val="0"/>
          <w:szCs w:val="21"/>
        </w:rPr>
        <w:t>）的约定，我单位对（</w:t>
      </w:r>
      <w:r>
        <w:rPr>
          <w:rFonts w:hint="eastAsia" w:ascii="宋体" w:hAnsi="宋体" w:cs="宋体"/>
          <w:color w:val="000000"/>
          <w:kern w:val="0"/>
          <w:szCs w:val="21"/>
          <w:u w:val="single"/>
        </w:rPr>
        <w:t xml:space="preserve"> 项目名称 </w:t>
      </w:r>
      <w:r>
        <w:rPr>
          <w:rFonts w:hint="eastAsia" w:ascii="宋体" w:hAnsi="宋体" w:cs="宋体"/>
          <w:color w:val="000000"/>
          <w:kern w:val="0"/>
          <w:szCs w:val="21"/>
        </w:rPr>
        <w:t>） 政府采购项目成交供应商（</w:t>
      </w:r>
      <w:r>
        <w:rPr>
          <w:rFonts w:hint="eastAsia" w:ascii="宋体" w:hAnsi="宋体" w:cs="宋体"/>
          <w:color w:val="000000"/>
          <w:kern w:val="0"/>
          <w:szCs w:val="21"/>
          <w:u w:val="single"/>
        </w:rPr>
        <w:t xml:space="preserve"> 公司名称 </w:t>
      </w:r>
      <w:r>
        <w:rPr>
          <w:rFonts w:hint="eastAsia" w:ascii="宋体" w:hAnsi="宋体" w:cs="宋体"/>
          <w:color w:val="000000"/>
          <w:kern w:val="0"/>
          <w:szCs w:val="21"/>
        </w:rPr>
        <w:t>） 提供的货物（或者工程、服务）进行了验收，验收情况如下：</w:t>
      </w:r>
    </w:p>
    <w:tbl>
      <w:tblPr>
        <w:tblStyle w:val="44"/>
        <w:tblW w:w="8445" w:type="dxa"/>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5"/>
              <w:jc w:val="center"/>
              <w:rPr>
                <w:rFonts w:ascii="宋体" w:hAnsi="宋体" w:cs="宋体"/>
                <w:color w:val="000000"/>
                <w:kern w:val="0"/>
                <w:szCs w:val="21"/>
              </w:rPr>
            </w:pPr>
            <w:r>
              <w:rPr>
                <w:rFonts w:hint="eastAsia" w:ascii="宋体" w:hAnsi="宋体" w:cs="宋体"/>
                <w:color w:val="000000"/>
                <w:kern w:val="0"/>
                <w:szCs w:val="21"/>
              </w:rPr>
              <w:t>验收方式：</w:t>
            </w:r>
          </w:p>
        </w:tc>
        <w:tc>
          <w:tcPr>
            <w:tcW w:w="5193" w:type="dxa"/>
            <w:gridSpan w:val="6"/>
            <w:tcBorders>
              <w:top w:val="single" w:color="auto" w:sz="8" w:space="0"/>
              <w:left w:val="nil"/>
              <w:bottom w:val="single" w:color="auto" w:sz="8" w:space="0"/>
              <w:right w:val="single" w:color="auto" w:sz="8" w:space="0"/>
            </w:tcBorders>
            <w:vAlign w:val="center"/>
          </w:tcPr>
          <w:p>
            <w:pPr>
              <w:widowControl/>
              <w:snapToGrid w:val="0"/>
              <w:spacing w:before="100" w:beforeAutospacing="1" w:after="100" w:afterAutospacing="1" w:line="320" w:lineRule="atLeast"/>
              <w:jc w:val="center"/>
              <w:rPr>
                <w:rFonts w:ascii="宋体" w:hAnsi="宋体" w:cs="宋体"/>
                <w:color w:val="000000"/>
                <w:kern w:val="0"/>
                <w:szCs w:val="21"/>
              </w:rPr>
            </w:pPr>
            <w:r>
              <w:rPr>
                <w:rFonts w:hint="eastAsia" w:ascii="宋体" w:hAnsi="宋体" w:cs="宋体"/>
                <w:color w:val="000000"/>
                <w:kern w:val="0"/>
                <w:szCs w:val="21"/>
              </w:rPr>
              <w:sym w:font="Wingdings 2" w:char="00A3"/>
            </w:r>
            <w:r>
              <w:rPr>
                <w:rFonts w:hint="eastAsia" w:ascii="宋体" w:hAnsi="宋体" w:cs="宋体"/>
                <w:color w:val="000000"/>
                <w:kern w:val="0"/>
                <w:szCs w:val="21"/>
              </w:rPr>
              <w:t xml:space="preserve">自行验收 </w:t>
            </w:r>
            <w:r>
              <w:rPr>
                <w:rFonts w:hint="eastAsia" w:ascii="宋体" w:hAnsi="宋体" w:cs="宋体"/>
                <w:color w:val="000000"/>
                <w:kern w:val="0"/>
                <w:szCs w:val="21"/>
              </w:rPr>
              <w:sym w:font="Wingdings 2" w:char="00A3"/>
            </w:r>
            <w:r>
              <w:rPr>
                <w:rFonts w:hint="eastAsia" w:ascii="宋体" w:hAnsi="宋体" w:cs="宋体"/>
                <w:color w:val="000000"/>
                <w:kern w:val="0"/>
                <w:szCs w:val="21"/>
              </w:rPr>
              <w:t>委托验收</w:t>
            </w:r>
          </w:p>
        </w:tc>
      </w:tr>
      <w:tr>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宋体" w:hAnsi="宋体" w:cs="宋体"/>
                <w:color w:val="000000"/>
                <w:kern w:val="0"/>
                <w:szCs w:val="21"/>
              </w:rPr>
            </w:pPr>
            <w:r>
              <w:rPr>
                <w:rFonts w:hint="eastAsia" w:ascii="宋体" w:hAnsi="宋体" w:cs="宋体"/>
                <w:color w:val="000000"/>
                <w:kern w:val="0"/>
                <w:szCs w:val="21"/>
              </w:rPr>
              <w:t>序号</w:t>
            </w:r>
          </w:p>
        </w:tc>
        <w:tc>
          <w:tcPr>
            <w:tcW w:w="2448"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宋体" w:hAnsi="宋体" w:cs="宋体"/>
                <w:color w:val="000000"/>
                <w:kern w:val="0"/>
                <w:szCs w:val="21"/>
              </w:rPr>
            </w:pPr>
            <w:r>
              <w:rPr>
                <w:rFonts w:hint="eastAsia" w:ascii="宋体" w:hAnsi="宋体" w:cs="宋体"/>
                <w:color w:val="000000"/>
                <w:kern w:val="0"/>
                <w:szCs w:val="21"/>
              </w:rPr>
              <w:t>名称</w:t>
            </w:r>
          </w:p>
        </w:tc>
        <w:tc>
          <w:tcPr>
            <w:tcW w:w="2902" w:type="dxa"/>
            <w:gridSpan w:val="3"/>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宋体" w:hAnsi="宋体" w:cs="宋体"/>
                <w:color w:val="000000"/>
                <w:kern w:val="0"/>
                <w:szCs w:val="21"/>
              </w:rPr>
            </w:pPr>
            <w:r>
              <w:rPr>
                <w:rFonts w:hint="eastAsia" w:ascii="宋体" w:hAnsi="宋体" w:cs="宋体"/>
                <w:color w:val="000000"/>
                <w:kern w:val="0"/>
                <w:szCs w:val="21"/>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jc w:val="center"/>
              <w:rPr>
                <w:rFonts w:ascii="宋体" w:hAnsi="宋体" w:cs="宋体"/>
                <w:color w:val="000000"/>
                <w:kern w:val="0"/>
                <w:szCs w:val="21"/>
              </w:rPr>
            </w:pPr>
            <w:r>
              <w:rPr>
                <w:rFonts w:hint="eastAsia" w:ascii="宋体" w:hAnsi="宋体" w:cs="宋体"/>
                <w:color w:val="000000"/>
                <w:kern w:val="0"/>
                <w:szCs w:val="21"/>
              </w:rPr>
              <w:t>数量</w:t>
            </w:r>
          </w:p>
        </w:tc>
        <w:tc>
          <w:tcPr>
            <w:tcW w:w="1428"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宋体" w:hAnsi="宋体" w:cs="宋体"/>
                <w:color w:val="000000"/>
                <w:kern w:val="0"/>
                <w:szCs w:val="21"/>
              </w:rPr>
            </w:pPr>
            <w:r>
              <w:rPr>
                <w:rFonts w:hint="eastAsia" w:ascii="宋体" w:hAnsi="宋体" w:cs="宋体"/>
                <w:color w:val="000000"/>
                <w:kern w:val="0"/>
                <w:szCs w:val="21"/>
              </w:rPr>
              <w:t>金额</w:t>
            </w:r>
          </w:p>
        </w:tc>
      </w:tr>
      <w:tr>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color w:val="000000"/>
                <w:kern w:val="0"/>
                <w:szCs w:val="21"/>
              </w:rPr>
            </w:pPr>
          </w:p>
        </w:tc>
        <w:tc>
          <w:tcPr>
            <w:tcW w:w="2448"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color w:val="000000"/>
                <w:kern w:val="0"/>
                <w:szCs w:val="21"/>
              </w:rPr>
            </w:pPr>
          </w:p>
        </w:tc>
        <w:tc>
          <w:tcPr>
            <w:tcW w:w="290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color w:val="000000"/>
                <w:kern w:val="0"/>
                <w:szCs w:val="21"/>
              </w:rPr>
            </w:pP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color w:val="000000"/>
                <w:kern w:val="0"/>
                <w:szCs w:val="21"/>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color w:val="000000"/>
                <w:kern w:val="0"/>
                <w:szCs w:val="21"/>
              </w:rPr>
            </w:pPr>
          </w:p>
        </w:tc>
      </w:tr>
      <w:tr>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color w:val="000000"/>
                <w:kern w:val="0"/>
                <w:szCs w:val="21"/>
              </w:rPr>
            </w:pPr>
          </w:p>
        </w:tc>
        <w:tc>
          <w:tcPr>
            <w:tcW w:w="2448"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color w:val="000000"/>
                <w:kern w:val="0"/>
                <w:szCs w:val="21"/>
              </w:rPr>
            </w:pPr>
          </w:p>
        </w:tc>
        <w:tc>
          <w:tcPr>
            <w:tcW w:w="290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color w:val="000000"/>
                <w:kern w:val="0"/>
                <w:szCs w:val="21"/>
              </w:rPr>
            </w:pP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color w:val="000000"/>
                <w:kern w:val="0"/>
                <w:szCs w:val="21"/>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color w:val="000000"/>
                <w:kern w:val="0"/>
                <w:szCs w:val="21"/>
              </w:rPr>
            </w:pPr>
          </w:p>
        </w:tc>
      </w:tr>
      <w:tr>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color w:val="000000"/>
                <w:kern w:val="0"/>
                <w:szCs w:val="21"/>
              </w:rPr>
            </w:pPr>
          </w:p>
        </w:tc>
        <w:tc>
          <w:tcPr>
            <w:tcW w:w="2448"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color w:val="000000"/>
                <w:kern w:val="0"/>
                <w:szCs w:val="21"/>
              </w:rPr>
            </w:pPr>
          </w:p>
        </w:tc>
        <w:tc>
          <w:tcPr>
            <w:tcW w:w="290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color w:val="000000"/>
                <w:kern w:val="0"/>
                <w:szCs w:val="21"/>
              </w:rPr>
            </w:pP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color w:val="000000"/>
                <w:kern w:val="0"/>
                <w:szCs w:val="21"/>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color w:val="000000"/>
                <w:kern w:val="0"/>
                <w:szCs w:val="21"/>
              </w:rPr>
            </w:pPr>
          </w:p>
        </w:tc>
      </w:tr>
      <w:tr>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5"/>
              <w:jc w:val="center"/>
              <w:rPr>
                <w:rFonts w:ascii="宋体" w:hAnsi="宋体" w:cs="宋体"/>
                <w:color w:val="000000"/>
                <w:kern w:val="0"/>
                <w:szCs w:val="21"/>
              </w:rPr>
            </w:pPr>
            <w:r>
              <w:rPr>
                <w:rFonts w:hint="eastAsia" w:ascii="宋体" w:hAnsi="宋体" w:cs="宋体"/>
                <w:color w:val="000000"/>
                <w:kern w:val="0"/>
                <w:szCs w:val="21"/>
              </w:rPr>
              <w:t>合 计</w:t>
            </w: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color w:val="000000"/>
                <w:kern w:val="0"/>
                <w:szCs w:val="21"/>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color w:val="000000"/>
                <w:kern w:val="0"/>
                <w:szCs w:val="21"/>
              </w:rPr>
            </w:pPr>
          </w:p>
        </w:tc>
      </w:tr>
      <w:tr>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210" w:firstLineChars="100"/>
              <w:jc w:val="left"/>
              <w:rPr>
                <w:rFonts w:ascii="宋体" w:hAnsi="宋体" w:cs="宋体"/>
                <w:color w:val="000000"/>
                <w:kern w:val="0"/>
                <w:szCs w:val="21"/>
              </w:rPr>
            </w:pPr>
            <w:r>
              <w:rPr>
                <w:rFonts w:hint="eastAsia" w:ascii="宋体" w:hAnsi="宋体" w:cs="宋体"/>
                <w:color w:val="000000"/>
                <w:kern w:val="0"/>
                <w:szCs w:val="21"/>
              </w:rPr>
              <w:t>合计大写金额：  仟  佰  拾  万  仟  佰  拾  元</w:t>
            </w:r>
          </w:p>
        </w:tc>
      </w:tr>
      <w:tr>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宋体" w:hAnsi="宋体" w:cs="宋体"/>
                <w:color w:val="000000"/>
                <w:kern w:val="0"/>
                <w:szCs w:val="21"/>
              </w:rPr>
            </w:pPr>
            <w:r>
              <w:rPr>
                <w:rFonts w:hint="eastAsia" w:ascii="宋体" w:hAnsi="宋体" w:cs="宋体"/>
                <w:color w:val="000000"/>
                <w:kern w:val="0"/>
                <w:szCs w:val="21"/>
              </w:rPr>
              <w:t>实际供货日期</w:t>
            </w:r>
          </w:p>
        </w:tc>
        <w:tc>
          <w:tcPr>
            <w:tcW w:w="2421"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color w:val="000000"/>
                <w:kern w:val="0"/>
                <w:szCs w:val="21"/>
              </w:rPr>
            </w:pPr>
          </w:p>
        </w:tc>
        <w:tc>
          <w:tcPr>
            <w:tcW w:w="2282" w:type="dxa"/>
            <w:gridSpan w:val="3"/>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46"/>
              <w:jc w:val="center"/>
              <w:rPr>
                <w:rFonts w:ascii="宋体" w:hAnsi="宋体" w:cs="宋体"/>
                <w:color w:val="000000"/>
                <w:kern w:val="0"/>
                <w:szCs w:val="21"/>
              </w:rPr>
            </w:pPr>
            <w:r>
              <w:rPr>
                <w:rFonts w:hint="eastAsia" w:ascii="宋体" w:hAnsi="宋体" w:cs="宋体"/>
                <w:color w:val="000000"/>
                <w:kern w:val="0"/>
                <w:szCs w:val="21"/>
              </w:rPr>
              <w:t>合同交货验收日期</w:t>
            </w:r>
          </w:p>
        </w:tc>
        <w:tc>
          <w:tcPr>
            <w:tcW w:w="211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color w:val="000000"/>
                <w:kern w:val="0"/>
                <w:szCs w:val="21"/>
              </w:rPr>
            </w:pPr>
          </w:p>
        </w:tc>
      </w:tr>
      <w:tr>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320" w:lineRule="atLeast"/>
              <w:jc w:val="left"/>
              <w:rPr>
                <w:rFonts w:ascii="宋体" w:hAnsi="宋体" w:cs="宋体"/>
                <w:color w:val="000000"/>
                <w:kern w:val="0"/>
                <w:szCs w:val="21"/>
              </w:rPr>
            </w:pPr>
            <w:r>
              <w:rPr>
                <w:rFonts w:hint="eastAsia" w:ascii="宋体" w:hAnsi="宋体" w:cs="宋体"/>
                <w:color w:val="000000"/>
                <w:kern w:val="0"/>
                <w:szCs w:val="21"/>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320" w:lineRule="atLeast"/>
              <w:jc w:val="left"/>
              <w:rPr>
                <w:rFonts w:ascii="宋体" w:hAnsi="宋体" w:cs="宋体"/>
                <w:color w:val="000000"/>
                <w:kern w:val="0"/>
                <w:szCs w:val="21"/>
              </w:rPr>
            </w:pPr>
            <w:r>
              <w:rPr>
                <w:rFonts w:hint="eastAsia" w:ascii="宋体" w:hAnsi="宋体" w:cs="宋体"/>
                <w:color w:val="000000"/>
                <w:kern w:val="0"/>
                <w:szCs w:val="21"/>
              </w:rPr>
              <w:t>（应按采购合同、磋商文件、竞标响应文件及验收方案等进行验收；并核对成交供应商在安装调试等方面是否违反合同约定或者服务规范要求、提供的质量保证证明材料是否齐全、应有的配件及附件是否达到合同约定等。可附件)</w:t>
            </w:r>
          </w:p>
        </w:tc>
      </w:tr>
      <w:tr>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rPr>
                <w:rFonts w:ascii="宋体" w:hAnsi="宋体" w:cs="宋体"/>
                <w:color w:val="000000"/>
                <w:kern w:val="0"/>
                <w:szCs w:val="21"/>
              </w:rPr>
            </w:pPr>
            <w:r>
              <w:rPr>
                <w:rFonts w:hint="eastAsia" w:ascii="宋体" w:hAnsi="宋体" w:cs="宋体"/>
                <w:color w:val="000000"/>
                <w:kern w:val="0"/>
                <w:szCs w:val="21"/>
              </w:rPr>
              <w:t>验收小组意见</w:t>
            </w:r>
          </w:p>
        </w:tc>
        <w:tc>
          <w:tcPr>
            <w:tcW w:w="6816" w:type="dxa"/>
            <w:gridSpan w:val="7"/>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210" w:firstLineChars="100"/>
              <w:rPr>
                <w:rFonts w:ascii="宋体" w:hAnsi="宋体" w:cs="宋体"/>
                <w:color w:val="000000"/>
                <w:kern w:val="0"/>
                <w:szCs w:val="21"/>
              </w:rPr>
            </w:pPr>
            <w:r>
              <w:rPr>
                <w:rFonts w:hint="eastAsia" w:ascii="宋体" w:hAnsi="宋体" w:cs="宋体"/>
                <w:color w:val="000000"/>
                <w:kern w:val="0"/>
                <w:szCs w:val="21"/>
              </w:rPr>
              <w:t>验收结论性意见：</w:t>
            </w:r>
          </w:p>
        </w:tc>
      </w:tr>
      <w:tr>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Cs w:val="21"/>
              </w:rPr>
            </w:pPr>
          </w:p>
        </w:tc>
        <w:tc>
          <w:tcPr>
            <w:tcW w:w="6816" w:type="dxa"/>
            <w:gridSpan w:val="7"/>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210" w:firstLineChars="100"/>
              <w:jc w:val="left"/>
              <w:rPr>
                <w:rFonts w:ascii="宋体" w:hAnsi="宋体" w:cs="宋体"/>
                <w:color w:val="000000"/>
                <w:kern w:val="0"/>
                <w:szCs w:val="21"/>
              </w:rPr>
            </w:pPr>
            <w:r>
              <w:rPr>
                <w:rFonts w:hint="eastAsia" w:ascii="宋体" w:hAnsi="宋体" w:cs="宋体"/>
                <w:color w:val="000000"/>
                <w:kern w:val="0"/>
                <w:szCs w:val="21"/>
              </w:rPr>
              <w:t>有异议的意见和说明理由：</w:t>
            </w:r>
          </w:p>
          <w:p>
            <w:pPr>
              <w:widowControl/>
              <w:spacing w:before="100" w:beforeAutospacing="1" w:after="100" w:afterAutospacing="1" w:line="320" w:lineRule="atLeast"/>
              <w:ind w:firstLine="210" w:firstLineChars="100"/>
              <w:jc w:val="left"/>
              <w:rPr>
                <w:rFonts w:ascii="宋体" w:hAnsi="宋体" w:cs="宋体"/>
                <w:color w:val="000000"/>
                <w:kern w:val="0"/>
                <w:szCs w:val="21"/>
              </w:rPr>
            </w:pPr>
            <w:r>
              <w:rPr>
                <w:rFonts w:hint="eastAsia" w:ascii="宋体" w:hAnsi="宋体" w:cs="宋体"/>
                <w:color w:val="000000"/>
                <w:kern w:val="0"/>
                <w:szCs w:val="21"/>
              </w:rPr>
              <w:t>签字：</w:t>
            </w:r>
          </w:p>
        </w:tc>
      </w:tr>
      <w:tr>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宋体" w:hAnsi="宋体" w:cs="宋体"/>
                <w:color w:val="000000"/>
                <w:kern w:val="0"/>
                <w:szCs w:val="21"/>
              </w:rPr>
            </w:pPr>
            <w:r>
              <w:rPr>
                <w:rFonts w:hint="eastAsia" w:ascii="宋体" w:hAnsi="宋体" w:cs="宋体"/>
                <w:color w:val="000000"/>
                <w:kern w:val="0"/>
                <w:szCs w:val="21"/>
              </w:rPr>
              <w:t>验收小组成员签字：</w:t>
            </w:r>
          </w:p>
        </w:tc>
      </w:tr>
      <w:tr>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宋体" w:hAnsi="宋体" w:cs="宋体"/>
                <w:color w:val="000000"/>
                <w:kern w:val="0"/>
                <w:szCs w:val="21"/>
              </w:rPr>
            </w:pPr>
            <w:r>
              <w:rPr>
                <w:rFonts w:hint="eastAsia" w:ascii="宋体" w:hAnsi="宋体" w:cs="宋体"/>
                <w:color w:val="000000"/>
                <w:kern w:val="0"/>
                <w:szCs w:val="21"/>
              </w:rPr>
              <w:t>监督人员或者其他相关人员签字：</w:t>
            </w:r>
          </w:p>
          <w:p>
            <w:pPr>
              <w:widowControl/>
              <w:spacing w:before="100" w:beforeAutospacing="1" w:after="100" w:afterAutospacing="1" w:line="320" w:lineRule="atLeast"/>
              <w:ind w:firstLine="74"/>
              <w:jc w:val="left"/>
              <w:rPr>
                <w:rFonts w:ascii="宋体" w:hAnsi="宋体" w:cs="宋体"/>
                <w:color w:val="000000"/>
                <w:kern w:val="0"/>
                <w:szCs w:val="21"/>
              </w:rPr>
            </w:pPr>
            <w:r>
              <w:rPr>
                <w:rFonts w:hint="eastAsia" w:ascii="宋体" w:hAnsi="宋体" w:cs="宋体"/>
                <w:color w:val="000000"/>
                <w:kern w:val="0"/>
                <w:szCs w:val="21"/>
              </w:rPr>
              <w:t>或者受邀机构的意见（盖章）：</w:t>
            </w:r>
          </w:p>
        </w:tc>
      </w:tr>
      <w:tr>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宋体" w:hAnsi="宋体" w:cs="宋体"/>
                <w:color w:val="000000"/>
                <w:kern w:val="0"/>
                <w:szCs w:val="21"/>
              </w:rPr>
            </w:pPr>
            <w:r>
              <w:rPr>
                <w:rFonts w:hint="eastAsia" w:ascii="宋体" w:hAnsi="宋体" w:cs="宋体"/>
                <w:color w:val="000000"/>
                <w:kern w:val="0"/>
                <w:szCs w:val="21"/>
              </w:rPr>
              <w:t>成交供应商负责人签字或者盖章：</w:t>
            </w:r>
          </w:p>
          <w:p>
            <w:pPr>
              <w:widowControl/>
              <w:spacing w:before="100" w:beforeAutospacing="1" w:after="100" w:afterAutospacing="1" w:line="320" w:lineRule="atLeast"/>
              <w:jc w:val="left"/>
              <w:rPr>
                <w:rFonts w:ascii="宋体" w:hAnsi="宋体" w:cs="宋体"/>
                <w:color w:val="000000"/>
                <w:kern w:val="0"/>
                <w:szCs w:val="21"/>
              </w:rPr>
            </w:pPr>
          </w:p>
          <w:p>
            <w:pPr>
              <w:widowControl/>
              <w:spacing w:before="100" w:beforeAutospacing="1" w:after="100" w:afterAutospacing="1" w:line="320" w:lineRule="atLeast"/>
              <w:jc w:val="left"/>
              <w:rPr>
                <w:rFonts w:ascii="宋体" w:hAnsi="宋体" w:cs="宋体"/>
                <w:color w:val="000000"/>
                <w:kern w:val="0"/>
                <w:szCs w:val="21"/>
              </w:rPr>
            </w:pPr>
            <w:r>
              <w:rPr>
                <w:rFonts w:hint="eastAsia" w:ascii="宋体" w:hAnsi="宋体" w:cs="宋体"/>
                <w:color w:val="000000"/>
                <w:kern w:val="0"/>
                <w:szCs w:val="21"/>
              </w:rPr>
              <w:t>联系电话：                年  月  日</w:t>
            </w:r>
          </w:p>
        </w:tc>
        <w:tc>
          <w:tcPr>
            <w:tcW w:w="4293" w:type="dxa"/>
            <w:gridSpan w:val="4"/>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210" w:firstLineChars="100"/>
              <w:jc w:val="left"/>
              <w:rPr>
                <w:rFonts w:ascii="宋体" w:hAnsi="宋体" w:cs="宋体"/>
                <w:color w:val="000000"/>
                <w:kern w:val="0"/>
                <w:szCs w:val="21"/>
              </w:rPr>
            </w:pPr>
            <w:r>
              <w:rPr>
                <w:rFonts w:hint="eastAsia" w:ascii="宋体" w:hAnsi="宋体" w:cs="宋体"/>
                <w:color w:val="000000"/>
                <w:kern w:val="0"/>
                <w:szCs w:val="21"/>
              </w:rPr>
              <w:t>采购人或者受托机构的意见（盖章）：</w:t>
            </w:r>
          </w:p>
          <w:p>
            <w:pPr>
              <w:widowControl/>
              <w:spacing w:before="100" w:beforeAutospacing="1" w:after="100" w:afterAutospacing="1" w:line="320" w:lineRule="atLeast"/>
              <w:ind w:firstLine="210" w:firstLineChars="100"/>
              <w:jc w:val="left"/>
              <w:rPr>
                <w:rFonts w:ascii="宋体" w:hAnsi="宋体" w:cs="宋体"/>
                <w:color w:val="000000"/>
                <w:kern w:val="0"/>
                <w:szCs w:val="21"/>
              </w:rPr>
            </w:pPr>
          </w:p>
          <w:p>
            <w:pPr>
              <w:widowControl/>
              <w:spacing w:before="100" w:beforeAutospacing="1" w:after="100" w:afterAutospacing="1" w:line="320" w:lineRule="atLeast"/>
              <w:ind w:firstLine="210" w:firstLineChars="100"/>
              <w:jc w:val="left"/>
              <w:rPr>
                <w:rFonts w:ascii="宋体" w:hAnsi="宋体" w:cs="宋体"/>
                <w:color w:val="000000"/>
                <w:kern w:val="0"/>
                <w:szCs w:val="21"/>
              </w:rPr>
            </w:pPr>
            <w:r>
              <w:rPr>
                <w:rFonts w:hint="eastAsia" w:ascii="宋体" w:hAnsi="宋体" w:cs="宋体"/>
                <w:color w:val="000000"/>
                <w:kern w:val="0"/>
                <w:szCs w:val="21"/>
              </w:rPr>
              <w:t>联系电话：                  年  月  日</w:t>
            </w:r>
          </w:p>
        </w:tc>
      </w:tr>
    </w:tbl>
    <w:p>
      <w:pPr>
        <w:pStyle w:val="24"/>
        <w:snapToGrid w:val="0"/>
        <w:rPr>
          <w:rFonts w:hAnsi="宋体" w:cs="宋体"/>
          <w:color w:val="000000"/>
          <w:sz w:val="32"/>
          <w:szCs w:val="32"/>
        </w:rPr>
      </w:pPr>
      <w:r>
        <w:rPr>
          <w:rFonts w:hint="eastAsia" w:hAnsi="宋体" w:cs="宋体"/>
          <w:color w:val="000000"/>
        </w:rPr>
        <w:br w:type="page"/>
      </w:r>
      <w:r>
        <w:rPr>
          <w:rFonts w:hint="eastAsia" w:hAnsi="宋体" w:cs="宋体"/>
          <w:color w:val="000000"/>
          <w:sz w:val="32"/>
          <w:szCs w:val="32"/>
        </w:rPr>
        <w:t>附件2：</w:t>
      </w:r>
    </w:p>
    <w:p>
      <w:pPr>
        <w:jc w:val="center"/>
        <w:rPr>
          <w:rFonts w:ascii="宋体" w:hAnsi="宋体" w:cs="宋体"/>
          <w:b/>
          <w:bCs/>
          <w:color w:val="000000"/>
          <w:sz w:val="32"/>
          <w:szCs w:val="32"/>
        </w:rPr>
      </w:pPr>
      <w:r>
        <w:rPr>
          <w:rFonts w:hint="eastAsia" w:ascii="宋体" w:hAnsi="宋体" w:cs="宋体"/>
          <w:b/>
          <w:bCs/>
          <w:color w:val="000000"/>
          <w:sz w:val="32"/>
          <w:szCs w:val="32"/>
        </w:rPr>
        <w:t>采购项目履约保证金退付意见书</w:t>
      </w:r>
    </w:p>
    <w:p>
      <w:pPr>
        <w:jc w:val="center"/>
        <w:rPr>
          <w:rFonts w:ascii="宋体" w:hAnsi="宋体" w:cs="宋体"/>
          <w:color w:val="000000"/>
          <w:sz w:val="36"/>
          <w:szCs w:val="36"/>
        </w:rPr>
      </w:pPr>
    </w:p>
    <w:tbl>
      <w:tblPr>
        <w:tblStyle w:val="44"/>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vAlign w:val="center"/>
          </w:tcPr>
          <w:p>
            <w:pPr>
              <w:jc w:val="center"/>
              <w:rPr>
                <w:rFonts w:ascii="宋体" w:hAnsi="宋体" w:cs="宋体"/>
                <w:color w:val="000000"/>
                <w:sz w:val="24"/>
              </w:rPr>
            </w:pPr>
            <w:r>
              <w:rPr>
                <w:rFonts w:hint="eastAsia" w:ascii="宋体" w:hAnsi="宋体" w:cs="宋体"/>
                <w:color w:val="000000"/>
                <w:sz w:val="24"/>
              </w:rPr>
              <w:t>供</w:t>
            </w:r>
          </w:p>
          <w:p>
            <w:pPr>
              <w:jc w:val="center"/>
              <w:rPr>
                <w:rFonts w:ascii="宋体" w:hAnsi="宋体" w:cs="宋体"/>
                <w:color w:val="000000"/>
                <w:sz w:val="24"/>
              </w:rPr>
            </w:pPr>
            <w:r>
              <w:rPr>
                <w:rFonts w:hint="eastAsia" w:ascii="宋体" w:hAnsi="宋体" w:cs="宋体"/>
                <w:color w:val="000000"/>
                <w:sz w:val="24"/>
              </w:rPr>
              <w:t>应</w:t>
            </w:r>
          </w:p>
          <w:p>
            <w:pPr>
              <w:jc w:val="center"/>
              <w:rPr>
                <w:rFonts w:ascii="宋体" w:hAnsi="宋体" w:cs="宋体"/>
                <w:color w:val="000000"/>
                <w:sz w:val="24"/>
              </w:rPr>
            </w:pPr>
            <w:r>
              <w:rPr>
                <w:rFonts w:hint="eastAsia" w:ascii="宋体" w:hAnsi="宋体" w:cs="宋体"/>
                <w:color w:val="000000"/>
                <w:sz w:val="24"/>
              </w:rPr>
              <w:t>商</w:t>
            </w:r>
          </w:p>
          <w:p>
            <w:pPr>
              <w:jc w:val="center"/>
              <w:rPr>
                <w:rFonts w:ascii="宋体" w:hAnsi="宋体" w:cs="宋体"/>
                <w:color w:val="000000"/>
                <w:sz w:val="24"/>
              </w:rPr>
            </w:pPr>
            <w:r>
              <w:rPr>
                <w:rFonts w:hint="eastAsia" w:ascii="宋体" w:hAnsi="宋体" w:cs="宋体"/>
                <w:color w:val="000000"/>
                <w:sz w:val="24"/>
              </w:rPr>
              <w:t>申</w:t>
            </w:r>
          </w:p>
          <w:p>
            <w:pPr>
              <w:jc w:val="center"/>
              <w:rPr>
                <w:rFonts w:ascii="宋体" w:hAnsi="宋体" w:cs="宋体"/>
                <w:color w:val="000000"/>
                <w:sz w:val="24"/>
              </w:rPr>
            </w:pPr>
            <w:r>
              <w:rPr>
                <w:rFonts w:hint="eastAsia" w:ascii="宋体" w:hAnsi="宋体" w:cs="宋体"/>
                <w:color w:val="000000"/>
                <w:sz w:val="24"/>
              </w:rPr>
              <w:t>请</w:t>
            </w:r>
          </w:p>
        </w:tc>
        <w:tc>
          <w:tcPr>
            <w:tcW w:w="8009" w:type="dxa"/>
            <w:vAlign w:val="center"/>
          </w:tcPr>
          <w:p>
            <w:pPr>
              <w:rPr>
                <w:rFonts w:ascii="宋体" w:hAnsi="宋体" w:cs="宋体"/>
                <w:color w:val="000000"/>
                <w:sz w:val="24"/>
              </w:rPr>
            </w:pPr>
            <w:r>
              <w:rPr>
                <w:rFonts w:hint="eastAsia" w:ascii="宋体" w:hAnsi="宋体" w:cs="宋体"/>
                <w:color w:val="000000"/>
                <w:sz w:val="24"/>
              </w:rPr>
              <w:t>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vAlign w:val="center"/>
          </w:tcPr>
          <w:p>
            <w:pPr>
              <w:rPr>
                <w:rFonts w:ascii="宋体" w:hAnsi="宋体" w:cs="宋体"/>
                <w:color w:val="000000"/>
                <w:sz w:val="24"/>
              </w:rPr>
            </w:pPr>
          </w:p>
        </w:tc>
        <w:tc>
          <w:tcPr>
            <w:tcW w:w="8009" w:type="dxa"/>
            <w:vAlign w:val="center"/>
          </w:tcPr>
          <w:p>
            <w:pPr>
              <w:rPr>
                <w:rFonts w:ascii="宋体" w:hAnsi="宋体" w:cs="宋体"/>
                <w:color w:val="000000"/>
                <w:sz w:val="24"/>
              </w:rPr>
            </w:pPr>
            <w:r>
              <w:rPr>
                <w:rFonts w:hint="eastAsia" w:ascii="宋体" w:hAnsi="宋体" w:cs="宋体"/>
                <w:color w:val="000000"/>
                <w:sz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tcPr>
          <w:p>
            <w:pPr>
              <w:rPr>
                <w:rFonts w:ascii="宋体" w:hAnsi="宋体" w:cs="宋体"/>
                <w:color w:val="000000"/>
                <w:sz w:val="24"/>
              </w:rPr>
            </w:pPr>
          </w:p>
        </w:tc>
        <w:tc>
          <w:tcPr>
            <w:tcW w:w="8009" w:type="dxa"/>
          </w:tcPr>
          <w:p>
            <w:pPr>
              <w:rPr>
                <w:rFonts w:ascii="宋体" w:hAnsi="宋体" w:cs="宋体"/>
                <w:color w:val="000000"/>
                <w:sz w:val="24"/>
              </w:rPr>
            </w:pPr>
          </w:p>
          <w:p>
            <w:pPr>
              <w:ind w:firstLine="480" w:firstLineChars="200"/>
              <w:rPr>
                <w:rFonts w:ascii="宋体" w:hAnsi="宋体" w:cs="宋体"/>
                <w:color w:val="000000"/>
                <w:sz w:val="24"/>
              </w:rPr>
            </w:pPr>
            <w:r>
              <w:rPr>
                <w:rFonts w:hint="eastAsia" w:ascii="宋体" w:hAnsi="宋体" w:cs="宋体"/>
                <w:color w:val="000000"/>
                <w:sz w:val="24"/>
              </w:rPr>
              <w:t>该项目已于年月日验收并交付使用。根据合同规定，该项目的履约保证金期限于年月日已满，请将履约保证金</w:t>
            </w:r>
          </w:p>
          <w:p>
            <w:pPr>
              <w:rPr>
                <w:rFonts w:ascii="宋体" w:hAnsi="宋体" w:cs="宋体"/>
                <w:color w:val="000000"/>
                <w:sz w:val="24"/>
              </w:rPr>
            </w:pPr>
            <w:r>
              <w:rPr>
                <w:rFonts w:hint="eastAsia" w:ascii="宋体" w:hAnsi="宋体" w:cs="宋体"/>
                <w:color w:val="000000"/>
                <w:sz w:val="24"/>
              </w:rPr>
              <w:t>（大写）¥（小写）退付到达以下帐户。</w:t>
            </w:r>
          </w:p>
          <w:p>
            <w:pPr>
              <w:rPr>
                <w:rFonts w:ascii="宋体" w:hAnsi="宋体" w:cs="宋体"/>
                <w:color w:val="000000"/>
                <w:sz w:val="24"/>
              </w:rPr>
            </w:pPr>
            <w:r>
              <w:rPr>
                <w:rFonts w:hint="eastAsia" w:ascii="宋体" w:hAnsi="宋体" w:cs="宋体"/>
                <w:color w:val="000000"/>
                <w:sz w:val="24"/>
              </w:rPr>
              <w:t>单位名称：</w:t>
            </w:r>
          </w:p>
          <w:p>
            <w:pPr>
              <w:rPr>
                <w:rFonts w:ascii="宋体" w:hAnsi="宋体" w:cs="宋体"/>
                <w:color w:val="000000"/>
                <w:sz w:val="24"/>
              </w:rPr>
            </w:pPr>
            <w:r>
              <w:rPr>
                <w:rFonts w:hint="eastAsia" w:ascii="宋体" w:hAnsi="宋体" w:cs="宋体"/>
                <w:color w:val="000000"/>
                <w:sz w:val="24"/>
              </w:rPr>
              <w:t>开户银行：</w:t>
            </w:r>
          </w:p>
          <w:p>
            <w:pPr>
              <w:rPr>
                <w:rFonts w:ascii="宋体" w:hAnsi="宋体" w:cs="宋体"/>
                <w:color w:val="000000"/>
                <w:sz w:val="24"/>
              </w:rPr>
            </w:pPr>
            <w:r>
              <w:rPr>
                <w:rFonts w:hint="eastAsia" w:ascii="宋体" w:hAnsi="宋体" w:cs="宋体"/>
                <w:color w:val="000000"/>
                <w:sz w:val="24"/>
              </w:rPr>
              <w:t>帐    号：</w:t>
            </w:r>
          </w:p>
          <w:p>
            <w:pPr>
              <w:rPr>
                <w:rFonts w:ascii="宋体" w:hAnsi="宋体" w:cs="宋体"/>
                <w:color w:val="000000"/>
                <w:sz w:val="24"/>
              </w:rPr>
            </w:pPr>
            <w:r>
              <w:rPr>
                <w:rFonts w:hint="eastAsia" w:ascii="宋体" w:hAnsi="宋体" w:cs="宋体"/>
                <w:color w:val="000000"/>
                <w:sz w:val="24"/>
              </w:rPr>
              <w:t>联系人及电话：</w:t>
            </w:r>
          </w:p>
          <w:p>
            <w:pPr>
              <w:rPr>
                <w:rFonts w:ascii="宋体" w:hAnsi="宋体" w:cs="宋体"/>
                <w:color w:val="000000"/>
                <w:sz w:val="24"/>
              </w:rPr>
            </w:pPr>
          </w:p>
          <w:p>
            <w:pPr>
              <w:jc w:val="center"/>
              <w:rPr>
                <w:rFonts w:ascii="宋体" w:hAnsi="宋体" w:cs="宋体"/>
                <w:color w:val="000000"/>
                <w:sz w:val="24"/>
              </w:rPr>
            </w:pPr>
            <w:r>
              <w:rPr>
                <w:rFonts w:hint="eastAsia" w:ascii="宋体" w:hAnsi="宋体" w:cs="宋体"/>
                <w:color w:val="000000"/>
                <w:sz w:val="24"/>
              </w:rPr>
              <w:t xml:space="preserve">                           供应商签章：</w:t>
            </w:r>
          </w:p>
          <w:p>
            <w:pPr>
              <w:jc w:val="center"/>
              <w:rPr>
                <w:rFonts w:ascii="宋体" w:hAnsi="宋体" w:cs="宋体"/>
                <w:color w:val="000000"/>
                <w:sz w:val="24"/>
              </w:rPr>
            </w:pPr>
            <w:r>
              <w:rPr>
                <w:rFonts w:hint="eastAsia" w:ascii="宋体" w:hAnsi="宋体" w:cs="宋体"/>
                <w:color w:val="000000"/>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vAlign w:val="center"/>
          </w:tcPr>
          <w:p>
            <w:pPr>
              <w:jc w:val="center"/>
              <w:rPr>
                <w:rFonts w:ascii="宋体" w:hAnsi="宋体" w:cs="宋体"/>
                <w:color w:val="000000"/>
                <w:sz w:val="24"/>
              </w:rPr>
            </w:pPr>
            <w:r>
              <w:rPr>
                <w:rFonts w:hint="eastAsia" w:ascii="宋体" w:hAnsi="宋体" w:cs="宋体"/>
                <w:color w:val="000000"/>
                <w:sz w:val="24"/>
              </w:rPr>
              <w:t>采</w:t>
            </w:r>
          </w:p>
          <w:p>
            <w:pPr>
              <w:jc w:val="center"/>
              <w:rPr>
                <w:rFonts w:ascii="宋体" w:hAnsi="宋体" w:cs="宋体"/>
                <w:color w:val="000000"/>
                <w:sz w:val="24"/>
              </w:rPr>
            </w:pPr>
            <w:r>
              <w:rPr>
                <w:rFonts w:hint="eastAsia" w:ascii="宋体" w:hAnsi="宋体" w:cs="宋体"/>
                <w:color w:val="000000"/>
                <w:sz w:val="24"/>
              </w:rPr>
              <w:t>购</w:t>
            </w:r>
          </w:p>
          <w:p>
            <w:pPr>
              <w:jc w:val="center"/>
              <w:rPr>
                <w:rFonts w:ascii="宋体" w:hAnsi="宋体" w:cs="宋体"/>
                <w:color w:val="000000"/>
                <w:sz w:val="24"/>
              </w:rPr>
            </w:pPr>
            <w:r>
              <w:rPr>
                <w:rFonts w:hint="eastAsia" w:ascii="宋体" w:hAnsi="宋体" w:cs="宋体"/>
                <w:color w:val="000000"/>
                <w:sz w:val="24"/>
              </w:rPr>
              <w:t>单</w:t>
            </w:r>
          </w:p>
          <w:p>
            <w:pPr>
              <w:jc w:val="center"/>
              <w:rPr>
                <w:rFonts w:ascii="宋体" w:hAnsi="宋体" w:cs="宋体"/>
                <w:color w:val="000000"/>
                <w:sz w:val="24"/>
              </w:rPr>
            </w:pPr>
            <w:r>
              <w:rPr>
                <w:rFonts w:hint="eastAsia" w:ascii="宋体" w:hAnsi="宋体" w:cs="宋体"/>
                <w:color w:val="000000"/>
                <w:sz w:val="24"/>
              </w:rPr>
              <w:t>位</w:t>
            </w:r>
          </w:p>
          <w:p>
            <w:pPr>
              <w:jc w:val="center"/>
              <w:rPr>
                <w:rFonts w:ascii="宋体" w:hAnsi="宋体" w:cs="宋体"/>
                <w:color w:val="000000"/>
                <w:sz w:val="24"/>
              </w:rPr>
            </w:pPr>
            <w:r>
              <w:rPr>
                <w:rFonts w:hint="eastAsia" w:ascii="宋体" w:hAnsi="宋体" w:cs="宋体"/>
                <w:color w:val="000000"/>
                <w:sz w:val="24"/>
              </w:rPr>
              <w:t>意</w:t>
            </w:r>
          </w:p>
          <w:p>
            <w:pPr>
              <w:jc w:val="center"/>
              <w:rPr>
                <w:rFonts w:ascii="宋体" w:hAnsi="宋体" w:cs="宋体"/>
                <w:color w:val="000000"/>
                <w:sz w:val="24"/>
              </w:rPr>
            </w:pPr>
            <w:r>
              <w:rPr>
                <w:rFonts w:hint="eastAsia" w:ascii="宋体" w:hAnsi="宋体" w:cs="宋体"/>
                <w:color w:val="000000"/>
                <w:sz w:val="24"/>
              </w:rPr>
              <w:t>见</w:t>
            </w:r>
          </w:p>
        </w:tc>
        <w:tc>
          <w:tcPr>
            <w:tcW w:w="8009" w:type="dxa"/>
          </w:tcPr>
          <w:p>
            <w:pPr>
              <w:rPr>
                <w:rFonts w:ascii="宋体" w:hAnsi="宋体" w:cs="宋体"/>
                <w:color w:val="000000"/>
                <w:sz w:val="24"/>
              </w:rPr>
            </w:pPr>
          </w:p>
          <w:p>
            <w:pPr>
              <w:rPr>
                <w:rFonts w:ascii="宋体" w:hAnsi="宋体" w:cs="宋体"/>
                <w:color w:val="000000"/>
                <w:sz w:val="24"/>
              </w:rPr>
            </w:pPr>
            <w:r>
              <w:rPr>
                <w:rFonts w:hint="eastAsia" w:ascii="宋体" w:hAnsi="宋体" w:cs="宋体"/>
                <w:color w:val="000000"/>
                <w:sz w:val="24"/>
              </w:rPr>
              <w:t>退付意见：是否同意退付履约保证金及退付金额：</w:t>
            </w:r>
          </w:p>
          <w:p>
            <w:pPr>
              <w:rPr>
                <w:rFonts w:ascii="宋体" w:hAnsi="宋体" w:cs="宋体"/>
                <w:color w:val="000000"/>
                <w:sz w:val="24"/>
              </w:rPr>
            </w:pPr>
          </w:p>
          <w:p>
            <w:pPr>
              <w:rPr>
                <w:rFonts w:ascii="宋体" w:hAnsi="宋体" w:cs="宋体"/>
                <w:color w:val="000000"/>
                <w:sz w:val="24"/>
              </w:rPr>
            </w:pPr>
          </w:p>
          <w:p>
            <w:pPr>
              <w:rPr>
                <w:rFonts w:ascii="宋体" w:hAnsi="宋体" w:cs="宋体"/>
                <w:color w:val="000000"/>
                <w:sz w:val="24"/>
              </w:rPr>
            </w:pPr>
            <w:r>
              <w:rPr>
                <w:rFonts w:hint="eastAsia" w:ascii="宋体" w:hAnsi="宋体" w:cs="宋体"/>
                <w:color w:val="000000"/>
                <w:sz w:val="24"/>
              </w:rPr>
              <w:t xml:space="preserve">联系人及电话：                                </w:t>
            </w:r>
          </w:p>
          <w:p>
            <w:pPr>
              <w:rPr>
                <w:rFonts w:ascii="宋体" w:hAnsi="宋体" w:cs="宋体"/>
                <w:color w:val="000000"/>
                <w:sz w:val="24"/>
              </w:rPr>
            </w:pPr>
          </w:p>
          <w:p>
            <w:pPr>
              <w:ind w:firstLine="4560" w:firstLineChars="1900"/>
              <w:rPr>
                <w:rFonts w:ascii="宋体" w:hAnsi="宋体" w:cs="宋体"/>
                <w:color w:val="000000"/>
                <w:sz w:val="24"/>
              </w:rPr>
            </w:pPr>
            <w:r>
              <w:rPr>
                <w:rFonts w:hint="eastAsia" w:ascii="宋体" w:hAnsi="宋体" w:cs="宋体"/>
                <w:color w:val="000000"/>
                <w:sz w:val="24"/>
              </w:rPr>
              <w:t xml:space="preserve"> 采购人签章：</w:t>
            </w:r>
          </w:p>
          <w:p>
            <w:pPr>
              <w:jc w:val="center"/>
              <w:rPr>
                <w:rFonts w:ascii="宋体" w:hAnsi="宋体" w:cs="宋体"/>
                <w:color w:val="000000"/>
                <w:sz w:val="24"/>
              </w:rPr>
            </w:pPr>
            <w:r>
              <w:rPr>
                <w:rFonts w:hint="eastAsia" w:ascii="宋体" w:hAnsi="宋体" w:cs="宋体"/>
                <w:color w:val="000000"/>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vAlign w:val="center"/>
          </w:tcPr>
          <w:p>
            <w:pPr>
              <w:jc w:val="center"/>
              <w:rPr>
                <w:rFonts w:ascii="宋体" w:hAnsi="宋体" w:cs="宋体"/>
                <w:color w:val="000000"/>
                <w:sz w:val="24"/>
              </w:rPr>
            </w:pPr>
            <w:r>
              <w:rPr>
                <w:rFonts w:hint="eastAsia" w:ascii="宋体" w:hAnsi="宋体" w:cs="宋体"/>
                <w:color w:val="000000"/>
                <w:sz w:val="24"/>
              </w:rPr>
              <w:t>备注</w:t>
            </w:r>
          </w:p>
        </w:tc>
        <w:tc>
          <w:tcPr>
            <w:tcW w:w="8009" w:type="dxa"/>
          </w:tcPr>
          <w:p>
            <w:pPr>
              <w:rPr>
                <w:rFonts w:ascii="宋体" w:hAnsi="宋体" w:cs="宋体"/>
                <w:color w:val="000000"/>
                <w:sz w:val="24"/>
              </w:rPr>
            </w:pPr>
          </w:p>
        </w:tc>
      </w:tr>
    </w:tbl>
    <w:p>
      <w:pPr>
        <w:pStyle w:val="18"/>
        <w:ind w:left="1" w:firstLine="2" w:firstLineChars="1"/>
        <w:rPr>
          <w:rFonts w:ascii="宋体" w:hAnsi="宋体" w:cs="宋体"/>
          <w:b/>
          <w:bCs/>
          <w:color w:val="000000"/>
          <w:sz w:val="18"/>
          <w:szCs w:val="18"/>
        </w:rPr>
      </w:pPr>
      <w:r>
        <w:rPr>
          <w:rFonts w:hint="eastAsia" w:ascii="宋体" w:hAnsi="宋体" w:cs="宋体"/>
          <w:b/>
          <w:bCs/>
          <w:color w:val="000000"/>
          <w:sz w:val="18"/>
          <w:szCs w:val="18"/>
        </w:rPr>
        <w:t>注：供应商凭经采购人审批的退付意见书到履约保证金收取单位财务部门办理履约保证金退付事宜。</w:t>
      </w:r>
    </w:p>
    <w:p>
      <w:pPr>
        <w:pStyle w:val="24"/>
        <w:snapToGrid w:val="0"/>
        <w:spacing w:before="120" w:after="120"/>
        <w:rPr>
          <w:rFonts w:hAnsi="宋体"/>
          <w:color w:val="000000"/>
        </w:rPr>
      </w:pPr>
    </w:p>
    <w:p>
      <w:pPr>
        <w:jc w:val="left"/>
        <w:rPr>
          <w:rFonts w:hAnsi="宋体"/>
          <w:b/>
          <w:color w:val="000000"/>
          <w:sz w:val="32"/>
          <w:szCs w:val="32"/>
        </w:rPr>
      </w:pPr>
    </w:p>
    <w:p>
      <w:pPr>
        <w:pStyle w:val="24"/>
        <w:spacing w:line="360" w:lineRule="auto"/>
        <w:ind w:firstLine="400" w:firstLineChars="200"/>
        <w:rPr>
          <w:rFonts w:hAnsi="宋体" w:cs="宋体"/>
          <w:color w:val="000000"/>
        </w:rPr>
      </w:pPr>
    </w:p>
    <w:p>
      <w:pPr>
        <w:pStyle w:val="24"/>
        <w:snapToGrid w:val="0"/>
        <w:spacing w:before="120" w:after="120"/>
        <w:rPr>
          <w:rFonts w:hAnsi="宋体" w:cs="宋体"/>
          <w:color w:val="000000"/>
        </w:rPr>
      </w:pPr>
    </w:p>
    <w:p>
      <w:pPr>
        <w:pStyle w:val="24"/>
        <w:snapToGrid w:val="0"/>
        <w:spacing w:before="120" w:after="120"/>
        <w:rPr>
          <w:rFonts w:hAnsi="宋体" w:cs="宋体"/>
          <w:color w:val="000000"/>
        </w:rPr>
      </w:pPr>
    </w:p>
    <w:p>
      <w:pPr>
        <w:pStyle w:val="24"/>
        <w:snapToGrid w:val="0"/>
        <w:spacing w:before="120" w:after="120"/>
        <w:rPr>
          <w:rFonts w:hAnsi="宋体" w:cs="宋体"/>
          <w:color w:val="000000"/>
        </w:rPr>
      </w:pPr>
    </w:p>
    <w:p>
      <w:pPr>
        <w:pStyle w:val="24"/>
        <w:snapToGrid w:val="0"/>
        <w:spacing w:before="120" w:after="120"/>
        <w:rPr>
          <w:rFonts w:hAnsi="宋体" w:cs="宋体"/>
          <w:color w:val="000000"/>
        </w:rPr>
      </w:pPr>
    </w:p>
    <w:p>
      <w:pPr>
        <w:pStyle w:val="24"/>
        <w:snapToGrid w:val="0"/>
        <w:spacing w:before="120" w:after="120"/>
        <w:rPr>
          <w:rFonts w:hAnsi="宋体" w:cs="宋体"/>
          <w:color w:val="000000"/>
        </w:rPr>
      </w:pPr>
    </w:p>
    <w:p>
      <w:pPr>
        <w:pStyle w:val="24"/>
        <w:snapToGrid w:val="0"/>
        <w:spacing w:before="120" w:after="120"/>
        <w:rPr>
          <w:rFonts w:hAnsi="宋体" w:cs="宋体"/>
          <w:color w:val="000000"/>
        </w:rPr>
      </w:pPr>
    </w:p>
    <w:p>
      <w:pPr>
        <w:pStyle w:val="24"/>
        <w:snapToGrid w:val="0"/>
        <w:spacing w:before="120" w:after="120"/>
        <w:rPr>
          <w:rFonts w:hAnsi="宋体" w:cs="宋体"/>
          <w:color w:val="000000"/>
        </w:rPr>
      </w:pPr>
    </w:p>
    <w:p>
      <w:pPr>
        <w:pStyle w:val="24"/>
        <w:snapToGrid w:val="0"/>
        <w:spacing w:before="120" w:after="120"/>
        <w:rPr>
          <w:rFonts w:hAnsi="宋体" w:cs="宋体"/>
          <w:color w:val="000000"/>
        </w:rPr>
      </w:pPr>
    </w:p>
    <w:p>
      <w:pPr>
        <w:pStyle w:val="24"/>
        <w:snapToGrid w:val="0"/>
        <w:spacing w:before="120" w:after="120"/>
        <w:rPr>
          <w:rFonts w:hAnsi="宋体" w:cs="宋体"/>
          <w:color w:val="000000"/>
        </w:rPr>
      </w:pPr>
    </w:p>
    <w:p>
      <w:pPr>
        <w:pStyle w:val="6"/>
        <w:rPr>
          <w:rFonts w:ascii="宋体" w:hAnsi="宋体" w:eastAsia="宋体" w:cs="宋体"/>
          <w:color w:val="000000"/>
        </w:rPr>
      </w:pPr>
    </w:p>
    <w:p/>
    <w:p>
      <w:pPr>
        <w:pStyle w:val="24"/>
        <w:snapToGrid w:val="0"/>
        <w:spacing w:before="120" w:after="120"/>
        <w:rPr>
          <w:rFonts w:hint="eastAsia" w:hAnsi="宋体" w:cs="宋体"/>
          <w:color w:val="000000"/>
        </w:rPr>
      </w:pPr>
    </w:p>
    <w:p>
      <w:pPr>
        <w:pStyle w:val="6"/>
      </w:pPr>
    </w:p>
    <w:p>
      <w:pPr>
        <w:pStyle w:val="24"/>
        <w:snapToGrid w:val="0"/>
        <w:spacing w:before="120" w:after="120"/>
        <w:rPr>
          <w:rFonts w:hAnsi="宋体" w:cs="宋体"/>
          <w:color w:val="000000"/>
        </w:rPr>
      </w:pPr>
    </w:p>
    <w:p>
      <w:pPr>
        <w:pStyle w:val="24"/>
        <w:snapToGrid w:val="0"/>
        <w:spacing w:before="120" w:after="120"/>
        <w:rPr>
          <w:rFonts w:hAnsi="宋体" w:cs="宋体"/>
          <w:color w:val="000000"/>
        </w:rPr>
      </w:pPr>
    </w:p>
    <w:p>
      <w:pPr>
        <w:pStyle w:val="24"/>
        <w:snapToGrid w:val="0"/>
        <w:spacing w:before="120" w:after="120"/>
        <w:rPr>
          <w:rFonts w:hAnsi="宋体" w:cs="宋体"/>
          <w:color w:val="000000"/>
        </w:rPr>
      </w:pPr>
    </w:p>
    <w:p>
      <w:pPr>
        <w:pStyle w:val="24"/>
        <w:snapToGrid w:val="0"/>
        <w:spacing w:before="120" w:after="120"/>
        <w:rPr>
          <w:rFonts w:hAnsi="宋体" w:cs="宋体"/>
          <w:color w:val="000000"/>
        </w:rPr>
      </w:pPr>
    </w:p>
    <w:p>
      <w:pPr>
        <w:pStyle w:val="3"/>
        <w:jc w:val="center"/>
        <w:rPr>
          <w:rFonts w:ascii="宋体" w:hAnsi="宋体" w:cs="宋体"/>
          <w:color w:val="000000"/>
        </w:rPr>
      </w:pPr>
      <w:bookmarkStart w:id="234" w:name="_Toc254970548"/>
      <w:bookmarkStart w:id="235" w:name="_Toc254970689"/>
      <w:bookmarkStart w:id="236" w:name="_Toc15687"/>
      <w:bookmarkStart w:id="237" w:name="_Toc330456896"/>
      <w:r>
        <w:rPr>
          <w:rFonts w:hint="eastAsia" w:ascii="宋体" w:hAnsi="宋体" w:cs="宋体"/>
          <w:color w:val="000000"/>
        </w:rPr>
        <w:t>第四章  评标方法及评标标准</w:t>
      </w:r>
      <w:bookmarkEnd w:id="234"/>
      <w:bookmarkEnd w:id="235"/>
      <w:bookmarkEnd w:id="236"/>
      <w:bookmarkEnd w:id="237"/>
    </w:p>
    <w:p>
      <w:pPr>
        <w:rPr>
          <w:rFonts w:ascii="宋体" w:hAnsi="宋体" w:cs="宋体"/>
          <w:color w:val="000000"/>
        </w:rPr>
      </w:pPr>
      <w:bookmarkStart w:id="238" w:name="_Toc254970690"/>
      <w:bookmarkStart w:id="239" w:name="_Toc254970549"/>
    </w:p>
    <w:bookmarkEnd w:id="238"/>
    <w:bookmarkEnd w:id="239"/>
    <w:p>
      <w:pPr>
        <w:rPr>
          <w:rFonts w:ascii="宋体" w:hAnsi="宋体" w:cs="宋体"/>
          <w:color w:val="000000"/>
        </w:rPr>
      </w:pPr>
    </w:p>
    <w:p>
      <w:pPr>
        <w:rPr>
          <w:rFonts w:ascii="宋体" w:hAnsi="宋体" w:cs="宋体"/>
          <w:color w:val="000000"/>
        </w:rPr>
      </w:pPr>
    </w:p>
    <w:p>
      <w:pPr>
        <w:rPr>
          <w:rFonts w:ascii="宋体" w:hAnsi="宋体" w:cs="宋体"/>
          <w:color w:val="000000"/>
        </w:rPr>
      </w:pPr>
    </w:p>
    <w:p>
      <w:pPr>
        <w:rPr>
          <w:rFonts w:ascii="宋体" w:hAnsi="宋体" w:cs="宋体"/>
          <w:color w:val="000000"/>
        </w:rPr>
      </w:pPr>
    </w:p>
    <w:p>
      <w:pPr>
        <w:rPr>
          <w:rFonts w:ascii="宋体" w:hAnsi="宋体" w:cs="宋体"/>
          <w:color w:val="000000"/>
        </w:rPr>
      </w:pPr>
    </w:p>
    <w:p>
      <w:pPr>
        <w:rPr>
          <w:rFonts w:ascii="宋体" w:hAnsi="宋体" w:cs="宋体"/>
          <w:color w:val="000000"/>
        </w:rPr>
      </w:pPr>
    </w:p>
    <w:p>
      <w:pPr>
        <w:rPr>
          <w:rFonts w:ascii="宋体" w:hAnsi="宋体" w:cs="宋体"/>
          <w:color w:val="000000"/>
        </w:rPr>
      </w:pPr>
    </w:p>
    <w:p>
      <w:pPr>
        <w:rPr>
          <w:rFonts w:ascii="宋体" w:hAnsi="宋体" w:cs="宋体"/>
          <w:color w:val="000000"/>
        </w:rPr>
      </w:pPr>
    </w:p>
    <w:p>
      <w:pPr>
        <w:spacing w:beforeLines="50" w:afterLines="50" w:line="400" w:lineRule="exact"/>
        <w:rPr>
          <w:rFonts w:ascii="宋体" w:hAnsi="宋体" w:cs="宋体"/>
          <w:b/>
          <w:color w:val="000000"/>
          <w:sz w:val="24"/>
        </w:rPr>
      </w:pPr>
    </w:p>
    <w:p>
      <w:pPr>
        <w:spacing w:beforeLines="50" w:afterLines="50" w:line="400" w:lineRule="exact"/>
        <w:rPr>
          <w:rFonts w:ascii="宋体" w:hAnsi="宋体" w:cs="宋体"/>
          <w:b/>
          <w:color w:val="000000"/>
          <w:sz w:val="24"/>
        </w:rPr>
      </w:pPr>
    </w:p>
    <w:p>
      <w:pPr>
        <w:pStyle w:val="24"/>
        <w:spacing w:line="360" w:lineRule="exact"/>
        <w:rPr>
          <w:rFonts w:hAnsi="宋体" w:cs="宋体"/>
          <w:b/>
          <w:color w:val="000000"/>
          <w:sz w:val="24"/>
        </w:rPr>
      </w:pPr>
    </w:p>
    <w:p>
      <w:pPr>
        <w:pStyle w:val="24"/>
        <w:spacing w:line="360" w:lineRule="exact"/>
        <w:rPr>
          <w:rFonts w:hAnsi="宋体" w:cs="宋体"/>
          <w:b/>
          <w:color w:val="000000"/>
          <w:sz w:val="24"/>
        </w:rPr>
      </w:pPr>
    </w:p>
    <w:p>
      <w:pPr>
        <w:pStyle w:val="24"/>
        <w:spacing w:line="360" w:lineRule="exact"/>
        <w:rPr>
          <w:rFonts w:hAnsi="宋体" w:cs="宋体"/>
          <w:b/>
          <w:color w:val="000000"/>
          <w:sz w:val="24"/>
        </w:rPr>
      </w:pPr>
    </w:p>
    <w:p>
      <w:pPr>
        <w:pStyle w:val="24"/>
        <w:spacing w:line="360" w:lineRule="exact"/>
        <w:rPr>
          <w:rFonts w:hAnsi="宋体" w:cs="宋体"/>
          <w:b/>
          <w:color w:val="000000"/>
          <w:sz w:val="24"/>
        </w:rPr>
      </w:pPr>
    </w:p>
    <w:p>
      <w:pPr>
        <w:pStyle w:val="24"/>
        <w:spacing w:line="360" w:lineRule="exact"/>
        <w:rPr>
          <w:rFonts w:hAnsi="宋体" w:cs="宋体"/>
          <w:b/>
          <w:color w:val="000000"/>
          <w:sz w:val="24"/>
        </w:rPr>
      </w:pPr>
    </w:p>
    <w:p>
      <w:pPr>
        <w:pStyle w:val="24"/>
        <w:spacing w:line="360" w:lineRule="exact"/>
        <w:rPr>
          <w:rFonts w:hAnsi="宋体" w:cs="宋体"/>
          <w:b/>
          <w:color w:val="000000"/>
          <w:sz w:val="24"/>
        </w:rPr>
      </w:pPr>
    </w:p>
    <w:p>
      <w:pPr>
        <w:pStyle w:val="24"/>
        <w:spacing w:line="360" w:lineRule="exact"/>
        <w:rPr>
          <w:rFonts w:hAnsi="宋体" w:cs="宋体"/>
          <w:bCs/>
          <w:color w:val="000000"/>
        </w:rPr>
      </w:pPr>
    </w:p>
    <w:p>
      <w:pPr>
        <w:pStyle w:val="5"/>
        <w:keepNext w:val="0"/>
        <w:keepLines w:val="0"/>
        <w:jc w:val="center"/>
        <w:rPr>
          <w:rFonts w:ascii="宋体" w:hAnsi="宋体" w:cs="宋体"/>
          <w:color w:val="000000"/>
        </w:rPr>
      </w:pPr>
      <w:r>
        <w:rPr>
          <w:rFonts w:hint="eastAsia" w:ascii="宋体" w:hAnsi="宋体" w:cs="宋体"/>
          <w:color w:val="000000"/>
        </w:rPr>
        <w:t>一、评标方法</w:t>
      </w:r>
    </w:p>
    <w:p>
      <w:pPr>
        <w:pStyle w:val="24"/>
        <w:spacing w:line="360" w:lineRule="auto"/>
        <w:ind w:firstLine="420"/>
        <w:rPr>
          <w:rFonts w:hAnsi="宋体" w:cs="宋体"/>
          <w:color w:val="000000"/>
          <w:sz w:val="21"/>
        </w:rPr>
      </w:pPr>
      <w:r>
        <w:rPr>
          <w:rFonts w:hint="eastAsia" w:hAnsi="宋体" w:cs="宋体"/>
          <w:color w:val="000000"/>
          <w:sz w:val="21"/>
        </w:rPr>
        <w:t>综合评分法，是指投标文件满足招标文件全部实质性要求，且按照评审因素的量化指标评审得分最高的投标人为中标候选人的评标方法。</w:t>
      </w:r>
    </w:p>
    <w:p>
      <w:pPr>
        <w:pStyle w:val="24"/>
        <w:spacing w:line="360" w:lineRule="auto"/>
        <w:ind w:firstLine="420"/>
        <w:rPr>
          <w:rFonts w:hAnsi="宋体" w:cs="宋体"/>
          <w:color w:val="000000"/>
          <w:sz w:val="21"/>
        </w:rPr>
      </w:pPr>
      <w:r>
        <w:rPr>
          <w:rFonts w:hint="eastAsia" w:hAnsi="宋体" w:cs="宋体"/>
          <w:color w:val="000000"/>
          <w:sz w:val="21"/>
        </w:rPr>
        <w:t>最低评标报法，是指投标文件满足招标文件全部实质性要求，且投标报价最低的投标人为中标候选人的评标方法。</w:t>
      </w:r>
    </w:p>
    <w:p>
      <w:pPr>
        <w:pStyle w:val="5"/>
        <w:keepNext w:val="0"/>
        <w:keepLines w:val="0"/>
        <w:jc w:val="center"/>
        <w:rPr>
          <w:rFonts w:ascii="宋体" w:hAnsi="宋体" w:cs="宋体"/>
          <w:color w:val="000000"/>
        </w:rPr>
      </w:pPr>
      <w:r>
        <w:rPr>
          <w:rFonts w:hint="eastAsia" w:ascii="宋体" w:hAnsi="宋体" w:cs="宋体"/>
          <w:color w:val="000000"/>
        </w:rPr>
        <w:t>二、评标程序</w:t>
      </w:r>
    </w:p>
    <w:p>
      <w:pPr>
        <w:pStyle w:val="7"/>
        <w:keepNext w:val="0"/>
        <w:keepLines w:val="0"/>
        <w:spacing w:before="0" w:after="0" w:line="360" w:lineRule="auto"/>
        <w:ind w:left="420" w:leftChars="200"/>
        <w:rPr>
          <w:rFonts w:ascii="宋体" w:hAnsi="宋体" w:cs="宋体"/>
          <w:color w:val="000000"/>
          <w:sz w:val="21"/>
          <w:szCs w:val="21"/>
        </w:rPr>
      </w:pPr>
      <w:r>
        <w:rPr>
          <w:rFonts w:hint="eastAsia" w:ascii="宋体" w:hAnsi="宋体" w:cs="宋体"/>
          <w:color w:val="000000"/>
          <w:sz w:val="21"/>
          <w:szCs w:val="21"/>
        </w:rPr>
        <w:t>1.符合性审查</w:t>
      </w:r>
    </w:p>
    <w:p>
      <w:pPr>
        <w:pStyle w:val="24"/>
        <w:snapToGrid w:val="0"/>
        <w:spacing w:line="360" w:lineRule="auto"/>
        <w:ind w:left="1" w:firstLine="420"/>
        <w:rPr>
          <w:rFonts w:hAnsi="宋体" w:cs="宋体"/>
          <w:b/>
          <w:color w:val="000000"/>
          <w:kern w:val="2"/>
          <w:sz w:val="21"/>
        </w:rPr>
      </w:pPr>
      <w:r>
        <w:rPr>
          <w:rFonts w:hint="eastAsia" w:hAnsi="宋体" w:cs="宋体"/>
          <w:b/>
          <w:color w:val="000000"/>
          <w:kern w:val="2"/>
          <w:sz w:val="21"/>
        </w:rPr>
        <w:t>评标委员会应当对符合资格的投标人的投标文件进行投标报价、商务、技术等实质性内容符合性审查，以确定其是否满足招标文件的实质性要求。</w:t>
      </w:r>
    </w:p>
    <w:p>
      <w:pPr>
        <w:pStyle w:val="7"/>
        <w:keepNext w:val="0"/>
        <w:keepLines w:val="0"/>
        <w:spacing w:before="0" w:after="0" w:line="360" w:lineRule="auto"/>
        <w:ind w:left="420" w:leftChars="200"/>
        <w:rPr>
          <w:rFonts w:ascii="宋体" w:hAnsi="宋体" w:cs="宋体"/>
          <w:color w:val="000000"/>
          <w:sz w:val="21"/>
          <w:szCs w:val="21"/>
        </w:rPr>
      </w:pPr>
      <w:r>
        <w:rPr>
          <w:rFonts w:hint="eastAsia" w:ascii="宋体" w:hAnsi="宋体" w:cs="宋体"/>
          <w:color w:val="000000"/>
          <w:sz w:val="21"/>
          <w:szCs w:val="21"/>
        </w:rPr>
        <w:t>2.符合性审查不通过而导致投标无效的情形</w:t>
      </w:r>
    </w:p>
    <w:p>
      <w:pPr>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投标人的投标文件中存在对招标文件的任何实质性要求和条件的负偏离，将被视为投标无效。</w:t>
      </w:r>
    </w:p>
    <w:p>
      <w:pPr>
        <w:pStyle w:val="7"/>
        <w:keepNext w:val="0"/>
        <w:keepLines w:val="0"/>
        <w:spacing w:before="0" w:after="0" w:line="360" w:lineRule="auto"/>
        <w:ind w:left="420" w:leftChars="200"/>
        <w:rPr>
          <w:rFonts w:ascii="宋体" w:hAnsi="宋体" w:cs="宋体"/>
          <w:color w:val="000000"/>
          <w:sz w:val="21"/>
          <w:szCs w:val="21"/>
        </w:rPr>
      </w:pPr>
      <w:r>
        <w:rPr>
          <w:rFonts w:hint="eastAsia" w:ascii="宋体" w:hAnsi="宋体" w:cs="宋体"/>
          <w:color w:val="000000"/>
          <w:sz w:val="21"/>
          <w:szCs w:val="21"/>
        </w:rPr>
        <w:t>2.1在报价评审时，如发现下列情形之一的，将被视为投标无效：</w:t>
      </w:r>
    </w:p>
    <w:p>
      <w:pPr>
        <w:pStyle w:val="8"/>
        <w:numPr>
          <w:ilvl w:val="0"/>
          <w:numId w:val="7"/>
        </w:numPr>
        <w:spacing w:line="360" w:lineRule="auto"/>
        <w:ind w:firstLine="398" w:firstLineChars="200"/>
        <w:rPr>
          <w:rFonts w:ascii="宋体" w:hAnsi="宋体" w:cs="宋体"/>
          <w:b/>
          <w:color w:val="000000"/>
          <w:spacing w:val="-6"/>
          <w:szCs w:val="21"/>
        </w:rPr>
      </w:pPr>
      <w:r>
        <w:rPr>
          <w:rFonts w:hint="eastAsia" w:ascii="宋体" w:hAnsi="宋体" w:cs="宋体"/>
          <w:b/>
          <w:color w:val="000000"/>
          <w:spacing w:val="-6"/>
          <w:szCs w:val="21"/>
        </w:rPr>
        <w:t>报价文件未提供“投标人须知前附表”第13.1条规定中“必须提供”的文件资料的；</w:t>
      </w:r>
    </w:p>
    <w:p>
      <w:pPr>
        <w:pStyle w:val="8"/>
        <w:numPr>
          <w:ilvl w:val="0"/>
          <w:numId w:val="7"/>
        </w:numPr>
        <w:spacing w:line="360" w:lineRule="auto"/>
        <w:ind w:firstLine="422" w:firstLineChars="200"/>
        <w:rPr>
          <w:rFonts w:ascii="宋体" w:hAnsi="宋体" w:cs="宋体"/>
          <w:b/>
          <w:color w:val="000000"/>
          <w:szCs w:val="21"/>
        </w:rPr>
      </w:pPr>
      <w:r>
        <w:rPr>
          <w:rFonts w:hint="eastAsia" w:ascii="宋体" w:hAnsi="宋体" w:cs="宋体"/>
          <w:b/>
          <w:color w:val="000000"/>
          <w:szCs w:val="21"/>
        </w:rPr>
        <w:t>未采用人民币报价或者未按照招标文件标明的币种报价的；</w:t>
      </w:r>
    </w:p>
    <w:p>
      <w:pPr>
        <w:pStyle w:val="8"/>
        <w:numPr>
          <w:ilvl w:val="0"/>
          <w:numId w:val="7"/>
        </w:numPr>
        <w:spacing w:line="360" w:lineRule="auto"/>
        <w:ind w:left="-2" w:firstLine="422"/>
        <w:rPr>
          <w:rFonts w:ascii="宋体" w:hAnsi="宋体" w:cs="宋体"/>
          <w:b/>
          <w:color w:val="000000"/>
          <w:spacing w:val="-6"/>
          <w:szCs w:val="21"/>
        </w:rPr>
      </w:pPr>
      <w:r>
        <w:rPr>
          <w:rFonts w:hint="eastAsia" w:ascii="宋体" w:hAnsi="宋体" w:cs="宋体"/>
          <w:b/>
          <w:color w:val="000000"/>
          <w:spacing w:val="-6"/>
          <w:szCs w:val="21"/>
        </w:rPr>
        <w:t>各分标报价超出招标文件相应分标规定最高限价，或者超出相应分标采购预算金额的；</w:t>
      </w:r>
    </w:p>
    <w:p>
      <w:pPr>
        <w:pStyle w:val="8"/>
        <w:numPr>
          <w:ilvl w:val="0"/>
          <w:numId w:val="7"/>
        </w:numPr>
        <w:spacing w:line="360" w:lineRule="auto"/>
        <w:ind w:firstLine="422" w:firstLineChars="200"/>
        <w:rPr>
          <w:rFonts w:ascii="宋体" w:hAnsi="宋体" w:cs="宋体"/>
          <w:b/>
          <w:color w:val="000000"/>
          <w:szCs w:val="21"/>
        </w:rPr>
      </w:pPr>
      <w:r>
        <w:rPr>
          <w:rFonts w:hint="eastAsia" w:ascii="宋体" w:hAnsi="宋体" w:cs="宋体"/>
          <w:b/>
          <w:color w:val="000000"/>
          <w:szCs w:val="21"/>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pPr>
        <w:pStyle w:val="8"/>
        <w:numPr>
          <w:ilvl w:val="0"/>
          <w:numId w:val="7"/>
        </w:numPr>
        <w:spacing w:line="360" w:lineRule="auto"/>
        <w:ind w:firstLine="422" w:firstLineChars="200"/>
        <w:rPr>
          <w:rFonts w:ascii="宋体" w:hAnsi="宋体" w:cs="宋体"/>
          <w:b/>
          <w:color w:val="000000"/>
          <w:szCs w:val="21"/>
        </w:rPr>
      </w:pPr>
      <w:r>
        <w:rPr>
          <w:rFonts w:hint="eastAsia" w:ascii="宋体" w:hAnsi="宋体" w:cs="宋体"/>
          <w:b/>
          <w:color w:val="000000"/>
          <w:szCs w:val="21"/>
        </w:rPr>
        <w:t>修正后的报价，投标人不确认的；</w:t>
      </w:r>
    </w:p>
    <w:p>
      <w:pPr>
        <w:pStyle w:val="8"/>
        <w:numPr>
          <w:ilvl w:val="0"/>
          <w:numId w:val="7"/>
        </w:numPr>
        <w:spacing w:line="360" w:lineRule="auto"/>
        <w:ind w:firstLine="422" w:firstLineChars="200"/>
        <w:rPr>
          <w:rFonts w:ascii="宋体" w:hAnsi="宋体" w:cs="宋体"/>
          <w:b/>
          <w:color w:val="000000"/>
          <w:szCs w:val="21"/>
        </w:rPr>
      </w:pPr>
      <w:r>
        <w:rPr>
          <w:rFonts w:hint="eastAsia" w:ascii="宋体" w:hAnsi="宋体" w:cs="宋体"/>
          <w:b/>
          <w:color w:val="000000"/>
          <w:szCs w:val="21"/>
        </w:rPr>
        <w:t>投标人属于本章第5.1条（2）或者第5.2条（2）项情形的。</w:t>
      </w:r>
    </w:p>
    <w:p>
      <w:pPr>
        <w:pStyle w:val="8"/>
        <w:numPr>
          <w:ilvl w:val="0"/>
          <w:numId w:val="7"/>
        </w:numPr>
        <w:spacing w:line="360" w:lineRule="auto"/>
        <w:ind w:firstLine="398" w:firstLineChars="200"/>
        <w:rPr>
          <w:rFonts w:ascii="宋体" w:hAnsi="宋体" w:cs="宋体"/>
          <w:b/>
          <w:color w:val="000000"/>
          <w:szCs w:val="21"/>
        </w:rPr>
      </w:pPr>
      <w:r>
        <w:rPr>
          <w:rFonts w:hint="eastAsia" w:ascii="宋体" w:hAnsi="宋体" w:cs="宋体"/>
          <w:b/>
          <w:color w:val="000000"/>
          <w:spacing w:val="-6"/>
          <w:szCs w:val="21"/>
        </w:rPr>
        <w:t>报价文件</w:t>
      </w:r>
      <w:r>
        <w:rPr>
          <w:rFonts w:hint="eastAsia" w:ascii="宋体" w:hAnsi="宋体" w:cs="宋体"/>
          <w:b/>
          <w:color w:val="000000"/>
          <w:szCs w:val="21"/>
        </w:rPr>
        <w:t>响应的标的数量及单位与招标文件要求实质性不一致的。</w:t>
      </w:r>
    </w:p>
    <w:p>
      <w:pPr>
        <w:pStyle w:val="7"/>
        <w:keepNext w:val="0"/>
        <w:keepLines w:val="0"/>
        <w:spacing w:before="0" w:after="0" w:line="360" w:lineRule="auto"/>
        <w:ind w:left="420" w:leftChars="200"/>
        <w:rPr>
          <w:rFonts w:ascii="宋体" w:hAnsi="宋体" w:cs="宋体"/>
          <w:color w:val="000000"/>
          <w:sz w:val="21"/>
          <w:szCs w:val="21"/>
        </w:rPr>
      </w:pPr>
      <w:r>
        <w:rPr>
          <w:rFonts w:hint="eastAsia" w:ascii="宋体" w:hAnsi="宋体" w:cs="宋体"/>
          <w:color w:val="000000"/>
          <w:sz w:val="21"/>
          <w:szCs w:val="21"/>
        </w:rPr>
        <w:t>2.2在商务评审时，如发现下列情形之一的，将被视为投标无效：</w:t>
      </w:r>
    </w:p>
    <w:p>
      <w:pPr>
        <w:numPr>
          <w:ilvl w:val="0"/>
          <w:numId w:val="8"/>
        </w:numPr>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投标文件未按招标文件要求签署、盖章的；</w:t>
      </w:r>
    </w:p>
    <w:p>
      <w:pPr>
        <w:numPr>
          <w:ilvl w:val="0"/>
          <w:numId w:val="8"/>
        </w:numPr>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 xml:space="preserve">委托代理人未能出具有效身份证或者出具的身份证与授权委托书中的信息不符的； </w:t>
      </w:r>
    </w:p>
    <w:p>
      <w:pPr>
        <w:numPr>
          <w:ilvl w:val="0"/>
          <w:numId w:val="8"/>
        </w:numPr>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为无效投标保证金的或者未按照招标文件的规定提交投标保证金的；</w:t>
      </w:r>
    </w:p>
    <w:p>
      <w:pPr>
        <w:numPr>
          <w:ilvl w:val="0"/>
          <w:numId w:val="8"/>
        </w:numPr>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投标文件未提供“投标人须知前附表”第13.1条规定中“必须提供”或者“委托时必须提供”的文件资料的；</w:t>
      </w:r>
    </w:p>
    <w:p>
      <w:pPr>
        <w:numPr>
          <w:ilvl w:val="0"/>
          <w:numId w:val="8"/>
        </w:numPr>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商务要求评审允许负偏离的条款数超过“投标人须知前附表”规定项数的；</w:t>
      </w:r>
    </w:p>
    <w:p>
      <w:pPr>
        <w:numPr>
          <w:ilvl w:val="0"/>
          <w:numId w:val="8"/>
        </w:numPr>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投标文件的实质性内容未使用中文表述、使用计量单位不符合招标文件要求的；</w:t>
      </w:r>
    </w:p>
    <w:p>
      <w:pPr>
        <w:numPr>
          <w:ilvl w:val="0"/>
          <w:numId w:val="8"/>
        </w:numPr>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投标文件中的文件资料因填写不齐全或者内容虚假或者出现其他情形而导致被评标委员会认定无效的；</w:t>
      </w:r>
    </w:p>
    <w:p>
      <w:pPr>
        <w:numPr>
          <w:ilvl w:val="0"/>
          <w:numId w:val="8"/>
        </w:numPr>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投标文件含有采购人不能接受的附加条件的；</w:t>
      </w:r>
    </w:p>
    <w:p>
      <w:pPr>
        <w:numPr>
          <w:ilvl w:val="0"/>
          <w:numId w:val="8"/>
        </w:numPr>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属于投标人须知正文第9.2条情形的；</w:t>
      </w:r>
    </w:p>
    <w:p>
      <w:pPr>
        <w:numPr>
          <w:ilvl w:val="0"/>
          <w:numId w:val="8"/>
        </w:numPr>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投标文件标注的项目名称或者项目编号与招标文件标注的项目名称或者项目编号不一致的；</w:t>
      </w:r>
    </w:p>
    <w:p>
      <w:pPr>
        <w:numPr>
          <w:ilvl w:val="0"/>
          <w:numId w:val="8"/>
        </w:numPr>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招标文件明确不允许分包，投标文件拟分包的；</w:t>
      </w:r>
    </w:p>
    <w:p>
      <w:pPr>
        <w:numPr>
          <w:ilvl w:val="0"/>
          <w:numId w:val="8"/>
        </w:numPr>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未响应招标文件实质性要求的；</w:t>
      </w:r>
    </w:p>
    <w:p>
      <w:pPr>
        <w:numPr>
          <w:ilvl w:val="0"/>
          <w:numId w:val="8"/>
        </w:numPr>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法律、法规和招标文件规定的其他无效情形。</w:t>
      </w:r>
    </w:p>
    <w:p>
      <w:pPr>
        <w:pStyle w:val="7"/>
        <w:keepNext w:val="0"/>
        <w:keepLines w:val="0"/>
        <w:spacing w:before="0" w:after="0" w:line="360" w:lineRule="auto"/>
        <w:ind w:left="420" w:leftChars="200"/>
        <w:rPr>
          <w:rFonts w:ascii="宋体" w:hAnsi="宋体" w:cs="宋体"/>
          <w:color w:val="000000"/>
          <w:sz w:val="21"/>
          <w:szCs w:val="21"/>
        </w:rPr>
      </w:pPr>
      <w:r>
        <w:rPr>
          <w:rFonts w:hint="eastAsia" w:ascii="宋体" w:hAnsi="宋体" w:cs="宋体"/>
          <w:color w:val="000000"/>
          <w:sz w:val="21"/>
          <w:szCs w:val="21"/>
        </w:rPr>
        <w:t>2.3在技术评审时，如发现下列情形之一的，将被视为投标无效：</w:t>
      </w:r>
    </w:p>
    <w:p>
      <w:pPr>
        <w:pStyle w:val="19"/>
        <w:snapToGrid w:val="0"/>
        <w:spacing w:line="360" w:lineRule="auto"/>
        <w:ind w:firstLine="413" w:firstLineChars="196"/>
        <w:rPr>
          <w:rFonts w:ascii="宋体" w:hAnsi="宋体" w:eastAsia="宋体" w:cs="宋体"/>
          <w:b/>
          <w:color w:val="000000"/>
          <w:kern w:val="2"/>
          <w:sz w:val="21"/>
          <w:szCs w:val="21"/>
        </w:rPr>
      </w:pPr>
      <w:r>
        <w:rPr>
          <w:rFonts w:hint="eastAsia" w:ascii="宋体" w:hAnsi="宋体" w:eastAsia="宋体" w:cs="宋体"/>
          <w:b/>
          <w:color w:val="000000"/>
          <w:kern w:val="2"/>
          <w:sz w:val="21"/>
          <w:szCs w:val="21"/>
        </w:rPr>
        <w:t>（1）技术要求评审允许负偏离的条款数超过“投标人须知前附表”规定项数的；</w:t>
      </w:r>
    </w:p>
    <w:p>
      <w:pPr>
        <w:pStyle w:val="19"/>
        <w:snapToGrid w:val="0"/>
        <w:spacing w:line="360" w:lineRule="auto"/>
        <w:ind w:firstLine="413" w:firstLineChars="196"/>
        <w:rPr>
          <w:rFonts w:ascii="宋体" w:hAnsi="宋体" w:eastAsia="宋体" w:cs="宋体"/>
          <w:b/>
          <w:color w:val="000000"/>
          <w:kern w:val="2"/>
          <w:sz w:val="21"/>
          <w:szCs w:val="21"/>
        </w:rPr>
      </w:pPr>
      <w:r>
        <w:rPr>
          <w:rFonts w:hint="eastAsia" w:ascii="宋体" w:hAnsi="宋体" w:eastAsia="宋体" w:cs="宋体"/>
          <w:b/>
          <w:color w:val="000000"/>
          <w:kern w:val="2"/>
          <w:sz w:val="21"/>
          <w:szCs w:val="21"/>
        </w:rPr>
        <w:t>（2）投标文件未提供“投标人须知前附表”第13.1条规定中“必须提供”的文件资料的；</w:t>
      </w:r>
    </w:p>
    <w:p>
      <w:pPr>
        <w:pStyle w:val="19"/>
        <w:snapToGrid w:val="0"/>
        <w:spacing w:line="360" w:lineRule="auto"/>
        <w:ind w:firstLine="413" w:firstLineChars="196"/>
        <w:rPr>
          <w:rFonts w:ascii="宋体" w:hAnsi="宋体" w:eastAsia="宋体" w:cs="宋体"/>
          <w:b/>
          <w:color w:val="000000"/>
          <w:kern w:val="2"/>
          <w:sz w:val="21"/>
          <w:szCs w:val="21"/>
        </w:rPr>
      </w:pPr>
      <w:r>
        <w:rPr>
          <w:rFonts w:hint="eastAsia" w:ascii="宋体" w:hAnsi="宋体" w:eastAsia="宋体" w:cs="宋体"/>
          <w:b/>
          <w:color w:val="000000"/>
          <w:kern w:val="2"/>
          <w:sz w:val="21"/>
          <w:szCs w:val="21"/>
        </w:rPr>
        <w:t>（3）虚假投标，或者出现其他情形而导致被评标委员会认定无效的；</w:t>
      </w:r>
    </w:p>
    <w:p>
      <w:pPr>
        <w:pStyle w:val="19"/>
        <w:snapToGrid w:val="0"/>
        <w:spacing w:line="360" w:lineRule="auto"/>
        <w:ind w:firstLine="413" w:firstLineChars="196"/>
        <w:rPr>
          <w:rFonts w:ascii="宋体" w:hAnsi="宋体" w:eastAsia="宋体" w:cs="宋体"/>
          <w:b/>
          <w:color w:val="000000"/>
          <w:kern w:val="2"/>
          <w:sz w:val="21"/>
          <w:szCs w:val="21"/>
        </w:rPr>
      </w:pPr>
      <w:r>
        <w:rPr>
          <w:rFonts w:hint="eastAsia" w:ascii="宋体" w:hAnsi="宋体" w:eastAsia="宋体" w:cs="宋体"/>
          <w:b/>
          <w:color w:val="000000"/>
          <w:kern w:val="2"/>
          <w:sz w:val="21"/>
          <w:szCs w:val="21"/>
        </w:rPr>
        <w:t>（4）</w:t>
      </w:r>
      <w:bookmarkStart w:id="240" w:name="_Hlk71706244"/>
      <w:r>
        <w:rPr>
          <w:rFonts w:hint="eastAsia" w:ascii="宋体" w:hAnsi="宋体" w:eastAsia="宋体" w:cs="宋体"/>
          <w:b/>
          <w:color w:val="000000"/>
          <w:kern w:val="2"/>
          <w:sz w:val="21"/>
          <w:szCs w:val="21"/>
        </w:rPr>
        <w:t>招标文件未载明允许提供备选（替代）投标方案或明确不允许提供备选（替代）投标方案时，投标人提供了备选（替代）投标方案的；</w:t>
      </w:r>
      <w:bookmarkEnd w:id="240"/>
    </w:p>
    <w:p>
      <w:pPr>
        <w:pStyle w:val="19"/>
        <w:snapToGrid w:val="0"/>
        <w:spacing w:line="360" w:lineRule="auto"/>
        <w:ind w:firstLine="413" w:firstLineChars="196"/>
        <w:rPr>
          <w:rFonts w:ascii="宋体" w:hAnsi="宋体" w:eastAsia="宋体" w:cs="宋体"/>
          <w:b/>
          <w:color w:val="000000"/>
          <w:kern w:val="2"/>
          <w:sz w:val="21"/>
          <w:szCs w:val="21"/>
        </w:rPr>
      </w:pPr>
      <w:r>
        <w:rPr>
          <w:rFonts w:hint="eastAsia" w:ascii="宋体" w:hAnsi="宋体" w:eastAsia="宋体" w:cs="宋体"/>
          <w:b/>
          <w:color w:val="000000"/>
          <w:kern w:val="2"/>
          <w:sz w:val="21"/>
          <w:szCs w:val="21"/>
        </w:rPr>
        <w:t>（5）未响应招标文件实质性要求的。</w:t>
      </w:r>
    </w:p>
    <w:p>
      <w:pPr>
        <w:pStyle w:val="7"/>
        <w:keepNext w:val="0"/>
        <w:keepLines w:val="0"/>
        <w:spacing w:before="0" w:after="0" w:line="360" w:lineRule="auto"/>
        <w:ind w:left="420" w:leftChars="200"/>
        <w:rPr>
          <w:rFonts w:ascii="宋体" w:hAnsi="宋体" w:cs="宋体"/>
          <w:color w:val="000000"/>
          <w:sz w:val="21"/>
          <w:szCs w:val="21"/>
        </w:rPr>
      </w:pPr>
      <w:r>
        <w:rPr>
          <w:rFonts w:hint="eastAsia" w:ascii="宋体" w:hAnsi="宋体" w:cs="宋体"/>
          <w:color w:val="000000"/>
          <w:sz w:val="21"/>
          <w:szCs w:val="21"/>
        </w:rPr>
        <w:t>3.澄清补正</w:t>
      </w:r>
    </w:p>
    <w:p>
      <w:pPr>
        <w:spacing w:line="360" w:lineRule="auto"/>
        <w:ind w:firstLine="420" w:firstLineChars="200"/>
        <w:rPr>
          <w:rFonts w:ascii="宋体" w:hAnsi="宋体" w:cs="宋体"/>
          <w:b/>
          <w:color w:val="000000"/>
          <w:szCs w:val="21"/>
        </w:rPr>
      </w:pPr>
      <w:r>
        <w:rPr>
          <w:rFonts w:hint="eastAsia" w:ascii="宋体" w:hAnsi="宋体" w:cs="宋体"/>
          <w:color w:val="000000"/>
          <w:szCs w:val="21"/>
        </w:rPr>
        <w:t>对投标文件中含义不明确、同类问题表述不一致或者有明显文字和计算错误的内容，评标委员会应在“政采云”平台发布电子澄清函，要求投标人在规定时间内作出必要的澄清、说明或者补正。投标人在“政采云”平台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未按评标委员会的要求作出明确澄清、说明或者更正的投标人的投标文件将按照有利于采购人的原则由评标委员会进行判定。</w:t>
      </w:r>
    </w:p>
    <w:p>
      <w:pPr>
        <w:pStyle w:val="7"/>
        <w:keepNext w:val="0"/>
        <w:keepLines w:val="0"/>
        <w:spacing w:before="0" w:after="0" w:line="360" w:lineRule="auto"/>
        <w:ind w:left="420" w:leftChars="200"/>
        <w:rPr>
          <w:rFonts w:ascii="宋体" w:hAnsi="宋体" w:cs="宋体"/>
          <w:color w:val="000000"/>
          <w:sz w:val="21"/>
          <w:szCs w:val="21"/>
        </w:rPr>
      </w:pPr>
      <w:r>
        <w:rPr>
          <w:rFonts w:hint="eastAsia" w:ascii="宋体" w:hAnsi="宋体" w:cs="宋体"/>
          <w:color w:val="000000"/>
          <w:sz w:val="21"/>
          <w:szCs w:val="21"/>
        </w:rPr>
        <w:t>4.投标文件修正</w:t>
      </w:r>
    </w:p>
    <w:p>
      <w:pPr>
        <w:pStyle w:val="7"/>
        <w:keepNext w:val="0"/>
        <w:keepLines w:val="0"/>
        <w:spacing w:before="0" w:after="0" w:line="360" w:lineRule="auto"/>
        <w:ind w:left="420" w:leftChars="200"/>
        <w:rPr>
          <w:rFonts w:ascii="宋体" w:hAnsi="宋体" w:cs="宋体"/>
          <w:b w:val="0"/>
          <w:color w:val="000000"/>
          <w:sz w:val="21"/>
          <w:szCs w:val="21"/>
        </w:rPr>
      </w:pPr>
      <w:r>
        <w:rPr>
          <w:rFonts w:hint="eastAsia" w:ascii="宋体" w:hAnsi="宋体" w:cs="宋体"/>
          <w:b w:val="0"/>
          <w:color w:val="000000"/>
          <w:sz w:val="21"/>
          <w:szCs w:val="21"/>
        </w:rPr>
        <w:t xml:space="preserve">4.1投标文件报价出现前后不一致的，按照下列规定修正： </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（1）投标文件中开标一览表（报价表）内容与投标文件中相应内容不一致的，以开标一览表（报价表）为准；</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（2）大写金额和小写金额不一致的，以大写金额为准；</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（3）单价金额小数点或者百分比有明显错位的，以开标一览表的总价为准，并修改单价；</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（4）总价金额与按单价汇总金额不一致的，以单价金额计算结果为准。</w:t>
      </w:r>
    </w:p>
    <w:p>
      <w:pPr>
        <w:pStyle w:val="24"/>
        <w:snapToGrid w:val="0"/>
        <w:spacing w:line="360" w:lineRule="auto"/>
        <w:ind w:firstLine="420" w:firstLineChars="200"/>
        <w:rPr>
          <w:rFonts w:hAnsi="宋体" w:cs="宋体"/>
          <w:color w:val="000000"/>
          <w:sz w:val="21"/>
        </w:rPr>
      </w:pPr>
      <w:r>
        <w:rPr>
          <w:rFonts w:hint="eastAsia" w:hAnsi="宋体" w:cs="宋体"/>
          <w:color w:val="000000"/>
          <w:sz w:val="21"/>
        </w:rPr>
        <w:t>同时出现两种以上不一致的，按照以上（1）-（4）规定的顺序修正。修正后的报价经投标人确认后产生约束力，投标人不确认的，</w:t>
      </w:r>
      <w:r>
        <w:rPr>
          <w:rFonts w:hint="eastAsia" w:hAnsi="宋体" w:cs="宋体"/>
          <w:b/>
          <w:color w:val="000000"/>
          <w:kern w:val="2"/>
          <w:sz w:val="21"/>
        </w:rPr>
        <w:t>其投标无效</w:t>
      </w:r>
      <w:r>
        <w:rPr>
          <w:rFonts w:hint="eastAsia" w:hAnsi="宋体" w:cs="宋体"/>
          <w:color w:val="000000"/>
          <w:sz w:val="21"/>
        </w:rPr>
        <w:t>。</w:t>
      </w:r>
    </w:p>
    <w:p>
      <w:pPr>
        <w:pStyle w:val="7"/>
        <w:keepNext w:val="0"/>
        <w:keepLines w:val="0"/>
        <w:spacing w:before="0" w:after="0" w:line="360" w:lineRule="auto"/>
        <w:rPr>
          <w:rFonts w:ascii="宋体" w:hAnsi="宋体" w:cs="宋体"/>
          <w:b w:val="0"/>
          <w:color w:val="000000"/>
          <w:sz w:val="21"/>
          <w:szCs w:val="21"/>
        </w:rPr>
      </w:pPr>
      <w:r>
        <w:rPr>
          <w:rFonts w:hint="eastAsia" w:ascii="宋体" w:hAnsi="宋体" w:cs="宋体"/>
          <w:b w:val="0"/>
          <w:color w:val="000000"/>
          <w:sz w:val="21"/>
          <w:szCs w:val="21"/>
        </w:rPr>
        <w:t xml:space="preserve">    4.2经投标人确认修正后的报价若超过采购预算金额或者最高限价，</w:t>
      </w:r>
      <w:r>
        <w:rPr>
          <w:rFonts w:hint="eastAsia" w:ascii="宋体" w:hAnsi="宋体" w:cs="宋体"/>
          <w:color w:val="000000"/>
          <w:sz w:val="21"/>
          <w:szCs w:val="21"/>
        </w:rPr>
        <w:t>投标人的投标文件作无效投标处理</w:t>
      </w:r>
      <w:r>
        <w:rPr>
          <w:rFonts w:hint="eastAsia" w:ascii="宋体" w:hAnsi="宋体" w:cs="宋体"/>
          <w:b w:val="0"/>
          <w:color w:val="000000"/>
          <w:sz w:val="21"/>
          <w:szCs w:val="21"/>
        </w:rPr>
        <w:t>。</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4.3经投标人确认修正后的报价作为签订合同的依据，并以此报价计算价格分。</w:t>
      </w:r>
    </w:p>
    <w:p>
      <w:pPr>
        <w:pStyle w:val="7"/>
        <w:keepNext w:val="0"/>
        <w:keepLines w:val="0"/>
        <w:spacing w:before="0" w:after="0" w:line="360" w:lineRule="auto"/>
        <w:ind w:left="420" w:leftChars="200"/>
        <w:rPr>
          <w:rFonts w:ascii="宋体" w:hAnsi="宋体" w:cs="宋体"/>
          <w:color w:val="000000"/>
          <w:sz w:val="21"/>
          <w:szCs w:val="21"/>
        </w:rPr>
      </w:pPr>
      <w:r>
        <w:rPr>
          <w:rFonts w:hint="eastAsia" w:ascii="宋体" w:hAnsi="宋体" w:cs="宋体"/>
          <w:color w:val="000000"/>
          <w:sz w:val="21"/>
          <w:szCs w:val="21"/>
        </w:rPr>
        <w:t>5.比较与评价</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5.1采用综合评分法的</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（1）评标委员会按照招标文件中规定的评标方法及评标标准，对符合性审查合格的投标文件进行商务和技术评估，综合比较与评价。</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（2）评标委员会独立对每个投标人的投标文件进行评价，并汇总每个投标人的得分。</w:t>
      </w:r>
    </w:p>
    <w:p>
      <w:pPr>
        <w:snapToGrid w:val="0"/>
        <w:spacing w:line="360" w:lineRule="auto"/>
        <w:ind w:firstLine="420" w:firstLineChars="200"/>
        <w:rPr>
          <w:rFonts w:ascii="宋体" w:hAnsi="宋体" w:cs="宋体"/>
          <w:b/>
          <w:color w:val="000000"/>
          <w:szCs w:val="21"/>
        </w:rPr>
      </w:pPr>
      <w:r>
        <w:rPr>
          <w:rFonts w:hint="eastAsia" w:ascii="宋体" w:hAnsi="宋体" w:cs="宋体"/>
          <w:color w:val="000000"/>
          <w:szCs w:val="21"/>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cs="宋体"/>
          <w:b/>
          <w:color w:val="000000"/>
          <w:szCs w:val="21"/>
        </w:rPr>
        <w:t>投标人不能证明其报价合理性的，评标委员会将其作为无效投标处理。</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（3）评标委员会按照招标文件中规定的评标方法和标准计算各投标人的报价得分。在计算过程中，不得去掉最高报价或者最低报价。</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（4）各投标人的得分为所有评委的有效评分的算术平均数。</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（5）评标委员会按照招标文件中的规定推荐中标候选人。</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pPr>
        <w:snapToGrid w:val="0"/>
        <w:spacing w:line="360" w:lineRule="auto"/>
        <w:ind w:firstLine="424" w:firstLineChars="202"/>
        <w:jc w:val="center"/>
        <w:rPr>
          <w:rFonts w:ascii="宋体" w:hAnsi="宋体" w:cs="宋体"/>
          <w:color w:val="000000"/>
        </w:rPr>
      </w:pPr>
      <w:r>
        <w:rPr>
          <w:rFonts w:hint="eastAsia" w:ascii="宋体" w:hAnsi="宋体" w:cs="宋体"/>
          <w:color w:val="000000"/>
        </w:rPr>
        <w:br w:type="page"/>
      </w:r>
      <w:bookmarkStart w:id="241" w:name="_Hlk71707917"/>
      <w:r>
        <w:rPr>
          <w:rFonts w:hint="eastAsia" w:ascii="宋体" w:hAnsi="宋体" w:cs="宋体"/>
          <w:b/>
          <w:bCs/>
          <w:color w:val="000000"/>
          <w:sz w:val="32"/>
          <w:szCs w:val="32"/>
        </w:rPr>
        <w:t>三、评标标准</w:t>
      </w:r>
    </w:p>
    <w:p>
      <w:pPr>
        <w:pStyle w:val="5"/>
        <w:keepNext w:val="0"/>
        <w:keepLines w:val="0"/>
        <w:spacing w:before="0" w:after="0"/>
        <w:jc w:val="center"/>
        <w:rPr>
          <w:rFonts w:ascii="宋体" w:hAnsi="宋体" w:cs="宋体"/>
          <w:color w:val="000000"/>
        </w:rPr>
      </w:pPr>
      <w:r>
        <w:rPr>
          <w:rFonts w:hint="eastAsia" w:ascii="宋体" w:hAnsi="宋体" w:cs="宋体"/>
          <w:color w:val="000000"/>
        </w:rPr>
        <w:t xml:space="preserve">   综合评分法</w:t>
      </w:r>
      <w:bookmarkEnd w:id="241"/>
    </w:p>
    <w:tbl>
      <w:tblPr>
        <w:tblStyle w:val="44"/>
        <w:tblW w:w="9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475"/>
        <w:gridCol w:w="1518"/>
        <w:gridCol w:w="6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7"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26" w:lineRule="atLeast"/>
              <w:jc w:val="center"/>
              <w:textAlignment w:val="baseline"/>
              <w:rPr>
                <w:rFonts w:ascii="宋体" w:hAnsi="宋体" w:cs="宋体"/>
                <w:szCs w:val="21"/>
              </w:rPr>
            </w:pPr>
            <w:r>
              <w:rPr>
                <w:rFonts w:hint="eastAsia" w:ascii="宋体" w:hAnsi="宋体" w:cs="宋体"/>
                <w:b/>
                <w:szCs w:val="21"/>
              </w:rPr>
              <w:t>序号</w:t>
            </w:r>
          </w:p>
        </w:tc>
        <w:tc>
          <w:tcPr>
            <w:tcW w:w="1518" w:type="dxa"/>
            <w:tcBorders>
              <w:top w:val="single" w:color="auto" w:sz="4" w:space="0"/>
              <w:left w:val="single" w:color="auto" w:sz="4" w:space="0"/>
              <w:bottom w:val="single" w:color="auto" w:sz="4" w:space="0"/>
              <w:right w:val="single" w:color="auto" w:sz="4" w:space="0"/>
            </w:tcBorders>
            <w:vAlign w:val="center"/>
          </w:tcPr>
          <w:p>
            <w:pPr>
              <w:adjustRightInd w:val="0"/>
              <w:spacing w:line="26" w:lineRule="atLeast"/>
              <w:jc w:val="center"/>
              <w:textAlignment w:val="baseline"/>
              <w:rPr>
                <w:rFonts w:ascii="宋体" w:hAnsi="宋体" w:cs="宋体"/>
                <w:szCs w:val="21"/>
              </w:rPr>
            </w:pPr>
            <w:r>
              <w:rPr>
                <w:rFonts w:hint="eastAsia" w:ascii="宋体" w:hAnsi="宋体" w:cs="宋体"/>
                <w:b/>
                <w:szCs w:val="21"/>
              </w:rPr>
              <w:t>评审因素</w:t>
            </w:r>
          </w:p>
        </w:tc>
        <w:tc>
          <w:tcPr>
            <w:tcW w:w="6087" w:type="dxa"/>
            <w:tcBorders>
              <w:top w:val="single" w:color="auto" w:sz="4" w:space="0"/>
              <w:left w:val="single" w:color="auto" w:sz="4" w:space="0"/>
              <w:bottom w:val="single" w:color="auto" w:sz="4" w:space="0"/>
              <w:right w:val="single" w:color="auto" w:sz="4" w:space="0"/>
            </w:tcBorders>
            <w:vAlign w:val="center"/>
          </w:tcPr>
          <w:p>
            <w:pPr>
              <w:adjustRightInd w:val="0"/>
              <w:spacing w:line="26" w:lineRule="atLeast"/>
              <w:jc w:val="center"/>
              <w:textAlignment w:val="baseline"/>
              <w:rPr>
                <w:rFonts w:ascii="宋体" w:hAnsi="宋体" w:cs="宋体"/>
                <w:szCs w:val="21"/>
              </w:rPr>
            </w:pPr>
            <w:r>
              <w:rPr>
                <w:rFonts w:hint="eastAsia" w:ascii="宋体" w:hAnsi="宋体" w:cs="宋体"/>
                <w:b/>
                <w:szCs w:val="21"/>
              </w:rPr>
              <w:t>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tcBorders>
              <w:top w:val="single" w:color="auto" w:sz="4" w:space="0"/>
              <w:left w:val="single" w:color="auto" w:sz="4" w:space="0"/>
              <w:bottom w:val="single" w:color="auto" w:sz="4" w:space="0"/>
              <w:right w:val="single" w:color="auto" w:sz="4" w:space="0"/>
            </w:tcBorders>
            <w:vAlign w:val="center"/>
          </w:tcPr>
          <w:p>
            <w:pPr>
              <w:adjustRightInd w:val="0"/>
              <w:spacing w:line="26" w:lineRule="atLeast"/>
              <w:jc w:val="center"/>
              <w:textAlignment w:val="baseline"/>
              <w:rPr>
                <w:rFonts w:ascii="宋体" w:hAnsi="宋体" w:cs="宋体"/>
                <w:b/>
                <w:szCs w:val="21"/>
              </w:rPr>
            </w:pPr>
            <w:r>
              <w:rPr>
                <w:rFonts w:hint="eastAsia" w:ascii="宋体" w:hAnsi="宋体" w:cs="宋体"/>
                <w:b/>
                <w:szCs w:val="21"/>
              </w:rPr>
              <w:t>1</w:t>
            </w:r>
          </w:p>
        </w:tc>
        <w:tc>
          <w:tcPr>
            <w:tcW w:w="1475" w:type="dxa"/>
            <w:tcBorders>
              <w:top w:val="single" w:color="auto" w:sz="4" w:space="0"/>
              <w:left w:val="single" w:color="auto" w:sz="4" w:space="0"/>
              <w:bottom w:val="single" w:color="auto" w:sz="4" w:space="0"/>
              <w:right w:val="single" w:color="auto" w:sz="4" w:space="0"/>
            </w:tcBorders>
            <w:vAlign w:val="center"/>
          </w:tcPr>
          <w:p>
            <w:pPr>
              <w:adjustRightInd w:val="0"/>
              <w:spacing w:line="26" w:lineRule="atLeast"/>
              <w:jc w:val="center"/>
              <w:textAlignment w:val="baseline"/>
              <w:rPr>
                <w:rFonts w:ascii="宋体" w:hAnsi="宋体" w:cs="宋体"/>
                <w:b/>
                <w:szCs w:val="21"/>
              </w:rPr>
            </w:pPr>
            <w:r>
              <w:rPr>
                <w:rFonts w:hint="eastAsia" w:ascii="宋体" w:hAnsi="宋体" w:cs="宋体"/>
                <w:b/>
                <w:szCs w:val="21"/>
              </w:rPr>
              <w:t>价格</w:t>
            </w:r>
          </w:p>
          <w:p>
            <w:pPr>
              <w:adjustRightInd w:val="0"/>
              <w:spacing w:line="26" w:lineRule="atLeast"/>
              <w:jc w:val="center"/>
              <w:textAlignment w:val="baseline"/>
              <w:rPr>
                <w:rFonts w:ascii="宋体" w:hAnsi="宋体" w:cs="宋体"/>
                <w:szCs w:val="21"/>
              </w:rPr>
            </w:pPr>
            <w:r>
              <w:rPr>
                <w:rFonts w:hint="eastAsia" w:ascii="宋体" w:hAnsi="宋体" w:cs="宋体"/>
                <w:szCs w:val="21"/>
              </w:rPr>
              <w:t>（满分10分）</w:t>
            </w:r>
          </w:p>
        </w:tc>
        <w:tc>
          <w:tcPr>
            <w:tcW w:w="1518" w:type="dxa"/>
            <w:tcBorders>
              <w:top w:val="single" w:color="auto" w:sz="4" w:space="0"/>
              <w:left w:val="single" w:color="auto" w:sz="4" w:space="0"/>
              <w:bottom w:val="single" w:color="auto" w:sz="4" w:space="0"/>
              <w:right w:val="single" w:color="auto" w:sz="4" w:space="0"/>
            </w:tcBorders>
            <w:vAlign w:val="center"/>
          </w:tcPr>
          <w:p>
            <w:pPr>
              <w:adjustRightInd w:val="0"/>
              <w:spacing w:line="26" w:lineRule="atLeast"/>
              <w:jc w:val="center"/>
              <w:textAlignment w:val="baseline"/>
              <w:rPr>
                <w:rFonts w:ascii="宋体" w:hAnsi="宋体" w:cs="宋体"/>
                <w:szCs w:val="21"/>
              </w:rPr>
            </w:pPr>
            <w:r>
              <w:rPr>
                <w:rFonts w:hint="eastAsia" w:ascii="宋体" w:hAnsi="宋体" w:cs="宋体"/>
                <w:szCs w:val="21"/>
              </w:rPr>
              <w:t>投标报价</w:t>
            </w:r>
          </w:p>
          <w:p>
            <w:pPr>
              <w:adjustRightInd w:val="0"/>
              <w:spacing w:line="26" w:lineRule="atLeast"/>
              <w:jc w:val="center"/>
              <w:textAlignment w:val="baseline"/>
              <w:rPr>
                <w:rFonts w:ascii="宋体" w:hAnsi="宋体" w:cs="宋体"/>
                <w:szCs w:val="21"/>
              </w:rPr>
            </w:pPr>
            <w:r>
              <w:rPr>
                <w:rFonts w:hint="eastAsia" w:ascii="宋体" w:hAnsi="宋体" w:cs="宋体"/>
                <w:szCs w:val="21"/>
              </w:rPr>
              <w:t>（10分）</w:t>
            </w:r>
          </w:p>
        </w:tc>
        <w:tc>
          <w:tcPr>
            <w:tcW w:w="608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ind w:firstLine="233" w:firstLineChars="111"/>
              <w:rPr>
                <w:rFonts w:ascii="宋体" w:hAnsi="宋体" w:cs="宋体"/>
                <w:bCs/>
                <w:szCs w:val="21"/>
              </w:rPr>
            </w:pPr>
            <w:r>
              <w:rPr>
                <w:rFonts w:hint="eastAsia" w:ascii="宋体" w:hAnsi="宋体" w:cs="宋体"/>
                <w:bCs/>
                <w:szCs w:val="21"/>
              </w:rPr>
              <w:t>（1）评标报价为投标人的投标报价进行政策性扣除后的价格，评标报价只是作为评标时使用。最终中标人的中标金额等于投标报价。</w:t>
            </w:r>
          </w:p>
          <w:p>
            <w:pPr>
              <w:snapToGrid w:val="0"/>
              <w:spacing w:line="360" w:lineRule="exact"/>
              <w:ind w:firstLine="233" w:firstLineChars="111"/>
              <w:rPr>
                <w:rFonts w:ascii="宋体" w:hAnsi="宋体" w:cs="宋体"/>
                <w:bCs/>
                <w:szCs w:val="21"/>
              </w:rPr>
            </w:pPr>
            <w:r>
              <w:rPr>
                <w:rFonts w:hint="eastAsia" w:ascii="宋体" w:hAnsi="宋体" w:cs="宋体"/>
                <w:bCs/>
                <w:szCs w:val="21"/>
              </w:rPr>
              <w:t>（2）政策性扣除计算方法。</w:t>
            </w:r>
          </w:p>
          <w:p>
            <w:pPr>
              <w:snapToGrid w:val="0"/>
              <w:spacing w:line="360" w:lineRule="exact"/>
              <w:ind w:firstLine="233" w:firstLineChars="111"/>
              <w:rPr>
                <w:rFonts w:ascii="宋体" w:hAnsi="宋体" w:cs="宋体"/>
                <w:bCs/>
                <w:szCs w:val="21"/>
              </w:rPr>
            </w:pPr>
            <w:r>
              <w:rPr>
                <w:rFonts w:hint="eastAsia" w:ascii="宋体" w:hAnsi="宋体" w:cs="宋体"/>
                <w:bCs/>
                <w:szCs w:val="21"/>
              </w:rPr>
              <w:t>根据《政府采购促进中小企业发展管理办法》（财库〔2020〕46号）及</w:t>
            </w:r>
            <w:r>
              <w:rPr>
                <w:rFonts w:hint="eastAsia" w:ascii="宋体" w:hAnsi="宋体" w:cs="宋体"/>
                <w:szCs w:val="21"/>
              </w:rPr>
              <w:t>《关于进一步加大政府采购支持中小企业力度的通知》（财库〔2022〕19号）</w:t>
            </w:r>
            <w:r>
              <w:rPr>
                <w:rFonts w:hint="eastAsia" w:ascii="宋体" w:hAnsi="宋体" w:cs="宋体"/>
                <w:bCs/>
                <w:szCs w:val="21"/>
              </w:rPr>
              <w:t>的规定，投标人在其投标文件中提供《中小企业声明函》，且其投标全部货物由小微企业制造的，对其投标报价给予20%的扣除，扣除后的价格为评标报价，即评标报价=投标报价×（1-20%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6%的扣除，用扣除后的价格参加评审，扣除后的价格为评标报价，即评标报价=投标报价×（1-6%）。除上述情况外，评标报价=投标报价。</w:t>
            </w:r>
          </w:p>
          <w:p>
            <w:pPr>
              <w:snapToGrid w:val="0"/>
              <w:spacing w:line="360" w:lineRule="exact"/>
              <w:ind w:firstLine="233" w:firstLineChars="111"/>
              <w:rPr>
                <w:rFonts w:ascii="宋体" w:hAnsi="宋体" w:cs="宋体"/>
                <w:bCs/>
                <w:szCs w:val="21"/>
              </w:rPr>
            </w:pPr>
            <w:r>
              <w:rPr>
                <w:rFonts w:hint="eastAsia" w:ascii="宋体" w:hAnsi="宋体" w:cs="宋体"/>
                <w:bCs/>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pPr>
              <w:snapToGrid w:val="0"/>
              <w:spacing w:line="360" w:lineRule="exact"/>
              <w:ind w:firstLine="233" w:firstLineChars="111"/>
              <w:rPr>
                <w:rFonts w:ascii="宋体" w:hAnsi="宋体" w:cs="宋体"/>
                <w:bCs/>
                <w:szCs w:val="21"/>
              </w:rPr>
            </w:pPr>
            <w:r>
              <w:rPr>
                <w:rFonts w:hint="eastAsia" w:ascii="宋体" w:hAnsi="宋体" w:cs="宋体"/>
                <w:bCs/>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snapToGrid w:val="0"/>
              <w:spacing w:line="360" w:lineRule="exact"/>
              <w:ind w:firstLine="233" w:firstLineChars="111"/>
              <w:rPr>
                <w:rFonts w:ascii="宋体" w:hAnsi="宋体" w:cs="宋体"/>
                <w:bCs/>
                <w:szCs w:val="21"/>
              </w:rPr>
            </w:pPr>
            <w:r>
              <w:rPr>
                <w:rFonts w:hint="eastAsia" w:ascii="宋体" w:hAnsi="宋体" w:cs="宋体"/>
                <w:bCs/>
                <w:szCs w:val="21"/>
              </w:rPr>
              <w:t>（5）满足招标文件要求且评标报价最低的评标报价为评标基准价，其价格分为满分。</w:t>
            </w:r>
          </w:p>
          <w:p>
            <w:pPr>
              <w:snapToGrid w:val="0"/>
              <w:spacing w:line="360" w:lineRule="exact"/>
              <w:ind w:firstLine="233" w:firstLineChars="111"/>
              <w:rPr>
                <w:rFonts w:ascii="宋体" w:hAnsi="宋体" w:cs="宋体"/>
                <w:bCs/>
                <w:szCs w:val="21"/>
              </w:rPr>
            </w:pPr>
            <w:r>
              <w:rPr>
                <w:rFonts w:hint="eastAsia" w:ascii="宋体" w:hAnsi="宋体" w:cs="宋体"/>
                <w:bCs/>
                <w:szCs w:val="21"/>
              </w:rPr>
              <w:t xml:space="preserve">（6）价格分计算公式：价格分=(评标基准价／评标报价)×10分 </w:t>
            </w:r>
          </w:p>
          <w:p>
            <w:pPr>
              <w:spacing w:line="26" w:lineRule="atLeast"/>
              <w:ind w:firstLine="422" w:firstLineChars="200"/>
              <w:rPr>
                <w:rFonts w:ascii="宋体" w:hAnsi="宋体" w:cs="宋体"/>
                <w:bCs/>
                <w:szCs w:val="21"/>
              </w:rPr>
            </w:pPr>
            <w:r>
              <w:rPr>
                <w:rFonts w:hint="eastAsia" w:ascii="宋体" w:hAnsi="宋体" w:cs="宋体"/>
                <w:b/>
                <w:szCs w:val="21"/>
                <w:u w:val="singl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26" w:lineRule="atLeast"/>
              <w:jc w:val="center"/>
              <w:textAlignment w:val="baseline"/>
              <w:rPr>
                <w:rFonts w:ascii="宋体" w:hAnsi="宋体" w:cs="宋体"/>
                <w:b/>
                <w:szCs w:val="21"/>
              </w:rPr>
            </w:pPr>
            <w:r>
              <w:rPr>
                <w:rFonts w:hint="eastAsia" w:ascii="宋体" w:hAnsi="宋体" w:cs="宋体"/>
                <w:b/>
                <w:szCs w:val="21"/>
              </w:rPr>
              <w:t>2</w:t>
            </w:r>
          </w:p>
        </w:tc>
        <w:tc>
          <w:tcPr>
            <w:tcW w:w="1475"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26" w:lineRule="atLeast"/>
              <w:ind w:left="-105" w:leftChars="-50" w:right="-105" w:rightChars="-50"/>
              <w:jc w:val="center"/>
              <w:textAlignment w:val="baseline"/>
              <w:rPr>
                <w:rFonts w:ascii="宋体" w:hAnsi="宋体" w:cs="宋体"/>
                <w:b/>
                <w:bCs/>
                <w:szCs w:val="21"/>
              </w:rPr>
            </w:pPr>
            <w:r>
              <w:rPr>
                <w:rFonts w:hint="eastAsia" w:ascii="宋体" w:hAnsi="宋体" w:cs="宋体"/>
                <w:b/>
                <w:bCs/>
                <w:szCs w:val="21"/>
              </w:rPr>
              <w:t>技术</w:t>
            </w:r>
          </w:p>
          <w:p>
            <w:pPr>
              <w:adjustRightInd w:val="0"/>
              <w:spacing w:line="26" w:lineRule="atLeast"/>
              <w:ind w:left="-105" w:leftChars="-50" w:right="-105" w:rightChars="-50"/>
              <w:jc w:val="center"/>
              <w:textAlignment w:val="baseline"/>
              <w:rPr>
                <w:rFonts w:ascii="宋体" w:hAnsi="宋体" w:cs="宋体"/>
                <w:spacing w:val="-18"/>
                <w:szCs w:val="21"/>
              </w:rPr>
            </w:pPr>
            <w:r>
              <w:rPr>
                <w:rFonts w:hint="eastAsia" w:ascii="宋体" w:hAnsi="宋体" w:cs="宋体"/>
                <w:bCs/>
                <w:szCs w:val="21"/>
              </w:rPr>
              <w:t>（</w:t>
            </w:r>
            <w:r>
              <w:rPr>
                <w:rFonts w:hint="eastAsia" w:ascii="宋体" w:hAnsi="宋体" w:cs="宋体"/>
              </w:rPr>
              <w:t>满分59分</w:t>
            </w:r>
            <w:r>
              <w:rPr>
                <w:rFonts w:hint="eastAsia" w:ascii="宋体" w:hAnsi="宋体" w:cs="宋体"/>
                <w:bCs/>
                <w:szCs w:val="21"/>
              </w:rPr>
              <w:t>）</w:t>
            </w:r>
          </w:p>
        </w:tc>
        <w:tc>
          <w:tcPr>
            <w:tcW w:w="1518" w:type="dxa"/>
            <w:tcBorders>
              <w:top w:val="single" w:color="auto" w:sz="4" w:space="0"/>
              <w:left w:val="single" w:color="auto" w:sz="4" w:space="0"/>
              <w:bottom w:val="single" w:color="auto" w:sz="4" w:space="0"/>
              <w:right w:val="single" w:color="auto" w:sz="4" w:space="0"/>
            </w:tcBorders>
            <w:vAlign w:val="center"/>
          </w:tcPr>
          <w:p>
            <w:pPr>
              <w:pStyle w:val="107"/>
              <w:autoSpaceDE w:val="0"/>
              <w:autoSpaceDN w:val="0"/>
              <w:jc w:val="center"/>
              <w:rPr>
                <w:rFonts w:ascii="宋体" w:hAnsi="宋体" w:cs="宋体"/>
                <w:bCs/>
                <w:lang w:eastAsia="zh-CN"/>
              </w:rPr>
            </w:pPr>
            <w:r>
              <w:rPr>
                <w:rFonts w:hint="eastAsia" w:ascii="宋体" w:hAnsi="宋体" w:cs="宋体"/>
                <w:szCs w:val="21"/>
                <w:lang w:eastAsia="zh-CN"/>
              </w:rPr>
              <w:t>（1）</w:t>
            </w:r>
            <w:r>
              <w:rPr>
                <w:rStyle w:val="52"/>
                <w:rFonts w:hint="eastAsia"/>
                <w:lang w:eastAsia="zh-CN"/>
              </w:rPr>
              <w:t>总体设计方案（15分）</w:t>
            </w:r>
          </w:p>
        </w:tc>
        <w:tc>
          <w:tcPr>
            <w:tcW w:w="608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ind w:firstLine="234" w:firstLineChars="111"/>
              <w:rPr>
                <w:rFonts w:ascii="宋体" w:hAnsi="宋体" w:cs="宋体"/>
                <w:bCs/>
                <w:szCs w:val="21"/>
              </w:rPr>
            </w:pPr>
            <w:r>
              <w:rPr>
                <w:rFonts w:hint="eastAsia" w:ascii="宋体" w:hAnsi="宋体" w:cs="宋体"/>
                <w:b/>
                <w:szCs w:val="21"/>
              </w:rPr>
              <w:t>一档（5分）评定标准：</w:t>
            </w:r>
            <w:r>
              <w:rPr>
                <w:rFonts w:hint="eastAsia" w:ascii="宋体" w:hAnsi="宋体" w:cs="宋体"/>
                <w:bCs/>
                <w:szCs w:val="21"/>
              </w:rPr>
              <w:t>提供的总体设计方案对本项目建设内容相对应，但方案内容不全面，其中用人单位应用、劳动者应用、职业健康检查机构应用、</w:t>
            </w:r>
            <w:r>
              <w:rPr>
                <w:rFonts w:hint="eastAsia" w:ascii="宋体" w:hAnsi="宋体" w:cs="宋体"/>
                <w:kern w:val="0"/>
                <w:szCs w:val="21"/>
              </w:rPr>
              <w:t>监督执法管理、放射应用系统、</w:t>
            </w:r>
            <w:r>
              <w:rPr>
                <w:rFonts w:hint="eastAsia" w:ascii="宋体" w:hAnsi="宋体" w:cs="宋体"/>
                <w:bCs/>
                <w:szCs w:val="21"/>
              </w:rPr>
              <w:t>职业卫生技术服务机构应用、手机端集成应用、诊断和鉴定线上流程模型和指标，相关参数预警项,质控管理审核项，大数据决策展示项功能，设计满足要求。</w:t>
            </w:r>
          </w:p>
          <w:p>
            <w:pPr>
              <w:snapToGrid w:val="0"/>
              <w:spacing w:line="360" w:lineRule="exact"/>
              <w:ind w:firstLine="234" w:firstLineChars="111"/>
              <w:rPr>
                <w:rFonts w:ascii="宋体" w:hAnsi="宋体" w:cs="宋体"/>
                <w:bCs/>
                <w:szCs w:val="21"/>
              </w:rPr>
            </w:pPr>
            <w:r>
              <w:rPr>
                <w:rFonts w:hint="eastAsia" w:ascii="宋体" w:hAnsi="宋体" w:cs="宋体"/>
                <w:b/>
                <w:szCs w:val="21"/>
              </w:rPr>
              <w:t>二档（10分）评定标准：</w:t>
            </w:r>
            <w:r>
              <w:rPr>
                <w:rFonts w:hint="eastAsia" w:ascii="宋体" w:hAnsi="宋体" w:cs="宋体"/>
                <w:bCs/>
                <w:szCs w:val="21"/>
              </w:rPr>
              <w:t>提供的总体设计方案对本项目建设内容相符，所提供方案满足软件功能需求，方案内容全面，具有严格的用户分级数据访问安全管理机制，其中用人单位应用、劳动者应用、职业健康检查机构应用、</w:t>
            </w:r>
            <w:r>
              <w:rPr>
                <w:rFonts w:hint="eastAsia" w:ascii="宋体" w:hAnsi="宋体" w:cs="宋体"/>
                <w:kern w:val="0"/>
                <w:szCs w:val="21"/>
              </w:rPr>
              <w:t>监督执法管理、放射应用系统、</w:t>
            </w:r>
            <w:r>
              <w:rPr>
                <w:rFonts w:hint="eastAsia" w:ascii="宋体" w:hAnsi="宋体" w:cs="宋体"/>
                <w:bCs/>
                <w:szCs w:val="21"/>
              </w:rPr>
              <w:t>职业卫生技术服务机构应用、手机端集成应用、诊断和鉴定线上流程模型和指标，相关参数预警项,质控管理审核项，大数据决策展示项功能，对接《职业健康技术服务机构信息系统》、《职业病及健康危害因素监测信息系统》、《职业病危害项目申报系统》、《卫生健康监督信息平台》、《全国放射卫生信息平台》</w:t>
            </w:r>
            <w:r>
              <w:rPr>
                <w:rStyle w:val="52"/>
                <w:rFonts w:hint="eastAsia"/>
              </w:rPr>
              <w:t>国家及自治区等系统的方案，</w:t>
            </w:r>
            <w:r>
              <w:rPr>
                <w:rFonts w:hint="eastAsia" w:ascii="宋体" w:hAnsi="宋体" w:cs="宋体"/>
                <w:bCs/>
                <w:szCs w:val="21"/>
              </w:rPr>
              <w:t>设计</w:t>
            </w:r>
            <w:r>
              <w:rPr>
                <w:rFonts w:hint="eastAsia"/>
              </w:rPr>
              <w:t>直观</w:t>
            </w:r>
            <w:r>
              <w:rPr>
                <w:rFonts w:hint="eastAsia" w:ascii="宋体" w:hAnsi="宋体" w:cs="宋体"/>
                <w:bCs/>
                <w:szCs w:val="21"/>
              </w:rPr>
              <w:t>，并描述有流程图、逻辑框图。</w:t>
            </w:r>
          </w:p>
          <w:p>
            <w:pPr>
              <w:snapToGrid w:val="0"/>
              <w:spacing w:line="360" w:lineRule="exact"/>
              <w:ind w:firstLine="211" w:firstLineChars="100"/>
              <w:rPr>
                <w:rFonts w:hint="eastAsia" w:ascii="宋体" w:hAnsi="宋体" w:eastAsia="宋体" w:cs="宋体"/>
                <w:bCs/>
                <w:szCs w:val="21"/>
                <w:lang w:val="en-US" w:eastAsia="zh-CN"/>
              </w:rPr>
            </w:pPr>
            <w:r>
              <w:rPr>
                <w:rFonts w:hint="eastAsia" w:ascii="宋体" w:hAnsi="宋体" w:cs="宋体"/>
                <w:b/>
                <w:szCs w:val="21"/>
              </w:rPr>
              <w:t>三档（15分）评定标准：</w:t>
            </w:r>
            <w:r>
              <w:rPr>
                <w:rFonts w:hint="eastAsia" w:ascii="宋体" w:hAnsi="宋体" w:cs="宋体"/>
                <w:bCs/>
                <w:szCs w:val="21"/>
              </w:rPr>
              <w:t>提供的总体设计方案对本项目建设内容准确到位，所提供方案满足软件功能需求，能充分体现系统的完整性、先进性、实用性、安全性、易用性等，方案内容全面、详实，具有严格的用户分级数据访问安全管理机制，其中用人单位应用、劳动者应用、职业健康检查机构应用、</w:t>
            </w:r>
            <w:r>
              <w:rPr>
                <w:rFonts w:hint="eastAsia" w:ascii="宋体" w:hAnsi="宋体" w:cs="宋体"/>
                <w:kern w:val="0"/>
                <w:szCs w:val="21"/>
              </w:rPr>
              <w:t>监督执法管理、放射应用系统、</w:t>
            </w:r>
            <w:r>
              <w:rPr>
                <w:rFonts w:hint="eastAsia" w:ascii="宋体" w:hAnsi="宋体" w:cs="宋体"/>
                <w:bCs/>
                <w:szCs w:val="21"/>
              </w:rPr>
              <w:t>职业卫生技术服务机构应用、手机端集成应用、诊断和鉴定线上流程模型和指标，相关参数预警项,质控管理审核项，大数据决策展示项功能，对接《职业健康技术服务机构信息系统》、《职业病及健康危害因素监测信息系统》、《职业病危害项目申报系统》、《卫生健康监督信息平台》、《全国放射卫生信息平台》</w:t>
            </w:r>
            <w:r>
              <w:rPr>
                <w:rStyle w:val="52"/>
                <w:rFonts w:hint="eastAsia"/>
              </w:rPr>
              <w:t>国家及自治区等系统的方案，</w:t>
            </w:r>
            <w:r>
              <w:rPr>
                <w:rFonts w:hint="eastAsia" w:ascii="宋体" w:hAnsi="宋体" w:cs="宋体"/>
                <w:bCs/>
                <w:szCs w:val="21"/>
              </w:rPr>
              <w:t>设计</w:t>
            </w:r>
            <w:r>
              <w:rPr>
                <w:rFonts w:hint="eastAsia"/>
              </w:rPr>
              <w:t>详实</w:t>
            </w:r>
            <w:r>
              <w:rPr>
                <w:rFonts w:hint="eastAsia" w:ascii="宋体" w:hAnsi="宋体" w:cs="宋体"/>
                <w:bCs/>
                <w:szCs w:val="21"/>
              </w:rPr>
              <w:t>，</w:t>
            </w:r>
            <w:r>
              <w:rPr>
                <w:rStyle w:val="52"/>
                <w:rFonts w:hint="eastAsia"/>
              </w:rPr>
              <w:t>对接路径明晰，可操作性强，</w:t>
            </w:r>
            <w:r>
              <w:rPr>
                <w:rFonts w:hint="eastAsia" w:ascii="宋体" w:hAnsi="宋体" w:cs="宋体"/>
                <w:bCs/>
                <w:szCs w:val="21"/>
              </w:rPr>
              <w:t>并描述有流程图、逻辑框图、技术实现方法</w:t>
            </w:r>
            <w:r>
              <w:rPr>
                <w:rFonts w:hint="eastAsia" w:ascii="宋体" w:hAnsi="宋体" w:cs="宋体"/>
                <w:bCs/>
                <w:szCs w:val="21"/>
                <w:lang w:eastAsia="zh-CN"/>
              </w:rPr>
              <w:t>。</w:t>
            </w:r>
          </w:p>
          <w:p>
            <w:pPr>
              <w:snapToGrid w:val="0"/>
              <w:spacing w:line="360" w:lineRule="exact"/>
              <w:ind w:firstLine="210" w:firstLineChars="100"/>
            </w:pPr>
            <w:r>
              <w:rPr>
                <w:rFonts w:hint="eastAsia" w:ascii="宋体" w:hAnsi="宋体" w:cs="宋体"/>
                <w:bCs/>
                <w:szCs w:val="21"/>
                <w:lang w:eastAsia="zh-CN"/>
              </w:rPr>
              <w:t>注：不提供</w:t>
            </w:r>
            <w:r>
              <w:rPr>
                <w:rStyle w:val="52"/>
                <w:rFonts w:hint="eastAsia"/>
                <w:lang w:eastAsia="zh-CN"/>
              </w:rPr>
              <w:t>总体设计方案或不满足一档的计</w:t>
            </w:r>
            <w:r>
              <w:rPr>
                <w:rStyle w:val="52"/>
                <w:rFonts w:hint="eastAsia"/>
                <w:lang w:val="en-US" w:eastAsia="zh-CN"/>
              </w:rPr>
              <w:t>0分</w:t>
            </w:r>
            <w:r>
              <w:rPr>
                <w:rFonts w:hint="eastAsia" w:ascii="宋体" w:hAnsi="宋体" w:cs="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szCs w:val="21"/>
              </w:rPr>
            </w:pPr>
          </w:p>
        </w:tc>
        <w:tc>
          <w:tcPr>
            <w:tcW w:w="14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pacing w:val="-18"/>
                <w:szCs w:val="21"/>
              </w:rPr>
            </w:pPr>
          </w:p>
        </w:tc>
        <w:tc>
          <w:tcPr>
            <w:tcW w:w="1518"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（2）技术方案（10分）</w:t>
            </w:r>
          </w:p>
          <w:p>
            <w:pPr>
              <w:pStyle w:val="2"/>
              <w:rPr>
                <w:lang w:val="en-US" w:eastAsia="zh-CN"/>
              </w:rPr>
            </w:pPr>
          </w:p>
        </w:tc>
        <w:tc>
          <w:tcPr>
            <w:tcW w:w="608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ind w:firstLine="210" w:firstLineChars="100"/>
              <w:rPr>
                <w:rFonts w:ascii="宋体" w:hAnsi="宋体" w:cs="宋体"/>
                <w:bCs/>
                <w:szCs w:val="21"/>
              </w:rPr>
            </w:pPr>
            <w:r>
              <w:rPr>
                <w:rFonts w:hint="eastAsia" w:ascii="宋体" w:hAnsi="宋体" w:cs="宋体"/>
                <w:bCs/>
                <w:szCs w:val="21"/>
              </w:rPr>
              <w:t>①提供单点登录技术方案，体现国垂系统《职业健康技术服务机构信息填报系统》、《职业病及健康危害因素监测信息系统》、《职业病危害项目申报系统》、《卫生健康监督信息平台》、《放射工作人员个人剂量监测登记系统-网络版》、《全国放射卫生信息平台》、《广西职业病防治与职业健康管理平台》、《广西职业病康复管理平台》、《广西卫生监督执法管理平台》能在同一界面实现单点登录，用户可以在首次输入面向不同系统的多个用户名和口令后，仅需记忆使用智能门户的一个用户名和口令就可以在不同系统中自如的切换。配套完善的流程图、逻辑框图、技术实现方法，得1分。</w:t>
            </w:r>
          </w:p>
          <w:p>
            <w:pPr>
              <w:snapToGrid w:val="0"/>
              <w:spacing w:line="360" w:lineRule="exact"/>
              <w:ind w:firstLine="210" w:firstLineChars="100"/>
              <w:rPr>
                <w:rFonts w:ascii="宋体" w:hAnsi="宋体" w:cs="宋体"/>
                <w:bCs/>
                <w:szCs w:val="21"/>
              </w:rPr>
            </w:pPr>
            <w:r>
              <w:rPr>
                <w:rFonts w:hint="eastAsia" w:ascii="宋体" w:hAnsi="宋体" w:cs="宋体"/>
                <w:bCs/>
                <w:szCs w:val="21"/>
              </w:rPr>
              <w:t>②提供统一用户管理、统一权限管理、统一授权管理技术方案，配套完善的流程图、逻辑框图、技术实现方法，得1分。</w:t>
            </w:r>
          </w:p>
          <w:p>
            <w:pPr>
              <w:snapToGrid w:val="0"/>
              <w:spacing w:line="360" w:lineRule="exact"/>
              <w:ind w:firstLine="210" w:firstLineChars="100"/>
              <w:rPr>
                <w:rFonts w:ascii="宋体" w:hAnsi="宋体" w:cs="宋体"/>
                <w:bCs/>
                <w:szCs w:val="21"/>
              </w:rPr>
            </w:pPr>
            <w:r>
              <w:rPr>
                <w:rFonts w:hint="eastAsia" w:ascii="宋体" w:hAnsi="宋体" w:cs="宋体"/>
                <w:bCs/>
                <w:szCs w:val="21"/>
              </w:rPr>
              <w:t>③提供实现统一身份认证（CA认证平台结合电子印章技术、电子签字、双因子结合的身份鉴别需包括OCR、人脸识别）技术方案，有完善得流程图、逻辑框图、技术实现方法的，得1分；供应商承诺售后运维期提供OCR的并发授权数&gt;20，人脸识别的并发授权书&gt;20，得1分。该项总分</w:t>
            </w:r>
            <w:r>
              <w:rPr>
                <w:rFonts w:hint="eastAsia" w:ascii="宋体" w:hAnsi="宋体" w:cs="宋体"/>
                <w:bCs/>
                <w:szCs w:val="21"/>
                <w:lang w:val="en-US" w:eastAsia="zh-CN"/>
              </w:rPr>
              <w:t>2</w:t>
            </w:r>
            <w:r>
              <w:rPr>
                <w:rFonts w:hint="eastAsia" w:ascii="宋体" w:hAnsi="宋体" w:cs="宋体"/>
                <w:bCs/>
                <w:szCs w:val="21"/>
              </w:rPr>
              <w:t>分。</w:t>
            </w:r>
          </w:p>
          <w:p>
            <w:pPr>
              <w:snapToGrid w:val="0"/>
              <w:spacing w:line="360" w:lineRule="exact"/>
              <w:ind w:firstLine="210" w:firstLineChars="100"/>
              <w:rPr>
                <w:rFonts w:ascii="宋体" w:hAnsi="宋体" w:cs="宋体"/>
                <w:bCs/>
                <w:szCs w:val="21"/>
              </w:rPr>
            </w:pPr>
            <w:r>
              <w:rPr>
                <w:rFonts w:hint="eastAsia" w:ascii="宋体" w:hAnsi="宋体" w:cs="宋体"/>
                <w:bCs/>
                <w:szCs w:val="21"/>
              </w:rPr>
              <w:t>④提供服务管理与开放平台技术方案。配套API注册、发布、调用、监控管理完善的技术实现方法，得1分</w:t>
            </w:r>
            <w:r>
              <w:rPr>
                <w:rFonts w:hint="eastAsia" w:ascii="宋体" w:hAnsi="宋体" w:cs="宋体"/>
                <w:bCs/>
                <w:szCs w:val="21"/>
                <w:lang w:eastAsia="zh-CN"/>
              </w:rPr>
              <w:t>；</w:t>
            </w:r>
            <w:r>
              <w:rPr>
                <w:rFonts w:hint="eastAsia" w:ascii="宋体" w:hAnsi="宋体" w:cs="宋体"/>
                <w:bCs/>
                <w:szCs w:val="21"/>
              </w:rPr>
              <w:t>提供项目所有模块的开发与编制信息数据接口程序及接口标准文档，完全符合得</w:t>
            </w:r>
            <w:r>
              <w:rPr>
                <w:rFonts w:hint="eastAsia" w:ascii="宋体" w:hAnsi="宋体" w:cs="宋体"/>
                <w:bCs/>
                <w:szCs w:val="21"/>
                <w:lang w:val="en-US" w:eastAsia="zh-CN"/>
              </w:rPr>
              <w:t>1</w:t>
            </w:r>
            <w:r>
              <w:rPr>
                <w:rFonts w:hint="eastAsia" w:ascii="宋体" w:hAnsi="宋体" w:cs="宋体"/>
                <w:bCs/>
                <w:szCs w:val="21"/>
              </w:rPr>
              <w:t>分，不符合不得分。该项总分</w:t>
            </w:r>
            <w:r>
              <w:rPr>
                <w:rFonts w:hint="eastAsia" w:ascii="宋体" w:hAnsi="宋体" w:cs="宋体"/>
                <w:bCs/>
                <w:szCs w:val="21"/>
                <w:lang w:val="en-US" w:eastAsia="zh-CN"/>
              </w:rPr>
              <w:t>2</w:t>
            </w:r>
            <w:r>
              <w:rPr>
                <w:rFonts w:hint="eastAsia" w:ascii="宋体" w:hAnsi="宋体" w:cs="宋体"/>
                <w:bCs/>
                <w:szCs w:val="21"/>
              </w:rPr>
              <w:t>分。</w:t>
            </w:r>
          </w:p>
          <w:p>
            <w:pPr>
              <w:snapToGrid w:val="0"/>
              <w:spacing w:line="360" w:lineRule="exact"/>
              <w:ind w:firstLine="210" w:firstLineChars="100"/>
              <w:rPr>
                <w:rFonts w:ascii="宋体" w:hAnsi="宋体" w:cs="宋体"/>
                <w:bCs/>
                <w:szCs w:val="21"/>
              </w:rPr>
            </w:pPr>
            <w:r>
              <w:rPr>
                <w:rFonts w:hint="eastAsia" w:ascii="宋体" w:hAnsi="宋体" w:cs="宋体"/>
                <w:bCs/>
                <w:szCs w:val="21"/>
              </w:rPr>
              <w:t>⑤提供数据库访问、备份、审计的技术方案，得1分。</w:t>
            </w:r>
          </w:p>
          <w:p>
            <w:pPr>
              <w:snapToGrid w:val="0"/>
              <w:spacing w:line="360" w:lineRule="exact"/>
              <w:ind w:firstLine="210" w:firstLineChars="100"/>
              <w:rPr>
                <w:rFonts w:ascii="宋体" w:hAnsi="宋体" w:cs="宋体"/>
                <w:bCs/>
                <w:szCs w:val="21"/>
              </w:rPr>
            </w:pPr>
            <w:r>
              <w:rPr>
                <w:rFonts w:hint="eastAsia" w:ascii="宋体" w:hAnsi="宋体" w:cs="宋体"/>
                <w:bCs/>
                <w:szCs w:val="21"/>
              </w:rPr>
              <w:t>⑥提供操作审计、日志管理的技术方案，得1分。</w:t>
            </w:r>
          </w:p>
          <w:p>
            <w:pPr>
              <w:snapToGrid w:val="0"/>
              <w:spacing w:line="360" w:lineRule="exact"/>
              <w:ind w:firstLine="210" w:firstLineChars="100"/>
              <w:rPr>
                <w:rFonts w:ascii="宋体" w:hAnsi="宋体" w:cs="宋体"/>
                <w:bCs/>
                <w:szCs w:val="21"/>
              </w:rPr>
            </w:pPr>
            <w:r>
              <w:rPr>
                <w:rFonts w:hint="eastAsia" w:ascii="宋体" w:hAnsi="宋体" w:cs="宋体"/>
                <w:bCs/>
                <w:szCs w:val="21"/>
              </w:rPr>
              <w:t>⑦提供消息接收发送功的技术方案，得1分。</w:t>
            </w:r>
          </w:p>
          <w:p>
            <w:pPr>
              <w:spacing w:line="360" w:lineRule="exact"/>
              <w:ind w:firstLine="210" w:firstLineChars="100"/>
              <w:rPr>
                <w:rFonts w:ascii="宋体" w:hAnsi="宋体" w:cs="宋体"/>
                <w:bCs/>
                <w:szCs w:val="21"/>
              </w:rPr>
            </w:pPr>
            <w:r>
              <w:rPr>
                <w:rFonts w:hint="eastAsia" w:ascii="宋体" w:hAnsi="宋体" w:cs="宋体"/>
                <w:bCs/>
                <w:szCs w:val="21"/>
              </w:rPr>
              <w:t>⑧提供密码应用建设软件部分的技术方案，得1分。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66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szCs w:val="21"/>
              </w:rPr>
            </w:pPr>
          </w:p>
        </w:tc>
        <w:tc>
          <w:tcPr>
            <w:tcW w:w="14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pacing w:val="-18"/>
                <w:szCs w:val="21"/>
              </w:rPr>
            </w:pPr>
          </w:p>
        </w:tc>
        <w:tc>
          <w:tcPr>
            <w:tcW w:w="151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szCs w:val="21"/>
              </w:rPr>
              <w:t>（3）</w:t>
            </w:r>
            <w:r>
              <w:rPr>
                <w:rFonts w:ascii="宋体" w:hAnsi="宋体" w:cs="宋体"/>
              </w:rPr>
              <w:t>现场演示</w:t>
            </w:r>
            <w:r>
              <w:rPr>
                <w:rFonts w:hint="eastAsia" w:ascii="宋体" w:hAnsi="宋体" w:cs="宋体"/>
              </w:rPr>
              <w:t>（19分</w:t>
            </w:r>
            <w:r>
              <w:rPr>
                <w:rFonts w:hint="eastAsia"/>
              </w:rPr>
              <w:t>）</w:t>
            </w:r>
          </w:p>
        </w:tc>
        <w:tc>
          <w:tcPr>
            <w:tcW w:w="608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ind w:firstLine="210" w:firstLineChars="100"/>
              <w:rPr>
                <w:rFonts w:ascii="宋体" w:hAnsi="宋体" w:cs="宋体"/>
                <w:bCs/>
                <w:szCs w:val="21"/>
              </w:rPr>
            </w:pPr>
            <w:r>
              <w:rPr>
                <w:rFonts w:hint="eastAsia" w:ascii="宋体" w:hAnsi="宋体" w:cs="宋体"/>
                <w:bCs/>
                <w:szCs w:val="21"/>
              </w:rPr>
              <w:t>①演示要求：供应商针对软件部分相关内容进行系统功能演示，根据现场功能演示情况进行评分，一个平台，按功能模块打分。采用DEMO或原型系统演示的形式（PPT和图片类演示不得分），未提供或格式、时间不符合要求的不得分，每个供应商演示时长不超过25分钟，演示顺序：随机，演示地点：南宁市青秀区茅桥路2号习艺基地A栋3楼广西正海招标有限公司，演示设备须自行准备（现场只提供电源、含HDMI接口的投影仪）。</w:t>
            </w:r>
          </w:p>
          <w:p>
            <w:pPr>
              <w:snapToGrid w:val="0"/>
              <w:spacing w:line="360" w:lineRule="exact"/>
              <w:ind w:firstLine="210" w:firstLineChars="100"/>
              <w:rPr>
                <w:rFonts w:ascii="宋体" w:hAnsi="宋体" w:cs="宋体"/>
                <w:bCs/>
                <w:szCs w:val="21"/>
              </w:rPr>
            </w:pPr>
            <w:r>
              <w:rPr>
                <w:rFonts w:hint="eastAsia" w:ascii="宋体" w:hAnsi="宋体" w:cs="宋体"/>
                <w:bCs/>
                <w:szCs w:val="21"/>
              </w:rPr>
              <w:t>②演示内容及分值设定详见附表《演示功能模块评分表》，每个子模块对应的所有功能模块演示完成，即可得到对应的分值，部分功能演示不得分。对应的功能模块</w:t>
            </w:r>
            <w:r>
              <w:rPr>
                <w:rFonts w:hint="eastAsia" w:ascii="宋体" w:hAnsi="宋体" w:cs="宋体"/>
                <w:bCs/>
                <w:szCs w:val="21"/>
                <w:lang w:val="en-US" w:eastAsia="zh-CN"/>
              </w:rPr>
              <w:t>请</w:t>
            </w:r>
            <w:r>
              <w:rPr>
                <w:rFonts w:hint="eastAsia" w:ascii="宋体" w:hAnsi="宋体" w:cs="宋体"/>
                <w:bCs/>
                <w:szCs w:val="21"/>
              </w:rPr>
              <w:t>参照项目建设内容。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662"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b/>
                <w:szCs w:val="21"/>
              </w:rPr>
            </w:pPr>
          </w:p>
        </w:tc>
        <w:tc>
          <w:tcPr>
            <w:tcW w:w="1475"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spacing w:val="-18"/>
                <w:szCs w:val="21"/>
              </w:rPr>
            </w:pPr>
          </w:p>
        </w:tc>
        <w:tc>
          <w:tcPr>
            <w:tcW w:w="151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szCs w:val="21"/>
              </w:rPr>
              <w:t>（4）</w:t>
            </w:r>
            <w:r>
              <w:rPr>
                <w:rStyle w:val="52"/>
                <w:rFonts w:hint="eastAsia"/>
              </w:rPr>
              <w:t>实施方案（15分）</w:t>
            </w:r>
          </w:p>
        </w:tc>
        <w:tc>
          <w:tcPr>
            <w:tcW w:w="6087" w:type="dxa"/>
            <w:tcBorders>
              <w:top w:val="single" w:color="auto" w:sz="4" w:space="0"/>
              <w:left w:val="single" w:color="auto" w:sz="4" w:space="0"/>
              <w:bottom w:val="single" w:color="auto" w:sz="4" w:space="0"/>
              <w:right w:val="single" w:color="auto" w:sz="4" w:space="0"/>
            </w:tcBorders>
            <w:vAlign w:val="center"/>
          </w:tcPr>
          <w:p>
            <w:pPr>
              <w:spacing w:line="360" w:lineRule="exact"/>
              <w:ind w:firstLine="422" w:firstLineChars="200"/>
            </w:pPr>
            <w:r>
              <w:rPr>
                <w:rFonts w:hint="eastAsia"/>
                <w:b/>
                <w:bCs/>
              </w:rPr>
              <w:t>一档（5分）：</w:t>
            </w:r>
            <w:r>
              <w:rPr>
                <w:rFonts w:hint="eastAsia"/>
              </w:rPr>
              <w:t>提供的实施方案满足采购需求。具备项目管理组织架构图，列明项目实施团队成员名单和各个阶段人员工作安排及施工进度安排。供应商负责本项目的经理承担过类似项目成功案例（须提供</w:t>
            </w:r>
            <w:r>
              <w:rPr>
                <w:rFonts w:hint="eastAsia"/>
                <w:lang w:val="en-US" w:eastAsia="zh-CN"/>
              </w:rPr>
              <w:t>含有该人员信息的</w:t>
            </w:r>
            <w:r>
              <w:rPr>
                <w:rFonts w:hint="eastAsia"/>
              </w:rPr>
              <w:t>合同复印件或项目开发书复印件或验收证明复印件等证明材料），专职并全程负责本项目实施，负责对内对外的各种事务协调、技术服务工作。供应商项目实施团队配备有至少1名的项目经理、8名相应资质的技术工程师，其中至少5人具有≥3年软件开发经验（含项目经理在内，提供相关技术人员的职称或资格证书复印件</w:t>
            </w:r>
            <w:r>
              <w:rPr>
                <w:rFonts w:hint="eastAsia" w:ascii="宋体" w:hAnsi="宋体" w:cs="宋体"/>
              </w:rPr>
              <w:t>及</w:t>
            </w:r>
            <w:r>
              <w:rPr>
                <w:rFonts w:ascii="宋体" w:hAnsi="宋体" w:cs="宋体"/>
              </w:rPr>
              <w:t>近期</w:t>
            </w:r>
            <w:r>
              <w:rPr>
                <w:rFonts w:hint="eastAsia" w:ascii="宋体" w:hAnsi="宋体" w:cs="宋体"/>
              </w:rPr>
              <w:t>1</w:t>
            </w:r>
            <w:r>
              <w:rPr>
                <w:rFonts w:ascii="宋体" w:hAnsi="宋体" w:cs="宋体"/>
              </w:rPr>
              <w:t>个月</w:t>
            </w:r>
            <w:r>
              <w:rPr>
                <w:rFonts w:hint="eastAsia" w:ascii="宋体" w:hAnsi="宋体" w:cs="宋体"/>
              </w:rPr>
              <w:t>供应商</w:t>
            </w:r>
            <w:r>
              <w:rPr>
                <w:rFonts w:ascii="宋体" w:hAnsi="宋体" w:cs="宋体"/>
              </w:rPr>
              <w:t>为上述</w:t>
            </w:r>
            <w:r>
              <w:rPr>
                <w:rFonts w:hint="eastAsia" w:ascii="宋体" w:hAnsi="宋体" w:cs="宋体"/>
              </w:rPr>
              <w:t>至少9名</w:t>
            </w:r>
            <w:r>
              <w:rPr>
                <w:rFonts w:ascii="宋体" w:hAnsi="宋体" w:cs="宋体"/>
              </w:rPr>
              <w:t>人员缴纳的社保证明材料</w:t>
            </w:r>
            <w:r>
              <w:rPr>
                <w:rFonts w:hint="eastAsia"/>
              </w:rPr>
              <w:t>。同一人资质、经验不重复计算）。</w:t>
            </w:r>
          </w:p>
          <w:p>
            <w:pPr>
              <w:spacing w:line="360" w:lineRule="exact"/>
              <w:ind w:firstLine="422" w:firstLineChars="200"/>
            </w:pPr>
            <w:r>
              <w:rPr>
                <w:rFonts w:hint="eastAsia"/>
                <w:b/>
                <w:bCs/>
              </w:rPr>
              <w:t>二档（10分）：</w:t>
            </w:r>
            <w:r>
              <w:rPr>
                <w:rFonts w:hint="eastAsia"/>
              </w:rPr>
              <w:t>提供的实施方案具有一定的操作性。具备项目管理组织架构图，列明项目实施团队成员名单和各个阶段人员工作安排及施工进度安排。投标人负责本项目的经理具有人社部和工信部共同用印的计算机技术与软件专业技术资格高级信息系统项目管理师证书或项目管理专业人</w:t>
            </w:r>
            <w:r>
              <w:t>士</w:t>
            </w:r>
            <w:r>
              <w:rPr>
                <w:rFonts w:hint="eastAsia"/>
              </w:rPr>
              <w:t>资格认证（PMP）证书，且承担过类似项目成功案例（须提供</w:t>
            </w:r>
            <w:r>
              <w:rPr>
                <w:rFonts w:hint="eastAsia"/>
                <w:lang w:val="en-US" w:eastAsia="zh-CN"/>
              </w:rPr>
              <w:t>含有该人员信息的</w:t>
            </w:r>
            <w:r>
              <w:rPr>
                <w:rFonts w:hint="eastAsia"/>
              </w:rPr>
              <w:t>合同复印件或项目开发书复印件或验收证明复印件等证明材料），专职并全程负责本项目实施，负责对内对外的各种事务协调、技术服务工作。投标人项目实施团队配备有至少1名的项目经理、10名相应资质的技术工程师，其中至少有1名高级工程师（具有人社部和工信部共同用印的计算机技术与软件专业技术资格证书），至少1人具有≥5年软件开发经验和5人具有≥3年软件开发经验，至少有1名具有中国信息安全测评中心颁发的注册信息安全专业人员CISP证书或具有人社部和工信部共同用印的计算机技术与软件专业技术资格信息安全工程师（含项目经理在内，提供相关技术人员的职称或资格证书复印件</w:t>
            </w:r>
            <w:r>
              <w:rPr>
                <w:rFonts w:hint="eastAsia" w:ascii="宋体" w:hAnsi="宋体" w:cs="宋体"/>
              </w:rPr>
              <w:t>及</w:t>
            </w:r>
            <w:r>
              <w:rPr>
                <w:rFonts w:ascii="宋体" w:hAnsi="宋体" w:cs="宋体"/>
              </w:rPr>
              <w:t>近期</w:t>
            </w:r>
            <w:r>
              <w:rPr>
                <w:rFonts w:hint="eastAsia" w:ascii="宋体" w:hAnsi="宋体" w:cs="宋体"/>
              </w:rPr>
              <w:t>1</w:t>
            </w:r>
            <w:r>
              <w:rPr>
                <w:rFonts w:ascii="宋体" w:hAnsi="宋体" w:cs="宋体"/>
              </w:rPr>
              <w:t>个月</w:t>
            </w:r>
            <w:r>
              <w:rPr>
                <w:rFonts w:hint="eastAsia" w:ascii="宋体" w:hAnsi="宋体" w:cs="宋体"/>
              </w:rPr>
              <w:t>供应商</w:t>
            </w:r>
            <w:r>
              <w:rPr>
                <w:rFonts w:ascii="宋体" w:hAnsi="宋体" w:cs="宋体"/>
              </w:rPr>
              <w:t>为上述</w:t>
            </w:r>
            <w:r>
              <w:rPr>
                <w:rFonts w:hint="eastAsia" w:ascii="宋体" w:hAnsi="宋体" w:cs="宋体"/>
              </w:rPr>
              <w:t>至少10名</w:t>
            </w:r>
            <w:r>
              <w:rPr>
                <w:rFonts w:ascii="宋体" w:hAnsi="宋体" w:cs="宋体"/>
              </w:rPr>
              <w:t>人员缴纳的社保证明材料</w:t>
            </w:r>
            <w:r>
              <w:rPr>
                <w:rFonts w:hint="eastAsia"/>
              </w:rPr>
              <w:t>。同一人资质、经验不重复计算），承诺其中至少1人在</w:t>
            </w:r>
            <w:r>
              <w:rPr>
                <w:rFonts w:hint="eastAsia" w:ascii="宋体" w:hAnsi="宋体" w:cs="宋体"/>
                <w:szCs w:val="21"/>
              </w:rPr>
              <w:t>项目建设期</w:t>
            </w:r>
            <w:r>
              <w:rPr>
                <w:rFonts w:hint="eastAsia"/>
              </w:rPr>
              <w:t>具备信创研发经验（提供承诺函）。有安全保障、质量保证、实施进度保障、项目变更控制、本地驻</w:t>
            </w:r>
            <w:r>
              <w:t>点</w:t>
            </w:r>
            <w:r>
              <w:rPr>
                <w:rFonts w:hint="eastAsia"/>
              </w:rPr>
              <w:t>人员安排</w:t>
            </w:r>
            <w:r>
              <w:t>保障</w:t>
            </w:r>
            <w:r>
              <w:rPr>
                <w:rFonts w:hint="eastAsia"/>
              </w:rPr>
              <w:t>等措施。</w:t>
            </w:r>
          </w:p>
          <w:p>
            <w:pPr>
              <w:spacing w:line="360" w:lineRule="exact"/>
              <w:ind w:firstLine="422" w:firstLineChars="200"/>
            </w:pPr>
            <w:r>
              <w:rPr>
                <w:rFonts w:hint="eastAsia"/>
                <w:b/>
                <w:bCs/>
              </w:rPr>
              <w:t>三档（15分）：</w:t>
            </w:r>
            <w:r>
              <w:rPr>
                <w:rFonts w:hint="eastAsia"/>
              </w:rPr>
              <w:t>提供的实施方案具有较强的操作性。具备项目管理组织架构图，列明项目实施团队成员名单和各个阶段人员工作安排及施工进度安排。投标人负责本项目的经理具有人社部和工信部共同用印的计算机技术与软件专业技术资格高级信息系统项目管理师证书或项目管理专业人士资格认证（PMP）证书，且承担过类似项目成功案例（须提供</w:t>
            </w:r>
            <w:r>
              <w:rPr>
                <w:rFonts w:hint="eastAsia"/>
                <w:lang w:val="en-US" w:eastAsia="zh-CN"/>
              </w:rPr>
              <w:t>含有该人员信息的</w:t>
            </w:r>
            <w:r>
              <w:rPr>
                <w:rFonts w:hint="eastAsia"/>
              </w:rPr>
              <w:t>合同复印件或项目开发书复印件或验收证明复印件等证明材料），专职并全程负责本项目实施，负责对内对外的各种事务协调、技术服务工作。投标人项目开发团队配备有至少1名项目经理、14名相应资质的技术工程师，其中至少有2名高级工程师（具有人社部和工信部共同用印的计算机技术与软件专业技术资格证书），至少3人具有≥5年软件开发经验和7人具有≥3年软件开发经验，至少有1名具有中国信息安全测评中心颁发的注册信息安全专业人员CISP证书或具有人社部和工信部共同用印的计算机技术与软件专业技术资格信息安全工程师（含项目经理在内，提供相关技术人员的职称或资格证书复印件</w:t>
            </w:r>
            <w:r>
              <w:rPr>
                <w:rFonts w:hint="eastAsia" w:ascii="宋体" w:hAnsi="宋体" w:cs="宋体"/>
              </w:rPr>
              <w:t>及</w:t>
            </w:r>
            <w:r>
              <w:rPr>
                <w:rFonts w:ascii="宋体" w:hAnsi="宋体" w:cs="宋体"/>
              </w:rPr>
              <w:t>近期</w:t>
            </w:r>
            <w:r>
              <w:rPr>
                <w:rFonts w:hint="eastAsia" w:ascii="宋体" w:hAnsi="宋体" w:cs="宋体"/>
              </w:rPr>
              <w:t>1</w:t>
            </w:r>
            <w:r>
              <w:rPr>
                <w:rFonts w:ascii="宋体" w:hAnsi="宋体" w:cs="宋体"/>
              </w:rPr>
              <w:t>个月</w:t>
            </w:r>
            <w:r>
              <w:rPr>
                <w:rFonts w:hint="eastAsia" w:ascii="宋体" w:hAnsi="宋体" w:cs="宋体"/>
              </w:rPr>
              <w:t>供应商</w:t>
            </w:r>
            <w:r>
              <w:rPr>
                <w:rFonts w:ascii="宋体" w:hAnsi="宋体" w:cs="宋体"/>
              </w:rPr>
              <w:t>为上述</w:t>
            </w:r>
            <w:r>
              <w:rPr>
                <w:rFonts w:hint="eastAsia" w:ascii="宋体" w:hAnsi="宋体" w:cs="宋体"/>
              </w:rPr>
              <w:t>至少12名</w:t>
            </w:r>
            <w:r>
              <w:rPr>
                <w:rFonts w:ascii="宋体" w:hAnsi="宋体" w:cs="宋体"/>
              </w:rPr>
              <w:t>人员缴纳的社保证明材料</w:t>
            </w:r>
            <w:r>
              <w:rPr>
                <w:rFonts w:hint="eastAsia"/>
              </w:rPr>
              <w:t>。同一人资质、经验不重复计算），承诺其中至少3人在</w:t>
            </w:r>
            <w:r>
              <w:rPr>
                <w:rFonts w:hint="eastAsia" w:ascii="宋体" w:hAnsi="宋体" w:cs="宋体"/>
                <w:szCs w:val="21"/>
              </w:rPr>
              <w:t>项目建设期</w:t>
            </w:r>
            <w:r>
              <w:rPr>
                <w:rFonts w:hint="eastAsia"/>
              </w:rPr>
              <w:t>具备信创研发经验（提供承诺函）。有安全保障、质量保证、实施进度保障、项目变更控制、本地驻</w:t>
            </w:r>
            <w:r>
              <w:t>点</w:t>
            </w:r>
            <w:r>
              <w:rPr>
                <w:rFonts w:hint="eastAsia"/>
              </w:rPr>
              <w:t>人员安排</w:t>
            </w:r>
            <w:r>
              <w:t>保障</w:t>
            </w:r>
            <w:r>
              <w:rPr>
                <w:rFonts w:hint="eastAsia"/>
              </w:rPr>
              <w:t>等措施。</w:t>
            </w:r>
          </w:p>
          <w:p>
            <w:pPr>
              <w:spacing w:line="360" w:lineRule="exact"/>
              <w:ind w:firstLine="420" w:firstLineChars="200"/>
            </w:pPr>
            <w:r>
              <w:rPr>
                <w:rFonts w:hint="eastAsia"/>
              </w:rPr>
              <w:t>以上所有证明材料均需加盖供应商</w:t>
            </w:r>
            <w:r>
              <w:rPr>
                <w:rFonts w:hint="eastAsia" w:hAnsi="宋体" w:cs="宋体"/>
                <w:color w:val="000000"/>
                <w:sz w:val="21"/>
                <w:lang w:val="en-US" w:eastAsia="zh-CN"/>
              </w:rPr>
              <w:t>电子签章</w:t>
            </w:r>
            <w:r>
              <w:rPr>
                <w:rFonts w:hint="eastAsia"/>
              </w:rPr>
              <w:t>。</w:t>
            </w:r>
          </w:p>
          <w:p>
            <w:pPr>
              <w:spacing w:line="360" w:lineRule="exact"/>
              <w:ind w:firstLine="420" w:firstLineChars="200"/>
            </w:pPr>
            <w:r>
              <w:rPr>
                <w:rFonts w:hint="eastAsia"/>
              </w:rPr>
              <w:t>不满足一档人员人数要求的计0分。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62" w:type="dxa"/>
            <w:vMerge w:val="restart"/>
            <w:tcBorders>
              <w:left w:val="single" w:color="auto" w:sz="4" w:space="0"/>
              <w:right w:val="single" w:color="auto" w:sz="4" w:space="0"/>
            </w:tcBorders>
            <w:vAlign w:val="center"/>
          </w:tcPr>
          <w:p>
            <w:pPr>
              <w:widowControl/>
              <w:jc w:val="center"/>
              <w:rPr>
                <w:rFonts w:ascii="宋体" w:hAnsi="宋体" w:cs="宋体"/>
                <w:b/>
                <w:szCs w:val="21"/>
              </w:rPr>
            </w:pPr>
            <w:r>
              <w:rPr>
                <w:rFonts w:hint="eastAsia" w:ascii="宋体" w:hAnsi="宋体" w:cs="宋体"/>
                <w:b/>
                <w:szCs w:val="21"/>
              </w:rPr>
              <w:t>3</w:t>
            </w:r>
          </w:p>
        </w:tc>
        <w:tc>
          <w:tcPr>
            <w:tcW w:w="1475" w:type="dxa"/>
            <w:vMerge w:val="restart"/>
            <w:tcBorders>
              <w:left w:val="single" w:color="auto" w:sz="4" w:space="0"/>
              <w:right w:val="single" w:color="auto" w:sz="4" w:space="0"/>
            </w:tcBorders>
            <w:vAlign w:val="center"/>
          </w:tcPr>
          <w:p>
            <w:pPr>
              <w:widowControl/>
              <w:jc w:val="center"/>
              <w:rPr>
                <w:rFonts w:ascii="宋体" w:hAnsi="宋体" w:cs="宋体"/>
                <w:spacing w:val="-18"/>
                <w:szCs w:val="21"/>
              </w:rPr>
            </w:pPr>
            <w:r>
              <w:rPr>
                <w:rFonts w:hint="eastAsia" w:ascii="宋体" w:hAnsi="宋体" w:cs="宋体"/>
                <w:spacing w:val="-18"/>
                <w:szCs w:val="21"/>
              </w:rPr>
              <w:t>售后服务培训</w:t>
            </w:r>
            <w:r>
              <w:rPr>
                <w:rFonts w:hint="eastAsia" w:ascii="宋体" w:hAnsi="宋体" w:cs="宋体"/>
                <w:bCs/>
                <w:szCs w:val="21"/>
              </w:rPr>
              <w:t>(</w:t>
            </w:r>
            <w:r>
              <w:rPr>
                <w:rFonts w:hint="eastAsia" w:ascii="宋体" w:hAnsi="宋体" w:cs="宋体"/>
              </w:rPr>
              <w:t>满分22分</w:t>
            </w:r>
            <w:r>
              <w:rPr>
                <w:rFonts w:hint="eastAsia" w:ascii="宋体" w:hAnsi="宋体" w:cs="宋体"/>
                <w:bCs/>
                <w:szCs w:val="21"/>
              </w:rPr>
              <w:t>)</w:t>
            </w:r>
          </w:p>
        </w:tc>
        <w:tc>
          <w:tcPr>
            <w:tcW w:w="151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rPr>
              <w:t>（1）</w:t>
            </w:r>
            <w:r>
              <w:rPr>
                <w:rFonts w:hint="eastAsia" w:ascii="宋体" w:hAnsi="宋体" w:cs="宋体"/>
                <w:lang w:eastAsia="en-US"/>
              </w:rPr>
              <w:t>售后服务</w:t>
            </w:r>
            <w:r>
              <w:rPr>
                <w:rFonts w:hint="eastAsia" w:ascii="宋体" w:hAnsi="宋体" w:cs="宋体"/>
              </w:rPr>
              <w:t>（19分）</w:t>
            </w:r>
          </w:p>
        </w:tc>
        <w:tc>
          <w:tcPr>
            <w:tcW w:w="6087" w:type="dxa"/>
            <w:tcBorders>
              <w:top w:val="single" w:color="auto" w:sz="4" w:space="0"/>
              <w:left w:val="single" w:color="auto" w:sz="4" w:space="0"/>
              <w:right w:val="single" w:color="auto" w:sz="4" w:space="0"/>
            </w:tcBorders>
            <w:vAlign w:val="center"/>
          </w:tcPr>
          <w:p>
            <w:pPr>
              <w:spacing w:line="360" w:lineRule="exact"/>
              <w:ind w:firstLine="422" w:firstLineChars="200"/>
            </w:pPr>
            <w:r>
              <w:rPr>
                <w:rFonts w:hint="eastAsia"/>
                <w:b/>
                <w:bCs/>
              </w:rPr>
              <w:t>一档（</w:t>
            </w:r>
            <w:r>
              <w:rPr>
                <w:b/>
                <w:bCs/>
              </w:rPr>
              <w:t>6</w:t>
            </w:r>
            <w:r>
              <w:rPr>
                <w:rFonts w:hint="eastAsia"/>
                <w:b/>
                <w:bCs/>
              </w:rPr>
              <w:t>分）评定标准</w:t>
            </w:r>
            <w:r>
              <w:rPr>
                <w:rFonts w:hint="eastAsia"/>
              </w:rPr>
              <w:t>：供应商售后服务满足项目要求，但方案内容不全面，章节混乱，不细化，操作性不强；能从原研发团队提供至少1名信息系统运行维护工程师3年承担售后驻点运维。</w:t>
            </w:r>
          </w:p>
          <w:p>
            <w:pPr>
              <w:spacing w:line="360" w:lineRule="exact"/>
              <w:ind w:firstLine="422" w:firstLineChars="200"/>
            </w:pPr>
            <w:r>
              <w:rPr>
                <w:rFonts w:hint="eastAsia"/>
                <w:b/>
                <w:bCs/>
              </w:rPr>
              <w:t>二档（1</w:t>
            </w:r>
            <w:r>
              <w:rPr>
                <w:b/>
                <w:bCs/>
              </w:rPr>
              <w:t>2</w:t>
            </w:r>
            <w:r>
              <w:rPr>
                <w:rFonts w:hint="eastAsia"/>
                <w:b/>
                <w:bCs/>
              </w:rPr>
              <w:t>分）评定标准：</w:t>
            </w:r>
            <w:r>
              <w:rPr>
                <w:rFonts w:hint="eastAsia"/>
              </w:rPr>
              <w:t>供应商售后服务完全满足项目要求，设计细致、合理，方案内容较为全面，有详细的保障响应措施和应急响应服务方案；接到故障通知一小时内对提出的维护要求做出实质性响应；能从原研发团队提供至少2名信息系统运行维护工程师3年承担售后驻点运维；并附有针对此项目的售后服务承诺书。</w:t>
            </w:r>
          </w:p>
          <w:p>
            <w:pPr>
              <w:spacing w:line="360" w:lineRule="exact"/>
              <w:ind w:firstLine="422" w:firstLineChars="200"/>
            </w:pPr>
            <w:r>
              <w:rPr>
                <w:rFonts w:hint="eastAsia"/>
                <w:b/>
                <w:bCs/>
              </w:rPr>
              <w:t>三档（19分）评定标准：</w:t>
            </w:r>
            <w:r>
              <w:rPr>
                <w:rFonts w:hint="eastAsia"/>
              </w:rPr>
              <w:t>供应商售后服务完全满足项目要求，设计细致、合理、新颖，方案内容全面，保障响应措施（含硬件设备备件服务）和应急响应服务方案科学、有针对性、能切合采购人的实际情况；接到故障通知半小时内对提出的维护要求做出实质性响应；能从原研发团队提供至少3名信息系统运行维护工程师5年承担售后运维，其中3年驻点运维；并附有针对此项目的售后服务承诺书。</w:t>
            </w:r>
          </w:p>
          <w:p>
            <w:pPr>
              <w:spacing w:line="360" w:lineRule="exact"/>
              <w:ind w:firstLine="420" w:firstLineChars="200"/>
            </w:pPr>
            <w:r>
              <w:rPr>
                <w:rFonts w:hint="eastAsia"/>
              </w:rPr>
              <w:t>无售后服务</w:t>
            </w:r>
            <w:r>
              <w:rPr>
                <w:rFonts w:hint="eastAsia"/>
                <w:lang w:eastAsia="zh-CN"/>
              </w:rPr>
              <w:t>或不满足一档</w:t>
            </w:r>
            <w:r>
              <w:rPr>
                <w:rFonts w:hint="eastAsia"/>
              </w:rPr>
              <w:t>的计0分。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62" w:type="dxa"/>
            <w:vMerge w:val="continue"/>
            <w:tcBorders>
              <w:left w:val="single" w:color="auto" w:sz="4" w:space="0"/>
              <w:bottom w:val="single" w:color="auto" w:sz="4" w:space="0"/>
              <w:right w:val="single" w:color="auto" w:sz="4" w:space="0"/>
            </w:tcBorders>
            <w:vAlign w:val="center"/>
          </w:tcPr>
          <w:p>
            <w:pPr>
              <w:spacing w:line="360" w:lineRule="exact"/>
              <w:jc w:val="center"/>
            </w:pPr>
          </w:p>
        </w:tc>
        <w:tc>
          <w:tcPr>
            <w:tcW w:w="1475" w:type="dxa"/>
            <w:vMerge w:val="continue"/>
            <w:tcBorders>
              <w:left w:val="single" w:color="auto" w:sz="4" w:space="0"/>
              <w:bottom w:val="single" w:color="auto" w:sz="4" w:space="0"/>
              <w:right w:val="single" w:color="auto" w:sz="4" w:space="0"/>
            </w:tcBorders>
            <w:vAlign w:val="center"/>
          </w:tcPr>
          <w:p>
            <w:pPr>
              <w:spacing w:line="360" w:lineRule="exact"/>
              <w:jc w:val="center"/>
            </w:pPr>
          </w:p>
        </w:tc>
        <w:tc>
          <w:tcPr>
            <w:tcW w:w="151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szCs w:val="21"/>
              </w:rPr>
              <w:t>（2）</w:t>
            </w:r>
            <w:r>
              <w:rPr>
                <w:rFonts w:hint="eastAsia" w:ascii="宋体" w:hAnsi="宋体" w:cs="宋体"/>
                <w:szCs w:val="21"/>
                <w:lang w:eastAsia="en-US"/>
              </w:rPr>
              <w:t>培训方案</w:t>
            </w:r>
            <w:r>
              <w:rPr>
                <w:rFonts w:hint="eastAsia" w:ascii="宋体" w:hAnsi="宋体" w:cs="宋体"/>
                <w:szCs w:val="21"/>
              </w:rPr>
              <w:t>（3分）</w:t>
            </w:r>
          </w:p>
        </w:tc>
        <w:tc>
          <w:tcPr>
            <w:tcW w:w="6087" w:type="dxa"/>
            <w:tcBorders>
              <w:left w:val="single" w:color="auto" w:sz="4" w:space="0"/>
              <w:bottom w:val="single" w:color="auto" w:sz="4" w:space="0"/>
              <w:right w:val="single" w:color="auto" w:sz="4" w:space="0"/>
            </w:tcBorders>
            <w:vAlign w:val="center"/>
          </w:tcPr>
          <w:p>
            <w:pPr>
              <w:spacing w:line="360" w:lineRule="exact"/>
              <w:ind w:firstLine="422" w:firstLineChars="200"/>
            </w:pPr>
            <w:r>
              <w:rPr>
                <w:rFonts w:hint="eastAsia"/>
                <w:b/>
                <w:bCs/>
              </w:rPr>
              <w:t>一档（1分）评定标准：</w:t>
            </w:r>
            <w:r>
              <w:rPr>
                <w:rFonts w:hint="eastAsia"/>
              </w:rPr>
              <w:t>供应商培训方案满足项目要求，但方案内容不全面，章节混乱，不够细化，操作性不强；</w:t>
            </w:r>
          </w:p>
          <w:p>
            <w:pPr>
              <w:spacing w:line="360" w:lineRule="exact"/>
              <w:ind w:firstLine="422" w:firstLineChars="200"/>
            </w:pPr>
            <w:r>
              <w:rPr>
                <w:rFonts w:hint="eastAsia"/>
                <w:b/>
                <w:bCs/>
              </w:rPr>
              <w:t>二档（2分）评定标准：</w:t>
            </w:r>
            <w:r>
              <w:rPr>
                <w:rFonts w:hint="eastAsia"/>
              </w:rPr>
              <w:t>供应商培训方案完全满足项目要求，设计细致、合理，方案内容较为全面，有详细的培训方案（含试运行期间的试点单位培训方案），达到相关人员对系统的基本操作能掌握、使用。</w:t>
            </w:r>
          </w:p>
          <w:p>
            <w:pPr>
              <w:spacing w:line="360" w:lineRule="exact"/>
              <w:ind w:firstLine="422" w:firstLineChars="200"/>
            </w:pPr>
            <w:r>
              <w:rPr>
                <w:rFonts w:hint="eastAsia"/>
                <w:b/>
                <w:bCs/>
              </w:rPr>
              <w:t>三档（3分）评定标准：</w:t>
            </w:r>
            <w:r>
              <w:rPr>
                <w:rFonts w:hint="eastAsia"/>
              </w:rPr>
              <w:t>供应商培训方案完全满足项目要求，设计细致、合理、理念先进、并结合采购人实际情况，方案内容全面、科学，有详细的培训方案（含试运行期间的试点单位培训方案），达到相关人员以及试点单位对系统能独立、正常投入工作使用。</w:t>
            </w:r>
          </w:p>
          <w:p>
            <w:pPr>
              <w:spacing w:line="360" w:lineRule="exact"/>
              <w:ind w:firstLine="420" w:firstLineChars="200"/>
              <w:rPr>
                <w:rFonts w:ascii="宋体" w:hAnsi="宋体" w:cs="宋体"/>
                <w:szCs w:val="21"/>
              </w:rPr>
            </w:pPr>
            <w:r>
              <w:rPr>
                <w:rFonts w:hint="eastAsia"/>
              </w:rPr>
              <w:t>无培训方案</w:t>
            </w:r>
            <w:r>
              <w:rPr>
                <w:rFonts w:hint="eastAsia"/>
                <w:lang w:eastAsia="zh-CN"/>
              </w:rPr>
              <w:t>或不满足一档</w:t>
            </w:r>
            <w:r>
              <w:rPr>
                <w:rFonts w:hint="eastAsia"/>
              </w:rPr>
              <w:t>的计0分。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tcBorders>
              <w:top w:val="single" w:color="auto" w:sz="4" w:space="0"/>
              <w:left w:val="single" w:color="auto" w:sz="4" w:space="0"/>
              <w:bottom w:val="single" w:color="auto" w:sz="4" w:space="0"/>
              <w:right w:val="single" w:color="auto" w:sz="4" w:space="0"/>
            </w:tcBorders>
            <w:vAlign w:val="center"/>
          </w:tcPr>
          <w:p>
            <w:pPr>
              <w:adjustRightInd w:val="0"/>
              <w:spacing w:line="26" w:lineRule="atLeast"/>
              <w:jc w:val="center"/>
              <w:textAlignment w:val="baseline"/>
              <w:rPr>
                <w:rFonts w:ascii="宋体" w:hAnsi="宋体" w:cs="宋体"/>
                <w:b/>
                <w:szCs w:val="21"/>
              </w:rPr>
            </w:pPr>
            <w:r>
              <w:rPr>
                <w:rFonts w:hint="eastAsia" w:ascii="宋体" w:hAnsi="宋体" w:cs="宋体"/>
                <w:b/>
                <w:szCs w:val="21"/>
              </w:rPr>
              <w:t>4</w:t>
            </w:r>
          </w:p>
        </w:tc>
        <w:tc>
          <w:tcPr>
            <w:tcW w:w="1475" w:type="dxa"/>
            <w:tcBorders>
              <w:top w:val="single" w:color="auto" w:sz="4" w:space="0"/>
              <w:left w:val="single" w:color="auto" w:sz="4" w:space="0"/>
              <w:bottom w:val="single" w:color="auto" w:sz="4" w:space="0"/>
              <w:right w:val="single" w:color="auto" w:sz="4" w:space="0"/>
            </w:tcBorders>
            <w:vAlign w:val="center"/>
          </w:tcPr>
          <w:p>
            <w:pPr>
              <w:adjustRightInd w:val="0"/>
              <w:spacing w:line="26" w:lineRule="atLeast"/>
              <w:jc w:val="center"/>
              <w:textAlignment w:val="baseline"/>
              <w:rPr>
                <w:lang w:eastAsia="en-US"/>
              </w:rPr>
            </w:pPr>
            <w:r>
              <w:rPr>
                <w:rFonts w:hint="eastAsia"/>
                <w:lang w:eastAsia="en-US"/>
              </w:rPr>
              <w:t>业绩</w:t>
            </w:r>
          </w:p>
          <w:p>
            <w:pPr>
              <w:pStyle w:val="37"/>
              <w:ind w:left="0" w:leftChars="0"/>
              <w:jc w:val="center"/>
              <w:rPr>
                <w:lang w:val="en-US" w:eastAsia="zh-CN"/>
              </w:rPr>
            </w:pPr>
            <w:r>
              <w:rPr>
                <w:rFonts w:hint="eastAsia"/>
                <w:sz w:val="21"/>
                <w:szCs w:val="21"/>
                <w:lang w:val="en-US" w:eastAsia="zh-CN"/>
              </w:rPr>
              <w:t>(满分5分)</w:t>
            </w:r>
          </w:p>
        </w:tc>
        <w:tc>
          <w:tcPr>
            <w:tcW w:w="15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pacing w:line="26" w:lineRule="atLeast"/>
              <w:jc w:val="center"/>
              <w:textAlignment w:val="baseline"/>
              <w:rPr>
                <w:rFonts w:ascii="宋体" w:hAnsi="宋体" w:cs="宋体"/>
                <w:szCs w:val="21"/>
              </w:rPr>
            </w:pPr>
            <w:r>
              <w:rPr>
                <w:rFonts w:hint="eastAsia"/>
                <w:lang w:eastAsia="en-US"/>
              </w:rPr>
              <w:t>业绩</w:t>
            </w:r>
            <w:r>
              <w:rPr>
                <w:rFonts w:hint="eastAsia"/>
                <w:szCs w:val="21"/>
              </w:rPr>
              <w:t>(5分)</w:t>
            </w:r>
          </w:p>
        </w:tc>
        <w:tc>
          <w:tcPr>
            <w:tcW w:w="6087" w:type="dxa"/>
            <w:tcBorders>
              <w:top w:val="single" w:color="auto" w:sz="4" w:space="0"/>
              <w:left w:val="single" w:color="auto" w:sz="4" w:space="0"/>
              <w:bottom w:val="single" w:color="auto" w:sz="4" w:space="0"/>
              <w:right w:val="single" w:color="auto" w:sz="4" w:space="0"/>
            </w:tcBorders>
          </w:tcPr>
          <w:p>
            <w:pPr>
              <w:spacing w:line="360" w:lineRule="exact"/>
              <w:ind w:firstLine="420" w:firstLineChars="200"/>
            </w:pPr>
            <w:r>
              <w:rPr>
                <w:rFonts w:hint="eastAsia"/>
              </w:rPr>
              <w:t>供应商提供自20</w:t>
            </w:r>
            <w:r>
              <w:t>18</w:t>
            </w:r>
            <w:r>
              <w:rPr>
                <w:rFonts w:hint="eastAsia"/>
              </w:rPr>
              <w:t>年1月至今类似项目的案例，每提供1个得1分，最多5分（须提供合同复印件加盖</w:t>
            </w:r>
            <w:r>
              <w:rPr>
                <w:rFonts w:hint="eastAsia" w:hAnsi="宋体" w:cs="宋体"/>
                <w:color w:val="000000"/>
                <w:sz w:val="21"/>
                <w:lang w:val="en-US" w:eastAsia="zh-CN"/>
              </w:rPr>
              <w:t>电子签章</w:t>
            </w:r>
            <w:r>
              <w:rPr>
                <w:rFonts w:hint="eastAsia"/>
              </w:rPr>
              <w:t>，合同须能反映项目名称、主要标的物，签订时间和签章清晰可见）。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szCs w:val="21"/>
              </w:rPr>
            </w:pPr>
            <w:r>
              <w:rPr>
                <w:rFonts w:hint="eastAsia" w:ascii="宋体" w:hAnsi="宋体" w:cs="宋体"/>
                <w:b/>
                <w:szCs w:val="21"/>
              </w:rPr>
              <w:t>5</w:t>
            </w:r>
          </w:p>
        </w:tc>
        <w:tc>
          <w:tcPr>
            <w:tcW w:w="1475" w:type="dxa"/>
            <w:tcBorders>
              <w:top w:val="single" w:color="auto" w:sz="4" w:space="0"/>
              <w:left w:val="single" w:color="auto" w:sz="4" w:space="0"/>
              <w:bottom w:val="single" w:color="auto" w:sz="4" w:space="0"/>
              <w:right w:val="single" w:color="auto" w:sz="4" w:space="0"/>
            </w:tcBorders>
            <w:vAlign w:val="center"/>
          </w:tcPr>
          <w:p>
            <w:pPr>
              <w:adjustRightInd w:val="0"/>
              <w:spacing w:line="26" w:lineRule="atLeast"/>
              <w:jc w:val="center"/>
              <w:textAlignment w:val="baseline"/>
            </w:pPr>
            <w:r>
              <w:rPr>
                <w:rFonts w:hint="eastAsia"/>
              </w:rPr>
              <w:t>信誉</w:t>
            </w:r>
          </w:p>
          <w:p>
            <w:pPr>
              <w:adjustRightInd w:val="0"/>
              <w:spacing w:line="26" w:lineRule="atLeast"/>
              <w:jc w:val="center"/>
              <w:textAlignment w:val="baseline"/>
            </w:pPr>
            <w:r>
              <w:rPr>
                <w:rFonts w:hint="eastAsia"/>
              </w:rPr>
              <w:t>(满分4分)</w:t>
            </w:r>
          </w:p>
        </w:tc>
        <w:tc>
          <w:tcPr>
            <w:tcW w:w="15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spacing w:line="26" w:lineRule="atLeast"/>
              <w:jc w:val="center"/>
              <w:rPr>
                <w:rFonts w:ascii="宋体" w:hAnsi="宋体" w:cs="宋体"/>
                <w:szCs w:val="21"/>
              </w:rPr>
            </w:pPr>
            <w:r>
              <w:rPr>
                <w:rFonts w:hint="eastAsia" w:ascii="宋体" w:hAnsi="宋体" w:cs="宋体"/>
                <w:szCs w:val="21"/>
              </w:rPr>
              <w:t>信誉</w:t>
            </w:r>
            <w:r>
              <w:rPr>
                <w:rFonts w:hint="eastAsia" w:ascii="宋体" w:hAnsi="宋体" w:cs="宋体"/>
                <w:bCs/>
              </w:rPr>
              <w:t>（</w:t>
            </w:r>
            <w:r>
              <w:rPr>
                <w:rFonts w:hint="eastAsia" w:ascii="宋体" w:hAnsi="宋体" w:cs="宋体"/>
              </w:rPr>
              <w:t>4分</w:t>
            </w:r>
            <w:r>
              <w:rPr>
                <w:rFonts w:hint="eastAsia" w:ascii="宋体" w:hAnsi="宋体" w:cs="宋体"/>
                <w:bCs/>
              </w:rPr>
              <w:t>）</w:t>
            </w:r>
          </w:p>
        </w:tc>
        <w:tc>
          <w:tcPr>
            <w:tcW w:w="6087" w:type="dxa"/>
            <w:tcBorders>
              <w:top w:val="single" w:color="auto" w:sz="4" w:space="0"/>
              <w:left w:val="single" w:color="auto" w:sz="4" w:space="0"/>
              <w:bottom w:val="single" w:color="auto" w:sz="4" w:space="0"/>
              <w:right w:val="single" w:color="auto" w:sz="4" w:space="0"/>
            </w:tcBorders>
          </w:tcPr>
          <w:p>
            <w:pPr>
              <w:spacing w:line="360" w:lineRule="exact"/>
              <w:ind w:firstLine="420" w:firstLineChars="200"/>
            </w:pPr>
            <w:r>
              <w:rPr>
                <w:rFonts w:hint="eastAsia"/>
              </w:rPr>
              <w:t>①供应商具有有效期内的质量管理体系认证（ISO-9001）的得1分，不具备不得分。</w:t>
            </w:r>
          </w:p>
          <w:p>
            <w:pPr>
              <w:spacing w:line="360" w:lineRule="exact"/>
              <w:ind w:firstLine="420" w:firstLineChars="200"/>
            </w:pPr>
            <w:r>
              <w:rPr>
                <w:rFonts w:hint="eastAsia"/>
              </w:rPr>
              <w:t>②供应商具有有效期内的信息安全管理体系认证（ISO-27001）的得1分，不具备不得分。</w:t>
            </w:r>
          </w:p>
          <w:p>
            <w:pPr>
              <w:spacing w:line="360" w:lineRule="exact"/>
              <w:ind w:firstLine="420" w:firstLineChars="200"/>
            </w:pPr>
            <w:r>
              <w:rPr>
                <w:rFonts w:hint="eastAsia"/>
              </w:rPr>
              <w:t>③供应商具有有效期内的信息技术服务管理体系认证（ISO-20000）的得1分，不具备不得分。</w:t>
            </w:r>
          </w:p>
          <w:p>
            <w:pPr>
              <w:spacing w:line="360" w:lineRule="exact"/>
              <w:ind w:firstLine="420" w:firstLineChars="200"/>
            </w:pPr>
            <w:r>
              <w:rPr>
                <w:rFonts w:hint="eastAsia"/>
              </w:rPr>
              <w:t>④供应商具有有效期内的环境管理体系认证（ISO-14001）的得1分，不具备不得分。</w:t>
            </w:r>
          </w:p>
          <w:p>
            <w:pPr>
              <w:spacing w:line="360" w:lineRule="exact"/>
              <w:ind w:firstLine="420" w:firstLineChars="200"/>
            </w:pPr>
            <w:r>
              <w:rPr>
                <w:rFonts w:hint="eastAsia"/>
              </w:rPr>
              <w:t>以上资质均须提供证书复印件并加盖</w:t>
            </w:r>
            <w:r>
              <w:rPr>
                <w:rFonts w:hint="eastAsia" w:hAnsi="宋体" w:cs="宋体"/>
                <w:color w:val="000000"/>
                <w:sz w:val="21"/>
                <w:lang w:val="en-US" w:eastAsia="zh-CN"/>
              </w:rPr>
              <w:t>电子签章</w:t>
            </w:r>
            <w:r>
              <w:rPr>
                <w:rFonts w:hint="eastAsia"/>
              </w:rPr>
              <w:t>，原件备查。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2" w:type="dxa"/>
            <w:gridSpan w:val="4"/>
            <w:tcBorders>
              <w:top w:val="single" w:color="auto" w:sz="4" w:space="0"/>
              <w:left w:val="single" w:color="auto" w:sz="4" w:space="0"/>
              <w:bottom w:val="single" w:color="auto" w:sz="4" w:space="0"/>
              <w:right w:val="single" w:color="auto" w:sz="4" w:space="0"/>
            </w:tcBorders>
            <w:vAlign w:val="center"/>
          </w:tcPr>
          <w:p>
            <w:pPr>
              <w:spacing w:line="26" w:lineRule="atLeast"/>
              <w:ind w:firstLine="420"/>
              <w:rPr>
                <w:rFonts w:ascii="宋体" w:hAnsi="宋体" w:cs="宋体"/>
                <w:bCs/>
                <w:szCs w:val="21"/>
              </w:rPr>
            </w:pPr>
            <w:r>
              <w:rPr>
                <w:rFonts w:hint="eastAsia" w:ascii="宋体" w:hAnsi="宋体" w:cs="宋体"/>
                <w:b/>
                <w:bCs/>
                <w:szCs w:val="21"/>
              </w:rPr>
              <w:t>总得分=1+2+3</w:t>
            </w:r>
          </w:p>
        </w:tc>
      </w:tr>
    </w:tbl>
    <w:p>
      <w:pPr>
        <w:rPr>
          <w:rFonts w:ascii="宋体" w:hAnsi="宋体" w:cs="宋体"/>
        </w:rPr>
      </w:pPr>
    </w:p>
    <w:p>
      <w:pPr>
        <w:pStyle w:val="24"/>
        <w:spacing w:line="360" w:lineRule="auto"/>
        <w:ind w:firstLine="420"/>
        <w:rPr>
          <w:rFonts w:hAnsi="宋体" w:cs="宋体"/>
          <w:bCs/>
          <w:color w:val="000000"/>
          <w:sz w:val="21"/>
        </w:rPr>
      </w:pPr>
      <w:r>
        <w:rPr>
          <w:rFonts w:hint="eastAsia" w:hAnsi="宋体" w:cs="宋体"/>
          <w:bCs/>
          <w:color w:val="000000"/>
          <w:sz w:val="21"/>
        </w:rPr>
        <w:t>注：计分方法按四舍五入取至百分位。</w:t>
      </w:r>
    </w:p>
    <w:p>
      <w:pPr>
        <w:pStyle w:val="5"/>
        <w:keepNext w:val="0"/>
        <w:keepLines w:val="0"/>
        <w:jc w:val="center"/>
        <w:rPr>
          <w:rFonts w:ascii="宋体" w:hAnsi="宋体" w:cs="宋体"/>
          <w:color w:val="000000"/>
          <w:sz w:val="30"/>
          <w:szCs w:val="30"/>
        </w:rPr>
      </w:pPr>
      <w:r>
        <w:rPr>
          <w:rFonts w:hint="eastAsia" w:ascii="宋体" w:hAnsi="宋体" w:cs="宋体"/>
          <w:color w:val="000000"/>
          <w:sz w:val="30"/>
          <w:szCs w:val="30"/>
        </w:rPr>
        <w:t>四、中标候选人推荐原则</w:t>
      </w:r>
    </w:p>
    <w:p>
      <w:pPr>
        <w:pStyle w:val="24"/>
        <w:spacing w:line="360" w:lineRule="auto"/>
        <w:ind w:firstLine="420" w:firstLineChars="200"/>
        <w:contextualSpacing/>
        <w:rPr>
          <w:rFonts w:hAnsi="宋体" w:cs="宋体"/>
          <w:color w:val="000000"/>
          <w:sz w:val="21"/>
        </w:rPr>
      </w:pPr>
      <w:r>
        <w:rPr>
          <w:rFonts w:hint="eastAsia" w:hAnsi="宋体" w:cs="宋体"/>
          <w:color w:val="000000"/>
          <w:sz w:val="21"/>
        </w:rPr>
        <w:t>1.评标委员会根据原始评标记录和评标结果编写评标报告，并通过电子交易平台向采购人、采购代理机构提交。</w:t>
      </w:r>
    </w:p>
    <w:p>
      <w:pPr>
        <w:pStyle w:val="24"/>
        <w:spacing w:line="360" w:lineRule="auto"/>
        <w:ind w:firstLine="420" w:firstLineChars="200"/>
        <w:contextualSpacing/>
        <w:rPr>
          <w:rFonts w:hAnsi="宋体" w:cs="宋体"/>
          <w:color w:val="000000"/>
          <w:sz w:val="21"/>
        </w:rPr>
      </w:pPr>
      <w:r>
        <w:rPr>
          <w:rFonts w:hint="eastAsia" w:hAnsi="宋体" w:cs="宋体"/>
          <w:color w:val="000000"/>
          <w:sz w:val="21"/>
        </w:rPr>
        <w:t>2.评标委员会将根据总得分由高到低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w:t>
      </w:r>
    </w:p>
    <w:p>
      <w:pPr>
        <w:autoSpaceDE w:val="0"/>
        <w:autoSpaceDN w:val="0"/>
        <w:jc w:val="left"/>
        <w:rPr>
          <w:rFonts w:ascii="黑体" w:hAnsi="黑体" w:eastAsia="黑体" w:cs="黑体"/>
          <w:sz w:val="32"/>
          <w:szCs w:val="32"/>
        </w:rPr>
      </w:pPr>
      <w:r>
        <w:rPr>
          <w:rFonts w:hint="eastAsia" w:ascii="宋体" w:hAnsi="宋体" w:cs="宋体"/>
          <w:b/>
          <w:color w:val="000000"/>
          <w:sz w:val="24"/>
        </w:rPr>
        <w:br w:type="page"/>
      </w:r>
      <w:r>
        <w:rPr>
          <w:rFonts w:hint="eastAsia" w:ascii="黑体" w:hAnsi="黑体" w:eastAsia="黑体" w:cs="黑体"/>
          <w:sz w:val="24"/>
        </w:rPr>
        <w:t>附表</w:t>
      </w:r>
    </w:p>
    <w:p>
      <w:pPr>
        <w:autoSpaceDE w:val="0"/>
        <w:autoSpaceDN w:val="0"/>
        <w:jc w:val="center"/>
        <w:rPr>
          <w:rFonts w:ascii="宋体" w:hAnsi="宋体" w:cs="宋体"/>
          <w:sz w:val="28"/>
          <w:szCs w:val="28"/>
        </w:rPr>
      </w:pPr>
      <w:r>
        <w:rPr>
          <w:rFonts w:hint="eastAsia" w:ascii="方正大标宋简体" w:hAnsi="方正大标宋简体" w:eastAsia="方正大标宋简体" w:cs="方正大标宋简体"/>
          <w:sz w:val="28"/>
          <w:szCs w:val="28"/>
        </w:rPr>
        <w:t>演示功能模块评分表</w:t>
      </w:r>
    </w:p>
    <w:tbl>
      <w:tblPr>
        <w:tblStyle w:val="44"/>
        <w:tblW w:w="9781" w:type="dxa"/>
        <w:tblInd w:w="-3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2008"/>
        <w:gridCol w:w="5934"/>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94" w:type="dxa"/>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平台</w:t>
            </w:r>
          </w:p>
        </w:tc>
        <w:tc>
          <w:tcPr>
            <w:tcW w:w="2008" w:type="dxa"/>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功能模块</w:t>
            </w:r>
          </w:p>
        </w:tc>
        <w:tc>
          <w:tcPr>
            <w:tcW w:w="5934" w:type="dxa"/>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子模块</w:t>
            </w:r>
          </w:p>
        </w:tc>
        <w:tc>
          <w:tcPr>
            <w:tcW w:w="1245" w:type="dxa"/>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94" w:type="dxa"/>
            <w:vMerge w:val="restart"/>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广西壮族自治区职业健康信息综合管理平台建设项目</w:t>
            </w:r>
          </w:p>
        </w:tc>
        <w:tc>
          <w:tcPr>
            <w:tcW w:w="2008" w:type="dxa"/>
            <w:vMerge w:val="restart"/>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用人单位应用系统</w:t>
            </w: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用人单位、劳动者基础信息管理</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94" w:type="dxa"/>
            <w:vMerge w:val="continue"/>
            <w:vAlign w:val="center"/>
          </w:tcPr>
          <w:p>
            <w:pPr>
              <w:jc w:val="center"/>
              <w:rPr>
                <w:rFonts w:ascii="宋体" w:hAnsi="宋体" w:cs="宋体"/>
                <w:b/>
                <w:bCs/>
                <w:color w:val="000000"/>
                <w:szCs w:val="21"/>
              </w:rPr>
            </w:pPr>
          </w:p>
        </w:tc>
        <w:tc>
          <w:tcPr>
            <w:tcW w:w="2008" w:type="dxa"/>
            <w:vMerge w:val="continue"/>
            <w:vAlign w:val="center"/>
          </w:tcPr>
          <w:p>
            <w:pPr>
              <w:jc w:val="center"/>
              <w:rPr>
                <w:rFonts w:ascii="宋体" w:hAnsi="宋体" w:cs="宋体"/>
                <w:b/>
                <w:bCs/>
                <w:color w:val="000000"/>
                <w:szCs w:val="21"/>
              </w:rPr>
            </w:pP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职业病危害工程防护设施“三同时”管理</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94" w:type="dxa"/>
            <w:vMerge w:val="continue"/>
            <w:vAlign w:val="center"/>
          </w:tcPr>
          <w:p>
            <w:pPr>
              <w:jc w:val="center"/>
              <w:rPr>
                <w:rFonts w:ascii="宋体" w:hAnsi="宋体" w:cs="宋体"/>
                <w:b/>
                <w:bCs/>
                <w:color w:val="000000"/>
                <w:szCs w:val="21"/>
              </w:rPr>
            </w:pPr>
          </w:p>
        </w:tc>
        <w:tc>
          <w:tcPr>
            <w:tcW w:w="2008" w:type="dxa"/>
            <w:vMerge w:val="continue"/>
            <w:vAlign w:val="center"/>
          </w:tcPr>
          <w:p>
            <w:pPr>
              <w:jc w:val="center"/>
              <w:rPr>
                <w:rFonts w:ascii="宋体" w:hAnsi="宋体" w:cs="宋体"/>
                <w:b/>
                <w:bCs/>
                <w:color w:val="000000"/>
                <w:szCs w:val="21"/>
              </w:rPr>
            </w:pP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职业病危害项目申报</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94" w:type="dxa"/>
            <w:vMerge w:val="continue"/>
            <w:vAlign w:val="center"/>
          </w:tcPr>
          <w:p>
            <w:pPr>
              <w:jc w:val="center"/>
              <w:rPr>
                <w:rFonts w:ascii="宋体" w:hAnsi="宋体" w:cs="宋体"/>
                <w:b/>
                <w:bCs/>
                <w:color w:val="000000"/>
                <w:szCs w:val="21"/>
              </w:rPr>
            </w:pPr>
          </w:p>
        </w:tc>
        <w:tc>
          <w:tcPr>
            <w:tcW w:w="2008" w:type="dxa"/>
            <w:vMerge w:val="continue"/>
            <w:vAlign w:val="center"/>
          </w:tcPr>
          <w:p>
            <w:pPr>
              <w:jc w:val="center"/>
              <w:rPr>
                <w:rFonts w:ascii="宋体" w:hAnsi="宋体" w:cs="宋体"/>
                <w:b/>
                <w:bCs/>
                <w:color w:val="000000"/>
                <w:szCs w:val="21"/>
              </w:rPr>
            </w:pP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签订检测协议、体检协议</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94" w:type="dxa"/>
            <w:vMerge w:val="continue"/>
            <w:vAlign w:val="center"/>
          </w:tcPr>
          <w:p>
            <w:pPr>
              <w:jc w:val="center"/>
              <w:rPr>
                <w:rFonts w:ascii="宋体" w:hAnsi="宋体" w:cs="宋体"/>
                <w:b/>
                <w:bCs/>
                <w:color w:val="000000"/>
                <w:szCs w:val="21"/>
              </w:rPr>
            </w:pPr>
          </w:p>
        </w:tc>
        <w:tc>
          <w:tcPr>
            <w:tcW w:w="2008" w:type="dxa"/>
            <w:vMerge w:val="restart"/>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劳动者手机端应用</w:t>
            </w: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劳动者基础信息管理、查看职业健康培训考核（培训、考核、证件管理）</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594" w:type="dxa"/>
            <w:vMerge w:val="continue"/>
            <w:vAlign w:val="center"/>
          </w:tcPr>
          <w:p>
            <w:pPr>
              <w:jc w:val="center"/>
              <w:rPr>
                <w:rFonts w:ascii="宋体" w:hAnsi="宋体" w:cs="宋体"/>
                <w:b/>
                <w:bCs/>
                <w:color w:val="000000"/>
                <w:szCs w:val="21"/>
              </w:rPr>
            </w:pPr>
          </w:p>
        </w:tc>
        <w:tc>
          <w:tcPr>
            <w:tcW w:w="2008" w:type="dxa"/>
            <w:vMerge w:val="continue"/>
            <w:vAlign w:val="center"/>
          </w:tcPr>
          <w:p>
            <w:pPr>
              <w:jc w:val="center"/>
              <w:rPr>
                <w:rFonts w:ascii="宋体" w:hAnsi="宋体" w:cs="宋体"/>
                <w:b/>
                <w:bCs/>
                <w:color w:val="000000"/>
                <w:szCs w:val="21"/>
              </w:rPr>
            </w:pP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职业健康管理（体检咨询、体检报告、体检记录、体检提醒、放射卫生个人剂量、职业健康监护档案信息）</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94" w:type="dxa"/>
            <w:vMerge w:val="continue"/>
            <w:vAlign w:val="center"/>
          </w:tcPr>
          <w:p>
            <w:pPr>
              <w:jc w:val="center"/>
              <w:rPr>
                <w:rFonts w:ascii="宋体" w:hAnsi="宋体" w:cs="宋体"/>
                <w:b/>
                <w:bCs/>
                <w:color w:val="000000"/>
                <w:szCs w:val="21"/>
              </w:rPr>
            </w:pPr>
          </w:p>
        </w:tc>
        <w:tc>
          <w:tcPr>
            <w:tcW w:w="2008" w:type="dxa"/>
            <w:vMerge w:val="continue"/>
            <w:vAlign w:val="center"/>
          </w:tcPr>
          <w:p>
            <w:pPr>
              <w:jc w:val="center"/>
              <w:rPr>
                <w:rFonts w:ascii="宋体" w:hAnsi="宋体" w:cs="宋体"/>
                <w:b/>
                <w:bCs/>
                <w:color w:val="000000"/>
                <w:szCs w:val="21"/>
              </w:rPr>
            </w:pP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职业病诊断、鉴定（诊断申请、申请进度、报告查询）</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94" w:type="dxa"/>
            <w:vMerge w:val="continue"/>
            <w:vAlign w:val="center"/>
          </w:tcPr>
          <w:p>
            <w:pPr>
              <w:jc w:val="center"/>
              <w:rPr>
                <w:rFonts w:ascii="宋体" w:hAnsi="宋体" w:cs="宋体"/>
                <w:b/>
                <w:bCs/>
                <w:color w:val="000000"/>
                <w:szCs w:val="21"/>
              </w:rPr>
            </w:pPr>
          </w:p>
        </w:tc>
        <w:tc>
          <w:tcPr>
            <w:tcW w:w="2008" w:type="dxa"/>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职业健康检查机构应用系统</w:t>
            </w: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职业健康体检系统管理—体检受理审核、体检数据填报</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4" w:type="dxa"/>
            <w:vMerge w:val="continue"/>
            <w:vAlign w:val="center"/>
          </w:tcPr>
          <w:p>
            <w:pPr>
              <w:jc w:val="center"/>
              <w:rPr>
                <w:rFonts w:ascii="宋体" w:hAnsi="宋体" w:cs="宋体"/>
                <w:b/>
                <w:bCs/>
                <w:color w:val="000000"/>
                <w:szCs w:val="21"/>
              </w:rPr>
            </w:pPr>
          </w:p>
        </w:tc>
        <w:tc>
          <w:tcPr>
            <w:tcW w:w="2008" w:type="dxa"/>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监督执法管理模块</w:t>
            </w: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被监督单位底档查询管理、职业病危害项目申报信息查询、监督检查与案件查处填报（日常监督检查填报、专项监督检查任务填报、“双随机”监督抽查任务填报、监督抽检情况填报、案件查处情况填报）</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594" w:type="dxa"/>
            <w:vMerge w:val="continue"/>
            <w:vAlign w:val="center"/>
          </w:tcPr>
          <w:p>
            <w:pPr>
              <w:jc w:val="center"/>
              <w:rPr>
                <w:rFonts w:ascii="宋体" w:hAnsi="宋体" w:cs="宋体"/>
                <w:b/>
                <w:bCs/>
                <w:color w:val="000000"/>
                <w:szCs w:val="21"/>
              </w:rPr>
            </w:pPr>
          </w:p>
        </w:tc>
        <w:tc>
          <w:tcPr>
            <w:tcW w:w="2008" w:type="dxa"/>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职业病诊断机构应用系统</w:t>
            </w: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劳动者职业病诊断（查看申请材料、材料受理、填报诊断内容、职业病诊断证明书、职业病病例上报）、出具诊断书</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94" w:type="dxa"/>
            <w:vMerge w:val="continue"/>
            <w:vAlign w:val="center"/>
          </w:tcPr>
          <w:p>
            <w:pPr>
              <w:jc w:val="center"/>
              <w:rPr>
                <w:rFonts w:ascii="宋体" w:hAnsi="宋体" w:cs="宋体"/>
                <w:b/>
                <w:bCs/>
                <w:color w:val="000000"/>
                <w:szCs w:val="21"/>
              </w:rPr>
            </w:pPr>
          </w:p>
        </w:tc>
        <w:tc>
          <w:tcPr>
            <w:tcW w:w="2008" w:type="dxa"/>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职业病鉴定办事机构应用系统</w:t>
            </w: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劳动者职业病鉴定管理（查看职业病鉴定申请、关联诊断史、职业病鉴定受理、关联鉴定专家库，实现专家抽取功能、填报鉴定结果、出具《职业病鉴定书》）</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94" w:type="dxa"/>
            <w:vMerge w:val="continue"/>
            <w:vAlign w:val="center"/>
          </w:tcPr>
          <w:p>
            <w:pPr>
              <w:jc w:val="center"/>
              <w:rPr>
                <w:rFonts w:ascii="宋体" w:hAnsi="宋体" w:cs="宋体"/>
                <w:b/>
                <w:bCs/>
                <w:color w:val="000000"/>
                <w:szCs w:val="21"/>
              </w:rPr>
            </w:pPr>
          </w:p>
        </w:tc>
        <w:tc>
          <w:tcPr>
            <w:tcW w:w="2008" w:type="dxa"/>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职业卫生技术服务机构应用系统（不含放射）</w:t>
            </w: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职业卫生技术服务管理（用人单位信息、职业病危害因素定期检测情况、职业性有害因素检测情况、职业病危害现状评价、职业病防护设备设施与防护用品的效果评价、“三同时”职业病危害控制效果评价、报告管理）</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94" w:type="dxa"/>
            <w:vMerge w:val="continue"/>
            <w:vAlign w:val="center"/>
          </w:tcPr>
          <w:p>
            <w:pPr>
              <w:jc w:val="center"/>
              <w:rPr>
                <w:rFonts w:ascii="宋体" w:hAnsi="宋体" w:cs="宋体"/>
                <w:b/>
                <w:bCs/>
                <w:color w:val="000000"/>
                <w:szCs w:val="21"/>
              </w:rPr>
            </w:pPr>
          </w:p>
        </w:tc>
        <w:tc>
          <w:tcPr>
            <w:tcW w:w="2008" w:type="dxa"/>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放射卫生技术服务机构应用系统</w:t>
            </w: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检测受理、放射卫生技术服务信息管理（放射卫生防护检测、放射诊疗建设项目评价、个人剂量监测、放射防护器材和含放射性产品检测）</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94" w:type="dxa"/>
            <w:vMerge w:val="continue"/>
            <w:vAlign w:val="center"/>
          </w:tcPr>
          <w:p>
            <w:pPr>
              <w:jc w:val="center"/>
              <w:rPr>
                <w:rFonts w:ascii="宋体" w:hAnsi="宋体" w:cs="宋体"/>
                <w:b/>
                <w:bCs/>
                <w:color w:val="000000"/>
                <w:szCs w:val="21"/>
              </w:rPr>
            </w:pPr>
          </w:p>
        </w:tc>
        <w:tc>
          <w:tcPr>
            <w:tcW w:w="2008" w:type="dxa"/>
            <w:vAlign w:val="center"/>
          </w:tcPr>
          <w:p>
            <w:pPr>
              <w:widowControl/>
              <w:textAlignment w:val="center"/>
              <w:rPr>
                <w:rFonts w:ascii="宋体" w:hAnsi="宋体" w:cs="宋体"/>
                <w:b/>
                <w:bCs/>
                <w:color w:val="000000"/>
                <w:szCs w:val="21"/>
              </w:rPr>
            </w:pPr>
            <w:r>
              <w:rPr>
                <w:rFonts w:hint="eastAsia" w:ascii="宋体" w:hAnsi="宋体" w:cs="宋体"/>
                <w:b/>
                <w:bCs/>
                <w:color w:val="000000"/>
                <w:kern w:val="0"/>
                <w:szCs w:val="21"/>
              </w:rPr>
              <w:t>放射诊疗机构应用系统</w:t>
            </w: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放射诊疗机构医疗照射水平监测信息、核医学工作人员职业健康信息填报、放射诊疗机构设备及防护用品管理、放射卫生调查报表报告报送</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94" w:type="dxa"/>
            <w:vMerge w:val="continue"/>
            <w:vAlign w:val="center"/>
          </w:tcPr>
          <w:p>
            <w:pPr>
              <w:jc w:val="center"/>
              <w:rPr>
                <w:rFonts w:ascii="宋体" w:hAnsi="宋体" w:cs="宋体"/>
                <w:b/>
                <w:bCs/>
                <w:color w:val="000000"/>
                <w:szCs w:val="21"/>
              </w:rPr>
            </w:pPr>
          </w:p>
        </w:tc>
        <w:tc>
          <w:tcPr>
            <w:tcW w:w="2008" w:type="dxa"/>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非医疗放射工作单位</w:t>
            </w: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非医疗放射工作单位服务（放射源管理、防护用品情况）、放射性危害因素检测情况报送</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94" w:type="dxa"/>
            <w:vMerge w:val="continue"/>
            <w:vAlign w:val="center"/>
          </w:tcPr>
          <w:p>
            <w:pPr>
              <w:jc w:val="center"/>
              <w:rPr>
                <w:rFonts w:ascii="宋体" w:hAnsi="宋体" w:cs="宋体"/>
                <w:b/>
                <w:bCs/>
                <w:color w:val="000000"/>
                <w:szCs w:val="21"/>
              </w:rPr>
            </w:pPr>
          </w:p>
        </w:tc>
        <w:tc>
          <w:tcPr>
            <w:tcW w:w="2008" w:type="dxa"/>
            <w:vAlign w:val="center"/>
          </w:tcPr>
          <w:p>
            <w:pPr>
              <w:widowControl/>
              <w:jc w:val="center"/>
              <w:textAlignment w:val="center"/>
              <w:rPr>
                <w:rFonts w:ascii="宋体" w:hAnsi="宋体" w:cs="宋体"/>
                <w:b/>
                <w:bCs/>
                <w:color w:val="000000"/>
                <w:kern w:val="0"/>
                <w:szCs w:val="21"/>
              </w:rPr>
            </w:pPr>
            <w:r>
              <w:rPr>
                <w:rFonts w:hint="eastAsia" w:ascii="宋体" w:hAnsi="宋体" w:cs="宋体"/>
                <w:b/>
                <w:bCs/>
                <w:color w:val="000000"/>
                <w:kern w:val="0"/>
                <w:szCs w:val="21"/>
              </w:rPr>
              <w:t>农民工尘肺病患者诊断与救治救助信息</w:t>
            </w:r>
          </w:p>
        </w:tc>
        <w:tc>
          <w:tcPr>
            <w:tcW w:w="5934" w:type="dxa"/>
            <w:vAlign w:val="center"/>
          </w:tcPr>
          <w:p>
            <w:pPr>
              <w:widowControl/>
              <w:textAlignment w:val="top"/>
              <w:rPr>
                <w:rFonts w:ascii="宋体" w:hAnsi="宋体" w:cs="宋体"/>
                <w:color w:val="000000"/>
                <w:kern w:val="0"/>
                <w:szCs w:val="21"/>
              </w:rPr>
            </w:pPr>
            <w:r>
              <w:rPr>
                <w:rFonts w:hint="eastAsia" w:ascii="宋体" w:hAnsi="宋体" w:cs="宋体"/>
                <w:color w:val="000000"/>
                <w:kern w:val="0"/>
                <w:szCs w:val="21"/>
              </w:rPr>
              <w:t>报告农民工尘肺病病例、尘肺病患者救治救助信息查询、录入、统计</w:t>
            </w:r>
          </w:p>
        </w:tc>
        <w:tc>
          <w:tcPr>
            <w:tcW w:w="1245" w:type="dxa"/>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4" w:type="dxa"/>
            <w:vMerge w:val="continue"/>
            <w:vAlign w:val="center"/>
          </w:tcPr>
          <w:p>
            <w:pPr>
              <w:jc w:val="center"/>
              <w:rPr>
                <w:rFonts w:ascii="宋体" w:hAnsi="宋体" w:cs="宋体"/>
                <w:b/>
                <w:bCs/>
                <w:color w:val="000000"/>
                <w:szCs w:val="21"/>
              </w:rPr>
            </w:pPr>
          </w:p>
        </w:tc>
        <w:tc>
          <w:tcPr>
            <w:tcW w:w="2008" w:type="dxa"/>
            <w:vMerge w:val="restart"/>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在线教育培训系统</w:t>
            </w: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培训管理（在线教程\知识库管理、培训过程、培训考核、培训证书）</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4" w:type="dxa"/>
            <w:vMerge w:val="continue"/>
            <w:vAlign w:val="center"/>
          </w:tcPr>
          <w:p>
            <w:pPr>
              <w:jc w:val="center"/>
              <w:rPr>
                <w:rFonts w:ascii="宋体" w:hAnsi="宋体" w:cs="宋体"/>
                <w:b/>
                <w:bCs/>
                <w:color w:val="000000"/>
                <w:szCs w:val="21"/>
              </w:rPr>
            </w:pPr>
          </w:p>
        </w:tc>
        <w:tc>
          <w:tcPr>
            <w:tcW w:w="2008" w:type="dxa"/>
            <w:vMerge w:val="continue"/>
            <w:vAlign w:val="center"/>
          </w:tcPr>
          <w:p>
            <w:pPr>
              <w:jc w:val="center"/>
              <w:rPr>
                <w:rFonts w:ascii="宋体" w:hAnsi="宋体" w:cs="宋体"/>
                <w:b/>
                <w:bCs/>
                <w:color w:val="000000"/>
                <w:szCs w:val="21"/>
              </w:rPr>
            </w:pP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考核管理（考核题库管理、考核管理、考核成绩管理）</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594" w:type="dxa"/>
            <w:vMerge w:val="continue"/>
            <w:vAlign w:val="center"/>
          </w:tcPr>
          <w:p>
            <w:pPr>
              <w:jc w:val="center"/>
              <w:rPr>
                <w:rFonts w:ascii="宋体" w:hAnsi="宋体" w:cs="宋体"/>
                <w:b/>
                <w:bCs/>
                <w:color w:val="000000"/>
                <w:szCs w:val="21"/>
              </w:rPr>
            </w:pPr>
          </w:p>
        </w:tc>
        <w:tc>
          <w:tcPr>
            <w:tcW w:w="2008" w:type="dxa"/>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管理——审核</w:t>
            </w: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职业病危害项目审核/监督/管理、职业健康检查机构信息管理/备案审核、职业病诊断机构备案/信息管理审核</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594" w:type="dxa"/>
            <w:vMerge w:val="continue"/>
            <w:vAlign w:val="center"/>
          </w:tcPr>
          <w:p>
            <w:pPr>
              <w:jc w:val="center"/>
              <w:rPr>
                <w:rFonts w:ascii="宋体" w:hAnsi="宋体" w:cs="宋体"/>
                <w:b/>
                <w:bCs/>
                <w:color w:val="000000"/>
                <w:szCs w:val="21"/>
              </w:rPr>
            </w:pPr>
          </w:p>
        </w:tc>
        <w:tc>
          <w:tcPr>
            <w:tcW w:w="2008" w:type="dxa"/>
            <w:vAlign w:val="center"/>
          </w:tcPr>
          <w:p>
            <w:pPr>
              <w:widowControl/>
              <w:jc w:val="center"/>
              <w:textAlignment w:val="center"/>
              <w:rPr>
                <w:rFonts w:ascii="宋体" w:hAnsi="宋体" w:cs="宋体"/>
                <w:b/>
                <w:bCs/>
                <w:color w:val="000000"/>
                <w:kern w:val="0"/>
                <w:szCs w:val="21"/>
              </w:rPr>
            </w:pPr>
            <w:r>
              <w:rPr>
                <w:rFonts w:hint="eastAsia" w:ascii="宋体" w:hAnsi="宋体" w:cs="宋体"/>
                <w:b/>
                <w:bCs/>
                <w:color w:val="000000"/>
                <w:kern w:val="0"/>
                <w:szCs w:val="21"/>
              </w:rPr>
              <w:t>管理</w:t>
            </w:r>
          </w:p>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查看一览表、报表</w:t>
            </w: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三同时”报告、职业健康检查机构、职业技术服务机构、化学品毒性鉴定机构、职业病诊断机构、放射诊疗机构、职业病随访信息、职业健康检查统计、职业病诊断鉴定情况统计、化学品毒性鉴定报告、职业卫生技术服务统计、放射卫生服务统计、监督机构和执法人员的底档、监督检查与案件查处情况统计、职业病防治经费信息</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4" w:type="dxa"/>
            <w:vMerge w:val="continue"/>
            <w:vAlign w:val="center"/>
          </w:tcPr>
          <w:p>
            <w:pPr>
              <w:jc w:val="center"/>
              <w:rPr>
                <w:rFonts w:ascii="宋体" w:hAnsi="宋体" w:cs="宋体"/>
                <w:b/>
                <w:bCs/>
                <w:color w:val="000000"/>
                <w:szCs w:val="21"/>
              </w:rPr>
            </w:pPr>
          </w:p>
        </w:tc>
        <w:tc>
          <w:tcPr>
            <w:tcW w:w="2008" w:type="dxa"/>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职业病诊断与鉴定模块</w:t>
            </w: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诊断、鉴定线上流程节点管理，实现职业病诊断和鉴定</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94" w:type="dxa"/>
            <w:vMerge w:val="continue"/>
            <w:vAlign w:val="center"/>
          </w:tcPr>
          <w:p>
            <w:pPr>
              <w:jc w:val="center"/>
              <w:rPr>
                <w:rFonts w:ascii="宋体" w:hAnsi="宋体" w:cs="宋体"/>
                <w:b/>
                <w:bCs/>
                <w:color w:val="000000"/>
                <w:szCs w:val="21"/>
              </w:rPr>
            </w:pPr>
          </w:p>
        </w:tc>
        <w:tc>
          <w:tcPr>
            <w:tcW w:w="2008" w:type="dxa"/>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人员管理模块</w:t>
            </w: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人员信息管理（平台管理人员、专业技术人员、评审专家库、监督人员）</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594" w:type="dxa"/>
            <w:vMerge w:val="continue"/>
            <w:vAlign w:val="center"/>
          </w:tcPr>
          <w:p>
            <w:pPr>
              <w:jc w:val="center"/>
              <w:rPr>
                <w:rFonts w:ascii="宋体" w:hAnsi="宋体" w:cs="宋体"/>
                <w:b/>
                <w:bCs/>
                <w:color w:val="000000"/>
                <w:szCs w:val="21"/>
              </w:rPr>
            </w:pPr>
          </w:p>
        </w:tc>
        <w:tc>
          <w:tcPr>
            <w:tcW w:w="2008" w:type="dxa"/>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职业病危害专项治理模块</w:t>
            </w: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专项治理信息审核、专项治理对象纳入、专项治理名单管理、专项治理行政审核、专项治理结果查询</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594" w:type="dxa"/>
            <w:vMerge w:val="continue"/>
            <w:vAlign w:val="center"/>
          </w:tcPr>
          <w:p>
            <w:pPr>
              <w:jc w:val="center"/>
              <w:rPr>
                <w:rFonts w:ascii="宋体" w:hAnsi="宋体" w:cs="宋体"/>
                <w:b/>
                <w:bCs/>
                <w:color w:val="000000"/>
                <w:szCs w:val="21"/>
              </w:rPr>
            </w:pPr>
          </w:p>
        </w:tc>
        <w:tc>
          <w:tcPr>
            <w:tcW w:w="2008" w:type="dxa"/>
            <w:vMerge w:val="restart"/>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质控模块</w:t>
            </w: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职业健康检查机构质量控制（职业健康检查机构能力保持情况表、职业健康检查项目表、职业健康检查执业医师等相关医疗卫生技术人员情况表、职业健康检查仪器和设备清单）</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4" w:type="dxa"/>
            <w:vMerge w:val="continue"/>
            <w:vAlign w:val="center"/>
          </w:tcPr>
          <w:p>
            <w:pPr>
              <w:jc w:val="center"/>
              <w:rPr>
                <w:rFonts w:ascii="宋体" w:hAnsi="宋体" w:cs="宋体"/>
                <w:b/>
                <w:bCs/>
                <w:color w:val="000000"/>
                <w:szCs w:val="21"/>
              </w:rPr>
            </w:pPr>
          </w:p>
        </w:tc>
        <w:tc>
          <w:tcPr>
            <w:tcW w:w="2008" w:type="dxa"/>
            <w:vMerge w:val="continue"/>
            <w:vAlign w:val="center"/>
          </w:tcPr>
          <w:p>
            <w:pPr>
              <w:jc w:val="center"/>
              <w:rPr>
                <w:rFonts w:ascii="宋体" w:hAnsi="宋体" w:cs="宋体"/>
                <w:b/>
                <w:bCs/>
                <w:color w:val="000000"/>
                <w:szCs w:val="21"/>
              </w:rPr>
            </w:pP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职业卫生技术服务报告质量控制（报告内容是否按照要求填报进行审核，审核内容包括：报告基本信息、参与人员信息、化学因素、物理因素、放射因素、岗位接触人数、结论与建议、现场图像、报告扫描件。）</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4" w:type="dxa"/>
            <w:vMerge w:val="continue"/>
            <w:vAlign w:val="center"/>
          </w:tcPr>
          <w:p>
            <w:pPr>
              <w:jc w:val="center"/>
              <w:rPr>
                <w:rFonts w:ascii="宋体" w:hAnsi="宋体" w:cs="宋体"/>
                <w:b/>
                <w:bCs/>
                <w:color w:val="000000"/>
                <w:szCs w:val="21"/>
              </w:rPr>
            </w:pPr>
          </w:p>
        </w:tc>
        <w:tc>
          <w:tcPr>
            <w:tcW w:w="2008" w:type="dxa"/>
            <w:vMerge w:val="continue"/>
            <w:vAlign w:val="center"/>
          </w:tcPr>
          <w:p>
            <w:pPr>
              <w:jc w:val="center"/>
              <w:rPr>
                <w:rFonts w:ascii="宋体" w:hAnsi="宋体" w:cs="宋体"/>
                <w:b/>
                <w:bCs/>
                <w:color w:val="000000"/>
                <w:szCs w:val="21"/>
              </w:rPr>
            </w:pP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职业健康指标常规监测质控情况（参照重点职业病监测质量控制与评估方法，填写职业健康指标常规监测数据审核情况汇总表）</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594" w:type="dxa"/>
            <w:vMerge w:val="continue"/>
            <w:vAlign w:val="center"/>
          </w:tcPr>
          <w:p>
            <w:pPr>
              <w:jc w:val="center"/>
              <w:rPr>
                <w:rFonts w:ascii="宋体" w:hAnsi="宋体" w:cs="宋体"/>
                <w:b/>
                <w:bCs/>
                <w:color w:val="000000"/>
                <w:szCs w:val="21"/>
              </w:rPr>
            </w:pPr>
          </w:p>
        </w:tc>
        <w:tc>
          <w:tcPr>
            <w:tcW w:w="2008" w:type="dxa"/>
            <w:vMerge w:val="continue"/>
            <w:vAlign w:val="center"/>
          </w:tcPr>
          <w:p>
            <w:pPr>
              <w:jc w:val="center"/>
              <w:rPr>
                <w:rFonts w:ascii="宋体" w:hAnsi="宋体" w:cs="宋体"/>
                <w:b/>
                <w:bCs/>
                <w:color w:val="000000"/>
                <w:szCs w:val="21"/>
              </w:rPr>
            </w:pP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职业病诊断机构质量控制（填报机构的医疗机构执业许可证、相关部门设置文件；技术负责人、质量负责人、质量控制负责人、职业病诊断医师及相关专业人员名单及对应的专业技术职称证书；与诊断项目相适应且满足相应职业病诊断标准要求的工作场所、仪器设备清单、信息管理条件以及有关档案材料）</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594" w:type="dxa"/>
            <w:vMerge w:val="continue"/>
            <w:vAlign w:val="center"/>
          </w:tcPr>
          <w:p>
            <w:pPr>
              <w:jc w:val="center"/>
              <w:rPr>
                <w:rFonts w:ascii="宋体" w:hAnsi="宋体" w:cs="宋体"/>
                <w:b/>
                <w:bCs/>
                <w:color w:val="000000"/>
                <w:szCs w:val="21"/>
              </w:rPr>
            </w:pPr>
          </w:p>
        </w:tc>
        <w:tc>
          <w:tcPr>
            <w:tcW w:w="2008" w:type="dxa"/>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门户网站</w:t>
            </w:r>
          </w:p>
        </w:tc>
        <w:tc>
          <w:tcPr>
            <w:tcW w:w="5934" w:type="dxa"/>
            <w:vAlign w:val="center"/>
          </w:tcPr>
          <w:p>
            <w:pPr>
              <w:widowControl/>
              <w:textAlignment w:val="top"/>
              <w:rPr>
                <w:rFonts w:ascii="宋体" w:hAnsi="宋体" w:cs="宋体"/>
                <w:color w:val="000000"/>
                <w:szCs w:val="21"/>
              </w:rPr>
            </w:pPr>
            <w:r>
              <w:rPr>
                <w:rFonts w:hint="eastAsia" w:ascii="宋体" w:hAnsi="宋体" w:cs="宋体"/>
                <w:color w:val="000000"/>
                <w:kern w:val="0"/>
                <w:szCs w:val="21"/>
              </w:rPr>
              <w:t>灯横幅板块、通知公告板块、信息板块、新闻资讯模块、法律法规模块、下载中心模块、职业健康检查机构备案申请、职业病诊断备案申请</w:t>
            </w:r>
          </w:p>
        </w:tc>
        <w:tc>
          <w:tcPr>
            <w:tcW w:w="124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94" w:type="dxa"/>
            <w:vMerge w:val="continue"/>
            <w:vAlign w:val="center"/>
          </w:tcPr>
          <w:p>
            <w:pPr>
              <w:jc w:val="center"/>
              <w:rPr>
                <w:rFonts w:ascii="宋体" w:hAnsi="宋体" w:cs="宋体"/>
                <w:b/>
                <w:bCs/>
                <w:color w:val="000000"/>
                <w:szCs w:val="21"/>
              </w:rPr>
            </w:pPr>
          </w:p>
        </w:tc>
        <w:tc>
          <w:tcPr>
            <w:tcW w:w="2008" w:type="dxa"/>
            <w:vAlign w:val="center"/>
          </w:tcPr>
          <w:p>
            <w:pPr>
              <w:jc w:val="center"/>
              <w:rPr>
                <w:rFonts w:ascii="宋体" w:hAnsi="宋体" w:cs="宋体"/>
                <w:b/>
                <w:bCs/>
                <w:color w:val="000000"/>
                <w:kern w:val="0"/>
                <w:szCs w:val="21"/>
              </w:rPr>
            </w:pPr>
            <w:r>
              <w:rPr>
                <w:rFonts w:hint="eastAsia" w:ascii="宋体" w:hAnsi="宋体" w:cs="宋体"/>
                <w:b/>
                <w:bCs/>
                <w:color w:val="000000"/>
                <w:szCs w:val="21"/>
              </w:rPr>
              <w:t>系统管理</w:t>
            </w:r>
          </w:p>
        </w:tc>
        <w:tc>
          <w:tcPr>
            <w:tcW w:w="5934" w:type="dxa"/>
            <w:vAlign w:val="center"/>
          </w:tcPr>
          <w:p>
            <w:pPr>
              <w:widowControl/>
              <w:textAlignment w:val="top"/>
              <w:rPr>
                <w:rFonts w:ascii="宋体" w:hAnsi="宋体" w:cs="宋体"/>
                <w:color w:val="000000"/>
                <w:kern w:val="0"/>
                <w:szCs w:val="21"/>
              </w:rPr>
            </w:pPr>
            <w:r>
              <w:rPr>
                <w:rFonts w:hint="eastAsia" w:ascii="宋体" w:hAnsi="宋体" w:cs="宋体"/>
                <w:color w:val="000000"/>
                <w:kern w:val="0"/>
                <w:szCs w:val="21"/>
              </w:rPr>
              <w:t>统一用户管理、统一权限管理、统一授权管理</w:t>
            </w:r>
          </w:p>
        </w:tc>
        <w:tc>
          <w:tcPr>
            <w:tcW w:w="1245" w:type="dxa"/>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594" w:type="dxa"/>
            <w:vMerge w:val="continue"/>
            <w:vAlign w:val="center"/>
          </w:tcPr>
          <w:p>
            <w:pPr>
              <w:jc w:val="center"/>
              <w:rPr>
                <w:rFonts w:ascii="宋体" w:hAnsi="宋体" w:cs="宋体"/>
                <w:b/>
                <w:bCs/>
                <w:color w:val="000000"/>
                <w:szCs w:val="21"/>
              </w:rPr>
            </w:pPr>
          </w:p>
        </w:tc>
        <w:tc>
          <w:tcPr>
            <w:tcW w:w="2008" w:type="dxa"/>
            <w:vMerge w:val="restart"/>
            <w:vAlign w:val="center"/>
          </w:tcPr>
          <w:p>
            <w:pPr>
              <w:jc w:val="center"/>
              <w:rPr>
                <w:rFonts w:ascii="宋体" w:hAnsi="宋体" w:cs="宋体"/>
                <w:b/>
                <w:bCs/>
                <w:color w:val="000000"/>
                <w:kern w:val="0"/>
                <w:szCs w:val="21"/>
              </w:rPr>
            </w:pPr>
            <w:r>
              <w:rPr>
                <w:rFonts w:hint="eastAsia" w:ascii="宋体" w:hAnsi="宋体" w:cs="宋体"/>
                <w:b/>
                <w:bCs/>
                <w:color w:val="000000"/>
                <w:kern w:val="0"/>
                <w:szCs w:val="21"/>
              </w:rPr>
              <w:t>手机端应用集成</w:t>
            </w:r>
          </w:p>
        </w:tc>
        <w:tc>
          <w:tcPr>
            <w:tcW w:w="5934" w:type="dxa"/>
            <w:vAlign w:val="center"/>
          </w:tcPr>
          <w:p>
            <w:pPr>
              <w:widowControl/>
              <w:textAlignment w:val="top"/>
              <w:rPr>
                <w:rFonts w:ascii="宋体" w:hAnsi="宋体" w:cs="宋体"/>
                <w:color w:val="000000"/>
                <w:kern w:val="0"/>
                <w:szCs w:val="21"/>
              </w:rPr>
            </w:pPr>
            <w:r>
              <w:rPr>
                <w:rFonts w:hint="eastAsia" w:ascii="宋体" w:hAnsi="宋体" w:cs="宋体"/>
                <w:color w:val="000000"/>
                <w:kern w:val="0"/>
                <w:szCs w:val="21"/>
              </w:rPr>
              <w:t>用人单位手机端应用</w:t>
            </w:r>
          </w:p>
        </w:tc>
        <w:tc>
          <w:tcPr>
            <w:tcW w:w="1245" w:type="dxa"/>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594" w:type="dxa"/>
            <w:vMerge w:val="continue"/>
            <w:vAlign w:val="center"/>
          </w:tcPr>
          <w:p>
            <w:pPr>
              <w:widowControl/>
              <w:textAlignment w:val="top"/>
            </w:pPr>
          </w:p>
        </w:tc>
        <w:tc>
          <w:tcPr>
            <w:tcW w:w="2008" w:type="dxa"/>
            <w:vMerge w:val="continue"/>
            <w:vAlign w:val="center"/>
          </w:tcPr>
          <w:p>
            <w:pPr>
              <w:widowControl/>
              <w:textAlignment w:val="top"/>
              <w:rPr>
                <w:szCs w:val="21"/>
              </w:rPr>
            </w:pPr>
          </w:p>
        </w:tc>
        <w:tc>
          <w:tcPr>
            <w:tcW w:w="5934" w:type="dxa"/>
            <w:vAlign w:val="center"/>
          </w:tcPr>
          <w:p>
            <w:pPr>
              <w:widowControl/>
              <w:textAlignment w:val="top"/>
              <w:rPr>
                <w:rFonts w:ascii="宋体" w:hAnsi="宋体" w:cs="宋体"/>
                <w:color w:val="000000"/>
                <w:kern w:val="0"/>
                <w:szCs w:val="21"/>
              </w:rPr>
            </w:pPr>
            <w:r>
              <w:rPr>
                <w:rFonts w:hint="eastAsia" w:ascii="宋体" w:hAnsi="宋体" w:cs="宋体"/>
                <w:color w:val="000000"/>
                <w:kern w:val="0"/>
                <w:szCs w:val="21"/>
              </w:rPr>
              <w:t>劳动者手机端应用</w:t>
            </w:r>
          </w:p>
        </w:tc>
        <w:tc>
          <w:tcPr>
            <w:tcW w:w="1245" w:type="dxa"/>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594" w:type="dxa"/>
            <w:vMerge w:val="continue"/>
            <w:vAlign w:val="center"/>
          </w:tcPr>
          <w:p>
            <w:pPr>
              <w:widowControl/>
              <w:textAlignment w:val="top"/>
              <w:rPr>
                <w:rFonts w:ascii="宋体" w:hAnsi="宋体" w:cs="宋体"/>
                <w:color w:val="000000"/>
                <w:kern w:val="0"/>
                <w:szCs w:val="21"/>
              </w:rPr>
            </w:pPr>
          </w:p>
        </w:tc>
        <w:tc>
          <w:tcPr>
            <w:tcW w:w="2008" w:type="dxa"/>
            <w:vMerge w:val="continue"/>
            <w:vAlign w:val="center"/>
          </w:tcPr>
          <w:p>
            <w:pPr>
              <w:widowControl/>
              <w:textAlignment w:val="top"/>
              <w:rPr>
                <w:rFonts w:ascii="宋体" w:hAnsi="宋体" w:cs="宋体"/>
                <w:color w:val="000000"/>
                <w:kern w:val="0"/>
                <w:szCs w:val="21"/>
              </w:rPr>
            </w:pPr>
          </w:p>
        </w:tc>
        <w:tc>
          <w:tcPr>
            <w:tcW w:w="5934" w:type="dxa"/>
            <w:vAlign w:val="center"/>
          </w:tcPr>
          <w:p>
            <w:pPr>
              <w:widowControl/>
              <w:textAlignment w:val="top"/>
              <w:rPr>
                <w:rFonts w:ascii="宋体" w:hAnsi="宋体" w:cs="宋体"/>
                <w:color w:val="000000"/>
                <w:kern w:val="0"/>
                <w:szCs w:val="21"/>
              </w:rPr>
            </w:pPr>
            <w:r>
              <w:rPr>
                <w:rFonts w:hint="eastAsia" w:ascii="宋体" w:hAnsi="宋体" w:cs="宋体"/>
                <w:color w:val="000000"/>
                <w:kern w:val="0"/>
                <w:szCs w:val="21"/>
              </w:rPr>
              <w:t>管理人员（卫健委）手机端应用（管理人员的手机端对机构备案进行审核和电子签字、接收提醒预警信息、查看报表。）</w:t>
            </w:r>
          </w:p>
        </w:tc>
        <w:tc>
          <w:tcPr>
            <w:tcW w:w="1245" w:type="dxa"/>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594" w:type="dxa"/>
            <w:vMerge w:val="continue"/>
            <w:vAlign w:val="center"/>
          </w:tcPr>
          <w:p>
            <w:pPr>
              <w:widowControl/>
              <w:textAlignment w:val="top"/>
              <w:rPr>
                <w:rFonts w:ascii="宋体" w:hAnsi="宋体" w:cs="宋体"/>
                <w:color w:val="000000"/>
                <w:kern w:val="0"/>
                <w:szCs w:val="21"/>
              </w:rPr>
            </w:pPr>
          </w:p>
        </w:tc>
        <w:tc>
          <w:tcPr>
            <w:tcW w:w="2008" w:type="dxa"/>
            <w:vMerge w:val="continue"/>
            <w:vAlign w:val="center"/>
          </w:tcPr>
          <w:p>
            <w:pPr>
              <w:widowControl/>
              <w:textAlignment w:val="top"/>
              <w:rPr>
                <w:rFonts w:ascii="宋体" w:hAnsi="宋体" w:cs="宋体"/>
                <w:color w:val="000000"/>
                <w:kern w:val="0"/>
                <w:szCs w:val="21"/>
              </w:rPr>
            </w:pPr>
          </w:p>
        </w:tc>
        <w:tc>
          <w:tcPr>
            <w:tcW w:w="5934" w:type="dxa"/>
            <w:vAlign w:val="center"/>
          </w:tcPr>
          <w:p>
            <w:pPr>
              <w:widowControl/>
              <w:textAlignment w:val="top"/>
              <w:rPr>
                <w:rFonts w:ascii="宋体" w:hAnsi="宋体" w:cs="宋体"/>
                <w:color w:val="000000"/>
                <w:kern w:val="0"/>
                <w:szCs w:val="21"/>
              </w:rPr>
            </w:pPr>
            <w:r>
              <w:rPr>
                <w:rFonts w:hint="eastAsia" w:ascii="宋体" w:hAnsi="宋体" w:cs="宋体"/>
                <w:color w:val="000000"/>
                <w:kern w:val="0"/>
                <w:szCs w:val="21"/>
              </w:rPr>
              <w:t>监督所移动执法应用</w:t>
            </w:r>
          </w:p>
        </w:tc>
        <w:tc>
          <w:tcPr>
            <w:tcW w:w="1245" w:type="dxa"/>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594" w:type="dxa"/>
            <w:vMerge w:val="continue"/>
            <w:vAlign w:val="center"/>
          </w:tcPr>
          <w:p>
            <w:pPr>
              <w:widowControl/>
              <w:textAlignment w:val="top"/>
              <w:rPr>
                <w:rFonts w:ascii="宋体" w:hAnsi="宋体" w:cs="宋体"/>
                <w:color w:val="000000"/>
                <w:kern w:val="0"/>
                <w:szCs w:val="21"/>
              </w:rPr>
            </w:pPr>
          </w:p>
        </w:tc>
        <w:tc>
          <w:tcPr>
            <w:tcW w:w="2008" w:type="dxa"/>
            <w:vMerge w:val="continue"/>
            <w:vAlign w:val="center"/>
          </w:tcPr>
          <w:p>
            <w:pPr>
              <w:widowControl/>
              <w:textAlignment w:val="top"/>
              <w:rPr>
                <w:rFonts w:ascii="宋体" w:hAnsi="宋体" w:cs="宋体"/>
                <w:color w:val="000000"/>
                <w:kern w:val="0"/>
                <w:szCs w:val="21"/>
              </w:rPr>
            </w:pPr>
          </w:p>
        </w:tc>
        <w:tc>
          <w:tcPr>
            <w:tcW w:w="5934" w:type="dxa"/>
            <w:vAlign w:val="center"/>
          </w:tcPr>
          <w:p>
            <w:pPr>
              <w:widowControl/>
              <w:textAlignment w:val="top"/>
              <w:rPr>
                <w:rFonts w:ascii="宋体" w:hAnsi="宋体" w:cs="宋体"/>
                <w:color w:val="000000"/>
                <w:kern w:val="0"/>
                <w:szCs w:val="21"/>
              </w:rPr>
            </w:pPr>
            <w:r>
              <w:rPr>
                <w:rFonts w:hint="eastAsia" w:ascii="宋体" w:hAnsi="宋体" w:cs="宋体"/>
                <w:color w:val="000000"/>
                <w:kern w:val="0"/>
                <w:szCs w:val="21"/>
              </w:rPr>
              <w:t>检测报告移动端采集（测点位个数，超标点位个数、超标点位放射性危害类型、放射诊疗设备质量控制检测（CT、DR、DSA、PET）、检测人员的GPS信息、测量时间）</w:t>
            </w:r>
          </w:p>
        </w:tc>
        <w:tc>
          <w:tcPr>
            <w:tcW w:w="1245" w:type="dxa"/>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594" w:type="dxa"/>
            <w:vMerge w:val="continue"/>
            <w:vAlign w:val="center"/>
          </w:tcPr>
          <w:p>
            <w:pPr>
              <w:jc w:val="center"/>
              <w:rPr>
                <w:rFonts w:ascii="宋体" w:hAnsi="宋体" w:cs="宋体"/>
                <w:b/>
                <w:bCs/>
                <w:color w:val="000000"/>
                <w:szCs w:val="21"/>
              </w:rPr>
            </w:pPr>
          </w:p>
        </w:tc>
        <w:tc>
          <w:tcPr>
            <w:tcW w:w="2008" w:type="dxa"/>
            <w:vMerge w:val="restart"/>
            <w:vAlign w:val="center"/>
          </w:tcPr>
          <w:p>
            <w:pPr>
              <w:widowControl/>
              <w:jc w:val="center"/>
              <w:textAlignment w:val="center"/>
              <w:rPr>
                <w:rFonts w:ascii="宋体" w:hAnsi="宋体" w:cs="宋体"/>
                <w:b/>
                <w:bCs/>
                <w:color w:val="000000"/>
                <w:kern w:val="0"/>
                <w:szCs w:val="21"/>
              </w:rPr>
            </w:pPr>
            <w:r>
              <w:rPr>
                <w:rFonts w:hint="eastAsia" w:ascii="宋体" w:hAnsi="宋体" w:cs="宋体"/>
                <w:b/>
                <w:bCs/>
                <w:color w:val="000000"/>
                <w:kern w:val="0"/>
                <w:szCs w:val="21"/>
              </w:rPr>
              <w:t>大数据决策支持</w:t>
            </w:r>
          </w:p>
        </w:tc>
        <w:tc>
          <w:tcPr>
            <w:tcW w:w="5934" w:type="dxa"/>
            <w:vAlign w:val="center"/>
          </w:tcPr>
          <w:p>
            <w:pPr>
              <w:widowControl/>
              <w:textAlignment w:val="top"/>
              <w:rPr>
                <w:rFonts w:ascii="宋体" w:hAnsi="宋体" w:cs="宋体"/>
                <w:color w:val="000000"/>
                <w:kern w:val="0"/>
                <w:szCs w:val="21"/>
              </w:rPr>
            </w:pPr>
            <w:r>
              <w:rPr>
                <w:rFonts w:hint="eastAsia" w:ascii="宋体" w:hAnsi="宋体" w:cs="宋体"/>
                <w:color w:val="000000"/>
                <w:kern w:val="0"/>
                <w:szCs w:val="21"/>
              </w:rPr>
              <w:t>职业病防治电子地图</w:t>
            </w:r>
          </w:p>
        </w:tc>
        <w:tc>
          <w:tcPr>
            <w:tcW w:w="1245" w:type="dxa"/>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594" w:type="dxa"/>
            <w:vMerge w:val="continue"/>
            <w:vAlign w:val="center"/>
          </w:tcPr>
          <w:p>
            <w:pPr>
              <w:widowControl/>
              <w:textAlignment w:val="top"/>
            </w:pPr>
          </w:p>
        </w:tc>
        <w:tc>
          <w:tcPr>
            <w:tcW w:w="2008" w:type="dxa"/>
            <w:vMerge w:val="continue"/>
            <w:vAlign w:val="center"/>
          </w:tcPr>
          <w:p>
            <w:pPr>
              <w:widowControl/>
              <w:textAlignment w:val="top"/>
              <w:rPr>
                <w:szCs w:val="21"/>
              </w:rPr>
            </w:pPr>
          </w:p>
        </w:tc>
        <w:tc>
          <w:tcPr>
            <w:tcW w:w="5934" w:type="dxa"/>
            <w:vAlign w:val="center"/>
          </w:tcPr>
          <w:p>
            <w:pPr>
              <w:widowControl/>
              <w:textAlignment w:val="top"/>
              <w:rPr>
                <w:rFonts w:ascii="宋体" w:hAnsi="宋体" w:cs="宋体"/>
                <w:color w:val="000000"/>
                <w:kern w:val="0"/>
                <w:szCs w:val="21"/>
              </w:rPr>
            </w:pPr>
            <w:r>
              <w:rPr>
                <w:rFonts w:hint="eastAsia" w:ascii="宋体" w:hAnsi="宋体" w:cs="宋体"/>
                <w:color w:val="000000"/>
                <w:kern w:val="0"/>
                <w:szCs w:val="21"/>
              </w:rPr>
              <w:t>职业危害因素分布分析</w:t>
            </w:r>
          </w:p>
        </w:tc>
        <w:tc>
          <w:tcPr>
            <w:tcW w:w="1245" w:type="dxa"/>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594" w:type="dxa"/>
            <w:vMerge w:val="continue"/>
            <w:vAlign w:val="center"/>
          </w:tcPr>
          <w:p>
            <w:pPr>
              <w:widowControl/>
              <w:textAlignment w:val="top"/>
              <w:rPr>
                <w:rFonts w:ascii="宋体" w:hAnsi="宋体" w:cs="宋体"/>
                <w:color w:val="000000"/>
                <w:kern w:val="0"/>
                <w:szCs w:val="21"/>
              </w:rPr>
            </w:pPr>
          </w:p>
        </w:tc>
        <w:tc>
          <w:tcPr>
            <w:tcW w:w="2008" w:type="dxa"/>
            <w:vMerge w:val="continue"/>
            <w:vAlign w:val="center"/>
          </w:tcPr>
          <w:p>
            <w:pPr>
              <w:widowControl/>
              <w:textAlignment w:val="top"/>
              <w:rPr>
                <w:rFonts w:ascii="宋体" w:hAnsi="宋体" w:cs="宋体"/>
                <w:color w:val="000000"/>
                <w:kern w:val="0"/>
                <w:szCs w:val="21"/>
              </w:rPr>
            </w:pPr>
          </w:p>
        </w:tc>
        <w:tc>
          <w:tcPr>
            <w:tcW w:w="5934" w:type="dxa"/>
            <w:vAlign w:val="center"/>
          </w:tcPr>
          <w:p>
            <w:pPr>
              <w:widowControl/>
              <w:textAlignment w:val="top"/>
              <w:rPr>
                <w:rFonts w:ascii="宋体" w:hAnsi="宋体" w:cs="宋体"/>
                <w:color w:val="000000"/>
                <w:kern w:val="0"/>
                <w:szCs w:val="21"/>
              </w:rPr>
            </w:pPr>
            <w:r>
              <w:rPr>
                <w:rFonts w:hint="eastAsia" w:ascii="宋体" w:hAnsi="宋体" w:cs="宋体"/>
                <w:color w:val="000000"/>
                <w:kern w:val="0"/>
                <w:szCs w:val="21"/>
              </w:rPr>
              <w:t>职业病分布分析、职业病情况预测</w:t>
            </w:r>
          </w:p>
        </w:tc>
        <w:tc>
          <w:tcPr>
            <w:tcW w:w="1245" w:type="dxa"/>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594" w:type="dxa"/>
            <w:vMerge w:val="continue"/>
            <w:vAlign w:val="center"/>
          </w:tcPr>
          <w:p>
            <w:pPr>
              <w:widowControl/>
              <w:textAlignment w:val="top"/>
              <w:rPr>
                <w:rFonts w:ascii="宋体" w:hAnsi="宋体" w:cs="宋体"/>
                <w:color w:val="000000"/>
                <w:kern w:val="0"/>
                <w:szCs w:val="21"/>
              </w:rPr>
            </w:pPr>
          </w:p>
        </w:tc>
        <w:tc>
          <w:tcPr>
            <w:tcW w:w="2008" w:type="dxa"/>
            <w:vMerge w:val="continue"/>
            <w:vAlign w:val="center"/>
          </w:tcPr>
          <w:p>
            <w:pPr>
              <w:widowControl/>
              <w:textAlignment w:val="top"/>
              <w:rPr>
                <w:rFonts w:ascii="宋体" w:hAnsi="宋体" w:cs="宋体"/>
                <w:color w:val="000000"/>
                <w:kern w:val="0"/>
                <w:szCs w:val="21"/>
              </w:rPr>
            </w:pPr>
          </w:p>
        </w:tc>
        <w:tc>
          <w:tcPr>
            <w:tcW w:w="5934" w:type="dxa"/>
            <w:vAlign w:val="center"/>
          </w:tcPr>
          <w:p>
            <w:pPr>
              <w:widowControl/>
              <w:textAlignment w:val="top"/>
              <w:rPr>
                <w:rFonts w:ascii="宋体" w:hAnsi="宋体" w:cs="宋体"/>
                <w:color w:val="000000"/>
                <w:kern w:val="0"/>
                <w:szCs w:val="21"/>
              </w:rPr>
            </w:pPr>
            <w:r>
              <w:rPr>
                <w:rFonts w:hint="eastAsia" w:ascii="宋体" w:hAnsi="宋体" w:cs="宋体"/>
                <w:color w:val="000000"/>
                <w:kern w:val="0"/>
                <w:szCs w:val="21"/>
              </w:rPr>
              <w:t>人员情况预测</w:t>
            </w:r>
          </w:p>
        </w:tc>
        <w:tc>
          <w:tcPr>
            <w:tcW w:w="1245" w:type="dxa"/>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0.1</w:t>
            </w:r>
          </w:p>
        </w:tc>
      </w:tr>
    </w:tbl>
    <w:p>
      <w:pPr>
        <w:pStyle w:val="5"/>
        <w:keepNext w:val="0"/>
        <w:keepLines w:val="0"/>
        <w:rPr>
          <w:rFonts w:ascii="宋体" w:hAnsi="宋体" w:cs="宋体"/>
          <w:color w:val="000000"/>
          <w:sz w:val="21"/>
        </w:rPr>
      </w:pPr>
      <w:r>
        <w:rPr>
          <w:rFonts w:ascii="宋体" w:hAnsi="宋体" w:cs="宋体"/>
          <w:color w:val="000000"/>
          <w:sz w:val="21"/>
        </w:rPr>
        <w:br w:type="page"/>
      </w:r>
    </w:p>
    <w:p>
      <w:pPr>
        <w:spacing w:beforeLines="50" w:afterLines="50" w:line="400" w:lineRule="exact"/>
        <w:rPr>
          <w:rFonts w:ascii="宋体" w:hAnsi="宋体" w:cs="宋体"/>
          <w:b/>
          <w:color w:val="000000"/>
          <w:sz w:val="24"/>
        </w:rPr>
      </w:pPr>
    </w:p>
    <w:p>
      <w:pPr>
        <w:spacing w:beforeLines="50" w:afterLines="50" w:line="400" w:lineRule="exact"/>
        <w:rPr>
          <w:rFonts w:ascii="宋体" w:hAnsi="宋体" w:cs="宋体"/>
          <w:b/>
          <w:color w:val="000000"/>
          <w:sz w:val="24"/>
        </w:rPr>
      </w:pPr>
    </w:p>
    <w:p>
      <w:pPr>
        <w:spacing w:beforeLines="50" w:afterLines="50" w:line="400" w:lineRule="exact"/>
        <w:rPr>
          <w:rFonts w:ascii="宋体" w:hAnsi="宋体" w:cs="宋体"/>
          <w:b/>
          <w:color w:val="000000"/>
          <w:sz w:val="24"/>
        </w:rPr>
      </w:pPr>
    </w:p>
    <w:p>
      <w:pPr>
        <w:spacing w:beforeLines="50" w:afterLines="50" w:line="400" w:lineRule="exact"/>
        <w:rPr>
          <w:rFonts w:ascii="宋体" w:hAnsi="宋体" w:cs="宋体"/>
          <w:b/>
          <w:color w:val="000000"/>
          <w:sz w:val="24"/>
        </w:rPr>
      </w:pPr>
    </w:p>
    <w:p>
      <w:pPr>
        <w:spacing w:beforeLines="50" w:afterLines="50" w:line="400" w:lineRule="exact"/>
        <w:rPr>
          <w:rFonts w:ascii="宋体" w:hAnsi="宋体" w:cs="宋体"/>
          <w:b/>
          <w:color w:val="000000"/>
          <w:sz w:val="24"/>
        </w:rPr>
      </w:pPr>
    </w:p>
    <w:p>
      <w:pPr>
        <w:spacing w:beforeLines="50" w:afterLines="50" w:line="400" w:lineRule="exact"/>
        <w:rPr>
          <w:rFonts w:ascii="宋体" w:hAnsi="宋体" w:cs="宋体"/>
          <w:b/>
          <w:color w:val="000000"/>
          <w:sz w:val="24"/>
        </w:rPr>
      </w:pPr>
    </w:p>
    <w:p>
      <w:pPr>
        <w:spacing w:beforeLines="50" w:afterLines="50" w:line="400" w:lineRule="exact"/>
        <w:rPr>
          <w:rFonts w:ascii="宋体" w:hAnsi="宋体" w:cs="宋体"/>
          <w:b/>
          <w:color w:val="000000"/>
          <w:sz w:val="24"/>
        </w:rPr>
      </w:pPr>
    </w:p>
    <w:p>
      <w:pPr>
        <w:spacing w:beforeLines="50" w:afterLines="50" w:line="400" w:lineRule="exact"/>
        <w:rPr>
          <w:rFonts w:ascii="宋体" w:hAnsi="宋体" w:cs="宋体"/>
          <w:b/>
          <w:color w:val="000000"/>
          <w:sz w:val="24"/>
        </w:rPr>
      </w:pPr>
    </w:p>
    <w:p>
      <w:pPr>
        <w:spacing w:beforeLines="50" w:afterLines="50" w:line="400" w:lineRule="exact"/>
        <w:rPr>
          <w:rFonts w:ascii="宋体" w:hAnsi="宋体" w:cs="宋体"/>
          <w:b/>
          <w:color w:val="000000"/>
          <w:sz w:val="24"/>
        </w:rPr>
      </w:pPr>
    </w:p>
    <w:p>
      <w:pPr>
        <w:pStyle w:val="3"/>
        <w:jc w:val="center"/>
        <w:rPr>
          <w:rFonts w:ascii="宋体" w:hAnsi="宋体" w:cs="宋体"/>
          <w:color w:val="000000"/>
        </w:rPr>
      </w:pPr>
      <w:bookmarkStart w:id="242" w:name="_Toc25250"/>
      <w:r>
        <w:rPr>
          <w:rFonts w:hint="eastAsia" w:ascii="宋体" w:hAnsi="宋体" w:cs="宋体"/>
          <w:color w:val="000000"/>
        </w:rPr>
        <w:t>第五章  拟签订的合同文本</w:t>
      </w:r>
      <w:bookmarkEnd w:id="242"/>
    </w:p>
    <w:p>
      <w:pPr>
        <w:snapToGrid w:val="0"/>
        <w:jc w:val="center"/>
        <w:rPr>
          <w:rFonts w:ascii="宋体" w:hAnsi="宋体" w:cs="宋体"/>
          <w:bCs/>
          <w:color w:val="000000"/>
          <w:sz w:val="32"/>
          <w:szCs w:val="32"/>
        </w:rPr>
      </w:pPr>
    </w:p>
    <w:p>
      <w:pPr>
        <w:snapToGrid w:val="0"/>
        <w:jc w:val="center"/>
        <w:rPr>
          <w:rFonts w:ascii="宋体" w:hAnsi="宋体" w:cs="宋体"/>
          <w:bCs/>
          <w:color w:val="000000"/>
          <w:sz w:val="32"/>
          <w:szCs w:val="32"/>
        </w:rPr>
      </w:pPr>
    </w:p>
    <w:p>
      <w:pPr>
        <w:snapToGrid w:val="0"/>
        <w:jc w:val="center"/>
        <w:rPr>
          <w:rFonts w:ascii="宋体" w:hAnsi="宋体" w:cs="宋体"/>
          <w:bCs/>
          <w:color w:val="000000"/>
          <w:sz w:val="32"/>
          <w:szCs w:val="32"/>
        </w:rPr>
      </w:pPr>
    </w:p>
    <w:p>
      <w:pPr>
        <w:snapToGrid w:val="0"/>
        <w:jc w:val="center"/>
        <w:rPr>
          <w:rFonts w:ascii="宋体" w:hAnsi="宋体" w:cs="宋体"/>
          <w:bCs/>
          <w:color w:val="000000"/>
          <w:sz w:val="32"/>
          <w:szCs w:val="32"/>
        </w:rPr>
      </w:pPr>
    </w:p>
    <w:p>
      <w:pPr>
        <w:snapToGrid w:val="0"/>
        <w:jc w:val="center"/>
        <w:rPr>
          <w:rFonts w:ascii="宋体" w:hAnsi="宋体" w:cs="宋体"/>
          <w:bCs/>
          <w:color w:val="000000"/>
          <w:sz w:val="32"/>
          <w:szCs w:val="32"/>
        </w:rPr>
      </w:pPr>
    </w:p>
    <w:p>
      <w:pPr>
        <w:snapToGrid w:val="0"/>
        <w:jc w:val="center"/>
        <w:rPr>
          <w:rFonts w:ascii="宋体" w:hAnsi="宋体" w:cs="宋体"/>
          <w:bCs/>
          <w:color w:val="000000"/>
          <w:sz w:val="32"/>
          <w:szCs w:val="32"/>
        </w:rPr>
      </w:pPr>
    </w:p>
    <w:p>
      <w:pPr>
        <w:snapToGrid w:val="0"/>
        <w:jc w:val="center"/>
        <w:rPr>
          <w:rFonts w:ascii="宋体" w:hAnsi="宋体" w:cs="宋体"/>
          <w:bCs/>
          <w:color w:val="000000"/>
          <w:sz w:val="32"/>
          <w:szCs w:val="32"/>
        </w:rPr>
      </w:pPr>
    </w:p>
    <w:p>
      <w:pPr>
        <w:snapToGrid w:val="0"/>
        <w:jc w:val="center"/>
        <w:rPr>
          <w:rFonts w:ascii="宋体" w:hAnsi="宋体" w:cs="宋体"/>
          <w:bCs/>
          <w:color w:val="000000"/>
          <w:sz w:val="32"/>
          <w:szCs w:val="32"/>
        </w:rPr>
      </w:pPr>
    </w:p>
    <w:p>
      <w:pPr>
        <w:snapToGrid w:val="0"/>
        <w:jc w:val="center"/>
        <w:rPr>
          <w:rFonts w:ascii="宋体" w:hAnsi="宋体" w:cs="宋体"/>
          <w:bCs/>
          <w:color w:val="000000"/>
          <w:sz w:val="32"/>
          <w:szCs w:val="32"/>
        </w:rPr>
      </w:pPr>
    </w:p>
    <w:p>
      <w:pPr>
        <w:snapToGrid w:val="0"/>
        <w:jc w:val="center"/>
        <w:rPr>
          <w:rFonts w:ascii="宋体" w:hAnsi="宋体" w:cs="宋体"/>
          <w:bCs/>
          <w:color w:val="000000"/>
          <w:sz w:val="32"/>
          <w:szCs w:val="32"/>
        </w:rPr>
      </w:pPr>
    </w:p>
    <w:p>
      <w:pPr>
        <w:snapToGrid w:val="0"/>
        <w:jc w:val="center"/>
        <w:rPr>
          <w:rFonts w:ascii="宋体" w:hAnsi="宋体" w:cs="宋体"/>
          <w:bCs/>
          <w:color w:val="000000"/>
          <w:sz w:val="32"/>
          <w:szCs w:val="32"/>
        </w:rPr>
      </w:pPr>
    </w:p>
    <w:p>
      <w:pPr>
        <w:rPr>
          <w:rFonts w:ascii="宋体" w:hAnsi="宋体" w:cs="宋体"/>
          <w:color w:val="000000"/>
          <w:sz w:val="28"/>
          <w:szCs w:val="28"/>
        </w:rPr>
      </w:pPr>
      <w:r>
        <w:rPr>
          <w:rFonts w:hint="eastAsia" w:ascii="宋体" w:hAnsi="宋体" w:cs="宋体"/>
          <w:bCs/>
          <w:color w:val="000000"/>
        </w:rPr>
        <w:br w:type="page"/>
      </w:r>
      <w:r>
        <w:rPr>
          <w:rFonts w:hint="eastAsia" w:ascii="宋体" w:hAnsi="宋体" w:cs="宋体"/>
          <w:b/>
          <w:bCs/>
          <w:color w:val="000000"/>
          <w:kern w:val="44"/>
          <w:sz w:val="28"/>
          <w:szCs w:val="28"/>
        </w:rPr>
        <w:t>《广西壮族自治区职业健康信息综合管理平台建设项目政府采购合同书》</w:t>
      </w:r>
    </w:p>
    <w:p>
      <w:pPr>
        <w:spacing w:line="520" w:lineRule="exact"/>
        <w:rPr>
          <w:rFonts w:ascii="宋体" w:hAnsi="宋体" w:cs="宋体"/>
          <w:b/>
          <w:color w:val="000000"/>
          <w:sz w:val="32"/>
          <w:szCs w:val="32"/>
        </w:rPr>
      </w:pPr>
    </w:p>
    <w:p>
      <w:pPr>
        <w:spacing w:line="480" w:lineRule="exact"/>
        <w:ind w:right="800"/>
        <w:rPr>
          <w:rFonts w:ascii="宋体" w:hAnsi="宋体" w:cs="宋体"/>
          <w:bCs/>
          <w:color w:val="000000"/>
          <w:szCs w:val="21"/>
          <w:u w:val="single"/>
        </w:rPr>
      </w:pPr>
      <w:r>
        <w:rPr>
          <w:rFonts w:hint="eastAsia" w:ascii="宋体" w:hAnsi="宋体" w:cs="宋体"/>
          <w:color w:val="000000"/>
          <w:szCs w:val="21"/>
        </w:rPr>
        <w:t>采购计划号：</w:t>
      </w:r>
      <w:r>
        <w:rPr>
          <w:rFonts w:hint="eastAsia" w:ascii="宋体" w:hAnsi="宋体" w:cs="宋体"/>
          <w:bCs/>
          <w:color w:val="000000"/>
          <w:szCs w:val="21"/>
        </w:rPr>
        <w:t>合同编号：</w:t>
      </w:r>
    </w:p>
    <w:p>
      <w:pPr>
        <w:spacing w:line="480" w:lineRule="exact"/>
        <w:rPr>
          <w:rFonts w:ascii="宋体" w:hAnsi="宋体" w:cs="宋体"/>
          <w:color w:val="000000"/>
          <w:szCs w:val="21"/>
          <w:u w:val="single"/>
        </w:rPr>
      </w:pPr>
      <w:r>
        <w:rPr>
          <w:rFonts w:hint="eastAsia" w:ascii="宋体" w:hAnsi="宋体" w:cs="宋体"/>
          <w:color w:val="000000"/>
          <w:szCs w:val="21"/>
        </w:rPr>
        <w:t>采购人（甲方）：   供应商（乙方）：</w:t>
      </w:r>
    </w:p>
    <w:p>
      <w:pPr>
        <w:spacing w:line="480" w:lineRule="exact"/>
        <w:rPr>
          <w:rFonts w:ascii="宋体" w:hAnsi="宋体" w:cs="宋体"/>
          <w:color w:val="000000"/>
          <w:szCs w:val="21"/>
          <w:u w:val="single"/>
        </w:rPr>
      </w:pPr>
      <w:r>
        <w:rPr>
          <w:rFonts w:hint="eastAsia" w:ascii="宋体" w:hAnsi="宋体" w:cs="宋体"/>
          <w:color w:val="000000"/>
          <w:szCs w:val="21"/>
        </w:rPr>
        <w:t>项目名称：   项目编号：</w:t>
      </w:r>
    </w:p>
    <w:p>
      <w:pPr>
        <w:spacing w:line="480" w:lineRule="exact"/>
        <w:rPr>
          <w:rFonts w:ascii="宋体" w:hAnsi="宋体" w:cs="宋体"/>
          <w:color w:val="000000"/>
          <w:szCs w:val="21"/>
          <w:u w:val="single"/>
        </w:rPr>
      </w:pPr>
      <w:r>
        <w:rPr>
          <w:rFonts w:hint="eastAsia" w:ascii="宋体" w:hAnsi="宋体" w:cs="宋体"/>
          <w:color w:val="000000"/>
          <w:szCs w:val="21"/>
        </w:rPr>
        <w:t>签订地点：   签订时间：</w:t>
      </w:r>
    </w:p>
    <w:p>
      <w:pPr>
        <w:spacing w:line="480" w:lineRule="exact"/>
        <w:rPr>
          <w:rFonts w:ascii="宋体" w:hAnsi="宋体" w:cs="宋体"/>
          <w:color w:val="000000"/>
          <w:szCs w:val="21"/>
        </w:rPr>
      </w:pPr>
      <w:r>
        <w:rPr>
          <w:rFonts w:hint="eastAsia" w:ascii="宋体" w:hAnsi="宋体" w:cs="宋体"/>
          <w:color w:val="000000"/>
          <w:szCs w:val="21"/>
        </w:rPr>
        <w:t>本合同为中小企业预留合同：</w:t>
      </w:r>
      <w:r>
        <w:rPr>
          <w:rFonts w:hint="eastAsia" w:ascii="宋体" w:hAnsi="宋体" w:cs="宋体"/>
          <w:color w:val="000000"/>
          <w:szCs w:val="21"/>
          <w:u w:val="single"/>
        </w:rPr>
        <w:t>（是/否）</w:t>
      </w:r>
      <w:r>
        <w:rPr>
          <w:rFonts w:hint="eastAsia" w:ascii="宋体" w:hAnsi="宋体" w:cs="宋体"/>
          <w:color w:val="000000"/>
          <w:szCs w:val="21"/>
        </w:rPr>
        <w:t>。</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根据《中华人民共和国政府采购法》、《中华人民共和国民法典》等法律、法规规定，按照</w:t>
      </w:r>
      <w:r>
        <w:rPr>
          <w:rFonts w:hint="eastAsia" w:ascii="宋体" w:hAnsi="宋体"/>
          <w:color w:val="000000"/>
          <w:szCs w:val="21"/>
        </w:rPr>
        <w:t>招标文件规定条款和乙方投标文件及其承诺，甲乙双方签订本合同。</w:t>
      </w:r>
    </w:p>
    <w:p>
      <w:pPr>
        <w:spacing w:line="360" w:lineRule="auto"/>
        <w:ind w:firstLine="422" w:firstLineChars="200"/>
        <w:rPr>
          <w:rFonts w:ascii="宋体" w:hAnsi="宋体" w:cs="宋体"/>
          <w:b/>
          <w:color w:val="000000"/>
          <w:szCs w:val="21"/>
        </w:rPr>
      </w:pPr>
      <w:r>
        <w:rPr>
          <w:rFonts w:hint="eastAsia" w:ascii="宋体" w:hAnsi="宋体" w:cs="宋体"/>
          <w:b/>
          <w:color w:val="000000"/>
          <w:szCs w:val="21"/>
        </w:rPr>
        <w:t>第一条　合同标的</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1、合同金额：</w:t>
      </w:r>
      <w:r>
        <w:rPr>
          <w:rFonts w:hint="eastAsia" w:ascii="宋体" w:hAnsi="宋体" w:cs="宋体"/>
          <w:color w:val="000000"/>
          <w:szCs w:val="21"/>
          <w:u w:val="single"/>
        </w:rPr>
        <w:t>人民币 元整（￥.00）</w:t>
      </w:r>
      <w:r>
        <w:rPr>
          <w:rFonts w:hint="eastAsia" w:ascii="宋体" w:hAnsi="宋体" w:cs="宋体"/>
          <w:color w:val="000000"/>
          <w:szCs w:val="21"/>
        </w:rPr>
        <w:t>。</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2、项目一览表：</w:t>
      </w:r>
    </w:p>
    <w:tbl>
      <w:tblPr>
        <w:tblStyle w:val="44"/>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13"/>
        <w:gridCol w:w="2400"/>
        <w:gridCol w:w="1320"/>
        <w:gridCol w:w="1200"/>
        <w:gridCol w:w="1300"/>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序号</w:t>
            </w:r>
          </w:p>
        </w:tc>
        <w:tc>
          <w:tcPr>
            <w:tcW w:w="12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名称</w:t>
            </w:r>
          </w:p>
        </w:tc>
        <w:tc>
          <w:tcPr>
            <w:tcW w:w="24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服务内容</w:t>
            </w:r>
          </w:p>
        </w:tc>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数  量</w:t>
            </w:r>
          </w:p>
        </w:tc>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单位</w:t>
            </w:r>
          </w:p>
        </w:tc>
        <w:tc>
          <w:tcPr>
            <w:tcW w:w="13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单  价</w:t>
            </w:r>
          </w:p>
          <w:p>
            <w:pPr>
              <w:spacing w:line="360" w:lineRule="auto"/>
              <w:jc w:val="center"/>
              <w:rPr>
                <w:rFonts w:ascii="宋体" w:hAnsi="宋体" w:cs="宋体"/>
                <w:color w:val="000000"/>
                <w:szCs w:val="21"/>
              </w:rPr>
            </w:pPr>
            <w:r>
              <w:rPr>
                <w:rFonts w:hint="eastAsia" w:ascii="宋体" w:hAnsi="宋体" w:cs="宋体"/>
                <w:color w:val="000000"/>
                <w:szCs w:val="21"/>
              </w:rPr>
              <w:t>（元）</w:t>
            </w:r>
          </w:p>
        </w:tc>
        <w:tc>
          <w:tcPr>
            <w:tcW w:w="12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总  价</w:t>
            </w:r>
          </w:p>
          <w:p>
            <w:pPr>
              <w:spacing w:line="360" w:lineRule="auto"/>
              <w:jc w:val="center"/>
              <w:rPr>
                <w:rFonts w:ascii="宋体" w:hAnsi="宋体" w:cs="宋体"/>
                <w:color w:val="000000"/>
                <w:szCs w:val="21"/>
              </w:rPr>
            </w:pPr>
            <w:r>
              <w:rPr>
                <w:rFonts w:hint="eastAsia" w:ascii="宋体" w:hAnsi="宋体" w:cs="宋体"/>
                <w:color w:val="000000"/>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9360"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详见开标一览表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9360"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Cs w:val="21"/>
              </w:rPr>
            </w:pPr>
            <w:r>
              <w:rPr>
                <w:rFonts w:hint="eastAsia" w:ascii="宋体" w:hAnsi="宋体" w:cs="宋体"/>
                <w:color w:val="000000"/>
                <w:szCs w:val="21"/>
              </w:rPr>
              <w:t xml:space="preserve">人民币合计金额（大写）：元整（¥）              </w:t>
            </w:r>
          </w:p>
        </w:tc>
      </w:tr>
    </w:tbl>
    <w:p>
      <w:pPr>
        <w:spacing w:line="460" w:lineRule="exact"/>
        <w:ind w:firstLine="420" w:firstLineChars="200"/>
        <w:rPr>
          <w:rFonts w:ascii="宋体" w:hAnsi="宋体" w:cs="宋体"/>
          <w:color w:val="000000"/>
          <w:szCs w:val="21"/>
        </w:rPr>
      </w:pPr>
      <w:r>
        <w:rPr>
          <w:rFonts w:hint="eastAsia" w:ascii="宋体" w:hAnsi="宋体" w:cs="宋体"/>
          <w:color w:val="000000"/>
          <w:szCs w:val="21"/>
        </w:rPr>
        <w:t>3、合同合计金额包括但不限于满足本次投标全部采购需求所应提供的服务，以及伴随的货物和工程（如有）的价格；包含投标服务、货物、工程的成本、运输（含保险）、安装（如有）、调试、检验、技术服务、培训、税费等所有费用。如招标文件对其另有规定的，从其规定。</w:t>
      </w:r>
    </w:p>
    <w:p>
      <w:pPr>
        <w:spacing w:line="460" w:lineRule="exact"/>
        <w:ind w:firstLine="422" w:firstLineChars="200"/>
        <w:rPr>
          <w:rFonts w:ascii="宋体" w:hAnsi="宋体" w:cs="宋体"/>
          <w:b/>
          <w:color w:val="000000"/>
          <w:szCs w:val="21"/>
        </w:rPr>
      </w:pPr>
      <w:r>
        <w:rPr>
          <w:rFonts w:hint="eastAsia" w:ascii="宋体" w:hAnsi="宋体" w:cs="宋体"/>
          <w:b/>
          <w:color w:val="000000"/>
          <w:szCs w:val="21"/>
        </w:rPr>
        <w:t>第二条　质量保证</w:t>
      </w:r>
    </w:p>
    <w:p>
      <w:pPr>
        <w:snapToGrid w:val="0"/>
        <w:spacing w:line="460" w:lineRule="exact"/>
        <w:ind w:firstLine="420" w:firstLineChars="200"/>
        <w:rPr>
          <w:rFonts w:ascii="宋体" w:hAnsi="宋体" w:cs="宋体"/>
          <w:color w:val="000000"/>
          <w:szCs w:val="21"/>
        </w:rPr>
      </w:pPr>
      <w:r>
        <w:rPr>
          <w:rFonts w:hint="eastAsia" w:ascii="宋体" w:hAnsi="宋体" w:cs="宋体"/>
          <w:color w:val="000000"/>
          <w:szCs w:val="21"/>
        </w:rPr>
        <w:t>乙方所提供的服务及服务内容必须与投标文件承诺相一致，有国家强制性标准的，还必须符合国家强制性标准的规定，没有国家强制性标准但有其他强制性标准的，必须符合其他强制性标准的规定。</w:t>
      </w:r>
    </w:p>
    <w:p>
      <w:pPr>
        <w:spacing w:line="460" w:lineRule="exact"/>
        <w:ind w:firstLine="422" w:firstLineChars="200"/>
        <w:rPr>
          <w:rFonts w:ascii="宋体" w:hAnsi="宋体" w:cs="宋体"/>
          <w:color w:val="000000"/>
          <w:szCs w:val="21"/>
        </w:rPr>
      </w:pPr>
      <w:r>
        <w:rPr>
          <w:rFonts w:hint="eastAsia" w:ascii="宋体" w:hAnsi="宋体" w:cs="宋体"/>
          <w:b/>
          <w:color w:val="000000"/>
          <w:szCs w:val="21"/>
        </w:rPr>
        <w:t>第三条　权利保证</w:t>
      </w:r>
    </w:p>
    <w:p>
      <w:pPr>
        <w:snapToGrid w:val="0"/>
        <w:spacing w:line="460" w:lineRule="exact"/>
        <w:ind w:firstLine="420" w:firstLineChars="200"/>
        <w:rPr>
          <w:rFonts w:ascii="宋体" w:hAnsi="宋体" w:cs="宋体"/>
          <w:color w:val="000000"/>
          <w:szCs w:val="21"/>
        </w:rPr>
      </w:pPr>
      <w:r>
        <w:rPr>
          <w:rFonts w:hint="eastAsia" w:ascii="宋体" w:hAnsi="宋体" w:cs="宋体"/>
          <w:color w:val="000000"/>
          <w:szCs w:val="21"/>
        </w:rPr>
        <w:t>1、乙方应保证所提供服务在使用时不会侵犯任何第三方的专利权、商标权、工业设计权等知识产权及其他合法权利，且所有权、处分权等没有受到任何限制。</w:t>
      </w:r>
    </w:p>
    <w:p>
      <w:pPr>
        <w:snapToGrid w:val="0"/>
        <w:spacing w:line="460" w:lineRule="exact"/>
        <w:ind w:firstLine="420" w:firstLineChars="200"/>
        <w:rPr>
          <w:rFonts w:ascii="宋体" w:hAnsi="宋体" w:cs="宋体"/>
          <w:color w:val="000000"/>
          <w:szCs w:val="21"/>
        </w:rPr>
      </w:pPr>
      <w:r>
        <w:rPr>
          <w:rFonts w:hint="eastAsia" w:ascii="宋体" w:hAnsi="宋体" w:cs="宋体"/>
          <w:color w:val="000000"/>
          <w:szCs w:val="21"/>
        </w:rPr>
        <w:t>2、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乙方的保密义务持续有效，不因为本合同履行终止、解除或者无效而解除。</w:t>
      </w:r>
    </w:p>
    <w:p>
      <w:pPr>
        <w:spacing w:line="460" w:lineRule="exact"/>
        <w:ind w:firstLine="422" w:firstLineChars="200"/>
        <w:rPr>
          <w:rFonts w:ascii="宋体" w:hAnsi="宋体" w:cs="宋体"/>
          <w:color w:val="000000"/>
          <w:szCs w:val="21"/>
        </w:rPr>
      </w:pPr>
      <w:r>
        <w:rPr>
          <w:rFonts w:hint="eastAsia" w:ascii="宋体" w:hAnsi="宋体" w:cs="宋体"/>
          <w:b/>
          <w:color w:val="000000"/>
          <w:szCs w:val="21"/>
        </w:rPr>
        <w:t>第四条　交付和验收</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1、服务期限：</w:t>
      </w:r>
      <w:r>
        <w:rPr>
          <w:rFonts w:hint="eastAsia" w:ascii="宋体" w:hAnsi="宋体" w:cs="宋体"/>
          <w:color w:val="000000"/>
          <w:szCs w:val="21"/>
          <w:u w:val="single"/>
        </w:rPr>
        <w:t xml:space="preserve">           起至              </w:t>
      </w:r>
      <w:r>
        <w:rPr>
          <w:rFonts w:hint="eastAsia" w:ascii="宋体" w:hAnsi="宋体" w:cs="宋体"/>
          <w:color w:val="000000"/>
          <w:szCs w:val="21"/>
        </w:rPr>
        <w:t>，服务地点：。</w:t>
      </w:r>
    </w:p>
    <w:p>
      <w:pPr>
        <w:snapToGrid w:val="0"/>
        <w:spacing w:line="460" w:lineRule="exact"/>
        <w:ind w:firstLine="420" w:firstLineChars="200"/>
        <w:rPr>
          <w:rFonts w:ascii="宋体" w:hAnsi="宋体" w:cs="宋体"/>
          <w:color w:val="000000"/>
          <w:szCs w:val="21"/>
        </w:rPr>
      </w:pPr>
      <w:r>
        <w:rPr>
          <w:rFonts w:hint="eastAsia" w:ascii="宋体" w:hAnsi="宋体" w:cs="宋体"/>
          <w:color w:val="000000"/>
          <w:szCs w:val="21"/>
        </w:rPr>
        <w:t>2、乙方应按投标文件的承诺向甲方提供相应的服务，并提供所服务内容的相关技术资料。</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3、乙方提供不符合投标文件和本合同规定的服务成果，甲方有权拒绝接受。</w:t>
      </w:r>
    </w:p>
    <w:p>
      <w:pPr>
        <w:spacing w:line="460" w:lineRule="exact"/>
        <w:ind w:firstLine="420" w:firstLineChars="200"/>
        <w:rPr>
          <w:rFonts w:ascii="宋体" w:hAnsi="宋体"/>
          <w:color w:val="000000"/>
          <w:szCs w:val="21"/>
        </w:rPr>
      </w:pPr>
      <w:r>
        <w:rPr>
          <w:rFonts w:hint="eastAsia" w:ascii="宋体" w:hAnsi="宋体"/>
          <w:color w:val="000000"/>
          <w:szCs w:val="21"/>
        </w:rPr>
        <w:t>4、乙方完成服务后应及时书面通知甲方进行验收，甲方应在收到通知后七个工作日内进行验收，逾期不开始验收的，乙方可视同验收合格。验收合格后由甲乙双方签署验收单并加盖采购人公章，甲乙双方各执一份。</w:t>
      </w:r>
    </w:p>
    <w:p>
      <w:pPr>
        <w:spacing w:line="460" w:lineRule="exact"/>
        <w:ind w:firstLine="420" w:firstLineChars="200"/>
        <w:rPr>
          <w:rFonts w:ascii="宋体" w:hAnsi="宋体"/>
          <w:color w:val="000000"/>
          <w:szCs w:val="21"/>
        </w:rPr>
      </w:pPr>
      <w:r>
        <w:rPr>
          <w:rFonts w:hint="eastAsia" w:ascii="宋体" w:hAnsi="宋体" w:cs="宋体"/>
          <w:color w:val="000000"/>
          <w:szCs w:val="21"/>
        </w:rPr>
        <w:t>5、甲乙双方应按照《广西壮族自治区政府采购项目履约验收管理办法》、双方合同、投标文件验收。</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6、甲方在初步验收或者最终验收过程中如发现乙方提供的服务成果不满足投标文件及本合同规定的，可暂缓向乙方付款，直到乙方及时完善并提交相应的服务成果且经甲方验收合格后，方可办理付款。</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7、甲方验收时以书面形式提出异议的，乙方应自收到甲方书面异议后五个工作日内及时予以解决，否则甲方有权不出具服务验收合格单。</w:t>
      </w:r>
    </w:p>
    <w:p>
      <w:pPr>
        <w:snapToGrid w:val="0"/>
        <w:spacing w:line="460" w:lineRule="exact"/>
        <w:ind w:firstLine="422" w:firstLineChars="200"/>
        <w:rPr>
          <w:rFonts w:ascii="宋体" w:hAnsi="宋体" w:cs="宋体"/>
          <w:b/>
          <w:color w:val="000000"/>
          <w:szCs w:val="21"/>
        </w:rPr>
      </w:pPr>
      <w:r>
        <w:rPr>
          <w:rFonts w:hint="eastAsia" w:ascii="宋体" w:hAnsi="宋体" w:cs="宋体"/>
          <w:b/>
          <w:color w:val="000000"/>
          <w:szCs w:val="21"/>
        </w:rPr>
        <w:t>第五条  售后服务及培训</w:t>
      </w:r>
    </w:p>
    <w:p>
      <w:pPr>
        <w:snapToGrid w:val="0"/>
        <w:spacing w:line="460" w:lineRule="exact"/>
        <w:ind w:firstLine="420" w:firstLineChars="200"/>
        <w:rPr>
          <w:rFonts w:ascii="宋体" w:hAnsi="宋体" w:cs="宋体"/>
          <w:color w:val="000000"/>
          <w:szCs w:val="21"/>
        </w:rPr>
      </w:pPr>
      <w:r>
        <w:rPr>
          <w:rFonts w:hint="eastAsia" w:ascii="宋体" w:hAnsi="宋体" w:cs="宋体"/>
          <w:color w:val="000000"/>
          <w:szCs w:val="21"/>
        </w:rPr>
        <w:t>1、乙方应按照国家有关法律法规和本合同所附的《售后服务承诺》要求为甲方提供相应的售后服务。</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2、甲方应提供必要测试条件（如场地、电源、水源等）。</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3、乙方负责甲方有关人员的培训。培训时间、地点：。</w:t>
      </w:r>
    </w:p>
    <w:p>
      <w:pPr>
        <w:snapToGrid w:val="0"/>
        <w:spacing w:line="460" w:lineRule="exact"/>
        <w:ind w:firstLine="422" w:firstLineChars="200"/>
        <w:rPr>
          <w:rFonts w:ascii="宋体" w:hAnsi="宋体" w:cs="宋体"/>
          <w:color w:val="000000"/>
          <w:szCs w:val="21"/>
          <w:u w:val="single"/>
        </w:rPr>
      </w:pPr>
      <w:r>
        <w:rPr>
          <w:rFonts w:hint="eastAsia" w:ascii="宋体" w:hAnsi="宋体" w:cs="宋体"/>
          <w:b/>
          <w:color w:val="000000"/>
          <w:szCs w:val="21"/>
        </w:rPr>
        <w:t>第六条　付款方式</w:t>
      </w:r>
    </w:p>
    <w:p>
      <w:pPr>
        <w:spacing w:line="460" w:lineRule="exact"/>
        <w:ind w:firstLine="420" w:firstLineChars="200"/>
        <w:rPr>
          <w:rFonts w:ascii="宋体" w:hAnsi="宋体"/>
          <w:color w:val="000000"/>
          <w:szCs w:val="21"/>
          <w:u w:val="single"/>
        </w:rPr>
      </w:pPr>
      <w:r>
        <w:rPr>
          <w:rFonts w:hint="eastAsia" w:ascii="宋体" w:hAnsi="宋体"/>
          <w:color w:val="000000"/>
          <w:szCs w:val="21"/>
        </w:rPr>
        <w:t>甲乙双方同意本合同金额的支付按以下第</w:t>
      </w:r>
      <w:r>
        <w:rPr>
          <w:rFonts w:hint="eastAsia" w:ascii="宋体" w:hAnsi="宋体"/>
          <w:color w:val="000000"/>
          <w:szCs w:val="21"/>
          <w:u w:val="single"/>
        </w:rPr>
        <w:t xml:space="preserve">  2  </w:t>
      </w:r>
      <w:r>
        <w:rPr>
          <w:rFonts w:hint="eastAsia" w:ascii="宋体" w:hAnsi="宋体"/>
          <w:color w:val="000000"/>
          <w:szCs w:val="21"/>
        </w:rPr>
        <w:t>项约定执行：</w:t>
      </w:r>
    </w:p>
    <w:p>
      <w:pPr>
        <w:spacing w:line="460" w:lineRule="exact"/>
        <w:ind w:firstLine="420" w:firstLineChars="200"/>
        <w:rPr>
          <w:rFonts w:ascii="宋体" w:hAnsi="宋体"/>
          <w:color w:val="000000"/>
          <w:szCs w:val="21"/>
        </w:rPr>
      </w:pPr>
      <w:r>
        <w:rPr>
          <w:rFonts w:hint="eastAsia" w:ascii="宋体" w:hAnsi="宋体"/>
          <w:color w:val="000000"/>
          <w:szCs w:val="21"/>
        </w:rPr>
        <w:t>1、一次性支付</w:t>
      </w:r>
    </w:p>
    <w:p>
      <w:pPr>
        <w:spacing w:line="460" w:lineRule="exact"/>
        <w:ind w:firstLine="420" w:firstLineChars="200"/>
        <w:rPr>
          <w:rFonts w:ascii="宋体" w:hAnsi="宋体"/>
          <w:color w:val="000000"/>
          <w:szCs w:val="21"/>
        </w:rPr>
      </w:pPr>
      <w:r>
        <w:rPr>
          <w:rFonts w:hint="eastAsia" w:ascii="宋体" w:hAnsi="宋体"/>
          <w:color w:val="000000"/>
          <w:szCs w:val="21"/>
        </w:rPr>
        <w:t>2、分期支付</w:t>
      </w:r>
    </w:p>
    <w:p>
      <w:pPr>
        <w:spacing w:line="460" w:lineRule="exact"/>
        <w:ind w:firstLine="420" w:firstLineChars="200"/>
        <w:rPr>
          <w:rFonts w:ascii="宋体" w:hAnsi="宋体" w:cs="宋体"/>
          <w:szCs w:val="21"/>
        </w:rPr>
      </w:pPr>
      <w:r>
        <w:rPr>
          <w:rFonts w:hint="eastAsia" w:ascii="宋体" w:hAnsi="宋体" w:cs="宋体"/>
          <w:szCs w:val="22"/>
        </w:rPr>
        <w:t>合同签订后，甲方支付给乙方合同总金额的40%；中期验收通过后，甲方支付给乙方合同总金额的35%；在项目完成内部验收后，甲方支付给乙方合同总金额的25%。乙方自收到合同款之日起七个工作日内开具发票给甲方</w:t>
      </w:r>
      <w:r>
        <w:rPr>
          <w:rFonts w:hint="eastAsia" w:ascii="宋体" w:hAnsi="宋体" w:cs="宋体"/>
          <w:szCs w:val="21"/>
        </w:rPr>
        <w:t>。</w:t>
      </w:r>
    </w:p>
    <w:p>
      <w:pPr>
        <w:snapToGrid w:val="0"/>
        <w:spacing w:line="460" w:lineRule="exact"/>
        <w:ind w:firstLine="422" w:firstLineChars="200"/>
        <w:rPr>
          <w:rFonts w:ascii="宋体" w:hAnsi="宋体" w:cs="宋体"/>
          <w:b/>
          <w:color w:val="000000"/>
          <w:szCs w:val="21"/>
        </w:rPr>
      </w:pPr>
      <w:r>
        <w:rPr>
          <w:rFonts w:hint="eastAsia" w:ascii="宋体" w:hAnsi="宋体" w:cs="宋体"/>
          <w:b/>
          <w:color w:val="000000"/>
          <w:szCs w:val="21"/>
        </w:rPr>
        <w:t>第七条　履约保证金</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履约保证金金额：按合同总金额的%。</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履约保证金递交方式：支票、汇票、本票或者金融、担保机构出具的保函等非现金方式。</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履约保证金退付方式、时间及条件：。</w:t>
      </w:r>
    </w:p>
    <w:p>
      <w:pPr>
        <w:spacing w:line="460" w:lineRule="exact"/>
        <w:ind w:firstLine="422" w:firstLineChars="200"/>
        <w:rPr>
          <w:rFonts w:ascii="宋体" w:hAnsi="宋体" w:cs="宋体"/>
          <w:b/>
          <w:color w:val="000000"/>
          <w:szCs w:val="21"/>
        </w:rPr>
      </w:pPr>
      <w:r>
        <w:rPr>
          <w:rFonts w:hint="eastAsia" w:ascii="宋体" w:hAnsi="宋体" w:cs="宋体"/>
          <w:b/>
          <w:color w:val="000000"/>
          <w:szCs w:val="21"/>
        </w:rPr>
        <w:t>第八条  税费</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本合同执行中相关的一切税费均由乙方负担，合同另有约定的除外。</w:t>
      </w:r>
    </w:p>
    <w:p>
      <w:pPr>
        <w:spacing w:line="460" w:lineRule="exact"/>
        <w:ind w:firstLine="422" w:firstLineChars="200"/>
        <w:rPr>
          <w:rFonts w:ascii="宋体" w:hAnsi="宋体" w:cs="宋体"/>
          <w:b/>
          <w:color w:val="000000"/>
          <w:szCs w:val="21"/>
        </w:rPr>
      </w:pPr>
      <w:r>
        <w:rPr>
          <w:rFonts w:hint="eastAsia" w:ascii="宋体" w:hAnsi="宋体" w:cs="宋体"/>
          <w:b/>
          <w:color w:val="000000"/>
          <w:szCs w:val="21"/>
        </w:rPr>
        <w:t>第九条　违约责任</w:t>
      </w:r>
    </w:p>
    <w:p>
      <w:pPr>
        <w:snapToGrid w:val="0"/>
        <w:spacing w:line="460" w:lineRule="exact"/>
        <w:ind w:firstLine="420" w:firstLineChars="200"/>
        <w:rPr>
          <w:rFonts w:ascii="宋体" w:hAnsi="宋体" w:cs="宋体"/>
          <w:color w:val="000000"/>
          <w:szCs w:val="21"/>
        </w:rPr>
      </w:pPr>
      <w:r>
        <w:rPr>
          <w:rFonts w:hint="eastAsia" w:ascii="宋体" w:hAnsi="宋体"/>
          <w:color w:val="000000"/>
          <w:szCs w:val="21"/>
        </w:rPr>
        <w:t>1、除不可抗力原因外，乙方没有按照合同规定的时间提供服务的，甲方可要求乙方支付违约金。每推迟一天按合同金额的3‰支付违约金，该违约金累计不超过合同金额的100%。</w:t>
      </w:r>
    </w:p>
    <w:p>
      <w:pPr>
        <w:snapToGrid w:val="0"/>
        <w:spacing w:line="460" w:lineRule="exact"/>
        <w:ind w:firstLine="420" w:firstLineChars="200"/>
        <w:rPr>
          <w:rFonts w:ascii="宋体" w:hAnsi="宋体" w:cs="宋体"/>
          <w:color w:val="000000"/>
          <w:szCs w:val="21"/>
        </w:rPr>
      </w:pPr>
      <w:r>
        <w:rPr>
          <w:rFonts w:hint="eastAsia" w:ascii="宋体" w:hAnsi="宋体" w:cs="宋体"/>
          <w:color w:val="000000"/>
          <w:szCs w:val="21"/>
        </w:rPr>
        <w:t>2、乙方提供的服务如侵犯了第三方合法权益而引发的任何纠纷或者诉讼，均由乙方负责交涉并承担全部责任。</w:t>
      </w:r>
    </w:p>
    <w:p>
      <w:pPr>
        <w:snapToGrid w:val="0"/>
        <w:spacing w:line="460" w:lineRule="exact"/>
        <w:ind w:firstLine="420" w:firstLineChars="200"/>
        <w:rPr>
          <w:rFonts w:ascii="宋体" w:hAnsi="宋体" w:cs="宋体"/>
          <w:color w:val="000000"/>
          <w:szCs w:val="21"/>
        </w:rPr>
      </w:pPr>
      <w:r>
        <w:rPr>
          <w:rFonts w:hint="eastAsia" w:ascii="宋体" w:hAnsi="宋体"/>
          <w:color w:val="000000"/>
          <w:szCs w:val="21"/>
        </w:rPr>
        <w:t>3、甲方延期付款的，每天向乙方偿付延期款额3‰滞纳金，但滞纳金累计不得超过延期款额5%。</w:t>
      </w:r>
    </w:p>
    <w:p>
      <w:pPr>
        <w:spacing w:line="460" w:lineRule="exact"/>
        <w:ind w:firstLine="422" w:firstLineChars="200"/>
        <w:rPr>
          <w:rFonts w:ascii="宋体" w:hAnsi="宋体" w:cs="宋体"/>
          <w:b/>
          <w:color w:val="000000"/>
          <w:szCs w:val="21"/>
        </w:rPr>
      </w:pPr>
      <w:r>
        <w:rPr>
          <w:rFonts w:hint="eastAsia" w:ascii="宋体" w:hAnsi="宋体" w:cs="宋体"/>
          <w:b/>
          <w:color w:val="000000"/>
          <w:szCs w:val="21"/>
        </w:rPr>
        <w:t>第十条  不可抗力事件处理</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1、在合同有效期内，任何一方因不可抗力事件导致不能履行合同，则合同履行期可延长，其延长期与不可抗力影响期相同。</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2、不可抗力事件发生后，应立即通知对方，并寄送有关权威机构出具的证明。</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3、不可抗力事件延续一百二十天以上，双方应通过友好协商，确定是否继续履行合同。</w:t>
      </w:r>
    </w:p>
    <w:p>
      <w:pPr>
        <w:spacing w:line="460" w:lineRule="exact"/>
        <w:ind w:firstLine="422" w:firstLineChars="200"/>
        <w:rPr>
          <w:rFonts w:ascii="宋体" w:hAnsi="宋体" w:cs="宋体"/>
          <w:color w:val="000000"/>
          <w:szCs w:val="21"/>
        </w:rPr>
      </w:pPr>
      <w:r>
        <w:rPr>
          <w:rFonts w:hint="eastAsia" w:ascii="宋体" w:hAnsi="宋体" w:cs="宋体"/>
          <w:b/>
          <w:color w:val="000000"/>
          <w:szCs w:val="21"/>
        </w:rPr>
        <w:t>第十一条  合同争议解决</w:t>
      </w:r>
    </w:p>
    <w:p>
      <w:pPr>
        <w:snapToGrid w:val="0"/>
        <w:spacing w:line="460" w:lineRule="exact"/>
        <w:ind w:firstLine="420" w:firstLineChars="200"/>
        <w:rPr>
          <w:rFonts w:ascii="宋体" w:hAnsi="宋体" w:cs="宋体"/>
          <w:color w:val="000000"/>
          <w:szCs w:val="21"/>
        </w:rPr>
      </w:pPr>
      <w:r>
        <w:rPr>
          <w:rFonts w:hint="eastAsia" w:ascii="宋体" w:hAnsi="宋体" w:cs="宋体"/>
          <w:color w:val="000000"/>
          <w:szCs w:val="21"/>
        </w:rPr>
        <w:t>1、因服务质量问题发生争议的，应邀请国家认可的质量检测机构进行鉴定。服务符合标准的，鉴定费由甲方承担；服务不符合标准的，鉴定费由乙方承担。</w:t>
      </w:r>
    </w:p>
    <w:p>
      <w:pPr>
        <w:snapToGrid w:val="0"/>
        <w:spacing w:line="460" w:lineRule="exact"/>
        <w:ind w:firstLine="420" w:firstLineChars="200"/>
        <w:rPr>
          <w:rFonts w:ascii="宋体" w:hAnsi="宋体" w:cs="宋体"/>
          <w:color w:val="000000"/>
          <w:szCs w:val="21"/>
        </w:rPr>
      </w:pPr>
      <w:r>
        <w:rPr>
          <w:rFonts w:hint="eastAsia" w:ascii="宋体" w:hAnsi="宋体" w:cs="宋体"/>
          <w:color w:val="000000"/>
          <w:szCs w:val="21"/>
        </w:rPr>
        <w:t>2、因履行本合同引起的或者与本合同有关的争议，甲乙双方应首先通过友好协商解决，如果协商不能解决，可向甲方所在地有管辖权人民法院提起诉讼。</w:t>
      </w:r>
    </w:p>
    <w:p>
      <w:pPr>
        <w:snapToGrid w:val="0"/>
        <w:spacing w:line="460" w:lineRule="exact"/>
        <w:ind w:firstLine="420" w:firstLineChars="200"/>
        <w:rPr>
          <w:rFonts w:ascii="宋体" w:hAnsi="宋体" w:cs="宋体"/>
          <w:color w:val="000000"/>
          <w:szCs w:val="21"/>
        </w:rPr>
      </w:pPr>
      <w:r>
        <w:rPr>
          <w:rFonts w:hint="eastAsia" w:ascii="宋体" w:hAnsi="宋体" w:cs="宋体"/>
          <w:color w:val="000000"/>
          <w:szCs w:val="21"/>
        </w:rPr>
        <w:t>3、诉讼期间，本合同继续履行。</w:t>
      </w:r>
    </w:p>
    <w:p>
      <w:pPr>
        <w:spacing w:line="460" w:lineRule="exact"/>
        <w:ind w:firstLine="422" w:firstLineChars="200"/>
        <w:rPr>
          <w:rFonts w:ascii="宋体" w:hAnsi="宋体" w:cs="宋体"/>
          <w:b/>
          <w:color w:val="000000"/>
          <w:szCs w:val="21"/>
        </w:rPr>
      </w:pPr>
      <w:r>
        <w:rPr>
          <w:rFonts w:hint="eastAsia" w:ascii="宋体" w:hAnsi="宋体" w:cs="宋体"/>
          <w:b/>
          <w:color w:val="000000"/>
          <w:szCs w:val="21"/>
        </w:rPr>
        <w:t>第十二条  合同生效及其它</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1、合同经双方法定代表人或者授权代表签字并加盖单位公章后生效（委托代理人签字的需后附法定代表人授权委托书，格式自拟）。</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2、合同执行中涉及采购资金和采购内容修改或者补充的，须经财政部门审批，并签书面补充协议报财政部门备案，方可作为主合同不可分割的一部分。</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3、本合同未尽事宜，遵照《中华人民共和国民法典》有关条文执行。</w:t>
      </w:r>
    </w:p>
    <w:p>
      <w:pPr>
        <w:spacing w:line="460" w:lineRule="exact"/>
        <w:ind w:firstLine="422" w:firstLineChars="200"/>
        <w:rPr>
          <w:rFonts w:ascii="宋体" w:hAnsi="宋体" w:cs="宋体"/>
          <w:b/>
          <w:color w:val="000000"/>
          <w:szCs w:val="21"/>
        </w:rPr>
      </w:pPr>
      <w:r>
        <w:rPr>
          <w:rFonts w:hint="eastAsia" w:ascii="宋体" w:hAnsi="宋体" w:cs="宋体"/>
          <w:b/>
          <w:color w:val="000000"/>
          <w:szCs w:val="21"/>
        </w:rPr>
        <w:t>第十三条　合同的变更、终止与转让</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1、除《中华人民共和国政府采购法》第五十条规定的情形外，本合同一经签订，甲乙双方不得擅自变更、中止或者终止。</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2、乙方不得擅自转让其应履行的合同义务。</w:t>
      </w:r>
    </w:p>
    <w:p>
      <w:pPr>
        <w:spacing w:line="460" w:lineRule="exact"/>
        <w:ind w:firstLine="422" w:firstLineChars="200"/>
        <w:rPr>
          <w:rFonts w:ascii="宋体" w:hAnsi="宋体" w:cs="宋体"/>
          <w:b/>
          <w:color w:val="000000"/>
          <w:szCs w:val="21"/>
        </w:rPr>
      </w:pPr>
      <w:r>
        <w:rPr>
          <w:rFonts w:hint="eastAsia" w:ascii="宋体" w:hAnsi="宋体" w:cs="宋体"/>
          <w:b/>
          <w:color w:val="000000"/>
          <w:szCs w:val="21"/>
        </w:rPr>
        <w:t>第十四条　签订本合同依据</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1、</w:t>
      </w:r>
      <w:r>
        <w:rPr>
          <w:rFonts w:hint="eastAsia" w:ascii="宋体" w:hAnsi="宋体"/>
          <w:color w:val="000000"/>
          <w:szCs w:val="21"/>
        </w:rPr>
        <w:t>中标通知书</w:t>
      </w:r>
      <w:r>
        <w:rPr>
          <w:rFonts w:hint="eastAsia" w:ascii="宋体" w:hAnsi="宋体" w:cs="宋体"/>
          <w:color w:val="000000"/>
          <w:szCs w:val="21"/>
        </w:rPr>
        <w:t>；</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2、开标一览表；</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3、商务条款偏离表和技术需求偏离表；</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4、服务方案；</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5、投标文件中的其他相关文件。</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6、上述合同文件互相补充和解释。如果合同文件之间存在矛盾或者不一致之处，以上述文件的排列顺序在先者为准。</w:t>
      </w:r>
    </w:p>
    <w:p>
      <w:pPr>
        <w:spacing w:line="460" w:lineRule="exact"/>
        <w:ind w:firstLine="422" w:firstLineChars="200"/>
        <w:rPr>
          <w:rFonts w:ascii="宋体" w:hAnsi="宋体" w:cs="宋体"/>
          <w:color w:val="000000"/>
          <w:szCs w:val="21"/>
        </w:rPr>
      </w:pPr>
      <w:r>
        <w:rPr>
          <w:rFonts w:hint="eastAsia" w:ascii="宋体" w:hAnsi="宋体" w:cs="宋体"/>
          <w:b/>
          <w:color w:val="000000"/>
          <w:szCs w:val="21"/>
        </w:rPr>
        <w:t>第十五条　</w:t>
      </w:r>
      <w:r>
        <w:rPr>
          <w:rFonts w:hint="eastAsia" w:ascii="宋体" w:hAnsi="宋体" w:cs="宋体"/>
          <w:color w:val="000000"/>
          <w:szCs w:val="21"/>
        </w:rPr>
        <w:t>本合同一式六份，具有同等法律效力，甲乙双方各二份、采购代理机构二份，（可根据需要另增加）。</w:t>
      </w:r>
    </w:p>
    <w:p>
      <w:pPr>
        <w:spacing w:line="460" w:lineRule="exact"/>
        <w:ind w:firstLine="420" w:firstLineChars="200"/>
        <w:rPr>
          <w:rFonts w:ascii="宋体" w:hAnsi="宋体" w:cs="宋体"/>
          <w:color w:val="000000"/>
          <w:szCs w:val="21"/>
        </w:rPr>
      </w:pPr>
      <w:r>
        <w:rPr>
          <w:rFonts w:hint="eastAsia" w:ascii="宋体" w:hAnsi="宋体" w:cs="宋体"/>
          <w:color w:val="000000"/>
          <w:szCs w:val="21"/>
        </w:rPr>
        <w:t>本合同自签订之日起2个工作日内，甲方应当将采购合同在广西壮族自治区财政厅指定的媒体上公告。</w:t>
      </w:r>
    </w:p>
    <w:tbl>
      <w:tblPr>
        <w:tblStyle w:val="44"/>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9"/>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4" w:hRule="atLeast"/>
          <w:jc w:val="center"/>
        </w:trPr>
        <w:tc>
          <w:tcPr>
            <w:tcW w:w="45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 xml:space="preserve">甲方（章） </w:t>
            </w:r>
          </w:p>
          <w:p>
            <w:pPr>
              <w:snapToGrid w:val="0"/>
              <w:spacing w:line="360" w:lineRule="auto"/>
              <w:ind w:firstLine="945" w:firstLineChars="450"/>
              <w:jc w:val="right"/>
              <w:rPr>
                <w:rFonts w:ascii="宋体" w:hAnsi="宋体" w:cs="宋体"/>
                <w:szCs w:val="21"/>
              </w:rPr>
            </w:pPr>
            <w:r>
              <w:rPr>
                <w:rFonts w:hint="eastAsia" w:ascii="宋体" w:hAnsi="宋体" w:cs="宋体"/>
                <w:szCs w:val="21"/>
              </w:rPr>
              <w:t>年   月   日</w:t>
            </w:r>
          </w:p>
        </w:tc>
        <w:tc>
          <w:tcPr>
            <w:tcW w:w="453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 xml:space="preserve">乙方（章） </w:t>
            </w:r>
          </w:p>
          <w:p>
            <w:pPr>
              <w:snapToGrid w:val="0"/>
              <w:spacing w:line="360" w:lineRule="auto"/>
              <w:jc w:val="right"/>
              <w:rPr>
                <w:rFonts w:ascii="宋体" w:hAnsi="宋体" w:cs="宋体"/>
                <w:szCs w:val="21"/>
              </w:rPr>
            </w:pPr>
            <w:r>
              <w:rPr>
                <w:rFonts w:hint="eastAsia" w:ascii="宋体" w:hAnsi="宋体" w:cs="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5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单位地址：</w:t>
            </w:r>
          </w:p>
        </w:tc>
        <w:tc>
          <w:tcPr>
            <w:tcW w:w="453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45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法定代表人或者委托代理人：</w:t>
            </w:r>
          </w:p>
        </w:tc>
        <w:tc>
          <w:tcPr>
            <w:tcW w:w="453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法定代表人或者委托代理人：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45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电话：</w:t>
            </w:r>
          </w:p>
        </w:tc>
        <w:tc>
          <w:tcPr>
            <w:tcW w:w="453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45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电子邮箱：</w:t>
            </w:r>
          </w:p>
        </w:tc>
        <w:tc>
          <w:tcPr>
            <w:tcW w:w="453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45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开户银行：</w:t>
            </w:r>
          </w:p>
        </w:tc>
        <w:tc>
          <w:tcPr>
            <w:tcW w:w="453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45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账号：</w:t>
            </w:r>
          </w:p>
        </w:tc>
        <w:tc>
          <w:tcPr>
            <w:tcW w:w="453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45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邮政编码：</w:t>
            </w:r>
          </w:p>
        </w:tc>
        <w:tc>
          <w:tcPr>
            <w:tcW w:w="453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邮政编码：</w:t>
            </w:r>
          </w:p>
        </w:tc>
      </w:tr>
    </w:tbl>
    <w:p>
      <w:pPr>
        <w:snapToGrid w:val="0"/>
        <w:spacing w:line="360" w:lineRule="auto"/>
        <w:jc w:val="center"/>
        <w:rPr>
          <w:rFonts w:ascii="宋体" w:hAnsi="宋体" w:cs="宋体"/>
          <w:bCs/>
          <w:color w:val="000000"/>
          <w:sz w:val="32"/>
          <w:szCs w:val="32"/>
        </w:rPr>
      </w:pPr>
    </w:p>
    <w:p>
      <w:pPr>
        <w:snapToGrid w:val="0"/>
        <w:spacing w:line="480" w:lineRule="auto"/>
        <w:rPr>
          <w:rFonts w:ascii="宋体" w:hAnsi="宋体" w:cs="宋体"/>
          <w:bCs/>
          <w:color w:val="000000"/>
          <w:sz w:val="32"/>
          <w:szCs w:val="32"/>
        </w:rPr>
      </w:pPr>
    </w:p>
    <w:p>
      <w:pPr>
        <w:snapToGrid w:val="0"/>
        <w:jc w:val="center"/>
        <w:rPr>
          <w:rFonts w:ascii="宋体" w:hAnsi="宋体" w:cs="宋体"/>
          <w:bCs/>
          <w:color w:val="000000"/>
          <w:sz w:val="32"/>
          <w:szCs w:val="32"/>
        </w:rPr>
      </w:pPr>
    </w:p>
    <w:p>
      <w:pPr>
        <w:snapToGrid w:val="0"/>
        <w:jc w:val="center"/>
        <w:rPr>
          <w:rFonts w:ascii="宋体" w:hAnsi="宋体" w:cs="宋体"/>
          <w:bCs/>
          <w:color w:val="000000"/>
          <w:sz w:val="32"/>
          <w:szCs w:val="32"/>
        </w:rPr>
      </w:pPr>
    </w:p>
    <w:p>
      <w:pPr>
        <w:snapToGrid w:val="0"/>
        <w:jc w:val="center"/>
        <w:rPr>
          <w:rFonts w:ascii="宋体" w:hAnsi="宋体" w:cs="宋体"/>
          <w:bCs/>
          <w:color w:val="000000"/>
          <w:sz w:val="32"/>
          <w:szCs w:val="32"/>
        </w:rPr>
      </w:pPr>
    </w:p>
    <w:p>
      <w:pPr>
        <w:snapToGrid w:val="0"/>
        <w:jc w:val="center"/>
        <w:rPr>
          <w:rFonts w:ascii="宋体" w:hAnsi="宋体" w:cs="宋体"/>
          <w:bCs/>
          <w:color w:val="000000"/>
          <w:sz w:val="32"/>
          <w:szCs w:val="32"/>
        </w:rPr>
      </w:pPr>
    </w:p>
    <w:p>
      <w:pPr>
        <w:snapToGrid w:val="0"/>
        <w:jc w:val="center"/>
        <w:rPr>
          <w:rFonts w:ascii="宋体" w:hAnsi="宋体" w:cs="宋体"/>
          <w:bCs/>
          <w:color w:val="000000"/>
          <w:sz w:val="32"/>
          <w:szCs w:val="32"/>
        </w:rPr>
      </w:pPr>
    </w:p>
    <w:p>
      <w:pPr>
        <w:snapToGrid w:val="0"/>
        <w:jc w:val="center"/>
        <w:rPr>
          <w:rFonts w:ascii="宋体" w:hAnsi="宋体" w:cs="宋体"/>
          <w:bCs/>
          <w:color w:val="000000"/>
          <w:sz w:val="32"/>
          <w:szCs w:val="32"/>
        </w:rPr>
      </w:pPr>
    </w:p>
    <w:p>
      <w:pPr>
        <w:snapToGrid w:val="0"/>
        <w:jc w:val="center"/>
        <w:rPr>
          <w:rFonts w:ascii="宋体" w:hAnsi="宋体" w:cs="宋体"/>
          <w:bCs/>
          <w:color w:val="000000"/>
          <w:sz w:val="32"/>
          <w:szCs w:val="32"/>
        </w:rPr>
      </w:pPr>
    </w:p>
    <w:p>
      <w:pPr>
        <w:snapToGrid w:val="0"/>
        <w:jc w:val="center"/>
        <w:rPr>
          <w:rFonts w:ascii="宋体" w:hAnsi="宋体" w:cs="宋体"/>
          <w:bCs/>
          <w:color w:val="000000"/>
          <w:sz w:val="32"/>
          <w:szCs w:val="32"/>
        </w:rPr>
      </w:pPr>
    </w:p>
    <w:p>
      <w:pPr>
        <w:snapToGrid w:val="0"/>
        <w:jc w:val="center"/>
        <w:rPr>
          <w:rFonts w:ascii="宋体" w:hAnsi="宋体" w:cs="宋体"/>
          <w:bCs/>
          <w:color w:val="000000"/>
          <w:sz w:val="32"/>
          <w:szCs w:val="32"/>
        </w:rPr>
      </w:pPr>
    </w:p>
    <w:p>
      <w:pPr>
        <w:snapToGrid w:val="0"/>
        <w:jc w:val="center"/>
        <w:rPr>
          <w:rFonts w:ascii="宋体" w:hAnsi="宋体" w:cs="宋体"/>
          <w:bCs/>
          <w:color w:val="000000"/>
          <w:sz w:val="32"/>
          <w:szCs w:val="32"/>
        </w:rPr>
      </w:pPr>
    </w:p>
    <w:p>
      <w:pPr>
        <w:pStyle w:val="3"/>
        <w:jc w:val="center"/>
        <w:rPr>
          <w:rFonts w:ascii="宋体" w:hAnsi="宋体" w:cs="宋体"/>
          <w:color w:val="000000"/>
        </w:rPr>
      </w:pPr>
      <w:bookmarkStart w:id="243" w:name="_Toc25289"/>
      <w:r>
        <w:rPr>
          <w:rFonts w:hint="eastAsia" w:ascii="宋体" w:hAnsi="宋体" w:cs="宋体"/>
          <w:color w:val="000000"/>
        </w:rPr>
        <w:t>第六章　投标文件格式</w:t>
      </w:r>
      <w:bookmarkEnd w:id="243"/>
    </w:p>
    <w:p>
      <w:pPr>
        <w:snapToGrid w:val="0"/>
        <w:spacing w:before="50" w:after="50"/>
        <w:outlineLvl w:val="1"/>
        <w:rPr>
          <w:rFonts w:ascii="宋体" w:hAnsi="宋体" w:cs="宋体"/>
          <w:color w:val="000000"/>
          <w:sz w:val="32"/>
          <w:szCs w:val="20"/>
        </w:rPr>
      </w:pPr>
    </w:p>
    <w:p>
      <w:pPr>
        <w:snapToGrid w:val="0"/>
        <w:spacing w:before="50" w:after="50"/>
        <w:outlineLvl w:val="1"/>
        <w:rPr>
          <w:rFonts w:ascii="宋体" w:hAnsi="宋体" w:cs="宋体"/>
          <w:color w:val="000000"/>
          <w:sz w:val="32"/>
          <w:szCs w:val="20"/>
        </w:rPr>
      </w:pPr>
    </w:p>
    <w:p>
      <w:pPr>
        <w:snapToGrid w:val="0"/>
        <w:spacing w:before="50" w:after="50"/>
        <w:outlineLvl w:val="1"/>
        <w:rPr>
          <w:rFonts w:ascii="宋体" w:hAnsi="宋体" w:cs="宋体"/>
          <w:color w:val="000000"/>
          <w:sz w:val="32"/>
          <w:szCs w:val="20"/>
        </w:rPr>
      </w:pPr>
    </w:p>
    <w:p>
      <w:pPr>
        <w:snapToGrid w:val="0"/>
        <w:spacing w:before="50" w:after="50"/>
        <w:outlineLvl w:val="1"/>
        <w:rPr>
          <w:rFonts w:ascii="宋体" w:hAnsi="宋体" w:cs="宋体"/>
          <w:color w:val="000000"/>
          <w:sz w:val="32"/>
          <w:szCs w:val="20"/>
        </w:rPr>
      </w:pPr>
    </w:p>
    <w:p>
      <w:pPr>
        <w:snapToGrid w:val="0"/>
        <w:spacing w:before="50" w:after="50"/>
        <w:outlineLvl w:val="1"/>
        <w:rPr>
          <w:rFonts w:ascii="宋体" w:hAnsi="宋体" w:cs="宋体"/>
          <w:color w:val="000000"/>
          <w:sz w:val="32"/>
          <w:szCs w:val="20"/>
        </w:rPr>
      </w:pPr>
    </w:p>
    <w:p>
      <w:pPr>
        <w:snapToGrid w:val="0"/>
        <w:spacing w:before="50" w:after="50"/>
        <w:outlineLvl w:val="1"/>
        <w:rPr>
          <w:rFonts w:ascii="宋体" w:hAnsi="宋体" w:cs="宋体"/>
          <w:color w:val="000000"/>
          <w:sz w:val="32"/>
          <w:szCs w:val="20"/>
        </w:rPr>
      </w:pPr>
    </w:p>
    <w:p>
      <w:pPr>
        <w:snapToGrid w:val="0"/>
        <w:spacing w:before="50" w:after="50"/>
        <w:outlineLvl w:val="1"/>
        <w:rPr>
          <w:rFonts w:ascii="宋体" w:hAnsi="宋体" w:cs="宋体"/>
          <w:color w:val="000000"/>
          <w:sz w:val="32"/>
          <w:szCs w:val="20"/>
        </w:rPr>
      </w:pPr>
    </w:p>
    <w:p>
      <w:pPr>
        <w:snapToGrid w:val="0"/>
        <w:spacing w:before="50" w:after="50"/>
        <w:outlineLvl w:val="1"/>
        <w:rPr>
          <w:rFonts w:ascii="宋体" w:hAnsi="宋体" w:cs="宋体"/>
          <w:color w:val="000000"/>
          <w:sz w:val="32"/>
          <w:szCs w:val="20"/>
        </w:rPr>
      </w:pPr>
    </w:p>
    <w:p>
      <w:pPr>
        <w:snapToGrid w:val="0"/>
        <w:spacing w:before="50" w:after="50"/>
        <w:outlineLvl w:val="1"/>
        <w:rPr>
          <w:rFonts w:ascii="宋体" w:hAnsi="宋体" w:cs="宋体"/>
          <w:color w:val="000000"/>
          <w:sz w:val="32"/>
          <w:szCs w:val="20"/>
        </w:rPr>
      </w:pPr>
    </w:p>
    <w:p>
      <w:pPr>
        <w:snapToGrid w:val="0"/>
        <w:spacing w:before="50" w:after="50"/>
        <w:outlineLvl w:val="1"/>
        <w:rPr>
          <w:rFonts w:ascii="宋体" w:hAnsi="宋体" w:cs="宋体"/>
          <w:color w:val="000000"/>
          <w:sz w:val="32"/>
          <w:szCs w:val="20"/>
        </w:rPr>
      </w:pPr>
    </w:p>
    <w:p>
      <w:pPr>
        <w:snapToGrid w:val="0"/>
        <w:spacing w:before="50" w:after="50"/>
        <w:outlineLvl w:val="1"/>
        <w:rPr>
          <w:rFonts w:ascii="宋体" w:hAnsi="宋体" w:cs="宋体"/>
          <w:color w:val="000000"/>
          <w:sz w:val="32"/>
          <w:szCs w:val="20"/>
        </w:rPr>
      </w:pPr>
    </w:p>
    <w:p>
      <w:pPr>
        <w:snapToGrid w:val="0"/>
        <w:spacing w:before="50" w:after="50"/>
        <w:outlineLvl w:val="1"/>
        <w:rPr>
          <w:rFonts w:ascii="宋体" w:hAnsi="宋体" w:cs="宋体"/>
          <w:color w:val="000000"/>
          <w:sz w:val="32"/>
          <w:szCs w:val="20"/>
        </w:rPr>
      </w:pPr>
    </w:p>
    <w:p>
      <w:pPr>
        <w:rPr>
          <w:rFonts w:ascii="宋体" w:hAnsi="宋体" w:cs="宋体"/>
          <w:b/>
          <w:color w:val="000000"/>
          <w:sz w:val="28"/>
          <w:szCs w:val="28"/>
        </w:rPr>
      </w:pPr>
      <w:r>
        <w:rPr>
          <w:rFonts w:hint="eastAsia" w:ascii="宋体" w:hAnsi="宋体" w:cs="宋体"/>
          <w:color w:val="000000"/>
          <w:sz w:val="32"/>
          <w:szCs w:val="20"/>
        </w:rPr>
        <w:br w:type="page"/>
      </w:r>
      <w:bookmarkStart w:id="244" w:name="_Toc19686836"/>
      <w:bookmarkStart w:id="245" w:name="_Toc254970557"/>
      <w:bookmarkStart w:id="246" w:name="_Toc254970698"/>
      <w:r>
        <w:rPr>
          <w:rFonts w:hint="eastAsia" w:ascii="宋体" w:hAnsi="宋体" w:cs="宋体"/>
          <w:b/>
          <w:color w:val="000000"/>
          <w:sz w:val="28"/>
          <w:szCs w:val="28"/>
        </w:rPr>
        <w:t>一、报价文件格式</w:t>
      </w:r>
      <w:bookmarkEnd w:id="244"/>
    </w:p>
    <w:p>
      <w:pPr>
        <w:snapToGrid w:val="0"/>
        <w:spacing w:beforeLines="50" w:after="50" w:line="360" w:lineRule="auto"/>
        <w:ind w:left="142"/>
        <w:jc w:val="left"/>
        <w:rPr>
          <w:rFonts w:ascii="宋体" w:hAnsi="宋体" w:cs="宋体"/>
          <w:color w:val="000000"/>
          <w:sz w:val="24"/>
          <w:szCs w:val="20"/>
        </w:rPr>
      </w:pPr>
      <w:r>
        <w:rPr>
          <w:rFonts w:hint="eastAsia" w:ascii="宋体" w:hAnsi="宋体" w:cs="宋体"/>
          <w:b/>
          <w:color w:val="000000"/>
          <w:sz w:val="24"/>
        </w:rPr>
        <w:t xml:space="preserve">1. 报价文件封面格式： </w:t>
      </w:r>
    </w:p>
    <w:p>
      <w:pPr>
        <w:snapToGrid w:val="0"/>
        <w:spacing w:beforeLines="50" w:after="50" w:line="360" w:lineRule="auto"/>
        <w:ind w:left="142"/>
        <w:jc w:val="center"/>
        <w:rPr>
          <w:rFonts w:ascii="宋体" w:hAnsi="宋体" w:cs="宋体"/>
          <w:bCs/>
          <w:color w:val="000000"/>
          <w:sz w:val="48"/>
          <w:szCs w:val="48"/>
        </w:rPr>
      </w:pPr>
      <w:r>
        <w:rPr>
          <w:rFonts w:hint="eastAsia" w:ascii="宋体" w:hAnsi="宋体" w:cs="宋体"/>
          <w:bCs/>
          <w:color w:val="000000"/>
          <w:sz w:val="48"/>
          <w:szCs w:val="48"/>
        </w:rPr>
        <w:t>电子投标文件</w:t>
      </w:r>
    </w:p>
    <w:p>
      <w:pPr>
        <w:snapToGrid w:val="0"/>
        <w:spacing w:beforeLines="50" w:after="50" w:line="400" w:lineRule="exact"/>
        <w:rPr>
          <w:rFonts w:ascii="宋体" w:hAnsi="宋体" w:cs="宋体"/>
          <w:bCs/>
          <w:color w:val="000000"/>
          <w:sz w:val="32"/>
          <w:szCs w:val="20"/>
        </w:rPr>
      </w:pPr>
    </w:p>
    <w:p>
      <w:pPr>
        <w:snapToGrid w:val="0"/>
        <w:spacing w:beforeLines="50" w:after="50" w:line="400" w:lineRule="exact"/>
        <w:jc w:val="center"/>
        <w:rPr>
          <w:rFonts w:ascii="宋体" w:hAnsi="宋体" w:cs="宋体"/>
          <w:bCs/>
          <w:color w:val="000000"/>
          <w:sz w:val="24"/>
          <w:szCs w:val="20"/>
        </w:rPr>
      </w:pPr>
    </w:p>
    <w:p>
      <w:pPr>
        <w:snapToGrid w:val="0"/>
        <w:spacing w:beforeLines="50" w:after="50" w:line="400" w:lineRule="exact"/>
        <w:jc w:val="center"/>
        <w:rPr>
          <w:rFonts w:ascii="宋体" w:hAnsi="宋体" w:cs="宋体"/>
          <w:b/>
          <w:bCs/>
          <w:color w:val="000000"/>
          <w:sz w:val="32"/>
          <w:szCs w:val="32"/>
        </w:rPr>
      </w:pPr>
      <w:r>
        <w:rPr>
          <w:rFonts w:hint="eastAsia" w:ascii="宋体" w:hAnsi="宋体" w:cs="宋体"/>
          <w:b/>
          <w:bCs/>
          <w:color w:val="000000"/>
          <w:sz w:val="32"/>
          <w:szCs w:val="32"/>
        </w:rPr>
        <w:t>报价文件</w:t>
      </w:r>
    </w:p>
    <w:p>
      <w:pPr>
        <w:snapToGrid w:val="0"/>
        <w:spacing w:beforeLines="50" w:after="50" w:line="400" w:lineRule="exact"/>
        <w:rPr>
          <w:rFonts w:ascii="宋体" w:hAnsi="宋体" w:cs="宋体"/>
          <w:bCs/>
          <w:color w:val="000000"/>
          <w:sz w:val="24"/>
          <w:szCs w:val="20"/>
        </w:rPr>
      </w:pPr>
    </w:p>
    <w:p>
      <w:pPr>
        <w:snapToGrid w:val="0"/>
        <w:spacing w:beforeLines="50" w:after="50" w:line="400" w:lineRule="exact"/>
        <w:rPr>
          <w:rFonts w:ascii="宋体" w:hAnsi="宋体" w:cs="宋体"/>
          <w:bCs/>
          <w:color w:val="000000"/>
          <w:sz w:val="24"/>
          <w:szCs w:val="20"/>
        </w:rPr>
      </w:pPr>
    </w:p>
    <w:p>
      <w:pPr>
        <w:snapToGrid w:val="0"/>
        <w:spacing w:beforeLines="50" w:after="50" w:line="400" w:lineRule="exact"/>
        <w:rPr>
          <w:rFonts w:ascii="宋体" w:hAnsi="宋体" w:cs="宋体"/>
          <w:bCs/>
          <w:color w:val="000000"/>
          <w:sz w:val="24"/>
          <w:szCs w:val="20"/>
        </w:rPr>
      </w:pPr>
    </w:p>
    <w:p>
      <w:pPr>
        <w:snapToGrid w:val="0"/>
        <w:spacing w:beforeLines="50" w:after="50" w:line="400" w:lineRule="exact"/>
        <w:rPr>
          <w:rFonts w:ascii="宋体" w:hAnsi="宋体" w:cs="宋体"/>
          <w:bCs/>
          <w:color w:val="000000"/>
          <w:sz w:val="24"/>
          <w:szCs w:val="20"/>
        </w:rPr>
      </w:pPr>
    </w:p>
    <w:p>
      <w:pPr>
        <w:snapToGrid w:val="0"/>
        <w:spacing w:beforeLines="50" w:after="50" w:line="400" w:lineRule="exact"/>
        <w:ind w:firstLine="360" w:firstLineChars="150"/>
        <w:rPr>
          <w:rFonts w:ascii="宋体" w:hAnsi="宋体" w:cs="宋体"/>
          <w:bCs/>
          <w:color w:val="000000"/>
          <w:sz w:val="24"/>
        </w:rPr>
      </w:pPr>
      <w:r>
        <w:rPr>
          <w:rFonts w:hint="eastAsia" w:ascii="宋体" w:hAnsi="宋体" w:cs="宋体"/>
          <w:bCs/>
          <w:color w:val="000000"/>
          <w:sz w:val="24"/>
        </w:rPr>
        <w:t xml:space="preserve">项目名称： </w:t>
      </w:r>
    </w:p>
    <w:p>
      <w:pPr>
        <w:snapToGrid w:val="0"/>
        <w:spacing w:beforeLines="50" w:after="50" w:line="400" w:lineRule="exact"/>
        <w:ind w:firstLine="360" w:firstLineChars="150"/>
        <w:rPr>
          <w:rFonts w:ascii="宋体" w:hAnsi="宋体" w:cs="宋体"/>
          <w:bCs/>
          <w:color w:val="000000"/>
          <w:sz w:val="24"/>
        </w:rPr>
      </w:pPr>
    </w:p>
    <w:p>
      <w:pPr>
        <w:snapToGrid w:val="0"/>
        <w:spacing w:beforeLines="50" w:after="50" w:line="400" w:lineRule="exact"/>
        <w:ind w:firstLine="360" w:firstLineChars="150"/>
        <w:rPr>
          <w:rFonts w:ascii="宋体" w:hAnsi="宋体" w:cs="宋体"/>
          <w:bCs/>
          <w:color w:val="000000"/>
          <w:sz w:val="24"/>
        </w:rPr>
      </w:pPr>
      <w:r>
        <w:rPr>
          <w:rFonts w:hint="eastAsia" w:ascii="宋体" w:hAnsi="宋体" w:cs="宋体"/>
          <w:bCs/>
          <w:color w:val="000000"/>
          <w:sz w:val="24"/>
        </w:rPr>
        <w:t xml:space="preserve">项目编号： </w:t>
      </w:r>
    </w:p>
    <w:p>
      <w:pPr>
        <w:snapToGrid w:val="0"/>
        <w:spacing w:beforeLines="50" w:after="50" w:line="400" w:lineRule="exact"/>
        <w:ind w:firstLine="360" w:firstLineChars="150"/>
        <w:rPr>
          <w:rFonts w:ascii="宋体" w:hAnsi="宋体" w:cs="宋体"/>
          <w:bCs/>
          <w:color w:val="000000"/>
          <w:sz w:val="24"/>
        </w:rPr>
      </w:pPr>
    </w:p>
    <w:p>
      <w:pPr>
        <w:snapToGrid w:val="0"/>
        <w:spacing w:beforeLines="50" w:after="50" w:line="400" w:lineRule="exact"/>
        <w:ind w:firstLine="360" w:firstLineChars="150"/>
        <w:rPr>
          <w:rFonts w:ascii="宋体" w:hAnsi="宋体" w:cs="宋体"/>
          <w:bCs/>
          <w:color w:val="000000"/>
          <w:sz w:val="24"/>
        </w:rPr>
      </w:pPr>
      <w:r>
        <w:rPr>
          <w:rFonts w:hint="eastAsia" w:ascii="宋体" w:hAnsi="宋体" w:cs="宋体"/>
          <w:bCs/>
          <w:color w:val="000000"/>
          <w:sz w:val="24"/>
        </w:rPr>
        <w:t>所投分标：（如有则填写，无分标时填写“无”或者留空）</w:t>
      </w:r>
    </w:p>
    <w:p>
      <w:pPr>
        <w:snapToGrid w:val="0"/>
        <w:spacing w:beforeLines="50" w:after="50" w:line="400" w:lineRule="exact"/>
        <w:ind w:firstLine="360" w:firstLineChars="150"/>
        <w:rPr>
          <w:rFonts w:ascii="宋体" w:hAnsi="宋体" w:cs="宋体"/>
          <w:bCs/>
          <w:color w:val="000000"/>
          <w:sz w:val="24"/>
        </w:rPr>
      </w:pPr>
    </w:p>
    <w:p>
      <w:pPr>
        <w:snapToGrid w:val="0"/>
        <w:spacing w:beforeLines="50" w:after="50" w:line="400" w:lineRule="exact"/>
        <w:ind w:firstLine="360" w:firstLineChars="150"/>
        <w:rPr>
          <w:rFonts w:ascii="宋体" w:hAnsi="宋体" w:cs="宋体"/>
          <w:bCs/>
          <w:color w:val="000000"/>
          <w:sz w:val="24"/>
        </w:rPr>
      </w:pPr>
      <w:r>
        <w:rPr>
          <w:rFonts w:hint="eastAsia" w:ascii="宋体" w:hAnsi="宋体" w:cs="宋体"/>
          <w:bCs/>
          <w:color w:val="000000"/>
          <w:sz w:val="24"/>
        </w:rPr>
        <w:t>投标人名称：</w:t>
      </w:r>
    </w:p>
    <w:p>
      <w:pPr>
        <w:snapToGrid w:val="0"/>
        <w:spacing w:beforeLines="50" w:after="50" w:line="400" w:lineRule="exact"/>
        <w:ind w:firstLine="360" w:firstLineChars="150"/>
        <w:rPr>
          <w:rFonts w:ascii="宋体" w:hAnsi="宋体" w:cs="宋体"/>
          <w:bCs/>
          <w:color w:val="000000"/>
          <w:sz w:val="24"/>
        </w:rPr>
      </w:pPr>
    </w:p>
    <w:p>
      <w:pPr>
        <w:snapToGrid w:val="0"/>
        <w:spacing w:beforeLines="50" w:after="50" w:line="400" w:lineRule="exact"/>
        <w:ind w:firstLine="360" w:firstLineChars="150"/>
        <w:rPr>
          <w:rFonts w:ascii="宋体" w:hAnsi="宋体" w:cs="宋体"/>
          <w:bCs/>
          <w:color w:val="000000"/>
          <w:sz w:val="24"/>
        </w:rPr>
      </w:pPr>
      <w:r>
        <w:rPr>
          <w:rFonts w:hint="eastAsia" w:ascii="宋体" w:hAnsi="宋体" w:cs="宋体"/>
          <w:bCs/>
          <w:color w:val="000000"/>
          <w:sz w:val="24"/>
        </w:rPr>
        <w:t>投标人地址：</w:t>
      </w:r>
    </w:p>
    <w:p>
      <w:pPr>
        <w:pStyle w:val="8"/>
        <w:snapToGrid w:val="0"/>
        <w:spacing w:before="50" w:after="50" w:line="400" w:lineRule="exact"/>
        <w:ind w:firstLine="960" w:firstLineChars="400"/>
        <w:rPr>
          <w:rFonts w:ascii="宋体" w:hAnsi="宋体" w:cs="宋体"/>
          <w:bCs/>
          <w:color w:val="000000"/>
          <w:sz w:val="24"/>
          <w:szCs w:val="24"/>
        </w:rPr>
      </w:pPr>
    </w:p>
    <w:p>
      <w:pPr>
        <w:snapToGrid w:val="0"/>
        <w:spacing w:beforeLines="50" w:after="50" w:line="400" w:lineRule="exact"/>
        <w:rPr>
          <w:rFonts w:ascii="宋体" w:hAnsi="宋体" w:cs="宋体"/>
          <w:color w:val="000000"/>
          <w:sz w:val="30"/>
          <w:szCs w:val="20"/>
        </w:rPr>
      </w:pPr>
      <w:r>
        <w:rPr>
          <w:rFonts w:hint="eastAsia" w:ascii="宋体" w:hAnsi="宋体" w:cs="宋体"/>
          <w:color w:val="000000"/>
          <w:sz w:val="24"/>
        </w:rPr>
        <w:t xml:space="preserve">                                   年  月  日</w:t>
      </w:r>
    </w:p>
    <w:p>
      <w:pPr>
        <w:snapToGrid w:val="0"/>
        <w:spacing w:beforeLines="50" w:after="50" w:line="360" w:lineRule="auto"/>
        <w:jc w:val="left"/>
        <w:rPr>
          <w:rFonts w:ascii="宋体" w:hAnsi="宋体" w:cs="宋体"/>
          <w:color w:val="000000"/>
          <w:sz w:val="24"/>
          <w:szCs w:val="20"/>
        </w:rPr>
      </w:pPr>
      <w:r>
        <w:rPr>
          <w:rFonts w:hint="eastAsia" w:ascii="宋体" w:hAnsi="宋体" w:cs="宋体"/>
          <w:b/>
          <w:color w:val="000000"/>
          <w:sz w:val="24"/>
        </w:rPr>
        <w:br w:type="page"/>
      </w:r>
      <w:r>
        <w:rPr>
          <w:rFonts w:hint="eastAsia" w:ascii="宋体" w:hAnsi="宋体" w:cs="宋体"/>
          <w:b/>
          <w:color w:val="000000"/>
          <w:sz w:val="24"/>
        </w:rPr>
        <w:t>2.</w:t>
      </w:r>
      <w:r>
        <w:rPr>
          <w:rFonts w:hint="eastAsia" w:ascii="宋体" w:hAnsi="宋体" w:cs="宋体"/>
          <w:b/>
          <w:bCs/>
          <w:color w:val="000000"/>
          <w:sz w:val="24"/>
        </w:rPr>
        <w:t>报价文件目录</w:t>
      </w:r>
    </w:p>
    <w:p>
      <w:pPr>
        <w:snapToGrid w:val="0"/>
        <w:spacing w:before="50" w:afterLines="50" w:line="360" w:lineRule="auto"/>
        <w:jc w:val="left"/>
        <w:rPr>
          <w:rFonts w:ascii="宋体" w:hAnsi="宋体" w:cs="宋体"/>
          <w:b/>
          <w:color w:val="000000"/>
          <w:sz w:val="24"/>
        </w:rPr>
      </w:pPr>
      <w:r>
        <w:rPr>
          <w:rFonts w:hint="eastAsia" w:ascii="宋体" w:hAnsi="宋体" w:cs="宋体"/>
          <w:color w:val="000000"/>
          <w:szCs w:val="21"/>
        </w:rPr>
        <w:t>根据招标文件规定及投标人提供的材料自行编写目录。</w:t>
      </w:r>
    </w:p>
    <w:p>
      <w:pPr>
        <w:snapToGrid w:val="0"/>
        <w:spacing w:beforeLines="50" w:after="50"/>
        <w:rPr>
          <w:rFonts w:ascii="宋体" w:hAnsi="宋体" w:cs="宋体"/>
          <w:b/>
          <w:color w:val="000000"/>
          <w:sz w:val="24"/>
        </w:rPr>
      </w:pPr>
    </w:p>
    <w:p>
      <w:pPr>
        <w:snapToGrid w:val="0"/>
        <w:spacing w:beforeLines="50" w:after="50"/>
        <w:rPr>
          <w:rFonts w:ascii="宋体" w:hAnsi="宋体" w:cs="宋体"/>
          <w:b/>
          <w:color w:val="000000"/>
          <w:sz w:val="24"/>
        </w:rPr>
      </w:pPr>
    </w:p>
    <w:p>
      <w:pPr>
        <w:snapToGrid w:val="0"/>
        <w:spacing w:beforeLines="50" w:after="50"/>
        <w:rPr>
          <w:rFonts w:ascii="宋体" w:hAnsi="宋体" w:cs="宋体"/>
          <w:b/>
          <w:color w:val="000000"/>
          <w:sz w:val="24"/>
        </w:rPr>
      </w:pPr>
    </w:p>
    <w:p>
      <w:pPr>
        <w:snapToGrid w:val="0"/>
        <w:spacing w:beforeLines="50" w:after="50"/>
        <w:ind w:left="142"/>
        <w:jc w:val="left"/>
        <w:rPr>
          <w:rFonts w:ascii="宋体" w:hAnsi="宋体" w:cs="宋体"/>
          <w:b/>
          <w:color w:val="000000"/>
          <w:sz w:val="24"/>
        </w:rPr>
      </w:pPr>
      <w:r>
        <w:rPr>
          <w:rFonts w:hint="eastAsia" w:ascii="宋体" w:hAnsi="宋体" w:cs="宋体"/>
          <w:b/>
          <w:color w:val="000000"/>
          <w:sz w:val="24"/>
        </w:rPr>
        <w:br w:type="page"/>
      </w:r>
      <w:r>
        <w:rPr>
          <w:rFonts w:hint="eastAsia" w:ascii="宋体" w:hAnsi="宋体" w:cs="宋体"/>
          <w:b/>
          <w:color w:val="000000"/>
          <w:sz w:val="24"/>
        </w:rPr>
        <w:t>3. 投标函格式：</w:t>
      </w:r>
    </w:p>
    <w:p>
      <w:pPr>
        <w:snapToGrid w:val="0"/>
        <w:spacing w:beforeLines="50" w:after="50" w:line="320" w:lineRule="exact"/>
        <w:jc w:val="center"/>
        <w:rPr>
          <w:rFonts w:ascii="宋体" w:hAnsi="宋体" w:cs="宋体"/>
          <w:b/>
          <w:color w:val="000000"/>
          <w:sz w:val="32"/>
          <w:szCs w:val="32"/>
        </w:rPr>
      </w:pPr>
      <w:r>
        <w:rPr>
          <w:rFonts w:hint="eastAsia" w:ascii="宋体" w:hAnsi="宋体" w:cs="宋体"/>
          <w:b/>
          <w:color w:val="000000"/>
          <w:sz w:val="32"/>
          <w:szCs w:val="32"/>
        </w:rPr>
        <w:t>投 标 函</w:t>
      </w:r>
    </w:p>
    <w:p>
      <w:pPr>
        <w:snapToGrid w:val="0"/>
        <w:spacing w:beforeLines="50" w:after="50" w:line="320" w:lineRule="exact"/>
        <w:jc w:val="center"/>
        <w:rPr>
          <w:rFonts w:ascii="宋体" w:hAnsi="宋体" w:cs="宋体"/>
          <w:b/>
          <w:color w:val="000000"/>
          <w:sz w:val="24"/>
          <w:szCs w:val="20"/>
        </w:rPr>
      </w:pPr>
    </w:p>
    <w:p>
      <w:pPr>
        <w:snapToGrid w:val="0"/>
        <w:spacing w:beforeLines="50" w:after="50" w:line="320" w:lineRule="exact"/>
        <w:jc w:val="center"/>
        <w:rPr>
          <w:rFonts w:ascii="宋体" w:hAnsi="宋体" w:cs="宋体"/>
          <w:b/>
          <w:color w:val="000000"/>
          <w:sz w:val="24"/>
          <w:szCs w:val="20"/>
        </w:rPr>
      </w:pPr>
    </w:p>
    <w:p>
      <w:pPr>
        <w:snapToGrid w:val="0"/>
        <w:spacing w:beforeLines="50" w:after="50" w:line="320" w:lineRule="exact"/>
        <w:jc w:val="center"/>
        <w:rPr>
          <w:rFonts w:ascii="宋体" w:hAnsi="宋体" w:cs="宋体"/>
          <w:b/>
          <w:color w:val="000000"/>
          <w:sz w:val="24"/>
          <w:szCs w:val="20"/>
        </w:rPr>
      </w:pPr>
    </w:p>
    <w:p>
      <w:pPr>
        <w:snapToGrid w:val="0"/>
        <w:spacing w:line="360" w:lineRule="auto"/>
        <w:rPr>
          <w:rFonts w:ascii="宋体" w:hAnsi="宋体" w:cs="宋体"/>
          <w:color w:val="000000"/>
          <w:sz w:val="24"/>
        </w:rPr>
      </w:pPr>
      <w:r>
        <w:rPr>
          <w:rFonts w:hint="eastAsia" w:ascii="宋体" w:hAnsi="宋体" w:cs="宋体"/>
          <w:color w:val="000000"/>
          <w:sz w:val="24"/>
        </w:rPr>
        <w:t>致：</w:t>
      </w:r>
      <w:r>
        <w:rPr>
          <w:rFonts w:hint="eastAsia" w:ascii="宋体" w:hAnsi="宋体" w:cs="宋体"/>
          <w:color w:val="000000"/>
          <w:sz w:val="24"/>
          <w:u w:val="single"/>
        </w:rPr>
        <w:t>采购人名称</w:t>
      </w:r>
    </w:p>
    <w:p>
      <w:pPr>
        <w:snapToGrid w:val="0"/>
        <w:spacing w:line="360" w:lineRule="auto"/>
        <w:ind w:firstLine="480"/>
        <w:rPr>
          <w:rFonts w:ascii="宋体" w:hAnsi="宋体" w:cs="宋体"/>
          <w:color w:val="000000"/>
          <w:sz w:val="24"/>
        </w:rPr>
      </w:pPr>
      <w:r>
        <w:rPr>
          <w:rFonts w:hint="eastAsia" w:ascii="宋体" w:hAnsi="宋体" w:cs="宋体"/>
          <w:color w:val="000000"/>
          <w:sz w:val="24"/>
        </w:rPr>
        <w:t>根据贵方</w:t>
      </w:r>
      <w:r>
        <w:rPr>
          <w:rFonts w:hint="eastAsia" w:ascii="宋体" w:hAnsi="宋体" w:cs="宋体"/>
          <w:color w:val="000000"/>
          <w:sz w:val="24"/>
          <w:u w:val="single"/>
        </w:rPr>
        <w:t xml:space="preserve"> 项目名称</w:t>
      </w:r>
      <w:r>
        <w:rPr>
          <w:rFonts w:hint="eastAsia" w:ascii="宋体" w:hAnsi="宋体" w:cs="宋体"/>
          <w:color w:val="000000"/>
          <w:sz w:val="24"/>
        </w:rPr>
        <w:t>（项目编号：）的招标公告，签字代表______（姓名）经正式授权</w:t>
      </w:r>
      <w:r>
        <w:rPr>
          <w:rFonts w:hint="eastAsia" w:ascii="宋体" w:hAnsi="宋体" w:cs="宋体"/>
          <w:color w:val="000000"/>
          <w:sz w:val="24"/>
          <w:u w:val="single"/>
          <w:lang w:val="en-US" w:eastAsia="zh-CN"/>
        </w:rPr>
        <w:t xml:space="preserve">      </w:t>
      </w:r>
      <w:r>
        <w:rPr>
          <w:rFonts w:hint="eastAsia" w:ascii="宋体" w:hAnsi="宋体" w:cs="宋体"/>
          <w:color w:val="000000"/>
          <w:sz w:val="24"/>
        </w:rPr>
        <w:t>并代表投标人（投标人名称）提交投标文件。</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据此函，我方宣布同意如下：</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1.我方已详细审查全部“招标文件”，包括修改文件（如有的话）以及全部参考资料和有关附件，已经了解我方对于招标文件、采购过程、采购结果有依法进行询问、质疑、投诉的权利及相关渠道和要求。</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2.我方在投标之前已经完全理解并接受招标文件的各项规定和要求，对招标文件的合理性、合法性不再有异议。</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3.本投标有效期自投标截止之日起日。</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4.如中标，本投标文件至本项目合同履行完毕止均保持有效，我方将按“招标文件”及政府采购法律、法规的规定履行合同责任和义务。</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5.我方同意按照贵方要求提供与投标有关的一切数据或者资料。</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6.我方向贵方提交的所有投标文件、资料都是准确的和真实的。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7.以上事项如有虚假或者隐瞒，我方愿意承担一切后果，并不再寻求任何旨在减轻或者免除法律责任的辩解。</w:t>
      </w:r>
    </w:p>
    <w:p>
      <w:pPr>
        <w:spacing w:line="360" w:lineRule="auto"/>
        <w:ind w:firstLine="480" w:firstLineChars="200"/>
        <w:rPr>
          <w:rFonts w:ascii="宋体" w:hAnsi="宋体" w:cs="宋体"/>
          <w:color w:val="000000"/>
          <w:sz w:val="24"/>
        </w:rPr>
      </w:pPr>
      <w:r>
        <w:rPr>
          <w:rFonts w:hint="eastAsia" w:ascii="宋体" w:hAnsi="宋体" w:cs="宋体"/>
          <w:color w:val="000000"/>
          <w:sz w:val="24"/>
        </w:rPr>
        <w:t>8.根据《中华人民共和国政府采购法实施条例》第五十条要求对政府采购合同进行公告，但政府采购合同中涉及国家秘密、商业秘密的内容除外。我方就对本次投标文件进行注明如下：（两项内容中必须选择一项）</w:t>
      </w:r>
    </w:p>
    <w:p>
      <w:pPr>
        <w:spacing w:line="360" w:lineRule="auto"/>
        <w:ind w:firstLine="480" w:firstLineChars="200"/>
        <w:rPr>
          <w:rFonts w:ascii="宋体" w:hAnsi="宋体" w:cs="宋体"/>
          <w:color w:val="000000"/>
          <w:sz w:val="24"/>
        </w:rPr>
      </w:pPr>
      <w:r>
        <w:rPr>
          <w:rFonts w:hint="eastAsia" w:ascii="宋体" w:hAnsi="宋体" w:cs="宋体"/>
          <w:color w:val="000000"/>
          <w:sz w:val="24"/>
        </w:rPr>
        <w:t>□我方本次投标文件</w:t>
      </w:r>
      <w:r>
        <w:rPr>
          <w:rFonts w:hint="eastAsia" w:ascii="宋体" w:hAnsi="宋体" w:cs="宋体"/>
          <w:color w:val="000000"/>
          <w:kern w:val="0"/>
          <w:sz w:val="24"/>
        </w:rPr>
        <w:t>内容中</w:t>
      </w:r>
      <w:r>
        <w:rPr>
          <w:rFonts w:hint="eastAsia" w:ascii="宋体" w:hAnsi="宋体" w:cs="宋体"/>
          <w:color w:val="000000"/>
          <w:sz w:val="24"/>
        </w:rPr>
        <w:t>未</w:t>
      </w:r>
      <w:r>
        <w:rPr>
          <w:rFonts w:hint="eastAsia" w:ascii="宋体" w:hAnsi="宋体" w:cs="宋体"/>
          <w:color w:val="000000"/>
          <w:kern w:val="0"/>
          <w:sz w:val="24"/>
        </w:rPr>
        <w:t>涉及商业秘密；</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□我方本次投标文件</w:t>
      </w:r>
      <w:r>
        <w:rPr>
          <w:rFonts w:hint="eastAsia" w:ascii="宋体" w:hAnsi="宋体" w:cs="宋体"/>
          <w:color w:val="000000"/>
          <w:kern w:val="0"/>
          <w:sz w:val="24"/>
        </w:rPr>
        <w:t>涉及商业秘密的内容有：；</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9.与本投标有关的一切正式往来信函请寄：</w:t>
      </w:r>
    </w:p>
    <w:p>
      <w:pPr>
        <w:snapToGrid w:val="0"/>
        <w:spacing w:line="360" w:lineRule="auto"/>
        <w:ind w:firstLine="480" w:firstLineChars="200"/>
        <w:rPr>
          <w:rFonts w:ascii="宋体" w:hAnsi="宋体" w:cs="宋体"/>
          <w:color w:val="000000"/>
          <w:sz w:val="24"/>
          <w:u w:val="single"/>
        </w:rPr>
      </w:pPr>
      <w:r>
        <w:rPr>
          <w:rFonts w:hint="eastAsia" w:ascii="宋体" w:hAnsi="宋体" w:cs="宋体"/>
          <w:color w:val="000000"/>
          <w:sz w:val="24"/>
        </w:rPr>
        <w:t>地址：邮编：</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电话：传真：电子邮箱：</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投标人名称:</w:t>
      </w:r>
    </w:p>
    <w:p>
      <w:pPr>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开户银行：   银行帐号：</w:t>
      </w:r>
    </w:p>
    <w:p>
      <w:pPr>
        <w:snapToGrid w:val="0"/>
        <w:spacing w:line="360" w:lineRule="auto"/>
        <w:ind w:firstLine="480" w:firstLineChars="200"/>
        <w:jc w:val="left"/>
        <w:rPr>
          <w:rFonts w:ascii="宋体" w:hAnsi="宋体" w:cs="宋体"/>
          <w:color w:val="000000"/>
          <w:sz w:val="24"/>
        </w:rPr>
      </w:pPr>
    </w:p>
    <w:p>
      <w:pPr>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 xml:space="preserve">               法定代表人或者委托代理人（签字或者电子签名）:_______ </w:t>
      </w:r>
    </w:p>
    <w:p>
      <w:pPr>
        <w:pStyle w:val="24"/>
        <w:snapToGrid w:val="0"/>
        <w:spacing w:before="295" w:after="295" w:line="360" w:lineRule="auto"/>
        <w:jc w:val="center"/>
        <w:rPr>
          <w:rFonts w:hAnsi="宋体" w:cs="宋体"/>
          <w:color w:val="000000"/>
          <w:sz w:val="24"/>
          <w:szCs w:val="24"/>
          <w:u w:val="single"/>
        </w:rPr>
      </w:pPr>
      <w:r>
        <w:rPr>
          <w:rFonts w:hint="eastAsia" w:hAnsi="宋体" w:cs="宋体"/>
          <w:color w:val="000000"/>
          <w:sz w:val="24"/>
        </w:rPr>
        <w:t xml:space="preserve">                                     投标人名称（电子签章）：</w:t>
      </w:r>
    </w:p>
    <w:p>
      <w:pPr>
        <w:pStyle w:val="24"/>
        <w:snapToGrid w:val="0"/>
        <w:spacing w:before="295" w:after="295" w:line="360" w:lineRule="auto"/>
        <w:jc w:val="right"/>
        <w:rPr>
          <w:rFonts w:hAnsi="宋体" w:cs="宋体"/>
          <w:color w:val="000000"/>
          <w:sz w:val="24"/>
        </w:rPr>
      </w:pPr>
      <w:r>
        <w:rPr>
          <w:rFonts w:hint="eastAsia" w:hAnsi="宋体" w:cs="宋体"/>
          <w:color w:val="000000"/>
          <w:sz w:val="24"/>
          <w:szCs w:val="24"/>
        </w:rPr>
        <w:t>年</w:t>
      </w:r>
      <w:r>
        <w:rPr>
          <w:rFonts w:hint="eastAsia" w:hAnsi="宋体" w:cs="宋体"/>
          <w:color w:val="000000"/>
          <w:sz w:val="24"/>
          <w:szCs w:val="24"/>
          <w:lang w:val="en-US" w:eastAsia="zh-CN"/>
        </w:rPr>
        <w:t xml:space="preserve"> </w:t>
      </w:r>
      <w:r>
        <w:rPr>
          <w:rFonts w:hint="eastAsia" w:hAnsi="宋体" w:cs="宋体"/>
          <w:color w:val="000000"/>
          <w:sz w:val="24"/>
          <w:szCs w:val="24"/>
        </w:rPr>
        <w:t>月</w:t>
      </w:r>
      <w:r>
        <w:rPr>
          <w:rFonts w:hint="eastAsia" w:hAnsi="宋体" w:cs="宋体"/>
          <w:color w:val="000000"/>
          <w:sz w:val="24"/>
          <w:szCs w:val="24"/>
          <w:lang w:val="en-US" w:eastAsia="zh-CN"/>
        </w:rPr>
        <w:t xml:space="preserve"> </w:t>
      </w:r>
      <w:r>
        <w:rPr>
          <w:rFonts w:hint="eastAsia" w:hAnsi="宋体" w:cs="宋体"/>
          <w:color w:val="000000"/>
          <w:sz w:val="24"/>
          <w:szCs w:val="24"/>
        </w:rPr>
        <w:t>日</w:t>
      </w:r>
    </w:p>
    <w:p>
      <w:pPr>
        <w:snapToGrid w:val="0"/>
        <w:spacing w:beforeLines="50" w:after="50"/>
        <w:jc w:val="left"/>
        <w:rPr>
          <w:rFonts w:ascii="宋体" w:hAnsi="宋体" w:cs="宋体"/>
          <w:b/>
          <w:color w:val="000000"/>
          <w:sz w:val="24"/>
          <w:szCs w:val="20"/>
        </w:rPr>
      </w:pPr>
      <w:r>
        <w:rPr>
          <w:rFonts w:hint="eastAsia" w:ascii="宋体" w:hAnsi="宋体" w:cs="宋体"/>
          <w:color w:val="000000"/>
          <w:u w:val="single"/>
        </w:rPr>
        <w:br w:type="page"/>
      </w:r>
      <w:r>
        <w:rPr>
          <w:rFonts w:hint="eastAsia" w:ascii="宋体" w:hAnsi="宋体" w:cs="宋体"/>
          <w:b/>
          <w:color w:val="000000"/>
          <w:sz w:val="24"/>
        </w:rPr>
        <w:t>4. 开标一览表（服务类格式）</w:t>
      </w:r>
    </w:p>
    <w:p>
      <w:pPr>
        <w:snapToGrid w:val="0"/>
        <w:spacing w:before="50" w:after="50"/>
        <w:jc w:val="center"/>
        <w:rPr>
          <w:rFonts w:ascii="宋体" w:hAnsi="宋体" w:cs="宋体"/>
          <w:b/>
          <w:color w:val="000000"/>
          <w:sz w:val="30"/>
        </w:rPr>
      </w:pPr>
      <w:r>
        <w:rPr>
          <w:rFonts w:hint="eastAsia" w:ascii="宋体" w:hAnsi="宋体" w:cs="宋体"/>
          <w:b/>
          <w:color w:val="000000"/>
          <w:sz w:val="30"/>
        </w:rPr>
        <w:t>开标一览表</w:t>
      </w:r>
    </w:p>
    <w:p>
      <w:pPr>
        <w:snapToGrid w:val="0"/>
        <w:spacing w:before="50" w:after="50"/>
        <w:jc w:val="center"/>
        <w:rPr>
          <w:rFonts w:ascii="宋体" w:hAnsi="宋体" w:cs="宋体"/>
          <w:b/>
          <w:color w:val="000000"/>
          <w:sz w:val="30"/>
          <w:szCs w:val="20"/>
        </w:rPr>
      </w:pPr>
    </w:p>
    <w:p>
      <w:pPr>
        <w:snapToGrid w:val="0"/>
        <w:spacing w:before="50" w:after="50" w:line="360" w:lineRule="auto"/>
        <w:rPr>
          <w:rFonts w:ascii="宋体" w:hAnsi="宋体" w:cs="宋体"/>
          <w:color w:val="000000"/>
          <w:sz w:val="24"/>
          <w:u w:val="single"/>
        </w:rPr>
      </w:pPr>
      <w:r>
        <w:rPr>
          <w:rFonts w:hint="eastAsia" w:ascii="宋体" w:hAnsi="宋体" w:cs="宋体"/>
          <w:color w:val="000000"/>
          <w:sz w:val="24"/>
        </w:rPr>
        <w:t>项目名称：         项目编号：</w:t>
      </w:r>
    </w:p>
    <w:p>
      <w:pPr>
        <w:snapToGrid w:val="0"/>
        <w:spacing w:before="50" w:after="50" w:line="360" w:lineRule="auto"/>
        <w:rPr>
          <w:rFonts w:ascii="宋体" w:hAnsi="宋体" w:cs="宋体"/>
          <w:color w:val="000000"/>
          <w:sz w:val="24"/>
        </w:rPr>
      </w:pPr>
      <w:r>
        <w:rPr>
          <w:rFonts w:hint="eastAsia" w:ascii="宋体" w:hAnsi="宋体" w:cs="宋体"/>
          <w:color w:val="000000"/>
          <w:sz w:val="24"/>
        </w:rPr>
        <w:t>投标人名称：                       单位：元</w:t>
      </w:r>
    </w:p>
    <w:p>
      <w:pPr>
        <w:snapToGrid w:val="0"/>
        <w:spacing w:before="50" w:after="50" w:line="360" w:lineRule="auto"/>
        <w:rPr>
          <w:rFonts w:ascii="宋体" w:hAnsi="宋体" w:cs="宋体"/>
          <w:color w:val="000000"/>
          <w:sz w:val="24"/>
        </w:rPr>
      </w:pPr>
      <w:r>
        <w:rPr>
          <w:rFonts w:hint="eastAsia" w:ascii="宋体" w:hAnsi="宋体" w:cs="宋体"/>
          <w:color w:val="000000"/>
          <w:sz w:val="24"/>
        </w:rPr>
        <w:t>分标：</w:t>
      </w:r>
    </w:p>
    <w:tbl>
      <w:tblPr>
        <w:tblStyle w:val="44"/>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892"/>
        <w:gridCol w:w="1268"/>
        <w:gridCol w:w="1504"/>
        <w:gridCol w:w="2473"/>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2"/>
              </w:rPr>
            </w:pPr>
            <w:r>
              <w:rPr>
                <w:rFonts w:hint="eastAsia" w:ascii="宋体" w:hAnsi="宋体" w:cs="宋体"/>
                <w:szCs w:val="22"/>
              </w:rPr>
              <w:t>序号</w:t>
            </w:r>
          </w:p>
        </w:tc>
        <w:tc>
          <w:tcPr>
            <w:tcW w:w="28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2"/>
              </w:rPr>
            </w:pPr>
            <w:r>
              <w:rPr>
                <w:rFonts w:hint="eastAsia" w:ascii="宋体" w:hAnsi="宋体" w:cs="宋体"/>
                <w:szCs w:val="22"/>
              </w:rPr>
              <w:t>服务名称</w:t>
            </w:r>
          </w:p>
        </w:tc>
        <w:tc>
          <w:tcPr>
            <w:tcW w:w="1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2"/>
              </w:rPr>
            </w:pPr>
            <w:r>
              <w:rPr>
                <w:rFonts w:hint="eastAsia" w:ascii="宋体" w:hAnsi="宋体" w:cs="宋体"/>
                <w:szCs w:val="22"/>
              </w:rPr>
              <w:t>数量①</w:t>
            </w:r>
          </w:p>
        </w:tc>
        <w:tc>
          <w:tcPr>
            <w:tcW w:w="15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2"/>
              </w:rPr>
            </w:pPr>
            <w:r>
              <w:rPr>
                <w:rFonts w:hint="eastAsia" w:ascii="宋体" w:hAnsi="宋体" w:cs="宋体"/>
                <w:szCs w:val="22"/>
              </w:rPr>
              <w:t>单价(元)②</w:t>
            </w:r>
          </w:p>
        </w:tc>
        <w:tc>
          <w:tcPr>
            <w:tcW w:w="24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2"/>
              </w:rPr>
            </w:pPr>
            <w:r>
              <w:rPr>
                <w:rFonts w:hint="eastAsia" w:ascii="宋体" w:hAnsi="宋体" w:cs="宋体"/>
                <w:szCs w:val="22"/>
              </w:rPr>
              <w:t>单项合价（元）</w:t>
            </w:r>
          </w:p>
          <w:p>
            <w:pPr>
              <w:spacing w:line="360" w:lineRule="auto"/>
              <w:jc w:val="center"/>
              <w:rPr>
                <w:rFonts w:ascii="宋体" w:hAnsi="宋体" w:cs="宋体"/>
                <w:szCs w:val="22"/>
              </w:rPr>
            </w:pPr>
            <w:r>
              <w:rPr>
                <w:rFonts w:hint="eastAsia" w:ascii="宋体" w:hAnsi="宋体" w:cs="宋体"/>
                <w:szCs w:val="22"/>
              </w:rPr>
              <w:t>③＝①×②</w:t>
            </w:r>
          </w:p>
        </w:tc>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2"/>
              </w:rPr>
            </w:pPr>
            <w:r>
              <w:rPr>
                <w:rFonts w:hint="eastAsia" w:ascii="宋体" w:hAnsi="宋体" w:cs="宋体"/>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2"/>
              </w:rPr>
            </w:pPr>
            <w:r>
              <w:rPr>
                <w:rFonts w:hint="eastAsia" w:ascii="宋体" w:hAnsi="宋体" w:cs="宋体"/>
                <w:szCs w:val="22"/>
              </w:rPr>
              <w:t>1</w:t>
            </w:r>
          </w:p>
        </w:tc>
        <w:tc>
          <w:tcPr>
            <w:tcW w:w="289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2"/>
              </w:rPr>
            </w:pPr>
          </w:p>
        </w:tc>
        <w:tc>
          <w:tcPr>
            <w:tcW w:w="126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2"/>
              </w:rPr>
            </w:pPr>
          </w:p>
        </w:tc>
        <w:tc>
          <w:tcPr>
            <w:tcW w:w="150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2"/>
              </w:rPr>
            </w:pPr>
          </w:p>
        </w:tc>
        <w:tc>
          <w:tcPr>
            <w:tcW w:w="247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2"/>
              </w:rPr>
            </w:pPr>
          </w:p>
        </w:tc>
        <w:tc>
          <w:tcPr>
            <w:tcW w:w="95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2"/>
              </w:rPr>
            </w:pPr>
            <w:r>
              <w:rPr>
                <w:rFonts w:hint="eastAsia" w:ascii="宋体" w:hAnsi="宋体" w:cs="宋体"/>
                <w:szCs w:val="22"/>
              </w:rPr>
              <w:t>2</w:t>
            </w:r>
          </w:p>
        </w:tc>
        <w:tc>
          <w:tcPr>
            <w:tcW w:w="289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2"/>
              </w:rPr>
            </w:pPr>
          </w:p>
        </w:tc>
        <w:tc>
          <w:tcPr>
            <w:tcW w:w="126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2"/>
              </w:rPr>
            </w:pPr>
          </w:p>
        </w:tc>
        <w:tc>
          <w:tcPr>
            <w:tcW w:w="150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2"/>
              </w:rPr>
            </w:pPr>
          </w:p>
        </w:tc>
        <w:tc>
          <w:tcPr>
            <w:tcW w:w="247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2"/>
              </w:rPr>
            </w:pPr>
          </w:p>
        </w:tc>
        <w:tc>
          <w:tcPr>
            <w:tcW w:w="95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2"/>
              </w:rPr>
            </w:pPr>
            <w:r>
              <w:rPr>
                <w:rFonts w:hint="eastAsia" w:ascii="宋体" w:hAnsi="宋体" w:cs="宋体"/>
                <w:szCs w:val="22"/>
              </w:rPr>
              <w:t>...</w:t>
            </w:r>
          </w:p>
        </w:tc>
        <w:tc>
          <w:tcPr>
            <w:tcW w:w="289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2"/>
              </w:rPr>
            </w:pPr>
          </w:p>
        </w:tc>
        <w:tc>
          <w:tcPr>
            <w:tcW w:w="126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2"/>
              </w:rPr>
            </w:pPr>
          </w:p>
        </w:tc>
        <w:tc>
          <w:tcPr>
            <w:tcW w:w="150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2"/>
              </w:rPr>
            </w:pPr>
          </w:p>
        </w:tc>
        <w:tc>
          <w:tcPr>
            <w:tcW w:w="247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2"/>
              </w:rPr>
            </w:pPr>
          </w:p>
        </w:tc>
        <w:tc>
          <w:tcPr>
            <w:tcW w:w="95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6"/>
            <w:tcBorders>
              <w:top w:val="single" w:color="auto" w:sz="4" w:space="0"/>
              <w:left w:val="single" w:color="auto" w:sz="4" w:space="0"/>
              <w:bottom w:val="single" w:color="auto" w:sz="4" w:space="0"/>
              <w:right w:val="single" w:color="auto" w:sz="4" w:space="0"/>
            </w:tcBorders>
          </w:tcPr>
          <w:p>
            <w:pPr>
              <w:rPr>
                <w:rFonts w:ascii="宋体" w:hAnsi="宋体" w:cs="宋体"/>
                <w:szCs w:val="22"/>
              </w:rPr>
            </w:pPr>
            <w:r>
              <w:rPr>
                <w:rFonts w:hint="eastAsia" w:ascii="宋体" w:hAnsi="宋体" w:cs="宋体"/>
                <w:szCs w:val="22"/>
              </w:rPr>
              <w:t>报价合计（包含税费等所有费用）：（大写）人民币</w:t>
            </w:r>
          </w:p>
          <w:p>
            <w:pPr>
              <w:rPr>
                <w:rFonts w:ascii="宋体" w:hAnsi="宋体" w:cs="宋体"/>
                <w:szCs w:val="22"/>
              </w:rPr>
            </w:pPr>
            <w:r>
              <w:rPr>
                <w:rFonts w:hint="eastAsia" w:ascii="宋体" w:hAnsi="宋体" w:cs="宋体"/>
                <w:szCs w:val="22"/>
              </w:rPr>
              <w:t>（￥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6"/>
            <w:tcBorders>
              <w:top w:val="single" w:color="auto" w:sz="4" w:space="0"/>
              <w:left w:val="single" w:color="auto" w:sz="4" w:space="0"/>
              <w:bottom w:val="single" w:color="auto" w:sz="4" w:space="0"/>
              <w:right w:val="single" w:color="auto" w:sz="4" w:space="0"/>
            </w:tcBorders>
          </w:tcPr>
          <w:p>
            <w:pPr>
              <w:rPr>
                <w:rFonts w:ascii="宋体" w:hAnsi="宋体" w:cs="宋体"/>
                <w:szCs w:val="22"/>
              </w:rPr>
            </w:pPr>
            <w:r>
              <w:rPr>
                <w:rFonts w:hint="eastAsia" w:ascii="宋体" w:hAnsi="宋体" w:cs="宋体"/>
                <w:szCs w:val="22"/>
              </w:rPr>
              <w:t>服务要求（年限）</w:t>
            </w:r>
          </w:p>
        </w:tc>
      </w:tr>
    </w:tbl>
    <w:p>
      <w:pPr>
        <w:spacing w:line="400" w:lineRule="exact"/>
        <w:rPr>
          <w:rFonts w:ascii="宋体" w:hAnsi="宋体" w:cs="宋体"/>
          <w:color w:val="000000"/>
          <w:szCs w:val="21"/>
        </w:rPr>
      </w:pPr>
    </w:p>
    <w:p>
      <w:pPr>
        <w:snapToGrid w:val="0"/>
        <w:spacing w:before="50" w:after="50" w:line="360" w:lineRule="auto"/>
        <w:rPr>
          <w:rFonts w:ascii="宋体" w:hAnsi="宋体" w:cs="宋体"/>
          <w:color w:val="000000"/>
          <w:sz w:val="24"/>
        </w:rPr>
      </w:pPr>
      <w:r>
        <w:rPr>
          <w:rFonts w:hint="eastAsia" w:ascii="宋体" w:hAnsi="宋体" w:cs="宋体"/>
          <w:color w:val="000000"/>
          <w:sz w:val="24"/>
        </w:rPr>
        <w:t xml:space="preserve">注: </w:t>
      </w:r>
    </w:p>
    <w:p>
      <w:pPr>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1.投标人的开标一览表必须加盖投标人电子签章并由法定代表人或者委托代理人签字或者电子签名，</w:t>
      </w:r>
      <w:r>
        <w:rPr>
          <w:rFonts w:hint="eastAsia" w:ascii="宋体" w:hAnsi="宋体" w:cs="宋体"/>
          <w:b/>
          <w:color w:val="000000"/>
          <w:sz w:val="24"/>
        </w:rPr>
        <w:t>否则其投标作无效标处理</w:t>
      </w:r>
      <w:r>
        <w:rPr>
          <w:rFonts w:hint="eastAsia" w:ascii="宋体" w:hAnsi="宋体" w:cs="宋体"/>
          <w:color w:val="000000"/>
          <w:sz w:val="24"/>
        </w:rPr>
        <w:t>。</w:t>
      </w:r>
    </w:p>
    <w:p>
      <w:pPr>
        <w:snapToGrid w:val="0"/>
        <w:spacing w:line="360" w:lineRule="auto"/>
        <w:ind w:firstLine="480" w:firstLineChars="200"/>
        <w:jc w:val="left"/>
        <w:rPr>
          <w:rFonts w:ascii="宋体" w:hAnsi="宋体" w:cs="宋体"/>
          <w:b/>
          <w:color w:val="000000"/>
          <w:sz w:val="24"/>
        </w:rPr>
      </w:pPr>
      <w:r>
        <w:rPr>
          <w:rFonts w:hint="eastAsia" w:ascii="宋体" w:hAnsi="宋体" w:cs="宋体"/>
          <w:bCs/>
          <w:color w:val="000000"/>
          <w:sz w:val="24"/>
        </w:rPr>
        <w:t>2.</w:t>
      </w:r>
      <w:r>
        <w:rPr>
          <w:rFonts w:hint="eastAsia" w:ascii="宋体" w:hAnsi="宋体" w:cs="宋体"/>
          <w:color w:val="000000"/>
          <w:sz w:val="24"/>
        </w:rPr>
        <w:t>报价一经涂改，应在涂改处加盖投标人公章或者加盖电子签章或者由法定代表人或者委托代理人签字（或者电子签名）</w:t>
      </w:r>
      <w:r>
        <w:rPr>
          <w:rFonts w:hint="eastAsia" w:ascii="宋体" w:hAnsi="宋体" w:cs="宋体"/>
          <w:b/>
          <w:color w:val="000000"/>
          <w:sz w:val="24"/>
        </w:rPr>
        <w:t>，否则其投标作无效标处理。</w:t>
      </w:r>
    </w:p>
    <w:p>
      <w:pPr>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3.招标文件中列明采购专用耗材的，应按招标文件规定的耗材量或者按耗材的常规试用量提供报价。</w:t>
      </w:r>
    </w:p>
    <w:p>
      <w:pPr>
        <w:snapToGrid w:val="0"/>
        <w:spacing w:line="360" w:lineRule="auto"/>
        <w:ind w:firstLine="480" w:firstLineChars="200"/>
        <w:rPr>
          <w:rFonts w:ascii="宋体" w:hAnsi="宋体" w:cs="宋体"/>
          <w:b/>
          <w:color w:val="000000"/>
          <w:sz w:val="24"/>
        </w:rPr>
      </w:pPr>
      <w:r>
        <w:rPr>
          <w:rFonts w:hint="eastAsia" w:ascii="宋体" w:hAnsi="宋体" w:cs="宋体"/>
          <w:color w:val="000000"/>
          <w:sz w:val="24"/>
        </w:rPr>
        <w:t>4.如有多分标，按分标分别提供开标一览表</w:t>
      </w:r>
      <w:r>
        <w:rPr>
          <w:rFonts w:hint="eastAsia" w:ascii="宋体" w:hAnsi="宋体" w:cs="宋体"/>
          <w:b/>
          <w:color w:val="000000"/>
          <w:sz w:val="24"/>
        </w:rPr>
        <w:t>。</w:t>
      </w:r>
    </w:p>
    <w:p>
      <w:pPr>
        <w:snapToGrid w:val="0"/>
        <w:spacing w:line="360" w:lineRule="auto"/>
        <w:ind w:firstLine="482" w:firstLineChars="200"/>
        <w:rPr>
          <w:rFonts w:ascii="宋体" w:hAnsi="宋体" w:cs="宋体"/>
          <w:b/>
          <w:color w:val="000000"/>
          <w:sz w:val="24"/>
        </w:rPr>
      </w:pPr>
    </w:p>
    <w:p>
      <w:pPr>
        <w:snapToGrid w:val="0"/>
        <w:spacing w:line="360" w:lineRule="auto"/>
        <w:ind w:left="-2" w:leftChars="-1" w:right="-817" w:rightChars="-389"/>
        <w:rPr>
          <w:rFonts w:ascii="宋体" w:hAnsi="宋体" w:cs="宋体"/>
          <w:color w:val="000000"/>
          <w:sz w:val="24"/>
        </w:rPr>
      </w:pPr>
      <w:r>
        <w:rPr>
          <w:rFonts w:hint="eastAsia" w:ascii="宋体" w:hAnsi="宋体" w:cs="宋体"/>
          <w:color w:val="000000"/>
          <w:sz w:val="24"/>
        </w:rPr>
        <w:t xml:space="preserve">                           法定代表人或者委托代理人（签字或者电子签名）： </w:t>
      </w:r>
    </w:p>
    <w:p>
      <w:pPr>
        <w:snapToGrid w:val="0"/>
        <w:spacing w:line="360" w:lineRule="auto"/>
        <w:ind w:left="-3" w:leftChars="-15" w:right="-817" w:rightChars="-389" w:hanging="28" w:hangingChars="12"/>
        <w:rPr>
          <w:rFonts w:ascii="宋体" w:hAnsi="宋体" w:cs="宋体"/>
          <w:color w:val="000000"/>
          <w:sz w:val="24"/>
        </w:rPr>
      </w:pPr>
      <w:r>
        <w:rPr>
          <w:rFonts w:hint="eastAsia" w:ascii="宋体" w:hAnsi="宋体" w:cs="宋体"/>
          <w:color w:val="000000"/>
          <w:sz w:val="24"/>
        </w:rPr>
        <w:t xml:space="preserve">                                  投标人名称（电子签章）：</w:t>
      </w:r>
    </w:p>
    <w:p>
      <w:pPr>
        <w:snapToGrid w:val="0"/>
        <w:spacing w:line="360" w:lineRule="auto"/>
        <w:ind w:left="-3" w:leftChars="-15" w:right="-817" w:rightChars="-389" w:hanging="28" w:hangingChars="12"/>
        <w:rPr>
          <w:rFonts w:ascii="宋体" w:hAnsi="宋体" w:cs="宋体"/>
          <w:color w:val="000000"/>
          <w:sz w:val="24"/>
        </w:rPr>
      </w:pPr>
      <w:r>
        <w:rPr>
          <w:rFonts w:hint="eastAsia" w:ascii="宋体" w:hAnsi="宋体" w:cs="宋体"/>
          <w:color w:val="000000"/>
          <w:sz w:val="24"/>
        </w:rPr>
        <w:t xml:space="preserve">                                  日期：    年   月   日</w:t>
      </w:r>
    </w:p>
    <w:p>
      <w:pPr>
        <w:rPr>
          <w:rFonts w:ascii="宋体" w:hAnsi="宋体" w:cs="宋体"/>
          <w:b/>
          <w:color w:val="000000"/>
          <w:sz w:val="28"/>
          <w:szCs w:val="28"/>
        </w:rPr>
      </w:pPr>
      <w:r>
        <w:rPr>
          <w:rFonts w:hint="eastAsia" w:ascii="宋体" w:hAnsi="宋体" w:cs="宋体"/>
          <w:color w:val="000000"/>
          <w:sz w:val="24"/>
        </w:rPr>
        <w:br w:type="page"/>
      </w:r>
      <w:bookmarkStart w:id="247" w:name="_Toc19686837"/>
      <w:r>
        <w:rPr>
          <w:rFonts w:hint="eastAsia" w:ascii="宋体" w:hAnsi="宋体" w:cs="宋体"/>
          <w:b/>
          <w:color w:val="000000"/>
          <w:sz w:val="28"/>
          <w:szCs w:val="28"/>
        </w:rPr>
        <w:t>二、资格证明文件格式</w:t>
      </w:r>
      <w:bookmarkEnd w:id="245"/>
      <w:bookmarkEnd w:id="246"/>
      <w:bookmarkEnd w:id="247"/>
    </w:p>
    <w:p>
      <w:pPr>
        <w:numPr>
          <w:ilvl w:val="2"/>
          <w:numId w:val="9"/>
        </w:numPr>
        <w:snapToGrid w:val="0"/>
        <w:spacing w:beforeLines="50" w:after="50" w:line="360" w:lineRule="auto"/>
        <w:ind w:left="0" w:firstLine="0"/>
        <w:jc w:val="left"/>
        <w:rPr>
          <w:rFonts w:ascii="宋体" w:hAnsi="宋体" w:cs="宋体"/>
          <w:b/>
          <w:color w:val="000000"/>
          <w:sz w:val="24"/>
        </w:rPr>
      </w:pPr>
      <w:r>
        <w:rPr>
          <w:rFonts w:hint="eastAsia" w:ascii="宋体" w:hAnsi="宋体" w:cs="宋体"/>
          <w:b/>
          <w:color w:val="000000"/>
          <w:sz w:val="24"/>
        </w:rPr>
        <w:t xml:space="preserve">资格证明文件封面格式： </w:t>
      </w:r>
    </w:p>
    <w:p>
      <w:pPr>
        <w:snapToGrid w:val="0"/>
        <w:spacing w:beforeLines="50" w:after="50"/>
        <w:jc w:val="center"/>
        <w:rPr>
          <w:rFonts w:ascii="宋体" w:hAnsi="宋体" w:cs="宋体"/>
          <w:bCs/>
          <w:color w:val="000000"/>
          <w:sz w:val="48"/>
          <w:szCs w:val="48"/>
        </w:rPr>
      </w:pPr>
      <w:r>
        <w:rPr>
          <w:rFonts w:hint="eastAsia" w:ascii="宋体" w:hAnsi="宋体" w:cs="宋体"/>
          <w:bCs/>
          <w:color w:val="000000"/>
          <w:sz w:val="48"/>
          <w:szCs w:val="48"/>
        </w:rPr>
        <w:t>电子投标文件</w:t>
      </w:r>
    </w:p>
    <w:p>
      <w:pPr>
        <w:snapToGrid w:val="0"/>
        <w:spacing w:beforeLines="50" w:after="50"/>
        <w:rPr>
          <w:rFonts w:ascii="宋体" w:hAnsi="宋体" w:cs="宋体"/>
          <w:color w:val="000000"/>
          <w:sz w:val="24"/>
          <w:szCs w:val="20"/>
        </w:rPr>
      </w:pPr>
    </w:p>
    <w:p>
      <w:pPr>
        <w:snapToGrid w:val="0"/>
        <w:spacing w:beforeLines="50" w:after="50"/>
        <w:jc w:val="center"/>
        <w:rPr>
          <w:rFonts w:ascii="宋体" w:hAnsi="宋体" w:cs="宋体"/>
          <w:b/>
          <w:color w:val="000000"/>
          <w:sz w:val="24"/>
          <w:szCs w:val="20"/>
        </w:rPr>
      </w:pPr>
      <w:r>
        <w:rPr>
          <w:rFonts w:hint="eastAsia" w:ascii="宋体" w:hAnsi="宋体" w:cs="宋体"/>
          <w:b/>
          <w:color w:val="000000"/>
          <w:sz w:val="32"/>
          <w:szCs w:val="32"/>
        </w:rPr>
        <w:t>资格证明文件</w:t>
      </w:r>
    </w:p>
    <w:p>
      <w:pPr>
        <w:snapToGrid w:val="0"/>
        <w:spacing w:beforeLines="50" w:after="50"/>
        <w:rPr>
          <w:rFonts w:ascii="宋体" w:hAnsi="宋体" w:cs="宋体"/>
          <w:bCs/>
          <w:color w:val="000000"/>
          <w:sz w:val="24"/>
          <w:szCs w:val="20"/>
        </w:rPr>
      </w:pPr>
    </w:p>
    <w:p>
      <w:pPr>
        <w:snapToGrid w:val="0"/>
        <w:spacing w:beforeLines="50" w:after="50"/>
        <w:rPr>
          <w:rFonts w:ascii="宋体" w:hAnsi="宋体" w:cs="宋体"/>
          <w:bCs/>
          <w:color w:val="000000"/>
          <w:sz w:val="24"/>
          <w:szCs w:val="20"/>
        </w:rPr>
      </w:pPr>
    </w:p>
    <w:p>
      <w:pPr>
        <w:snapToGrid w:val="0"/>
        <w:spacing w:beforeLines="50" w:after="50"/>
        <w:rPr>
          <w:rFonts w:ascii="宋体" w:hAnsi="宋体" w:cs="宋体"/>
          <w:bCs/>
          <w:color w:val="000000"/>
          <w:sz w:val="24"/>
          <w:szCs w:val="20"/>
        </w:rPr>
      </w:pPr>
    </w:p>
    <w:p>
      <w:pPr>
        <w:snapToGrid w:val="0"/>
        <w:spacing w:beforeLines="50" w:after="50"/>
        <w:rPr>
          <w:rFonts w:ascii="宋体" w:hAnsi="宋体" w:cs="宋体"/>
          <w:bCs/>
          <w:color w:val="000000"/>
          <w:sz w:val="24"/>
          <w:szCs w:val="20"/>
        </w:rPr>
      </w:pPr>
    </w:p>
    <w:p>
      <w:pPr>
        <w:snapToGrid w:val="0"/>
        <w:spacing w:beforeLines="50" w:after="50"/>
        <w:rPr>
          <w:rFonts w:ascii="宋体" w:hAnsi="宋体" w:cs="宋体"/>
          <w:bCs/>
          <w:color w:val="000000"/>
          <w:sz w:val="24"/>
          <w:szCs w:val="20"/>
        </w:rPr>
      </w:pPr>
    </w:p>
    <w:p>
      <w:pPr>
        <w:snapToGrid w:val="0"/>
        <w:spacing w:beforeLines="50" w:after="50"/>
        <w:rPr>
          <w:rFonts w:ascii="宋体" w:hAnsi="宋体" w:cs="宋体"/>
          <w:bCs/>
          <w:color w:val="000000"/>
          <w:sz w:val="24"/>
          <w:szCs w:val="20"/>
        </w:rPr>
      </w:pPr>
    </w:p>
    <w:p>
      <w:pPr>
        <w:snapToGrid w:val="0"/>
        <w:spacing w:beforeLines="50" w:after="50"/>
        <w:rPr>
          <w:rFonts w:ascii="宋体" w:hAnsi="宋体" w:cs="宋体"/>
          <w:bCs/>
          <w:color w:val="000000"/>
          <w:sz w:val="24"/>
          <w:szCs w:val="20"/>
        </w:rPr>
      </w:pPr>
    </w:p>
    <w:p>
      <w:pPr>
        <w:snapToGrid w:val="0"/>
        <w:spacing w:beforeLines="50" w:after="50"/>
        <w:ind w:firstLine="540" w:firstLineChars="225"/>
        <w:rPr>
          <w:rFonts w:ascii="宋体" w:hAnsi="宋体" w:cs="宋体"/>
          <w:bCs/>
          <w:color w:val="000000"/>
          <w:sz w:val="24"/>
        </w:rPr>
      </w:pPr>
      <w:r>
        <w:rPr>
          <w:rFonts w:hint="eastAsia" w:ascii="宋体" w:hAnsi="宋体" w:cs="宋体"/>
          <w:bCs/>
          <w:color w:val="000000"/>
          <w:sz w:val="24"/>
        </w:rPr>
        <w:t>项目名称：</w:t>
      </w:r>
    </w:p>
    <w:p>
      <w:pPr>
        <w:snapToGrid w:val="0"/>
        <w:spacing w:beforeLines="50" w:after="50"/>
        <w:ind w:firstLine="540" w:firstLineChars="225"/>
        <w:rPr>
          <w:rFonts w:ascii="宋体" w:hAnsi="宋体" w:cs="宋体"/>
          <w:bCs/>
          <w:color w:val="000000"/>
          <w:sz w:val="24"/>
          <w:szCs w:val="20"/>
        </w:rPr>
      </w:pPr>
    </w:p>
    <w:p>
      <w:pPr>
        <w:snapToGrid w:val="0"/>
        <w:spacing w:beforeLines="50" w:after="50"/>
        <w:ind w:firstLine="540" w:firstLineChars="225"/>
        <w:rPr>
          <w:rFonts w:ascii="宋体" w:hAnsi="宋体" w:cs="宋体"/>
          <w:bCs/>
          <w:color w:val="000000"/>
          <w:sz w:val="24"/>
        </w:rPr>
      </w:pPr>
      <w:r>
        <w:rPr>
          <w:rFonts w:hint="eastAsia" w:ascii="宋体" w:hAnsi="宋体" w:cs="宋体"/>
          <w:bCs/>
          <w:color w:val="000000"/>
          <w:sz w:val="24"/>
        </w:rPr>
        <w:t>项目编号：</w:t>
      </w:r>
    </w:p>
    <w:p>
      <w:pPr>
        <w:snapToGrid w:val="0"/>
        <w:spacing w:beforeLines="50" w:after="50"/>
        <w:ind w:firstLine="540" w:firstLineChars="225"/>
        <w:rPr>
          <w:rFonts w:ascii="宋体" w:hAnsi="宋体" w:cs="宋体"/>
          <w:bCs/>
          <w:color w:val="000000"/>
          <w:sz w:val="24"/>
          <w:szCs w:val="20"/>
        </w:rPr>
      </w:pPr>
    </w:p>
    <w:p>
      <w:pPr>
        <w:snapToGrid w:val="0"/>
        <w:spacing w:beforeLines="50" w:after="50"/>
        <w:ind w:firstLine="540" w:firstLineChars="225"/>
        <w:rPr>
          <w:rFonts w:ascii="宋体" w:hAnsi="宋体" w:cs="宋体"/>
          <w:bCs/>
          <w:color w:val="000000"/>
          <w:sz w:val="24"/>
        </w:rPr>
      </w:pPr>
      <w:r>
        <w:rPr>
          <w:rFonts w:hint="eastAsia" w:ascii="宋体" w:hAnsi="宋体" w:cs="宋体"/>
          <w:bCs/>
          <w:color w:val="000000"/>
          <w:sz w:val="24"/>
        </w:rPr>
        <w:t>所投分标：（如有则填写，无分标时填写“无”或者留空）</w:t>
      </w:r>
    </w:p>
    <w:p>
      <w:pPr>
        <w:pStyle w:val="8"/>
        <w:snapToGrid w:val="0"/>
        <w:spacing w:before="50" w:after="50"/>
        <w:ind w:firstLine="540" w:firstLineChars="225"/>
        <w:rPr>
          <w:rFonts w:ascii="宋体" w:hAnsi="宋体" w:cs="宋体"/>
          <w:bCs/>
          <w:color w:val="000000"/>
          <w:sz w:val="24"/>
          <w:szCs w:val="24"/>
        </w:rPr>
      </w:pPr>
    </w:p>
    <w:p>
      <w:pPr>
        <w:pStyle w:val="8"/>
        <w:snapToGrid w:val="0"/>
        <w:spacing w:before="50" w:after="50"/>
        <w:ind w:firstLine="540" w:firstLineChars="225"/>
        <w:rPr>
          <w:rFonts w:ascii="宋体" w:hAnsi="宋体" w:cs="宋体"/>
          <w:bCs/>
          <w:color w:val="000000"/>
          <w:sz w:val="24"/>
          <w:szCs w:val="24"/>
        </w:rPr>
      </w:pPr>
      <w:r>
        <w:rPr>
          <w:rFonts w:hint="eastAsia" w:ascii="宋体" w:hAnsi="宋体" w:cs="宋体"/>
          <w:bCs/>
          <w:color w:val="000000"/>
          <w:sz w:val="24"/>
          <w:szCs w:val="24"/>
        </w:rPr>
        <w:t>投标人名称：</w:t>
      </w:r>
    </w:p>
    <w:p>
      <w:pPr>
        <w:pStyle w:val="8"/>
        <w:snapToGrid w:val="0"/>
        <w:spacing w:before="50" w:after="50"/>
        <w:ind w:firstLine="540" w:firstLineChars="225"/>
        <w:rPr>
          <w:rFonts w:ascii="宋体" w:hAnsi="宋体" w:cs="宋体"/>
          <w:bCs/>
          <w:color w:val="000000"/>
          <w:sz w:val="24"/>
          <w:szCs w:val="24"/>
        </w:rPr>
      </w:pPr>
    </w:p>
    <w:p>
      <w:pPr>
        <w:pStyle w:val="8"/>
        <w:snapToGrid w:val="0"/>
        <w:spacing w:before="50" w:after="50"/>
        <w:ind w:firstLine="540" w:firstLineChars="225"/>
        <w:rPr>
          <w:rFonts w:ascii="宋体" w:hAnsi="宋体" w:cs="宋体"/>
          <w:bCs/>
          <w:color w:val="000000"/>
          <w:sz w:val="24"/>
          <w:szCs w:val="24"/>
        </w:rPr>
      </w:pPr>
      <w:r>
        <w:rPr>
          <w:rFonts w:hint="eastAsia" w:ascii="宋体" w:hAnsi="宋体" w:cs="宋体"/>
          <w:bCs/>
          <w:color w:val="000000"/>
          <w:sz w:val="24"/>
          <w:szCs w:val="24"/>
        </w:rPr>
        <w:t>投标人地址：</w:t>
      </w:r>
    </w:p>
    <w:p>
      <w:pPr>
        <w:pStyle w:val="8"/>
        <w:snapToGrid w:val="0"/>
        <w:spacing w:before="50" w:after="50"/>
        <w:rPr>
          <w:rFonts w:ascii="宋体" w:hAnsi="宋体" w:cs="宋体"/>
          <w:bCs/>
          <w:color w:val="000000"/>
          <w:sz w:val="24"/>
          <w:szCs w:val="24"/>
        </w:rPr>
      </w:pPr>
    </w:p>
    <w:p>
      <w:pPr>
        <w:snapToGrid w:val="0"/>
        <w:spacing w:beforeLines="50" w:after="50"/>
        <w:ind w:firstLine="645"/>
        <w:jc w:val="center"/>
        <w:rPr>
          <w:rFonts w:ascii="宋体" w:hAnsi="宋体" w:cs="宋体"/>
          <w:color w:val="000000"/>
          <w:sz w:val="24"/>
        </w:rPr>
      </w:pPr>
      <w:r>
        <w:rPr>
          <w:rFonts w:hint="eastAsia" w:ascii="宋体" w:hAnsi="宋体" w:cs="宋体"/>
          <w:color w:val="000000"/>
          <w:sz w:val="24"/>
        </w:rPr>
        <w:t>年  月  日</w:t>
      </w:r>
    </w:p>
    <w:p>
      <w:pPr>
        <w:snapToGrid w:val="0"/>
        <w:spacing w:beforeLines="50" w:after="50"/>
        <w:rPr>
          <w:rFonts w:ascii="宋体" w:hAnsi="宋体" w:cs="宋体"/>
          <w:color w:val="000000"/>
          <w:sz w:val="24"/>
          <w:szCs w:val="20"/>
        </w:rPr>
      </w:pPr>
    </w:p>
    <w:p>
      <w:pPr>
        <w:snapToGrid w:val="0"/>
        <w:spacing w:beforeLines="50" w:after="50"/>
        <w:rPr>
          <w:rFonts w:ascii="宋体" w:hAnsi="宋体" w:cs="宋体"/>
          <w:color w:val="000000"/>
          <w:sz w:val="24"/>
          <w:szCs w:val="20"/>
        </w:rPr>
      </w:pPr>
    </w:p>
    <w:p>
      <w:pPr>
        <w:numPr>
          <w:ilvl w:val="2"/>
          <w:numId w:val="9"/>
        </w:numPr>
        <w:snapToGrid w:val="0"/>
        <w:spacing w:beforeLines="50" w:after="50" w:line="360" w:lineRule="auto"/>
        <w:ind w:left="0" w:firstLine="0"/>
        <w:jc w:val="left"/>
        <w:rPr>
          <w:rFonts w:ascii="宋体" w:hAnsi="宋体" w:cs="宋体"/>
          <w:color w:val="000000"/>
          <w:sz w:val="24"/>
          <w:szCs w:val="20"/>
        </w:rPr>
      </w:pPr>
      <w:r>
        <w:rPr>
          <w:rFonts w:hint="eastAsia" w:ascii="宋体" w:hAnsi="宋体" w:cs="宋体"/>
          <w:b/>
          <w:bCs/>
          <w:color w:val="000000"/>
          <w:sz w:val="24"/>
        </w:rPr>
        <w:br w:type="page"/>
      </w:r>
      <w:r>
        <w:rPr>
          <w:rFonts w:hint="eastAsia" w:ascii="宋体" w:hAnsi="宋体" w:cs="宋体"/>
          <w:b/>
          <w:bCs/>
          <w:color w:val="000000"/>
          <w:sz w:val="24"/>
        </w:rPr>
        <w:t>资格证明文件目录</w:t>
      </w:r>
    </w:p>
    <w:p>
      <w:pPr>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根据招标文件规定及投标人提供的材料自行编写目录。</w:t>
      </w:r>
    </w:p>
    <w:p>
      <w:pPr>
        <w:snapToGrid w:val="0"/>
        <w:spacing w:before="50" w:afterLines="50"/>
        <w:jc w:val="left"/>
        <w:rPr>
          <w:rFonts w:ascii="宋体" w:hAnsi="宋体" w:cs="宋体"/>
          <w:color w:val="000000"/>
          <w:sz w:val="24"/>
        </w:rPr>
      </w:pPr>
    </w:p>
    <w:p>
      <w:pPr>
        <w:snapToGrid w:val="0"/>
        <w:spacing w:before="50" w:afterLines="50"/>
        <w:jc w:val="left"/>
        <w:rPr>
          <w:rFonts w:ascii="宋体" w:hAnsi="宋体" w:cs="宋体"/>
          <w:color w:val="000000"/>
          <w:sz w:val="24"/>
        </w:rPr>
      </w:pPr>
    </w:p>
    <w:p>
      <w:pPr>
        <w:numPr>
          <w:ilvl w:val="2"/>
          <w:numId w:val="9"/>
        </w:numPr>
        <w:snapToGrid w:val="0"/>
        <w:spacing w:beforeLines="50" w:after="50"/>
        <w:ind w:left="0" w:firstLine="0"/>
        <w:jc w:val="left"/>
        <w:rPr>
          <w:rFonts w:ascii="宋体" w:hAnsi="宋体" w:cs="宋体"/>
          <w:b/>
          <w:color w:val="000000"/>
          <w:sz w:val="24"/>
        </w:rPr>
      </w:pPr>
      <w:r>
        <w:rPr>
          <w:rFonts w:hint="eastAsia" w:ascii="宋体" w:hAnsi="宋体" w:cs="宋体"/>
          <w:b/>
          <w:color w:val="000000"/>
          <w:sz w:val="24"/>
        </w:rPr>
        <w:br w:type="page"/>
      </w:r>
      <w:r>
        <w:rPr>
          <w:rFonts w:hint="eastAsia" w:ascii="宋体" w:hAnsi="宋体" w:cs="宋体"/>
          <w:b/>
          <w:color w:val="000000"/>
          <w:sz w:val="28"/>
          <w:szCs w:val="28"/>
        </w:rPr>
        <w:t>投标人直接控股、管理关系信息表</w:t>
      </w:r>
    </w:p>
    <w:p>
      <w:pPr>
        <w:snapToGrid w:val="0"/>
        <w:spacing w:before="50" w:afterLines="50"/>
        <w:jc w:val="center"/>
        <w:rPr>
          <w:rFonts w:ascii="宋体" w:hAnsi="宋体" w:cs="宋体"/>
          <w:b/>
          <w:color w:val="000000"/>
          <w:sz w:val="28"/>
          <w:szCs w:val="28"/>
        </w:rPr>
      </w:pPr>
    </w:p>
    <w:p>
      <w:pPr>
        <w:snapToGrid w:val="0"/>
        <w:spacing w:before="50" w:afterLines="50" w:line="360" w:lineRule="auto"/>
        <w:jc w:val="center"/>
        <w:rPr>
          <w:rFonts w:ascii="宋体" w:hAnsi="宋体" w:cs="宋体"/>
          <w:b/>
          <w:color w:val="000000"/>
          <w:sz w:val="32"/>
          <w:szCs w:val="32"/>
        </w:rPr>
      </w:pPr>
      <w:r>
        <w:rPr>
          <w:rFonts w:hint="eastAsia" w:ascii="宋体" w:hAnsi="宋体" w:cs="宋体"/>
          <w:b/>
          <w:color w:val="000000"/>
          <w:sz w:val="32"/>
          <w:szCs w:val="32"/>
        </w:rPr>
        <w:t>投标人直接控股股东信息表</w:t>
      </w:r>
    </w:p>
    <w:tbl>
      <w:tblPr>
        <w:tblStyle w:val="44"/>
        <w:tblW w:w="9276" w:type="dxa"/>
        <w:tblInd w:w="0" w:type="dxa"/>
        <w:shd w:val="clear" w:color="auto" w:fill="FBFBFB"/>
        <w:tblLayout w:type="fixed"/>
        <w:tblCellMar>
          <w:top w:w="0" w:type="dxa"/>
          <w:left w:w="0" w:type="dxa"/>
          <w:bottom w:w="0" w:type="dxa"/>
          <w:right w:w="0" w:type="dxa"/>
        </w:tblCellMar>
      </w:tblPr>
      <w:tblGrid>
        <w:gridCol w:w="810"/>
        <w:gridCol w:w="2474"/>
        <w:gridCol w:w="1355"/>
        <w:gridCol w:w="3249"/>
        <w:gridCol w:w="1388"/>
      </w:tblGrid>
      <w:tr>
        <w:tblPrEx>
          <w:shd w:val="clear" w:color="auto" w:fill="FBFBFB"/>
          <w:tblCellMar>
            <w:top w:w="0" w:type="dxa"/>
            <w:left w:w="0" w:type="dxa"/>
            <w:bottom w:w="0" w:type="dxa"/>
            <w:right w:w="0" w:type="dxa"/>
          </w:tblCellMar>
        </w:tblPrEx>
        <w:trPr>
          <w:tblHeader/>
        </w:trPr>
        <w:tc>
          <w:tcPr>
            <w:tcW w:w="81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247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color w:val="000000"/>
                <w:kern w:val="0"/>
                <w:sz w:val="24"/>
              </w:rPr>
            </w:pPr>
            <w:r>
              <w:rPr>
                <w:rFonts w:hint="eastAsia" w:ascii="宋体" w:hAnsi="宋体" w:cs="宋体"/>
                <w:b/>
                <w:bCs/>
                <w:color w:val="000000"/>
                <w:kern w:val="0"/>
                <w:sz w:val="24"/>
              </w:rPr>
              <w:t>直接控股股东名称</w:t>
            </w:r>
          </w:p>
        </w:tc>
        <w:tc>
          <w:tcPr>
            <w:tcW w:w="13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color w:val="000000"/>
                <w:kern w:val="0"/>
                <w:sz w:val="24"/>
              </w:rPr>
            </w:pPr>
            <w:r>
              <w:rPr>
                <w:rFonts w:hint="eastAsia" w:ascii="宋体" w:hAnsi="宋体" w:cs="宋体"/>
                <w:b/>
                <w:bCs/>
                <w:color w:val="000000"/>
                <w:kern w:val="0"/>
                <w:sz w:val="24"/>
              </w:rPr>
              <w:t>出资比例</w:t>
            </w:r>
          </w:p>
        </w:tc>
        <w:tc>
          <w:tcPr>
            <w:tcW w:w="324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color w:val="000000"/>
                <w:kern w:val="0"/>
                <w:sz w:val="24"/>
              </w:rPr>
            </w:pPr>
            <w:r>
              <w:rPr>
                <w:rFonts w:hint="eastAsia" w:ascii="宋体" w:hAnsi="宋体" w:cs="宋体"/>
                <w:b/>
                <w:bCs/>
                <w:color w:val="000000"/>
                <w:kern w:val="0"/>
                <w:sz w:val="24"/>
              </w:rPr>
              <w:t>身份证号码或者统一社会信用代码</w:t>
            </w:r>
          </w:p>
        </w:tc>
        <w:tc>
          <w:tcPr>
            <w:tcW w:w="138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color w:val="000000"/>
                <w:kern w:val="0"/>
                <w:sz w:val="24"/>
              </w:rPr>
            </w:pPr>
            <w:r>
              <w:rPr>
                <w:rFonts w:hint="eastAsia" w:ascii="宋体" w:hAnsi="宋体" w:cs="宋体"/>
                <w:b/>
                <w:bCs/>
                <w:color w:val="000000"/>
                <w:kern w:val="0"/>
                <w:sz w:val="24"/>
              </w:rPr>
              <w:t>备注</w:t>
            </w:r>
          </w:p>
        </w:tc>
      </w:tr>
      <w:tr>
        <w:tblPrEx>
          <w:tblCellMar>
            <w:top w:w="0" w:type="dxa"/>
            <w:left w:w="0" w:type="dxa"/>
            <w:bottom w:w="0" w:type="dxa"/>
            <w:right w:w="0" w:type="dxa"/>
          </w:tblCellMar>
        </w:tblPrEx>
        <w:tc>
          <w:tcPr>
            <w:tcW w:w="81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r>
              <w:rPr>
                <w:rFonts w:hint="eastAsia" w:ascii="宋体" w:hAnsi="宋体" w:cs="宋体"/>
                <w:color w:val="000000"/>
                <w:kern w:val="0"/>
                <w:sz w:val="24"/>
              </w:rPr>
              <w:t>1</w:t>
            </w:r>
          </w:p>
        </w:tc>
        <w:tc>
          <w:tcPr>
            <w:tcW w:w="247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c>
          <w:tcPr>
            <w:tcW w:w="13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c>
          <w:tcPr>
            <w:tcW w:w="324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c>
          <w:tcPr>
            <w:tcW w:w="138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r>
      <w:tr>
        <w:tblPrEx>
          <w:tblCellMar>
            <w:top w:w="0" w:type="dxa"/>
            <w:left w:w="0" w:type="dxa"/>
            <w:bottom w:w="0" w:type="dxa"/>
            <w:right w:w="0" w:type="dxa"/>
          </w:tblCellMar>
        </w:tblPrEx>
        <w:tc>
          <w:tcPr>
            <w:tcW w:w="81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r>
              <w:rPr>
                <w:rFonts w:hint="eastAsia" w:ascii="宋体" w:hAnsi="宋体" w:cs="宋体"/>
                <w:color w:val="000000"/>
                <w:kern w:val="0"/>
                <w:sz w:val="24"/>
              </w:rPr>
              <w:t>2</w:t>
            </w:r>
          </w:p>
        </w:tc>
        <w:tc>
          <w:tcPr>
            <w:tcW w:w="247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c>
          <w:tcPr>
            <w:tcW w:w="13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c>
          <w:tcPr>
            <w:tcW w:w="324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c>
          <w:tcPr>
            <w:tcW w:w="138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r>
      <w:tr>
        <w:tblPrEx>
          <w:tblCellMar>
            <w:top w:w="0" w:type="dxa"/>
            <w:left w:w="0" w:type="dxa"/>
            <w:bottom w:w="0" w:type="dxa"/>
            <w:right w:w="0" w:type="dxa"/>
          </w:tblCellMar>
        </w:tblPrEx>
        <w:tc>
          <w:tcPr>
            <w:tcW w:w="81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r>
              <w:rPr>
                <w:rFonts w:hint="eastAsia" w:ascii="宋体" w:hAnsi="宋体" w:cs="宋体"/>
                <w:color w:val="000000"/>
                <w:kern w:val="0"/>
                <w:sz w:val="24"/>
              </w:rPr>
              <w:t>3</w:t>
            </w:r>
          </w:p>
        </w:tc>
        <w:tc>
          <w:tcPr>
            <w:tcW w:w="247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c>
          <w:tcPr>
            <w:tcW w:w="13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c>
          <w:tcPr>
            <w:tcW w:w="324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c>
          <w:tcPr>
            <w:tcW w:w="138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r>
      <w:tr>
        <w:tblPrEx>
          <w:tblCellMar>
            <w:top w:w="0" w:type="dxa"/>
            <w:left w:w="0" w:type="dxa"/>
            <w:bottom w:w="0" w:type="dxa"/>
            <w:right w:w="0" w:type="dxa"/>
          </w:tblCellMar>
        </w:tblPrEx>
        <w:tc>
          <w:tcPr>
            <w:tcW w:w="81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r>
              <w:rPr>
                <w:rFonts w:hint="eastAsia" w:ascii="宋体" w:hAnsi="宋体" w:cs="宋体"/>
                <w:color w:val="000000"/>
                <w:kern w:val="0"/>
                <w:sz w:val="24"/>
              </w:rPr>
              <w:t>……</w:t>
            </w:r>
          </w:p>
        </w:tc>
        <w:tc>
          <w:tcPr>
            <w:tcW w:w="247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c>
          <w:tcPr>
            <w:tcW w:w="13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c>
          <w:tcPr>
            <w:tcW w:w="324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c>
          <w:tcPr>
            <w:tcW w:w="138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r>
    </w:tbl>
    <w:p>
      <w:pPr>
        <w:snapToGrid w:val="0"/>
        <w:spacing w:line="360" w:lineRule="auto"/>
        <w:jc w:val="left"/>
        <w:rPr>
          <w:rFonts w:ascii="宋体" w:hAnsi="宋体" w:cs="宋体"/>
          <w:color w:val="000000"/>
          <w:sz w:val="24"/>
        </w:rPr>
      </w:pPr>
      <w:r>
        <w:rPr>
          <w:rFonts w:hint="eastAsia" w:ascii="宋体" w:hAnsi="宋体" w:cs="宋体"/>
          <w:color w:val="000000"/>
          <w:sz w:val="24"/>
        </w:rPr>
        <w:t>注：</w:t>
      </w:r>
    </w:p>
    <w:p>
      <w:pPr>
        <w:snapToGrid w:val="0"/>
        <w:spacing w:line="360" w:lineRule="auto"/>
        <w:jc w:val="left"/>
        <w:rPr>
          <w:rFonts w:ascii="宋体" w:hAnsi="宋体" w:cs="宋体"/>
          <w:color w:val="000000"/>
          <w:sz w:val="24"/>
        </w:rPr>
      </w:pPr>
      <w:r>
        <w:rPr>
          <w:rFonts w:hint="eastAsia" w:ascii="宋体" w:hAnsi="宋体" w:cs="宋体"/>
          <w:color w:val="00000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ascii="宋体" w:hAnsi="宋体" w:cs="宋体"/>
          <w:color w:val="000000"/>
          <w:sz w:val="24"/>
        </w:rPr>
      </w:pPr>
      <w:r>
        <w:rPr>
          <w:rFonts w:hint="eastAsia" w:ascii="宋体" w:hAnsi="宋体" w:cs="宋体"/>
          <w:color w:val="000000"/>
          <w:sz w:val="24"/>
        </w:rPr>
        <w:t>2.本表所指的控股关系仅限于直接控股关系，不包括间接的控股关系。公司实际控制人与公司之间的关系不属于本表所指的直接控股关系。</w:t>
      </w:r>
    </w:p>
    <w:p>
      <w:pPr>
        <w:snapToGrid w:val="0"/>
        <w:spacing w:line="360" w:lineRule="auto"/>
        <w:jc w:val="left"/>
        <w:rPr>
          <w:rFonts w:ascii="宋体" w:hAnsi="宋体" w:cs="宋体"/>
          <w:color w:val="000000"/>
          <w:sz w:val="24"/>
        </w:rPr>
      </w:pPr>
      <w:r>
        <w:rPr>
          <w:rFonts w:hint="eastAsia" w:ascii="宋体" w:hAnsi="宋体" w:cs="宋体"/>
          <w:color w:val="000000"/>
          <w:sz w:val="24"/>
        </w:rPr>
        <w:t>3.供应商不存在直接控股股东的，则在“</w:t>
      </w:r>
      <w:r>
        <w:rPr>
          <w:rFonts w:hint="eastAsia" w:ascii="宋体" w:hAnsi="宋体" w:cs="宋体"/>
          <w:b/>
          <w:bCs/>
          <w:color w:val="000000"/>
          <w:kern w:val="0"/>
          <w:sz w:val="24"/>
        </w:rPr>
        <w:t>直接控股股东名称</w:t>
      </w:r>
      <w:r>
        <w:rPr>
          <w:rFonts w:hint="eastAsia" w:ascii="宋体" w:hAnsi="宋体" w:cs="宋体"/>
          <w:color w:val="000000"/>
          <w:sz w:val="24"/>
        </w:rPr>
        <w:t>”中填“无”。</w:t>
      </w:r>
    </w:p>
    <w:p>
      <w:pPr>
        <w:snapToGrid w:val="0"/>
        <w:spacing w:line="360" w:lineRule="auto"/>
        <w:jc w:val="left"/>
        <w:rPr>
          <w:rFonts w:ascii="宋体" w:hAnsi="宋体" w:cs="宋体"/>
          <w:color w:val="000000"/>
          <w:sz w:val="24"/>
        </w:rPr>
      </w:pPr>
    </w:p>
    <w:p>
      <w:pPr>
        <w:snapToGrid w:val="0"/>
        <w:spacing w:line="360" w:lineRule="auto"/>
        <w:jc w:val="left"/>
        <w:rPr>
          <w:rFonts w:ascii="宋体" w:hAnsi="宋体" w:cs="宋体"/>
          <w:color w:val="000000"/>
          <w:sz w:val="24"/>
        </w:rPr>
      </w:pPr>
    </w:p>
    <w:p>
      <w:pPr>
        <w:snapToGrid w:val="0"/>
        <w:spacing w:line="360" w:lineRule="auto"/>
        <w:jc w:val="left"/>
        <w:rPr>
          <w:rFonts w:ascii="宋体" w:hAnsi="宋体" w:cs="宋体"/>
          <w:color w:val="000000"/>
          <w:sz w:val="24"/>
        </w:rPr>
      </w:pPr>
    </w:p>
    <w:p>
      <w:pPr>
        <w:snapToGrid w:val="0"/>
        <w:spacing w:line="360" w:lineRule="auto"/>
        <w:jc w:val="left"/>
        <w:rPr>
          <w:rFonts w:ascii="宋体" w:hAnsi="宋体" w:cs="宋体"/>
          <w:color w:val="000000"/>
          <w:sz w:val="24"/>
        </w:rPr>
      </w:pPr>
    </w:p>
    <w:p>
      <w:pPr>
        <w:snapToGrid w:val="0"/>
        <w:spacing w:line="360" w:lineRule="auto"/>
        <w:jc w:val="left"/>
        <w:rPr>
          <w:rFonts w:ascii="宋体" w:hAnsi="宋体" w:cs="宋体"/>
          <w:color w:val="000000"/>
          <w:sz w:val="24"/>
        </w:rPr>
      </w:pPr>
    </w:p>
    <w:p>
      <w:pPr>
        <w:snapToGrid w:val="0"/>
        <w:spacing w:line="360" w:lineRule="auto"/>
        <w:ind w:left="-2" w:leftChars="-1" w:right="-817" w:rightChars="-389" w:firstLine="1920" w:firstLineChars="800"/>
        <w:rPr>
          <w:rFonts w:ascii="宋体" w:hAnsi="宋体" w:cs="宋体"/>
          <w:color w:val="000000"/>
          <w:sz w:val="24"/>
        </w:rPr>
      </w:pPr>
      <w:r>
        <w:rPr>
          <w:rFonts w:hint="eastAsia" w:ascii="宋体" w:hAnsi="宋体" w:cs="宋体"/>
          <w:color w:val="000000"/>
          <w:sz w:val="24"/>
        </w:rPr>
        <w:t xml:space="preserve">法定代表人或者委托代理人（签字或者电子签名）： </w:t>
      </w:r>
    </w:p>
    <w:p>
      <w:pPr>
        <w:snapToGrid w:val="0"/>
        <w:spacing w:line="360" w:lineRule="auto"/>
        <w:ind w:left="-3" w:leftChars="-15" w:right="-817" w:rightChars="-389" w:hanging="28" w:hangingChars="12"/>
        <w:rPr>
          <w:rFonts w:ascii="宋体" w:hAnsi="宋体" w:cs="宋体"/>
          <w:color w:val="000000"/>
          <w:sz w:val="24"/>
        </w:rPr>
      </w:pPr>
      <w:r>
        <w:rPr>
          <w:rFonts w:hint="eastAsia" w:ascii="宋体" w:hAnsi="宋体" w:cs="宋体"/>
          <w:color w:val="000000"/>
          <w:sz w:val="24"/>
        </w:rPr>
        <w:t xml:space="preserve">                                    投标人名称（电子签章）：</w:t>
      </w:r>
    </w:p>
    <w:p>
      <w:pPr>
        <w:snapToGrid w:val="0"/>
        <w:spacing w:line="360" w:lineRule="auto"/>
        <w:jc w:val="left"/>
        <w:rPr>
          <w:rFonts w:ascii="宋体" w:hAnsi="宋体" w:cs="宋体"/>
          <w:color w:val="000000"/>
          <w:szCs w:val="21"/>
        </w:rPr>
      </w:pPr>
      <w:r>
        <w:rPr>
          <w:rFonts w:hint="eastAsia" w:ascii="宋体" w:hAnsi="宋体" w:cs="宋体"/>
          <w:color w:val="000000"/>
          <w:sz w:val="24"/>
        </w:rPr>
        <w:t xml:space="preserve">                                    日期：    年   月   日</w:t>
      </w:r>
    </w:p>
    <w:p>
      <w:pPr>
        <w:snapToGrid w:val="0"/>
        <w:spacing w:beforeLines="50" w:after="50" w:line="360" w:lineRule="auto"/>
        <w:ind w:right="480" w:firstLine="6465" w:firstLineChars="2300"/>
        <w:rPr>
          <w:rFonts w:ascii="宋体" w:hAnsi="宋体" w:cs="宋体"/>
          <w:b/>
          <w:color w:val="000000"/>
          <w:sz w:val="28"/>
          <w:szCs w:val="28"/>
        </w:rPr>
      </w:pPr>
      <w:r>
        <w:rPr>
          <w:rFonts w:hint="eastAsia" w:ascii="宋体" w:hAnsi="宋体" w:cs="宋体"/>
          <w:b/>
          <w:color w:val="000000"/>
          <w:sz w:val="28"/>
          <w:szCs w:val="28"/>
        </w:rPr>
        <w:br w:type="page"/>
      </w:r>
    </w:p>
    <w:p>
      <w:pPr>
        <w:snapToGrid w:val="0"/>
        <w:spacing w:line="360" w:lineRule="auto"/>
        <w:jc w:val="center"/>
        <w:rPr>
          <w:rFonts w:ascii="宋体" w:hAnsi="宋体" w:cs="宋体"/>
          <w:color w:val="000000"/>
          <w:sz w:val="32"/>
          <w:szCs w:val="32"/>
        </w:rPr>
      </w:pPr>
      <w:r>
        <w:rPr>
          <w:rFonts w:hint="eastAsia" w:ascii="宋体" w:hAnsi="宋体" w:cs="宋体"/>
          <w:b/>
          <w:color w:val="000000"/>
          <w:sz w:val="32"/>
          <w:szCs w:val="32"/>
        </w:rPr>
        <w:t>投标人直接管理关系信息表</w:t>
      </w:r>
    </w:p>
    <w:tbl>
      <w:tblPr>
        <w:tblStyle w:val="44"/>
        <w:tblW w:w="9276" w:type="dxa"/>
        <w:tblInd w:w="0" w:type="dxa"/>
        <w:shd w:val="clear" w:color="auto" w:fill="FBFBFB"/>
        <w:tblLayout w:type="fixed"/>
        <w:tblCellMar>
          <w:top w:w="0" w:type="dxa"/>
          <w:left w:w="0" w:type="dxa"/>
          <w:bottom w:w="0" w:type="dxa"/>
          <w:right w:w="0" w:type="dxa"/>
        </w:tblCellMar>
      </w:tblPr>
      <w:tblGrid>
        <w:gridCol w:w="966"/>
        <w:gridCol w:w="2555"/>
        <w:gridCol w:w="3772"/>
        <w:gridCol w:w="1983"/>
      </w:tblGrid>
      <w:tr>
        <w:tblPrEx>
          <w:shd w:val="clear" w:color="auto" w:fill="FBFBFB"/>
          <w:tblCellMar>
            <w:top w:w="0" w:type="dxa"/>
            <w:left w:w="0" w:type="dxa"/>
            <w:bottom w:w="0" w:type="dxa"/>
            <w:right w:w="0" w:type="dxa"/>
          </w:tblCellMar>
        </w:tblPrEx>
        <w:trPr>
          <w:tblHeader/>
        </w:trPr>
        <w:tc>
          <w:tcPr>
            <w:tcW w:w="966"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25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color w:val="000000"/>
                <w:kern w:val="0"/>
                <w:sz w:val="24"/>
              </w:rPr>
            </w:pPr>
            <w:r>
              <w:rPr>
                <w:rFonts w:hint="eastAsia" w:ascii="宋体" w:hAnsi="宋体" w:cs="宋体"/>
                <w:b/>
                <w:bCs/>
                <w:color w:val="000000"/>
                <w:kern w:val="0"/>
                <w:sz w:val="24"/>
              </w:rPr>
              <w:t>直接管理关系单位名称</w:t>
            </w:r>
          </w:p>
        </w:tc>
        <w:tc>
          <w:tcPr>
            <w:tcW w:w="377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color w:val="000000"/>
                <w:kern w:val="0"/>
                <w:sz w:val="24"/>
              </w:rPr>
            </w:pPr>
            <w:r>
              <w:rPr>
                <w:rFonts w:hint="eastAsia" w:ascii="宋体" w:hAnsi="宋体" w:cs="宋体"/>
                <w:b/>
                <w:bCs/>
                <w:color w:val="000000"/>
                <w:kern w:val="0"/>
                <w:sz w:val="24"/>
              </w:rPr>
              <w:t>统一社会信用代码</w:t>
            </w:r>
          </w:p>
        </w:tc>
        <w:tc>
          <w:tcPr>
            <w:tcW w:w="1983"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color w:val="000000"/>
                <w:kern w:val="0"/>
                <w:sz w:val="24"/>
              </w:rPr>
            </w:pPr>
            <w:r>
              <w:rPr>
                <w:rFonts w:hint="eastAsia" w:ascii="宋体" w:hAnsi="宋体" w:cs="宋体"/>
                <w:b/>
                <w:bCs/>
                <w:color w:val="000000"/>
                <w:kern w:val="0"/>
                <w:sz w:val="24"/>
              </w:rPr>
              <w:t>备注</w:t>
            </w:r>
          </w:p>
        </w:tc>
      </w:tr>
      <w:tr>
        <w:tblPrEx>
          <w:tblCellMar>
            <w:top w:w="0" w:type="dxa"/>
            <w:left w:w="0" w:type="dxa"/>
            <w:bottom w:w="0" w:type="dxa"/>
            <w:right w:w="0" w:type="dxa"/>
          </w:tblCellMar>
        </w:tblPrEx>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r>
              <w:rPr>
                <w:rFonts w:hint="eastAsia" w:ascii="宋体" w:hAnsi="宋体" w:cs="宋体"/>
                <w:color w:val="000000"/>
                <w:kern w:val="0"/>
                <w:sz w:val="24"/>
              </w:rPr>
              <w:t>1</w:t>
            </w:r>
          </w:p>
        </w:tc>
        <w:tc>
          <w:tcPr>
            <w:tcW w:w="2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c>
          <w:tcPr>
            <w:tcW w:w="377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c>
          <w:tcPr>
            <w:tcW w:w="198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r>
      <w:tr>
        <w:tblPrEx>
          <w:tblCellMar>
            <w:top w:w="0" w:type="dxa"/>
            <w:left w:w="0" w:type="dxa"/>
            <w:bottom w:w="0" w:type="dxa"/>
            <w:right w:w="0" w:type="dxa"/>
          </w:tblCellMar>
        </w:tblPrEx>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r>
              <w:rPr>
                <w:rFonts w:hint="eastAsia" w:ascii="宋体" w:hAnsi="宋体" w:cs="宋体"/>
                <w:color w:val="000000"/>
                <w:kern w:val="0"/>
                <w:sz w:val="24"/>
              </w:rPr>
              <w:t>2</w:t>
            </w:r>
          </w:p>
        </w:tc>
        <w:tc>
          <w:tcPr>
            <w:tcW w:w="2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c>
          <w:tcPr>
            <w:tcW w:w="377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c>
          <w:tcPr>
            <w:tcW w:w="198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r>
      <w:tr>
        <w:tblPrEx>
          <w:tblCellMar>
            <w:top w:w="0" w:type="dxa"/>
            <w:left w:w="0" w:type="dxa"/>
            <w:bottom w:w="0" w:type="dxa"/>
            <w:right w:w="0" w:type="dxa"/>
          </w:tblCellMar>
        </w:tblPrEx>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r>
              <w:rPr>
                <w:rFonts w:hint="eastAsia" w:ascii="宋体" w:hAnsi="宋体" w:cs="宋体"/>
                <w:color w:val="000000"/>
                <w:kern w:val="0"/>
                <w:sz w:val="24"/>
              </w:rPr>
              <w:t>3</w:t>
            </w:r>
          </w:p>
        </w:tc>
        <w:tc>
          <w:tcPr>
            <w:tcW w:w="2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c>
          <w:tcPr>
            <w:tcW w:w="377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c>
          <w:tcPr>
            <w:tcW w:w="198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r>
      <w:tr>
        <w:tblPrEx>
          <w:tblCellMar>
            <w:top w:w="0" w:type="dxa"/>
            <w:left w:w="0" w:type="dxa"/>
            <w:bottom w:w="0" w:type="dxa"/>
            <w:right w:w="0" w:type="dxa"/>
          </w:tblCellMar>
        </w:tblPrEx>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r>
              <w:rPr>
                <w:rFonts w:hint="eastAsia" w:ascii="宋体" w:hAnsi="宋体" w:cs="宋体"/>
                <w:color w:val="000000"/>
                <w:kern w:val="0"/>
                <w:sz w:val="24"/>
              </w:rPr>
              <w:t>……</w:t>
            </w:r>
          </w:p>
        </w:tc>
        <w:tc>
          <w:tcPr>
            <w:tcW w:w="2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c>
          <w:tcPr>
            <w:tcW w:w="377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c>
          <w:tcPr>
            <w:tcW w:w="198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color w:val="000000"/>
                <w:kern w:val="0"/>
                <w:sz w:val="24"/>
              </w:rPr>
            </w:pPr>
          </w:p>
        </w:tc>
      </w:tr>
    </w:tbl>
    <w:p>
      <w:pPr>
        <w:snapToGrid w:val="0"/>
        <w:spacing w:line="360" w:lineRule="auto"/>
        <w:jc w:val="left"/>
        <w:rPr>
          <w:rFonts w:ascii="宋体" w:hAnsi="宋体" w:cs="宋体"/>
          <w:color w:val="000000"/>
          <w:sz w:val="24"/>
        </w:rPr>
      </w:pPr>
      <w:r>
        <w:rPr>
          <w:rFonts w:hint="eastAsia" w:ascii="宋体" w:hAnsi="宋体" w:cs="宋体"/>
          <w:color w:val="000000"/>
          <w:sz w:val="24"/>
        </w:rPr>
        <w:t>注：</w:t>
      </w:r>
    </w:p>
    <w:p>
      <w:pPr>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2.</w:t>
      </w:r>
      <w:r>
        <w:rPr>
          <w:rFonts w:hint="eastAsia" w:ascii="宋体" w:hAnsi="宋体" w:cs="宋体"/>
          <w:color w:val="000000"/>
          <w:spacing w:val="-6"/>
          <w:sz w:val="24"/>
        </w:rPr>
        <w:t>本表所指的管理关系仅限于直接管理关系，不包括间接的管理关系。</w:t>
      </w:r>
    </w:p>
    <w:p>
      <w:pPr>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3.供应商不存在直接管理关系的，则在“</w:t>
      </w:r>
      <w:r>
        <w:rPr>
          <w:rFonts w:hint="eastAsia" w:ascii="宋体" w:hAnsi="宋体" w:cs="宋体"/>
          <w:b/>
          <w:bCs/>
          <w:color w:val="000000"/>
          <w:kern w:val="0"/>
          <w:sz w:val="24"/>
        </w:rPr>
        <w:t>直接管理关系单位名称</w:t>
      </w:r>
      <w:r>
        <w:rPr>
          <w:rFonts w:hint="eastAsia" w:ascii="宋体" w:hAnsi="宋体" w:cs="宋体"/>
          <w:color w:val="000000"/>
          <w:sz w:val="24"/>
        </w:rPr>
        <w:t>”中填“无”。</w:t>
      </w:r>
    </w:p>
    <w:p>
      <w:pPr>
        <w:snapToGrid w:val="0"/>
        <w:spacing w:line="360" w:lineRule="auto"/>
        <w:ind w:firstLine="480" w:firstLineChars="200"/>
        <w:jc w:val="left"/>
        <w:rPr>
          <w:rFonts w:ascii="宋体" w:hAnsi="宋体" w:cs="宋体"/>
          <w:color w:val="000000"/>
          <w:sz w:val="24"/>
        </w:rPr>
      </w:pPr>
    </w:p>
    <w:p>
      <w:pPr>
        <w:snapToGrid w:val="0"/>
        <w:spacing w:line="360" w:lineRule="auto"/>
        <w:jc w:val="left"/>
        <w:rPr>
          <w:rFonts w:ascii="宋体" w:hAnsi="宋体" w:cs="宋体"/>
          <w:color w:val="000000"/>
          <w:sz w:val="24"/>
        </w:rPr>
      </w:pPr>
    </w:p>
    <w:p>
      <w:pPr>
        <w:snapToGrid w:val="0"/>
        <w:spacing w:line="360" w:lineRule="auto"/>
        <w:jc w:val="left"/>
        <w:rPr>
          <w:rFonts w:ascii="宋体" w:hAnsi="宋体" w:cs="宋体"/>
          <w:color w:val="000000"/>
          <w:sz w:val="24"/>
        </w:rPr>
      </w:pPr>
    </w:p>
    <w:p>
      <w:pPr>
        <w:snapToGrid w:val="0"/>
        <w:spacing w:line="360" w:lineRule="auto"/>
        <w:jc w:val="left"/>
        <w:rPr>
          <w:rFonts w:ascii="宋体" w:hAnsi="宋体" w:cs="宋体"/>
          <w:color w:val="000000"/>
          <w:sz w:val="24"/>
        </w:rPr>
      </w:pPr>
    </w:p>
    <w:p>
      <w:pPr>
        <w:snapToGrid w:val="0"/>
        <w:spacing w:line="360" w:lineRule="auto"/>
        <w:jc w:val="left"/>
        <w:rPr>
          <w:rFonts w:ascii="宋体" w:hAnsi="宋体" w:cs="宋体"/>
          <w:color w:val="000000"/>
          <w:sz w:val="24"/>
        </w:rPr>
      </w:pPr>
    </w:p>
    <w:p>
      <w:pPr>
        <w:snapToGrid w:val="0"/>
        <w:spacing w:line="360" w:lineRule="auto"/>
        <w:jc w:val="left"/>
        <w:rPr>
          <w:rFonts w:ascii="宋体" w:hAnsi="宋体" w:cs="宋体"/>
          <w:color w:val="000000"/>
          <w:sz w:val="24"/>
        </w:rPr>
      </w:pPr>
    </w:p>
    <w:p>
      <w:pPr>
        <w:snapToGrid w:val="0"/>
        <w:spacing w:line="360" w:lineRule="auto"/>
        <w:jc w:val="left"/>
        <w:rPr>
          <w:rFonts w:ascii="宋体" w:hAnsi="宋体" w:cs="宋体"/>
          <w:color w:val="000000"/>
          <w:sz w:val="24"/>
        </w:rPr>
      </w:pPr>
    </w:p>
    <w:p>
      <w:pPr>
        <w:snapToGrid w:val="0"/>
        <w:spacing w:line="360" w:lineRule="auto"/>
        <w:jc w:val="left"/>
        <w:rPr>
          <w:rFonts w:ascii="宋体" w:hAnsi="宋体" w:cs="宋体"/>
          <w:color w:val="000000"/>
          <w:sz w:val="24"/>
        </w:rPr>
      </w:pPr>
    </w:p>
    <w:p>
      <w:pPr>
        <w:snapToGrid w:val="0"/>
        <w:spacing w:line="360" w:lineRule="auto"/>
        <w:ind w:left="-2" w:leftChars="-1" w:right="-817" w:rightChars="-389" w:firstLine="1920" w:firstLineChars="800"/>
        <w:rPr>
          <w:rFonts w:ascii="宋体" w:hAnsi="宋体" w:cs="宋体"/>
          <w:color w:val="000000"/>
          <w:sz w:val="24"/>
        </w:rPr>
      </w:pPr>
      <w:r>
        <w:rPr>
          <w:rFonts w:hint="eastAsia" w:ascii="宋体" w:hAnsi="宋体" w:cs="宋体"/>
          <w:color w:val="000000"/>
          <w:sz w:val="24"/>
        </w:rPr>
        <w:t xml:space="preserve">法定代表人或者委托代理人（签字或者电子签名）： </w:t>
      </w:r>
    </w:p>
    <w:p>
      <w:pPr>
        <w:snapToGrid w:val="0"/>
        <w:spacing w:line="360" w:lineRule="auto"/>
        <w:ind w:left="-3" w:leftChars="-15" w:right="-817" w:rightChars="-389" w:hanging="28" w:hangingChars="12"/>
        <w:rPr>
          <w:rFonts w:ascii="宋体" w:hAnsi="宋体" w:cs="宋体"/>
          <w:color w:val="000000"/>
          <w:sz w:val="24"/>
        </w:rPr>
      </w:pPr>
      <w:r>
        <w:rPr>
          <w:rFonts w:hint="eastAsia" w:ascii="宋体" w:hAnsi="宋体" w:cs="宋体"/>
          <w:color w:val="000000"/>
          <w:sz w:val="24"/>
        </w:rPr>
        <w:t xml:space="preserve">                                  投标人名称（电子签章）：</w:t>
      </w:r>
    </w:p>
    <w:p>
      <w:pPr>
        <w:snapToGrid w:val="0"/>
        <w:spacing w:line="360" w:lineRule="auto"/>
        <w:ind w:right="480" w:firstLine="240" w:firstLineChars="100"/>
        <w:jc w:val="left"/>
        <w:rPr>
          <w:rFonts w:ascii="宋体" w:hAnsi="宋体" w:cs="宋体"/>
          <w:color w:val="000000"/>
          <w:szCs w:val="21"/>
        </w:rPr>
      </w:pPr>
      <w:r>
        <w:rPr>
          <w:rFonts w:hint="eastAsia" w:ascii="宋体" w:hAnsi="宋体" w:cs="宋体"/>
          <w:color w:val="000000"/>
          <w:sz w:val="24"/>
        </w:rPr>
        <w:t xml:space="preserve">                                日期：    年   月   日</w:t>
      </w:r>
    </w:p>
    <w:p>
      <w:pPr>
        <w:snapToGrid w:val="0"/>
        <w:spacing w:beforeLines="50" w:after="50" w:line="360" w:lineRule="auto"/>
        <w:ind w:right="480" w:firstLine="240" w:firstLineChars="100"/>
        <w:jc w:val="right"/>
        <w:rPr>
          <w:rFonts w:ascii="宋体" w:hAnsi="宋体" w:cs="宋体"/>
          <w:color w:val="000000"/>
          <w:sz w:val="24"/>
        </w:rPr>
      </w:pPr>
    </w:p>
    <w:p>
      <w:pPr>
        <w:pStyle w:val="2"/>
      </w:pPr>
    </w:p>
    <w:p>
      <w:pPr>
        <w:snapToGrid w:val="0"/>
        <w:spacing w:beforeLines="50" w:after="50"/>
        <w:jc w:val="left"/>
        <w:rPr>
          <w:rFonts w:ascii="宋体" w:hAnsi="宋体" w:cs="宋体"/>
          <w:b/>
          <w:color w:val="000000"/>
          <w:sz w:val="24"/>
          <w:szCs w:val="20"/>
        </w:rPr>
      </w:pPr>
    </w:p>
    <w:p>
      <w:pPr>
        <w:numPr>
          <w:ilvl w:val="2"/>
          <w:numId w:val="9"/>
        </w:numPr>
        <w:snapToGrid w:val="0"/>
        <w:spacing w:beforeLines="50" w:after="50"/>
        <w:ind w:left="0" w:firstLine="0"/>
        <w:jc w:val="left"/>
        <w:rPr>
          <w:rFonts w:ascii="宋体" w:hAnsi="宋体" w:cs="宋体"/>
          <w:b/>
          <w:color w:val="000000"/>
          <w:sz w:val="24"/>
          <w:szCs w:val="20"/>
        </w:rPr>
      </w:pPr>
      <w:r>
        <w:rPr>
          <w:rFonts w:hint="eastAsia" w:ascii="宋体" w:hAnsi="宋体" w:cs="宋体"/>
          <w:b/>
          <w:color w:val="000000"/>
          <w:sz w:val="24"/>
        </w:rPr>
        <w:t>投标声明</w:t>
      </w:r>
    </w:p>
    <w:p>
      <w:pPr>
        <w:snapToGrid w:val="0"/>
        <w:spacing w:before="50" w:afterLines="50"/>
        <w:jc w:val="left"/>
        <w:rPr>
          <w:rFonts w:ascii="宋体" w:hAnsi="宋体" w:cs="宋体"/>
          <w:color w:val="000000"/>
        </w:rPr>
      </w:pPr>
    </w:p>
    <w:p>
      <w:pPr>
        <w:snapToGrid w:val="0"/>
        <w:spacing w:before="50" w:afterLines="50"/>
        <w:jc w:val="center"/>
        <w:rPr>
          <w:rFonts w:ascii="宋体" w:hAnsi="宋体" w:cs="宋体"/>
          <w:b/>
          <w:color w:val="000000"/>
          <w:sz w:val="32"/>
          <w:szCs w:val="32"/>
        </w:rPr>
      </w:pPr>
      <w:r>
        <w:rPr>
          <w:rFonts w:hint="eastAsia" w:ascii="宋体" w:hAnsi="宋体" w:cs="宋体"/>
          <w:b/>
          <w:color w:val="000000"/>
          <w:sz w:val="32"/>
          <w:szCs w:val="32"/>
        </w:rPr>
        <w:t>投标声明</w:t>
      </w:r>
    </w:p>
    <w:p>
      <w:pPr>
        <w:spacing w:line="400" w:lineRule="exact"/>
        <w:contextualSpacing/>
        <w:jc w:val="left"/>
        <w:rPr>
          <w:rFonts w:ascii="宋体" w:hAnsi="宋体" w:cs="宋体"/>
          <w:color w:val="000000"/>
          <w:sz w:val="24"/>
        </w:rPr>
      </w:pPr>
      <w:r>
        <w:rPr>
          <w:rFonts w:hint="eastAsia" w:ascii="宋体" w:hAnsi="宋体" w:cs="宋体"/>
          <w:color w:val="000000"/>
          <w:sz w:val="24"/>
        </w:rPr>
        <w:t>（采购人名称）：</w:t>
      </w:r>
    </w:p>
    <w:p>
      <w:pPr>
        <w:spacing w:line="400" w:lineRule="exact"/>
        <w:ind w:firstLine="523" w:firstLineChars="218"/>
        <w:contextualSpacing/>
        <w:jc w:val="left"/>
        <w:rPr>
          <w:rFonts w:ascii="宋体" w:hAnsi="宋体" w:cs="宋体"/>
          <w:color w:val="000000"/>
          <w:sz w:val="24"/>
        </w:rPr>
      </w:pPr>
      <w:r>
        <w:rPr>
          <w:rFonts w:hint="eastAsia" w:ascii="宋体" w:hAnsi="宋体" w:cs="宋体"/>
          <w:color w:val="000000"/>
          <w:sz w:val="24"/>
        </w:rPr>
        <w:t>我方参加贵单位组织</w:t>
      </w:r>
      <w:r>
        <w:rPr>
          <w:rFonts w:hint="eastAsia" w:ascii="宋体" w:hAnsi="宋体" w:cs="宋体"/>
          <w:color w:val="000000"/>
          <w:sz w:val="24"/>
          <w:u w:val="single"/>
          <w:lang w:val="en-US" w:eastAsia="zh-CN"/>
        </w:rPr>
        <w:t xml:space="preserve">   </w:t>
      </w:r>
      <w:r>
        <w:rPr>
          <w:rFonts w:hint="eastAsia" w:ascii="宋体" w:hAnsi="宋体" w:cs="宋体"/>
          <w:color w:val="000000"/>
          <w:sz w:val="24"/>
          <w:u w:val="single"/>
        </w:rPr>
        <w:t>项目（项目编号：）</w:t>
      </w:r>
      <w:r>
        <w:rPr>
          <w:rFonts w:hint="eastAsia" w:ascii="宋体" w:hAnsi="宋体" w:cs="宋体"/>
          <w:color w:val="000000"/>
          <w:sz w:val="24"/>
        </w:rPr>
        <w:t>的政府采购活动。我方在此郑重声明：</w:t>
      </w:r>
    </w:p>
    <w:p>
      <w:pPr>
        <w:spacing w:line="400" w:lineRule="exact"/>
        <w:ind w:firstLine="480" w:firstLineChars="200"/>
        <w:contextualSpacing/>
        <w:jc w:val="left"/>
        <w:rPr>
          <w:rFonts w:ascii="宋体" w:hAnsi="宋体" w:cs="宋体"/>
          <w:color w:val="000000"/>
          <w:sz w:val="24"/>
        </w:rPr>
      </w:pPr>
      <w:r>
        <w:rPr>
          <w:rFonts w:hint="eastAsia" w:ascii="宋体" w:hAnsi="宋体" w:cs="宋体"/>
          <w:color w:val="000000"/>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pacing w:line="400" w:lineRule="exact"/>
        <w:ind w:firstLine="480" w:firstLineChars="200"/>
        <w:contextualSpacing/>
        <w:jc w:val="left"/>
        <w:rPr>
          <w:rFonts w:ascii="宋体" w:hAnsi="宋体" w:cs="宋体"/>
          <w:color w:val="000000"/>
          <w:sz w:val="24"/>
        </w:rPr>
      </w:pPr>
      <w:r>
        <w:rPr>
          <w:rFonts w:hint="eastAsia" w:ascii="宋体" w:hAnsi="宋体" w:cs="宋体"/>
          <w:color w:val="000000"/>
          <w:sz w:val="24"/>
        </w:rPr>
        <w:t>2.我方不是为本次采购项目提供整体设计、规范编制或者项目管理、监理、检测等服务的供应商。</w:t>
      </w:r>
    </w:p>
    <w:p>
      <w:pPr>
        <w:spacing w:line="400" w:lineRule="exact"/>
        <w:ind w:firstLine="480" w:firstLineChars="200"/>
        <w:contextualSpacing/>
        <w:jc w:val="left"/>
        <w:rPr>
          <w:rFonts w:ascii="宋体" w:hAnsi="宋体" w:cs="宋体"/>
          <w:color w:val="000000"/>
          <w:sz w:val="24"/>
        </w:rPr>
      </w:pPr>
      <w:r>
        <w:rPr>
          <w:rFonts w:hint="eastAsia" w:ascii="宋体" w:hAnsi="宋体" w:cs="宋体"/>
          <w:color w:val="000000"/>
          <w:sz w:val="24"/>
        </w:rPr>
        <w:t>3. 我方承诺符合《中华人民共和国政府采购法》第二十二条规定：</w:t>
      </w:r>
    </w:p>
    <w:p>
      <w:pPr>
        <w:spacing w:line="400" w:lineRule="exact"/>
        <w:ind w:firstLine="480" w:firstLineChars="200"/>
        <w:contextualSpacing/>
        <w:jc w:val="left"/>
        <w:rPr>
          <w:rFonts w:ascii="宋体" w:hAnsi="宋体" w:cs="宋体"/>
          <w:color w:val="000000"/>
          <w:sz w:val="24"/>
        </w:rPr>
      </w:pPr>
      <w:r>
        <w:rPr>
          <w:rFonts w:hint="eastAsia" w:ascii="宋体" w:hAnsi="宋体" w:cs="宋体"/>
          <w:color w:val="000000"/>
          <w:sz w:val="24"/>
        </w:rPr>
        <w:t>（一）具有独立承担民事责任的能力；</w:t>
      </w:r>
    </w:p>
    <w:p>
      <w:pPr>
        <w:spacing w:line="400" w:lineRule="exact"/>
        <w:ind w:firstLine="480" w:firstLineChars="200"/>
        <w:contextualSpacing/>
        <w:jc w:val="left"/>
        <w:rPr>
          <w:rFonts w:ascii="宋体" w:hAnsi="宋体" w:cs="宋体"/>
          <w:color w:val="000000"/>
          <w:sz w:val="24"/>
        </w:rPr>
      </w:pPr>
      <w:r>
        <w:rPr>
          <w:rFonts w:hint="eastAsia" w:ascii="宋体" w:hAnsi="宋体" w:cs="宋体"/>
          <w:color w:val="000000"/>
          <w:sz w:val="24"/>
        </w:rPr>
        <w:t>（二）具有良好的商业信誉和健全的财务会计制度；</w:t>
      </w:r>
    </w:p>
    <w:p>
      <w:pPr>
        <w:spacing w:line="400" w:lineRule="exact"/>
        <w:ind w:firstLine="480" w:firstLineChars="200"/>
        <w:contextualSpacing/>
        <w:jc w:val="left"/>
        <w:rPr>
          <w:rFonts w:ascii="宋体" w:hAnsi="宋体" w:cs="宋体"/>
          <w:color w:val="000000"/>
          <w:sz w:val="24"/>
        </w:rPr>
      </w:pPr>
      <w:r>
        <w:rPr>
          <w:rFonts w:hint="eastAsia" w:ascii="宋体" w:hAnsi="宋体" w:cs="宋体"/>
          <w:color w:val="000000"/>
          <w:sz w:val="24"/>
        </w:rPr>
        <w:t>（三）具有履行合同所必需的设备和专业技术能力；</w:t>
      </w:r>
    </w:p>
    <w:p>
      <w:pPr>
        <w:spacing w:line="400" w:lineRule="exact"/>
        <w:ind w:firstLine="480" w:firstLineChars="200"/>
        <w:contextualSpacing/>
        <w:jc w:val="left"/>
        <w:rPr>
          <w:rFonts w:ascii="宋体" w:hAnsi="宋体" w:cs="宋体"/>
          <w:color w:val="000000"/>
          <w:sz w:val="24"/>
        </w:rPr>
      </w:pPr>
      <w:r>
        <w:rPr>
          <w:rFonts w:hint="eastAsia" w:ascii="宋体" w:hAnsi="宋体" w:cs="宋体"/>
          <w:color w:val="000000"/>
          <w:sz w:val="24"/>
        </w:rPr>
        <w:t>（四）有依法缴纳税收和社会保障资金的良好记录；</w:t>
      </w:r>
    </w:p>
    <w:p>
      <w:pPr>
        <w:spacing w:line="400" w:lineRule="exact"/>
        <w:ind w:firstLine="480" w:firstLineChars="200"/>
        <w:contextualSpacing/>
        <w:jc w:val="left"/>
        <w:rPr>
          <w:rFonts w:ascii="宋体" w:hAnsi="宋体" w:cs="宋体"/>
          <w:color w:val="000000"/>
          <w:sz w:val="24"/>
        </w:rPr>
      </w:pPr>
      <w:r>
        <w:rPr>
          <w:rFonts w:hint="eastAsia" w:ascii="宋体" w:hAnsi="宋体" w:cs="宋体"/>
          <w:color w:val="000000"/>
          <w:sz w:val="24"/>
        </w:rPr>
        <w:t>（五）参加政府采购活动前三年内，在经营活动中没有重大违法记录；</w:t>
      </w:r>
    </w:p>
    <w:p>
      <w:pPr>
        <w:spacing w:line="400" w:lineRule="exact"/>
        <w:ind w:firstLine="480" w:firstLineChars="200"/>
        <w:contextualSpacing/>
        <w:jc w:val="left"/>
        <w:rPr>
          <w:rFonts w:ascii="宋体" w:hAnsi="宋体" w:cs="宋体"/>
          <w:color w:val="000000"/>
          <w:sz w:val="24"/>
        </w:rPr>
      </w:pPr>
      <w:r>
        <w:rPr>
          <w:rFonts w:hint="eastAsia" w:ascii="宋体" w:hAnsi="宋体" w:cs="宋体"/>
          <w:color w:val="000000"/>
          <w:sz w:val="24"/>
        </w:rPr>
        <w:t>（六）法律、行政法规规定的其他条件。</w:t>
      </w:r>
    </w:p>
    <w:p>
      <w:pPr>
        <w:spacing w:line="400" w:lineRule="exact"/>
        <w:ind w:firstLine="480" w:firstLineChars="200"/>
        <w:contextualSpacing/>
        <w:jc w:val="left"/>
        <w:rPr>
          <w:rFonts w:ascii="宋体" w:hAnsi="宋体" w:cs="宋体"/>
          <w:color w:val="000000"/>
          <w:sz w:val="24"/>
        </w:rPr>
      </w:pPr>
      <w:r>
        <w:rPr>
          <w:rFonts w:hint="eastAsia" w:ascii="宋体" w:hAnsi="宋体" w:cs="宋体"/>
          <w:color w:val="000000"/>
          <w:sz w:val="24"/>
        </w:rPr>
        <w:t>4.以上事项如有虚假或者隐瞒，我方愿意承担一切后果，并不再寻求任何旨在减轻或者免除法律责任的辩解。</w:t>
      </w:r>
    </w:p>
    <w:p>
      <w:pPr>
        <w:spacing w:line="400" w:lineRule="exact"/>
        <w:contextualSpacing/>
        <w:jc w:val="left"/>
        <w:rPr>
          <w:rFonts w:ascii="宋体" w:hAnsi="宋体" w:cs="宋体"/>
          <w:color w:val="000000"/>
          <w:sz w:val="24"/>
        </w:rPr>
      </w:pPr>
      <w:r>
        <w:rPr>
          <w:rFonts w:hint="eastAsia" w:ascii="宋体" w:hAnsi="宋体" w:cs="宋体"/>
          <w:color w:val="000000"/>
          <w:sz w:val="24"/>
        </w:rPr>
        <w:t xml:space="preserve">    特此承诺。</w:t>
      </w:r>
    </w:p>
    <w:p>
      <w:pPr>
        <w:spacing w:line="400" w:lineRule="exact"/>
        <w:contextualSpacing/>
        <w:jc w:val="right"/>
        <w:rPr>
          <w:rFonts w:ascii="宋体" w:hAnsi="宋体" w:cs="宋体"/>
          <w:color w:val="000000"/>
          <w:sz w:val="24"/>
        </w:rPr>
      </w:pPr>
      <w:r>
        <w:rPr>
          <w:rFonts w:hint="eastAsia" w:ascii="宋体" w:hAnsi="宋体" w:cs="宋体"/>
          <w:color w:val="000000"/>
          <w:sz w:val="24"/>
        </w:rPr>
        <w:t>法定代表人（签字或者盖章或者电子签名）：</w:t>
      </w:r>
    </w:p>
    <w:p>
      <w:pPr>
        <w:spacing w:line="400" w:lineRule="exact"/>
        <w:contextualSpacing/>
        <w:jc w:val="left"/>
        <w:rPr>
          <w:rFonts w:ascii="宋体" w:hAnsi="宋体" w:cs="宋体"/>
          <w:color w:val="000000"/>
          <w:sz w:val="24"/>
        </w:rPr>
      </w:pPr>
      <w:r>
        <w:rPr>
          <w:rFonts w:hint="eastAsia" w:ascii="宋体" w:hAnsi="宋体" w:cs="宋体"/>
          <w:color w:val="000000"/>
          <w:sz w:val="24"/>
        </w:rPr>
        <w:t xml:space="preserve">                             </w:t>
      </w:r>
      <w:r>
        <w:rPr>
          <w:rFonts w:hint="eastAsia" w:ascii="宋体" w:hAnsi="宋体" w:cs="宋体"/>
          <w:color w:val="000000"/>
          <w:sz w:val="24"/>
          <w:lang w:val="en-US" w:eastAsia="zh-CN"/>
        </w:rPr>
        <w:t xml:space="preserve">       </w:t>
      </w:r>
      <w:r>
        <w:rPr>
          <w:rFonts w:hint="eastAsia" w:ascii="宋体" w:hAnsi="宋体" w:cs="宋体"/>
          <w:color w:val="000000"/>
          <w:sz w:val="24"/>
        </w:rPr>
        <w:t>投标人名称（电子签章）：</w:t>
      </w:r>
    </w:p>
    <w:p>
      <w:pPr>
        <w:spacing w:line="400" w:lineRule="exact"/>
        <w:contextualSpacing/>
        <w:jc w:val="left"/>
        <w:rPr>
          <w:rFonts w:ascii="宋体" w:hAnsi="宋体" w:cs="宋体"/>
          <w:color w:val="000000"/>
        </w:rPr>
      </w:pPr>
      <w:r>
        <w:rPr>
          <w:rFonts w:hint="eastAsia" w:ascii="宋体" w:hAnsi="宋体" w:cs="宋体"/>
          <w:color w:val="000000"/>
          <w:sz w:val="24"/>
        </w:rPr>
        <w:t xml:space="preserve">                                                  年    月    日</w:t>
      </w:r>
    </w:p>
    <w:p>
      <w:pPr>
        <w:spacing w:line="400" w:lineRule="exact"/>
        <w:contextualSpacing/>
        <w:jc w:val="left"/>
        <w:rPr>
          <w:rFonts w:ascii="宋体" w:hAnsi="宋体" w:cs="宋体"/>
          <w:color w:val="000000"/>
          <w:sz w:val="24"/>
        </w:rPr>
      </w:pPr>
    </w:p>
    <w:p>
      <w:pPr>
        <w:spacing w:line="400" w:lineRule="exact"/>
        <w:contextualSpacing/>
        <w:jc w:val="left"/>
        <w:rPr>
          <w:rFonts w:ascii="宋体" w:hAnsi="宋体" w:cs="宋体"/>
          <w:color w:val="000000"/>
          <w:sz w:val="24"/>
        </w:rPr>
      </w:pPr>
    </w:p>
    <w:p>
      <w:pPr>
        <w:spacing w:line="400" w:lineRule="exact"/>
        <w:contextualSpacing/>
        <w:jc w:val="left"/>
        <w:rPr>
          <w:rFonts w:ascii="宋体" w:hAnsi="宋体" w:cs="宋体"/>
          <w:color w:val="000000"/>
          <w:sz w:val="24"/>
        </w:rPr>
      </w:pPr>
      <w:r>
        <w:rPr>
          <w:rFonts w:hint="eastAsia" w:ascii="宋体" w:hAnsi="宋体" w:cs="宋体"/>
          <w:color w:val="000000"/>
          <w:sz w:val="24"/>
        </w:rPr>
        <w:br w:type="page"/>
      </w:r>
    </w:p>
    <w:p>
      <w:pPr>
        <w:rPr>
          <w:rFonts w:ascii="宋体" w:hAnsi="宋体" w:cs="宋体"/>
          <w:b/>
          <w:color w:val="000000"/>
          <w:sz w:val="28"/>
          <w:szCs w:val="28"/>
        </w:rPr>
      </w:pPr>
      <w:bookmarkStart w:id="248" w:name="_Toc19686838"/>
      <w:r>
        <w:rPr>
          <w:rFonts w:hint="eastAsia" w:ascii="宋体" w:hAnsi="宋体" w:cs="宋体"/>
          <w:b/>
          <w:color w:val="000000"/>
          <w:sz w:val="28"/>
          <w:szCs w:val="28"/>
        </w:rPr>
        <w:t>三、商务、技术文件格式</w:t>
      </w:r>
      <w:bookmarkEnd w:id="248"/>
    </w:p>
    <w:p>
      <w:pPr>
        <w:snapToGrid w:val="0"/>
        <w:spacing w:beforeLines="50" w:after="50" w:line="360" w:lineRule="auto"/>
        <w:jc w:val="left"/>
        <w:rPr>
          <w:rFonts w:ascii="宋体" w:hAnsi="宋体" w:cs="宋体"/>
          <w:b/>
          <w:color w:val="000000"/>
          <w:sz w:val="24"/>
        </w:rPr>
      </w:pPr>
      <w:r>
        <w:rPr>
          <w:rFonts w:hint="eastAsia" w:ascii="宋体" w:hAnsi="宋体" w:cs="宋体"/>
          <w:b/>
          <w:color w:val="000000"/>
          <w:sz w:val="24"/>
        </w:rPr>
        <w:t xml:space="preserve">1.商务、技术文件封面格式： </w:t>
      </w:r>
    </w:p>
    <w:p>
      <w:pPr>
        <w:snapToGrid w:val="0"/>
        <w:spacing w:beforeLines="50" w:after="50"/>
        <w:jc w:val="center"/>
        <w:rPr>
          <w:rFonts w:ascii="宋体" w:hAnsi="宋体" w:cs="宋体"/>
          <w:color w:val="000000"/>
          <w:sz w:val="24"/>
        </w:rPr>
      </w:pPr>
      <w:r>
        <w:rPr>
          <w:rFonts w:hint="eastAsia" w:ascii="宋体" w:hAnsi="宋体" w:cs="宋体"/>
          <w:bCs/>
          <w:color w:val="000000"/>
          <w:sz w:val="48"/>
          <w:szCs w:val="48"/>
        </w:rPr>
        <w:t>电子投标文件</w:t>
      </w:r>
    </w:p>
    <w:p>
      <w:pPr>
        <w:snapToGrid w:val="0"/>
        <w:spacing w:beforeLines="50" w:after="50"/>
        <w:rPr>
          <w:rFonts w:ascii="宋体" w:hAnsi="宋体" w:cs="宋体"/>
          <w:color w:val="000000"/>
          <w:sz w:val="24"/>
          <w:szCs w:val="20"/>
        </w:rPr>
      </w:pPr>
    </w:p>
    <w:p>
      <w:pPr>
        <w:snapToGrid w:val="0"/>
        <w:spacing w:beforeLines="50" w:after="50"/>
        <w:jc w:val="center"/>
        <w:rPr>
          <w:rFonts w:ascii="宋体" w:hAnsi="宋体" w:cs="宋体"/>
          <w:b/>
          <w:color w:val="000000"/>
          <w:sz w:val="24"/>
          <w:szCs w:val="20"/>
        </w:rPr>
      </w:pPr>
      <w:r>
        <w:rPr>
          <w:rFonts w:hint="eastAsia" w:ascii="宋体" w:hAnsi="宋体" w:cs="宋体"/>
          <w:b/>
          <w:color w:val="000000"/>
          <w:sz w:val="32"/>
          <w:szCs w:val="32"/>
        </w:rPr>
        <w:t>商务、技术文件</w:t>
      </w:r>
    </w:p>
    <w:p>
      <w:pPr>
        <w:snapToGrid w:val="0"/>
        <w:spacing w:beforeLines="50" w:after="50"/>
        <w:rPr>
          <w:rFonts w:ascii="宋体" w:hAnsi="宋体" w:cs="宋体"/>
          <w:bCs/>
          <w:color w:val="000000"/>
          <w:sz w:val="24"/>
          <w:szCs w:val="20"/>
        </w:rPr>
      </w:pPr>
    </w:p>
    <w:p>
      <w:pPr>
        <w:snapToGrid w:val="0"/>
        <w:spacing w:beforeLines="50" w:after="50"/>
        <w:ind w:firstLine="540" w:firstLineChars="225"/>
        <w:rPr>
          <w:rFonts w:ascii="宋体" w:hAnsi="宋体" w:cs="宋体"/>
          <w:bCs/>
          <w:color w:val="000000"/>
          <w:sz w:val="24"/>
        </w:rPr>
      </w:pPr>
      <w:r>
        <w:rPr>
          <w:rFonts w:hint="eastAsia" w:ascii="宋体" w:hAnsi="宋体" w:cs="宋体"/>
          <w:bCs/>
          <w:color w:val="000000"/>
          <w:sz w:val="24"/>
        </w:rPr>
        <w:t>项目名称：</w:t>
      </w:r>
    </w:p>
    <w:p>
      <w:pPr>
        <w:snapToGrid w:val="0"/>
        <w:spacing w:beforeLines="50" w:after="50"/>
        <w:ind w:firstLine="540" w:firstLineChars="225"/>
        <w:rPr>
          <w:rFonts w:ascii="宋体" w:hAnsi="宋体" w:cs="宋体"/>
          <w:bCs/>
          <w:color w:val="000000"/>
          <w:sz w:val="24"/>
          <w:szCs w:val="20"/>
        </w:rPr>
      </w:pPr>
    </w:p>
    <w:p>
      <w:pPr>
        <w:snapToGrid w:val="0"/>
        <w:spacing w:beforeLines="50" w:after="50"/>
        <w:ind w:firstLine="540" w:firstLineChars="225"/>
        <w:rPr>
          <w:rFonts w:ascii="宋体" w:hAnsi="宋体" w:cs="宋体"/>
          <w:bCs/>
          <w:color w:val="000000"/>
          <w:sz w:val="24"/>
        </w:rPr>
      </w:pPr>
      <w:r>
        <w:rPr>
          <w:rFonts w:hint="eastAsia" w:ascii="宋体" w:hAnsi="宋体" w:cs="宋体"/>
          <w:bCs/>
          <w:color w:val="000000"/>
          <w:sz w:val="24"/>
        </w:rPr>
        <w:t>项目编号：</w:t>
      </w:r>
    </w:p>
    <w:p>
      <w:pPr>
        <w:snapToGrid w:val="0"/>
        <w:spacing w:beforeLines="50" w:after="50"/>
        <w:ind w:firstLine="540" w:firstLineChars="225"/>
        <w:rPr>
          <w:rFonts w:ascii="宋体" w:hAnsi="宋体" w:cs="宋体"/>
          <w:bCs/>
          <w:color w:val="000000"/>
          <w:sz w:val="24"/>
          <w:szCs w:val="20"/>
        </w:rPr>
      </w:pPr>
    </w:p>
    <w:p>
      <w:pPr>
        <w:snapToGrid w:val="0"/>
        <w:spacing w:beforeLines="50" w:after="50"/>
        <w:ind w:firstLine="540" w:firstLineChars="225"/>
        <w:rPr>
          <w:rFonts w:ascii="宋体" w:hAnsi="宋体" w:cs="宋体"/>
          <w:bCs/>
          <w:color w:val="000000"/>
          <w:sz w:val="24"/>
        </w:rPr>
      </w:pPr>
      <w:r>
        <w:rPr>
          <w:rFonts w:hint="eastAsia" w:ascii="宋体" w:hAnsi="宋体" w:cs="宋体"/>
          <w:bCs/>
          <w:color w:val="000000"/>
          <w:sz w:val="24"/>
        </w:rPr>
        <w:t>所投分标：（如有则填写，无分标时填写“无”或者留空）</w:t>
      </w:r>
    </w:p>
    <w:p>
      <w:pPr>
        <w:snapToGrid w:val="0"/>
        <w:spacing w:beforeLines="50" w:after="50"/>
        <w:ind w:firstLine="540" w:firstLineChars="225"/>
        <w:rPr>
          <w:rFonts w:ascii="宋体" w:hAnsi="宋体" w:cs="宋体"/>
          <w:bCs/>
          <w:color w:val="000000"/>
          <w:sz w:val="24"/>
          <w:szCs w:val="20"/>
        </w:rPr>
      </w:pPr>
    </w:p>
    <w:p>
      <w:pPr>
        <w:pStyle w:val="8"/>
        <w:snapToGrid w:val="0"/>
        <w:spacing w:before="50" w:after="50"/>
        <w:ind w:firstLine="540" w:firstLineChars="225"/>
        <w:rPr>
          <w:rFonts w:ascii="宋体" w:hAnsi="宋体" w:cs="宋体"/>
          <w:bCs/>
          <w:color w:val="000000"/>
          <w:sz w:val="24"/>
          <w:szCs w:val="24"/>
        </w:rPr>
      </w:pPr>
      <w:r>
        <w:rPr>
          <w:rFonts w:hint="eastAsia" w:ascii="宋体" w:hAnsi="宋体" w:cs="宋体"/>
          <w:bCs/>
          <w:color w:val="000000"/>
          <w:sz w:val="24"/>
          <w:szCs w:val="24"/>
        </w:rPr>
        <w:t>投标人名称：</w:t>
      </w:r>
    </w:p>
    <w:p>
      <w:pPr>
        <w:pStyle w:val="8"/>
        <w:snapToGrid w:val="0"/>
        <w:spacing w:before="50" w:after="50"/>
        <w:ind w:firstLine="540" w:firstLineChars="225"/>
        <w:rPr>
          <w:rFonts w:ascii="宋体" w:hAnsi="宋体" w:cs="宋体"/>
          <w:bCs/>
          <w:color w:val="000000"/>
          <w:sz w:val="24"/>
          <w:szCs w:val="24"/>
        </w:rPr>
      </w:pPr>
    </w:p>
    <w:p>
      <w:pPr>
        <w:pStyle w:val="8"/>
        <w:snapToGrid w:val="0"/>
        <w:spacing w:before="50" w:after="50"/>
        <w:ind w:firstLine="540" w:firstLineChars="225"/>
        <w:rPr>
          <w:rFonts w:ascii="宋体" w:hAnsi="宋体" w:cs="宋体"/>
          <w:bCs/>
          <w:color w:val="000000"/>
          <w:sz w:val="24"/>
          <w:szCs w:val="24"/>
        </w:rPr>
      </w:pPr>
      <w:r>
        <w:rPr>
          <w:rFonts w:hint="eastAsia" w:ascii="宋体" w:hAnsi="宋体" w:cs="宋体"/>
          <w:bCs/>
          <w:color w:val="000000"/>
          <w:sz w:val="24"/>
          <w:szCs w:val="24"/>
        </w:rPr>
        <w:t>投标人地址：</w:t>
      </w:r>
    </w:p>
    <w:p>
      <w:pPr>
        <w:pStyle w:val="8"/>
        <w:snapToGrid w:val="0"/>
        <w:spacing w:before="50" w:after="50"/>
        <w:ind w:firstLine="960" w:firstLineChars="400"/>
        <w:rPr>
          <w:rFonts w:ascii="宋体" w:hAnsi="宋体" w:cs="宋体"/>
          <w:bCs/>
          <w:color w:val="000000"/>
          <w:sz w:val="24"/>
          <w:szCs w:val="24"/>
        </w:rPr>
      </w:pPr>
    </w:p>
    <w:p>
      <w:pPr>
        <w:snapToGrid w:val="0"/>
        <w:spacing w:beforeLines="50" w:after="50"/>
        <w:ind w:firstLine="645"/>
        <w:rPr>
          <w:rFonts w:ascii="宋体" w:hAnsi="宋体" w:cs="宋体"/>
          <w:color w:val="000000"/>
          <w:sz w:val="24"/>
        </w:rPr>
      </w:pPr>
      <w:r>
        <w:rPr>
          <w:rFonts w:hint="eastAsia" w:ascii="宋体" w:hAnsi="宋体" w:cs="宋体"/>
          <w:color w:val="000000"/>
          <w:sz w:val="24"/>
        </w:rPr>
        <w:t xml:space="preserve">                        年  月  日</w:t>
      </w:r>
    </w:p>
    <w:p>
      <w:pPr>
        <w:snapToGrid w:val="0"/>
        <w:spacing w:beforeLines="50" w:after="50"/>
        <w:rPr>
          <w:rFonts w:ascii="宋体" w:hAnsi="宋体" w:cs="宋体"/>
          <w:color w:val="000000"/>
          <w:sz w:val="24"/>
          <w:szCs w:val="20"/>
        </w:rPr>
      </w:pPr>
    </w:p>
    <w:p>
      <w:pPr>
        <w:snapToGrid w:val="0"/>
        <w:spacing w:line="360" w:lineRule="auto"/>
        <w:jc w:val="left"/>
        <w:rPr>
          <w:rFonts w:ascii="宋体" w:hAnsi="宋体" w:cs="宋体"/>
          <w:b/>
          <w:bCs/>
          <w:color w:val="000000"/>
          <w:sz w:val="28"/>
          <w:szCs w:val="28"/>
        </w:rPr>
      </w:pPr>
      <w:r>
        <w:rPr>
          <w:rFonts w:hint="eastAsia" w:ascii="宋体" w:hAnsi="宋体" w:cs="宋体"/>
          <w:color w:val="000000"/>
          <w:sz w:val="24"/>
          <w:szCs w:val="20"/>
        </w:rPr>
        <w:br w:type="page"/>
      </w:r>
      <w:r>
        <w:rPr>
          <w:rFonts w:hint="eastAsia" w:ascii="宋体" w:hAnsi="宋体" w:cs="宋体"/>
          <w:b/>
          <w:bCs/>
          <w:color w:val="000000"/>
          <w:sz w:val="28"/>
          <w:szCs w:val="28"/>
        </w:rPr>
        <w:t>2.商务、技术文件目录</w:t>
      </w:r>
    </w:p>
    <w:p>
      <w:pPr>
        <w:snapToGrid w:val="0"/>
        <w:spacing w:before="50" w:afterLines="50" w:line="360" w:lineRule="auto"/>
        <w:jc w:val="left"/>
        <w:rPr>
          <w:rFonts w:ascii="宋体" w:hAnsi="宋体" w:cs="宋体"/>
          <w:b/>
          <w:bCs/>
          <w:color w:val="000000"/>
          <w:sz w:val="24"/>
        </w:rPr>
      </w:pPr>
      <w:r>
        <w:rPr>
          <w:rFonts w:hint="eastAsia" w:ascii="宋体" w:hAnsi="宋体" w:cs="宋体"/>
          <w:color w:val="000000"/>
          <w:sz w:val="24"/>
        </w:rPr>
        <w:t>根据招标文件规定及投标人提供的材料自行编写目录。</w:t>
      </w:r>
    </w:p>
    <w:p>
      <w:pPr>
        <w:snapToGrid w:val="0"/>
        <w:spacing w:before="50" w:afterLines="50"/>
        <w:jc w:val="left"/>
        <w:rPr>
          <w:rFonts w:ascii="宋体" w:hAnsi="宋体" w:cs="宋体"/>
          <w:b/>
          <w:bCs/>
          <w:color w:val="000000"/>
          <w:sz w:val="24"/>
        </w:rPr>
      </w:pPr>
      <w:r>
        <w:rPr>
          <w:rFonts w:hint="eastAsia" w:ascii="宋体" w:hAnsi="宋体" w:cs="宋体"/>
          <w:b/>
          <w:bCs/>
          <w:color w:val="000000"/>
          <w:sz w:val="24"/>
        </w:rPr>
        <w:t>一、商务文件</w:t>
      </w:r>
    </w:p>
    <w:p>
      <w:pPr>
        <w:snapToGrid w:val="0"/>
        <w:spacing w:beforeLines="50" w:after="50"/>
        <w:jc w:val="left"/>
        <w:rPr>
          <w:rFonts w:ascii="宋体" w:hAnsi="宋体" w:cs="宋体"/>
          <w:bCs/>
          <w:color w:val="000000"/>
          <w:sz w:val="24"/>
        </w:rPr>
      </w:pPr>
      <w:r>
        <w:rPr>
          <w:rFonts w:hint="eastAsia" w:ascii="宋体" w:hAnsi="宋体" w:cs="宋体"/>
          <w:bCs/>
          <w:color w:val="000000"/>
          <w:sz w:val="24"/>
        </w:rPr>
        <w:t>1.……………………………………………………………………页码</w:t>
      </w:r>
    </w:p>
    <w:p>
      <w:pPr>
        <w:snapToGrid w:val="0"/>
        <w:spacing w:beforeLines="50" w:after="50"/>
        <w:jc w:val="left"/>
        <w:rPr>
          <w:rFonts w:ascii="宋体" w:hAnsi="宋体" w:cs="宋体"/>
          <w:bCs/>
          <w:color w:val="000000"/>
          <w:sz w:val="24"/>
        </w:rPr>
      </w:pPr>
    </w:p>
    <w:p>
      <w:pPr>
        <w:snapToGrid w:val="0"/>
        <w:spacing w:beforeLines="50" w:after="50"/>
        <w:jc w:val="left"/>
        <w:rPr>
          <w:rFonts w:ascii="宋体" w:hAnsi="宋体" w:cs="宋体"/>
          <w:b/>
          <w:color w:val="000000"/>
          <w:sz w:val="24"/>
        </w:rPr>
      </w:pPr>
      <w:r>
        <w:rPr>
          <w:rFonts w:hint="eastAsia" w:ascii="宋体" w:hAnsi="宋体" w:cs="宋体"/>
          <w:b/>
          <w:color w:val="000000"/>
          <w:sz w:val="24"/>
        </w:rPr>
        <w:t>二、技术文件</w:t>
      </w:r>
    </w:p>
    <w:p>
      <w:pPr>
        <w:snapToGrid w:val="0"/>
        <w:spacing w:beforeLines="50" w:after="50"/>
        <w:jc w:val="left"/>
        <w:rPr>
          <w:rFonts w:ascii="宋体" w:hAnsi="宋体" w:cs="宋体"/>
          <w:b/>
          <w:color w:val="000000"/>
          <w:sz w:val="24"/>
        </w:rPr>
      </w:pPr>
      <w:r>
        <w:rPr>
          <w:rFonts w:hint="eastAsia" w:ascii="宋体" w:hAnsi="宋体" w:cs="宋体"/>
          <w:bCs/>
          <w:color w:val="000000"/>
          <w:sz w:val="24"/>
        </w:rPr>
        <w:t>1.……………………………………………………………………页码</w:t>
      </w:r>
      <w:r>
        <w:rPr>
          <w:rFonts w:hint="eastAsia" w:ascii="宋体" w:hAnsi="宋体" w:cs="宋体"/>
          <w:b/>
          <w:color w:val="000000"/>
          <w:sz w:val="24"/>
        </w:rPr>
        <w:br w:type="page"/>
      </w:r>
      <w:r>
        <w:rPr>
          <w:rFonts w:hint="eastAsia" w:ascii="宋体" w:hAnsi="宋体" w:cs="宋体"/>
          <w:b/>
          <w:color w:val="000000"/>
          <w:sz w:val="24"/>
        </w:rPr>
        <w:t>3.投标人参加本项目无围标串标行为的承诺</w:t>
      </w:r>
    </w:p>
    <w:p>
      <w:pPr>
        <w:snapToGrid w:val="0"/>
        <w:spacing w:beforeLines="50" w:after="50"/>
        <w:jc w:val="left"/>
        <w:rPr>
          <w:rFonts w:ascii="宋体" w:hAnsi="宋体" w:cs="宋体"/>
          <w:b/>
          <w:color w:val="000000"/>
          <w:sz w:val="24"/>
        </w:rPr>
      </w:pPr>
    </w:p>
    <w:p>
      <w:pPr>
        <w:snapToGrid w:val="0"/>
        <w:spacing w:beforeLines="50" w:after="50"/>
        <w:ind w:left="420"/>
        <w:jc w:val="center"/>
        <w:rPr>
          <w:rFonts w:ascii="宋体" w:hAnsi="宋体" w:cs="宋体"/>
          <w:b/>
          <w:color w:val="000000"/>
          <w:spacing w:val="-17"/>
          <w:sz w:val="32"/>
          <w:szCs w:val="32"/>
        </w:rPr>
      </w:pPr>
      <w:r>
        <w:rPr>
          <w:rFonts w:hint="eastAsia" w:ascii="宋体" w:hAnsi="宋体" w:cs="宋体"/>
          <w:bCs/>
          <w:color w:val="000000"/>
          <w:spacing w:val="-17"/>
          <w:sz w:val="44"/>
          <w:szCs w:val="44"/>
        </w:rPr>
        <w:t>投标人参加本项目无围标串标行为的承诺函</w:t>
      </w:r>
    </w:p>
    <w:p>
      <w:pPr>
        <w:snapToGrid w:val="0"/>
        <w:spacing w:beforeLines="50" w:after="50"/>
        <w:rPr>
          <w:rFonts w:ascii="宋体" w:hAnsi="宋体" w:cs="宋体"/>
          <w:b/>
          <w:color w:val="000000"/>
          <w:sz w:val="24"/>
        </w:rPr>
      </w:pPr>
    </w:p>
    <w:p>
      <w:pPr>
        <w:spacing w:line="400" w:lineRule="exact"/>
        <w:contextualSpacing/>
        <w:jc w:val="left"/>
        <w:rPr>
          <w:rFonts w:ascii="宋体" w:hAnsi="宋体" w:cs="宋体"/>
          <w:b/>
          <w:color w:val="000000"/>
          <w:sz w:val="24"/>
        </w:rPr>
      </w:pPr>
      <w:r>
        <w:rPr>
          <w:rFonts w:hint="eastAsia" w:ascii="宋体" w:hAnsi="宋体" w:cs="宋体"/>
          <w:b/>
          <w:color w:val="000000"/>
          <w:sz w:val="24"/>
        </w:rPr>
        <w:t>一、我方承诺无下列相互串通投标的情形：</w:t>
      </w:r>
    </w:p>
    <w:p>
      <w:pPr>
        <w:spacing w:line="400" w:lineRule="exact"/>
        <w:ind w:firstLine="470" w:firstLineChars="196"/>
        <w:contextualSpacing/>
        <w:jc w:val="left"/>
        <w:rPr>
          <w:rFonts w:ascii="宋体" w:hAnsi="宋体" w:cs="宋体"/>
          <w:color w:val="000000"/>
          <w:sz w:val="24"/>
        </w:rPr>
      </w:pPr>
      <w:r>
        <w:rPr>
          <w:rFonts w:hint="eastAsia" w:ascii="宋体" w:hAnsi="宋体" w:cs="宋体"/>
          <w:color w:val="000000"/>
          <w:sz w:val="24"/>
        </w:rPr>
        <w:t xml:space="preserve">1.不同投标人的投标文件由同一单位或者个人编制； </w:t>
      </w:r>
    </w:p>
    <w:p>
      <w:pPr>
        <w:spacing w:line="400" w:lineRule="exact"/>
        <w:ind w:firstLine="470" w:firstLineChars="196"/>
        <w:contextualSpacing/>
        <w:jc w:val="left"/>
        <w:rPr>
          <w:rFonts w:ascii="宋体" w:hAnsi="宋体" w:cs="宋体"/>
          <w:color w:val="000000"/>
          <w:sz w:val="24"/>
        </w:rPr>
      </w:pPr>
      <w:r>
        <w:rPr>
          <w:rFonts w:hint="eastAsia" w:ascii="宋体" w:hAnsi="宋体" w:cs="宋体"/>
          <w:color w:val="000000"/>
          <w:sz w:val="24"/>
        </w:rPr>
        <w:t>2.不同投标人委托同一单位或者个人办理投标事宜；</w:t>
      </w:r>
    </w:p>
    <w:p>
      <w:pPr>
        <w:spacing w:line="400" w:lineRule="exact"/>
        <w:ind w:firstLine="470" w:firstLineChars="196"/>
        <w:contextualSpacing/>
        <w:jc w:val="left"/>
        <w:rPr>
          <w:rFonts w:ascii="宋体" w:hAnsi="宋体" w:cs="宋体"/>
          <w:color w:val="000000"/>
          <w:sz w:val="24"/>
        </w:rPr>
      </w:pPr>
      <w:r>
        <w:rPr>
          <w:rFonts w:hint="eastAsia" w:ascii="宋体" w:hAnsi="宋体" w:cs="宋体"/>
          <w:color w:val="000000"/>
          <w:sz w:val="24"/>
        </w:rPr>
        <w:t>3.不同的投标人的投标文件载明的项目管理员为同一个人；</w:t>
      </w:r>
    </w:p>
    <w:p>
      <w:pPr>
        <w:spacing w:line="400" w:lineRule="exact"/>
        <w:ind w:firstLine="470" w:firstLineChars="196"/>
        <w:contextualSpacing/>
        <w:jc w:val="left"/>
        <w:rPr>
          <w:rFonts w:ascii="宋体" w:hAnsi="宋体" w:cs="宋体"/>
          <w:color w:val="000000"/>
          <w:sz w:val="24"/>
        </w:rPr>
      </w:pPr>
      <w:r>
        <w:rPr>
          <w:rFonts w:hint="eastAsia" w:ascii="宋体" w:hAnsi="宋体" w:cs="宋体"/>
          <w:color w:val="000000"/>
          <w:sz w:val="24"/>
        </w:rPr>
        <w:t>4.不同投标人的投标文件异常一致或者投标报价呈规律性差异；</w:t>
      </w:r>
    </w:p>
    <w:p>
      <w:pPr>
        <w:spacing w:line="400" w:lineRule="exact"/>
        <w:ind w:firstLine="470" w:firstLineChars="196"/>
        <w:contextualSpacing/>
        <w:jc w:val="left"/>
        <w:rPr>
          <w:rFonts w:ascii="宋体" w:hAnsi="宋体" w:cs="宋体"/>
          <w:color w:val="000000"/>
          <w:sz w:val="24"/>
        </w:rPr>
      </w:pPr>
      <w:r>
        <w:rPr>
          <w:rFonts w:hint="eastAsia" w:ascii="宋体" w:hAnsi="宋体" w:cs="宋体"/>
          <w:color w:val="000000"/>
          <w:sz w:val="24"/>
        </w:rPr>
        <w:t>5.不同投标人的投标文件相互混装；</w:t>
      </w:r>
    </w:p>
    <w:p>
      <w:pPr>
        <w:spacing w:line="400" w:lineRule="exact"/>
        <w:ind w:firstLine="470" w:firstLineChars="196"/>
        <w:contextualSpacing/>
        <w:jc w:val="left"/>
        <w:rPr>
          <w:rFonts w:ascii="宋体" w:hAnsi="宋体" w:cs="宋体"/>
          <w:color w:val="000000"/>
          <w:sz w:val="24"/>
        </w:rPr>
      </w:pPr>
      <w:r>
        <w:rPr>
          <w:rFonts w:hint="eastAsia" w:ascii="宋体" w:hAnsi="宋体" w:cs="宋体"/>
          <w:color w:val="000000"/>
          <w:sz w:val="24"/>
        </w:rPr>
        <w:t>6.不同投标人的投标保证金从同一单位或者个人账户转出。</w:t>
      </w:r>
    </w:p>
    <w:p>
      <w:pPr>
        <w:spacing w:line="400" w:lineRule="exact"/>
        <w:contextualSpacing/>
        <w:jc w:val="left"/>
        <w:rPr>
          <w:rFonts w:ascii="宋体" w:hAnsi="宋体" w:cs="宋体"/>
          <w:color w:val="000000"/>
          <w:sz w:val="24"/>
        </w:rPr>
      </w:pPr>
      <w:r>
        <w:rPr>
          <w:rFonts w:hint="eastAsia" w:ascii="宋体" w:hAnsi="宋体" w:cs="宋体"/>
          <w:b/>
          <w:color w:val="000000"/>
          <w:sz w:val="24"/>
        </w:rPr>
        <w:t>二、我方承诺无下列恶意串通的情形：</w:t>
      </w:r>
    </w:p>
    <w:p>
      <w:pPr>
        <w:spacing w:line="400" w:lineRule="exact"/>
        <w:ind w:firstLine="470" w:firstLineChars="196"/>
        <w:contextualSpacing/>
        <w:jc w:val="left"/>
        <w:rPr>
          <w:rFonts w:ascii="宋体" w:hAnsi="宋体" w:cs="宋体"/>
          <w:color w:val="000000"/>
          <w:sz w:val="24"/>
        </w:rPr>
      </w:pPr>
      <w:r>
        <w:rPr>
          <w:rFonts w:hint="eastAsia" w:ascii="宋体" w:hAnsi="宋体" w:cs="宋体"/>
          <w:color w:val="000000"/>
          <w:sz w:val="24"/>
        </w:rPr>
        <w:t>1.投标人直接或者间接从采购人或者采购代理机构处获得其他投标人的相关信息并修改其投标文件或者响应文件；</w:t>
      </w:r>
    </w:p>
    <w:p>
      <w:pPr>
        <w:spacing w:line="400" w:lineRule="exact"/>
        <w:ind w:firstLine="470" w:firstLineChars="196"/>
        <w:contextualSpacing/>
        <w:jc w:val="left"/>
        <w:rPr>
          <w:rFonts w:ascii="宋体" w:hAnsi="宋体" w:cs="宋体"/>
          <w:color w:val="000000"/>
          <w:sz w:val="24"/>
        </w:rPr>
      </w:pPr>
      <w:r>
        <w:rPr>
          <w:rFonts w:hint="eastAsia" w:ascii="宋体" w:hAnsi="宋体" w:cs="宋体"/>
          <w:color w:val="000000"/>
          <w:sz w:val="24"/>
        </w:rPr>
        <w:t>2.投标人按照采购人或者采购代理机构的授意撤换、修改投标文件或者响应文件；</w:t>
      </w:r>
    </w:p>
    <w:p>
      <w:pPr>
        <w:spacing w:line="400" w:lineRule="exact"/>
        <w:ind w:firstLine="470" w:firstLineChars="196"/>
        <w:contextualSpacing/>
        <w:jc w:val="left"/>
        <w:rPr>
          <w:rFonts w:ascii="宋体" w:hAnsi="宋体" w:cs="宋体"/>
          <w:color w:val="000000"/>
          <w:sz w:val="24"/>
        </w:rPr>
      </w:pPr>
      <w:r>
        <w:rPr>
          <w:rFonts w:hint="eastAsia" w:ascii="宋体" w:hAnsi="宋体" w:cs="宋体"/>
          <w:color w:val="000000"/>
          <w:sz w:val="24"/>
        </w:rPr>
        <w:t>3.投标人之间协商报价、技术方案等投标文件或者响应文件的实质性内容；</w:t>
      </w:r>
    </w:p>
    <w:p>
      <w:pPr>
        <w:spacing w:line="400" w:lineRule="exact"/>
        <w:ind w:firstLine="470" w:firstLineChars="196"/>
        <w:contextualSpacing/>
        <w:jc w:val="left"/>
        <w:rPr>
          <w:rFonts w:ascii="宋体" w:hAnsi="宋体" w:cs="宋体"/>
          <w:color w:val="000000"/>
          <w:sz w:val="24"/>
        </w:rPr>
      </w:pPr>
      <w:r>
        <w:rPr>
          <w:rFonts w:hint="eastAsia" w:ascii="宋体" w:hAnsi="宋体" w:cs="宋体"/>
          <w:color w:val="000000"/>
          <w:sz w:val="24"/>
        </w:rPr>
        <w:t>4.属于同一集团、协会、商会等组织成员的投标人按照该组织要求协同参加政府采购活动；</w:t>
      </w:r>
    </w:p>
    <w:p>
      <w:pPr>
        <w:spacing w:line="400" w:lineRule="exact"/>
        <w:ind w:firstLine="470" w:firstLineChars="196"/>
        <w:contextualSpacing/>
        <w:jc w:val="left"/>
        <w:rPr>
          <w:rFonts w:ascii="宋体" w:hAnsi="宋体" w:cs="宋体"/>
          <w:color w:val="000000"/>
          <w:sz w:val="24"/>
        </w:rPr>
      </w:pPr>
      <w:r>
        <w:rPr>
          <w:rFonts w:hint="eastAsia" w:ascii="宋体" w:hAnsi="宋体" w:cs="宋体"/>
          <w:color w:val="000000"/>
          <w:sz w:val="24"/>
        </w:rPr>
        <w:t>5.投标人之间事先约定一致抬高或者压低投标报价，或者在招标项目中事先约定轮流以高价位或者低价位中标，或者事先约定由某一特定投标人中标，然后再参加投标；</w:t>
      </w:r>
    </w:p>
    <w:p>
      <w:pPr>
        <w:spacing w:line="400" w:lineRule="exact"/>
        <w:ind w:firstLine="470" w:firstLineChars="196"/>
        <w:contextualSpacing/>
        <w:jc w:val="left"/>
        <w:rPr>
          <w:rFonts w:ascii="宋体" w:hAnsi="宋体" w:cs="宋体"/>
          <w:color w:val="000000"/>
          <w:sz w:val="24"/>
        </w:rPr>
      </w:pPr>
      <w:r>
        <w:rPr>
          <w:rFonts w:hint="eastAsia" w:ascii="宋体" w:hAnsi="宋体" w:cs="宋体"/>
          <w:color w:val="000000"/>
          <w:sz w:val="24"/>
        </w:rPr>
        <w:t>6.投标人之间商定部分投标人放弃参加政府采购活动或者放弃中标；</w:t>
      </w:r>
    </w:p>
    <w:p>
      <w:pPr>
        <w:spacing w:line="400" w:lineRule="exact"/>
        <w:ind w:firstLine="470" w:firstLineChars="196"/>
        <w:contextualSpacing/>
        <w:jc w:val="left"/>
        <w:rPr>
          <w:rFonts w:ascii="宋体" w:hAnsi="宋体" w:cs="宋体"/>
          <w:color w:val="000000"/>
          <w:sz w:val="24"/>
        </w:rPr>
      </w:pPr>
      <w:r>
        <w:rPr>
          <w:rFonts w:hint="eastAsia" w:ascii="宋体" w:hAnsi="宋体" w:cs="宋体"/>
          <w:color w:val="000000"/>
          <w:sz w:val="24"/>
        </w:rPr>
        <w:t>7.投标人与采购人或者采购代理机构之间、投标人相互之间，为谋求特定投标人中标或者排斥其他投标人的其他串通行为。</w:t>
      </w:r>
    </w:p>
    <w:p>
      <w:pPr>
        <w:spacing w:line="400" w:lineRule="exact"/>
        <w:ind w:firstLine="472" w:firstLineChars="196"/>
        <w:contextualSpacing/>
        <w:jc w:val="left"/>
        <w:rPr>
          <w:rFonts w:ascii="宋体" w:hAnsi="宋体" w:cs="宋体"/>
          <w:b/>
          <w:color w:val="000000"/>
          <w:sz w:val="24"/>
        </w:rPr>
      </w:pPr>
      <w:r>
        <w:rPr>
          <w:rFonts w:hint="eastAsia" w:ascii="宋体" w:hAnsi="宋体" w:cs="宋体"/>
          <w:b/>
          <w:color w:val="000000"/>
          <w:sz w:val="24"/>
        </w:rPr>
        <w:t>以上情形一经核查属实，我方愿意承担一切后果，并不再寻求任何旨在减轻或者免除法律责任的辩解。</w:t>
      </w:r>
    </w:p>
    <w:p>
      <w:pPr>
        <w:pStyle w:val="24"/>
        <w:spacing w:line="400" w:lineRule="exact"/>
        <w:ind w:firstLine="6840" w:firstLineChars="2850"/>
        <w:contextualSpacing/>
        <w:rPr>
          <w:rFonts w:hAnsi="宋体" w:cs="宋体"/>
          <w:color w:val="000000"/>
          <w:sz w:val="24"/>
          <w:szCs w:val="24"/>
        </w:rPr>
      </w:pPr>
    </w:p>
    <w:p>
      <w:pPr>
        <w:pStyle w:val="24"/>
        <w:spacing w:line="400" w:lineRule="exact"/>
        <w:contextualSpacing/>
        <w:jc w:val="center"/>
        <w:rPr>
          <w:rFonts w:hAnsi="宋体" w:cs="宋体"/>
          <w:color w:val="000000"/>
          <w:sz w:val="24"/>
          <w:szCs w:val="24"/>
        </w:rPr>
      </w:pPr>
      <w:r>
        <w:rPr>
          <w:rFonts w:hint="eastAsia" w:hAnsi="宋体" w:cs="宋体"/>
          <w:color w:val="000000"/>
          <w:sz w:val="24"/>
          <w:szCs w:val="24"/>
        </w:rPr>
        <w:t xml:space="preserve">                                    投标人名称（电子签章）</w:t>
      </w:r>
    </w:p>
    <w:p>
      <w:pPr>
        <w:pStyle w:val="24"/>
        <w:spacing w:line="400" w:lineRule="exact"/>
        <w:contextualSpacing/>
        <w:jc w:val="right"/>
        <w:rPr>
          <w:rFonts w:hAnsi="宋体" w:cs="宋体"/>
          <w:color w:val="000000"/>
          <w:sz w:val="24"/>
        </w:rPr>
      </w:pPr>
      <w:r>
        <w:rPr>
          <w:rFonts w:hint="eastAsia" w:hAnsi="宋体" w:cs="宋体"/>
          <w:color w:val="000000"/>
          <w:sz w:val="24"/>
        </w:rPr>
        <w:t>年月日</w:t>
      </w:r>
    </w:p>
    <w:p>
      <w:pPr>
        <w:snapToGrid w:val="0"/>
        <w:spacing w:beforeLines="50" w:after="50"/>
        <w:ind w:firstLine="472" w:firstLineChars="196"/>
        <w:jc w:val="left"/>
        <w:rPr>
          <w:rFonts w:ascii="宋体" w:hAnsi="宋体" w:cs="宋体"/>
          <w:b/>
          <w:color w:val="000000"/>
          <w:sz w:val="24"/>
          <w:szCs w:val="20"/>
        </w:rPr>
      </w:pPr>
      <w:r>
        <w:rPr>
          <w:rFonts w:hint="eastAsia" w:ascii="宋体" w:hAnsi="宋体" w:cs="宋体"/>
          <w:b/>
          <w:color w:val="000000"/>
          <w:sz w:val="24"/>
        </w:rPr>
        <w:br w:type="page"/>
      </w:r>
      <w:r>
        <w:rPr>
          <w:rFonts w:hint="eastAsia" w:ascii="宋体" w:hAnsi="宋体" w:cs="宋体"/>
          <w:b/>
          <w:color w:val="000000"/>
          <w:sz w:val="24"/>
        </w:rPr>
        <w:t>4.法定代表人身份证明</w:t>
      </w:r>
    </w:p>
    <w:p>
      <w:pPr>
        <w:spacing w:beforeLines="100" w:afterLines="50"/>
        <w:ind w:left="540"/>
        <w:jc w:val="center"/>
        <w:rPr>
          <w:rFonts w:ascii="宋体" w:hAnsi="宋体" w:cs="宋体"/>
          <w:b/>
          <w:color w:val="000000"/>
          <w:sz w:val="32"/>
          <w:szCs w:val="32"/>
        </w:rPr>
      </w:pPr>
    </w:p>
    <w:p>
      <w:pPr>
        <w:spacing w:beforeLines="100" w:afterLines="50"/>
        <w:ind w:left="540"/>
        <w:jc w:val="center"/>
        <w:rPr>
          <w:rFonts w:ascii="宋体" w:hAnsi="宋体" w:cs="宋体"/>
          <w:bCs/>
          <w:color w:val="000000"/>
          <w:sz w:val="44"/>
          <w:szCs w:val="44"/>
        </w:rPr>
      </w:pPr>
      <w:r>
        <w:rPr>
          <w:rFonts w:hint="eastAsia" w:ascii="宋体" w:hAnsi="宋体" w:cs="宋体"/>
          <w:bCs/>
          <w:color w:val="000000"/>
          <w:sz w:val="44"/>
          <w:szCs w:val="44"/>
        </w:rPr>
        <w:t>法定代表人身份证明</w:t>
      </w:r>
    </w:p>
    <w:p>
      <w:pPr>
        <w:spacing w:line="500" w:lineRule="exact"/>
        <w:ind w:left="540"/>
        <w:rPr>
          <w:rFonts w:ascii="宋体" w:hAnsi="宋体" w:cs="宋体"/>
          <w:color w:val="000000"/>
          <w:sz w:val="24"/>
        </w:rPr>
      </w:pPr>
      <w:r>
        <w:rPr>
          <w:rFonts w:hint="eastAsia" w:ascii="宋体" w:hAnsi="宋体" w:cs="宋体"/>
          <w:color w:val="000000"/>
          <w:sz w:val="24"/>
        </w:rPr>
        <w:t>投 标 人：</w:t>
      </w:r>
    </w:p>
    <w:p>
      <w:pPr>
        <w:spacing w:line="500" w:lineRule="exact"/>
        <w:ind w:left="540"/>
        <w:rPr>
          <w:rFonts w:ascii="宋体" w:hAnsi="宋体" w:cs="宋体"/>
          <w:color w:val="000000"/>
          <w:sz w:val="24"/>
        </w:rPr>
      </w:pPr>
      <w:r>
        <w:rPr>
          <w:rFonts w:hint="eastAsia" w:ascii="宋体" w:hAnsi="宋体" w:cs="宋体"/>
          <w:color w:val="000000"/>
          <w:sz w:val="24"/>
        </w:rPr>
        <w:t>地    址：</w:t>
      </w:r>
    </w:p>
    <w:p>
      <w:pPr>
        <w:spacing w:line="500" w:lineRule="exact"/>
        <w:ind w:left="540"/>
        <w:rPr>
          <w:rFonts w:ascii="宋体" w:hAnsi="宋体" w:cs="宋体"/>
          <w:color w:val="000000"/>
          <w:sz w:val="24"/>
        </w:rPr>
      </w:pPr>
      <w:r>
        <w:rPr>
          <w:rFonts w:hint="eastAsia" w:ascii="宋体" w:hAnsi="宋体" w:cs="宋体"/>
          <w:color w:val="000000"/>
          <w:sz w:val="24"/>
        </w:rPr>
        <w:t>姓    名：</w:t>
      </w:r>
      <w:r>
        <w:rPr>
          <w:rFonts w:hint="eastAsia" w:ascii="宋体" w:hAnsi="宋体" w:cs="宋体"/>
          <w:color w:val="000000"/>
          <w:sz w:val="24"/>
          <w:lang w:val="en-US" w:eastAsia="zh-CN"/>
        </w:rPr>
        <w:t xml:space="preserve">     </w:t>
      </w:r>
      <w:r>
        <w:rPr>
          <w:rFonts w:hint="eastAsia" w:ascii="宋体" w:hAnsi="宋体" w:cs="宋体"/>
          <w:color w:val="000000"/>
          <w:sz w:val="24"/>
        </w:rPr>
        <w:t>性      别：</w:t>
      </w:r>
    </w:p>
    <w:p>
      <w:pPr>
        <w:spacing w:line="500" w:lineRule="exact"/>
        <w:ind w:left="540"/>
        <w:rPr>
          <w:rFonts w:ascii="宋体" w:hAnsi="宋体" w:cs="宋体"/>
          <w:color w:val="000000"/>
          <w:sz w:val="24"/>
          <w:u w:val="single"/>
        </w:rPr>
      </w:pPr>
      <w:r>
        <w:rPr>
          <w:rFonts w:hint="eastAsia" w:ascii="宋体" w:hAnsi="宋体" w:cs="宋体"/>
          <w:color w:val="000000"/>
          <w:sz w:val="24"/>
        </w:rPr>
        <w:t>年    龄：</w:t>
      </w:r>
      <w:r>
        <w:rPr>
          <w:rFonts w:hint="eastAsia" w:ascii="宋体" w:hAnsi="宋体" w:cs="宋体"/>
          <w:color w:val="000000"/>
          <w:sz w:val="24"/>
          <w:lang w:val="en-US" w:eastAsia="zh-CN"/>
        </w:rPr>
        <w:t xml:space="preserve">     </w:t>
      </w:r>
      <w:r>
        <w:rPr>
          <w:rFonts w:hint="eastAsia" w:ascii="宋体" w:hAnsi="宋体" w:cs="宋体"/>
          <w:color w:val="000000"/>
          <w:sz w:val="24"/>
        </w:rPr>
        <w:t>职      务：</w:t>
      </w:r>
    </w:p>
    <w:p>
      <w:pPr>
        <w:spacing w:line="500" w:lineRule="exact"/>
        <w:ind w:left="540"/>
        <w:rPr>
          <w:rFonts w:ascii="宋体" w:hAnsi="宋体" w:cs="宋体"/>
          <w:color w:val="000000"/>
          <w:sz w:val="24"/>
        </w:rPr>
      </w:pPr>
      <w:r>
        <w:rPr>
          <w:rFonts w:hint="eastAsia" w:ascii="宋体" w:hAnsi="宋体" w:cs="宋体"/>
          <w:color w:val="000000"/>
          <w:sz w:val="24"/>
        </w:rPr>
        <w:t>身份证号码：</w:t>
      </w:r>
    </w:p>
    <w:p>
      <w:pPr>
        <w:spacing w:line="500" w:lineRule="exact"/>
        <w:ind w:left="540"/>
        <w:rPr>
          <w:rFonts w:ascii="宋体" w:hAnsi="宋体" w:cs="宋体"/>
          <w:color w:val="000000"/>
          <w:sz w:val="24"/>
        </w:rPr>
      </w:pPr>
      <w:r>
        <w:rPr>
          <w:rFonts w:hint="eastAsia" w:ascii="宋体" w:hAnsi="宋体" w:cs="宋体"/>
          <w:color w:val="000000"/>
          <w:sz w:val="24"/>
        </w:rPr>
        <w:t>系</w:t>
      </w:r>
      <w:r>
        <w:rPr>
          <w:rFonts w:hint="eastAsia" w:ascii="宋体" w:hAnsi="宋体" w:cs="宋体"/>
          <w:color w:val="000000"/>
          <w:sz w:val="24"/>
          <w:u w:val="single"/>
        </w:rPr>
        <w:t xml:space="preserve">            （投标人名称）              </w:t>
      </w:r>
      <w:r>
        <w:rPr>
          <w:rFonts w:hint="eastAsia" w:ascii="宋体" w:hAnsi="宋体" w:cs="宋体"/>
          <w:color w:val="000000"/>
          <w:sz w:val="24"/>
        </w:rPr>
        <w:t>的法定代表人。</w:t>
      </w:r>
    </w:p>
    <w:p>
      <w:pPr>
        <w:spacing w:line="500" w:lineRule="exact"/>
        <w:ind w:left="540"/>
        <w:rPr>
          <w:rFonts w:ascii="宋体" w:hAnsi="宋体" w:cs="宋体"/>
          <w:color w:val="000000"/>
          <w:sz w:val="24"/>
        </w:rPr>
      </w:pPr>
      <w:r>
        <w:rPr>
          <w:rFonts w:hint="eastAsia" w:ascii="宋体" w:hAnsi="宋体" w:cs="宋体"/>
          <w:color w:val="000000"/>
          <w:sz w:val="24"/>
        </w:rPr>
        <w:t>特此证明。</w:t>
      </w:r>
    </w:p>
    <w:p>
      <w:pPr>
        <w:spacing w:line="500" w:lineRule="exact"/>
        <w:ind w:left="540"/>
        <w:rPr>
          <w:rFonts w:ascii="宋体" w:hAnsi="宋体" w:cs="宋体"/>
          <w:color w:val="000000"/>
          <w:sz w:val="24"/>
        </w:rPr>
      </w:pPr>
    </w:p>
    <w:p>
      <w:pPr>
        <w:spacing w:line="500" w:lineRule="exact"/>
        <w:ind w:left="540"/>
        <w:rPr>
          <w:rFonts w:ascii="宋体" w:hAnsi="宋体" w:cs="宋体"/>
          <w:color w:val="000000"/>
          <w:sz w:val="24"/>
        </w:rPr>
      </w:pPr>
    </w:p>
    <w:p>
      <w:pPr>
        <w:spacing w:line="500" w:lineRule="exact"/>
        <w:ind w:left="540"/>
        <w:rPr>
          <w:rFonts w:ascii="宋体" w:hAnsi="宋体" w:cs="宋体"/>
          <w:color w:val="000000"/>
          <w:sz w:val="24"/>
        </w:rPr>
      </w:pPr>
      <w:r>
        <w:rPr>
          <w:rFonts w:hint="eastAsia" w:ascii="宋体" w:hAnsi="宋体" w:cs="宋体"/>
          <w:color w:val="000000"/>
          <w:sz w:val="24"/>
        </w:rPr>
        <w:t>附件：法定代表人有效身份证正反面复印件</w:t>
      </w:r>
    </w:p>
    <w:p>
      <w:pPr>
        <w:spacing w:line="500" w:lineRule="exact"/>
        <w:ind w:left="540"/>
        <w:rPr>
          <w:rFonts w:ascii="宋体" w:hAnsi="宋体" w:cs="宋体"/>
          <w:color w:val="000000"/>
          <w:sz w:val="24"/>
        </w:rPr>
      </w:pPr>
    </w:p>
    <w:p>
      <w:pPr>
        <w:spacing w:line="500" w:lineRule="exact"/>
        <w:ind w:left="540"/>
        <w:jc w:val="right"/>
        <w:rPr>
          <w:rFonts w:ascii="宋体" w:hAnsi="宋体" w:cs="宋体"/>
          <w:color w:val="000000"/>
          <w:sz w:val="24"/>
        </w:rPr>
      </w:pPr>
      <w:r>
        <w:rPr>
          <w:rFonts w:hint="eastAsia" w:ascii="宋体" w:hAnsi="宋体" w:cs="宋体"/>
          <w:color w:val="000000"/>
          <w:sz w:val="24"/>
        </w:rPr>
        <w:t>投标人名称（电子签章）</w:t>
      </w:r>
    </w:p>
    <w:p>
      <w:pPr>
        <w:snapToGrid w:val="0"/>
        <w:spacing w:beforeLines="50" w:after="50"/>
        <w:ind w:left="540"/>
        <w:jc w:val="right"/>
        <w:rPr>
          <w:rFonts w:ascii="宋体" w:hAnsi="宋体" w:cs="宋体"/>
          <w:color w:val="000000"/>
          <w:sz w:val="24"/>
        </w:rPr>
      </w:pPr>
      <w:r>
        <w:rPr>
          <w:rFonts w:hint="eastAsia" w:ascii="宋体" w:hAnsi="宋体" w:cs="宋体"/>
          <w:color w:val="000000"/>
          <w:sz w:val="24"/>
        </w:rPr>
        <w:t>年月日</w:t>
      </w:r>
    </w:p>
    <w:p>
      <w:pPr>
        <w:snapToGrid w:val="0"/>
        <w:spacing w:beforeLines="50" w:after="50"/>
        <w:jc w:val="center"/>
        <w:rPr>
          <w:rFonts w:ascii="宋体" w:hAnsi="宋体" w:cs="宋体"/>
          <w:b/>
          <w:color w:val="000000"/>
          <w:sz w:val="24"/>
        </w:rPr>
      </w:pPr>
    </w:p>
    <w:p>
      <w:pPr>
        <w:snapToGrid w:val="0"/>
        <w:spacing w:beforeLines="50" w:after="50"/>
        <w:jc w:val="left"/>
        <w:rPr>
          <w:rFonts w:ascii="宋体" w:hAnsi="宋体" w:cs="宋体"/>
          <w:b/>
          <w:color w:val="000000"/>
          <w:sz w:val="24"/>
          <w:szCs w:val="20"/>
        </w:rPr>
      </w:pPr>
      <w:r>
        <w:rPr>
          <w:rFonts w:hint="eastAsia" w:ascii="宋体" w:hAnsi="宋体" w:cs="宋体"/>
          <w:color w:val="000000"/>
          <w:sz w:val="24"/>
        </w:rPr>
        <w:t>注：自然人投标的无需提供</w:t>
      </w:r>
    </w:p>
    <w:p>
      <w:pPr>
        <w:snapToGrid w:val="0"/>
        <w:spacing w:beforeLines="50" w:after="50"/>
        <w:jc w:val="left"/>
        <w:rPr>
          <w:rFonts w:ascii="宋体" w:hAnsi="宋体" w:cs="宋体"/>
          <w:b/>
          <w:color w:val="000000"/>
          <w:sz w:val="24"/>
          <w:szCs w:val="20"/>
        </w:rPr>
      </w:pPr>
      <w:r>
        <w:rPr>
          <w:rFonts w:hint="eastAsia" w:ascii="宋体" w:hAnsi="宋体" w:cs="宋体"/>
          <w:b/>
          <w:color w:val="000000"/>
          <w:sz w:val="24"/>
        </w:rPr>
        <w:br w:type="page"/>
      </w:r>
      <w:r>
        <w:rPr>
          <w:rFonts w:hint="eastAsia" w:ascii="宋体" w:hAnsi="宋体" w:cs="宋体"/>
          <w:b/>
          <w:color w:val="000000"/>
          <w:sz w:val="24"/>
        </w:rPr>
        <w:t>5.授权委托书格式</w:t>
      </w:r>
    </w:p>
    <w:p>
      <w:pPr>
        <w:snapToGrid w:val="0"/>
        <w:spacing w:beforeLines="50" w:after="50"/>
        <w:jc w:val="center"/>
        <w:rPr>
          <w:rFonts w:ascii="宋体" w:hAnsi="宋体" w:cs="宋体"/>
          <w:b/>
          <w:color w:val="000000"/>
          <w:sz w:val="44"/>
          <w:szCs w:val="44"/>
        </w:rPr>
      </w:pPr>
    </w:p>
    <w:p>
      <w:pPr>
        <w:snapToGrid w:val="0"/>
        <w:spacing w:beforeLines="50" w:after="50"/>
        <w:jc w:val="center"/>
        <w:rPr>
          <w:rFonts w:ascii="宋体" w:hAnsi="宋体" w:cs="宋体"/>
          <w:bCs/>
          <w:color w:val="000000"/>
          <w:sz w:val="44"/>
          <w:szCs w:val="44"/>
        </w:rPr>
      </w:pPr>
      <w:r>
        <w:rPr>
          <w:rFonts w:hint="eastAsia" w:ascii="宋体" w:hAnsi="宋体" w:cs="宋体"/>
          <w:bCs/>
          <w:color w:val="000000"/>
          <w:sz w:val="44"/>
          <w:szCs w:val="44"/>
        </w:rPr>
        <w:t>授权委托书</w:t>
      </w:r>
    </w:p>
    <w:p>
      <w:pPr>
        <w:snapToGrid w:val="0"/>
        <w:spacing w:beforeLines="50" w:after="50"/>
        <w:jc w:val="center"/>
        <w:rPr>
          <w:rFonts w:ascii="宋体" w:hAnsi="宋体" w:cs="宋体"/>
          <w:b/>
          <w:color w:val="000000"/>
          <w:sz w:val="24"/>
        </w:rPr>
      </w:pPr>
      <w:r>
        <w:rPr>
          <w:rFonts w:hint="eastAsia" w:ascii="宋体" w:hAnsi="宋体" w:cs="宋体"/>
          <w:b/>
          <w:color w:val="000000"/>
          <w:sz w:val="32"/>
          <w:szCs w:val="32"/>
        </w:rPr>
        <w:t>（如有委托时）</w:t>
      </w:r>
    </w:p>
    <w:p>
      <w:pPr>
        <w:snapToGrid w:val="0"/>
        <w:spacing w:beforeLines="50" w:after="50"/>
        <w:jc w:val="center"/>
        <w:rPr>
          <w:rFonts w:ascii="宋体" w:hAnsi="宋体" w:cs="宋体"/>
          <w:b/>
          <w:color w:val="000000"/>
          <w:sz w:val="24"/>
        </w:rPr>
      </w:pPr>
    </w:p>
    <w:p>
      <w:pPr>
        <w:spacing w:line="360" w:lineRule="auto"/>
        <w:contextualSpacing/>
        <w:rPr>
          <w:rFonts w:ascii="宋体" w:hAnsi="宋体" w:cs="宋体"/>
          <w:b/>
          <w:bCs/>
          <w:color w:val="000000"/>
          <w:sz w:val="24"/>
        </w:rPr>
      </w:pPr>
      <w:r>
        <w:rPr>
          <w:rFonts w:hint="eastAsia" w:ascii="宋体" w:hAnsi="宋体" w:cs="宋体"/>
          <w:bCs/>
          <w:color w:val="000000"/>
          <w:sz w:val="24"/>
        </w:rPr>
        <w:t>致：</w:t>
      </w:r>
      <w:r>
        <w:rPr>
          <w:rFonts w:hint="eastAsia" w:ascii="宋体" w:hAnsi="宋体" w:cs="宋体"/>
          <w:color w:val="000000"/>
          <w:sz w:val="24"/>
          <w:u w:val="single"/>
        </w:rPr>
        <w:t>采购人名称</w:t>
      </w:r>
    </w:p>
    <w:p>
      <w:pPr>
        <w:spacing w:line="360" w:lineRule="auto"/>
        <w:ind w:firstLine="566" w:firstLineChars="236"/>
        <w:contextualSpacing/>
        <w:rPr>
          <w:rFonts w:ascii="宋体" w:hAnsi="宋体" w:cs="宋体"/>
          <w:color w:val="000000"/>
          <w:sz w:val="24"/>
        </w:rPr>
      </w:pPr>
      <w:r>
        <w:rPr>
          <w:rFonts w:hint="eastAsia" w:ascii="宋体" w:hAnsi="宋体" w:cs="宋体"/>
          <w:color w:val="000000"/>
          <w:sz w:val="24"/>
        </w:rPr>
        <w:t>我（姓名）系（投标人名称）的法定代表人，现授权委托</w:t>
      </w:r>
      <w:r>
        <w:rPr>
          <w:rFonts w:hint="eastAsia" w:ascii="宋体" w:hAnsi="宋体" w:cs="宋体"/>
          <w:color w:val="000000"/>
          <w:sz w:val="24"/>
          <w:u w:val="single"/>
        </w:rPr>
        <w:t xml:space="preserve">              （姓名）</w:t>
      </w:r>
      <w:r>
        <w:rPr>
          <w:rFonts w:hint="eastAsia" w:ascii="宋体" w:hAnsi="宋体" w:cs="宋体"/>
          <w:color w:val="000000"/>
          <w:sz w:val="24"/>
        </w:rPr>
        <w:t>以我方的名义参加项目的投标活动，并代表我方全权办理针对上述项目的所有采购程序和环节的具体事务和签署相关文件。</w:t>
      </w:r>
    </w:p>
    <w:p>
      <w:pPr>
        <w:spacing w:line="360" w:lineRule="auto"/>
        <w:contextualSpacing/>
        <w:rPr>
          <w:rFonts w:ascii="宋体" w:hAnsi="宋体" w:cs="宋体"/>
          <w:color w:val="000000"/>
          <w:sz w:val="24"/>
        </w:rPr>
      </w:pPr>
      <w:r>
        <w:rPr>
          <w:rFonts w:hint="eastAsia" w:ascii="宋体" w:hAnsi="宋体" w:cs="宋体"/>
          <w:color w:val="000000"/>
          <w:sz w:val="24"/>
        </w:rPr>
        <w:t xml:space="preserve">    我方对委托代理人的签字或者电子签名事项负全部责任。</w:t>
      </w:r>
    </w:p>
    <w:p>
      <w:pPr>
        <w:spacing w:line="360" w:lineRule="auto"/>
        <w:ind w:firstLine="480"/>
        <w:contextualSpacing/>
        <w:rPr>
          <w:rFonts w:ascii="宋体" w:hAnsi="宋体" w:cs="宋体"/>
          <w:color w:val="000000"/>
          <w:sz w:val="24"/>
        </w:rPr>
      </w:pPr>
      <w:r>
        <w:rPr>
          <w:rFonts w:hint="eastAsia" w:ascii="宋体" w:hAnsi="宋体" w:cs="宋体"/>
          <w:color w:val="000000"/>
          <w:sz w:val="24"/>
          <w:u w:val="single"/>
        </w:rPr>
        <w:t>本授权书自签署之日起生效，在撤销授权的书面通知以前，本授权书一直有效。委托代理人在授权书有效期内签署的所有文件不因授权的撤销而失效。</w:t>
      </w:r>
    </w:p>
    <w:p>
      <w:pPr>
        <w:spacing w:line="360" w:lineRule="auto"/>
        <w:ind w:firstLine="480"/>
        <w:contextualSpacing/>
        <w:rPr>
          <w:rFonts w:ascii="宋体" w:hAnsi="宋体" w:cs="宋体"/>
          <w:color w:val="000000"/>
          <w:sz w:val="24"/>
        </w:rPr>
      </w:pPr>
      <w:r>
        <w:rPr>
          <w:rFonts w:hint="eastAsia" w:ascii="宋体" w:hAnsi="宋体" w:cs="宋体"/>
          <w:color w:val="000000"/>
          <w:sz w:val="24"/>
        </w:rPr>
        <w:t>委托代理人无转委托权，特此委托。</w:t>
      </w:r>
    </w:p>
    <w:p>
      <w:pPr>
        <w:spacing w:line="360" w:lineRule="auto"/>
        <w:ind w:firstLine="480"/>
        <w:contextualSpacing/>
        <w:rPr>
          <w:rFonts w:ascii="宋体" w:hAnsi="宋体" w:cs="宋体"/>
          <w:color w:val="000000"/>
          <w:sz w:val="24"/>
        </w:rPr>
      </w:pPr>
      <w:r>
        <w:rPr>
          <w:rFonts w:hint="eastAsia" w:ascii="宋体" w:hAnsi="宋体" w:cs="宋体"/>
          <w:color w:val="000000"/>
          <w:sz w:val="24"/>
        </w:rPr>
        <w:t>附：法定代表人身份证明及委托代理人有效身份证正反面复印件</w:t>
      </w:r>
    </w:p>
    <w:p>
      <w:pPr>
        <w:spacing w:line="360" w:lineRule="auto"/>
        <w:contextualSpacing/>
        <w:rPr>
          <w:rFonts w:ascii="宋体" w:hAnsi="宋体" w:cs="宋体"/>
          <w:color w:val="000000"/>
          <w:sz w:val="24"/>
        </w:rPr>
      </w:pPr>
    </w:p>
    <w:p>
      <w:pPr>
        <w:spacing w:line="440" w:lineRule="exact"/>
        <w:contextualSpacing/>
        <w:rPr>
          <w:rFonts w:ascii="宋体" w:hAnsi="宋体" w:cs="宋体"/>
          <w:color w:val="000000"/>
          <w:sz w:val="24"/>
        </w:rPr>
      </w:pPr>
      <w:r>
        <w:rPr>
          <w:rFonts w:hint="eastAsia" w:ascii="宋体" w:hAnsi="宋体" w:cs="宋体"/>
          <w:color w:val="000000"/>
          <w:sz w:val="24"/>
        </w:rPr>
        <w:t>委托代理人（签字或者电子签名）：</w:t>
      </w:r>
    </w:p>
    <w:p>
      <w:pPr>
        <w:spacing w:line="440" w:lineRule="exact"/>
        <w:contextualSpacing/>
        <w:rPr>
          <w:rFonts w:ascii="宋体" w:hAnsi="宋体" w:cs="宋体"/>
          <w:color w:val="000000"/>
          <w:sz w:val="24"/>
          <w:u w:val="single"/>
        </w:rPr>
      </w:pPr>
      <w:r>
        <w:rPr>
          <w:rFonts w:hint="eastAsia" w:ascii="宋体" w:hAnsi="宋体" w:cs="宋体"/>
          <w:color w:val="000000"/>
          <w:sz w:val="24"/>
        </w:rPr>
        <w:t>委托代理人身份证号码：</w:t>
      </w:r>
    </w:p>
    <w:p>
      <w:pPr>
        <w:spacing w:line="440" w:lineRule="exact"/>
        <w:contextualSpacing/>
        <w:rPr>
          <w:rFonts w:ascii="宋体" w:hAnsi="宋体" w:cs="宋体"/>
          <w:color w:val="000000"/>
          <w:sz w:val="24"/>
          <w:u w:val="single"/>
        </w:rPr>
      </w:pPr>
      <w:r>
        <w:rPr>
          <w:rFonts w:hint="eastAsia" w:ascii="宋体" w:hAnsi="宋体" w:cs="宋体"/>
          <w:color w:val="000000"/>
          <w:sz w:val="24"/>
        </w:rPr>
        <w:t>法定代表人（签字或者盖章或者电子签名）：</w:t>
      </w:r>
    </w:p>
    <w:p>
      <w:pPr>
        <w:spacing w:line="440" w:lineRule="exact"/>
        <w:contextualSpacing/>
        <w:rPr>
          <w:rFonts w:ascii="宋体" w:hAnsi="宋体" w:cs="宋体"/>
          <w:color w:val="000000"/>
          <w:sz w:val="24"/>
        </w:rPr>
      </w:pPr>
    </w:p>
    <w:p>
      <w:pPr>
        <w:spacing w:line="440" w:lineRule="exact"/>
        <w:contextualSpacing/>
        <w:jc w:val="center"/>
        <w:rPr>
          <w:rFonts w:ascii="宋体" w:hAnsi="宋体" w:cs="宋体"/>
          <w:color w:val="000000"/>
          <w:sz w:val="24"/>
        </w:rPr>
      </w:pPr>
      <w:r>
        <w:rPr>
          <w:rFonts w:hint="eastAsia" w:ascii="宋体" w:hAnsi="宋体" w:cs="宋体"/>
          <w:color w:val="000000"/>
          <w:sz w:val="24"/>
        </w:rPr>
        <w:t xml:space="preserve">                                                投标人名称（电子签章）：</w:t>
      </w:r>
    </w:p>
    <w:p>
      <w:pPr>
        <w:spacing w:line="440" w:lineRule="exact"/>
        <w:contextualSpacing/>
        <w:jc w:val="center"/>
        <w:rPr>
          <w:rFonts w:ascii="宋体" w:hAnsi="宋体" w:cs="宋体"/>
          <w:color w:val="000000"/>
          <w:sz w:val="24"/>
        </w:rPr>
      </w:pPr>
      <w:r>
        <w:rPr>
          <w:rFonts w:hint="eastAsia" w:ascii="宋体" w:hAnsi="宋体" w:cs="宋体"/>
          <w:color w:val="000000"/>
          <w:sz w:val="24"/>
        </w:rPr>
        <w:t xml:space="preserve">                                              年    月    日</w:t>
      </w:r>
    </w:p>
    <w:p>
      <w:pPr>
        <w:spacing w:line="440" w:lineRule="exact"/>
        <w:contextualSpacing/>
        <w:rPr>
          <w:rFonts w:ascii="宋体" w:hAnsi="宋体" w:cs="宋体"/>
          <w:color w:val="000000"/>
          <w:sz w:val="24"/>
        </w:rPr>
      </w:pPr>
      <w:r>
        <w:rPr>
          <w:rFonts w:hint="eastAsia" w:ascii="宋体" w:hAnsi="宋体" w:cs="宋体"/>
          <w:color w:val="000000"/>
          <w:sz w:val="24"/>
        </w:rPr>
        <w:t>注：1.</w:t>
      </w:r>
      <w:bookmarkStart w:id="249" w:name="_Hlk65851555"/>
      <w:bookmarkStart w:id="250" w:name="_Hlk65851620"/>
      <w:r>
        <w:rPr>
          <w:rFonts w:hint="eastAsia" w:ascii="宋体" w:hAnsi="宋体" w:cs="宋体"/>
          <w:color w:val="000000"/>
          <w:sz w:val="24"/>
        </w:rPr>
        <w:t>法定代表人必须在授权委托书上签字或者盖章或者电子签名，</w:t>
      </w:r>
      <w:bookmarkEnd w:id="249"/>
      <w:r>
        <w:rPr>
          <w:rFonts w:hint="eastAsia" w:ascii="宋体" w:hAnsi="宋体" w:cs="宋体"/>
          <w:color w:val="000000"/>
          <w:sz w:val="24"/>
        </w:rPr>
        <w:t>委托代理人必须在授权委托书上签字或者电子签名，</w:t>
      </w:r>
      <w:r>
        <w:rPr>
          <w:rFonts w:hint="eastAsia" w:ascii="宋体" w:hAnsi="宋体" w:cs="宋体"/>
          <w:b/>
          <w:bCs/>
          <w:color w:val="000000"/>
          <w:sz w:val="24"/>
        </w:rPr>
        <w:t>否则按无效投标处理</w:t>
      </w:r>
      <w:r>
        <w:rPr>
          <w:rFonts w:hint="eastAsia" w:ascii="宋体" w:hAnsi="宋体" w:cs="宋体"/>
          <w:color w:val="000000"/>
          <w:sz w:val="24"/>
        </w:rPr>
        <w:t>；</w:t>
      </w:r>
      <w:bookmarkEnd w:id="250"/>
    </w:p>
    <w:p>
      <w:pPr>
        <w:spacing w:line="440" w:lineRule="exact"/>
        <w:ind w:firstLine="480" w:firstLineChars="200"/>
        <w:contextualSpacing/>
        <w:jc w:val="left"/>
        <w:rPr>
          <w:rFonts w:ascii="宋体" w:hAnsi="宋体" w:cs="宋体"/>
          <w:color w:val="000000"/>
          <w:sz w:val="24"/>
        </w:rPr>
      </w:pPr>
      <w:r>
        <w:rPr>
          <w:rFonts w:hint="eastAsia" w:ascii="宋体" w:hAnsi="宋体" w:cs="宋体"/>
          <w:color w:val="000000"/>
          <w:sz w:val="24"/>
        </w:rPr>
        <w:t>2.法人、其他组织投标时“我方”是指“我单位”，自然人投标时“我方”是指“本人”。</w:t>
      </w:r>
    </w:p>
    <w:p>
      <w:pPr>
        <w:snapToGrid w:val="0"/>
        <w:spacing w:beforeLines="50" w:after="50"/>
        <w:rPr>
          <w:rFonts w:ascii="宋体" w:hAnsi="宋体" w:cs="宋体"/>
          <w:b/>
          <w:color w:val="000000"/>
          <w:sz w:val="24"/>
          <w:szCs w:val="20"/>
        </w:rPr>
      </w:pPr>
      <w:r>
        <w:rPr>
          <w:rFonts w:hint="eastAsia" w:ascii="宋体" w:hAnsi="宋体" w:cs="宋体"/>
          <w:color w:val="000000"/>
          <w:sz w:val="24"/>
        </w:rPr>
        <w:br w:type="page"/>
      </w:r>
      <w:r>
        <w:rPr>
          <w:rFonts w:hint="eastAsia" w:ascii="宋体" w:hAnsi="宋体" w:cs="宋体"/>
          <w:b/>
          <w:color w:val="000000"/>
          <w:sz w:val="24"/>
        </w:rPr>
        <w:t>6.商务要求偏离表格式</w:t>
      </w:r>
    </w:p>
    <w:p>
      <w:pPr>
        <w:snapToGrid w:val="0"/>
        <w:spacing w:before="50"/>
        <w:jc w:val="left"/>
        <w:rPr>
          <w:rFonts w:ascii="宋体" w:hAnsi="宋体" w:cs="宋体"/>
          <w:color w:val="000000"/>
          <w:sz w:val="24"/>
        </w:rPr>
      </w:pPr>
    </w:p>
    <w:p>
      <w:pPr>
        <w:pStyle w:val="24"/>
        <w:rPr>
          <w:rFonts w:hAnsi="宋体" w:cs="宋体"/>
          <w:color w:val="000000"/>
          <w:sz w:val="24"/>
          <w:szCs w:val="24"/>
        </w:rPr>
      </w:pPr>
      <w:r>
        <w:rPr>
          <w:rFonts w:hint="eastAsia" w:hAnsi="宋体" w:cs="宋体"/>
          <w:color w:val="000000"/>
          <w:sz w:val="24"/>
          <w:szCs w:val="24"/>
        </w:rPr>
        <w:t>所投分标：分标</w:t>
      </w:r>
    </w:p>
    <w:p>
      <w:pPr>
        <w:snapToGrid w:val="0"/>
        <w:spacing w:before="50"/>
        <w:jc w:val="left"/>
        <w:rPr>
          <w:rFonts w:ascii="宋体" w:hAnsi="宋体" w:cs="宋体"/>
          <w:color w:val="000000"/>
          <w:sz w:val="24"/>
          <w:u w:val="single"/>
        </w:rPr>
      </w:pPr>
    </w:p>
    <w:tbl>
      <w:tblPr>
        <w:tblStyle w:val="44"/>
        <w:tblW w:w="8641" w:type="dxa"/>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0"/>
        <w:gridCol w:w="2686"/>
        <w:gridCol w:w="2410"/>
        <w:gridCol w:w="2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宋体" w:hAnsi="宋体" w:cs="宋体"/>
                <w:color w:val="000000"/>
                <w:sz w:val="24"/>
              </w:rPr>
            </w:pPr>
            <w:r>
              <w:rPr>
                <w:rFonts w:hint="eastAsia" w:ascii="宋体" w:hAnsi="宋体" w:cs="宋体"/>
                <w:color w:val="000000"/>
                <w:sz w:val="24"/>
              </w:rPr>
              <w:t>商务要求</w:t>
            </w:r>
          </w:p>
        </w:tc>
        <w:tc>
          <w:tcPr>
            <w:tcW w:w="2686"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宋体" w:hAnsi="宋体" w:cs="宋体"/>
                <w:color w:val="000000"/>
                <w:sz w:val="24"/>
              </w:rPr>
            </w:pPr>
            <w:r>
              <w:rPr>
                <w:rFonts w:hint="eastAsia" w:ascii="宋体" w:hAnsi="宋体" w:cs="宋体"/>
                <w:color w:val="000000"/>
                <w:sz w:val="24"/>
              </w:rPr>
              <w:t>招标文件要求</w:t>
            </w:r>
          </w:p>
        </w:tc>
        <w:tc>
          <w:tcPr>
            <w:tcW w:w="241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宋体" w:hAnsi="宋体" w:cs="宋体"/>
                <w:color w:val="000000"/>
                <w:sz w:val="24"/>
              </w:rPr>
            </w:pPr>
            <w:r>
              <w:rPr>
                <w:rFonts w:hint="eastAsia" w:ascii="宋体" w:hAnsi="宋体" w:cs="宋体"/>
                <w:color w:val="000000"/>
                <w:sz w:val="24"/>
              </w:rPr>
              <w:t>投标人的承诺</w:t>
            </w:r>
          </w:p>
        </w:tc>
        <w:tc>
          <w:tcPr>
            <w:tcW w:w="2035"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宋体" w:hAnsi="宋体" w:cs="宋体"/>
                <w:color w:val="000000"/>
                <w:sz w:val="24"/>
              </w:rPr>
            </w:pPr>
            <w:r>
              <w:rPr>
                <w:rFonts w:hint="eastAsia" w:ascii="宋体" w:hAnsi="宋体" w:cs="宋体"/>
                <w:color w:val="000000"/>
                <w:sz w:val="24"/>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sz w:val="24"/>
              </w:rPr>
            </w:pPr>
          </w:p>
        </w:tc>
        <w:tc>
          <w:tcPr>
            <w:tcW w:w="268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 w:val="24"/>
              </w:rPr>
            </w:pPr>
          </w:p>
        </w:tc>
        <w:tc>
          <w:tcPr>
            <w:tcW w:w="2410" w:type="dxa"/>
            <w:tcBorders>
              <w:top w:val="single" w:color="auto" w:sz="4" w:space="0"/>
              <w:left w:val="single" w:color="auto" w:sz="4" w:space="0"/>
              <w:bottom w:val="single" w:color="auto" w:sz="4" w:space="0"/>
              <w:right w:val="single" w:color="auto" w:sz="4" w:space="0"/>
            </w:tcBorders>
            <w:vAlign w:val="center"/>
          </w:tcPr>
          <w:p>
            <w:pPr>
              <w:snapToGrid w:val="0"/>
              <w:spacing w:beforeLines="50"/>
              <w:rPr>
                <w:rFonts w:ascii="宋体" w:hAnsi="宋体" w:cs="宋体"/>
                <w:color w:val="000000"/>
                <w:sz w:val="24"/>
              </w:rPr>
            </w:pPr>
          </w:p>
        </w:tc>
        <w:tc>
          <w:tcPr>
            <w:tcW w:w="2035"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sz w:val="24"/>
              </w:rPr>
            </w:pPr>
          </w:p>
        </w:tc>
        <w:tc>
          <w:tcPr>
            <w:tcW w:w="268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c>
          <w:tcPr>
            <w:tcW w:w="2410" w:type="dxa"/>
            <w:tcBorders>
              <w:top w:val="single" w:color="auto" w:sz="4" w:space="0"/>
              <w:left w:val="single" w:color="auto" w:sz="4" w:space="0"/>
              <w:bottom w:val="single" w:color="auto" w:sz="4" w:space="0"/>
              <w:right w:val="single" w:color="auto" w:sz="4" w:space="0"/>
            </w:tcBorders>
            <w:vAlign w:val="center"/>
          </w:tcPr>
          <w:p>
            <w:pPr>
              <w:snapToGrid w:val="0"/>
              <w:spacing w:beforeLines="50"/>
              <w:rPr>
                <w:rFonts w:ascii="宋体" w:hAnsi="宋体" w:cs="宋体"/>
                <w:color w:val="000000"/>
                <w:szCs w:val="21"/>
              </w:rPr>
            </w:pPr>
          </w:p>
        </w:tc>
        <w:tc>
          <w:tcPr>
            <w:tcW w:w="2035"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sz w:val="24"/>
              </w:rPr>
            </w:pPr>
          </w:p>
        </w:tc>
        <w:tc>
          <w:tcPr>
            <w:tcW w:w="268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c>
          <w:tcPr>
            <w:tcW w:w="2410" w:type="dxa"/>
            <w:tcBorders>
              <w:top w:val="single" w:color="auto" w:sz="4" w:space="0"/>
              <w:left w:val="single" w:color="auto" w:sz="4" w:space="0"/>
              <w:bottom w:val="single" w:color="auto" w:sz="4" w:space="0"/>
              <w:right w:val="single" w:color="auto" w:sz="4" w:space="0"/>
            </w:tcBorders>
            <w:vAlign w:val="center"/>
          </w:tcPr>
          <w:p>
            <w:pPr>
              <w:snapToGrid w:val="0"/>
              <w:spacing w:beforeLines="50"/>
              <w:rPr>
                <w:rFonts w:ascii="宋体" w:hAnsi="宋体" w:cs="宋体"/>
                <w:color w:val="000000"/>
                <w:szCs w:val="21"/>
              </w:rPr>
            </w:pPr>
          </w:p>
        </w:tc>
        <w:tc>
          <w:tcPr>
            <w:tcW w:w="2035"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sz w:val="24"/>
              </w:rPr>
            </w:pPr>
          </w:p>
        </w:tc>
        <w:tc>
          <w:tcPr>
            <w:tcW w:w="268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c>
          <w:tcPr>
            <w:tcW w:w="2410" w:type="dxa"/>
            <w:tcBorders>
              <w:top w:val="single" w:color="auto" w:sz="4" w:space="0"/>
              <w:left w:val="single" w:color="auto" w:sz="4" w:space="0"/>
              <w:bottom w:val="single" w:color="auto" w:sz="4" w:space="0"/>
              <w:right w:val="single" w:color="auto" w:sz="4" w:space="0"/>
            </w:tcBorders>
            <w:vAlign w:val="center"/>
          </w:tcPr>
          <w:p>
            <w:pPr>
              <w:snapToGrid w:val="0"/>
              <w:spacing w:beforeLines="50"/>
              <w:rPr>
                <w:rFonts w:ascii="宋体" w:hAnsi="宋体" w:cs="宋体"/>
                <w:color w:val="000000"/>
                <w:szCs w:val="21"/>
              </w:rPr>
            </w:pPr>
          </w:p>
        </w:tc>
        <w:tc>
          <w:tcPr>
            <w:tcW w:w="2035"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sz w:val="24"/>
              </w:rPr>
            </w:pPr>
          </w:p>
        </w:tc>
        <w:tc>
          <w:tcPr>
            <w:tcW w:w="268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p>
        </w:tc>
        <w:tc>
          <w:tcPr>
            <w:tcW w:w="2410" w:type="dxa"/>
            <w:tcBorders>
              <w:top w:val="single" w:color="auto" w:sz="4" w:space="0"/>
              <w:left w:val="single" w:color="auto" w:sz="4" w:space="0"/>
              <w:bottom w:val="single" w:color="auto" w:sz="4" w:space="0"/>
              <w:right w:val="single" w:color="auto" w:sz="4" w:space="0"/>
            </w:tcBorders>
            <w:vAlign w:val="center"/>
          </w:tcPr>
          <w:p>
            <w:pPr>
              <w:snapToGrid w:val="0"/>
              <w:spacing w:beforeLines="50"/>
              <w:rPr>
                <w:rFonts w:ascii="宋体" w:hAnsi="宋体" w:cs="宋体"/>
                <w:color w:val="000000"/>
                <w:szCs w:val="21"/>
              </w:rPr>
            </w:pPr>
          </w:p>
        </w:tc>
        <w:tc>
          <w:tcPr>
            <w:tcW w:w="2035"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sz w:val="24"/>
              </w:rPr>
            </w:pPr>
          </w:p>
        </w:tc>
        <w:tc>
          <w:tcPr>
            <w:tcW w:w="268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 w:val="24"/>
              </w:rPr>
            </w:pPr>
          </w:p>
        </w:tc>
        <w:tc>
          <w:tcPr>
            <w:tcW w:w="2410" w:type="dxa"/>
            <w:tcBorders>
              <w:top w:val="single" w:color="auto" w:sz="4" w:space="0"/>
              <w:left w:val="single" w:color="auto" w:sz="4" w:space="0"/>
              <w:bottom w:val="single" w:color="auto" w:sz="4" w:space="0"/>
              <w:right w:val="single" w:color="auto" w:sz="4" w:space="0"/>
            </w:tcBorders>
            <w:vAlign w:val="center"/>
          </w:tcPr>
          <w:p>
            <w:pPr>
              <w:snapToGrid w:val="0"/>
              <w:spacing w:beforeLines="50"/>
              <w:ind w:left="43"/>
              <w:rPr>
                <w:rFonts w:ascii="宋体" w:hAnsi="宋体" w:cs="宋体"/>
                <w:color w:val="000000"/>
                <w:sz w:val="24"/>
              </w:rPr>
            </w:pPr>
          </w:p>
        </w:tc>
        <w:tc>
          <w:tcPr>
            <w:tcW w:w="2035" w:type="dxa"/>
            <w:tcBorders>
              <w:top w:val="single" w:color="auto" w:sz="4" w:space="0"/>
              <w:left w:val="single" w:color="auto" w:sz="4" w:space="0"/>
              <w:bottom w:val="single" w:color="auto" w:sz="4" w:space="0"/>
              <w:right w:val="single" w:color="auto" w:sz="4" w:space="0"/>
            </w:tcBorders>
            <w:vAlign w:val="center"/>
          </w:tcPr>
          <w:p>
            <w:pPr>
              <w:snapToGrid w:val="0"/>
              <w:spacing w:beforeLines="50"/>
              <w:ind w:left="43"/>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宋体" w:hAnsi="宋体" w:cs="宋体"/>
                <w:color w:val="000000"/>
                <w:sz w:val="24"/>
              </w:rPr>
            </w:pPr>
            <w:r>
              <w:rPr>
                <w:rFonts w:hint="eastAsia" w:ascii="宋体" w:hAnsi="宋体" w:cs="宋体"/>
                <w:color w:val="000000"/>
                <w:sz w:val="24"/>
              </w:rPr>
              <w:t>…</w:t>
            </w:r>
          </w:p>
        </w:tc>
        <w:tc>
          <w:tcPr>
            <w:tcW w:w="2686" w:type="dxa"/>
            <w:tcBorders>
              <w:top w:val="single" w:color="auto" w:sz="4" w:space="0"/>
              <w:left w:val="single" w:color="auto" w:sz="4" w:space="0"/>
              <w:bottom w:val="single" w:color="auto" w:sz="4" w:space="0"/>
              <w:right w:val="single" w:color="auto" w:sz="4" w:space="0"/>
            </w:tcBorders>
            <w:vAlign w:val="center"/>
          </w:tcPr>
          <w:p>
            <w:pPr>
              <w:snapToGrid w:val="0"/>
              <w:spacing w:beforeLines="50"/>
              <w:rPr>
                <w:rFonts w:ascii="宋体" w:hAnsi="宋体" w:cs="宋体"/>
                <w:color w:val="000000"/>
                <w:sz w:val="24"/>
              </w:rPr>
            </w:pPr>
          </w:p>
        </w:tc>
        <w:tc>
          <w:tcPr>
            <w:tcW w:w="2410" w:type="dxa"/>
            <w:tcBorders>
              <w:top w:val="single" w:color="auto" w:sz="4" w:space="0"/>
              <w:left w:val="single" w:color="auto" w:sz="4" w:space="0"/>
              <w:bottom w:val="single" w:color="auto" w:sz="4" w:space="0"/>
              <w:right w:val="single" w:color="auto" w:sz="4" w:space="0"/>
            </w:tcBorders>
            <w:vAlign w:val="center"/>
          </w:tcPr>
          <w:p>
            <w:pPr>
              <w:snapToGrid w:val="0"/>
              <w:spacing w:beforeLines="50"/>
              <w:rPr>
                <w:rFonts w:ascii="宋体" w:hAnsi="宋体" w:cs="宋体"/>
                <w:color w:val="000000"/>
                <w:sz w:val="24"/>
              </w:rPr>
            </w:pPr>
          </w:p>
        </w:tc>
        <w:tc>
          <w:tcPr>
            <w:tcW w:w="2035"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宋体" w:hAnsi="宋体" w:cs="宋体"/>
                <w:color w:val="000000"/>
                <w:sz w:val="24"/>
              </w:rPr>
            </w:pPr>
          </w:p>
        </w:tc>
      </w:tr>
    </w:tbl>
    <w:p>
      <w:pPr>
        <w:pStyle w:val="17"/>
        <w:rPr>
          <w:rFonts w:ascii="宋体" w:hAnsi="宋体" w:cs="宋体"/>
          <w:color w:val="000000"/>
        </w:rPr>
      </w:pPr>
      <w:r>
        <w:rPr>
          <w:rFonts w:hint="eastAsia" w:ascii="宋体" w:hAnsi="宋体" w:cs="宋体"/>
          <w:color w:val="000000"/>
        </w:rPr>
        <w:t>注：</w:t>
      </w:r>
    </w:p>
    <w:p>
      <w:pPr>
        <w:pStyle w:val="19"/>
        <w:spacing w:line="520" w:lineRule="exact"/>
        <w:ind w:firstLine="0" w:firstLineChars="0"/>
        <w:rPr>
          <w:rFonts w:ascii="宋体" w:hAnsi="宋体" w:eastAsia="宋体" w:cs="宋体"/>
          <w:color w:val="000000"/>
          <w:szCs w:val="32"/>
        </w:rPr>
      </w:pPr>
      <w:r>
        <w:rPr>
          <w:rFonts w:hint="eastAsia" w:ascii="宋体" w:hAnsi="宋体" w:eastAsia="宋体" w:cs="宋体"/>
          <w:color w:val="000000"/>
          <w:sz w:val="24"/>
          <w:szCs w:val="24"/>
        </w:rPr>
        <w:t>1.说明：应对照招标文件“第二章 采购需求”中的商务要求逐条作明确的投标响应，并作出偏离说明。</w:t>
      </w:r>
    </w:p>
    <w:p>
      <w:pPr>
        <w:pStyle w:val="17"/>
        <w:rPr>
          <w:rFonts w:ascii="宋体" w:hAnsi="宋体" w:cs="宋体"/>
          <w:b w:val="0"/>
          <w:bCs w:val="0"/>
          <w:color w:val="000000"/>
        </w:rPr>
      </w:pPr>
      <w:r>
        <w:rPr>
          <w:rFonts w:hint="eastAsia" w:ascii="宋体" w:hAnsi="宋体" w:cs="宋体"/>
          <w:b w:val="0"/>
          <w:bCs w:val="0"/>
          <w:color w:val="000000"/>
        </w:rPr>
        <w:t>2.投标人应根据自身的承诺，对照招标文件要求在“偏离说明”中注明“</w:t>
      </w:r>
      <w:r>
        <w:rPr>
          <w:rFonts w:hint="eastAsia" w:ascii="宋体" w:hAnsi="宋体" w:cs="宋体"/>
          <w:color w:val="000000"/>
        </w:rPr>
        <w:t>正偏离</w:t>
      </w:r>
      <w:r>
        <w:rPr>
          <w:rFonts w:hint="eastAsia" w:ascii="宋体" w:hAnsi="宋体" w:cs="宋体"/>
          <w:b w:val="0"/>
          <w:bCs w:val="0"/>
          <w:color w:val="000000"/>
        </w:rPr>
        <w:t>”、“</w:t>
      </w:r>
      <w:r>
        <w:rPr>
          <w:rFonts w:hint="eastAsia" w:ascii="宋体" w:hAnsi="宋体" w:cs="宋体"/>
          <w:color w:val="000000"/>
        </w:rPr>
        <w:t>负偏离</w:t>
      </w:r>
      <w:r>
        <w:rPr>
          <w:rFonts w:hint="eastAsia" w:ascii="宋体" w:hAnsi="宋体" w:cs="宋体"/>
          <w:b w:val="0"/>
          <w:bCs w:val="0"/>
          <w:color w:val="000000"/>
        </w:rPr>
        <w:t>”或者“</w:t>
      </w:r>
      <w:r>
        <w:rPr>
          <w:rFonts w:hint="eastAsia" w:ascii="宋体" w:hAnsi="宋体" w:cs="宋体"/>
          <w:color w:val="000000"/>
        </w:rPr>
        <w:t>无偏离</w:t>
      </w:r>
      <w:r>
        <w:rPr>
          <w:rFonts w:hint="eastAsia" w:ascii="宋体" w:hAnsi="宋体" w:cs="宋体"/>
          <w:b w:val="0"/>
          <w:bCs w:val="0"/>
          <w:color w:val="000000"/>
        </w:rPr>
        <w:t>”。既不属于“</w:t>
      </w:r>
      <w:r>
        <w:rPr>
          <w:rFonts w:hint="eastAsia" w:ascii="宋体" w:hAnsi="宋体" w:cs="宋体"/>
          <w:color w:val="000000"/>
        </w:rPr>
        <w:t>正偏离</w:t>
      </w:r>
      <w:r>
        <w:rPr>
          <w:rFonts w:hint="eastAsia" w:ascii="宋体" w:hAnsi="宋体" w:cs="宋体"/>
          <w:b w:val="0"/>
          <w:bCs w:val="0"/>
          <w:color w:val="000000"/>
        </w:rPr>
        <w:t>”也不属于“</w:t>
      </w:r>
      <w:r>
        <w:rPr>
          <w:rFonts w:hint="eastAsia" w:ascii="宋体" w:hAnsi="宋体" w:cs="宋体"/>
          <w:color w:val="000000"/>
        </w:rPr>
        <w:t>负偏离</w:t>
      </w:r>
      <w:r>
        <w:rPr>
          <w:rFonts w:hint="eastAsia" w:ascii="宋体" w:hAnsi="宋体" w:cs="宋体"/>
          <w:b w:val="0"/>
          <w:bCs w:val="0"/>
          <w:color w:val="000000"/>
        </w:rPr>
        <w:t>”即为“</w:t>
      </w:r>
      <w:r>
        <w:rPr>
          <w:rFonts w:hint="eastAsia" w:ascii="宋体" w:hAnsi="宋体" w:cs="宋体"/>
          <w:color w:val="000000"/>
        </w:rPr>
        <w:t>无偏离</w:t>
      </w:r>
      <w:r>
        <w:rPr>
          <w:rFonts w:hint="eastAsia" w:ascii="宋体" w:hAnsi="宋体" w:cs="宋体"/>
          <w:b w:val="0"/>
          <w:bCs w:val="0"/>
          <w:color w:val="000000"/>
        </w:rPr>
        <w:t>”。</w:t>
      </w:r>
    </w:p>
    <w:p>
      <w:pPr>
        <w:spacing w:line="360" w:lineRule="auto"/>
        <w:ind w:right="-817" w:rightChars="-389"/>
        <w:contextualSpacing/>
        <w:rPr>
          <w:rFonts w:ascii="宋体" w:hAnsi="宋体" w:cs="仿宋_GB2312"/>
          <w:color w:val="000000"/>
          <w:sz w:val="24"/>
        </w:rPr>
      </w:pPr>
      <w:r>
        <w:rPr>
          <w:rFonts w:ascii="宋体" w:hAnsi="宋体" w:cs="仿宋_GB2312"/>
          <w:color w:val="000000"/>
          <w:sz w:val="24"/>
        </w:rPr>
        <w:t>3.</w:t>
      </w:r>
      <w:r>
        <w:rPr>
          <w:rFonts w:hint="eastAsia" w:ascii="宋体" w:hAnsi="宋体" w:cs="仿宋_GB2312"/>
          <w:color w:val="000000"/>
          <w:sz w:val="24"/>
        </w:rPr>
        <w:t>偏离表中“投标人的承诺”仅简单的写“满足或响应”的，投标无效。</w:t>
      </w:r>
    </w:p>
    <w:p>
      <w:pPr>
        <w:snapToGrid w:val="0"/>
        <w:spacing w:before="50" w:after="50"/>
        <w:rPr>
          <w:rFonts w:ascii="宋体" w:hAnsi="宋体" w:cs="宋体"/>
          <w:color w:val="000000"/>
          <w:sz w:val="24"/>
        </w:rPr>
      </w:pPr>
    </w:p>
    <w:p>
      <w:pPr>
        <w:snapToGrid w:val="0"/>
        <w:spacing w:before="50" w:after="50"/>
        <w:rPr>
          <w:rFonts w:ascii="宋体" w:hAnsi="宋体" w:cs="宋体"/>
          <w:color w:val="000000"/>
          <w:sz w:val="24"/>
        </w:rPr>
      </w:pPr>
    </w:p>
    <w:p>
      <w:pPr>
        <w:snapToGrid w:val="0"/>
        <w:spacing w:before="50" w:after="50"/>
        <w:rPr>
          <w:rFonts w:ascii="宋体" w:hAnsi="宋体" w:cs="宋体"/>
          <w:color w:val="000000"/>
          <w:spacing w:val="20"/>
          <w:sz w:val="24"/>
          <w:u w:val="single"/>
        </w:rPr>
      </w:pPr>
      <w:r>
        <w:rPr>
          <w:rFonts w:hint="eastAsia" w:ascii="宋体" w:hAnsi="宋体" w:cs="宋体"/>
          <w:color w:val="000000"/>
          <w:sz w:val="24"/>
        </w:rPr>
        <w:t>法定代表人或者委托代理人</w:t>
      </w:r>
      <w:r>
        <w:rPr>
          <w:rFonts w:hint="eastAsia" w:ascii="宋体" w:hAnsi="宋体" w:cs="宋体"/>
          <w:color w:val="000000"/>
          <w:spacing w:val="20"/>
          <w:sz w:val="24"/>
        </w:rPr>
        <w:t>（签字或者电子签名）：</w:t>
      </w:r>
    </w:p>
    <w:p>
      <w:pPr>
        <w:snapToGrid w:val="0"/>
        <w:spacing w:beforeLines="50"/>
        <w:rPr>
          <w:rFonts w:ascii="宋体" w:hAnsi="宋体" w:cs="宋体"/>
          <w:color w:val="000000"/>
          <w:spacing w:val="20"/>
          <w:sz w:val="24"/>
        </w:rPr>
      </w:pPr>
      <w:r>
        <w:rPr>
          <w:rFonts w:hint="eastAsia" w:ascii="宋体" w:hAnsi="宋体" w:cs="宋体"/>
          <w:color w:val="000000"/>
          <w:spacing w:val="20"/>
          <w:sz w:val="24"/>
        </w:rPr>
        <w:t>投标人名称（电子签章）：</w:t>
      </w:r>
    </w:p>
    <w:p>
      <w:pPr>
        <w:snapToGrid w:val="0"/>
        <w:spacing w:beforeLines="50"/>
        <w:rPr>
          <w:rFonts w:ascii="宋体" w:hAnsi="宋体" w:cs="宋体"/>
          <w:color w:val="000000"/>
          <w:sz w:val="24"/>
          <w:szCs w:val="20"/>
        </w:rPr>
      </w:pPr>
      <w:r>
        <w:rPr>
          <w:rFonts w:hint="eastAsia" w:ascii="宋体" w:hAnsi="宋体" w:cs="宋体"/>
          <w:color w:val="000000"/>
          <w:spacing w:val="20"/>
          <w:sz w:val="24"/>
        </w:rPr>
        <w:t>日  期：</w:t>
      </w:r>
    </w:p>
    <w:p>
      <w:pPr>
        <w:snapToGrid w:val="0"/>
        <w:spacing w:beforeLines="50" w:after="50"/>
        <w:ind w:left="142"/>
        <w:jc w:val="left"/>
        <w:rPr>
          <w:rFonts w:ascii="宋体" w:hAnsi="宋体" w:cs="宋体"/>
          <w:b/>
          <w:color w:val="000000"/>
          <w:sz w:val="24"/>
        </w:rPr>
      </w:pPr>
    </w:p>
    <w:p>
      <w:pPr>
        <w:snapToGrid w:val="0"/>
        <w:spacing w:beforeLines="50" w:after="50"/>
        <w:ind w:left="142"/>
        <w:jc w:val="left"/>
        <w:rPr>
          <w:rFonts w:ascii="宋体" w:hAnsi="宋体" w:cs="宋体"/>
          <w:b/>
          <w:color w:val="000000"/>
          <w:sz w:val="24"/>
        </w:rPr>
      </w:pPr>
    </w:p>
    <w:p>
      <w:pPr>
        <w:snapToGrid w:val="0"/>
        <w:spacing w:beforeLines="50" w:after="50"/>
        <w:ind w:left="142"/>
        <w:jc w:val="left"/>
        <w:rPr>
          <w:rFonts w:ascii="宋体" w:hAnsi="宋体" w:cs="宋体"/>
          <w:b/>
          <w:color w:val="000000"/>
          <w:sz w:val="24"/>
        </w:rPr>
      </w:pPr>
      <w:r>
        <w:rPr>
          <w:rFonts w:hint="eastAsia" w:ascii="宋体" w:hAnsi="宋体" w:cs="宋体"/>
          <w:b/>
          <w:color w:val="000000"/>
          <w:sz w:val="24"/>
        </w:rPr>
        <w:t>7.服务要求偏离表格式</w:t>
      </w:r>
    </w:p>
    <w:p>
      <w:pPr>
        <w:snapToGrid w:val="0"/>
        <w:spacing w:beforeLines="50" w:after="50"/>
        <w:ind w:left="142"/>
        <w:jc w:val="left"/>
        <w:rPr>
          <w:rFonts w:ascii="宋体" w:hAnsi="宋体" w:cs="宋体"/>
          <w:b/>
          <w:color w:val="000000"/>
          <w:sz w:val="24"/>
        </w:rPr>
      </w:pPr>
    </w:p>
    <w:p>
      <w:pPr>
        <w:snapToGrid w:val="0"/>
        <w:spacing w:beforeLines="50" w:after="50"/>
        <w:ind w:left="142"/>
        <w:jc w:val="center"/>
        <w:rPr>
          <w:rFonts w:ascii="宋体" w:hAnsi="宋体" w:cs="宋体"/>
          <w:b/>
          <w:color w:val="000000"/>
          <w:sz w:val="32"/>
          <w:szCs w:val="32"/>
        </w:rPr>
      </w:pPr>
      <w:r>
        <w:rPr>
          <w:rFonts w:hint="eastAsia" w:ascii="宋体" w:hAnsi="宋体" w:cs="宋体"/>
          <w:b/>
          <w:color w:val="000000"/>
          <w:sz w:val="32"/>
          <w:szCs w:val="32"/>
        </w:rPr>
        <w:t>服务要求偏离表</w:t>
      </w:r>
    </w:p>
    <w:p>
      <w:pPr>
        <w:pStyle w:val="24"/>
        <w:rPr>
          <w:rFonts w:hAnsi="宋体" w:cs="宋体"/>
          <w:color w:val="000000"/>
          <w:sz w:val="24"/>
          <w:szCs w:val="24"/>
        </w:rPr>
      </w:pPr>
      <w:r>
        <w:rPr>
          <w:rFonts w:hint="eastAsia" w:hAnsi="宋体" w:cs="宋体"/>
          <w:color w:val="000000"/>
          <w:sz w:val="24"/>
          <w:szCs w:val="24"/>
        </w:rPr>
        <w:t>所投分标：分标</w:t>
      </w:r>
    </w:p>
    <w:tbl>
      <w:tblPr>
        <w:tblStyle w:val="44"/>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842"/>
        <w:gridCol w:w="2135"/>
        <w:gridCol w:w="2181"/>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vAlign w:val="center"/>
          </w:tcPr>
          <w:p>
            <w:pPr>
              <w:pStyle w:val="24"/>
              <w:spacing w:line="400" w:lineRule="exact"/>
              <w:jc w:val="center"/>
              <w:rPr>
                <w:rFonts w:hAnsi="宋体" w:cs="宋体"/>
                <w:color w:val="000000"/>
                <w:kern w:val="2"/>
                <w:sz w:val="24"/>
                <w:szCs w:val="24"/>
                <w:lang w:val="en-US" w:eastAsia="zh-CN"/>
              </w:rPr>
            </w:pPr>
            <w:r>
              <w:rPr>
                <w:rFonts w:hint="eastAsia" w:hAnsi="宋体" w:cs="宋体"/>
                <w:color w:val="000000"/>
                <w:kern w:val="2"/>
                <w:sz w:val="24"/>
                <w:szCs w:val="24"/>
                <w:lang w:val="en-US" w:eastAsia="zh-CN"/>
              </w:rPr>
              <w:t>项号</w:t>
            </w:r>
          </w:p>
        </w:tc>
        <w:tc>
          <w:tcPr>
            <w:tcW w:w="1842" w:type="dxa"/>
            <w:vAlign w:val="center"/>
          </w:tcPr>
          <w:p>
            <w:pPr>
              <w:pStyle w:val="24"/>
              <w:spacing w:line="400" w:lineRule="exact"/>
              <w:jc w:val="center"/>
              <w:rPr>
                <w:rFonts w:hAnsi="宋体" w:cs="宋体"/>
                <w:color w:val="000000"/>
                <w:kern w:val="2"/>
                <w:sz w:val="24"/>
                <w:szCs w:val="24"/>
                <w:lang w:val="en-US" w:eastAsia="zh-CN"/>
              </w:rPr>
            </w:pPr>
            <w:r>
              <w:rPr>
                <w:rFonts w:hint="eastAsia" w:hAnsi="宋体" w:cs="宋体"/>
                <w:color w:val="000000"/>
                <w:kern w:val="2"/>
                <w:sz w:val="24"/>
                <w:szCs w:val="24"/>
                <w:lang w:val="en-US" w:eastAsia="zh-CN"/>
              </w:rPr>
              <w:t>标的名称</w:t>
            </w:r>
          </w:p>
        </w:tc>
        <w:tc>
          <w:tcPr>
            <w:tcW w:w="2135" w:type="dxa"/>
            <w:vAlign w:val="center"/>
          </w:tcPr>
          <w:p>
            <w:pPr>
              <w:pStyle w:val="24"/>
              <w:spacing w:line="400" w:lineRule="exact"/>
              <w:jc w:val="center"/>
              <w:rPr>
                <w:rFonts w:hAnsi="宋体" w:cs="宋体"/>
                <w:color w:val="000000"/>
                <w:kern w:val="2"/>
                <w:sz w:val="24"/>
                <w:szCs w:val="24"/>
                <w:lang w:val="en-US" w:eastAsia="zh-CN"/>
              </w:rPr>
            </w:pPr>
            <w:r>
              <w:rPr>
                <w:rFonts w:hint="eastAsia" w:hAnsi="宋体" w:cs="宋体"/>
                <w:color w:val="000000"/>
                <w:kern w:val="2"/>
                <w:sz w:val="24"/>
                <w:szCs w:val="24"/>
                <w:lang w:val="en-US" w:eastAsia="zh-CN"/>
              </w:rPr>
              <w:t>技术要求</w:t>
            </w:r>
          </w:p>
        </w:tc>
        <w:tc>
          <w:tcPr>
            <w:tcW w:w="2181" w:type="dxa"/>
            <w:vAlign w:val="center"/>
          </w:tcPr>
          <w:p>
            <w:pPr>
              <w:pStyle w:val="24"/>
              <w:spacing w:line="400" w:lineRule="exact"/>
              <w:jc w:val="center"/>
              <w:rPr>
                <w:rFonts w:hAnsi="宋体" w:cs="宋体"/>
                <w:color w:val="000000"/>
                <w:kern w:val="2"/>
                <w:sz w:val="24"/>
                <w:szCs w:val="24"/>
                <w:lang w:val="en-US" w:eastAsia="zh-CN"/>
              </w:rPr>
            </w:pPr>
            <w:r>
              <w:rPr>
                <w:rFonts w:hint="eastAsia" w:hAnsi="宋体" w:cs="宋体"/>
                <w:color w:val="000000"/>
                <w:kern w:val="2"/>
                <w:sz w:val="24"/>
                <w:szCs w:val="24"/>
                <w:lang w:val="en-US" w:eastAsia="zh-CN"/>
              </w:rPr>
              <w:t>投标响应</w:t>
            </w:r>
          </w:p>
        </w:tc>
        <w:tc>
          <w:tcPr>
            <w:tcW w:w="1934" w:type="dxa"/>
            <w:vAlign w:val="center"/>
          </w:tcPr>
          <w:p>
            <w:pPr>
              <w:pStyle w:val="24"/>
              <w:spacing w:line="400" w:lineRule="exact"/>
              <w:jc w:val="center"/>
              <w:rPr>
                <w:rFonts w:hAnsi="宋体" w:cs="宋体"/>
                <w:color w:val="000000"/>
                <w:kern w:val="2"/>
                <w:sz w:val="24"/>
                <w:szCs w:val="24"/>
                <w:lang w:val="en-US" w:eastAsia="zh-CN"/>
              </w:rPr>
            </w:pPr>
            <w:r>
              <w:rPr>
                <w:rFonts w:hint="eastAsia" w:hAnsi="宋体" w:cs="宋体"/>
                <w:color w:val="000000"/>
                <w:kern w:val="2"/>
                <w:sz w:val="24"/>
                <w:szCs w:val="24"/>
                <w:lang w:val="en-US" w:eastAsia="zh-CN"/>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pPr>
              <w:pStyle w:val="24"/>
              <w:spacing w:line="600" w:lineRule="exact"/>
              <w:jc w:val="center"/>
              <w:rPr>
                <w:rFonts w:hAnsi="宋体" w:cs="宋体"/>
                <w:color w:val="000000"/>
                <w:kern w:val="2"/>
                <w:sz w:val="24"/>
                <w:szCs w:val="24"/>
                <w:lang w:val="en-US" w:eastAsia="zh-CN"/>
              </w:rPr>
            </w:pPr>
          </w:p>
        </w:tc>
        <w:tc>
          <w:tcPr>
            <w:tcW w:w="1842" w:type="dxa"/>
            <w:vAlign w:val="center"/>
          </w:tcPr>
          <w:p>
            <w:pPr>
              <w:pStyle w:val="24"/>
              <w:spacing w:line="600" w:lineRule="exact"/>
              <w:jc w:val="center"/>
              <w:rPr>
                <w:rFonts w:hAnsi="宋体" w:cs="宋体"/>
                <w:color w:val="000000"/>
                <w:kern w:val="2"/>
                <w:sz w:val="24"/>
                <w:szCs w:val="24"/>
                <w:lang w:val="en-US" w:eastAsia="zh-CN"/>
              </w:rPr>
            </w:pPr>
          </w:p>
        </w:tc>
        <w:tc>
          <w:tcPr>
            <w:tcW w:w="2135" w:type="dxa"/>
            <w:vAlign w:val="center"/>
          </w:tcPr>
          <w:p>
            <w:pPr>
              <w:pStyle w:val="24"/>
              <w:spacing w:line="600" w:lineRule="exact"/>
              <w:jc w:val="center"/>
              <w:rPr>
                <w:rFonts w:hAnsi="宋体" w:cs="宋体"/>
                <w:color w:val="000000"/>
                <w:kern w:val="2"/>
                <w:sz w:val="24"/>
                <w:szCs w:val="24"/>
                <w:lang w:val="en-US" w:eastAsia="zh-CN"/>
              </w:rPr>
            </w:pPr>
          </w:p>
        </w:tc>
        <w:tc>
          <w:tcPr>
            <w:tcW w:w="2181" w:type="dxa"/>
            <w:vAlign w:val="center"/>
          </w:tcPr>
          <w:p>
            <w:pPr>
              <w:pStyle w:val="24"/>
              <w:spacing w:line="600" w:lineRule="exact"/>
              <w:jc w:val="center"/>
              <w:rPr>
                <w:rFonts w:hAnsi="宋体" w:cs="宋体"/>
                <w:color w:val="000000"/>
                <w:kern w:val="2"/>
                <w:sz w:val="24"/>
                <w:szCs w:val="24"/>
                <w:lang w:val="en-US" w:eastAsia="zh-CN"/>
              </w:rPr>
            </w:pPr>
          </w:p>
        </w:tc>
        <w:tc>
          <w:tcPr>
            <w:tcW w:w="1934" w:type="dxa"/>
            <w:vAlign w:val="center"/>
          </w:tcPr>
          <w:p>
            <w:pPr>
              <w:pStyle w:val="24"/>
              <w:spacing w:line="600" w:lineRule="exact"/>
              <w:jc w:val="center"/>
              <w:rPr>
                <w:rFonts w:hAnsi="宋体" w:cs="宋体"/>
                <w:color w:val="000000"/>
                <w:kern w:val="2"/>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pPr>
              <w:pStyle w:val="24"/>
              <w:spacing w:line="600" w:lineRule="exact"/>
              <w:jc w:val="center"/>
              <w:rPr>
                <w:rFonts w:hAnsi="宋体" w:cs="宋体"/>
                <w:color w:val="000000"/>
                <w:kern w:val="2"/>
                <w:sz w:val="24"/>
                <w:szCs w:val="24"/>
                <w:lang w:val="en-US" w:eastAsia="zh-CN"/>
              </w:rPr>
            </w:pPr>
          </w:p>
        </w:tc>
        <w:tc>
          <w:tcPr>
            <w:tcW w:w="1842" w:type="dxa"/>
            <w:vAlign w:val="center"/>
          </w:tcPr>
          <w:p>
            <w:pPr>
              <w:pStyle w:val="24"/>
              <w:spacing w:line="600" w:lineRule="exact"/>
              <w:jc w:val="center"/>
              <w:rPr>
                <w:rFonts w:hAnsi="宋体" w:cs="宋体"/>
                <w:color w:val="000000"/>
                <w:kern w:val="2"/>
                <w:sz w:val="24"/>
                <w:szCs w:val="24"/>
                <w:lang w:val="en-US" w:eastAsia="zh-CN"/>
              </w:rPr>
            </w:pPr>
          </w:p>
        </w:tc>
        <w:tc>
          <w:tcPr>
            <w:tcW w:w="2135" w:type="dxa"/>
            <w:vAlign w:val="center"/>
          </w:tcPr>
          <w:p>
            <w:pPr>
              <w:pStyle w:val="24"/>
              <w:spacing w:line="600" w:lineRule="exact"/>
              <w:jc w:val="center"/>
              <w:rPr>
                <w:rFonts w:hAnsi="宋体" w:cs="宋体"/>
                <w:color w:val="000000"/>
                <w:kern w:val="2"/>
                <w:sz w:val="24"/>
                <w:szCs w:val="24"/>
                <w:lang w:val="en-US" w:eastAsia="zh-CN"/>
              </w:rPr>
            </w:pPr>
          </w:p>
        </w:tc>
        <w:tc>
          <w:tcPr>
            <w:tcW w:w="2181" w:type="dxa"/>
            <w:vAlign w:val="center"/>
          </w:tcPr>
          <w:p>
            <w:pPr>
              <w:pStyle w:val="24"/>
              <w:spacing w:line="600" w:lineRule="exact"/>
              <w:jc w:val="center"/>
              <w:rPr>
                <w:rFonts w:hAnsi="宋体" w:cs="宋体"/>
                <w:color w:val="000000"/>
                <w:kern w:val="2"/>
                <w:sz w:val="24"/>
                <w:szCs w:val="24"/>
                <w:lang w:val="en-US" w:eastAsia="zh-CN"/>
              </w:rPr>
            </w:pPr>
          </w:p>
        </w:tc>
        <w:tc>
          <w:tcPr>
            <w:tcW w:w="1934" w:type="dxa"/>
            <w:vAlign w:val="center"/>
          </w:tcPr>
          <w:p>
            <w:pPr>
              <w:pStyle w:val="24"/>
              <w:spacing w:line="600" w:lineRule="exact"/>
              <w:jc w:val="center"/>
              <w:rPr>
                <w:rFonts w:hAnsi="宋体" w:cs="宋体"/>
                <w:color w:val="000000"/>
                <w:kern w:val="2"/>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pPr>
              <w:pStyle w:val="24"/>
              <w:spacing w:line="600" w:lineRule="exact"/>
              <w:jc w:val="center"/>
              <w:rPr>
                <w:rFonts w:hAnsi="宋体" w:cs="宋体"/>
                <w:color w:val="000000"/>
                <w:kern w:val="2"/>
                <w:sz w:val="24"/>
                <w:szCs w:val="24"/>
                <w:lang w:val="en-US" w:eastAsia="zh-CN"/>
              </w:rPr>
            </w:pPr>
          </w:p>
        </w:tc>
        <w:tc>
          <w:tcPr>
            <w:tcW w:w="1842" w:type="dxa"/>
            <w:vAlign w:val="center"/>
          </w:tcPr>
          <w:p>
            <w:pPr>
              <w:pStyle w:val="24"/>
              <w:spacing w:line="600" w:lineRule="exact"/>
              <w:jc w:val="center"/>
              <w:rPr>
                <w:rFonts w:hAnsi="宋体" w:cs="宋体"/>
                <w:color w:val="000000"/>
                <w:kern w:val="2"/>
                <w:sz w:val="24"/>
                <w:szCs w:val="24"/>
                <w:lang w:val="en-US" w:eastAsia="zh-CN"/>
              </w:rPr>
            </w:pPr>
          </w:p>
        </w:tc>
        <w:tc>
          <w:tcPr>
            <w:tcW w:w="2135" w:type="dxa"/>
            <w:vAlign w:val="center"/>
          </w:tcPr>
          <w:p>
            <w:pPr>
              <w:pStyle w:val="24"/>
              <w:spacing w:line="600" w:lineRule="exact"/>
              <w:jc w:val="center"/>
              <w:rPr>
                <w:rFonts w:hAnsi="宋体" w:cs="宋体"/>
                <w:color w:val="000000"/>
                <w:kern w:val="2"/>
                <w:sz w:val="24"/>
                <w:szCs w:val="24"/>
                <w:lang w:val="en-US" w:eastAsia="zh-CN"/>
              </w:rPr>
            </w:pPr>
          </w:p>
        </w:tc>
        <w:tc>
          <w:tcPr>
            <w:tcW w:w="2181" w:type="dxa"/>
            <w:vAlign w:val="center"/>
          </w:tcPr>
          <w:p>
            <w:pPr>
              <w:pStyle w:val="24"/>
              <w:spacing w:line="600" w:lineRule="exact"/>
              <w:jc w:val="center"/>
              <w:rPr>
                <w:rFonts w:hAnsi="宋体" w:cs="宋体"/>
                <w:color w:val="000000"/>
                <w:kern w:val="2"/>
                <w:sz w:val="24"/>
                <w:szCs w:val="24"/>
                <w:lang w:val="en-US" w:eastAsia="zh-CN"/>
              </w:rPr>
            </w:pPr>
          </w:p>
        </w:tc>
        <w:tc>
          <w:tcPr>
            <w:tcW w:w="1934" w:type="dxa"/>
            <w:vAlign w:val="center"/>
          </w:tcPr>
          <w:p>
            <w:pPr>
              <w:pStyle w:val="24"/>
              <w:spacing w:line="600" w:lineRule="exact"/>
              <w:jc w:val="center"/>
              <w:rPr>
                <w:rFonts w:hAnsi="宋体" w:cs="宋体"/>
                <w:color w:val="000000"/>
                <w:kern w:val="2"/>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pPr>
              <w:pStyle w:val="24"/>
              <w:spacing w:line="600" w:lineRule="exact"/>
              <w:jc w:val="center"/>
              <w:rPr>
                <w:rFonts w:hAnsi="宋体" w:cs="宋体"/>
                <w:color w:val="000000"/>
                <w:kern w:val="2"/>
                <w:sz w:val="24"/>
                <w:szCs w:val="24"/>
                <w:lang w:val="en-US" w:eastAsia="zh-CN"/>
              </w:rPr>
            </w:pPr>
          </w:p>
        </w:tc>
        <w:tc>
          <w:tcPr>
            <w:tcW w:w="1842" w:type="dxa"/>
            <w:vAlign w:val="center"/>
          </w:tcPr>
          <w:p>
            <w:pPr>
              <w:pStyle w:val="24"/>
              <w:spacing w:line="600" w:lineRule="exact"/>
              <w:jc w:val="center"/>
              <w:rPr>
                <w:rFonts w:hAnsi="宋体" w:cs="宋体"/>
                <w:color w:val="000000"/>
                <w:kern w:val="2"/>
                <w:sz w:val="24"/>
                <w:szCs w:val="24"/>
                <w:lang w:val="en-US" w:eastAsia="zh-CN"/>
              </w:rPr>
            </w:pPr>
          </w:p>
        </w:tc>
        <w:tc>
          <w:tcPr>
            <w:tcW w:w="2135" w:type="dxa"/>
            <w:vAlign w:val="center"/>
          </w:tcPr>
          <w:p>
            <w:pPr>
              <w:pStyle w:val="24"/>
              <w:spacing w:line="600" w:lineRule="exact"/>
              <w:jc w:val="center"/>
              <w:rPr>
                <w:rFonts w:hAnsi="宋体" w:cs="宋体"/>
                <w:color w:val="000000"/>
                <w:kern w:val="2"/>
                <w:sz w:val="24"/>
                <w:szCs w:val="24"/>
                <w:lang w:val="en-US" w:eastAsia="zh-CN"/>
              </w:rPr>
            </w:pPr>
          </w:p>
        </w:tc>
        <w:tc>
          <w:tcPr>
            <w:tcW w:w="2181" w:type="dxa"/>
            <w:vAlign w:val="center"/>
          </w:tcPr>
          <w:p>
            <w:pPr>
              <w:pStyle w:val="24"/>
              <w:spacing w:line="600" w:lineRule="exact"/>
              <w:jc w:val="center"/>
              <w:rPr>
                <w:rFonts w:hAnsi="宋体" w:cs="宋体"/>
                <w:color w:val="000000"/>
                <w:kern w:val="2"/>
                <w:sz w:val="24"/>
                <w:szCs w:val="24"/>
                <w:lang w:val="en-US" w:eastAsia="zh-CN"/>
              </w:rPr>
            </w:pPr>
          </w:p>
        </w:tc>
        <w:tc>
          <w:tcPr>
            <w:tcW w:w="1934" w:type="dxa"/>
            <w:vAlign w:val="center"/>
          </w:tcPr>
          <w:p>
            <w:pPr>
              <w:pStyle w:val="24"/>
              <w:spacing w:line="600" w:lineRule="exact"/>
              <w:jc w:val="center"/>
              <w:rPr>
                <w:rFonts w:hAnsi="宋体" w:cs="宋体"/>
                <w:color w:val="000000"/>
                <w:kern w:val="2"/>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pPr>
              <w:pStyle w:val="24"/>
              <w:spacing w:line="600" w:lineRule="exact"/>
              <w:jc w:val="center"/>
              <w:rPr>
                <w:rFonts w:hAnsi="宋体" w:cs="宋体"/>
                <w:color w:val="000000"/>
                <w:kern w:val="2"/>
                <w:sz w:val="24"/>
                <w:szCs w:val="24"/>
                <w:lang w:val="en-US" w:eastAsia="zh-CN"/>
              </w:rPr>
            </w:pPr>
          </w:p>
        </w:tc>
        <w:tc>
          <w:tcPr>
            <w:tcW w:w="1842" w:type="dxa"/>
            <w:vAlign w:val="center"/>
          </w:tcPr>
          <w:p>
            <w:pPr>
              <w:pStyle w:val="24"/>
              <w:spacing w:line="600" w:lineRule="exact"/>
              <w:jc w:val="center"/>
              <w:rPr>
                <w:rFonts w:hAnsi="宋体" w:cs="宋体"/>
                <w:color w:val="000000"/>
                <w:kern w:val="2"/>
                <w:sz w:val="24"/>
                <w:szCs w:val="24"/>
                <w:lang w:val="en-US" w:eastAsia="zh-CN"/>
              </w:rPr>
            </w:pPr>
          </w:p>
        </w:tc>
        <w:tc>
          <w:tcPr>
            <w:tcW w:w="2135" w:type="dxa"/>
            <w:vAlign w:val="center"/>
          </w:tcPr>
          <w:p>
            <w:pPr>
              <w:pStyle w:val="24"/>
              <w:spacing w:line="600" w:lineRule="exact"/>
              <w:jc w:val="center"/>
              <w:rPr>
                <w:rFonts w:hAnsi="宋体" w:cs="宋体"/>
                <w:color w:val="000000"/>
                <w:kern w:val="2"/>
                <w:sz w:val="24"/>
                <w:szCs w:val="24"/>
                <w:lang w:val="en-US" w:eastAsia="zh-CN"/>
              </w:rPr>
            </w:pPr>
          </w:p>
        </w:tc>
        <w:tc>
          <w:tcPr>
            <w:tcW w:w="2181" w:type="dxa"/>
            <w:vAlign w:val="center"/>
          </w:tcPr>
          <w:p>
            <w:pPr>
              <w:pStyle w:val="24"/>
              <w:spacing w:line="600" w:lineRule="exact"/>
              <w:jc w:val="center"/>
              <w:rPr>
                <w:rFonts w:hAnsi="宋体" w:cs="宋体"/>
                <w:color w:val="000000"/>
                <w:kern w:val="2"/>
                <w:sz w:val="24"/>
                <w:szCs w:val="24"/>
                <w:lang w:val="en-US" w:eastAsia="zh-CN"/>
              </w:rPr>
            </w:pPr>
          </w:p>
        </w:tc>
        <w:tc>
          <w:tcPr>
            <w:tcW w:w="1934" w:type="dxa"/>
            <w:vAlign w:val="center"/>
          </w:tcPr>
          <w:p>
            <w:pPr>
              <w:pStyle w:val="24"/>
              <w:spacing w:line="600" w:lineRule="exact"/>
              <w:jc w:val="center"/>
              <w:rPr>
                <w:rFonts w:hAnsi="宋体" w:cs="宋体"/>
                <w:color w:val="000000"/>
                <w:kern w:val="2"/>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pPr>
              <w:pStyle w:val="24"/>
              <w:spacing w:line="600" w:lineRule="exact"/>
              <w:jc w:val="center"/>
              <w:rPr>
                <w:rFonts w:hAnsi="宋体" w:cs="宋体"/>
                <w:color w:val="000000"/>
                <w:kern w:val="2"/>
                <w:sz w:val="24"/>
                <w:szCs w:val="24"/>
                <w:lang w:val="en-US" w:eastAsia="zh-CN"/>
              </w:rPr>
            </w:pPr>
          </w:p>
        </w:tc>
        <w:tc>
          <w:tcPr>
            <w:tcW w:w="1842" w:type="dxa"/>
            <w:vAlign w:val="center"/>
          </w:tcPr>
          <w:p>
            <w:pPr>
              <w:pStyle w:val="24"/>
              <w:spacing w:line="600" w:lineRule="exact"/>
              <w:jc w:val="center"/>
              <w:rPr>
                <w:rFonts w:hAnsi="宋体" w:cs="宋体"/>
                <w:color w:val="000000"/>
                <w:kern w:val="2"/>
                <w:sz w:val="24"/>
                <w:szCs w:val="24"/>
                <w:lang w:val="en-US" w:eastAsia="zh-CN"/>
              </w:rPr>
            </w:pPr>
          </w:p>
        </w:tc>
        <w:tc>
          <w:tcPr>
            <w:tcW w:w="2135" w:type="dxa"/>
            <w:vAlign w:val="center"/>
          </w:tcPr>
          <w:p>
            <w:pPr>
              <w:pStyle w:val="24"/>
              <w:spacing w:line="600" w:lineRule="exact"/>
              <w:jc w:val="center"/>
              <w:rPr>
                <w:rFonts w:hAnsi="宋体" w:cs="宋体"/>
                <w:color w:val="000000"/>
                <w:kern w:val="2"/>
                <w:sz w:val="24"/>
                <w:szCs w:val="24"/>
                <w:lang w:val="en-US" w:eastAsia="zh-CN"/>
              </w:rPr>
            </w:pPr>
          </w:p>
        </w:tc>
        <w:tc>
          <w:tcPr>
            <w:tcW w:w="2181" w:type="dxa"/>
            <w:vAlign w:val="center"/>
          </w:tcPr>
          <w:p>
            <w:pPr>
              <w:pStyle w:val="24"/>
              <w:spacing w:line="600" w:lineRule="exact"/>
              <w:jc w:val="center"/>
              <w:rPr>
                <w:rFonts w:hAnsi="宋体" w:cs="宋体"/>
                <w:color w:val="000000"/>
                <w:kern w:val="2"/>
                <w:sz w:val="24"/>
                <w:szCs w:val="24"/>
                <w:lang w:val="en-US" w:eastAsia="zh-CN"/>
              </w:rPr>
            </w:pPr>
          </w:p>
        </w:tc>
        <w:tc>
          <w:tcPr>
            <w:tcW w:w="1934" w:type="dxa"/>
            <w:vAlign w:val="center"/>
          </w:tcPr>
          <w:p>
            <w:pPr>
              <w:pStyle w:val="24"/>
              <w:spacing w:line="600" w:lineRule="exact"/>
              <w:jc w:val="center"/>
              <w:rPr>
                <w:rFonts w:hAnsi="宋体" w:cs="宋体"/>
                <w:color w:val="000000"/>
                <w:kern w:val="2"/>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pPr>
              <w:pStyle w:val="24"/>
              <w:spacing w:line="600" w:lineRule="exact"/>
              <w:jc w:val="center"/>
              <w:rPr>
                <w:rFonts w:hAnsi="宋体" w:cs="宋体"/>
                <w:color w:val="000000"/>
                <w:kern w:val="2"/>
                <w:sz w:val="24"/>
                <w:szCs w:val="24"/>
                <w:lang w:val="en-US" w:eastAsia="zh-CN"/>
              </w:rPr>
            </w:pPr>
          </w:p>
        </w:tc>
        <w:tc>
          <w:tcPr>
            <w:tcW w:w="1842" w:type="dxa"/>
            <w:vAlign w:val="center"/>
          </w:tcPr>
          <w:p>
            <w:pPr>
              <w:pStyle w:val="24"/>
              <w:spacing w:line="600" w:lineRule="exact"/>
              <w:jc w:val="center"/>
              <w:rPr>
                <w:rFonts w:hAnsi="宋体" w:cs="宋体"/>
                <w:color w:val="000000"/>
                <w:kern w:val="2"/>
                <w:sz w:val="24"/>
                <w:szCs w:val="24"/>
                <w:lang w:val="en-US" w:eastAsia="zh-CN"/>
              </w:rPr>
            </w:pPr>
          </w:p>
        </w:tc>
        <w:tc>
          <w:tcPr>
            <w:tcW w:w="2135" w:type="dxa"/>
            <w:vAlign w:val="center"/>
          </w:tcPr>
          <w:p>
            <w:pPr>
              <w:pStyle w:val="24"/>
              <w:spacing w:line="600" w:lineRule="exact"/>
              <w:jc w:val="center"/>
              <w:rPr>
                <w:rFonts w:hAnsi="宋体" w:cs="宋体"/>
                <w:color w:val="000000"/>
                <w:kern w:val="2"/>
                <w:sz w:val="24"/>
                <w:szCs w:val="24"/>
                <w:lang w:val="en-US" w:eastAsia="zh-CN"/>
              </w:rPr>
            </w:pPr>
          </w:p>
        </w:tc>
        <w:tc>
          <w:tcPr>
            <w:tcW w:w="2181" w:type="dxa"/>
            <w:vAlign w:val="center"/>
          </w:tcPr>
          <w:p>
            <w:pPr>
              <w:pStyle w:val="24"/>
              <w:spacing w:line="600" w:lineRule="exact"/>
              <w:jc w:val="center"/>
              <w:rPr>
                <w:rFonts w:hAnsi="宋体" w:cs="宋体"/>
                <w:color w:val="000000"/>
                <w:kern w:val="2"/>
                <w:sz w:val="24"/>
                <w:szCs w:val="24"/>
                <w:lang w:val="en-US" w:eastAsia="zh-CN"/>
              </w:rPr>
            </w:pPr>
          </w:p>
        </w:tc>
        <w:tc>
          <w:tcPr>
            <w:tcW w:w="1934" w:type="dxa"/>
            <w:vAlign w:val="center"/>
          </w:tcPr>
          <w:p>
            <w:pPr>
              <w:pStyle w:val="24"/>
              <w:spacing w:line="600" w:lineRule="exact"/>
              <w:jc w:val="center"/>
              <w:rPr>
                <w:rFonts w:hAnsi="宋体" w:cs="宋体"/>
                <w:color w:val="000000"/>
                <w:kern w:val="2"/>
                <w:sz w:val="24"/>
                <w:szCs w:val="24"/>
                <w:lang w:val="en-US" w:eastAsia="zh-CN"/>
              </w:rPr>
            </w:pPr>
          </w:p>
        </w:tc>
      </w:tr>
    </w:tbl>
    <w:p>
      <w:pPr>
        <w:pStyle w:val="17"/>
        <w:spacing w:line="360" w:lineRule="auto"/>
        <w:contextualSpacing/>
        <w:rPr>
          <w:rFonts w:ascii="宋体" w:hAnsi="宋体" w:cs="宋体"/>
          <w:color w:val="000000"/>
        </w:rPr>
      </w:pPr>
      <w:r>
        <w:rPr>
          <w:rFonts w:hint="eastAsia" w:ascii="宋体" w:hAnsi="宋体" w:cs="宋体"/>
          <w:color w:val="000000"/>
        </w:rPr>
        <w:t>注：</w:t>
      </w:r>
    </w:p>
    <w:p>
      <w:pPr>
        <w:pStyle w:val="19"/>
        <w:spacing w:line="360" w:lineRule="auto"/>
        <w:ind w:firstLine="0" w:firstLineChars="0"/>
        <w:contextualSpacing/>
        <w:rPr>
          <w:rFonts w:ascii="宋体" w:hAnsi="宋体" w:eastAsia="宋体" w:cs="宋体"/>
          <w:color w:val="000000"/>
          <w:szCs w:val="32"/>
        </w:rPr>
      </w:pPr>
      <w:r>
        <w:rPr>
          <w:rFonts w:hint="eastAsia" w:ascii="宋体" w:hAnsi="宋体" w:eastAsia="宋体" w:cs="宋体"/>
          <w:color w:val="000000"/>
          <w:sz w:val="24"/>
          <w:szCs w:val="24"/>
        </w:rPr>
        <w:t>1.说明：应对照招标文件“第二章 采购需求”中的技术要求逐条作明确的投标响应，并作出偏离说明。</w:t>
      </w:r>
    </w:p>
    <w:p>
      <w:pPr>
        <w:pStyle w:val="17"/>
        <w:spacing w:line="360" w:lineRule="auto"/>
        <w:contextualSpacing/>
        <w:rPr>
          <w:rFonts w:ascii="宋体" w:hAnsi="宋体" w:cs="宋体"/>
          <w:color w:val="000000"/>
        </w:rPr>
      </w:pPr>
      <w:r>
        <w:rPr>
          <w:rFonts w:hint="eastAsia" w:ascii="宋体" w:hAnsi="宋体" w:cs="宋体"/>
          <w:b w:val="0"/>
          <w:bCs w:val="0"/>
          <w:color w:val="000000"/>
        </w:rPr>
        <w:t>2.投标人应根据自身的承诺，对照招标文件要求，在“偏离说明”中注明“</w:t>
      </w:r>
      <w:r>
        <w:rPr>
          <w:rFonts w:hint="eastAsia" w:ascii="宋体" w:hAnsi="宋体" w:cs="宋体"/>
          <w:color w:val="000000"/>
        </w:rPr>
        <w:t>正偏离</w:t>
      </w:r>
      <w:r>
        <w:rPr>
          <w:rFonts w:hint="eastAsia" w:ascii="宋体" w:hAnsi="宋体" w:cs="宋体"/>
          <w:b w:val="0"/>
          <w:bCs w:val="0"/>
          <w:color w:val="000000"/>
        </w:rPr>
        <w:t>”、“</w:t>
      </w:r>
      <w:r>
        <w:rPr>
          <w:rFonts w:hint="eastAsia" w:ascii="宋体" w:hAnsi="宋体" w:cs="宋体"/>
          <w:color w:val="000000"/>
        </w:rPr>
        <w:t>负偏离</w:t>
      </w:r>
      <w:r>
        <w:rPr>
          <w:rFonts w:hint="eastAsia" w:ascii="宋体" w:hAnsi="宋体" w:cs="宋体"/>
          <w:b w:val="0"/>
          <w:bCs w:val="0"/>
          <w:color w:val="000000"/>
        </w:rPr>
        <w:t>”或者“</w:t>
      </w:r>
      <w:r>
        <w:rPr>
          <w:rFonts w:hint="eastAsia" w:ascii="宋体" w:hAnsi="宋体" w:cs="宋体"/>
          <w:color w:val="000000"/>
        </w:rPr>
        <w:t>无偏离</w:t>
      </w:r>
      <w:r>
        <w:rPr>
          <w:rFonts w:hint="eastAsia" w:ascii="宋体" w:hAnsi="宋体" w:cs="宋体"/>
          <w:b w:val="0"/>
          <w:bCs w:val="0"/>
          <w:color w:val="000000"/>
        </w:rPr>
        <w:t>”。既不属于“</w:t>
      </w:r>
      <w:r>
        <w:rPr>
          <w:rFonts w:hint="eastAsia" w:ascii="宋体" w:hAnsi="宋体" w:cs="宋体"/>
          <w:color w:val="000000"/>
        </w:rPr>
        <w:t>正偏离</w:t>
      </w:r>
      <w:r>
        <w:rPr>
          <w:rFonts w:hint="eastAsia" w:ascii="宋体" w:hAnsi="宋体" w:cs="宋体"/>
          <w:b w:val="0"/>
          <w:bCs w:val="0"/>
          <w:color w:val="000000"/>
        </w:rPr>
        <w:t>”也不属于“</w:t>
      </w:r>
      <w:r>
        <w:rPr>
          <w:rFonts w:hint="eastAsia" w:ascii="宋体" w:hAnsi="宋体" w:cs="宋体"/>
          <w:color w:val="000000"/>
        </w:rPr>
        <w:t>负偏离</w:t>
      </w:r>
      <w:r>
        <w:rPr>
          <w:rFonts w:hint="eastAsia" w:ascii="宋体" w:hAnsi="宋体" w:cs="宋体"/>
          <w:b w:val="0"/>
          <w:bCs w:val="0"/>
          <w:color w:val="000000"/>
        </w:rPr>
        <w:t>”即为“</w:t>
      </w:r>
      <w:r>
        <w:rPr>
          <w:rFonts w:hint="eastAsia" w:ascii="宋体" w:hAnsi="宋体" w:cs="宋体"/>
          <w:color w:val="000000"/>
        </w:rPr>
        <w:t>无偏离</w:t>
      </w:r>
      <w:r>
        <w:rPr>
          <w:rFonts w:hint="eastAsia" w:ascii="宋体" w:hAnsi="宋体" w:cs="宋体"/>
          <w:b w:val="0"/>
          <w:bCs w:val="0"/>
          <w:color w:val="000000"/>
        </w:rPr>
        <w:t>”。</w:t>
      </w:r>
    </w:p>
    <w:p>
      <w:pPr>
        <w:spacing w:line="360" w:lineRule="auto"/>
        <w:ind w:right="-817" w:rightChars="-389"/>
        <w:contextualSpacing/>
        <w:rPr>
          <w:rFonts w:ascii="宋体" w:hAnsi="宋体" w:cs="仿宋_GB2312"/>
          <w:color w:val="000000"/>
          <w:sz w:val="24"/>
        </w:rPr>
      </w:pPr>
      <w:r>
        <w:rPr>
          <w:rFonts w:ascii="宋体" w:hAnsi="宋体" w:cs="仿宋_GB2312"/>
          <w:color w:val="000000"/>
          <w:sz w:val="24"/>
        </w:rPr>
        <w:t>3.</w:t>
      </w:r>
      <w:r>
        <w:rPr>
          <w:rFonts w:hint="eastAsia" w:ascii="宋体" w:hAnsi="宋体" w:cs="仿宋_GB2312"/>
          <w:color w:val="000000"/>
          <w:sz w:val="24"/>
        </w:rPr>
        <w:t>偏离表中“投标响应”仅简单的写“满足或响应”的，投标无效。</w:t>
      </w:r>
    </w:p>
    <w:p>
      <w:pPr>
        <w:pStyle w:val="17"/>
        <w:spacing w:line="360" w:lineRule="auto"/>
        <w:contextualSpacing/>
        <w:rPr>
          <w:rFonts w:ascii="宋体" w:hAnsi="宋体" w:cs="宋体"/>
          <w:color w:val="000000"/>
          <w:spacing w:val="20"/>
        </w:rPr>
      </w:pPr>
    </w:p>
    <w:p>
      <w:pPr>
        <w:spacing w:line="360" w:lineRule="auto"/>
        <w:contextualSpacing/>
        <w:rPr>
          <w:rFonts w:ascii="宋体" w:hAnsi="宋体" w:cs="宋体"/>
          <w:color w:val="000000"/>
          <w:spacing w:val="20"/>
          <w:sz w:val="24"/>
          <w:u w:val="single"/>
        </w:rPr>
      </w:pPr>
      <w:r>
        <w:rPr>
          <w:rFonts w:hint="eastAsia" w:ascii="宋体" w:hAnsi="宋体" w:cs="宋体"/>
          <w:color w:val="000000"/>
          <w:sz w:val="24"/>
        </w:rPr>
        <w:t>法定代表人或者委托代理人</w:t>
      </w:r>
      <w:r>
        <w:rPr>
          <w:rFonts w:hint="eastAsia" w:ascii="宋体" w:hAnsi="宋体" w:cs="宋体"/>
          <w:color w:val="000000"/>
          <w:spacing w:val="20"/>
          <w:sz w:val="24"/>
        </w:rPr>
        <w:t>（签字或者电子签名）：</w:t>
      </w:r>
    </w:p>
    <w:p>
      <w:pPr>
        <w:spacing w:line="360" w:lineRule="auto"/>
        <w:contextualSpacing/>
        <w:rPr>
          <w:rFonts w:ascii="宋体" w:hAnsi="宋体" w:cs="宋体"/>
          <w:color w:val="000000"/>
          <w:spacing w:val="20"/>
          <w:sz w:val="24"/>
        </w:rPr>
      </w:pPr>
      <w:r>
        <w:rPr>
          <w:rFonts w:hint="eastAsia" w:ascii="宋体" w:hAnsi="宋体" w:cs="宋体"/>
          <w:color w:val="000000"/>
          <w:spacing w:val="20"/>
          <w:sz w:val="24"/>
        </w:rPr>
        <w:t>投标人名称（电子签章）：</w:t>
      </w:r>
    </w:p>
    <w:p>
      <w:pPr>
        <w:spacing w:line="360" w:lineRule="auto"/>
        <w:contextualSpacing/>
        <w:rPr>
          <w:rFonts w:ascii="宋体" w:hAnsi="宋体" w:cs="宋体"/>
          <w:color w:val="000000"/>
          <w:sz w:val="24"/>
          <w:szCs w:val="20"/>
        </w:rPr>
      </w:pPr>
      <w:r>
        <w:rPr>
          <w:rFonts w:hint="eastAsia" w:ascii="宋体" w:hAnsi="宋体" w:cs="宋体"/>
          <w:color w:val="000000"/>
          <w:spacing w:val="20"/>
          <w:sz w:val="24"/>
        </w:rPr>
        <w:t>日  期：</w:t>
      </w:r>
    </w:p>
    <w:p>
      <w:pPr>
        <w:pStyle w:val="111"/>
        <w:rPr>
          <w:rFonts w:ascii="宋体" w:eastAsia="宋体" w:cs="宋体"/>
          <w:szCs w:val="20"/>
        </w:rPr>
      </w:pPr>
    </w:p>
    <w:p>
      <w:pPr>
        <w:rPr>
          <w:rFonts w:ascii="宋体" w:hAnsi="宋体" w:cs="宋体"/>
          <w:color w:val="000000"/>
          <w:sz w:val="24"/>
          <w:szCs w:val="20"/>
        </w:rPr>
      </w:pPr>
    </w:p>
    <w:p>
      <w:pPr>
        <w:pStyle w:val="111"/>
        <w:rPr>
          <w:rFonts w:ascii="宋体" w:eastAsia="宋体" w:cs="宋体"/>
          <w:szCs w:val="20"/>
        </w:rPr>
      </w:pPr>
    </w:p>
    <w:p>
      <w:pPr>
        <w:rPr>
          <w:rFonts w:ascii="宋体" w:hAnsi="宋体" w:cs="宋体"/>
          <w:color w:val="000000"/>
          <w:sz w:val="24"/>
          <w:szCs w:val="20"/>
        </w:rPr>
      </w:pPr>
    </w:p>
    <w:p>
      <w:pPr>
        <w:pStyle w:val="111"/>
        <w:rPr>
          <w:rFonts w:ascii="宋体" w:eastAsia="宋体" w:cs="宋体"/>
          <w:szCs w:val="20"/>
        </w:rPr>
      </w:pPr>
    </w:p>
    <w:p>
      <w:pPr>
        <w:rPr>
          <w:rFonts w:ascii="宋体" w:hAnsi="宋体" w:cs="宋体"/>
          <w:color w:val="000000"/>
          <w:sz w:val="24"/>
          <w:szCs w:val="20"/>
        </w:rPr>
      </w:pPr>
    </w:p>
    <w:p>
      <w:pPr>
        <w:pStyle w:val="111"/>
        <w:rPr>
          <w:rFonts w:ascii="宋体" w:eastAsia="宋体" w:cs="宋体"/>
          <w:szCs w:val="20"/>
        </w:rPr>
      </w:pPr>
    </w:p>
    <w:p>
      <w:pPr>
        <w:rPr>
          <w:rFonts w:ascii="宋体" w:hAnsi="宋体" w:cs="宋体"/>
          <w:color w:val="000000"/>
          <w:sz w:val="24"/>
          <w:szCs w:val="20"/>
        </w:rPr>
      </w:pPr>
    </w:p>
    <w:p>
      <w:pPr>
        <w:snapToGrid w:val="0"/>
        <w:spacing w:beforeLines="50" w:after="50"/>
        <w:jc w:val="left"/>
        <w:rPr>
          <w:rFonts w:ascii="宋体" w:hAnsi="宋体" w:cs="宋体"/>
          <w:b/>
          <w:color w:val="000000"/>
          <w:sz w:val="24"/>
        </w:rPr>
      </w:pPr>
      <w:r>
        <w:rPr>
          <w:rFonts w:hint="eastAsia" w:ascii="宋体" w:hAnsi="宋体" w:cs="宋体"/>
          <w:b/>
          <w:color w:val="000000"/>
          <w:sz w:val="24"/>
        </w:rPr>
        <w:t>8.投标人业绩证明材料</w:t>
      </w:r>
    </w:p>
    <w:p>
      <w:pPr>
        <w:pStyle w:val="34"/>
        <w:snapToGrid w:val="0"/>
        <w:ind w:left="480" w:hanging="480"/>
        <w:rPr>
          <w:rFonts w:ascii="宋体" w:hAnsi="宋体" w:cs="宋体"/>
          <w:color w:val="000000"/>
          <w:sz w:val="24"/>
        </w:rPr>
      </w:pPr>
    </w:p>
    <w:p>
      <w:pPr>
        <w:pStyle w:val="34"/>
        <w:snapToGrid w:val="0"/>
        <w:ind w:left="480" w:hanging="480"/>
        <w:rPr>
          <w:rFonts w:ascii="宋体" w:hAnsi="宋体" w:cs="宋体"/>
          <w:color w:val="000000"/>
          <w:sz w:val="24"/>
        </w:rPr>
      </w:pPr>
      <w:r>
        <w:rPr>
          <w:rFonts w:hint="eastAsia" w:ascii="宋体" w:hAnsi="宋体" w:cs="宋体"/>
          <w:color w:val="000000"/>
          <w:sz w:val="24"/>
        </w:rPr>
        <w:t xml:space="preserve">投标人业绩情况一览表格式： </w:t>
      </w:r>
    </w:p>
    <w:tbl>
      <w:tblPr>
        <w:tblStyle w:val="44"/>
        <w:tblW w:w="932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26"/>
        <w:gridCol w:w="1417"/>
        <w:gridCol w:w="1276"/>
        <w:gridCol w:w="851"/>
        <w:gridCol w:w="1275"/>
        <w:gridCol w:w="1276"/>
        <w:gridCol w:w="17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s="宋体"/>
                <w:sz w:val="24"/>
              </w:rPr>
            </w:pPr>
            <w:r>
              <w:rPr>
                <w:rFonts w:hint="eastAsia" w:ascii="宋体" w:hAnsi="宋体" w:cs="宋体"/>
                <w:sz w:val="24"/>
              </w:rPr>
              <w:t>采购人名称</w:t>
            </w:r>
          </w:p>
        </w:tc>
        <w:tc>
          <w:tcPr>
            <w:tcW w:w="1417"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s="宋体"/>
                <w:sz w:val="24"/>
              </w:rPr>
            </w:pPr>
            <w:r>
              <w:rPr>
                <w:rFonts w:hint="eastAsia" w:ascii="宋体" w:hAnsi="宋体" w:cs="宋体"/>
                <w:sz w:val="24"/>
              </w:rPr>
              <w:t>项目名称</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s="宋体"/>
                <w:sz w:val="24"/>
              </w:rPr>
            </w:pPr>
            <w:r>
              <w:rPr>
                <w:rFonts w:hint="eastAsia" w:ascii="宋体" w:hAnsi="宋体" w:cs="宋体"/>
                <w:sz w:val="24"/>
              </w:rPr>
              <w:t>合同金额</w:t>
            </w:r>
          </w:p>
          <w:p>
            <w:pPr>
              <w:snapToGrid w:val="0"/>
              <w:spacing w:line="240" w:lineRule="exact"/>
              <w:jc w:val="center"/>
              <w:rPr>
                <w:rFonts w:ascii="宋体" w:hAnsi="宋体" w:cs="宋体"/>
                <w:sz w:val="24"/>
              </w:rPr>
            </w:pPr>
            <w:r>
              <w:rPr>
                <w:rFonts w:hint="eastAsia" w:ascii="宋体" w:hAnsi="宋体" w:cs="宋体"/>
                <w:sz w:val="24"/>
              </w:rPr>
              <w:t>（万元）</w:t>
            </w:r>
          </w:p>
        </w:tc>
        <w:tc>
          <w:tcPr>
            <w:tcW w:w="3402"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s="宋体"/>
                <w:sz w:val="24"/>
              </w:rPr>
            </w:pPr>
            <w:r>
              <w:rPr>
                <w:rFonts w:hint="eastAsia" w:ascii="宋体" w:hAnsi="宋体" w:cs="宋体"/>
                <w:sz w:val="24"/>
              </w:rPr>
              <w:t>附件在投标文件中页码</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s="宋体"/>
                <w:sz w:val="24"/>
              </w:rPr>
            </w:pPr>
            <w:r>
              <w:rPr>
                <w:rFonts w:hint="eastAsia" w:ascii="宋体" w:hAnsi="宋体" w:cs="宋体"/>
                <w:sz w:val="24"/>
              </w:rPr>
              <w:t>采购人联系人及联系电话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19"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s="宋体"/>
                <w:sz w:val="24"/>
              </w:rPr>
            </w:pPr>
            <w:r>
              <w:rPr>
                <w:rFonts w:hint="eastAsia" w:ascii="宋体" w:hAnsi="宋体" w:cs="宋体"/>
                <w:sz w:val="24"/>
              </w:rPr>
              <w:t>合同</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s="宋体"/>
                <w:sz w:val="24"/>
              </w:rPr>
            </w:pPr>
            <w:r>
              <w:rPr>
                <w:rFonts w:hint="eastAsia" w:ascii="宋体" w:hAnsi="宋体" w:cs="宋体"/>
                <w:sz w:val="24"/>
              </w:rPr>
              <w:t>验收报告</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s="宋体"/>
                <w:sz w:val="24"/>
              </w:rPr>
            </w:pPr>
            <w:r>
              <w:rPr>
                <w:rFonts w:hint="eastAsia" w:ascii="宋体" w:hAnsi="宋体" w:cs="宋体"/>
                <w:sz w:val="24"/>
              </w:rPr>
              <w:t>用户评价</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526"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s="宋体"/>
                <w:sz w:val="24"/>
              </w:rPr>
            </w:pPr>
          </w:p>
        </w:tc>
        <w:tc>
          <w:tcPr>
            <w:tcW w:w="1417"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s="宋体"/>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s="宋体"/>
                <w:sz w:val="24"/>
              </w:rPr>
            </w:pPr>
          </w:p>
        </w:tc>
        <w:tc>
          <w:tcPr>
            <w:tcW w:w="851"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s="宋体"/>
                <w:sz w:val="24"/>
              </w:rPr>
            </w:pPr>
          </w:p>
        </w:tc>
        <w:tc>
          <w:tcPr>
            <w:tcW w:w="1275"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s="宋体"/>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s="宋体"/>
                <w:sz w:val="24"/>
              </w:rPr>
            </w:pPr>
          </w:p>
        </w:tc>
        <w:tc>
          <w:tcPr>
            <w:tcW w:w="1701"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5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141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851"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1701"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15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141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851"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1701"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15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141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851"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1701"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5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141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851"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c>
          <w:tcPr>
            <w:tcW w:w="1701"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s="宋体"/>
                <w:sz w:val="24"/>
              </w:rPr>
            </w:pPr>
          </w:p>
        </w:tc>
      </w:tr>
    </w:tbl>
    <w:p>
      <w:pPr>
        <w:pStyle w:val="15"/>
        <w:spacing w:before="0" w:after="0" w:line="360" w:lineRule="auto"/>
        <w:contextualSpacing/>
        <w:rPr>
          <w:rFonts w:ascii="宋体" w:hAnsi="宋体" w:eastAsia="宋体" w:cs="宋体"/>
          <w:color w:val="000000"/>
          <w:sz w:val="24"/>
          <w:szCs w:val="24"/>
        </w:rPr>
      </w:pPr>
    </w:p>
    <w:p>
      <w:pPr>
        <w:pStyle w:val="15"/>
        <w:spacing w:before="0" w:after="0" w:line="360" w:lineRule="auto"/>
        <w:contextualSpacing/>
        <w:rPr>
          <w:rFonts w:ascii="宋体" w:hAnsi="宋体" w:eastAsia="宋体" w:cs="宋体"/>
          <w:color w:val="000000"/>
          <w:sz w:val="24"/>
          <w:szCs w:val="24"/>
        </w:rPr>
      </w:pPr>
    </w:p>
    <w:p>
      <w:pPr>
        <w:pStyle w:val="15"/>
        <w:spacing w:before="0" w:after="0" w:line="360" w:lineRule="auto"/>
        <w:contextualSpacing/>
        <w:rPr>
          <w:rFonts w:ascii="宋体" w:hAnsi="宋体" w:eastAsia="宋体" w:cs="宋体"/>
          <w:color w:val="000000"/>
          <w:sz w:val="24"/>
          <w:szCs w:val="24"/>
        </w:rPr>
      </w:pPr>
      <w:r>
        <w:rPr>
          <w:rFonts w:hint="eastAsia" w:ascii="宋体" w:hAnsi="宋体" w:eastAsia="宋体" w:cs="宋体"/>
          <w:color w:val="000000"/>
          <w:sz w:val="24"/>
          <w:szCs w:val="24"/>
        </w:rPr>
        <w:t>注：</w:t>
      </w:r>
      <w:r>
        <w:rPr>
          <w:rFonts w:hint="eastAsia" w:ascii="宋体" w:hAnsi="宋体" w:eastAsia="宋体" w:cs="宋体"/>
          <w:color w:val="000000"/>
          <w:sz w:val="24"/>
        </w:rPr>
        <w:t>投标人根据评标标准具体要求附业绩证明材料。</w:t>
      </w:r>
    </w:p>
    <w:p>
      <w:pPr>
        <w:pStyle w:val="15"/>
        <w:spacing w:before="0" w:after="0" w:line="360" w:lineRule="auto"/>
        <w:contextualSpacing/>
        <w:jc w:val="left"/>
        <w:rPr>
          <w:rFonts w:ascii="宋体" w:hAnsi="宋体" w:eastAsia="宋体" w:cs="宋体"/>
          <w:color w:val="000000"/>
          <w:sz w:val="24"/>
          <w:szCs w:val="24"/>
          <w:u w:val="single"/>
        </w:rPr>
      </w:pPr>
      <w:r>
        <w:rPr>
          <w:rFonts w:hint="eastAsia" w:ascii="宋体" w:hAnsi="宋体" w:eastAsia="宋体" w:cs="宋体"/>
          <w:color w:val="000000"/>
          <w:sz w:val="24"/>
          <w:szCs w:val="24"/>
        </w:rPr>
        <w:t>法定代表人或者委托代理人（签字或者电子签名）：</w:t>
      </w:r>
      <w:r>
        <w:rPr>
          <w:rFonts w:hint="eastAsia" w:ascii="宋体" w:hAnsi="宋体" w:eastAsia="宋体" w:cs="宋体"/>
          <w:color w:val="000000"/>
          <w:sz w:val="24"/>
          <w:szCs w:val="24"/>
          <w:u w:val="single"/>
        </w:rPr>
        <w:t>　　　　　</w:t>
      </w:r>
    </w:p>
    <w:p>
      <w:pPr>
        <w:spacing w:line="360" w:lineRule="auto"/>
        <w:ind w:right="480"/>
        <w:contextualSpacing/>
        <w:jc w:val="left"/>
        <w:rPr>
          <w:rFonts w:ascii="宋体" w:hAnsi="宋体" w:cs="宋体"/>
          <w:color w:val="000000"/>
          <w:sz w:val="24"/>
        </w:rPr>
      </w:pPr>
      <w:r>
        <w:rPr>
          <w:rFonts w:hint="eastAsia" w:ascii="宋体" w:hAnsi="宋体" w:cs="宋体"/>
          <w:color w:val="000000"/>
          <w:sz w:val="24"/>
        </w:rPr>
        <w:t xml:space="preserve">投标人名称（电子签章）： </w:t>
      </w:r>
    </w:p>
    <w:p>
      <w:pPr>
        <w:spacing w:line="360" w:lineRule="auto"/>
        <w:ind w:right="480"/>
        <w:contextualSpacing/>
        <w:jc w:val="left"/>
        <w:rPr>
          <w:rFonts w:ascii="宋体" w:hAnsi="宋体" w:cs="宋体"/>
          <w:color w:val="000000"/>
          <w:sz w:val="24"/>
          <w:szCs w:val="20"/>
        </w:rPr>
      </w:pPr>
      <w:r>
        <w:rPr>
          <w:rFonts w:hint="eastAsia" w:ascii="宋体" w:hAnsi="宋体" w:cs="宋体"/>
          <w:color w:val="000000"/>
          <w:sz w:val="24"/>
        </w:rPr>
        <w:t xml:space="preserve">                             年    月    日</w:t>
      </w:r>
    </w:p>
    <w:p>
      <w:pPr>
        <w:snapToGrid w:val="0"/>
        <w:spacing w:before="50"/>
        <w:ind w:firstLine="480" w:firstLineChars="200"/>
        <w:jc w:val="left"/>
        <w:rPr>
          <w:rFonts w:ascii="宋体" w:hAnsi="宋体" w:cs="宋体"/>
          <w:color w:val="000000"/>
          <w:sz w:val="24"/>
          <w:szCs w:val="20"/>
        </w:rPr>
      </w:pPr>
    </w:p>
    <w:p>
      <w:pPr>
        <w:snapToGrid w:val="0"/>
        <w:spacing w:before="50"/>
        <w:jc w:val="left"/>
        <w:rPr>
          <w:rFonts w:ascii="宋体" w:hAnsi="宋体" w:cs="宋体"/>
          <w:color w:val="000000"/>
          <w:sz w:val="24"/>
        </w:rPr>
      </w:pPr>
    </w:p>
    <w:p>
      <w:pPr>
        <w:snapToGrid w:val="0"/>
        <w:spacing w:beforeLines="50"/>
        <w:rPr>
          <w:rFonts w:ascii="宋体" w:hAnsi="宋体" w:cs="宋体"/>
          <w:color w:val="000000"/>
          <w:sz w:val="24"/>
          <w:szCs w:val="20"/>
        </w:rPr>
      </w:pPr>
    </w:p>
    <w:p>
      <w:pPr>
        <w:rPr>
          <w:rFonts w:ascii="宋体" w:hAnsi="宋体" w:cs="宋体"/>
          <w:color w:val="000000"/>
        </w:rPr>
      </w:pPr>
    </w:p>
    <w:p>
      <w:pPr>
        <w:snapToGrid w:val="0"/>
        <w:spacing w:beforeLines="50" w:after="50"/>
        <w:jc w:val="left"/>
        <w:rPr>
          <w:rFonts w:ascii="宋体" w:hAnsi="宋体" w:cs="宋体"/>
          <w:b/>
          <w:color w:val="000000"/>
          <w:sz w:val="24"/>
        </w:rPr>
      </w:pPr>
    </w:p>
    <w:p>
      <w:pPr>
        <w:snapToGrid w:val="0"/>
        <w:spacing w:beforeLines="50" w:after="50"/>
        <w:jc w:val="left"/>
        <w:rPr>
          <w:rFonts w:ascii="宋体" w:hAnsi="宋体" w:cs="宋体"/>
          <w:b/>
          <w:color w:val="000000"/>
          <w:sz w:val="24"/>
        </w:rPr>
      </w:pPr>
    </w:p>
    <w:p>
      <w:pPr>
        <w:snapToGrid w:val="0"/>
        <w:spacing w:beforeLines="50" w:after="50"/>
        <w:jc w:val="left"/>
        <w:rPr>
          <w:rFonts w:ascii="宋体" w:hAnsi="宋体" w:cs="宋体"/>
          <w:b/>
          <w:color w:val="000000"/>
          <w:sz w:val="24"/>
        </w:rPr>
      </w:pPr>
    </w:p>
    <w:p>
      <w:pPr>
        <w:snapToGrid w:val="0"/>
        <w:spacing w:beforeLines="50" w:after="50"/>
        <w:jc w:val="left"/>
        <w:rPr>
          <w:rFonts w:ascii="宋体" w:hAnsi="宋体" w:cs="宋体"/>
          <w:b/>
          <w:color w:val="000000"/>
          <w:sz w:val="24"/>
        </w:rPr>
      </w:pPr>
    </w:p>
    <w:p>
      <w:pPr>
        <w:snapToGrid w:val="0"/>
        <w:spacing w:beforeLines="50" w:after="50"/>
        <w:jc w:val="left"/>
        <w:rPr>
          <w:rFonts w:ascii="宋体" w:hAnsi="宋体" w:cs="宋体"/>
          <w:b/>
          <w:color w:val="000000"/>
          <w:sz w:val="24"/>
        </w:rPr>
      </w:pPr>
    </w:p>
    <w:p>
      <w:pPr>
        <w:snapToGrid w:val="0"/>
        <w:spacing w:beforeLines="50" w:after="50"/>
        <w:jc w:val="left"/>
        <w:rPr>
          <w:rFonts w:ascii="宋体" w:hAnsi="宋体" w:cs="宋体"/>
          <w:b/>
          <w:color w:val="000000"/>
          <w:sz w:val="24"/>
        </w:rPr>
      </w:pPr>
    </w:p>
    <w:p>
      <w:pPr>
        <w:snapToGrid w:val="0"/>
        <w:spacing w:beforeLines="50" w:after="50"/>
        <w:jc w:val="left"/>
        <w:rPr>
          <w:rFonts w:ascii="宋体" w:hAnsi="宋体" w:cs="宋体"/>
          <w:b/>
          <w:color w:val="000000"/>
          <w:sz w:val="24"/>
        </w:rPr>
      </w:pPr>
    </w:p>
    <w:p>
      <w:pPr>
        <w:snapToGrid w:val="0"/>
        <w:spacing w:beforeLines="50" w:after="50"/>
        <w:jc w:val="left"/>
        <w:rPr>
          <w:rFonts w:ascii="宋体" w:hAnsi="宋体" w:cs="宋体"/>
          <w:b/>
          <w:color w:val="000000"/>
          <w:sz w:val="24"/>
        </w:rPr>
      </w:pPr>
    </w:p>
    <w:p>
      <w:pPr>
        <w:snapToGrid w:val="0"/>
        <w:spacing w:beforeLines="50" w:after="50"/>
        <w:jc w:val="left"/>
        <w:rPr>
          <w:rFonts w:ascii="宋体" w:hAnsi="宋体" w:cs="宋体"/>
          <w:b/>
          <w:color w:val="000000"/>
          <w:sz w:val="24"/>
        </w:rPr>
      </w:pPr>
    </w:p>
    <w:p>
      <w:pPr>
        <w:snapToGrid w:val="0"/>
        <w:spacing w:beforeLines="50" w:after="50"/>
        <w:jc w:val="left"/>
        <w:rPr>
          <w:rFonts w:ascii="宋体" w:hAnsi="宋体" w:cs="宋体"/>
          <w:b/>
          <w:color w:val="000000"/>
          <w:sz w:val="24"/>
        </w:rPr>
      </w:pPr>
    </w:p>
    <w:p>
      <w:pPr>
        <w:snapToGrid w:val="0"/>
        <w:spacing w:beforeLines="50" w:after="50"/>
        <w:jc w:val="left"/>
        <w:rPr>
          <w:rFonts w:ascii="宋体" w:hAnsi="宋体" w:cs="宋体"/>
          <w:b/>
          <w:color w:val="000000"/>
          <w:sz w:val="24"/>
        </w:rPr>
      </w:pPr>
      <w:r>
        <w:rPr>
          <w:rFonts w:hint="eastAsia" w:ascii="宋体" w:hAnsi="宋体" w:cs="宋体"/>
          <w:b/>
          <w:color w:val="000000"/>
          <w:sz w:val="24"/>
        </w:rPr>
        <w:t>9.承诺函</w:t>
      </w:r>
    </w:p>
    <w:p>
      <w:pPr>
        <w:adjustRightInd w:val="0"/>
        <w:snapToGrid w:val="0"/>
        <w:spacing w:line="520" w:lineRule="exact"/>
        <w:ind w:firstLine="480" w:firstLineChars="200"/>
        <w:jc w:val="center"/>
        <w:rPr>
          <w:rFonts w:ascii="宋体" w:hAnsi="宋体" w:cs="宋体"/>
          <w:sz w:val="24"/>
        </w:rPr>
      </w:pPr>
      <w:r>
        <w:rPr>
          <w:rFonts w:hint="eastAsia" w:ascii="宋体" w:hAnsi="宋体" w:cs="宋体"/>
          <w:sz w:val="24"/>
        </w:rPr>
        <w:t>承 诺 函</w:t>
      </w:r>
    </w:p>
    <w:p>
      <w:pPr>
        <w:adjustRightInd w:val="0"/>
        <w:snapToGrid w:val="0"/>
        <w:spacing w:line="400" w:lineRule="exact"/>
        <w:rPr>
          <w:rFonts w:ascii="宋体" w:hAnsi="宋体" w:cs="宋体"/>
          <w:szCs w:val="21"/>
        </w:rPr>
      </w:pPr>
      <w:r>
        <w:rPr>
          <w:rFonts w:hint="eastAsia" w:ascii="宋体" w:hAnsi="宋体" w:cs="宋体"/>
          <w:szCs w:val="21"/>
        </w:rPr>
        <w:t>致</w:t>
      </w:r>
      <w:r>
        <w:rPr>
          <w:rFonts w:hint="eastAsia" w:ascii="宋体" w:hAnsi="宋体" w:cs="宋体"/>
          <w:szCs w:val="21"/>
          <w:u w:val="single"/>
        </w:rPr>
        <w:t xml:space="preserve"> （采购人）  </w:t>
      </w:r>
      <w:r>
        <w:rPr>
          <w:rFonts w:hint="eastAsia" w:ascii="宋体" w:hAnsi="宋体" w:cs="宋体"/>
          <w:szCs w:val="21"/>
        </w:rPr>
        <w:t>：</w:t>
      </w:r>
    </w:p>
    <w:p>
      <w:pPr>
        <w:adjustRightInd w:val="0"/>
        <w:snapToGrid w:val="0"/>
        <w:spacing w:line="400" w:lineRule="exact"/>
        <w:ind w:firstLine="420" w:firstLineChars="200"/>
        <w:rPr>
          <w:rFonts w:ascii="宋体" w:hAnsi="宋体" w:cs="宋体"/>
          <w:szCs w:val="21"/>
        </w:rPr>
      </w:pPr>
      <w:r>
        <w:rPr>
          <w:rFonts w:hint="eastAsia" w:ascii="宋体" w:hAnsi="宋体" w:cs="宋体"/>
          <w:szCs w:val="21"/>
        </w:rPr>
        <w:t>我公司自愿就项目（项目编号：）政府采购有关事项向采购人郑重承诺如下:</w:t>
      </w:r>
    </w:p>
    <w:p>
      <w:pPr>
        <w:adjustRightInd w:val="0"/>
        <w:snapToGrid w:val="0"/>
        <w:spacing w:line="400" w:lineRule="exact"/>
        <w:ind w:firstLine="420" w:firstLineChars="200"/>
        <w:rPr>
          <w:rFonts w:ascii="宋体" w:hAnsi="宋体" w:cs="宋体"/>
          <w:szCs w:val="21"/>
        </w:rPr>
      </w:pPr>
      <w:r>
        <w:rPr>
          <w:rFonts w:hint="eastAsia" w:ascii="宋体" w:hAnsi="宋体" w:cs="宋体"/>
          <w:szCs w:val="21"/>
        </w:rPr>
        <w:t>一、严格遵守《中华人民共和国政府采购法》及相关法规，不以各种方式虚假投标，履行（投标文件或资格预审申请文件）要求的责任和义务。</w:t>
      </w:r>
    </w:p>
    <w:p>
      <w:pPr>
        <w:adjustRightInd w:val="0"/>
        <w:snapToGrid w:val="0"/>
        <w:spacing w:line="400" w:lineRule="exact"/>
        <w:ind w:firstLine="420" w:firstLineChars="200"/>
        <w:rPr>
          <w:rFonts w:ascii="宋体" w:hAnsi="宋体" w:cs="宋体"/>
          <w:szCs w:val="21"/>
        </w:rPr>
      </w:pPr>
      <w:r>
        <w:rPr>
          <w:rFonts w:hint="eastAsia" w:ascii="宋体" w:hAnsi="宋体" w:cs="宋体"/>
          <w:szCs w:val="21"/>
        </w:rPr>
        <w:t>二、保证不提供伪造、涂改的公文及相关证明、证照、证件、业绩或谎报相关信息。</w:t>
      </w:r>
    </w:p>
    <w:p>
      <w:pPr>
        <w:adjustRightInd w:val="0"/>
        <w:snapToGrid w:val="0"/>
        <w:spacing w:line="400" w:lineRule="exact"/>
        <w:ind w:firstLine="420" w:firstLineChars="200"/>
        <w:rPr>
          <w:rFonts w:ascii="宋体" w:hAnsi="宋体" w:cs="宋体"/>
          <w:szCs w:val="21"/>
        </w:rPr>
      </w:pPr>
      <w:r>
        <w:rPr>
          <w:rFonts w:hint="eastAsia" w:ascii="宋体" w:hAnsi="宋体" w:cs="宋体"/>
          <w:szCs w:val="21"/>
        </w:rPr>
        <w:t>三、保证报价应包含本项目所有标的采购、接口对接费用、软件完善和升级、安装、调试、售后服务3年的运维、劳务、旅差（交通费、住宿费、伙食补助费、必要的保险费用）、培训、印刷、验收等各种费用和售后服务、税金及其它所有成本费用的总和。且以下内容的费用包含在本项目报价范围内：（1）开发与编制信息数据接口程序及接口标准文档、对接第三方的接口费用、第三方对接系统的费用；（2）实现诊断、鉴定线上流程标准文档工作、以及专家制定流程的费用；（3）短信服务费用；（4）成功对接《广西全民健康信息平台》的所有费用；（5）成功对接国垂系统《职业健康技术服务机构信息填报系统》、《职业病及健康危害因素监测信息系统》、《职业病危害项目申报系统》、《卫生健康监督信息平台》、《放射工作人员个人剂量监测登记系统-网络版》、《全国放射卫生信息平台》等相关平台的所有费用；（6）成功对接《广西职业病防治与职业健康管理平台》、《广西职业病康复管理平台》、《广西卫生监督执法管理平台》且实现单点登录的所有费用。（7）系统维护阶段需能从原研发团队提供至少___名信息系统运行维护工程师，提供 ___ 年的原厂质保服务费用；（8）质保期间，实现OCR身份证识别、人脸识别功能</w:t>
      </w:r>
      <w:r>
        <w:rPr>
          <w:rFonts w:hint="eastAsia" w:ascii="宋体" w:hAnsi="宋体" w:cs="宋体"/>
          <w:szCs w:val="21"/>
          <w:lang w:val="en-US" w:eastAsia="zh-CN"/>
        </w:rPr>
        <w:t>的</w:t>
      </w:r>
      <w:r>
        <w:rPr>
          <w:rFonts w:hint="eastAsia" w:ascii="宋体" w:hAnsi="宋体" w:cs="宋体"/>
          <w:szCs w:val="21"/>
        </w:rPr>
        <w:t>费用；（9）组建专家团队完善《广西壮族自治区职业健康信息综合管理平台数据接口标准》和有关规范等文档费用；（10）运维费用；（11）信创中间件及国产数据库的相关</w:t>
      </w:r>
      <w:r>
        <w:rPr>
          <w:rFonts w:hint="eastAsia" w:ascii="宋体" w:hAnsi="宋体" w:cs="宋体"/>
        </w:rPr>
        <w:t>授权可无限期使用的费用及质保期内承担升级所需费用</w:t>
      </w:r>
      <w:r>
        <w:rPr>
          <w:rFonts w:hint="eastAsia" w:ascii="宋体" w:hAnsi="宋体" w:cs="宋体"/>
          <w:szCs w:val="21"/>
        </w:rPr>
        <w:t>。</w:t>
      </w:r>
    </w:p>
    <w:p>
      <w:pPr>
        <w:adjustRightInd w:val="0"/>
        <w:snapToGrid w:val="0"/>
        <w:spacing w:line="400" w:lineRule="exact"/>
        <w:ind w:firstLine="420" w:firstLineChars="200"/>
        <w:rPr>
          <w:rFonts w:ascii="宋体" w:hAnsi="宋体" w:cs="宋体"/>
          <w:szCs w:val="21"/>
        </w:rPr>
      </w:pPr>
      <w:r>
        <w:rPr>
          <w:rFonts w:hint="eastAsia" w:ascii="宋体" w:hAnsi="宋体" w:cs="宋体"/>
          <w:szCs w:val="21"/>
        </w:rPr>
        <w:t>四、承诺项目建设期配套满足项目具备信创研发经验的人员人数。</w:t>
      </w:r>
    </w:p>
    <w:p>
      <w:pPr>
        <w:adjustRightInd w:val="0"/>
        <w:snapToGrid w:val="0"/>
        <w:spacing w:line="400" w:lineRule="exact"/>
        <w:ind w:firstLine="420" w:firstLineChars="200"/>
        <w:rPr>
          <w:rFonts w:ascii="宋体" w:hAnsi="宋体" w:cs="宋体"/>
          <w:szCs w:val="21"/>
        </w:rPr>
      </w:pPr>
      <w:r>
        <w:rPr>
          <w:rFonts w:hint="eastAsia" w:ascii="宋体" w:hAnsi="宋体" w:cs="宋体"/>
          <w:szCs w:val="21"/>
        </w:rPr>
        <w:t>五、保证投标文件内容无任何虚假。</w:t>
      </w:r>
    </w:p>
    <w:p>
      <w:pPr>
        <w:adjustRightInd w:val="0"/>
        <w:snapToGrid w:val="0"/>
        <w:spacing w:line="400" w:lineRule="exact"/>
        <w:ind w:firstLine="420" w:firstLineChars="200"/>
        <w:rPr>
          <w:rFonts w:ascii="宋体" w:hAnsi="宋体" w:cs="宋体"/>
          <w:szCs w:val="21"/>
        </w:rPr>
      </w:pPr>
      <w:r>
        <w:rPr>
          <w:rFonts w:hint="eastAsia" w:ascii="宋体" w:hAnsi="宋体" w:cs="宋体"/>
          <w:szCs w:val="21"/>
        </w:rPr>
        <w:t>六、若我公司中标，保证在履行合同过程中遵守法律法规，不分包转包。</w:t>
      </w:r>
    </w:p>
    <w:p>
      <w:pPr>
        <w:adjustRightInd w:val="0"/>
        <w:snapToGrid w:val="0"/>
        <w:spacing w:line="400" w:lineRule="exact"/>
        <w:ind w:firstLine="420" w:firstLineChars="200"/>
        <w:rPr>
          <w:rFonts w:ascii="宋体" w:hAnsi="宋体" w:cs="宋体"/>
          <w:szCs w:val="21"/>
        </w:rPr>
      </w:pPr>
      <w:r>
        <w:rPr>
          <w:rFonts w:hint="eastAsia" w:ascii="宋体" w:hAnsi="宋体" w:cs="宋体"/>
          <w:szCs w:val="21"/>
        </w:rPr>
        <w:t>七、若我公司中标，保证中标之后按照投标文件和合同承诺派驻现场管理人员，严格按照质量和工期要求履行合同。</w:t>
      </w:r>
    </w:p>
    <w:p>
      <w:pPr>
        <w:adjustRightInd w:val="0"/>
        <w:snapToGrid w:val="0"/>
        <w:spacing w:line="400" w:lineRule="exact"/>
        <w:ind w:firstLine="420" w:firstLineChars="200"/>
        <w:rPr>
          <w:rFonts w:ascii="宋体" w:hAnsi="宋体" w:cs="宋体"/>
          <w:szCs w:val="21"/>
        </w:rPr>
      </w:pPr>
      <w:r>
        <w:rPr>
          <w:rFonts w:hint="eastAsia" w:ascii="宋体" w:hAnsi="宋体" w:cs="宋体"/>
          <w:szCs w:val="21"/>
        </w:rPr>
        <w:t>八、严格执行廉洁从业有关规定，不发生违纪违法行为。</w:t>
      </w:r>
    </w:p>
    <w:p>
      <w:pPr>
        <w:adjustRightInd w:val="0"/>
        <w:snapToGrid w:val="0"/>
        <w:spacing w:line="400" w:lineRule="exact"/>
        <w:ind w:firstLine="420" w:firstLineChars="200"/>
        <w:rPr>
          <w:rFonts w:ascii="宋体" w:hAnsi="宋体" w:cs="宋体"/>
          <w:szCs w:val="21"/>
        </w:rPr>
      </w:pPr>
      <w:r>
        <w:rPr>
          <w:rFonts w:hint="eastAsia" w:ascii="宋体" w:hAnsi="宋体" w:cs="宋体"/>
          <w:szCs w:val="21"/>
        </w:rPr>
        <w:t>九、我公司若违反以上承诺或在本项目投标（或履行合同期间）出现其他违约、违法等重大过失行为，除按招标文件、合同及法律法规接受处罚外，同意采购人向行政主管部门申报我公司不良记录。</w:t>
      </w:r>
    </w:p>
    <w:p>
      <w:pPr>
        <w:adjustRightInd w:val="0"/>
        <w:snapToGrid w:val="0"/>
        <w:spacing w:line="400" w:lineRule="exact"/>
        <w:ind w:firstLine="420" w:firstLineChars="200"/>
        <w:jc w:val="right"/>
        <w:rPr>
          <w:rFonts w:ascii="宋体" w:hAnsi="宋体" w:cs="宋体"/>
          <w:szCs w:val="21"/>
        </w:rPr>
      </w:pPr>
      <w:r>
        <w:rPr>
          <w:rFonts w:hint="eastAsia" w:ascii="宋体" w:hAnsi="宋体" w:cs="宋体"/>
          <w:szCs w:val="21"/>
        </w:rPr>
        <w:t>法定代表人或者委托代理人（签字或者电子签名）：</w:t>
      </w:r>
    </w:p>
    <w:p>
      <w:pPr>
        <w:adjustRightInd w:val="0"/>
        <w:snapToGrid w:val="0"/>
        <w:spacing w:line="400" w:lineRule="exact"/>
        <w:ind w:firstLine="420" w:firstLineChars="200"/>
        <w:jc w:val="right"/>
        <w:rPr>
          <w:rFonts w:ascii="宋体" w:hAnsi="宋体" w:cs="宋体"/>
          <w:szCs w:val="21"/>
        </w:rPr>
      </w:pPr>
      <w:r>
        <w:rPr>
          <w:rFonts w:hint="eastAsia" w:ascii="宋体" w:hAnsi="宋体" w:cs="宋体"/>
          <w:szCs w:val="21"/>
        </w:rPr>
        <w:t>投标人名称（电子签章）：</w:t>
      </w:r>
    </w:p>
    <w:p>
      <w:pPr>
        <w:adjustRightInd w:val="0"/>
        <w:snapToGrid w:val="0"/>
        <w:spacing w:line="400" w:lineRule="exact"/>
        <w:ind w:firstLine="420" w:firstLineChars="200"/>
        <w:jc w:val="right"/>
        <w:rPr>
          <w:rFonts w:ascii="宋体" w:hAnsi="宋体" w:cs="宋体"/>
          <w:szCs w:val="21"/>
        </w:rPr>
      </w:pPr>
      <w:r>
        <w:rPr>
          <w:rFonts w:hint="eastAsia" w:ascii="宋体" w:hAnsi="宋体" w:cs="宋体"/>
          <w:szCs w:val="21"/>
        </w:rPr>
        <w:t xml:space="preserve"> 年    月    日</w:t>
      </w:r>
    </w:p>
    <w:p>
      <w:pPr>
        <w:rPr>
          <w:rFonts w:ascii="宋体" w:hAnsi="宋体" w:cs="宋体"/>
          <w:color w:val="000000"/>
        </w:rPr>
      </w:pPr>
    </w:p>
    <w:p>
      <w:pPr>
        <w:rPr>
          <w:rFonts w:ascii="宋体" w:hAnsi="宋体" w:cs="宋体"/>
          <w:b/>
          <w:color w:val="000000"/>
          <w:sz w:val="28"/>
          <w:szCs w:val="28"/>
        </w:rPr>
      </w:pPr>
      <w:bookmarkStart w:id="251" w:name="_Toc19686840"/>
      <w:r>
        <w:rPr>
          <w:rFonts w:hint="eastAsia" w:ascii="宋体" w:hAnsi="宋体" w:cs="宋体"/>
          <w:b/>
          <w:color w:val="000000"/>
          <w:sz w:val="28"/>
          <w:szCs w:val="28"/>
        </w:rPr>
        <w:t>五、其他文书、文件格式</w:t>
      </w:r>
      <w:bookmarkEnd w:id="251"/>
    </w:p>
    <w:p>
      <w:pPr>
        <w:snapToGrid w:val="0"/>
        <w:spacing w:beforeLines="50" w:after="50"/>
        <w:jc w:val="left"/>
        <w:rPr>
          <w:rFonts w:ascii="宋体" w:hAnsi="宋体" w:cs="宋体"/>
          <w:color w:val="000000"/>
        </w:rPr>
      </w:pPr>
      <w:r>
        <w:rPr>
          <w:rFonts w:hint="eastAsia" w:ascii="宋体" w:hAnsi="宋体" w:cs="宋体"/>
          <w:b/>
          <w:color w:val="000000"/>
          <w:sz w:val="24"/>
        </w:rPr>
        <w:t>1.中小企业声明函格式</w:t>
      </w:r>
    </w:p>
    <w:p>
      <w:pPr>
        <w:rPr>
          <w:rFonts w:ascii="宋体" w:hAnsi="宋体" w:cs="宋体"/>
          <w:color w:val="000000"/>
        </w:rPr>
      </w:pPr>
    </w:p>
    <w:p>
      <w:pPr>
        <w:jc w:val="center"/>
        <w:rPr>
          <w:rFonts w:ascii="宋体" w:hAnsi="宋体" w:cs="宋体"/>
          <w:color w:val="000000"/>
          <w:sz w:val="44"/>
          <w:szCs w:val="44"/>
        </w:rPr>
      </w:pPr>
      <w:r>
        <w:rPr>
          <w:rFonts w:hint="eastAsia" w:ascii="宋体" w:hAnsi="宋体" w:cs="宋体"/>
          <w:color w:val="000000"/>
          <w:sz w:val="44"/>
          <w:szCs w:val="44"/>
        </w:rPr>
        <w:t>中小企业声明函（服务）</w:t>
      </w:r>
    </w:p>
    <w:p>
      <w:pPr>
        <w:spacing w:before="2" w:line="500" w:lineRule="exact"/>
        <w:rPr>
          <w:rFonts w:ascii="宋体" w:hAnsi="宋体" w:cs="宋体"/>
          <w:b/>
          <w:bCs/>
          <w:color w:val="000000"/>
          <w:sz w:val="24"/>
        </w:rPr>
      </w:pPr>
    </w:p>
    <w:p>
      <w:pPr>
        <w:pStyle w:val="18"/>
        <w:spacing w:line="500" w:lineRule="exact"/>
        <w:ind w:right="142" w:firstLine="480" w:firstLineChars="200"/>
        <w:rPr>
          <w:rFonts w:ascii="宋体" w:hAnsi="宋体" w:cs="宋体"/>
          <w:color w:val="000000"/>
        </w:rPr>
      </w:pPr>
      <w:r>
        <w:rPr>
          <w:rFonts w:hint="eastAsia" w:ascii="宋体" w:hAnsi="宋体" w:cs="宋体"/>
          <w:color w:val="000000"/>
        </w:rPr>
        <w:t>本公司（联合体）郑重声明，根据《政府采购促进中小企业发展管理办法》（财库﹝2020﹞46号）的规定，本公司（联合体）参加</w:t>
      </w:r>
      <w:r>
        <w:rPr>
          <w:rFonts w:hint="eastAsia" w:ascii="宋体" w:hAnsi="宋体" w:cs="宋体"/>
          <w:color w:val="000000"/>
          <w:u w:val="single"/>
        </w:rPr>
        <w:t>（单位名称）</w:t>
      </w:r>
      <w:r>
        <w:rPr>
          <w:rFonts w:hint="eastAsia" w:ascii="宋体" w:hAnsi="宋体" w:cs="宋体"/>
          <w:color w:val="000000"/>
        </w:rPr>
        <w:t>的</w:t>
      </w:r>
      <w:r>
        <w:rPr>
          <w:rFonts w:hint="eastAsia" w:ascii="宋体" w:hAnsi="宋体" w:cs="宋体"/>
          <w:color w:val="000000"/>
          <w:u w:val="single"/>
        </w:rPr>
        <w:t>（项目名称）</w:t>
      </w:r>
      <w:r>
        <w:rPr>
          <w:rFonts w:hint="eastAsia" w:ascii="宋体" w:hAnsi="宋体" w:cs="宋体"/>
          <w:color w:val="000000"/>
        </w:rPr>
        <w:t>采购活动，服务全部由符合政策要求的中小企业承接。相关企业（含联合体中的中小企业、签订分包意向协议的中小企业）的具体情况如下：</w:t>
      </w:r>
    </w:p>
    <w:p>
      <w:pPr>
        <w:tabs>
          <w:tab w:val="left" w:pos="1384"/>
          <w:tab w:val="left" w:pos="4562"/>
          <w:tab w:val="left" w:pos="6803"/>
        </w:tabs>
        <w:spacing w:before="13" w:line="500" w:lineRule="exact"/>
        <w:ind w:right="142" w:firstLine="686" w:firstLineChars="286"/>
        <w:rPr>
          <w:rFonts w:ascii="宋体" w:hAnsi="宋体" w:cs="宋体"/>
          <w:color w:val="000000"/>
          <w:sz w:val="24"/>
        </w:rPr>
      </w:pPr>
      <w:r>
        <w:rPr>
          <w:rFonts w:hint="eastAsia" w:ascii="宋体" w:hAnsi="宋体" w:cs="宋体"/>
          <w:color w:val="000000"/>
          <w:sz w:val="24"/>
        </w:rPr>
        <w:t>1.</w:t>
      </w:r>
      <w:r>
        <w:rPr>
          <w:rFonts w:hint="eastAsia" w:ascii="宋体" w:hAnsi="宋体" w:cs="宋体"/>
          <w:color w:val="000000"/>
          <w:sz w:val="24"/>
          <w:u w:val="single"/>
        </w:rPr>
        <w:t>（标的名称）</w:t>
      </w:r>
      <w:r>
        <w:rPr>
          <w:rFonts w:hint="eastAsia" w:ascii="宋体" w:hAnsi="宋体" w:cs="宋体"/>
          <w:color w:val="000000"/>
          <w:sz w:val="24"/>
        </w:rPr>
        <w:t>，属于</w:t>
      </w:r>
      <w:r>
        <w:rPr>
          <w:rFonts w:hint="eastAsia" w:ascii="宋体" w:hAnsi="宋体" w:cs="宋体"/>
          <w:color w:val="000000"/>
          <w:sz w:val="24"/>
          <w:u w:val="single"/>
        </w:rPr>
        <w:t>（采购文件中明确的所属行业）</w:t>
      </w:r>
      <w:r>
        <w:rPr>
          <w:rFonts w:hint="eastAsia" w:ascii="宋体" w:hAnsi="宋体" w:cs="宋体"/>
          <w:color w:val="000000"/>
          <w:sz w:val="24"/>
        </w:rPr>
        <w:t>；承接企业为</w:t>
      </w:r>
      <w:r>
        <w:rPr>
          <w:rFonts w:hint="eastAsia" w:ascii="宋体" w:hAnsi="宋体" w:cs="宋体"/>
          <w:color w:val="000000"/>
          <w:sz w:val="24"/>
          <w:u w:val="single"/>
        </w:rPr>
        <w:t>（企业名称）</w:t>
      </w:r>
      <w:r>
        <w:rPr>
          <w:rFonts w:hint="eastAsia" w:ascii="宋体" w:hAnsi="宋体" w:cs="宋体"/>
          <w:color w:val="000000"/>
          <w:sz w:val="24"/>
        </w:rPr>
        <w:t>，从业人员</w:t>
      </w:r>
      <w:r>
        <w:rPr>
          <w:rFonts w:hint="eastAsia" w:ascii="宋体" w:hAnsi="宋体" w:cs="宋体"/>
          <w:color w:val="000000"/>
          <w:sz w:val="24"/>
          <w:u w:val="single"/>
          <w:lang w:val="en-US" w:eastAsia="zh-CN"/>
        </w:rPr>
        <w:t xml:space="preserve">   </w:t>
      </w:r>
      <w:r>
        <w:rPr>
          <w:rFonts w:hint="eastAsia" w:ascii="宋体" w:hAnsi="宋体" w:cs="宋体"/>
          <w:color w:val="000000"/>
          <w:sz w:val="24"/>
        </w:rPr>
        <w:t>人，营业收入为</w:t>
      </w:r>
      <w:r>
        <w:rPr>
          <w:rFonts w:hint="eastAsia" w:ascii="宋体" w:hAnsi="宋体" w:cs="宋体"/>
          <w:color w:val="000000"/>
          <w:sz w:val="24"/>
          <w:u w:val="single"/>
          <w:lang w:val="en-US" w:eastAsia="zh-CN"/>
        </w:rPr>
        <w:t xml:space="preserve">    </w:t>
      </w:r>
      <w:r>
        <w:rPr>
          <w:rFonts w:hint="eastAsia" w:ascii="宋体" w:hAnsi="宋体" w:cs="宋体"/>
          <w:color w:val="000000"/>
          <w:sz w:val="24"/>
        </w:rPr>
        <w:t>万元，资产总额为</w:t>
      </w:r>
      <w:r>
        <w:rPr>
          <w:rFonts w:hint="eastAsia" w:ascii="宋体" w:hAnsi="宋体" w:cs="宋体"/>
          <w:color w:val="000000"/>
          <w:sz w:val="24"/>
          <w:u w:val="single"/>
          <w:lang w:val="en-US" w:eastAsia="zh-CN"/>
        </w:rPr>
        <w:t xml:space="preserve">     </w:t>
      </w:r>
      <w:r>
        <w:rPr>
          <w:rFonts w:hint="eastAsia" w:ascii="宋体" w:hAnsi="宋体" w:cs="宋体"/>
          <w:color w:val="000000"/>
          <w:sz w:val="24"/>
        </w:rPr>
        <w:t>万元，属于</w:t>
      </w:r>
      <w:r>
        <w:rPr>
          <w:rFonts w:hint="eastAsia" w:ascii="宋体" w:hAnsi="宋体" w:cs="宋体"/>
          <w:color w:val="000000"/>
          <w:sz w:val="24"/>
          <w:u w:val="single"/>
        </w:rPr>
        <w:t>（中型企业、小型企业、微型企业）</w:t>
      </w:r>
      <w:r>
        <w:rPr>
          <w:rFonts w:hint="eastAsia" w:ascii="宋体" w:hAnsi="宋体" w:cs="宋体"/>
          <w:color w:val="000000"/>
          <w:sz w:val="24"/>
        </w:rPr>
        <w:t>；</w:t>
      </w:r>
    </w:p>
    <w:p>
      <w:pPr>
        <w:tabs>
          <w:tab w:val="left" w:pos="1065"/>
          <w:tab w:val="left" w:pos="4262"/>
          <w:tab w:val="left" w:pos="6477"/>
        </w:tabs>
        <w:spacing w:before="20" w:line="500" w:lineRule="exact"/>
        <w:ind w:right="84" w:firstLine="686" w:firstLineChars="286"/>
        <w:rPr>
          <w:rFonts w:ascii="宋体" w:hAnsi="宋体" w:cs="宋体"/>
          <w:color w:val="000000"/>
          <w:sz w:val="24"/>
          <w:u w:val="single"/>
        </w:rPr>
      </w:pPr>
      <w:r>
        <w:rPr>
          <w:rFonts w:hint="eastAsia" w:ascii="宋体" w:hAnsi="宋体" w:cs="宋体"/>
          <w:color w:val="000000"/>
          <w:sz w:val="24"/>
        </w:rPr>
        <w:t>2.</w:t>
      </w:r>
      <w:r>
        <w:rPr>
          <w:rFonts w:hint="eastAsia" w:ascii="宋体" w:hAnsi="宋体" w:cs="宋体"/>
          <w:color w:val="000000"/>
          <w:sz w:val="24"/>
          <w:u w:val="single"/>
        </w:rPr>
        <w:t>（标的名称）</w:t>
      </w:r>
      <w:r>
        <w:rPr>
          <w:rFonts w:hint="eastAsia" w:ascii="宋体" w:hAnsi="宋体" w:cs="宋体"/>
          <w:color w:val="000000"/>
          <w:sz w:val="24"/>
        </w:rPr>
        <w:t>，属于</w:t>
      </w:r>
      <w:r>
        <w:rPr>
          <w:rFonts w:hint="eastAsia" w:ascii="宋体" w:hAnsi="宋体" w:cs="宋体"/>
          <w:color w:val="000000"/>
          <w:sz w:val="24"/>
          <w:u w:val="single"/>
        </w:rPr>
        <w:t>（采购文件中明确的所属行业）</w:t>
      </w:r>
      <w:r>
        <w:rPr>
          <w:rFonts w:hint="eastAsia" w:ascii="宋体" w:hAnsi="宋体" w:cs="宋体"/>
          <w:color w:val="000000"/>
          <w:sz w:val="24"/>
        </w:rPr>
        <w:t>；承接企业为</w:t>
      </w:r>
      <w:r>
        <w:rPr>
          <w:rFonts w:hint="eastAsia" w:ascii="宋体" w:hAnsi="宋体" w:cs="宋体"/>
          <w:color w:val="000000"/>
          <w:sz w:val="24"/>
          <w:u w:val="single"/>
        </w:rPr>
        <w:t>（企业名称）</w:t>
      </w:r>
      <w:r>
        <w:rPr>
          <w:rFonts w:hint="eastAsia" w:ascii="宋体" w:hAnsi="宋体" w:cs="宋体"/>
          <w:color w:val="000000"/>
          <w:sz w:val="24"/>
        </w:rPr>
        <w:t>，从业人员</w:t>
      </w:r>
      <w:r>
        <w:rPr>
          <w:rFonts w:hint="eastAsia" w:ascii="宋体" w:hAnsi="宋体" w:cs="宋体"/>
          <w:color w:val="000000"/>
          <w:sz w:val="24"/>
          <w:u w:val="single"/>
          <w:lang w:val="en-US" w:eastAsia="zh-CN"/>
        </w:rPr>
        <w:t xml:space="preserve">    </w:t>
      </w:r>
      <w:r>
        <w:rPr>
          <w:rFonts w:hint="eastAsia" w:ascii="宋体" w:hAnsi="宋体" w:cs="宋体"/>
          <w:color w:val="000000"/>
          <w:sz w:val="24"/>
        </w:rPr>
        <w:t>人，营业收入为</w:t>
      </w:r>
      <w:r>
        <w:rPr>
          <w:rFonts w:hint="eastAsia" w:ascii="宋体" w:hAnsi="宋体" w:cs="宋体"/>
          <w:color w:val="000000"/>
          <w:sz w:val="24"/>
          <w:u w:val="single"/>
          <w:lang w:val="en-US" w:eastAsia="zh-CN"/>
        </w:rPr>
        <w:t xml:space="preserve">     </w:t>
      </w:r>
      <w:r>
        <w:rPr>
          <w:rFonts w:hint="eastAsia" w:ascii="宋体" w:hAnsi="宋体" w:cs="宋体"/>
          <w:color w:val="000000"/>
          <w:sz w:val="24"/>
        </w:rPr>
        <w:t>万元，资产总额为</w:t>
      </w:r>
      <w:r>
        <w:rPr>
          <w:rFonts w:hint="eastAsia" w:ascii="宋体" w:hAnsi="宋体" w:cs="宋体"/>
          <w:color w:val="000000"/>
          <w:sz w:val="24"/>
          <w:u w:val="single"/>
          <w:lang w:val="en-US" w:eastAsia="zh-CN"/>
        </w:rPr>
        <w:t xml:space="preserve">    </w:t>
      </w:r>
      <w:r>
        <w:rPr>
          <w:rFonts w:hint="eastAsia" w:ascii="宋体" w:hAnsi="宋体" w:cs="宋体"/>
          <w:color w:val="000000"/>
          <w:sz w:val="24"/>
        </w:rPr>
        <w:t>万元，属于</w:t>
      </w:r>
      <w:r>
        <w:rPr>
          <w:rFonts w:hint="eastAsia" w:ascii="宋体" w:hAnsi="宋体" w:cs="宋体"/>
          <w:color w:val="000000"/>
          <w:sz w:val="24"/>
          <w:u w:val="single"/>
        </w:rPr>
        <w:t>（中型企业、小型企业、微型企业）</w:t>
      </w:r>
      <w:r>
        <w:rPr>
          <w:rFonts w:hint="eastAsia" w:ascii="宋体" w:hAnsi="宋体" w:cs="宋体"/>
          <w:color w:val="000000"/>
          <w:sz w:val="24"/>
        </w:rPr>
        <w:t>；</w:t>
      </w:r>
    </w:p>
    <w:p>
      <w:pPr>
        <w:pStyle w:val="18"/>
        <w:spacing w:before="34" w:line="500" w:lineRule="exact"/>
        <w:ind w:left="765" w:right="142" w:hanging="5"/>
        <w:rPr>
          <w:rFonts w:ascii="宋体" w:hAnsi="宋体" w:cs="宋体"/>
          <w:color w:val="000000"/>
        </w:rPr>
      </w:pPr>
      <w:r>
        <w:rPr>
          <w:rFonts w:hint="eastAsia" w:ascii="宋体" w:hAnsi="宋体" w:cs="宋体"/>
          <w:color w:val="000000"/>
        </w:rPr>
        <w:t xml:space="preserve">…… </w:t>
      </w:r>
    </w:p>
    <w:p>
      <w:pPr>
        <w:pStyle w:val="18"/>
        <w:spacing w:before="34" w:line="500" w:lineRule="exact"/>
        <w:ind w:right="142" w:firstLine="480" w:firstLineChars="200"/>
        <w:rPr>
          <w:rFonts w:ascii="宋体" w:hAnsi="宋体" w:cs="宋体"/>
          <w:color w:val="000000"/>
        </w:rPr>
      </w:pPr>
      <w:r>
        <w:rPr>
          <w:rFonts w:hint="eastAsia" w:ascii="宋体" w:hAnsi="宋体" w:cs="宋体"/>
          <w:color w:val="000000"/>
        </w:rPr>
        <w:t>以上企业，不属于大企业的分支机构，不存在控股股东为大企业的情形，也不存在与大企业的负责人为同一人的情形。</w:t>
      </w:r>
    </w:p>
    <w:p>
      <w:pPr>
        <w:pStyle w:val="18"/>
        <w:spacing w:before="34" w:line="500" w:lineRule="exact"/>
        <w:ind w:right="142" w:firstLine="480" w:firstLineChars="200"/>
        <w:rPr>
          <w:rFonts w:ascii="宋体" w:hAnsi="宋体" w:cs="宋体"/>
          <w:color w:val="000000"/>
        </w:rPr>
      </w:pPr>
      <w:r>
        <w:rPr>
          <w:rFonts w:hint="eastAsia" w:ascii="宋体" w:hAnsi="宋体" w:cs="宋体"/>
          <w:color w:val="000000"/>
        </w:rPr>
        <w:t>本企业对上述声明内容的真实性负责。如有虚假，将依法承担相应责任。</w:t>
      </w:r>
    </w:p>
    <w:p>
      <w:pPr>
        <w:pStyle w:val="18"/>
        <w:spacing w:before="56" w:line="500" w:lineRule="exact"/>
        <w:ind w:left="3960" w:right="1808"/>
        <w:rPr>
          <w:rFonts w:ascii="宋体" w:hAnsi="宋体" w:cs="宋体"/>
          <w:color w:val="000000"/>
        </w:rPr>
      </w:pPr>
      <w:r>
        <w:rPr>
          <w:rFonts w:hint="eastAsia" w:ascii="宋体" w:hAnsi="宋体" w:cs="宋体"/>
          <w:color w:val="000000"/>
          <w:kern w:val="24"/>
        </w:rPr>
        <w:t>企业名称（电子签章）：</w:t>
      </w:r>
    </w:p>
    <w:p>
      <w:pPr>
        <w:pStyle w:val="18"/>
        <w:spacing w:before="56" w:line="500" w:lineRule="exact"/>
        <w:ind w:left="3960" w:right="1808"/>
        <w:rPr>
          <w:rFonts w:ascii="宋体" w:hAnsi="宋体" w:cs="宋体"/>
          <w:color w:val="000000"/>
        </w:rPr>
      </w:pPr>
      <w:r>
        <w:rPr>
          <w:rFonts w:hint="eastAsia" w:ascii="宋体" w:hAnsi="宋体" w:cs="宋体"/>
          <w:color w:val="000000"/>
        </w:rPr>
        <w:t>日 期：</w:t>
      </w:r>
    </w:p>
    <w:p>
      <w:pPr>
        <w:rPr>
          <w:rFonts w:ascii="宋体" w:hAnsi="宋体" w:cs="宋体"/>
          <w:color w:val="000000"/>
          <w:sz w:val="24"/>
        </w:rPr>
      </w:pPr>
    </w:p>
    <w:p>
      <w:pPr>
        <w:rPr>
          <w:rFonts w:ascii="宋体" w:hAnsi="宋体" w:cs="宋体"/>
          <w:b/>
          <w:color w:val="000000"/>
          <w:sz w:val="24"/>
        </w:rPr>
      </w:pPr>
      <w:r>
        <w:rPr>
          <w:rFonts w:hint="eastAsia" w:ascii="宋体" w:hAnsi="宋体" w:cs="宋体"/>
          <w:color w:val="000000"/>
          <w:sz w:val="24"/>
        </w:rPr>
        <w:t>注：享受《政府采购促进中小企业发展管理办法》（财库〔2020〕46号）规定的中小企业扶持政策的，采购人、采购代理机构应当随中标结果公开中标人的《中小企业声明函》。从业人员、营业收入、资产总额填报上一年度数据，无上一年度数据的新成立企业可不填报。</w:t>
      </w:r>
      <w:r>
        <w:rPr>
          <w:rFonts w:hint="eastAsia" w:ascii="宋体" w:hAnsi="宋体" w:cs="宋体"/>
          <w:color w:val="000000"/>
        </w:rPr>
        <w:br w:type="page"/>
      </w:r>
      <w:r>
        <w:rPr>
          <w:rFonts w:hint="eastAsia" w:ascii="宋体" w:hAnsi="宋体" w:cs="宋体"/>
          <w:b/>
          <w:color w:val="000000"/>
          <w:sz w:val="24"/>
        </w:rPr>
        <w:t>2.残疾人福利性单位声明函格式</w:t>
      </w:r>
    </w:p>
    <w:p>
      <w:pPr>
        <w:spacing w:line="588" w:lineRule="exact"/>
        <w:jc w:val="center"/>
        <w:rPr>
          <w:rFonts w:ascii="宋体" w:hAnsi="宋体" w:cs="宋体"/>
          <w:b/>
          <w:color w:val="000000"/>
          <w:spacing w:val="6"/>
          <w:sz w:val="32"/>
          <w:szCs w:val="32"/>
        </w:rPr>
      </w:pPr>
      <w:bookmarkStart w:id="252" w:name="OLE_LINK14"/>
      <w:bookmarkStart w:id="253" w:name="OLE_LINK13"/>
    </w:p>
    <w:p>
      <w:pPr>
        <w:spacing w:line="588" w:lineRule="exact"/>
        <w:jc w:val="center"/>
        <w:rPr>
          <w:rFonts w:ascii="宋体" w:hAnsi="宋体" w:cs="宋体"/>
          <w:bCs/>
          <w:color w:val="000000"/>
          <w:spacing w:val="6"/>
          <w:sz w:val="44"/>
          <w:szCs w:val="44"/>
        </w:rPr>
      </w:pPr>
      <w:r>
        <w:rPr>
          <w:rFonts w:hint="eastAsia" w:ascii="宋体" w:hAnsi="宋体" w:cs="宋体"/>
          <w:bCs/>
          <w:color w:val="000000"/>
          <w:spacing w:val="6"/>
          <w:sz w:val="44"/>
          <w:szCs w:val="44"/>
        </w:rPr>
        <w:t>残疾人福利性单位声明函</w:t>
      </w:r>
    </w:p>
    <w:bookmarkEnd w:id="252"/>
    <w:bookmarkEnd w:id="253"/>
    <w:p>
      <w:pPr>
        <w:spacing w:line="588" w:lineRule="exact"/>
        <w:rPr>
          <w:rFonts w:ascii="宋体" w:hAnsi="宋体" w:cs="宋体"/>
          <w:b/>
          <w:color w:val="000000"/>
          <w:spacing w:val="6"/>
          <w:sz w:val="30"/>
          <w:szCs w:val="30"/>
        </w:rPr>
      </w:pPr>
    </w:p>
    <w:p>
      <w:pPr>
        <w:spacing w:line="360" w:lineRule="auto"/>
        <w:ind w:firstLine="504" w:firstLineChars="200"/>
        <w:contextualSpacing/>
        <w:rPr>
          <w:rFonts w:ascii="宋体" w:hAnsi="宋体" w:cs="宋体"/>
          <w:color w:val="000000"/>
          <w:spacing w:val="6"/>
          <w:sz w:val="24"/>
        </w:rPr>
      </w:pPr>
      <w:r>
        <w:rPr>
          <w:rFonts w:hint="eastAsia" w:ascii="宋体" w:hAnsi="宋体" w:cs="宋体"/>
          <w:color w:val="000000"/>
          <w:spacing w:val="6"/>
          <w:sz w:val="24"/>
        </w:rPr>
        <w:t>本单位郑重声明，根据《财政部 民政部 中国残疾人联合会关于促进残疾人就业政府采购政策的通知》（财库</w:t>
      </w:r>
      <w:r>
        <w:rPr>
          <w:rFonts w:hint="eastAsia" w:ascii="宋体" w:hAnsi="宋体" w:cs="宋体"/>
          <w:color w:val="000000"/>
          <w:sz w:val="24"/>
        </w:rPr>
        <w:t>〔2017〕 141</w:t>
      </w:r>
      <w:r>
        <w:rPr>
          <w:rFonts w:hint="eastAsia" w:ascii="宋体" w:hAnsi="宋体" w:cs="宋体"/>
          <w:color w:val="000000"/>
          <w:spacing w:val="6"/>
          <w:sz w:val="24"/>
        </w:rPr>
        <w:t>号）的规定，本单位为符合条件的残疾人福利性单位，且本单位参加______单位的______项目采购活动提供本单位制造的货物（由本单位承担工程/提供服务），或者提供其他残</w:t>
      </w:r>
      <w:r>
        <w:rPr>
          <w:rFonts w:hint="eastAsia" w:ascii="宋体" w:hAnsi="宋体" w:cs="宋体"/>
          <w:color w:val="000000"/>
          <w:spacing w:val="-6"/>
          <w:sz w:val="24"/>
        </w:rPr>
        <w:t>疾人福利性单位制造的货物（不包括使用非残疾人福利性单位注册商标的货物）。</w:t>
      </w:r>
    </w:p>
    <w:p>
      <w:pPr>
        <w:spacing w:line="360" w:lineRule="auto"/>
        <w:ind w:firstLine="504" w:firstLineChars="200"/>
        <w:contextualSpacing/>
        <w:rPr>
          <w:rFonts w:ascii="宋体" w:hAnsi="宋体" w:cs="宋体"/>
          <w:color w:val="000000"/>
          <w:spacing w:val="6"/>
          <w:sz w:val="24"/>
        </w:rPr>
      </w:pPr>
      <w:r>
        <w:rPr>
          <w:rFonts w:hint="eastAsia" w:ascii="宋体" w:hAnsi="宋体" w:cs="宋体"/>
          <w:color w:val="000000"/>
          <w:spacing w:val="6"/>
          <w:sz w:val="24"/>
        </w:rPr>
        <w:t>本单位对上述声明的真实性负责。如有虚假，将依法承担相应责任。</w:t>
      </w:r>
    </w:p>
    <w:p>
      <w:pPr>
        <w:spacing w:line="360" w:lineRule="auto"/>
        <w:ind w:firstLine="504" w:firstLineChars="200"/>
        <w:contextualSpacing/>
        <w:rPr>
          <w:rFonts w:ascii="宋体" w:hAnsi="宋体" w:cs="宋体"/>
          <w:color w:val="000000"/>
          <w:spacing w:val="6"/>
          <w:sz w:val="24"/>
        </w:rPr>
      </w:pPr>
    </w:p>
    <w:p>
      <w:pPr>
        <w:spacing w:line="360" w:lineRule="auto"/>
        <w:ind w:firstLine="504" w:firstLineChars="200"/>
        <w:contextualSpacing/>
        <w:rPr>
          <w:rFonts w:ascii="宋体" w:hAnsi="宋体" w:cs="宋体"/>
          <w:color w:val="000000"/>
          <w:spacing w:val="6"/>
          <w:sz w:val="24"/>
        </w:rPr>
      </w:pPr>
    </w:p>
    <w:p>
      <w:pPr>
        <w:tabs>
          <w:tab w:val="left" w:pos="4860"/>
        </w:tabs>
        <w:spacing w:line="360" w:lineRule="auto"/>
        <w:ind w:right="1560" w:firstLine="504" w:firstLineChars="200"/>
        <w:contextualSpacing/>
        <w:jc w:val="center"/>
        <w:rPr>
          <w:rFonts w:ascii="宋体" w:hAnsi="宋体" w:cs="宋体"/>
          <w:color w:val="000000"/>
          <w:spacing w:val="6"/>
          <w:sz w:val="24"/>
        </w:rPr>
      </w:pPr>
      <w:r>
        <w:rPr>
          <w:rFonts w:hint="eastAsia" w:ascii="宋体" w:hAnsi="宋体" w:cs="宋体"/>
          <w:color w:val="000000"/>
          <w:spacing w:val="6"/>
          <w:sz w:val="24"/>
        </w:rPr>
        <w:t>单位名称（电子签章）：</w:t>
      </w:r>
    </w:p>
    <w:p>
      <w:pPr>
        <w:tabs>
          <w:tab w:val="left" w:pos="4860"/>
        </w:tabs>
        <w:spacing w:line="360" w:lineRule="auto"/>
        <w:ind w:right="1560" w:firstLine="504" w:firstLineChars="200"/>
        <w:contextualSpacing/>
        <w:jc w:val="center"/>
        <w:rPr>
          <w:rFonts w:ascii="宋体" w:hAnsi="宋体" w:cs="宋体"/>
          <w:color w:val="000000"/>
          <w:spacing w:val="6"/>
          <w:sz w:val="24"/>
        </w:rPr>
      </w:pPr>
      <w:r>
        <w:rPr>
          <w:rFonts w:hint="eastAsia" w:ascii="宋体" w:hAnsi="宋体" w:cs="宋体"/>
          <w:color w:val="000000"/>
          <w:spacing w:val="6"/>
          <w:sz w:val="24"/>
        </w:rPr>
        <w:t>日  期：</w:t>
      </w:r>
    </w:p>
    <w:p>
      <w:pPr>
        <w:spacing w:line="360" w:lineRule="auto"/>
        <w:contextualSpacing/>
        <w:rPr>
          <w:rFonts w:ascii="宋体" w:hAnsi="宋体" w:cs="宋体"/>
          <w:color w:val="000000"/>
          <w:sz w:val="24"/>
        </w:rPr>
      </w:pPr>
    </w:p>
    <w:p>
      <w:pPr>
        <w:spacing w:line="360" w:lineRule="auto"/>
        <w:contextualSpacing/>
        <w:rPr>
          <w:rFonts w:ascii="宋体" w:hAnsi="宋体" w:cs="宋体"/>
          <w:color w:val="000000"/>
          <w:sz w:val="24"/>
        </w:rPr>
      </w:pPr>
    </w:p>
    <w:p>
      <w:pPr>
        <w:spacing w:line="360" w:lineRule="auto"/>
        <w:contextualSpacing/>
        <w:rPr>
          <w:rFonts w:ascii="宋体" w:hAnsi="宋体" w:cs="宋体"/>
          <w:color w:val="000000"/>
          <w:sz w:val="24"/>
        </w:rPr>
      </w:pPr>
    </w:p>
    <w:p>
      <w:pPr>
        <w:spacing w:line="360" w:lineRule="auto"/>
        <w:contextualSpacing/>
        <w:rPr>
          <w:rFonts w:ascii="宋体" w:hAnsi="宋体" w:cs="宋体"/>
          <w:color w:val="000000"/>
          <w:sz w:val="24"/>
        </w:rPr>
      </w:pPr>
      <w:r>
        <w:rPr>
          <w:rFonts w:hint="eastAsia" w:ascii="宋体" w:hAnsi="宋体" w:cs="宋体"/>
          <w:color w:val="000000"/>
          <w:sz w:val="24"/>
        </w:rPr>
        <w:t>注：请根据自己的真实情况出具《残疾人福利性单位声明函》。依法享受中小企业优惠政策的，采购人或者采购代理机构在公告中标结果时，同时公告其《残疾人福利性单位声明函》，接受社会监督。</w:t>
      </w:r>
    </w:p>
    <w:p>
      <w:pPr>
        <w:spacing w:line="360" w:lineRule="auto"/>
        <w:jc w:val="left"/>
        <w:rPr>
          <w:rFonts w:ascii="宋体" w:hAnsi="宋体" w:cs="宋体"/>
          <w:b/>
          <w:bCs/>
          <w:color w:val="000000"/>
          <w:sz w:val="32"/>
          <w:szCs w:val="32"/>
        </w:rPr>
      </w:pPr>
      <w:r>
        <w:rPr>
          <w:rFonts w:hint="eastAsia" w:ascii="宋体" w:hAnsi="宋体" w:cs="宋体"/>
          <w:color w:val="000000"/>
          <w:sz w:val="24"/>
        </w:rPr>
        <w:br w:type="page"/>
      </w:r>
      <w:r>
        <w:rPr>
          <w:rFonts w:hint="eastAsia" w:ascii="宋体" w:hAnsi="宋体" w:cs="宋体"/>
          <w:b/>
          <w:color w:val="000000"/>
          <w:sz w:val="24"/>
        </w:rPr>
        <w:t>3.质疑函（格式）</w:t>
      </w:r>
    </w:p>
    <w:p>
      <w:pPr>
        <w:spacing w:line="360" w:lineRule="auto"/>
        <w:jc w:val="center"/>
        <w:rPr>
          <w:rFonts w:ascii="宋体" w:hAnsi="宋体" w:cs="宋体"/>
          <w:color w:val="000000"/>
          <w:sz w:val="44"/>
          <w:szCs w:val="44"/>
        </w:rPr>
      </w:pPr>
      <w:r>
        <w:rPr>
          <w:rFonts w:hint="eastAsia" w:ascii="宋体" w:hAnsi="宋体" w:cs="宋体"/>
          <w:color w:val="000000"/>
          <w:sz w:val="44"/>
          <w:szCs w:val="44"/>
        </w:rPr>
        <w:t>质疑函（格式）</w:t>
      </w:r>
    </w:p>
    <w:p>
      <w:pPr>
        <w:pStyle w:val="24"/>
        <w:snapToGrid w:val="0"/>
        <w:spacing w:line="360" w:lineRule="auto"/>
        <w:ind w:firstLine="482" w:firstLineChars="200"/>
        <w:rPr>
          <w:rFonts w:hAnsi="宋体" w:cs="宋体"/>
          <w:b/>
          <w:bCs/>
          <w:color w:val="000000"/>
          <w:sz w:val="24"/>
          <w:szCs w:val="24"/>
        </w:rPr>
      </w:pPr>
      <w:r>
        <w:rPr>
          <w:rFonts w:hint="eastAsia" w:hAnsi="宋体" w:cs="宋体"/>
          <w:b/>
          <w:bCs/>
          <w:color w:val="000000"/>
          <w:sz w:val="24"/>
          <w:szCs w:val="24"/>
        </w:rPr>
        <w:t>一、质疑供应商基本信息：</w:t>
      </w:r>
    </w:p>
    <w:p>
      <w:pPr>
        <w:pStyle w:val="24"/>
        <w:snapToGrid w:val="0"/>
        <w:spacing w:line="360" w:lineRule="auto"/>
        <w:ind w:firstLine="480" w:firstLineChars="200"/>
        <w:rPr>
          <w:rFonts w:hAnsi="宋体" w:cs="宋体"/>
          <w:bCs/>
          <w:color w:val="000000"/>
          <w:sz w:val="24"/>
          <w:szCs w:val="24"/>
          <w:u w:val="single"/>
        </w:rPr>
      </w:pPr>
      <w:r>
        <w:rPr>
          <w:rFonts w:hint="eastAsia" w:hAnsi="宋体" w:cs="宋体"/>
          <w:bCs/>
          <w:color w:val="000000"/>
          <w:sz w:val="24"/>
          <w:szCs w:val="24"/>
        </w:rPr>
        <w:t>质疑供应商：</w:t>
      </w:r>
    </w:p>
    <w:p>
      <w:pPr>
        <w:pStyle w:val="24"/>
        <w:snapToGrid w:val="0"/>
        <w:spacing w:line="360" w:lineRule="auto"/>
        <w:ind w:firstLine="480" w:firstLineChars="200"/>
        <w:rPr>
          <w:rFonts w:hAnsi="宋体" w:cs="宋体"/>
          <w:bCs/>
          <w:color w:val="000000"/>
          <w:sz w:val="24"/>
          <w:szCs w:val="24"/>
        </w:rPr>
      </w:pPr>
      <w:r>
        <w:rPr>
          <w:rFonts w:hint="eastAsia" w:hAnsi="宋体" w:cs="宋体"/>
          <w:bCs/>
          <w:color w:val="000000"/>
          <w:sz w:val="24"/>
          <w:szCs w:val="24"/>
        </w:rPr>
        <w:t>地址：邮编：</w:t>
      </w:r>
    </w:p>
    <w:p>
      <w:pPr>
        <w:pStyle w:val="24"/>
        <w:snapToGrid w:val="0"/>
        <w:spacing w:line="360" w:lineRule="auto"/>
        <w:ind w:firstLine="480" w:firstLineChars="200"/>
        <w:rPr>
          <w:rFonts w:hAnsi="宋体" w:cs="宋体"/>
          <w:bCs/>
          <w:color w:val="000000"/>
          <w:sz w:val="24"/>
          <w:szCs w:val="24"/>
        </w:rPr>
      </w:pPr>
      <w:r>
        <w:rPr>
          <w:rFonts w:hint="eastAsia" w:hAnsi="宋体" w:cs="宋体"/>
          <w:bCs/>
          <w:color w:val="000000"/>
          <w:sz w:val="24"/>
          <w:szCs w:val="24"/>
        </w:rPr>
        <w:t>联系人：联系电话：</w:t>
      </w:r>
    </w:p>
    <w:p>
      <w:pPr>
        <w:pStyle w:val="24"/>
        <w:snapToGrid w:val="0"/>
        <w:spacing w:line="360" w:lineRule="auto"/>
        <w:ind w:firstLine="480" w:firstLineChars="200"/>
        <w:rPr>
          <w:rFonts w:hAnsi="宋体" w:cs="宋体"/>
          <w:bCs/>
          <w:color w:val="000000"/>
          <w:sz w:val="24"/>
          <w:szCs w:val="24"/>
        </w:rPr>
      </w:pPr>
      <w:r>
        <w:rPr>
          <w:rFonts w:hint="eastAsia" w:hAnsi="宋体" w:cs="宋体"/>
          <w:bCs/>
          <w:color w:val="000000"/>
          <w:sz w:val="24"/>
          <w:szCs w:val="24"/>
        </w:rPr>
        <w:t>授权代表：</w:t>
      </w:r>
    </w:p>
    <w:p>
      <w:pPr>
        <w:pStyle w:val="24"/>
        <w:snapToGrid w:val="0"/>
        <w:spacing w:line="360" w:lineRule="auto"/>
        <w:ind w:firstLine="480" w:firstLineChars="200"/>
        <w:rPr>
          <w:rFonts w:hAnsi="宋体" w:cs="宋体"/>
          <w:bCs/>
          <w:color w:val="000000"/>
          <w:sz w:val="24"/>
          <w:szCs w:val="24"/>
          <w:u w:val="single"/>
        </w:rPr>
      </w:pPr>
      <w:r>
        <w:rPr>
          <w:rFonts w:hint="eastAsia" w:hAnsi="宋体" w:cs="宋体"/>
          <w:bCs/>
          <w:color w:val="000000"/>
          <w:sz w:val="24"/>
          <w:szCs w:val="24"/>
        </w:rPr>
        <w:t>联系电话：</w:t>
      </w:r>
    </w:p>
    <w:p>
      <w:pPr>
        <w:pStyle w:val="24"/>
        <w:snapToGrid w:val="0"/>
        <w:spacing w:line="360" w:lineRule="auto"/>
        <w:ind w:firstLine="480" w:firstLineChars="200"/>
        <w:rPr>
          <w:rFonts w:hAnsi="宋体" w:cs="宋体"/>
          <w:bCs/>
          <w:color w:val="000000"/>
          <w:sz w:val="24"/>
          <w:szCs w:val="24"/>
        </w:rPr>
      </w:pPr>
      <w:r>
        <w:rPr>
          <w:rFonts w:hint="eastAsia" w:hAnsi="宋体" w:cs="宋体"/>
          <w:bCs/>
          <w:color w:val="000000"/>
          <w:sz w:val="24"/>
          <w:szCs w:val="24"/>
        </w:rPr>
        <w:t>地址：邮编：</w:t>
      </w:r>
    </w:p>
    <w:p>
      <w:pPr>
        <w:pStyle w:val="24"/>
        <w:snapToGrid w:val="0"/>
        <w:spacing w:line="360" w:lineRule="auto"/>
        <w:ind w:firstLine="482" w:firstLineChars="200"/>
        <w:rPr>
          <w:rFonts w:hAnsi="宋体" w:cs="宋体"/>
          <w:b/>
          <w:bCs/>
          <w:color w:val="000000"/>
          <w:sz w:val="24"/>
          <w:szCs w:val="24"/>
        </w:rPr>
      </w:pPr>
      <w:r>
        <w:rPr>
          <w:rFonts w:hint="eastAsia" w:hAnsi="宋体" w:cs="宋体"/>
          <w:b/>
          <w:bCs/>
          <w:color w:val="000000"/>
          <w:sz w:val="24"/>
          <w:szCs w:val="24"/>
        </w:rPr>
        <w:t>二、质疑项目基本情况：</w:t>
      </w:r>
    </w:p>
    <w:p>
      <w:pPr>
        <w:pStyle w:val="24"/>
        <w:spacing w:line="360" w:lineRule="auto"/>
        <w:ind w:left="25" w:leftChars="12" w:firstLine="472" w:firstLineChars="197"/>
        <w:rPr>
          <w:rFonts w:hAnsi="宋体" w:cs="宋体"/>
          <w:color w:val="000000"/>
          <w:sz w:val="24"/>
          <w:szCs w:val="24"/>
        </w:rPr>
      </w:pPr>
      <w:r>
        <w:rPr>
          <w:rFonts w:hint="eastAsia" w:hAnsi="宋体" w:cs="宋体"/>
          <w:bCs/>
          <w:color w:val="000000"/>
          <w:sz w:val="24"/>
          <w:szCs w:val="24"/>
        </w:rPr>
        <w:t>质疑</w:t>
      </w:r>
      <w:r>
        <w:rPr>
          <w:rFonts w:hint="eastAsia" w:hAnsi="宋体" w:cs="宋体"/>
          <w:color w:val="000000"/>
          <w:sz w:val="24"/>
          <w:szCs w:val="24"/>
        </w:rPr>
        <w:t>项目的名称：</w:t>
      </w:r>
    </w:p>
    <w:p>
      <w:pPr>
        <w:pStyle w:val="24"/>
        <w:spacing w:line="360" w:lineRule="auto"/>
        <w:ind w:left="25" w:leftChars="12" w:firstLine="472" w:firstLineChars="197"/>
        <w:rPr>
          <w:rFonts w:hAnsi="宋体" w:cs="宋体"/>
          <w:color w:val="000000"/>
          <w:sz w:val="24"/>
          <w:szCs w:val="24"/>
        </w:rPr>
      </w:pPr>
      <w:r>
        <w:rPr>
          <w:rFonts w:hint="eastAsia" w:hAnsi="宋体" w:cs="宋体"/>
          <w:bCs/>
          <w:color w:val="000000"/>
          <w:sz w:val="24"/>
          <w:szCs w:val="24"/>
        </w:rPr>
        <w:t>质疑</w:t>
      </w:r>
      <w:r>
        <w:rPr>
          <w:rFonts w:hint="eastAsia" w:hAnsi="宋体" w:cs="宋体"/>
          <w:color w:val="000000"/>
          <w:sz w:val="24"/>
          <w:szCs w:val="24"/>
        </w:rPr>
        <w:t>项目的编号：</w:t>
      </w:r>
    </w:p>
    <w:p>
      <w:pPr>
        <w:pStyle w:val="24"/>
        <w:spacing w:line="360" w:lineRule="auto"/>
        <w:ind w:left="25" w:leftChars="12" w:firstLine="472" w:firstLineChars="197"/>
        <w:rPr>
          <w:rFonts w:hAnsi="宋体" w:cs="宋体"/>
          <w:color w:val="000000"/>
          <w:sz w:val="24"/>
          <w:szCs w:val="24"/>
        </w:rPr>
      </w:pPr>
      <w:r>
        <w:rPr>
          <w:rFonts w:hint="eastAsia" w:hAnsi="宋体" w:cs="宋体"/>
          <w:color w:val="000000"/>
          <w:sz w:val="24"/>
          <w:szCs w:val="24"/>
        </w:rPr>
        <w:t>采购人名称：</w:t>
      </w:r>
    </w:p>
    <w:p>
      <w:pPr>
        <w:pStyle w:val="24"/>
        <w:spacing w:line="360" w:lineRule="auto"/>
        <w:ind w:left="25" w:leftChars="12" w:firstLine="472" w:firstLineChars="197"/>
        <w:rPr>
          <w:rFonts w:hAnsi="宋体" w:cs="宋体"/>
          <w:color w:val="000000"/>
          <w:sz w:val="24"/>
          <w:szCs w:val="24"/>
        </w:rPr>
      </w:pPr>
      <w:r>
        <w:rPr>
          <w:rFonts w:hint="eastAsia" w:hAnsi="宋体" w:cs="宋体"/>
          <w:color w:val="000000"/>
          <w:sz w:val="24"/>
          <w:szCs w:val="24"/>
        </w:rPr>
        <w:t>质疑事项：</w:t>
      </w:r>
    </w:p>
    <w:p>
      <w:pPr>
        <w:pStyle w:val="24"/>
        <w:spacing w:line="360" w:lineRule="auto"/>
        <w:ind w:left="25" w:leftChars="12" w:firstLine="352" w:firstLineChars="147"/>
        <w:rPr>
          <w:rFonts w:hAnsi="宋体" w:cs="宋体"/>
          <w:color w:val="000000"/>
          <w:sz w:val="24"/>
          <w:szCs w:val="24"/>
        </w:rPr>
      </w:pPr>
      <w:r>
        <w:rPr>
          <w:rFonts w:hint="eastAsia" w:hAnsi="宋体" w:cs="宋体"/>
          <w:color w:val="000000"/>
          <w:sz w:val="24"/>
          <w:szCs w:val="24"/>
        </w:rPr>
        <w:t>□采购文件   采购文件获取日期：</w:t>
      </w:r>
    </w:p>
    <w:p>
      <w:pPr>
        <w:pStyle w:val="24"/>
        <w:spacing w:line="360" w:lineRule="auto"/>
        <w:ind w:left="25" w:leftChars="12" w:firstLine="352" w:firstLineChars="147"/>
        <w:rPr>
          <w:rFonts w:hAnsi="宋体" w:cs="宋体"/>
          <w:color w:val="000000"/>
          <w:sz w:val="24"/>
          <w:szCs w:val="24"/>
        </w:rPr>
      </w:pPr>
      <w:r>
        <w:rPr>
          <w:rFonts w:hint="eastAsia" w:hAnsi="宋体" w:cs="宋体"/>
          <w:color w:val="000000"/>
          <w:sz w:val="24"/>
          <w:szCs w:val="24"/>
        </w:rPr>
        <w:t xml:space="preserve">□采购过程   </w:t>
      </w:r>
    </w:p>
    <w:p>
      <w:pPr>
        <w:pStyle w:val="24"/>
        <w:spacing w:line="360" w:lineRule="auto"/>
        <w:ind w:left="25" w:leftChars="12" w:firstLine="352" w:firstLineChars="147"/>
        <w:rPr>
          <w:rFonts w:hAnsi="宋体" w:cs="宋体"/>
          <w:bCs/>
          <w:color w:val="000000"/>
          <w:sz w:val="24"/>
          <w:szCs w:val="24"/>
          <w:u w:val="single"/>
        </w:rPr>
      </w:pPr>
      <w:r>
        <w:rPr>
          <w:rFonts w:hint="eastAsia" w:hAnsi="宋体" w:cs="宋体"/>
          <w:color w:val="000000"/>
          <w:sz w:val="24"/>
          <w:szCs w:val="24"/>
        </w:rPr>
        <w:t xml:space="preserve">□采购结果   </w:t>
      </w:r>
    </w:p>
    <w:p>
      <w:pPr>
        <w:pStyle w:val="24"/>
        <w:spacing w:line="360" w:lineRule="auto"/>
        <w:ind w:left="25" w:leftChars="12" w:firstLine="472" w:firstLineChars="196"/>
        <w:rPr>
          <w:rFonts w:hAnsi="宋体" w:cs="宋体"/>
          <w:b/>
          <w:color w:val="000000"/>
          <w:sz w:val="24"/>
          <w:szCs w:val="24"/>
        </w:rPr>
      </w:pPr>
      <w:r>
        <w:rPr>
          <w:rFonts w:hint="eastAsia" w:hAnsi="宋体" w:cs="宋体"/>
          <w:b/>
          <w:color w:val="000000"/>
          <w:sz w:val="24"/>
          <w:szCs w:val="24"/>
        </w:rPr>
        <w:t>三、质疑事项具体内容</w:t>
      </w:r>
    </w:p>
    <w:p>
      <w:pPr>
        <w:pStyle w:val="24"/>
        <w:spacing w:line="360" w:lineRule="auto"/>
        <w:ind w:left="25" w:leftChars="12" w:firstLine="472" w:firstLineChars="197"/>
        <w:rPr>
          <w:rFonts w:hAnsi="宋体" w:cs="宋体"/>
          <w:color w:val="000000"/>
          <w:sz w:val="24"/>
          <w:szCs w:val="24"/>
        </w:rPr>
      </w:pPr>
      <w:r>
        <w:rPr>
          <w:rFonts w:hint="eastAsia" w:hAnsi="宋体" w:cs="宋体"/>
          <w:color w:val="000000"/>
          <w:sz w:val="24"/>
          <w:szCs w:val="24"/>
        </w:rPr>
        <w:t>质疑事项1：</w:t>
      </w:r>
    </w:p>
    <w:p>
      <w:pPr>
        <w:pStyle w:val="24"/>
        <w:spacing w:line="360" w:lineRule="auto"/>
        <w:ind w:left="25" w:leftChars="12" w:firstLine="472" w:firstLineChars="197"/>
        <w:rPr>
          <w:rFonts w:hAnsi="宋体" w:cs="宋体"/>
          <w:color w:val="000000"/>
          <w:sz w:val="24"/>
          <w:szCs w:val="24"/>
        </w:rPr>
      </w:pPr>
      <w:r>
        <w:rPr>
          <w:rFonts w:hint="eastAsia" w:hAnsi="宋体" w:cs="宋体"/>
          <w:color w:val="000000"/>
          <w:sz w:val="24"/>
          <w:szCs w:val="24"/>
        </w:rPr>
        <w:t>事实依据：</w:t>
      </w:r>
    </w:p>
    <w:p>
      <w:pPr>
        <w:pStyle w:val="24"/>
        <w:spacing w:line="360" w:lineRule="auto"/>
        <w:ind w:left="25" w:leftChars="12" w:firstLine="472" w:firstLineChars="197"/>
        <w:rPr>
          <w:rFonts w:hAnsi="宋体" w:cs="宋体"/>
          <w:color w:val="000000"/>
          <w:sz w:val="24"/>
          <w:szCs w:val="24"/>
        </w:rPr>
      </w:pPr>
      <w:r>
        <w:rPr>
          <w:rFonts w:hint="eastAsia" w:hAnsi="宋体" w:cs="宋体"/>
          <w:color w:val="000000"/>
          <w:sz w:val="24"/>
          <w:szCs w:val="24"/>
        </w:rPr>
        <w:t>法律依据：</w:t>
      </w:r>
    </w:p>
    <w:p>
      <w:pPr>
        <w:pStyle w:val="24"/>
        <w:spacing w:line="360" w:lineRule="auto"/>
        <w:ind w:left="25" w:leftChars="12" w:firstLine="472" w:firstLineChars="197"/>
        <w:rPr>
          <w:rFonts w:hAnsi="宋体" w:cs="宋体"/>
          <w:color w:val="000000"/>
          <w:sz w:val="24"/>
          <w:szCs w:val="24"/>
        </w:rPr>
      </w:pPr>
      <w:r>
        <w:rPr>
          <w:rFonts w:hint="eastAsia" w:hAnsi="宋体" w:cs="宋体"/>
          <w:color w:val="000000"/>
          <w:sz w:val="24"/>
          <w:szCs w:val="24"/>
        </w:rPr>
        <w:t>质疑事项2</w:t>
      </w:r>
    </w:p>
    <w:p>
      <w:pPr>
        <w:pStyle w:val="24"/>
        <w:spacing w:line="360" w:lineRule="auto"/>
        <w:ind w:left="25" w:leftChars="12" w:firstLine="472" w:firstLineChars="197"/>
        <w:rPr>
          <w:rFonts w:hAnsi="宋体" w:cs="宋体"/>
          <w:color w:val="000000"/>
          <w:sz w:val="24"/>
          <w:szCs w:val="24"/>
        </w:rPr>
      </w:pPr>
      <w:r>
        <w:rPr>
          <w:rFonts w:hint="eastAsia" w:hAnsi="宋体" w:cs="宋体"/>
          <w:color w:val="000000"/>
          <w:sz w:val="24"/>
          <w:szCs w:val="24"/>
        </w:rPr>
        <w:t>……</w:t>
      </w:r>
    </w:p>
    <w:p>
      <w:pPr>
        <w:pStyle w:val="24"/>
        <w:spacing w:line="360" w:lineRule="auto"/>
        <w:ind w:left="25" w:leftChars="12" w:firstLine="472" w:firstLineChars="197"/>
        <w:rPr>
          <w:rFonts w:hAnsi="宋体" w:cs="宋体"/>
          <w:color w:val="000000"/>
          <w:sz w:val="24"/>
          <w:szCs w:val="24"/>
        </w:rPr>
      </w:pPr>
      <w:r>
        <w:rPr>
          <w:rFonts w:hint="eastAsia" w:hAnsi="宋体" w:cs="宋体"/>
          <w:color w:val="000000"/>
          <w:sz w:val="24"/>
          <w:szCs w:val="24"/>
        </w:rPr>
        <w:t>四、与质疑事项相关的质疑请求：</w:t>
      </w:r>
    </w:p>
    <w:p>
      <w:pPr>
        <w:pStyle w:val="24"/>
        <w:spacing w:line="360" w:lineRule="auto"/>
        <w:ind w:left="25" w:leftChars="12" w:firstLine="472" w:firstLineChars="197"/>
        <w:rPr>
          <w:rFonts w:hAnsi="宋体" w:cs="宋体"/>
          <w:color w:val="000000"/>
          <w:sz w:val="24"/>
          <w:szCs w:val="24"/>
        </w:rPr>
      </w:pPr>
      <w:r>
        <w:rPr>
          <w:rFonts w:hint="eastAsia" w:hAnsi="宋体" w:cs="宋体"/>
          <w:color w:val="000000"/>
          <w:sz w:val="24"/>
          <w:szCs w:val="24"/>
        </w:rPr>
        <w:t>请求：</w:t>
      </w:r>
    </w:p>
    <w:p>
      <w:pPr>
        <w:pStyle w:val="24"/>
        <w:spacing w:line="360" w:lineRule="auto"/>
        <w:ind w:left="25" w:leftChars="12" w:firstLine="352" w:firstLineChars="147"/>
        <w:rPr>
          <w:rFonts w:hAnsi="宋体" w:cs="宋体"/>
          <w:color w:val="000000"/>
          <w:sz w:val="24"/>
          <w:szCs w:val="24"/>
        </w:rPr>
      </w:pPr>
    </w:p>
    <w:p>
      <w:pPr>
        <w:pStyle w:val="24"/>
        <w:spacing w:line="360" w:lineRule="auto"/>
        <w:ind w:left="25" w:leftChars="12" w:firstLine="472" w:firstLineChars="197"/>
        <w:rPr>
          <w:rFonts w:hAnsi="宋体" w:cs="宋体"/>
          <w:color w:val="000000"/>
          <w:sz w:val="24"/>
          <w:szCs w:val="24"/>
        </w:rPr>
      </w:pPr>
      <w:r>
        <w:rPr>
          <w:rFonts w:hint="eastAsia" w:hAnsi="宋体" w:cs="宋体"/>
          <w:color w:val="000000"/>
          <w:sz w:val="24"/>
          <w:szCs w:val="24"/>
        </w:rPr>
        <w:t>签字（签章）：                                       公章：</w:t>
      </w:r>
    </w:p>
    <w:p>
      <w:pPr>
        <w:pStyle w:val="24"/>
        <w:spacing w:line="360" w:lineRule="auto"/>
        <w:ind w:left="25" w:leftChars="12" w:firstLine="352" w:firstLineChars="147"/>
        <w:rPr>
          <w:rFonts w:hAnsi="宋体" w:cs="宋体"/>
          <w:color w:val="000000"/>
          <w:sz w:val="24"/>
          <w:szCs w:val="24"/>
        </w:rPr>
      </w:pPr>
    </w:p>
    <w:p>
      <w:pPr>
        <w:pStyle w:val="24"/>
        <w:spacing w:line="360" w:lineRule="auto"/>
        <w:ind w:left="25" w:leftChars="12" w:firstLine="472" w:firstLineChars="197"/>
        <w:rPr>
          <w:rFonts w:hAnsi="宋体" w:cs="宋体"/>
          <w:color w:val="000000"/>
          <w:sz w:val="24"/>
          <w:szCs w:val="24"/>
        </w:rPr>
      </w:pPr>
      <w:r>
        <w:rPr>
          <w:rFonts w:hint="eastAsia" w:hAnsi="宋体" w:cs="宋体"/>
          <w:color w:val="000000"/>
          <w:sz w:val="24"/>
          <w:szCs w:val="24"/>
        </w:rPr>
        <w:t>日期：</w:t>
      </w:r>
    </w:p>
    <w:p>
      <w:pPr>
        <w:pStyle w:val="24"/>
        <w:snapToGrid w:val="0"/>
        <w:spacing w:line="360" w:lineRule="auto"/>
        <w:rPr>
          <w:rFonts w:hAnsi="宋体" w:cs="宋体"/>
          <w:b/>
          <w:color w:val="000000"/>
          <w:sz w:val="24"/>
          <w:szCs w:val="24"/>
        </w:rPr>
      </w:pPr>
    </w:p>
    <w:p>
      <w:pPr>
        <w:pStyle w:val="24"/>
        <w:snapToGrid w:val="0"/>
        <w:spacing w:line="360" w:lineRule="auto"/>
        <w:rPr>
          <w:rFonts w:hAnsi="宋体" w:cs="宋体"/>
          <w:b/>
          <w:color w:val="000000"/>
          <w:sz w:val="24"/>
          <w:szCs w:val="24"/>
        </w:rPr>
      </w:pPr>
      <w:r>
        <w:rPr>
          <w:rFonts w:hint="eastAsia" w:hAnsi="宋体" w:cs="宋体"/>
          <w:b/>
          <w:color w:val="000000"/>
          <w:sz w:val="24"/>
          <w:szCs w:val="24"/>
        </w:rPr>
        <w:t>说明：</w:t>
      </w:r>
    </w:p>
    <w:p>
      <w:pPr>
        <w:pStyle w:val="24"/>
        <w:spacing w:line="360" w:lineRule="auto"/>
        <w:ind w:left="25" w:leftChars="12" w:firstLine="354" w:firstLineChars="147"/>
        <w:rPr>
          <w:rFonts w:hAnsi="宋体" w:cs="宋体"/>
          <w:b/>
          <w:bCs/>
          <w:color w:val="000000"/>
          <w:sz w:val="24"/>
          <w:szCs w:val="24"/>
        </w:rPr>
      </w:pPr>
      <w:r>
        <w:rPr>
          <w:rFonts w:hint="eastAsia" w:hAnsi="宋体" w:cs="宋体"/>
          <w:b/>
          <w:color w:val="000000"/>
          <w:sz w:val="24"/>
          <w:szCs w:val="24"/>
        </w:rPr>
        <w:t>1.供应商提出质疑时，应提交质疑函和必要的证明材料</w:t>
      </w:r>
      <w:r>
        <w:rPr>
          <w:rFonts w:hint="eastAsia" w:hAnsi="宋体" w:cs="宋体"/>
          <w:b/>
          <w:bCs/>
          <w:color w:val="000000"/>
          <w:sz w:val="24"/>
          <w:szCs w:val="24"/>
        </w:rPr>
        <w:t>。</w:t>
      </w:r>
    </w:p>
    <w:p>
      <w:pPr>
        <w:pStyle w:val="24"/>
        <w:spacing w:line="360" w:lineRule="auto"/>
        <w:ind w:left="25" w:leftChars="12" w:firstLine="354" w:firstLineChars="147"/>
        <w:rPr>
          <w:rFonts w:hAnsi="宋体" w:cs="宋体"/>
          <w:b/>
          <w:color w:val="000000"/>
          <w:sz w:val="24"/>
          <w:szCs w:val="24"/>
        </w:rPr>
      </w:pPr>
      <w:r>
        <w:rPr>
          <w:rFonts w:hint="eastAsia" w:hAnsi="宋体" w:cs="宋体"/>
          <w:b/>
          <w:color w:val="000000"/>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24"/>
        <w:spacing w:line="360" w:lineRule="auto"/>
        <w:ind w:left="25" w:leftChars="12" w:firstLine="354" w:firstLineChars="147"/>
        <w:rPr>
          <w:rFonts w:hAnsi="宋体" w:cs="宋体"/>
          <w:b/>
          <w:color w:val="000000"/>
          <w:sz w:val="24"/>
          <w:szCs w:val="24"/>
        </w:rPr>
      </w:pPr>
      <w:r>
        <w:rPr>
          <w:rFonts w:hint="eastAsia" w:hAnsi="宋体" w:cs="宋体"/>
          <w:b/>
          <w:color w:val="000000"/>
          <w:sz w:val="24"/>
          <w:szCs w:val="24"/>
        </w:rPr>
        <w:t>3.质疑函的质疑事项应具体、明确，并有必要的事实依据和法律依据。</w:t>
      </w:r>
    </w:p>
    <w:p>
      <w:pPr>
        <w:pStyle w:val="24"/>
        <w:spacing w:line="360" w:lineRule="auto"/>
        <w:ind w:left="25" w:leftChars="12" w:firstLine="354" w:firstLineChars="147"/>
        <w:rPr>
          <w:rFonts w:hAnsi="宋体" w:cs="宋体"/>
          <w:b/>
          <w:color w:val="000000"/>
          <w:sz w:val="24"/>
          <w:szCs w:val="24"/>
        </w:rPr>
      </w:pPr>
      <w:r>
        <w:rPr>
          <w:rFonts w:hint="eastAsia" w:hAnsi="宋体" w:cs="宋体"/>
          <w:b/>
          <w:color w:val="000000"/>
          <w:sz w:val="24"/>
          <w:szCs w:val="24"/>
        </w:rPr>
        <w:t>4.质疑函的质疑请求应与质疑事项相关。</w:t>
      </w:r>
    </w:p>
    <w:p>
      <w:pPr>
        <w:pStyle w:val="24"/>
        <w:spacing w:line="360" w:lineRule="auto"/>
        <w:ind w:left="25" w:leftChars="12" w:firstLine="354" w:firstLineChars="147"/>
        <w:rPr>
          <w:rFonts w:hAnsi="宋体" w:cs="宋体"/>
          <w:b/>
          <w:color w:val="000000"/>
        </w:rPr>
      </w:pPr>
      <w:r>
        <w:rPr>
          <w:rFonts w:hint="eastAsia" w:hAnsi="宋体" w:cs="宋体"/>
          <w:b/>
          <w:color w:val="000000"/>
          <w:sz w:val="24"/>
          <w:szCs w:val="24"/>
        </w:rPr>
        <w:t>5.质疑供应商为法人或者其他组织的，质疑函应由法定代表人、主要负责人，或者其授权代表签字或者盖章，并加盖公章。</w:t>
      </w:r>
    </w:p>
    <w:p>
      <w:pPr>
        <w:spacing w:line="460" w:lineRule="exact"/>
        <w:rPr>
          <w:rFonts w:ascii="宋体" w:hAnsi="宋体" w:cs="宋体"/>
          <w:color w:val="000000"/>
          <w:sz w:val="44"/>
        </w:rPr>
      </w:pPr>
    </w:p>
    <w:p>
      <w:pPr>
        <w:pStyle w:val="24"/>
        <w:spacing w:line="360" w:lineRule="auto"/>
        <w:rPr>
          <w:rFonts w:hAnsi="宋体" w:cs="宋体"/>
          <w:b/>
          <w:color w:val="000000"/>
        </w:rPr>
      </w:pPr>
    </w:p>
    <w:bookmarkEnd w:id="254"/>
    <w:sectPr>
      <w:footerReference r:id="rId10" w:type="first"/>
      <w:footerReference r:id="rId9" w:type="default"/>
      <w:pgSz w:w="11906" w:h="16838"/>
      <w:pgMar w:top="1332" w:right="1435" w:bottom="1332" w:left="1435" w:header="851" w:footer="992"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_x000B__x000C_">
    <w:altName w:val="微软雅黑"/>
    <w:panose1 w:val="00000000000000000000"/>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Century">
    <w:panose1 w:val="0204060405050502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 w:name="MS Mincho">
    <w:panose1 w:val="02020609040205080304"/>
    <w:charset w:val="80"/>
    <w:family w:val="modern"/>
    <w:pitch w:val="default"/>
    <w:sig w:usb0="E00002FF" w:usb1="6AC7FDFB" w:usb2="00000012" w:usb3="00000000" w:csb0="4002009F" w:csb1="DFD70000"/>
  </w:font>
  <w:font w:name="方正大标宋简体">
    <w:altName w:val="Arial Unicode MS"/>
    <w:panose1 w:val="02010601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48"/>
      </w:rPr>
    </w:pPr>
    <w:r>
      <w:fldChar w:fldCharType="begin"/>
    </w:r>
    <w:r>
      <w:rPr>
        <w:rStyle w:val="48"/>
      </w:rPr>
      <w:instrText xml:space="preserve">PAGE  </w:instrText>
    </w:r>
    <w:r>
      <w:fldChar w:fldCharType="end"/>
    </w:r>
  </w:p>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right="36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0"/>
                          </w:pPr>
                          <w:r>
                            <w:fldChar w:fldCharType="begin"/>
                          </w:r>
                          <w:r>
                            <w:instrText xml:space="preserve"> PAGE  \* MERGEFORMAT </w:instrText>
                          </w:r>
                          <w:r>
                            <w:fldChar w:fldCharType="separate"/>
                          </w:r>
                          <w:r>
                            <w:t>167</w:t>
                          </w:r>
                          <w:r>
                            <w:fldChar w:fldCharType="end"/>
                          </w:r>
                        </w:p>
                      </w:txbxContent>
                    </wps:txbx>
                    <wps:bodyPr wrap="none" lIns="0" tIns="0" rIns="0" bIns="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JHAsCHRAQAAqwMAAA4AAAAAAAAAAQAgAAAAHgEAAGRy&#10;cy9lMm9Eb2MueG1sUEsFBgAAAAAGAAYAWQEAAGEFA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right="360"/>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0"/>
                          </w:pPr>
                          <w:r>
                            <w:fldChar w:fldCharType="begin"/>
                          </w:r>
                          <w:r>
                            <w:instrText xml:space="preserve"> PAGE  \* MERGEFORMAT </w:instrText>
                          </w:r>
                          <w:r>
                            <w:fldChar w:fldCharType="separate"/>
                          </w:r>
                          <w:r>
                            <w:t>131</w:t>
                          </w:r>
                          <w:r>
                            <w:fldChar w:fldCharType="end"/>
                          </w:r>
                        </w:p>
                      </w:txbxContent>
                    </wps:txbx>
                    <wps:bodyPr wrap="none" lIns="0" tIns="0" rIns="0" bIns="0" upright="0">
                      <a:spAutoFit/>
                    </wps:bodyPr>
                  </wps:wsp>
                </a:graphicData>
              </a:graphic>
            </wp:anchor>
          </w:drawing>
        </mc:Choice>
        <mc:Fallback>
          <w:pict>
            <v:shape id="文本框 103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judd8NABAACrAwAADgAAAAAAAAABACAAAAAeAQAAZHJz&#10;L2Uyb0RvYy54bWxQSwUGAAAAAAYABgBZAQAAYAU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E81BD9"/>
    <w:multiLevelType w:val="singleLevel"/>
    <w:tmpl w:val="A4E81BD9"/>
    <w:lvl w:ilvl="0" w:tentative="0">
      <w:start w:val="1"/>
      <w:numFmt w:val="decimal"/>
      <w:suff w:val="nothing"/>
      <w:lvlText w:val="（%1）"/>
      <w:lvlJc w:val="left"/>
      <w:rPr>
        <w:rFonts w:hint="default" w:ascii="宋体" w:hAnsi="宋体" w:eastAsia="宋体" w:cs="宋体"/>
        <w:b/>
        <w:bCs/>
      </w:rPr>
    </w:lvl>
  </w:abstractNum>
  <w:abstractNum w:abstractNumId="1">
    <w:nsid w:val="FFFFFF7E"/>
    <w:multiLevelType w:val="singleLevel"/>
    <w:tmpl w:val="FFFFFF7E"/>
    <w:lvl w:ilvl="0" w:tentative="0">
      <w:start w:val="1"/>
      <w:numFmt w:val="decimal"/>
      <w:pStyle w:val="20"/>
      <w:lvlText w:val="%1."/>
      <w:lvlJc w:val="left"/>
      <w:pPr>
        <w:tabs>
          <w:tab w:val="left" w:pos="1200"/>
        </w:tabs>
        <w:ind w:left="1200" w:hanging="360"/>
      </w:pPr>
    </w:lvl>
  </w:abstractNum>
  <w:abstractNum w:abstractNumId="2">
    <w:nsid w:val="115F510E"/>
    <w:multiLevelType w:val="singleLevel"/>
    <w:tmpl w:val="115F510E"/>
    <w:lvl w:ilvl="0" w:tentative="0">
      <w:start w:val="2"/>
      <w:numFmt w:val="decimal"/>
      <w:suff w:val="nothing"/>
      <w:lvlText w:val="（%1）"/>
      <w:lvlJc w:val="left"/>
    </w:lvl>
  </w:abstractNum>
  <w:abstractNum w:abstractNumId="3">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7"/>
      <w:suff w:val="nothing"/>
      <w:lvlText w:val=""/>
      <w:lvlJc w:val="left"/>
      <w:pPr>
        <w:ind w:left="0" w:firstLine="0"/>
      </w:pPr>
      <w:rPr>
        <w:rFonts w:hint="eastAsia"/>
      </w:rPr>
    </w:lvl>
    <w:lvl w:ilvl="5" w:tentative="0">
      <w:start w:val="1"/>
      <w:numFmt w:val="none"/>
      <w:pStyle w:val="9"/>
      <w:suff w:val="nothing"/>
      <w:lvlText w:val=""/>
      <w:lvlJc w:val="left"/>
      <w:pPr>
        <w:ind w:left="0" w:firstLine="0"/>
      </w:pPr>
      <w:rPr>
        <w:rFonts w:hint="eastAsia"/>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abstractNum w:abstractNumId="4">
    <w:nsid w:val="4C601917"/>
    <w:multiLevelType w:val="singleLevel"/>
    <w:tmpl w:val="4C601917"/>
    <w:lvl w:ilvl="0" w:tentative="0">
      <w:start w:val="1"/>
      <w:numFmt w:val="decimal"/>
      <w:suff w:val="nothing"/>
      <w:lvlText w:val="（%1）"/>
      <w:lvlJc w:val="left"/>
    </w:lvl>
  </w:abstractNum>
  <w:abstractNum w:abstractNumId="5">
    <w:nsid w:val="5DCFAB18"/>
    <w:multiLevelType w:val="singleLevel"/>
    <w:tmpl w:val="5DCFAB18"/>
    <w:lvl w:ilvl="0" w:tentative="0">
      <w:start w:val="6"/>
      <w:numFmt w:val="decimal"/>
      <w:suff w:val="nothing"/>
      <w:lvlText w:val="（%1）"/>
      <w:lvlJc w:val="left"/>
    </w:lvl>
  </w:abstractNum>
  <w:abstractNum w:abstractNumId="6">
    <w:nsid w:val="5FABD14B"/>
    <w:multiLevelType w:val="singleLevel"/>
    <w:tmpl w:val="5FABD14B"/>
    <w:lvl w:ilvl="0" w:tentative="0">
      <w:start w:val="1"/>
      <w:numFmt w:val="decimal"/>
      <w:suff w:val="nothing"/>
      <w:lvlText w:val="（%1）"/>
      <w:lvlJc w:val="left"/>
    </w:lvl>
  </w:abstractNum>
  <w:abstractNum w:abstractNumId="7">
    <w:nsid w:val="70192BD4"/>
    <w:multiLevelType w:val="multilevel"/>
    <w:tmpl w:val="70192BD4"/>
    <w:lvl w:ilvl="0" w:tentative="0">
      <w:start w:val="1"/>
      <w:numFmt w:val="bullet"/>
      <w:pStyle w:val="97"/>
      <w:lvlText w:val=""/>
      <w:lvlJc w:val="left"/>
      <w:pPr>
        <w:ind w:left="902" w:hanging="420"/>
      </w:pPr>
      <w:rPr>
        <w:rFonts w:hint="default" w:ascii="Wingdings" w:hAnsi="Wingdings" w:eastAsia="宋体"/>
        <w:b w:val="0"/>
        <w:i w:val="0"/>
        <w:sz w:val="10"/>
        <w:szCs w:val="10"/>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8">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3"/>
  </w:num>
  <w:num w:numId="2">
    <w:abstractNumId w:val="1"/>
  </w:num>
  <w:num w:numId="3">
    <w:abstractNumId w:val="7"/>
  </w:num>
  <w:num w:numId="4">
    <w:abstractNumId w:val="5"/>
  </w:num>
  <w:num w:numId="5">
    <w:abstractNumId w:val="2"/>
  </w:num>
  <w:num w:numId="6">
    <w:abstractNumId w:val="0"/>
  </w:num>
  <w:num w:numId="7">
    <w:abstractNumId w:val="4"/>
  </w:num>
  <w:num w:numId="8">
    <w:abstractNumId w:val="6"/>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NotTrackMoves/>
  <w:documentProtection w:edit="readOnly" w:enforcement="1" w:cryptProviderType="rsaFull" w:cryptAlgorithmClass="hash" w:cryptAlgorithmType="typeAny" w:cryptAlgorithmSid="4" w:cryptSpinCount="0" w:hash="9coE/6LuebxrwOBSc9EaXObPBvQ=" w:salt="5VbjjnyL8v78e7EA9nriug=="/>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zNmVhNGE2YzEyNzE4YzY0Y2I1OGQ4NTBmYzE4MzUifQ=="/>
  </w:docVars>
  <w:rsids>
    <w:rsidRoot w:val="00F9008B"/>
    <w:rsid w:val="0000010C"/>
    <w:rsid w:val="000002F9"/>
    <w:rsid w:val="00000D21"/>
    <w:rsid w:val="00000FE0"/>
    <w:rsid w:val="00001068"/>
    <w:rsid w:val="000010B8"/>
    <w:rsid w:val="0000114A"/>
    <w:rsid w:val="00001731"/>
    <w:rsid w:val="00001C2D"/>
    <w:rsid w:val="00001C55"/>
    <w:rsid w:val="00001CA8"/>
    <w:rsid w:val="00001D05"/>
    <w:rsid w:val="00001FAE"/>
    <w:rsid w:val="00002291"/>
    <w:rsid w:val="00002644"/>
    <w:rsid w:val="00002DBF"/>
    <w:rsid w:val="00002EC0"/>
    <w:rsid w:val="00003224"/>
    <w:rsid w:val="000033F5"/>
    <w:rsid w:val="000034EA"/>
    <w:rsid w:val="0000358C"/>
    <w:rsid w:val="00003BEF"/>
    <w:rsid w:val="00004130"/>
    <w:rsid w:val="0000431F"/>
    <w:rsid w:val="0000455C"/>
    <w:rsid w:val="00004634"/>
    <w:rsid w:val="00004D8B"/>
    <w:rsid w:val="000059E2"/>
    <w:rsid w:val="00006AE7"/>
    <w:rsid w:val="00006B9B"/>
    <w:rsid w:val="00006C35"/>
    <w:rsid w:val="000072B1"/>
    <w:rsid w:val="00007329"/>
    <w:rsid w:val="00007E28"/>
    <w:rsid w:val="00007E84"/>
    <w:rsid w:val="00010401"/>
    <w:rsid w:val="000105A1"/>
    <w:rsid w:val="000107AD"/>
    <w:rsid w:val="00010835"/>
    <w:rsid w:val="00011842"/>
    <w:rsid w:val="00012137"/>
    <w:rsid w:val="000121EE"/>
    <w:rsid w:val="000121FF"/>
    <w:rsid w:val="000125B8"/>
    <w:rsid w:val="00012692"/>
    <w:rsid w:val="00013446"/>
    <w:rsid w:val="00013509"/>
    <w:rsid w:val="000135BC"/>
    <w:rsid w:val="000135DC"/>
    <w:rsid w:val="000136D6"/>
    <w:rsid w:val="00013979"/>
    <w:rsid w:val="00014085"/>
    <w:rsid w:val="00014B4C"/>
    <w:rsid w:val="00014DD9"/>
    <w:rsid w:val="000151E4"/>
    <w:rsid w:val="000153D8"/>
    <w:rsid w:val="00015577"/>
    <w:rsid w:val="000156E4"/>
    <w:rsid w:val="000159A7"/>
    <w:rsid w:val="00015FB8"/>
    <w:rsid w:val="0001609F"/>
    <w:rsid w:val="0001635B"/>
    <w:rsid w:val="00016549"/>
    <w:rsid w:val="00016BF7"/>
    <w:rsid w:val="00016D20"/>
    <w:rsid w:val="0001767E"/>
    <w:rsid w:val="0001776D"/>
    <w:rsid w:val="00017C00"/>
    <w:rsid w:val="00017F31"/>
    <w:rsid w:val="000205C8"/>
    <w:rsid w:val="00020607"/>
    <w:rsid w:val="0002103A"/>
    <w:rsid w:val="000217E4"/>
    <w:rsid w:val="00021852"/>
    <w:rsid w:val="00021A12"/>
    <w:rsid w:val="00022622"/>
    <w:rsid w:val="00023363"/>
    <w:rsid w:val="000235F3"/>
    <w:rsid w:val="00023644"/>
    <w:rsid w:val="00023712"/>
    <w:rsid w:val="0002476C"/>
    <w:rsid w:val="00024E3C"/>
    <w:rsid w:val="00024EB0"/>
    <w:rsid w:val="00024EC8"/>
    <w:rsid w:val="00025A93"/>
    <w:rsid w:val="0002646A"/>
    <w:rsid w:val="0002651D"/>
    <w:rsid w:val="00026CFD"/>
    <w:rsid w:val="000279F9"/>
    <w:rsid w:val="00027A11"/>
    <w:rsid w:val="00027C8B"/>
    <w:rsid w:val="00027CD9"/>
    <w:rsid w:val="00030242"/>
    <w:rsid w:val="00030B06"/>
    <w:rsid w:val="0003183A"/>
    <w:rsid w:val="00031CDC"/>
    <w:rsid w:val="00031DC8"/>
    <w:rsid w:val="0003263B"/>
    <w:rsid w:val="0003282C"/>
    <w:rsid w:val="00032CE5"/>
    <w:rsid w:val="0003304A"/>
    <w:rsid w:val="0003317E"/>
    <w:rsid w:val="00033413"/>
    <w:rsid w:val="000337F3"/>
    <w:rsid w:val="00033918"/>
    <w:rsid w:val="00034C27"/>
    <w:rsid w:val="00034E2A"/>
    <w:rsid w:val="0003577F"/>
    <w:rsid w:val="000361E7"/>
    <w:rsid w:val="00036466"/>
    <w:rsid w:val="0003675E"/>
    <w:rsid w:val="00037354"/>
    <w:rsid w:val="00037633"/>
    <w:rsid w:val="00037E9E"/>
    <w:rsid w:val="00037F87"/>
    <w:rsid w:val="00037FA2"/>
    <w:rsid w:val="000400D0"/>
    <w:rsid w:val="0004044E"/>
    <w:rsid w:val="00041970"/>
    <w:rsid w:val="000425AC"/>
    <w:rsid w:val="00042F4A"/>
    <w:rsid w:val="00043BE5"/>
    <w:rsid w:val="00043E41"/>
    <w:rsid w:val="00044003"/>
    <w:rsid w:val="00044527"/>
    <w:rsid w:val="0004469E"/>
    <w:rsid w:val="00044897"/>
    <w:rsid w:val="00044ACF"/>
    <w:rsid w:val="00044D83"/>
    <w:rsid w:val="00044E06"/>
    <w:rsid w:val="00045258"/>
    <w:rsid w:val="00045360"/>
    <w:rsid w:val="000454F4"/>
    <w:rsid w:val="00045670"/>
    <w:rsid w:val="00045D1E"/>
    <w:rsid w:val="00045E69"/>
    <w:rsid w:val="00045EF4"/>
    <w:rsid w:val="00046547"/>
    <w:rsid w:val="000466D7"/>
    <w:rsid w:val="00046753"/>
    <w:rsid w:val="00047254"/>
    <w:rsid w:val="000472FD"/>
    <w:rsid w:val="0005022B"/>
    <w:rsid w:val="00050771"/>
    <w:rsid w:val="000513F3"/>
    <w:rsid w:val="00052287"/>
    <w:rsid w:val="000522E0"/>
    <w:rsid w:val="00052609"/>
    <w:rsid w:val="000532F4"/>
    <w:rsid w:val="000536AE"/>
    <w:rsid w:val="0005413F"/>
    <w:rsid w:val="00054CD5"/>
    <w:rsid w:val="00054D03"/>
    <w:rsid w:val="0005500B"/>
    <w:rsid w:val="000550AC"/>
    <w:rsid w:val="0005580E"/>
    <w:rsid w:val="0005584D"/>
    <w:rsid w:val="00055CC3"/>
    <w:rsid w:val="00055CEE"/>
    <w:rsid w:val="000560F8"/>
    <w:rsid w:val="000566FA"/>
    <w:rsid w:val="00056A2B"/>
    <w:rsid w:val="00056ADC"/>
    <w:rsid w:val="00056E37"/>
    <w:rsid w:val="00056EE2"/>
    <w:rsid w:val="00056FE2"/>
    <w:rsid w:val="000570FB"/>
    <w:rsid w:val="000575B8"/>
    <w:rsid w:val="00060131"/>
    <w:rsid w:val="0006026B"/>
    <w:rsid w:val="00060293"/>
    <w:rsid w:val="00061BDA"/>
    <w:rsid w:val="000621FE"/>
    <w:rsid w:val="00062B90"/>
    <w:rsid w:val="00062C70"/>
    <w:rsid w:val="00062DD0"/>
    <w:rsid w:val="00062E6F"/>
    <w:rsid w:val="000630C7"/>
    <w:rsid w:val="00063587"/>
    <w:rsid w:val="00063BE6"/>
    <w:rsid w:val="0006400F"/>
    <w:rsid w:val="000643DA"/>
    <w:rsid w:val="000645DD"/>
    <w:rsid w:val="00064D7E"/>
    <w:rsid w:val="00064F65"/>
    <w:rsid w:val="00064FD0"/>
    <w:rsid w:val="0006534A"/>
    <w:rsid w:val="00065A5D"/>
    <w:rsid w:val="00065BA2"/>
    <w:rsid w:val="000661CA"/>
    <w:rsid w:val="0006668D"/>
    <w:rsid w:val="00066F2B"/>
    <w:rsid w:val="00067002"/>
    <w:rsid w:val="0006710A"/>
    <w:rsid w:val="00067993"/>
    <w:rsid w:val="00067B1C"/>
    <w:rsid w:val="00067CED"/>
    <w:rsid w:val="00067D39"/>
    <w:rsid w:val="00067F66"/>
    <w:rsid w:val="0007041A"/>
    <w:rsid w:val="00070634"/>
    <w:rsid w:val="00070883"/>
    <w:rsid w:val="00070A09"/>
    <w:rsid w:val="00070C3F"/>
    <w:rsid w:val="0007102C"/>
    <w:rsid w:val="00071D68"/>
    <w:rsid w:val="00071FCE"/>
    <w:rsid w:val="0007227D"/>
    <w:rsid w:val="00072661"/>
    <w:rsid w:val="00072CCC"/>
    <w:rsid w:val="00073549"/>
    <w:rsid w:val="00073A58"/>
    <w:rsid w:val="0007483E"/>
    <w:rsid w:val="000751DB"/>
    <w:rsid w:val="0007578F"/>
    <w:rsid w:val="000759A3"/>
    <w:rsid w:val="00075AB1"/>
    <w:rsid w:val="00075E43"/>
    <w:rsid w:val="00077706"/>
    <w:rsid w:val="00077878"/>
    <w:rsid w:val="00077DE2"/>
    <w:rsid w:val="000804EF"/>
    <w:rsid w:val="00080558"/>
    <w:rsid w:val="00081230"/>
    <w:rsid w:val="000814E2"/>
    <w:rsid w:val="000818C9"/>
    <w:rsid w:val="00081CBB"/>
    <w:rsid w:val="00081D42"/>
    <w:rsid w:val="000822EF"/>
    <w:rsid w:val="0008241E"/>
    <w:rsid w:val="000826F5"/>
    <w:rsid w:val="000829B1"/>
    <w:rsid w:val="00082AAB"/>
    <w:rsid w:val="0008307D"/>
    <w:rsid w:val="000831E9"/>
    <w:rsid w:val="00083288"/>
    <w:rsid w:val="000833BB"/>
    <w:rsid w:val="0008452D"/>
    <w:rsid w:val="0008467B"/>
    <w:rsid w:val="000846E2"/>
    <w:rsid w:val="000850FA"/>
    <w:rsid w:val="00085789"/>
    <w:rsid w:val="00085C12"/>
    <w:rsid w:val="00085DA0"/>
    <w:rsid w:val="00085F82"/>
    <w:rsid w:val="00086506"/>
    <w:rsid w:val="00086B6E"/>
    <w:rsid w:val="00086C64"/>
    <w:rsid w:val="00086E15"/>
    <w:rsid w:val="0008781A"/>
    <w:rsid w:val="00090951"/>
    <w:rsid w:val="00090A61"/>
    <w:rsid w:val="000918F5"/>
    <w:rsid w:val="000919B5"/>
    <w:rsid w:val="00091C1D"/>
    <w:rsid w:val="00091E08"/>
    <w:rsid w:val="00091E29"/>
    <w:rsid w:val="000922D8"/>
    <w:rsid w:val="000932E7"/>
    <w:rsid w:val="0009333A"/>
    <w:rsid w:val="00093459"/>
    <w:rsid w:val="00093B8B"/>
    <w:rsid w:val="000951E7"/>
    <w:rsid w:val="000953C5"/>
    <w:rsid w:val="00095B82"/>
    <w:rsid w:val="00096098"/>
    <w:rsid w:val="000961C5"/>
    <w:rsid w:val="000968AF"/>
    <w:rsid w:val="000969D9"/>
    <w:rsid w:val="00096F37"/>
    <w:rsid w:val="00097036"/>
    <w:rsid w:val="00097FE5"/>
    <w:rsid w:val="000A0354"/>
    <w:rsid w:val="000A091F"/>
    <w:rsid w:val="000A0958"/>
    <w:rsid w:val="000A0FCC"/>
    <w:rsid w:val="000A1033"/>
    <w:rsid w:val="000A12F3"/>
    <w:rsid w:val="000A2712"/>
    <w:rsid w:val="000A2877"/>
    <w:rsid w:val="000A2D31"/>
    <w:rsid w:val="000A355D"/>
    <w:rsid w:val="000A35DA"/>
    <w:rsid w:val="000A371E"/>
    <w:rsid w:val="000A3DE5"/>
    <w:rsid w:val="000A3E35"/>
    <w:rsid w:val="000A4011"/>
    <w:rsid w:val="000A4397"/>
    <w:rsid w:val="000A45D5"/>
    <w:rsid w:val="000A490E"/>
    <w:rsid w:val="000A5B49"/>
    <w:rsid w:val="000A5FE5"/>
    <w:rsid w:val="000A688F"/>
    <w:rsid w:val="000A7218"/>
    <w:rsid w:val="000A740A"/>
    <w:rsid w:val="000A7446"/>
    <w:rsid w:val="000A7A56"/>
    <w:rsid w:val="000A7E7F"/>
    <w:rsid w:val="000A7ECD"/>
    <w:rsid w:val="000B0379"/>
    <w:rsid w:val="000B04DD"/>
    <w:rsid w:val="000B0AE4"/>
    <w:rsid w:val="000B0F01"/>
    <w:rsid w:val="000B1079"/>
    <w:rsid w:val="000B1346"/>
    <w:rsid w:val="000B1795"/>
    <w:rsid w:val="000B1914"/>
    <w:rsid w:val="000B1926"/>
    <w:rsid w:val="000B19DC"/>
    <w:rsid w:val="000B1C6B"/>
    <w:rsid w:val="000B1CA2"/>
    <w:rsid w:val="000B202E"/>
    <w:rsid w:val="000B2293"/>
    <w:rsid w:val="000B24A4"/>
    <w:rsid w:val="000B255A"/>
    <w:rsid w:val="000B255C"/>
    <w:rsid w:val="000B292B"/>
    <w:rsid w:val="000B395E"/>
    <w:rsid w:val="000B39C3"/>
    <w:rsid w:val="000B3A00"/>
    <w:rsid w:val="000B3BFD"/>
    <w:rsid w:val="000B4840"/>
    <w:rsid w:val="000B4AFB"/>
    <w:rsid w:val="000B4D79"/>
    <w:rsid w:val="000B5627"/>
    <w:rsid w:val="000B5671"/>
    <w:rsid w:val="000B602E"/>
    <w:rsid w:val="000B6BF0"/>
    <w:rsid w:val="000B6CE8"/>
    <w:rsid w:val="000B7DAF"/>
    <w:rsid w:val="000C01A9"/>
    <w:rsid w:val="000C071C"/>
    <w:rsid w:val="000C0BB4"/>
    <w:rsid w:val="000C0BEE"/>
    <w:rsid w:val="000C1CB9"/>
    <w:rsid w:val="000C2159"/>
    <w:rsid w:val="000C21BB"/>
    <w:rsid w:val="000C289B"/>
    <w:rsid w:val="000C34B8"/>
    <w:rsid w:val="000C3F01"/>
    <w:rsid w:val="000C420D"/>
    <w:rsid w:val="000C4773"/>
    <w:rsid w:val="000C4944"/>
    <w:rsid w:val="000C4A71"/>
    <w:rsid w:val="000C4E24"/>
    <w:rsid w:val="000C5C4A"/>
    <w:rsid w:val="000C5F01"/>
    <w:rsid w:val="000C6079"/>
    <w:rsid w:val="000C63C4"/>
    <w:rsid w:val="000C66C1"/>
    <w:rsid w:val="000C69A6"/>
    <w:rsid w:val="000C6F0B"/>
    <w:rsid w:val="000C6F32"/>
    <w:rsid w:val="000C6F79"/>
    <w:rsid w:val="000C708E"/>
    <w:rsid w:val="000C778C"/>
    <w:rsid w:val="000C7833"/>
    <w:rsid w:val="000C7DFB"/>
    <w:rsid w:val="000C7E1B"/>
    <w:rsid w:val="000C7E73"/>
    <w:rsid w:val="000D001B"/>
    <w:rsid w:val="000D02E7"/>
    <w:rsid w:val="000D0A45"/>
    <w:rsid w:val="000D0DE3"/>
    <w:rsid w:val="000D0DEC"/>
    <w:rsid w:val="000D0ECE"/>
    <w:rsid w:val="000D136E"/>
    <w:rsid w:val="000D14AC"/>
    <w:rsid w:val="000D15BA"/>
    <w:rsid w:val="000D1606"/>
    <w:rsid w:val="000D2C9B"/>
    <w:rsid w:val="000D35FD"/>
    <w:rsid w:val="000D39FB"/>
    <w:rsid w:val="000D3D2D"/>
    <w:rsid w:val="000D3D99"/>
    <w:rsid w:val="000D4653"/>
    <w:rsid w:val="000D4696"/>
    <w:rsid w:val="000D4817"/>
    <w:rsid w:val="000D4FB9"/>
    <w:rsid w:val="000D54B4"/>
    <w:rsid w:val="000D54F8"/>
    <w:rsid w:val="000D584B"/>
    <w:rsid w:val="000D5F55"/>
    <w:rsid w:val="000D6372"/>
    <w:rsid w:val="000D68D1"/>
    <w:rsid w:val="000D6979"/>
    <w:rsid w:val="000D6CE7"/>
    <w:rsid w:val="000D6E38"/>
    <w:rsid w:val="000D6E63"/>
    <w:rsid w:val="000D6EBF"/>
    <w:rsid w:val="000D711C"/>
    <w:rsid w:val="000D7687"/>
    <w:rsid w:val="000D7B6E"/>
    <w:rsid w:val="000D7E23"/>
    <w:rsid w:val="000E042A"/>
    <w:rsid w:val="000E04D6"/>
    <w:rsid w:val="000E0644"/>
    <w:rsid w:val="000E076D"/>
    <w:rsid w:val="000E0CD2"/>
    <w:rsid w:val="000E0CD5"/>
    <w:rsid w:val="000E187C"/>
    <w:rsid w:val="000E1B28"/>
    <w:rsid w:val="000E1E8D"/>
    <w:rsid w:val="000E1EBC"/>
    <w:rsid w:val="000E2173"/>
    <w:rsid w:val="000E220B"/>
    <w:rsid w:val="000E2A50"/>
    <w:rsid w:val="000E30F2"/>
    <w:rsid w:val="000E316B"/>
    <w:rsid w:val="000E3D08"/>
    <w:rsid w:val="000E4728"/>
    <w:rsid w:val="000E4D1F"/>
    <w:rsid w:val="000E5658"/>
    <w:rsid w:val="000E5698"/>
    <w:rsid w:val="000E5723"/>
    <w:rsid w:val="000E581B"/>
    <w:rsid w:val="000E58B4"/>
    <w:rsid w:val="000E5F12"/>
    <w:rsid w:val="000E65D2"/>
    <w:rsid w:val="000E6919"/>
    <w:rsid w:val="000E6B1B"/>
    <w:rsid w:val="000E6F0C"/>
    <w:rsid w:val="000E732D"/>
    <w:rsid w:val="000E7359"/>
    <w:rsid w:val="000E7549"/>
    <w:rsid w:val="000F07ED"/>
    <w:rsid w:val="000F0CF2"/>
    <w:rsid w:val="000F14F6"/>
    <w:rsid w:val="000F1A32"/>
    <w:rsid w:val="000F1CC2"/>
    <w:rsid w:val="000F1D15"/>
    <w:rsid w:val="000F270A"/>
    <w:rsid w:val="000F27E3"/>
    <w:rsid w:val="000F34C8"/>
    <w:rsid w:val="000F38BC"/>
    <w:rsid w:val="000F3E2A"/>
    <w:rsid w:val="000F3E7C"/>
    <w:rsid w:val="000F4D26"/>
    <w:rsid w:val="000F5639"/>
    <w:rsid w:val="000F58A4"/>
    <w:rsid w:val="000F6833"/>
    <w:rsid w:val="000F6A24"/>
    <w:rsid w:val="000F7603"/>
    <w:rsid w:val="000F7616"/>
    <w:rsid w:val="000F7DE9"/>
    <w:rsid w:val="000F7F7A"/>
    <w:rsid w:val="0010004B"/>
    <w:rsid w:val="001002F4"/>
    <w:rsid w:val="001011FC"/>
    <w:rsid w:val="0010165F"/>
    <w:rsid w:val="001018C1"/>
    <w:rsid w:val="00101E7C"/>
    <w:rsid w:val="00102260"/>
    <w:rsid w:val="001023DC"/>
    <w:rsid w:val="0010256D"/>
    <w:rsid w:val="00102572"/>
    <w:rsid w:val="001028BB"/>
    <w:rsid w:val="00102946"/>
    <w:rsid w:val="00102FBF"/>
    <w:rsid w:val="0010333D"/>
    <w:rsid w:val="0010372A"/>
    <w:rsid w:val="00103F41"/>
    <w:rsid w:val="00104E77"/>
    <w:rsid w:val="00104F34"/>
    <w:rsid w:val="00104F3E"/>
    <w:rsid w:val="001053C5"/>
    <w:rsid w:val="001055AD"/>
    <w:rsid w:val="0010593C"/>
    <w:rsid w:val="00105C14"/>
    <w:rsid w:val="00105C28"/>
    <w:rsid w:val="001065A3"/>
    <w:rsid w:val="0010691D"/>
    <w:rsid w:val="00106B33"/>
    <w:rsid w:val="00106E69"/>
    <w:rsid w:val="00106FAB"/>
    <w:rsid w:val="00110764"/>
    <w:rsid w:val="00110AC5"/>
    <w:rsid w:val="00110F0B"/>
    <w:rsid w:val="0011108B"/>
    <w:rsid w:val="00111136"/>
    <w:rsid w:val="00111164"/>
    <w:rsid w:val="00111761"/>
    <w:rsid w:val="00112164"/>
    <w:rsid w:val="0011241F"/>
    <w:rsid w:val="001128BF"/>
    <w:rsid w:val="00112D09"/>
    <w:rsid w:val="00112F03"/>
    <w:rsid w:val="00112F38"/>
    <w:rsid w:val="00113821"/>
    <w:rsid w:val="0011394B"/>
    <w:rsid w:val="00113CEE"/>
    <w:rsid w:val="00114058"/>
    <w:rsid w:val="00114342"/>
    <w:rsid w:val="0011449E"/>
    <w:rsid w:val="0011505F"/>
    <w:rsid w:val="001153EF"/>
    <w:rsid w:val="00115965"/>
    <w:rsid w:val="00115D55"/>
    <w:rsid w:val="00115E45"/>
    <w:rsid w:val="00115F85"/>
    <w:rsid w:val="00115FD1"/>
    <w:rsid w:val="001165CC"/>
    <w:rsid w:val="0011688E"/>
    <w:rsid w:val="00116ACD"/>
    <w:rsid w:val="00117B7D"/>
    <w:rsid w:val="001205A8"/>
    <w:rsid w:val="00120948"/>
    <w:rsid w:val="0012180B"/>
    <w:rsid w:val="00122A64"/>
    <w:rsid w:val="00123641"/>
    <w:rsid w:val="0012388A"/>
    <w:rsid w:val="0012388C"/>
    <w:rsid w:val="00123AFA"/>
    <w:rsid w:val="00123C8C"/>
    <w:rsid w:val="00123D68"/>
    <w:rsid w:val="00123E8B"/>
    <w:rsid w:val="00124B43"/>
    <w:rsid w:val="00124DF8"/>
    <w:rsid w:val="001253EA"/>
    <w:rsid w:val="00125459"/>
    <w:rsid w:val="00125B99"/>
    <w:rsid w:val="00126160"/>
    <w:rsid w:val="00126DB5"/>
    <w:rsid w:val="00127178"/>
    <w:rsid w:val="0012755B"/>
    <w:rsid w:val="00127D2B"/>
    <w:rsid w:val="00127F09"/>
    <w:rsid w:val="0013002A"/>
    <w:rsid w:val="0013085D"/>
    <w:rsid w:val="0013089C"/>
    <w:rsid w:val="00130A2D"/>
    <w:rsid w:val="00130F54"/>
    <w:rsid w:val="00131888"/>
    <w:rsid w:val="001318B9"/>
    <w:rsid w:val="00131F17"/>
    <w:rsid w:val="001323F9"/>
    <w:rsid w:val="0013251F"/>
    <w:rsid w:val="00132E1E"/>
    <w:rsid w:val="00132FA3"/>
    <w:rsid w:val="00133088"/>
    <w:rsid w:val="00133346"/>
    <w:rsid w:val="001335B1"/>
    <w:rsid w:val="0013372D"/>
    <w:rsid w:val="00133733"/>
    <w:rsid w:val="00133B4E"/>
    <w:rsid w:val="00133D47"/>
    <w:rsid w:val="001346AF"/>
    <w:rsid w:val="00134990"/>
    <w:rsid w:val="00134AD9"/>
    <w:rsid w:val="00135416"/>
    <w:rsid w:val="001354D1"/>
    <w:rsid w:val="001355E7"/>
    <w:rsid w:val="00135A0A"/>
    <w:rsid w:val="00135BB9"/>
    <w:rsid w:val="0013621D"/>
    <w:rsid w:val="00136354"/>
    <w:rsid w:val="00136674"/>
    <w:rsid w:val="00136B0E"/>
    <w:rsid w:val="00136B92"/>
    <w:rsid w:val="00136C3B"/>
    <w:rsid w:val="00137103"/>
    <w:rsid w:val="001376AB"/>
    <w:rsid w:val="0013777C"/>
    <w:rsid w:val="00137D5F"/>
    <w:rsid w:val="00140082"/>
    <w:rsid w:val="00140175"/>
    <w:rsid w:val="00140757"/>
    <w:rsid w:val="00140B62"/>
    <w:rsid w:val="00140D07"/>
    <w:rsid w:val="00141A3A"/>
    <w:rsid w:val="001422F4"/>
    <w:rsid w:val="001423FA"/>
    <w:rsid w:val="001427B5"/>
    <w:rsid w:val="001428CF"/>
    <w:rsid w:val="00142D0C"/>
    <w:rsid w:val="00142E3C"/>
    <w:rsid w:val="00144013"/>
    <w:rsid w:val="00144D95"/>
    <w:rsid w:val="001454B8"/>
    <w:rsid w:val="00145A17"/>
    <w:rsid w:val="00145BBE"/>
    <w:rsid w:val="00145D7F"/>
    <w:rsid w:val="001460B5"/>
    <w:rsid w:val="0014641F"/>
    <w:rsid w:val="001464A8"/>
    <w:rsid w:val="00146618"/>
    <w:rsid w:val="001467BB"/>
    <w:rsid w:val="00146AB3"/>
    <w:rsid w:val="00146CA8"/>
    <w:rsid w:val="001472A5"/>
    <w:rsid w:val="00147884"/>
    <w:rsid w:val="00150669"/>
    <w:rsid w:val="00150827"/>
    <w:rsid w:val="00150B0D"/>
    <w:rsid w:val="00151E31"/>
    <w:rsid w:val="00151F9B"/>
    <w:rsid w:val="00151FB1"/>
    <w:rsid w:val="00152095"/>
    <w:rsid w:val="00152289"/>
    <w:rsid w:val="00152425"/>
    <w:rsid w:val="00152BAD"/>
    <w:rsid w:val="00152CE3"/>
    <w:rsid w:val="00153633"/>
    <w:rsid w:val="00153652"/>
    <w:rsid w:val="00153697"/>
    <w:rsid w:val="00153956"/>
    <w:rsid w:val="00153B95"/>
    <w:rsid w:val="00154146"/>
    <w:rsid w:val="00154190"/>
    <w:rsid w:val="001545EA"/>
    <w:rsid w:val="001548F2"/>
    <w:rsid w:val="001549BA"/>
    <w:rsid w:val="00154C72"/>
    <w:rsid w:val="00154FFC"/>
    <w:rsid w:val="00155099"/>
    <w:rsid w:val="001553F5"/>
    <w:rsid w:val="00155C85"/>
    <w:rsid w:val="00156A6C"/>
    <w:rsid w:val="00156B10"/>
    <w:rsid w:val="00157823"/>
    <w:rsid w:val="0015790D"/>
    <w:rsid w:val="00157C5E"/>
    <w:rsid w:val="0016015A"/>
    <w:rsid w:val="0016020E"/>
    <w:rsid w:val="00160503"/>
    <w:rsid w:val="00160701"/>
    <w:rsid w:val="00160D7C"/>
    <w:rsid w:val="00160E30"/>
    <w:rsid w:val="0016106D"/>
    <w:rsid w:val="001612E1"/>
    <w:rsid w:val="001614DB"/>
    <w:rsid w:val="0016194E"/>
    <w:rsid w:val="0016236C"/>
    <w:rsid w:val="00162625"/>
    <w:rsid w:val="001630A8"/>
    <w:rsid w:val="001634C7"/>
    <w:rsid w:val="00163826"/>
    <w:rsid w:val="00163943"/>
    <w:rsid w:val="00163BA1"/>
    <w:rsid w:val="00163F0C"/>
    <w:rsid w:val="00163F22"/>
    <w:rsid w:val="0016417B"/>
    <w:rsid w:val="0016470E"/>
    <w:rsid w:val="001648D6"/>
    <w:rsid w:val="00164E0A"/>
    <w:rsid w:val="0016520F"/>
    <w:rsid w:val="001652D7"/>
    <w:rsid w:val="0016589B"/>
    <w:rsid w:val="0016596E"/>
    <w:rsid w:val="00165A5F"/>
    <w:rsid w:val="00166223"/>
    <w:rsid w:val="00166492"/>
    <w:rsid w:val="001670D8"/>
    <w:rsid w:val="0016793E"/>
    <w:rsid w:val="00167D4D"/>
    <w:rsid w:val="00167F5A"/>
    <w:rsid w:val="00170635"/>
    <w:rsid w:val="0017070D"/>
    <w:rsid w:val="00170837"/>
    <w:rsid w:val="00171035"/>
    <w:rsid w:val="001713B7"/>
    <w:rsid w:val="001713E1"/>
    <w:rsid w:val="00171ADB"/>
    <w:rsid w:val="00172029"/>
    <w:rsid w:val="00172B84"/>
    <w:rsid w:val="001733A4"/>
    <w:rsid w:val="00173AB9"/>
    <w:rsid w:val="00173EED"/>
    <w:rsid w:val="00174368"/>
    <w:rsid w:val="001744EA"/>
    <w:rsid w:val="001745FB"/>
    <w:rsid w:val="00174D82"/>
    <w:rsid w:val="00174E44"/>
    <w:rsid w:val="00175053"/>
    <w:rsid w:val="001753B7"/>
    <w:rsid w:val="001757E7"/>
    <w:rsid w:val="00175873"/>
    <w:rsid w:val="0017592E"/>
    <w:rsid w:val="00175C59"/>
    <w:rsid w:val="001760BC"/>
    <w:rsid w:val="00176674"/>
    <w:rsid w:val="0017670B"/>
    <w:rsid w:val="00176818"/>
    <w:rsid w:val="00176B82"/>
    <w:rsid w:val="00176E3B"/>
    <w:rsid w:val="00176ECB"/>
    <w:rsid w:val="00176FC9"/>
    <w:rsid w:val="0017716E"/>
    <w:rsid w:val="0017752D"/>
    <w:rsid w:val="0017759F"/>
    <w:rsid w:val="00177832"/>
    <w:rsid w:val="00177D48"/>
    <w:rsid w:val="001801E1"/>
    <w:rsid w:val="00181178"/>
    <w:rsid w:val="0018119E"/>
    <w:rsid w:val="00181EEF"/>
    <w:rsid w:val="00181F3E"/>
    <w:rsid w:val="0018208B"/>
    <w:rsid w:val="00182575"/>
    <w:rsid w:val="00182F08"/>
    <w:rsid w:val="00182FE0"/>
    <w:rsid w:val="00183911"/>
    <w:rsid w:val="001845FB"/>
    <w:rsid w:val="00184CDD"/>
    <w:rsid w:val="00184DAB"/>
    <w:rsid w:val="00185490"/>
    <w:rsid w:val="00185DA6"/>
    <w:rsid w:val="00185F64"/>
    <w:rsid w:val="00186096"/>
    <w:rsid w:val="00186F7C"/>
    <w:rsid w:val="0018772E"/>
    <w:rsid w:val="00187A94"/>
    <w:rsid w:val="0019029E"/>
    <w:rsid w:val="00190329"/>
    <w:rsid w:val="00190804"/>
    <w:rsid w:val="0019088F"/>
    <w:rsid w:val="00190C51"/>
    <w:rsid w:val="00190ED1"/>
    <w:rsid w:val="00192FA5"/>
    <w:rsid w:val="0019336B"/>
    <w:rsid w:val="001939A6"/>
    <w:rsid w:val="00193ACC"/>
    <w:rsid w:val="00193BFE"/>
    <w:rsid w:val="00194E7E"/>
    <w:rsid w:val="00195322"/>
    <w:rsid w:val="0019560E"/>
    <w:rsid w:val="00195702"/>
    <w:rsid w:val="001958E3"/>
    <w:rsid w:val="0019601B"/>
    <w:rsid w:val="00196048"/>
    <w:rsid w:val="00196A82"/>
    <w:rsid w:val="0019769B"/>
    <w:rsid w:val="00197856"/>
    <w:rsid w:val="00197FFE"/>
    <w:rsid w:val="001A0D25"/>
    <w:rsid w:val="001A1570"/>
    <w:rsid w:val="001A1917"/>
    <w:rsid w:val="001A1BD5"/>
    <w:rsid w:val="001A1C64"/>
    <w:rsid w:val="001A1E7F"/>
    <w:rsid w:val="001A228D"/>
    <w:rsid w:val="001A2918"/>
    <w:rsid w:val="001A2D02"/>
    <w:rsid w:val="001A2DFE"/>
    <w:rsid w:val="001A3076"/>
    <w:rsid w:val="001A3120"/>
    <w:rsid w:val="001A31A5"/>
    <w:rsid w:val="001A389C"/>
    <w:rsid w:val="001A3B75"/>
    <w:rsid w:val="001A46FB"/>
    <w:rsid w:val="001A5878"/>
    <w:rsid w:val="001A5944"/>
    <w:rsid w:val="001A5FB1"/>
    <w:rsid w:val="001A698A"/>
    <w:rsid w:val="001A6CCC"/>
    <w:rsid w:val="001A70C8"/>
    <w:rsid w:val="001A71C9"/>
    <w:rsid w:val="001A7429"/>
    <w:rsid w:val="001A760C"/>
    <w:rsid w:val="001A799B"/>
    <w:rsid w:val="001A7AC7"/>
    <w:rsid w:val="001A7C38"/>
    <w:rsid w:val="001B02F8"/>
    <w:rsid w:val="001B0DBB"/>
    <w:rsid w:val="001B1602"/>
    <w:rsid w:val="001B1BFD"/>
    <w:rsid w:val="001B2104"/>
    <w:rsid w:val="001B220A"/>
    <w:rsid w:val="001B2255"/>
    <w:rsid w:val="001B2279"/>
    <w:rsid w:val="001B2675"/>
    <w:rsid w:val="001B2729"/>
    <w:rsid w:val="001B2866"/>
    <w:rsid w:val="001B2881"/>
    <w:rsid w:val="001B2EEB"/>
    <w:rsid w:val="001B30D6"/>
    <w:rsid w:val="001B34A3"/>
    <w:rsid w:val="001B3675"/>
    <w:rsid w:val="001B37C8"/>
    <w:rsid w:val="001B3E0F"/>
    <w:rsid w:val="001B4B2C"/>
    <w:rsid w:val="001B4F10"/>
    <w:rsid w:val="001B5026"/>
    <w:rsid w:val="001B5154"/>
    <w:rsid w:val="001B5B75"/>
    <w:rsid w:val="001B6E30"/>
    <w:rsid w:val="001B7C83"/>
    <w:rsid w:val="001B7F9E"/>
    <w:rsid w:val="001C0206"/>
    <w:rsid w:val="001C0246"/>
    <w:rsid w:val="001C04D4"/>
    <w:rsid w:val="001C0B34"/>
    <w:rsid w:val="001C12A3"/>
    <w:rsid w:val="001C158C"/>
    <w:rsid w:val="001C17BB"/>
    <w:rsid w:val="001C187E"/>
    <w:rsid w:val="001C1A37"/>
    <w:rsid w:val="001C1C49"/>
    <w:rsid w:val="001C23D4"/>
    <w:rsid w:val="001C286F"/>
    <w:rsid w:val="001C2B86"/>
    <w:rsid w:val="001C2F54"/>
    <w:rsid w:val="001C2FBE"/>
    <w:rsid w:val="001C3308"/>
    <w:rsid w:val="001C35F3"/>
    <w:rsid w:val="001C3BBB"/>
    <w:rsid w:val="001C40D1"/>
    <w:rsid w:val="001C468A"/>
    <w:rsid w:val="001C4A38"/>
    <w:rsid w:val="001C4A9E"/>
    <w:rsid w:val="001C4DB3"/>
    <w:rsid w:val="001C5001"/>
    <w:rsid w:val="001C5103"/>
    <w:rsid w:val="001C52A8"/>
    <w:rsid w:val="001C5ADF"/>
    <w:rsid w:val="001C5E8E"/>
    <w:rsid w:val="001C6120"/>
    <w:rsid w:val="001C6516"/>
    <w:rsid w:val="001C6B5C"/>
    <w:rsid w:val="001C7155"/>
    <w:rsid w:val="001C71D9"/>
    <w:rsid w:val="001C7E48"/>
    <w:rsid w:val="001D039B"/>
    <w:rsid w:val="001D1258"/>
    <w:rsid w:val="001D14AB"/>
    <w:rsid w:val="001D1AB8"/>
    <w:rsid w:val="001D286F"/>
    <w:rsid w:val="001D2C94"/>
    <w:rsid w:val="001D33D9"/>
    <w:rsid w:val="001D36F6"/>
    <w:rsid w:val="001D3D5F"/>
    <w:rsid w:val="001D4303"/>
    <w:rsid w:val="001D45E5"/>
    <w:rsid w:val="001D461A"/>
    <w:rsid w:val="001D4A9D"/>
    <w:rsid w:val="001D4AAD"/>
    <w:rsid w:val="001D5A65"/>
    <w:rsid w:val="001D5AFA"/>
    <w:rsid w:val="001D666E"/>
    <w:rsid w:val="001D7177"/>
    <w:rsid w:val="001D756E"/>
    <w:rsid w:val="001D784A"/>
    <w:rsid w:val="001E04A4"/>
    <w:rsid w:val="001E04EE"/>
    <w:rsid w:val="001E07C5"/>
    <w:rsid w:val="001E176D"/>
    <w:rsid w:val="001E1BCE"/>
    <w:rsid w:val="001E1E05"/>
    <w:rsid w:val="001E2086"/>
    <w:rsid w:val="001E23B9"/>
    <w:rsid w:val="001E2CA7"/>
    <w:rsid w:val="001E339F"/>
    <w:rsid w:val="001E3629"/>
    <w:rsid w:val="001E3B2C"/>
    <w:rsid w:val="001E40F0"/>
    <w:rsid w:val="001E4172"/>
    <w:rsid w:val="001E4AC7"/>
    <w:rsid w:val="001E522E"/>
    <w:rsid w:val="001E5490"/>
    <w:rsid w:val="001E5513"/>
    <w:rsid w:val="001E5730"/>
    <w:rsid w:val="001E5879"/>
    <w:rsid w:val="001E5E2E"/>
    <w:rsid w:val="001E6352"/>
    <w:rsid w:val="001E70AD"/>
    <w:rsid w:val="001E7237"/>
    <w:rsid w:val="001E7AF6"/>
    <w:rsid w:val="001E7FBF"/>
    <w:rsid w:val="001F01B8"/>
    <w:rsid w:val="001F0FC3"/>
    <w:rsid w:val="001F1188"/>
    <w:rsid w:val="001F1B8D"/>
    <w:rsid w:val="001F274F"/>
    <w:rsid w:val="001F289C"/>
    <w:rsid w:val="001F2BF9"/>
    <w:rsid w:val="001F3AF2"/>
    <w:rsid w:val="001F6008"/>
    <w:rsid w:val="001F641B"/>
    <w:rsid w:val="001F6C19"/>
    <w:rsid w:val="001F6D4D"/>
    <w:rsid w:val="001F7C00"/>
    <w:rsid w:val="0020042C"/>
    <w:rsid w:val="002009A3"/>
    <w:rsid w:val="00200F1A"/>
    <w:rsid w:val="0020130D"/>
    <w:rsid w:val="00201AA9"/>
    <w:rsid w:val="00201D06"/>
    <w:rsid w:val="00201E9F"/>
    <w:rsid w:val="00202F25"/>
    <w:rsid w:val="002035B3"/>
    <w:rsid w:val="00203929"/>
    <w:rsid w:val="00203B3D"/>
    <w:rsid w:val="00203CD6"/>
    <w:rsid w:val="00203F0A"/>
    <w:rsid w:val="00204460"/>
    <w:rsid w:val="00204987"/>
    <w:rsid w:val="002051EA"/>
    <w:rsid w:val="00205CBC"/>
    <w:rsid w:val="00205E9E"/>
    <w:rsid w:val="00206259"/>
    <w:rsid w:val="00206CE5"/>
    <w:rsid w:val="002074B7"/>
    <w:rsid w:val="0020758D"/>
    <w:rsid w:val="00207C7B"/>
    <w:rsid w:val="00211470"/>
    <w:rsid w:val="00211922"/>
    <w:rsid w:val="00211A66"/>
    <w:rsid w:val="0021213A"/>
    <w:rsid w:val="0021265F"/>
    <w:rsid w:val="002126A4"/>
    <w:rsid w:val="00213817"/>
    <w:rsid w:val="00214428"/>
    <w:rsid w:val="002145EB"/>
    <w:rsid w:val="00215834"/>
    <w:rsid w:val="00215CC2"/>
    <w:rsid w:val="00215ED8"/>
    <w:rsid w:val="002161AE"/>
    <w:rsid w:val="00217700"/>
    <w:rsid w:val="002177E2"/>
    <w:rsid w:val="002205F3"/>
    <w:rsid w:val="0022085B"/>
    <w:rsid w:val="00220E53"/>
    <w:rsid w:val="0022176C"/>
    <w:rsid w:val="002225D1"/>
    <w:rsid w:val="002230FA"/>
    <w:rsid w:val="002235D9"/>
    <w:rsid w:val="00223AB9"/>
    <w:rsid w:val="00223DF2"/>
    <w:rsid w:val="00224737"/>
    <w:rsid w:val="00224C0C"/>
    <w:rsid w:val="00225323"/>
    <w:rsid w:val="002256C2"/>
    <w:rsid w:val="002256D0"/>
    <w:rsid w:val="00225C8E"/>
    <w:rsid w:val="00226428"/>
    <w:rsid w:val="002265A9"/>
    <w:rsid w:val="002266CB"/>
    <w:rsid w:val="00226777"/>
    <w:rsid w:val="0022701E"/>
    <w:rsid w:val="00227052"/>
    <w:rsid w:val="002272D5"/>
    <w:rsid w:val="0022738E"/>
    <w:rsid w:val="00227906"/>
    <w:rsid w:val="00227934"/>
    <w:rsid w:val="00227E21"/>
    <w:rsid w:val="00230178"/>
    <w:rsid w:val="00230F10"/>
    <w:rsid w:val="00231D05"/>
    <w:rsid w:val="00233343"/>
    <w:rsid w:val="002336E2"/>
    <w:rsid w:val="00233AC2"/>
    <w:rsid w:val="00233BAF"/>
    <w:rsid w:val="0023518F"/>
    <w:rsid w:val="00235420"/>
    <w:rsid w:val="002356A5"/>
    <w:rsid w:val="00235DAA"/>
    <w:rsid w:val="002365E8"/>
    <w:rsid w:val="0024065B"/>
    <w:rsid w:val="002409A6"/>
    <w:rsid w:val="00240EA5"/>
    <w:rsid w:val="00241132"/>
    <w:rsid w:val="00241205"/>
    <w:rsid w:val="002418C5"/>
    <w:rsid w:val="002419ED"/>
    <w:rsid w:val="002421FE"/>
    <w:rsid w:val="0024261D"/>
    <w:rsid w:val="00242DFB"/>
    <w:rsid w:val="00243807"/>
    <w:rsid w:val="002440AC"/>
    <w:rsid w:val="00244365"/>
    <w:rsid w:val="0024459A"/>
    <w:rsid w:val="00244771"/>
    <w:rsid w:val="00244903"/>
    <w:rsid w:val="0024491F"/>
    <w:rsid w:val="00244AFB"/>
    <w:rsid w:val="00244BBF"/>
    <w:rsid w:val="002453DF"/>
    <w:rsid w:val="00245A81"/>
    <w:rsid w:val="00245D50"/>
    <w:rsid w:val="00246B86"/>
    <w:rsid w:val="00247335"/>
    <w:rsid w:val="002473EF"/>
    <w:rsid w:val="002477B9"/>
    <w:rsid w:val="00247B2A"/>
    <w:rsid w:val="00247CBE"/>
    <w:rsid w:val="00250100"/>
    <w:rsid w:val="00250976"/>
    <w:rsid w:val="00250A1F"/>
    <w:rsid w:val="00250ADA"/>
    <w:rsid w:val="00250F1D"/>
    <w:rsid w:val="00251464"/>
    <w:rsid w:val="0025194E"/>
    <w:rsid w:val="00251FF1"/>
    <w:rsid w:val="002520BA"/>
    <w:rsid w:val="00252234"/>
    <w:rsid w:val="002527AF"/>
    <w:rsid w:val="002528E3"/>
    <w:rsid w:val="00252944"/>
    <w:rsid w:val="00252D55"/>
    <w:rsid w:val="00252D82"/>
    <w:rsid w:val="00253006"/>
    <w:rsid w:val="002533F5"/>
    <w:rsid w:val="002538CE"/>
    <w:rsid w:val="00253C60"/>
    <w:rsid w:val="00253F21"/>
    <w:rsid w:val="0025429D"/>
    <w:rsid w:val="002549E9"/>
    <w:rsid w:val="00254FF6"/>
    <w:rsid w:val="00255099"/>
    <w:rsid w:val="002555C6"/>
    <w:rsid w:val="00255E14"/>
    <w:rsid w:val="00255E6F"/>
    <w:rsid w:val="0025615C"/>
    <w:rsid w:val="00257059"/>
    <w:rsid w:val="0025712F"/>
    <w:rsid w:val="00257395"/>
    <w:rsid w:val="00257857"/>
    <w:rsid w:val="002578DA"/>
    <w:rsid w:val="00257CBC"/>
    <w:rsid w:val="00257D01"/>
    <w:rsid w:val="002602C2"/>
    <w:rsid w:val="002602DA"/>
    <w:rsid w:val="0026040B"/>
    <w:rsid w:val="00260802"/>
    <w:rsid w:val="002609E3"/>
    <w:rsid w:val="00261223"/>
    <w:rsid w:val="002617AB"/>
    <w:rsid w:val="00261D08"/>
    <w:rsid w:val="00261DCC"/>
    <w:rsid w:val="002624D0"/>
    <w:rsid w:val="00263AE7"/>
    <w:rsid w:val="00263EC7"/>
    <w:rsid w:val="00264441"/>
    <w:rsid w:val="0026491B"/>
    <w:rsid w:val="00264A36"/>
    <w:rsid w:val="00264A99"/>
    <w:rsid w:val="00264B06"/>
    <w:rsid w:val="00264C1B"/>
    <w:rsid w:val="00265E2E"/>
    <w:rsid w:val="002661AB"/>
    <w:rsid w:val="002668DB"/>
    <w:rsid w:val="0026742B"/>
    <w:rsid w:val="002674FE"/>
    <w:rsid w:val="00270748"/>
    <w:rsid w:val="0027105A"/>
    <w:rsid w:val="0027117F"/>
    <w:rsid w:val="00271283"/>
    <w:rsid w:val="002712DC"/>
    <w:rsid w:val="00271875"/>
    <w:rsid w:val="002718FF"/>
    <w:rsid w:val="00271955"/>
    <w:rsid w:val="00271CE8"/>
    <w:rsid w:val="00272278"/>
    <w:rsid w:val="00272432"/>
    <w:rsid w:val="00272633"/>
    <w:rsid w:val="00272CAB"/>
    <w:rsid w:val="00272FBF"/>
    <w:rsid w:val="00273A10"/>
    <w:rsid w:val="00273A58"/>
    <w:rsid w:val="00273BF9"/>
    <w:rsid w:val="00273FBB"/>
    <w:rsid w:val="00274CAB"/>
    <w:rsid w:val="00274E8A"/>
    <w:rsid w:val="0027507D"/>
    <w:rsid w:val="00275FA4"/>
    <w:rsid w:val="00275FCE"/>
    <w:rsid w:val="002766B8"/>
    <w:rsid w:val="0027680F"/>
    <w:rsid w:val="00277FA9"/>
    <w:rsid w:val="00281006"/>
    <w:rsid w:val="002815B1"/>
    <w:rsid w:val="00281A3D"/>
    <w:rsid w:val="00281C1F"/>
    <w:rsid w:val="00281EEA"/>
    <w:rsid w:val="00281F88"/>
    <w:rsid w:val="0028288D"/>
    <w:rsid w:val="002829B7"/>
    <w:rsid w:val="00282B82"/>
    <w:rsid w:val="00282C74"/>
    <w:rsid w:val="00282E5B"/>
    <w:rsid w:val="00282F51"/>
    <w:rsid w:val="00283995"/>
    <w:rsid w:val="00283B11"/>
    <w:rsid w:val="002841A9"/>
    <w:rsid w:val="00284313"/>
    <w:rsid w:val="002848AD"/>
    <w:rsid w:val="00284A5E"/>
    <w:rsid w:val="00285154"/>
    <w:rsid w:val="002852BE"/>
    <w:rsid w:val="00285BF2"/>
    <w:rsid w:val="00285C78"/>
    <w:rsid w:val="002863CE"/>
    <w:rsid w:val="002868CF"/>
    <w:rsid w:val="0028702A"/>
    <w:rsid w:val="0028732A"/>
    <w:rsid w:val="00290F01"/>
    <w:rsid w:val="00291035"/>
    <w:rsid w:val="00291492"/>
    <w:rsid w:val="00291527"/>
    <w:rsid w:val="0029199A"/>
    <w:rsid w:val="00291BBE"/>
    <w:rsid w:val="00291FEB"/>
    <w:rsid w:val="002920B3"/>
    <w:rsid w:val="00292DB9"/>
    <w:rsid w:val="00293146"/>
    <w:rsid w:val="0029361E"/>
    <w:rsid w:val="00293D68"/>
    <w:rsid w:val="00293E07"/>
    <w:rsid w:val="0029431E"/>
    <w:rsid w:val="00294352"/>
    <w:rsid w:val="002944A0"/>
    <w:rsid w:val="002946E4"/>
    <w:rsid w:val="0029495C"/>
    <w:rsid w:val="00294CEE"/>
    <w:rsid w:val="002957D9"/>
    <w:rsid w:val="00295B52"/>
    <w:rsid w:val="00296024"/>
    <w:rsid w:val="00296293"/>
    <w:rsid w:val="0029686F"/>
    <w:rsid w:val="00296AF7"/>
    <w:rsid w:val="00296BDD"/>
    <w:rsid w:val="00296D9A"/>
    <w:rsid w:val="002972F9"/>
    <w:rsid w:val="002977CA"/>
    <w:rsid w:val="00297DC9"/>
    <w:rsid w:val="00297ED7"/>
    <w:rsid w:val="002A0007"/>
    <w:rsid w:val="002A03AA"/>
    <w:rsid w:val="002A056D"/>
    <w:rsid w:val="002A0649"/>
    <w:rsid w:val="002A07FE"/>
    <w:rsid w:val="002A094D"/>
    <w:rsid w:val="002A0CAF"/>
    <w:rsid w:val="002A1565"/>
    <w:rsid w:val="002A16A9"/>
    <w:rsid w:val="002A2941"/>
    <w:rsid w:val="002A2DC4"/>
    <w:rsid w:val="002A3E69"/>
    <w:rsid w:val="002A41F7"/>
    <w:rsid w:val="002A44F9"/>
    <w:rsid w:val="002A46D1"/>
    <w:rsid w:val="002A49EF"/>
    <w:rsid w:val="002A4B8B"/>
    <w:rsid w:val="002A4C3D"/>
    <w:rsid w:val="002A5107"/>
    <w:rsid w:val="002A535E"/>
    <w:rsid w:val="002A6406"/>
    <w:rsid w:val="002A6AD0"/>
    <w:rsid w:val="002A6CF0"/>
    <w:rsid w:val="002A6FFC"/>
    <w:rsid w:val="002A7010"/>
    <w:rsid w:val="002A70BA"/>
    <w:rsid w:val="002A7A57"/>
    <w:rsid w:val="002A7BB2"/>
    <w:rsid w:val="002A7DCB"/>
    <w:rsid w:val="002B0B53"/>
    <w:rsid w:val="002B110B"/>
    <w:rsid w:val="002B1617"/>
    <w:rsid w:val="002B194B"/>
    <w:rsid w:val="002B1D11"/>
    <w:rsid w:val="002B273B"/>
    <w:rsid w:val="002B29AA"/>
    <w:rsid w:val="002B2A7E"/>
    <w:rsid w:val="002B2F1B"/>
    <w:rsid w:val="002B4A32"/>
    <w:rsid w:val="002B4C6B"/>
    <w:rsid w:val="002B5AFB"/>
    <w:rsid w:val="002B5F09"/>
    <w:rsid w:val="002B6320"/>
    <w:rsid w:val="002B66AC"/>
    <w:rsid w:val="002B6852"/>
    <w:rsid w:val="002B77E1"/>
    <w:rsid w:val="002C0714"/>
    <w:rsid w:val="002C0A96"/>
    <w:rsid w:val="002C10A8"/>
    <w:rsid w:val="002C1BF4"/>
    <w:rsid w:val="002C1E0D"/>
    <w:rsid w:val="002C2266"/>
    <w:rsid w:val="002C2309"/>
    <w:rsid w:val="002C24D1"/>
    <w:rsid w:val="002C28EB"/>
    <w:rsid w:val="002C3265"/>
    <w:rsid w:val="002C3666"/>
    <w:rsid w:val="002C3AED"/>
    <w:rsid w:val="002C3E56"/>
    <w:rsid w:val="002C414C"/>
    <w:rsid w:val="002C4C2F"/>
    <w:rsid w:val="002C5776"/>
    <w:rsid w:val="002C5CD6"/>
    <w:rsid w:val="002C5EED"/>
    <w:rsid w:val="002C66DE"/>
    <w:rsid w:val="002C70B8"/>
    <w:rsid w:val="002C7193"/>
    <w:rsid w:val="002C7699"/>
    <w:rsid w:val="002C7A49"/>
    <w:rsid w:val="002C7B1A"/>
    <w:rsid w:val="002D0128"/>
    <w:rsid w:val="002D0E85"/>
    <w:rsid w:val="002D0FA7"/>
    <w:rsid w:val="002D12FB"/>
    <w:rsid w:val="002D1306"/>
    <w:rsid w:val="002D172B"/>
    <w:rsid w:val="002D19D1"/>
    <w:rsid w:val="002D1F35"/>
    <w:rsid w:val="002D1F5F"/>
    <w:rsid w:val="002D1FA3"/>
    <w:rsid w:val="002D20CD"/>
    <w:rsid w:val="002D235B"/>
    <w:rsid w:val="002D23C6"/>
    <w:rsid w:val="002D24F0"/>
    <w:rsid w:val="002D25EB"/>
    <w:rsid w:val="002D29F3"/>
    <w:rsid w:val="002D2C75"/>
    <w:rsid w:val="002D3126"/>
    <w:rsid w:val="002D3529"/>
    <w:rsid w:val="002D3BB2"/>
    <w:rsid w:val="002D3D0A"/>
    <w:rsid w:val="002D4770"/>
    <w:rsid w:val="002D478E"/>
    <w:rsid w:val="002D47AE"/>
    <w:rsid w:val="002D4A94"/>
    <w:rsid w:val="002D5CBF"/>
    <w:rsid w:val="002D65FF"/>
    <w:rsid w:val="002D6D10"/>
    <w:rsid w:val="002D71E2"/>
    <w:rsid w:val="002D7367"/>
    <w:rsid w:val="002D7961"/>
    <w:rsid w:val="002D7B6A"/>
    <w:rsid w:val="002D7E36"/>
    <w:rsid w:val="002E0026"/>
    <w:rsid w:val="002E08E8"/>
    <w:rsid w:val="002E0918"/>
    <w:rsid w:val="002E0BAA"/>
    <w:rsid w:val="002E0D08"/>
    <w:rsid w:val="002E0D96"/>
    <w:rsid w:val="002E0EA5"/>
    <w:rsid w:val="002E1E19"/>
    <w:rsid w:val="002E283F"/>
    <w:rsid w:val="002E2854"/>
    <w:rsid w:val="002E2E74"/>
    <w:rsid w:val="002E32D2"/>
    <w:rsid w:val="002E361B"/>
    <w:rsid w:val="002E37AB"/>
    <w:rsid w:val="002E3A80"/>
    <w:rsid w:val="002E41C7"/>
    <w:rsid w:val="002E51DF"/>
    <w:rsid w:val="002E555B"/>
    <w:rsid w:val="002E57B9"/>
    <w:rsid w:val="002E6127"/>
    <w:rsid w:val="002E6885"/>
    <w:rsid w:val="002E6E81"/>
    <w:rsid w:val="002E72E4"/>
    <w:rsid w:val="002E739D"/>
    <w:rsid w:val="002E7DE8"/>
    <w:rsid w:val="002F0F36"/>
    <w:rsid w:val="002F1276"/>
    <w:rsid w:val="002F1986"/>
    <w:rsid w:val="002F1E5F"/>
    <w:rsid w:val="002F2A49"/>
    <w:rsid w:val="002F2CB9"/>
    <w:rsid w:val="002F3550"/>
    <w:rsid w:val="002F3B63"/>
    <w:rsid w:val="002F3C56"/>
    <w:rsid w:val="002F46B0"/>
    <w:rsid w:val="002F4B17"/>
    <w:rsid w:val="002F5150"/>
    <w:rsid w:val="002F5463"/>
    <w:rsid w:val="002F58C2"/>
    <w:rsid w:val="002F5932"/>
    <w:rsid w:val="002F5C85"/>
    <w:rsid w:val="002F603B"/>
    <w:rsid w:val="002F60A0"/>
    <w:rsid w:val="002F6201"/>
    <w:rsid w:val="002F6884"/>
    <w:rsid w:val="002F6A2B"/>
    <w:rsid w:val="002F6CB1"/>
    <w:rsid w:val="002F724B"/>
    <w:rsid w:val="002F72BA"/>
    <w:rsid w:val="00300267"/>
    <w:rsid w:val="003004D2"/>
    <w:rsid w:val="00300674"/>
    <w:rsid w:val="00300C88"/>
    <w:rsid w:val="00300D6B"/>
    <w:rsid w:val="00301380"/>
    <w:rsid w:val="00301392"/>
    <w:rsid w:val="00301E89"/>
    <w:rsid w:val="00302052"/>
    <w:rsid w:val="00302142"/>
    <w:rsid w:val="00302169"/>
    <w:rsid w:val="00302612"/>
    <w:rsid w:val="00302C92"/>
    <w:rsid w:val="00303254"/>
    <w:rsid w:val="00303B08"/>
    <w:rsid w:val="00303E50"/>
    <w:rsid w:val="0030408D"/>
    <w:rsid w:val="003044D9"/>
    <w:rsid w:val="00304D8A"/>
    <w:rsid w:val="00305216"/>
    <w:rsid w:val="0030555B"/>
    <w:rsid w:val="00305BFD"/>
    <w:rsid w:val="003061F5"/>
    <w:rsid w:val="00306D27"/>
    <w:rsid w:val="0030739C"/>
    <w:rsid w:val="00310CC7"/>
    <w:rsid w:val="00310D51"/>
    <w:rsid w:val="00311AAC"/>
    <w:rsid w:val="00311B36"/>
    <w:rsid w:val="00311C92"/>
    <w:rsid w:val="003133AE"/>
    <w:rsid w:val="00313414"/>
    <w:rsid w:val="0031371B"/>
    <w:rsid w:val="00313F2D"/>
    <w:rsid w:val="00314156"/>
    <w:rsid w:val="00314B91"/>
    <w:rsid w:val="00315081"/>
    <w:rsid w:val="0031535B"/>
    <w:rsid w:val="003170F4"/>
    <w:rsid w:val="0031750F"/>
    <w:rsid w:val="0032035D"/>
    <w:rsid w:val="003205E9"/>
    <w:rsid w:val="00320B28"/>
    <w:rsid w:val="0032123E"/>
    <w:rsid w:val="003216D5"/>
    <w:rsid w:val="003216FF"/>
    <w:rsid w:val="00321866"/>
    <w:rsid w:val="00321A83"/>
    <w:rsid w:val="00321C1A"/>
    <w:rsid w:val="00321F6B"/>
    <w:rsid w:val="00322389"/>
    <w:rsid w:val="00322BE5"/>
    <w:rsid w:val="00322E87"/>
    <w:rsid w:val="0032312D"/>
    <w:rsid w:val="00323AA5"/>
    <w:rsid w:val="003242E4"/>
    <w:rsid w:val="0032468D"/>
    <w:rsid w:val="00324926"/>
    <w:rsid w:val="00324B25"/>
    <w:rsid w:val="00324BEB"/>
    <w:rsid w:val="0032522F"/>
    <w:rsid w:val="003253C4"/>
    <w:rsid w:val="0032550F"/>
    <w:rsid w:val="00325992"/>
    <w:rsid w:val="00325B74"/>
    <w:rsid w:val="0032638F"/>
    <w:rsid w:val="00326B59"/>
    <w:rsid w:val="003272C6"/>
    <w:rsid w:val="0032746C"/>
    <w:rsid w:val="003276B4"/>
    <w:rsid w:val="00327752"/>
    <w:rsid w:val="00327C7C"/>
    <w:rsid w:val="00330009"/>
    <w:rsid w:val="003301E6"/>
    <w:rsid w:val="003310AB"/>
    <w:rsid w:val="003314D2"/>
    <w:rsid w:val="00331712"/>
    <w:rsid w:val="00331A3F"/>
    <w:rsid w:val="00332191"/>
    <w:rsid w:val="00332720"/>
    <w:rsid w:val="00332EED"/>
    <w:rsid w:val="003334A7"/>
    <w:rsid w:val="003337E8"/>
    <w:rsid w:val="00333A14"/>
    <w:rsid w:val="00333B2A"/>
    <w:rsid w:val="00333FD5"/>
    <w:rsid w:val="00334124"/>
    <w:rsid w:val="0033459A"/>
    <w:rsid w:val="003350E9"/>
    <w:rsid w:val="003351BA"/>
    <w:rsid w:val="0033520F"/>
    <w:rsid w:val="00335519"/>
    <w:rsid w:val="0033596B"/>
    <w:rsid w:val="00335A93"/>
    <w:rsid w:val="0033650E"/>
    <w:rsid w:val="003366EF"/>
    <w:rsid w:val="00336907"/>
    <w:rsid w:val="003369DF"/>
    <w:rsid w:val="00336C71"/>
    <w:rsid w:val="00336D96"/>
    <w:rsid w:val="00336DFC"/>
    <w:rsid w:val="00337230"/>
    <w:rsid w:val="00337494"/>
    <w:rsid w:val="00337588"/>
    <w:rsid w:val="003377D0"/>
    <w:rsid w:val="00337D75"/>
    <w:rsid w:val="00337FA2"/>
    <w:rsid w:val="00340020"/>
    <w:rsid w:val="0034081A"/>
    <w:rsid w:val="00341162"/>
    <w:rsid w:val="00341866"/>
    <w:rsid w:val="00341D7E"/>
    <w:rsid w:val="00341DAF"/>
    <w:rsid w:val="00342181"/>
    <w:rsid w:val="003432E4"/>
    <w:rsid w:val="0034339B"/>
    <w:rsid w:val="00343560"/>
    <w:rsid w:val="00343A20"/>
    <w:rsid w:val="00343BA6"/>
    <w:rsid w:val="0034402B"/>
    <w:rsid w:val="0034449E"/>
    <w:rsid w:val="0034487C"/>
    <w:rsid w:val="00344D46"/>
    <w:rsid w:val="0034621B"/>
    <w:rsid w:val="003465A5"/>
    <w:rsid w:val="00346817"/>
    <w:rsid w:val="00347440"/>
    <w:rsid w:val="003475EA"/>
    <w:rsid w:val="0034792D"/>
    <w:rsid w:val="00347A27"/>
    <w:rsid w:val="00347CD4"/>
    <w:rsid w:val="00350A55"/>
    <w:rsid w:val="00350DF8"/>
    <w:rsid w:val="00351A8A"/>
    <w:rsid w:val="00351AFB"/>
    <w:rsid w:val="00352541"/>
    <w:rsid w:val="0035266A"/>
    <w:rsid w:val="00352700"/>
    <w:rsid w:val="0035279C"/>
    <w:rsid w:val="00352B23"/>
    <w:rsid w:val="00352C49"/>
    <w:rsid w:val="003534D3"/>
    <w:rsid w:val="003535D2"/>
    <w:rsid w:val="0035384D"/>
    <w:rsid w:val="00353BF0"/>
    <w:rsid w:val="00353C0B"/>
    <w:rsid w:val="00354AE4"/>
    <w:rsid w:val="00354B0A"/>
    <w:rsid w:val="0035551B"/>
    <w:rsid w:val="003555ED"/>
    <w:rsid w:val="00355911"/>
    <w:rsid w:val="0035636B"/>
    <w:rsid w:val="00356714"/>
    <w:rsid w:val="00356B0C"/>
    <w:rsid w:val="00357424"/>
    <w:rsid w:val="0036101A"/>
    <w:rsid w:val="00361789"/>
    <w:rsid w:val="0036196D"/>
    <w:rsid w:val="00361B01"/>
    <w:rsid w:val="00361EEC"/>
    <w:rsid w:val="0036208F"/>
    <w:rsid w:val="003627BD"/>
    <w:rsid w:val="00362997"/>
    <w:rsid w:val="003629B5"/>
    <w:rsid w:val="00362C59"/>
    <w:rsid w:val="00363040"/>
    <w:rsid w:val="003630B7"/>
    <w:rsid w:val="00363275"/>
    <w:rsid w:val="00363786"/>
    <w:rsid w:val="003638A4"/>
    <w:rsid w:val="003639BF"/>
    <w:rsid w:val="00363B74"/>
    <w:rsid w:val="00363DDC"/>
    <w:rsid w:val="00363E41"/>
    <w:rsid w:val="00363ED8"/>
    <w:rsid w:val="00363FD2"/>
    <w:rsid w:val="003644D0"/>
    <w:rsid w:val="003651F5"/>
    <w:rsid w:val="0036572E"/>
    <w:rsid w:val="003663D9"/>
    <w:rsid w:val="003666BF"/>
    <w:rsid w:val="00366707"/>
    <w:rsid w:val="00366C79"/>
    <w:rsid w:val="00366FA9"/>
    <w:rsid w:val="00367E49"/>
    <w:rsid w:val="003700E6"/>
    <w:rsid w:val="00371C86"/>
    <w:rsid w:val="0037236C"/>
    <w:rsid w:val="003729DE"/>
    <w:rsid w:val="003735D3"/>
    <w:rsid w:val="0037386D"/>
    <w:rsid w:val="00373956"/>
    <w:rsid w:val="00373F1E"/>
    <w:rsid w:val="00374153"/>
    <w:rsid w:val="003750E0"/>
    <w:rsid w:val="00375AF1"/>
    <w:rsid w:val="00375C2F"/>
    <w:rsid w:val="00375FC5"/>
    <w:rsid w:val="003769BA"/>
    <w:rsid w:val="00377871"/>
    <w:rsid w:val="003778B2"/>
    <w:rsid w:val="00377AE3"/>
    <w:rsid w:val="00377E58"/>
    <w:rsid w:val="003805E3"/>
    <w:rsid w:val="00380618"/>
    <w:rsid w:val="0038062E"/>
    <w:rsid w:val="003807F7"/>
    <w:rsid w:val="00381610"/>
    <w:rsid w:val="00382106"/>
    <w:rsid w:val="00382657"/>
    <w:rsid w:val="00382B82"/>
    <w:rsid w:val="00383E73"/>
    <w:rsid w:val="003844BF"/>
    <w:rsid w:val="003852BA"/>
    <w:rsid w:val="003854D5"/>
    <w:rsid w:val="0038552A"/>
    <w:rsid w:val="003859EA"/>
    <w:rsid w:val="00386869"/>
    <w:rsid w:val="0038709E"/>
    <w:rsid w:val="00387D30"/>
    <w:rsid w:val="00390A4D"/>
    <w:rsid w:val="00391753"/>
    <w:rsid w:val="00391C7F"/>
    <w:rsid w:val="00392454"/>
    <w:rsid w:val="00392A6C"/>
    <w:rsid w:val="00392C85"/>
    <w:rsid w:val="00392FD8"/>
    <w:rsid w:val="00393A99"/>
    <w:rsid w:val="00393E11"/>
    <w:rsid w:val="00394475"/>
    <w:rsid w:val="00394C48"/>
    <w:rsid w:val="0039517A"/>
    <w:rsid w:val="00395B51"/>
    <w:rsid w:val="00396796"/>
    <w:rsid w:val="00396B28"/>
    <w:rsid w:val="00396EC6"/>
    <w:rsid w:val="00396F3C"/>
    <w:rsid w:val="003970BA"/>
    <w:rsid w:val="0039746C"/>
    <w:rsid w:val="00397DC6"/>
    <w:rsid w:val="003A0E82"/>
    <w:rsid w:val="003A0FAC"/>
    <w:rsid w:val="003A184D"/>
    <w:rsid w:val="003A1C35"/>
    <w:rsid w:val="003A1FB7"/>
    <w:rsid w:val="003A2962"/>
    <w:rsid w:val="003A371E"/>
    <w:rsid w:val="003A462A"/>
    <w:rsid w:val="003A4CE8"/>
    <w:rsid w:val="003A4E6F"/>
    <w:rsid w:val="003A595F"/>
    <w:rsid w:val="003A5EEC"/>
    <w:rsid w:val="003A79AE"/>
    <w:rsid w:val="003A7CA3"/>
    <w:rsid w:val="003B00B6"/>
    <w:rsid w:val="003B01C4"/>
    <w:rsid w:val="003B0BB0"/>
    <w:rsid w:val="003B11EE"/>
    <w:rsid w:val="003B1332"/>
    <w:rsid w:val="003B15F8"/>
    <w:rsid w:val="003B18EB"/>
    <w:rsid w:val="003B1D0D"/>
    <w:rsid w:val="003B230B"/>
    <w:rsid w:val="003B23BC"/>
    <w:rsid w:val="003B2DB5"/>
    <w:rsid w:val="003B2F05"/>
    <w:rsid w:val="003B3966"/>
    <w:rsid w:val="003B39B7"/>
    <w:rsid w:val="003B4EB0"/>
    <w:rsid w:val="003B5F6A"/>
    <w:rsid w:val="003B60B1"/>
    <w:rsid w:val="003B6B7F"/>
    <w:rsid w:val="003B7820"/>
    <w:rsid w:val="003C01A4"/>
    <w:rsid w:val="003C0219"/>
    <w:rsid w:val="003C07FE"/>
    <w:rsid w:val="003C0C12"/>
    <w:rsid w:val="003C16EE"/>
    <w:rsid w:val="003C1C87"/>
    <w:rsid w:val="003C2C85"/>
    <w:rsid w:val="003C2F61"/>
    <w:rsid w:val="003C345E"/>
    <w:rsid w:val="003C4409"/>
    <w:rsid w:val="003C474B"/>
    <w:rsid w:val="003C4997"/>
    <w:rsid w:val="003C4DA5"/>
    <w:rsid w:val="003C5666"/>
    <w:rsid w:val="003C6304"/>
    <w:rsid w:val="003C64F4"/>
    <w:rsid w:val="003C6DE1"/>
    <w:rsid w:val="003C724B"/>
    <w:rsid w:val="003C73DB"/>
    <w:rsid w:val="003D0185"/>
    <w:rsid w:val="003D02CB"/>
    <w:rsid w:val="003D0382"/>
    <w:rsid w:val="003D057A"/>
    <w:rsid w:val="003D069C"/>
    <w:rsid w:val="003D0BC2"/>
    <w:rsid w:val="003D14AE"/>
    <w:rsid w:val="003D16EF"/>
    <w:rsid w:val="003D1816"/>
    <w:rsid w:val="003D191E"/>
    <w:rsid w:val="003D22A5"/>
    <w:rsid w:val="003D22C7"/>
    <w:rsid w:val="003D23A4"/>
    <w:rsid w:val="003D3414"/>
    <w:rsid w:val="003D3426"/>
    <w:rsid w:val="003D353F"/>
    <w:rsid w:val="003D3721"/>
    <w:rsid w:val="003D46BA"/>
    <w:rsid w:val="003D590A"/>
    <w:rsid w:val="003D5F4D"/>
    <w:rsid w:val="003D6722"/>
    <w:rsid w:val="003D69AE"/>
    <w:rsid w:val="003D6E60"/>
    <w:rsid w:val="003D7428"/>
    <w:rsid w:val="003D77F2"/>
    <w:rsid w:val="003D78CC"/>
    <w:rsid w:val="003D7901"/>
    <w:rsid w:val="003D7D01"/>
    <w:rsid w:val="003D7E28"/>
    <w:rsid w:val="003D7ED8"/>
    <w:rsid w:val="003E0003"/>
    <w:rsid w:val="003E0099"/>
    <w:rsid w:val="003E08C7"/>
    <w:rsid w:val="003E0992"/>
    <w:rsid w:val="003E1A72"/>
    <w:rsid w:val="003E2603"/>
    <w:rsid w:val="003E2880"/>
    <w:rsid w:val="003E28FB"/>
    <w:rsid w:val="003E2A00"/>
    <w:rsid w:val="003E382C"/>
    <w:rsid w:val="003E3D00"/>
    <w:rsid w:val="003E3FD6"/>
    <w:rsid w:val="003E4531"/>
    <w:rsid w:val="003E4771"/>
    <w:rsid w:val="003E54A8"/>
    <w:rsid w:val="003E550E"/>
    <w:rsid w:val="003E5833"/>
    <w:rsid w:val="003E5DA8"/>
    <w:rsid w:val="003E7109"/>
    <w:rsid w:val="003E75B1"/>
    <w:rsid w:val="003E77DC"/>
    <w:rsid w:val="003E7BC1"/>
    <w:rsid w:val="003F02C6"/>
    <w:rsid w:val="003F0453"/>
    <w:rsid w:val="003F097D"/>
    <w:rsid w:val="003F0C9F"/>
    <w:rsid w:val="003F144A"/>
    <w:rsid w:val="003F1B02"/>
    <w:rsid w:val="003F1EFE"/>
    <w:rsid w:val="003F1FB5"/>
    <w:rsid w:val="003F2212"/>
    <w:rsid w:val="003F2240"/>
    <w:rsid w:val="003F2460"/>
    <w:rsid w:val="003F2BD1"/>
    <w:rsid w:val="003F2C31"/>
    <w:rsid w:val="003F2E7B"/>
    <w:rsid w:val="003F3932"/>
    <w:rsid w:val="003F39C7"/>
    <w:rsid w:val="003F3CD5"/>
    <w:rsid w:val="003F4473"/>
    <w:rsid w:val="003F4CF5"/>
    <w:rsid w:val="003F4E31"/>
    <w:rsid w:val="003F51EE"/>
    <w:rsid w:val="003F574E"/>
    <w:rsid w:val="003F60C9"/>
    <w:rsid w:val="003F60D6"/>
    <w:rsid w:val="003F68E9"/>
    <w:rsid w:val="003F73EA"/>
    <w:rsid w:val="003F7E15"/>
    <w:rsid w:val="003F7FDA"/>
    <w:rsid w:val="00400623"/>
    <w:rsid w:val="00400DE4"/>
    <w:rsid w:val="004013AD"/>
    <w:rsid w:val="004021C0"/>
    <w:rsid w:val="004028CE"/>
    <w:rsid w:val="0040313D"/>
    <w:rsid w:val="004043FA"/>
    <w:rsid w:val="00404970"/>
    <w:rsid w:val="00405181"/>
    <w:rsid w:val="0040567F"/>
    <w:rsid w:val="00405873"/>
    <w:rsid w:val="00405F09"/>
    <w:rsid w:val="004066F4"/>
    <w:rsid w:val="00406A32"/>
    <w:rsid w:val="0040760B"/>
    <w:rsid w:val="00410117"/>
    <w:rsid w:val="00410C32"/>
    <w:rsid w:val="00410F5A"/>
    <w:rsid w:val="004111FB"/>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3A5"/>
    <w:rsid w:val="00413B02"/>
    <w:rsid w:val="00413D45"/>
    <w:rsid w:val="00414197"/>
    <w:rsid w:val="00414D68"/>
    <w:rsid w:val="00414FD9"/>
    <w:rsid w:val="0041566C"/>
    <w:rsid w:val="00415773"/>
    <w:rsid w:val="00415CAE"/>
    <w:rsid w:val="00415EE7"/>
    <w:rsid w:val="004160FA"/>
    <w:rsid w:val="004161E9"/>
    <w:rsid w:val="004164AE"/>
    <w:rsid w:val="0041669E"/>
    <w:rsid w:val="00416ACA"/>
    <w:rsid w:val="00416C56"/>
    <w:rsid w:val="00417294"/>
    <w:rsid w:val="004176B8"/>
    <w:rsid w:val="00417B99"/>
    <w:rsid w:val="00417CE0"/>
    <w:rsid w:val="004200C1"/>
    <w:rsid w:val="004209D5"/>
    <w:rsid w:val="00420FAF"/>
    <w:rsid w:val="00421184"/>
    <w:rsid w:val="004212C1"/>
    <w:rsid w:val="004214B7"/>
    <w:rsid w:val="00421988"/>
    <w:rsid w:val="00421FB5"/>
    <w:rsid w:val="0042219F"/>
    <w:rsid w:val="004226ED"/>
    <w:rsid w:val="00422AF4"/>
    <w:rsid w:val="004235F4"/>
    <w:rsid w:val="004236C9"/>
    <w:rsid w:val="00423CF3"/>
    <w:rsid w:val="00423E18"/>
    <w:rsid w:val="00424B7C"/>
    <w:rsid w:val="0042500C"/>
    <w:rsid w:val="00425514"/>
    <w:rsid w:val="00425570"/>
    <w:rsid w:val="004256BD"/>
    <w:rsid w:val="00425863"/>
    <w:rsid w:val="00425D02"/>
    <w:rsid w:val="00425EDC"/>
    <w:rsid w:val="00426C3E"/>
    <w:rsid w:val="004275CD"/>
    <w:rsid w:val="0042788C"/>
    <w:rsid w:val="00427FEB"/>
    <w:rsid w:val="00427FF2"/>
    <w:rsid w:val="004305C0"/>
    <w:rsid w:val="00430B20"/>
    <w:rsid w:val="00430B6C"/>
    <w:rsid w:val="0043135D"/>
    <w:rsid w:val="0043227C"/>
    <w:rsid w:val="004335C0"/>
    <w:rsid w:val="00433AFC"/>
    <w:rsid w:val="00434193"/>
    <w:rsid w:val="00435068"/>
    <w:rsid w:val="00435715"/>
    <w:rsid w:val="0043571B"/>
    <w:rsid w:val="00435EE0"/>
    <w:rsid w:val="00435F29"/>
    <w:rsid w:val="0043610C"/>
    <w:rsid w:val="004366FF"/>
    <w:rsid w:val="004376D3"/>
    <w:rsid w:val="0043777D"/>
    <w:rsid w:val="00437D83"/>
    <w:rsid w:val="004401DD"/>
    <w:rsid w:val="00440344"/>
    <w:rsid w:val="00441264"/>
    <w:rsid w:val="00441B0F"/>
    <w:rsid w:val="004425C6"/>
    <w:rsid w:val="00443512"/>
    <w:rsid w:val="00443A55"/>
    <w:rsid w:val="00443CA6"/>
    <w:rsid w:val="00443D5D"/>
    <w:rsid w:val="0044463F"/>
    <w:rsid w:val="00445CBA"/>
    <w:rsid w:val="004463CB"/>
    <w:rsid w:val="004464FF"/>
    <w:rsid w:val="004466F7"/>
    <w:rsid w:val="00446858"/>
    <w:rsid w:val="00447304"/>
    <w:rsid w:val="00450127"/>
    <w:rsid w:val="0045075F"/>
    <w:rsid w:val="004516AD"/>
    <w:rsid w:val="00451E84"/>
    <w:rsid w:val="00451EA3"/>
    <w:rsid w:val="00451F01"/>
    <w:rsid w:val="00452089"/>
    <w:rsid w:val="00453120"/>
    <w:rsid w:val="00453349"/>
    <w:rsid w:val="004546A7"/>
    <w:rsid w:val="00454831"/>
    <w:rsid w:val="004548DF"/>
    <w:rsid w:val="00455B98"/>
    <w:rsid w:val="00455E25"/>
    <w:rsid w:val="00456A08"/>
    <w:rsid w:val="00456CC0"/>
    <w:rsid w:val="0045755C"/>
    <w:rsid w:val="00457933"/>
    <w:rsid w:val="00457A6F"/>
    <w:rsid w:val="00457C78"/>
    <w:rsid w:val="00460136"/>
    <w:rsid w:val="0046071A"/>
    <w:rsid w:val="00460735"/>
    <w:rsid w:val="00460919"/>
    <w:rsid w:val="00460AD5"/>
    <w:rsid w:val="00460EB8"/>
    <w:rsid w:val="00461090"/>
    <w:rsid w:val="004611D5"/>
    <w:rsid w:val="004617D8"/>
    <w:rsid w:val="00461991"/>
    <w:rsid w:val="00461A6B"/>
    <w:rsid w:val="00461C43"/>
    <w:rsid w:val="00462125"/>
    <w:rsid w:val="00463216"/>
    <w:rsid w:val="0046334D"/>
    <w:rsid w:val="0046382E"/>
    <w:rsid w:val="00463848"/>
    <w:rsid w:val="00463BBF"/>
    <w:rsid w:val="00463C95"/>
    <w:rsid w:val="00463E1C"/>
    <w:rsid w:val="00464052"/>
    <w:rsid w:val="004640FB"/>
    <w:rsid w:val="00464C9C"/>
    <w:rsid w:val="00464CAF"/>
    <w:rsid w:val="00464E23"/>
    <w:rsid w:val="00465153"/>
    <w:rsid w:val="00465602"/>
    <w:rsid w:val="004669A6"/>
    <w:rsid w:val="00466AFD"/>
    <w:rsid w:val="00466E99"/>
    <w:rsid w:val="00467D85"/>
    <w:rsid w:val="00470563"/>
    <w:rsid w:val="00470696"/>
    <w:rsid w:val="004713A0"/>
    <w:rsid w:val="004724C9"/>
    <w:rsid w:val="00472585"/>
    <w:rsid w:val="004729FD"/>
    <w:rsid w:val="00473045"/>
    <w:rsid w:val="00473451"/>
    <w:rsid w:val="00474130"/>
    <w:rsid w:val="00475498"/>
    <w:rsid w:val="004754EE"/>
    <w:rsid w:val="00475A6C"/>
    <w:rsid w:val="004764AF"/>
    <w:rsid w:val="00476D04"/>
    <w:rsid w:val="0047775E"/>
    <w:rsid w:val="00477AAE"/>
    <w:rsid w:val="00477AF6"/>
    <w:rsid w:val="00477B3B"/>
    <w:rsid w:val="00477BCB"/>
    <w:rsid w:val="004801A7"/>
    <w:rsid w:val="00480E47"/>
    <w:rsid w:val="00481666"/>
    <w:rsid w:val="0048181B"/>
    <w:rsid w:val="00481F2B"/>
    <w:rsid w:val="004820C5"/>
    <w:rsid w:val="00482198"/>
    <w:rsid w:val="004823D8"/>
    <w:rsid w:val="0048285B"/>
    <w:rsid w:val="00482F20"/>
    <w:rsid w:val="00483196"/>
    <w:rsid w:val="0048340F"/>
    <w:rsid w:val="0048384A"/>
    <w:rsid w:val="0048423C"/>
    <w:rsid w:val="00484449"/>
    <w:rsid w:val="004845A6"/>
    <w:rsid w:val="00484C71"/>
    <w:rsid w:val="004852CE"/>
    <w:rsid w:val="0048540C"/>
    <w:rsid w:val="0048561D"/>
    <w:rsid w:val="00485E2F"/>
    <w:rsid w:val="00485EDD"/>
    <w:rsid w:val="00485F92"/>
    <w:rsid w:val="004860BD"/>
    <w:rsid w:val="004866E1"/>
    <w:rsid w:val="00486C72"/>
    <w:rsid w:val="0049030D"/>
    <w:rsid w:val="0049042A"/>
    <w:rsid w:val="00490954"/>
    <w:rsid w:val="004921DC"/>
    <w:rsid w:val="0049277A"/>
    <w:rsid w:val="00492B38"/>
    <w:rsid w:val="00492FE4"/>
    <w:rsid w:val="00493035"/>
    <w:rsid w:val="00493321"/>
    <w:rsid w:val="004936DE"/>
    <w:rsid w:val="00495396"/>
    <w:rsid w:val="0049544E"/>
    <w:rsid w:val="004954A1"/>
    <w:rsid w:val="00495670"/>
    <w:rsid w:val="0049604B"/>
    <w:rsid w:val="00496AC9"/>
    <w:rsid w:val="004A040E"/>
    <w:rsid w:val="004A042D"/>
    <w:rsid w:val="004A11E0"/>
    <w:rsid w:val="004A1FC5"/>
    <w:rsid w:val="004A2158"/>
    <w:rsid w:val="004A2224"/>
    <w:rsid w:val="004A29A5"/>
    <w:rsid w:val="004A3225"/>
    <w:rsid w:val="004A374A"/>
    <w:rsid w:val="004A395B"/>
    <w:rsid w:val="004A39D9"/>
    <w:rsid w:val="004A3C59"/>
    <w:rsid w:val="004A3FE2"/>
    <w:rsid w:val="004A480D"/>
    <w:rsid w:val="004A4D76"/>
    <w:rsid w:val="004A522F"/>
    <w:rsid w:val="004A5851"/>
    <w:rsid w:val="004A5A91"/>
    <w:rsid w:val="004A5B0F"/>
    <w:rsid w:val="004A5CF1"/>
    <w:rsid w:val="004A66E0"/>
    <w:rsid w:val="004A7AAE"/>
    <w:rsid w:val="004A7D49"/>
    <w:rsid w:val="004A7E17"/>
    <w:rsid w:val="004A7F21"/>
    <w:rsid w:val="004B08DB"/>
    <w:rsid w:val="004B10EC"/>
    <w:rsid w:val="004B1422"/>
    <w:rsid w:val="004B1C0A"/>
    <w:rsid w:val="004B24EB"/>
    <w:rsid w:val="004B29AC"/>
    <w:rsid w:val="004B2A2C"/>
    <w:rsid w:val="004B3C8B"/>
    <w:rsid w:val="004B44A9"/>
    <w:rsid w:val="004B4509"/>
    <w:rsid w:val="004B452A"/>
    <w:rsid w:val="004B4871"/>
    <w:rsid w:val="004B4ADF"/>
    <w:rsid w:val="004B4B0E"/>
    <w:rsid w:val="004B4C00"/>
    <w:rsid w:val="004B4E06"/>
    <w:rsid w:val="004B5493"/>
    <w:rsid w:val="004B5914"/>
    <w:rsid w:val="004B5EEA"/>
    <w:rsid w:val="004B64CA"/>
    <w:rsid w:val="004B6C77"/>
    <w:rsid w:val="004B6D0A"/>
    <w:rsid w:val="004B7995"/>
    <w:rsid w:val="004C02B3"/>
    <w:rsid w:val="004C098E"/>
    <w:rsid w:val="004C0BBE"/>
    <w:rsid w:val="004C0E2F"/>
    <w:rsid w:val="004C1194"/>
    <w:rsid w:val="004C13CB"/>
    <w:rsid w:val="004C222E"/>
    <w:rsid w:val="004C2561"/>
    <w:rsid w:val="004C2806"/>
    <w:rsid w:val="004C2A78"/>
    <w:rsid w:val="004C3ADD"/>
    <w:rsid w:val="004C428E"/>
    <w:rsid w:val="004C4775"/>
    <w:rsid w:val="004C483D"/>
    <w:rsid w:val="004C48A9"/>
    <w:rsid w:val="004C590B"/>
    <w:rsid w:val="004C6326"/>
    <w:rsid w:val="004C63C7"/>
    <w:rsid w:val="004C6D39"/>
    <w:rsid w:val="004C6D98"/>
    <w:rsid w:val="004C7217"/>
    <w:rsid w:val="004C75B5"/>
    <w:rsid w:val="004C7743"/>
    <w:rsid w:val="004C77A7"/>
    <w:rsid w:val="004C7C7C"/>
    <w:rsid w:val="004C7DBE"/>
    <w:rsid w:val="004C7F57"/>
    <w:rsid w:val="004D032B"/>
    <w:rsid w:val="004D039E"/>
    <w:rsid w:val="004D04A3"/>
    <w:rsid w:val="004D0C9F"/>
    <w:rsid w:val="004D15FD"/>
    <w:rsid w:val="004D2369"/>
    <w:rsid w:val="004D2485"/>
    <w:rsid w:val="004D2998"/>
    <w:rsid w:val="004D3A57"/>
    <w:rsid w:val="004D3B2A"/>
    <w:rsid w:val="004D47FF"/>
    <w:rsid w:val="004D4D35"/>
    <w:rsid w:val="004D518F"/>
    <w:rsid w:val="004D54D7"/>
    <w:rsid w:val="004D5BA0"/>
    <w:rsid w:val="004D5BB7"/>
    <w:rsid w:val="004D6053"/>
    <w:rsid w:val="004D61EF"/>
    <w:rsid w:val="004D6FA4"/>
    <w:rsid w:val="004D7C23"/>
    <w:rsid w:val="004D7EBE"/>
    <w:rsid w:val="004E01C6"/>
    <w:rsid w:val="004E0212"/>
    <w:rsid w:val="004E0ADC"/>
    <w:rsid w:val="004E0FB1"/>
    <w:rsid w:val="004E1043"/>
    <w:rsid w:val="004E1DCA"/>
    <w:rsid w:val="004E1F76"/>
    <w:rsid w:val="004E21B4"/>
    <w:rsid w:val="004E252B"/>
    <w:rsid w:val="004E2861"/>
    <w:rsid w:val="004E2A85"/>
    <w:rsid w:val="004E2C09"/>
    <w:rsid w:val="004E3F72"/>
    <w:rsid w:val="004E48A1"/>
    <w:rsid w:val="004E4A78"/>
    <w:rsid w:val="004E4DDB"/>
    <w:rsid w:val="004E551E"/>
    <w:rsid w:val="004E58F6"/>
    <w:rsid w:val="004E5E37"/>
    <w:rsid w:val="004E5E4C"/>
    <w:rsid w:val="004E623E"/>
    <w:rsid w:val="004E6CF9"/>
    <w:rsid w:val="004E734E"/>
    <w:rsid w:val="004E7EC0"/>
    <w:rsid w:val="004E7F48"/>
    <w:rsid w:val="004F014E"/>
    <w:rsid w:val="004F05D0"/>
    <w:rsid w:val="004F0BC6"/>
    <w:rsid w:val="004F1123"/>
    <w:rsid w:val="004F1715"/>
    <w:rsid w:val="004F17DA"/>
    <w:rsid w:val="004F184C"/>
    <w:rsid w:val="004F2927"/>
    <w:rsid w:val="004F3BD2"/>
    <w:rsid w:val="004F4372"/>
    <w:rsid w:val="004F43E0"/>
    <w:rsid w:val="004F45EB"/>
    <w:rsid w:val="004F521B"/>
    <w:rsid w:val="004F52BB"/>
    <w:rsid w:val="004F53BF"/>
    <w:rsid w:val="004F5582"/>
    <w:rsid w:val="004F59B8"/>
    <w:rsid w:val="004F5BD9"/>
    <w:rsid w:val="004F62A7"/>
    <w:rsid w:val="004F62F9"/>
    <w:rsid w:val="004F66B3"/>
    <w:rsid w:val="004F674C"/>
    <w:rsid w:val="004F7352"/>
    <w:rsid w:val="004F7EE2"/>
    <w:rsid w:val="0050015C"/>
    <w:rsid w:val="00500418"/>
    <w:rsid w:val="00500CCF"/>
    <w:rsid w:val="00500E62"/>
    <w:rsid w:val="005010DE"/>
    <w:rsid w:val="005011FD"/>
    <w:rsid w:val="0050164B"/>
    <w:rsid w:val="00502958"/>
    <w:rsid w:val="00502BD2"/>
    <w:rsid w:val="00502DA4"/>
    <w:rsid w:val="00503F83"/>
    <w:rsid w:val="0050421C"/>
    <w:rsid w:val="00504A9B"/>
    <w:rsid w:val="00504D4C"/>
    <w:rsid w:val="00504E9A"/>
    <w:rsid w:val="00504F83"/>
    <w:rsid w:val="005059B9"/>
    <w:rsid w:val="00505F64"/>
    <w:rsid w:val="00506DCD"/>
    <w:rsid w:val="00507325"/>
    <w:rsid w:val="00507C56"/>
    <w:rsid w:val="00507F13"/>
    <w:rsid w:val="00510809"/>
    <w:rsid w:val="005109D4"/>
    <w:rsid w:val="00510CF4"/>
    <w:rsid w:val="0051160A"/>
    <w:rsid w:val="005118BA"/>
    <w:rsid w:val="00512D87"/>
    <w:rsid w:val="005130DA"/>
    <w:rsid w:val="00513998"/>
    <w:rsid w:val="00513DDA"/>
    <w:rsid w:val="00513E19"/>
    <w:rsid w:val="005148B4"/>
    <w:rsid w:val="00514B29"/>
    <w:rsid w:val="00514C19"/>
    <w:rsid w:val="005152B1"/>
    <w:rsid w:val="005152F0"/>
    <w:rsid w:val="00515856"/>
    <w:rsid w:val="00515EEE"/>
    <w:rsid w:val="005163E6"/>
    <w:rsid w:val="00516648"/>
    <w:rsid w:val="005167B6"/>
    <w:rsid w:val="005172EC"/>
    <w:rsid w:val="0051740D"/>
    <w:rsid w:val="00517888"/>
    <w:rsid w:val="005178CE"/>
    <w:rsid w:val="00521CAB"/>
    <w:rsid w:val="005224EF"/>
    <w:rsid w:val="00522654"/>
    <w:rsid w:val="00522835"/>
    <w:rsid w:val="0052293D"/>
    <w:rsid w:val="00522AF4"/>
    <w:rsid w:val="00522B93"/>
    <w:rsid w:val="00523499"/>
    <w:rsid w:val="00523BC7"/>
    <w:rsid w:val="00523C08"/>
    <w:rsid w:val="00523C10"/>
    <w:rsid w:val="00523FEE"/>
    <w:rsid w:val="005245D5"/>
    <w:rsid w:val="00524889"/>
    <w:rsid w:val="0052575D"/>
    <w:rsid w:val="00525A53"/>
    <w:rsid w:val="00525C1F"/>
    <w:rsid w:val="00526569"/>
    <w:rsid w:val="00526684"/>
    <w:rsid w:val="00526726"/>
    <w:rsid w:val="00527256"/>
    <w:rsid w:val="00527B57"/>
    <w:rsid w:val="00527C8D"/>
    <w:rsid w:val="0053021B"/>
    <w:rsid w:val="00530AC4"/>
    <w:rsid w:val="00530EA5"/>
    <w:rsid w:val="00532115"/>
    <w:rsid w:val="00532129"/>
    <w:rsid w:val="0053265B"/>
    <w:rsid w:val="00533169"/>
    <w:rsid w:val="00533194"/>
    <w:rsid w:val="005332C8"/>
    <w:rsid w:val="0053464E"/>
    <w:rsid w:val="005346C8"/>
    <w:rsid w:val="005352C8"/>
    <w:rsid w:val="005354C1"/>
    <w:rsid w:val="00535F99"/>
    <w:rsid w:val="00536356"/>
    <w:rsid w:val="00536CBB"/>
    <w:rsid w:val="00536DDD"/>
    <w:rsid w:val="00537033"/>
    <w:rsid w:val="00537085"/>
    <w:rsid w:val="00540A37"/>
    <w:rsid w:val="00540B49"/>
    <w:rsid w:val="005413A3"/>
    <w:rsid w:val="005418DB"/>
    <w:rsid w:val="005434EA"/>
    <w:rsid w:val="005450BF"/>
    <w:rsid w:val="00545D55"/>
    <w:rsid w:val="005461AB"/>
    <w:rsid w:val="00546C6A"/>
    <w:rsid w:val="00546FBA"/>
    <w:rsid w:val="0054782D"/>
    <w:rsid w:val="00547F04"/>
    <w:rsid w:val="00550924"/>
    <w:rsid w:val="00550D63"/>
    <w:rsid w:val="00550EF1"/>
    <w:rsid w:val="00551075"/>
    <w:rsid w:val="005513C8"/>
    <w:rsid w:val="0055248E"/>
    <w:rsid w:val="0055352C"/>
    <w:rsid w:val="00553672"/>
    <w:rsid w:val="005538A6"/>
    <w:rsid w:val="00554F94"/>
    <w:rsid w:val="00555161"/>
    <w:rsid w:val="0055593F"/>
    <w:rsid w:val="00555DE6"/>
    <w:rsid w:val="00555EB3"/>
    <w:rsid w:val="005567F6"/>
    <w:rsid w:val="00556E29"/>
    <w:rsid w:val="00557474"/>
    <w:rsid w:val="005575C9"/>
    <w:rsid w:val="00557DAA"/>
    <w:rsid w:val="00557DAD"/>
    <w:rsid w:val="00560304"/>
    <w:rsid w:val="00560A50"/>
    <w:rsid w:val="00561138"/>
    <w:rsid w:val="00561699"/>
    <w:rsid w:val="0056194F"/>
    <w:rsid w:val="005619E1"/>
    <w:rsid w:val="00562629"/>
    <w:rsid w:val="005628FE"/>
    <w:rsid w:val="0056330E"/>
    <w:rsid w:val="0056364B"/>
    <w:rsid w:val="00564191"/>
    <w:rsid w:val="00564557"/>
    <w:rsid w:val="0056458C"/>
    <w:rsid w:val="00564628"/>
    <w:rsid w:val="005648B9"/>
    <w:rsid w:val="00564A3C"/>
    <w:rsid w:val="00564F82"/>
    <w:rsid w:val="005653AF"/>
    <w:rsid w:val="00565501"/>
    <w:rsid w:val="00565755"/>
    <w:rsid w:val="0056601E"/>
    <w:rsid w:val="00566406"/>
    <w:rsid w:val="00566538"/>
    <w:rsid w:val="0056725A"/>
    <w:rsid w:val="0056741F"/>
    <w:rsid w:val="00567647"/>
    <w:rsid w:val="0056781B"/>
    <w:rsid w:val="00567BE2"/>
    <w:rsid w:val="00570102"/>
    <w:rsid w:val="00570505"/>
    <w:rsid w:val="005712E6"/>
    <w:rsid w:val="00571A4B"/>
    <w:rsid w:val="00572942"/>
    <w:rsid w:val="005730DB"/>
    <w:rsid w:val="00573251"/>
    <w:rsid w:val="005733A8"/>
    <w:rsid w:val="00573B5B"/>
    <w:rsid w:val="00573F55"/>
    <w:rsid w:val="00574251"/>
    <w:rsid w:val="0057540E"/>
    <w:rsid w:val="005757B6"/>
    <w:rsid w:val="00576C7B"/>
    <w:rsid w:val="00576EB8"/>
    <w:rsid w:val="0058000F"/>
    <w:rsid w:val="00580557"/>
    <w:rsid w:val="0058074F"/>
    <w:rsid w:val="005808F3"/>
    <w:rsid w:val="00580A76"/>
    <w:rsid w:val="00581042"/>
    <w:rsid w:val="00581703"/>
    <w:rsid w:val="00581B15"/>
    <w:rsid w:val="005821DD"/>
    <w:rsid w:val="00582E42"/>
    <w:rsid w:val="00583908"/>
    <w:rsid w:val="005842FB"/>
    <w:rsid w:val="00584757"/>
    <w:rsid w:val="00584B96"/>
    <w:rsid w:val="00584E21"/>
    <w:rsid w:val="005855D4"/>
    <w:rsid w:val="005856D5"/>
    <w:rsid w:val="0058608B"/>
    <w:rsid w:val="005863C1"/>
    <w:rsid w:val="0058654D"/>
    <w:rsid w:val="00586786"/>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41E1"/>
    <w:rsid w:val="005943E2"/>
    <w:rsid w:val="005946A0"/>
    <w:rsid w:val="00594B8A"/>
    <w:rsid w:val="00595009"/>
    <w:rsid w:val="005954B7"/>
    <w:rsid w:val="00595A05"/>
    <w:rsid w:val="00595F17"/>
    <w:rsid w:val="00595F3D"/>
    <w:rsid w:val="00595F89"/>
    <w:rsid w:val="00596873"/>
    <w:rsid w:val="00596BB3"/>
    <w:rsid w:val="00596BD4"/>
    <w:rsid w:val="00596FA8"/>
    <w:rsid w:val="005971A7"/>
    <w:rsid w:val="00597310"/>
    <w:rsid w:val="0059759C"/>
    <w:rsid w:val="005977AB"/>
    <w:rsid w:val="005A01C5"/>
    <w:rsid w:val="005A0201"/>
    <w:rsid w:val="005A0532"/>
    <w:rsid w:val="005A07E7"/>
    <w:rsid w:val="005A0A57"/>
    <w:rsid w:val="005A0B9F"/>
    <w:rsid w:val="005A0DBB"/>
    <w:rsid w:val="005A0EBD"/>
    <w:rsid w:val="005A1270"/>
    <w:rsid w:val="005A1295"/>
    <w:rsid w:val="005A1FBF"/>
    <w:rsid w:val="005A2081"/>
    <w:rsid w:val="005A28A6"/>
    <w:rsid w:val="005A29B1"/>
    <w:rsid w:val="005A2EBF"/>
    <w:rsid w:val="005A311E"/>
    <w:rsid w:val="005A380B"/>
    <w:rsid w:val="005A4890"/>
    <w:rsid w:val="005A49D4"/>
    <w:rsid w:val="005A4D7C"/>
    <w:rsid w:val="005A51C9"/>
    <w:rsid w:val="005A5DC0"/>
    <w:rsid w:val="005A6B6D"/>
    <w:rsid w:val="005A6F0E"/>
    <w:rsid w:val="005A6F57"/>
    <w:rsid w:val="005A7079"/>
    <w:rsid w:val="005A7235"/>
    <w:rsid w:val="005A795B"/>
    <w:rsid w:val="005A7A1A"/>
    <w:rsid w:val="005A7BAF"/>
    <w:rsid w:val="005B0652"/>
    <w:rsid w:val="005B1213"/>
    <w:rsid w:val="005B1329"/>
    <w:rsid w:val="005B1512"/>
    <w:rsid w:val="005B1B55"/>
    <w:rsid w:val="005B1DBD"/>
    <w:rsid w:val="005B2769"/>
    <w:rsid w:val="005B3B2D"/>
    <w:rsid w:val="005B3EBD"/>
    <w:rsid w:val="005B4669"/>
    <w:rsid w:val="005B48E8"/>
    <w:rsid w:val="005B56D9"/>
    <w:rsid w:val="005B592D"/>
    <w:rsid w:val="005B5BA3"/>
    <w:rsid w:val="005B5E62"/>
    <w:rsid w:val="005B727B"/>
    <w:rsid w:val="005B7341"/>
    <w:rsid w:val="005B778C"/>
    <w:rsid w:val="005B7E97"/>
    <w:rsid w:val="005B7F46"/>
    <w:rsid w:val="005C09A7"/>
    <w:rsid w:val="005C102D"/>
    <w:rsid w:val="005C132C"/>
    <w:rsid w:val="005C17FB"/>
    <w:rsid w:val="005C1833"/>
    <w:rsid w:val="005C1838"/>
    <w:rsid w:val="005C18C2"/>
    <w:rsid w:val="005C1D93"/>
    <w:rsid w:val="005C2063"/>
    <w:rsid w:val="005C244F"/>
    <w:rsid w:val="005C2767"/>
    <w:rsid w:val="005C2922"/>
    <w:rsid w:val="005C2F60"/>
    <w:rsid w:val="005C323D"/>
    <w:rsid w:val="005C3772"/>
    <w:rsid w:val="005C39C3"/>
    <w:rsid w:val="005C4229"/>
    <w:rsid w:val="005C4580"/>
    <w:rsid w:val="005C5065"/>
    <w:rsid w:val="005C52F3"/>
    <w:rsid w:val="005C564C"/>
    <w:rsid w:val="005C6234"/>
    <w:rsid w:val="005C62DB"/>
    <w:rsid w:val="005C6400"/>
    <w:rsid w:val="005C6605"/>
    <w:rsid w:val="005C71A0"/>
    <w:rsid w:val="005C73D6"/>
    <w:rsid w:val="005C751C"/>
    <w:rsid w:val="005C7802"/>
    <w:rsid w:val="005C7B50"/>
    <w:rsid w:val="005C7E73"/>
    <w:rsid w:val="005D029E"/>
    <w:rsid w:val="005D0427"/>
    <w:rsid w:val="005D0776"/>
    <w:rsid w:val="005D07AE"/>
    <w:rsid w:val="005D0B55"/>
    <w:rsid w:val="005D0C83"/>
    <w:rsid w:val="005D113B"/>
    <w:rsid w:val="005D1732"/>
    <w:rsid w:val="005D1BAC"/>
    <w:rsid w:val="005D2D9A"/>
    <w:rsid w:val="005D3A6E"/>
    <w:rsid w:val="005D3B21"/>
    <w:rsid w:val="005D4019"/>
    <w:rsid w:val="005D41DC"/>
    <w:rsid w:val="005D43C3"/>
    <w:rsid w:val="005D460F"/>
    <w:rsid w:val="005D4638"/>
    <w:rsid w:val="005D4D7D"/>
    <w:rsid w:val="005D4D9A"/>
    <w:rsid w:val="005D4DC5"/>
    <w:rsid w:val="005D5C22"/>
    <w:rsid w:val="005D5E6C"/>
    <w:rsid w:val="005D63A9"/>
    <w:rsid w:val="005D65D5"/>
    <w:rsid w:val="005D6C56"/>
    <w:rsid w:val="005D6C9A"/>
    <w:rsid w:val="005D6F49"/>
    <w:rsid w:val="005D7E8A"/>
    <w:rsid w:val="005E06FA"/>
    <w:rsid w:val="005E11A5"/>
    <w:rsid w:val="005E13D4"/>
    <w:rsid w:val="005E1435"/>
    <w:rsid w:val="005E21F3"/>
    <w:rsid w:val="005E235C"/>
    <w:rsid w:val="005E3078"/>
    <w:rsid w:val="005E34C0"/>
    <w:rsid w:val="005E3D71"/>
    <w:rsid w:val="005E44F1"/>
    <w:rsid w:val="005E49CA"/>
    <w:rsid w:val="005E4D52"/>
    <w:rsid w:val="005E5427"/>
    <w:rsid w:val="005E5428"/>
    <w:rsid w:val="005E5A7C"/>
    <w:rsid w:val="005E5C33"/>
    <w:rsid w:val="005E5F53"/>
    <w:rsid w:val="005E6976"/>
    <w:rsid w:val="005E6E12"/>
    <w:rsid w:val="005E70CD"/>
    <w:rsid w:val="005E74B3"/>
    <w:rsid w:val="005E74EC"/>
    <w:rsid w:val="005E7AB6"/>
    <w:rsid w:val="005E7B1E"/>
    <w:rsid w:val="005E7CBC"/>
    <w:rsid w:val="005E7CE2"/>
    <w:rsid w:val="005F0A62"/>
    <w:rsid w:val="005F0FA8"/>
    <w:rsid w:val="005F1C5D"/>
    <w:rsid w:val="005F222B"/>
    <w:rsid w:val="005F2317"/>
    <w:rsid w:val="005F2550"/>
    <w:rsid w:val="005F297E"/>
    <w:rsid w:val="005F2B2D"/>
    <w:rsid w:val="005F2D9C"/>
    <w:rsid w:val="005F2FD5"/>
    <w:rsid w:val="005F340A"/>
    <w:rsid w:val="005F3AE8"/>
    <w:rsid w:val="005F3B09"/>
    <w:rsid w:val="005F3B47"/>
    <w:rsid w:val="005F47C1"/>
    <w:rsid w:val="005F4926"/>
    <w:rsid w:val="005F4B6F"/>
    <w:rsid w:val="005F5009"/>
    <w:rsid w:val="005F5054"/>
    <w:rsid w:val="005F530F"/>
    <w:rsid w:val="005F5FB1"/>
    <w:rsid w:val="005F65D9"/>
    <w:rsid w:val="005F6768"/>
    <w:rsid w:val="005F69CF"/>
    <w:rsid w:val="005F6E39"/>
    <w:rsid w:val="005F6E58"/>
    <w:rsid w:val="005F704C"/>
    <w:rsid w:val="005F7A22"/>
    <w:rsid w:val="005F7B9D"/>
    <w:rsid w:val="00600501"/>
    <w:rsid w:val="006006CD"/>
    <w:rsid w:val="00600B0C"/>
    <w:rsid w:val="00601078"/>
    <w:rsid w:val="006024DA"/>
    <w:rsid w:val="00602543"/>
    <w:rsid w:val="0060254C"/>
    <w:rsid w:val="00602DFA"/>
    <w:rsid w:val="006031D1"/>
    <w:rsid w:val="006033BF"/>
    <w:rsid w:val="00603702"/>
    <w:rsid w:val="00603B4B"/>
    <w:rsid w:val="00603F20"/>
    <w:rsid w:val="006042BD"/>
    <w:rsid w:val="00604A11"/>
    <w:rsid w:val="00604F37"/>
    <w:rsid w:val="0060508A"/>
    <w:rsid w:val="006055AF"/>
    <w:rsid w:val="00605942"/>
    <w:rsid w:val="00605C9F"/>
    <w:rsid w:val="00606814"/>
    <w:rsid w:val="006068E8"/>
    <w:rsid w:val="00606ADB"/>
    <w:rsid w:val="006072DE"/>
    <w:rsid w:val="006075F4"/>
    <w:rsid w:val="006078A8"/>
    <w:rsid w:val="00607BAD"/>
    <w:rsid w:val="00607EC7"/>
    <w:rsid w:val="0061048A"/>
    <w:rsid w:val="006104F8"/>
    <w:rsid w:val="00610AE7"/>
    <w:rsid w:val="00610BEE"/>
    <w:rsid w:val="00611178"/>
    <w:rsid w:val="0061148D"/>
    <w:rsid w:val="00611D01"/>
    <w:rsid w:val="006124B3"/>
    <w:rsid w:val="00612611"/>
    <w:rsid w:val="0061279A"/>
    <w:rsid w:val="00612BCA"/>
    <w:rsid w:val="00613009"/>
    <w:rsid w:val="006132EA"/>
    <w:rsid w:val="0061401C"/>
    <w:rsid w:val="0061420B"/>
    <w:rsid w:val="00614931"/>
    <w:rsid w:val="00614D33"/>
    <w:rsid w:val="0061537D"/>
    <w:rsid w:val="0061537F"/>
    <w:rsid w:val="00615DEA"/>
    <w:rsid w:val="00616A60"/>
    <w:rsid w:val="00616DC8"/>
    <w:rsid w:val="00616EE6"/>
    <w:rsid w:val="006171FB"/>
    <w:rsid w:val="00617A2A"/>
    <w:rsid w:val="006207F4"/>
    <w:rsid w:val="00620C67"/>
    <w:rsid w:val="00621646"/>
    <w:rsid w:val="00621803"/>
    <w:rsid w:val="006220F1"/>
    <w:rsid w:val="00623C68"/>
    <w:rsid w:val="00623E46"/>
    <w:rsid w:val="00624604"/>
    <w:rsid w:val="00624D2C"/>
    <w:rsid w:val="00624EF1"/>
    <w:rsid w:val="00625145"/>
    <w:rsid w:val="00627402"/>
    <w:rsid w:val="00630480"/>
    <w:rsid w:val="0063058E"/>
    <w:rsid w:val="006305F8"/>
    <w:rsid w:val="00631DA7"/>
    <w:rsid w:val="00632B1C"/>
    <w:rsid w:val="00632B9C"/>
    <w:rsid w:val="00632F18"/>
    <w:rsid w:val="006332D7"/>
    <w:rsid w:val="0063333D"/>
    <w:rsid w:val="00634225"/>
    <w:rsid w:val="00635003"/>
    <w:rsid w:val="006351CE"/>
    <w:rsid w:val="006352FD"/>
    <w:rsid w:val="00635B15"/>
    <w:rsid w:val="006362E1"/>
    <w:rsid w:val="006367DA"/>
    <w:rsid w:val="00636FAD"/>
    <w:rsid w:val="006370E1"/>
    <w:rsid w:val="006375B2"/>
    <w:rsid w:val="006375BB"/>
    <w:rsid w:val="006379DE"/>
    <w:rsid w:val="00637E3A"/>
    <w:rsid w:val="006407FE"/>
    <w:rsid w:val="006409EE"/>
    <w:rsid w:val="00640BF7"/>
    <w:rsid w:val="00640C7D"/>
    <w:rsid w:val="00640E7E"/>
    <w:rsid w:val="00640FFF"/>
    <w:rsid w:val="006413E7"/>
    <w:rsid w:val="00641761"/>
    <w:rsid w:val="006421D9"/>
    <w:rsid w:val="006424FE"/>
    <w:rsid w:val="006425FC"/>
    <w:rsid w:val="00642631"/>
    <w:rsid w:val="00642C3C"/>
    <w:rsid w:val="00642DF5"/>
    <w:rsid w:val="0064304A"/>
    <w:rsid w:val="0064329C"/>
    <w:rsid w:val="0064380B"/>
    <w:rsid w:val="00643A4F"/>
    <w:rsid w:val="00643FF5"/>
    <w:rsid w:val="006441FD"/>
    <w:rsid w:val="00644E5A"/>
    <w:rsid w:val="00644F2C"/>
    <w:rsid w:val="00645141"/>
    <w:rsid w:val="00645AEE"/>
    <w:rsid w:val="00646428"/>
    <w:rsid w:val="0064707F"/>
    <w:rsid w:val="006471E8"/>
    <w:rsid w:val="00647E90"/>
    <w:rsid w:val="00647FA3"/>
    <w:rsid w:val="006500F7"/>
    <w:rsid w:val="00650769"/>
    <w:rsid w:val="00650DF8"/>
    <w:rsid w:val="00651486"/>
    <w:rsid w:val="006516B7"/>
    <w:rsid w:val="006518E4"/>
    <w:rsid w:val="00651FB8"/>
    <w:rsid w:val="00652BA0"/>
    <w:rsid w:val="00652DF6"/>
    <w:rsid w:val="00652FCA"/>
    <w:rsid w:val="00653045"/>
    <w:rsid w:val="00653A25"/>
    <w:rsid w:val="00653D93"/>
    <w:rsid w:val="00653FDA"/>
    <w:rsid w:val="006541A0"/>
    <w:rsid w:val="00654218"/>
    <w:rsid w:val="00654E99"/>
    <w:rsid w:val="00655104"/>
    <w:rsid w:val="0065548F"/>
    <w:rsid w:val="0065558B"/>
    <w:rsid w:val="006555C8"/>
    <w:rsid w:val="00655633"/>
    <w:rsid w:val="006559BB"/>
    <w:rsid w:val="00655A93"/>
    <w:rsid w:val="00655D93"/>
    <w:rsid w:val="00655E86"/>
    <w:rsid w:val="00656614"/>
    <w:rsid w:val="00656AC2"/>
    <w:rsid w:val="00656C4D"/>
    <w:rsid w:val="006575D1"/>
    <w:rsid w:val="006577CD"/>
    <w:rsid w:val="006578A6"/>
    <w:rsid w:val="00657CCC"/>
    <w:rsid w:val="00660162"/>
    <w:rsid w:val="0066036D"/>
    <w:rsid w:val="006604FA"/>
    <w:rsid w:val="00660879"/>
    <w:rsid w:val="00661639"/>
    <w:rsid w:val="0066174D"/>
    <w:rsid w:val="00661E36"/>
    <w:rsid w:val="00661F03"/>
    <w:rsid w:val="00662923"/>
    <w:rsid w:val="006631D3"/>
    <w:rsid w:val="00663D0F"/>
    <w:rsid w:val="00664525"/>
    <w:rsid w:val="0066465B"/>
    <w:rsid w:val="00664C81"/>
    <w:rsid w:val="0066521A"/>
    <w:rsid w:val="0066540C"/>
    <w:rsid w:val="00665EAE"/>
    <w:rsid w:val="006661EA"/>
    <w:rsid w:val="00666909"/>
    <w:rsid w:val="00666C93"/>
    <w:rsid w:val="00666EBC"/>
    <w:rsid w:val="00667034"/>
    <w:rsid w:val="00667189"/>
    <w:rsid w:val="0066749E"/>
    <w:rsid w:val="00667B4B"/>
    <w:rsid w:val="00667CCB"/>
    <w:rsid w:val="00667EFD"/>
    <w:rsid w:val="00670475"/>
    <w:rsid w:val="00670B8C"/>
    <w:rsid w:val="00670C4A"/>
    <w:rsid w:val="00671084"/>
    <w:rsid w:val="00671223"/>
    <w:rsid w:val="006716A0"/>
    <w:rsid w:val="00671F3E"/>
    <w:rsid w:val="00672482"/>
    <w:rsid w:val="00672A18"/>
    <w:rsid w:val="006735D0"/>
    <w:rsid w:val="006739E9"/>
    <w:rsid w:val="00674AF5"/>
    <w:rsid w:val="00674D52"/>
    <w:rsid w:val="00674F93"/>
    <w:rsid w:val="0067546F"/>
    <w:rsid w:val="00675A94"/>
    <w:rsid w:val="00676CE4"/>
    <w:rsid w:val="00676EC2"/>
    <w:rsid w:val="00676FA5"/>
    <w:rsid w:val="006771A4"/>
    <w:rsid w:val="006771AD"/>
    <w:rsid w:val="006774A8"/>
    <w:rsid w:val="00677572"/>
    <w:rsid w:val="00681229"/>
    <w:rsid w:val="0068185E"/>
    <w:rsid w:val="00681BE5"/>
    <w:rsid w:val="00681E30"/>
    <w:rsid w:val="0068212E"/>
    <w:rsid w:val="00682E5D"/>
    <w:rsid w:val="0068379B"/>
    <w:rsid w:val="00683D98"/>
    <w:rsid w:val="00683D99"/>
    <w:rsid w:val="00684079"/>
    <w:rsid w:val="00684361"/>
    <w:rsid w:val="0068629B"/>
    <w:rsid w:val="00686C12"/>
    <w:rsid w:val="00686D75"/>
    <w:rsid w:val="0068736A"/>
    <w:rsid w:val="00687D17"/>
    <w:rsid w:val="00690024"/>
    <w:rsid w:val="0069017D"/>
    <w:rsid w:val="006903A4"/>
    <w:rsid w:val="00690883"/>
    <w:rsid w:val="00690CAA"/>
    <w:rsid w:val="00690E5A"/>
    <w:rsid w:val="00690EFB"/>
    <w:rsid w:val="006911F9"/>
    <w:rsid w:val="006912CB"/>
    <w:rsid w:val="0069137B"/>
    <w:rsid w:val="006913EC"/>
    <w:rsid w:val="006914B7"/>
    <w:rsid w:val="00691742"/>
    <w:rsid w:val="00691DEE"/>
    <w:rsid w:val="00692147"/>
    <w:rsid w:val="00692242"/>
    <w:rsid w:val="0069236E"/>
    <w:rsid w:val="00692704"/>
    <w:rsid w:val="00692E67"/>
    <w:rsid w:val="00693ACF"/>
    <w:rsid w:val="00693EE5"/>
    <w:rsid w:val="00693FBC"/>
    <w:rsid w:val="006944C5"/>
    <w:rsid w:val="00694A7E"/>
    <w:rsid w:val="00694B8D"/>
    <w:rsid w:val="0069561C"/>
    <w:rsid w:val="00695634"/>
    <w:rsid w:val="0069600D"/>
    <w:rsid w:val="00696143"/>
    <w:rsid w:val="006963AE"/>
    <w:rsid w:val="0069640F"/>
    <w:rsid w:val="00696B07"/>
    <w:rsid w:val="00697053"/>
    <w:rsid w:val="006976BE"/>
    <w:rsid w:val="006A066A"/>
    <w:rsid w:val="006A06CA"/>
    <w:rsid w:val="006A083E"/>
    <w:rsid w:val="006A0FFD"/>
    <w:rsid w:val="006A1170"/>
    <w:rsid w:val="006A14A3"/>
    <w:rsid w:val="006A159D"/>
    <w:rsid w:val="006A18BF"/>
    <w:rsid w:val="006A1F58"/>
    <w:rsid w:val="006A242E"/>
    <w:rsid w:val="006A26AB"/>
    <w:rsid w:val="006A298D"/>
    <w:rsid w:val="006A2F80"/>
    <w:rsid w:val="006A340A"/>
    <w:rsid w:val="006A3FD6"/>
    <w:rsid w:val="006A4076"/>
    <w:rsid w:val="006A4184"/>
    <w:rsid w:val="006A436F"/>
    <w:rsid w:val="006A4E1F"/>
    <w:rsid w:val="006A4E5B"/>
    <w:rsid w:val="006A59D8"/>
    <w:rsid w:val="006A5A45"/>
    <w:rsid w:val="006A5C13"/>
    <w:rsid w:val="006A608E"/>
    <w:rsid w:val="006A64D8"/>
    <w:rsid w:val="006A6B7B"/>
    <w:rsid w:val="006A73D2"/>
    <w:rsid w:val="006A78F8"/>
    <w:rsid w:val="006A7991"/>
    <w:rsid w:val="006A7C26"/>
    <w:rsid w:val="006A7E27"/>
    <w:rsid w:val="006B010E"/>
    <w:rsid w:val="006B0473"/>
    <w:rsid w:val="006B091F"/>
    <w:rsid w:val="006B0B2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0DA"/>
    <w:rsid w:val="006B52B4"/>
    <w:rsid w:val="006B53DC"/>
    <w:rsid w:val="006B5423"/>
    <w:rsid w:val="006B5855"/>
    <w:rsid w:val="006B5AB2"/>
    <w:rsid w:val="006B5C67"/>
    <w:rsid w:val="006B613F"/>
    <w:rsid w:val="006B6B5D"/>
    <w:rsid w:val="006B6C0D"/>
    <w:rsid w:val="006B7825"/>
    <w:rsid w:val="006B7D68"/>
    <w:rsid w:val="006C033F"/>
    <w:rsid w:val="006C0421"/>
    <w:rsid w:val="006C1818"/>
    <w:rsid w:val="006C1F8B"/>
    <w:rsid w:val="006C2721"/>
    <w:rsid w:val="006C323A"/>
    <w:rsid w:val="006C3868"/>
    <w:rsid w:val="006C38FF"/>
    <w:rsid w:val="006C39EC"/>
    <w:rsid w:val="006C3E6E"/>
    <w:rsid w:val="006C3EEA"/>
    <w:rsid w:val="006C43A6"/>
    <w:rsid w:val="006C44EC"/>
    <w:rsid w:val="006C4A4A"/>
    <w:rsid w:val="006C4CE0"/>
    <w:rsid w:val="006C53EB"/>
    <w:rsid w:val="006C5D29"/>
    <w:rsid w:val="006C650D"/>
    <w:rsid w:val="006C69A5"/>
    <w:rsid w:val="006C6A4D"/>
    <w:rsid w:val="006C6CF3"/>
    <w:rsid w:val="006C7740"/>
    <w:rsid w:val="006D0389"/>
    <w:rsid w:val="006D0848"/>
    <w:rsid w:val="006D0BA5"/>
    <w:rsid w:val="006D0C15"/>
    <w:rsid w:val="006D0D8B"/>
    <w:rsid w:val="006D0FBF"/>
    <w:rsid w:val="006D10DC"/>
    <w:rsid w:val="006D1586"/>
    <w:rsid w:val="006D19C1"/>
    <w:rsid w:val="006D24FC"/>
    <w:rsid w:val="006D2827"/>
    <w:rsid w:val="006D2848"/>
    <w:rsid w:val="006D2B19"/>
    <w:rsid w:val="006D2EC9"/>
    <w:rsid w:val="006D3317"/>
    <w:rsid w:val="006D3A05"/>
    <w:rsid w:val="006D3B62"/>
    <w:rsid w:val="006D3FDF"/>
    <w:rsid w:val="006D4527"/>
    <w:rsid w:val="006D4B05"/>
    <w:rsid w:val="006D4EE5"/>
    <w:rsid w:val="006D4F86"/>
    <w:rsid w:val="006D5F98"/>
    <w:rsid w:val="006D6665"/>
    <w:rsid w:val="006D7098"/>
    <w:rsid w:val="006D740E"/>
    <w:rsid w:val="006D781E"/>
    <w:rsid w:val="006D7C8A"/>
    <w:rsid w:val="006D7F72"/>
    <w:rsid w:val="006E00B7"/>
    <w:rsid w:val="006E0CB5"/>
    <w:rsid w:val="006E0E5B"/>
    <w:rsid w:val="006E132F"/>
    <w:rsid w:val="006E2701"/>
    <w:rsid w:val="006E3023"/>
    <w:rsid w:val="006E3369"/>
    <w:rsid w:val="006E3B94"/>
    <w:rsid w:val="006E3D12"/>
    <w:rsid w:val="006E449C"/>
    <w:rsid w:val="006E4726"/>
    <w:rsid w:val="006E4E72"/>
    <w:rsid w:val="006E4FCD"/>
    <w:rsid w:val="006E50D0"/>
    <w:rsid w:val="006E5B0B"/>
    <w:rsid w:val="006E663E"/>
    <w:rsid w:val="006E6655"/>
    <w:rsid w:val="006E6EDF"/>
    <w:rsid w:val="006E7BA5"/>
    <w:rsid w:val="006F01E8"/>
    <w:rsid w:val="006F02D7"/>
    <w:rsid w:val="006F07FA"/>
    <w:rsid w:val="006F0EBB"/>
    <w:rsid w:val="006F1B55"/>
    <w:rsid w:val="006F1E96"/>
    <w:rsid w:val="006F2D24"/>
    <w:rsid w:val="006F37F7"/>
    <w:rsid w:val="006F38C2"/>
    <w:rsid w:val="006F38C3"/>
    <w:rsid w:val="006F3909"/>
    <w:rsid w:val="006F4036"/>
    <w:rsid w:val="006F428E"/>
    <w:rsid w:val="006F48E1"/>
    <w:rsid w:val="006F5160"/>
    <w:rsid w:val="006F5374"/>
    <w:rsid w:val="006F5D5E"/>
    <w:rsid w:val="006F60DF"/>
    <w:rsid w:val="006F68C1"/>
    <w:rsid w:val="006F6B60"/>
    <w:rsid w:val="006F6CE2"/>
    <w:rsid w:val="006F6E10"/>
    <w:rsid w:val="006F7800"/>
    <w:rsid w:val="007014F8"/>
    <w:rsid w:val="0070150D"/>
    <w:rsid w:val="007016D2"/>
    <w:rsid w:val="007018D8"/>
    <w:rsid w:val="007029E8"/>
    <w:rsid w:val="00703107"/>
    <w:rsid w:val="00703138"/>
    <w:rsid w:val="00703277"/>
    <w:rsid w:val="0070356D"/>
    <w:rsid w:val="00703981"/>
    <w:rsid w:val="00703D7E"/>
    <w:rsid w:val="00703DE6"/>
    <w:rsid w:val="007041A7"/>
    <w:rsid w:val="0070495F"/>
    <w:rsid w:val="00704B6E"/>
    <w:rsid w:val="00704F73"/>
    <w:rsid w:val="0070508D"/>
    <w:rsid w:val="0070542E"/>
    <w:rsid w:val="00706096"/>
    <w:rsid w:val="007060D4"/>
    <w:rsid w:val="0070624C"/>
    <w:rsid w:val="00706451"/>
    <w:rsid w:val="00707E0F"/>
    <w:rsid w:val="007100F9"/>
    <w:rsid w:val="00710315"/>
    <w:rsid w:val="007103AE"/>
    <w:rsid w:val="0071068A"/>
    <w:rsid w:val="00710E19"/>
    <w:rsid w:val="00710E52"/>
    <w:rsid w:val="0071154B"/>
    <w:rsid w:val="007116B6"/>
    <w:rsid w:val="0071174F"/>
    <w:rsid w:val="0071196A"/>
    <w:rsid w:val="0071227C"/>
    <w:rsid w:val="007131CF"/>
    <w:rsid w:val="007132CD"/>
    <w:rsid w:val="007133C0"/>
    <w:rsid w:val="00713613"/>
    <w:rsid w:val="007137C6"/>
    <w:rsid w:val="007138FC"/>
    <w:rsid w:val="0071393D"/>
    <w:rsid w:val="00713E79"/>
    <w:rsid w:val="00714245"/>
    <w:rsid w:val="00714C20"/>
    <w:rsid w:val="00715441"/>
    <w:rsid w:val="0071569B"/>
    <w:rsid w:val="00715739"/>
    <w:rsid w:val="0071576C"/>
    <w:rsid w:val="00715C94"/>
    <w:rsid w:val="00715EA7"/>
    <w:rsid w:val="00716A09"/>
    <w:rsid w:val="007170DB"/>
    <w:rsid w:val="00717880"/>
    <w:rsid w:val="00717CA8"/>
    <w:rsid w:val="007205E7"/>
    <w:rsid w:val="007209C4"/>
    <w:rsid w:val="00721ACB"/>
    <w:rsid w:val="00721E9E"/>
    <w:rsid w:val="00722627"/>
    <w:rsid w:val="007227FE"/>
    <w:rsid w:val="0072290A"/>
    <w:rsid w:val="007233C3"/>
    <w:rsid w:val="00723C95"/>
    <w:rsid w:val="00723E90"/>
    <w:rsid w:val="007244E7"/>
    <w:rsid w:val="0072505F"/>
    <w:rsid w:val="00725B00"/>
    <w:rsid w:val="00725E54"/>
    <w:rsid w:val="007265D1"/>
    <w:rsid w:val="0072680C"/>
    <w:rsid w:val="0072698B"/>
    <w:rsid w:val="00726A25"/>
    <w:rsid w:val="00726B3D"/>
    <w:rsid w:val="00726C64"/>
    <w:rsid w:val="00727A29"/>
    <w:rsid w:val="007310B7"/>
    <w:rsid w:val="00731237"/>
    <w:rsid w:val="0073207E"/>
    <w:rsid w:val="00732664"/>
    <w:rsid w:val="007326EF"/>
    <w:rsid w:val="00732BA7"/>
    <w:rsid w:val="007333EA"/>
    <w:rsid w:val="00733535"/>
    <w:rsid w:val="00733601"/>
    <w:rsid w:val="00733A57"/>
    <w:rsid w:val="00733F36"/>
    <w:rsid w:val="007340CE"/>
    <w:rsid w:val="0073410C"/>
    <w:rsid w:val="00734781"/>
    <w:rsid w:val="007349FC"/>
    <w:rsid w:val="00734B6F"/>
    <w:rsid w:val="00735293"/>
    <w:rsid w:val="00735376"/>
    <w:rsid w:val="007363EA"/>
    <w:rsid w:val="00736E06"/>
    <w:rsid w:val="00736E37"/>
    <w:rsid w:val="00737286"/>
    <w:rsid w:val="007373DB"/>
    <w:rsid w:val="00737F27"/>
    <w:rsid w:val="00737FD3"/>
    <w:rsid w:val="00740585"/>
    <w:rsid w:val="007407AE"/>
    <w:rsid w:val="007407DB"/>
    <w:rsid w:val="0074085F"/>
    <w:rsid w:val="00740BFC"/>
    <w:rsid w:val="00740F76"/>
    <w:rsid w:val="00741037"/>
    <w:rsid w:val="0074198F"/>
    <w:rsid w:val="007422B3"/>
    <w:rsid w:val="007424BF"/>
    <w:rsid w:val="007434BD"/>
    <w:rsid w:val="007435F1"/>
    <w:rsid w:val="00743DDD"/>
    <w:rsid w:val="00744625"/>
    <w:rsid w:val="007446BB"/>
    <w:rsid w:val="00745882"/>
    <w:rsid w:val="00745A04"/>
    <w:rsid w:val="00745A0F"/>
    <w:rsid w:val="00745DFD"/>
    <w:rsid w:val="007460C2"/>
    <w:rsid w:val="00746197"/>
    <w:rsid w:val="0074689C"/>
    <w:rsid w:val="00746B3F"/>
    <w:rsid w:val="00747076"/>
    <w:rsid w:val="00747117"/>
    <w:rsid w:val="007479C2"/>
    <w:rsid w:val="00747B0D"/>
    <w:rsid w:val="00750712"/>
    <w:rsid w:val="00750EF3"/>
    <w:rsid w:val="007511BA"/>
    <w:rsid w:val="00751452"/>
    <w:rsid w:val="00751D06"/>
    <w:rsid w:val="00751D74"/>
    <w:rsid w:val="007521A5"/>
    <w:rsid w:val="00752243"/>
    <w:rsid w:val="007531BA"/>
    <w:rsid w:val="00753959"/>
    <w:rsid w:val="00753DD6"/>
    <w:rsid w:val="00754A4A"/>
    <w:rsid w:val="007567A8"/>
    <w:rsid w:val="00757D93"/>
    <w:rsid w:val="00760D1E"/>
    <w:rsid w:val="00760F66"/>
    <w:rsid w:val="00761103"/>
    <w:rsid w:val="007611F8"/>
    <w:rsid w:val="00761200"/>
    <w:rsid w:val="007615F6"/>
    <w:rsid w:val="007618E2"/>
    <w:rsid w:val="00761931"/>
    <w:rsid w:val="00761BD1"/>
    <w:rsid w:val="007627BA"/>
    <w:rsid w:val="0076291E"/>
    <w:rsid w:val="00762D81"/>
    <w:rsid w:val="0076317B"/>
    <w:rsid w:val="007634C7"/>
    <w:rsid w:val="00763B8E"/>
    <w:rsid w:val="00763CB9"/>
    <w:rsid w:val="007643D5"/>
    <w:rsid w:val="00764C66"/>
    <w:rsid w:val="00765366"/>
    <w:rsid w:val="00765614"/>
    <w:rsid w:val="00765914"/>
    <w:rsid w:val="0076614D"/>
    <w:rsid w:val="0076624C"/>
    <w:rsid w:val="0076627D"/>
    <w:rsid w:val="00766304"/>
    <w:rsid w:val="00767A28"/>
    <w:rsid w:val="00767DD2"/>
    <w:rsid w:val="0077082B"/>
    <w:rsid w:val="00770B12"/>
    <w:rsid w:val="00770E60"/>
    <w:rsid w:val="00771C8F"/>
    <w:rsid w:val="00771D4C"/>
    <w:rsid w:val="00772019"/>
    <w:rsid w:val="0077266E"/>
    <w:rsid w:val="0077292E"/>
    <w:rsid w:val="007737D8"/>
    <w:rsid w:val="0077391C"/>
    <w:rsid w:val="00773D24"/>
    <w:rsid w:val="00773F1F"/>
    <w:rsid w:val="00774576"/>
    <w:rsid w:val="0077480E"/>
    <w:rsid w:val="0077508A"/>
    <w:rsid w:val="00775567"/>
    <w:rsid w:val="00775E0D"/>
    <w:rsid w:val="00776343"/>
    <w:rsid w:val="00776416"/>
    <w:rsid w:val="00776C7B"/>
    <w:rsid w:val="00776CEF"/>
    <w:rsid w:val="0077790B"/>
    <w:rsid w:val="00777E7E"/>
    <w:rsid w:val="007804DD"/>
    <w:rsid w:val="0078095A"/>
    <w:rsid w:val="00780F3B"/>
    <w:rsid w:val="00781574"/>
    <w:rsid w:val="007816EE"/>
    <w:rsid w:val="00782071"/>
    <w:rsid w:val="00782946"/>
    <w:rsid w:val="00782AB1"/>
    <w:rsid w:val="00782ECD"/>
    <w:rsid w:val="0078363B"/>
    <w:rsid w:val="00783CCF"/>
    <w:rsid w:val="00783EC8"/>
    <w:rsid w:val="00783F5B"/>
    <w:rsid w:val="00784609"/>
    <w:rsid w:val="00784720"/>
    <w:rsid w:val="0078481D"/>
    <w:rsid w:val="007859FC"/>
    <w:rsid w:val="00785F4C"/>
    <w:rsid w:val="0078609C"/>
    <w:rsid w:val="00786355"/>
    <w:rsid w:val="00787370"/>
    <w:rsid w:val="007874AE"/>
    <w:rsid w:val="0078750B"/>
    <w:rsid w:val="00787F5E"/>
    <w:rsid w:val="0079024D"/>
    <w:rsid w:val="007911B8"/>
    <w:rsid w:val="00791DAE"/>
    <w:rsid w:val="007930E8"/>
    <w:rsid w:val="007935F5"/>
    <w:rsid w:val="00793D04"/>
    <w:rsid w:val="00793E29"/>
    <w:rsid w:val="00793F28"/>
    <w:rsid w:val="00793FDB"/>
    <w:rsid w:val="007941DA"/>
    <w:rsid w:val="00794252"/>
    <w:rsid w:val="007944D2"/>
    <w:rsid w:val="00794580"/>
    <w:rsid w:val="00794B19"/>
    <w:rsid w:val="00795B8D"/>
    <w:rsid w:val="00795EB9"/>
    <w:rsid w:val="00795F0E"/>
    <w:rsid w:val="007960A9"/>
    <w:rsid w:val="00797D8F"/>
    <w:rsid w:val="007A0C00"/>
    <w:rsid w:val="007A0E15"/>
    <w:rsid w:val="007A176E"/>
    <w:rsid w:val="007A19BF"/>
    <w:rsid w:val="007A26B2"/>
    <w:rsid w:val="007A2A69"/>
    <w:rsid w:val="007A2CF1"/>
    <w:rsid w:val="007A41B5"/>
    <w:rsid w:val="007A4486"/>
    <w:rsid w:val="007A4682"/>
    <w:rsid w:val="007A4FF5"/>
    <w:rsid w:val="007A502B"/>
    <w:rsid w:val="007A5879"/>
    <w:rsid w:val="007A58A8"/>
    <w:rsid w:val="007A5BDC"/>
    <w:rsid w:val="007A5C6D"/>
    <w:rsid w:val="007A629D"/>
    <w:rsid w:val="007A6610"/>
    <w:rsid w:val="007A6DD3"/>
    <w:rsid w:val="007A6FF3"/>
    <w:rsid w:val="007A71DC"/>
    <w:rsid w:val="007A7A04"/>
    <w:rsid w:val="007B04FF"/>
    <w:rsid w:val="007B0976"/>
    <w:rsid w:val="007B0CAC"/>
    <w:rsid w:val="007B15F3"/>
    <w:rsid w:val="007B1701"/>
    <w:rsid w:val="007B17C0"/>
    <w:rsid w:val="007B1C32"/>
    <w:rsid w:val="007B1DBB"/>
    <w:rsid w:val="007B2319"/>
    <w:rsid w:val="007B2FBF"/>
    <w:rsid w:val="007B3E13"/>
    <w:rsid w:val="007B4046"/>
    <w:rsid w:val="007B4300"/>
    <w:rsid w:val="007B44CE"/>
    <w:rsid w:val="007B44F9"/>
    <w:rsid w:val="007B45B5"/>
    <w:rsid w:val="007B517D"/>
    <w:rsid w:val="007B55FC"/>
    <w:rsid w:val="007B565C"/>
    <w:rsid w:val="007B595F"/>
    <w:rsid w:val="007B5D75"/>
    <w:rsid w:val="007B6388"/>
    <w:rsid w:val="007B6D5E"/>
    <w:rsid w:val="007B7115"/>
    <w:rsid w:val="007B736B"/>
    <w:rsid w:val="007C0090"/>
    <w:rsid w:val="007C0853"/>
    <w:rsid w:val="007C08D0"/>
    <w:rsid w:val="007C08FD"/>
    <w:rsid w:val="007C0C90"/>
    <w:rsid w:val="007C0E07"/>
    <w:rsid w:val="007C0E86"/>
    <w:rsid w:val="007C249E"/>
    <w:rsid w:val="007C26CF"/>
    <w:rsid w:val="007C271B"/>
    <w:rsid w:val="007C2C14"/>
    <w:rsid w:val="007C2D50"/>
    <w:rsid w:val="007C357D"/>
    <w:rsid w:val="007C3A55"/>
    <w:rsid w:val="007C4166"/>
    <w:rsid w:val="007C44E1"/>
    <w:rsid w:val="007C48DD"/>
    <w:rsid w:val="007C4A05"/>
    <w:rsid w:val="007C4D79"/>
    <w:rsid w:val="007C5711"/>
    <w:rsid w:val="007C57B9"/>
    <w:rsid w:val="007C6325"/>
    <w:rsid w:val="007C6C53"/>
    <w:rsid w:val="007C71FB"/>
    <w:rsid w:val="007C73A3"/>
    <w:rsid w:val="007C7975"/>
    <w:rsid w:val="007C7EF5"/>
    <w:rsid w:val="007D06AC"/>
    <w:rsid w:val="007D0741"/>
    <w:rsid w:val="007D0A53"/>
    <w:rsid w:val="007D0C04"/>
    <w:rsid w:val="007D0C62"/>
    <w:rsid w:val="007D0FFC"/>
    <w:rsid w:val="007D1013"/>
    <w:rsid w:val="007D19EC"/>
    <w:rsid w:val="007D2180"/>
    <w:rsid w:val="007D22A7"/>
    <w:rsid w:val="007D2608"/>
    <w:rsid w:val="007D2D91"/>
    <w:rsid w:val="007D2DA9"/>
    <w:rsid w:val="007D30C3"/>
    <w:rsid w:val="007D35AC"/>
    <w:rsid w:val="007D36B1"/>
    <w:rsid w:val="007D36D7"/>
    <w:rsid w:val="007D3BA1"/>
    <w:rsid w:val="007D3EC8"/>
    <w:rsid w:val="007D40AC"/>
    <w:rsid w:val="007D4317"/>
    <w:rsid w:val="007D4C12"/>
    <w:rsid w:val="007D57E0"/>
    <w:rsid w:val="007D5962"/>
    <w:rsid w:val="007D5AFE"/>
    <w:rsid w:val="007D63B2"/>
    <w:rsid w:val="007D651D"/>
    <w:rsid w:val="007D71B7"/>
    <w:rsid w:val="007D7C66"/>
    <w:rsid w:val="007D7CF3"/>
    <w:rsid w:val="007E0274"/>
    <w:rsid w:val="007E02A7"/>
    <w:rsid w:val="007E0415"/>
    <w:rsid w:val="007E0991"/>
    <w:rsid w:val="007E0B2C"/>
    <w:rsid w:val="007E107F"/>
    <w:rsid w:val="007E1C84"/>
    <w:rsid w:val="007E25ED"/>
    <w:rsid w:val="007E2FD7"/>
    <w:rsid w:val="007E310B"/>
    <w:rsid w:val="007E38DA"/>
    <w:rsid w:val="007E3D65"/>
    <w:rsid w:val="007E3EE2"/>
    <w:rsid w:val="007E4655"/>
    <w:rsid w:val="007E47E7"/>
    <w:rsid w:val="007E4A98"/>
    <w:rsid w:val="007E4EB6"/>
    <w:rsid w:val="007E5DD7"/>
    <w:rsid w:val="007E5E10"/>
    <w:rsid w:val="007E7139"/>
    <w:rsid w:val="007E7366"/>
    <w:rsid w:val="007E7EA1"/>
    <w:rsid w:val="007E7EA4"/>
    <w:rsid w:val="007F03CE"/>
    <w:rsid w:val="007F04D3"/>
    <w:rsid w:val="007F0C47"/>
    <w:rsid w:val="007F0DB7"/>
    <w:rsid w:val="007F0E95"/>
    <w:rsid w:val="007F137D"/>
    <w:rsid w:val="007F2D8D"/>
    <w:rsid w:val="007F2EBF"/>
    <w:rsid w:val="007F3044"/>
    <w:rsid w:val="007F3249"/>
    <w:rsid w:val="007F4657"/>
    <w:rsid w:val="007F49E6"/>
    <w:rsid w:val="007F5609"/>
    <w:rsid w:val="007F5625"/>
    <w:rsid w:val="007F568A"/>
    <w:rsid w:val="007F59F7"/>
    <w:rsid w:val="007F5D13"/>
    <w:rsid w:val="007F5E21"/>
    <w:rsid w:val="007F619D"/>
    <w:rsid w:val="007F6413"/>
    <w:rsid w:val="007F676E"/>
    <w:rsid w:val="007F6B11"/>
    <w:rsid w:val="007F6C91"/>
    <w:rsid w:val="007F6E2B"/>
    <w:rsid w:val="007F6F3C"/>
    <w:rsid w:val="007F7D12"/>
    <w:rsid w:val="007F7F02"/>
    <w:rsid w:val="00800258"/>
    <w:rsid w:val="00800562"/>
    <w:rsid w:val="00800C97"/>
    <w:rsid w:val="00800E69"/>
    <w:rsid w:val="008015BF"/>
    <w:rsid w:val="0080220F"/>
    <w:rsid w:val="00802735"/>
    <w:rsid w:val="008028C2"/>
    <w:rsid w:val="008029E8"/>
    <w:rsid w:val="00802DDB"/>
    <w:rsid w:val="00803165"/>
    <w:rsid w:val="008037D8"/>
    <w:rsid w:val="00803B7E"/>
    <w:rsid w:val="00803DA6"/>
    <w:rsid w:val="008040D9"/>
    <w:rsid w:val="0080436E"/>
    <w:rsid w:val="00804937"/>
    <w:rsid w:val="00804E1E"/>
    <w:rsid w:val="00804E43"/>
    <w:rsid w:val="008050F5"/>
    <w:rsid w:val="00805112"/>
    <w:rsid w:val="0080512F"/>
    <w:rsid w:val="0080519C"/>
    <w:rsid w:val="00805B31"/>
    <w:rsid w:val="00810656"/>
    <w:rsid w:val="0081088D"/>
    <w:rsid w:val="00810BC2"/>
    <w:rsid w:val="00811683"/>
    <w:rsid w:val="00811AFF"/>
    <w:rsid w:val="00812102"/>
    <w:rsid w:val="00812373"/>
    <w:rsid w:val="00813F3A"/>
    <w:rsid w:val="0081404E"/>
    <w:rsid w:val="008140E8"/>
    <w:rsid w:val="00814271"/>
    <w:rsid w:val="00814941"/>
    <w:rsid w:val="00814955"/>
    <w:rsid w:val="00814A65"/>
    <w:rsid w:val="00814BD9"/>
    <w:rsid w:val="008158AC"/>
    <w:rsid w:val="00816805"/>
    <w:rsid w:val="00816BE8"/>
    <w:rsid w:val="00816CD5"/>
    <w:rsid w:val="00816DBD"/>
    <w:rsid w:val="00816FE2"/>
    <w:rsid w:val="00817062"/>
    <w:rsid w:val="00817991"/>
    <w:rsid w:val="00817F58"/>
    <w:rsid w:val="008203C5"/>
    <w:rsid w:val="00820B84"/>
    <w:rsid w:val="0082199B"/>
    <w:rsid w:val="00821C2A"/>
    <w:rsid w:val="008227B7"/>
    <w:rsid w:val="008243A8"/>
    <w:rsid w:val="00824925"/>
    <w:rsid w:val="00824C8B"/>
    <w:rsid w:val="008252E8"/>
    <w:rsid w:val="00825BA8"/>
    <w:rsid w:val="00825C14"/>
    <w:rsid w:val="00825FD5"/>
    <w:rsid w:val="00826315"/>
    <w:rsid w:val="0082641D"/>
    <w:rsid w:val="008267CA"/>
    <w:rsid w:val="0082722B"/>
    <w:rsid w:val="00827C1B"/>
    <w:rsid w:val="0083016B"/>
    <w:rsid w:val="008301F1"/>
    <w:rsid w:val="00830C0E"/>
    <w:rsid w:val="008313E0"/>
    <w:rsid w:val="00831742"/>
    <w:rsid w:val="008317EC"/>
    <w:rsid w:val="0083195D"/>
    <w:rsid w:val="00831B7B"/>
    <w:rsid w:val="00831D90"/>
    <w:rsid w:val="008324F3"/>
    <w:rsid w:val="00832691"/>
    <w:rsid w:val="0083296B"/>
    <w:rsid w:val="00832AD9"/>
    <w:rsid w:val="00833547"/>
    <w:rsid w:val="00833852"/>
    <w:rsid w:val="00833AB9"/>
    <w:rsid w:val="008344EC"/>
    <w:rsid w:val="00834820"/>
    <w:rsid w:val="00834C82"/>
    <w:rsid w:val="00834DB6"/>
    <w:rsid w:val="00834F93"/>
    <w:rsid w:val="008354DB"/>
    <w:rsid w:val="00840C4A"/>
    <w:rsid w:val="008411B9"/>
    <w:rsid w:val="0084122F"/>
    <w:rsid w:val="0084145D"/>
    <w:rsid w:val="00841573"/>
    <w:rsid w:val="00841D08"/>
    <w:rsid w:val="00842D43"/>
    <w:rsid w:val="0084323E"/>
    <w:rsid w:val="0084375D"/>
    <w:rsid w:val="00843D50"/>
    <w:rsid w:val="0084464E"/>
    <w:rsid w:val="00844D11"/>
    <w:rsid w:val="008458BF"/>
    <w:rsid w:val="00846262"/>
    <w:rsid w:val="00846358"/>
    <w:rsid w:val="00846370"/>
    <w:rsid w:val="00846821"/>
    <w:rsid w:val="00846DC0"/>
    <w:rsid w:val="00846DCD"/>
    <w:rsid w:val="00847665"/>
    <w:rsid w:val="00847BC5"/>
    <w:rsid w:val="00847F11"/>
    <w:rsid w:val="00850010"/>
    <w:rsid w:val="00850104"/>
    <w:rsid w:val="008503F4"/>
    <w:rsid w:val="00850477"/>
    <w:rsid w:val="008504A0"/>
    <w:rsid w:val="00850AC1"/>
    <w:rsid w:val="00850C2A"/>
    <w:rsid w:val="00850DFA"/>
    <w:rsid w:val="00851331"/>
    <w:rsid w:val="008516D1"/>
    <w:rsid w:val="00852003"/>
    <w:rsid w:val="0085212C"/>
    <w:rsid w:val="00852F9E"/>
    <w:rsid w:val="008533F5"/>
    <w:rsid w:val="00854053"/>
    <w:rsid w:val="008543AC"/>
    <w:rsid w:val="008548B8"/>
    <w:rsid w:val="00854965"/>
    <w:rsid w:val="008554D1"/>
    <w:rsid w:val="008558E0"/>
    <w:rsid w:val="00856F4F"/>
    <w:rsid w:val="0085771E"/>
    <w:rsid w:val="00857AF7"/>
    <w:rsid w:val="00860109"/>
    <w:rsid w:val="008601BD"/>
    <w:rsid w:val="00860359"/>
    <w:rsid w:val="00860700"/>
    <w:rsid w:val="00860E43"/>
    <w:rsid w:val="00860EE9"/>
    <w:rsid w:val="00861075"/>
    <w:rsid w:val="00861252"/>
    <w:rsid w:val="00861275"/>
    <w:rsid w:val="0086171A"/>
    <w:rsid w:val="00861B89"/>
    <w:rsid w:val="0086226C"/>
    <w:rsid w:val="00862C76"/>
    <w:rsid w:val="00863968"/>
    <w:rsid w:val="008644A4"/>
    <w:rsid w:val="00864A6C"/>
    <w:rsid w:val="00864BB1"/>
    <w:rsid w:val="00864DF7"/>
    <w:rsid w:val="00864FDB"/>
    <w:rsid w:val="00865278"/>
    <w:rsid w:val="008654F9"/>
    <w:rsid w:val="008657DA"/>
    <w:rsid w:val="008658C0"/>
    <w:rsid w:val="00866055"/>
    <w:rsid w:val="00866388"/>
    <w:rsid w:val="00866FE3"/>
    <w:rsid w:val="0086722D"/>
    <w:rsid w:val="008677F0"/>
    <w:rsid w:val="00867D56"/>
    <w:rsid w:val="00867E9A"/>
    <w:rsid w:val="0087028A"/>
    <w:rsid w:val="00870BAA"/>
    <w:rsid w:val="00870D91"/>
    <w:rsid w:val="0087145D"/>
    <w:rsid w:val="008716D1"/>
    <w:rsid w:val="008716ED"/>
    <w:rsid w:val="0087193F"/>
    <w:rsid w:val="008724E6"/>
    <w:rsid w:val="00872767"/>
    <w:rsid w:val="008728C8"/>
    <w:rsid w:val="00873205"/>
    <w:rsid w:val="008735E8"/>
    <w:rsid w:val="0087377E"/>
    <w:rsid w:val="00873908"/>
    <w:rsid w:val="008739AB"/>
    <w:rsid w:val="00874043"/>
    <w:rsid w:val="00874594"/>
    <w:rsid w:val="00874776"/>
    <w:rsid w:val="0087487C"/>
    <w:rsid w:val="00874A07"/>
    <w:rsid w:val="00874B75"/>
    <w:rsid w:val="00875007"/>
    <w:rsid w:val="008750DB"/>
    <w:rsid w:val="00875144"/>
    <w:rsid w:val="008751B4"/>
    <w:rsid w:val="0087527F"/>
    <w:rsid w:val="0087543F"/>
    <w:rsid w:val="008754B5"/>
    <w:rsid w:val="008756C9"/>
    <w:rsid w:val="008758A8"/>
    <w:rsid w:val="00875AF3"/>
    <w:rsid w:val="008765E9"/>
    <w:rsid w:val="00876605"/>
    <w:rsid w:val="00876B13"/>
    <w:rsid w:val="00880017"/>
    <w:rsid w:val="00880305"/>
    <w:rsid w:val="00880315"/>
    <w:rsid w:val="0088031C"/>
    <w:rsid w:val="0088088A"/>
    <w:rsid w:val="00880A3F"/>
    <w:rsid w:val="00880EE2"/>
    <w:rsid w:val="00881318"/>
    <w:rsid w:val="00881732"/>
    <w:rsid w:val="008818A2"/>
    <w:rsid w:val="00881C71"/>
    <w:rsid w:val="008820FB"/>
    <w:rsid w:val="0088213D"/>
    <w:rsid w:val="008821C6"/>
    <w:rsid w:val="0088243C"/>
    <w:rsid w:val="0088243D"/>
    <w:rsid w:val="0088251A"/>
    <w:rsid w:val="00882D28"/>
    <w:rsid w:val="00883A67"/>
    <w:rsid w:val="0088400F"/>
    <w:rsid w:val="008848E9"/>
    <w:rsid w:val="00884FD8"/>
    <w:rsid w:val="00885244"/>
    <w:rsid w:val="008857C7"/>
    <w:rsid w:val="008858B3"/>
    <w:rsid w:val="008866CF"/>
    <w:rsid w:val="00886782"/>
    <w:rsid w:val="008869A1"/>
    <w:rsid w:val="00886B3F"/>
    <w:rsid w:val="008879F8"/>
    <w:rsid w:val="0089015D"/>
    <w:rsid w:val="0089021A"/>
    <w:rsid w:val="0089022E"/>
    <w:rsid w:val="00890475"/>
    <w:rsid w:val="00890A7C"/>
    <w:rsid w:val="00890D11"/>
    <w:rsid w:val="008910EE"/>
    <w:rsid w:val="00891A26"/>
    <w:rsid w:val="008923F8"/>
    <w:rsid w:val="0089253F"/>
    <w:rsid w:val="008928F1"/>
    <w:rsid w:val="00892BBF"/>
    <w:rsid w:val="00892DB5"/>
    <w:rsid w:val="00892F62"/>
    <w:rsid w:val="0089389C"/>
    <w:rsid w:val="0089414C"/>
    <w:rsid w:val="008942BD"/>
    <w:rsid w:val="0089478A"/>
    <w:rsid w:val="0089480A"/>
    <w:rsid w:val="00894BEE"/>
    <w:rsid w:val="00894FE5"/>
    <w:rsid w:val="008954D2"/>
    <w:rsid w:val="00895658"/>
    <w:rsid w:val="008956DA"/>
    <w:rsid w:val="008959E5"/>
    <w:rsid w:val="00895BA9"/>
    <w:rsid w:val="00895D79"/>
    <w:rsid w:val="0089601B"/>
    <w:rsid w:val="0089613B"/>
    <w:rsid w:val="0089655D"/>
    <w:rsid w:val="00896784"/>
    <w:rsid w:val="00897824"/>
    <w:rsid w:val="008979DB"/>
    <w:rsid w:val="00897BCB"/>
    <w:rsid w:val="00897C07"/>
    <w:rsid w:val="00897DBA"/>
    <w:rsid w:val="008A02FA"/>
    <w:rsid w:val="008A06A8"/>
    <w:rsid w:val="008A1603"/>
    <w:rsid w:val="008A1AAC"/>
    <w:rsid w:val="008A1D3C"/>
    <w:rsid w:val="008A20CA"/>
    <w:rsid w:val="008A239B"/>
    <w:rsid w:val="008A2956"/>
    <w:rsid w:val="008A2EA1"/>
    <w:rsid w:val="008A2EF6"/>
    <w:rsid w:val="008A3480"/>
    <w:rsid w:val="008A425D"/>
    <w:rsid w:val="008A4B88"/>
    <w:rsid w:val="008A4F3C"/>
    <w:rsid w:val="008A51AD"/>
    <w:rsid w:val="008A53BA"/>
    <w:rsid w:val="008A551D"/>
    <w:rsid w:val="008A56BA"/>
    <w:rsid w:val="008A570A"/>
    <w:rsid w:val="008A58E4"/>
    <w:rsid w:val="008A58E7"/>
    <w:rsid w:val="008A5C1D"/>
    <w:rsid w:val="008A615A"/>
    <w:rsid w:val="008A650C"/>
    <w:rsid w:val="008A6A36"/>
    <w:rsid w:val="008A6CB9"/>
    <w:rsid w:val="008A6DC1"/>
    <w:rsid w:val="008A7100"/>
    <w:rsid w:val="008A7139"/>
    <w:rsid w:val="008A776D"/>
    <w:rsid w:val="008A7C74"/>
    <w:rsid w:val="008B0107"/>
    <w:rsid w:val="008B04C0"/>
    <w:rsid w:val="008B0A83"/>
    <w:rsid w:val="008B0E93"/>
    <w:rsid w:val="008B17C5"/>
    <w:rsid w:val="008B198D"/>
    <w:rsid w:val="008B29A4"/>
    <w:rsid w:val="008B2BB4"/>
    <w:rsid w:val="008B2C30"/>
    <w:rsid w:val="008B2D73"/>
    <w:rsid w:val="008B3AB6"/>
    <w:rsid w:val="008B3C2B"/>
    <w:rsid w:val="008B411C"/>
    <w:rsid w:val="008B4679"/>
    <w:rsid w:val="008B4D00"/>
    <w:rsid w:val="008B4D13"/>
    <w:rsid w:val="008B4E78"/>
    <w:rsid w:val="008B4FE2"/>
    <w:rsid w:val="008B61A1"/>
    <w:rsid w:val="008B66EE"/>
    <w:rsid w:val="008B6793"/>
    <w:rsid w:val="008B6E62"/>
    <w:rsid w:val="008B6E87"/>
    <w:rsid w:val="008B728A"/>
    <w:rsid w:val="008B7342"/>
    <w:rsid w:val="008B75C2"/>
    <w:rsid w:val="008B770F"/>
    <w:rsid w:val="008B787A"/>
    <w:rsid w:val="008C0773"/>
    <w:rsid w:val="008C0A89"/>
    <w:rsid w:val="008C0E71"/>
    <w:rsid w:val="008C1852"/>
    <w:rsid w:val="008C27B4"/>
    <w:rsid w:val="008C2CFF"/>
    <w:rsid w:val="008C2E1E"/>
    <w:rsid w:val="008C2E22"/>
    <w:rsid w:val="008C2ED2"/>
    <w:rsid w:val="008C3D4D"/>
    <w:rsid w:val="008C4026"/>
    <w:rsid w:val="008C417E"/>
    <w:rsid w:val="008C5B51"/>
    <w:rsid w:val="008C5C5C"/>
    <w:rsid w:val="008C5F0A"/>
    <w:rsid w:val="008C6105"/>
    <w:rsid w:val="008C6124"/>
    <w:rsid w:val="008C6334"/>
    <w:rsid w:val="008C66BD"/>
    <w:rsid w:val="008C6968"/>
    <w:rsid w:val="008C742A"/>
    <w:rsid w:val="008C74C7"/>
    <w:rsid w:val="008C7714"/>
    <w:rsid w:val="008C7F4F"/>
    <w:rsid w:val="008D00F3"/>
    <w:rsid w:val="008D0F27"/>
    <w:rsid w:val="008D15A2"/>
    <w:rsid w:val="008D18CD"/>
    <w:rsid w:val="008D19FA"/>
    <w:rsid w:val="008D1F86"/>
    <w:rsid w:val="008D20E0"/>
    <w:rsid w:val="008D2796"/>
    <w:rsid w:val="008D2B6E"/>
    <w:rsid w:val="008D335C"/>
    <w:rsid w:val="008D33FC"/>
    <w:rsid w:val="008D35B7"/>
    <w:rsid w:val="008D4007"/>
    <w:rsid w:val="008D436A"/>
    <w:rsid w:val="008D4C72"/>
    <w:rsid w:val="008D50BA"/>
    <w:rsid w:val="008D561B"/>
    <w:rsid w:val="008D582B"/>
    <w:rsid w:val="008D5CF9"/>
    <w:rsid w:val="008D5D0A"/>
    <w:rsid w:val="008D6794"/>
    <w:rsid w:val="008D7F65"/>
    <w:rsid w:val="008E0178"/>
    <w:rsid w:val="008E02F8"/>
    <w:rsid w:val="008E1189"/>
    <w:rsid w:val="008E12AF"/>
    <w:rsid w:val="008E1592"/>
    <w:rsid w:val="008E211C"/>
    <w:rsid w:val="008E2BB3"/>
    <w:rsid w:val="008E2BC5"/>
    <w:rsid w:val="008E2C79"/>
    <w:rsid w:val="008E3176"/>
    <w:rsid w:val="008E3564"/>
    <w:rsid w:val="008E3A0B"/>
    <w:rsid w:val="008E3A90"/>
    <w:rsid w:val="008E3AAB"/>
    <w:rsid w:val="008E4043"/>
    <w:rsid w:val="008E41E2"/>
    <w:rsid w:val="008E4520"/>
    <w:rsid w:val="008E54E8"/>
    <w:rsid w:val="008E5740"/>
    <w:rsid w:val="008E5868"/>
    <w:rsid w:val="008E5DC8"/>
    <w:rsid w:val="008E62C2"/>
    <w:rsid w:val="008E6465"/>
    <w:rsid w:val="008E6C57"/>
    <w:rsid w:val="008E6E66"/>
    <w:rsid w:val="008E7082"/>
    <w:rsid w:val="008E72AF"/>
    <w:rsid w:val="008F03D8"/>
    <w:rsid w:val="008F0952"/>
    <w:rsid w:val="008F0B40"/>
    <w:rsid w:val="008F1154"/>
    <w:rsid w:val="008F1B84"/>
    <w:rsid w:val="008F1B9D"/>
    <w:rsid w:val="008F1DB6"/>
    <w:rsid w:val="008F1DDC"/>
    <w:rsid w:val="008F2435"/>
    <w:rsid w:val="008F284D"/>
    <w:rsid w:val="008F3947"/>
    <w:rsid w:val="008F39C0"/>
    <w:rsid w:val="008F3E45"/>
    <w:rsid w:val="008F57CD"/>
    <w:rsid w:val="008F5960"/>
    <w:rsid w:val="008F5CD0"/>
    <w:rsid w:val="008F6100"/>
    <w:rsid w:val="008F629A"/>
    <w:rsid w:val="008F6A9B"/>
    <w:rsid w:val="008F6F03"/>
    <w:rsid w:val="008F6F9D"/>
    <w:rsid w:val="008F7603"/>
    <w:rsid w:val="008F769D"/>
    <w:rsid w:val="008F76DC"/>
    <w:rsid w:val="008F7A06"/>
    <w:rsid w:val="008F7D2F"/>
    <w:rsid w:val="009013C5"/>
    <w:rsid w:val="0090147B"/>
    <w:rsid w:val="00901649"/>
    <w:rsid w:val="00901CBA"/>
    <w:rsid w:val="00901DC6"/>
    <w:rsid w:val="009021DC"/>
    <w:rsid w:val="00903026"/>
    <w:rsid w:val="0090357B"/>
    <w:rsid w:val="00903832"/>
    <w:rsid w:val="009040CD"/>
    <w:rsid w:val="009044BE"/>
    <w:rsid w:val="009048EB"/>
    <w:rsid w:val="009048FD"/>
    <w:rsid w:val="00904913"/>
    <w:rsid w:val="00904D4B"/>
    <w:rsid w:val="009050B3"/>
    <w:rsid w:val="00905945"/>
    <w:rsid w:val="00905B18"/>
    <w:rsid w:val="00905EC5"/>
    <w:rsid w:val="00905FEB"/>
    <w:rsid w:val="00906252"/>
    <w:rsid w:val="0090672E"/>
    <w:rsid w:val="00906A4F"/>
    <w:rsid w:val="00906BD6"/>
    <w:rsid w:val="00907074"/>
    <w:rsid w:val="009070B6"/>
    <w:rsid w:val="009073C7"/>
    <w:rsid w:val="009078BA"/>
    <w:rsid w:val="009079C7"/>
    <w:rsid w:val="009079F7"/>
    <w:rsid w:val="00907B44"/>
    <w:rsid w:val="00907C33"/>
    <w:rsid w:val="009108D2"/>
    <w:rsid w:val="00910C20"/>
    <w:rsid w:val="00910FE1"/>
    <w:rsid w:val="0091106A"/>
    <w:rsid w:val="009117D0"/>
    <w:rsid w:val="00911C77"/>
    <w:rsid w:val="00911D1C"/>
    <w:rsid w:val="00912386"/>
    <w:rsid w:val="009124AA"/>
    <w:rsid w:val="00912F38"/>
    <w:rsid w:val="00913C58"/>
    <w:rsid w:val="00913FCD"/>
    <w:rsid w:val="009140B4"/>
    <w:rsid w:val="00914174"/>
    <w:rsid w:val="0091428A"/>
    <w:rsid w:val="00914733"/>
    <w:rsid w:val="00914AA5"/>
    <w:rsid w:val="009162DD"/>
    <w:rsid w:val="009163E7"/>
    <w:rsid w:val="0091671A"/>
    <w:rsid w:val="009169F6"/>
    <w:rsid w:val="00916D5B"/>
    <w:rsid w:val="0091715C"/>
    <w:rsid w:val="0091719D"/>
    <w:rsid w:val="00917752"/>
    <w:rsid w:val="00917903"/>
    <w:rsid w:val="009200D3"/>
    <w:rsid w:val="00920744"/>
    <w:rsid w:val="00920997"/>
    <w:rsid w:val="00920B1E"/>
    <w:rsid w:val="00920DD5"/>
    <w:rsid w:val="00921161"/>
    <w:rsid w:val="0092158B"/>
    <w:rsid w:val="00921ADD"/>
    <w:rsid w:val="00921E0A"/>
    <w:rsid w:val="00922492"/>
    <w:rsid w:val="009224EB"/>
    <w:rsid w:val="0092272F"/>
    <w:rsid w:val="00922BE2"/>
    <w:rsid w:val="00922EDE"/>
    <w:rsid w:val="009232F3"/>
    <w:rsid w:val="0092337C"/>
    <w:rsid w:val="009237D9"/>
    <w:rsid w:val="0092386F"/>
    <w:rsid w:val="009239D2"/>
    <w:rsid w:val="009239F4"/>
    <w:rsid w:val="0092406C"/>
    <w:rsid w:val="00924096"/>
    <w:rsid w:val="009243BC"/>
    <w:rsid w:val="009244D5"/>
    <w:rsid w:val="009252F1"/>
    <w:rsid w:val="00925588"/>
    <w:rsid w:val="00925AF5"/>
    <w:rsid w:val="00925C76"/>
    <w:rsid w:val="00926268"/>
    <w:rsid w:val="009264A2"/>
    <w:rsid w:val="00926F3D"/>
    <w:rsid w:val="0092715D"/>
    <w:rsid w:val="00927206"/>
    <w:rsid w:val="00930057"/>
    <w:rsid w:val="00930632"/>
    <w:rsid w:val="00930975"/>
    <w:rsid w:val="009310BC"/>
    <w:rsid w:val="00931D3F"/>
    <w:rsid w:val="009324C4"/>
    <w:rsid w:val="00932671"/>
    <w:rsid w:val="00932A7A"/>
    <w:rsid w:val="009330BF"/>
    <w:rsid w:val="00933817"/>
    <w:rsid w:val="00933C07"/>
    <w:rsid w:val="00933F03"/>
    <w:rsid w:val="00934510"/>
    <w:rsid w:val="00934705"/>
    <w:rsid w:val="0093476C"/>
    <w:rsid w:val="00935A1E"/>
    <w:rsid w:val="00935B7C"/>
    <w:rsid w:val="00935E3A"/>
    <w:rsid w:val="00936005"/>
    <w:rsid w:val="0093607C"/>
    <w:rsid w:val="009372EA"/>
    <w:rsid w:val="00937634"/>
    <w:rsid w:val="00937A83"/>
    <w:rsid w:val="00937B51"/>
    <w:rsid w:val="00940008"/>
    <w:rsid w:val="00940FFA"/>
    <w:rsid w:val="00941503"/>
    <w:rsid w:val="00941543"/>
    <w:rsid w:val="0094187D"/>
    <w:rsid w:val="00942C90"/>
    <w:rsid w:val="00942F29"/>
    <w:rsid w:val="00942FB6"/>
    <w:rsid w:val="009434EB"/>
    <w:rsid w:val="00943EA6"/>
    <w:rsid w:val="00944400"/>
    <w:rsid w:val="009448F2"/>
    <w:rsid w:val="009448F3"/>
    <w:rsid w:val="0094524B"/>
    <w:rsid w:val="009456E3"/>
    <w:rsid w:val="00945759"/>
    <w:rsid w:val="00945B6B"/>
    <w:rsid w:val="009466E9"/>
    <w:rsid w:val="00946CB3"/>
    <w:rsid w:val="00946D20"/>
    <w:rsid w:val="00946E51"/>
    <w:rsid w:val="009473F4"/>
    <w:rsid w:val="0094767D"/>
    <w:rsid w:val="00950231"/>
    <w:rsid w:val="00950794"/>
    <w:rsid w:val="009507AA"/>
    <w:rsid w:val="009509EF"/>
    <w:rsid w:val="009515CA"/>
    <w:rsid w:val="00951691"/>
    <w:rsid w:val="00951A1F"/>
    <w:rsid w:val="00951FCE"/>
    <w:rsid w:val="009521CC"/>
    <w:rsid w:val="0095226C"/>
    <w:rsid w:val="00952C05"/>
    <w:rsid w:val="00952D52"/>
    <w:rsid w:val="009540B7"/>
    <w:rsid w:val="009543D0"/>
    <w:rsid w:val="00954DAE"/>
    <w:rsid w:val="00955410"/>
    <w:rsid w:val="0095555D"/>
    <w:rsid w:val="009558EE"/>
    <w:rsid w:val="009559D5"/>
    <w:rsid w:val="00955C17"/>
    <w:rsid w:val="00955CA4"/>
    <w:rsid w:val="00955D04"/>
    <w:rsid w:val="00955FFA"/>
    <w:rsid w:val="00956170"/>
    <w:rsid w:val="00956BA1"/>
    <w:rsid w:val="00956D42"/>
    <w:rsid w:val="00956F0F"/>
    <w:rsid w:val="00957065"/>
    <w:rsid w:val="0095727F"/>
    <w:rsid w:val="009572AF"/>
    <w:rsid w:val="00957BBF"/>
    <w:rsid w:val="00957D4C"/>
    <w:rsid w:val="00957E41"/>
    <w:rsid w:val="0096023A"/>
    <w:rsid w:val="00960525"/>
    <w:rsid w:val="009607AB"/>
    <w:rsid w:val="00960A9A"/>
    <w:rsid w:val="009615DB"/>
    <w:rsid w:val="00962683"/>
    <w:rsid w:val="00962E23"/>
    <w:rsid w:val="00963149"/>
    <w:rsid w:val="0096456D"/>
    <w:rsid w:val="0096487C"/>
    <w:rsid w:val="00964BC2"/>
    <w:rsid w:val="00964D4A"/>
    <w:rsid w:val="00964EAE"/>
    <w:rsid w:val="00965023"/>
    <w:rsid w:val="009650B7"/>
    <w:rsid w:val="0096515D"/>
    <w:rsid w:val="00965841"/>
    <w:rsid w:val="00965EE1"/>
    <w:rsid w:val="00966623"/>
    <w:rsid w:val="009668D5"/>
    <w:rsid w:val="00966D23"/>
    <w:rsid w:val="009678DB"/>
    <w:rsid w:val="00970728"/>
    <w:rsid w:val="009707C9"/>
    <w:rsid w:val="0097082A"/>
    <w:rsid w:val="00971E0B"/>
    <w:rsid w:val="00972101"/>
    <w:rsid w:val="00972D22"/>
    <w:rsid w:val="00972FB5"/>
    <w:rsid w:val="00973510"/>
    <w:rsid w:val="009736FE"/>
    <w:rsid w:val="00973B96"/>
    <w:rsid w:val="00973BAA"/>
    <w:rsid w:val="00973E3C"/>
    <w:rsid w:val="00974763"/>
    <w:rsid w:val="00974D4D"/>
    <w:rsid w:val="009757CA"/>
    <w:rsid w:val="00975C9D"/>
    <w:rsid w:val="00975F28"/>
    <w:rsid w:val="00976066"/>
    <w:rsid w:val="00976E76"/>
    <w:rsid w:val="00977A14"/>
    <w:rsid w:val="00977E9B"/>
    <w:rsid w:val="009807BF"/>
    <w:rsid w:val="009809CE"/>
    <w:rsid w:val="00980D42"/>
    <w:rsid w:val="0098131F"/>
    <w:rsid w:val="00981479"/>
    <w:rsid w:val="00981CF9"/>
    <w:rsid w:val="00982295"/>
    <w:rsid w:val="009829B3"/>
    <w:rsid w:val="00982C31"/>
    <w:rsid w:val="00982D45"/>
    <w:rsid w:val="00982FE4"/>
    <w:rsid w:val="00983165"/>
    <w:rsid w:val="00983343"/>
    <w:rsid w:val="009833C4"/>
    <w:rsid w:val="009834E0"/>
    <w:rsid w:val="009838FF"/>
    <w:rsid w:val="00984149"/>
    <w:rsid w:val="00984788"/>
    <w:rsid w:val="00984909"/>
    <w:rsid w:val="00984D7E"/>
    <w:rsid w:val="00984FF3"/>
    <w:rsid w:val="00984FF9"/>
    <w:rsid w:val="009850C5"/>
    <w:rsid w:val="00986326"/>
    <w:rsid w:val="00986849"/>
    <w:rsid w:val="00986BB7"/>
    <w:rsid w:val="00986D4B"/>
    <w:rsid w:val="00986E1E"/>
    <w:rsid w:val="00986F6D"/>
    <w:rsid w:val="0098727C"/>
    <w:rsid w:val="00987473"/>
    <w:rsid w:val="00987708"/>
    <w:rsid w:val="00987DDD"/>
    <w:rsid w:val="00987DF0"/>
    <w:rsid w:val="00987DF4"/>
    <w:rsid w:val="00987E2E"/>
    <w:rsid w:val="0099008B"/>
    <w:rsid w:val="00991202"/>
    <w:rsid w:val="0099177B"/>
    <w:rsid w:val="009917E0"/>
    <w:rsid w:val="00991D2D"/>
    <w:rsid w:val="0099367E"/>
    <w:rsid w:val="00993FE4"/>
    <w:rsid w:val="0099425E"/>
    <w:rsid w:val="0099482F"/>
    <w:rsid w:val="00994CDC"/>
    <w:rsid w:val="00995402"/>
    <w:rsid w:val="00995693"/>
    <w:rsid w:val="009969CD"/>
    <w:rsid w:val="00996CFC"/>
    <w:rsid w:val="0099770A"/>
    <w:rsid w:val="00997769"/>
    <w:rsid w:val="00997A2E"/>
    <w:rsid w:val="00997E3D"/>
    <w:rsid w:val="009A048E"/>
    <w:rsid w:val="009A0961"/>
    <w:rsid w:val="009A119F"/>
    <w:rsid w:val="009A1609"/>
    <w:rsid w:val="009A1A7E"/>
    <w:rsid w:val="009A3480"/>
    <w:rsid w:val="009A3DB8"/>
    <w:rsid w:val="009A4356"/>
    <w:rsid w:val="009A43B3"/>
    <w:rsid w:val="009A464D"/>
    <w:rsid w:val="009A496F"/>
    <w:rsid w:val="009A4B78"/>
    <w:rsid w:val="009A4D73"/>
    <w:rsid w:val="009A4E41"/>
    <w:rsid w:val="009A5297"/>
    <w:rsid w:val="009A5326"/>
    <w:rsid w:val="009A580D"/>
    <w:rsid w:val="009A5D40"/>
    <w:rsid w:val="009A5E10"/>
    <w:rsid w:val="009A5E9E"/>
    <w:rsid w:val="009A6665"/>
    <w:rsid w:val="009A6785"/>
    <w:rsid w:val="009A743F"/>
    <w:rsid w:val="009A74F7"/>
    <w:rsid w:val="009A76B0"/>
    <w:rsid w:val="009A7FD7"/>
    <w:rsid w:val="009B00F2"/>
    <w:rsid w:val="009B0FB2"/>
    <w:rsid w:val="009B1113"/>
    <w:rsid w:val="009B1472"/>
    <w:rsid w:val="009B1C34"/>
    <w:rsid w:val="009B1D22"/>
    <w:rsid w:val="009B1E86"/>
    <w:rsid w:val="009B2325"/>
    <w:rsid w:val="009B27C4"/>
    <w:rsid w:val="009B2D92"/>
    <w:rsid w:val="009B30B9"/>
    <w:rsid w:val="009B3250"/>
    <w:rsid w:val="009B3344"/>
    <w:rsid w:val="009B42D2"/>
    <w:rsid w:val="009B4A06"/>
    <w:rsid w:val="009B5117"/>
    <w:rsid w:val="009B5E9C"/>
    <w:rsid w:val="009B609E"/>
    <w:rsid w:val="009B70C8"/>
    <w:rsid w:val="009B722F"/>
    <w:rsid w:val="009B737C"/>
    <w:rsid w:val="009B742E"/>
    <w:rsid w:val="009C0AC6"/>
    <w:rsid w:val="009C0E66"/>
    <w:rsid w:val="009C11B2"/>
    <w:rsid w:val="009C1456"/>
    <w:rsid w:val="009C164F"/>
    <w:rsid w:val="009C1C30"/>
    <w:rsid w:val="009C22DD"/>
    <w:rsid w:val="009C2978"/>
    <w:rsid w:val="009C29C8"/>
    <w:rsid w:val="009C29D5"/>
    <w:rsid w:val="009C30A0"/>
    <w:rsid w:val="009C359E"/>
    <w:rsid w:val="009C37FE"/>
    <w:rsid w:val="009C4082"/>
    <w:rsid w:val="009C4806"/>
    <w:rsid w:val="009C4A38"/>
    <w:rsid w:val="009C4AD8"/>
    <w:rsid w:val="009C4D3D"/>
    <w:rsid w:val="009C55E2"/>
    <w:rsid w:val="009C5A4E"/>
    <w:rsid w:val="009C5EE5"/>
    <w:rsid w:val="009C61E3"/>
    <w:rsid w:val="009C6B56"/>
    <w:rsid w:val="009C6C93"/>
    <w:rsid w:val="009C76F9"/>
    <w:rsid w:val="009C7785"/>
    <w:rsid w:val="009C7DB8"/>
    <w:rsid w:val="009C7FF0"/>
    <w:rsid w:val="009D010D"/>
    <w:rsid w:val="009D0244"/>
    <w:rsid w:val="009D050F"/>
    <w:rsid w:val="009D0A67"/>
    <w:rsid w:val="009D0F71"/>
    <w:rsid w:val="009D111C"/>
    <w:rsid w:val="009D141A"/>
    <w:rsid w:val="009D17A0"/>
    <w:rsid w:val="009D1A08"/>
    <w:rsid w:val="009D1F7A"/>
    <w:rsid w:val="009D2165"/>
    <w:rsid w:val="009D2873"/>
    <w:rsid w:val="009D2942"/>
    <w:rsid w:val="009D3827"/>
    <w:rsid w:val="009D3A1A"/>
    <w:rsid w:val="009D426A"/>
    <w:rsid w:val="009D5BDB"/>
    <w:rsid w:val="009D5CCA"/>
    <w:rsid w:val="009D627D"/>
    <w:rsid w:val="009D674E"/>
    <w:rsid w:val="009D6B03"/>
    <w:rsid w:val="009D6B3D"/>
    <w:rsid w:val="009D7422"/>
    <w:rsid w:val="009D77A4"/>
    <w:rsid w:val="009D78E7"/>
    <w:rsid w:val="009E0505"/>
    <w:rsid w:val="009E0742"/>
    <w:rsid w:val="009E1291"/>
    <w:rsid w:val="009E12BC"/>
    <w:rsid w:val="009E224D"/>
    <w:rsid w:val="009E26D5"/>
    <w:rsid w:val="009E2765"/>
    <w:rsid w:val="009E276C"/>
    <w:rsid w:val="009E2A07"/>
    <w:rsid w:val="009E3398"/>
    <w:rsid w:val="009E3577"/>
    <w:rsid w:val="009E3D2B"/>
    <w:rsid w:val="009E3E84"/>
    <w:rsid w:val="009E4097"/>
    <w:rsid w:val="009E4664"/>
    <w:rsid w:val="009E49B4"/>
    <w:rsid w:val="009E4D8E"/>
    <w:rsid w:val="009E4E90"/>
    <w:rsid w:val="009E4EB7"/>
    <w:rsid w:val="009E56C7"/>
    <w:rsid w:val="009E57C1"/>
    <w:rsid w:val="009E624A"/>
    <w:rsid w:val="009E6B32"/>
    <w:rsid w:val="009E70F3"/>
    <w:rsid w:val="009E7E98"/>
    <w:rsid w:val="009F00EE"/>
    <w:rsid w:val="009F035F"/>
    <w:rsid w:val="009F0827"/>
    <w:rsid w:val="009F0BED"/>
    <w:rsid w:val="009F1673"/>
    <w:rsid w:val="009F1EA5"/>
    <w:rsid w:val="009F2AF4"/>
    <w:rsid w:val="009F3255"/>
    <w:rsid w:val="009F34AA"/>
    <w:rsid w:val="009F3DCE"/>
    <w:rsid w:val="009F44FF"/>
    <w:rsid w:val="009F46E8"/>
    <w:rsid w:val="009F472D"/>
    <w:rsid w:val="009F4CF0"/>
    <w:rsid w:val="009F4E88"/>
    <w:rsid w:val="009F50D1"/>
    <w:rsid w:val="009F568A"/>
    <w:rsid w:val="009F573B"/>
    <w:rsid w:val="009F5918"/>
    <w:rsid w:val="009F596D"/>
    <w:rsid w:val="009F6A91"/>
    <w:rsid w:val="009F71A6"/>
    <w:rsid w:val="009F71AA"/>
    <w:rsid w:val="009F7326"/>
    <w:rsid w:val="009F754A"/>
    <w:rsid w:val="009F791F"/>
    <w:rsid w:val="009F7ED2"/>
    <w:rsid w:val="009F7F86"/>
    <w:rsid w:val="00A0034D"/>
    <w:rsid w:val="00A00BFB"/>
    <w:rsid w:val="00A00DCF"/>
    <w:rsid w:val="00A00E2F"/>
    <w:rsid w:val="00A0126C"/>
    <w:rsid w:val="00A012DA"/>
    <w:rsid w:val="00A01320"/>
    <w:rsid w:val="00A0187E"/>
    <w:rsid w:val="00A01A50"/>
    <w:rsid w:val="00A01BB0"/>
    <w:rsid w:val="00A01D68"/>
    <w:rsid w:val="00A02450"/>
    <w:rsid w:val="00A026F0"/>
    <w:rsid w:val="00A02F2D"/>
    <w:rsid w:val="00A02F61"/>
    <w:rsid w:val="00A03862"/>
    <w:rsid w:val="00A03E0E"/>
    <w:rsid w:val="00A040D1"/>
    <w:rsid w:val="00A04424"/>
    <w:rsid w:val="00A04853"/>
    <w:rsid w:val="00A04A0A"/>
    <w:rsid w:val="00A050A8"/>
    <w:rsid w:val="00A056A3"/>
    <w:rsid w:val="00A056AA"/>
    <w:rsid w:val="00A05B51"/>
    <w:rsid w:val="00A06286"/>
    <w:rsid w:val="00A06318"/>
    <w:rsid w:val="00A063BC"/>
    <w:rsid w:val="00A068E1"/>
    <w:rsid w:val="00A06A80"/>
    <w:rsid w:val="00A06D8A"/>
    <w:rsid w:val="00A0711F"/>
    <w:rsid w:val="00A07B0B"/>
    <w:rsid w:val="00A102A0"/>
    <w:rsid w:val="00A104D5"/>
    <w:rsid w:val="00A108C2"/>
    <w:rsid w:val="00A114FA"/>
    <w:rsid w:val="00A11AF3"/>
    <w:rsid w:val="00A12C09"/>
    <w:rsid w:val="00A13084"/>
    <w:rsid w:val="00A1327F"/>
    <w:rsid w:val="00A137A5"/>
    <w:rsid w:val="00A13817"/>
    <w:rsid w:val="00A138D3"/>
    <w:rsid w:val="00A13E0F"/>
    <w:rsid w:val="00A13EDA"/>
    <w:rsid w:val="00A144B7"/>
    <w:rsid w:val="00A149B4"/>
    <w:rsid w:val="00A15B60"/>
    <w:rsid w:val="00A15F4F"/>
    <w:rsid w:val="00A160AB"/>
    <w:rsid w:val="00A160F0"/>
    <w:rsid w:val="00A16745"/>
    <w:rsid w:val="00A16747"/>
    <w:rsid w:val="00A17C1D"/>
    <w:rsid w:val="00A20013"/>
    <w:rsid w:val="00A20582"/>
    <w:rsid w:val="00A20C65"/>
    <w:rsid w:val="00A214B2"/>
    <w:rsid w:val="00A21767"/>
    <w:rsid w:val="00A21FD5"/>
    <w:rsid w:val="00A226DE"/>
    <w:rsid w:val="00A22751"/>
    <w:rsid w:val="00A22940"/>
    <w:rsid w:val="00A23102"/>
    <w:rsid w:val="00A23284"/>
    <w:rsid w:val="00A2343F"/>
    <w:rsid w:val="00A23505"/>
    <w:rsid w:val="00A23598"/>
    <w:rsid w:val="00A2428B"/>
    <w:rsid w:val="00A244E4"/>
    <w:rsid w:val="00A2476B"/>
    <w:rsid w:val="00A247E5"/>
    <w:rsid w:val="00A24B66"/>
    <w:rsid w:val="00A24D81"/>
    <w:rsid w:val="00A24EA5"/>
    <w:rsid w:val="00A25173"/>
    <w:rsid w:val="00A252F0"/>
    <w:rsid w:val="00A259F2"/>
    <w:rsid w:val="00A25FDB"/>
    <w:rsid w:val="00A26463"/>
    <w:rsid w:val="00A26608"/>
    <w:rsid w:val="00A2660E"/>
    <w:rsid w:val="00A26916"/>
    <w:rsid w:val="00A26B47"/>
    <w:rsid w:val="00A26FF1"/>
    <w:rsid w:val="00A27806"/>
    <w:rsid w:val="00A2799D"/>
    <w:rsid w:val="00A303DC"/>
    <w:rsid w:val="00A3068C"/>
    <w:rsid w:val="00A3127F"/>
    <w:rsid w:val="00A31922"/>
    <w:rsid w:val="00A31BCC"/>
    <w:rsid w:val="00A31C70"/>
    <w:rsid w:val="00A32382"/>
    <w:rsid w:val="00A325BB"/>
    <w:rsid w:val="00A3297A"/>
    <w:rsid w:val="00A32A58"/>
    <w:rsid w:val="00A32D63"/>
    <w:rsid w:val="00A32EEC"/>
    <w:rsid w:val="00A336C5"/>
    <w:rsid w:val="00A345B6"/>
    <w:rsid w:val="00A3510A"/>
    <w:rsid w:val="00A3515F"/>
    <w:rsid w:val="00A35751"/>
    <w:rsid w:val="00A35762"/>
    <w:rsid w:val="00A3577F"/>
    <w:rsid w:val="00A35BBC"/>
    <w:rsid w:val="00A35DAB"/>
    <w:rsid w:val="00A36724"/>
    <w:rsid w:val="00A367AF"/>
    <w:rsid w:val="00A36AA0"/>
    <w:rsid w:val="00A36C13"/>
    <w:rsid w:val="00A377C2"/>
    <w:rsid w:val="00A37A31"/>
    <w:rsid w:val="00A40B1F"/>
    <w:rsid w:val="00A40B4D"/>
    <w:rsid w:val="00A411E2"/>
    <w:rsid w:val="00A41373"/>
    <w:rsid w:val="00A41638"/>
    <w:rsid w:val="00A41B15"/>
    <w:rsid w:val="00A4224E"/>
    <w:rsid w:val="00A4229F"/>
    <w:rsid w:val="00A428A9"/>
    <w:rsid w:val="00A42ACA"/>
    <w:rsid w:val="00A43AAB"/>
    <w:rsid w:val="00A43AFE"/>
    <w:rsid w:val="00A43CD5"/>
    <w:rsid w:val="00A44AAD"/>
    <w:rsid w:val="00A44E8A"/>
    <w:rsid w:val="00A44F58"/>
    <w:rsid w:val="00A45280"/>
    <w:rsid w:val="00A45BF7"/>
    <w:rsid w:val="00A463B5"/>
    <w:rsid w:val="00A463BA"/>
    <w:rsid w:val="00A46675"/>
    <w:rsid w:val="00A471A3"/>
    <w:rsid w:val="00A47597"/>
    <w:rsid w:val="00A477B1"/>
    <w:rsid w:val="00A47E08"/>
    <w:rsid w:val="00A47E44"/>
    <w:rsid w:val="00A47F91"/>
    <w:rsid w:val="00A507D7"/>
    <w:rsid w:val="00A50A5C"/>
    <w:rsid w:val="00A50BE2"/>
    <w:rsid w:val="00A50CC6"/>
    <w:rsid w:val="00A50E40"/>
    <w:rsid w:val="00A51462"/>
    <w:rsid w:val="00A51564"/>
    <w:rsid w:val="00A51946"/>
    <w:rsid w:val="00A51C1F"/>
    <w:rsid w:val="00A51FF7"/>
    <w:rsid w:val="00A52079"/>
    <w:rsid w:val="00A52143"/>
    <w:rsid w:val="00A521E9"/>
    <w:rsid w:val="00A5279C"/>
    <w:rsid w:val="00A5298E"/>
    <w:rsid w:val="00A52B3E"/>
    <w:rsid w:val="00A5313B"/>
    <w:rsid w:val="00A5320E"/>
    <w:rsid w:val="00A536DA"/>
    <w:rsid w:val="00A53F7B"/>
    <w:rsid w:val="00A54090"/>
    <w:rsid w:val="00A54282"/>
    <w:rsid w:val="00A549D3"/>
    <w:rsid w:val="00A54DF0"/>
    <w:rsid w:val="00A56E99"/>
    <w:rsid w:val="00A57212"/>
    <w:rsid w:val="00A57E98"/>
    <w:rsid w:val="00A60849"/>
    <w:rsid w:val="00A6105B"/>
    <w:rsid w:val="00A61355"/>
    <w:rsid w:val="00A61668"/>
    <w:rsid w:val="00A621D3"/>
    <w:rsid w:val="00A628F8"/>
    <w:rsid w:val="00A62B7A"/>
    <w:rsid w:val="00A632EA"/>
    <w:rsid w:val="00A634BE"/>
    <w:rsid w:val="00A63AD7"/>
    <w:rsid w:val="00A63BFD"/>
    <w:rsid w:val="00A6444A"/>
    <w:rsid w:val="00A6491F"/>
    <w:rsid w:val="00A64C72"/>
    <w:rsid w:val="00A64D1A"/>
    <w:rsid w:val="00A65320"/>
    <w:rsid w:val="00A65BA5"/>
    <w:rsid w:val="00A66288"/>
    <w:rsid w:val="00A66354"/>
    <w:rsid w:val="00A66E37"/>
    <w:rsid w:val="00A66ECF"/>
    <w:rsid w:val="00A67E38"/>
    <w:rsid w:val="00A703E4"/>
    <w:rsid w:val="00A70DC6"/>
    <w:rsid w:val="00A71080"/>
    <w:rsid w:val="00A713B3"/>
    <w:rsid w:val="00A71986"/>
    <w:rsid w:val="00A71E73"/>
    <w:rsid w:val="00A72740"/>
    <w:rsid w:val="00A72EBE"/>
    <w:rsid w:val="00A73A64"/>
    <w:rsid w:val="00A742AD"/>
    <w:rsid w:val="00A746D7"/>
    <w:rsid w:val="00A74AB2"/>
    <w:rsid w:val="00A75A46"/>
    <w:rsid w:val="00A75B36"/>
    <w:rsid w:val="00A762F1"/>
    <w:rsid w:val="00A7663A"/>
    <w:rsid w:val="00A7696B"/>
    <w:rsid w:val="00A769D4"/>
    <w:rsid w:val="00A80268"/>
    <w:rsid w:val="00A804C7"/>
    <w:rsid w:val="00A80857"/>
    <w:rsid w:val="00A80A39"/>
    <w:rsid w:val="00A80DF0"/>
    <w:rsid w:val="00A80E64"/>
    <w:rsid w:val="00A81A16"/>
    <w:rsid w:val="00A823A7"/>
    <w:rsid w:val="00A825C8"/>
    <w:rsid w:val="00A82742"/>
    <w:rsid w:val="00A83984"/>
    <w:rsid w:val="00A83A1E"/>
    <w:rsid w:val="00A84198"/>
    <w:rsid w:val="00A841AB"/>
    <w:rsid w:val="00A84FFD"/>
    <w:rsid w:val="00A8570C"/>
    <w:rsid w:val="00A86104"/>
    <w:rsid w:val="00A8655A"/>
    <w:rsid w:val="00A87203"/>
    <w:rsid w:val="00A87600"/>
    <w:rsid w:val="00A87744"/>
    <w:rsid w:val="00A87A70"/>
    <w:rsid w:val="00A87AE6"/>
    <w:rsid w:val="00A87B09"/>
    <w:rsid w:val="00A87C22"/>
    <w:rsid w:val="00A90590"/>
    <w:rsid w:val="00A90A97"/>
    <w:rsid w:val="00A90BD3"/>
    <w:rsid w:val="00A90CB4"/>
    <w:rsid w:val="00A910DA"/>
    <w:rsid w:val="00A920E1"/>
    <w:rsid w:val="00A923D6"/>
    <w:rsid w:val="00A92B42"/>
    <w:rsid w:val="00A933AE"/>
    <w:rsid w:val="00A93485"/>
    <w:rsid w:val="00A93863"/>
    <w:rsid w:val="00A9415E"/>
    <w:rsid w:val="00A9423F"/>
    <w:rsid w:val="00A948D8"/>
    <w:rsid w:val="00A94EBD"/>
    <w:rsid w:val="00A9510D"/>
    <w:rsid w:val="00A9556A"/>
    <w:rsid w:val="00A956AC"/>
    <w:rsid w:val="00A95B89"/>
    <w:rsid w:val="00A95D2A"/>
    <w:rsid w:val="00A96214"/>
    <w:rsid w:val="00A967E8"/>
    <w:rsid w:val="00A9680B"/>
    <w:rsid w:val="00A97585"/>
    <w:rsid w:val="00A977D1"/>
    <w:rsid w:val="00A97AF8"/>
    <w:rsid w:val="00A97D38"/>
    <w:rsid w:val="00A97D80"/>
    <w:rsid w:val="00A97F4B"/>
    <w:rsid w:val="00AA04C5"/>
    <w:rsid w:val="00AA09F5"/>
    <w:rsid w:val="00AA1044"/>
    <w:rsid w:val="00AA10B1"/>
    <w:rsid w:val="00AA239B"/>
    <w:rsid w:val="00AA2803"/>
    <w:rsid w:val="00AA2BF2"/>
    <w:rsid w:val="00AA2D65"/>
    <w:rsid w:val="00AA2D68"/>
    <w:rsid w:val="00AA2D6F"/>
    <w:rsid w:val="00AA3987"/>
    <w:rsid w:val="00AA3B68"/>
    <w:rsid w:val="00AA3E79"/>
    <w:rsid w:val="00AA447C"/>
    <w:rsid w:val="00AA4FB4"/>
    <w:rsid w:val="00AA5C0B"/>
    <w:rsid w:val="00AA5D3C"/>
    <w:rsid w:val="00AA5E3B"/>
    <w:rsid w:val="00AA6003"/>
    <w:rsid w:val="00AA63AD"/>
    <w:rsid w:val="00AA65B4"/>
    <w:rsid w:val="00AA6F62"/>
    <w:rsid w:val="00AA745E"/>
    <w:rsid w:val="00AA7E43"/>
    <w:rsid w:val="00AB0352"/>
    <w:rsid w:val="00AB047A"/>
    <w:rsid w:val="00AB04AB"/>
    <w:rsid w:val="00AB0733"/>
    <w:rsid w:val="00AB09D2"/>
    <w:rsid w:val="00AB0B64"/>
    <w:rsid w:val="00AB0C30"/>
    <w:rsid w:val="00AB161B"/>
    <w:rsid w:val="00AB176B"/>
    <w:rsid w:val="00AB251A"/>
    <w:rsid w:val="00AB37E6"/>
    <w:rsid w:val="00AB3DBA"/>
    <w:rsid w:val="00AB431C"/>
    <w:rsid w:val="00AB470E"/>
    <w:rsid w:val="00AB5A7E"/>
    <w:rsid w:val="00AB7538"/>
    <w:rsid w:val="00AB75A7"/>
    <w:rsid w:val="00AB77F3"/>
    <w:rsid w:val="00AB7BE7"/>
    <w:rsid w:val="00AC0AAD"/>
    <w:rsid w:val="00AC0C2A"/>
    <w:rsid w:val="00AC1231"/>
    <w:rsid w:val="00AC15D4"/>
    <w:rsid w:val="00AC1992"/>
    <w:rsid w:val="00AC1E14"/>
    <w:rsid w:val="00AC2CE0"/>
    <w:rsid w:val="00AC2CFA"/>
    <w:rsid w:val="00AC3263"/>
    <w:rsid w:val="00AC3E12"/>
    <w:rsid w:val="00AC406E"/>
    <w:rsid w:val="00AC430C"/>
    <w:rsid w:val="00AC4A6B"/>
    <w:rsid w:val="00AC5C19"/>
    <w:rsid w:val="00AC60F0"/>
    <w:rsid w:val="00AC6657"/>
    <w:rsid w:val="00AC6A24"/>
    <w:rsid w:val="00AC6D7A"/>
    <w:rsid w:val="00AC72B0"/>
    <w:rsid w:val="00AC7363"/>
    <w:rsid w:val="00AC7401"/>
    <w:rsid w:val="00AC7901"/>
    <w:rsid w:val="00AC79F3"/>
    <w:rsid w:val="00AC7FDD"/>
    <w:rsid w:val="00AD0949"/>
    <w:rsid w:val="00AD0F1D"/>
    <w:rsid w:val="00AD1179"/>
    <w:rsid w:val="00AD1359"/>
    <w:rsid w:val="00AD194B"/>
    <w:rsid w:val="00AD19F0"/>
    <w:rsid w:val="00AD1FCE"/>
    <w:rsid w:val="00AD26E1"/>
    <w:rsid w:val="00AD29CC"/>
    <w:rsid w:val="00AD2D28"/>
    <w:rsid w:val="00AD3268"/>
    <w:rsid w:val="00AD3DE2"/>
    <w:rsid w:val="00AD4261"/>
    <w:rsid w:val="00AD4473"/>
    <w:rsid w:val="00AD46F5"/>
    <w:rsid w:val="00AD4CF5"/>
    <w:rsid w:val="00AD5026"/>
    <w:rsid w:val="00AD51A3"/>
    <w:rsid w:val="00AD598B"/>
    <w:rsid w:val="00AD6960"/>
    <w:rsid w:val="00AD7154"/>
    <w:rsid w:val="00AD7844"/>
    <w:rsid w:val="00AD797D"/>
    <w:rsid w:val="00AD7C94"/>
    <w:rsid w:val="00AD7E02"/>
    <w:rsid w:val="00AD7F7D"/>
    <w:rsid w:val="00AE0483"/>
    <w:rsid w:val="00AE08DD"/>
    <w:rsid w:val="00AE09A4"/>
    <w:rsid w:val="00AE13BD"/>
    <w:rsid w:val="00AE1681"/>
    <w:rsid w:val="00AE1AF9"/>
    <w:rsid w:val="00AE1E60"/>
    <w:rsid w:val="00AE2068"/>
    <w:rsid w:val="00AE2258"/>
    <w:rsid w:val="00AE277E"/>
    <w:rsid w:val="00AE2A36"/>
    <w:rsid w:val="00AE2BC6"/>
    <w:rsid w:val="00AE3251"/>
    <w:rsid w:val="00AE3FE0"/>
    <w:rsid w:val="00AE44A2"/>
    <w:rsid w:val="00AE4A71"/>
    <w:rsid w:val="00AE4AE8"/>
    <w:rsid w:val="00AE5058"/>
    <w:rsid w:val="00AE5170"/>
    <w:rsid w:val="00AE51CD"/>
    <w:rsid w:val="00AE5471"/>
    <w:rsid w:val="00AE54AA"/>
    <w:rsid w:val="00AE60E4"/>
    <w:rsid w:val="00AE6872"/>
    <w:rsid w:val="00AE6C58"/>
    <w:rsid w:val="00AE6EC2"/>
    <w:rsid w:val="00AE72C4"/>
    <w:rsid w:val="00AE7F05"/>
    <w:rsid w:val="00AE7F38"/>
    <w:rsid w:val="00AF054D"/>
    <w:rsid w:val="00AF0939"/>
    <w:rsid w:val="00AF0A7C"/>
    <w:rsid w:val="00AF1813"/>
    <w:rsid w:val="00AF24E7"/>
    <w:rsid w:val="00AF272B"/>
    <w:rsid w:val="00AF291B"/>
    <w:rsid w:val="00AF2DAA"/>
    <w:rsid w:val="00AF2EBD"/>
    <w:rsid w:val="00AF33AE"/>
    <w:rsid w:val="00AF4070"/>
    <w:rsid w:val="00AF409A"/>
    <w:rsid w:val="00AF44B1"/>
    <w:rsid w:val="00AF5800"/>
    <w:rsid w:val="00AF6986"/>
    <w:rsid w:val="00AF6D1B"/>
    <w:rsid w:val="00AF73ED"/>
    <w:rsid w:val="00AF7D69"/>
    <w:rsid w:val="00AF7ED2"/>
    <w:rsid w:val="00B004D8"/>
    <w:rsid w:val="00B00830"/>
    <w:rsid w:val="00B00CC5"/>
    <w:rsid w:val="00B00D7A"/>
    <w:rsid w:val="00B016D2"/>
    <w:rsid w:val="00B01E41"/>
    <w:rsid w:val="00B02091"/>
    <w:rsid w:val="00B02B3F"/>
    <w:rsid w:val="00B02B43"/>
    <w:rsid w:val="00B02BCB"/>
    <w:rsid w:val="00B03D36"/>
    <w:rsid w:val="00B03F3D"/>
    <w:rsid w:val="00B04384"/>
    <w:rsid w:val="00B04540"/>
    <w:rsid w:val="00B05116"/>
    <w:rsid w:val="00B051A7"/>
    <w:rsid w:val="00B05574"/>
    <w:rsid w:val="00B058D5"/>
    <w:rsid w:val="00B05F1A"/>
    <w:rsid w:val="00B05F4C"/>
    <w:rsid w:val="00B07B33"/>
    <w:rsid w:val="00B07FA2"/>
    <w:rsid w:val="00B100CF"/>
    <w:rsid w:val="00B10B3F"/>
    <w:rsid w:val="00B10E82"/>
    <w:rsid w:val="00B110FE"/>
    <w:rsid w:val="00B111A6"/>
    <w:rsid w:val="00B11221"/>
    <w:rsid w:val="00B115E5"/>
    <w:rsid w:val="00B118EE"/>
    <w:rsid w:val="00B11B03"/>
    <w:rsid w:val="00B11C5B"/>
    <w:rsid w:val="00B121CD"/>
    <w:rsid w:val="00B12343"/>
    <w:rsid w:val="00B12529"/>
    <w:rsid w:val="00B128C5"/>
    <w:rsid w:val="00B129DF"/>
    <w:rsid w:val="00B12B11"/>
    <w:rsid w:val="00B12C94"/>
    <w:rsid w:val="00B135AB"/>
    <w:rsid w:val="00B137BF"/>
    <w:rsid w:val="00B13A1B"/>
    <w:rsid w:val="00B13A59"/>
    <w:rsid w:val="00B142D9"/>
    <w:rsid w:val="00B149ED"/>
    <w:rsid w:val="00B14BC4"/>
    <w:rsid w:val="00B151C5"/>
    <w:rsid w:val="00B156C8"/>
    <w:rsid w:val="00B158A3"/>
    <w:rsid w:val="00B15B25"/>
    <w:rsid w:val="00B15EA0"/>
    <w:rsid w:val="00B17A4E"/>
    <w:rsid w:val="00B17B30"/>
    <w:rsid w:val="00B17C2F"/>
    <w:rsid w:val="00B21175"/>
    <w:rsid w:val="00B21257"/>
    <w:rsid w:val="00B2153E"/>
    <w:rsid w:val="00B21FA7"/>
    <w:rsid w:val="00B22022"/>
    <w:rsid w:val="00B225E4"/>
    <w:rsid w:val="00B23B89"/>
    <w:rsid w:val="00B23F7A"/>
    <w:rsid w:val="00B240B1"/>
    <w:rsid w:val="00B24208"/>
    <w:rsid w:val="00B24728"/>
    <w:rsid w:val="00B248A9"/>
    <w:rsid w:val="00B24D28"/>
    <w:rsid w:val="00B24F1C"/>
    <w:rsid w:val="00B25890"/>
    <w:rsid w:val="00B25D76"/>
    <w:rsid w:val="00B25E9C"/>
    <w:rsid w:val="00B26B12"/>
    <w:rsid w:val="00B27032"/>
    <w:rsid w:val="00B27BEC"/>
    <w:rsid w:val="00B30003"/>
    <w:rsid w:val="00B31201"/>
    <w:rsid w:val="00B3167E"/>
    <w:rsid w:val="00B319F7"/>
    <w:rsid w:val="00B31B4B"/>
    <w:rsid w:val="00B31CD5"/>
    <w:rsid w:val="00B31DCA"/>
    <w:rsid w:val="00B31E36"/>
    <w:rsid w:val="00B32E26"/>
    <w:rsid w:val="00B338B7"/>
    <w:rsid w:val="00B34061"/>
    <w:rsid w:val="00B3440A"/>
    <w:rsid w:val="00B3441D"/>
    <w:rsid w:val="00B34441"/>
    <w:rsid w:val="00B34671"/>
    <w:rsid w:val="00B353D3"/>
    <w:rsid w:val="00B35534"/>
    <w:rsid w:val="00B35A87"/>
    <w:rsid w:val="00B35AB6"/>
    <w:rsid w:val="00B35AFD"/>
    <w:rsid w:val="00B35F9A"/>
    <w:rsid w:val="00B36236"/>
    <w:rsid w:val="00B3662E"/>
    <w:rsid w:val="00B366D2"/>
    <w:rsid w:val="00B366FA"/>
    <w:rsid w:val="00B36E86"/>
    <w:rsid w:val="00B37122"/>
    <w:rsid w:val="00B379BA"/>
    <w:rsid w:val="00B37D24"/>
    <w:rsid w:val="00B40139"/>
    <w:rsid w:val="00B407BE"/>
    <w:rsid w:val="00B410E1"/>
    <w:rsid w:val="00B412FD"/>
    <w:rsid w:val="00B422BE"/>
    <w:rsid w:val="00B4241D"/>
    <w:rsid w:val="00B426BB"/>
    <w:rsid w:val="00B42B08"/>
    <w:rsid w:val="00B42EB9"/>
    <w:rsid w:val="00B434E9"/>
    <w:rsid w:val="00B435DA"/>
    <w:rsid w:val="00B441FE"/>
    <w:rsid w:val="00B44821"/>
    <w:rsid w:val="00B44AD3"/>
    <w:rsid w:val="00B44BDC"/>
    <w:rsid w:val="00B45152"/>
    <w:rsid w:val="00B45E54"/>
    <w:rsid w:val="00B461E5"/>
    <w:rsid w:val="00B464E4"/>
    <w:rsid w:val="00B4655F"/>
    <w:rsid w:val="00B4689A"/>
    <w:rsid w:val="00B46D5F"/>
    <w:rsid w:val="00B46E7B"/>
    <w:rsid w:val="00B47DC5"/>
    <w:rsid w:val="00B505B3"/>
    <w:rsid w:val="00B50A74"/>
    <w:rsid w:val="00B520A0"/>
    <w:rsid w:val="00B5257E"/>
    <w:rsid w:val="00B525CE"/>
    <w:rsid w:val="00B52CFD"/>
    <w:rsid w:val="00B545A8"/>
    <w:rsid w:val="00B548E8"/>
    <w:rsid w:val="00B56527"/>
    <w:rsid w:val="00B56918"/>
    <w:rsid w:val="00B576DA"/>
    <w:rsid w:val="00B57710"/>
    <w:rsid w:val="00B579F7"/>
    <w:rsid w:val="00B601C9"/>
    <w:rsid w:val="00B60D04"/>
    <w:rsid w:val="00B61EE8"/>
    <w:rsid w:val="00B62D9B"/>
    <w:rsid w:val="00B633A3"/>
    <w:rsid w:val="00B63533"/>
    <w:rsid w:val="00B63BDB"/>
    <w:rsid w:val="00B63C58"/>
    <w:rsid w:val="00B64A0E"/>
    <w:rsid w:val="00B64CC6"/>
    <w:rsid w:val="00B64DDF"/>
    <w:rsid w:val="00B65728"/>
    <w:rsid w:val="00B6601E"/>
    <w:rsid w:val="00B663AA"/>
    <w:rsid w:val="00B66DD5"/>
    <w:rsid w:val="00B6715C"/>
    <w:rsid w:val="00B67B97"/>
    <w:rsid w:val="00B67F01"/>
    <w:rsid w:val="00B70FA2"/>
    <w:rsid w:val="00B711AB"/>
    <w:rsid w:val="00B714E9"/>
    <w:rsid w:val="00B714F0"/>
    <w:rsid w:val="00B71A40"/>
    <w:rsid w:val="00B71BFA"/>
    <w:rsid w:val="00B71C8C"/>
    <w:rsid w:val="00B71CB4"/>
    <w:rsid w:val="00B71FD7"/>
    <w:rsid w:val="00B72003"/>
    <w:rsid w:val="00B7210F"/>
    <w:rsid w:val="00B725E7"/>
    <w:rsid w:val="00B72C07"/>
    <w:rsid w:val="00B72DF7"/>
    <w:rsid w:val="00B72F42"/>
    <w:rsid w:val="00B73E44"/>
    <w:rsid w:val="00B74290"/>
    <w:rsid w:val="00B74510"/>
    <w:rsid w:val="00B74822"/>
    <w:rsid w:val="00B74BD4"/>
    <w:rsid w:val="00B74BF7"/>
    <w:rsid w:val="00B76185"/>
    <w:rsid w:val="00B7676C"/>
    <w:rsid w:val="00B76BCD"/>
    <w:rsid w:val="00B76FBC"/>
    <w:rsid w:val="00B771CE"/>
    <w:rsid w:val="00B7782B"/>
    <w:rsid w:val="00B779E6"/>
    <w:rsid w:val="00B804E2"/>
    <w:rsid w:val="00B811B2"/>
    <w:rsid w:val="00B8164D"/>
    <w:rsid w:val="00B81C65"/>
    <w:rsid w:val="00B82024"/>
    <w:rsid w:val="00B8276E"/>
    <w:rsid w:val="00B836F3"/>
    <w:rsid w:val="00B83997"/>
    <w:rsid w:val="00B83A62"/>
    <w:rsid w:val="00B83B59"/>
    <w:rsid w:val="00B84252"/>
    <w:rsid w:val="00B84653"/>
    <w:rsid w:val="00B84677"/>
    <w:rsid w:val="00B8468F"/>
    <w:rsid w:val="00B84705"/>
    <w:rsid w:val="00B84FC6"/>
    <w:rsid w:val="00B857F5"/>
    <w:rsid w:val="00B85A56"/>
    <w:rsid w:val="00B85B2C"/>
    <w:rsid w:val="00B86D6C"/>
    <w:rsid w:val="00B86F47"/>
    <w:rsid w:val="00B874B4"/>
    <w:rsid w:val="00B875E9"/>
    <w:rsid w:val="00B8787A"/>
    <w:rsid w:val="00B87887"/>
    <w:rsid w:val="00B90123"/>
    <w:rsid w:val="00B90196"/>
    <w:rsid w:val="00B90FBE"/>
    <w:rsid w:val="00B90FD6"/>
    <w:rsid w:val="00B911C1"/>
    <w:rsid w:val="00B92008"/>
    <w:rsid w:val="00B920C1"/>
    <w:rsid w:val="00B922C3"/>
    <w:rsid w:val="00B9272E"/>
    <w:rsid w:val="00B927A7"/>
    <w:rsid w:val="00B92B9E"/>
    <w:rsid w:val="00B93315"/>
    <w:rsid w:val="00B93519"/>
    <w:rsid w:val="00B9372A"/>
    <w:rsid w:val="00B93B0C"/>
    <w:rsid w:val="00B93FD0"/>
    <w:rsid w:val="00B9425C"/>
    <w:rsid w:val="00B94AAF"/>
    <w:rsid w:val="00B94DB1"/>
    <w:rsid w:val="00B953FF"/>
    <w:rsid w:val="00B9622D"/>
    <w:rsid w:val="00B96263"/>
    <w:rsid w:val="00B96373"/>
    <w:rsid w:val="00B968A5"/>
    <w:rsid w:val="00B972CD"/>
    <w:rsid w:val="00B9769B"/>
    <w:rsid w:val="00B97D02"/>
    <w:rsid w:val="00BA0275"/>
    <w:rsid w:val="00BA0304"/>
    <w:rsid w:val="00BA0557"/>
    <w:rsid w:val="00BA2A34"/>
    <w:rsid w:val="00BA3038"/>
    <w:rsid w:val="00BA3319"/>
    <w:rsid w:val="00BA370A"/>
    <w:rsid w:val="00BA3826"/>
    <w:rsid w:val="00BA48BC"/>
    <w:rsid w:val="00BA4A29"/>
    <w:rsid w:val="00BA4BE7"/>
    <w:rsid w:val="00BA5D65"/>
    <w:rsid w:val="00BA5F20"/>
    <w:rsid w:val="00BA68D9"/>
    <w:rsid w:val="00BA7172"/>
    <w:rsid w:val="00BA7684"/>
    <w:rsid w:val="00BA7B01"/>
    <w:rsid w:val="00BB02D7"/>
    <w:rsid w:val="00BB0D9F"/>
    <w:rsid w:val="00BB0DEE"/>
    <w:rsid w:val="00BB0E20"/>
    <w:rsid w:val="00BB1031"/>
    <w:rsid w:val="00BB1B33"/>
    <w:rsid w:val="00BB2480"/>
    <w:rsid w:val="00BB2C4E"/>
    <w:rsid w:val="00BB2E29"/>
    <w:rsid w:val="00BB2F74"/>
    <w:rsid w:val="00BB3206"/>
    <w:rsid w:val="00BB32C2"/>
    <w:rsid w:val="00BB3B0D"/>
    <w:rsid w:val="00BB520A"/>
    <w:rsid w:val="00BB524C"/>
    <w:rsid w:val="00BB5DAB"/>
    <w:rsid w:val="00BB6195"/>
    <w:rsid w:val="00BB61A3"/>
    <w:rsid w:val="00BB707E"/>
    <w:rsid w:val="00BB7568"/>
    <w:rsid w:val="00BB7F82"/>
    <w:rsid w:val="00BC0032"/>
    <w:rsid w:val="00BC007C"/>
    <w:rsid w:val="00BC0AB2"/>
    <w:rsid w:val="00BC1308"/>
    <w:rsid w:val="00BC1BF4"/>
    <w:rsid w:val="00BC22DB"/>
    <w:rsid w:val="00BC2600"/>
    <w:rsid w:val="00BC2ACD"/>
    <w:rsid w:val="00BC2F24"/>
    <w:rsid w:val="00BC33BE"/>
    <w:rsid w:val="00BC3503"/>
    <w:rsid w:val="00BC3A47"/>
    <w:rsid w:val="00BC3EEB"/>
    <w:rsid w:val="00BC4780"/>
    <w:rsid w:val="00BC4DD7"/>
    <w:rsid w:val="00BC4F46"/>
    <w:rsid w:val="00BC52C8"/>
    <w:rsid w:val="00BC5485"/>
    <w:rsid w:val="00BC549C"/>
    <w:rsid w:val="00BC570E"/>
    <w:rsid w:val="00BC5A6C"/>
    <w:rsid w:val="00BC5A84"/>
    <w:rsid w:val="00BC5AF6"/>
    <w:rsid w:val="00BC5B4B"/>
    <w:rsid w:val="00BC5EDB"/>
    <w:rsid w:val="00BC613E"/>
    <w:rsid w:val="00BC69A2"/>
    <w:rsid w:val="00BC6ED6"/>
    <w:rsid w:val="00BC6F03"/>
    <w:rsid w:val="00BC6FA1"/>
    <w:rsid w:val="00BD024F"/>
    <w:rsid w:val="00BD0570"/>
    <w:rsid w:val="00BD0853"/>
    <w:rsid w:val="00BD112D"/>
    <w:rsid w:val="00BD214E"/>
    <w:rsid w:val="00BD22F7"/>
    <w:rsid w:val="00BD2395"/>
    <w:rsid w:val="00BD25B8"/>
    <w:rsid w:val="00BD2842"/>
    <w:rsid w:val="00BD2892"/>
    <w:rsid w:val="00BD3120"/>
    <w:rsid w:val="00BD3354"/>
    <w:rsid w:val="00BD368C"/>
    <w:rsid w:val="00BD384E"/>
    <w:rsid w:val="00BD39B1"/>
    <w:rsid w:val="00BD3E76"/>
    <w:rsid w:val="00BD3EE2"/>
    <w:rsid w:val="00BD3FCF"/>
    <w:rsid w:val="00BD42D2"/>
    <w:rsid w:val="00BD47D7"/>
    <w:rsid w:val="00BD4EFB"/>
    <w:rsid w:val="00BD5076"/>
    <w:rsid w:val="00BD5551"/>
    <w:rsid w:val="00BD5AF1"/>
    <w:rsid w:val="00BD6D43"/>
    <w:rsid w:val="00BD7090"/>
    <w:rsid w:val="00BD7490"/>
    <w:rsid w:val="00BD767F"/>
    <w:rsid w:val="00BE09C3"/>
    <w:rsid w:val="00BE0C27"/>
    <w:rsid w:val="00BE15BB"/>
    <w:rsid w:val="00BE198F"/>
    <w:rsid w:val="00BE1A78"/>
    <w:rsid w:val="00BE3A5C"/>
    <w:rsid w:val="00BE473E"/>
    <w:rsid w:val="00BE5135"/>
    <w:rsid w:val="00BE57EB"/>
    <w:rsid w:val="00BE5964"/>
    <w:rsid w:val="00BE5F2B"/>
    <w:rsid w:val="00BE660B"/>
    <w:rsid w:val="00BE6AFE"/>
    <w:rsid w:val="00BE6BBE"/>
    <w:rsid w:val="00BE6FDA"/>
    <w:rsid w:val="00BE7021"/>
    <w:rsid w:val="00BE7300"/>
    <w:rsid w:val="00BE784F"/>
    <w:rsid w:val="00BE7F90"/>
    <w:rsid w:val="00BF0238"/>
    <w:rsid w:val="00BF0717"/>
    <w:rsid w:val="00BF071D"/>
    <w:rsid w:val="00BF0A7D"/>
    <w:rsid w:val="00BF1750"/>
    <w:rsid w:val="00BF178E"/>
    <w:rsid w:val="00BF189F"/>
    <w:rsid w:val="00BF1B44"/>
    <w:rsid w:val="00BF1F01"/>
    <w:rsid w:val="00BF21FF"/>
    <w:rsid w:val="00BF23CC"/>
    <w:rsid w:val="00BF243F"/>
    <w:rsid w:val="00BF284E"/>
    <w:rsid w:val="00BF2F93"/>
    <w:rsid w:val="00BF3ACF"/>
    <w:rsid w:val="00BF3BB2"/>
    <w:rsid w:val="00BF3C2A"/>
    <w:rsid w:val="00BF4C2B"/>
    <w:rsid w:val="00BF507A"/>
    <w:rsid w:val="00BF53F1"/>
    <w:rsid w:val="00BF5717"/>
    <w:rsid w:val="00BF5B9D"/>
    <w:rsid w:val="00BF5CD8"/>
    <w:rsid w:val="00BF5FA3"/>
    <w:rsid w:val="00BF62F2"/>
    <w:rsid w:val="00BF63A5"/>
    <w:rsid w:val="00BF72A7"/>
    <w:rsid w:val="00BF7558"/>
    <w:rsid w:val="00BF7B50"/>
    <w:rsid w:val="00C0111E"/>
    <w:rsid w:val="00C02676"/>
    <w:rsid w:val="00C029AB"/>
    <w:rsid w:val="00C03BD5"/>
    <w:rsid w:val="00C03C8B"/>
    <w:rsid w:val="00C03F3C"/>
    <w:rsid w:val="00C049BE"/>
    <w:rsid w:val="00C04A71"/>
    <w:rsid w:val="00C04DF0"/>
    <w:rsid w:val="00C054A3"/>
    <w:rsid w:val="00C05A4C"/>
    <w:rsid w:val="00C05A67"/>
    <w:rsid w:val="00C073E0"/>
    <w:rsid w:val="00C1001D"/>
    <w:rsid w:val="00C10B5A"/>
    <w:rsid w:val="00C11113"/>
    <w:rsid w:val="00C11687"/>
    <w:rsid w:val="00C11E28"/>
    <w:rsid w:val="00C1225B"/>
    <w:rsid w:val="00C122F9"/>
    <w:rsid w:val="00C12459"/>
    <w:rsid w:val="00C1253A"/>
    <w:rsid w:val="00C128C9"/>
    <w:rsid w:val="00C12CF3"/>
    <w:rsid w:val="00C12F88"/>
    <w:rsid w:val="00C131A8"/>
    <w:rsid w:val="00C1322D"/>
    <w:rsid w:val="00C135A3"/>
    <w:rsid w:val="00C1477A"/>
    <w:rsid w:val="00C14A62"/>
    <w:rsid w:val="00C158EB"/>
    <w:rsid w:val="00C159B1"/>
    <w:rsid w:val="00C161F5"/>
    <w:rsid w:val="00C168D8"/>
    <w:rsid w:val="00C16C92"/>
    <w:rsid w:val="00C1706B"/>
    <w:rsid w:val="00C17648"/>
    <w:rsid w:val="00C17DB7"/>
    <w:rsid w:val="00C17E48"/>
    <w:rsid w:val="00C17E81"/>
    <w:rsid w:val="00C17FF5"/>
    <w:rsid w:val="00C201E7"/>
    <w:rsid w:val="00C20703"/>
    <w:rsid w:val="00C20AA2"/>
    <w:rsid w:val="00C20B91"/>
    <w:rsid w:val="00C21155"/>
    <w:rsid w:val="00C21180"/>
    <w:rsid w:val="00C2146C"/>
    <w:rsid w:val="00C214D7"/>
    <w:rsid w:val="00C21561"/>
    <w:rsid w:val="00C217EE"/>
    <w:rsid w:val="00C21CBF"/>
    <w:rsid w:val="00C22784"/>
    <w:rsid w:val="00C227D6"/>
    <w:rsid w:val="00C2395D"/>
    <w:rsid w:val="00C23A4C"/>
    <w:rsid w:val="00C2419D"/>
    <w:rsid w:val="00C243A4"/>
    <w:rsid w:val="00C24416"/>
    <w:rsid w:val="00C248DB"/>
    <w:rsid w:val="00C2529A"/>
    <w:rsid w:val="00C26170"/>
    <w:rsid w:val="00C26B5A"/>
    <w:rsid w:val="00C26D52"/>
    <w:rsid w:val="00C26F21"/>
    <w:rsid w:val="00C277DA"/>
    <w:rsid w:val="00C30319"/>
    <w:rsid w:val="00C303E4"/>
    <w:rsid w:val="00C30775"/>
    <w:rsid w:val="00C30B8D"/>
    <w:rsid w:val="00C30F51"/>
    <w:rsid w:val="00C310BA"/>
    <w:rsid w:val="00C3134E"/>
    <w:rsid w:val="00C314E3"/>
    <w:rsid w:val="00C315D8"/>
    <w:rsid w:val="00C31C4A"/>
    <w:rsid w:val="00C31D2D"/>
    <w:rsid w:val="00C3242F"/>
    <w:rsid w:val="00C32639"/>
    <w:rsid w:val="00C32AD2"/>
    <w:rsid w:val="00C32AF4"/>
    <w:rsid w:val="00C34193"/>
    <w:rsid w:val="00C3441A"/>
    <w:rsid w:val="00C347FD"/>
    <w:rsid w:val="00C34DAE"/>
    <w:rsid w:val="00C34E1E"/>
    <w:rsid w:val="00C34E5A"/>
    <w:rsid w:val="00C35A84"/>
    <w:rsid w:val="00C36219"/>
    <w:rsid w:val="00C3698E"/>
    <w:rsid w:val="00C36CCA"/>
    <w:rsid w:val="00C36E1C"/>
    <w:rsid w:val="00C36F42"/>
    <w:rsid w:val="00C3718A"/>
    <w:rsid w:val="00C377B1"/>
    <w:rsid w:val="00C379C5"/>
    <w:rsid w:val="00C37E84"/>
    <w:rsid w:val="00C37EEE"/>
    <w:rsid w:val="00C40453"/>
    <w:rsid w:val="00C40E71"/>
    <w:rsid w:val="00C41879"/>
    <w:rsid w:val="00C41A7C"/>
    <w:rsid w:val="00C42651"/>
    <w:rsid w:val="00C42CEF"/>
    <w:rsid w:val="00C42D55"/>
    <w:rsid w:val="00C43080"/>
    <w:rsid w:val="00C4370E"/>
    <w:rsid w:val="00C43823"/>
    <w:rsid w:val="00C4384B"/>
    <w:rsid w:val="00C4393C"/>
    <w:rsid w:val="00C44068"/>
    <w:rsid w:val="00C442AE"/>
    <w:rsid w:val="00C4518B"/>
    <w:rsid w:val="00C45780"/>
    <w:rsid w:val="00C458D6"/>
    <w:rsid w:val="00C46268"/>
    <w:rsid w:val="00C4655A"/>
    <w:rsid w:val="00C466BF"/>
    <w:rsid w:val="00C46957"/>
    <w:rsid w:val="00C47385"/>
    <w:rsid w:val="00C47555"/>
    <w:rsid w:val="00C476AC"/>
    <w:rsid w:val="00C4784F"/>
    <w:rsid w:val="00C47E67"/>
    <w:rsid w:val="00C47FD9"/>
    <w:rsid w:val="00C50387"/>
    <w:rsid w:val="00C50C1A"/>
    <w:rsid w:val="00C50CC0"/>
    <w:rsid w:val="00C51508"/>
    <w:rsid w:val="00C51D73"/>
    <w:rsid w:val="00C51DEB"/>
    <w:rsid w:val="00C524DD"/>
    <w:rsid w:val="00C52A05"/>
    <w:rsid w:val="00C52E97"/>
    <w:rsid w:val="00C52EAF"/>
    <w:rsid w:val="00C53189"/>
    <w:rsid w:val="00C534E5"/>
    <w:rsid w:val="00C534F4"/>
    <w:rsid w:val="00C5375B"/>
    <w:rsid w:val="00C53B15"/>
    <w:rsid w:val="00C53DA9"/>
    <w:rsid w:val="00C53EF7"/>
    <w:rsid w:val="00C54280"/>
    <w:rsid w:val="00C54929"/>
    <w:rsid w:val="00C556B1"/>
    <w:rsid w:val="00C55A05"/>
    <w:rsid w:val="00C55A12"/>
    <w:rsid w:val="00C56101"/>
    <w:rsid w:val="00C565F2"/>
    <w:rsid w:val="00C56C45"/>
    <w:rsid w:val="00C573CC"/>
    <w:rsid w:val="00C57B81"/>
    <w:rsid w:val="00C57FB9"/>
    <w:rsid w:val="00C60145"/>
    <w:rsid w:val="00C6077B"/>
    <w:rsid w:val="00C60950"/>
    <w:rsid w:val="00C609FD"/>
    <w:rsid w:val="00C60DD1"/>
    <w:rsid w:val="00C61565"/>
    <w:rsid w:val="00C61574"/>
    <w:rsid w:val="00C615B4"/>
    <w:rsid w:val="00C61765"/>
    <w:rsid w:val="00C61A90"/>
    <w:rsid w:val="00C6211D"/>
    <w:rsid w:val="00C62B32"/>
    <w:rsid w:val="00C63DED"/>
    <w:rsid w:val="00C63E88"/>
    <w:rsid w:val="00C64F97"/>
    <w:rsid w:val="00C65585"/>
    <w:rsid w:val="00C656EB"/>
    <w:rsid w:val="00C65C5A"/>
    <w:rsid w:val="00C65D7B"/>
    <w:rsid w:val="00C65DF4"/>
    <w:rsid w:val="00C6762C"/>
    <w:rsid w:val="00C67B49"/>
    <w:rsid w:val="00C70942"/>
    <w:rsid w:val="00C711F5"/>
    <w:rsid w:val="00C713A1"/>
    <w:rsid w:val="00C71828"/>
    <w:rsid w:val="00C72105"/>
    <w:rsid w:val="00C72BCE"/>
    <w:rsid w:val="00C731EF"/>
    <w:rsid w:val="00C74954"/>
    <w:rsid w:val="00C76028"/>
    <w:rsid w:val="00C76184"/>
    <w:rsid w:val="00C7673D"/>
    <w:rsid w:val="00C76A80"/>
    <w:rsid w:val="00C76C27"/>
    <w:rsid w:val="00C76F07"/>
    <w:rsid w:val="00C77EF6"/>
    <w:rsid w:val="00C80B4B"/>
    <w:rsid w:val="00C80D63"/>
    <w:rsid w:val="00C810BC"/>
    <w:rsid w:val="00C812D5"/>
    <w:rsid w:val="00C818D0"/>
    <w:rsid w:val="00C81BEA"/>
    <w:rsid w:val="00C81DF5"/>
    <w:rsid w:val="00C82188"/>
    <w:rsid w:val="00C82428"/>
    <w:rsid w:val="00C8242B"/>
    <w:rsid w:val="00C829FA"/>
    <w:rsid w:val="00C82A50"/>
    <w:rsid w:val="00C83240"/>
    <w:rsid w:val="00C832E7"/>
    <w:rsid w:val="00C83381"/>
    <w:rsid w:val="00C83607"/>
    <w:rsid w:val="00C83768"/>
    <w:rsid w:val="00C83B18"/>
    <w:rsid w:val="00C840C3"/>
    <w:rsid w:val="00C841B4"/>
    <w:rsid w:val="00C84266"/>
    <w:rsid w:val="00C849E0"/>
    <w:rsid w:val="00C84B74"/>
    <w:rsid w:val="00C8512A"/>
    <w:rsid w:val="00C85970"/>
    <w:rsid w:val="00C85E9B"/>
    <w:rsid w:val="00C86681"/>
    <w:rsid w:val="00C87174"/>
    <w:rsid w:val="00C874C8"/>
    <w:rsid w:val="00C90165"/>
    <w:rsid w:val="00C90733"/>
    <w:rsid w:val="00C921C4"/>
    <w:rsid w:val="00C9235F"/>
    <w:rsid w:val="00C9257F"/>
    <w:rsid w:val="00C92A59"/>
    <w:rsid w:val="00C92D5E"/>
    <w:rsid w:val="00C92F93"/>
    <w:rsid w:val="00C9319C"/>
    <w:rsid w:val="00C9346C"/>
    <w:rsid w:val="00C934F6"/>
    <w:rsid w:val="00C93874"/>
    <w:rsid w:val="00C93A4C"/>
    <w:rsid w:val="00C9448D"/>
    <w:rsid w:val="00C94FD2"/>
    <w:rsid w:val="00C9514C"/>
    <w:rsid w:val="00C95341"/>
    <w:rsid w:val="00C95B76"/>
    <w:rsid w:val="00C96285"/>
    <w:rsid w:val="00C964C3"/>
    <w:rsid w:val="00C96635"/>
    <w:rsid w:val="00C966B7"/>
    <w:rsid w:val="00C969DB"/>
    <w:rsid w:val="00C97A4A"/>
    <w:rsid w:val="00C97DC9"/>
    <w:rsid w:val="00C97EE3"/>
    <w:rsid w:val="00CA04BE"/>
    <w:rsid w:val="00CA12BA"/>
    <w:rsid w:val="00CA165C"/>
    <w:rsid w:val="00CA1C0D"/>
    <w:rsid w:val="00CA1DAE"/>
    <w:rsid w:val="00CA2267"/>
    <w:rsid w:val="00CA38AD"/>
    <w:rsid w:val="00CA413F"/>
    <w:rsid w:val="00CA5098"/>
    <w:rsid w:val="00CA5503"/>
    <w:rsid w:val="00CA55C3"/>
    <w:rsid w:val="00CA58C2"/>
    <w:rsid w:val="00CA65B3"/>
    <w:rsid w:val="00CA66C3"/>
    <w:rsid w:val="00CA6CAD"/>
    <w:rsid w:val="00CA70A8"/>
    <w:rsid w:val="00CA70D0"/>
    <w:rsid w:val="00CA74A4"/>
    <w:rsid w:val="00CA7683"/>
    <w:rsid w:val="00CA7EA1"/>
    <w:rsid w:val="00CA7EEB"/>
    <w:rsid w:val="00CB009B"/>
    <w:rsid w:val="00CB0231"/>
    <w:rsid w:val="00CB0838"/>
    <w:rsid w:val="00CB1AFD"/>
    <w:rsid w:val="00CB1E7F"/>
    <w:rsid w:val="00CB1EB3"/>
    <w:rsid w:val="00CB2126"/>
    <w:rsid w:val="00CB24AD"/>
    <w:rsid w:val="00CB2C59"/>
    <w:rsid w:val="00CB2D9C"/>
    <w:rsid w:val="00CB34AB"/>
    <w:rsid w:val="00CB3529"/>
    <w:rsid w:val="00CB3562"/>
    <w:rsid w:val="00CB378F"/>
    <w:rsid w:val="00CB38A9"/>
    <w:rsid w:val="00CB4728"/>
    <w:rsid w:val="00CB4994"/>
    <w:rsid w:val="00CB556C"/>
    <w:rsid w:val="00CB59E7"/>
    <w:rsid w:val="00CB5E4A"/>
    <w:rsid w:val="00CB6343"/>
    <w:rsid w:val="00CB668A"/>
    <w:rsid w:val="00CB6976"/>
    <w:rsid w:val="00CB6ECF"/>
    <w:rsid w:val="00CB6FCA"/>
    <w:rsid w:val="00CB724D"/>
    <w:rsid w:val="00CB73EA"/>
    <w:rsid w:val="00CB7D4E"/>
    <w:rsid w:val="00CC002B"/>
    <w:rsid w:val="00CC07E5"/>
    <w:rsid w:val="00CC09F0"/>
    <w:rsid w:val="00CC0C11"/>
    <w:rsid w:val="00CC15B5"/>
    <w:rsid w:val="00CC1671"/>
    <w:rsid w:val="00CC1698"/>
    <w:rsid w:val="00CC1F52"/>
    <w:rsid w:val="00CC233F"/>
    <w:rsid w:val="00CC27FD"/>
    <w:rsid w:val="00CC31E8"/>
    <w:rsid w:val="00CC33C6"/>
    <w:rsid w:val="00CC3AB9"/>
    <w:rsid w:val="00CC3C9E"/>
    <w:rsid w:val="00CC3CC4"/>
    <w:rsid w:val="00CC45E0"/>
    <w:rsid w:val="00CC4BBE"/>
    <w:rsid w:val="00CC4BC3"/>
    <w:rsid w:val="00CC50C7"/>
    <w:rsid w:val="00CC55AC"/>
    <w:rsid w:val="00CC5859"/>
    <w:rsid w:val="00CC6159"/>
    <w:rsid w:val="00CC65A8"/>
    <w:rsid w:val="00CC6FF2"/>
    <w:rsid w:val="00CC71F3"/>
    <w:rsid w:val="00CC72C0"/>
    <w:rsid w:val="00CC757D"/>
    <w:rsid w:val="00CC7C74"/>
    <w:rsid w:val="00CD00DB"/>
    <w:rsid w:val="00CD0119"/>
    <w:rsid w:val="00CD07FD"/>
    <w:rsid w:val="00CD0866"/>
    <w:rsid w:val="00CD0A51"/>
    <w:rsid w:val="00CD1169"/>
    <w:rsid w:val="00CD16C7"/>
    <w:rsid w:val="00CD1A40"/>
    <w:rsid w:val="00CD1B33"/>
    <w:rsid w:val="00CD25F3"/>
    <w:rsid w:val="00CD27FF"/>
    <w:rsid w:val="00CD2973"/>
    <w:rsid w:val="00CD305C"/>
    <w:rsid w:val="00CD32F6"/>
    <w:rsid w:val="00CD3941"/>
    <w:rsid w:val="00CD3A6D"/>
    <w:rsid w:val="00CD3E5A"/>
    <w:rsid w:val="00CD3E63"/>
    <w:rsid w:val="00CD40A3"/>
    <w:rsid w:val="00CD4CD3"/>
    <w:rsid w:val="00CD578C"/>
    <w:rsid w:val="00CD589F"/>
    <w:rsid w:val="00CD60C9"/>
    <w:rsid w:val="00CD6345"/>
    <w:rsid w:val="00CD6BBB"/>
    <w:rsid w:val="00CD6C19"/>
    <w:rsid w:val="00CD6E47"/>
    <w:rsid w:val="00CD7482"/>
    <w:rsid w:val="00CE07C1"/>
    <w:rsid w:val="00CE1567"/>
    <w:rsid w:val="00CE186F"/>
    <w:rsid w:val="00CE1BC4"/>
    <w:rsid w:val="00CE1C09"/>
    <w:rsid w:val="00CE20E3"/>
    <w:rsid w:val="00CE24B7"/>
    <w:rsid w:val="00CE273A"/>
    <w:rsid w:val="00CE2844"/>
    <w:rsid w:val="00CE321C"/>
    <w:rsid w:val="00CE32E8"/>
    <w:rsid w:val="00CE3700"/>
    <w:rsid w:val="00CE3B69"/>
    <w:rsid w:val="00CE3B77"/>
    <w:rsid w:val="00CE4559"/>
    <w:rsid w:val="00CE48DC"/>
    <w:rsid w:val="00CE4D58"/>
    <w:rsid w:val="00CE5118"/>
    <w:rsid w:val="00CE5487"/>
    <w:rsid w:val="00CE59B5"/>
    <w:rsid w:val="00CE59DB"/>
    <w:rsid w:val="00CE5D3A"/>
    <w:rsid w:val="00CE7381"/>
    <w:rsid w:val="00CE7447"/>
    <w:rsid w:val="00CE74CE"/>
    <w:rsid w:val="00CE7F36"/>
    <w:rsid w:val="00CF0829"/>
    <w:rsid w:val="00CF0E74"/>
    <w:rsid w:val="00CF1833"/>
    <w:rsid w:val="00CF1AEA"/>
    <w:rsid w:val="00CF1B4F"/>
    <w:rsid w:val="00CF2091"/>
    <w:rsid w:val="00CF21F6"/>
    <w:rsid w:val="00CF2278"/>
    <w:rsid w:val="00CF2C62"/>
    <w:rsid w:val="00CF2D78"/>
    <w:rsid w:val="00CF2E81"/>
    <w:rsid w:val="00CF2F66"/>
    <w:rsid w:val="00CF337B"/>
    <w:rsid w:val="00CF3848"/>
    <w:rsid w:val="00CF3FE7"/>
    <w:rsid w:val="00CF4059"/>
    <w:rsid w:val="00CF4416"/>
    <w:rsid w:val="00CF5762"/>
    <w:rsid w:val="00CF65B4"/>
    <w:rsid w:val="00CF69B0"/>
    <w:rsid w:val="00CF6C05"/>
    <w:rsid w:val="00CF7485"/>
    <w:rsid w:val="00CF7E56"/>
    <w:rsid w:val="00D009B1"/>
    <w:rsid w:val="00D0139C"/>
    <w:rsid w:val="00D01744"/>
    <w:rsid w:val="00D025CE"/>
    <w:rsid w:val="00D02A0F"/>
    <w:rsid w:val="00D02DF3"/>
    <w:rsid w:val="00D02FB3"/>
    <w:rsid w:val="00D03181"/>
    <w:rsid w:val="00D037DC"/>
    <w:rsid w:val="00D0383B"/>
    <w:rsid w:val="00D03A8A"/>
    <w:rsid w:val="00D03D6F"/>
    <w:rsid w:val="00D03DA5"/>
    <w:rsid w:val="00D03F27"/>
    <w:rsid w:val="00D043EE"/>
    <w:rsid w:val="00D0470D"/>
    <w:rsid w:val="00D05249"/>
    <w:rsid w:val="00D055CA"/>
    <w:rsid w:val="00D059FC"/>
    <w:rsid w:val="00D05DEF"/>
    <w:rsid w:val="00D06861"/>
    <w:rsid w:val="00D0688A"/>
    <w:rsid w:val="00D06F22"/>
    <w:rsid w:val="00D07A9C"/>
    <w:rsid w:val="00D10076"/>
    <w:rsid w:val="00D1033B"/>
    <w:rsid w:val="00D10477"/>
    <w:rsid w:val="00D107E2"/>
    <w:rsid w:val="00D11D76"/>
    <w:rsid w:val="00D11E73"/>
    <w:rsid w:val="00D121F5"/>
    <w:rsid w:val="00D126E4"/>
    <w:rsid w:val="00D131BF"/>
    <w:rsid w:val="00D140E6"/>
    <w:rsid w:val="00D145B6"/>
    <w:rsid w:val="00D158EF"/>
    <w:rsid w:val="00D15C14"/>
    <w:rsid w:val="00D15E74"/>
    <w:rsid w:val="00D15FAA"/>
    <w:rsid w:val="00D16ECB"/>
    <w:rsid w:val="00D16EEE"/>
    <w:rsid w:val="00D17167"/>
    <w:rsid w:val="00D1794C"/>
    <w:rsid w:val="00D17BA5"/>
    <w:rsid w:val="00D17EC9"/>
    <w:rsid w:val="00D2058D"/>
    <w:rsid w:val="00D2135C"/>
    <w:rsid w:val="00D2176E"/>
    <w:rsid w:val="00D2182A"/>
    <w:rsid w:val="00D22105"/>
    <w:rsid w:val="00D2211C"/>
    <w:rsid w:val="00D22945"/>
    <w:rsid w:val="00D22B55"/>
    <w:rsid w:val="00D23055"/>
    <w:rsid w:val="00D230AD"/>
    <w:rsid w:val="00D2447B"/>
    <w:rsid w:val="00D251AB"/>
    <w:rsid w:val="00D25AC6"/>
    <w:rsid w:val="00D261D3"/>
    <w:rsid w:val="00D27AF5"/>
    <w:rsid w:val="00D27E79"/>
    <w:rsid w:val="00D31255"/>
    <w:rsid w:val="00D319DF"/>
    <w:rsid w:val="00D31C89"/>
    <w:rsid w:val="00D3225E"/>
    <w:rsid w:val="00D32359"/>
    <w:rsid w:val="00D324BC"/>
    <w:rsid w:val="00D32EC2"/>
    <w:rsid w:val="00D33565"/>
    <w:rsid w:val="00D33762"/>
    <w:rsid w:val="00D34025"/>
    <w:rsid w:val="00D3413A"/>
    <w:rsid w:val="00D3493F"/>
    <w:rsid w:val="00D34BD1"/>
    <w:rsid w:val="00D35177"/>
    <w:rsid w:val="00D356E1"/>
    <w:rsid w:val="00D35790"/>
    <w:rsid w:val="00D37006"/>
    <w:rsid w:val="00D40609"/>
    <w:rsid w:val="00D40983"/>
    <w:rsid w:val="00D41188"/>
    <w:rsid w:val="00D417D3"/>
    <w:rsid w:val="00D418D5"/>
    <w:rsid w:val="00D41A6B"/>
    <w:rsid w:val="00D41DB1"/>
    <w:rsid w:val="00D42045"/>
    <w:rsid w:val="00D4276D"/>
    <w:rsid w:val="00D42798"/>
    <w:rsid w:val="00D42970"/>
    <w:rsid w:val="00D43492"/>
    <w:rsid w:val="00D4364E"/>
    <w:rsid w:val="00D43AED"/>
    <w:rsid w:val="00D44916"/>
    <w:rsid w:val="00D45CA4"/>
    <w:rsid w:val="00D45EA7"/>
    <w:rsid w:val="00D45F22"/>
    <w:rsid w:val="00D46485"/>
    <w:rsid w:val="00D47178"/>
    <w:rsid w:val="00D4752E"/>
    <w:rsid w:val="00D47842"/>
    <w:rsid w:val="00D478A8"/>
    <w:rsid w:val="00D47BEF"/>
    <w:rsid w:val="00D50826"/>
    <w:rsid w:val="00D51675"/>
    <w:rsid w:val="00D51996"/>
    <w:rsid w:val="00D51A75"/>
    <w:rsid w:val="00D51AA8"/>
    <w:rsid w:val="00D51C5A"/>
    <w:rsid w:val="00D51F73"/>
    <w:rsid w:val="00D52827"/>
    <w:rsid w:val="00D529BE"/>
    <w:rsid w:val="00D52CF6"/>
    <w:rsid w:val="00D53198"/>
    <w:rsid w:val="00D537D7"/>
    <w:rsid w:val="00D53D3E"/>
    <w:rsid w:val="00D547E0"/>
    <w:rsid w:val="00D54992"/>
    <w:rsid w:val="00D55291"/>
    <w:rsid w:val="00D55C48"/>
    <w:rsid w:val="00D55E47"/>
    <w:rsid w:val="00D56997"/>
    <w:rsid w:val="00D570E6"/>
    <w:rsid w:val="00D5730F"/>
    <w:rsid w:val="00D5774F"/>
    <w:rsid w:val="00D578B1"/>
    <w:rsid w:val="00D57A52"/>
    <w:rsid w:val="00D60809"/>
    <w:rsid w:val="00D60D7F"/>
    <w:rsid w:val="00D6185A"/>
    <w:rsid w:val="00D61C9C"/>
    <w:rsid w:val="00D62111"/>
    <w:rsid w:val="00D62229"/>
    <w:rsid w:val="00D625B8"/>
    <w:rsid w:val="00D626F8"/>
    <w:rsid w:val="00D634CD"/>
    <w:rsid w:val="00D636DC"/>
    <w:rsid w:val="00D63F4C"/>
    <w:rsid w:val="00D64265"/>
    <w:rsid w:val="00D64613"/>
    <w:rsid w:val="00D64702"/>
    <w:rsid w:val="00D666C2"/>
    <w:rsid w:val="00D66BD9"/>
    <w:rsid w:val="00D66BFD"/>
    <w:rsid w:val="00D66C91"/>
    <w:rsid w:val="00D674EE"/>
    <w:rsid w:val="00D67535"/>
    <w:rsid w:val="00D67B2A"/>
    <w:rsid w:val="00D67BC9"/>
    <w:rsid w:val="00D67DBC"/>
    <w:rsid w:val="00D704D9"/>
    <w:rsid w:val="00D7090A"/>
    <w:rsid w:val="00D70BD2"/>
    <w:rsid w:val="00D713F2"/>
    <w:rsid w:val="00D721AA"/>
    <w:rsid w:val="00D7244F"/>
    <w:rsid w:val="00D72705"/>
    <w:rsid w:val="00D738BF"/>
    <w:rsid w:val="00D73B93"/>
    <w:rsid w:val="00D73C95"/>
    <w:rsid w:val="00D73F99"/>
    <w:rsid w:val="00D745C1"/>
    <w:rsid w:val="00D75676"/>
    <w:rsid w:val="00D75731"/>
    <w:rsid w:val="00D75B45"/>
    <w:rsid w:val="00D75B5C"/>
    <w:rsid w:val="00D75F8C"/>
    <w:rsid w:val="00D76050"/>
    <w:rsid w:val="00D76309"/>
    <w:rsid w:val="00D76423"/>
    <w:rsid w:val="00D767BF"/>
    <w:rsid w:val="00D77278"/>
    <w:rsid w:val="00D775B5"/>
    <w:rsid w:val="00D77961"/>
    <w:rsid w:val="00D77B20"/>
    <w:rsid w:val="00D77B3B"/>
    <w:rsid w:val="00D8007C"/>
    <w:rsid w:val="00D8079F"/>
    <w:rsid w:val="00D8103B"/>
    <w:rsid w:val="00D8111B"/>
    <w:rsid w:val="00D81242"/>
    <w:rsid w:val="00D812D2"/>
    <w:rsid w:val="00D820E8"/>
    <w:rsid w:val="00D822FA"/>
    <w:rsid w:val="00D82D02"/>
    <w:rsid w:val="00D82D0F"/>
    <w:rsid w:val="00D836F8"/>
    <w:rsid w:val="00D83A5A"/>
    <w:rsid w:val="00D84157"/>
    <w:rsid w:val="00D84BD7"/>
    <w:rsid w:val="00D84DCA"/>
    <w:rsid w:val="00D850FC"/>
    <w:rsid w:val="00D85114"/>
    <w:rsid w:val="00D857BC"/>
    <w:rsid w:val="00D86144"/>
    <w:rsid w:val="00D8622E"/>
    <w:rsid w:val="00D8718F"/>
    <w:rsid w:val="00D871B6"/>
    <w:rsid w:val="00D875E1"/>
    <w:rsid w:val="00D90275"/>
    <w:rsid w:val="00D902F5"/>
    <w:rsid w:val="00D9075D"/>
    <w:rsid w:val="00D90959"/>
    <w:rsid w:val="00D90DDE"/>
    <w:rsid w:val="00D91410"/>
    <w:rsid w:val="00D91438"/>
    <w:rsid w:val="00D91594"/>
    <w:rsid w:val="00D91A8F"/>
    <w:rsid w:val="00D91ABE"/>
    <w:rsid w:val="00D91DFB"/>
    <w:rsid w:val="00D921DA"/>
    <w:rsid w:val="00D92C2F"/>
    <w:rsid w:val="00D92F7F"/>
    <w:rsid w:val="00D93E76"/>
    <w:rsid w:val="00D9459D"/>
    <w:rsid w:val="00D94730"/>
    <w:rsid w:val="00D94858"/>
    <w:rsid w:val="00D94972"/>
    <w:rsid w:val="00D954A1"/>
    <w:rsid w:val="00D95519"/>
    <w:rsid w:val="00D95744"/>
    <w:rsid w:val="00D958FC"/>
    <w:rsid w:val="00D959AE"/>
    <w:rsid w:val="00D95DC2"/>
    <w:rsid w:val="00D96678"/>
    <w:rsid w:val="00D96C73"/>
    <w:rsid w:val="00D96D46"/>
    <w:rsid w:val="00D97C27"/>
    <w:rsid w:val="00DA0526"/>
    <w:rsid w:val="00DA0639"/>
    <w:rsid w:val="00DA0CF7"/>
    <w:rsid w:val="00DA0E96"/>
    <w:rsid w:val="00DA11B5"/>
    <w:rsid w:val="00DA11EC"/>
    <w:rsid w:val="00DA1203"/>
    <w:rsid w:val="00DA18DA"/>
    <w:rsid w:val="00DA1F0C"/>
    <w:rsid w:val="00DA1F38"/>
    <w:rsid w:val="00DA2F0F"/>
    <w:rsid w:val="00DA3565"/>
    <w:rsid w:val="00DA3A5B"/>
    <w:rsid w:val="00DA3D0B"/>
    <w:rsid w:val="00DA3F51"/>
    <w:rsid w:val="00DA45DB"/>
    <w:rsid w:val="00DA48D9"/>
    <w:rsid w:val="00DA49F8"/>
    <w:rsid w:val="00DA4AAE"/>
    <w:rsid w:val="00DA4AD3"/>
    <w:rsid w:val="00DA5572"/>
    <w:rsid w:val="00DA6A15"/>
    <w:rsid w:val="00DA6CC2"/>
    <w:rsid w:val="00DA7029"/>
    <w:rsid w:val="00DA7183"/>
    <w:rsid w:val="00DA77A0"/>
    <w:rsid w:val="00DB09A2"/>
    <w:rsid w:val="00DB0C79"/>
    <w:rsid w:val="00DB103D"/>
    <w:rsid w:val="00DB111F"/>
    <w:rsid w:val="00DB1448"/>
    <w:rsid w:val="00DB161E"/>
    <w:rsid w:val="00DB1998"/>
    <w:rsid w:val="00DB19EE"/>
    <w:rsid w:val="00DB1D13"/>
    <w:rsid w:val="00DB1D23"/>
    <w:rsid w:val="00DB1FC4"/>
    <w:rsid w:val="00DB21F0"/>
    <w:rsid w:val="00DB24C0"/>
    <w:rsid w:val="00DB2910"/>
    <w:rsid w:val="00DB2C5F"/>
    <w:rsid w:val="00DB38E9"/>
    <w:rsid w:val="00DB3A58"/>
    <w:rsid w:val="00DB3BDF"/>
    <w:rsid w:val="00DB3C58"/>
    <w:rsid w:val="00DB3D46"/>
    <w:rsid w:val="00DB401C"/>
    <w:rsid w:val="00DB46C8"/>
    <w:rsid w:val="00DB4F41"/>
    <w:rsid w:val="00DB540E"/>
    <w:rsid w:val="00DB5A63"/>
    <w:rsid w:val="00DB6166"/>
    <w:rsid w:val="00DB656B"/>
    <w:rsid w:val="00DB691E"/>
    <w:rsid w:val="00DB75A3"/>
    <w:rsid w:val="00DB799D"/>
    <w:rsid w:val="00DB79C8"/>
    <w:rsid w:val="00DC046E"/>
    <w:rsid w:val="00DC0574"/>
    <w:rsid w:val="00DC069D"/>
    <w:rsid w:val="00DC0C65"/>
    <w:rsid w:val="00DC16BF"/>
    <w:rsid w:val="00DC16E1"/>
    <w:rsid w:val="00DC16FC"/>
    <w:rsid w:val="00DC1881"/>
    <w:rsid w:val="00DC1ED7"/>
    <w:rsid w:val="00DC36E8"/>
    <w:rsid w:val="00DC3731"/>
    <w:rsid w:val="00DC3A6F"/>
    <w:rsid w:val="00DC3D1C"/>
    <w:rsid w:val="00DC43E1"/>
    <w:rsid w:val="00DC4EE7"/>
    <w:rsid w:val="00DC5199"/>
    <w:rsid w:val="00DC5A32"/>
    <w:rsid w:val="00DC5E4E"/>
    <w:rsid w:val="00DC651B"/>
    <w:rsid w:val="00DC662F"/>
    <w:rsid w:val="00DC6E78"/>
    <w:rsid w:val="00DC729A"/>
    <w:rsid w:val="00DC7328"/>
    <w:rsid w:val="00DC73B1"/>
    <w:rsid w:val="00DC7519"/>
    <w:rsid w:val="00DC75C6"/>
    <w:rsid w:val="00DC7630"/>
    <w:rsid w:val="00DC7715"/>
    <w:rsid w:val="00DC7EB5"/>
    <w:rsid w:val="00DD04AC"/>
    <w:rsid w:val="00DD04DD"/>
    <w:rsid w:val="00DD0891"/>
    <w:rsid w:val="00DD0B35"/>
    <w:rsid w:val="00DD0F9F"/>
    <w:rsid w:val="00DD11A7"/>
    <w:rsid w:val="00DD1298"/>
    <w:rsid w:val="00DD2300"/>
    <w:rsid w:val="00DD2309"/>
    <w:rsid w:val="00DD28B3"/>
    <w:rsid w:val="00DD2DE3"/>
    <w:rsid w:val="00DD2DE8"/>
    <w:rsid w:val="00DD316F"/>
    <w:rsid w:val="00DD357C"/>
    <w:rsid w:val="00DD37CA"/>
    <w:rsid w:val="00DD3D55"/>
    <w:rsid w:val="00DD3DF7"/>
    <w:rsid w:val="00DD4AE2"/>
    <w:rsid w:val="00DD4BFA"/>
    <w:rsid w:val="00DD51F8"/>
    <w:rsid w:val="00DD6388"/>
    <w:rsid w:val="00DD6C53"/>
    <w:rsid w:val="00DD7198"/>
    <w:rsid w:val="00DD7199"/>
    <w:rsid w:val="00DD7408"/>
    <w:rsid w:val="00DD7C44"/>
    <w:rsid w:val="00DD7CB6"/>
    <w:rsid w:val="00DE0077"/>
    <w:rsid w:val="00DE0137"/>
    <w:rsid w:val="00DE01BA"/>
    <w:rsid w:val="00DE0DCF"/>
    <w:rsid w:val="00DE137B"/>
    <w:rsid w:val="00DE13D4"/>
    <w:rsid w:val="00DE13FD"/>
    <w:rsid w:val="00DE19D9"/>
    <w:rsid w:val="00DE1C18"/>
    <w:rsid w:val="00DE1C70"/>
    <w:rsid w:val="00DE1DC6"/>
    <w:rsid w:val="00DE1F77"/>
    <w:rsid w:val="00DE21C6"/>
    <w:rsid w:val="00DE220C"/>
    <w:rsid w:val="00DE22AA"/>
    <w:rsid w:val="00DE288F"/>
    <w:rsid w:val="00DE2D49"/>
    <w:rsid w:val="00DE3607"/>
    <w:rsid w:val="00DE388A"/>
    <w:rsid w:val="00DE3C8E"/>
    <w:rsid w:val="00DE3E66"/>
    <w:rsid w:val="00DE3F75"/>
    <w:rsid w:val="00DE44E2"/>
    <w:rsid w:val="00DE45F5"/>
    <w:rsid w:val="00DE4AAD"/>
    <w:rsid w:val="00DE4C0C"/>
    <w:rsid w:val="00DE4FC8"/>
    <w:rsid w:val="00DE53B5"/>
    <w:rsid w:val="00DE560F"/>
    <w:rsid w:val="00DE5A50"/>
    <w:rsid w:val="00DE60C5"/>
    <w:rsid w:val="00DE68DF"/>
    <w:rsid w:val="00DE7323"/>
    <w:rsid w:val="00DE75F0"/>
    <w:rsid w:val="00DE77CB"/>
    <w:rsid w:val="00DE7EBA"/>
    <w:rsid w:val="00DF04BD"/>
    <w:rsid w:val="00DF068D"/>
    <w:rsid w:val="00DF0D3A"/>
    <w:rsid w:val="00DF1A9A"/>
    <w:rsid w:val="00DF1C2D"/>
    <w:rsid w:val="00DF1DB6"/>
    <w:rsid w:val="00DF1F8A"/>
    <w:rsid w:val="00DF2261"/>
    <w:rsid w:val="00DF248E"/>
    <w:rsid w:val="00DF253D"/>
    <w:rsid w:val="00DF2CC6"/>
    <w:rsid w:val="00DF3222"/>
    <w:rsid w:val="00DF3577"/>
    <w:rsid w:val="00DF4063"/>
    <w:rsid w:val="00DF5F13"/>
    <w:rsid w:val="00DF63DD"/>
    <w:rsid w:val="00DF6B62"/>
    <w:rsid w:val="00DF7828"/>
    <w:rsid w:val="00DF7BD0"/>
    <w:rsid w:val="00DF7BDF"/>
    <w:rsid w:val="00E00303"/>
    <w:rsid w:val="00E00489"/>
    <w:rsid w:val="00E00A62"/>
    <w:rsid w:val="00E010A0"/>
    <w:rsid w:val="00E0125E"/>
    <w:rsid w:val="00E01668"/>
    <w:rsid w:val="00E0173A"/>
    <w:rsid w:val="00E01849"/>
    <w:rsid w:val="00E020D1"/>
    <w:rsid w:val="00E02B64"/>
    <w:rsid w:val="00E02EAD"/>
    <w:rsid w:val="00E03D3F"/>
    <w:rsid w:val="00E0437C"/>
    <w:rsid w:val="00E0452C"/>
    <w:rsid w:val="00E04D61"/>
    <w:rsid w:val="00E0504C"/>
    <w:rsid w:val="00E05074"/>
    <w:rsid w:val="00E05489"/>
    <w:rsid w:val="00E05741"/>
    <w:rsid w:val="00E05F7F"/>
    <w:rsid w:val="00E06930"/>
    <w:rsid w:val="00E06971"/>
    <w:rsid w:val="00E06B43"/>
    <w:rsid w:val="00E06D28"/>
    <w:rsid w:val="00E06E32"/>
    <w:rsid w:val="00E06EC4"/>
    <w:rsid w:val="00E070D9"/>
    <w:rsid w:val="00E105B3"/>
    <w:rsid w:val="00E10846"/>
    <w:rsid w:val="00E108F4"/>
    <w:rsid w:val="00E10A4B"/>
    <w:rsid w:val="00E10D4E"/>
    <w:rsid w:val="00E1100C"/>
    <w:rsid w:val="00E11489"/>
    <w:rsid w:val="00E11711"/>
    <w:rsid w:val="00E11E63"/>
    <w:rsid w:val="00E12696"/>
    <w:rsid w:val="00E12DEE"/>
    <w:rsid w:val="00E1310D"/>
    <w:rsid w:val="00E13359"/>
    <w:rsid w:val="00E138BF"/>
    <w:rsid w:val="00E14EFA"/>
    <w:rsid w:val="00E151B9"/>
    <w:rsid w:val="00E1566E"/>
    <w:rsid w:val="00E158C4"/>
    <w:rsid w:val="00E161E6"/>
    <w:rsid w:val="00E167C9"/>
    <w:rsid w:val="00E1698C"/>
    <w:rsid w:val="00E172BE"/>
    <w:rsid w:val="00E17CF7"/>
    <w:rsid w:val="00E17D0B"/>
    <w:rsid w:val="00E205D6"/>
    <w:rsid w:val="00E216EC"/>
    <w:rsid w:val="00E2189A"/>
    <w:rsid w:val="00E21D8C"/>
    <w:rsid w:val="00E22B5A"/>
    <w:rsid w:val="00E22B68"/>
    <w:rsid w:val="00E231C9"/>
    <w:rsid w:val="00E23379"/>
    <w:rsid w:val="00E23EBF"/>
    <w:rsid w:val="00E23FD5"/>
    <w:rsid w:val="00E24669"/>
    <w:rsid w:val="00E248B2"/>
    <w:rsid w:val="00E24C48"/>
    <w:rsid w:val="00E24D50"/>
    <w:rsid w:val="00E25981"/>
    <w:rsid w:val="00E25BC1"/>
    <w:rsid w:val="00E26043"/>
    <w:rsid w:val="00E26141"/>
    <w:rsid w:val="00E266F5"/>
    <w:rsid w:val="00E268C2"/>
    <w:rsid w:val="00E26D9E"/>
    <w:rsid w:val="00E26F90"/>
    <w:rsid w:val="00E270D3"/>
    <w:rsid w:val="00E27FC7"/>
    <w:rsid w:val="00E30700"/>
    <w:rsid w:val="00E30C59"/>
    <w:rsid w:val="00E30D87"/>
    <w:rsid w:val="00E30E57"/>
    <w:rsid w:val="00E31360"/>
    <w:rsid w:val="00E31450"/>
    <w:rsid w:val="00E31D28"/>
    <w:rsid w:val="00E325FF"/>
    <w:rsid w:val="00E3292B"/>
    <w:rsid w:val="00E32CB8"/>
    <w:rsid w:val="00E33D0F"/>
    <w:rsid w:val="00E3419B"/>
    <w:rsid w:val="00E3440F"/>
    <w:rsid w:val="00E34F3A"/>
    <w:rsid w:val="00E35030"/>
    <w:rsid w:val="00E35F99"/>
    <w:rsid w:val="00E35F9A"/>
    <w:rsid w:val="00E3637F"/>
    <w:rsid w:val="00E364B6"/>
    <w:rsid w:val="00E36723"/>
    <w:rsid w:val="00E3713C"/>
    <w:rsid w:val="00E3767B"/>
    <w:rsid w:val="00E37A3D"/>
    <w:rsid w:val="00E37E1C"/>
    <w:rsid w:val="00E40126"/>
    <w:rsid w:val="00E404E2"/>
    <w:rsid w:val="00E40CBF"/>
    <w:rsid w:val="00E40E7D"/>
    <w:rsid w:val="00E40EE4"/>
    <w:rsid w:val="00E413C6"/>
    <w:rsid w:val="00E415DC"/>
    <w:rsid w:val="00E41C4E"/>
    <w:rsid w:val="00E420D5"/>
    <w:rsid w:val="00E42517"/>
    <w:rsid w:val="00E42D55"/>
    <w:rsid w:val="00E42FFE"/>
    <w:rsid w:val="00E4316E"/>
    <w:rsid w:val="00E435AB"/>
    <w:rsid w:val="00E44275"/>
    <w:rsid w:val="00E44777"/>
    <w:rsid w:val="00E4535F"/>
    <w:rsid w:val="00E466BC"/>
    <w:rsid w:val="00E4686A"/>
    <w:rsid w:val="00E47538"/>
    <w:rsid w:val="00E479FD"/>
    <w:rsid w:val="00E504D6"/>
    <w:rsid w:val="00E50B6F"/>
    <w:rsid w:val="00E50DF1"/>
    <w:rsid w:val="00E50EBE"/>
    <w:rsid w:val="00E50F69"/>
    <w:rsid w:val="00E50FC6"/>
    <w:rsid w:val="00E517CD"/>
    <w:rsid w:val="00E52185"/>
    <w:rsid w:val="00E52372"/>
    <w:rsid w:val="00E52786"/>
    <w:rsid w:val="00E52C21"/>
    <w:rsid w:val="00E52F05"/>
    <w:rsid w:val="00E53785"/>
    <w:rsid w:val="00E53DB1"/>
    <w:rsid w:val="00E540CA"/>
    <w:rsid w:val="00E543AF"/>
    <w:rsid w:val="00E54B37"/>
    <w:rsid w:val="00E54DE9"/>
    <w:rsid w:val="00E55B28"/>
    <w:rsid w:val="00E56D4A"/>
    <w:rsid w:val="00E57119"/>
    <w:rsid w:val="00E5719E"/>
    <w:rsid w:val="00E57D7B"/>
    <w:rsid w:val="00E57F4B"/>
    <w:rsid w:val="00E602E5"/>
    <w:rsid w:val="00E602F8"/>
    <w:rsid w:val="00E6085B"/>
    <w:rsid w:val="00E60FBA"/>
    <w:rsid w:val="00E60FBF"/>
    <w:rsid w:val="00E616F9"/>
    <w:rsid w:val="00E61852"/>
    <w:rsid w:val="00E61A0C"/>
    <w:rsid w:val="00E61D22"/>
    <w:rsid w:val="00E61D96"/>
    <w:rsid w:val="00E61E4B"/>
    <w:rsid w:val="00E6342F"/>
    <w:rsid w:val="00E63DA2"/>
    <w:rsid w:val="00E642AF"/>
    <w:rsid w:val="00E644C6"/>
    <w:rsid w:val="00E64555"/>
    <w:rsid w:val="00E64595"/>
    <w:rsid w:val="00E646BB"/>
    <w:rsid w:val="00E64D24"/>
    <w:rsid w:val="00E64E69"/>
    <w:rsid w:val="00E6549C"/>
    <w:rsid w:val="00E654B9"/>
    <w:rsid w:val="00E6589D"/>
    <w:rsid w:val="00E65E2D"/>
    <w:rsid w:val="00E65E8C"/>
    <w:rsid w:val="00E665E7"/>
    <w:rsid w:val="00E66C96"/>
    <w:rsid w:val="00E66FD8"/>
    <w:rsid w:val="00E6703E"/>
    <w:rsid w:val="00E70130"/>
    <w:rsid w:val="00E715FC"/>
    <w:rsid w:val="00E71A45"/>
    <w:rsid w:val="00E71C21"/>
    <w:rsid w:val="00E72D84"/>
    <w:rsid w:val="00E730FC"/>
    <w:rsid w:val="00E7318D"/>
    <w:rsid w:val="00E7385A"/>
    <w:rsid w:val="00E73CE6"/>
    <w:rsid w:val="00E74780"/>
    <w:rsid w:val="00E7487D"/>
    <w:rsid w:val="00E748B2"/>
    <w:rsid w:val="00E74956"/>
    <w:rsid w:val="00E7522F"/>
    <w:rsid w:val="00E752F7"/>
    <w:rsid w:val="00E75848"/>
    <w:rsid w:val="00E759D4"/>
    <w:rsid w:val="00E76A3C"/>
    <w:rsid w:val="00E76F9B"/>
    <w:rsid w:val="00E771FC"/>
    <w:rsid w:val="00E77269"/>
    <w:rsid w:val="00E773E5"/>
    <w:rsid w:val="00E77511"/>
    <w:rsid w:val="00E77BDD"/>
    <w:rsid w:val="00E77F8B"/>
    <w:rsid w:val="00E806D3"/>
    <w:rsid w:val="00E81C34"/>
    <w:rsid w:val="00E81D83"/>
    <w:rsid w:val="00E821BB"/>
    <w:rsid w:val="00E822E9"/>
    <w:rsid w:val="00E826FE"/>
    <w:rsid w:val="00E8275E"/>
    <w:rsid w:val="00E827AF"/>
    <w:rsid w:val="00E82DE9"/>
    <w:rsid w:val="00E83253"/>
    <w:rsid w:val="00E844AB"/>
    <w:rsid w:val="00E84660"/>
    <w:rsid w:val="00E84C97"/>
    <w:rsid w:val="00E84D16"/>
    <w:rsid w:val="00E85005"/>
    <w:rsid w:val="00E85296"/>
    <w:rsid w:val="00E8533B"/>
    <w:rsid w:val="00E8575B"/>
    <w:rsid w:val="00E85931"/>
    <w:rsid w:val="00E85E4E"/>
    <w:rsid w:val="00E862BB"/>
    <w:rsid w:val="00E86327"/>
    <w:rsid w:val="00E86DF0"/>
    <w:rsid w:val="00E87BD2"/>
    <w:rsid w:val="00E87CDC"/>
    <w:rsid w:val="00E906E0"/>
    <w:rsid w:val="00E90B33"/>
    <w:rsid w:val="00E911E0"/>
    <w:rsid w:val="00E93407"/>
    <w:rsid w:val="00E939D6"/>
    <w:rsid w:val="00E940A8"/>
    <w:rsid w:val="00E94759"/>
    <w:rsid w:val="00E947E8"/>
    <w:rsid w:val="00E94B0F"/>
    <w:rsid w:val="00E94D03"/>
    <w:rsid w:val="00E9503F"/>
    <w:rsid w:val="00E96726"/>
    <w:rsid w:val="00E96E68"/>
    <w:rsid w:val="00E973BA"/>
    <w:rsid w:val="00E97EA1"/>
    <w:rsid w:val="00EA0BBE"/>
    <w:rsid w:val="00EA1FBC"/>
    <w:rsid w:val="00EA20A1"/>
    <w:rsid w:val="00EA212B"/>
    <w:rsid w:val="00EA24FB"/>
    <w:rsid w:val="00EA2D44"/>
    <w:rsid w:val="00EA306E"/>
    <w:rsid w:val="00EA32F4"/>
    <w:rsid w:val="00EA33FA"/>
    <w:rsid w:val="00EA3A1D"/>
    <w:rsid w:val="00EA3CD7"/>
    <w:rsid w:val="00EA3E2D"/>
    <w:rsid w:val="00EA429D"/>
    <w:rsid w:val="00EA43AF"/>
    <w:rsid w:val="00EA4676"/>
    <w:rsid w:val="00EA4C7C"/>
    <w:rsid w:val="00EA4D4C"/>
    <w:rsid w:val="00EA554F"/>
    <w:rsid w:val="00EA6250"/>
    <w:rsid w:val="00EA66A4"/>
    <w:rsid w:val="00EA6819"/>
    <w:rsid w:val="00EA69E4"/>
    <w:rsid w:val="00EA6A1E"/>
    <w:rsid w:val="00EA73CE"/>
    <w:rsid w:val="00EA75BD"/>
    <w:rsid w:val="00EA760C"/>
    <w:rsid w:val="00EA7C47"/>
    <w:rsid w:val="00EB0B4F"/>
    <w:rsid w:val="00EB0C01"/>
    <w:rsid w:val="00EB0F0F"/>
    <w:rsid w:val="00EB1053"/>
    <w:rsid w:val="00EB12A5"/>
    <w:rsid w:val="00EB24D8"/>
    <w:rsid w:val="00EB277B"/>
    <w:rsid w:val="00EB2F20"/>
    <w:rsid w:val="00EB2F35"/>
    <w:rsid w:val="00EB31DB"/>
    <w:rsid w:val="00EB3422"/>
    <w:rsid w:val="00EB3A31"/>
    <w:rsid w:val="00EB4EAF"/>
    <w:rsid w:val="00EB548E"/>
    <w:rsid w:val="00EB5C41"/>
    <w:rsid w:val="00EB5F5A"/>
    <w:rsid w:val="00EB657E"/>
    <w:rsid w:val="00EB695E"/>
    <w:rsid w:val="00EB69D1"/>
    <w:rsid w:val="00EB6DB8"/>
    <w:rsid w:val="00EB6FE9"/>
    <w:rsid w:val="00EB72FF"/>
    <w:rsid w:val="00EB756F"/>
    <w:rsid w:val="00EB79C8"/>
    <w:rsid w:val="00EB7E78"/>
    <w:rsid w:val="00EC0301"/>
    <w:rsid w:val="00EC09C6"/>
    <w:rsid w:val="00EC0E8B"/>
    <w:rsid w:val="00EC0EA5"/>
    <w:rsid w:val="00EC1056"/>
    <w:rsid w:val="00EC1470"/>
    <w:rsid w:val="00EC222E"/>
    <w:rsid w:val="00EC25CD"/>
    <w:rsid w:val="00EC2716"/>
    <w:rsid w:val="00EC2DBB"/>
    <w:rsid w:val="00EC3107"/>
    <w:rsid w:val="00EC358E"/>
    <w:rsid w:val="00EC3C46"/>
    <w:rsid w:val="00EC3F3F"/>
    <w:rsid w:val="00EC3FD2"/>
    <w:rsid w:val="00EC4095"/>
    <w:rsid w:val="00EC43B5"/>
    <w:rsid w:val="00EC4537"/>
    <w:rsid w:val="00EC4960"/>
    <w:rsid w:val="00EC4AE3"/>
    <w:rsid w:val="00EC522B"/>
    <w:rsid w:val="00EC54EE"/>
    <w:rsid w:val="00EC59B2"/>
    <w:rsid w:val="00EC5A3B"/>
    <w:rsid w:val="00EC6BCB"/>
    <w:rsid w:val="00EC6EDB"/>
    <w:rsid w:val="00EC774E"/>
    <w:rsid w:val="00EC786C"/>
    <w:rsid w:val="00EC7ADD"/>
    <w:rsid w:val="00EC7D55"/>
    <w:rsid w:val="00ED04FE"/>
    <w:rsid w:val="00ED0521"/>
    <w:rsid w:val="00ED0DD0"/>
    <w:rsid w:val="00ED1989"/>
    <w:rsid w:val="00ED28F2"/>
    <w:rsid w:val="00ED3145"/>
    <w:rsid w:val="00ED3309"/>
    <w:rsid w:val="00ED356E"/>
    <w:rsid w:val="00ED3BDA"/>
    <w:rsid w:val="00ED3DA4"/>
    <w:rsid w:val="00ED4B67"/>
    <w:rsid w:val="00ED4B69"/>
    <w:rsid w:val="00ED5A3B"/>
    <w:rsid w:val="00ED5C30"/>
    <w:rsid w:val="00ED5E02"/>
    <w:rsid w:val="00ED5EED"/>
    <w:rsid w:val="00ED6B1C"/>
    <w:rsid w:val="00ED6CF7"/>
    <w:rsid w:val="00ED6F33"/>
    <w:rsid w:val="00ED741E"/>
    <w:rsid w:val="00ED7582"/>
    <w:rsid w:val="00ED7716"/>
    <w:rsid w:val="00ED7737"/>
    <w:rsid w:val="00ED7747"/>
    <w:rsid w:val="00ED7CF4"/>
    <w:rsid w:val="00EE0406"/>
    <w:rsid w:val="00EE0BF8"/>
    <w:rsid w:val="00EE0E46"/>
    <w:rsid w:val="00EE0EA8"/>
    <w:rsid w:val="00EE1B0E"/>
    <w:rsid w:val="00EE22FB"/>
    <w:rsid w:val="00EE2407"/>
    <w:rsid w:val="00EE26AE"/>
    <w:rsid w:val="00EE29C8"/>
    <w:rsid w:val="00EE2A54"/>
    <w:rsid w:val="00EE2FC2"/>
    <w:rsid w:val="00EE3B88"/>
    <w:rsid w:val="00EE4B75"/>
    <w:rsid w:val="00EE4DBD"/>
    <w:rsid w:val="00EE57D6"/>
    <w:rsid w:val="00EE5EAB"/>
    <w:rsid w:val="00EE6025"/>
    <w:rsid w:val="00EE62B2"/>
    <w:rsid w:val="00EE6AC6"/>
    <w:rsid w:val="00EE6E26"/>
    <w:rsid w:val="00EE784F"/>
    <w:rsid w:val="00EE7A1D"/>
    <w:rsid w:val="00EF0500"/>
    <w:rsid w:val="00EF0767"/>
    <w:rsid w:val="00EF0B66"/>
    <w:rsid w:val="00EF1002"/>
    <w:rsid w:val="00EF143F"/>
    <w:rsid w:val="00EF23D8"/>
    <w:rsid w:val="00EF2A5A"/>
    <w:rsid w:val="00EF2A87"/>
    <w:rsid w:val="00EF3A74"/>
    <w:rsid w:val="00EF3AE9"/>
    <w:rsid w:val="00EF3EA5"/>
    <w:rsid w:val="00EF40DC"/>
    <w:rsid w:val="00EF49FB"/>
    <w:rsid w:val="00EF4D23"/>
    <w:rsid w:val="00EF55D6"/>
    <w:rsid w:val="00EF644D"/>
    <w:rsid w:val="00EF6D29"/>
    <w:rsid w:val="00EF7138"/>
    <w:rsid w:val="00EF7149"/>
    <w:rsid w:val="00F00881"/>
    <w:rsid w:val="00F00917"/>
    <w:rsid w:val="00F01032"/>
    <w:rsid w:val="00F010BB"/>
    <w:rsid w:val="00F012C1"/>
    <w:rsid w:val="00F0175F"/>
    <w:rsid w:val="00F01C5B"/>
    <w:rsid w:val="00F03280"/>
    <w:rsid w:val="00F0362A"/>
    <w:rsid w:val="00F03769"/>
    <w:rsid w:val="00F0385C"/>
    <w:rsid w:val="00F03ABE"/>
    <w:rsid w:val="00F04345"/>
    <w:rsid w:val="00F047A4"/>
    <w:rsid w:val="00F04F52"/>
    <w:rsid w:val="00F0510F"/>
    <w:rsid w:val="00F0554F"/>
    <w:rsid w:val="00F0563F"/>
    <w:rsid w:val="00F06239"/>
    <w:rsid w:val="00F064EF"/>
    <w:rsid w:val="00F06558"/>
    <w:rsid w:val="00F06974"/>
    <w:rsid w:val="00F06F42"/>
    <w:rsid w:val="00F0705E"/>
    <w:rsid w:val="00F07122"/>
    <w:rsid w:val="00F074C9"/>
    <w:rsid w:val="00F07C82"/>
    <w:rsid w:val="00F07F5E"/>
    <w:rsid w:val="00F1001E"/>
    <w:rsid w:val="00F106BB"/>
    <w:rsid w:val="00F11027"/>
    <w:rsid w:val="00F1106C"/>
    <w:rsid w:val="00F111BA"/>
    <w:rsid w:val="00F116DD"/>
    <w:rsid w:val="00F11D9F"/>
    <w:rsid w:val="00F11E31"/>
    <w:rsid w:val="00F13137"/>
    <w:rsid w:val="00F13AA1"/>
    <w:rsid w:val="00F13F2A"/>
    <w:rsid w:val="00F140EC"/>
    <w:rsid w:val="00F15097"/>
    <w:rsid w:val="00F15671"/>
    <w:rsid w:val="00F15DC7"/>
    <w:rsid w:val="00F16695"/>
    <w:rsid w:val="00F202E3"/>
    <w:rsid w:val="00F20460"/>
    <w:rsid w:val="00F20C6E"/>
    <w:rsid w:val="00F20D6C"/>
    <w:rsid w:val="00F212CF"/>
    <w:rsid w:val="00F22154"/>
    <w:rsid w:val="00F2242D"/>
    <w:rsid w:val="00F2255F"/>
    <w:rsid w:val="00F225CF"/>
    <w:rsid w:val="00F22882"/>
    <w:rsid w:val="00F22985"/>
    <w:rsid w:val="00F22AEF"/>
    <w:rsid w:val="00F22F7A"/>
    <w:rsid w:val="00F2322E"/>
    <w:rsid w:val="00F2343C"/>
    <w:rsid w:val="00F23CFC"/>
    <w:rsid w:val="00F24076"/>
    <w:rsid w:val="00F240CB"/>
    <w:rsid w:val="00F2435D"/>
    <w:rsid w:val="00F2492F"/>
    <w:rsid w:val="00F2500D"/>
    <w:rsid w:val="00F256DA"/>
    <w:rsid w:val="00F25742"/>
    <w:rsid w:val="00F2596D"/>
    <w:rsid w:val="00F25CAA"/>
    <w:rsid w:val="00F26AD6"/>
    <w:rsid w:val="00F2711C"/>
    <w:rsid w:val="00F277E8"/>
    <w:rsid w:val="00F27B04"/>
    <w:rsid w:val="00F27E3D"/>
    <w:rsid w:val="00F301D0"/>
    <w:rsid w:val="00F3069F"/>
    <w:rsid w:val="00F30BA9"/>
    <w:rsid w:val="00F30C3F"/>
    <w:rsid w:val="00F30C60"/>
    <w:rsid w:val="00F30EFB"/>
    <w:rsid w:val="00F30F38"/>
    <w:rsid w:val="00F311D1"/>
    <w:rsid w:val="00F3158A"/>
    <w:rsid w:val="00F318DB"/>
    <w:rsid w:val="00F31901"/>
    <w:rsid w:val="00F3199C"/>
    <w:rsid w:val="00F31F7D"/>
    <w:rsid w:val="00F32AFF"/>
    <w:rsid w:val="00F32EB3"/>
    <w:rsid w:val="00F33825"/>
    <w:rsid w:val="00F33A8B"/>
    <w:rsid w:val="00F33D3B"/>
    <w:rsid w:val="00F341D4"/>
    <w:rsid w:val="00F34A96"/>
    <w:rsid w:val="00F34EBF"/>
    <w:rsid w:val="00F34F05"/>
    <w:rsid w:val="00F34F85"/>
    <w:rsid w:val="00F353B0"/>
    <w:rsid w:val="00F356D5"/>
    <w:rsid w:val="00F361AE"/>
    <w:rsid w:val="00F36240"/>
    <w:rsid w:val="00F363EB"/>
    <w:rsid w:val="00F365DE"/>
    <w:rsid w:val="00F36764"/>
    <w:rsid w:val="00F367CF"/>
    <w:rsid w:val="00F36D37"/>
    <w:rsid w:val="00F3719A"/>
    <w:rsid w:val="00F379BF"/>
    <w:rsid w:val="00F37EA7"/>
    <w:rsid w:val="00F40805"/>
    <w:rsid w:val="00F40C5E"/>
    <w:rsid w:val="00F40E3E"/>
    <w:rsid w:val="00F40F1C"/>
    <w:rsid w:val="00F4163A"/>
    <w:rsid w:val="00F41873"/>
    <w:rsid w:val="00F419C3"/>
    <w:rsid w:val="00F41D91"/>
    <w:rsid w:val="00F41E2B"/>
    <w:rsid w:val="00F423BE"/>
    <w:rsid w:val="00F424A5"/>
    <w:rsid w:val="00F425EF"/>
    <w:rsid w:val="00F428AC"/>
    <w:rsid w:val="00F42EE3"/>
    <w:rsid w:val="00F43660"/>
    <w:rsid w:val="00F44542"/>
    <w:rsid w:val="00F448DD"/>
    <w:rsid w:val="00F44C5F"/>
    <w:rsid w:val="00F44DB8"/>
    <w:rsid w:val="00F456BC"/>
    <w:rsid w:val="00F45760"/>
    <w:rsid w:val="00F45925"/>
    <w:rsid w:val="00F46BA6"/>
    <w:rsid w:val="00F46C97"/>
    <w:rsid w:val="00F4703E"/>
    <w:rsid w:val="00F50511"/>
    <w:rsid w:val="00F50781"/>
    <w:rsid w:val="00F50CA3"/>
    <w:rsid w:val="00F517ED"/>
    <w:rsid w:val="00F51F3F"/>
    <w:rsid w:val="00F5272E"/>
    <w:rsid w:val="00F528B5"/>
    <w:rsid w:val="00F528E7"/>
    <w:rsid w:val="00F5290D"/>
    <w:rsid w:val="00F52C8A"/>
    <w:rsid w:val="00F53615"/>
    <w:rsid w:val="00F53A91"/>
    <w:rsid w:val="00F53FFD"/>
    <w:rsid w:val="00F54783"/>
    <w:rsid w:val="00F547E9"/>
    <w:rsid w:val="00F5494E"/>
    <w:rsid w:val="00F54ABE"/>
    <w:rsid w:val="00F553D2"/>
    <w:rsid w:val="00F5564F"/>
    <w:rsid w:val="00F55804"/>
    <w:rsid w:val="00F55F1A"/>
    <w:rsid w:val="00F56310"/>
    <w:rsid w:val="00F5684C"/>
    <w:rsid w:val="00F57210"/>
    <w:rsid w:val="00F577FC"/>
    <w:rsid w:val="00F602F0"/>
    <w:rsid w:val="00F6098E"/>
    <w:rsid w:val="00F60C90"/>
    <w:rsid w:val="00F613E9"/>
    <w:rsid w:val="00F619EE"/>
    <w:rsid w:val="00F61CF5"/>
    <w:rsid w:val="00F61FF9"/>
    <w:rsid w:val="00F62069"/>
    <w:rsid w:val="00F62159"/>
    <w:rsid w:val="00F62948"/>
    <w:rsid w:val="00F62A7C"/>
    <w:rsid w:val="00F62B93"/>
    <w:rsid w:val="00F6308B"/>
    <w:rsid w:val="00F633E5"/>
    <w:rsid w:val="00F63A07"/>
    <w:rsid w:val="00F63C89"/>
    <w:rsid w:val="00F643CA"/>
    <w:rsid w:val="00F647EC"/>
    <w:rsid w:val="00F64D57"/>
    <w:rsid w:val="00F64FAB"/>
    <w:rsid w:val="00F65329"/>
    <w:rsid w:val="00F6546A"/>
    <w:rsid w:val="00F65CEA"/>
    <w:rsid w:val="00F65F15"/>
    <w:rsid w:val="00F66443"/>
    <w:rsid w:val="00F666E6"/>
    <w:rsid w:val="00F66BD1"/>
    <w:rsid w:val="00F675EA"/>
    <w:rsid w:val="00F67BEB"/>
    <w:rsid w:val="00F701F6"/>
    <w:rsid w:val="00F7074A"/>
    <w:rsid w:val="00F711A0"/>
    <w:rsid w:val="00F71687"/>
    <w:rsid w:val="00F71708"/>
    <w:rsid w:val="00F717C1"/>
    <w:rsid w:val="00F71AB3"/>
    <w:rsid w:val="00F71F46"/>
    <w:rsid w:val="00F725D3"/>
    <w:rsid w:val="00F7281E"/>
    <w:rsid w:val="00F72C1A"/>
    <w:rsid w:val="00F72C3D"/>
    <w:rsid w:val="00F731EC"/>
    <w:rsid w:val="00F73269"/>
    <w:rsid w:val="00F737AB"/>
    <w:rsid w:val="00F74216"/>
    <w:rsid w:val="00F746F2"/>
    <w:rsid w:val="00F74F0F"/>
    <w:rsid w:val="00F75731"/>
    <w:rsid w:val="00F75841"/>
    <w:rsid w:val="00F76333"/>
    <w:rsid w:val="00F76C1B"/>
    <w:rsid w:val="00F77100"/>
    <w:rsid w:val="00F77C84"/>
    <w:rsid w:val="00F8090F"/>
    <w:rsid w:val="00F8139A"/>
    <w:rsid w:val="00F82AAE"/>
    <w:rsid w:val="00F834BE"/>
    <w:rsid w:val="00F838A9"/>
    <w:rsid w:val="00F8497C"/>
    <w:rsid w:val="00F849E3"/>
    <w:rsid w:val="00F84B4E"/>
    <w:rsid w:val="00F84C44"/>
    <w:rsid w:val="00F851B7"/>
    <w:rsid w:val="00F8566C"/>
    <w:rsid w:val="00F858D4"/>
    <w:rsid w:val="00F85C65"/>
    <w:rsid w:val="00F860EB"/>
    <w:rsid w:val="00F86268"/>
    <w:rsid w:val="00F868B6"/>
    <w:rsid w:val="00F86968"/>
    <w:rsid w:val="00F86E21"/>
    <w:rsid w:val="00F86E42"/>
    <w:rsid w:val="00F86FD9"/>
    <w:rsid w:val="00F876E6"/>
    <w:rsid w:val="00F87825"/>
    <w:rsid w:val="00F87838"/>
    <w:rsid w:val="00F879E8"/>
    <w:rsid w:val="00F87FCE"/>
    <w:rsid w:val="00F9008B"/>
    <w:rsid w:val="00F91669"/>
    <w:rsid w:val="00F9184F"/>
    <w:rsid w:val="00F91943"/>
    <w:rsid w:val="00F92A66"/>
    <w:rsid w:val="00F931CF"/>
    <w:rsid w:val="00F93A31"/>
    <w:rsid w:val="00F93BA1"/>
    <w:rsid w:val="00F93D6E"/>
    <w:rsid w:val="00F9423D"/>
    <w:rsid w:val="00F94609"/>
    <w:rsid w:val="00F95182"/>
    <w:rsid w:val="00F957D2"/>
    <w:rsid w:val="00F95D94"/>
    <w:rsid w:val="00F96C22"/>
    <w:rsid w:val="00F96D7A"/>
    <w:rsid w:val="00F96F86"/>
    <w:rsid w:val="00F97711"/>
    <w:rsid w:val="00FA024A"/>
    <w:rsid w:val="00FA02B8"/>
    <w:rsid w:val="00FA0980"/>
    <w:rsid w:val="00FA1028"/>
    <w:rsid w:val="00FA10F7"/>
    <w:rsid w:val="00FA157E"/>
    <w:rsid w:val="00FA181F"/>
    <w:rsid w:val="00FA1C1F"/>
    <w:rsid w:val="00FA1E82"/>
    <w:rsid w:val="00FA2137"/>
    <w:rsid w:val="00FA21B0"/>
    <w:rsid w:val="00FA272D"/>
    <w:rsid w:val="00FA2C40"/>
    <w:rsid w:val="00FA338D"/>
    <w:rsid w:val="00FA34A2"/>
    <w:rsid w:val="00FA3742"/>
    <w:rsid w:val="00FA3837"/>
    <w:rsid w:val="00FA39FC"/>
    <w:rsid w:val="00FA44B4"/>
    <w:rsid w:val="00FA4538"/>
    <w:rsid w:val="00FA486C"/>
    <w:rsid w:val="00FA4998"/>
    <w:rsid w:val="00FA4DC2"/>
    <w:rsid w:val="00FA5EA3"/>
    <w:rsid w:val="00FA67E3"/>
    <w:rsid w:val="00FA7157"/>
    <w:rsid w:val="00FA73A6"/>
    <w:rsid w:val="00FA7698"/>
    <w:rsid w:val="00FA78C2"/>
    <w:rsid w:val="00FA7A2D"/>
    <w:rsid w:val="00FA7A33"/>
    <w:rsid w:val="00FA7B4F"/>
    <w:rsid w:val="00FA7F36"/>
    <w:rsid w:val="00FB06E7"/>
    <w:rsid w:val="00FB06E9"/>
    <w:rsid w:val="00FB0822"/>
    <w:rsid w:val="00FB09AA"/>
    <w:rsid w:val="00FB1093"/>
    <w:rsid w:val="00FB13A0"/>
    <w:rsid w:val="00FB180C"/>
    <w:rsid w:val="00FB227E"/>
    <w:rsid w:val="00FB267D"/>
    <w:rsid w:val="00FB2A18"/>
    <w:rsid w:val="00FB2BF4"/>
    <w:rsid w:val="00FB2C8D"/>
    <w:rsid w:val="00FB2DC6"/>
    <w:rsid w:val="00FB3D27"/>
    <w:rsid w:val="00FB4FDE"/>
    <w:rsid w:val="00FB5E81"/>
    <w:rsid w:val="00FB5F37"/>
    <w:rsid w:val="00FB6E6C"/>
    <w:rsid w:val="00FB71B0"/>
    <w:rsid w:val="00FB7ABA"/>
    <w:rsid w:val="00FB7C21"/>
    <w:rsid w:val="00FB7C46"/>
    <w:rsid w:val="00FB7F57"/>
    <w:rsid w:val="00FC04E0"/>
    <w:rsid w:val="00FC0D98"/>
    <w:rsid w:val="00FC1042"/>
    <w:rsid w:val="00FC11C6"/>
    <w:rsid w:val="00FC17D8"/>
    <w:rsid w:val="00FC279A"/>
    <w:rsid w:val="00FC324D"/>
    <w:rsid w:val="00FC39A1"/>
    <w:rsid w:val="00FC3BC3"/>
    <w:rsid w:val="00FC3E47"/>
    <w:rsid w:val="00FC4B53"/>
    <w:rsid w:val="00FC4BAE"/>
    <w:rsid w:val="00FC5160"/>
    <w:rsid w:val="00FC5A36"/>
    <w:rsid w:val="00FC69CF"/>
    <w:rsid w:val="00FC6B0B"/>
    <w:rsid w:val="00FC713B"/>
    <w:rsid w:val="00FC7862"/>
    <w:rsid w:val="00FC79D5"/>
    <w:rsid w:val="00FC7B35"/>
    <w:rsid w:val="00FC7B53"/>
    <w:rsid w:val="00FD0177"/>
    <w:rsid w:val="00FD051A"/>
    <w:rsid w:val="00FD0AE7"/>
    <w:rsid w:val="00FD0B44"/>
    <w:rsid w:val="00FD0F70"/>
    <w:rsid w:val="00FD2315"/>
    <w:rsid w:val="00FD29A7"/>
    <w:rsid w:val="00FD2B15"/>
    <w:rsid w:val="00FD3092"/>
    <w:rsid w:val="00FD35A1"/>
    <w:rsid w:val="00FD40FC"/>
    <w:rsid w:val="00FD412E"/>
    <w:rsid w:val="00FD4187"/>
    <w:rsid w:val="00FD420F"/>
    <w:rsid w:val="00FD4F2F"/>
    <w:rsid w:val="00FD51F7"/>
    <w:rsid w:val="00FD5258"/>
    <w:rsid w:val="00FD555E"/>
    <w:rsid w:val="00FD5602"/>
    <w:rsid w:val="00FD58E7"/>
    <w:rsid w:val="00FD5A2A"/>
    <w:rsid w:val="00FD5AE2"/>
    <w:rsid w:val="00FD62B4"/>
    <w:rsid w:val="00FD7142"/>
    <w:rsid w:val="00FD750F"/>
    <w:rsid w:val="00FE011C"/>
    <w:rsid w:val="00FE07DC"/>
    <w:rsid w:val="00FE09EA"/>
    <w:rsid w:val="00FE1116"/>
    <w:rsid w:val="00FE1E64"/>
    <w:rsid w:val="00FE2075"/>
    <w:rsid w:val="00FE2080"/>
    <w:rsid w:val="00FE2647"/>
    <w:rsid w:val="00FE27B9"/>
    <w:rsid w:val="00FE2E37"/>
    <w:rsid w:val="00FE3156"/>
    <w:rsid w:val="00FE3640"/>
    <w:rsid w:val="00FE3780"/>
    <w:rsid w:val="00FE3954"/>
    <w:rsid w:val="00FE3CF7"/>
    <w:rsid w:val="00FE4071"/>
    <w:rsid w:val="00FE42E3"/>
    <w:rsid w:val="00FE4ECD"/>
    <w:rsid w:val="00FE52B7"/>
    <w:rsid w:val="00FE53C5"/>
    <w:rsid w:val="00FE5807"/>
    <w:rsid w:val="00FE5C39"/>
    <w:rsid w:val="00FE5C57"/>
    <w:rsid w:val="00FE5D23"/>
    <w:rsid w:val="00FE624E"/>
    <w:rsid w:val="00FE6415"/>
    <w:rsid w:val="00FE69E7"/>
    <w:rsid w:val="00FE6BB8"/>
    <w:rsid w:val="00FE6E76"/>
    <w:rsid w:val="00FE79AD"/>
    <w:rsid w:val="00FF027B"/>
    <w:rsid w:val="00FF1174"/>
    <w:rsid w:val="00FF165A"/>
    <w:rsid w:val="00FF1B72"/>
    <w:rsid w:val="00FF1CF1"/>
    <w:rsid w:val="00FF1F4C"/>
    <w:rsid w:val="00FF2654"/>
    <w:rsid w:val="00FF35DC"/>
    <w:rsid w:val="00FF3A6A"/>
    <w:rsid w:val="00FF3C7A"/>
    <w:rsid w:val="00FF3E09"/>
    <w:rsid w:val="00FF411C"/>
    <w:rsid w:val="00FF4B2E"/>
    <w:rsid w:val="00FF4E4B"/>
    <w:rsid w:val="00FF4E4E"/>
    <w:rsid w:val="00FF5049"/>
    <w:rsid w:val="00FF579F"/>
    <w:rsid w:val="00FF5D1F"/>
    <w:rsid w:val="00FF5F95"/>
    <w:rsid w:val="00FF6126"/>
    <w:rsid w:val="00FF61F5"/>
    <w:rsid w:val="00FF62AA"/>
    <w:rsid w:val="00FF64D7"/>
    <w:rsid w:val="00FF6B6C"/>
    <w:rsid w:val="01420B2A"/>
    <w:rsid w:val="0181590B"/>
    <w:rsid w:val="01AA2C10"/>
    <w:rsid w:val="027A41EB"/>
    <w:rsid w:val="02CB76A6"/>
    <w:rsid w:val="02D7201B"/>
    <w:rsid w:val="02EC26E5"/>
    <w:rsid w:val="02F15CE2"/>
    <w:rsid w:val="034E45CF"/>
    <w:rsid w:val="037738D8"/>
    <w:rsid w:val="03EE579D"/>
    <w:rsid w:val="04295F82"/>
    <w:rsid w:val="04AE2A00"/>
    <w:rsid w:val="050240F7"/>
    <w:rsid w:val="05184F9D"/>
    <w:rsid w:val="05A96137"/>
    <w:rsid w:val="05B53FF0"/>
    <w:rsid w:val="06250917"/>
    <w:rsid w:val="06D41241"/>
    <w:rsid w:val="075F0692"/>
    <w:rsid w:val="089A5A5F"/>
    <w:rsid w:val="08B17DF7"/>
    <w:rsid w:val="08F53B23"/>
    <w:rsid w:val="08F815B5"/>
    <w:rsid w:val="0A070656"/>
    <w:rsid w:val="0A4D778F"/>
    <w:rsid w:val="0A5548FF"/>
    <w:rsid w:val="0A913ED8"/>
    <w:rsid w:val="0B24171E"/>
    <w:rsid w:val="0B703807"/>
    <w:rsid w:val="0B7316E1"/>
    <w:rsid w:val="0BB33687"/>
    <w:rsid w:val="0BD61022"/>
    <w:rsid w:val="0CEC3EFB"/>
    <w:rsid w:val="0CEC5F94"/>
    <w:rsid w:val="0D081F34"/>
    <w:rsid w:val="0D112726"/>
    <w:rsid w:val="0D584403"/>
    <w:rsid w:val="0D7C55DD"/>
    <w:rsid w:val="0DA90CCD"/>
    <w:rsid w:val="0DDA523F"/>
    <w:rsid w:val="0DF774FF"/>
    <w:rsid w:val="0E5F1942"/>
    <w:rsid w:val="0F111EFC"/>
    <w:rsid w:val="0F23140C"/>
    <w:rsid w:val="0F333B7C"/>
    <w:rsid w:val="101C0A97"/>
    <w:rsid w:val="106E47EA"/>
    <w:rsid w:val="10BB4870"/>
    <w:rsid w:val="10C16F34"/>
    <w:rsid w:val="10F279BA"/>
    <w:rsid w:val="10F67974"/>
    <w:rsid w:val="1141406E"/>
    <w:rsid w:val="116353E3"/>
    <w:rsid w:val="117C7228"/>
    <w:rsid w:val="12C909A5"/>
    <w:rsid w:val="12D6790A"/>
    <w:rsid w:val="12F438A7"/>
    <w:rsid w:val="13977E74"/>
    <w:rsid w:val="13BA5B9C"/>
    <w:rsid w:val="141B7F51"/>
    <w:rsid w:val="146F2C7A"/>
    <w:rsid w:val="14924CCF"/>
    <w:rsid w:val="149E4992"/>
    <w:rsid w:val="14AC5BD9"/>
    <w:rsid w:val="14DD7FAC"/>
    <w:rsid w:val="1592443B"/>
    <w:rsid w:val="15A217AD"/>
    <w:rsid w:val="15C026F1"/>
    <w:rsid w:val="15E7175E"/>
    <w:rsid w:val="163D7182"/>
    <w:rsid w:val="16573B76"/>
    <w:rsid w:val="16EB55AB"/>
    <w:rsid w:val="17064457"/>
    <w:rsid w:val="177563B8"/>
    <w:rsid w:val="17896F7F"/>
    <w:rsid w:val="17F12192"/>
    <w:rsid w:val="17F30079"/>
    <w:rsid w:val="18526D26"/>
    <w:rsid w:val="189439F5"/>
    <w:rsid w:val="18C643E3"/>
    <w:rsid w:val="18C84929"/>
    <w:rsid w:val="19634927"/>
    <w:rsid w:val="19EB1E67"/>
    <w:rsid w:val="1A1B4EBB"/>
    <w:rsid w:val="1A442DE9"/>
    <w:rsid w:val="1B5A16F6"/>
    <w:rsid w:val="1B6E723D"/>
    <w:rsid w:val="1BE5823A"/>
    <w:rsid w:val="1C6F15A3"/>
    <w:rsid w:val="1CE149AE"/>
    <w:rsid w:val="1D0F338E"/>
    <w:rsid w:val="1D321E13"/>
    <w:rsid w:val="1D79250A"/>
    <w:rsid w:val="1F462152"/>
    <w:rsid w:val="1F6B6784"/>
    <w:rsid w:val="20780ECB"/>
    <w:rsid w:val="209F30EA"/>
    <w:rsid w:val="20AC7C29"/>
    <w:rsid w:val="21455F84"/>
    <w:rsid w:val="21985E1B"/>
    <w:rsid w:val="22212512"/>
    <w:rsid w:val="224176AA"/>
    <w:rsid w:val="228C1199"/>
    <w:rsid w:val="22B120AA"/>
    <w:rsid w:val="235421AC"/>
    <w:rsid w:val="235634BB"/>
    <w:rsid w:val="23D77712"/>
    <w:rsid w:val="23E597FD"/>
    <w:rsid w:val="242D24F6"/>
    <w:rsid w:val="245F60D2"/>
    <w:rsid w:val="24687597"/>
    <w:rsid w:val="24801EBF"/>
    <w:rsid w:val="24977600"/>
    <w:rsid w:val="24A575CC"/>
    <w:rsid w:val="263A6AE6"/>
    <w:rsid w:val="268A42A0"/>
    <w:rsid w:val="26AA0F6E"/>
    <w:rsid w:val="26E07E4D"/>
    <w:rsid w:val="272F1A96"/>
    <w:rsid w:val="27355E0B"/>
    <w:rsid w:val="2793660C"/>
    <w:rsid w:val="279B0FEC"/>
    <w:rsid w:val="27AC0841"/>
    <w:rsid w:val="27F16CE9"/>
    <w:rsid w:val="2848646B"/>
    <w:rsid w:val="296543A4"/>
    <w:rsid w:val="296555CA"/>
    <w:rsid w:val="297B0CF7"/>
    <w:rsid w:val="29E04EC0"/>
    <w:rsid w:val="29F61717"/>
    <w:rsid w:val="2A51423E"/>
    <w:rsid w:val="2A52446E"/>
    <w:rsid w:val="2A6F768A"/>
    <w:rsid w:val="2AFE731B"/>
    <w:rsid w:val="2B1D2116"/>
    <w:rsid w:val="2B1E0D76"/>
    <w:rsid w:val="2B5F0AD5"/>
    <w:rsid w:val="2BF4400A"/>
    <w:rsid w:val="2BFBB15E"/>
    <w:rsid w:val="2C225006"/>
    <w:rsid w:val="2CEF29BC"/>
    <w:rsid w:val="2D074AD0"/>
    <w:rsid w:val="2D51120B"/>
    <w:rsid w:val="2D782C8C"/>
    <w:rsid w:val="2DE32DBA"/>
    <w:rsid w:val="2EAC4145"/>
    <w:rsid w:val="2EDD2DD9"/>
    <w:rsid w:val="2EFA61AC"/>
    <w:rsid w:val="2F391EF6"/>
    <w:rsid w:val="2F723467"/>
    <w:rsid w:val="30027B52"/>
    <w:rsid w:val="307470C1"/>
    <w:rsid w:val="30803873"/>
    <w:rsid w:val="30C0703D"/>
    <w:rsid w:val="31037A9E"/>
    <w:rsid w:val="31441035"/>
    <w:rsid w:val="324D0A4A"/>
    <w:rsid w:val="32A02B99"/>
    <w:rsid w:val="33D414D0"/>
    <w:rsid w:val="3502276C"/>
    <w:rsid w:val="353F5AA9"/>
    <w:rsid w:val="35BB2B4C"/>
    <w:rsid w:val="35CD358A"/>
    <w:rsid w:val="36115C61"/>
    <w:rsid w:val="36145A16"/>
    <w:rsid w:val="362A09EF"/>
    <w:rsid w:val="36832E06"/>
    <w:rsid w:val="369C1105"/>
    <w:rsid w:val="37467D39"/>
    <w:rsid w:val="38195177"/>
    <w:rsid w:val="385555E4"/>
    <w:rsid w:val="385F359C"/>
    <w:rsid w:val="38655B32"/>
    <w:rsid w:val="392A0BD8"/>
    <w:rsid w:val="39607151"/>
    <w:rsid w:val="39DA639F"/>
    <w:rsid w:val="39DC41D8"/>
    <w:rsid w:val="3A81079C"/>
    <w:rsid w:val="3AF11C2B"/>
    <w:rsid w:val="3B6F7E72"/>
    <w:rsid w:val="3B755647"/>
    <w:rsid w:val="3BA80B19"/>
    <w:rsid w:val="3C4240EC"/>
    <w:rsid w:val="3DE4363E"/>
    <w:rsid w:val="3E997760"/>
    <w:rsid w:val="3EB735B9"/>
    <w:rsid w:val="3F3A1FEB"/>
    <w:rsid w:val="3F6742A5"/>
    <w:rsid w:val="3F890C8F"/>
    <w:rsid w:val="3FB2156F"/>
    <w:rsid w:val="3FFA40FB"/>
    <w:rsid w:val="405F6B9A"/>
    <w:rsid w:val="406C330D"/>
    <w:rsid w:val="40885740"/>
    <w:rsid w:val="41CB5019"/>
    <w:rsid w:val="41EC0D67"/>
    <w:rsid w:val="42253D73"/>
    <w:rsid w:val="423E0156"/>
    <w:rsid w:val="42DC0426"/>
    <w:rsid w:val="430E0D45"/>
    <w:rsid w:val="43BF32E9"/>
    <w:rsid w:val="43C76649"/>
    <w:rsid w:val="449A7C44"/>
    <w:rsid w:val="44AF2DE6"/>
    <w:rsid w:val="44B91A5D"/>
    <w:rsid w:val="44CE660D"/>
    <w:rsid w:val="451F1453"/>
    <w:rsid w:val="452F03D4"/>
    <w:rsid w:val="459A3BBF"/>
    <w:rsid w:val="463C281D"/>
    <w:rsid w:val="46712740"/>
    <w:rsid w:val="467606BA"/>
    <w:rsid w:val="46BE6A4B"/>
    <w:rsid w:val="47843179"/>
    <w:rsid w:val="47A51F93"/>
    <w:rsid w:val="47EB2664"/>
    <w:rsid w:val="48DF6847"/>
    <w:rsid w:val="49A0158F"/>
    <w:rsid w:val="4A1B750E"/>
    <w:rsid w:val="4A236B71"/>
    <w:rsid w:val="4AF875FC"/>
    <w:rsid w:val="4B373AB0"/>
    <w:rsid w:val="4B755CD2"/>
    <w:rsid w:val="4B7EC315"/>
    <w:rsid w:val="4C072231"/>
    <w:rsid w:val="4CA22BCF"/>
    <w:rsid w:val="4DB24229"/>
    <w:rsid w:val="4E6268C7"/>
    <w:rsid w:val="4E6C42E8"/>
    <w:rsid w:val="4EAC5711"/>
    <w:rsid w:val="4EDA0D8F"/>
    <w:rsid w:val="4F441952"/>
    <w:rsid w:val="4FE8046D"/>
    <w:rsid w:val="505C7478"/>
    <w:rsid w:val="507960E0"/>
    <w:rsid w:val="51B2004B"/>
    <w:rsid w:val="527C2D46"/>
    <w:rsid w:val="52A67BE3"/>
    <w:rsid w:val="52EF5148"/>
    <w:rsid w:val="540E4E77"/>
    <w:rsid w:val="54884DFC"/>
    <w:rsid w:val="54A2689B"/>
    <w:rsid w:val="54C908EE"/>
    <w:rsid w:val="55622629"/>
    <w:rsid w:val="557701D2"/>
    <w:rsid w:val="573B63C0"/>
    <w:rsid w:val="57BBE4F1"/>
    <w:rsid w:val="57FD3990"/>
    <w:rsid w:val="581E2406"/>
    <w:rsid w:val="58373D05"/>
    <w:rsid w:val="59126B96"/>
    <w:rsid w:val="593168E1"/>
    <w:rsid w:val="594B6667"/>
    <w:rsid w:val="5A0D745D"/>
    <w:rsid w:val="5A3A2DDD"/>
    <w:rsid w:val="5A62361A"/>
    <w:rsid w:val="5A696B1C"/>
    <w:rsid w:val="5BBD5DE8"/>
    <w:rsid w:val="5C2033E3"/>
    <w:rsid w:val="5CC36AAA"/>
    <w:rsid w:val="5D201747"/>
    <w:rsid w:val="5DA31D4F"/>
    <w:rsid w:val="5DF76D59"/>
    <w:rsid w:val="5E1C023D"/>
    <w:rsid w:val="5E713AE2"/>
    <w:rsid w:val="5E7F2AFE"/>
    <w:rsid w:val="5F122EA0"/>
    <w:rsid w:val="5F325719"/>
    <w:rsid w:val="5F3A89EC"/>
    <w:rsid w:val="5FAF121F"/>
    <w:rsid w:val="5FEBC5FA"/>
    <w:rsid w:val="5FF9370B"/>
    <w:rsid w:val="60447752"/>
    <w:rsid w:val="61501C31"/>
    <w:rsid w:val="61657B33"/>
    <w:rsid w:val="62065619"/>
    <w:rsid w:val="62DB4092"/>
    <w:rsid w:val="63851074"/>
    <w:rsid w:val="63A14D89"/>
    <w:rsid w:val="63CD706C"/>
    <w:rsid w:val="64441196"/>
    <w:rsid w:val="646978EA"/>
    <w:rsid w:val="64AF35E0"/>
    <w:rsid w:val="64BB114E"/>
    <w:rsid w:val="64CC2BC0"/>
    <w:rsid w:val="65483664"/>
    <w:rsid w:val="65ED5E90"/>
    <w:rsid w:val="661204ED"/>
    <w:rsid w:val="66572868"/>
    <w:rsid w:val="667610D6"/>
    <w:rsid w:val="67063DC4"/>
    <w:rsid w:val="67397278"/>
    <w:rsid w:val="67484DB0"/>
    <w:rsid w:val="67D33E70"/>
    <w:rsid w:val="68C70FC8"/>
    <w:rsid w:val="68E02B24"/>
    <w:rsid w:val="6958099F"/>
    <w:rsid w:val="698A6F34"/>
    <w:rsid w:val="698D61CF"/>
    <w:rsid w:val="69E3773A"/>
    <w:rsid w:val="6A441C31"/>
    <w:rsid w:val="6A48580F"/>
    <w:rsid w:val="6B241A17"/>
    <w:rsid w:val="6B28556D"/>
    <w:rsid w:val="6B6F46EE"/>
    <w:rsid w:val="6B7678EC"/>
    <w:rsid w:val="6B7A2359"/>
    <w:rsid w:val="6C7F9869"/>
    <w:rsid w:val="6D9254AA"/>
    <w:rsid w:val="6E5F5DBC"/>
    <w:rsid w:val="6E9C0F6F"/>
    <w:rsid w:val="6F0D4AFA"/>
    <w:rsid w:val="6F392380"/>
    <w:rsid w:val="6F983C7A"/>
    <w:rsid w:val="6FC13B19"/>
    <w:rsid w:val="70096E04"/>
    <w:rsid w:val="700F8FCA"/>
    <w:rsid w:val="70CC4CC0"/>
    <w:rsid w:val="7103031A"/>
    <w:rsid w:val="71121F70"/>
    <w:rsid w:val="711F1D11"/>
    <w:rsid w:val="712F23FA"/>
    <w:rsid w:val="713D4657"/>
    <w:rsid w:val="71593474"/>
    <w:rsid w:val="71AD7318"/>
    <w:rsid w:val="726D70E7"/>
    <w:rsid w:val="72C447A9"/>
    <w:rsid w:val="733B4F11"/>
    <w:rsid w:val="74304086"/>
    <w:rsid w:val="744D5EC9"/>
    <w:rsid w:val="745C113F"/>
    <w:rsid w:val="76275962"/>
    <w:rsid w:val="766F1D06"/>
    <w:rsid w:val="770F5E55"/>
    <w:rsid w:val="77A436C5"/>
    <w:rsid w:val="77CC74DE"/>
    <w:rsid w:val="785F6BD0"/>
    <w:rsid w:val="79162A0D"/>
    <w:rsid w:val="794A33AB"/>
    <w:rsid w:val="79B23478"/>
    <w:rsid w:val="79E65A52"/>
    <w:rsid w:val="7A3538A9"/>
    <w:rsid w:val="7A7C4102"/>
    <w:rsid w:val="7B1403CC"/>
    <w:rsid w:val="7B53645C"/>
    <w:rsid w:val="7B6044F8"/>
    <w:rsid w:val="7BC31E32"/>
    <w:rsid w:val="7BF72B14"/>
    <w:rsid w:val="7C1E1D84"/>
    <w:rsid w:val="7C3FA8AF"/>
    <w:rsid w:val="7C6D0E84"/>
    <w:rsid w:val="7C744EE5"/>
    <w:rsid w:val="7C9C4E59"/>
    <w:rsid w:val="7DF95029"/>
    <w:rsid w:val="7DFD05B8"/>
    <w:rsid w:val="7DFE18F8"/>
    <w:rsid w:val="7E1700E3"/>
    <w:rsid w:val="7E275A0E"/>
    <w:rsid w:val="7E477448"/>
    <w:rsid w:val="7E7F585C"/>
    <w:rsid w:val="7EB342EC"/>
    <w:rsid w:val="7ED2669B"/>
    <w:rsid w:val="7FB7C67E"/>
    <w:rsid w:val="7FE53694"/>
    <w:rsid w:val="7FFFCA11"/>
    <w:rsid w:val="8B7F1B4E"/>
    <w:rsid w:val="B33FB105"/>
    <w:rsid w:val="C2D73E5A"/>
    <w:rsid w:val="D7BF500D"/>
    <w:rsid w:val="EDFF307D"/>
    <w:rsid w:val="F7FB1298"/>
    <w:rsid w:val="FD5F286C"/>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6"/>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57"/>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link w:val="58"/>
    <w:qFormat/>
    <w:uiPriority w:val="0"/>
    <w:pPr>
      <w:keepNext/>
      <w:keepLines/>
      <w:spacing w:before="260" w:after="260" w:line="416" w:lineRule="auto"/>
      <w:outlineLvl w:val="2"/>
    </w:pPr>
    <w:rPr>
      <w:b/>
      <w:bCs/>
      <w:kern w:val="0"/>
      <w:sz w:val="32"/>
      <w:szCs w:val="32"/>
    </w:rPr>
  </w:style>
  <w:style w:type="paragraph" w:styleId="6">
    <w:name w:val="heading 4"/>
    <w:basedOn w:val="1"/>
    <w:next w:val="1"/>
    <w:qFormat/>
    <w:uiPriority w:val="0"/>
    <w:pPr>
      <w:tabs>
        <w:tab w:val="left" w:pos="2155"/>
      </w:tabs>
      <w:spacing w:before="120" w:line="360" w:lineRule="auto"/>
      <w:ind w:left="2155" w:hanging="1078"/>
      <w:textAlignment w:val="baseline"/>
      <w:outlineLvl w:val="3"/>
    </w:pPr>
    <w:rPr>
      <w:rFonts w:ascii="Arial" w:eastAsia="黑体"/>
      <w:sz w:val="28"/>
      <w:szCs w:val="20"/>
    </w:rPr>
  </w:style>
  <w:style w:type="paragraph" w:styleId="7">
    <w:name w:val="heading 5"/>
    <w:basedOn w:val="1"/>
    <w:next w:val="8"/>
    <w:link w:val="59"/>
    <w:qFormat/>
    <w:uiPriority w:val="0"/>
    <w:pPr>
      <w:keepNext/>
      <w:keepLines/>
      <w:numPr>
        <w:ilvl w:val="4"/>
        <w:numId w:val="1"/>
      </w:numPr>
      <w:spacing w:before="280" w:after="290" w:line="376" w:lineRule="auto"/>
      <w:outlineLvl w:val="4"/>
    </w:pPr>
    <w:rPr>
      <w:b/>
      <w:sz w:val="28"/>
    </w:rPr>
  </w:style>
  <w:style w:type="paragraph" w:styleId="9">
    <w:name w:val="heading 6"/>
    <w:basedOn w:val="1"/>
    <w:next w:val="1"/>
    <w:link w:val="60"/>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1"/>
    <w:link w:val="61"/>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62"/>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63"/>
    <w:qFormat/>
    <w:uiPriority w:val="0"/>
    <w:pPr>
      <w:keepNext/>
      <w:keepLines/>
      <w:numPr>
        <w:ilvl w:val="8"/>
        <w:numId w:val="1"/>
      </w:numPr>
      <w:spacing w:before="240" w:after="64" w:line="320" w:lineRule="auto"/>
      <w:outlineLvl w:val="8"/>
    </w:pPr>
    <w:rPr>
      <w:rFonts w:ascii="Arial" w:hAnsi="Arial" w:eastAsia="黑体"/>
    </w:rPr>
  </w:style>
  <w:style w:type="character" w:default="1" w:styleId="46">
    <w:name w:val="Default Paragraph Font"/>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55"/>
    <w:qFormat/>
    <w:uiPriority w:val="10"/>
    <w:pPr>
      <w:spacing w:before="240" w:after="60"/>
      <w:jc w:val="center"/>
      <w:outlineLvl w:val="0"/>
    </w:pPr>
    <w:rPr>
      <w:rFonts w:ascii="Cambria" w:hAnsi="Cambria"/>
      <w:b/>
      <w:bCs/>
      <w:sz w:val="32"/>
      <w:szCs w:val="32"/>
    </w:rPr>
  </w:style>
  <w:style w:type="paragraph" w:styleId="8">
    <w:name w:val="Normal Indent"/>
    <w:basedOn w:val="1"/>
    <w:qFormat/>
    <w:uiPriority w:val="0"/>
    <w:pPr>
      <w:ind w:firstLine="420"/>
    </w:pPr>
    <w:rPr>
      <w:szCs w:val="20"/>
    </w:rPr>
  </w:style>
  <w:style w:type="paragraph" w:styleId="13">
    <w:name w:val="toc 7"/>
    <w:basedOn w:val="1"/>
    <w:next w:val="1"/>
    <w:unhideWhenUsed/>
    <w:qFormat/>
    <w:uiPriority w:val="39"/>
    <w:pPr>
      <w:ind w:left="2520" w:leftChars="1200"/>
    </w:pPr>
    <w:rPr>
      <w:rFonts w:ascii="Calibri" w:hAnsi="Calibri"/>
      <w:szCs w:val="22"/>
    </w:r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annotation text"/>
    <w:basedOn w:val="1"/>
    <w:link w:val="64"/>
    <w:unhideWhenUsed/>
    <w:qFormat/>
    <w:uiPriority w:val="0"/>
    <w:pPr>
      <w:jc w:val="left"/>
    </w:pPr>
  </w:style>
  <w:style w:type="paragraph" w:styleId="17">
    <w:name w:val="Body Text 3"/>
    <w:basedOn w:val="1"/>
    <w:link w:val="65"/>
    <w:qFormat/>
    <w:uiPriority w:val="0"/>
    <w:pPr>
      <w:spacing w:line="500" w:lineRule="exact"/>
    </w:pPr>
    <w:rPr>
      <w:b/>
      <w:bCs/>
      <w:kern w:val="0"/>
      <w:sz w:val="24"/>
    </w:rPr>
  </w:style>
  <w:style w:type="paragraph" w:styleId="18">
    <w:name w:val="Body Text"/>
    <w:basedOn w:val="1"/>
    <w:link w:val="66"/>
    <w:qFormat/>
    <w:uiPriority w:val="99"/>
    <w:pPr>
      <w:spacing w:line="380" w:lineRule="exact"/>
    </w:pPr>
    <w:rPr>
      <w:kern w:val="0"/>
      <w:sz w:val="24"/>
    </w:rPr>
  </w:style>
  <w:style w:type="paragraph" w:styleId="19">
    <w:name w:val="Body Text Indent"/>
    <w:basedOn w:val="1"/>
    <w:next w:val="1"/>
    <w:link w:val="67"/>
    <w:qFormat/>
    <w:uiPriority w:val="0"/>
    <w:pPr>
      <w:ind w:firstLine="830" w:firstLineChars="352"/>
    </w:pPr>
    <w:rPr>
      <w:rFonts w:ascii="仿宋_GB2312" w:eastAsia="仿宋_GB2312"/>
      <w:kern w:val="0"/>
      <w:sz w:val="32"/>
      <w:szCs w:val="20"/>
    </w:rPr>
  </w:style>
  <w:style w:type="paragraph" w:styleId="20">
    <w:name w:val="List Number 3"/>
    <w:basedOn w:val="1"/>
    <w:qFormat/>
    <w:uiPriority w:val="0"/>
    <w:pPr>
      <w:numPr>
        <w:ilvl w:val="0"/>
        <w:numId w:val="2"/>
      </w:numPr>
    </w:pPr>
  </w:style>
  <w:style w:type="paragraph" w:styleId="21">
    <w:name w:val="List 2"/>
    <w:basedOn w:val="1"/>
    <w:qFormat/>
    <w:uiPriority w:val="0"/>
    <w:pPr>
      <w:ind w:left="100" w:leftChars="200" w:hanging="200" w:hangingChars="200"/>
    </w:pPr>
    <w:rPr>
      <w:sz w:val="28"/>
    </w:rPr>
  </w:style>
  <w:style w:type="paragraph" w:styleId="22">
    <w:name w:val="toc 5"/>
    <w:basedOn w:val="1"/>
    <w:next w:val="1"/>
    <w:unhideWhenUsed/>
    <w:qFormat/>
    <w:uiPriority w:val="39"/>
    <w:pPr>
      <w:ind w:left="1680" w:leftChars="800"/>
    </w:pPr>
    <w:rPr>
      <w:rFonts w:ascii="Calibri" w:hAnsi="Calibri"/>
      <w:szCs w:val="22"/>
    </w:rPr>
  </w:style>
  <w:style w:type="paragraph" w:styleId="23">
    <w:name w:val="toc 3"/>
    <w:basedOn w:val="1"/>
    <w:next w:val="1"/>
    <w:unhideWhenUsed/>
    <w:qFormat/>
    <w:uiPriority w:val="39"/>
    <w:pPr>
      <w:ind w:left="840" w:leftChars="400"/>
    </w:pPr>
    <w:rPr>
      <w:rFonts w:ascii="Calibri" w:hAnsi="Calibri"/>
      <w:szCs w:val="22"/>
    </w:rPr>
  </w:style>
  <w:style w:type="paragraph" w:styleId="24">
    <w:name w:val="Plain Text"/>
    <w:basedOn w:val="1"/>
    <w:next w:val="6"/>
    <w:link w:val="68"/>
    <w:qFormat/>
    <w:uiPriority w:val="0"/>
    <w:rPr>
      <w:rFonts w:ascii="宋体" w:hAnsi="Courier New"/>
      <w:kern w:val="0"/>
      <w:sz w:val="20"/>
      <w:szCs w:val="21"/>
    </w:rPr>
  </w:style>
  <w:style w:type="paragraph" w:styleId="25">
    <w:name w:val="toc 8"/>
    <w:basedOn w:val="1"/>
    <w:next w:val="1"/>
    <w:unhideWhenUsed/>
    <w:qFormat/>
    <w:uiPriority w:val="39"/>
    <w:pPr>
      <w:ind w:left="2940" w:leftChars="1400"/>
    </w:pPr>
    <w:rPr>
      <w:rFonts w:ascii="Calibri" w:hAnsi="Calibri"/>
      <w:szCs w:val="22"/>
    </w:rPr>
  </w:style>
  <w:style w:type="paragraph" w:styleId="26">
    <w:name w:val="Date"/>
    <w:basedOn w:val="1"/>
    <w:next w:val="1"/>
    <w:link w:val="69"/>
    <w:qFormat/>
    <w:uiPriority w:val="0"/>
    <w:pPr>
      <w:ind w:left="100" w:leftChars="2500"/>
    </w:pPr>
    <w:rPr>
      <w:rFonts w:ascii="宋体" w:hAnsi="Courier New"/>
      <w:kern w:val="0"/>
      <w:sz w:val="20"/>
      <w:szCs w:val="21"/>
    </w:rPr>
  </w:style>
  <w:style w:type="paragraph" w:styleId="27">
    <w:name w:val="Body Text Indent 2"/>
    <w:basedOn w:val="1"/>
    <w:link w:val="70"/>
    <w:qFormat/>
    <w:uiPriority w:val="0"/>
    <w:pPr>
      <w:ind w:firstLine="630"/>
    </w:pPr>
    <w:rPr>
      <w:kern w:val="0"/>
      <w:sz w:val="32"/>
      <w:szCs w:val="20"/>
    </w:rPr>
  </w:style>
  <w:style w:type="paragraph" w:styleId="28">
    <w:name w:val="endnote text"/>
    <w:basedOn w:val="1"/>
    <w:link w:val="71"/>
    <w:unhideWhenUsed/>
    <w:qFormat/>
    <w:uiPriority w:val="99"/>
    <w:pPr>
      <w:snapToGrid w:val="0"/>
      <w:jc w:val="left"/>
    </w:pPr>
  </w:style>
  <w:style w:type="paragraph" w:styleId="29">
    <w:name w:val="Balloon Text"/>
    <w:basedOn w:val="1"/>
    <w:link w:val="72"/>
    <w:semiHidden/>
    <w:qFormat/>
    <w:uiPriority w:val="0"/>
    <w:rPr>
      <w:kern w:val="0"/>
      <w:sz w:val="18"/>
      <w:szCs w:val="18"/>
    </w:rPr>
  </w:style>
  <w:style w:type="paragraph" w:styleId="30">
    <w:name w:val="footer"/>
    <w:basedOn w:val="1"/>
    <w:link w:val="73"/>
    <w:unhideWhenUsed/>
    <w:qFormat/>
    <w:uiPriority w:val="99"/>
    <w:pPr>
      <w:tabs>
        <w:tab w:val="center" w:pos="4153"/>
        <w:tab w:val="right" w:pos="8306"/>
      </w:tabs>
      <w:snapToGrid w:val="0"/>
      <w:jc w:val="left"/>
    </w:pPr>
    <w:rPr>
      <w:kern w:val="0"/>
      <w:sz w:val="18"/>
      <w:szCs w:val="18"/>
    </w:rPr>
  </w:style>
  <w:style w:type="paragraph" w:styleId="31">
    <w:name w:val="header"/>
    <w:basedOn w:val="1"/>
    <w:link w:val="74"/>
    <w:unhideWhenUsed/>
    <w:qFormat/>
    <w:uiPriority w:val="99"/>
    <w:pPr>
      <w:pBdr>
        <w:bottom w:val="single" w:color="auto" w:sz="6" w:space="1"/>
      </w:pBdr>
      <w:tabs>
        <w:tab w:val="center" w:pos="0"/>
        <w:tab w:val="left" w:pos="8306"/>
      </w:tabs>
      <w:snapToGrid w:val="0"/>
      <w:jc w:val="center"/>
    </w:pPr>
    <w:rPr>
      <w:sz w:val="18"/>
      <w:szCs w:val="18"/>
    </w:rPr>
  </w:style>
  <w:style w:type="paragraph" w:styleId="32">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3">
    <w:name w:val="toc 4"/>
    <w:basedOn w:val="1"/>
    <w:next w:val="1"/>
    <w:unhideWhenUsed/>
    <w:qFormat/>
    <w:uiPriority w:val="39"/>
    <w:pPr>
      <w:ind w:left="1260" w:leftChars="600"/>
    </w:pPr>
    <w:rPr>
      <w:rFonts w:ascii="Calibri" w:hAnsi="Calibri"/>
      <w:szCs w:val="22"/>
    </w:rPr>
  </w:style>
  <w:style w:type="paragraph" w:styleId="34">
    <w:name w:val="List"/>
    <w:basedOn w:val="1"/>
    <w:qFormat/>
    <w:uiPriority w:val="0"/>
    <w:pPr>
      <w:ind w:left="200" w:hanging="200" w:hangingChars="200"/>
    </w:pPr>
    <w:rPr>
      <w:sz w:val="28"/>
    </w:rPr>
  </w:style>
  <w:style w:type="paragraph" w:styleId="35">
    <w:name w:val="footnote text"/>
    <w:basedOn w:val="1"/>
    <w:link w:val="75"/>
    <w:unhideWhenUsed/>
    <w:qFormat/>
    <w:uiPriority w:val="99"/>
    <w:pPr>
      <w:snapToGrid w:val="0"/>
      <w:jc w:val="left"/>
    </w:pPr>
    <w:rPr>
      <w:sz w:val="18"/>
      <w:szCs w:val="18"/>
    </w:rPr>
  </w:style>
  <w:style w:type="paragraph" w:styleId="36">
    <w:name w:val="toc 6"/>
    <w:basedOn w:val="1"/>
    <w:next w:val="1"/>
    <w:unhideWhenUsed/>
    <w:qFormat/>
    <w:uiPriority w:val="39"/>
    <w:pPr>
      <w:ind w:left="2100" w:leftChars="1000"/>
    </w:pPr>
    <w:rPr>
      <w:rFonts w:ascii="Calibri" w:hAnsi="Calibri"/>
      <w:szCs w:val="22"/>
    </w:rPr>
  </w:style>
  <w:style w:type="paragraph" w:styleId="37">
    <w:name w:val="Body Text Indent 3"/>
    <w:basedOn w:val="1"/>
    <w:link w:val="76"/>
    <w:qFormat/>
    <w:uiPriority w:val="0"/>
    <w:pPr>
      <w:spacing w:after="120"/>
      <w:ind w:left="420" w:leftChars="200"/>
    </w:pPr>
    <w:rPr>
      <w:kern w:val="0"/>
      <w:sz w:val="16"/>
      <w:szCs w:val="16"/>
    </w:rPr>
  </w:style>
  <w:style w:type="paragraph" w:styleId="38">
    <w:name w:val="toc 2"/>
    <w:basedOn w:val="1"/>
    <w:next w:val="1"/>
    <w:unhideWhenUsed/>
    <w:qFormat/>
    <w:uiPriority w:val="39"/>
    <w:pPr>
      <w:ind w:left="420" w:leftChars="200"/>
    </w:pPr>
  </w:style>
  <w:style w:type="paragraph" w:styleId="39">
    <w:name w:val="toc 9"/>
    <w:basedOn w:val="1"/>
    <w:next w:val="1"/>
    <w:unhideWhenUsed/>
    <w:qFormat/>
    <w:uiPriority w:val="39"/>
    <w:pPr>
      <w:ind w:left="3360" w:leftChars="1600"/>
    </w:pPr>
    <w:rPr>
      <w:rFonts w:ascii="Calibri" w:hAnsi="Calibri"/>
      <w:szCs w:val="22"/>
    </w:rPr>
  </w:style>
  <w:style w:type="paragraph" w:styleId="40">
    <w:name w:val="Body Text 2"/>
    <w:basedOn w:val="1"/>
    <w:link w:val="77"/>
    <w:qFormat/>
    <w:uiPriority w:val="0"/>
    <w:pPr>
      <w:spacing w:after="120" w:line="480" w:lineRule="auto"/>
    </w:pPr>
    <w:rPr>
      <w:kern w:val="0"/>
      <w:sz w:val="20"/>
    </w:rPr>
  </w:style>
  <w:style w:type="paragraph" w:styleId="41">
    <w:name w:val="Normal (Web)"/>
    <w:basedOn w:val="1"/>
    <w:qFormat/>
    <w:uiPriority w:val="99"/>
    <w:pPr>
      <w:widowControl/>
      <w:spacing w:before="100" w:beforeAutospacing="1" w:after="100" w:afterAutospacing="1"/>
      <w:jc w:val="left"/>
    </w:pPr>
    <w:rPr>
      <w:rFonts w:ascii="宋体" w:hAnsi="宋体"/>
      <w:kern w:val="0"/>
      <w:sz w:val="24"/>
    </w:rPr>
  </w:style>
  <w:style w:type="paragraph" w:styleId="42">
    <w:name w:val="index 1"/>
    <w:basedOn w:val="1"/>
    <w:next w:val="1"/>
    <w:semiHidden/>
    <w:qFormat/>
    <w:uiPriority w:val="0"/>
    <w:pPr>
      <w:spacing w:line="400" w:lineRule="exact"/>
      <w:ind w:firstLine="420" w:firstLineChars="200"/>
    </w:pPr>
    <w:rPr>
      <w:rFonts w:ascii="宋体" w:hAnsi="Courier New"/>
      <w:b/>
      <w:szCs w:val="20"/>
    </w:rPr>
  </w:style>
  <w:style w:type="paragraph" w:styleId="43">
    <w:name w:val="annotation subject"/>
    <w:basedOn w:val="16"/>
    <w:next w:val="16"/>
    <w:link w:val="78"/>
    <w:unhideWhenUsed/>
    <w:qFormat/>
    <w:uiPriority w:val="99"/>
    <w:rPr>
      <w:b/>
      <w:bCs/>
    </w:r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endnote reference"/>
    <w:unhideWhenUsed/>
    <w:qFormat/>
    <w:uiPriority w:val="99"/>
    <w:rPr>
      <w:vertAlign w:val="superscript"/>
    </w:rPr>
  </w:style>
  <w:style w:type="character" w:styleId="48">
    <w:name w:val="page number"/>
    <w:qFormat/>
    <w:uiPriority w:val="0"/>
  </w:style>
  <w:style w:type="character" w:styleId="49">
    <w:name w:val="FollowedHyperlink"/>
    <w:basedOn w:val="46"/>
    <w:qFormat/>
    <w:uiPriority w:val="0"/>
    <w:rPr>
      <w:color w:val="771CAA"/>
      <w:u w:val="none"/>
    </w:rPr>
  </w:style>
  <w:style w:type="character" w:styleId="50">
    <w:name w:val="Emphasis"/>
    <w:basedOn w:val="46"/>
    <w:qFormat/>
    <w:uiPriority w:val="20"/>
    <w:rPr>
      <w:color w:val="F73131"/>
    </w:rPr>
  </w:style>
  <w:style w:type="character" w:styleId="51">
    <w:name w:val="Hyperlink"/>
    <w:basedOn w:val="46"/>
    <w:qFormat/>
    <w:uiPriority w:val="99"/>
    <w:rPr>
      <w:color w:val="2440B3"/>
      <w:u w:val="none"/>
    </w:rPr>
  </w:style>
  <w:style w:type="character" w:styleId="52">
    <w:name w:val="annotation reference"/>
    <w:basedOn w:val="46"/>
    <w:unhideWhenUsed/>
    <w:qFormat/>
    <w:uiPriority w:val="0"/>
    <w:rPr>
      <w:sz w:val="21"/>
      <w:szCs w:val="21"/>
    </w:rPr>
  </w:style>
  <w:style w:type="character" w:styleId="53">
    <w:name w:val="HTML Cite"/>
    <w:basedOn w:val="46"/>
    <w:unhideWhenUsed/>
    <w:qFormat/>
    <w:uiPriority w:val="99"/>
    <w:rPr>
      <w:color w:val="008000"/>
    </w:rPr>
  </w:style>
  <w:style w:type="character" w:styleId="54">
    <w:name w:val="footnote reference"/>
    <w:unhideWhenUsed/>
    <w:qFormat/>
    <w:uiPriority w:val="99"/>
    <w:rPr>
      <w:vertAlign w:val="superscript"/>
    </w:rPr>
  </w:style>
  <w:style w:type="character" w:customStyle="1" w:styleId="55">
    <w:name w:val="标题 Char"/>
    <w:link w:val="2"/>
    <w:qFormat/>
    <w:uiPriority w:val="10"/>
    <w:rPr>
      <w:rFonts w:ascii="Cambria" w:hAnsi="Cambria" w:cs="Times New Roman"/>
      <w:b/>
      <w:bCs/>
      <w:kern w:val="2"/>
      <w:sz w:val="32"/>
      <w:szCs w:val="32"/>
    </w:rPr>
  </w:style>
  <w:style w:type="character" w:customStyle="1" w:styleId="56">
    <w:name w:val="标题 1 Char"/>
    <w:link w:val="3"/>
    <w:qFormat/>
    <w:uiPriority w:val="0"/>
    <w:rPr>
      <w:rFonts w:ascii="Times New Roman" w:hAnsi="Times New Roman" w:eastAsia="宋体" w:cs="Times New Roman"/>
      <w:b/>
      <w:bCs/>
      <w:kern w:val="44"/>
      <w:sz w:val="44"/>
      <w:szCs w:val="44"/>
    </w:rPr>
  </w:style>
  <w:style w:type="character" w:customStyle="1" w:styleId="57">
    <w:name w:val="标题 2 Char"/>
    <w:link w:val="4"/>
    <w:qFormat/>
    <w:uiPriority w:val="0"/>
    <w:rPr>
      <w:rFonts w:ascii="Arial" w:hAnsi="Arial" w:eastAsia="黑体" w:cs="Times New Roman"/>
      <w:b/>
      <w:bCs/>
      <w:sz w:val="32"/>
      <w:szCs w:val="32"/>
    </w:rPr>
  </w:style>
  <w:style w:type="character" w:customStyle="1" w:styleId="58">
    <w:name w:val="标题 3 Char"/>
    <w:link w:val="5"/>
    <w:qFormat/>
    <w:uiPriority w:val="0"/>
    <w:rPr>
      <w:rFonts w:ascii="Times New Roman" w:hAnsi="Times New Roman" w:eastAsia="宋体" w:cs="Times New Roman"/>
      <w:b/>
      <w:bCs/>
      <w:sz w:val="32"/>
      <w:szCs w:val="32"/>
    </w:rPr>
  </w:style>
  <w:style w:type="character" w:customStyle="1" w:styleId="59">
    <w:name w:val="标题 5 Char2"/>
    <w:link w:val="7"/>
    <w:qFormat/>
    <w:uiPriority w:val="0"/>
    <w:rPr>
      <w:b/>
      <w:kern w:val="2"/>
      <w:sz w:val="28"/>
      <w:szCs w:val="24"/>
    </w:rPr>
  </w:style>
  <w:style w:type="character" w:customStyle="1" w:styleId="60">
    <w:name w:val="标题 6 Char"/>
    <w:link w:val="9"/>
    <w:qFormat/>
    <w:uiPriority w:val="0"/>
    <w:rPr>
      <w:rFonts w:ascii="Arial" w:hAnsi="Arial" w:eastAsia="黑体"/>
      <w:b/>
      <w:kern w:val="2"/>
      <w:sz w:val="24"/>
      <w:szCs w:val="24"/>
    </w:rPr>
  </w:style>
  <w:style w:type="character" w:customStyle="1" w:styleId="61">
    <w:name w:val="标题 7 Char"/>
    <w:link w:val="10"/>
    <w:qFormat/>
    <w:uiPriority w:val="0"/>
    <w:rPr>
      <w:b/>
      <w:kern w:val="2"/>
      <w:sz w:val="24"/>
      <w:szCs w:val="24"/>
    </w:rPr>
  </w:style>
  <w:style w:type="character" w:customStyle="1" w:styleId="62">
    <w:name w:val="标题 8 Char"/>
    <w:link w:val="11"/>
    <w:qFormat/>
    <w:uiPriority w:val="0"/>
    <w:rPr>
      <w:rFonts w:ascii="Arial" w:hAnsi="Arial" w:eastAsia="黑体"/>
      <w:kern w:val="2"/>
      <w:sz w:val="24"/>
      <w:szCs w:val="24"/>
    </w:rPr>
  </w:style>
  <w:style w:type="character" w:customStyle="1" w:styleId="63">
    <w:name w:val="标题 9 Char"/>
    <w:link w:val="12"/>
    <w:qFormat/>
    <w:uiPriority w:val="0"/>
    <w:rPr>
      <w:rFonts w:ascii="Arial" w:hAnsi="Arial" w:eastAsia="黑体"/>
      <w:kern w:val="2"/>
      <w:sz w:val="21"/>
      <w:szCs w:val="24"/>
    </w:rPr>
  </w:style>
  <w:style w:type="character" w:customStyle="1" w:styleId="64">
    <w:name w:val="批注文字 Char2"/>
    <w:link w:val="16"/>
    <w:qFormat/>
    <w:uiPriority w:val="0"/>
    <w:rPr>
      <w:rFonts w:ascii="Times New Roman" w:hAnsi="Times New Roman"/>
      <w:kern w:val="2"/>
      <w:sz w:val="21"/>
      <w:szCs w:val="24"/>
    </w:rPr>
  </w:style>
  <w:style w:type="character" w:customStyle="1" w:styleId="65">
    <w:name w:val="正文文本 3 Char"/>
    <w:link w:val="17"/>
    <w:qFormat/>
    <w:uiPriority w:val="0"/>
    <w:rPr>
      <w:rFonts w:ascii="Times New Roman" w:hAnsi="Times New Roman" w:eastAsia="宋体" w:cs="Times New Roman"/>
      <w:b/>
      <w:bCs/>
      <w:sz w:val="24"/>
      <w:szCs w:val="24"/>
    </w:rPr>
  </w:style>
  <w:style w:type="character" w:customStyle="1" w:styleId="66">
    <w:name w:val="正文文本 Char"/>
    <w:link w:val="18"/>
    <w:qFormat/>
    <w:uiPriority w:val="99"/>
    <w:rPr>
      <w:rFonts w:ascii="Times New Roman" w:hAnsi="Times New Roman" w:eastAsia="宋体" w:cs="Times New Roman"/>
      <w:sz w:val="24"/>
      <w:szCs w:val="24"/>
    </w:rPr>
  </w:style>
  <w:style w:type="character" w:customStyle="1" w:styleId="67">
    <w:name w:val="正文文本缩进 Char"/>
    <w:link w:val="19"/>
    <w:qFormat/>
    <w:uiPriority w:val="0"/>
    <w:rPr>
      <w:rFonts w:ascii="仿宋_GB2312" w:hAnsi="Times New Roman" w:eastAsia="仿宋_GB2312" w:cs="Times New Roman"/>
      <w:sz w:val="32"/>
      <w:szCs w:val="20"/>
    </w:rPr>
  </w:style>
  <w:style w:type="character" w:customStyle="1" w:styleId="68">
    <w:name w:val="纯文本 Char2"/>
    <w:link w:val="24"/>
    <w:qFormat/>
    <w:uiPriority w:val="0"/>
    <w:rPr>
      <w:rFonts w:ascii="宋体" w:hAnsi="Courier New" w:eastAsia="宋体" w:cs="Courier New"/>
      <w:szCs w:val="21"/>
    </w:rPr>
  </w:style>
  <w:style w:type="character" w:customStyle="1" w:styleId="69">
    <w:name w:val="日期 Char"/>
    <w:link w:val="26"/>
    <w:qFormat/>
    <w:uiPriority w:val="0"/>
    <w:rPr>
      <w:rFonts w:ascii="宋体" w:hAnsi="Courier New" w:eastAsia="宋体" w:cs="Courier New"/>
      <w:szCs w:val="21"/>
    </w:rPr>
  </w:style>
  <w:style w:type="character" w:customStyle="1" w:styleId="70">
    <w:name w:val="正文文本缩进 2 Char"/>
    <w:link w:val="27"/>
    <w:qFormat/>
    <w:uiPriority w:val="0"/>
    <w:rPr>
      <w:rFonts w:ascii="Times New Roman" w:hAnsi="Times New Roman" w:eastAsia="宋体" w:cs="Times New Roman"/>
      <w:sz w:val="32"/>
      <w:szCs w:val="20"/>
    </w:rPr>
  </w:style>
  <w:style w:type="character" w:customStyle="1" w:styleId="71">
    <w:name w:val="尾注文本 Char"/>
    <w:link w:val="28"/>
    <w:semiHidden/>
    <w:qFormat/>
    <w:uiPriority w:val="99"/>
    <w:rPr>
      <w:rFonts w:ascii="Times New Roman" w:hAnsi="Times New Roman"/>
      <w:kern w:val="2"/>
      <w:sz w:val="21"/>
      <w:szCs w:val="24"/>
    </w:rPr>
  </w:style>
  <w:style w:type="character" w:customStyle="1" w:styleId="72">
    <w:name w:val="批注框文本 Char"/>
    <w:link w:val="29"/>
    <w:semiHidden/>
    <w:qFormat/>
    <w:uiPriority w:val="0"/>
    <w:rPr>
      <w:rFonts w:ascii="Times New Roman" w:hAnsi="Times New Roman" w:eastAsia="宋体" w:cs="Times New Roman"/>
      <w:sz w:val="18"/>
      <w:szCs w:val="18"/>
    </w:rPr>
  </w:style>
  <w:style w:type="character" w:customStyle="1" w:styleId="73">
    <w:name w:val="页脚 Char"/>
    <w:link w:val="30"/>
    <w:qFormat/>
    <w:uiPriority w:val="99"/>
    <w:rPr>
      <w:sz w:val="18"/>
      <w:szCs w:val="18"/>
    </w:rPr>
  </w:style>
  <w:style w:type="character" w:customStyle="1" w:styleId="74">
    <w:name w:val="页眉 Char"/>
    <w:link w:val="31"/>
    <w:qFormat/>
    <w:uiPriority w:val="99"/>
    <w:rPr>
      <w:rFonts w:ascii="Times New Roman" w:hAnsi="Times New Roman"/>
      <w:kern w:val="2"/>
      <w:sz w:val="18"/>
      <w:szCs w:val="18"/>
    </w:rPr>
  </w:style>
  <w:style w:type="character" w:customStyle="1" w:styleId="75">
    <w:name w:val="脚注文本 Char"/>
    <w:link w:val="35"/>
    <w:semiHidden/>
    <w:qFormat/>
    <w:uiPriority w:val="99"/>
    <w:rPr>
      <w:rFonts w:ascii="Times New Roman" w:hAnsi="Times New Roman"/>
      <w:kern w:val="2"/>
      <w:sz w:val="18"/>
      <w:szCs w:val="18"/>
    </w:rPr>
  </w:style>
  <w:style w:type="character" w:customStyle="1" w:styleId="76">
    <w:name w:val="正文文本缩进 3 Char"/>
    <w:link w:val="37"/>
    <w:qFormat/>
    <w:uiPriority w:val="0"/>
    <w:rPr>
      <w:rFonts w:ascii="Times New Roman" w:hAnsi="Times New Roman" w:eastAsia="宋体" w:cs="Times New Roman"/>
      <w:sz w:val="16"/>
      <w:szCs w:val="16"/>
    </w:rPr>
  </w:style>
  <w:style w:type="character" w:customStyle="1" w:styleId="77">
    <w:name w:val="正文文本 2 Char"/>
    <w:link w:val="40"/>
    <w:qFormat/>
    <w:uiPriority w:val="0"/>
    <w:rPr>
      <w:rFonts w:ascii="Times New Roman" w:hAnsi="Times New Roman" w:eastAsia="宋体" w:cs="Times New Roman"/>
      <w:szCs w:val="24"/>
    </w:rPr>
  </w:style>
  <w:style w:type="character" w:customStyle="1" w:styleId="78">
    <w:name w:val="批注主题 Char"/>
    <w:link w:val="43"/>
    <w:semiHidden/>
    <w:qFormat/>
    <w:uiPriority w:val="99"/>
    <w:rPr>
      <w:rFonts w:ascii="Times New Roman" w:hAnsi="Times New Roman"/>
      <w:b/>
      <w:bCs/>
      <w:kern w:val="2"/>
      <w:sz w:val="21"/>
      <w:szCs w:val="24"/>
    </w:rPr>
  </w:style>
  <w:style w:type="character" w:customStyle="1" w:styleId="79">
    <w:name w:val="纯文本 Char1"/>
    <w:qFormat/>
    <w:uiPriority w:val="0"/>
    <w:rPr>
      <w:rFonts w:ascii="宋体" w:hAnsi="Courier New" w:eastAsia="宋体" w:cs="Courier New"/>
      <w:szCs w:val="21"/>
    </w:rPr>
  </w:style>
  <w:style w:type="character" w:customStyle="1" w:styleId="80">
    <w:name w:val="纯文本 Char"/>
    <w:qFormat/>
    <w:uiPriority w:val="0"/>
    <w:rPr>
      <w:rFonts w:ascii="宋体" w:hAnsi="Courier New" w:eastAsia="宋体" w:cs="Courier New"/>
      <w:szCs w:val="21"/>
    </w:rPr>
  </w:style>
  <w:style w:type="character" w:customStyle="1" w:styleId="81">
    <w:name w:val="headline-content4"/>
    <w:qFormat/>
    <w:uiPriority w:val="0"/>
  </w:style>
  <w:style w:type="character" w:customStyle="1" w:styleId="82">
    <w:name w:val="纯文本 字符1"/>
    <w:qFormat/>
    <w:uiPriority w:val="0"/>
    <w:rPr>
      <w:rFonts w:ascii="宋体" w:hAnsi="Courier New"/>
    </w:rPr>
  </w:style>
  <w:style w:type="character" w:customStyle="1" w:styleId="83">
    <w:name w:val="普通文字 Char Char2"/>
    <w:qFormat/>
    <w:uiPriority w:val="0"/>
    <w:rPr>
      <w:rFonts w:ascii="宋体" w:hAnsi="Courier New" w:eastAsia="宋体"/>
      <w:kern w:val="2"/>
      <w:sz w:val="21"/>
      <w:lang w:val="en-US" w:eastAsia="zh-CN" w:bidi="ar-SA"/>
    </w:rPr>
  </w:style>
  <w:style w:type="character" w:customStyle="1" w:styleId="84">
    <w:name w:val="标题 5 Char1"/>
    <w:qFormat/>
    <w:uiPriority w:val="0"/>
    <w:rPr>
      <w:b/>
      <w:kern w:val="2"/>
      <w:sz w:val="28"/>
      <w:szCs w:val="24"/>
    </w:rPr>
  </w:style>
  <w:style w:type="character" w:customStyle="1" w:styleId="85">
    <w:name w:val="case31"/>
    <w:qFormat/>
    <w:uiPriority w:val="0"/>
    <w:rPr>
      <w:rFonts w:hint="default" w:ascii="_x000B__x000C_" w:hAnsi="_x000B__x000C_"/>
      <w:sz w:val="21"/>
      <w:szCs w:val="21"/>
    </w:rPr>
  </w:style>
  <w:style w:type="character" w:customStyle="1" w:styleId="86">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87">
    <w:name w:val="标题 1 字符"/>
    <w:qFormat/>
    <w:uiPriority w:val="9"/>
    <w:rPr>
      <w:rFonts w:ascii="Times New Roman" w:hAnsi="Times New Roman" w:eastAsia="宋体" w:cs="Times New Roman"/>
      <w:b/>
      <w:bCs/>
      <w:kern w:val="44"/>
      <w:sz w:val="44"/>
      <w:szCs w:val="44"/>
    </w:rPr>
  </w:style>
  <w:style w:type="character" w:customStyle="1" w:styleId="88">
    <w:name w:val="批注文字 Char1"/>
    <w:semiHidden/>
    <w:qFormat/>
    <w:locked/>
    <w:uiPriority w:val="0"/>
    <w:rPr>
      <w:rFonts w:ascii="Times New Roman" w:hAnsi="Times New Roman"/>
      <w:kern w:val="2"/>
      <w:sz w:val="21"/>
      <w:szCs w:val="24"/>
    </w:rPr>
  </w:style>
  <w:style w:type="character" w:customStyle="1" w:styleId="89">
    <w:name w:val="纯文本 字符"/>
    <w:qFormat/>
    <w:uiPriority w:val="0"/>
    <w:rPr>
      <w:rFonts w:ascii="宋体" w:hAnsi="Courier New" w:eastAsia="宋体" w:cs="Courier New"/>
      <w:szCs w:val="21"/>
    </w:rPr>
  </w:style>
  <w:style w:type="character" w:customStyle="1" w:styleId="90">
    <w:name w:val="标题 5 Char"/>
    <w:qFormat/>
    <w:uiPriority w:val="0"/>
    <w:rPr>
      <w:b/>
      <w:kern w:val="2"/>
      <w:sz w:val="28"/>
      <w:szCs w:val="24"/>
    </w:rPr>
  </w:style>
  <w:style w:type="character" w:customStyle="1" w:styleId="91">
    <w:name w:val="批注文字 字符"/>
    <w:qFormat/>
    <w:uiPriority w:val="0"/>
    <w:rPr>
      <w:rFonts w:ascii="Times New Roman" w:hAnsi="Times New Roman"/>
      <w:kern w:val="2"/>
      <w:sz w:val="21"/>
      <w:szCs w:val="24"/>
    </w:rPr>
  </w:style>
  <w:style w:type="character" w:customStyle="1" w:styleId="92">
    <w:name w:val="textcontents"/>
    <w:qFormat/>
    <w:uiPriority w:val="0"/>
  </w:style>
  <w:style w:type="character" w:customStyle="1" w:styleId="93">
    <w:name w:val="正文文本缩进 字符"/>
    <w:qFormat/>
    <w:uiPriority w:val="0"/>
    <w:rPr>
      <w:rFonts w:ascii="仿宋_GB2312" w:hAnsi="Times New Roman" w:eastAsia="仿宋_GB2312" w:cs="Times New Roman"/>
      <w:sz w:val="32"/>
      <w:szCs w:val="20"/>
    </w:rPr>
  </w:style>
  <w:style w:type="character" w:customStyle="1" w:styleId="94">
    <w:name w:val="apple-style-span"/>
    <w:qFormat/>
    <w:uiPriority w:val="0"/>
  </w:style>
  <w:style w:type="character" w:customStyle="1" w:styleId="95">
    <w:name w:val="批注文字 Char"/>
    <w:qFormat/>
    <w:uiPriority w:val="0"/>
    <w:rPr>
      <w:rFonts w:ascii="Times New Roman" w:hAnsi="Times New Roman"/>
      <w:kern w:val="2"/>
      <w:sz w:val="21"/>
      <w:szCs w:val="24"/>
    </w:rPr>
  </w:style>
  <w:style w:type="character" w:customStyle="1" w:styleId="96">
    <w:name w:val="批注文字 字符2"/>
    <w:qFormat/>
    <w:uiPriority w:val="0"/>
    <w:rPr>
      <w:rFonts w:ascii="Times New Roman" w:hAnsi="Times New Roman"/>
      <w:kern w:val="2"/>
      <w:sz w:val="21"/>
      <w:szCs w:val="24"/>
    </w:rPr>
  </w:style>
  <w:style w:type="paragraph" w:customStyle="1" w:styleId="97">
    <w:name w:val="Z-符号层进"/>
    <w:basedOn w:val="1"/>
    <w:qFormat/>
    <w:uiPriority w:val="0"/>
    <w:pPr>
      <w:numPr>
        <w:ilvl w:val="0"/>
        <w:numId w:val="3"/>
      </w:numPr>
      <w:tabs>
        <w:tab w:val="left" w:pos="880"/>
      </w:tabs>
    </w:pPr>
  </w:style>
  <w:style w:type="paragraph" w:customStyle="1" w:styleId="98">
    <w:name w:val="样式 首行缩进:  2 字符"/>
    <w:basedOn w:val="1"/>
    <w:qFormat/>
    <w:uiPriority w:val="0"/>
    <w:pPr>
      <w:spacing w:line="400" w:lineRule="exact"/>
      <w:ind w:firstLine="200" w:firstLineChars="200"/>
    </w:pPr>
    <w:rPr>
      <w:rFonts w:cs="宋体"/>
      <w:sz w:val="24"/>
    </w:rPr>
  </w:style>
  <w:style w:type="paragraph" w:customStyle="1" w:styleId="99">
    <w:name w:val="正文首行缩进 21"/>
    <w:basedOn w:val="100"/>
    <w:qFormat/>
    <w:uiPriority w:val="0"/>
    <w:pPr>
      <w:ind w:firstLine="420" w:firstLineChars="200"/>
    </w:pPr>
    <w:rPr>
      <w:rFonts w:ascii="Calibri" w:hAnsi="Calibri"/>
      <w:szCs w:val="22"/>
    </w:rPr>
  </w:style>
  <w:style w:type="paragraph" w:customStyle="1" w:styleId="100">
    <w:name w:val="Body Text Indent1"/>
    <w:basedOn w:val="1"/>
    <w:qFormat/>
    <w:uiPriority w:val="0"/>
    <w:pPr>
      <w:spacing w:after="120"/>
      <w:ind w:left="420" w:leftChars="200"/>
    </w:pPr>
  </w:style>
  <w:style w:type="paragraph" w:customStyle="1" w:styleId="101">
    <w:name w:val="标题3"/>
    <w:basedOn w:val="5"/>
    <w:next w:val="1"/>
    <w:qFormat/>
    <w:uiPriority w:val="0"/>
    <w:pPr>
      <w:spacing w:before="200" w:after="200" w:line="360" w:lineRule="auto"/>
    </w:pPr>
    <w:rPr>
      <w:rFonts w:ascii="黑体" w:hAnsi="黑体" w:eastAsia="黑体"/>
      <w:bCs w:val="0"/>
      <w:sz w:val="24"/>
      <w:szCs w:val="24"/>
    </w:rPr>
  </w:style>
  <w:style w:type="paragraph" w:customStyle="1" w:styleId="102">
    <w:name w:val="_Style 101"/>
    <w:unhideWhenUsed/>
    <w:qFormat/>
    <w:uiPriority w:val="99"/>
    <w:rPr>
      <w:rFonts w:ascii="Times New Roman" w:hAnsi="Times New Roman" w:eastAsia="宋体" w:cs="Times New Roman"/>
      <w:kern w:val="2"/>
      <w:sz w:val="21"/>
      <w:szCs w:val="24"/>
      <w:lang w:val="en-US" w:eastAsia="zh-CN" w:bidi="ar-SA"/>
    </w:rPr>
  </w:style>
  <w:style w:type="paragraph" w:customStyle="1" w:styleId="103">
    <w:name w:val="标题4"/>
    <w:basedOn w:val="1"/>
    <w:next w:val="1"/>
    <w:qFormat/>
    <w:uiPriority w:val="0"/>
    <w:pPr>
      <w:ind w:firstLine="176" w:firstLineChars="176"/>
      <w:outlineLvl w:val="3"/>
    </w:pPr>
    <w:rPr>
      <w:rFonts w:ascii="黑体" w:hAnsi="黑体" w:eastAsia="黑体"/>
      <w:b/>
      <w:bCs/>
      <w:sz w:val="24"/>
    </w:rPr>
  </w:style>
  <w:style w:type="paragraph" w:customStyle="1" w:styleId="104">
    <w:name w:val="表格文字115"/>
    <w:basedOn w:val="1"/>
    <w:qFormat/>
    <w:uiPriority w:val="0"/>
    <w:pPr>
      <w:spacing w:before="25" w:after="25"/>
      <w:jc w:val="left"/>
    </w:pPr>
    <w:rPr>
      <w:bCs/>
      <w:spacing w:val="10"/>
      <w:kern w:val="0"/>
      <w:sz w:val="24"/>
    </w:rPr>
  </w:style>
  <w:style w:type="paragraph" w:customStyle="1" w:styleId="105">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06">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07">
    <w:name w:val="Table Paragraph"/>
    <w:basedOn w:val="1"/>
    <w:qFormat/>
    <w:uiPriority w:val="1"/>
    <w:pPr>
      <w:jc w:val="left"/>
    </w:pPr>
    <w:rPr>
      <w:rFonts w:ascii="Calibri" w:hAnsi="Calibri"/>
      <w:kern w:val="0"/>
      <w:sz w:val="22"/>
      <w:szCs w:val="22"/>
      <w:lang w:eastAsia="en-US"/>
    </w:rPr>
  </w:style>
  <w:style w:type="paragraph" w:customStyle="1" w:styleId="108">
    <w:name w:val="正文2"/>
    <w:basedOn w:val="1"/>
    <w:qFormat/>
    <w:uiPriority w:val="0"/>
    <w:pPr>
      <w:adjustRightInd w:val="0"/>
      <w:spacing w:before="156" w:line="360" w:lineRule="auto"/>
      <w:ind w:firstLine="510" w:firstLineChars="200"/>
    </w:pPr>
    <w:rPr>
      <w:sz w:val="24"/>
      <w:szCs w:val="20"/>
    </w:rPr>
  </w:style>
  <w:style w:type="paragraph" w:customStyle="1" w:styleId="109">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10">
    <w:name w:val="默认段落字体 Para Char Char Char Char Char Char Char Char Char1 Char Char Char Char"/>
    <w:basedOn w:val="1"/>
    <w:qFormat/>
    <w:uiPriority w:val="0"/>
    <w:rPr>
      <w:rFonts w:ascii="Tahoma" w:hAnsi="Tahoma"/>
      <w:sz w:val="24"/>
      <w:szCs w:val="20"/>
    </w:rPr>
  </w:style>
  <w:style w:type="paragraph" w:customStyle="1" w:styleId="111">
    <w:name w:val="Default"/>
    <w:basedOn w:val="1"/>
    <w:next w:val="1"/>
    <w:semiHidden/>
    <w:qFormat/>
    <w:uiPriority w:val="0"/>
    <w:pPr>
      <w:autoSpaceDE w:val="0"/>
      <w:autoSpaceDN w:val="0"/>
      <w:adjustRightInd w:val="0"/>
      <w:jc w:val="left"/>
    </w:pPr>
    <w:rPr>
      <w:rFonts w:ascii="仿宋_GB2312" w:hAnsi="宋体" w:eastAsia="仿宋_GB2312"/>
      <w:color w:val="000000"/>
      <w:kern w:val="0"/>
      <w:sz w:val="24"/>
    </w:rPr>
  </w:style>
  <w:style w:type="paragraph" w:customStyle="1" w:styleId="112">
    <w:name w:val="正文段"/>
    <w:basedOn w:val="1"/>
    <w:qFormat/>
    <w:uiPriority w:val="0"/>
    <w:pPr>
      <w:widowControl/>
      <w:snapToGrid w:val="0"/>
      <w:spacing w:afterLines="50"/>
      <w:ind w:firstLine="200" w:firstLineChars="200"/>
    </w:pPr>
    <w:rPr>
      <w:kern w:val="0"/>
      <w:sz w:val="24"/>
      <w:szCs w:val="20"/>
    </w:rPr>
  </w:style>
  <w:style w:type="paragraph" w:customStyle="1" w:styleId="113">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14">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15">
    <w:name w:val="纯文本1"/>
    <w:basedOn w:val="1"/>
    <w:qFormat/>
    <w:uiPriority w:val="0"/>
    <w:rPr>
      <w:rFonts w:ascii="宋体" w:hAnsi="Courier New" w:cs="Century"/>
      <w:szCs w:val="21"/>
    </w:rPr>
  </w:style>
  <w:style w:type="paragraph" w:customStyle="1" w:styleId="116">
    <w:name w:val="标题3（采购需求）"/>
    <w:basedOn w:val="101"/>
    <w:next w:val="1"/>
    <w:qFormat/>
    <w:uiPriority w:val="0"/>
    <w:pPr>
      <w:spacing w:before="0" w:after="0"/>
    </w:pPr>
    <w:rPr>
      <w:rFonts w:ascii="宋体" w:hAnsi="宋体" w:eastAsia="宋体"/>
    </w:rPr>
  </w:style>
  <w:style w:type="paragraph" w:customStyle="1" w:styleId="117">
    <w:name w:val="正文首行缩进两字符"/>
    <w:basedOn w:val="1"/>
    <w:qFormat/>
    <w:uiPriority w:val="0"/>
    <w:pPr>
      <w:spacing w:line="360" w:lineRule="auto"/>
      <w:ind w:firstLine="200" w:firstLineChars="200"/>
    </w:pPr>
  </w:style>
  <w:style w:type="paragraph" w:customStyle="1" w:styleId="118">
    <w:name w:val="p15"/>
    <w:basedOn w:val="1"/>
    <w:qFormat/>
    <w:uiPriority w:val="0"/>
    <w:pPr>
      <w:widowControl/>
    </w:pPr>
    <w:rPr>
      <w:rFonts w:ascii="宋体" w:hAnsi="宋体" w:cs="宋体"/>
      <w:kern w:val="0"/>
      <w:szCs w:val="21"/>
    </w:rPr>
  </w:style>
  <w:style w:type="paragraph" w:styleId="119">
    <w:name w:val="List Paragraph"/>
    <w:basedOn w:val="1"/>
    <w:qFormat/>
    <w:uiPriority w:val="34"/>
    <w:pPr>
      <w:ind w:firstLine="420" w:firstLineChars="200"/>
    </w:pPr>
  </w:style>
  <w:style w:type="paragraph" w:customStyle="1" w:styleId="120">
    <w:name w:val="标题3（投标须知）"/>
    <w:basedOn w:val="101"/>
    <w:next w:val="103"/>
    <w:qFormat/>
    <w:uiPriority w:val="0"/>
    <w:pPr>
      <w:spacing w:line="240" w:lineRule="auto"/>
      <w:jc w:val="center"/>
    </w:pPr>
    <w:rPr>
      <w:bCs/>
      <w:sz w:val="30"/>
    </w:rPr>
  </w:style>
  <w:style w:type="paragraph" w:customStyle="1" w:styleId="121">
    <w:name w:val="表格"/>
    <w:basedOn w:val="1"/>
    <w:qFormat/>
    <w:uiPriority w:val="0"/>
    <w:pPr>
      <w:spacing w:line="400" w:lineRule="exact"/>
    </w:pPr>
    <w:rPr>
      <w:sz w:val="24"/>
    </w:rPr>
  </w:style>
  <w:style w:type="paragraph" w:customStyle="1" w:styleId="122">
    <w:name w:val="Char1"/>
    <w:basedOn w:val="1"/>
    <w:qFormat/>
    <w:uiPriority w:val="0"/>
    <w:rPr>
      <w:szCs w:val="21"/>
    </w:rPr>
  </w:style>
  <w:style w:type="table" w:customStyle="1" w:styleId="123">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table" w:customStyle="1" w:styleId="124">
    <w:name w:val="网格型2"/>
    <w:basedOn w:val="44"/>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5">
    <w:name w:val="hover27"/>
    <w:basedOn w:val="46"/>
    <w:qFormat/>
    <w:uiPriority w:val="0"/>
    <w:rPr>
      <w:color w:val="315EFB"/>
    </w:rPr>
  </w:style>
  <w:style w:type="character" w:customStyle="1" w:styleId="126">
    <w:name w:val="hover28"/>
    <w:basedOn w:val="46"/>
    <w:qFormat/>
    <w:uiPriority w:val="0"/>
    <w:rPr>
      <w:color w:val="315EFB"/>
    </w:rPr>
  </w:style>
  <w:style w:type="character" w:customStyle="1" w:styleId="127">
    <w:name w:val="hover29"/>
    <w:basedOn w:val="46"/>
    <w:qFormat/>
    <w:uiPriority w:val="0"/>
  </w:style>
  <w:style w:type="character" w:customStyle="1" w:styleId="128">
    <w:name w:val="c-icon30"/>
    <w:basedOn w:val="46"/>
    <w:qFormat/>
    <w:uiPriority w:val="0"/>
  </w:style>
  <w:style w:type="character" w:customStyle="1" w:styleId="129">
    <w:name w:val="c-icon"/>
    <w:basedOn w:val="46"/>
    <w:qFormat/>
    <w:uiPriority w:val="0"/>
  </w:style>
  <w:style w:type="character" w:customStyle="1" w:styleId="130">
    <w:name w:val="hover"/>
    <w:basedOn w:val="46"/>
    <w:qFormat/>
    <w:uiPriority w:val="0"/>
  </w:style>
  <w:style w:type="character" w:customStyle="1" w:styleId="131">
    <w:name w:val="hover1"/>
    <w:basedOn w:val="46"/>
    <w:qFormat/>
    <w:uiPriority w:val="0"/>
    <w:rPr>
      <w:color w:val="315EFB"/>
    </w:rPr>
  </w:style>
  <w:style w:type="character" w:customStyle="1" w:styleId="132">
    <w:name w:val="hover2"/>
    <w:basedOn w:val="46"/>
    <w:qFormat/>
    <w:uiPriority w:val="0"/>
    <w:rPr>
      <w:color w:val="315EFB"/>
    </w:rPr>
  </w:style>
  <w:style w:type="character" w:customStyle="1" w:styleId="133">
    <w:name w:val="c-icon28"/>
    <w:basedOn w:val="46"/>
    <w:qFormat/>
    <w:uiPriority w:val="0"/>
  </w:style>
  <w:style w:type="character" w:customStyle="1" w:styleId="134">
    <w:name w:val="hover20"/>
    <w:basedOn w:val="46"/>
    <w:qFormat/>
    <w:uiPriority w:val="0"/>
  </w:style>
  <w:style w:type="character" w:customStyle="1" w:styleId="135">
    <w:name w:val="hover21"/>
    <w:basedOn w:val="46"/>
    <w:qFormat/>
    <w:uiPriority w:val="0"/>
    <w:rPr>
      <w:color w:val="315EFB"/>
    </w:rPr>
  </w:style>
  <w:style w:type="character" w:customStyle="1" w:styleId="136">
    <w:name w:val="hover22"/>
    <w:basedOn w:val="46"/>
    <w:qFormat/>
    <w:uiPriority w:val="0"/>
    <w:rPr>
      <w:color w:val="315EFB"/>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1.png"/><Relationship Id="rId82" Type="http://schemas.openxmlformats.org/officeDocument/2006/relationships/image" Target="media/image70.jpeg"/><Relationship Id="rId81" Type="http://schemas.openxmlformats.org/officeDocument/2006/relationships/image" Target="media/image69.jpeg"/><Relationship Id="rId80" Type="http://schemas.openxmlformats.org/officeDocument/2006/relationships/image" Target="media/image68.png"/><Relationship Id="rId8" Type="http://schemas.openxmlformats.org/officeDocument/2006/relationships/footer" Target="footer3.xml"/><Relationship Id="rId79" Type="http://schemas.openxmlformats.org/officeDocument/2006/relationships/image" Target="media/image67.png"/><Relationship Id="rId78" Type="http://schemas.openxmlformats.org/officeDocument/2006/relationships/image" Target="media/image66.jpeg"/><Relationship Id="rId77" Type="http://schemas.openxmlformats.org/officeDocument/2006/relationships/image" Target="media/image65.jpe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footer" Target="footer2.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1.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3.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B140BE-BE4E-4ED2-8BAE-50BE1AA216C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197</Pages>
  <Words>128700</Words>
  <Characters>132748</Characters>
  <Lines>1025</Lines>
  <Paragraphs>288</Paragraphs>
  <TotalTime>54</TotalTime>
  <ScaleCrop>false</ScaleCrop>
  <LinksUpToDate>false</LinksUpToDate>
  <CharactersWithSpaces>135644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2023-03-07T09:07:00Z</dcterms:created>
  <dc:creator>番茄花园</dc:creator>
  <cp:lastModifiedBy>WOD</cp:lastModifiedBy>
  <cp:lastPrinted>2022-12-12T19:03:00Z</cp:lastPrinted>
  <dcterms:modified xsi:type="dcterms:W3CDTF">2023-03-30T10:27:57Z</dcterms:modified>
  <dc:title>公开招标采购文件范本</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631D86F453844CF7A84CDD5E204C0CF4</vt:lpwstr>
  </property>
  <property fmtid="{D5CDD505-2E9C-101B-9397-08002B2CF9AE}" pid="4" name="commondata">
    <vt:lpwstr>eyJoZGlkIjoiNTNhOGQ0MWU4NjIwNmY4ZDhjMGQwYWU4N2Y0NmE4OTcifQ==</vt:lpwstr>
  </property>
</Properties>
</file>