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napToGrid w:val="0"/>
        <w:spacing w:before="120" w:after="120"/>
        <w:outlineLvl w:val="0"/>
        <w:rPr>
          <w:rFonts w:hAnsi="宋体" w:cs="宋体"/>
          <w:b/>
          <w:sz w:val="72"/>
          <w:szCs w:val="72"/>
        </w:rPr>
      </w:pPr>
      <w:bookmarkStart w:id="0" w:name="_Toc303700142"/>
      <w:bookmarkStart w:id="1" w:name="_Toc448225897"/>
      <w:bookmarkStart w:id="2" w:name="_Toc447805269"/>
    </w:p>
    <w:p>
      <w:pPr>
        <w:pStyle w:val="7"/>
        <w:snapToGrid w:val="0"/>
        <w:spacing w:before="120" w:after="120"/>
        <w:jc w:val="center"/>
        <w:outlineLvl w:val="0"/>
        <w:rPr>
          <w:rFonts w:hAnsi="宋体" w:cs="宋体"/>
          <w:b/>
          <w:sz w:val="72"/>
          <w:szCs w:val="72"/>
        </w:rPr>
      </w:pPr>
      <w:r>
        <w:rPr>
          <w:rFonts w:hAnsi="宋体"/>
          <w:sz w:val="52"/>
          <w:u w:val="single"/>
        </w:rPr>
        <w:drawing>
          <wp:inline distT="0" distB="0" distL="114300" distR="114300">
            <wp:extent cx="4276725" cy="4000500"/>
            <wp:effectExtent l="0" t="0" r="9525" b="0"/>
            <wp:docPr id="1" name="图片 1" descr="中吉银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吉银标志"/>
                    <pic:cNvPicPr>
                      <a:picLocks noChangeAspect="1"/>
                    </pic:cNvPicPr>
                  </pic:nvPicPr>
                  <pic:blipFill>
                    <a:blip r:embed="rId7" cstate="print"/>
                    <a:stretch>
                      <a:fillRect/>
                    </a:stretch>
                  </pic:blipFill>
                  <pic:spPr>
                    <a:xfrm>
                      <a:off x="0" y="0"/>
                      <a:ext cx="4276725" cy="4000500"/>
                    </a:xfrm>
                    <a:prstGeom prst="rect">
                      <a:avLst/>
                    </a:prstGeom>
                    <a:noFill/>
                    <a:ln>
                      <a:noFill/>
                    </a:ln>
                  </pic:spPr>
                </pic:pic>
              </a:graphicData>
            </a:graphic>
          </wp:inline>
        </w:drawing>
      </w:r>
    </w:p>
    <w:p>
      <w:pPr>
        <w:pStyle w:val="7"/>
        <w:snapToGrid w:val="0"/>
        <w:spacing w:before="120" w:after="120"/>
        <w:jc w:val="center"/>
        <w:outlineLvl w:val="0"/>
        <w:rPr>
          <w:rFonts w:hAnsi="宋体" w:cs="宋体"/>
          <w:b/>
          <w:sz w:val="24"/>
          <w:szCs w:val="24"/>
        </w:rPr>
      </w:pPr>
      <w:r>
        <w:rPr>
          <w:rFonts w:hint="eastAsia" w:hAnsi="宋体" w:cs="宋体"/>
          <w:b/>
          <w:sz w:val="72"/>
          <w:szCs w:val="72"/>
        </w:rPr>
        <w:t>竞争性谈判采购文件</w:t>
      </w:r>
      <w:bookmarkEnd w:id="0"/>
      <w:bookmarkEnd w:id="1"/>
      <w:bookmarkEnd w:id="2"/>
    </w:p>
    <w:p>
      <w:pPr>
        <w:pStyle w:val="7"/>
        <w:snapToGrid w:val="0"/>
        <w:spacing w:before="120" w:after="120"/>
        <w:outlineLvl w:val="0"/>
        <w:rPr>
          <w:rFonts w:hAnsi="宋体" w:cs="宋体"/>
          <w:b/>
          <w:sz w:val="28"/>
          <w:szCs w:val="28"/>
        </w:rPr>
      </w:pPr>
    </w:p>
    <w:p>
      <w:pPr>
        <w:pStyle w:val="7"/>
        <w:snapToGrid w:val="0"/>
        <w:spacing w:before="120" w:after="120"/>
        <w:jc w:val="center"/>
        <w:outlineLvl w:val="0"/>
        <w:rPr>
          <w:rFonts w:hAnsi="宋体" w:cs="宋体"/>
          <w:b/>
          <w:sz w:val="28"/>
          <w:szCs w:val="28"/>
        </w:rPr>
      </w:pPr>
    </w:p>
    <w:p>
      <w:pPr>
        <w:pStyle w:val="7"/>
        <w:jc w:val="center"/>
        <w:rPr>
          <w:rFonts w:hAnsi="宋体" w:cs="宋体"/>
          <w:b/>
          <w:bCs/>
          <w:sz w:val="32"/>
          <w:szCs w:val="32"/>
        </w:rPr>
      </w:pPr>
      <w:r>
        <w:rPr>
          <w:rFonts w:hint="eastAsia" w:hAnsi="宋体" w:cs="宋体"/>
          <w:b/>
          <w:bCs/>
          <w:sz w:val="32"/>
          <w:szCs w:val="32"/>
        </w:rPr>
        <w:t>项目名称：</w:t>
      </w:r>
      <w:r>
        <w:rPr>
          <w:rFonts w:hint="eastAsia" w:hAnsi="宋体" w:cs="宋体"/>
          <w:b/>
          <w:bCs/>
          <w:sz w:val="32"/>
          <w:szCs w:val="32"/>
          <w:u w:val="single"/>
        </w:rPr>
        <w:tab/>
      </w:r>
      <w:r>
        <w:rPr>
          <w:rFonts w:hint="eastAsia" w:hAnsi="宋体" w:cs="宋体"/>
          <w:b/>
          <w:bCs/>
          <w:sz w:val="32"/>
          <w:szCs w:val="32"/>
          <w:u w:val="single"/>
        </w:rPr>
        <w:t>崇左市疾病预防控制中心医疗设备项目</w:t>
      </w:r>
    </w:p>
    <w:p>
      <w:pPr>
        <w:pStyle w:val="7"/>
        <w:ind w:firstLine="1285" w:firstLineChars="400"/>
        <w:rPr>
          <w:rFonts w:hAnsi="宋体" w:cs="宋体"/>
          <w:b/>
          <w:sz w:val="32"/>
          <w:szCs w:val="32"/>
          <w:u w:val="single"/>
        </w:rPr>
      </w:pPr>
      <w:r>
        <w:rPr>
          <w:rFonts w:hint="eastAsia" w:hAnsi="宋体" w:cs="宋体"/>
          <w:b/>
          <w:sz w:val="32"/>
          <w:szCs w:val="32"/>
        </w:rPr>
        <w:t>项目编号：</w:t>
      </w:r>
      <w:r>
        <w:rPr>
          <w:rFonts w:hint="eastAsia" w:hAnsi="宋体" w:cs="宋体"/>
          <w:b/>
          <w:sz w:val="32"/>
          <w:szCs w:val="32"/>
          <w:u w:val="single"/>
          <w:lang w:eastAsia="zh-CN"/>
        </w:rPr>
        <w:t>CZZC2020-J1-000280-GXZJ</w:t>
      </w:r>
      <w:r>
        <w:rPr>
          <w:rFonts w:hint="eastAsia" w:hAnsi="宋体" w:cs="宋体"/>
          <w:b/>
          <w:sz w:val="32"/>
          <w:szCs w:val="32"/>
          <w:u w:val="single"/>
        </w:rPr>
        <w:t xml:space="preserve">    </w:t>
      </w:r>
    </w:p>
    <w:p>
      <w:pPr>
        <w:pStyle w:val="7"/>
        <w:spacing w:line="360" w:lineRule="auto"/>
        <w:ind w:firstLine="2249" w:firstLineChars="800"/>
        <w:rPr>
          <w:rFonts w:hAnsi="宋体" w:cs="宋体"/>
          <w:b/>
          <w:sz w:val="28"/>
          <w:szCs w:val="28"/>
        </w:rPr>
      </w:pPr>
    </w:p>
    <w:p>
      <w:pPr>
        <w:pStyle w:val="7"/>
        <w:spacing w:line="360" w:lineRule="auto"/>
        <w:ind w:firstLine="2249" w:firstLineChars="800"/>
        <w:rPr>
          <w:rFonts w:hAnsi="宋体" w:cs="宋体"/>
          <w:b/>
          <w:sz w:val="28"/>
          <w:szCs w:val="28"/>
        </w:rPr>
      </w:pPr>
    </w:p>
    <w:p>
      <w:pPr>
        <w:ind w:firstLine="1928" w:firstLineChars="600"/>
        <w:rPr>
          <w:rFonts w:hint="eastAsia" w:ascii="宋体" w:hAnsi="宋体" w:cs="宋体"/>
          <w:b/>
          <w:sz w:val="32"/>
          <w:szCs w:val="32"/>
        </w:rPr>
      </w:pPr>
      <w:bookmarkStart w:id="3" w:name="_Toc448225899"/>
      <w:bookmarkStart w:id="4" w:name="_Toc447805271"/>
      <w:r>
        <w:rPr>
          <w:rFonts w:hint="eastAsia" w:ascii="宋体" w:hAnsi="宋体" w:cs="宋体"/>
          <w:b/>
          <w:sz w:val="32"/>
          <w:szCs w:val="32"/>
        </w:rPr>
        <w:t>采购人：</w:t>
      </w:r>
      <w:bookmarkEnd w:id="3"/>
      <w:bookmarkEnd w:id="4"/>
      <w:bookmarkStart w:id="5" w:name="_Toc303700145"/>
      <w:bookmarkStart w:id="6" w:name="_Toc447805272"/>
      <w:bookmarkStart w:id="7" w:name="_Toc448225900"/>
      <w:r>
        <w:rPr>
          <w:rFonts w:hint="eastAsia" w:ascii="宋体" w:hAnsi="宋体" w:cs="宋体"/>
          <w:b/>
          <w:sz w:val="32"/>
          <w:szCs w:val="32"/>
        </w:rPr>
        <w:t>崇左市疾病预防控制中心</w:t>
      </w:r>
    </w:p>
    <w:p>
      <w:pPr>
        <w:ind w:firstLine="1928" w:firstLineChars="600"/>
        <w:rPr>
          <w:rFonts w:ascii="宋体" w:hAnsi="宋体" w:cs="宋体"/>
          <w:b/>
          <w:sz w:val="32"/>
          <w:szCs w:val="32"/>
        </w:rPr>
      </w:pPr>
      <w:r>
        <w:rPr>
          <w:rFonts w:hint="eastAsia" w:ascii="宋体" w:hAnsi="宋体" w:cs="宋体"/>
          <w:b/>
          <w:sz w:val="32"/>
          <w:szCs w:val="32"/>
        </w:rPr>
        <w:t>代理机构：</w:t>
      </w:r>
      <w:bookmarkEnd w:id="5"/>
      <w:bookmarkEnd w:id="6"/>
      <w:bookmarkEnd w:id="7"/>
      <w:r>
        <w:rPr>
          <w:rFonts w:hint="eastAsia" w:ascii="宋体" w:hAnsi="宋体" w:cs="宋体"/>
          <w:b/>
          <w:sz w:val="32"/>
          <w:szCs w:val="32"/>
        </w:rPr>
        <w:t>广西中吉银工程项目管理有限公司</w:t>
      </w:r>
    </w:p>
    <w:p>
      <w:pPr>
        <w:jc w:val="center"/>
        <w:rPr>
          <w:rFonts w:ascii="宋体" w:hAnsi="宋体" w:cs="宋体"/>
          <w:b/>
          <w:sz w:val="36"/>
          <w:szCs w:val="36"/>
        </w:rPr>
      </w:pPr>
    </w:p>
    <w:p>
      <w:pPr>
        <w:jc w:val="center"/>
        <w:rPr>
          <w:rFonts w:ascii="宋体" w:hAnsi="宋体" w:cs="宋体"/>
          <w:sz w:val="24"/>
        </w:rPr>
        <w:sectPr>
          <w:headerReference r:id="rId4" w:type="first"/>
          <w:headerReference r:id="rId3" w:type="default"/>
          <w:pgSz w:w="11906" w:h="16838"/>
          <w:pgMar w:top="1134" w:right="1134" w:bottom="1134" w:left="1134" w:header="680" w:footer="680" w:gutter="0"/>
          <w:cols w:space="720" w:num="1"/>
          <w:titlePg/>
          <w:docGrid w:linePitch="331" w:charSpace="0"/>
        </w:sectPr>
      </w:pPr>
      <w:r>
        <w:rPr>
          <w:rFonts w:hint="eastAsia" w:ascii="宋体" w:hAnsi="宋体" w:cs="宋体"/>
          <w:b/>
          <w:sz w:val="36"/>
          <w:szCs w:val="36"/>
        </w:rPr>
        <w:t>2020年11月</w:t>
      </w:r>
    </w:p>
    <w:p>
      <w:pPr>
        <w:rPr>
          <w:rFonts w:ascii="宋体" w:hAnsi="宋体"/>
        </w:rPr>
        <w:sectPr>
          <w:pgSz w:w="11906" w:h="16838"/>
          <w:pgMar w:top="1440" w:right="1800" w:bottom="1440" w:left="1800" w:header="851" w:footer="992" w:gutter="0"/>
          <w:cols w:space="425" w:num="1"/>
          <w:docGrid w:type="lines" w:linePitch="312" w:charSpace="0"/>
        </w:sectPr>
      </w:pPr>
      <w:r>
        <w:rPr>
          <w:rFonts w:hint="eastAsia" w:ascii="宋体" w:hAnsi="宋体"/>
        </w:rPr>
        <w:t xml:space="preserve">  </w:t>
      </w:r>
    </w:p>
    <w:p>
      <w:pPr>
        <w:rPr>
          <w:rFonts w:ascii="宋体" w:hAnsi="宋体"/>
        </w:rPr>
      </w:pPr>
      <w:r>
        <w:rPr>
          <w:rFonts w:hint="eastAsia" w:ascii="宋体" w:hAnsi="宋体"/>
        </w:rPr>
        <w:t xml:space="preserve">                                 </w:t>
      </w:r>
    </w:p>
    <w:p>
      <w:pPr>
        <w:spacing w:line="360" w:lineRule="auto"/>
        <w:jc w:val="center"/>
        <w:rPr>
          <w:rFonts w:ascii="宋体" w:hAnsi="宋体"/>
          <w:b/>
          <w:sz w:val="44"/>
          <w:szCs w:val="44"/>
        </w:rPr>
      </w:pPr>
      <w:r>
        <w:rPr>
          <w:rFonts w:hint="eastAsia" w:ascii="宋体" w:hAnsi="宋体"/>
          <w:b/>
          <w:sz w:val="44"/>
          <w:szCs w:val="44"/>
        </w:rPr>
        <w:t>目    录</w:t>
      </w:r>
    </w:p>
    <w:p>
      <w:pPr>
        <w:spacing w:line="360" w:lineRule="auto"/>
        <w:jc w:val="center"/>
        <w:rPr>
          <w:rFonts w:ascii="宋体" w:hAnsi="宋体"/>
          <w:b/>
          <w:sz w:val="52"/>
          <w:szCs w:val="52"/>
        </w:rPr>
      </w:pPr>
    </w:p>
    <w:p>
      <w:pPr>
        <w:pStyle w:val="11"/>
        <w:rPr>
          <w:rFonts w:ascii="宋体" w:hAnsi="宋体" w:eastAsia="宋体"/>
          <w:color w:val="auto"/>
          <w:sz w:val="20"/>
          <w:szCs w:val="21"/>
        </w:rPr>
      </w:pPr>
      <w:r>
        <w:rPr>
          <w:rFonts w:hint="eastAsia" w:ascii="宋体" w:hAnsi="宋体" w:eastAsia="宋体"/>
          <w:b/>
          <w:color w:val="auto"/>
          <w:sz w:val="48"/>
          <w:szCs w:val="48"/>
        </w:rPr>
        <w:fldChar w:fldCharType="begin"/>
      </w:r>
      <w:r>
        <w:rPr>
          <w:rFonts w:hint="eastAsia" w:ascii="宋体" w:hAnsi="宋体" w:eastAsia="宋体"/>
          <w:b/>
          <w:color w:val="auto"/>
          <w:sz w:val="48"/>
          <w:szCs w:val="48"/>
        </w:rPr>
        <w:instrText xml:space="preserve"> TOC \o "1-3" \h \z \u </w:instrText>
      </w:r>
      <w:r>
        <w:rPr>
          <w:rFonts w:hint="eastAsia" w:ascii="宋体" w:hAnsi="宋体" w:eastAsia="宋体"/>
          <w:b/>
          <w:color w:val="auto"/>
          <w:sz w:val="48"/>
          <w:szCs w:val="48"/>
        </w:rPr>
        <w:fldChar w:fldCharType="separate"/>
      </w:r>
      <w:r>
        <w:fldChar w:fldCharType="begin"/>
      </w:r>
      <w:r>
        <w:instrText xml:space="preserve"> HYPERLINK \l "_Toc488673040" </w:instrText>
      </w:r>
      <w:r>
        <w:fldChar w:fldCharType="separate"/>
      </w:r>
      <w:r>
        <w:rPr>
          <w:rStyle w:val="17"/>
          <w:rFonts w:hint="eastAsia" w:ascii="宋体" w:hAnsi="宋体"/>
          <w:b/>
          <w:color w:val="auto"/>
          <w:sz w:val="28"/>
          <w:szCs w:val="28"/>
        </w:rPr>
        <w:t>第一章</w:t>
      </w:r>
      <w:r>
        <w:rPr>
          <w:rStyle w:val="17"/>
          <w:rFonts w:ascii="宋体" w:hAnsi="宋体"/>
          <w:b/>
          <w:color w:val="auto"/>
          <w:sz w:val="28"/>
          <w:szCs w:val="28"/>
        </w:rPr>
        <w:t xml:space="preserve">  </w:t>
      </w:r>
      <w:r>
        <w:rPr>
          <w:rStyle w:val="17"/>
          <w:rFonts w:hint="eastAsia" w:ascii="宋体" w:hAnsi="宋体"/>
          <w:b/>
          <w:color w:val="auto"/>
          <w:sz w:val="28"/>
          <w:szCs w:val="28"/>
        </w:rPr>
        <w:t>竞争性谈判公告</w:t>
      </w:r>
      <w:r>
        <w:rPr>
          <w:rFonts w:ascii="宋体" w:hAnsi="宋体" w:eastAsia="宋体"/>
          <w:color w:val="auto"/>
          <w:sz w:val="28"/>
          <w:szCs w:val="28"/>
        </w:rPr>
        <w:tab/>
      </w:r>
      <w:r>
        <w:rPr>
          <w:rFonts w:ascii="宋体" w:hAnsi="宋体" w:eastAsia="宋体"/>
          <w:color w:val="auto"/>
          <w:sz w:val="28"/>
          <w:szCs w:val="28"/>
        </w:rPr>
        <w:fldChar w:fldCharType="begin"/>
      </w:r>
      <w:r>
        <w:rPr>
          <w:rFonts w:ascii="宋体" w:hAnsi="宋体" w:eastAsia="宋体"/>
          <w:color w:val="auto"/>
          <w:sz w:val="28"/>
          <w:szCs w:val="28"/>
        </w:rPr>
        <w:instrText xml:space="preserve"> PAGEREF _Toc488673040 \h </w:instrText>
      </w:r>
      <w:r>
        <w:rPr>
          <w:rFonts w:ascii="宋体" w:hAnsi="宋体" w:eastAsia="宋体"/>
          <w:color w:val="auto"/>
          <w:sz w:val="28"/>
          <w:szCs w:val="28"/>
        </w:rPr>
        <w:fldChar w:fldCharType="separate"/>
      </w:r>
      <w:r>
        <w:rPr>
          <w:rFonts w:ascii="宋体" w:hAnsi="宋体" w:eastAsia="宋体"/>
          <w:color w:val="auto"/>
          <w:sz w:val="28"/>
          <w:szCs w:val="28"/>
        </w:rPr>
        <w:t>1</w:t>
      </w:r>
      <w:r>
        <w:rPr>
          <w:rFonts w:ascii="宋体" w:hAnsi="宋体" w:eastAsia="宋体"/>
          <w:color w:val="auto"/>
          <w:sz w:val="28"/>
          <w:szCs w:val="28"/>
        </w:rPr>
        <w:fldChar w:fldCharType="end"/>
      </w:r>
      <w:r>
        <w:rPr>
          <w:rFonts w:ascii="宋体" w:hAnsi="宋体" w:eastAsia="宋体"/>
          <w:color w:val="auto"/>
          <w:sz w:val="28"/>
          <w:szCs w:val="28"/>
        </w:rPr>
        <w:fldChar w:fldCharType="end"/>
      </w:r>
    </w:p>
    <w:p>
      <w:pPr>
        <w:pStyle w:val="11"/>
        <w:rPr>
          <w:rFonts w:ascii="宋体" w:hAnsi="宋体" w:eastAsia="宋体"/>
          <w:color w:val="auto"/>
          <w:sz w:val="20"/>
          <w:szCs w:val="21"/>
        </w:rPr>
      </w:pPr>
      <w:r>
        <w:fldChar w:fldCharType="begin"/>
      </w:r>
      <w:r>
        <w:instrText xml:space="preserve"> HYPERLINK \l "_Toc488673042" </w:instrText>
      </w:r>
      <w:r>
        <w:fldChar w:fldCharType="separate"/>
      </w:r>
      <w:r>
        <w:rPr>
          <w:rStyle w:val="17"/>
          <w:rFonts w:hint="eastAsia" w:ascii="宋体" w:hAnsi="宋体"/>
          <w:b/>
          <w:color w:val="auto"/>
          <w:sz w:val="28"/>
          <w:szCs w:val="28"/>
        </w:rPr>
        <w:t>第二章</w:t>
      </w:r>
      <w:r>
        <w:rPr>
          <w:rStyle w:val="17"/>
          <w:rFonts w:ascii="宋体" w:hAnsi="宋体"/>
          <w:b/>
          <w:color w:val="auto"/>
          <w:sz w:val="28"/>
          <w:szCs w:val="28"/>
        </w:rPr>
        <w:t xml:space="preserve">  </w:t>
      </w:r>
      <w:r>
        <w:rPr>
          <w:rStyle w:val="17"/>
          <w:rFonts w:hint="eastAsia" w:ascii="宋体" w:hAnsi="宋体"/>
          <w:b/>
          <w:color w:val="auto"/>
          <w:sz w:val="28"/>
          <w:szCs w:val="28"/>
        </w:rPr>
        <w:t>供应商须知前附表</w:t>
      </w:r>
      <w:r>
        <w:rPr>
          <w:rStyle w:val="17"/>
          <w:rFonts w:ascii="宋体" w:hAnsi="宋体"/>
          <w:color w:val="auto"/>
          <w:sz w:val="28"/>
          <w:szCs w:val="28"/>
        </w:rPr>
        <w:tab/>
      </w:r>
      <w:r>
        <w:rPr>
          <w:rStyle w:val="17"/>
          <w:rFonts w:hint="eastAsia" w:ascii="宋体" w:hAnsi="宋体"/>
          <w:color w:val="auto"/>
          <w:sz w:val="28"/>
          <w:szCs w:val="28"/>
        </w:rPr>
        <w:t>4</w:t>
      </w:r>
      <w:r>
        <w:rPr>
          <w:rStyle w:val="17"/>
          <w:rFonts w:hint="eastAsia" w:ascii="宋体" w:hAnsi="宋体"/>
          <w:color w:val="auto"/>
          <w:sz w:val="28"/>
          <w:szCs w:val="28"/>
        </w:rPr>
        <w:fldChar w:fldCharType="end"/>
      </w:r>
    </w:p>
    <w:p>
      <w:pPr>
        <w:pStyle w:val="11"/>
        <w:rPr>
          <w:rFonts w:ascii="宋体" w:hAnsi="宋体" w:eastAsia="宋体"/>
          <w:color w:val="auto"/>
          <w:sz w:val="20"/>
          <w:szCs w:val="21"/>
        </w:rPr>
      </w:pPr>
      <w:r>
        <w:fldChar w:fldCharType="begin"/>
      </w:r>
      <w:r>
        <w:instrText xml:space="preserve"> HYPERLINK \l "_Toc488673045" </w:instrText>
      </w:r>
      <w:r>
        <w:fldChar w:fldCharType="separate"/>
      </w:r>
      <w:r>
        <w:rPr>
          <w:rStyle w:val="17"/>
          <w:rFonts w:hint="eastAsia" w:ascii="宋体" w:hAnsi="宋体"/>
          <w:b/>
          <w:color w:val="auto"/>
          <w:sz w:val="28"/>
          <w:szCs w:val="28"/>
        </w:rPr>
        <w:t>第三章</w:t>
      </w:r>
      <w:r>
        <w:rPr>
          <w:rStyle w:val="17"/>
          <w:rFonts w:ascii="宋体" w:hAnsi="宋体"/>
          <w:b/>
          <w:color w:val="auto"/>
          <w:sz w:val="28"/>
          <w:szCs w:val="28"/>
        </w:rPr>
        <w:t xml:space="preserve">  </w:t>
      </w:r>
      <w:r>
        <w:rPr>
          <w:rStyle w:val="17"/>
          <w:rFonts w:hint="eastAsia" w:ascii="宋体" w:hAnsi="宋体"/>
          <w:b/>
          <w:color w:val="auto"/>
          <w:sz w:val="28"/>
          <w:szCs w:val="28"/>
        </w:rPr>
        <w:t>项</w:t>
      </w:r>
      <w:r>
        <w:rPr>
          <w:rStyle w:val="17"/>
          <w:rFonts w:ascii="宋体" w:hAnsi="宋体"/>
          <w:b/>
          <w:color w:val="auto"/>
          <w:sz w:val="28"/>
          <w:szCs w:val="28"/>
        </w:rPr>
        <w:t xml:space="preserve"> </w:t>
      </w:r>
      <w:r>
        <w:rPr>
          <w:rStyle w:val="17"/>
          <w:rFonts w:hint="eastAsia" w:ascii="宋体" w:hAnsi="宋体"/>
          <w:b/>
          <w:color w:val="auto"/>
          <w:sz w:val="28"/>
          <w:szCs w:val="28"/>
        </w:rPr>
        <w:t>目</w:t>
      </w:r>
      <w:r>
        <w:rPr>
          <w:rStyle w:val="17"/>
          <w:rFonts w:ascii="宋体" w:hAnsi="宋体"/>
          <w:b/>
          <w:color w:val="auto"/>
          <w:sz w:val="28"/>
          <w:szCs w:val="28"/>
        </w:rPr>
        <w:t xml:space="preserve"> </w:t>
      </w:r>
      <w:r>
        <w:rPr>
          <w:rStyle w:val="17"/>
          <w:rFonts w:hint="eastAsia" w:ascii="宋体" w:hAnsi="宋体"/>
          <w:b/>
          <w:color w:val="auto"/>
          <w:sz w:val="28"/>
          <w:szCs w:val="28"/>
        </w:rPr>
        <w:t>需</w:t>
      </w:r>
      <w:r>
        <w:rPr>
          <w:rStyle w:val="17"/>
          <w:rFonts w:ascii="宋体" w:hAnsi="宋体"/>
          <w:b/>
          <w:color w:val="auto"/>
          <w:sz w:val="28"/>
          <w:szCs w:val="28"/>
        </w:rPr>
        <w:t xml:space="preserve"> </w:t>
      </w:r>
      <w:r>
        <w:rPr>
          <w:rStyle w:val="17"/>
          <w:rFonts w:hint="eastAsia" w:ascii="宋体" w:hAnsi="宋体"/>
          <w:b/>
          <w:color w:val="auto"/>
          <w:sz w:val="28"/>
          <w:szCs w:val="28"/>
        </w:rPr>
        <w:t>求</w:t>
      </w:r>
      <w:r>
        <w:rPr>
          <w:rFonts w:ascii="宋体" w:hAnsi="宋体" w:eastAsia="宋体"/>
          <w:color w:val="auto"/>
          <w:sz w:val="28"/>
          <w:szCs w:val="28"/>
        </w:rPr>
        <w:tab/>
      </w:r>
      <w:r>
        <w:rPr>
          <w:rFonts w:ascii="宋体" w:hAnsi="宋体" w:eastAsia="宋体"/>
          <w:color w:val="auto"/>
          <w:sz w:val="28"/>
          <w:szCs w:val="28"/>
        </w:rPr>
        <w:fldChar w:fldCharType="begin"/>
      </w:r>
      <w:r>
        <w:rPr>
          <w:rFonts w:ascii="宋体" w:hAnsi="宋体" w:eastAsia="宋体"/>
          <w:color w:val="auto"/>
          <w:sz w:val="28"/>
          <w:szCs w:val="28"/>
        </w:rPr>
        <w:instrText xml:space="preserve"> PAGEREF _Toc488673045 \h </w:instrText>
      </w:r>
      <w:r>
        <w:rPr>
          <w:rFonts w:ascii="宋体" w:hAnsi="宋体" w:eastAsia="宋体"/>
          <w:color w:val="auto"/>
          <w:sz w:val="28"/>
          <w:szCs w:val="28"/>
        </w:rPr>
        <w:fldChar w:fldCharType="separate"/>
      </w:r>
      <w:r>
        <w:rPr>
          <w:rFonts w:ascii="宋体" w:hAnsi="宋体" w:eastAsia="宋体"/>
          <w:color w:val="auto"/>
          <w:sz w:val="28"/>
          <w:szCs w:val="28"/>
        </w:rPr>
        <w:t>16</w:t>
      </w:r>
      <w:r>
        <w:rPr>
          <w:rFonts w:ascii="宋体" w:hAnsi="宋体" w:eastAsia="宋体"/>
          <w:color w:val="auto"/>
          <w:sz w:val="28"/>
          <w:szCs w:val="28"/>
        </w:rPr>
        <w:fldChar w:fldCharType="end"/>
      </w:r>
      <w:r>
        <w:rPr>
          <w:rFonts w:ascii="宋体" w:hAnsi="宋体" w:eastAsia="宋体"/>
          <w:color w:val="auto"/>
          <w:sz w:val="28"/>
          <w:szCs w:val="28"/>
        </w:rPr>
        <w:fldChar w:fldCharType="end"/>
      </w:r>
    </w:p>
    <w:p>
      <w:pPr>
        <w:pStyle w:val="11"/>
        <w:rPr>
          <w:rFonts w:ascii="宋体" w:hAnsi="宋体" w:eastAsia="宋体"/>
          <w:color w:val="auto"/>
          <w:sz w:val="20"/>
          <w:szCs w:val="21"/>
        </w:rPr>
      </w:pPr>
      <w:r>
        <w:fldChar w:fldCharType="begin"/>
      </w:r>
      <w:r>
        <w:instrText xml:space="preserve"> HYPERLINK \l "_Toc488673054" </w:instrText>
      </w:r>
      <w:r>
        <w:fldChar w:fldCharType="separate"/>
      </w:r>
      <w:r>
        <w:rPr>
          <w:rStyle w:val="17"/>
          <w:rFonts w:hint="eastAsia" w:ascii="宋体" w:hAnsi="宋体"/>
          <w:b/>
          <w:color w:val="auto"/>
          <w:sz w:val="28"/>
          <w:szCs w:val="28"/>
        </w:rPr>
        <w:t>第四章</w:t>
      </w:r>
      <w:r>
        <w:rPr>
          <w:rStyle w:val="17"/>
          <w:rFonts w:ascii="宋体" w:hAnsi="宋体"/>
          <w:b/>
          <w:color w:val="auto"/>
          <w:sz w:val="28"/>
          <w:szCs w:val="28"/>
        </w:rPr>
        <w:t xml:space="preserve">  </w:t>
      </w:r>
      <w:r>
        <w:rPr>
          <w:rStyle w:val="17"/>
          <w:rFonts w:hint="eastAsia" w:ascii="宋体" w:hAnsi="宋体"/>
          <w:b/>
          <w:color w:val="auto"/>
          <w:sz w:val="28"/>
          <w:szCs w:val="28"/>
        </w:rPr>
        <w:t>谈判书格</w:t>
      </w:r>
      <w:bookmarkStart w:id="8" w:name="_Hlt503799141"/>
      <w:bookmarkStart w:id="9" w:name="_Hlt503799142"/>
      <w:r>
        <w:rPr>
          <w:rStyle w:val="17"/>
          <w:rFonts w:hint="eastAsia" w:ascii="宋体" w:hAnsi="宋体"/>
          <w:b/>
          <w:color w:val="auto"/>
          <w:sz w:val="28"/>
          <w:szCs w:val="28"/>
        </w:rPr>
        <w:t>式</w:t>
      </w:r>
      <w:bookmarkEnd w:id="8"/>
      <w:bookmarkEnd w:id="9"/>
      <w:r>
        <w:rPr>
          <w:rFonts w:ascii="宋体" w:hAnsi="宋体" w:eastAsia="宋体"/>
          <w:color w:val="auto"/>
          <w:sz w:val="28"/>
          <w:szCs w:val="28"/>
        </w:rPr>
        <w:tab/>
      </w:r>
      <w:r>
        <w:rPr>
          <w:rFonts w:ascii="宋体" w:hAnsi="宋体" w:eastAsia="宋体"/>
          <w:color w:val="auto"/>
          <w:sz w:val="28"/>
          <w:szCs w:val="28"/>
        </w:rPr>
        <w:fldChar w:fldCharType="begin"/>
      </w:r>
      <w:r>
        <w:rPr>
          <w:rFonts w:ascii="宋体" w:hAnsi="宋体" w:eastAsia="宋体"/>
          <w:color w:val="auto"/>
          <w:sz w:val="28"/>
          <w:szCs w:val="28"/>
        </w:rPr>
        <w:instrText xml:space="preserve"> PAGEREF _Toc488673054 \h </w:instrText>
      </w:r>
      <w:r>
        <w:rPr>
          <w:rFonts w:ascii="宋体" w:hAnsi="宋体" w:eastAsia="宋体"/>
          <w:color w:val="auto"/>
          <w:sz w:val="28"/>
          <w:szCs w:val="28"/>
        </w:rPr>
        <w:fldChar w:fldCharType="separate"/>
      </w:r>
      <w:r>
        <w:rPr>
          <w:rFonts w:ascii="宋体" w:hAnsi="宋体" w:eastAsia="宋体"/>
          <w:color w:val="auto"/>
          <w:sz w:val="28"/>
          <w:szCs w:val="28"/>
        </w:rPr>
        <w:t>17</w:t>
      </w:r>
      <w:r>
        <w:rPr>
          <w:rFonts w:ascii="宋体" w:hAnsi="宋体" w:eastAsia="宋体"/>
          <w:color w:val="auto"/>
          <w:sz w:val="28"/>
          <w:szCs w:val="28"/>
        </w:rPr>
        <w:fldChar w:fldCharType="end"/>
      </w:r>
      <w:r>
        <w:rPr>
          <w:rFonts w:ascii="宋体" w:hAnsi="宋体" w:eastAsia="宋体"/>
          <w:color w:val="auto"/>
          <w:sz w:val="28"/>
          <w:szCs w:val="28"/>
        </w:rPr>
        <w:fldChar w:fldCharType="end"/>
      </w:r>
    </w:p>
    <w:p>
      <w:pPr>
        <w:pStyle w:val="11"/>
        <w:rPr>
          <w:rFonts w:ascii="宋体" w:hAnsi="宋体" w:eastAsia="宋体"/>
          <w:color w:val="auto"/>
          <w:sz w:val="20"/>
          <w:szCs w:val="21"/>
        </w:rPr>
      </w:pPr>
      <w:r>
        <w:fldChar w:fldCharType="begin"/>
      </w:r>
      <w:r>
        <w:instrText xml:space="preserve"> HYPERLINK \l "_Toc488673066" </w:instrText>
      </w:r>
      <w:r>
        <w:fldChar w:fldCharType="separate"/>
      </w:r>
      <w:r>
        <w:rPr>
          <w:rStyle w:val="17"/>
          <w:rFonts w:hint="eastAsia" w:ascii="宋体" w:hAnsi="宋体"/>
          <w:b/>
          <w:color w:val="auto"/>
          <w:sz w:val="28"/>
          <w:szCs w:val="28"/>
        </w:rPr>
        <w:t>第五章</w:t>
      </w:r>
      <w:r>
        <w:rPr>
          <w:rStyle w:val="17"/>
          <w:rFonts w:ascii="宋体" w:hAnsi="宋体"/>
          <w:b/>
          <w:color w:val="auto"/>
          <w:sz w:val="28"/>
          <w:szCs w:val="28"/>
        </w:rPr>
        <w:t xml:space="preserve">  </w:t>
      </w:r>
      <w:r>
        <w:rPr>
          <w:rStyle w:val="17"/>
          <w:rFonts w:hint="eastAsia" w:ascii="宋体" w:hAnsi="宋体"/>
          <w:b/>
          <w:color w:val="auto"/>
          <w:sz w:val="28"/>
          <w:szCs w:val="28"/>
        </w:rPr>
        <w:t>合同主要条款</w:t>
      </w:r>
      <w:r>
        <w:rPr>
          <w:rFonts w:ascii="宋体" w:hAnsi="宋体" w:eastAsia="宋体"/>
          <w:color w:val="auto"/>
          <w:sz w:val="28"/>
          <w:szCs w:val="28"/>
        </w:rPr>
        <w:tab/>
      </w:r>
      <w:r>
        <w:rPr>
          <w:rFonts w:ascii="宋体" w:hAnsi="宋体" w:eastAsia="宋体"/>
          <w:color w:val="auto"/>
          <w:sz w:val="28"/>
          <w:szCs w:val="28"/>
        </w:rPr>
        <w:fldChar w:fldCharType="begin"/>
      </w:r>
      <w:r>
        <w:rPr>
          <w:rFonts w:ascii="宋体" w:hAnsi="宋体" w:eastAsia="宋体"/>
          <w:color w:val="auto"/>
          <w:sz w:val="28"/>
          <w:szCs w:val="28"/>
        </w:rPr>
        <w:instrText xml:space="preserve"> PAGEREF _Toc488673066 \h </w:instrText>
      </w:r>
      <w:r>
        <w:rPr>
          <w:rFonts w:ascii="宋体" w:hAnsi="宋体" w:eastAsia="宋体"/>
          <w:color w:val="auto"/>
          <w:sz w:val="28"/>
          <w:szCs w:val="28"/>
        </w:rPr>
        <w:fldChar w:fldCharType="separate"/>
      </w:r>
      <w:r>
        <w:rPr>
          <w:rFonts w:ascii="宋体" w:hAnsi="宋体" w:eastAsia="宋体"/>
          <w:color w:val="auto"/>
          <w:sz w:val="28"/>
          <w:szCs w:val="28"/>
        </w:rPr>
        <w:t>40</w:t>
      </w:r>
      <w:r>
        <w:rPr>
          <w:rFonts w:ascii="宋体" w:hAnsi="宋体" w:eastAsia="宋体"/>
          <w:color w:val="auto"/>
          <w:sz w:val="28"/>
          <w:szCs w:val="28"/>
        </w:rPr>
        <w:fldChar w:fldCharType="end"/>
      </w:r>
      <w:r>
        <w:rPr>
          <w:rFonts w:ascii="宋体" w:hAnsi="宋体" w:eastAsia="宋体"/>
          <w:color w:val="auto"/>
          <w:sz w:val="28"/>
          <w:szCs w:val="28"/>
        </w:rPr>
        <w:fldChar w:fldCharType="end"/>
      </w:r>
    </w:p>
    <w:p>
      <w:pPr>
        <w:pStyle w:val="11"/>
        <w:rPr>
          <w:rFonts w:ascii="宋体" w:hAnsi="宋体" w:eastAsia="宋体"/>
          <w:color w:val="auto"/>
          <w:sz w:val="20"/>
          <w:szCs w:val="21"/>
        </w:rPr>
      </w:pPr>
      <w:r>
        <w:fldChar w:fldCharType="begin"/>
      </w:r>
      <w:r>
        <w:instrText xml:space="preserve"> HYPERLINK \l "_Toc488673067" </w:instrText>
      </w:r>
      <w:r>
        <w:fldChar w:fldCharType="separate"/>
      </w:r>
      <w:r>
        <w:rPr>
          <w:rStyle w:val="17"/>
          <w:rFonts w:hint="eastAsia" w:ascii="宋体" w:hAnsi="宋体"/>
          <w:b/>
          <w:color w:val="auto"/>
          <w:sz w:val="28"/>
          <w:szCs w:val="28"/>
        </w:rPr>
        <w:t>第六章</w:t>
      </w:r>
      <w:r>
        <w:rPr>
          <w:rStyle w:val="17"/>
          <w:rFonts w:ascii="宋体" w:hAnsi="宋体"/>
          <w:b/>
          <w:color w:val="auto"/>
          <w:sz w:val="28"/>
          <w:szCs w:val="28"/>
        </w:rPr>
        <w:t xml:space="preserve">  </w:t>
      </w:r>
      <w:r>
        <w:rPr>
          <w:rStyle w:val="17"/>
          <w:rFonts w:hint="eastAsia" w:ascii="宋体" w:hAnsi="宋体"/>
          <w:b/>
          <w:color w:val="auto"/>
          <w:sz w:val="28"/>
          <w:szCs w:val="28"/>
        </w:rPr>
        <w:t>评审标准</w:t>
      </w:r>
      <w:bookmarkStart w:id="10" w:name="_Hlt488673076"/>
      <w:r>
        <w:rPr>
          <w:rFonts w:ascii="宋体" w:hAnsi="宋体" w:eastAsia="宋体"/>
          <w:color w:val="auto"/>
          <w:sz w:val="28"/>
          <w:szCs w:val="28"/>
        </w:rPr>
        <w:tab/>
      </w:r>
      <w:bookmarkEnd w:id="10"/>
      <w:r>
        <w:rPr>
          <w:rFonts w:ascii="宋体" w:hAnsi="宋体" w:eastAsia="宋体"/>
          <w:color w:val="auto"/>
          <w:sz w:val="28"/>
          <w:szCs w:val="28"/>
        </w:rPr>
        <w:fldChar w:fldCharType="begin"/>
      </w:r>
      <w:r>
        <w:rPr>
          <w:rFonts w:ascii="宋体" w:hAnsi="宋体" w:eastAsia="宋体"/>
          <w:color w:val="auto"/>
          <w:sz w:val="28"/>
          <w:szCs w:val="28"/>
        </w:rPr>
        <w:instrText xml:space="preserve"> PAGEREF _Toc488673067 \h </w:instrText>
      </w:r>
      <w:r>
        <w:rPr>
          <w:rFonts w:ascii="宋体" w:hAnsi="宋体" w:eastAsia="宋体"/>
          <w:color w:val="auto"/>
          <w:sz w:val="28"/>
          <w:szCs w:val="28"/>
        </w:rPr>
        <w:fldChar w:fldCharType="separate"/>
      </w:r>
      <w:r>
        <w:rPr>
          <w:rFonts w:ascii="宋体" w:hAnsi="宋体" w:eastAsia="宋体"/>
          <w:color w:val="auto"/>
          <w:sz w:val="28"/>
          <w:szCs w:val="28"/>
        </w:rPr>
        <w:t>46</w:t>
      </w:r>
      <w:r>
        <w:rPr>
          <w:rFonts w:ascii="宋体" w:hAnsi="宋体" w:eastAsia="宋体"/>
          <w:color w:val="auto"/>
          <w:sz w:val="28"/>
          <w:szCs w:val="28"/>
        </w:rPr>
        <w:fldChar w:fldCharType="end"/>
      </w:r>
      <w:r>
        <w:rPr>
          <w:rFonts w:ascii="宋体" w:hAnsi="宋体" w:eastAsia="宋体"/>
          <w:color w:val="auto"/>
          <w:sz w:val="28"/>
          <w:szCs w:val="28"/>
        </w:rPr>
        <w:fldChar w:fldCharType="end"/>
      </w:r>
    </w:p>
    <w:p>
      <w:pPr>
        <w:pStyle w:val="11"/>
        <w:spacing w:line="360" w:lineRule="auto"/>
        <w:rPr>
          <w:rStyle w:val="17"/>
          <w:rFonts w:ascii="宋体" w:hAnsi="宋体"/>
          <w:color w:val="auto"/>
          <w:sz w:val="28"/>
          <w:szCs w:val="28"/>
        </w:rPr>
      </w:pPr>
      <w:r>
        <w:rPr>
          <w:rFonts w:hint="eastAsia" w:ascii="宋体" w:hAnsi="宋体" w:eastAsia="宋体"/>
          <w:b/>
          <w:color w:val="auto"/>
          <w:sz w:val="28"/>
          <w:szCs w:val="28"/>
        </w:rPr>
        <w:fldChar w:fldCharType="end"/>
      </w:r>
    </w:p>
    <w:p>
      <w:pPr>
        <w:pStyle w:val="7"/>
        <w:spacing w:line="700" w:lineRule="exact"/>
        <w:rPr>
          <w:rFonts w:hAnsi="宋体"/>
        </w:rPr>
      </w:pPr>
    </w:p>
    <w:p>
      <w:pPr>
        <w:pStyle w:val="7"/>
        <w:tabs>
          <w:tab w:val="left" w:pos="8415"/>
        </w:tabs>
        <w:spacing w:line="700" w:lineRule="exact"/>
        <w:rPr>
          <w:rFonts w:hAnsi="宋体"/>
        </w:rPr>
      </w:pPr>
      <w:r>
        <w:rPr>
          <w:rFonts w:hAnsi="宋体"/>
        </w:rPr>
        <w:tab/>
      </w:r>
    </w:p>
    <w:p>
      <w:pPr>
        <w:pStyle w:val="7"/>
        <w:spacing w:line="700" w:lineRule="exact"/>
        <w:rPr>
          <w:rFonts w:hAnsi="宋体"/>
        </w:rPr>
      </w:pPr>
    </w:p>
    <w:p>
      <w:pPr>
        <w:spacing w:line="360" w:lineRule="exact"/>
        <w:jc w:val="center"/>
        <w:outlineLvl w:val="0"/>
        <w:rPr>
          <w:rFonts w:ascii="宋体" w:hAnsi="宋体"/>
          <w:b/>
          <w:sz w:val="28"/>
          <w:szCs w:val="28"/>
        </w:rPr>
        <w:sectPr>
          <w:pgSz w:w="11906" w:h="16838"/>
          <w:pgMar w:top="1440" w:right="1800" w:bottom="1440" w:left="1800" w:header="851" w:footer="992" w:gutter="0"/>
          <w:cols w:space="425" w:num="1"/>
          <w:docGrid w:type="lines" w:linePitch="312" w:charSpace="0"/>
        </w:sectPr>
      </w:pPr>
      <w:bookmarkStart w:id="11" w:name="_Toc488673040"/>
    </w:p>
    <w:p>
      <w:pPr>
        <w:spacing w:line="360" w:lineRule="exact"/>
        <w:jc w:val="center"/>
        <w:outlineLvl w:val="0"/>
        <w:rPr>
          <w:rFonts w:ascii="宋体" w:hAnsi="宋体"/>
          <w:b/>
          <w:sz w:val="28"/>
          <w:szCs w:val="28"/>
        </w:rPr>
      </w:pPr>
      <w:r>
        <w:rPr>
          <w:rFonts w:hint="eastAsia" w:ascii="宋体" w:hAnsi="宋体"/>
          <w:b/>
          <w:sz w:val="28"/>
          <w:szCs w:val="28"/>
        </w:rPr>
        <w:t>第一章  竞争性谈判公告</w:t>
      </w:r>
      <w:bookmarkEnd w:id="11"/>
    </w:p>
    <w:p>
      <w:bookmarkStart w:id="12" w:name="_Toc488673042"/>
    </w:p>
    <w:p>
      <w:pPr>
        <w:rPr>
          <w:rFonts w:asciiTheme="minorEastAsia" w:hAnsiTheme="minorEastAsia" w:eastAsiaTheme="minorEastAsia" w:cstheme="minorEastAsia"/>
        </w:rPr>
      </w:pPr>
    </w:p>
    <w:p>
      <w:pPr>
        <w:pBdr>
          <w:top w:val="single" w:color="auto" w:sz="4" w:space="1"/>
          <w:left w:val="single" w:color="auto" w:sz="4" w:space="4"/>
          <w:bottom w:val="single" w:color="auto" w:sz="4" w:space="1"/>
          <w:right w:val="single" w:color="auto" w:sz="4" w:space="4"/>
        </w:pBd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项目概况</w:t>
      </w:r>
    </w:p>
    <w:p>
      <w:pPr>
        <w:pBdr>
          <w:top w:val="single" w:color="auto" w:sz="4" w:space="1"/>
          <w:left w:val="single" w:color="auto" w:sz="4" w:space="4"/>
          <w:bottom w:val="single" w:color="auto" w:sz="4" w:space="1"/>
          <w:right w:val="single" w:color="auto" w:sz="4" w:space="4"/>
        </w:pBdr>
        <w:ind w:firstLine="480" w:firstLineChars="200"/>
        <w:rPr>
          <w:rFonts w:asciiTheme="minorEastAsia" w:hAnsiTheme="minorEastAsia" w:eastAsiaTheme="minorEastAsia" w:cstheme="minorEastAsia"/>
          <w:sz w:val="20"/>
          <w:szCs w:val="22"/>
        </w:rPr>
      </w:pPr>
      <w:r>
        <w:rPr>
          <w:rFonts w:hint="eastAsia" w:asciiTheme="minorEastAsia" w:hAnsiTheme="minorEastAsia" w:eastAsiaTheme="minorEastAsia" w:cstheme="minorEastAsia"/>
          <w:sz w:val="24"/>
          <w:u w:val="single"/>
        </w:rPr>
        <w:t xml:space="preserve"> 崇左市疾病预防控制中心医疗设备项目</w:t>
      </w:r>
      <w:r>
        <w:rPr>
          <w:rFonts w:hint="eastAsia" w:asciiTheme="minorEastAsia" w:hAnsiTheme="minorEastAsia" w:eastAsiaTheme="minorEastAsia" w:cstheme="minorEastAsia"/>
          <w:sz w:val="24"/>
        </w:rPr>
        <w:t xml:space="preserve"> 采购项目的潜在供应商应在</w:t>
      </w:r>
      <w:r>
        <w:rPr>
          <w:rFonts w:hint="eastAsia" w:asciiTheme="minorEastAsia" w:hAnsiTheme="minorEastAsia" w:eastAsiaTheme="minorEastAsia" w:cstheme="minorEastAsia"/>
          <w:sz w:val="24"/>
          <w:u w:val="single"/>
        </w:rPr>
        <w:t>登录政府采购云平台（http://www.zcygov.cn/）</w:t>
      </w:r>
      <w:r>
        <w:rPr>
          <w:rFonts w:hint="eastAsia" w:asciiTheme="minorEastAsia" w:hAnsiTheme="minorEastAsia" w:eastAsiaTheme="minorEastAsia" w:cstheme="minorEastAsia"/>
          <w:sz w:val="24"/>
        </w:rPr>
        <w:t>获取采购文件，并于</w:t>
      </w:r>
      <w:r>
        <w:rPr>
          <w:rFonts w:hint="eastAsia" w:asciiTheme="minorEastAsia" w:hAnsiTheme="minorEastAsia" w:eastAsiaTheme="minorEastAsia" w:cstheme="minorEastAsia"/>
          <w:sz w:val="24"/>
          <w:u w:val="single"/>
        </w:rPr>
        <w:t xml:space="preserve">  2020 </w:t>
      </w:r>
      <w:r>
        <w:rPr>
          <w:rFonts w:hint="eastAsia" w:asciiTheme="minorEastAsia" w:hAnsiTheme="minorEastAsia" w:eastAsiaTheme="minorEastAsia" w:cstheme="minorEastAsia"/>
          <w:bCs/>
          <w:sz w:val="24"/>
          <w:u w:val="single"/>
        </w:rPr>
        <w:t xml:space="preserve">年 11 月 </w:t>
      </w:r>
      <w:r>
        <w:rPr>
          <w:rFonts w:hint="eastAsia" w:asciiTheme="minorEastAsia" w:hAnsiTheme="minorEastAsia" w:eastAsiaTheme="minorEastAsia" w:cstheme="minorEastAsia"/>
          <w:bCs/>
          <w:sz w:val="24"/>
          <w:u w:val="single"/>
          <w:lang w:val="en-US" w:eastAsia="zh-CN"/>
        </w:rPr>
        <w:t>27</w:t>
      </w:r>
      <w:r>
        <w:rPr>
          <w:rFonts w:hint="eastAsia" w:asciiTheme="minorEastAsia" w:hAnsiTheme="minorEastAsia" w:eastAsiaTheme="minorEastAsia" w:cstheme="minorEastAsia"/>
          <w:bCs/>
          <w:sz w:val="24"/>
          <w:u w:val="single"/>
        </w:rPr>
        <w:t xml:space="preserve">日 </w:t>
      </w:r>
      <w:r>
        <w:rPr>
          <w:rFonts w:hint="eastAsia" w:asciiTheme="minorEastAsia" w:hAnsiTheme="minorEastAsia" w:eastAsiaTheme="minorEastAsia" w:cstheme="minorEastAsia"/>
          <w:bCs/>
          <w:sz w:val="24"/>
          <w:u w:val="single"/>
          <w:lang w:val="en-US" w:eastAsia="zh-CN"/>
        </w:rPr>
        <w:t>9</w:t>
      </w:r>
      <w:r>
        <w:rPr>
          <w:rFonts w:hint="eastAsia" w:asciiTheme="minorEastAsia" w:hAnsiTheme="minorEastAsia" w:eastAsiaTheme="minorEastAsia" w:cstheme="minorEastAsia"/>
          <w:bCs/>
          <w:sz w:val="24"/>
          <w:u w:val="single"/>
        </w:rPr>
        <w:t>点 00 分</w:t>
      </w:r>
      <w:r>
        <w:rPr>
          <w:rFonts w:hint="eastAsia" w:asciiTheme="minorEastAsia" w:hAnsiTheme="minorEastAsia" w:eastAsiaTheme="minorEastAsia" w:cstheme="minorEastAsia"/>
          <w:bCs/>
          <w:sz w:val="24"/>
        </w:rPr>
        <w:t>（北京时间）前提交响应文件</w:t>
      </w:r>
      <w:r>
        <w:rPr>
          <w:rFonts w:hint="eastAsia" w:asciiTheme="minorEastAsia" w:hAnsiTheme="minorEastAsia" w:eastAsiaTheme="minorEastAsia" w:cstheme="minorEastAsia"/>
          <w:sz w:val="24"/>
        </w:rPr>
        <w:t>。</w:t>
      </w:r>
    </w:p>
    <w:p>
      <w:pPr>
        <w:pStyle w:val="3"/>
        <w:spacing w:line="240" w:lineRule="auto"/>
        <w:rPr>
          <w:rFonts w:asciiTheme="minorEastAsia" w:hAnsiTheme="minorEastAsia" w:eastAsiaTheme="minorEastAsia" w:cstheme="minorEastAsia"/>
          <w:b w:val="0"/>
          <w:sz w:val="24"/>
          <w:szCs w:val="24"/>
        </w:rPr>
      </w:pPr>
      <w:bookmarkStart w:id="13" w:name="_Toc35393629"/>
      <w:bookmarkStart w:id="14" w:name="_Toc28359012"/>
      <w:bookmarkStart w:id="15" w:name="_Toc35393798"/>
      <w:bookmarkStart w:id="16" w:name="_Toc28359089"/>
      <w:r>
        <w:rPr>
          <w:rFonts w:hint="eastAsia" w:asciiTheme="minorEastAsia" w:hAnsiTheme="minorEastAsia" w:eastAsiaTheme="minorEastAsia" w:cstheme="minorEastAsia"/>
          <w:b w:val="0"/>
          <w:sz w:val="24"/>
          <w:szCs w:val="24"/>
        </w:rPr>
        <w:t>一、项目基本情况</w:t>
      </w:r>
      <w:bookmarkEnd w:id="13"/>
      <w:bookmarkEnd w:id="14"/>
      <w:bookmarkEnd w:id="15"/>
      <w:bookmarkEnd w:id="16"/>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项目编号:CZZC2020-J1-000280-GXZJ</w:t>
      </w:r>
    </w:p>
    <w:p>
      <w:pPr>
        <w:spacing w:line="360" w:lineRule="auto"/>
        <w:ind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项目名称：</w:t>
      </w:r>
      <w:r>
        <w:rPr>
          <w:rFonts w:hint="eastAsia" w:asciiTheme="minorEastAsia" w:hAnsiTheme="minorEastAsia" w:eastAsiaTheme="minorEastAsia" w:cstheme="minorEastAsia"/>
          <w:sz w:val="24"/>
          <w:lang w:eastAsia="zh-CN"/>
        </w:rPr>
        <w:t>崇左市疾病预防控制中心医疗设备项目</w:t>
      </w:r>
      <w:r>
        <w:rPr>
          <w:rFonts w:hint="eastAsia" w:asciiTheme="minorEastAsia" w:hAnsiTheme="minorEastAsia" w:eastAsiaTheme="minorEastAsia" w:cstheme="minorEastAsia"/>
          <w:sz w:val="24"/>
        </w:rPr>
        <w:t xml:space="preserve"> </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采购方式：☑竞争性谈判 □竞争性磋商 □询价</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预算金额：</w:t>
      </w:r>
      <w:r>
        <w:rPr>
          <w:rFonts w:hint="eastAsia" w:asciiTheme="minorEastAsia" w:hAnsiTheme="minorEastAsia" w:eastAsiaTheme="minorEastAsia" w:cstheme="minorEastAsia"/>
          <w:sz w:val="24"/>
          <w:lang w:val="en-US" w:eastAsia="zh-CN"/>
        </w:rPr>
        <w:t>壹佰壹拾叁万捌仟</w:t>
      </w:r>
      <w:r>
        <w:rPr>
          <w:rFonts w:hint="eastAsia" w:asciiTheme="minorEastAsia" w:hAnsiTheme="minorEastAsia" w:eastAsiaTheme="minorEastAsia" w:cstheme="minorEastAsia"/>
          <w:sz w:val="24"/>
        </w:rPr>
        <w:t>元整（￥</w:t>
      </w:r>
      <w:r>
        <w:rPr>
          <w:rFonts w:hint="eastAsia" w:asciiTheme="minorEastAsia" w:hAnsiTheme="minorEastAsia" w:eastAsiaTheme="minorEastAsia" w:cstheme="minorEastAsia"/>
          <w:sz w:val="24"/>
          <w:lang w:val="en-US" w:eastAsia="zh-CN"/>
        </w:rPr>
        <w:t>1138000</w:t>
      </w:r>
      <w:r>
        <w:rPr>
          <w:rFonts w:hint="eastAsia" w:asciiTheme="minorEastAsia" w:hAnsiTheme="minorEastAsia" w:eastAsiaTheme="minorEastAsia" w:cstheme="minorEastAsia"/>
          <w:sz w:val="24"/>
        </w:rPr>
        <w:t>.00）</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最高限价（如有）：与预算金额一致</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采购需求：生物安全柜2台，全自动立式高压灭菌锅</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台</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纯水机</w:t>
      </w:r>
      <w:r>
        <w:rPr>
          <w:rFonts w:hint="eastAsia" w:asciiTheme="minorEastAsia" w:hAnsiTheme="minorEastAsia" w:eastAsiaTheme="minorEastAsia" w:cstheme="minorEastAsia"/>
          <w:sz w:val="24"/>
          <w:lang w:val="en-US" w:eastAsia="zh-CN"/>
        </w:rPr>
        <w:t>3台，</w:t>
      </w:r>
      <w:r>
        <w:rPr>
          <w:rFonts w:hint="eastAsia" w:asciiTheme="minorEastAsia" w:hAnsiTheme="minorEastAsia" w:eastAsiaTheme="minorEastAsia" w:cstheme="minorEastAsia"/>
          <w:sz w:val="24"/>
        </w:rPr>
        <w:t>大体积样本浓缩系统</w:t>
      </w:r>
      <w:r>
        <w:rPr>
          <w:rFonts w:hint="eastAsia" w:asciiTheme="minorEastAsia" w:hAnsiTheme="minorEastAsia" w:eastAsiaTheme="minorEastAsia" w:cstheme="minorEastAsia"/>
          <w:sz w:val="24"/>
          <w:lang w:val="en-US" w:eastAsia="zh-CN"/>
        </w:rPr>
        <w:t>1套，</w:t>
      </w:r>
      <w:r>
        <w:rPr>
          <w:rFonts w:hint="eastAsia" w:asciiTheme="minorEastAsia" w:hAnsiTheme="minorEastAsia" w:eastAsiaTheme="minorEastAsia" w:cstheme="minorEastAsia"/>
          <w:sz w:val="24"/>
        </w:rPr>
        <w:t>液氮罐</w:t>
      </w:r>
      <w:r>
        <w:rPr>
          <w:rFonts w:hint="eastAsia" w:asciiTheme="minorEastAsia" w:hAnsiTheme="minorEastAsia" w:eastAsiaTheme="minorEastAsia" w:cstheme="minorEastAsia"/>
          <w:sz w:val="24"/>
          <w:lang w:val="en-US" w:eastAsia="zh-CN"/>
        </w:rPr>
        <w:t>1个，</w:t>
      </w:r>
      <w:r>
        <w:rPr>
          <w:rFonts w:hint="eastAsia" w:asciiTheme="minorEastAsia" w:hAnsiTheme="minorEastAsia" w:eastAsiaTheme="minorEastAsia" w:cstheme="minorEastAsia"/>
          <w:sz w:val="24"/>
        </w:rPr>
        <w:t>生化培养箱</w:t>
      </w:r>
      <w:r>
        <w:rPr>
          <w:rFonts w:hint="eastAsia" w:asciiTheme="minorEastAsia" w:hAnsiTheme="minorEastAsia" w:eastAsiaTheme="minorEastAsia" w:cstheme="minorEastAsia"/>
          <w:sz w:val="24"/>
          <w:lang w:val="en-US" w:eastAsia="zh-CN"/>
        </w:rPr>
        <w:t>2台，</w:t>
      </w:r>
      <w:r>
        <w:rPr>
          <w:rFonts w:hint="eastAsia" w:asciiTheme="minorEastAsia" w:hAnsiTheme="minorEastAsia" w:eastAsiaTheme="minorEastAsia" w:cstheme="minorEastAsia"/>
          <w:sz w:val="24"/>
        </w:rPr>
        <w:t>霉菌培养箱</w:t>
      </w:r>
      <w:r>
        <w:rPr>
          <w:rFonts w:hint="eastAsia" w:asciiTheme="minorEastAsia" w:hAnsiTheme="minorEastAsia" w:eastAsiaTheme="minorEastAsia" w:cstheme="minorEastAsia"/>
          <w:sz w:val="24"/>
          <w:lang w:val="en-US" w:eastAsia="zh-CN"/>
        </w:rPr>
        <w:t>1台，</w:t>
      </w:r>
      <w:r>
        <w:rPr>
          <w:rFonts w:hint="eastAsia" w:asciiTheme="minorEastAsia" w:hAnsiTheme="minorEastAsia" w:eastAsiaTheme="minorEastAsia" w:cstheme="minorEastAsia"/>
          <w:sz w:val="24"/>
        </w:rPr>
        <w:t>恒温培养箱</w:t>
      </w:r>
      <w:r>
        <w:rPr>
          <w:rFonts w:hint="eastAsia" w:asciiTheme="minorEastAsia" w:hAnsiTheme="minorEastAsia" w:eastAsiaTheme="minorEastAsia" w:cstheme="minorEastAsia"/>
          <w:sz w:val="24"/>
          <w:lang w:val="en-US" w:eastAsia="zh-CN"/>
        </w:rPr>
        <w:t>1台，</w:t>
      </w:r>
      <w:r>
        <w:rPr>
          <w:rFonts w:hint="eastAsia" w:asciiTheme="minorEastAsia" w:hAnsiTheme="minorEastAsia" w:eastAsiaTheme="minorEastAsia" w:cstheme="minorEastAsia"/>
          <w:sz w:val="24"/>
        </w:rPr>
        <w:t>干燥箱</w:t>
      </w:r>
      <w:r>
        <w:rPr>
          <w:rFonts w:hint="eastAsia" w:asciiTheme="minorEastAsia" w:hAnsiTheme="minorEastAsia" w:eastAsiaTheme="minorEastAsia" w:cstheme="minorEastAsia"/>
          <w:sz w:val="24"/>
          <w:lang w:val="en-US" w:eastAsia="zh-CN"/>
        </w:rPr>
        <w:t>1台，</w:t>
      </w:r>
      <w:r>
        <w:rPr>
          <w:rFonts w:hint="eastAsia" w:asciiTheme="minorEastAsia" w:hAnsiTheme="minorEastAsia" w:eastAsiaTheme="minorEastAsia" w:cstheme="minorEastAsia"/>
          <w:sz w:val="24"/>
        </w:rPr>
        <w:t>水中DSI（固定底物）技术大肠菌群检测系统</w:t>
      </w:r>
      <w:r>
        <w:rPr>
          <w:rFonts w:hint="eastAsia" w:asciiTheme="minorEastAsia" w:hAnsiTheme="minorEastAsia" w:eastAsiaTheme="minorEastAsia" w:cstheme="minorEastAsia"/>
          <w:sz w:val="24"/>
          <w:lang w:val="en-US" w:eastAsia="zh-CN"/>
        </w:rPr>
        <w:t>1套，</w:t>
      </w:r>
      <w:r>
        <w:rPr>
          <w:rFonts w:hint="eastAsia" w:asciiTheme="minorEastAsia" w:hAnsiTheme="minorEastAsia" w:eastAsiaTheme="minorEastAsia" w:cstheme="minorEastAsia"/>
          <w:sz w:val="24"/>
        </w:rPr>
        <w:t>多联过滤系统（6联）</w:t>
      </w:r>
      <w:r>
        <w:rPr>
          <w:rFonts w:hint="eastAsia" w:asciiTheme="minorEastAsia" w:hAnsiTheme="minorEastAsia" w:eastAsiaTheme="minorEastAsia" w:cstheme="minorEastAsia"/>
          <w:sz w:val="24"/>
          <w:lang w:val="en-US" w:eastAsia="zh-CN"/>
        </w:rPr>
        <w:t>1套，</w:t>
      </w:r>
      <w:r>
        <w:rPr>
          <w:rFonts w:hint="eastAsia" w:asciiTheme="minorEastAsia" w:hAnsiTheme="minorEastAsia" w:eastAsiaTheme="minorEastAsia" w:cstheme="minorEastAsia"/>
          <w:sz w:val="24"/>
        </w:rPr>
        <w:t>病毒专用移液器</w:t>
      </w:r>
      <w:r>
        <w:rPr>
          <w:rFonts w:hint="eastAsia" w:asciiTheme="minorEastAsia" w:hAnsiTheme="minorEastAsia" w:eastAsiaTheme="minorEastAsia" w:cstheme="minorEastAsia"/>
          <w:sz w:val="24"/>
          <w:lang w:val="en-US" w:eastAsia="zh-CN"/>
        </w:rPr>
        <w:t>2</w:t>
      </w:r>
      <w:bookmarkStart w:id="121" w:name="_GoBack"/>
      <w:bookmarkEnd w:id="121"/>
      <w:r>
        <w:rPr>
          <w:rFonts w:hint="eastAsia" w:asciiTheme="minorEastAsia" w:hAnsiTheme="minorEastAsia" w:eastAsiaTheme="minorEastAsia" w:cstheme="minorEastAsia"/>
          <w:sz w:val="24"/>
          <w:lang w:val="en-US" w:eastAsia="zh-CN"/>
        </w:rPr>
        <w:t>台，</w:t>
      </w:r>
      <w:r>
        <w:rPr>
          <w:rFonts w:hint="eastAsia" w:asciiTheme="minorEastAsia" w:hAnsiTheme="minorEastAsia" w:eastAsiaTheme="minorEastAsia" w:cstheme="minorEastAsia"/>
          <w:sz w:val="24"/>
        </w:rPr>
        <w:t>细胞计数器</w:t>
      </w:r>
      <w:r>
        <w:rPr>
          <w:rFonts w:hint="eastAsia" w:asciiTheme="minorEastAsia" w:hAnsiTheme="minorEastAsia" w:eastAsiaTheme="minorEastAsia" w:cstheme="minorEastAsia"/>
          <w:sz w:val="24"/>
          <w:lang w:val="en-US" w:eastAsia="zh-CN"/>
        </w:rPr>
        <w:t>1台，</w:t>
      </w:r>
      <w:r>
        <w:rPr>
          <w:rFonts w:hint="eastAsia" w:asciiTheme="minorEastAsia" w:hAnsiTheme="minorEastAsia" w:eastAsiaTheme="minorEastAsia" w:cstheme="minorEastAsia"/>
          <w:sz w:val="24"/>
        </w:rPr>
        <w:t>立式二氧化碳振荡培养箱</w:t>
      </w:r>
      <w:r>
        <w:rPr>
          <w:rFonts w:hint="eastAsia" w:asciiTheme="minorEastAsia" w:hAnsiTheme="minorEastAsia" w:eastAsiaTheme="minorEastAsia" w:cstheme="minorEastAsia"/>
          <w:sz w:val="24"/>
          <w:lang w:val="en-US" w:eastAsia="zh-CN"/>
        </w:rPr>
        <w:t>1台</w:t>
      </w:r>
      <w:r>
        <w:rPr>
          <w:rFonts w:hint="eastAsia" w:asciiTheme="minorEastAsia" w:hAnsiTheme="minorEastAsia" w:eastAsiaTheme="minorEastAsia" w:cstheme="minorEastAsia"/>
          <w:sz w:val="24"/>
        </w:rPr>
        <w:t>等医疗设备；如需进一步了解详细内容，详见竞争性谈判采购文件。</w:t>
      </w:r>
    </w:p>
    <w:p>
      <w:pPr>
        <w:spacing w:line="360" w:lineRule="auto"/>
        <w:ind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合同履行期限：自签订合同之日起30个工作日内，通过验收并交付使用。</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本项目不接受联合体。</w:t>
      </w:r>
    </w:p>
    <w:p>
      <w:pPr>
        <w:pStyle w:val="3"/>
        <w:spacing w:line="240" w:lineRule="auto"/>
        <w:rPr>
          <w:rFonts w:asciiTheme="minorEastAsia" w:hAnsiTheme="minorEastAsia" w:eastAsiaTheme="minorEastAsia" w:cstheme="minorEastAsia"/>
          <w:b w:val="0"/>
          <w:sz w:val="24"/>
          <w:szCs w:val="24"/>
        </w:rPr>
      </w:pPr>
      <w:bookmarkStart w:id="17" w:name="_Toc28359013"/>
      <w:bookmarkStart w:id="18" w:name="_Toc35393630"/>
      <w:bookmarkStart w:id="19" w:name="_Toc35393799"/>
      <w:bookmarkStart w:id="20" w:name="_Toc28359090"/>
      <w:r>
        <w:rPr>
          <w:rFonts w:hint="eastAsia" w:asciiTheme="minorEastAsia" w:hAnsiTheme="minorEastAsia" w:eastAsiaTheme="minorEastAsia" w:cstheme="minorEastAsia"/>
          <w:b w:val="0"/>
          <w:sz w:val="24"/>
          <w:szCs w:val="24"/>
        </w:rPr>
        <w:t>二、申请人的资格要求：</w:t>
      </w:r>
      <w:bookmarkEnd w:id="17"/>
      <w:bookmarkEnd w:id="18"/>
      <w:bookmarkEnd w:id="19"/>
      <w:bookmarkEnd w:id="20"/>
    </w:p>
    <w:p>
      <w:pPr>
        <w:pStyle w:val="12"/>
        <w:widowControl/>
        <w:spacing w:line="360" w:lineRule="auto"/>
        <w:ind w:firstLine="420"/>
        <w:rPr>
          <w:rFonts w:asciiTheme="minorEastAsia" w:hAnsiTheme="minorEastAsia" w:eastAsiaTheme="minorEastAsia" w:cstheme="minorEastAsia"/>
          <w:kern w:val="2"/>
        </w:rPr>
      </w:pPr>
      <w:bookmarkStart w:id="21" w:name="_Toc28359014"/>
      <w:bookmarkStart w:id="22" w:name="_Toc28359091"/>
      <w:r>
        <w:rPr>
          <w:rFonts w:hint="eastAsia" w:asciiTheme="minorEastAsia" w:hAnsiTheme="minorEastAsia" w:eastAsiaTheme="minorEastAsia" w:cstheme="minorEastAsia"/>
          <w:kern w:val="2"/>
        </w:rPr>
        <w:t>1.满足《中华人民共和国政府采购法》第二十二条规定；</w:t>
      </w:r>
    </w:p>
    <w:p>
      <w:pPr>
        <w:pStyle w:val="12"/>
        <w:widowControl/>
        <w:spacing w:line="360" w:lineRule="auto"/>
        <w:ind w:firstLine="420"/>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2.落实政府采购政策需满足的资格要求：无；</w:t>
      </w:r>
    </w:p>
    <w:p>
      <w:pPr>
        <w:pStyle w:val="12"/>
        <w:widowControl/>
        <w:spacing w:line="360" w:lineRule="auto"/>
        <w:ind w:firstLine="420"/>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3.本项目的特定资格要求：</w:t>
      </w:r>
      <w:r>
        <w:rPr>
          <w:rFonts w:ascii="宋体" w:hAnsi="宋体" w:eastAsia="宋体" w:cs="宋体"/>
          <w:sz w:val="24"/>
          <w:szCs w:val="24"/>
        </w:rPr>
        <w:t>具有医疗器械注册证</w:t>
      </w:r>
      <w:r>
        <w:rPr>
          <w:rFonts w:hint="eastAsia" w:asciiTheme="minorEastAsia" w:hAnsiTheme="minorEastAsia" w:eastAsiaTheme="minorEastAsia" w:cstheme="minorEastAsia"/>
          <w:kern w:val="2"/>
        </w:rPr>
        <w:t>。</w:t>
      </w:r>
    </w:p>
    <w:p>
      <w:pPr>
        <w:pStyle w:val="12"/>
        <w:widowControl/>
        <w:spacing w:line="360" w:lineRule="auto"/>
        <w:ind w:firstLine="420"/>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pStyle w:val="12"/>
        <w:widowControl/>
        <w:spacing w:line="360" w:lineRule="auto"/>
        <w:ind w:firstLine="420"/>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5.对在“信用中国”网站(www.creditchina.gov.cn)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pStyle w:val="12"/>
        <w:widowControl/>
        <w:spacing w:line="360" w:lineRule="auto"/>
        <w:ind w:firstLine="420"/>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6.按本公告第三条要求，通过实名制在线免费获取竞争性谈判文件的供应商。</w:t>
      </w:r>
    </w:p>
    <w:p>
      <w:pPr>
        <w:pStyle w:val="3"/>
        <w:spacing w:line="240" w:lineRule="auto"/>
        <w:rPr>
          <w:rFonts w:asciiTheme="minorEastAsia" w:hAnsiTheme="minorEastAsia" w:eastAsiaTheme="minorEastAsia" w:cstheme="minorEastAsia"/>
          <w:b w:val="0"/>
          <w:sz w:val="24"/>
          <w:szCs w:val="24"/>
        </w:rPr>
      </w:pPr>
      <w:bookmarkStart w:id="23" w:name="_Toc35393631"/>
      <w:bookmarkStart w:id="24" w:name="_Toc35393800"/>
      <w:r>
        <w:rPr>
          <w:rFonts w:hint="eastAsia" w:asciiTheme="minorEastAsia" w:hAnsiTheme="minorEastAsia" w:eastAsiaTheme="minorEastAsia" w:cstheme="minorEastAsia"/>
          <w:b w:val="0"/>
          <w:sz w:val="24"/>
          <w:szCs w:val="24"/>
        </w:rPr>
        <w:t>三、获取采购文件</w:t>
      </w:r>
      <w:bookmarkEnd w:id="21"/>
      <w:bookmarkEnd w:id="22"/>
      <w:bookmarkEnd w:id="23"/>
      <w:bookmarkEnd w:id="24"/>
    </w:p>
    <w:p>
      <w:pPr>
        <w:ind w:firstLine="54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时间：</w:t>
      </w:r>
      <w:r>
        <w:rPr>
          <w:rFonts w:hint="eastAsia" w:asciiTheme="minorEastAsia" w:hAnsiTheme="minorEastAsia" w:eastAsiaTheme="minorEastAsia" w:cstheme="minorEastAsia"/>
          <w:sz w:val="24"/>
          <w:u w:val="single"/>
        </w:rPr>
        <w:t xml:space="preserve">　2020 年 11月 </w:t>
      </w:r>
      <w:r>
        <w:rPr>
          <w:rFonts w:hint="eastAsia" w:asciiTheme="minorEastAsia" w:hAnsiTheme="minorEastAsia" w:eastAsiaTheme="minorEastAsia" w:cstheme="minorEastAsia"/>
          <w:sz w:val="24"/>
          <w:u w:val="single"/>
          <w:lang w:val="en-US" w:eastAsia="zh-CN"/>
        </w:rPr>
        <w:t>24</w:t>
      </w:r>
      <w:r>
        <w:rPr>
          <w:rFonts w:hint="eastAsia" w:asciiTheme="minorEastAsia" w:hAnsiTheme="minorEastAsia" w:eastAsiaTheme="minorEastAsia" w:cstheme="minorEastAsia"/>
          <w:sz w:val="24"/>
          <w:u w:val="single"/>
        </w:rPr>
        <w:t>日</w:t>
      </w:r>
      <w:r>
        <w:rPr>
          <w:rFonts w:hint="eastAsia" w:asciiTheme="minorEastAsia" w:hAnsiTheme="minorEastAsia" w:eastAsiaTheme="minorEastAsia" w:cstheme="minorEastAsia"/>
          <w:sz w:val="24"/>
        </w:rPr>
        <w:t>至</w:t>
      </w:r>
      <w:r>
        <w:rPr>
          <w:rFonts w:hint="eastAsia" w:asciiTheme="minorEastAsia" w:hAnsiTheme="minorEastAsia" w:eastAsiaTheme="minorEastAsia" w:cstheme="minorEastAsia"/>
          <w:sz w:val="24"/>
          <w:u w:val="single"/>
        </w:rPr>
        <w:t xml:space="preserve">2020年11 月 </w:t>
      </w:r>
      <w:r>
        <w:rPr>
          <w:rFonts w:hint="eastAsia" w:asciiTheme="minorEastAsia" w:hAnsiTheme="minorEastAsia" w:eastAsiaTheme="minorEastAsia" w:cstheme="minorEastAsia"/>
          <w:sz w:val="24"/>
          <w:u w:val="single"/>
          <w:lang w:val="en-US" w:eastAsia="zh-CN"/>
        </w:rPr>
        <w:t>26</w:t>
      </w:r>
      <w:r>
        <w:rPr>
          <w:rFonts w:hint="eastAsia" w:asciiTheme="minorEastAsia" w:hAnsiTheme="minorEastAsia" w:eastAsiaTheme="minorEastAsia" w:cstheme="minorEastAsia"/>
          <w:sz w:val="24"/>
          <w:u w:val="single"/>
        </w:rPr>
        <w:t xml:space="preserve"> 日</w:t>
      </w:r>
    </w:p>
    <w:p>
      <w:pPr>
        <w:ind w:firstLine="54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地点：登录政府采购云平台（http://www.zcygov.cn/）</w:t>
      </w:r>
    </w:p>
    <w:p>
      <w:pPr>
        <w:pStyle w:val="12"/>
        <w:widowControl/>
        <w:ind w:firstLine="480"/>
        <w:rPr>
          <w:rFonts w:asciiTheme="minorEastAsia" w:hAnsiTheme="minorEastAsia" w:eastAsiaTheme="minorEastAsia" w:cstheme="minorEastAsia"/>
          <w:u w:val="single"/>
        </w:rPr>
      </w:pPr>
      <w:r>
        <w:rPr>
          <w:rFonts w:hint="eastAsia" w:asciiTheme="minorEastAsia" w:hAnsiTheme="minorEastAsia" w:eastAsiaTheme="minorEastAsia" w:cstheme="minorEastAsia"/>
        </w:rPr>
        <w:t>方式：</w:t>
      </w:r>
      <w:r>
        <w:rPr>
          <w:rFonts w:hint="eastAsia" w:asciiTheme="minorEastAsia" w:hAnsiTheme="minorEastAsia" w:eastAsiaTheme="minorEastAsia" w:cstheme="minorEastAsia"/>
          <w:kern w:val="2"/>
        </w:rPr>
        <w:t>请登录政采云平台（网址：http://www.zcygov.cn）进行报名并免费获取竞争性谈判文件；未注册的供应商可在政采云平台完成注册后再行报名下载。如在操作过程中遇到问题或需技术支持，请致电政采云客服热线：400-881-7190。</w:t>
      </w:r>
    </w:p>
    <w:p>
      <w:pPr>
        <w:pStyle w:val="3"/>
        <w:spacing w:line="240" w:lineRule="auto"/>
        <w:rPr>
          <w:rFonts w:asciiTheme="minorEastAsia" w:hAnsiTheme="minorEastAsia" w:eastAsiaTheme="minorEastAsia" w:cstheme="minorEastAsia"/>
          <w:b w:val="0"/>
          <w:sz w:val="24"/>
          <w:szCs w:val="24"/>
        </w:rPr>
      </w:pPr>
      <w:bookmarkStart w:id="25" w:name="_Toc35393801"/>
      <w:bookmarkStart w:id="26" w:name="_Toc28359015"/>
      <w:bookmarkStart w:id="27" w:name="_Toc35393632"/>
      <w:bookmarkStart w:id="28" w:name="_Toc28359092"/>
      <w:r>
        <w:rPr>
          <w:rFonts w:hint="eastAsia" w:asciiTheme="minorEastAsia" w:hAnsiTheme="minorEastAsia" w:eastAsiaTheme="minorEastAsia" w:cstheme="minorEastAsia"/>
          <w:b w:val="0"/>
          <w:sz w:val="24"/>
          <w:szCs w:val="24"/>
        </w:rPr>
        <w:t>四、响应文件提交</w:t>
      </w:r>
      <w:bookmarkEnd w:id="25"/>
      <w:bookmarkEnd w:id="26"/>
      <w:bookmarkEnd w:id="27"/>
      <w:bookmarkEnd w:id="28"/>
    </w:p>
    <w:p>
      <w:pPr>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截止时间：</w:t>
      </w:r>
      <w:r>
        <w:rPr>
          <w:rFonts w:hint="eastAsia" w:asciiTheme="minorEastAsia" w:hAnsiTheme="minorEastAsia" w:eastAsiaTheme="minorEastAsia" w:cstheme="minorEastAsia"/>
          <w:sz w:val="24"/>
          <w:u w:val="single"/>
        </w:rPr>
        <w:t xml:space="preserve">  2020 </w:t>
      </w:r>
      <w:r>
        <w:rPr>
          <w:rFonts w:hint="eastAsia" w:asciiTheme="minorEastAsia" w:hAnsiTheme="minorEastAsia" w:eastAsiaTheme="minorEastAsia" w:cstheme="minorEastAsia"/>
          <w:bCs/>
          <w:sz w:val="24"/>
          <w:u w:val="single"/>
        </w:rPr>
        <w:t>年 11 月</w:t>
      </w:r>
      <w:r>
        <w:rPr>
          <w:rFonts w:hint="eastAsia" w:asciiTheme="minorEastAsia" w:hAnsiTheme="minorEastAsia" w:eastAsiaTheme="minorEastAsia" w:cstheme="minorEastAsia"/>
          <w:bCs/>
          <w:sz w:val="24"/>
          <w:u w:val="single"/>
          <w:lang w:val="en-US" w:eastAsia="zh-CN"/>
        </w:rPr>
        <w:t>27</w:t>
      </w:r>
      <w:r>
        <w:rPr>
          <w:rFonts w:hint="eastAsia" w:asciiTheme="minorEastAsia" w:hAnsiTheme="minorEastAsia" w:eastAsiaTheme="minorEastAsia" w:cstheme="minorEastAsia"/>
          <w:bCs/>
          <w:sz w:val="24"/>
          <w:u w:val="single"/>
        </w:rPr>
        <w:t xml:space="preserve">日 </w:t>
      </w:r>
      <w:r>
        <w:rPr>
          <w:rFonts w:hint="eastAsia" w:asciiTheme="minorEastAsia" w:hAnsiTheme="minorEastAsia" w:eastAsiaTheme="minorEastAsia" w:cstheme="minorEastAsia"/>
          <w:bCs/>
          <w:sz w:val="24"/>
          <w:u w:val="single"/>
          <w:lang w:val="en-US" w:eastAsia="zh-CN"/>
        </w:rPr>
        <w:t>9</w:t>
      </w:r>
      <w:r>
        <w:rPr>
          <w:rFonts w:hint="eastAsia" w:asciiTheme="minorEastAsia" w:hAnsiTheme="minorEastAsia" w:eastAsiaTheme="minorEastAsia" w:cstheme="minorEastAsia"/>
          <w:bCs/>
          <w:sz w:val="24"/>
          <w:u w:val="single"/>
        </w:rPr>
        <w:t xml:space="preserve"> 点  00  分</w:t>
      </w:r>
      <w:r>
        <w:rPr>
          <w:rFonts w:hint="eastAsia" w:asciiTheme="minorEastAsia" w:hAnsiTheme="minorEastAsia" w:eastAsiaTheme="minorEastAsia" w:cstheme="minorEastAsia"/>
          <w:bCs/>
          <w:sz w:val="24"/>
        </w:rPr>
        <w:t>（北京时间）</w:t>
      </w:r>
    </w:p>
    <w:p>
      <w:pPr>
        <w:ind w:firstLine="480" w:firstLineChars="200"/>
        <w:rPr>
          <w:rFonts w:asciiTheme="minorEastAsia" w:hAnsiTheme="minorEastAsia" w:eastAsiaTheme="minorEastAsia" w:cstheme="minorEastAsia"/>
          <w:bCs/>
          <w:sz w:val="24"/>
          <w:u w:val="single"/>
        </w:rPr>
      </w:pPr>
      <w:r>
        <w:rPr>
          <w:rFonts w:hint="eastAsia" w:asciiTheme="minorEastAsia" w:hAnsiTheme="minorEastAsia" w:eastAsiaTheme="minorEastAsia" w:cstheme="minorEastAsia"/>
          <w:sz w:val="24"/>
        </w:rPr>
        <w:t>地点：广西中吉银工程项目管理有限公司崇左分公司开标厅（广西崇左市花山路汇金现代城12栋102号商铺）</w:t>
      </w:r>
    </w:p>
    <w:p>
      <w:pPr>
        <w:pStyle w:val="3"/>
        <w:spacing w:line="240" w:lineRule="auto"/>
        <w:rPr>
          <w:rFonts w:asciiTheme="minorEastAsia" w:hAnsiTheme="minorEastAsia" w:eastAsiaTheme="minorEastAsia" w:cstheme="minorEastAsia"/>
          <w:b w:val="0"/>
          <w:sz w:val="24"/>
          <w:szCs w:val="24"/>
          <w:highlight w:val="yellow"/>
        </w:rPr>
      </w:pPr>
      <w:bookmarkStart w:id="29" w:name="_Toc28359016"/>
      <w:bookmarkStart w:id="30" w:name="_Toc35393802"/>
      <w:bookmarkStart w:id="31" w:name="_Toc35393633"/>
      <w:bookmarkStart w:id="32" w:name="_Toc28359093"/>
      <w:r>
        <w:rPr>
          <w:rFonts w:hint="eastAsia" w:asciiTheme="minorEastAsia" w:hAnsiTheme="minorEastAsia" w:eastAsiaTheme="minorEastAsia" w:cstheme="minorEastAsia"/>
          <w:b w:val="0"/>
          <w:sz w:val="24"/>
          <w:szCs w:val="24"/>
        </w:rPr>
        <w:t>五、开启</w:t>
      </w:r>
      <w:bookmarkEnd w:id="29"/>
      <w:bookmarkEnd w:id="30"/>
      <w:bookmarkEnd w:id="31"/>
      <w:bookmarkEnd w:id="32"/>
    </w:p>
    <w:p>
      <w:pPr>
        <w:ind w:firstLine="480" w:firstLineChars="200"/>
        <w:rPr>
          <w:rFonts w:asciiTheme="minorEastAsia" w:hAnsiTheme="minorEastAsia" w:eastAsiaTheme="minorEastAsia" w:cstheme="minorEastAsia"/>
          <w:bCs/>
          <w:sz w:val="24"/>
          <w:u w:val="single"/>
        </w:rPr>
      </w:pPr>
      <w:r>
        <w:rPr>
          <w:rFonts w:hint="eastAsia" w:asciiTheme="minorEastAsia" w:hAnsiTheme="minorEastAsia" w:eastAsiaTheme="minorEastAsia" w:cstheme="minorEastAsia"/>
          <w:sz w:val="24"/>
        </w:rPr>
        <w:t>时间：</w:t>
      </w:r>
      <w:r>
        <w:rPr>
          <w:rFonts w:hint="eastAsia" w:asciiTheme="minorEastAsia" w:hAnsiTheme="minorEastAsia" w:eastAsiaTheme="minorEastAsia" w:cstheme="minorEastAsia"/>
          <w:sz w:val="24"/>
          <w:u w:val="single"/>
        </w:rPr>
        <w:t xml:space="preserve">  2020 </w:t>
      </w:r>
      <w:r>
        <w:rPr>
          <w:rFonts w:hint="eastAsia" w:asciiTheme="minorEastAsia" w:hAnsiTheme="minorEastAsia" w:eastAsiaTheme="minorEastAsia" w:cstheme="minorEastAsia"/>
          <w:bCs/>
          <w:sz w:val="24"/>
          <w:u w:val="single"/>
        </w:rPr>
        <w:t>年 11 月</w:t>
      </w:r>
      <w:r>
        <w:rPr>
          <w:rFonts w:hint="eastAsia" w:asciiTheme="minorEastAsia" w:hAnsiTheme="minorEastAsia" w:eastAsiaTheme="minorEastAsia" w:cstheme="minorEastAsia"/>
          <w:bCs/>
          <w:sz w:val="24"/>
          <w:u w:val="single"/>
          <w:lang w:val="en-US" w:eastAsia="zh-CN"/>
        </w:rPr>
        <w:t>27</w:t>
      </w:r>
      <w:r>
        <w:rPr>
          <w:rFonts w:hint="eastAsia" w:asciiTheme="minorEastAsia" w:hAnsiTheme="minorEastAsia" w:eastAsiaTheme="minorEastAsia" w:cstheme="minorEastAsia"/>
          <w:bCs/>
          <w:sz w:val="24"/>
          <w:u w:val="single"/>
        </w:rPr>
        <w:t xml:space="preserve">日 </w:t>
      </w:r>
      <w:r>
        <w:rPr>
          <w:rFonts w:hint="eastAsia" w:asciiTheme="minorEastAsia" w:hAnsiTheme="minorEastAsia" w:eastAsiaTheme="minorEastAsia" w:cstheme="minorEastAsia"/>
          <w:bCs/>
          <w:sz w:val="24"/>
          <w:u w:val="single"/>
          <w:lang w:val="en-US" w:eastAsia="zh-CN"/>
        </w:rPr>
        <w:t>9</w:t>
      </w:r>
      <w:r>
        <w:rPr>
          <w:rFonts w:hint="eastAsia" w:asciiTheme="minorEastAsia" w:hAnsiTheme="minorEastAsia" w:eastAsiaTheme="minorEastAsia" w:cstheme="minorEastAsia"/>
          <w:bCs/>
          <w:sz w:val="24"/>
          <w:u w:val="single"/>
        </w:rPr>
        <w:t xml:space="preserve"> 点 00   分</w:t>
      </w:r>
      <w:r>
        <w:rPr>
          <w:rFonts w:hint="eastAsia" w:asciiTheme="minorEastAsia" w:hAnsiTheme="minorEastAsia" w:eastAsiaTheme="minorEastAsia" w:cstheme="minorEastAsia"/>
          <w:bCs/>
          <w:sz w:val="24"/>
        </w:rPr>
        <w:t>（北京时间）</w:t>
      </w:r>
    </w:p>
    <w:p>
      <w:pPr>
        <w:ind w:firstLine="480" w:firstLineChars="200"/>
        <w:rPr>
          <w:rFonts w:asciiTheme="minorEastAsia" w:hAnsiTheme="minorEastAsia" w:eastAsiaTheme="minorEastAsia" w:cstheme="minorEastAsia"/>
          <w:bCs/>
          <w:color w:val="FFFFFF" w:themeColor="background1"/>
          <w:sz w:val="24"/>
          <w:u w:val="single"/>
          <w14:textFill>
            <w14:solidFill>
              <w14:schemeClr w14:val="bg1"/>
            </w14:solidFill>
          </w14:textFill>
        </w:rPr>
      </w:pPr>
      <w:r>
        <w:rPr>
          <w:rFonts w:hint="eastAsia" w:asciiTheme="minorEastAsia" w:hAnsiTheme="minorEastAsia" w:eastAsiaTheme="minorEastAsia" w:cstheme="minorEastAsia"/>
          <w:sz w:val="24"/>
        </w:rPr>
        <w:t>地点：广西中吉银工程项目管理有限公司崇左分公司开标厅（广西崇左市花山路汇金现代城12栋102号商铺）</w:t>
      </w:r>
    </w:p>
    <w:p>
      <w:pPr>
        <w:pStyle w:val="3"/>
        <w:spacing w:line="240" w:lineRule="auto"/>
        <w:rPr>
          <w:rFonts w:asciiTheme="minorEastAsia" w:hAnsiTheme="minorEastAsia" w:eastAsiaTheme="minorEastAsia" w:cstheme="minorEastAsia"/>
          <w:b w:val="0"/>
          <w:sz w:val="24"/>
          <w:szCs w:val="24"/>
        </w:rPr>
      </w:pPr>
      <w:bookmarkStart w:id="33" w:name="_Toc28359017"/>
      <w:bookmarkStart w:id="34" w:name="_Toc35393634"/>
      <w:bookmarkStart w:id="35" w:name="_Toc35393803"/>
      <w:bookmarkStart w:id="36" w:name="_Toc28359094"/>
      <w:r>
        <w:rPr>
          <w:rFonts w:hint="eastAsia" w:asciiTheme="minorEastAsia" w:hAnsiTheme="minorEastAsia" w:eastAsiaTheme="minorEastAsia" w:cstheme="minorEastAsia"/>
          <w:b w:val="0"/>
          <w:sz w:val="24"/>
          <w:szCs w:val="24"/>
        </w:rPr>
        <w:t>六、公告期限</w:t>
      </w:r>
      <w:bookmarkEnd w:id="33"/>
      <w:bookmarkEnd w:id="34"/>
      <w:bookmarkEnd w:id="35"/>
      <w:bookmarkEnd w:id="36"/>
    </w:p>
    <w:p>
      <w:pPr>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自本公告发布之日起3个工作日。</w:t>
      </w:r>
    </w:p>
    <w:p>
      <w:pPr>
        <w:pStyle w:val="3"/>
        <w:spacing w:line="240" w:lineRule="auto"/>
        <w:rPr>
          <w:rFonts w:asciiTheme="minorEastAsia" w:hAnsiTheme="minorEastAsia" w:eastAsiaTheme="minorEastAsia" w:cstheme="minorEastAsia"/>
          <w:b w:val="0"/>
          <w:sz w:val="24"/>
          <w:szCs w:val="24"/>
        </w:rPr>
      </w:pPr>
      <w:bookmarkStart w:id="37" w:name="_Toc35393635"/>
      <w:bookmarkStart w:id="38" w:name="_Toc35393804"/>
      <w:r>
        <w:rPr>
          <w:rFonts w:hint="eastAsia" w:asciiTheme="minorEastAsia" w:hAnsiTheme="minorEastAsia" w:eastAsiaTheme="minorEastAsia" w:cstheme="minorEastAsia"/>
          <w:b w:val="0"/>
          <w:sz w:val="24"/>
          <w:szCs w:val="24"/>
        </w:rPr>
        <w:t>七、其他补充事宜</w:t>
      </w:r>
      <w:bookmarkEnd w:id="37"/>
      <w:bookmarkEnd w:id="38"/>
    </w:p>
    <w:p>
      <w:pPr>
        <w:pStyle w:val="12"/>
        <w:widowControl/>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1.竞标保证金：本项目不收取竞标保证金。</w:t>
      </w:r>
    </w:p>
    <w:p>
      <w:pPr>
        <w:pStyle w:val="12"/>
        <w:widowControl/>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2.网上查询地址</w:t>
      </w:r>
    </w:p>
    <w:p>
      <w:pPr>
        <w:pStyle w:val="12"/>
        <w:widowControl/>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中国政府采购网（www.ccgp.gov.cn），广西壮族自治区政府采购网（zfcg.gxzf.gov.cn）</w:t>
      </w:r>
    </w:p>
    <w:p>
      <w:pPr>
        <w:pStyle w:val="12"/>
        <w:widowControl/>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3.本项目需要落实的政府采购政策</w:t>
      </w:r>
    </w:p>
    <w:p>
      <w:pPr>
        <w:pStyle w:val="12"/>
        <w:widowControl/>
        <w:ind w:firstLine="420"/>
        <w:rPr>
          <w:rFonts w:asciiTheme="minorEastAsia" w:hAnsiTheme="minorEastAsia" w:eastAsiaTheme="minorEastAsia" w:cstheme="minorEastAsia"/>
        </w:rPr>
      </w:pPr>
      <w:bookmarkStart w:id="39" w:name="_Toc35393805"/>
      <w:bookmarkStart w:id="40" w:name="_Toc28359018"/>
      <w:bookmarkStart w:id="41" w:name="_Toc35393636"/>
      <w:bookmarkStart w:id="42" w:name="_Toc28359095"/>
      <w:r>
        <w:rPr>
          <w:rFonts w:hint="eastAsia" w:asciiTheme="minorEastAsia" w:hAnsiTheme="minorEastAsia" w:eastAsiaTheme="minorEastAsia" w:cstheme="minorEastAsia"/>
        </w:rPr>
        <w:t>（1）政府采购促进中小企业发展。</w:t>
      </w:r>
    </w:p>
    <w:p>
      <w:pPr>
        <w:pStyle w:val="12"/>
        <w:widowControl/>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（2）政府采购支持采用本国产品的政策。</w:t>
      </w:r>
    </w:p>
    <w:p>
      <w:pPr>
        <w:pStyle w:val="12"/>
        <w:widowControl/>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（3）强制采购节能产品；优先采购节能产品、环境标志产品。</w:t>
      </w:r>
    </w:p>
    <w:p>
      <w:pPr>
        <w:pStyle w:val="12"/>
        <w:widowControl/>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（4）政府采购促进残疾人就业政策。</w:t>
      </w:r>
    </w:p>
    <w:p>
      <w:pPr>
        <w:pStyle w:val="12"/>
        <w:widowControl/>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（5）政府采购支持监狱企业发展。</w:t>
      </w:r>
    </w:p>
    <w:p>
      <w:pPr>
        <w:pStyle w:val="3"/>
        <w:snapToGrid w:val="0"/>
        <w:spacing w:line="240" w:lineRule="auto"/>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八、凡对本次采购提出询问，请按以下方式联系。</w:t>
      </w:r>
      <w:bookmarkEnd w:id="39"/>
      <w:bookmarkEnd w:id="40"/>
      <w:bookmarkEnd w:id="41"/>
      <w:bookmarkEnd w:id="42"/>
    </w:p>
    <w:p>
      <w:pPr>
        <w:pStyle w:val="3"/>
        <w:spacing w:line="240" w:lineRule="auto"/>
        <w:ind w:firstLine="720" w:firstLineChars="300"/>
        <w:rPr>
          <w:rFonts w:asciiTheme="minorEastAsia" w:hAnsiTheme="minorEastAsia" w:eastAsiaTheme="minorEastAsia" w:cstheme="minorEastAsia"/>
          <w:b w:val="0"/>
          <w:sz w:val="24"/>
          <w:szCs w:val="24"/>
        </w:rPr>
      </w:pPr>
      <w:bookmarkStart w:id="43" w:name="_Toc28359019"/>
      <w:bookmarkStart w:id="44" w:name="_Toc35393637"/>
      <w:bookmarkStart w:id="45" w:name="_Toc28359096"/>
      <w:bookmarkStart w:id="46" w:name="_Toc35393806"/>
      <w:r>
        <w:rPr>
          <w:rFonts w:hint="eastAsia" w:asciiTheme="minorEastAsia" w:hAnsiTheme="minorEastAsia" w:eastAsiaTheme="minorEastAsia" w:cstheme="minorEastAsia"/>
          <w:b w:val="0"/>
          <w:sz w:val="24"/>
          <w:szCs w:val="24"/>
        </w:rPr>
        <w:t>1.采购人信息</w:t>
      </w:r>
      <w:bookmarkEnd w:id="43"/>
      <w:bookmarkEnd w:id="44"/>
      <w:bookmarkEnd w:id="45"/>
      <w:bookmarkEnd w:id="46"/>
    </w:p>
    <w:p>
      <w:pPr>
        <w:ind w:left="1079" w:leftChars="371" w:hanging="300" w:hangingChars="125"/>
        <w:jc w:val="left"/>
        <w:rPr>
          <w:rFonts w:hint="eastAsia" w:asciiTheme="minorEastAsia" w:hAnsiTheme="minorEastAsia" w:eastAsiaTheme="minorEastAsia" w:cstheme="minorEastAsia"/>
          <w:sz w:val="24"/>
          <w:u w:val="single"/>
          <w:lang w:eastAsia="zh-CN"/>
        </w:rPr>
      </w:pPr>
      <w:r>
        <w:rPr>
          <w:rFonts w:hint="eastAsia" w:asciiTheme="minorEastAsia" w:hAnsiTheme="minorEastAsia" w:eastAsiaTheme="minorEastAsia" w:cstheme="minorEastAsia"/>
          <w:sz w:val="24"/>
        </w:rPr>
        <w:t>名    称：</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eastAsia="zh-CN"/>
        </w:rPr>
        <w:t>崇左市疾病预防控制中心</w:t>
      </w:r>
    </w:p>
    <w:p>
      <w:pPr>
        <w:ind w:left="1079" w:leftChars="371" w:hanging="300" w:hangingChars="125"/>
        <w:jc w:val="lef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eastAsia="zh-CN"/>
        </w:rPr>
        <w:t>崇左市江州区石景林东路11号</w:t>
      </w:r>
    </w:p>
    <w:p>
      <w:pPr>
        <w:ind w:left="1079" w:leftChars="371" w:hanging="300" w:hangingChars="125"/>
        <w:jc w:val="left"/>
        <w:rPr>
          <w:rFonts w:hint="eastAsia" w:asciiTheme="minorEastAsia" w:hAnsiTheme="minorEastAsia" w:eastAsiaTheme="minorEastAsia" w:cstheme="minorEastAsia"/>
          <w:sz w:val="24"/>
          <w:u w:val="single"/>
          <w:lang w:eastAsia="zh-CN"/>
        </w:rPr>
      </w:pPr>
      <w:r>
        <w:rPr>
          <w:rFonts w:hint="eastAsia" w:asciiTheme="minorEastAsia" w:hAnsiTheme="minorEastAsia" w:eastAsiaTheme="minorEastAsia" w:cstheme="minorEastAsia"/>
          <w:sz w:val="24"/>
        </w:rPr>
        <w:t>联系方式：</w:t>
      </w:r>
      <w:r>
        <w:rPr>
          <w:rFonts w:hint="eastAsia" w:asciiTheme="minorEastAsia" w:hAnsiTheme="minorEastAsia" w:eastAsiaTheme="minorEastAsia" w:cstheme="minorEastAsia"/>
          <w:sz w:val="24"/>
          <w:u w:val="single"/>
          <w:lang w:eastAsia="zh-CN"/>
        </w:rPr>
        <w:t>0771-7837555</w:t>
      </w:r>
    </w:p>
    <w:p>
      <w:pPr>
        <w:pStyle w:val="3"/>
        <w:spacing w:line="240" w:lineRule="auto"/>
        <w:ind w:firstLine="720" w:firstLineChars="300"/>
        <w:rPr>
          <w:rFonts w:asciiTheme="minorEastAsia" w:hAnsiTheme="minorEastAsia" w:eastAsiaTheme="minorEastAsia" w:cstheme="minorEastAsia"/>
          <w:b w:val="0"/>
          <w:sz w:val="24"/>
          <w:szCs w:val="24"/>
        </w:rPr>
      </w:pPr>
      <w:bookmarkStart w:id="47" w:name="_Toc35393638"/>
      <w:bookmarkStart w:id="48" w:name="_Toc28359097"/>
      <w:bookmarkStart w:id="49" w:name="_Toc28359020"/>
      <w:bookmarkStart w:id="50" w:name="_Toc35393807"/>
      <w:r>
        <w:rPr>
          <w:rFonts w:hint="eastAsia" w:asciiTheme="minorEastAsia" w:hAnsiTheme="minorEastAsia" w:eastAsiaTheme="minorEastAsia" w:cstheme="minorEastAsia"/>
          <w:b w:val="0"/>
          <w:sz w:val="24"/>
          <w:szCs w:val="24"/>
        </w:rPr>
        <w:t>2.采购代理机构信息</w:t>
      </w:r>
      <w:bookmarkEnd w:id="47"/>
      <w:bookmarkEnd w:id="48"/>
      <w:bookmarkEnd w:id="49"/>
      <w:bookmarkEnd w:id="50"/>
    </w:p>
    <w:p>
      <w:pPr>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    称：</w:t>
      </w:r>
      <w:r>
        <w:rPr>
          <w:rFonts w:hint="eastAsia" w:asciiTheme="minorEastAsia" w:hAnsiTheme="minorEastAsia" w:eastAsiaTheme="minorEastAsia" w:cstheme="minorEastAsia"/>
          <w:sz w:val="24"/>
          <w:u w:val="single"/>
        </w:rPr>
        <w:t>　广西中吉银工程项目管理有限公司　　　　　　　　　　　</w:t>
      </w:r>
    </w:p>
    <w:p>
      <w:pPr>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single"/>
        </w:rPr>
        <w:t>　广西崇左市花山路汇金现代城12栋102号商铺　　　　　　　　　　</w:t>
      </w:r>
    </w:p>
    <w:p>
      <w:pPr>
        <w:ind w:firstLine="720" w:firstLineChars="3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联系方式：</w:t>
      </w:r>
      <w:r>
        <w:rPr>
          <w:rFonts w:hint="eastAsia" w:asciiTheme="minorEastAsia" w:hAnsiTheme="minorEastAsia" w:eastAsiaTheme="minorEastAsia" w:cstheme="minorEastAsia"/>
          <w:sz w:val="24"/>
          <w:u w:val="single"/>
        </w:rPr>
        <w:t>　0771-7911616　　　　　　　　　　　</w:t>
      </w:r>
    </w:p>
    <w:p>
      <w:pPr>
        <w:pStyle w:val="3"/>
        <w:spacing w:line="240" w:lineRule="auto"/>
        <w:ind w:firstLine="720" w:firstLineChars="300"/>
        <w:rPr>
          <w:rFonts w:asciiTheme="minorEastAsia" w:hAnsiTheme="minorEastAsia" w:eastAsiaTheme="minorEastAsia" w:cstheme="minorEastAsia"/>
          <w:b w:val="0"/>
          <w:sz w:val="24"/>
          <w:szCs w:val="24"/>
        </w:rPr>
      </w:pPr>
      <w:bookmarkStart w:id="51" w:name="_Toc35393808"/>
      <w:bookmarkStart w:id="52" w:name="_Toc28359021"/>
      <w:bookmarkStart w:id="53" w:name="_Toc35393639"/>
      <w:bookmarkStart w:id="54" w:name="_Toc28359098"/>
      <w:r>
        <w:rPr>
          <w:rFonts w:hint="eastAsia" w:asciiTheme="minorEastAsia" w:hAnsiTheme="minorEastAsia" w:eastAsiaTheme="minorEastAsia" w:cstheme="minorEastAsia"/>
          <w:b w:val="0"/>
          <w:sz w:val="24"/>
          <w:szCs w:val="24"/>
        </w:rPr>
        <w:t>3.项目联系方式</w:t>
      </w:r>
      <w:bookmarkEnd w:id="51"/>
      <w:bookmarkEnd w:id="52"/>
      <w:bookmarkEnd w:id="53"/>
      <w:bookmarkEnd w:id="54"/>
    </w:p>
    <w:p>
      <w:pPr>
        <w:pStyle w:val="7"/>
        <w:ind w:firstLine="720" w:firstLineChars="3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项目联系人：</w:t>
      </w:r>
      <w:r>
        <w:rPr>
          <w:rFonts w:hint="eastAsia" w:asciiTheme="minorEastAsia" w:hAnsiTheme="minorEastAsia" w:eastAsiaTheme="minorEastAsia" w:cstheme="minorEastAsia"/>
          <w:sz w:val="24"/>
          <w:szCs w:val="24"/>
          <w:u w:val="single"/>
        </w:rPr>
        <w:t>黄璐璐</w:t>
      </w:r>
    </w:p>
    <w:p>
      <w:pPr>
        <w:ind w:firstLine="720" w:firstLineChars="3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电　　 话：</w:t>
      </w:r>
      <w:r>
        <w:rPr>
          <w:rFonts w:hint="eastAsia" w:asciiTheme="minorEastAsia" w:hAnsiTheme="minorEastAsia" w:eastAsiaTheme="minorEastAsia" w:cstheme="minorEastAsia"/>
          <w:sz w:val="24"/>
          <w:u w:val="single"/>
        </w:rPr>
        <w:t>0771-7911616</w:t>
      </w:r>
    </w:p>
    <w:p>
      <w:pPr>
        <w:spacing w:line="360" w:lineRule="exact"/>
        <w:jc w:val="center"/>
        <w:outlineLvl w:val="0"/>
        <w:rPr>
          <w:rFonts w:asciiTheme="minorEastAsia" w:hAnsiTheme="minorEastAsia" w:eastAsiaTheme="minorEastAsia" w:cstheme="minorEastAsia"/>
          <w:b/>
          <w:color w:val="000000"/>
          <w:sz w:val="28"/>
          <w:szCs w:val="28"/>
        </w:rPr>
      </w:pPr>
    </w:p>
    <w:p>
      <w:pPr>
        <w:spacing w:line="360" w:lineRule="exact"/>
        <w:jc w:val="center"/>
        <w:outlineLvl w:val="0"/>
        <w:rPr>
          <w:rFonts w:asciiTheme="minorEastAsia" w:hAnsiTheme="minorEastAsia" w:eastAsiaTheme="minorEastAsia" w:cstheme="minorEastAsia"/>
          <w:b/>
          <w:color w:val="000000"/>
          <w:sz w:val="28"/>
          <w:szCs w:val="28"/>
        </w:rPr>
      </w:pPr>
    </w:p>
    <w:p>
      <w:pPr>
        <w:spacing w:line="360" w:lineRule="exact"/>
        <w:jc w:val="center"/>
        <w:outlineLvl w:val="0"/>
        <w:rPr>
          <w:rFonts w:asciiTheme="minorEastAsia" w:hAnsiTheme="minorEastAsia" w:eastAsiaTheme="minorEastAsia" w:cstheme="minorEastAsia"/>
          <w:b/>
          <w:color w:val="000000"/>
          <w:sz w:val="28"/>
          <w:szCs w:val="28"/>
        </w:rPr>
      </w:pPr>
    </w:p>
    <w:p>
      <w:pPr>
        <w:spacing w:line="360" w:lineRule="exact"/>
        <w:jc w:val="center"/>
        <w:outlineLvl w:val="0"/>
        <w:rPr>
          <w:rFonts w:asciiTheme="minorEastAsia" w:hAnsiTheme="minorEastAsia" w:eastAsiaTheme="minorEastAsia" w:cstheme="minorEastAsia"/>
          <w:b/>
          <w:color w:val="000000"/>
          <w:sz w:val="28"/>
          <w:szCs w:val="28"/>
        </w:rPr>
      </w:pPr>
    </w:p>
    <w:p>
      <w:pPr>
        <w:spacing w:line="360" w:lineRule="exact"/>
        <w:jc w:val="center"/>
        <w:outlineLvl w:val="0"/>
        <w:rPr>
          <w:rFonts w:ascii="宋体" w:hAnsi="宋体"/>
          <w:b/>
          <w:color w:val="000000"/>
          <w:sz w:val="28"/>
          <w:szCs w:val="28"/>
        </w:rPr>
      </w:pPr>
    </w:p>
    <w:p>
      <w:pPr>
        <w:spacing w:line="360" w:lineRule="exact"/>
        <w:jc w:val="center"/>
        <w:outlineLvl w:val="0"/>
        <w:rPr>
          <w:rFonts w:ascii="宋体" w:hAnsi="宋体"/>
          <w:b/>
          <w:color w:val="000000"/>
          <w:sz w:val="28"/>
          <w:szCs w:val="28"/>
        </w:rPr>
      </w:pPr>
    </w:p>
    <w:p>
      <w:pPr>
        <w:spacing w:line="360" w:lineRule="exact"/>
        <w:jc w:val="center"/>
        <w:outlineLvl w:val="0"/>
        <w:rPr>
          <w:rFonts w:ascii="宋体" w:hAnsi="宋体"/>
          <w:b/>
          <w:color w:val="000000"/>
          <w:sz w:val="28"/>
          <w:szCs w:val="28"/>
        </w:rPr>
      </w:pPr>
    </w:p>
    <w:p>
      <w:pPr>
        <w:spacing w:line="360" w:lineRule="exact"/>
        <w:jc w:val="center"/>
        <w:outlineLvl w:val="0"/>
        <w:rPr>
          <w:rFonts w:ascii="宋体" w:hAnsi="宋体"/>
          <w:b/>
          <w:color w:val="000000"/>
          <w:sz w:val="28"/>
          <w:szCs w:val="28"/>
        </w:rPr>
      </w:pPr>
    </w:p>
    <w:p>
      <w:pPr>
        <w:spacing w:line="360" w:lineRule="exact"/>
        <w:jc w:val="center"/>
        <w:outlineLvl w:val="0"/>
        <w:rPr>
          <w:rFonts w:ascii="宋体" w:hAnsi="宋体"/>
          <w:b/>
          <w:color w:val="000000"/>
          <w:sz w:val="28"/>
          <w:szCs w:val="28"/>
        </w:rPr>
      </w:pPr>
    </w:p>
    <w:p>
      <w:pPr>
        <w:spacing w:line="360" w:lineRule="exact"/>
        <w:jc w:val="center"/>
        <w:outlineLvl w:val="0"/>
        <w:rPr>
          <w:rFonts w:ascii="宋体" w:hAnsi="宋体"/>
          <w:b/>
          <w:color w:val="000000"/>
          <w:sz w:val="28"/>
          <w:szCs w:val="28"/>
        </w:rPr>
      </w:pPr>
    </w:p>
    <w:p>
      <w:pPr>
        <w:spacing w:line="360" w:lineRule="exact"/>
        <w:jc w:val="center"/>
        <w:outlineLvl w:val="0"/>
        <w:rPr>
          <w:rFonts w:ascii="宋体" w:hAnsi="宋体"/>
          <w:b/>
          <w:color w:val="000000"/>
          <w:sz w:val="28"/>
          <w:szCs w:val="28"/>
        </w:rPr>
      </w:pPr>
    </w:p>
    <w:p>
      <w:pPr>
        <w:spacing w:line="360" w:lineRule="exact"/>
        <w:jc w:val="center"/>
        <w:outlineLvl w:val="0"/>
        <w:rPr>
          <w:rFonts w:ascii="宋体" w:hAnsi="宋体"/>
          <w:b/>
          <w:color w:val="000000"/>
          <w:sz w:val="28"/>
          <w:szCs w:val="28"/>
        </w:rPr>
      </w:pPr>
    </w:p>
    <w:p>
      <w:pPr>
        <w:spacing w:line="360" w:lineRule="exact"/>
        <w:jc w:val="center"/>
        <w:outlineLvl w:val="0"/>
        <w:rPr>
          <w:rFonts w:ascii="宋体" w:hAnsi="宋体"/>
          <w:b/>
          <w:color w:val="000000"/>
          <w:sz w:val="28"/>
          <w:szCs w:val="28"/>
        </w:rPr>
      </w:pPr>
    </w:p>
    <w:p>
      <w:pPr>
        <w:spacing w:line="360" w:lineRule="exact"/>
        <w:jc w:val="center"/>
        <w:outlineLvl w:val="0"/>
        <w:rPr>
          <w:rFonts w:ascii="宋体" w:hAnsi="宋体"/>
          <w:b/>
          <w:color w:val="000000"/>
          <w:sz w:val="28"/>
          <w:szCs w:val="28"/>
        </w:rPr>
      </w:pPr>
    </w:p>
    <w:p>
      <w:pPr>
        <w:spacing w:line="360" w:lineRule="exact"/>
        <w:jc w:val="center"/>
        <w:outlineLvl w:val="0"/>
        <w:rPr>
          <w:rFonts w:ascii="宋体" w:hAnsi="宋体"/>
          <w:b/>
          <w:color w:val="000000"/>
          <w:sz w:val="28"/>
          <w:szCs w:val="28"/>
        </w:rPr>
      </w:pPr>
    </w:p>
    <w:p>
      <w:pPr>
        <w:spacing w:line="360" w:lineRule="exact"/>
        <w:jc w:val="center"/>
        <w:outlineLvl w:val="0"/>
        <w:rPr>
          <w:rFonts w:ascii="宋体" w:hAnsi="宋体"/>
          <w:b/>
          <w:color w:val="000000"/>
          <w:sz w:val="28"/>
          <w:szCs w:val="28"/>
        </w:rPr>
      </w:pPr>
    </w:p>
    <w:p>
      <w:pPr>
        <w:spacing w:line="360" w:lineRule="exact"/>
        <w:jc w:val="center"/>
        <w:outlineLvl w:val="0"/>
        <w:rPr>
          <w:rFonts w:ascii="宋体" w:hAnsi="宋体"/>
          <w:b/>
          <w:color w:val="000000"/>
          <w:sz w:val="28"/>
          <w:szCs w:val="28"/>
        </w:rPr>
      </w:pPr>
    </w:p>
    <w:p>
      <w:pPr>
        <w:spacing w:line="360" w:lineRule="exact"/>
        <w:jc w:val="center"/>
        <w:outlineLvl w:val="0"/>
        <w:rPr>
          <w:rFonts w:ascii="宋体" w:hAnsi="宋体"/>
          <w:b/>
          <w:color w:val="000000"/>
          <w:sz w:val="28"/>
          <w:szCs w:val="28"/>
        </w:rPr>
      </w:pPr>
    </w:p>
    <w:p>
      <w:pPr>
        <w:pStyle w:val="2"/>
      </w:pPr>
    </w:p>
    <w:p>
      <w:pPr>
        <w:spacing w:line="360" w:lineRule="exact"/>
        <w:jc w:val="center"/>
        <w:outlineLvl w:val="0"/>
        <w:rPr>
          <w:rFonts w:ascii="宋体" w:hAnsi="宋体"/>
          <w:b/>
          <w:color w:val="000000"/>
          <w:sz w:val="28"/>
          <w:szCs w:val="28"/>
        </w:rPr>
      </w:pPr>
    </w:p>
    <w:p>
      <w:pPr>
        <w:spacing w:line="360" w:lineRule="exact"/>
        <w:jc w:val="center"/>
        <w:outlineLvl w:val="0"/>
        <w:rPr>
          <w:rFonts w:ascii="宋体" w:hAnsi="宋体"/>
          <w:b/>
          <w:color w:val="000000"/>
          <w:sz w:val="28"/>
          <w:szCs w:val="28"/>
        </w:rPr>
      </w:pPr>
    </w:p>
    <w:p>
      <w:pPr>
        <w:spacing w:line="360" w:lineRule="exact"/>
        <w:jc w:val="center"/>
        <w:outlineLvl w:val="0"/>
        <w:rPr>
          <w:rFonts w:ascii="宋体" w:hAnsi="宋体"/>
          <w:b/>
          <w:color w:val="000000"/>
          <w:sz w:val="28"/>
          <w:szCs w:val="28"/>
        </w:rPr>
      </w:pPr>
    </w:p>
    <w:p>
      <w:pPr>
        <w:spacing w:line="360" w:lineRule="exact"/>
        <w:outlineLvl w:val="0"/>
        <w:rPr>
          <w:rFonts w:ascii="宋体" w:hAnsi="宋体"/>
          <w:b/>
          <w:color w:val="000000"/>
          <w:sz w:val="28"/>
          <w:szCs w:val="28"/>
        </w:rPr>
      </w:pPr>
    </w:p>
    <w:p>
      <w:pPr>
        <w:spacing w:line="360" w:lineRule="exact"/>
        <w:jc w:val="center"/>
        <w:outlineLvl w:val="0"/>
        <w:rPr>
          <w:rFonts w:ascii="宋体" w:hAnsi="宋体"/>
          <w:b/>
          <w:color w:val="000000"/>
          <w:sz w:val="28"/>
          <w:szCs w:val="28"/>
        </w:rPr>
      </w:pPr>
      <w:r>
        <w:rPr>
          <w:rFonts w:hint="eastAsia" w:ascii="宋体" w:hAnsi="宋体"/>
          <w:b/>
          <w:color w:val="000000"/>
          <w:sz w:val="28"/>
          <w:szCs w:val="28"/>
        </w:rPr>
        <w:t>第二章  供应商须知前附表</w:t>
      </w:r>
      <w:bookmarkEnd w:id="12"/>
    </w:p>
    <w:p>
      <w:pPr>
        <w:spacing w:line="360" w:lineRule="exact"/>
        <w:jc w:val="center"/>
        <w:outlineLvl w:val="0"/>
        <w:rPr>
          <w:rFonts w:ascii="宋体" w:hAnsi="宋体"/>
          <w:b/>
          <w:color w:val="000000"/>
          <w:sz w:val="28"/>
          <w:szCs w:val="28"/>
        </w:rPr>
      </w:pPr>
    </w:p>
    <w:tbl>
      <w:tblPr>
        <w:tblStyle w:val="14"/>
        <w:tblW w:w="95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88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000000"/>
                <w:szCs w:val="21"/>
              </w:rPr>
            </w:pPr>
            <w:r>
              <w:rPr>
                <w:rFonts w:hint="eastAsia" w:ascii="宋体" w:hAnsi="宋体" w:cs="宋体"/>
                <w:color w:val="000000"/>
                <w:szCs w:val="21"/>
              </w:rPr>
              <w:t>序号</w:t>
            </w:r>
          </w:p>
        </w:tc>
        <w:tc>
          <w:tcPr>
            <w:tcW w:w="8813"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000000"/>
                <w:szCs w:val="21"/>
              </w:rPr>
            </w:pPr>
            <w:r>
              <w:rPr>
                <w:rFonts w:hint="eastAsia" w:ascii="宋体" w:hAnsi="宋体" w:cs="宋体"/>
                <w:color w:val="000000"/>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000000"/>
                <w:szCs w:val="21"/>
              </w:rPr>
            </w:pPr>
            <w:r>
              <w:rPr>
                <w:rFonts w:hint="eastAsia" w:ascii="宋体" w:hAnsi="宋体" w:cs="宋体"/>
                <w:color w:val="000000"/>
                <w:szCs w:val="21"/>
              </w:rPr>
              <w:t>1</w:t>
            </w:r>
          </w:p>
        </w:tc>
        <w:tc>
          <w:tcPr>
            <w:tcW w:w="88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Cs w:val="21"/>
                <w:lang w:eastAsia="zh-CN"/>
              </w:rPr>
            </w:pPr>
            <w:r>
              <w:rPr>
                <w:rFonts w:hint="eastAsia" w:ascii="宋体" w:hAnsi="宋体" w:cs="宋体"/>
                <w:color w:val="000000"/>
                <w:szCs w:val="21"/>
              </w:rPr>
              <w:t>项目名称：</w:t>
            </w:r>
            <w:r>
              <w:rPr>
                <w:rFonts w:hint="eastAsia" w:ascii="宋体" w:hAnsi="宋体"/>
                <w:color w:val="000000"/>
                <w:lang w:eastAsia="zh-CN"/>
              </w:rPr>
              <w:t>崇左市疾病预防控制中心医疗设备项目</w:t>
            </w:r>
          </w:p>
          <w:p>
            <w:pPr>
              <w:snapToGrid w:val="0"/>
              <w:spacing w:line="430" w:lineRule="exact"/>
              <w:rPr>
                <w:rFonts w:hint="eastAsia" w:ascii="宋体" w:hAnsi="宋体" w:eastAsia="宋体" w:cs="宋体"/>
                <w:color w:val="000000"/>
                <w:szCs w:val="21"/>
                <w:lang w:eastAsia="zh-CN"/>
              </w:rPr>
            </w:pPr>
            <w:r>
              <w:rPr>
                <w:rFonts w:hint="eastAsia" w:ascii="宋体" w:hAnsi="宋体" w:cs="宋体"/>
                <w:color w:val="000000"/>
                <w:szCs w:val="21"/>
              </w:rPr>
              <w:t>项目编号：</w:t>
            </w:r>
            <w:r>
              <w:rPr>
                <w:rFonts w:hint="eastAsia"/>
                <w:lang w:eastAsia="zh-CN"/>
              </w:rPr>
              <w:t>CZZC2020-J1-000280-GXZJ</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000000"/>
                <w:szCs w:val="21"/>
              </w:rPr>
            </w:pPr>
            <w:r>
              <w:rPr>
                <w:rFonts w:hint="eastAsia" w:ascii="宋体" w:hAnsi="宋体" w:cs="宋体"/>
                <w:color w:val="000000"/>
                <w:szCs w:val="21"/>
              </w:rPr>
              <w:t>2</w:t>
            </w:r>
          </w:p>
        </w:tc>
        <w:tc>
          <w:tcPr>
            <w:tcW w:w="8813"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rPr>
                <w:rFonts w:ascii="宋体" w:hAnsi="宋体" w:cs="宋体"/>
                <w:color w:val="000000"/>
                <w:szCs w:val="21"/>
              </w:rPr>
            </w:pPr>
            <w:r>
              <w:rPr>
                <w:rFonts w:hint="eastAsia" w:ascii="宋体" w:hAnsi="宋体" w:cs="宋体"/>
                <w:color w:val="000000"/>
                <w:szCs w:val="21"/>
              </w:rPr>
              <w:t>竞标报价及费用：</w:t>
            </w:r>
          </w:p>
          <w:p>
            <w:pPr>
              <w:snapToGrid w:val="0"/>
              <w:spacing w:line="430" w:lineRule="exact"/>
              <w:rPr>
                <w:rFonts w:ascii="宋体" w:hAnsi="宋体" w:cs="宋体"/>
                <w:color w:val="000000"/>
                <w:szCs w:val="21"/>
              </w:rPr>
            </w:pPr>
            <w:r>
              <w:rPr>
                <w:rFonts w:hint="eastAsia" w:ascii="宋体" w:hAnsi="宋体" w:cs="宋体"/>
                <w:color w:val="000000"/>
                <w:szCs w:val="21"/>
              </w:rPr>
              <w:t>1、本项目竞标应以人民币报价；</w:t>
            </w:r>
          </w:p>
          <w:p>
            <w:pPr>
              <w:snapToGrid w:val="0"/>
              <w:spacing w:line="430" w:lineRule="exact"/>
              <w:rPr>
                <w:rFonts w:ascii="宋体" w:hAnsi="宋体" w:cs="宋体"/>
                <w:color w:val="000000"/>
                <w:szCs w:val="21"/>
              </w:rPr>
            </w:pPr>
            <w:r>
              <w:rPr>
                <w:rFonts w:hint="eastAsia" w:ascii="宋体" w:hAnsi="宋体" w:cs="宋体"/>
                <w:color w:val="000000"/>
                <w:szCs w:val="21"/>
              </w:rPr>
              <w:t>2、不论竞标结果如何，供应商均应自行承担所有与竞标有关的全部费用；</w:t>
            </w:r>
          </w:p>
          <w:p>
            <w:pPr>
              <w:snapToGrid w:val="0"/>
              <w:spacing w:line="430" w:lineRule="exact"/>
              <w:rPr>
                <w:rFonts w:ascii="宋体" w:hAnsi="宋体" w:cs="宋体"/>
                <w:color w:val="000000"/>
                <w:szCs w:val="21"/>
              </w:rPr>
            </w:pPr>
            <w:r>
              <w:rPr>
                <w:rFonts w:hint="eastAsia" w:ascii="宋体" w:hAnsi="宋体" w:cs="宋体"/>
                <w:color w:val="000000"/>
                <w:szCs w:val="21"/>
              </w:rPr>
              <w:t>3、本项目代理服务费按供应商须知第14条</w:t>
            </w:r>
            <w:r>
              <w:rPr>
                <w:rFonts w:hint="eastAsia" w:ascii="宋体" w:hAnsi="宋体" w:cs="宋体"/>
                <w:bCs/>
                <w:color w:val="000000"/>
              </w:rPr>
              <w:t>代理服务费收费标准向成交供应商收取</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000000"/>
                <w:szCs w:val="21"/>
              </w:rPr>
            </w:pPr>
            <w:r>
              <w:rPr>
                <w:rFonts w:hint="eastAsia" w:ascii="宋体" w:hAnsi="宋体" w:cs="宋体"/>
                <w:color w:val="000000"/>
                <w:szCs w:val="21"/>
              </w:rPr>
              <w:t>3</w:t>
            </w:r>
          </w:p>
        </w:tc>
        <w:tc>
          <w:tcPr>
            <w:tcW w:w="8813"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rPr>
                <w:rFonts w:ascii="宋体" w:hAnsi="宋体" w:cs="宋体"/>
                <w:color w:val="000000"/>
                <w:szCs w:val="21"/>
              </w:rPr>
            </w:pPr>
            <w:r>
              <w:rPr>
                <w:rFonts w:hint="eastAsia" w:ascii="宋体" w:hAnsi="宋体" w:cs="宋体"/>
                <w:color w:val="000000"/>
                <w:szCs w:val="21"/>
              </w:rPr>
              <w:t>无竞标保证金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000000"/>
                <w:szCs w:val="21"/>
              </w:rPr>
            </w:pPr>
            <w:r>
              <w:rPr>
                <w:rFonts w:hint="eastAsia" w:ascii="宋体" w:hAnsi="宋体" w:cs="宋体"/>
                <w:color w:val="000000"/>
                <w:szCs w:val="21"/>
              </w:rPr>
              <w:t>4</w:t>
            </w:r>
          </w:p>
        </w:tc>
        <w:tc>
          <w:tcPr>
            <w:tcW w:w="8813"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rPr>
                <w:rFonts w:hint="eastAsia" w:ascii="宋体" w:hAnsi="宋体" w:eastAsia="宋体" w:cs="宋体"/>
                <w:color w:val="000000"/>
                <w:szCs w:val="21"/>
                <w:lang w:eastAsia="zh-CN"/>
              </w:rPr>
            </w:pPr>
            <w:r>
              <w:rPr>
                <w:rFonts w:hint="eastAsia" w:ascii="宋体" w:hAnsi="宋体" w:cs="宋体"/>
                <w:color w:val="000000"/>
                <w:szCs w:val="21"/>
              </w:rPr>
              <w:t>采购预算（人民币）：</w:t>
            </w:r>
            <w:r>
              <w:rPr>
                <w:rFonts w:hint="eastAsia" w:ascii="宋体" w:hAnsi="宋体" w:cs="宋体"/>
                <w:color w:val="000000"/>
                <w:szCs w:val="21"/>
                <w:lang w:eastAsia="zh-CN"/>
              </w:rPr>
              <w:t>壹佰壹拾叁万捌仟元整（￥1138000.00）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000000"/>
                <w:szCs w:val="21"/>
              </w:rPr>
            </w:pPr>
            <w:r>
              <w:rPr>
                <w:rFonts w:hint="eastAsia" w:ascii="宋体" w:hAnsi="宋体" w:cs="宋体"/>
                <w:color w:val="000000"/>
                <w:szCs w:val="21"/>
              </w:rPr>
              <w:t>5</w:t>
            </w:r>
          </w:p>
        </w:tc>
        <w:tc>
          <w:tcPr>
            <w:tcW w:w="8813"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rPr>
                <w:rFonts w:ascii="宋体" w:hAnsi="宋体" w:cs="宋体"/>
                <w:color w:val="000000"/>
                <w:szCs w:val="21"/>
              </w:rPr>
            </w:pPr>
            <w:r>
              <w:rPr>
                <w:rFonts w:hint="eastAsia" w:ascii="宋体" w:hAnsi="宋体" w:cs="宋体"/>
                <w:color w:val="000000"/>
                <w:szCs w:val="21"/>
              </w:rPr>
              <w:t>现场踏勘：详见</w:t>
            </w:r>
            <w:r>
              <w:rPr>
                <w:rFonts w:hint="eastAsia" w:ascii="宋体" w:hAnsi="宋体" w:cs="宋体"/>
                <w:b/>
                <w:color w:val="000000"/>
                <w:szCs w:val="21"/>
              </w:rPr>
              <w:t>第三章 “项目需求”相关要求。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000000"/>
                <w:szCs w:val="21"/>
              </w:rPr>
            </w:pPr>
            <w:r>
              <w:rPr>
                <w:rFonts w:hint="eastAsia" w:ascii="宋体" w:hAnsi="宋体" w:cs="宋体"/>
                <w:color w:val="000000"/>
                <w:szCs w:val="21"/>
              </w:rPr>
              <w:t>6</w:t>
            </w:r>
          </w:p>
        </w:tc>
        <w:tc>
          <w:tcPr>
            <w:tcW w:w="8813"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rPr>
                <w:rFonts w:ascii="宋体" w:hAnsi="宋体" w:cs="宋体"/>
                <w:color w:val="000000"/>
                <w:szCs w:val="21"/>
              </w:rPr>
            </w:pPr>
            <w:r>
              <w:rPr>
                <w:rFonts w:hint="eastAsia" w:ascii="宋体" w:hAnsi="宋体" w:cs="宋体"/>
                <w:color w:val="000000"/>
                <w:szCs w:val="21"/>
              </w:rPr>
              <w:t>现场演示：无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000000"/>
                <w:szCs w:val="21"/>
              </w:rPr>
            </w:pPr>
            <w:r>
              <w:rPr>
                <w:rFonts w:hint="eastAsia" w:ascii="宋体" w:hAnsi="宋体" w:cs="宋体"/>
                <w:color w:val="000000"/>
                <w:szCs w:val="21"/>
              </w:rPr>
              <w:t>7</w:t>
            </w:r>
          </w:p>
        </w:tc>
        <w:tc>
          <w:tcPr>
            <w:tcW w:w="881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30" w:lineRule="exact"/>
              <w:textAlignment w:val="bottom"/>
              <w:rPr>
                <w:rFonts w:ascii="宋体" w:hAnsi="宋体" w:cs="宋体"/>
                <w:color w:val="000000"/>
                <w:szCs w:val="21"/>
              </w:rPr>
            </w:pPr>
            <w:r>
              <w:rPr>
                <w:rFonts w:hint="eastAsia" w:ascii="宋体" w:hAnsi="宋体" w:cs="宋体"/>
                <w:color w:val="000000"/>
                <w:szCs w:val="21"/>
              </w:rPr>
              <w:t>★</w:t>
            </w:r>
            <w:r>
              <w:rPr>
                <w:rFonts w:hint="eastAsia" w:ascii="宋体" w:hAnsi="宋体"/>
                <w:color w:val="000000"/>
                <w:szCs w:val="21"/>
              </w:rPr>
              <w:t>响应文件份数：正本</w:t>
            </w:r>
            <w:r>
              <w:rPr>
                <w:rFonts w:hint="eastAsia" w:ascii="宋体" w:hAnsi="宋体"/>
                <w:color w:val="000000"/>
                <w:szCs w:val="21"/>
                <w:u w:val="single"/>
              </w:rPr>
              <w:t xml:space="preserve"> 壹 </w:t>
            </w:r>
            <w:r>
              <w:rPr>
                <w:rFonts w:hint="eastAsia" w:ascii="宋体" w:hAnsi="宋体"/>
                <w:color w:val="000000"/>
                <w:szCs w:val="21"/>
              </w:rPr>
              <w:t>份；副本</w:t>
            </w:r>
            <w:r>
              <w:rPr>
                <w:rFonts w:hint="eastAsia" w:ascii="宋体" w:hAnsi="宋体"/>
                <w:color w:val="000000"/>
                <w:szCs w:val="21"/>
                <w:u w:val="single"/>
              </w:rPr>
              <w:t xml:space="preserve"> 叁 </w:t>
            </w:r>
            <w:r>
              <w:rPr>
                <w:rFonts w:hint="eastAsia" w:ascii="宋体" w:hAnsi="宋体"/>
                <w:color w:val="000000"/>
                <w:szCs w:val="21"/>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000000"/>
                <w:szCs w:val="21"/>
              </w:rPr>
            </w:pPr>
            <w:r>
              <w:rPr>
                <w:rFonts w:hint="eastAsia" w:ascii="宋体" w:hAnsi="宋体" w:cs="宋体"/>
                <w:color w:val="000000"/>
                <w:szCs w:val="21"/>
              </w:rPr>
              <w:t>8</w:t>
            </w:r>
          </w:p>
        </w:tc>
        <w:tc>
          <w:tcPr>
            <w:tcW w:w="8813"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rPr>
                <w:rFonts w:ascii="宋体" w:hAnsi="宋体" w:cs="宋体"/>
                <w:color w:val="000000"/>
                <w:szCs w:val="21"/>
              </w:rPr>
            </w:pPr>
            <w:r>
              <w:rPr>
                <w:rFonts w:hint="eastAsia" w:ascii="宋体" w:hAnsi="宋体" w:cs="宋体"/>
                <w:color w:val="000000"/>
                <w:szCs w:val="21"/>
              </w:rPr>
              <w:t>竞争性谈判响应文件递交截止时间：</w:t>
            </w:r>
            <w:r>
              <w:rPr>
                <w:rFonts w:hint="eastAsia" w:ascii="宋体" w:hAnsi="宋体"/>
                <w:color w:val="000000"/>
              </w:rPr>
              <w:t>2020年11月</w:t>
            </w:r>
            <w:r>
              <w:rPr>
                <w:rFonts w:hint="eastAsia" w:ascii="宋体" w:hAnsi="宋体"/>
                <w:color w:val="000000"/>
                <w:lang w:val="en-US" w:eastAsia="zh-CN"/>
              </w:rPr>
              <w:t>27</w:t>
            </w:r>
            <w:r>
              <w:rPr>
                <w:rFonts w:hint="eastAsia" w:ascii="宋体" w:hAnsi="宋体"/>
                <w:color w:val="000000"/>
              </w:rPr>
              <w:t>日</w:t>
            </w:r>
            <w:r>
              <w:rPr>
                <w:rFonts w:hint="eastAsia" w:ascii="宋体" w:hAnsi="宋体"/>
                <w:color w:val="000000"/>
                <w:lang w:val="en-US" w:eastAsia="zh-CN"/>
              </w:rPr>
              <w:t>9</w:t>
            </w:r>
            <w:r>
              <w:rPr>
                <w:rFonts w:hint="eastAsia" w:ascii="宋体" w:hAnsi="宋体"/>
                <w:color w:val="000000"/>
              </w:rPr>
              <w:t>时00分</w:t>
            </w:r>
          </w:p>
          <w:p>
            <w:pPr>
              <w:snapToGrid w:val="0"/>
              <w:spacing w:line="430" w:lineRule="exact"/>
              <w:rPr>
                <w:rFonts w:ascii="宋体" w:hAnsi="宋体" w:cs="宋体"/>
                <w:color w:val="000000"/>
                <w:szCs w:val="21"/>
              </w:rPr>
            </w:pPr>
            <w:r>
              <w:rPr>
                <w:rFonts w:hint="eastAsia" w:ascii="宋体" w:hAnsi="宋体" w:cs="宋体"/>
                <w:color w:val="000000"/>
                <w:szCs w:val="21"/>
              </w:rPr>
              <w:t>竞争性谈判响应文件递交地点：广西中吉银工程项目管理有限公司崇左分公司（崇左市花山路汇金现代城12栋102商铺）开标厅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000000"/>
                <w:szCs w:val="21"/>
              </w:rPr>
            </w:pPr>
            <w:r>
              <w:rPr>
                <w:rFonts w:hint="eastAsia" w:ascii="宋体" w:hAnsi="宋体" w:cs="宋体"/>
                <w:color w:val="000000"/>
                <w:szCs w:val="21"/>
              </w:rPr>
              <w:t>9</w:t>
            </w:r>
          </w:p>
        </w:tc>
        <w:tc>
          <w:tcPr>
            <w:tcW w:w="8813"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rPr>
                <w:rFonts w:ascii="宋体" w:hAnsi="宋体" w:cs="宋体"/>
                <w:color w:val="000000"/>
                <w:szCs w:val="21"/>
              </w:rPr>
            </w:pPr>
            <w:r>
              <w:rPr>
                <w:rFonts w:hint="eastAsia" w:ascii="宋体" w:hAnsi="宋体" w:cs="宋体"/>
                <w:color w:val="000000"/>
                <w:szCs w:val="21"/>
              </w:rPr>
              <w:t>开标时间：</w:t>
            </w:r>
            <w:r>
              <w:rPr>
                <w:rFonts w:hint="eastAsia" w:ascii="宋体" w:hAnsi="宋体"/>
                <w:color w:val="000000"/>
              </w:rPr>
              <w:t>2020年11月</w:t>
            </w:r>
            <w:r>
              <w:rPr>
                <w:rFonts w:hint="eastAsia" w:ascii="宋体" w:hAnsi="宋体"/>
                <w:color w:val="000000"/>
                <w:lang w:val="en-US" w:eastAsia="zh-CN"/>
              </w:rPr>
              <w:t>27</w:t>
            </w:r>
            <w:r>
              <w:rPr>
                <w:rFonts w:hint="eastAsia" w:ascii="宋体" w:hAnsi="宋体"/>
                <w:color w:val="000000"/>
              </w:rPr>
              <w:t>日</w:t>
            </w:r>
            <w:r>
              <w:rPr>
                <w:rFonts w:hint="eastAsia" w:ascii="宋体" w:hAnsi="宋体"/>
                <w:color w:val="000000"/>
                <w:lang w:val="en-US" w:eastAsia="zh-CN"/>
              </w:rPr>
              <w:t>9</w:t>
            </w:r>
            <w:r>
              <w:rPr>
                <w:rFonts w:hint="eastAsia" w:ascii="宋体" w:hAnsi="宋体"/>
                <w:color w:val="000000"/>
              </w:rPr>
              <w:t>时00分</w:t>
            </w:r>
          </w:p>
          <w:p>
            <w:pPr>
              <w:snapToGrid w:val="0"/>
              <w:spacing w:line="430" w:lineRule="exact"/>
              <w:rPr>
                <w:rFonts w:ascii="宋体" w:hAnsi="宋体" w:cs="宋体"/>
                <w:color w:val="000000"/>
                <w:szCs w:val="21"/>
              </w:rPr>
            </w:pPr>
            <w:r>
              <w:rPr>
                <w:rFonts w:hint="eastAsia" w:ascii="宋体" w:hAnsi="宋体" w:cs="宋体"/>
                <w:color w:val="000000"/>
                <w:szCs w:val="21"/>
              </w:rPr>
              <w:t>开标地点：广西中吉银工程项目管理有限公司崇左分公司（崇左市花山路汇金现代城12栋102商铺）开标厅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000000"/>
                <w:szCs w:val="21"/>
              </w:rPr>
            </w:pPr>
            <w:r>
              <w:rPr>
                <w:rFonts w:hint="eastAsia" w:ascii="宋体" w:hAnsi="宋体" w:cs="宋体"/>
                <w:color w:val="000000"/>
                <w:szCs w:val="21"/>
              </w:rPr>
              <w:t>10</w:t>
            </w:r>
          </w:p>
        </w:tc>
        <w:tc>
          <w:tcPr>
            <w:tcW w:w="881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30" w:lineRule="exact"/>
              <w:textAlignment w:val="bottom"/>
              <w:rPr>
                <w:rFonts w:ascii="宋体" w:hAnsi="宋体" w:cs="宋体"/>
                <w:color w:val="000000"/>
                <w:szCs w:val="21"/>
              </w:rPr>
            </w:pPr>
            <w:r>
              <w:rPr>
                <w:rFonts w:hint="eastAsia" w:ascii="宋体" w:hAnsi="宋体" w:cs="宋体"/>
                <w:color w:val="000000"/>
                <w:szCs w:val="21"/>
              </w:rPr>
              <w:t>评分标准：最低评标价法</w:t>
            </w:r>
          </w:p>
          <w:p>
            <w:pPr>
              <w:autoSpaceDE w:val="0"/>
              <w:autoSpaceDN w:val="0"/>
              <w:snapToGrid w:val="0"/>
              <w:spacing w:line="430" w:lineRule="exact"/>
              <w:textAlignment w:val="bottom"/>
              <w:rPr>
                <w:rFonts w:ascii="宋体" w:hAnsi="宋体" w:cs="宋体"/>
                <w:color w:val="000000"/>
                <w:szCs w:val="21"/>
              </w:rPr>
            </w:pPr>
            <w:r>
              <w:rPr>
                <w:rFonts w:hint="eastAsia" w:ascii="宋体" w:hAnsi="宋体" w:cs="宋体"/>
                <w:color w:val="000000"/>
                <w:szCs w:val="21"/>
              </w:rPr>
              <w:t>谈判小组组成：</w:t>
            </w:r>
            <w:r>
              <w:rPr>
                <w:rFonts w:hint="eastAsia" w:ascii="宋体" w:hAnsi="宋体" w:cs="宋体"/>
                <w:color w:val="000000"/>
              </w:rPr>
              <w:t>本项目谈判小组由政府采购评审专家共</w:t>
            </w:r>
            <w:r>
              <w:rPr>
                <w:rFonts w:hint="eastAsia" w:ascii="宋体" w:hAnsi="宋体" w:cs="宋体"/>
                <w:color w:val="000000"/>
                <w:u w:val="single"/>
              </w:rPr>
              <w:t xml:space="preserve"> 3 </w:t>
            </w:r>
            <w:r>
              <w:rPr>
                <w:rFonts w:hint="eastAsia" w:ascii="宋体" w:hAnsi="宋体" w:cs="宋体"/>
                <w:color w:val="000000"/>
              </w:rPr>
              <w:t>人组成。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000000"/>
                <w:szCs w:val="21"/>
              </w:rPr>
            </w:pPr>
            <w:r>
              <w:rPr>
                <w:rFonts w:hint="eastAsia" w:ascii="宋体" w:hAnsi="宋体" w:cs="宋体"/>
                <w:color w:val="000000"/>
                <w:szCs w:val="21"/>
              </w:rPr>
              <w:t>11</w:t>
            </w:r>
          </w:p>
        </w:tc>
        <w:tc>
          <w:tcPr>
            <w:tcW w:w="881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30" w:lineRule="exact"/>
              <w:textAlignment w:val="bottom"/>
              <w:rPr>
                <w:rFonts w:ascii="宋体" w:hAnsi="宋体" w:cs="宋体"/>
                <w:color w:val="000000"/>
                <w:szCs w:val="21"/>
              </w:rPr>
            </w:pPr>
            <w:r>
              <w:rPr>
                <w:rFonts w:hint="eastAsia" w:ascii="宋体" w:hAnsi="宋体" w:cs="宋体"/>
                <w:color w:val="000000"/>
                <w:szCs w:val="21"/>
              </w:rPr>
              <w:t>公告发布媒体：www.ccgp.gov.cn（中国政府采购网）、www.gxzfcg.gov.cn（广西壮族自治区政府采购网）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000000"/>
                <w:szCs w:val="21"/>
              </w:rPr>
            </w:pPr>
            <w:r>
              <w:rPr>
                <w:rFonts w:hint="eastAsia" w:ascii="宋体" w:hAnsi="宋体" w:cs="宋体"/>
                <w:color w:val="000000"/>
                <w:szCs w:val="21"/>
              </w:rPr>
              <w:t>12</w:t>
            </w:r>
          </w:p>
        </w:tc>
        <w:tc>
          <w:tcPr>
            <w:tcW w:w="8813"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rPr>
                <w:rFonts w:ascii="宋体" w:hAnsi="宋体" w:cs="宋体"/>
                <w:color w:val="000000"/>
                <w:szCs w:val="21"/>
              </w:rPr>
            </w:pPr>
            <w:r>
              <w:rPr>
                <w:rFonts w:hint="eastAsia" w:hAnsi="宋体" w:cs="宋体"/>
                <w:color w:val="000000"/>
                <w:szCs w:val="21"/>
              </w:rPr>
              <w:t>履约保证金：无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000000"/>
                <w:szCs w:val="21"/>
              </w:rPr>
            </w:pPr>
            <w:r>
              <w:rPr>
                <w:rFonts w:hint="eastAsia" w:ascii="宋体" w:hAnsi="宋体" w:cs="宋体"/>
                <w:color w:val="000000"/>
                <w:szCs w:val="21"/>
              </w:rPr>
              <w:t>13</w:t>
            </w:r>
          </w:p>
        </w:tc>
        <w:tc>
          <w:tcPr>
            <w:tcW w:w="881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30" w:lineRule="exact"/>
              <w:textAlignment w:val="bottom"/>
              <w:rPr>
                <w:rFonts w:ascii="宋体" w:hAnsi="宋体" w:cs="宋体"/>
                <w:color w:val="000000"/>
                <w:szCs w:val="21"/>
              </w:rPr>
            </w:pPr>
            <w:r>
              <w:rPr>
                <w:rFonts w:hint="eastAsia" w:ascii="宋体" w:hAnsi="宋体" w:cs="宋体"/>
                <w:color w:val="000000"/>
                <w:szCs w:val="21"/>
              </w:rPr>
              <w:t>签订合同时间：应当在成交通知书发出后</w:t>
            </w:r>
            <w:r>
              <w:rPr>
                <w:rFonts w:hint="eastAsia" w:ascii="宋体" w:hAnsi="宋体"/>
                <w:color w:val="000000"/>
                <w:szCs w:val="21"/>
              </w:rPr>
              <w:t>15个日历日</w:t>
            </w:r>
            <w:r>
              <w:rPr>
                <w:rFonts w:hint="eastAsia" w:ascii="宋体" w:hAnsi="宋体" w:cs="宋体"/>
                <w:color w:val="000000"/>
                <w:szCs w:val="21"/>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000000"/>
                <w:szCs w:val="21"/>
              </w:rPr>
            </w:pPr>
            <w:r>
              <w:rPr>
                <w:rFonts w:hint="eastAsia" w:ascii="宋体" w:hAnsi="宋体" w:cs="宋体"/>
                <w:color w:val="000000"/>
                <w:szCs w:val="21"/>
              </w:rPr>
              <w:t>14</w:t>
            </w:r>
          </w:p>
        </w:tc>
        <w:tc>
          <w:tcPr>
            <w:tcW w:w="88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ind w:firstLine="420"/>
              <w:rPr>
                <w:rFonts w:ascii="宋体" w:hAnsi="宋体" w:cs="宋体"/>
                <w:b/>
                <w:color w:val="000000"/>
                <w:szCs w:val="21"/>
              </w:rPr>
            </w:pPr>
            <w:bookmarkStart w:id="55" w:name="_Toc482865134"/>
            <w:bookmarkStart w:id="56" w:name="_Toc483327793"/>
            <w:bookmarkStart w:id="57" w:name="_Toc482864533"/>
            <w:bookmarkStart w:id="58" w:name="_Toc482865304"/>
            <w:bookmarkStart w:id="59" w:name="_Toc448421124"/>
            <w:r>
              <w:rPr>
                <w:rFonts w:hint="eastAsia" w:hAnsi="宋体" w:cs="宋体"/>
                <w:bCs/>
                <w:color w:val="000000"/>
              </w:rPr>
              <w:t>代理服务费收费标准：</w:t>
            </w:r>
            <w:bookmarkEnd w:id="55"/>
            <w:bookmarkEnd w:id="56"/>
            <w:bookmarkEnd w:id="57"/>
            <w:bookmarkEnd w:id="58"/>
            <w:bookmarkEnd w:id="59"/>
            <w:r>
              <w:rPr>
                <w:rFonts w:hint="eastAsia" w:ascii="宋体" w:hAnsi="宋体" w:cs="宋体"/>
                <w:bCs/>
                <w:color w:val="000000"/>
                <w:szCs w:val="20"/>
              </w:rPr>
              <w:t>签订合同前，成交人须向广西中吉银工程项目管理有限公司崇左分公司一次付清成交服务费。</w:t>
            </w:r>
            <w:r>
              <w:rPr>
                <w:rFonts w:hint="eastAsia" w:ascii="宋体" w:hAnsi="宋体" w:cs="宋体"/>
                <w:bCs/>
                <w:color w:val="000000"/>
                <w:szCs w:val="21"/>
              </w:rPr>
              <w:t>按原国家计委《招标代理服务收费管理暂行办法》（计价格[2002]1980号）</w:t>
            </w:r>
            <w:r>
              <w:rPr>
                <w:rFonts w:hint="eastAsia" w:ascii="宋体" w:hAnsi="宋体" w:cs="宋体"/>
                <w:color w:val="000000"/>
                <w:szCs w:val="21"/>
              </w:rPr>
              <w:t>、国家发改委[2011]534号文件招标代理服务收费标准货物类别标准计算结果收取</w:t>
            </w:r>
            <w:r>
              <w:rPr>
                <w:rFonts w:hint="eastAsia" w:ascii="宋体" w:hAnsi="宋体" w:cs="宋体"/>
                <w:bCs/>
                <w:color w:val="000000"/>
                <w:szCs w:val="21"/>
              </w:rPr>
              <w:t>。</w:t>
            </w:r>
          </w:p>
          <w:p>
            <w:pPr>
              <w:spacing w:line="380" w:lineRule="exact"/>
              <w:rPr>
                <w:rFonts w:ascii="宋体" w:hAnsi="宋体" w:cs="宋体"/>
                <w:color w:val="000000"/>
                <w:szCs w:val="21"/>
              </w:rPr>
            </w:pPr>
            <w:r>
              <w:rPr>
                <w:rFonts w:hint="eastAsia" w:ascii="宋体" w:hAnsi="宋体" w:cs="宋体"/>
                <w:color w:val="000000"/>
                <w:szCs w:val="21"/>
              </w:rPr>
              <w:t xml:space="preserve">  招标代理服务收费标准</w:t>
            </w:r>
          </w:p>
          <w:tbl>
            <w:tblPr>
              <w:tblStyle w:val="14"/>
              <w:tblW w:w="593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72"/>
              <w:gridCol w:w="26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6" w:hRule="atLeast"/>
                <w:jc w:val="center"/>
              </w:trPr>
              <w:tc>
                <w:tcPr>
                  <w:tcW w:w="3272" w:type="dxa"/>
                  <w:tcBorders>
                    <w:top w:val="single" w:color="auto" w:sz="4" w:space="0"/>
                    <w:left w:val="single" w:color="auto" w:sz="4" w:space="0"/>
                    <w:bottom w:val="single" w:color="auto" w:sz="4" w:space="0"/>
                    <w:right w:val="single" w:color="auto" w:sz="4" w:space="0"/>
                  </w:tcBorders>
                </w:tcPr>
                <w:p>
                  <w:pPr>
                    <w:spacing w:line="380" w:lineRule="exact"/>
                    <w:ind w:firstLine="1365" w:firstLineChars="650"/>
                    <w:rPr>
                      <w:rFonts w:ascii="宋体" w:hAnsi="宋体" w:cs="宋体"/>
                      <w:color w:val="000000"/>
                      <w:szCs w:val="21"/>
                    </w:rPr>
                  </w:pPr>
                  <w:r>
                    <w:rPr>
                      <w:rFonts w:ascii="宋体" w:hAnsi="宋体" w:cs="宋体"/>
                      <w:color w:val="000000"/>
                      <w:szCs w:val="21"/>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-3810</wp:posOffset>
                            </wp:positionV>
                            <wp:extent cx="1275715" cy="1170940"/>
                            <wp:effectExtent l="3175" t="3810" r="16510" b="63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768350" cy="1005205"/>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margin-left:54pt;margin-top:-0.3pt;height:92.2pt;width:100.45pt;z-index:251658240;mso-width-relative:page;mso-height-relative:page;" filled="f" stroked="t" coordsize="21600,21600" o:gfxdata="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n5N&#10;6tUAAAAJAQAADwAAAAAAAAABACAAAAAiAAAAZHJzL2Rvd25yZXYueG1sUEsBAhQAFAAAAAgAh07i&#10;QET5O7rsAQAAvQMAAA4AAAAAAAAAAQAgAAAAJAEAAGRycy9lMm9Eb2MueG1sUEsFBgAAAAAGAAYA&#10;WQEAAIIFAAAAAA==&#10;">
                            <v:fill on="f" focussize="0,0"/>
                            <v:stroke weight="0.5pt" color="#000000" joinstyle="round"/>
                            <v:imagedata o:title=""/>
                            <o:lock v:ext="edit" aspectratio="f"/>
                          </v:line>
                        </w:pict>
                      </mc:Fallback>
                    </mc:AlternateContent>
                  </w:r>
                  <w:r>
                    <w:rPr>
                      <w:rFonts w:hint="eastAsia" w:ascii="宋体" w:hAnsi="宋体" w:cs="宋体"/>
                      <w:color w:val="000000"/>
                      <w:szCs w:val="21"/>
                    </w:rPr>
                    <w:t>服务费率</w:t>
                  </w:r>
                </w:p>
                <w:p>
                  <w:pPr>
                    <w:spacing w:line="380" w:lineRule="exact"/>
                    <w:ind w:firstLine="735" w:firstLineChars="350"/>
                    <w:rPr>
                      <w:rFonts w:ascii="宋体" w:hAnsi="宋体" w:cs="宋体"/>
                      <w:color w:val="000000"/>
                      <w:szCs w:val="21"/>
                    </w:rPr>
                  </w:pPr>
                  <w:r>
                    <w:rPr>
                      <w:rFonts w:ascii="宋体" w:hAnsi="宋体" w:cs="宋体"/>
                      <w:color w:val="000000"/>
                      <w:szCs w:val="21"/>
                    </w:rPr>
                    <mc:AlternateContent>
                      <mc:Choice Requires="wps">
                        <w:drawing>
                          <wp:anchor distT="0" distB="0" distL="114300" distR="114300" simplePos="0" relativeHeight="251659264" behindDoc="0" locked="0" layoutInCell="1" allowOverlap="1">
                            <wp:simplePos x="0" y="0"/>
                            <wp:positionH relativeFrom="column">
                              <wp:posOffset>-83185</wp:posOffset>
                            </wp:positionH>
                            <wp:positionV relativeFrom="paragraph">
                              <wp:posOffset>45720</wp:posOffset>
                            </wp:positionV>
                            <wp:extent cx="2043430" cy="906780"/>
                            <wp:effectExtent l="1905" t="4445" r="12065" b="2222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1590675" cy="771525"/>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margin-left:-6.55pt;margin-top:3.6pt;height:71.4pt;width:160.9pt;z-index:251659264;mso-width-relative:page;mso-height-relative:page;" filled="f" stroked="t" coordsize="21600,21600" o:gfxdata="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L0xlNYAAAAJAQAADwAAAAAAAAABACAAAAAiAAAAZHJzL2Rvd25yZXYueG1sUEsBAhQAFAAAAAgA&#10;h07iQDk9ytfuAQAAvQMAAA4AAAAAAAAAAQAgAAAAJQEAAGRycy9lMm9Eb2MueG1sUEsFBgAAAAAG&#10;AAYAWQEAAIUFAAAAAA==&#10;">
                            <v:fill on="f" focussize="0,0"/>
                            <v:stroke weight="0.5pt" color="#000000" joinstyle="round"/>
                            <v:imagedata o:title=""/>
                            <o:lock v:ext="edit" aspectratio="f"/>
                          </v:line>
                        </w:pict>
                      </mc:Fallback>
                    </mc:AlternateContent>
                  </w:r>
                  <w:r>
                    <w:rPr>
                      <w:rFonts w:hint="eastAsia" w:ascii="宋体" w:hAnsi="宋体" w:cs="宋体"/>
                      <w:color w:val="000000"/>
                      <w:szCs w:val="21"/>
                    </w:rPr>
                    <w:t>类型</w:t>
                  </w:r>
                </w:p>
                <w:p>
                  <w:pPr>
                    <w:spacing w:line="380" w:lineRule="exact"/>
                    <w:rPr>
                      <w:rFonts w:ascii="宋体" w:hAnsi="宋体" w:cs="宋体"/>
                      <w:color w:val="000000"/>
                      <w:szCs w:val="21"/>
                    </w:rPr>
                  </w:pPr>
                  <w:r>
                    <w:rPr>
                      <w:rFonts w:hint="eastAsia" w:ascii="宋体" w:hAnsi="宋体" w:cs="宋体"/>
                      <w:color w:val="000000"/>
                      <w:szCs w:val="21"/>
                    </w:rPr>
                    <w:t>中标</w:t>
                  </w:r>
                </w:p>
                <w:p>
                  <w:pPr>
                    <w:spacing w:line="380" w:lineRule="exact"/>
                    <w:rPr>
                      <w:rFonts w:ascii="宋体" w:hAnsi="宋体" w:cs="宋体"/>
                      <w:color w:val="000000"/>
                      <w:szCs w:val="21"/>
                    </w:rPr>
                  </w:pPr>
                  <w:r>
                    <w:rPr>
                      <w:rFonts w:hint="eastAsia" w:ascii="宋体" w:hAnsi="宋体" w:cs="宋体"/>
                      <w:color w:val="000000"/>
                      <w:szCs w:val="21"/>
                    </w:rPr>
                    <w:t>金额</w:t>
                  </w:r>
                </w:p>
                <w:p>
                  <w:pPr>
                    <w:spacing w:line="380" w:lineRule="exact"/>
                    <w:rPr>
                      <w:rFonts w:ascii="宋体" w:hAnsi="宋体" w:cs="宋体"/>
                      <w:color w:val="000000"/>
                      <w:szCs w:val="21"/>
                    </w:rPr>
                  </w:pPr>
                  <w:r>
                    <w:rPr>
                      <w:rFonts w:hint="eastAsia" w:ascii="宋体" w:hAnsi="宋体" w:cs="宋体"/>
                      <w:color w:val="000000"/>
                      <w:szCs w:val="21"/>
                    </w:rPr>
                    <w:t>（万元）</w:t>
                  </w:r>
                </w:p>
              </w:tc>
              <w:tc>
                <w:tcPr>
                  <w:tcW w:w="26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color w:val="000000"/>
                      <w:szCs w:val="21"/>
                    </w:rPr>
                  </w:pPr>
                  <w:r>
                    <w:rPr>
                      <w:rFonts w:hint="eastAsia" w:ascii="宋体" w:hAnsi="宋体" w:cs="宋体"/>
                      <w:color w:val="000000"/>
                      <w:szCs w:val="21"/>
                    </w:rPr>
                    <w:t>货物招标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272"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cs="宋体"/>
                      <w:color w:val="000000"/>
                      <w:szCs w:val="21"/>
                    </w:rPr>
                  </w:pPr>
                  <w:r>
                    <w:rPr>
                      <w:rFonts w:hint="eastAsia" w:ascii="宋体" w:hAnsi="宋体" w:cs="宋体"/>
                      <w:color w:val="000000"/>
                      <w:szCs w:val="21"/>
                    </w:rPr>
                    <w:t>100以下</w:t>
                  </w:r>
                </w:p>
              </w:tc>
              <w:tc>
                <w:tcPr>
                  <w:tcW w:w="2663" w:type="dxa"/>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cs="宋体"/>
                      <w:color w:val="000000"/>
                      <w:szCs w:val="21"/>
                    </w:rPr>
                  </w:pPr>
                  <w:r>
                    <w:rPr>
                      <w:rFonts w:hint="eastAsia" w:ascii="宋体" w:hAnsi="宋体" w:cs="宋体"/>
                      <w:color w:val="000000"/>
                      <w:szCs w:val="21"/>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272"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cs="宋体"/>
                      <w:color w:val="000000"/>
                      <w:szCs w:val="21"/>
                    </w:rPr>
                  </w:pPr>
                  <w:r>
                    <w:rPr>
                      <w:rFonts w:hint="eastAsia" w:ascii="宋体" w:hAnsi="宋体" w:cs="宋体"/>
                      <w:color w:val="000000"/>
                      <w:szCs w:val="21"/>
                    </w:rPr>
                    <w:t>100-500</w:t>
                  </w:r>
                </w:p>
              </w:tc>
              <w:tc>
                <w:tcPr>
                  <w:tcW w:w="2663" w:type="dxa"/>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cs="宋体"/>
                      <w:color w:val="000000"/>
                      <w:szCs w:val="21"/>
                    </w:rPr>
                  </w:pPr>
                  <w:r>
                    <w:rPr>
                      <w:rFonts w:hint="eastAsia" w:ascii="宋体" w:hAnsi="宋体" w:cs="宋体"/>
                      <w:color w:val="000000"/>
                      <w:szCs w:val="21"/>
                    </w:rPr>
                    <w:t>1.1%</w:t>
                  </w:r>
                </w:p>
              </w:tc>
            </w:tr>
          </w:tbl>
          <w:p>
            <w:pPr>
              <w:adjustRightInd w:val="0"/>
              <w:snapToGrid w:val="0"/>
              <w:spacing w:line="380" w:lineRule="exact"/>
              <w:ind w:firstLine="420"/>
              <w:rPr>
                <w:rFonts w:ascii="宋体" w:hAnsi="宋体" w:cs="宋体"/>
                <w:b/>
                <w:color w:val="000000"/>
                <w:szCs w:val="21"/>
              </w:rPr>
            </w:pPr>
            <w:r>
              <w:rPr>
                <w:rFonts w:hint="eastAsia" w:ascii="宋体" w:hAnsi="宋体" w:cs="宋体"/>
                <w:bCs/>
                <w:color w:val="000000"/>
                <w:szCs w:val="21"/>
              </w:rPr>
              <w:t>招标代理服务费采用差额累进制计算。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000000"/>
                <w:szCs w:val="21"/>
              </w:rPr>
            </w:pPr>
            <w:r>
              <w:rPr>
                <w:rFonts w:hint="eastAsia" w:ascii="宋体" w:hAnsi="宋体" w:cs="宋体"/>
                <w:color w:val="000000"/>
                <w:szCs w:val="21"/>
              </w:rPr>
              <w:t>16</w:t>
            </w:r>
          </w:p>
        </w:tc>
        <w:tc>
          <w:tcPr>
            <w:tcW w:w="881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30" w:lineRule="exact"/>
              <w:textAlignment w:val="bottom"/>
              <w:rPr>
                <w:rFonts w:ascii="宋体" w:hAnsi="宋体" w:cs="宋体"/>
                <w:color w:val="000000"/>
                <w:szCs w:val="21"/>
              </w:rPr>
            </w:pPr>
            <w:r>
              <w:rPr>
                <w:rFonts w:hint="eastAsia" w:ascii="宋体" w:hAnsi="宋体" w:cs="宋体"/>
                <w:color w:val="000000"/>
                <w:szCs w:val="21"/>
              </w:rPr>
              <w:t>采购资金来源：</w:t>
            </w:r>
            <w:r>
              <w:rPr>
                <w:rFonts w:hint="eastAsia" w:hAnsi="宋体"/>
                <w:bCs/>
                <w:color w:val="000000"/>
                <w:szCs w:val="21"/>
              </w:rPr>
              <w:t>政府财政性资金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000000"/>
                <w:szCs w:val="21"/>
              </w:rPr>
            </w:pPr>
            <w:r>
              <w:rPr>
                <w:rFonts w:hint="eastAsia" w:ascii="宋体" w:hAnsi="宋体" w:cs="宋体"/>
                <w:color w:val="000000"/>
                <w:szCs w:val="21"/>
              </w:rPr>
              <w:t>17</w:t>
            </w:r>
          </w:p>
        </w:tc>
        <w:tc>
          <w:tcPr>
            <w:tcW w:w="8813"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rPr>
                <w:rFonts w:ascii="宋体" w:hAnsi="宋体" w:cs="宋体"/>
                <w:color w:val="000000"/>
                <w:szCs w:val="21"/>
              </w:rPr>
            </w:pPr>
            <w:r>
              <w:rPr>
                <w:rFonts w:hint="eastAsia" w:ascii="宋体" w:hAnsi="宋体" w:cs="宋体"/>
                <w:color w:val="000000"/>
                <w:szCs w:val="21"/>
              </w:rPr>
              <w:t>竞争性谈判采购文件有效期：自竞标截止之日起60天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000000"/>
                <w:szCs w:val="21"/>
              </w:rPr>
            </w:pPr>
            <w:r>
              <w:rPr>
                <w:rFonts w:hint="eastAsia" w:ascii="宋体" w:hAnsi="宋体" w:cs="宋体"/>
                <w:color w:val="000000"/>
                <w:szCs w:val="21"/>
              </w:rPr>
              <w:t>18</w:t>
            </w:r>
          </w:p>
        </w:tc>
        <w:tc>
          <w:tcPr>
            <w:tcW w:w="8813"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rPr>
                <w:rFonts w:ascii="宋体" w:hAnsi="宋体" w:cs="宋体"/>
                <w:color w:val="000000"/>
                <w:szCs w:val="21"/>
              </w:rPr>
            </w:pPr>
            <w:r>
              <w:rPr>
                <w:rFonts w:hint="eastAsia" w:ascii="宋体" w:hAnsi="宋体" w:cs="宋体"/>
                <w:color w:val="000000"/>
                <w:szCs w:val="21"/>
              </w:rPr>
              <w:t>解释：本竞争性谈判采购文件的解释权属于招标采购单位</w:t>
            </w:r>
          </w:p>
        </w:tc>
      </w:tr>
    </w:tbl>
    <w:p>
      <w:pPr>
        <w:spacing w:line="400" w:lineRule="exact"/>
        <w:rPr>
          <w:rFonts w:ascii="宋体" w:hAnsi="宋体"/>
          <w:b/>
          <w:color w:val="000000"/>
          <w:sz w:val="32"/>
          <w:szCs w:val="32"/>
        </w:rPr>
      </w:pPr>
    </w:p>
    <w:p>
      <w:pPr>
        <w:spacing w:line="400" w:lineRule="exact"/>
        <w:jc w:val="center"/>
        <w:rPr>
          <w:rFonts w:ascii="宋体" w:hAnsi="宋体"/>
          <w:b/>
          <w:color w:val="000000"/>
          <w:sz w:val="32"/>
          <w:szCs w:val="32"/>
        </w:rPr>
      </w:pPr>
    </w:p>
    <w:p>
      <w:pPr>
        <w:spacing w:line="400" w:lineRule="exact"/>
        <w:rPr>
          <w:rFonts w:ascii="宋体" w:hAnsi="宋体"/>
          <w:b/>
          <w:sz w:val="30"/>
          <w:szCs w:val="30"/>
        </w:rPr>
      </w:pPr>
    </w:p>
    <w:p>
      <w:pPr>
        <w:spacing w:line="400" w:lineRule="exact"/>
        <w:jc w:val="center"/>
        <w:rPr>
          <w:rFonts w:ascii="宋体" w:hAnsi="宋体"/>
          <w:b/>
          <w:sz w:val="30"/>
          <w:szCs w:val="30"/>
        </w:rPr>
      </w:pPr>
      <w:r>
        <w:rPr>
          <w:rFonts w:hint="eastAsia" w:ascii="宋体" w:hAnsi="宋体"/>
          <w:b/>
          <w:sz w:val="30"/>
          <w:szCs w:val="30"/>
        </w:rPr>
        <w:t>谈判须知</w:t>
      </w:r>
    </w:p>
    <w:p>
      <w:pPr>
        <w:spacing w:line="400" w:lineRule="exact"/>
        <w:ind w:firstLine="422" w:firstLineChars="200"/>
        <w:rPr>
          <w:rFonts w:ascii="宋体" w:hAnsi="宋体"/>
          <w:b/>
          <w:szCs w:val="21"/>
        </w:rPr>
      </w:pPr>
      <w:r>
        <w:rPr>
          <w:rFonts w:hint="eastAsia" w:ascii="宋体" w:hAnsi="宋体"/>
          <w:b/>
          <w:szCs w:val="21"/>
        </w:rPr>
        <w:t>一、总　则</w:t>
      </w:r>
    </w:p>
    <w:p>
      <w:pPr>
        <w:spacing w:line="400" w:lineRule="exact"/>
        <w:ind w:firstLine="422" w:firstLineChars="200"/>
        <w:rPr>
          <w:rFonts w:ascii="宋体" w:hAnsi="宋体"/>
          <w:b/>
          <w:szCs w:val="21"/>
        </w:rPr>
      </w:pPr>
      <w:r>
        <w:rPr>
          <w:rFonts w:hint="eastAsia" w:ascii="宋体" w:hAnsi="宋体"/>
          <w:b/>
          <w:szCs w:val="21"/>
        </w:rPr>
        <w:t>1.适用范围</w:t>
      </w:r>
    </w:p>
    <w:p>
      <w:pPr>
        <w:spacing w:line="400" w:lineRule="exact"/>
        <w:ind w:firstLine="420" w:firstLineChars="200"/>
        <w:rPr>
          <w:rFonts w:ascii="宋体" w:hAnsi="宋体"/>
          <w:szCs w:val="21"/>
        </w:rPr>
      </w:pPr>
      <w:r>
        <w:rPr>
          <w:rFonts w:hint="eastAsia" w:ascii="宋体" w:hAnsi="宋体"/>
          <w:szCs w:val="21"/>
        </w:rPr>
        <w:t>1.1 本文件仅适用于本文件中所叙述的货物、服务类政府采购项目。</w:t>
      </w:r>
    </w:p>
    <w:p>
      <w:pPr>
        <w:spacing w:line="400" w:lineRule="exact"/>
        <w:ind w:firstLine="422" w:firstLineChars="200"/>
        <w:rPr>
          <w:rFonts w:ascii="宋体" w:hAnsi="宋体"/>
          <w:b/>
          <w:szCs w:val="21"/>
        </w:rPr>
      </w:pPr>
      <w:r>
        <w:rPr>
          <w:rFonts w:hint="eastAsia" w:ascii="宋体" w:hAnsi="宋体"/>
          <w:b/>
          <w:szCs w:val="21"/>
        </w:rPr>
        <w:t>2.定义</w:t>
      </w:r>
    </w:p>
    <w:p>
      <w:pPr>
        <w:spacing w:line="400" w:lineRule="exact"/>
        <w:ind w:firstLine="420" w:firstLineChars="200"/>
        <w:rPr>
          <w:rFonts w:ascii="宋体" w:hAnsi="宋体"/>
          <w:color w:val="FF0000"/>
          <w:szCs w:val="21"/>
        </w:rPr>
      </w:pPr>
      <w:r>
        <w:rPr>
          <w:rFonts w:hint="eastAsia" w:ascii="宋体" w:hAnsi="宋体"/>
          <w:szCs w:val="21"/>
        </w:rPr>
        <w:t>2.1“采购人”是指：依法进行政府采购的国家机关、事业单位、团体组织。</w:t>
      </w:r>
    </w:p>
    <w:p>
      <w:pPr>
        <w:spacing w:line="400" w:lineRule="exact"/>
        <w:ind w:firstLine="420" w:firstLineChars="200"/>
        <w:rPr>
          <w:rFonts w:ascii="宋体" w:hAnsi="宋体"/>
          <w:szCs w:val="21"/>
        </w:rPr>
      </w:pPr>
      <w:r>
        <w:rPr>
          <w:rFonts w:hint="eastAsia" w:ascii="宋体" w:hAnsi="宋体"/>
          <w:szCs w:val="21"/>
        </w:rPr>
        <w:t>2.2“采购代理机构”是指：根据采购人的委托办理采购事宜的机构，本项目的采购代理机构为广西中吉银工程项目管理有限公司。</w:t>
      </w:r>
    </w:p>
    <w:p>
      <w:pPr>
        <w:spacing w:line="400" w:lineRule="exact"/>
        <w:ind w:firstLine="420" w:firstLineChars="200"/>
        <w:rPr>
          <w:rFonts w:ascii="宋体" w:hAnsi="宋体"/>
          <w:szCs w:val="21"/>
        </w:rPr>
      </w:pPr>
      <w:r>
        <w:rPr>
          <w:rFonts w:hint="eastAsia" w:ascii="宋体" w:hAnsi="宋体"/>
          <w:szCs w:val="21"/>
        </w:rPr>
        <w:t>2.3“供应商”是指购买了竞争性谈判文件，响应本文件要求，参加谈判的法人、其他组织或者自然人。如果该供应商在本次谈判中成交，即成为“成交供应商”。</w:t>
      </w:r>
    </w:p>
    <w:p>
      <w:pPr>
        <w:spacing w:line="400" w:lineRule="exact"/>
        <w:ind w:firstLine="420" w:firstLineChars="200"/>
        <w:rPr>
          <w:rFonts w:ascii="宋体" w:hAnsi="宋体"/>
          <w:szCs w:val="21"/>
        </w:rPr>
      </w:pPr>
      <w:r>
        <w:rPr>
          <w:rFonts w:hint="eastAsia" w:ascii="宋体" w:hAnsi="宋体"/>
          <w:szCs w:val="21"/>
        </w:rPr>
        <w:t>2.4“货物”是指各种形态和种类的物品，包括原材料、燃料、设备、产品等。</w:t>
      </w:r>
    </w:p>
    <w:p>
      <w:pPr>
        <w:spacing w:line="400" w:lineRule="exact"/>
        <w:ind w:firstLine="420" w:firstLineChars="200"/>
        <w:rPr>
          <w:rFonts w:ascii="宋体" w:hAnsi="宋体"/>
          <w:szCs w:val="21"/>
        </w:rPr>
      </w:pPr>
      <w:r>
        <w:rPr>
          <w:rFonts w:hint="eastAsia" w:ascii="宋体" w:hAnsi="宋体"/>
          <w:szCs w:val="21"/>
        </w:rPr>
        <w:t>2.5“服务”是指除货物和工程以外的其他政府采购对象。</w:t>
      </w:r>
    </w:p>
    <w:p>
      <w:pPr>
        <w:spacing w:line="400" w:lineRule="exact"/>
        <w:ind w:firstLine="420" w:firstLineChars="200"/>
        <w:rPr>
          <w:rFonts w:ascii="宋体" w:hAnsi="宋体"/>
          <w:szCs w:val="21"/>
        </w:rPr>
      </w:pPr>
      <w:r>
        <w:rPr>
          <w:rFonts w:hint="eastAsia" w:ascii="宋体" w:hAnsi="宋体"/>
          <w:szCs w:val="21"/>
        </w:rPr>
        <w:t>2.6“响应文件”是指：供应商根据本文件要求，编制包含报价、技术和服务等所有内容的文件。</w:t>
      </w:r>
    </w:p>
    <w:p>
      <w:pPr>
        <w:spacing w:line="400" w:lineRule="exact"/>
        <w:ind w:firstLine="422" w:firstLineChars="200"/>
        <w:rPr>
          <w:rFonts w:ascii="宋体" w:hAnsi="宋体"/>
          <w:b/>
          <w:szCs w:val="21"/>
        </w:rPr>
      </w:pPr>
      <w:r>
        <w:rPr>
          <w:rFonts w:hint="eastAsia" w:ascii="宋体" w:hAnsi="宋体"/>
          <w:b/>
          <w:szCs w:val="21"/>
        </w:rPr>
        <w:t>3.供应商的资格条件</w:t>
      </w:r>
    </w:p>
    <w:p>
      <w:pPr>
        <w:spacing w:line="400" w:lineRule="exact"/>
        <w:ind w:firstLine="420" w:firstLineChars="200"/>
        <w:rPr>
          <w:rFonts w:ascii="宋体" w:hAnsi="宋体" w:cs="Arial"/>
          <w:szCs w:val="21"/>
        </w:rPr>
      </w:pPr>
      <w:r>
        <w:rPr>
          <w:rFonts w:hint="eastAsia" w:ascii="宋体" w:hAnsi="宋体"/>
          <w:szCs w:val="21"/>
        </w:rPr>
        <w:t>3.1</w:t>
      </w:r>
      <w:r>
        <w:rPr>
          <w:rFonts w:hint="eastAsia" w:ascii="宋体" w:hAnsi="宋体" w:cs="Arial"/>
          <w:szCs w:val="21"/>
        </w:rPr>
        <w:t>参加本项目的供应商必须满足符合《中华人民共和国政府采购法》第二十二条规定。</w:t>
      </w:r>
    </w:p>
    <w:p>
      <w:pPr>
        <w:spacing w:line="400" w:lineRule="exact"/>
        <w:ind w:firstLine="420" w:firstLineChars="200"/>
        <w:rPr>
          <w:rFonts w:ascii="宋体" w:hAnsi="宋体" w:cs="Arial"/>
          <w:szCs w:val="21"/>
        </w:rPr>
      </w:pPr>
      <w:r>
        <w:rPr>
          <w:rFonts w:hint="eastAsia" w:ascii="宋体" w:hAnsi="宋体" w:cs="Arial"/>
          <w:szCs w:val="21"/>
        </w:rPr>
        <w:t xml:space="preserve">3.2参加本项目的供应商应满足的其它特定资格条件：具体见“谈判须知前附表”要求。 </w:t>
      </w:r>
    </w:p>
    <w:p>
      <w:pPr>
        <w:spacing w:line="400" w:lineRule="exact"/>
        <w:ind w:firstLine="420" w:firstLineChars="200"/>
        <w:rPr>
          <w:rFonts w:ascii="宋体" w:hAnsi="宋体" w:cs="Arial"/>
          <w:szCs w:val="21"/>
        </w:rPr>
      </w:pPr>
      <w:r>
        <w:rPr>
          <w:rFonts w:hint="eastAsia" w:ascii="宋体" w:hAnsi="宋体" w:cs="Arial"/>
          <w:szCs w:val="21"/>
        </w:rPr>
        <w:t>3.3谈判须知前附表规定接受联合体竞标的，两个以上供应商可以组成一个竞标联合体，以一个供应商的身份共同参加竞标。以联合体形式参加竞标的，联合体各方均应当符合《中华人民共和国政府采购法》第二十二条规定；</w:t>
      </w:r>
      <w:r>
        <w:rPr>
          <w:rFonts w:hint="eastAsia" w:hAnsi="宋体"/>
        </w:rPr>
        <w:t>本项目有特殊要求规定供应商特定资格条件的，联合体各方中至少应当有一方符合谈判文件规定的特定资格条件</w:t>
      </w:r>
      <w:r>
        <w:rPr>
          <w:rFonts w:hint="eastAsia" w:ascii="宋体" w:hAnsi="宋体" w:cs="Arial"/>
          <w:szCs w:val="21"/>
        </w:rPr>
        <w:t>。联合体各方应签订共同竞标协议，明确联合体各方承担的工作和相应的责任，并将共同竞标协议连同响应文件一并提交。由同一专业的单位组成的联合体，按照资质等级较低的单位确定资质等级。联合体各方不得再以自己名义单独或组成新的联合体参加同一项目同一分标竞标，否则与之相关的响应文件作废。联合体的业绩和信誉按联合体主体方（或牵头方）计算。根据《政府采购促进中小企业发展暂行办法》第六条规定，“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联合体各方均为小型、微型企业的，联合体视同为小型、微型企业享受本办法第四条、第五条规定的扶持政策。组成联合体的大中型企业和其他自然人、法人或者其他组织，与小型、微型企业之间不得存在投资关系。”联合体协议书格式见第六章附件。</w:t>
      </w:r>
    </w:p>
    <w:p>
      <w:pPr>
        <w:spacing w:line="400" w:lineRule="exact"/>
        <w:ind w:firstLine="420" w:firstLineChars="200"/>
        <w:rPr>
          <w:rFonts w:ascii="宋体" w:hAnsi="宋体"/>
          <w:szCs w:val="21"/>
          <w:u w:val="single"/>
        </w:rPr>
      </w:pPr>
      <w:r>
        <w:rPr>
          <w:rFonts w:hint="eastAsia" w:ascii="宋体" w:hAnsi="宋体" w:cs="Arial"/>
          <w:szCs w:val="21"/>
        </w:rPr>
        <w:t>谈判须知前附表规定不接受联合体竞标的，本须知所有相关联合体要求及格式文件均不适用。供应商以联合体形式参加竞标的，竞标无效。</w:t>
      </w:r>
    </w:p>
    <w:p>
      <w:pPr>
        <w:spacing w:line="400" w:lineRule="exact"/>
        <w:ind w:firstLine="422" w:firstLineChars="200"/>
        <w:rPr>
          <w:rFonts w:ascii="宋体" w:hAnsi="宋体"/>
          <w:b/>
          <w:szCs w:val="21"/>
        </w:rPr>
      </w:pPr>
      <w:r>
        <w:rPr>
          <w:rFonts w:hint="eastAsia" w:ascii="宋体" w:hAnsi="宋体"/>
          <w:b/>
          <w:szCs w:val="21"/>
        </w:rPr>
        <w:t>4. 谈判费用</w:t>
      </w:r>
    </w:p>
    <w:p>
      <w:pPr>
        <w:spacing w:line="400" w:lineRule="exact"/>
        <w:ind w:firstLine="420" w:firstLineChars="200"/>
        <w:rPr>
          <w:rFonts w:ascii="宋体" w:hAnsi="宋体"/>
          <w:szCs w:val="21"/>
        </w:rPr>
      </w:pPr>
      <w:r>
        <w:rPr>
          <w:rFonts w:hint="eastAsia" w:ascii="宋体" w:hAnsi="宋体"/>
          <w:szCs w:val="21"/>
        </w:rPr>
        <w:t xml:space="preserve">4.1 </w:t>
      </w:r>
      <w:r>
        <w:rPr>
          <w:rFonts w:hint="eastAsia" w:ascii="宋体" w:hAnsi="宋体" w:cs="Arial"/>
          <w:szCs w:val="21"/>
        </w:rPr>
        <w:t>供应商</w:t>
      </w:r>
      <w:r>
        <w:rPr>
          <w:rFonts w:hint="eastAsia" w:ascii="宋体" w:hAnsi="宋体"/>
          <w:szCs w:val="21"/>
        </w:rPr>
        <w:t>应自行承担所有与编写和提交响应文件有关的费用，不论谈判结果如何，采购人和采购代理机构在任何情况下无义务和责任承担此类费用。</w:t>
      </w:r>
    </w:p>
    <w:p>
      <w:pPr>
        <w:spacing w:line="400" w:lineRule="exact"/>
        <w:ind w:firstLine="422" w:firstLineChars="200"/>
        <w:rPr>
          <w:rFonts w:ascii="宋体" w:hAnsi="宋体"/>
          <w:b/>
          <w:szCs w:val="21"/>
        </w:rPr>
      </w:pPr>
      <w:r>
        <w:rPr>
          <w:rFonts w:hint="eastAsia" w:ascii="宋体" w:hAnsi="宋体"/>
          <w:b/>
          <w:szCs w:val="21"/>
        </w:rPr>
        <w:t>二、竞争性谈判文件</w:t>
      </w:r>
    </w:p>
    <w:p>
      <w:pPr>
        <w:spacing w:line="400" w:lineRule="exact"/>
        <w:ind w:firstLine="422" w:firstLineChars="200"/>
        <w:rPr>
          <w:rFonts w:ascii="宋体" w:hAnsi="宋体"/>
          <w:b/>
          <w:szCs w:val="21"/>
        </w:rPr>
      </w:pPr>
      <w:r>
        <w:rPr>
          <w:rFonts w:hint="eastAsia" w:ascii="宋体" w:hAnsi="宋体"/>
          <w:b/>
          <w:szCs w:val="21"/>
        </w:rPr>
        <w:t>5.竞争性谈判文件的组成</w:t>
      </w:r>
    </w:p>
    <w:p>
      <w:pPr>
        <w:spacing w:line="400" w:lineRule="exact"/>
        <w:ind w:firstLine="420" w:firstLineChars="200"/>
        <w:rPr>
          <w:rFonts w:ascii="宋体" w:hAnsi="宋体"/>
          <w:szCs w:val="21"/>
        </w:rPr>
      </w:pPr>
      <w:r>
        <w:rPr>
          <w:rFonts w:hint="eastAsia" w:ascii="宋体" w:hAnsi="宋体"/>
          <w:szCs w:val="21"/>
        </w:rPr>
        <w:t>5.1 本竞争性谈判文件包括六个章节，各章的内容如下：</w:t>
      </w:r>
    </w:p>
    <w:p>
      <w:pPr>
        <w:spacing w:line="400" w:lineRule="exact"/>
        <w:ind w:firstLine="420" w:firstLineChars="200"/>
        <w:rPr>
          <w:rFonts w:ascii="宋体" w:hAnsi="宋体"/>
          <w:szCs w:val="21"/>
        </w:rPr>
      </w:pPr>
      <w:r>
        <w:rPr>
          <w:rFonts w:hint="eastAsia" w:ascii="宋体" w:hAnsi="宋体"/>
          <w:szCs w:val="21"/>
        </w:rPr>
        <w:t>第一章  竞争性谈判公告</w:t>
      </w:r>
    </w:p>
    <w:p>
      <w:pPr>
        <w:spacing w:line="400" w:lineRule="exact"/>
        <w:ind w:firstLine="420" w:firstLineChars="200"/>
        <w:rPr>
          <w:rFonts w:ascii="宋体" w:hAnsi="宋体"/>
          <w:szCs w:val="21"/>
        </w:rPr>
      </w:pPr>
      <w:r>
        <w:rPr>
          <w:rFonts w:hint="eastAsia" w:ascii="宋体" w:hAnsi="宋体"/>
          <w:szCs w:val="21"/>
        </w:rPr>
        <w:t>第二章  谈判须知及前附表</w:t>
      </w:r>
    </w:p>
    <w:p>
      <w:pPr>
        <w:spacing w:line="400" w:lineRule="exact"/>
        <w:ind w:firstLine="420" w:firstLineChars="200"/>
        <w:rPr>
          <w:rFonts w:ascii="宋体" w:hAnsi="宋体"/>
          <w:szCs w:val="21"/>
        </w:rPr>
      </w:pPr>
      <w:r>
        <w:rPr>
          <w:rFonts w:hint="eastAsia" w:ascii="宋体" w:hAnsi="宋体"/>
          <w:szCs w:val="21"/>
        </w:rPr>
        <w:t>第三章  评审方法</w:t>
      </w:r>
    </w:p>
    <w:p>
      <w:pPr>
        <w:spacing w:line="400" w:lineRule="exact"/>
        <w:ind w:firstLine="420" w:firstLineChars="200"/>
        <w:rPr>
          <w:rFonts w:ascii="宋体" w:hAnsi="宋体"/>
          <w:szCs w:val="21"/>
        </w:rPr>
      </w:pPr>
      <w:r>
        <w:rPr>
          <w:rFonts w:hint="eastAsia" w:ascii="宋体" w:hAnsi="宋体"/>
          <w:szCs w:val="21"/>
        </w:rPr>
        <w:t>第四章  采购项目技术规格、参数及要求</w:t>
      </w:r>
    </w:p>
    <w:p>
      <w:pPr>
        <w:spacing w:line="400" w:lineRule="exact"/>
        <w:ind w:firstLine="420" w:firstLineChars="200"/>
        <w:rPr>
          <w:rFonts w:ascii="宋体" w:hAnsi="宋体"/>
          <w:szCs w:val="21"/>
        </w:rPr>
      </w:pPr>
      <w:r>
        <w:rPr>
          <w:rFonts w:hint="eastAsia" w:ascii="宋体" w:hAnsi="宋体"/>
          <w:szCs w:val="21"/>
        </w:rPr>
        <w:t>第五章  合同条款及格式</w:t>
      </w:r>
    </w:p>
    <w:p>
      <w:pPr>
        <w:spacing w:line="400" w:lineRule="exact"/>
        <w:ind w:firstLine="420" w:firstLineChars="200"/>
        <w:rPr>
          <w:rFonts w:ascii="宋体" w:hAnsi="宋体"/>
          <w:szCs w:val="21"/>
        </w:rPr>
      </w:pPr>
      <w:r>
        <w:rPr>
          <w:rFonts w:hint="eastAsia" w:ascii="宋体" w:hAnsi="宋体"/>
          <w:szCs w:val="21"/>
        </w:rPr>
        <w:t>第六章  响应文件基本格式</w:t>
      </w:r>
    </w:p>
    <w:p>
      <w:pPr>
        <w:pStyle w:val="7"/>
        <w:spacing w:line="440" w:lineRule="exact"/>
        <w:ind w:firstLine="442" w:firstLineChars="221"/>
        <w:rPr>
          <w:rFonts w:hAnsi="宋体"/>
          <w:szCs w:val="21"/>
        </w:rPr>
      </w:pPr>
      <w:r>
        <w:rPr>
          <w:rFonts w:hint="eastAsia" w:hAnsi="宋体"/>
          <w:szCs w:val="21"/>
        </w:rPr>
        <w:t>5.2  根据本章第6.1项的规定对竞争性谈判文件所做的澄清、修改，构成竞争性谈判文件的组成部分。当竞争性谈判文件与竞争性谈判文件的澄清和修改就同一内容的表述不一致时，以最后发出的书面文件为准。</w:t>
      </w:r>
    </w:p>
    <w:p>
      <w:pPr>
        <w:pStyle w:val="7"/>
        <w:spacing w:line="440" w:lineRule="exact"/>
        <w:ind w:firstLine="444" w:firstLineChars="221"/>
        <w:rPr>
          <w:rFonts w:hAnsi="宋体"/>
          <w:b/>
          <w:bCs/>
          <w:szCs w:val="21"/>
        </w:rPr>
      </w:pPr>
      <w:r>
        <w:rPr>
          <w:rFonts w:hint="eastAsia" w:hAnsi="宋体"/>
          <w:b/>
          <w:bCs/>
          <w:szCs w:val="21"/>
        </w:rPr>
        <w:t>6. 竞争性谈判文件的澄清和修改</w:t>
      </w:r>
    </w:p>
    <w:p>
      <w:pPr>
        <w:pStyle w:val="7"/>
        <w:spacing w:line="440" w:lineRule="exact"/>
        <w:ind w:left="2" w:leftChars="1" w:firstLine="448" w:firstLineChars="224"/>
        <w:rPr>
          <w:szCs w:val="21"/>
        </w:rPr>
      </w:pPr>
      <w:r>
        <w:rPr>
          <w:rFonts w:hint="eastAsia" w:hAnsi="宋体"/>
          <w:szCs w:val="21"/>
        </w:rPr>
        <w:t>6.1 采购人或采购代理机构</w:t>
      </w:r>
      <w:r>
        <w:rPr>
          <w:rFonts w:hint="eastAsia"/>
          <w:szCs w:val="21"/>
        </w:rPr>
        <w:t>对已发出的竞争性谈判文件进行必要澄清或修改的，应当在提交首次响应文件截止之日三个工作日前，以书面形式通知所有竞争性谈判文件收受人，不足三个工作日的，应当顺延提交响应文件截止之日；同时，采购代理机构在</w:t>
      </w:r>
      <w:r>
        <w:rPr>
          <w:rFonts w:hint="eastAsia" w:hAnsi="宋体"/>
          <w:szCs w:val="21"/>
        </w:rPr>
        <w:t>竞争性谈判公告的发布媒体</w:t>
      </w:r>
      <w:r>
        <w:rPr>
          <w:rFonts w:hint="eastAsia"/>
          <w:szCs w:val="21"/>
        </w:rPr>
        <w:t>上发布更正公告。</w:t>
      </w:r>
    </w:p>
    <w:p>
      <w:pPr>
        <w:pStyle w:val="7"/>
        <w:spacing w:line="440" w:lineRule="exact"/>
        <w:ind w:left="2" w:leftChars="1" w:firstLine="448" w:firstLineChars="224"/>
        <w:rPr>
          <w:szCs w:val="21"/>
        </w:rPr>
      </w:pPr>
      <w:r>
        <w:rPr>
          <w:rFonts w:hint="eastAsia"/>
          <w:szCs w:val="21"/>
        </w:rPr>
        <w:t>6.2  采购人和采购代理机构可以视采购具体情况，延长首次响应文件递交截止时间，但应当在递交首次响应文件截止之日三个工作日前，将变更时间书面通知所有竞争性谈判文件收受人，不足三个工作日的，应当顺延递交首次响应文件截止之日。同时，采购代理机构在</w:t>
      </w:r>
      <w:r>
        <w:rPr>
          <w:rFonts w:hint="eastAsia" w:hAnsi="宋体"/>
          <w:szCs w:val="21"/>
        </w:rPr>
        <w:t>竞争性谈判公告的发布媒体</w:t>
      </w:r>
      <w:r>
        <w:rPr>
          <w:rFonts w:hint="eastAsia"/>
          <w:szCs w:val="21"/>
        </w:rPr>
        <w:t>上发布更正公告。</w:t>
      </w:r>
    </w:p>
    <w:p>
      <w:pPr>
        <w:pStyle w:val="7"/>
        <w:spacing w:line="440" w:lineRule="exact"/>
        <w:ind w:left="2" w:leftChars="1" w:firstLine="448" w:firstLineChars="224"/>
        <w:rPr>
          <w:rFonts w:hAnsi="宋体"/>
          <w:b/>
          <w:szCs w:val="21"/>
        </w:rPr>
      </w:pPr>
      <w:r>
        <w:rPr>
          <w:rFonts w:hint="eastAsia"/>
          <w:szCs w:val="21"/>
        </w:rPr>
        <w:t>三、</w:t>
      </w:r>
      <w:r>
        <w:rPr>
          <w:rFonts w:hint="eastAsia" w:hAnsi="宋体"/>
          <w:b/>
          <w:szCs w:val="21"/>
        </w:rPr>
        <w:t>首次响应文件</w:t>
      </w:r>
    </w:p>
    <w:p>
      <w:pPr>
        <w:spacing w:line="400" w:lineRule="exact"/>
        <w:ind w:firstLine="422" w:firstLineChars="200"/>
        <w:rPr>
          <w:rFonts w:ascii="宋体" w:hAnsi="宋体"/>
          <w:b/>
          <w:szCs w:val="21"/>
        </w:rPr>
      </w:pPr>
      <w:r>
        <w:rPr>
          <w:rFonts w:hint="eastAsia" w:ascii="宋体" w:hAnsi="宋体"/>
          <w:b/>
          <w:szCs w:val="21"/>
        </w:rPr>
        <w:t>7. 首次响应文件编制基本要求</w:t>
      </w:r>
    </w:p>
    <w:p>
      <w:pPr>
        <w:spacing w:line="400" w:lineRule="exact"/>
        <w:ind w:firstLine="420" w:firstLineChars="200"/>
        <w:rPr>
          <w:rFonts w:ascii="宋体" w:hAnsi="宋体"/>
          <w:szCs w:val="21"/>
        </w:rPr>
      </w:pPr>
      <w:r>
        <w:rPr>
          <w:rFonts w:hint="eastAsia" w:ascii="宋体" w:hAnsi="宋体"/>
          <w:szCs w:val="21"/>
        </w:rPr>
        <w:t xml:space="preserve">7.1  </w:t>
      </w:r>
      <w:r>
        <w:rPr>
          <w:rFonts w:hint="eastAsia" w:ascii="宋体" w:hAnsi="宋体" w:cs="Arial"/>
          <w:szCs w:val="21"/>
        </w:rPr>
        <w:t>供应商</w:t>
      </w:r>
      <w:r>
        <w:rPr>
          <w:rFonts w:hint="eastAsia" w:ascii="宋体" w:hAnsi="宋体"/>
          <w:szCs w:val="21"/>
        </w:rPr>
        <w:t>应仔细阅读竞争性谈判文件，在充分了解采购的内容、服务要求和商务条款以及实质性要求和条件后，编写首次响应文件。</w:t>
      </w:r>
    </w:p>
    <w:p>
      <w:pPr>
        <w:spacing w:line="400" w:lineRule="exact"/>
        <w:ind w:firstLine="420" w:firstLineChars="200"/>
        <w:rPr>
          <w:rFonts w:ascii="宋体" w:hAnsi="宋体"/>
          <w:szCs w:val="21"/>
        </w:rPr>
      </w:pPr>
      <w:r>
        <w:rPr>
          <w:rFonts w:hint="eastAsia" w:ascii="宋体" w:hAnsi="宋体"/>
          <w:szCs w:val="21"/>
        </w:rPr>
        <w:t>7.2  对竞争性谈判文件的实质性要求和条件作出响应是指</w:t>
      </w:r>
      <w:r>
        <w:rPr>
          <w:rFonts w:hint="eastAsia" w:ascii="宋体" w:hAnsi="宋体" w:cs="Arial"/>
          <w:szCs w:val="21"/>
        </w:rPr>
        <w:t>供应商</w:t>
      </w:r>
      <w:r>
        <w:rPr>
          <w:rFonts w:hint="eastAsia" w:ascii="宋体" w:hAnsi="宋体"/>
          <w:szCs w:val="21"/>
        </w:rPr>
        <w:t>必须对竞争性谈判文件中标注为实质性要求和条件的服务要求、商务条款及其它内容作出满足或者优于原要求和条件的承诺，必要时提供证明材料。竞争性谈判文件中标注★号的内容为实质性要求和条件。</w:t>
      </w:r>
    </w:p>
    <w:p>
      <w:pPr>
        <w:spacing w:line="400" w:lineRule="exact"/>
        <w:ind w:firstLine="420" w:firstLineChars="200"/>
        <w:rPr>
          <w:rFonts w:ascii="宋体" w:hAnsi="宋体"/>
          <w:szCs w:val="21"/>
        </w:rPr>
      </w:pPr>
      <w:r>
        <w:rPr>
          <w:rFonts w:hint="eastAsia" w:ascii="宋体" w:hAnsi="宋体"/>
          <w:szCs w:val="21"/>
        </w:rPr>
        <w:t xml:space="preserve">7.3  </w:t>
      </w:r>
      <w:r>
        <w:rPr>
          <w:rFonts w:hint="eastAsia" w:ascii="宋体" w:hAnsi="宋体" w:cs="Arial"/>
          <w:szCs w:val="21"/>
        </w:rPr>
        <w:t>供应商</w:t>
      </w:r>
      <w:r>
        <w:rPr>
          <w:rFonts w:hint="eastAsia" w:ascii="宋体" w:hAnsi="宋体"/>
          <w:szCs w:val="21"/>
        </w:rPr>
        <w:t>提交的首次响应文件以及</w:t>
      </w:r>
      <w:r>
        <w:rPr>
          <w:rFonts w:hint="eastAsia" w:ascii="宋体" w:hAnsi="宋体" w:cs="Arial"/>
          <w:szCs w:val="21"/>
        </w:rPr>
        <w:t>供应商</w:t>
      </w:r>
      <w:r>
        <w:rPr>
          <w:rFonts w:hint="eastAsia" w:ascii="宋体" w:hAnsi="宋体"/>
          <w:szCs w:val="21"/>
        </w:rPr>
        <w:t>与</w:t>
      </w:r>
      <w:r>
        <w:rPr>
          <w:rFonts w:hint="eastAsia"/>
          <w:szCs w:val="21"/>
        </w:rPr>
        <w:t>采购代理机构</w:t>
      </w:r>
      <w:r>
        <w:rPr>
          <w:rFonts w:hint="eastAsia" w:ascii="宋体" w:hAnsi="宋体"/>
          <w:szCs w:val="21"/>
        </w:rPr>
        <w:t>和采购人就有关谈判的所有来往函电均应使用中文。</w:t>
      </w:r>
      <w:r>
        <w:rPr>
          <w:rFonts w:hint="eastAsia" w:ascii="宋体" w:hAnsi="宋体" w:cs="Arial"/>
          <w:szCs w:val="21"/>
        </w:rPr>
        <w:t>供应商</w:t>
      </w:r>
      <w:r>
        <w:rPr>
          <w:rFonts w:hint="eastAsia" w:ascii="宋体" w:hAnsi="宋体"/>
          <w:szCs w:val="21"/>
        </w:rPr>
        <w:t>提交的支持文件和印刷的文献可以使用别的语言，但其相应内容必须附有中文翻译文本，在解释响应文件时以翻译文本为主。</w:t>
      </w:r>
    </w:p>
    <w:p>
      <w:pPr>
        <w:spacing w:line="400" w:lineRule="exact"/>
        <w:ind w:firstLine="420" w:firstLineChars="200"/>
        <w:rPr>
          <w:rFonts w:ascii="宋体" w:hAnsi="宋体"/>
          <w:szCs w:val="21"/>
        </w:rPr>
      </w:pPr>
      <w:r>
        <w:rPr>
          <w:rFonts w:hint="eastAsia" w:ascii="宋体" w:hAnsi="宋体"/>
          <w:szCs w:val="21"/>
        </w:rPr>
        <w:t>7.4  第四章“响应文件基本格式”中规定了响应文件格式的，应按相应格式要求编写。</w:t>
      </w:r>
    </w:p>
    <w:p>
      <w:pPr>
        <w:pStyle w:val="7"/>
        <w:spacing w:line="440" w:lineRule="exact"/>
        <w:ind w:left="2" w:firstLine="418"/>
        <w:rPr>
          <w:rFonts w:hAnsi="宋体"/>
          <w:szCs w:val="21"/>
        </w:rPr>
      </w:pPr>
      <w:r>
        <w:rPr>
          <w:rFonts w:hint="eastAsia" w:hAnsi="宋体"/>
          <w:szCs w:val="21"/>
        </w:rPr>
        <w:t>7.5  响应文件应编制目录，且页码清晰准确。响应文件装订应牢固、不易拆散和换页，不得采用活页装订。</w:t>
      </w:r>
    </w:p>
    <w:p>
      <w:pPr>
        <w:spacing w:line="400" w:lineRule="exact"/>
        <w:ind w:firstLine="422" w:firstLineChars="200"/>
        <w:rPr>
          <w:rFonts w:ascii="宋体" w:hAnsi="宋体"/>
          <w:b/>
          <w:szCs w:val="21"/>
        </w:rPr>
      </w:pPr>
      <w:r>
        <w:rPr>
          <w:rFonts w:hint="eastAsia" w:ascii="宋体" w:hAnsi="宋体"/>
          <w:b/>
          <w:szCs w:val="21"/>
        </w:rPr>
        <w:t>8. 首次响应文件的组成</w:t>
      </w:r>
    </w:p>
    <w:p>
      <w:pPr>
        <w:spacing w:line="400" w:lineRule="exact"/>
        <w:ind w:firstLine="420" w:firstLineChars="200"/>
        <w:rPr>
          <w:rFonts w:ascii="宋体" w:hAnsi="宋体"/>
          <w:szCs w:val="21"/>
        </w:rPr>
      </w:pPr>
      <w:r>
        <w:rPr>
          <w:rFonts w:hint="eastAsia" w:ascii="宋体" w:hAnsi="宋体"/>
          <w:szCs w:val="21"/>
        </w:rPr>
        <w:t>8.1首次响应文件应分为价格文件、资格和商务二个部分。</w:t>
      </w:r>
      <w:r>
        <w:rPr>
          <w:rFonts w:hint="eastAsia" w:ascii="宋体" w:hAnsi="宋体"/>
          <w:b/>
          <w:szCs w:val="21"/>
        </w:rPr>
        <w:t>属于必须提供的文件，如未提供或提供的文件无效，其响应文件按无效处理。</w:t>
      </w:r>
      <w:r>
        <w:rPr>
          <w:rFonts w:hint="eastAsia" w:ascii="宋体" w:hAnsi="宋体"/>
          <w:szCs w:val="21"/>
        </w:rPr>
        <w:t>应递交的有关文件如未特别注明为原件的，可提交复印件。</w:t>
      </w:r>
    </w:p>
    <w:p>
      <w:pPr>
        <w:spacing w:line="400" w:lineRule="exact"/>
        <w:ind w:firstLine="420" w:firstLineChars="200"/>
        <w:rPr>
          <w:rFonts w:ascii="宋体" w:hAnsi="宋体"/>
          <w:szCs w:val="21"/>
        </w:rPr>
      </w:pPr>
      <w:r>
        <w:rPr>
          <w:rFonts w:hint="eastAsia" w:ascii="宋体" w:hAnsi="宋体"/>
          <w:szCs w:val="21"/>
        </w:rPr>
        <w:t>8.1.1价格文件</w:t>
      </w:r>
    </w:p>
    <w:p>
      <w:pPr>
        <w:spacing w:line="400" w:lineRule="exact"/>
        <w:ind w:firstLine="317" w:firstLineChars="151"/>
        <w:rPr>
          <w:rFonts w:ascii="宋体" w:hAnsi="宋体"/>
          <w:b/>
          <w:szCs w:val="21"/>
        </w:rPr>
      </w:pPr>
      <w:r>
        <w:rPr>
          <w:rFonts w:hint="eastAsia" w:ascii="宋体" w:hAnsi="宋体"/>
          <w:szCs w:val="21"/>
        </w:rPr>
        <w:t>（1）谈判书（格式见第四章）；</w:t>
      </w:r>
      <w:r>
        <w:rPr>
          <w:rFonts w:hint="eastAsia" w:ascii="宋体" w:hAnsi="宋体"/>
          <w:b/>
          <w:szCs w:val="21"/>
        </w:rPr>
        <w:t>（必须提供，否则竞标无效）</w:t>
      </w:r>
    </w:p>
    <w:p>
      <w:pPr>
        <w:spacing w:line="400" w:lineRule="exact"/>
        <w:ind w:firstLine="317" w:firstLineChars="151"/>
        <w:rPr>
          <w:rFonts w:ascii="宋体" w:hAnsi="宋体"/>
          <w:szCs w:val="21"/>
        </w:rPr>
      </w:pPr>
      <w:r>
        <w:rPr>
          <w:rFonts w:hint="eastAsia" w:ascii="宋体" w:hAnsi="宋体"/>
          <w:szCs w:val="21"/>
        </w:rPr>
        <w:t>（2) 谈判报价表（格式见第四章）；</w:t>
      </w:r>
      <w:r>
        <w:rPr>
          <w:rFonts w:hint="eastAsia" w:ascii="宋体" w:hAnsi="宋体"/>
          <w:b/>
          <w:szCs w:val="21"/>
        </w:rPr>
        <w:t>（必须提供，否则竞标无效）</w:t>
      </w:r>
    </w:p>
    <w:p>
      <w:pPr>
        <w:spacing w:line="400" w:lineRule="exact"/>
        <w:ind w:firstLine="317" w:firstLineChars="151"/>
        <w:rPr>
          <w:rFonts w:ascii="宋体" w:hAnsi="宋体"/>
          <w:b/>
          <w:szCs w:val="21"/>
        </w:rPr>
      </w:pPr>
      <w:r>
        <w:rPr>
          <w:rFonts w:hint="eastAsia" w:ascii="宋体" w:hAnsi="宋体"/>
          <w:szCs w:val="21"/>
        </w:rPr>
        <w:t>（3)</w:t>
      </w:r>
      <w:r>
        <w:rPr>
          <w:rFonts w:hint="eastAsia" w:ascii="仿宋_GB2312" w:hAnsi="宋体" w:eastAsia="仿宋_GB2312"/>
          <w:szCs w:val="21"/>
        </w:rPr>
        <w:t xml:space="preserve"> </w:t>
      </w:r>
      <w:r>
        <w:rPr>
          <w:rFonts w:hint="eastAsia" w:ascii="宋体" w:hAnsi="宋体"/>
          <w:szCs w:val="21"/>
        </w:rPr>
        <w:t>供应商符合中小企业划型标准的，按《政府采购促进中小企业发展暂行办法》（财库〔2011〕181号）要求，提供有效证明文件。（格式见第四章）；</w:t>
      </w:r>
    </w:p>
    <w:p>
      <w:pPr>
        <w:spacing w:line="400" w:lineRule="exact"/>
        <w:ind w:firstLine="317" w:firstLineChars="151"/>
        <w:rPr>
          <w:rFonts w:ascii="宋体" w:hAnsi="宋体"/>
          <w:szCs w:val="21"/>
        </w:rPr>
      </w:pPr>
      <w:r>
        <w:rPr>
          <w:rFonts w:hint="eastAsia" w:ascii="宋体" w:hAnsi="宋体"/>
          <w:szCs w:val="21"/>
        </w:rPr>
        <w:t>（4）供应商属于</w:t>
      </w:r>
      <w:r>
        <w:rPr>
          <w:rFonts w:hint="eastAsia" w:hAnsi="宋体" w:cs="宋体"/>
          <w:color w:val="000000"/>
          <w:szCs w:val="21"/>
        </w:rPr>
        <w:t>监</w:t>
      </w:r>
      <w:r>
        <w:rPr>
          <w:rFonts w:hint="eastAsia" w:hAnsi="宋体"/>
          <w:color w:val="000000"/>
          <w:szCs w:val="21"/>
        </w:rPr>
        <w:t>狱企业的，应提供由省级以上监狱管理局、戒毒管理局（含新疆生产建设兵团）出具的属于监狱企业的证明文件。（格式自拟）</w:t>
      </w:r>
    </w:p>
    <w:p>
      <w:pPr>
        <w:spacing w:line="400" w:lineRule="exact"/>
        <w:ind w:firstLine="317" w:firstLineChars="151"/>
        <w:rPr>
          <w:rFonts w:ascii="宋体" w:hAnsi="宋体"/>
          <w:szCs w:val="21"/>
        </w:rPr>
      </w:pPr>
      <w:r>
        <w:rPr>
          <w:rFonts w:hint="eastAsia" w:ascii="宋体" w:hAnsi="宋体"/>
          <w:szCs w:val="21"/>
        </w:rPr>
        <w:t>（5）供应商属于残疾人福利性单位，按《三部门联合发布关于促进残疾人就业政府采购政策的通知》（财库〔2017〕141号）要求，提供《残疾人福利性单位声明函》。（格式见第四章）；</w:t>
      </w:r>
    </w:p>
    <w:p>
      <w:pPr>
        <w:spacing w:line="400" w:lineRule="exact"/>
        <w:ind w:firstLine="317" w:firstLineChars="151"/>
        <w:rPr>
          <w:rFonts w:ascii="宋体" w:hAnsi="宋体"/>
          <w:szCs w:val="21"/>
        </w:rPr>
      </w:pPr>
      <w:r>
        <w:rPr>
          <w:rFonts w:hint="eastAsia" w:ascii="宋体" w:hAnsi="宋体"/>
          <w:szCs w:val="21"/>
        </w:rPr>
        <w:t>（6）供应商针对报价需要说明的其他文件和说明（格式自拟）</w:t>
      </w:r>
    </w:p>
    <w:p>
      <w:pPr>
        <w:spacing w:line="400" w:lineRule="exact"/>
        <w:ind w:firstLine="317" w:firstLineChars="151"/>
        <w:rPr>
          <w:rFonts w:ascii="宋体" w:hAnsi="宋体"/>
          <w:szCs w:val="21"/>
        </w:rPr>
      </w:pPr>
      <w:r>
        <w:rPr>
          <w:rFonts w:hint="eastAsia" w:ascii="宋体" w:hAnsi="宋体"/>
          <w:szCs w:val="21"/>
        </w:rPr>
        <w:t>（7）广西工业产品声明函：按第四章“竞标文件格式”提供的“ 广西工业产品声明函（格式）”的要求填写。</w:t>
      </w:r>
    </w:p>
    <w:p>
      <w:pPr>
        <w:spacing w:line="400" w:lineRule="exact"/>
        <w:ind w:firstLine="420" w:firstLineChars="200"/>
        <w:rPr>
          <w:rFonts w:ascii="宋体" w:hAnsi="宋体"/>
          <w:szCs w:val="21"/>
        </w:rPr>
      </w:pPr>
      <w:r>
        <w:rPr>
          <w:rFonts w:hint="eastAsia" w:ascii="宋体" w:hAnsi="宋体"/>
          <w:szCs w:val="21"/>
        </w:rPr>
        <w:t>8.1.2 资格和商务文件</w:t>
      </w:r>
      <w:r>
        <w:rPr>
          <w:rFonts w:hint="eastAsia" w:ascii="宋体" w:hAnsi="宋体"/>
          <w:b/>
          <w:szCs w:val="21"/>
        </w:rPr>
        <w:t xml:space="preserve"> </w:t>
      </w:r>
    </w:p>
    <w:p>
      <w:pPr>
        <w:spacing w:line="400" w:lineRule="exact"/>
        <w:ind w:left="-27" w:leftChars="-13" w:firstLine="317" w:firstLineChars="151"/>
        <w:rPr>
          <w:rFonts w:hAnsi="宋体"/>
          <w:b/>
          <w:szCs w:val="21"/>
        </w:rPr>
      </w:pPr>
      <w:r>
        <w:rPr>
          <w:rFonts w:hint="eastAsia" w:ascii="宋体" w:hAnsi="宋体"/>
          <w:szCs w:val="21"/>
        </w:rPr>
        <w:t>（1）</w:t>
      </w:r>
      <w:r>
        <w:rPr>
          <w:rFonts w:hint="eastAsia" w:ascii="宋体" w:hAnsi="宋体" w:cs="Arial"/>
          <w:szCs w:val="21"/>
        </w:rPr>
        <w:t>供应商</w:t>
      </w:r>
      <w:r>
        <w:rPr>
          <w:rFonts w:hint="eastAsia" w:ascii="宋体" w:hAnsi="宋体"/>
          <w:szCs w:val="21"/>
        </w:rPr>
        <w:t>有效的营业执照副本复印件及</w:t>
      </w:r>
      <w:r>
        <w:rPr>
          <w:rFonts w:hint="eastAsia" w:ascii="宋体" w:hAnsi="宋体" w:cs="Arial"/>
          <w:szCs w:val="21"/>
        </w:rPr>
        <w:t>供应商</w:t>
      </w:r>
      <w:r>
        <w:rPr>
          <w:rFonts w:hint="eastAsia" w:ascii="宋体" w:hAnsi="宋体"/>
          <w:szCs w:val="21"/>
        </w:rPr>
        <w:t>在“国家企业信用信息公示系统”查询其企业信用信息，并打印企业“基础信息”材料；</w:t>
      </w:r>
      <w:r>
        <w:rPr>
          <w:rFonts w:hint="eastAsia" w:hAnsi="宋体"/>
          <w:b/>
          <w:szCs w:val="21"/>
        </w:rPr>
        <w:t>（必须提供，否则竞标无效。）</w:t>
      </w:r>
    </w:p>
    <w:p>
      <w:pPr>
        <w:spacing w:line="400" w:lineRule="exact"/>
        <w:ind w:left="-27" w:leftChars="-13" w:firstLine="317" w:firstLineChars="151"/>
      </w:pPr>
      <w:r>
        <w:rPr>
          <w:rFonts w:hint="eastAsia"/>
        </w:rPr>
        <w:t>（2）医疗器械注册证。</w:t>
      </w:r>
      <w:r>
        <w:rPr>
          <w:rFonts w:hint="eastAsia" w:hAnsi="宋体"/>
          <w:b/>
          <w:szCs w:val="21"/>
        </w:rPr>
        <w:t>（必须提供，否则竞标无效。）</w:t>
      </w:r>
    </w:p>
    <w:p>
      <w:pPr>
        <w:spacing w:line="400" w:lineRule="exact"/>
        <w:ind w:left="-27" w:leftChars="-13" w:firstLine="317" w:firstLineChars="151"/>
        <w:rPr>
          <w:rFonts w:hAnsi="宋体"/>
          <w:b/>
          <w:szCs w:val="21"/>
        </w:rPr>
      </w:pPr>
      <w:r>
        <w:rPr>
          <w:rFonts w:hint="eastAsia" w:ascii="宋体" w:hAnsi="宋体"/>
          <w:szCs w:val="21"/>
        </w:rPr>
        <w:t>（3）“法定代表人身份证明原件及身份证复印件（法定代表人签署响应文件时提供）”或者“法定代表人授权书原件（格式见第四章）和委托代理人身份证复印件及法定代表人身份证复印件（委托代理人签署响应文件时提供）”；</w:t>
      </w:r>
      <w:r>
        <w:rPr>
          <w:rFonts w:hint="eastAsia" w:hAnsi="宋体"/>
          <w:b/>
          <w:szCs w:val="21"/>
        </w:rPr>
        <w:t>（必须提供，否则竞标无效。）</w:t>
      </w:r>
    </w:p>
    <w:p>
      <w:pPr>
        <w:spacing w:line="400" w:lineRule="exact"/>
        <w:ind w:left="-27" w:leftChars="-13" w:firstLine="317" w:firstLineChars="151"/>
        <w:rPr>
          <w:rFonts w:ascii="宋体" w:hAnsi="宋体"/>
          <w:szCs w:val="21"/>
        </w:rPr>
      </w:pPr>
      <w:r>
        <w:rPr>
          <w:rFonts w:hint="eastAsia" w:ascii="宋体" w:hAnsi="宋体"/>
          <w:szCs w:val="21"/>
        </w:rPr>
        <w:t>（4）参加政府采购活动前</w:t>
      </w:r>
      <w:r>
        <w:rPr>
          <w:rFonts w:ascii="宋体" w:hAnsi="宋体"/>
          <w:szCs w:val="21"/>
        </w:rPr>
        <w:t>3</w:t>
      </w:r>
      <w:r>
        <w:rPr>
          <w:rFonts w:hint="eastAsia" w:ascii="宋体" w:hAnsi="宋体"/>
          <w:szCs w:val="21"/>
        </w:rPr>
        <w:t>年内在经营活动中没有重大违法记录的书面声明（格式见第四章）；</w:t>
      </w:r>
      <w:r>
        <w:rPr>
          <w:rFonts w:hint="eastAsia" w:ascii="宋体" w:hAnsi="宋体"/>
          <w:b/>
          <w:szCs w:val="21"/>
        </w:rPr>
        <w:t>（</w:t>
      </w:r>
      <w:r>
        <w:rPr>
          <w:rFonts w:hint="eastAsia" w:hAnsi="宋体"/>
          <w:b/>
          <w:szCs w:val="21"/>
        </w:rPr>
        <w:t>必须提供，否则竞标无效。</w:t>
      </w:r>
      <w:r>
        <w:rPr>
          <w:rFonts w:hint="eastAsia" w:ascii="宋体" w:hAnsi="宋体"/>
          <w:b/>
          <w:szCs w:val="21"/>
        </w:rPr>
        <w:t>）</w:t>
      </w:r>
    </w:p>
    <w:p>
      <w:pPr>
        <w:spacing w:line="400" w:lineRule="exact"/>
        <w:ind w:left="-27" w:leftChars="-13" w:firstLine="317" w:firstLineChars="151"/>
        <w:rPr>
          <w:rFonts w:hint="eastAsia" w:ascii="宋体" w:hAnsi="宋体" w:eastAsia="宋体" w:cs="Arial"/>
          <w:szCs w:val="21"/>
          <w:lang w:eastAsia="zh-CN"/>
        </w:rPr>
      </w:pPr>
      <w:r>
        <w:rPr>
          <w:rFonts w:hint="eastAsia" w:ascii="宋体" w:hAnsi="宋体"/>
          <w:szCs w:val="21"/>
        </w:rPr>
        <w:t>（5）</w:t>
      </w:r>
      <w:r>
        <w:rPr>
          <w:rFonts w:hint="eastAsia" w:ascii="宋体" w:hAnsi="宋体" w:cs="Arial"/>
          <w:szCs w:val="21"/>
        </w:rPr>
        <w:t>供应商提供其在“信用中国”网站（www.creditchina.gov.cn）及中国政府采购网（www.ccgp.gov.cn）查询相关供应商主体信用记录截图（查询时间为谈判文件发售开始时间至响应文件递交截止时间止内），证明其未被列入失信被执行人、重大税收违法案件当事人名单、政府采购严重违法失信行为记录名单；</w:t>
      </w:r>
      <w:r>
        <w:rPr>
          <w:rFonts w:hint="eastAsia" w:ascii="宋体" w:hAnsi="宋体" w:cs="Arial"/>
          <w:szCs w:val="21"/>
          <w:lang w:eastAsia="zh-CN"/>
        </w:rPr>
        <w:t>（</w:t>
      </w:r>
      <w:r>
        <w:rPr>
          <w:rFonts w:hint="eastAsia" w:ascii="宋体" w:hAnsi="宋体" w:cs="Arial"/>
          <w:szCs w:val="21"/>
          <w:lang w:val="en-US" w:eastAsia="zh-CN"/>
        </w:rPr>
        <w:t>如有，请提供。</w:t>
      </w:r>
      <w:r>
        <w:rPr>
          <w:rFonts w:hint="eastAsia" w:ascii="宋体" w:hAnsi="宋体" w:cs="Arial"/>
          <w:szCs w:val="21"/>
          <w:lang w:eastAsia="zh-CN"/>
        </w:rPr>
        <w:t>）</w:t>
      </w:r>
    </w:p>
    <w:p>
      <w:pPr>
        <w:spacing w:line="400" w:lineRule="exact"/>
        <w:ind w:left="-27" w:leftChars="-13" w:firstLine="317" w:firstLineChars="151"/>
        <w:rPr>
          <w:rFonts w:ascii="宋体" w:hAnsi="宋体"/>
          <w:b/>
          <w:szCs w:val="21"/>
        </w:rPr>
      </w:pPr>
      <w:r>
        <w:rPr>
          <w:rFonts w:hint="eastAsia" w:ascii="宋体" w:hAnsi="宋体"/>
          <w:szCs w:val="21"/>
        </w:rPr>
        <w:t>（6）商务响应表（格式见第四章）；</w:t>
      </w:r>
      <w:r>
        <w:rPr>
          <w:rFonts w:hint="eastAsia" w:ascii="宋体" w:hAnsi="宋体"/>
          <w:b/>
          <w:szCs w:val="21"/>
        </w:rPr>
        <w:t>（必须提供，否则竞标无效）</w:t>
      </w:r>
    </w:p>
    <w:p>
      <w:pPr>
        <w:spacing w:line="400" w:lineRule="exact"/>
        <w:ind w:left="-27" w:leftChars="-13" w:firstLine="317" w:firstLineChars="151"/>
        <w:rPr>
          <w:rFonts w:ascii="宋体" w:hAnsi="宋体"/>
          <w:b/>
          <w:szCs w:val="21"/>
        </w:rPr>
      </w:pPr>
      <w:r>
        <w:rPr>
          <w:rFonts w:hint="eastAsia" w:ascii="宋体" w:hAnsi="宋体"/>
          <w:szCs w:val="21"/>
        </w:rPr>
        <w:t>（7）售后服务承诺书</w:t>
      </w:r>
      <w:r>
        <w:rPr>
          <w:rFonts w:hint="eastAsia" w:ascii="宋体" w:hAnsi="宋体"/>
          <w:color w:val="FF0000"/>
          <w:szCs w:val="21"/>
        </w:rPr>
        <w:t>；</w:t>
      </w:r>
      <w:r>
        <w:rPr>
          <w:rFonts w:hint="eastAsia" w:ascii="宋体" w:hAnsi="宋体"/>
          <w:b/>
          <w:szCs w:val="21"/>
        </w:rPr>
        <w:t>（必须提供，否则竞标无效）</w:t>
      </w:r>
    </w:p>
    <w:p>
      <w:pPr>
        <w:spacing w:line="400" w:lineRule="exact"/>
        <w:ind w:left="-27" w:leftChars="-13" w:firstLine="317" w:firstLineChars="151"/>
        <w:rPr>
          <w:rFonts w:ascii="宋体" w:hAnsi="宋体"/>
          <w:szCs w:val="21"/>
        </w:rPr>
      </w:pPr>
      <w:r>
        <w:rPr>
          <w:rFonts w:hint="eastAsia" w:ascii="宋体" w:hAnsi="宋体"/>
          <w:szCs w:val="21"/>
        </w:rPr>
        <w:t>（8）首次响应文件递交截止之日前半年内供应商连续三个月的依法缴纳社保费的缴费凭证复印件；无缴费记录的，应提供由供应商所在地社保部门出具的《依法缴纳或依法免缴社保费证明》复印件</w:t>
      </w:r>
      <w:r>
        <w:rPr>
          <w:rFonts w:hint="eastAsia" w:ascii="宋体" w:hAnsi="宋体"/>
          <w:b/>
          <w:bCs/>
          <w:szCs w:val="21"/>
        </w:rPr>
        <w:t>（必须提供，否则竞标无效）</w:t>
      </w:r>
      <w:r>
        <w:rPr>
          <w:rFonts w:hint="eastAsia" w:ascii="宋体" w:hAnsi="宋体"/>
          <w:szCs w:val="21"/>
        </w:rPr>
        <w:t>。</w:t>
      </w:r>
    </w:p>
    <w:p>
      <w:pPr>
        <w:spacing w:line="400" w:lineRule="exact"/>
        <w:ind w:left="-27" w:leftChars="-13" w:firstLine="317" w:firstLineChars="151"/>
        <w:rPr>
          <w:rFonts w:ascii="宋体" w:hAnsi="宋体"/>
          <w:szCs w:val="21"/>
        </w:rPr>
      </w:pPr>
      <w:r>
        <w:rPr>
          <w:rFonts w:hint="eastAsia" w:ascii="宋体" w:hAnsi="宋体"/>
          <w:szCs w:val="21"/>
        </w:rPr>
        <w:t>（9）首次响应文件递交截止之日前半年内供应商连续三个月的依法缴纳税费或依法免缴税费的证明复印件；无纳税记录的，应提供由供应商所在地主管国税、地税部门出具的《依法纳税或依法免税证明》复印件</w:t>
      </w:r>
      <w:r>
        <w:rPr>
          <w:rFonts w:hint="eastAsia" w:ascii="宋体" w:hAnsi="宋体"/>
          <w:b/>
          <w:bCs/>
          <w:szCs w:val="21"/>
        </w:rPr>
        <w:t>（必须提供，否则竞标无效）</w:t>
      </w:r>
      <w:r>
        <w:rPr>
          <w:rFonts w:hint="eastAsia" w:ascii="宋体" w:hAnsi="宋体"/>
          <w:szCs w:val="21"/>
        </w:rPr>
        <w:t>。</w:t>
      </w:r>
    </w:p>
    <w:p>
      <w:pPr>
        <w:spacing w:line="400" w:lineRule="exact"/>
        <w:ind w:left="-27" w:leftChars="-13" w:firstLine="317" w:firstLineChars="151"/>
        <w:rPr>
          <w:rFonts w:ascii="宋体" w:hAnsi="宋体"/>
          <w:szCs w:val="21"/>
        </w:rPr>
      </w:pPr>
      <w:r>
        <w:rPr>
          <w:rFonts w:hint="eastAsia" w:ascii="宋体" w:hAnsi="宋体"/>
          <w:szCs w:val="21"/>
        </w:rPr>
        <w:t>（10）供应商近三年同类产品（或同类项目）业绩、产品质量获奖或节能环保相关证书、生产厂家相关质量管理体系认证证书等材料；</w:t>
      </w:r>
    </w:p>
    <w:p>
      <w:pPr>
        <w:spacing w:line="400" w:lineRule="exact"/>
        <w:ind w:firstLine="344" w:firstLineChars="163"/>
        <w:rPr>
          <w:rFonts w:hAnsi="宋体"/>
          <w:szCs w:val="21"/>
        </w:rPr>
      </w:pPr>
      <w:r>
        <w:rPr>
          <w:rFonts w:hint="eastAsia" w:ascii="宋体" w:hAnsi="宋体"/>
          <w:b/>
          <w:bCs/>
          <w:szCs w:val="21"/>
        </w:rPr>
        <w:t>注：以上</w:t>
      </w:r>
      <w:r>
        <w:rPr>
          <w:rFonts w:hint="eastAsia" w:hAnsi="宋体"/>
          <w:b/>
          <w:bCs/>
          <w:szCs w:val="21"/>
        </w:rPr>
        <w:t>文件</w:t>
      </w:r>
      <w:r>
        <w:rPr>
          <w:rFonts w:hint="eastAsia" w:ascii="宋体" w:hAnsi="宋体"/>
          <w:b/>
          <w:bCs/>
          <w:szCs w:val="21"/>
        </w:rPr>
        <w:t>材料均需加盖单位公章并按</w:t>
      </w:r>
      <w:r>
        <w:rPr>
          <w:rFonts w:hint="eastAsia" w:hAnsi="宋体"/>
          <w:b/>
          <w:bCs/>
          <w:szCs w:val="21"/>
        </w:rPr>
        <w:t>响应</w:t>
      </w:r>
      <w:r>
        <w:rPr>
          <w:rFonts w:hint="eastAsia" w:ascii="宋体" w:hAnsi="宋体"/>
          <w:b/>
          <w:bCs/>
          <w:szCs w:val="21"/>
        </w:rPr>
        <w:t>文件格式在规定的地方由法定代表人或授权代理人签字。</w:t>
      </w:r>
    </w:p>
    <w:p>
      <w:pPr>
        <w:spacing w:line="400" w:lineRule="exact"/>
        <w:ind w:firstLine="420" w:firstLineChars="200"/>
        <w:rPr>
          <w:rFonts w:ascii="宋体" w:hAnsi="宋体"/>
          <w:szCs w:val="21"/>
        </w:rPr>
      </w:pPr>
      <w:r>
        <w:rPr>
          <w:rFonts w:hint="eastAsia" w:ascii="宋体" w:hAnsi="宋体"/>
          <w:szCs w:val="21"/>
        </w:rPr>
        <w:t>8.2供应商应仔细阅读谈判文件的所有内容，按照谈判文件的要求提交响应文件，并对所提供的全部资料的真实性承担法律责任。</w:t>
      </w:r>
    </w:p>
    <w:p>
      <w:pPr>
        <w:spacing w:line="400" w:lineRule="exact"/>
        <w:ind w:firstLine="420" w:firstLineChars="200"/>
        <w:rPr>
          <w:rFonts w:ascii="宋体" w:hAnsi="宋体"/>
          <w:szCs w:val="21"/>
        </w:rPr>
      </w:pPr>
      <w:r>
        <w:rPr>
          <w:rFonts w:hint="eastAsia" w:ascii="宋体" w:hAnsi="宋体"/>
          <w:szCs w:val="21"/>
        </w:rPr>
        <w:t>8.3供应商在竞标活动中提供任何虚假材料，其竞标无效，并报监管部门查处；成交后发现的，成交人须依照《中华人民共和国消费者权益保护法》第49条之规定双倍赔偿采购人，且民事赔偿并不免除违法供应商的行政与刑事责任。</w:t>
      </w:r>
    </w:p>
    <w:p>
      <w:pPr>
        <w:spacing w:line="400" w:lineRule="exact"/>
        <w:ind w:firstLine="422" w:firstLineChars="200"/>
        <w:rPr>
          <w:rFonts w:ascii="宋体" w:hAnsi="宋体"/>
          <w:b/>
          <w:szCs w:val="21"/>
        </w:rPr>
      </w:pPr>
      <w:r>
        <w:rPr>
          <w:rFonts w:hint="eastAsia" w:ascii="宋体" w:hAnsi="宋体"/>
          <w:b/>
          <w:szCs w:val="21"/>
        </w:rPr>
        <w:t>9. 计量单位</w:t>
      </w:r>
    </w:p>
    <w:p>
      <w:pPr>
        <w:spacing w:line="400" w:lineRule="exact"/>
        <w:ind w:firstLine="420" w:firstLineChars="200"/>
        <w:rPr>
          <w:rFonts w:ascii="宋体" w:hAnsi="宋体"/>
          <w:szCs w:val="21"/>
        </w:rPr>
      </w:pPr>
      <w:r>
        <w:rPr>
          <w:rFonts w:hint="eastAsia" w:ascii="宋体" w:hAnsi="宋体"/>
          <w:szCs w:val="21"/>
        </w:rPr>
        <w:t>9.1除技术要求中另有规定外，本文件所要求使用的计量单位均应采用国家法定计量单位。</w:t>
      </w:r>
    </w:p>
    <w:p>
      <w:pPr>
        <w:spacing w:line="400" w:lineRule="exact"/>
        <w:ind w:firstLine="422" w:firstLineChars="200"/>
        <w:rPr>
          <w:rFonts w:ascii="宋体" w:hAnsi="宋体"/>
          <w:b/>
          <w:szCs w:val="21"/>
        </w:rPr>
      </w:pPr>
      <w:r>
        <w:rPr>
          <w:rFonts w:hint="eastAsia" w:ascii="宋体" w:hAnsi="宋体"/>
          <w:b/>
          <w:szCs w:val="21"/>
        </w:rPr>
        <w:t>10.响应文件的有效期</w:t>
      </w:r>
    </w:p>
    <w:p>
      <w:pPr>
        <w:spacing w:line="400" w:lineRule="exact"/>
        <w:ind w:firstLine="420" w:firstLineChars="200"/>
        <w:rPr>
          <w:rFonts w:ascii="宋体" w:hAnsi="宋体"/>
          <w:szCs w:val="21"/>
        </w:rPr>
      </w:pPr>
      <w:r>
        <w:rPr>
          <w:rFonts w:hint="eastAsia" w:ascii="宋体" w:hAnsi="宋体"/>
          <w:szCs w:val="21"/>
        </w:rPr>
        <w:t>10.1响应文件从递交首次响应文件截止日后60天内有效。</w:t>
      </w:r>
    </w:p>
    <w:p>
      <w:pPr>
        <w:spacing w:line="400" w:lineRule="exact"/>
        <w:ind w:firstLine="420" w:firstLineChars="200"/>
        <w:rPr>
          <w:rFonts w:ascii="宋体" w:hAnsi="宋体"/>
          <w:szCs w:val="21"/>
        </w:rPr>
      </w:pPr>
      <w:r>
        <w:rPr>
          <w:rFonts w:hint="eastAsia" w:ascii="宋体" w:hAnsi="宋体"/>
          <w:szCs w:val="21"/>
        </w:rPr>
        <w:t>10.2在特殊情况下，采购代理机构可酌情延长有效期。供应商可同意或不同意延长响应文件的有效期，不同意延长响应文件有效期的供应商，其保证金将在原响应文件的有效期满后5个工作日内予以退还，不计利息；同意延长响应文件有效期的供应商不能要求对原响应文件（经供应商与谈判小组谈判后确定的内容作为原响应文件的组成部分）作任何改变，并同意在延长的竞标有效期内遵循本响应文件，在延长的有效期满之前继续具有约束力。</w:t>
      </w:r>
    </w:p>
    <w:p>
      <w:pPr>
        <w:spacing w:line="400" w:lineRule="exact"/>
        <w:ind w:firstLine="422" w:firstLineChars="200"/>
        <w:rPr>
          <w:rFonts w:ascii="宋体" w:hAnsi="宋体"/>
          <w:b/>
          <w:szCs w:val="21"/>
        </w:rPr>
      </w:pPr>
      <w:r>
        <w:rPr>
          <w:rFonts w:hint="eastAsia" w:ascii="宋体" w:hAnsi="宋体"/>
          <w:b/>
          <w:szCs w:val="21"/>
        </w:rPr>
        <w:t>11.响应文件书写及签名、盖章、份数要求</w:t>
      </w:r>
    </w:p>
    <w:p>
      <w:pPr>
        <w:spacing w:line="400" w:lineRule="exact"/>
        <w:ind w:firstLine="420" w:firstLineChars="200"/>
        <w:rPr>
          <w:rFonts w:ascii="宋体" w:hAnsi="宋体"/>
          <w:szCs w:val="21"/>
        </w:rPr>
      </w:pPr>
      <w:r>
        <w:rPr>
          <w:rFonts w:hint="eastAsia" w:ascii="宋体" w:hAnsi="宋体"/>
          <w:szCs w:val="21"/>
        </w:rPr>
        <w:t>11.1响应文件正本须用不褪色的墨水工整书写或打印，修改处应由法定代表人或委托代理人签名和盖公章，否则其竞标无效。</w:t>
      </w:r>
    </w:p>
    <w:p>
      <w:pPr>
        <w:spacing w:line="400" w:lineRule="exact"/>
        <w:ind w:firstLine="420" w:firstLineChars="200"/>
        <w:rPr>
          <w:rFonts w:ascii="宋体" w:hAnsi="宋体"/>
          <w:szCs w:val="21"/>
        </w:rPr>
      </w:pPr>
      <w:r>
        <w:rPr>
          <w:rFonts w:hint="eastAsia" w:ascii="宋体" w:hAnsi="宋体"/>
          <w:szCs w:val="21"/>
        </w:rPr>
        <w:t>11.2字迹潦草、表达不清或未按要求填写的响应文件可能将被认定为无效的竞标。</w:t>
      </w:r>
    </w:p>
    <w:p>
      <w:pPr>
        <w:spacing w:line="400" w:lineRule="exact"/>
        <w:ind w:firstLine="420" w:firstLineChars="200"/>
        <w:rPr>
          <w:rFonts w:ascii="宋体" w:hAnsi="宋体"/>
          <w:szCs w:val="21"/>
        </w:rPr>
      </w:pPr>
      <w:r>
        <w:rPr>
          <w:rFonts w:hint="eastAsia" w:ascii="宋体" w:hAnsi="宋体"/>
          <w:szCs w:val="21"/>
        </w:rPr>
        <w:t>11.3响应文件应由法定代表人或委托代理人在凡规定签章处逐一签名和盖公章，否则其竞标无效。</w:t>
      </w:r>
    </w:p>
    <w:p>
      <w:pPr>
        <w:spacing w:line="400" w:lineRule="exact"/>
        <w:ind w:firstLine="420" w:firstLineChars="200"/>
        <w:rPr>
          <w:rFonts w:ascii="宋体" w:hAnsi="宋体"/>
          <w:szCs w:val="21"/>
        </w:rPr>
      </w:pPr>
      <w:r>
        <w:rPr>
          <w:rFonts w:hint="eastAsia" w:ascii="宋体" w:hAnsi="宋体"/>
          <w:szCs w:val="21"/>
        </w:rPr>
        <w:t>11.4响应文件的份数：见供应商须知前附表。并在每份文件右上角注明“正本”、“副本”字样，一旦正本和副本不符，以正本为准。</w:t>
      </w:r>
    </w:p>
    <w:p>
      <w:pPr>
        <w:spacing w:line="400" w:lineRule="exact"/>
        <w:ind w:firstLine="422" w:firstLineChars="200"/>
        <w:rPr>
          <w:rFonts w:ascii="宋体" w:hAnsi="宋体"/>
          <w:b/>
          <w:szCs w:val="21"/>
        </w:rPr>
      </w:pPr>
      <w:r>
        <w:rPr>
          <w:rFonts w:hint="eastAsia" w:ascii="宋体" w:hAnsi="宋体"/>
          <w:b/>
          <w:szCs w:val="21"/>
        </w:rPr>
        <w:t>12. 保证金</w:t>
      </w:r>
    </w:p>
    <w:p>
      <w:pPr>
        <w:snapToGrid w:val="0"/>
        <w:spacing w:line="440" w:lineRule="exact"/>
        <w:ind w:firstLine="420" w:firstLineChars="200"/>
        <w:jc w:val="left"/>
        <w:rPr>
          <w:rFonts w:ascii="宋体" w:hAnsi="宋体"/>
          <w:szCs w:val="21"/>
        </w:rPr>
      </w:pPr>
      <w:r>
        <w:rPr>
          <w:rFonts w:hint="eastAsia" w:ascii="宋体" w:hAnsi="宋体"/>
          <w:szCs w:val="21"/>
        </w:rPr>
        <w:t>12.1无保证金。</w:t>
      </w:r>
    </w:p>
    <w:p>
      <w:pPr>
        <w:spacing w:line="400" w:lineRule="exact"/>
        <w:ind w:firstLine="422" w:firstLineChars="200"/>
        <w:rPr>
          <w:rFonts w:ascii="宋体" w:hAnsi="宋体"/>
          <w:b/>
          <w:szCs w:val="21"/>
        </w:rPr>
      </w:pPr>
      <w:r>
        <w:rPr>
          <w:rFonts w:hint="eastAsia" w:ascii="宋体" w:hAnsi="宋体"/>
          <w:b/>
          <w:szCs w:val="21"/>
        </w:rPr>
        <w:t>四、谈判报价要求</w:t>
      </w:r>
    </w:p>
    <w:p>
      <w:pPr>
        <w:spacing w:line="400" w:lineRule="exact"/>
        <w:ind w:firstLine="422" w:firstLineChars="200"/>
        <w:rPr>
          <w:rFonts w:ascii="宋体" w:hAnsi="宋体"/>
          <w:b/>
          <w:szCs w:val="21"/>
        </w:rPr>
      </w:pPr>
      <w:r>
        <w:rPr>
          <w:rFonts w:hint="eastAsia" w:ascii="宋体" w:hAnsi="宋体"/>
          <w:b/>
          <w:szCs w:val="21"/>
        </w:rPr>
        <w:t>13.谈判报价</w:t>
      </w:r>
    </w:p>
    <w:p>
      <w:pPr>
        <w:spacing w:line="400" w:lineRule="exact"/>
        <w:ind w:firstLine="420" w:firstLineChars="200"/>
        <w:rPr>
          <w:rFonts w:ascii="宋体" w:hAnsi="宋体"/>
          <w:szCs w:val="21"/>
        </w:rPr>
      </w:pPr>
      <w:r>
        <w:rPr>
          <w:rFonts w:hint="eastAsia" w:ascii="宋体" w:hAnsi="宋体"/>
          <w:szCs w:val="21"/>
        </w:rPr>
        <w:t>13.1供应商应以人民币报价。</w:t>
      </w:r>
    </w:p>
    <w:p>
      <w:pPr>
        <w:spacing w:line="400" w:lineRule="exact"/>
        <w:ind w:firstLine="420" w:firstLineChars="200"/>
        <w:rPr>
          <w:rFonts w:hAnsi="宋体"/>
          <w:szCs w:val="21"/>
        </w:rPr>
      </w:pPr>
      <w:r>
        <w:rPr>
          <w:rFonts w:hint="eastAsia" w:ascii="宋体" w:hAnsi="宋体"/>
          <w:szCs w:val="21"/>
        </w:rPr>
        <w:t>13.2</w:t>
      </w:r>
      <w:r>
        <w:rPr>
          <w:rFonts w:hint="eastAsia" w:hAnsi="宋体"/>
          <w:szCs w:val="21"/>
        </w:rPr>
        <w:t>谈判报价是履行合同的价格，应包括货款、标准附件、备品备件、专用工具、包装、运输、装卸、保险、税金、货到就位以及安装、调试、培训、保修等一切费用；</w:t>
      </w:r>
    </w:p>
    <w:p>
      <w:pPr>
        <w:spacing w:line="360" w:lineRule="auto"/>
        <w:ind w:firstLine="420" w:firstLineChars="200"/>
        <w:rPr>
          <w:rFonts w:ascii="宋体" w:hAnsi="宋体"/>
          <w:szCs w:val="21"/>
        </w:rPr>
      </w:pPr>
      <w:r>
        <w:rPr>
          <w:rFonts w:hint="eastAsia" w:ascii="宋体" w:hAnsi="宋体"/>
          <w:szCs w:val="21"/>
        </w:rPr>
        <w:t>13.3供应商应在竞标报价表上标明单价和总价。最终报价表内容与响应文件中相应内容不一致的，以最终报价表为准；大写金额和小写金额不一致的，以大写金额为准；单价金额小数点或者百分比有明显错位的，以最终报价表的总价为准，并修改单价；总价金额与按单价汇总金额不一致的，以单价金额计算结果为准。同时出现两种以上不一致的，按照以上规定的顺序修正。修正后的报价经供应商确认后产生约束力，供应商不确认的，其竞标无效。对不同文字文本响应文件的解释发生异议的，以中文文本为准。除上述原因以外，如果因供应商原因引起的报价失误，并在谈判时被接受，其后果由供应商自负。</w:t>
      </w:r>
    </w:p>
    <w:p>
      <w:pPr>
        <w:spacing w:line="400" w:lineRule="exact"/>
        <w:ind w:firstLine="420" w:firstLineChars="200"/>
        <w:rPr>
          <w:rFonts w:ascii="宋体" w:hAnsi="宋体"/>
          <w:szCs w:val="21"/>
        </w:rPr>
      </w:pPr>
      <w:r>
        <w:rPr>
          <w:rFonts w:hint="eastAsia" w:ascii="宋体" w:hAnsi="宋体"/>
          <w:szCs w:val="21"/>
        </w:rPr>
        <w:t>13.4竞标报价：按须知前附表中要求。</w:t>
      </w:r>
    </w:p>
    <w:p>
      <w:pPr>
        <w:spacing w:line="400" w:lineRule="exact"/>
        <w:ind w:firstLine="422" w:firstLineChars="200"/>
        <w:rPr>
          <w:rFonts w:ascii="宋体" w:hAnsi="宋体"/>
          <w:b/>
          <w:szCs w:val="21"/>
        </w:rPr>
      </w:pPr>
      <w:r>
        <w:rPr>
          <w:rFonts w:hint="eastAsia" w:ascii="宋体" w:hAnsi="宋体"/>
          <w:b/>
          <w:szCs w:val="21"/>
        </w:rPr>
        <w:t>五、响应文件的封装和递交</w:t>
      </w:r>
    </w:p>
    <w:p>
      <w:pPr>
        <w:spacing w:line="400" w:lineRule="exact"/>
        <w:ind w:firstLine="422" w:firstLineChars="200"/>
        <w:rPr>
          <w:rFonts w:ascii="宋体" w:hAnsi="宋体"/>
          <w:b/>
          <w:szCs w:val="21"/>
        </w:rPr>
      </w:pPr>
      <w:r>
        <w:rPr>
          <w:rFonts w:hint="eastAsia" w:ascii="宋体" w:hAnsi="宋体"/>
          <w:b/>
          <w:szCs w:val="21"/>
        </w:rPr>
        <w:t>14.响应文件的封装、密封与标志</w:t>
      </w:r>
    </w:p>
    <w:p>
      <w:pPr>
        <w:spacing w:line="276" w:lineRule="auto"/>
        <w:ind w:right="168" w:rightChars="80" w:firstLine="430" w:firstLineChars="205"/>
        <w:rPr>
          <w:rFonts w:ascii="宋体" w:hAnsi="宋体"/>
          <w:szCs w:val="21"/>
        </w:rPr>
      </w:pPr>
      <w:r>
        <w:rPr>
          <w:rFonts w:hint="eastAsia" w:ascii="宋体" w:hAnsi="宋体"/>
          <w:szCs w:val="21"/>
        </w:rPr>
        <w:t>14.1供应商应将响应文件正本、副本密封在一个信封（或包装袋或包装箱）中，所有封口处须盖供应商单位公章或密封章或法定代表人（或委托代理人）签字均可。</w:t>
      </w:r>
    </w:p>
    <w:p>
      <w:pPr>
        <w:spacing w:line="400" w:lineRule="exact"/>
        <w:ind w:firstLine="420" w:firstLineChars="200"/>
        <w:rPr>
          <w:rFonts w:ascii="宋体" w:hAnsi="宋体"/>
          <w:szCs w:val="21"/>
        </w:rPr>
      </w:pPr>
      <w:r>
        <w:rPr>
          <w:rFonts w:hint="eastAsia" w:ascii="宋体" w:hAnsi="宋体"/>
          <w:szCs w:val="21"/>
        </w:rPr>
        <w:t>14.2响应文件的信封（或包装袋或包装箱）封面上应写明：</w:t>
      </w:r>
    </w:p>
    <w:p>
      <w:pPr>
        <w:spacing w:line="400" w:lineRule="exact"/>
        <w:ind w:firstLine="329" w:firstLineChars="157"/>
        <w:rPr>
          <w:rFonts w:ascii="宋体" w:hAnsi="宋体"/>
          <w:szCs w:val="21"/>
        </w:rPr>
      </w:pPr>
      <w:r>
        <w:rPr>
          <w:rFonts w:hint="eastAsia" w:ascii="宋体" w:hAnsi="宋体"/>
          <w:szCs w:val="21"/>
        </w:rPr>
        <w:t>（1）竞争性谈判项目编号；</w:t>
      </w:r>
    </w:p>
    <w:p>
      <w:pPr>
        <w:spacing w:line="400" w:lineRule="exact"/>
        <w:ind w:firstLine="329" w:firstLineChars="157"/>
        <w:rPr>
          <w:rFonts w:ascii="宋体" w:hAnsi="宋体"/>
          <w:szCs w:val="21"/>
        </w:rPr>
      </w:pPr>
      <w:r>
        <w:rPr>
          <w:rFonts w:hint="eastAsia" w:ascii="宋体" w:hAnsi="宋体"/>
          <w:szCs w:val="21"/>
        </w:rPr>
        <w:t>（2）竞争性谈判项目名称；</w:t>
      </w:r>
    </w:p>
    <w:p>
      <w:pPr>
        <w:spacing w:line="400" w:lineRule="exact"/>
        <w:ind w:firstLine="329" w:firstLineChars="157"/>
        <w:rPr>
          <w:rFonts w:ascii="宋体" w:hAnsi="宋体"/>
          <w:szCs w:val="21"/>
        </w:rPr>
      </w:pPr>
      <w:r>
        <w:rPr>
          <w:rFonts w:hint="eastAsia" w:ascii="宋体" w:hAnsi="宋体"/>
          <w:szCs w:val="21"/>
        </w:rPr>
        <w:t>（3）谈判分标（如有分标）；</w:t>
      </w:r>
    </w:p>
    <w:p>
      <w:pPr>
        <w:spacing w:line="400" w:lineRule="exact"/>
        <w:ind w:firstLine="329" w:firstLineChars="157"/>
        <w:rPr>
          <w:rFonts w:ascii="宋体" w:hAnsi="宋体"/>
          <w:szCs w:val="21"/>
        </w:rPr>
      </w:pPr>
      <w:r>
        <w:rPr>
          <w:rFonts w:hint="eastAsia" w:ascii="宋体" w:hAnsi="宋体"/>
          <w:szCs w:val="21"/>
        </w:rPr>
        <w:t>（4）供应商名称及地址。</w:t>
      </w:r>
    </w:p>
    <w:p>
      <w:pPr>
        <w:spacing w:line="400" w:lineRule="exact"/>
        <w:ind w:firstLine="422" w:firstLineChars="200"/>
        <w:rPr>
          <w:rFonts w:ascii="宋体" w:hAnsi="宋体"/>
          <w:b/>
          <w:szCs w:val="21"/>
        </w:rPr>
      </w:pPr>
      <w:r>
        <w:rPr>
          <w:rFonts w:hint="eastAsia" w:ascii="宋体" w:hAnsi="宋体"/>
          <w:b/>
          <w:szCs w:val="21"/>
        </w:rPr>
        <w:t>15.响应文件的递交</w:t>
      </w:r>
    </w:p>
    <w:p>
      <w:pPr>
        <w:spacing w:line="400" w:lineRule="exact"/>
        <w:ind w:firstLine="420" w:firstLineChars="200"/>
        <w:rPr>
          <w:rFonts w:ascii="宋体" w:hAnsi="宋体"/>
          <w:szCs w:val="21"/>
        </w:rPr>
      </w:pPr>
      <w:r>
        <w:rPr>
          <w:rFonts w:hint="eastAsia" w:ascii="宋体" w:hAnsi="宋体"/>
          <w:szCs w:val="21"/>
        </w:rPr>
        <w:t>15.1所有响应文件应按“谈判须知前附表”中规定的时间前递交到规定地点。</w:t>
      </w:r>
    </w:p>
    <w:p>
      <w:pPr>
        <w:spacing w:line="400" w:lineRule="exact"/>
        <w:ind w:firstLine="422" w:firstLineChars="200"/>
        <w:rPr>
          <w:rFonts w:ascii="宋体" w:hAnsi="宋体"/>
          <w:b/>
          <w:szCs w:val="21"/>
        </w:rPr>
      </w:pPr>
      <w:r>
        <w:rPr>
          <w:rFonts w:hint="eastAsia" w:ascii="宋体" w:hAnsi="宋体"/>
          <w:b/>
          <w:szCs w:val="21"/>
        </w:rPr>
        <w:t>16.迟交的响应文件</w:t>
      </w:r>
    </w:p>
    <w:p>
      <w:pPr>
        <w:spacing w:line="400" w:lineRule="exact"/>
        <w:ind w:firstLine="420" w:firstLineChars="200"/>
        <w:rPr>
          <w:rFonts w:ascii="宋体" w:hAnsi="宋体"/>
          <w:szCs w:val="21"/>
        </w:rPr>
      </w:pPr>
      <w:r>
        <w:rPr>
          <w:rFonts w:hint="eastAsia" w:ascii="宋体" w:hAnsi="宋体"/>
          <w:szCs w:val="21"/>
        </w:rPr>
        <w:t>按《中华人民共和国政府采购法》的规定，采购代理机构将拒绝或原封退回在其规定的递交响应文件截止时间之后收到的任何响应文件。</w:t>
      </w:r>
    </w:p>
    <w:p>
      <w:pPr>
        <w:spacing w:line="400" w:lineRule="exact"/>
        <w:ind w:firstLine="422" w:firstLineChars="200"/>
        <w:rPr>
          <w:rFonts w:ascii="宋体" w:hAnsi="宋体"/>
          <w:b/>
          <w:szCs w:val="21"/>
        </w:rPr>
      </w:pPr>
      <w:r>
        <w:rPr>
          <w:rFonts w:hint="eastAsia" w:ascii="宋体" w:hAnsi="宋体"/>
          <w:b/>
          <w:szCs w:val="21"/>
        </w:rPr>
        <w:t>17．递交响应文件截止时间、地点</w:t>
      </w:r>
    </w:p>
    <w:p>
      <w:pPr>
        <w:spacing w:line="400" w:lineRule="exact"/>
        <w:ind w:firstLine="420" w:firstLineChars="200"/>
        <w:rPr>
          <w:rFonts w:ascii="宋体" w:hAnsi="宋体"/>
          <w:szCs w:val="21"/>
        </w:rPr>
      </w:pPr>
      <w:r>
        <w:rPr>
          <w:rFonts w:hint="eastAsia" w:ascii="宋体" w:hAnsi="宋体"/>
          <w:szCs w:val="21"/>
        </w:rPr>
        <w:t>17.1响应文件的递交不得迟于本须知前附表规定的截止时间。</w:t>
      </w:r>
    </w:p>
    <w:p>
      <w:pPr>
        <w:spacing w:line="400" w:lineRule="exact"/>
        <w:ind w:firstLine="420" w:firstLineChars="200"/>
        <w:rPr>
          <w:rFonts w:ascii="宋体" w:hAnsi="宋体"/>
          <w:szCs w:val="21"/>
        </w:rPr>
      </w:pPr>
      <w:r>
        <w:rPr>
          <w:rFonts w:hint="eastAsia" w:ascii="宋体" w:hAnsi="宋体"/>
          <w:szCs w:val="21"/>
        </w:rPr>
        <w:t>17.2供应商必须在规定时间内将响应文件送到本须知前附表规定地点，超过截止时间送达的响应文件为无效文件，采购代理机构将拒收。</w:t>
      </w:r>
    </w:p>
    <w:p>
      <w:pPr>
        <w:spacing w:before="156" w:beforeLines="50" w:line="276" w:lineRule="auto"/>
        <w:ind w:right="168" w:rightChars="80" w:firstLine="432" w:firstLineChars="205"/>
        <w:rPr>
          <w:rFonts w:ascii="宋体" w:hAnsi="宋体"/>
          <w:b/>
          <w:szCs w:val="21"/>
        </w:rPr>
      </w:pPr>
      <w:r>
        <w:rPr>
          <w:rFonts w:hint="eastAsia" w:ascii="宋体" w:hAnsi="宋体"/>
          <w:b/>
          <w:szCs w:val="21"/>
        </w:rPr>
        <w:t>18. 响应文件的修改与撤回</w:t>
      </w:r>
    </w:p>
    <w:p>
      <w:pPr>
        <w:spacing w:line="276" w:lineRule="auto"/>
        <w:ind w:right="168" w:rightChars="80" w:firstLine="430" w:firstLineChars="205"/>
        <w:rPr>
          <w:rFonts w:ascii="宋体" w:hAnsi="宋体"/>
          <w:szCs w:val="21"/>
        </w:rPr>
      </w:pPr>
      <w:r>
        <w:rPr>
          <w:rFonts w:hint="eastAsia" w:ascii="宋体" w:hAnsi="宋体"/>
          <w:szCs w:val="21"/>
        </w:rPr>
        <w:t>18.1 在提交响应文件以后，于规定的提交响应文件截止时间前，供应商可以书面形式向采购代理机构提交其修改或撤回其响应文件的通知，修改通知作为响应文件的组成部分，对供应商起约束作用。</w:t>
      </w:r>
    </w:p>
    <w:p>
      <w:pPr>
        <w:spacing w:line="276" w:lineRule="auto"/>
        <w:ind w:right="168" w:rightChars="80" w:firstLine="430" w:firstLineChars="205"/>
        <w:rPr>
          <w:rFonts w:ascii="宋体" w:hAnsi="宋体"/>
          <w:szCs w:val="21"/>
        </w:rPr>
      </w:pPr>
      <w:r>
        <w:rPr>
          <w:rFonts w:hint="eastAsia" w:ascii="宋体" w:hAnsi="宋体"/>
          <w:szCs w:val="21"/>
        </w:rPr>
        <w:t>18.2 供应商的修改或撤回通知，应按本须知的规定密封、标志和提交（在内层密封袋上标明“修改”或“撤回”字样）。</w:t>
      </w:r>
    </w:p>
    <w:p>
      <w:pPr>
        <w:spacing w:line="276" w:lineRule="auto"/>
        <w:ind w:right="168" w:rightChars="80" w:firstLine="430" w:firstLineChars="205"/>
        <w:rPr>
          <w:rFonts w:ascii="宋体" w:hAnsi="宋体"/>
          <w:szCs w:val="21"/>
        </w:rPr>
      </w:pPr>
      <w:r>
        <w:rPr>
          <w:rFonts w:hint="eastAsia" w:ascii="宋体" w:hAnsi="宋体"/>
          <w:szCs w:val="21"/>
        </w:rPr>
        <w:t>18.3 在提交响应文件截止时间以后，供应商不得修改响应文件。</w:t>
      </w:r>
    </w:p>
    <w:p>
      <w:pPr>
        <w:spacing w:line="276" w:lineRule="auto"/>
        <w:ind w:right="168" w:rightChars="80" w:firstLine="430" w:firstLineChars="205"/>
        <w:rPr>
          <w:rFonts w:ascii="宋体" w:hAnsi="宋体"/>
          <w:szCs w:val="21"/>
        </w:rPr>
      </w:pPr>
      <w:r>
        <w:rPr>
          <w:rFonts w:hint="eastAsia" w:ascii="宋体" w:hAnsi="宋体"/>
          <w:szCs w:val="21"/>
        </w:rPr>
        <w:t>18.4 在谈判有效期内，供应商不能撤回其响应文件，否则其保证金将被没收。</w:t>
      </w:r>
    </w:p>
    <w:p>
      <w:pPr>
        <w:spacing w:line="400" w:lineRule="exact"/>
        <w:ind w:firstLine="422" w:firstLineChars="200"/>
        <w:rPr>
          <w:rFonts w:ascii="宋体" w:hAnsi="宋体"/>
          <w:b/>
          <w:szCs w:val="21"/>
        </w:rPr>
      </w:pPr>
      <w:bookmarkStart w:id="60" w:name="_Toc254970532"/>
      <w:bookmarkStart w:id="61" w:name="_Toc254970673"/>
      <w:r>
        <w:rPr>
          <w:rFonts w:hint="eastAsia" w:ascii="宋体" w:hAnsi="宋体"/>
          <w:b/>
          <w:szCs w:val="21"/>
        </w:rPr>
        <w:t>六、谈判与评审</w:t>
      </w:r>
    </w:p>
    <w:p>
      <w:pPr>
        <w:pStyle w:val="7"/>
        <w:spacing w:line="440" w:lineRule="exact"/>
        <w:ind w:firstLine="444" w:firstLineChars="221"/>
        <w:rPr>
          <w:b/>
          <w:szCs w:val="21"/>
        </w:rPr>
      </w:pPr>
      <w:r>
        <w:rPr>
          <w:rFonts w:hint="eastAsia"/>
          <w:b/>
          <w:szCs w:val="21"/>
        </w:rPr>
        <w:t>19.</w:t>
      </w:r>
      <w:r>
        <w:rPr>
          <w:rFonts w:hint="eastAsia" w:hAnsi="宋体"/>
          <w:b/>
          <w:szCs w:val="21"/>
        </w:rPr>
        <w:t xml:space="preserve"> 谈判</w:t>
      </w:r>
    </w:p>
    <w:p>
      <w:pPr>
        <w:pStyle w:val="7"/>
        <w:spacing w:line="440" w:lineRule="exact"/>
        <w:ind w:firstLine="442" w:firstLineChars="221"/>
        <w:rPr>
          <w:rFonts w:hAnsi="宋体"/>
          <w:szCs w:val="21"/>
        </w:rPr>
      </w:pPr>
      <w:r>
        <w:rPr>
          <w:rFonts w:hint="eastAsia" w:hAnsi="宋体"/>
          <w:szCs w:val="21"/>
        </w:rPr>
        <w:t>19.1  谈判小组确认谈判文件，并将在谈判须知前附表规定的地点与各供应商进行谈判。谈判内容包括：竞标报价、技术参数及性能（配置）要求和商务条款，供应商资格条件不列为谈判内容。</w:t>
      </w:r>
    </w:p>
    <w:p>
      <w:pPr>
        <w:pStyle w:val="7"/>
        <w:spacing w:line="440" w:lineRule="exact"/>
        <w:ind w:firstLine="442" w:firstLineChars="221"/>
        <w:rPr>
          <w:rFonts w:hAnsi="宋体"/>
          <w:szCs w:val="21"/>
        </w:rPr>
      </w:pPr>
      <w:r>
        <w:rPr>
          <w:rFonts w:hint="eastAsia" w:hAnsi="宋体"/>
          <w:szCs w:val="21"/>
        </w:rPr>
        <w:t>19.2  谈判小组对资格条件及响应文件进行评审，并从符合谈判文件规定的相应资格条件的供应商名单中确定不少于3家的供应商参加谈判。资格条件不符合的供应商或未实质性响应谈判文件的响应文件按无效处理，谈判小组应当告知有关供应商。</w:t>
      </w:r>
    </w:p>
    <w:p>
      <w:pPr>
        <w:pStyle w:val="7"/>
        <w:spacing w:line="440" w:lineRule="exact"/>
        <w:ind w:firstLine="442" w:firstLineChars="221"/>
        <w:rPr>
          <w:rFonts w:hAnsi="宋体"/>
          <w:szCs w:val="21"/>
        </w:rPr>
      </w:pPr>
      <w:r>
        <w:rPr>
          <w:rFonts w:hint="eastAsia" w:hAnsi="宋体"/>
          <w:szCs w:val="21"/>
        </w:rPr>
        <w:t>19.3  第一轮谈判</w:t>
      </w:r>
    </w:p>
    <w:p>
      <w:pPr>
        <w:pStyle w:val="7"/>
        <w:spacing w:line="440" w:lineRule="exact"/>
        <w:ind w:firstLine="442" w:firstLineChars="221"/>
        <w:rPr>
          <w:rFonts w:hAnsi="宋体"/>
          <w:szCs w:val="21"/>
        </w:rPr>
      </w:pPr>
      <w:r>
        <w:rPr>
          <w:rFonts w:hint="eastAsia" w:hAnsi="宋体"/>
          <w:szCs w:val="21"/>
        </w:rPr>
        <w:t>谈判小组按已确定的谈判顺序，谈判小组所有成员应当集中与单一供应商分别进行谈判，并给予所有参加谈判的供应商平等的谈判机会。</w:t>
      </w:r>
    </w:p>
    <w:p>
      <w:pPr>
        <w:pStyle w:val="7"/>
        <w:spacing w:line="440" w:lineRule="exact"/>
        <w:ind w:firstLine="442" w:firstLineChars="221"/>
        <w:rPr>
          <w:rFonts w:hAnsi="宋体"/>
          <w:szCs w:val="21"/>
        </w:rPr>
      </w:pPr>
      <w:r>
        <w:rPr>
          <w:rFonts w:hint="eastAsia" w:hAnsi="宋体"/>
          <w:szCs w:val="21"/>
        </w:rPr>
        <w:t>在谈判过程中，谈判小组可以根据谈判文件和谈判情况实质性变动采购需求中的技术、服务要求以及合同草案条款。实质性变动的内容，须经采购人代表确认。</w:t>
      </w:r>
    </w:p>
    <w:p>
      <w:pPr>
        <w:pStyle w:val="7"/>
        <w:spacing w:line="440" w:lineRule="exact"/>
        <w:ind w:firstLine="442" w:firstLineChars="221"/>
        <w:rPr>
          <w:rFonts w:hAnsi="宋体"/>
          <w:szCs w:val="21"/>
        </w:rPr>
      </w:pPr>
      <w:r>
        <w:rPr>
          <w:rFonts w:hint="eastAsia" w:hAnsi="宋体"/>
          <w:szCs w:val="21"/>
        </w:rPr>
        <w:t>对谈判文件作出的实质性变动是谈判文件的有效组成部分，谈判小组应当及时以书面形式同时通知所有参加谈判的供应商。</w:t>
      </w:r>
    </w:p>
    <w:p>
      <w:pPr>
        <w:pStyle w:val="7"/>
        <w:spacing w:line="440" w:lineRule="exact"/>
        <w:ind w:firstLine="442" w:firstLineChars="221"/>
        <w:rPr>
          <w:rFonts w:hAnsi="宋体"/>
          <w:szCs w:val="21"/>
        </w:rPr>
      </w:pPr>
      <w:r>
        <w:rPr>
          <w:rFonts w:hint="eastAsia" w:hAnsi="宋体"/>
          <w:szCs w:val="21"/>
        </w:rPr>
        <w:t>供应商应当按照谈判文件的变动情况和谈判小组的要求提交谈判应答响应文件，并由其法定代表人或授权代表签字或者加盖公章。由授权代表签字的，应当附法定代表人授权书。</w:t>
      </w:r>
    </w:p>
    <w:p>
      <w:pPr>
        <w:pStyle w:val="7"/>
        <w:spacing w:line="440" w:lineRule="exact"/>
        <w:ind w:firstLine="442" w:firstLineChars="221"/>
        <w:rPr>
          <w:rFonts w:hAnsi="宋体"/>
          <w:szCs w:val="21"/>
        </w:rPr>
      </w:pPr>
      <w:r>
        <w:rPr>
          <w:rFonts w:hint="eastAsia" w:hAnsi="宋体"/>
          <w:szCs w:val="21"/>
        </w:rPr>
        <w:t>谈判中，谈判的任何一方不得透露与谈判有关的其他供应商的技术资料、价格和其他信息。</w:t>
      </w:r>
    </w:p>
    <w:p>
      <w:pPr>
        <w:pStyle w:val="7"/>
        <w:spacing w:line="440" w:lineRule="exact"/>
        <w:ind w:firstLine="442" w:firstLineChars="221"/>
        <w:rPr>
          <w:rFonts w:hAnsi="宋体"/>
          <w:szCs w:val="21"/>
        </w:rPr>
      </w:pPr>
      <w:r>
        <w:rPr>
          <w:rFonts w:hint="eastAsia" w:hAnsi="宋体"/>
          <w:szCs w:val="21"/>
        </w:rPr>
        <w:t>采购代理机构对谈判过程和重要谈判内容进行记录，谈判双方在记录上签字确认。</w:t>
      </w:r>
    </w:p>
    <w:p>
      <w:pPr>
        <w:pStyle w:val="7"/>
        <w:spacing w:line="440" w:lineRule="exact"/>
        <w:ind w:firstLine="442" w:firstLineChars="221"/>
        <w:rPr>
          <w:rFonts w:hAnsi="宋体"/>
          <w:szCs w:val="21"/>
        </w:rPr>
      </w:pPr>
      <w:r>
        <w:rPr>
          <w:rFonts w:hint="eastAsia" w:hAnsi="宋体"/>
          <w:szCs w:val="21"/>
        </w:rPr>
        <w:t>谈判小组一致确定响应供应商符合谈判文件要求的，按谈判文件设定的方法和标准确定成交候选人。第一轮谈判小组未能确定成交候选人的，对谈判文件修正后进行第二轮谈判。</w:t>
      </w:r>
    </w:p>
    <w:p>
      <w:pPr>
        <w:pStyle w:val="7"/>
        <w:spacing w:line="440" w:lineRule="exact"/>
        <w:ind w:firstLine="442" w:firstLineChars="221"/>
        <w:rPr>
          <w:rFonts w:hAnsi="宋体"/>
          <w:szCs w:val="21"/>
        </w:rPr>
      </w:pPr>
      <w:r>
        <w:rPr>
          <w:rFonts w:hint="eastAsia" w:hAnsi="宋体"/>
          <w:szCs w:val="21"/>
        </w:rPr>
        <w:t>19.4  谈判文件修正</w:t>
      </w:r>
    </w:p>
    <w:p>
      <w:pPr>
        <w:pStyle w:val="7"/>
        <w:spacing w:line="440" w:lineRule="exact"/>
        <w:ind w:firstLine="442" w:firstLineChars="221"/>
        <w:rPr>
          <w:rFonts w:hAnsi="宋体"/>
          <w:szCs w:val="21"/>
        </w:rPr>
      </w:pPr>
      <w:r>
        <w:rPr>
          <w:rFonts w:hint="eastAsia" w:hAnsi="宋体"/>
          <w:szCs w:val="21"/>
        </w:rPr>
        <w:t>（1）第一轮谈判结束后，各响应供应商退场等候，谈判小组进行合议。根据第一轮谈判掌握的情况，可以对谈判文件进行修改，确定采购内容的详细规格或具体要求，优化采购方案。</w:t>
      </w:r>
    </w:p>
    <w:p>
      <w:pPr>
        <w:pStyle w:val="7"/>
        <w:spacing w:line="440" w:lineRule="exact"/>
        <w:ind w:firstLine="442" w:firstLineChars="221"/>
        <w:rPr>
          <w:rFonts w:hAnsi="宋体"/>
          <w:szCs w:val="21"/>
        </w:rPr>
      </w:pPr>
      <w:r>
        <w:rPr>
          <w:rFonts w:hint="eastAsia" w:hAnsi="宋体"/>
          <w:szCs w:val="21"/>
        </w:rPr>
        <w:t>（2）采购代理机构通知响应供应商集中，谈判小组强调调整后的采购要求，将谈判文件的修改结果以书面形式通知响应供应商，向响应供应商提供较充分的修正时间。</w:t>
      </w:r>
    </w:p>
    <w:p>
      <w:pPr>
        <w:pStyle w:val="7"/>
        <w:spacing w:line="440" w:lineRule="exact"/>
        <w:ind w:firstLine="442" w:firstLineChars="221"/>
        <w:rPr>
          <w:rFonts w:hAnsi="宋体"/>
          <w:szCs w:val="21"/>
        </w:rPr>
      </w:pPr>
      <w:r>
        <w:rPr>
          <w:rFonts w:hint="eastAsia" w:hAnsi="宋体"/>
          <w:szCs w:val="21"/>
        </w:rPr>
        <w:t>（3）响应供应商根据第一轮谈判情况和谈判文件修改书面通知内容，进行谈判应答响应，并将谈判应答响应文件签字（或盖公章）后密封送交谈判小组。逾时不交的，视同放弃谈判。谈判应答响应文件与首次响应文件同具法律效应。</w:t>
      </w:r>
    </w:p>
    <w:p>
      <w:pPr>
        <w:pStyle w:val="7"/>
        <w:spacing w:line="440" w:lineRule="exact"/>
        <w:ind w:firstLine="442" w:firstLineChars="221"/>
        <w:rPr>
          <w:rFonts w:hAnsi="宋体"/>
          <w:szCs w:val="21"/>
        </w:rPr>
      </w:pPr>
      <w:r>
        <w:rPr>
          <w:rFonts w:hint="eastAsia" w:hAnsi="宋体"/>
          <w:szCs w:val="21"/>
        </w:rPr>
        <w:t>19.5  第二轮谈判</w:t>
      </w:r>
    </w:p>
    <w:p>
      <w:pPr>
        <w:pStyle w:val="7"/>
        <w:spacing w:line="440" w:lineRule="exact"/>
        <w:ind w:firstLine="442" w:firstLineChars="221"/>
        <w:rPr>
          <w:rFonts w:hAnsi="宋体"/>
          <w:szCs w:val="21"/>
        </w:rPr>
      </w:pPr>
      <w:r>
        <w:rPr>
          <w:rFonts w:hint="eastAsia" w:hAnsi="宋体"/>
          <w:szCs w:val="21"/>
        </w:rPr>
        <w:t>谈判小组就修正后的谈判文件与响应供应商分别进行谈判。采购代理机构对谈判过程和重要谈判内容进行记录，谈判双方在记录上签字确认。谈判小组按谈判文件设定的方法和标准确定成交候选人。</w:t>
      </w:r>
    </w:p>
    <w:p>
      <w:pPr>
        <w:pStyle w:val="7"/>
        <w:spacing w:line="440" w:lineRule="exact"/>
        <w:ind w:firstLine="442" w:firstLineChars="221"/>
        <w:rPr>
          <w:rFonts w:hAnsi="宋体"/>
          <w:szCs w:val="21"/>
        </w:rPr>
      </w:pPr>
      <w:r>
        <w:rPr>
          <w:rFonts w:hint="eastAsia" w:hAnsi="宋体"/>
          <w:szCs w:val="21"/>
        </w:rPr>
        <w:t>第二轮谈判小组未能确定成交候选人的，对谈判文件修正后进行第三轮谈判，以此类推。</w:t>
      </w:r>
    </w:p>
    <w:p>
      <w:pPr>
        <w:pStyle w:val="7"/>
        <w:spacing w:line="440" w:lineRule="exact"/>
        <w:ind w:firstLine="442" w:firstLineChars="221"/>
        <w:rPr>
          <w:rFonts w:hAnsi="宋体"/>
          <w:szCs w:val="21"/>
        </w:rPr>
      </w:pPr>
      <w:r>
        <w:rPr>
          <w:rFonts w:hint="eastAsia" w:hAnsi="宋体"/>
          <w:szCs w:val="21"/>
        </w:rPr>
        <w:t>19.6  最后报价</w:t>
      </w:r>
    </w:p>
    <w:p>
      <w:pPr>
        <w:pStyle w:val="7"/>
        <w:spacing w:line="440" w:lineRule="exact"/>
        <w:ind w:firstLine="442" w:firstLineChars="221"/>
        <w:rPr>
          <w:rFonts w:hAnsi="宋体"/>
          <w:szCs w:val="21"/>
        </w:rPr>
      </w:pPr>
      <w:r>
        <w:rPr>
          <w:rFonts w:hint="eastAsia" w:hAnsi="宋体"/>
          <w:szCs w:val="21"/>
        </w:rPr>
        <w:t>（1）谈判文件能够详细列明采购标的的技术、服务要求的，谈判结束后，谈判小组应当要求所有继续参加谈判的供应商在规定时间内密封提交最后报价，提交最后报价的供应商不得少于3家。</w:t>
      </w:r>
    </w:p>
    <w:p>
      <w:pPr>
        <w:pStyle w:val="7"/>
        <w:spacing w:line="440" w:lineRule="exact"/>
        <w:ind w:firstLine="442" w:firstLineChars="221"/>
        <w:rPr>
          <w:rFonts w:hAnsi="宋体"/>
          <w:szCs w:val="21"/>
        </w:rPr>
      </w:pPr>
      <w:r>
        <w:rPr>
          <w:rFonts w:hint="eastAsia" w:hAnsi="宋体"/>
          <w:szCs w:val="21"/>
        </w:rPr>
        <w:t>（2）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密封提交最后报价。</w:t>
      </w:r>
    </w:p>
    <w:p>
      <w:pPr>
        <w:pStyle w:val="7"/>
        <w:spacing w:line="440" w:lineRule="exact"/>
        <w:ind w:firstLine="442" w:firstLineChars="221"/>
        <w:rPr>
          <w:rFonts w:hAnsi="宋体"/>
          <w:szCs w:val="21"/>
        </w:rPr>
      </w:pPr>
      <w:r>
        <w:rPr>
          <w:rFonts w:hint="eastAsia" w:hAnsi="宋体"/>
          <w:szCs w:val="21"/>
        </w:rPr>
        <w:t>（3）最后报价是供应商响应文件的有效组成部分。</w:t>
      </w:r>
    </w:p>
    <w:p>
      <w:pPr>
        <w:widowControl/>
        <w:tabs>
          <w:tab w:val="left" w:pos="540"/>
        </w:tabs>
        <w:spacing w:line="400" w:lineRule="exact"/>
        <w:ind w:firstLine="420" w:firstLineChars="200"/>
        <w:jc w:val="left"/>
        <w:rPr>
          <w:rFonts w:hAnsi="宋体"/>
          <w:szCs w:val="21"/>
        </w:rPr>
      </w:pPr>
      <w:r>
        <w:rPr>
          <w:rFonts w:hint="eastAsia" w:hAnsi="宋体"/>
          <w:szCs w:val="21"/>
        </w:rPr>
        <w:t>（4）已经提交响应文件的供应商，在提交最后报价之前，可以根据谈判情况退出谈判。采购人、采购代理机构将退还退出谈判的供应商的保证金。</w:t>
      </w:r>
      <w:r>
        <w:rPr>
          <w:rFonts w:hint="eastAsia" w:ascii="宋体" w:hAnsi="宋体"/>
          <w:szCs w:val="21"/>
        </w:rPr>
        <w:t>最终谈判结束后，谈判小组不得再与供应商进行任何形式的商谈。</w:t>
      </w:r>
    </w:p>
    <w:p>
      <w:pPr>
        <w:pStyle w:val="7"/>
        <w:spacing w:line="440" w:lineRule="exact"/>
        <w:ind w:firstLine="442" w:firstLineChars="221"/>
        <w:rPr>
          <w:rFonts w:hAnsi="宋体"/>
          <w:szCs w:val="21"/>
        </w:rPr>
      </w:pPr>
      <w:r>
        <w:rPr>
          <w:rFonts w:hint="eastAsia" w:hAnsi="宋体"/>
          <w:szCs w:val="21"/>
        </w:rPr>
        <w:t>（5）谈判小组应当从质量和服务均能满足谈判文件实质性响应要求的供应商中，按照最终评标报价由低到高的顺序提出3名以上成交候选人，并编写评审报告。</w:t>
      </w:r>
    </w:p>
    <w:p>
      <w:pPr>
        <w:pStyle w:val="7"/>
        <w:spacing w:line="440" w:lineRule="exact"/>
        <w:ind w:firstLine="442" w:firstLineChars="221"/>
        <w:rPr>
          <w:rFonts w:hAnsi="宋体"/>
          <w:szCs w:val="21"/>
        </w:rPr>
      </w:pPr>
      <w:r>
        <w:rPr>
          <w:rFonts w:hint="eastAsia" w:hAnsi="宋体"/>
          <w:szCs w:val="21"/>
        </w:rPr>
        <w:t>19.7响应供应商的报价均超过了政府采购预算，采购人不能支付的，谈判活动终止。</w:t>
      </w:r>
    </w:p>
    <w:p>
      <w:pPr>
        <w:pStyle w:val="7"/>
        <w:spacing w:line="440" w:lineRule="exact"/>
        <w:ind w:firstLine="444" w:firstLineChars="221"/>
        <w:rPr>
          <w:rFonts w:hAnsi="宋体"/>
          <w:b/>
          <w:szCs w:val="21"/>
        </w:rPr>
      </w:pPr>
      <w:r>
        <w:rPr>
          <w:rFonts w:hint="eastAsia" w:hAnsi="宋体"/>
          <w:b/>
          <w:szCs w:val="21"/>
        </w:rPr>
        <w:t xml:space="preserve">20. </w:t>
      </w:r>
      <w:r>
        <w:rPr>
          <w:rFonts w:hint="eastAsia"/>
          <w:b/>
          <w:szCs w:val="21"/>
        </w:rPr>
        <w:t>评审方法</w:t>
      </w:r>
    </w:p>
    <w:p>
      <w:pPr>
        <w:spacing w:line="360" w:lineRule="auto"/>
        <w:ind w:firstLine="420" w:firstLineChars="200"/>
        <w:rPr>
          <w:rFonts w:hAnsi="宋体"/>
          <w:szCs w:val="21"/>
        </w:rPr>
      </w:pPr>
      <w:r>
        <w:rPr>
          <w:rFonts w:hint="eastAsia"/>
          <w:szCs w:val="21"/>
        </w:rPr>
        <w:t xml:space="preserve">20.1  </w:t>
      </w:r>
      <w:r>
        <w:rPr>
          <w:rFonts w:hint="eastAsia" w:hAnsi="宋体"/>
          <w:szCs w:val="21"/>
        </w:rPr>
        <w:t>成立谈判小组：</w:t>
      </w:r>
      <w:r>
        <w:rPr>
          <w:rFonts w:hint="eastAsia" w:ascii="宋体" w:hAnsi="宋体"/>
          <w:szCs w:val="21"/>
        </w:rPr>
        <w:t>本采购项目的谈判小组分别由依法组成的评审专家三人组成，其中专家人数不少于成员总数的三分之二。</w:t>
      </w:r>
      <w:r>
        <w:rPr>
          <w:rFonts w:hint="eastAsia" w:hAnsi="宋体"/>
          <w:szCs w:val="21"/>
        </w:rPr>
        <w:t>谈判与评审活动由依法组建的谈判小组负责。</w:t>
      </w:r>
    </w:p>
    <w:p>
      <w:pPr>
        <w:pStyle w:val="7"/>
        <w:spacing w:line="440" w:lineRule="exact"/>
        <w:ind w:firstLine="442" w:firstLineChars="221"/>
        <w:rPr>
          <w:szCs w:val="21"/>
        </w:rPr>
      </w:pPr>
      <w:r>
        <w:rPr>
          <w:rFonts w:hint="eastAsia"/>
          <w:szCs w:val="21"/>
        </w:rPr>
        <w:t>20.2  评审原则：评审活动遵循公平、公正、科学和择优的原则。在评审过程中出现法律法规和谈判文件均没有明确规定的情形时，由谈判小组现场协商解决，协商不一致的，由全体谈判小组投票表决，以得票率二分之一以上专家的意见为准。</w:t>
      </w:r>
    </w:p>
    <w:p>
      <w:pPr>
        <w:pStyle w:val="7"/>
        <w:spacing w:line="440" w:lineRule="exact"/>
        <w:ind w:firstLine="442" w:firstLineChars="221"/>
        <w:rPr>
          <w:szCs w:val="21"/>
        </w:rPr>
      </w:pPr>
      <w:r>
        <w:rPr>
          <w:rFonts w:hint="eastAsia" w:hAnsi="宋体"/>
          <w:szCs w:val="21"/>
        </w:rPr>
        <w:t>20.3  评审方法及</w:t>
      </w:r>
      <w:r>
        <w:rPr>
          <w:rFonts w:hint="eastAsia" w:hAnsi="宋体"/>
          <w:bCs/>
          <w:szCs w:val="21"/>
        </w:rPr>
        <w:t>评审程序</w:t>
      </w:r>
      <w:r>
        <w:rPr>
          <w:rFonts w:hint="eastAsia" w:hAnsi="宋体"/>
          <w:szCs w:val="21"/>
        </w:rPr>
        <w:t>：</w:t>
      </w:r>
      <w:r>
        <w:rPr>
          <w:rFonts w:hint="eastAsia"/>
          <w:szCs w:val="21"/>
        </w:rPr>
        <w:t>谈判小组按照</w:t>
      </w:r>
      <w:r>
        <w:rPr>
          <w:rFonts w:hint="eastAsia" w:hAnsi="宋体"/>
          <w:szCs w:val="21"/>
        </w:rPr>
        <w:t>谈判须知前附表和</w:t>
      </w:r>
      <w:r>
        <w:rPr>
          <w:rFonts w:hint="eastAsia"/>
          <w:szCs w:val="21"/>
        </w:rPr>
        <w:t>第六章“评审方法”规定的方法、程序、评审因素和标准对响应文件进行评审。在评审中，不得改变第六章“评审办法”规定的方法、评审因素和标准；第六章“评审办法”没有规定的方法、评审因素和标准，不作为评审依据。</w:t>
      </w:r>
    </w:p>
    <w:p>
      <w:pPr>
        <w:snapToGrid w:val="0"/>
        <w:spacing w:line="420" w:lineRule="exact"/>
        <w:ind w:firstLine="499" w:firstLineChars="238"/>
        <w:rPr>
          <w:rFonts w:hAnsi="宋体"/>
          <w:szCs w:val="21"/>
        </w:rPr>
      </w:pPr>
      <w:r>
        <w:rPr>
          <w:rFonts w:hint="eastAsia" w:hAnsi="宋体"/>
          <w:szCs w:val="21"/>
        </w:rPr>
        <w:t>20.4谈判小组可以要求供应商对响应文件中</w:t>
      </w:r>
      <w:r>
        <w:rPr>
          <w:rFonts w:hint="eastAsia" w:hAnsi="宋体"/>
          <w:b/>
          <w:szCs w:val="21"/>
        </w:rPr>
        <w:t>含义不明确、同类问题表述不一致或者有明显文字和计算错误的内容</w:t>
      </w:r>
      <w:r>
        <w:rPr>
          <w:rFonts w:hint="eastAsia" w:hAnsi="宋体"/>
          <w:szCs w:val="21"/>
        </w:rPr>
        <w:t>作出必要的澄清、说明或者补正。</w:t>
      </w:r>
    </w:p>
    <w:p>
      <w:pPr>
        <w:snapToGrid w:val="0"/>
        <w:spacing w:line="420" w:lineRule="exact"/>
        <w:ind w:firstLine="499" w:firstLineChars="238"/>
        <w:rPr>
          <w:rFonts w:hAnsi="宋体"/>
          <w:szCs w:val="21"/>
        </w:rPr>
      </w:pPr>
      <w:r>
        <w:rPr>
          <w:rFonts w:hint="eastAsia" w:hAnsi="宋体"/>
          <w:szCs w:val="21"/>
        </w:rPr>
        <w:t>供应商的澄清、说明或者补正应当采用书面形式，并加盖公章，或者由法定代表人或其授权的代表签字。供应商的澄清、说明或者补正不得超出响应文件的范围或者改变响应文件的实质性内容。供应商代表未到场或者拒绝澄清或者澄清的内容改变了响应文件的实质性内容的，谈判小组有权视该响应文件无效。</w:t>
      </w:r>
    </w:p>
    <w:p>
      <w:pPr>
        <w:pStyle w:val="6"/>
        <w:snapToGrid w:val="0"/>
        <w:spacing w:line="420" w:lineRule="exact"/>
        <w:ind w:firstLine="424" w:firstLineChars="210"/>
        <w:rPr>
          <w:rFonts w:hAnsi="宋体"/>
          <w:sz w:val="21"/>
          <w:szCs w:val="21"/>
        </w:rPr>
      </w:pPr>
      <w:r>
        <w:rPr>
          <w:rFonts w:hint="eastAsia" w:hAnsi="宋体"/>
          <w:sz w:val="21"/>
          <w:szCs w:val="21"/>
        </w:rPr>
        <w:t>20.5在评审中，供应商提交的响应文件或谈判应答文件出现下列情形之一的，竞标无效：</w:t>
      </w:r>
    </w:p>
    <w:p>
      <w:pPr>
        <w:snapToGrid w:val="0"/>
        <w:spacing w:line="400" w:lineRule="exact"/>
        <w:ind w:firstLine="411" w:firstLineChars="196"/>
        <w:rPr>
          <w:rFonts w:hAnsi="宋体" w:cs="宋体"/>
          <w:szCs w:val="21"/>
        </w:rPr>
      </w:pPr>
      <w:r>
        <w:rPr>
          <w:rFonts w:hint="eastAsia" w:hAnsi="宋体"/>
          <w:szCs w:val="21"/>
        </w:rPr>
        <w:t>（1）</w:t>
      </w:r>
      <w:r>
        <w:rPr>
          <w:rFonts w:hint="eastAsia" w:hAnsi="宋体" w:cs="宋体"/>
          <w:szCs w:val="21"/>
        </w:rPr>
        <w:t>不具备谈判文件中规定的资格要求的或未在规定时间内购买谈判文件的；</w:t>
      </w:r>
    </w:p>
    <w:p>
      <w:pPr>
        <w:snapToGrid w:val="0"/>
        <w:spacing w:line="400" w:lineRule="exact"/>
        <w:ind w:firstLine="411" w:firstLineChars="196"/>
        <w:rPr>
          <w:rFonts w:hAnsi="宋体" w:cs="宋体"/>
          <w:szCs w:val="21"/>
        </w:rPr>
      </w:pPr>
      <w:r>
        <w:rPr>
          <w:rFonts w:hint="eastAsia" w:hAnsi="宋体" w:cs="宋体"/>
          <w:szCs w:val="21"/>
        </w:rPr>
        <w:t>（2）超越了按照法律法规规定必须获得行政许可或者行政审批的经营范围的；</w:t>
      </w:r>
    </w:p>
    <w:p>
      <w:pPr>
        <w:snapToGrid w:val="0"/>
        <w:spacing w:line="400" w:lineRule="exact"/>
        <w:ind w:firstLine="411" w:firstLineChars="196"/>
        <w:rPr>
          <w:rFonts w:hAnsi="宋体" w:cs="宋体"/>
          <w:szCs w:val="21"/>
        </w:rPr>
      </w:pPr>
      <w:r>
        <w:rPr>
          <w:rFonts w:hint="eastAsia" w:hAnsi="宋体" w:cs="宋体"/>
          <w:szCs w:val="21"/>
        </w:rPr>
        <w:t>（3）首次响应文件提交的资格证明文件不全或模糊、辩认不清，不合格的；</w:t>
      </w:r>
    </w:p>
    <w:p>
      <w:pPr>
        <w:snapToGrid w:val="0"/>
        <w:spacing w:line="400" w:lineRule="exact"/>
        <w:ind w:firstLine="411" w:firstLineChars="196"/>
        <w:rPr>
          <w:rFonts w:hAnsi="宋体" w:cs="宋体"/>
          <w:szCs w:val="21"/>
        </w:rPr>
      </w:pPr>
      <w:r>
        <w:rPr>
          <w:rFonts w:hint="eastAsia" w:hAnsi="宋体" w:cs="宋体"/>
          <w:szCs w:val="21"/>
        </w:rPr>
        <w:t>（4）响应文件或谈判应答文件无法定代表人或其授权委托代理人签字，或未提供法定代表人授权委托书；</w:t>
      </w:r>
    </w:p>
    <w:p>
      <w:pPr>
        <w:snapToGrid w:val="0"/>
        <w:spacing w:line="400" w:lineRule="exact"/>
        <w:ind w:firstLine="411" w:firstLineChars="196"/>
        <w:rPr>
          <w:rFonts w:hAnsi="宋体" w:cs="宋体"/>
          <w:szCs w:val="21"/>
        </w:rPr>
      </w:pPr>
      <w:r>
        <w:rPr>
          <w:rFonts w:hint="eastAsia" w:hAnsi="宋体" w:cs="宋体"/>
          <w:szCs w:val="21"/>
        </w:rPr>
        <w:t>（5）未按照采购文件的规定提交保证金的；</w:t>
      </w:r>
    </w:p>
    <w:p>
      <w:pPr>
        <w:snapToGrid w:val="0"/>
        <w:spacing w:line="400" w:lineRule="exact"/>
        <w:ind w:firstLine="411" w:firstLineChars="196"/>
        <w:rPr>
          <w:rFonts w:hAnsi="宋体" w:cs="宋体"/>
          <w:szCs w:val="21"/>
        </w:rPr>
      </w:pPr>
      <w:r>
        <w:rPr>
          <w:rFonts w:hint="eastAsia" w:hAnsi="宋体" w:cs="宋体"/>
          <w:szCs w:val="21"/>
        </w:rPr>
        <w:t>（6）响应文件未按谈判文件要求签署、盖章的；</w:t>
      </w:r>
    </w:p>
    <w:p>
      <w:pPr>
        <w:snapToGrid w:val="0"/>
        <w:spacing w:line="400" w:lineRule="exact"/>
        <w:ind w:firstLine="411" w:firstLineChars="196"/>
        <w:rPr>
          <w:rFonts w:hAnsi="宋体" w:cs="宋体"/>
          <w:szCs w:val="21"/>
        </w:rPr>
      </w:pPr>
      <w:r>
        <w:rPr>
          <w:rFonts w:hint="eastAsia" w:hAnsi="宋体" w:cs="宋体"/>
          <w:szCs w:val="21"/>
        </w:rPr>
        <w:t>（7）响应文件</w:t>
      </w:r>
      <w:r>
        <w:t>格式不符合第</w:t>
      </w:r>
      <w:r>
        <w:rPr>
          <w:rFonts w:hint="eastAsia"/>
        </w:rPr>
        <w:t>四</w:t>
      </w:r>
      <w:r>
        <w:t>章“</w:t>
      </w:r>
      <w:r>
        <w:rPr>
          <w:rFonts w:hint="eastAsia"/>
        </w:rPr>
        <w:t>响应</w:t>
      </w:r>
      <w:r>
        <w:t>文件</w:t>
      </w:r>
      <w:r>
        <w:rPr>
          <w:rFonts w:hint="eastAsia"/>
        </w:rPr>
        <w:t>基本</w:t>
      </w:r>
      <w:r>
        <w:t>格式”的要求</w:t>
      </w:r>
      <w:r>
        <w:rPr>
          <w:rFonts w:hint="eastAsia"/>
        </w:rPr>
        <w:t>，响应文件份数不符合谈判文件要求的；</w:t>
      </w:r>
    </w:p>
    <w:p>
      <w:pPr>
        <w:snapToGrid w:val="0"/>
        <w:spacing w:line="400" w:lineRule="exact"/>
        <w:ind w:firstLine="411" w:firstLineChars="196"/>
        <w:rPr>
          <w:rFonts w:hAnsi="宋体" w:cs="宋体"/>
          <w:szCs w:val="21"/>
        </w:rPr>
      </w:pPr>
      <w:r>
        <w:rPr>
          <w:rFonts w:hint="eastAsia" w:hAnsi="宋体" w:cs="宋体"/>
          <w:szCs w:val="21"/>
        </w:rPr>
        <w:t>（8）竞标有效期、交货时间、售后服务承诺、付款条件等实质性商务条款内容不能满足谈判文件要求的；</w:t>
      </w:r>
    </w:p>
    <w:p>
      <w:pPr>
        <w:pStyle w:val="6"/>
        <w:snapToGrid w:val="0"/>
        <w:spacing w:line="420" w:lineRule="exact"/>
        <w:ind w:firstLine="421" w:firstLineChars="245"/>
      </w:pPr>
      <w:r>
        <w:rPr>
          <w:rFonts w:hint="eastAsia" w:hAnsi="宋体" w:cs="宋体"/>
          <w:szCs w:val="21"/>
        </w:rPr>
        <w:t>（9）</w:t>
      </w:r>
      <w:r>
        <w:rPr>
          <w:rFonts w:hint="eastAsia" w:ascii="Times New Roman"/>
          <w:sz w:val="21"/>
        </w:rPr>
        <w:t>响应文件未提供或未如实提供竞标服务的服务内容与要求，或者响应文件标明的响应或偏离与事实不符或虚假竞标的；</w:t>
      </w:r>
    </w:p>
    <w:p>
      <w:pPr>
        <w:snapToGrid w:val="0"/>
        <w:spacing w:line="400" w:lineRule="exact"/>
        <w:ind w:firstLine="411" w:firstLineChars="196"/>
      </w:pPr>
      <w:r>
        <w:rPr>
          <w:rFonts w:hint="eastAsia"/>
        </w:rPr>
        <w:t>（10）</w:t>
      </w:r>
      <w:r>
        <w:rPr>
          <w:rFonts w:hint="eastAsia" w:ascii="宋体" w:hAnsi="宋体" w:cs="宋体"/>
          <w:snapToGrid w:val="0"/>
          <w:szCs w:val="21"/>
        </w:rPr>
        <w:t>明显不符合谈判文件要求的</w:t>
      </w:r>
      <w:r>
        <w:rPr>
          <w:rFonts w:hint="eastAsia"/>
        </w:rPr>
        <w:t>服务内容与要求</w:t>
      </w:r>
      <w:r>
        <w:rPr>
          <w:rFonts w:hint="eastAsia" w:ascii="宋体" w:hAnsi="宋体" w:cs="宋体"/>
          <w:snapToGrid w:val="0"/>
          <w:szCs w:val="21"/>
        </w:rPr>
        <w:t>、质量标准，或者与谈判</w:t>
      </w:r>
      <w:r>
        <w:rPr>
          <w:rFonts w:hint="eastAsia" w:ascii="宋体" w:hAnsi="宋体" w:cs="宋体"/>
          <w:szCs w:val="21"/>
        </w:rPr>
        <w:t>文件中标“</w:t>
      </w:r>
      <w:r>
        <w:rPr>
          <w:rFonts w:hint="eastAsia" w:hAnsi="宋体"/>
          <w:szCs w:val="21"/>
        </w:rPr>
        <w:t>★</w:t>
      </w:r>
      <w:r>
        <w:rPr>
          <w:rFonts w:hint="eastAsia" w:ascii="宋体" w:hAnsi="宋体" w:cs="宋体"/>
          <w:szCs w:val="21"/>
        </w:rPr>
        <w:t>”的技术指标、主要功能项目发生实质性偏离的；</w:t>
      </w:r>
    </w:p>
    <w:p>
      <w:pPr>
        <w:snapToGrid w:val="0"/>
        <w:spacing w:line="400" w:lineRule="exact"/>
        <w:ind w:firstLine="411" w:firstLineChars="196"/>
      </w:pPr>
      <w:r>
        <w:rPr>
          <w:rFonts w:hint="eastAsia"/>
        </w:rPr>
        <w:t>（11）</w:t>
      </w:r>
      <w:r>
        <w:rPr>
          <w:rFonts w:hint="eastAsia" w:ascii="宋体" w:hAnsi="宋体"/>
          <w:spacing w:val="-6"/>
          <w:szCs w:val="21"/>
        </w:rPr>
        <w:t xml:space="preserve">经评委评定，允许偏离的技术、性能指标或者辅助功能项目发生负偏离的项数达 </w:t>
      </w:r>
      <w:r>
        <w:rPr>
          <w:rFonts w:hint="eastAsia" w:ascii="宋体" w:hAnsi="宋体"/>
          <w:spacing w:val="-6"/>
          <w:szCs w:val="21"/>
          <w:u w:val="single"/>
        </w:rPr>
        <w:t xml:space="preserve"> 2 </w:t>
      </w:r>
      <w:r>
        <w:rPr>
          <w:rFonts w:hint="eastAsia" w:ascii="宋体" w:hAnsi="宋体"/>
          <w:spacing w:val="-6"/>
          <w:szCs w:val="21"/>
        </w:rPr>
        <w:t>项（含）以</w:t>
      </w:r>
      <w:r>
        <w:rPr>
          <w:rFonts w:hint="eastAsia" w:ascii="宋体" w:hAnsi="宋体"/>
          <w:color w:val="000000"/>
          <w:spacing w:val="-6"/>
          <w:szCs w:val="21"/>
        </w:rPr>
        <w:t>上的</w:t>
      </w:r>
      <w:r>
        <w:rPr>
          <w:rFonts w:hint="eastAsia" w:ascii="宋体" w:hAnsi="宋体"/>
          <w:color w:val="000000"/>
          <w:szCs w:val="21"/>
        </w:rPr>
        <w:t>；</w:t>
      </w:r>
    </w:p>
    <w:p>
      <w:pPr>
        <w:snapToGrid w:val="0"/>
        <w:spacing w:line="400" w:lineRule="exact"/>
        <w:ind w:firstLine="411" w:firstLineChars="196"/>
        <w:rPr>
          <w:rFonts w:hAnsi="宋体" w:cs="宋体"/>
          <w:szCs w:val="21"/>
        </w:rPr>
      </w:pPr>
      <w:r>
        <w:rPr>
          <w:rFonts w:hint="eastAsia" w:hAnsi="宋体" w:cs="宋体"/>
          <w:szCs w:val="21"/>
        </w:rPr>
        <w:t>（12）未采用人民币报价或者未按照谈判文件标明的币种、计价规则报价的；</w:t>
      </w:r>
    </w:p>
    <w:p>
      <w:pPr>
        <w:snapToGrid w:val="0"/>
        <w:spacing w:line="400" w:lineRule="exact"/>
        <w:ind w:firstLine="411" w:firstLineChars="196"/>
        <w:rPr>
          <w:rFonts w:hAnsi="宋体" w:cs="宋体"/>
          <w:szCs w:val="21"/>
        </w:rPr>
      </w:pPr>
      <w:r>
        <w:rPr>
          <w:rFonts w:hint="eastAsia" w:hAnsi="宋体" w:cs="宋体"/>
          <w:szCs w:val="21"/>
        </w:rPr>
        <w:t>（13）</w:t>
      </w:r>
      <w:r>
        <w:rPr>
          <w:rFonts w:hint="eastAsia"/>
        </w:rPr>
        <w:t>最终报价不是唯一报价，具有选择性。</w:t>
      </w:r>
    </w:p>
    <w:p>
      <w:pPr>
        <w:snapToGrid w:val="0"/>
        <w:spacing w:line="400" w:lineRule="exact"/>
        <w:ind w:firstLine="411" w:firstLineChars="196"/>
        <w:rPr>
          <w:rFonts w:hAnsi="宋体" w:cs="宋体"/>
          <w:szCs w:val="21"/>
        </w:rPr>
      </w:pPr>
      <w:r>
        <w:rPr>
          <w:rFonts w:hint="eastAsia" w:hAnsi="宋体" w:cs="宋体"/>
          <w:szCs w:val="21"/>
        </w:rPr>
        <w:t>（14）最终报价超出最高限价，或者超出采购预算金额，采购人不能支付的；</w:t>
      </w:r>
    </w:p>
    <w:p>
      <w:pPr>
        <w:snapToGrid w:val="0"/>
        <w:spacing w:line="400" w:lineRule="exact"/>
        <w:ind w:firstLine="411" w:firstLineChars="196"/>
        <w:rPr>
          <w:rFonts w:hAnsi="宋体" w:cs="宋体"/>
          <w:szCs w:val="21"/>
        </w:rPr>
      </w:pPr>
      <w:r>
        <w:rPr>
          <w:rFonts w:hint="eastAsia" w:hAnsi="宋体" w:cs="宋体"/>
          <w:szCs w:val="21"/>
        </w:rPr>
        <w:t>（15）谈判小组会认为竞标人的最终报价明显低于其他通过符合性审查竞标人的最终报价，有可能影响产品质量或者不能诚信履约，竞标人不能证明其报价合理性的；</w:t>
      </w:r>
    </w:p>
    <w:p>
      <w:pPr>
        <w:snapToGrid w:val="0"/>
        <w:spacing w:line="400" w:lineRule="exact"/>
        <w:ind w:firstLine="411" w:firstLineChars="196"/>
        <w:rPr>
          <w:rFonts w:hAnsi="宋体" w:cs="宋体"/>
          <w:szCs w:val="21"/>
        </w:rPr>
      </w:pPr>
      <w:r>
        <w:rPr>
          <w:rFonts w:hint="eastAsia" w:hAnsi="宋体" w:cs="宋体"/>
          <w:szCs w:val="21"/>
        </w:rPr>
        <w:t>（16）</w:t>
      </w:r>
      <w:r>
        <w:rPr>
          <w:rFonts w:hint="eastAsia" w:hAnsi="宋体" w:cs="宋体"/>
          <w:snapToGrid w:val="0"/>
          <w:szCs w:val="21"/>
        </w:rPr>
        <w:t>供应商</w:t>
      </w:r>
      <w:r>
        <w:rPr>
          <w:rFonts w:hint="eastAsia" w:hAnsi="宋体"/>
          <w:szCs w:val="21"/>
        </w:rPr>
        <w:t>代表未到场或者拒绝谈判小组提出的响应文件澄清要求或者澄清的内容改变了响应文件的实质性内容的。</w:t>
      </w:r>
    </w:p>
    <w:p>
      <w:pPr>
        <w:snapToGrid w:val="0"/>
        <w:spacing w:line="400" w:lineRule="exact"/>
        <w:ind w:firstLine="411" w:firstLineChars="196"/>
        <w:rPr>
          <w:rFonts w:hAnsi="宋体" w:cs="宋体"/>
          <w:color w:val="000000"/>
          <w:szCs w:val="21"/>
        </w:rPr>
      </w:pPr>
      <w:r>
        <w:rPr>
          <w:rFonts w:hint="eastAsia" w:hAnsi="宋体" w:cs="宋体"/>
          <w:color w:val="000000"/>
          <w:szCs w:val="21"/>
        </w:rPr>
        <w:t>（17）响应文件或谈判应答文件附有采购人</w:t>
      </w:r>
      <w:r>
        <w:rPr>
          <w:rFonts w:hint="eastAsia"/>
        </w:rPr>
        <w:t>不能接受的附加条件的；</w:t>
      </w:r>
    </w:p>
    <w:p>
      <w:pPr>
        <w:snapToGrid w:val="0"/>
        <w:spacing w:line="400" w:lineRule="exact"/>
        <w:ind w:firstLine="411" w:firstLineChars="196"/>
        <w:rPr>
          <w:rFonts w:hAnsi="宋体" w:cs="宋体"/>
          <w:color w:val="000000"/>
          <w:szCs w:val="21"/>
        </w:rPr>
      </w:pPr>
      <w:r>
        <w:rPr>
          <w:rFonts w:hint="eastAsia" w:hAnsi="宋体" w:cs="宋体"/>
          <w:color w:val="000000"/>
          <w:szCs w:val="21"/>
        </w:rPr>
        <w:t>（18）供应商存在如下串通行为：</w:t>
      </w:r>
    </w:p>
    <w:p>
      <w:pPr>
        <w:widowControl/>
        <w:spacing w:line="360" w:lineRule="exact"/>
        <w:ind w:firstLine="965" w:firstLineChars="460"/>
        <w:jc w:val="left"/>
        <w:rPr>
          <w:rFonts w:hAnsi="宋体"/>
          <w:szCs w:val="21"/>
        </w:rPr>
      </w:pPr>
      <w:r>
        <w:rPr>
          <w:rFonts w:hint="eastAsia" w:hAnsi="宋体"/>
          <w:szCs w:val="21"/>
        </w:rPr>
        <w:t>A、不同供应商的响应文件由同一单位或者个人编制；或不同供应商报名的IP地址一致的。</w:t>
      </w:r>
    </w:p>
    <w:p>
      <w:pPr>
        <w:widowControl/>
        <w:spacing w:line="360" w:lineRule="exact"/>
        <w:ind w:firstLine="965" w:firstLineChars="460"/>
        <w:jc w:val="left"/>
        <w:rPr>
          <w:rFonts w:hAnsi="宋体"/>
          <w:szCs w:val="21"/>
        </w:rPr>
      </w:pPr>
      <w:r>
        <w:rPr>
          <w:rFonts w:hint="eastAsia" w:hAnsi="宋体"/>
          <w:szCs w:val="21"/>
        </w:rPr>
        <w:t>B、不同供应商委托同一单位或者个人办理竞标事宜。</w:t>
      </w:r>
    </w:p>
    <w:p>
      <w:pPr>
        <w:widowControl/>
        <w:spacing w:line="360" w:lineRule="exact"/>
        <w:ind w:firstLine="965" w:firstLineChars="460"/>
        <w:jc w:val="left"/>
        <w:rPr>
          <w:rFonts w:hAnsi="宋体"/>
          <w:szCs w:val="21"/>
        </w:rPr>
      </w:pPr>
      <w:r>
        <w:rPr>
          <w:rFonts w:hint="eastAsia" w:hAnsi="宋体"/>
          <w:szCs w:val="21"/>
        </w:rPr>
        <w:t>C、不同的供应商的响应文件载明的项目管理员为同一个人。</w:t>
      </w:r>
    </w:p>
    <w:p>
      <w:pPr>
        <w:widowControl/>
        <w:spacing w:line="360" w:lineRule="exact"/>
        <w:ind w:firstLine="965" w:firstLineChars="460"/>
        <w:jc w:val="left"/>
        <w:rPr>
          <w:rFonts w:hAnsi="宋体"/>
          <w:szCs w:val="21"/>
        </w:rPr>
      </w:pPr>
      <w:r>
        <w:rPr>
          <w:rFonts w:hint="eastAsia" w:hAnsi="宋体"/>
          <w:szCs w:val="21"/>
        </w:rPr>
        <w:t>D、不同供应商的响应文件异常一致或竞标报价呈规律性差异。</w:t>
      </w:r>
    </w:p>
    <w:p>
      <w:pPr>
        <w:widowControl/>
        <w:spacing w:line="360" w:lineRule="exact"/>
        <w:ind w:firstLine="965" w:firstLineChars="460"/>
        <w:jc w:val="left"/>
        <w:rPr>
          <w:rFonts w:hAnsi="宋体"/>
          <w:szCs w:val="21"/>
        </w:rPr>
      </w:pPr>
      <w:r>
        <w:rPr>
          <w:rFonts w:hint="eastAsia" w:hAnsi="宋体"/>
          <w:szCs w:val="21"/>
        </w:rPr>
        <w:t>E、不同供应商的响应文件相互混装。</w:t>
      </w:r>
    </w:p>
    <w:p>
      <w:pPr>
        <w:snapToGrid w:val="0"/>
        <w:spacing w:line="400" w:lineRule="exact"/>
        <w:ind w:firstLine="936" w:firstLineChars="446"/>
        <w:rPr>
          <w:rFonts w:hAnsi="宋体" w:cs="宋体"/>
          <w:color w:val="000000"/>
          <w:szCs w:val="21"/>
        </w:rPr>
      </w:pPr>
      <w:r>
        <w:rPr>
          <w:rFonts w:hint="eastAsia" w:hAnsi="宋体"/>
          <w:szCs w:val="21"/>
        </w:rPr>
        <w:t>F、不同供应商的保证金从同一单位或者个人账户转出。</w:t>
      </w:r>
    </w:p>
    <w:p>
      <w:pPr>
        <w:pStyle w:val="7"/>
        <w:spacing w:line="440" w:lineRule="exact"/>
        <w:ind w:firstLine="442" w:firstLineChars="221"/>
        <w:rPr>
          <w:szCs w:val="21"/>
        </w:rPr>
      </w:pPr>
      <w:r>
        <w:rPr>
          <w:rFonts w:hint="eastAsia" w:hAnsi="宋体" w:cs="宋体"/>
          <w:color w:val="000000"/>
          <w:szCs w:val="21"/>
        </w:rPr>
        <w:t>（19）法律、法规和谈判文件规定的其他无效情形。</w:t>
      </w:r>
    </w:p>
    <w:p>
      <w:pPr>
        <w:pStyle w:val="6"/>
        <w:snapToGrid w:val="0"/>
        <w:spacing w:line="420" w:lineRule="exact"/>
        <w:ind w:firstLine="424" w:firstLineChars="210"/>
        <w:rPr>
          <w:rFonts w:hAnsi="宋体"/>
          <w:b/>
          <w:sz w:val="21"/>
          <w:szCs w:val="21"/>
        </w:rPr>
      </w:pPr>
      <w:r>
        <w:rPr>
          <w:rFonts w:hint="eastAsia"/>
          <w:sz w:val="21"/>
          <w:szCs w:val="21"/>
        </w:rPr>
        <w:t>20.4</w:t>
      </w:r>
      <w:r>
        <w:rPr>
          <w:rFonts w:hint="eastAsia" w:hAnsi="宋体"/>
          <w:b/>
          <w:sz w:val="21"/>
          <w:szCs w:val="21"/>
        </w:rPr>
        <w:t>在谈判采购中，出现下列情形之一的，予以废标：</w:t>
      </w:r>
    </w:p>
    <w:p>
      <w:pPr>
        <w:pStyle w:val="6"/>
        <w:snapToGrid w:val="0"/>
        <w:spacing w:line="420" w:lineRule="exact"/>
        <w:ind w:firstLine="365" w:firstLineChars="181"/>
        <w:rPr>
          <w:rFonts w:hAnsi="宋体"/>
          <w:sz w:val="21"/>
          <w:szCs w:val="21"/>
        </w:rPr>
      </w:pPr>
      <w:r>
        <w:rPr>
          <w:rFonts w:hint="eastAsia" w:hAnsi="宋体"/>
          <w:sz w:val="21"/>
          <w:szCs w:val="21"/>
        </w:rPr>
        <w:t>（1）因情况变化，不再符合规定的竞争性谈判采购方式适用情形的。</w:t>
      </w:r>
    </w:p>
    <w:p>
      <w:pPr>
        <w:pStyle w:val="6"/>
        <w:snapToGrid w:val="0"/>
        <w:spacing w:line="420" w:lineRule="exact"/>
        <w:ind w:firstLine="339" w:firstLineChars="168"/>
        <w:rPr>
          <w:rFonts w:hAnsi="宋体"/>
          <w:sz w:val="21"/>
          <w:szCs w:val="21"/>
        </w:rPr>
      </w:pPr>
      <w:r>
        <w:rPr>
          <w:rFonts w:hint="eastAsia" w:hAnsi="宋体"/>
          <w:sz w:val="21"/>
          <w:szCs w:val="21"/>
        </w:rPr>
        <w:t>（2）出现影响采购公正的违法、违规行为的。</w:t>
      </w:r>
    </w:p>
    <w:p>
      <w:pPr>
        <w:pStyle w:val="6"/>
        <w:snapToGrid w:val="0"/>
        <w:spacing w:line="420" w:lineRule="exact"/>
        <w:ind w:firstLine="377" w:firstLineChars="187"/>
        <w:rPr>
          <w:rFonts w:hAnsi="宋体"/>
          <w:sz w:val="21"/>
          <w:szCs w:val="21"/>
        </w:rPr>
      </w:pPr>
      <w:r>
        <w:rPr>
          <w:rFonts w:hint="eastAsia" w:hAnsi="宋体"/>
          <w:sz w:val="21"/>
          <w:szCs w:val="21"/>
        </w:rPr>
        <w:t>（3）在采购过程中符合竞争要求的供应商或者报价未超过采购预算的供应商不足3家的，但本须知第19.6（6）款规定的情形除外。</w:t>
      </w:r>
    </w:p>
    <w:p>
      <w:pPr>
        <w:widowControl/>
        <w:spacing w:line="360" w:lineRule="exact"/>
        <w:ind w:firstLine="378" w:firstLineChars="180"/>
        <w:jc w:val="left"/>
        <w:rPr>
          <w:rFonts w:ascii="宋体" w:hAnsi="宋体"/>
          <w:szCs w:val="21"/>
        </w:rPr>
      </w:pPr>
      <w:r>
        <w:rPr>
          <w:rFonts w:hint="eastAsia" w:ascii="宋体" w:hAnsi="宋体"/>
          <w:szCs w:val="21"/>
        </w:rPr>
        <w:t>（4）因重大变故，采购任务取消的。</w:t>
      </w:r>
    </w:p>
    <w:bookmarkEnd w:id="60"/>
    <w:bookmarkEnd w:id="61"/>
    <w:p>
      <w:pPr>
        <w:spacing w:line="400" w:lineRule="exact"/>
        <w:ind w:firstLine="422" w:firstLineChars="200"/>
        <w:rPr>
          <w:rFonts w:ascii="宋体" w:hAnsi="宋体"/>
          <w:b/>
          <w:szCs w:val="21"/>
        </w:rPr>
      </w:pPr>
      <w:bookmarkStart w:id="62" w:name="_Toc254970533"/>
      <w:bookmarkStart w:id="63" w:name="_Toc254970674"/>
      <w:r>
        <w:rPr>
          <w:rFonts w:hint="eastAsia" w:ascii="宋体" w:hAnsi="宋体"/>
          <w:b/>
          <w:bCs/>
          <w:szCs w:val="21"/>
        </w:rPr>
        <w:t>七、</w:t>
      </w:r>
      <w:r>
        <w:rPr>
          <w:rFonts w:hint="eastAsia" w:ascii="宋体" w:hAnsi="宋体"/>
          <w:b/>
          <w:szCs w:val="21"/>
        </w:rPr>
        <w:t>确定成交供应商办法</w:t>
      </w:r>
    </w:p>
    <w:p>
      <w:pPr>
        <w:widowControl/>
        <w:tabs>
          <w:tab w:val="left" w:pos="540"/>
        </w:tabs>
        <w:spacing w:line="400" w:lineRule="exact"/>
        <w:ind w:firstLine="420" w:firstLineChars="200"/>
        <w:jc w:val="left"/>
        <w:rPr>
          <w:rFonts w:ascii="宋体" w:hAnsi="宋体"/>
          <w:szCs w:val="21"/>
        </w:rPr>
      </w:pPr>
      <w:r>
        <w:rPr>
          <w:rFonts w:hint="eastAsia" w:ascii="宋体" w:hAnsi="宋体"/>
          <w:szCs w:val="21"/>
        </w:rPr>
        <w:t>21.谈判小组应当从质量和服务均能满足谈判文件实质性响应要求的供应商中，按照最后评标报价由低到高的顺序提出成交候选供应商（见第六章评审方法）。</w:t>
      </w:r>
    </w:p>
    <w:p>
      <w:pPr>
        <w:widowControl/>
        <w:tabs>
          <w:tab w:val="left" w:pos="540"/>
        </w:tabs>
        <w:spacing w:line="400" w:lineRule="exact"/>
        <w:ind w:firstLine="420" w:firstLineChars="200"/>
        <w:jc w:val="left"/>
        <w:rPr>
          <w:rFonts w:ascii="宋体" w:hAnsi="宋体"/>
          <w:szCs w:val="21"/>
        </w:rPr>
      </w:pPr>
      <w:r>
        <w:rPr>
          <w:rFonts w:hint="eastAsia" w:ascii="宋体" w:hAnsi="宋体"/>
          <w:szCs w:val="21"/>
        </w:rPr>
        <w:t>22.采购人在收到评审报告后2个工作日内，从评审报告提出的成交候选供应商中，根据质量和服务均能满足谈判文件实质性响应要求且最后评标报价最低的原则确定成交供应商。采购人逾期未确定成交供应商且不提出异议的，视为确定评审报告提出的最后报价最低的供应商为成交供应商。</w:t>
      </w:r>
    </w:p>
    <w:p>
      <w:pPr>
        <w:spacing w:line="400" w:lineRule="exact"/>
        <w:ind w:firstLine="422" w:firstLineChars="200"/>
        <w:rPr>
          <w:rFonts w:ascii="宋体" w:hAnsi="宋体"/>
          <w:b/>
          <w:bCs/>
          <w:szCs w:val="21"/>
        </w:rPr>
      </w:pPr>
      <w:r>
        <w:rPr>
          <w:rFonts w:hint="eastAsia" w:ascii="宋体" w:hAnsi="宋体"/>
          <w:b/>
          <w:szCs w:val="21"/>
        </w:rPr>
        <w:t>八、</w:t>
      </w:r>
      <w:r>
        <w:rPr>
          <w:rFonts w:hint="eastAsia" w:ascii="宋体" w:hAnsi="宋体"/>
          <w:b/>
          <w:bCs/>
          <w:szCs w:val="21"/>
        </w:rPr>
        <w:t>质疑和投诉</w:t>
      </w:r>
      <w:bookmarkEnd w:id="62"/>
      <w:bookmarkEnd w:id="63"/>
    </w:p>
    <w:p>
      <w:pPr>
        <w:spacing w:line="400" w:lineRule="exact"/>
        <w:ind w:firstLine="420" w:firstLineChars="200"/>
        <w:rPr>
          <w:rFonts w:ascii="宋体" w:hAnsi="宋体"/>
          <w:bCs/>
          <w:szCs w:val="21"/>
        </w:rPr>
      </w:pPr>
      <w:r>
        <w:rPr>
          <w:rFonts w:hint="eastAsia" w:ascii="宋体" w:hAnsi="宋体"/>
          <w:bCs/>
          <w:szCs w:val="21"/>
        </w:rPr>
        <w:t>23.供应商认为谈判文件、竞标过程或成交结果使自己的合法权益受到损害的，应当在知道或者应知其权益受到损害之日起七个工作日内，以书面形式向采购人、采购代理机构提出质疑。</w:t>
      </w:r>
      <w:r>
        <w:rPr>
          <w:rFonts w:hint="eastAsia" w:ascii="宋体" w:hAnsi="宋体"/>
          <w:szCs w:val="21"/>
        </w:rPr>
        <w:t>供应商对采购单位的质疑答复不满意或者采购单位未在规定时间内作出答复的，可以在答复期满后十五个工作日内向同级采购监管部门投诉。</w:t>
      </w:r>
    </w:p>
    <w:p>
      <w:pPr>
        <w:spacing w:line="400" w:lineRule="exact"/>
        <w:ind w:firstLine="420" w:firstLineChars="200"/>
        <w:rPr>
          <w:rFonts w:ascii="宋体" w:hAnsi="宋体"/>
          <w:bCs/>
          <w:szCs w:val="21"/>
        </w:rPr>
      </w:pPr>
      <w:r>
        <w:rPr>
          <w:rFonts w:hint="eastAsia" w:ascii="宋体" w:hAnsi="宋体"/>
          <w:bCs/>
          <w:szCs w:val="21"/>
        </w:rPr>
        <w:t>24.质疑、投诉应当采用书面形式，质疑书、投诉书均应明确阐述谈判文件、采购过程或成交结果中使自己合法权益受到损害的实质性内容，提供相关事实、依据和证据及其来源或线索，便于有关单位调查、答复和处理。</w:t>
      </w:r>
    </w:p>
    <w:p>
      <w:pPr>
        <w:spacing w:line="400" w:lineRule="exact"/>
        <w:ind w:left="420" w:leftChars="200" w:firstLine="105" w:firstLineChars="50"/>
        <w:rPr>
          <w:rFonts w:ascii="宋体" w:hAnsi="宋体"/>
          <w:b/>
          <w:szCs w:val="21"/>
        </w:rPr>
      </w:pPr>
      <w:r>
        <w:rPr>
          <w:rFonts w:hint="eastAsia" w:ascii="宋体" w:hAnsi="宋体"/>
          <w:b/>
          <w:szCs w:val="21"/>
        </w:rPr>
        <w:t>九、履约保证金</w:t>
      </w:r>
    </w:p>
    <w:p>
      <w:pPr>
        <w:pStyle w:val="7"/>
        <w:spacing w:line="420" w:lineRule="exact"/>
        <w:ind w:firstLine="434"/>
        <w:rPr>
          <w:rFonts w:hAnsi="宋体"/>
        </w:rPr>
      </w:pPr>
      <w:r>
        <w:rPr>
          <w:rFonts w:hint="eastAsia" w:hAnsi="宋体"/>
          <w:szCs w:val="21"/>
        </w:rPr>
        <w:t>25.本项目无履约保证金。</w:t>
      </w:r>
    </w:p>
    <w:p>
      <w:pPr>
        <w:spacing w:line="400" w:lineRule="exact"/>
        <w:ind w:left="420" w:leftChars="200" w:firstLine="105" w:firstLineChars="50"/>
        <w:rPr>
          <w:rFonts w:ascii="宋体" w:hAnsi="宋体"/>
          <w:b/>
          <w:szCs w:val="21"/>
        </w:rPr>
      </w:pPr>
      <w:r>
        <w:rPr>
          <w:rFonts w:hint="eastAsia" w:ascii="宋体" w:hAnsi="宋体"/>
          <w:b/>
          <w:szCs w:val="21"/>
        </w:rPr>
        <w:t>十、签订合同</w:t>
      </w:r>
    </w:p>
    <w:p>
      <w:pPr>
        <w:pStyle w:val="7"/>
        <w:spacing w:line="420" w:lineRule="exact"/>
        <w:ind w:firstLine="400" w:firstLineChars="200"/>
        <w:rPr>
          <w:rFonts w:hAnsi="宋体"/>
          <w:szCs w:val="21"/>
        </w:rPr>
      </w:pPr>
      <w:r>
        <w:rPr>
          <w:rFonts w:hint="eastAsia" w:hAnsi="宋体"/>
          <w:szCs w:val="21"/>
        </w:rPr>
        <w:t>28.成交供应商接到成交通知书后，应按成交通知书规定的时间、地点与采购人签订合同。</w:t>
      </w:r>
    </w:p>
    <w:p>
      <w:pPr>
        <w:pStyle w:val="7"/>
        <w:spacing w:line="420" w:lineRule="exact"/>
        <w:ind w:firstLine="384" w:firstLineChars="192"/>
        <w:rPr>
          <w:rFonts w:hAnsi="宋体"/>
          <w:szCs w:val="21"/>
        </w:rPr>
      </w:pPr>
      <w:r>
        <w:rPr>
          <w:rFonts w:hint="eastAsia" w:hAnsi="宋体"/>
          <w:szCs w:val="21"/>
        </w:rPr>
        <w:t>29.如成交供应商不按成交通知书的规定签订合同，则按成交供应商违约处理，采购代理机构将没收成交供应商竞标的全部保证金并上缴同级财政国库。</w:t>
      </w:r>
    </w:p>
    <w:p>
      <w:pPr>
        <w:pStyle w:val="7"/>
        <w:spacing w:line="420" w:lineRule="exact"/>
        <w:ind w:firstLine="400" w:firstLineChars="200"/>
        <w:outlineLvl w:val="0"/>
        <w:rPr>
          <w:rFonts w:hAnsi="宋体"/>
          <w:szCs w:val="21"/>
        </w:rPr>
      </w:pPr>
      <w:bookmarkStart w:id="64" w:name="_Toc19872"/>
      <w:r>
        <w:rPr>
          <w:rFonts w:hint="eastAsia" w:hAnsi="宋体"/>
          <w:szCs w:val="21"/>
        </w:rPr>
        <w:t>30.成交供应商因不可抗力或者拒绝签订政府采购合同的，采购人可以与成交供应商之后排名第一的成交候选供应商签订采购合同，以此类推。采购人也可以重新开展政府采购活动。拒绝签订政府采购合同的成交供应商不得参加对该项目重新开展的采购活动。</w:t>
      </w:r>
      <w:bookmarkEnd w:id="64"/>
    </w:p>
    <w:p>
      <w:pPr>
        <w:pStyle w:val="7"/>
        <w:spacing w:line="420" w:lineRule="exact"/>
        <w:ind w:firstLine="400" w:firstLineChars="200"/>
        <w:outlineLvl w:val="0"/>
        <w:rPr>
          <w:rFonts w:hAnsi="宋体"/>
          <w:szCs w:val="21"/>
        </w:rPr>
      </w:pPr>
      <w:bookmarkStart w:id="65" w:name="_Toc23239"/>
      <w:r>
        <w:rPr>
          <w:rFonts w:hint="eastAsia" w:hAnsi="宋体"/>
          <w:szCs w:val="21"/>
        </w:rPr>
        <w:t>31.政府采购合同公告</w:t>
      </w:r>
      <w:bookmarkEnd w:id="65"/>
    </w:p>
    <w:p>
      <w:pPr>
        <w:pStyle w:val="7"/>
        <w:spacing w:line="420" w:lineRule="exact"/>
        <w:ind w:firstLine="400" w:firstLineChars="200"/>
        <w:outlineLvl w:val="0"/>
        <w:rPr>
          <w:rFonts w:hAnsi="宋体"/>
          <w:szCs w:val="21"/>
        </w:rPr>
      </w:pPr>
      <w:bookmarkStart w:id="66" w:name="_Toc26091"/>
      <w:r>
        <w:rPr>
          <w:rFonts w:hint="eastAsia" w:hAnsi="宋体"/>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bookmarkEnd w:id="66"/>
    </w:p>
    <w:p>
      <w:pPr>
        <w:spacing w:line="400" w:lineRule="exact"/>
        <w:ind w:left="420" w:leftChars="200" w:firstLine="105" w:firstLineChars="50"/>
        <w:rPr>
          <w:rFonts w:ascii="宋体" w:hAnsi="宋体"/>
          <w:b/>
          <w:szCs w:val="21"/>
        </w:rPr>
      </w:pPr>
      <w:r>
        <w:rPr>
          <w:rFonts w:hint="eastAsia" w:ascii="宋体" w:hAnsi="宋体"/>
          <w:b/>
          <w:szCs w:val="21"/>
        </w:rPr>
        <w:t>十一、其他事项</w:t>
      </w:r>
    </w:p>
    <w:p>
      <w:pPr>
        <w:pStyle w:val="7"/>
        <w:spacing w:line="420" w:lineRule="exact"/>
        <w:ind w:firstLine="392" w:firstLineChars="196"/>
        <w:rPr>
          <w:rFonts w:hAnsi="宋体"/>
          <w:b/>
          <w:szCs w:val="21"/>
        </w:rPr>
      </w:pPr>
      <w:r>
        <w:rPr>
          <w:rFonts w:hint="eastAsia" w:hAnsi="宋体"/>
          <w:szCs w:val="21"/>
        </w:rPr>
        <w:t>32.</w:t>
      </w:r>
      <w:r>
        <w:rPr>
          <w:rFonts w:hint="eastAsia" w:hAnsi="宋体"/>
          <w:b/>
          <w:szCs w:val="21"/>
        </w:rPr>
        <w:t xml:space="preserve"> 代理服务费</w:t>
      </w:r>
    </w:p>
    <w:p>
      <w:pPr>
        <w:pStyle w:val="7"/>
        <w:spacing w:line="420" w:lineRule="exact"/>
        <w:ind w:firstLine="400" w:firstLineChars="200"/>
        <w:rPr>
          <w:rFonts w:hAnsi="宋体"/>
          <w:szCs w:val="21"/>
        </w:rPr>
      </w:pPr>
      <w:r>
        <w:rPr>
          <w:rFonts w:hint="eastAsia" w:hAnsi="宋体"/>
          <w:szCs w:val="21"/>
        </w:rPr>
        <w:t>32.1代理服务费由成交供应商向采购代理机构支付。签订合同前，成交供应商应向采购代理机构一次付清代理服务费。按国家发展计划委员会文件计价格【2002】1980号《招标代理服务收费管理暂行办法》标准及国家发展计划委员会《关于降低部分建设项目收费标准规范收费行为等有关问题的通知》[2011]534号计取。</w:t>
      </w:r>
    </w:p>
    <w:p>
      <w:pPr>
        <w:pStyle w:val="7"/>
        <w:spacing w:line="420" w:lineRule="exact"/>
        <w:ind w:firstLine="400" w:firstLineChars="200"/>
        <w:rPr>
          <w:rFonts w:hAnsi="宋体"/>
          <w:szCs w:val="21"/>
        </w:rPr>
      </w:pPr>
      <w:r>
        <w:rPr>
          <w:rFonts w:hint="eastAsia" w:hAnsi="宋体"/>
          <w:szCs w:val="21"/>
        </w:rPr>
        <w:t>32.2代理服务收费标准：</w:t>
      </w:r>
    </w:p>
    <w:tbl>
      <w:tblPr>
        <w:tblStyle w:val="14"/>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2"/>
        <w:gridCol w:w="2011"/>
        <w:gridCol w:w="1701"/>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3092" w:type="dxa"/>
          </w:tcPr>
          <w:p>
            <w:pPr>
              <w:spacing w:line="420" w:lineRule="exact"/>
              <w:rPr>
                <w:rFonts w:ascii="宋体" w:hAnsi="宋体"/>
                <w:szCs w:val="21"/>
              </w:rPr>
            </w:pPr>
            <w:r>
              <w:rPr>
                <w:rFonts w:ascii="宋体" w:hAnsi="宋体"/>
                <w:szCs w:val="21"/>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-6350</wp:posOffset>
                      </wp:positionV>
                      <wp:extent cx="1951990" cy="592455"/>
                      <wp:effectExtent l="1270" t="4445" r="8890" b="12700"/>
                      <wp:wrapNone/>
                      <wp:docPr id="2" name="直接连接符 2"/>
                      <wp:cNvGraphicFramePr/>
                      <a:graphic xmlns:a="http://schemas.openxmlformats.org/drawingml/2006/main">
                        <a:graphicData uri="http://schemas.microsoft.com/office/word/2010/wordprocessingShape">
                          <wps:wsp>
                            <wps:cNvCnPr/>
                            <wps:spPr>
                              <a:xfrm>
                                <a:off x="0" y="0"/>
                                <a:ext cx="1951990" cy="59245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4pt;margin-top:-0.5pt;height:46.65pt;width:153.7pt;z-index:251660288;mso-width-relative:page;mso-height-relative:page;" filled="f" stroked="t" coordsize="21600,21600" o:gfxdata="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fth/9cAAAAJAQAADwAAAAAAAAABACAAAAAiAAAAZHJzL2Rvd25yZXYueG1sUEsBAhQA&#10;FAAAAAgAh07iQIYMerHzAQAA6wMAAA4AAAAAAAAAAQAgAAAAJgEAAGRycy9lMm9Eb2MueG1sUEsF&#10;BgAAAAAGAAYAWQEAAIsFAAAAAA==&#10;">
                      <v:fill on="f" focussize="0,0"/>
                      <v:stroke color="#000000" joinstyle="round"/>
                      <v:imagedata o:title=""/>
                      <o:lock v:ext="edit" aspectratio="f"/>
                    </v:line>
                  </w:pict>
                </mc:Fallback>
              </mc:AlternateContent>
            </w:r>
            <w:r>
              <w:rPr>
                <w:rFonts w:hint="eastAsia" w:ascii="宋体" w:hAnsi="宋体"/>
                <w:szCs w:val="21"/>
              </w:rPr>
              <w:t xml:space="preserve">          费率</w:t>
            </w:r>
          </w:p>
          <w:p>
            <w:pPr>
              <w:spacing w:line="420" w:lineRule="exact"/>
              <w:rPr>
                <w:rFonts w:ascii="宋体" w:hAnsi="宋体"/>
                <w:szCs w:val="21"/>
              </w:rPr>
            </w:pPr>
            <w:r>
              <w:rPr>
                <w:rFonts w:hint="eastAsia" w:ascii="宋体" w:hAnsi="宋体"/>
                <w:szCs w:val="21"/>
              </w:rPr>
              <w:t>中标金额</w:t>
            </w:r>
          </w:p>
        </w:tc>
        <w:tc>
          <w:tcPr>
            <w:tcW w:w="2011" w:type="dxa"/>
            <w:vAlign w:val="center"/>
          </w:tcPr>
          <w:p>
            <w:pPr>
              <w:spacing w:line="420" w:lineRule="exact"/>
              <w:ind w:firstLine="105" w:firstLineChars="50"/>
              <w:jc w:val="center"/>
              <w:rPr>
                <w:rFonts w:ascii="宋体" w:hAnsi="宋体"/>
                <w:szCs w:val="21"/>
              </w:rPr>
            </w:pPr>
            <w:r>
              <w:rPr>
                <w:rFonts w:hint="eastAsia" w:ascii="宋体" w:hAnsi="宋体"/>
                <w:szCs w:val="21"/>
              </w:rPr>
              <w:t>货物招标</w:t>
            </w:r>
          </w:p>
        </w:tc>
        <w:tc>
          <w:tcPr>
            <w:tcW w:w="1701" w:type="dxa"/>
            <w:vAlign w:val="center"/>
          </w:tcPr>
          <w:p>
            <w:pPr>
              <w:spacing w:line="420" w:lineRule="exact"/>
              <w:jc w:val="center"/>
              <w:rPr>
                <w:rFonts w:ascii="宋体" w:hAnsi="宋体"/>
                <w:szCs w:val="21"/>
              </w:rPr>
            </w:pPr>
            <w:r>
              <w:rPr>
                <w:rFonts w:hint="eastAsia" w:ascii="宋体" w:hAnsi="宋体"/>
                <w:szCs w:val="21"/>
              </w:rPr>
              <w:t>服务招标</w:t>
            </w:r>
          </w:p>
        </w:tc>
        <w:tc>
          <w:tcPr>
            <w:tcW w:w="1721" w:type="dxa"/>
            <w:vAlign w:val="center"/>
          </w:tcPr>
          <w:p>
            <w:pPr>
              <w:spacing w:line="420" w:lineRule="exact"/>
              <w:jc w:val="center"/>
              <w:rPr>
                <w:rFonts w:ascii="宋体" w:hAnsi="宋体"/>
                <w:szCs w:val="21"/>
              </w:rPr>
            </w:pPr>
            <w:r>
              <w:rPr>
                <w:rFonts w:hint="eastAsia" w:ascii="宋体" w:hAnsi="宋体"/>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092" w:type="dxa"/>
          </w:tcPr>
          <w:p>
            <w:pPr>
              <w:spacing w:line="420" w:lineRule="exact"/>
              <w:rPr>
                <w:rFonts w:ascii="宋体" w:hAnsi="宋体"/>
                <w:szCs w:val="21"/>
              </w:rPr>
            </w:pPr>
            <w:r>
              <w:rPr>
                <w:rFonts w:hint="eastAsia" w:ascii="宋体" w:hAnsi="宋体"/>
                <w:szCs w:val="21"/>
              </w:rPr>
              <w:t>100万元以下</w:t>
            </w:r>
          </w:p>
        </w:tc>
        <w:tc>
          <w:tcPr>
            <w:tcW w:w="2011" w:type="dxa"/>
          </w:tcPr>
          <w:p>
            <w:pPr>
              <w:spacing w:line="420" w:lineRule="exact"/>
              <w:rPr>
                <w:rFonts w:ascii="宋体" w:hAnsi="宋体"/>
                <w:szCs w:val="21"/>
              </w:rPr>
            </w:pPr>
            <w:r>
              <w:rPr>
                <w:rFonts w:hint="eastAsia" w:ascii="宋体" w:hAnsi="宋体" w:cs="宋体"/>
                <w:kern w:val="0"/>
                <w:szCs w:val="21"/>
              </w:rPr>
              <w:t xml:space="preserve">  1.5%                </w:t>
            </w:r>
          </w:p>
        </w:tc>
        <w:tc>
          <w:tcPr>
            <w:tcW w:w="1701" w:type="dxa"/>
          </w:tcPr>
          <w:p>
            <w:pPr>
              <w:spacing w:line="420" w:lineRule="exact"/>
              <w:ind w:firstLine="210" w:firstLineChars="100"/>
              <w:rPr>
                <w:rFonts w:ascii="宋体" w:hAnsi="宋体"/>
                <w:szCs w:val="21"/>
              </w:rPr>
            </w:pPr>
            <w:r>
              <w:rPr>
                <w:rFonts w:hint="eastAsia" w:ascii="宋体" w:hAnsi="宋体" w:cs="宋体"/>
                <w:kern w:val="0"/>
                <w:szCs w:val="21"/>
              </w:rPr>
              <w:t>1.5%</w:t>
            </w:r>
          </w:p>
        </w:tc>
        <w:tc>
          <w:tcPr>
            <w:tcW w:w="1721" w:type="dxa"/>
          </w:tcPr>
          <w:p>
            <w:pPr>
              <w:spacing w:line="420" w:lineRule="exact"/>
              <w:ind w:firstLine="210" w:firstLineChars="100"/>
              <w:rPr>
                <w:rFonts w:ascii="宋体" w:hAnsi="宋体"/>
                <w:szCs w:val="21"/>
              </w:rPr>
            </w:pPr>
            <w:r>
              <w:rPr>
                <w:rFonts w:hint="eastAsia" w:ascii="宋体" w:hAnsi="宋体" w:cs="宋体"/>
                <w:kern w:val="0"/>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092" w:type="dxa"/>
          </w:tcPr>
          <w:p>
            <w:pPr>
              <w:spacing w:line="420" w:lineRule="exact"/>
              <w:rPr>
                <w:rFonts w:ascii="宋体" w:hAnsi="宋体"/>
                <w:szCs w:val="21"/>
              </w:rPr>
            </w:pPr>
            <w:r>
              <w:rPr>
                <w:rFonts w:hint="eastAsia" w:ascii="宋体" w:hAnsi="宋体"/>
                <w:szCs w:val="21"/>
              </w:rPr>
              <w:t>100～500万元</w:t>
            </w:r>
          </w:p>
        </w:tc>
        <w:tc>
          <w:tcPr>
            <w:tcW w:w="2011" w:type="dxa"/>
          </w:tcPr>
          <w:p>
            <w:pPr>
              <w:spacing w:line="420" w:lineRule="exact"/>
              <w:ind w:firstLine="210" w:firstLineChars="100"/>
              <w:rPr>
                <w:rFonts w:ascii="宋体" w:hAnsi="宋体"/>
                <w:szCs w:val="21"/>
              </w:rPr>
            </w:pPr>
            <w:r>
              <w:rPr>
                <w:rFonts w:hint="eastAsia" w:ascii="宋体" w:hAnsi="宋体" w:cs="宋体"/>
                <w:kern w:val="0"/>
                <w:szCs w:val="21"/>
              </w:rPr>
              <w:t xml:space="preserve">1.1%                 </w:t>
            </w:r>
          </w:p>
        </w:tc>
        <w:tc>
          <w:tcPr>
            <w:tcW w:w="1701" w:type="dxa"/>
          </w:tcPr>
          <w:p>
            <w:pPr>
              <w:spacing w:line="420" w:lineRule="exact"/>
              <w:ind w:firstLine="210" w:firstLineChars="100"/>
              <w:rPr>
                <w:rFonts w:ascii="宋体" w:hAnsi="宋体"/>
                <w:szCs w:val="21"/>
              </w:rPr>
            </w:pPr>
            <w:r>
              <w:rPr>
                <w:rFonts w:hint="eastAsia" w:ascii="宋体" w:hAnsi="宋体" w:cs="宋体"/>
                <w:kern w:val="0"/>
                <w:szCs w:val="21"/>
              </w:rPr>
              <w:t>0.8%</w:t>
            </w:r>
          </w:p>
        </w:tc>
        <w:tc>
          <w:tcPr>
            <w:tcW w:w="1721" w:type="dxa"/>
          </w:tcPr>
          <w:p>
            <w:pPr>
              <w:spacing w:line="420" w:lineRule="exact"/>
              <w:ind w:firstLine="210" w:firstLineChars="100"/>
              <w:rPr>
                <w:rFonts w:ascii="宋体" w:hAnsi="宋体"/>
                <w:szCs w:val="21"/>
              </w:rPr>
            </w:pPr>
            <w:r>
              <w:rPr>
                <w:rFonts w:hint="eastAsia" w:ascii="宋体" w:hAnsi="宋体" w:cs="宋体"/>
                <w:kern w:val="0"/>
                <w:szCs w:val="21"/>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092" w:type="dxa"/>
          </w:tcPr>
          <w:p>
            <w:pPr>
              <w:spacing w:line="420" w:lineRule="exact"/>
              <w:rPr>
                <w:rFonts w:ascii="宋体" w:hAnsi="宋体"/>
                <w:szCs w:val="21"/>
              </w:rPr>
            </w:pPr>
            <w:r>
              <w:rPr>
                <w:rFonts w:hint="eastAsia" w:ascii="宋体" w:hAnsi="宋体"/>
                <w:szCs w:val="21"/>
              </w:rPr>
              <w:t>500～1000万元</w:t>
            </w:r>
          </w:p>
        </w:tc>
        <w:tc>
          <w:tcPr>
            <w:tcW w:w="2011" w:type="dxa"/>
          </w:tcPr>
          <w:p>
            <w:pPr>
              <w:spacing w:line="420" w:lineRule="exact"/>
              <w:rPr>
                <w:rFonts w:ascii="宋体" w:hAnsi="宋体"/>
                <w:szCs w:val="21"/>
              </w:rPr>
            </w:pPr>
            <w:r>
              <w:rPr>
                <w:rFonts w:hint="eastAsia" w:ascii="宋体" w:hAnsi="宋体" w:cs="宋体"/>
                <w:kern w:val="0"/>
                <w:szCs w:val="21"/>
              </w:rPr>
              <w:t xml:space="preserve">  0.8%                </w:t>
            </w:r>
          </w:p>
        </w:tc>
        <w:tc>
          <w:tcPr>
            <w:tcW w:w="1701" w:type="dxa"/>
          </w:tcPr>
          <w:p>
            <w:pPr>
              <w:spacing w:line="420" w:lineRule="exact"/>
              <w:ind w:firstLine="210" w:firstLineChars="100"/>
              <w:rPr>
                <w:rFonts w:ascii="宋体" w:hAnsi="宋体"/>
                <w:szCs w:val="21"/>
              </w:rPr>
            </w:pPr>
            <w:r>
              <w:rPr>
                <w:rFonts w:hint="eastAsia" w:ascii="宋体" w:hAnsi="宋体" w:cs="宋体"/>
                <w:kern w:val="0"/>
                <w:szCs w:val="21"/>
              </w:rPr>
              <w:t>0.45%</w:t>
            </w:r>
          </w:p>
        </w:tc>
        <w:tc>
          <w:tcPr>
            <w:tcW w:w="1721" w:type="dxa"/>
          </w:tcPr>
          <w:p>
            <w:pPr>
              <w:spacing w:line="420" w:lineRule="exact"/>
              <w:ind w:firstLine="210" w:firstLineChars="100"/>
              <w:rPr>
                <w:rFonts w:ascii="宋体" w:hAnsi="宋体"/>
                <w:szCs w:val="21"/>
              </w:rPr>
            </w:pPr>
            <w:r>
              <w:rPr>
                <w:rFonts w:hint="eastAsia" w:ascii="宋体" w:hAnsi="宋体" w:cs="宋体"/>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092" w:type="dxa"/>
          </w:tcPr>
          <w:p>
            <w:pPr>
              <w:spacing w:line="420" w:lineRule="exact"/>
              <w:rPr>
                <w:rFonts w:ascii="宋体" w:hAnsi="宋体"/>
                <w:szCs w:val="21"/>
              </w:rPr>
            </w:pPr>
            <w:r>
              <w:rPr>
                <w:rFonts w:hint="eastAsia" w:ascii="宋体" w:hAnsi="宋体"/>
                <w:szCs w:val="21"/>
              </w:rPr>
              <w:t>1000～5000万元</w:t>
            </w:r>
          </w:p>
        </w:tc>
        <w:tc>
          <w:tcPr>
            <w:tcW w:w="2011" w:type="dxa"/>
          </w:tcPr>
          <w:p>
            <w:pPr>
              <w:spacing w:line="420" w:lineRule="exact"/>
              <w:ind w:firstLine="210" w:firstLineChars="100"/>
              <w:rPr>
                <w:rFonts w:ascii="宋体" w:hAnsi="宋体"/>
                <w:szCs w:val="21"/>
              </w:rPr>
            </w:pPr>
            <w:r>
              <w:rPr>
                <w:rFonts w:hint="eastAsia" w:ascii="宋体" w:hAnsi="宋体" w:cs="宋体"/>
                <w:kern w:val="0"/>
                <w:szCs w:val="21"/>
              </w:rPr>
              <w:t xml:space="preserve">0.5%                </w:t>
            </w:r>
          </w:p>
        </w:tc>
        <w:tc>
          <w:tcPr>
            <w:tcW w:w="1701" w:type="dxa"/>
          </w:tcPr>
          <w:p>
            <w:pPr>
              <w:spacing w:line="420" w:lineRule="exact"/>
              <w:ind w:firstLine="210" w:firstLineChars="100"/>
              <w:rPr>
                <w:rFonts w:ascii="宋体" w:hAnsi="宋体"/>
                <w:szCs w:val="21"/>
              </w:rPr>
            </w:pPr>
            <w:r>
              <w:rPr>
                <w:rFonts w:hint="eastAsia" w:ascii="宋体" w:hAnsi="宋体" w:cs="宋体"/>
                <w:kern w:val="0"/>
                <w:szCs w:val="21"/>
              </w:rPr>
              <w:t>0.25%</w:t>
            </w:r>
          </w:p>
        </w:tc>
        <w:tc>
          <w:tcPr>
            <w:tcW w:w="1721" w:type="dxa"/>
          </w:tcPr>
          <w:p>
            <w:pPr>
              <w:spacing w:line="420" w:lineRule="exact"/>
              <w:ind w:firstLine="210" w:firstLineChars="100"/>
              <w:rPr>
                <w:rFonts w:ascii="宋体" w:hAnsi="宋体"/>
                <w:szCs w:val="21"/>
              </w:rPr>
            </w:pPr>
            <w:r>
              <w:rPr>
                <w:rFonts w:hint="eastAsia" w:ascii="宋体" w:hAnsi="宋体" w:cs="宋体"/>
                <w:kern w:val="0"/>
                <w:szCs w:val="21"/>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092" w:type="dxa"/>
          </w:tcPr>
          <w:p>
            <w:pPr>
              <w:spacing w:line="420" w:lineRule="exact"/>
              <w:rPr>
                <w:rFonts w:ascii="宋体" w:hAnsi="宋体"/>
                <w:szCs w:val="21"/>
              </w:rPr>
            </w:pPr>
            <w:r>
              <w:rPr>
                <w:rFonts w:hint="eastAsia" w:ascii="宋体" w:hAnsi="宋体"/>
                <w:szCs w:val="21"/>
              </w:rPr>
              <w:t>5000万元～1亿元</w:t>
            </w:r>
          </w:p>
        </w:tc>
        <w:tc>
          <w:tcPr>
            <w:tcW w:w="2011" w:type="dxa"/>
          </w:tcPr>
          <w:p>
            <w:pPr>
              <w:spacing w:line="420" w:lineRule="exact"/>
              <w:ind w:firstLine="210" w:firstLineChars="100"/>
              <w:rPr>
                <w:rFonts w:ascii="宋体" w:hAnsi="宋体"/>
                <w:szCs w:val="21"/>
              </w:rPr>
            </w:pPr>
            <w:r>
              <w:rPr>
                <w:rFonts w:hint="eastAsia" w:ascii="宋体" w:hAnsi="宋体" w:cs="宋体"/>
                <w:kern w:val="0"/>
                <w:szCs w:val="21"/>
              </w:rPr>
              <w:t xml:space="preserve">0.25%                 </w:t>
            </w:r>
          </w:p>
        </w:tc>
        <w:tc>
          <w:tcPr>
            <w:tcW w:w="1701" w:type="dxa"/>
          </w:tcPr>
          <w:p>
            <w:pPr>
              <w:spacing w:line="420" w:lineRule="exact"/>
              <w:ind w:firstLine="210" w:firstLineChars="100"/>
              <w:rPr>
                <w:rFonts w:ascii="宋体" w:hAnsi="宋体"/>
                <w:szCs w:val="21"/>
              </w:rPr>
            </w:pPr>
            <w:r>
              <w:rPr>
                <w:rFonts w:hint="eastAsia" w:ascii="宋体" w:hAnsi="宋体" w:cs="宋体"/>
                <w:kern w:val="0"/>
                <w:szCs w:val="21"/>
              </w:rPr>
              <w:t>0.1%</w:t>
            </w:r>
          </w:p>
        </w:tc>
        <w:tc>
          <w:tcPr>
            <w:tcW w:w="1721" w:type="dxa"/>
          </w:tcPr>
          <w:p>
            <w:pPr>
              <w:spacing w:line="420" w:lineRule="exact"/>
              <w:ind w:firstLine="210" w:firstLineChars="100"/>
              <w:rPr>
                <w:rFonts w:ascii="宋体" w:hAnsi="宋体"/>
                <w:szCs w:val="21"/>
              </w:rPr>
            </w:pPr>
            <w:r>
              <w:rPr>
                <w:rFonts w:hint="eastAsia" w:ascii="宋体" w:hAnsi="宋体" w:cs="宋体"/>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092" w:type="dxa"/>
          </w:tcPr>
          <w:p>
            <w:pPr>
              <w:spacing w:line="420" w:lineRule="exact"/>
              <w:rPr>
                <w:rFonts w:ascii="宋体" w:hAnsi="宋体"/>
                <w:szCs w:val="21"/>
              </w:rPr>
            </w:pPr>
            <w:r>
              <w:rPr>
                <w:rFonts w:hint="eastAsia" w:ascii="宋体" w:hAnsi="宋体"/>
                <w:szCs w:val="21"/>
              </w:rPr>
              <w:t>1～5亿元</w:t>
            </w:r>
          </w:p>
        </w:tc>
        <w:tc>
          <w:tcPr>
            <w:tcW w:w="2011" w:type="dxa"/>
          </w:tcPr>
          <w:p>
            <w:pPr>
              <w:spacing w:line="420" w:lineRule="exact"/>
              <w:ind w:firstLine="210" w:firstLineChars="100"/>
              <w:rPr>
                <w:rFonts w:ascii="宋体" w:hAnsi="宋体"/>
                <w:szCs w:val="21"/>
              </w:rPr>
            </w:pPr>
            <w:r>
              <w:rPr>
                <w:rFonts w:hint="eastAsia" w:ascii="宋体" w:hAnsi="宋体"/>
                <w:szCs w:val="21"/>
              </w:rPr>
              <w:t>0.05%</w:t>
            </w:r>
          </w:p>
        </w:tc>
        <w:tc>
          <w:tcPr>
            <w:tcW w:w="1701" w:type="dxa"/>
          </w:tcPr>
          <w:p>
            <w:pPr>
              <w:spacing w:line="420" w:lineRule="exact"/>
              <w:rPr>
                <w:rFonts w:ascii="宋体" w:hAnsi="宋体"/>
                <w:szCs w:val="21"/>
              </w:rPr>
            </w:pPr>
            <w:r>
              <w:rPr>
                <w:rFonts w:hint="eastAsia" w:ascii="宋体" w:hAnsi="宋体"/>
                <w:szCs w:val="21"/>
              </w:rPr>
              <w:t xml:space="preserve">  0.05%</w:t>
            </w:r>
          </w:p>
        </w:tc>
        <w:tc>
          <w:tcPr>
            <w:tcW w:w="1721" w:type="dxa"/>
          </w:tcPr>
          <w:p>
            <w:pPr>
              <w:spacing w:line="420" w:lineRule="exact"/>
              <w:rPr>
                <w:rFonts w:ascii="宋体" w:hAnsi="宋体"/>
                <w:szCs w:val="21"/>
              </w:rPr>
            </w:pPr>
            <w:r>
              <w:rPr>
                <w:rFonts w:hint="eastAsia" w:ascii="宋体" w:hAnsi="宋体"/>
                <w:szCs w:val="21"/>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092" w:type="dxa"/>
          </w:tcPr>
          <w:p>
            <w:pPr>
              <w:spacing w:line="420" w:lineRule="exact"/>
              <w:rPr>
                <w:rFonts w:ascii="宋体" w:hAnsi="宋体"/>
                <w:szCs w:val="21"/>
              </w:rPr>
            </w:pPr>
            <w:r>
              <w:rPr>
                <w:rFonts w:hint="eastAsia" w:ascii="宋体" w:hAnsi="宋体"/>
                <w:szCs w:val="21"/>
              </w:rPr>
              <w:t>5～10亿元</w:t>
            </w:r>
          </w:p>
        </w:tc>
        <w:tc>
          <w:tcPr>
            <w:tcW w:w="2011" w:type="dxa"/>
          </w:tcPr>
          <w:p>
            <w:pPr>
              <w:spacing w:line="420" w:lineRule="exact"/>
              <w:ind w:firstLine="105" w:firstLineChars="50"/>
              <w:rPr>
                <w:rFonts w:ascii="宋体" w:hAnsi="宋体"/>
                <w:szCs w:val="21"/>
              </w:rPr>
            </w:pPr>
            <w:r>
              <w:rPr>
                <w:rFonts w:hint="eastAsia" w:ascii="宋体" w:hAnsi="宋体"/>
                <w:szCs w:val="21"/>
              </w:rPr>
              <w:t>0.035%</w:t>
            </w:r>
          </w:p>
        </w:tc>
        <w:tc>
          <w:tcPr>
            <w:tcW w:w="1701" w:type="dxa"/>
          </w:tcPr>
          <w:p>
            <w:pPr>
              <w:spacing w:line="420" w:lineRule="exact"/>
              <w:rPr>
                <w:rFonts w:ascii="宋体" w:hAnsi="宋体"/>
                <w:szCs w:val="21"/>
              </w:rPr>
            </w:pPr>
            <w:r>
              <w:rPr>
                <w:rFonts w:hint="eastAsia" w:ascii="宋体" w:hAnsi="宋体"/>
                <w:szCs w:val="21"/>
              </w:rPr>
              <w:t xml:space="preserve">  0.035%</w:t>
            </w:r>
          </w:p>
        </w:tc>
        <w:tc>
          <w:tcPr>
            <w:tcW w:w="1721" w:type="dxa"/>
          </w:tcPr>
          <w:p>
            <w:pPr>
              <w:spacing w:line="420" w:lineRule="exact"/>
              <w:ind w:firstLine="105" w:firstLineChars="50"/>
              <w:rPr>
                <w:rFonts w:ascii="宋体" w:hAnsi="宋体"/>
                <w:szCs w:val="21"/>
              </w:rPr>
            </w:pPr>
            <w:r>
              <w:rPr>
                <w:rFonts w:hint="eastAsia" w:ascii="宋体" w:hAnsi="宋体"/>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092" w:type="dxa"/>
          </w:tcPr>
          <w:p>
            <w:pPr>
              <w:spacing w:line="420" w:lineRule="exact"/>
              <w:rPr>
                <w:rFonts w:ascii="宋体" w:hAnsi="宋体"/>
                <w:szCs w:val="21"/>
              </w:rPr>
            </w:pPr>
            <w:r>
              <w:rPr>
                <w:rFonts w:hint="eastAsia" w:ascii="宋体" w:hAnsi="宋体"/>
                <w:szCs w:val="21"/>
              </w:rPr>
              <w:t>10～50亿元</w:t>
            </w:r>
          </w:p>
        </w:tc>
        <w:tc>
          <w:tcPr>
            <w:tcW w:w="2011" w:type="dxa"/>
          </w:tcPr>
          <w:p>
            <w:pPr>
              <w:spacing w:line="420" w:lineRule="exact"/>
              <w:ind w:firstLine="105" w:firstLineChars="50"/>
              <w:rPr>
                <w:rFonts w:ascii="宋体" w:hAnsi="宋体"/>
                <w:szCs w:val="21"/>
              </w:rPr>
            </w:pPr>
            <w:r>
              <w:rPr>
                <w:rFonts w:hint="eastAsia" w:ascii="宋体" w:hAnsi="宋体"/>
                <w:szCs w:val="21"/>
              </w:rPr>
              <w:t>0.008%</w:t>
            </w:r>
          </w:p>
        </w:tc>
        <w:tc>
          <w:tcPr>
            <w:tcW w:w="1701" w:type="dxa"/>
          </w:tcPr>
          <w:p>
            <w:pPr>
              <w:spacing w:line="420" w:lineRule="exact"/>
              <w:ind w:firstLine="210" w:firstLineChars="100"/>
              <w:rPr>
                <w:rFonts w:ascii="宋体" w:hAnsi="宋体"/>
                <w:szCs w:val="21"/>
              </w:rPr>
            </w:pPr>
            <w:r>
              <w:rPr>
                <w:rFonts w:hint="eastAsia" w:ascii="宋体" w:hAnsi="宋体"/>
                <w:szCs w:val="21"/>
              </w:rPr>
              <w:t>0.008%</w:t>
            </w:r>
          </w:p>
        </w:tc>
        <w:tc>
          <w:tcPr>
            <w:tcW w:w="1721" w:type="dxa"/>
          </w:tcPr>
          <w:p>
            <w:pPr>
              <w:spacing w:line="420" w:lineRule="exact"/>
              <w:ind w:firstLine="105" w:firstLineChars="50"/>
              <w:rPr>
                <w:rFonts w:ascii="宋体" w:hAnsi="宋体"/>
                <w:szCs w:val="21"/>
              </w:rPr>
            </w:pPr>
            <w:r>
              <w:rPr>
                <w:rFonts w:hint="eastAsia" w:ascii="宋体" w:hAnsi="宋体"/>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092" w:type="dxa"/>
          </w:tcPr>
          <w:p>
            <w:pPr>
              <w:spacing w:line="420" w:lineRule="exact"/>
              <w:rPr>
                <w:rFonts w:ascii="宋体" w:hAnsi="宋体"/>
                <w:szCs w:val="21"/>
              </w:rPr>
            </w:pPr>
            <w:r>
              <w:rPr>
                <w:rFonts w:hint="eastAsia" w:ascii="宋体" w:hAnsi="宋体"/>
                <w:szCs w:val="21"/>
              </w:rPr>
              <w:t>50～100亿元</w:t>
            </w:r>
          </w:p>
        </w:tc>
        <w:tc>
          <w:tcPr>
            <w:tcW w:w="2011" w:type="dxa"/>
          </w:tcPr>
          <w:p>
            <w:pPr>
              <w:spacing w:line="420" w:lineRule="exact"/>
              <w:rPr>
                <w:rFonts w:ascii="宋体" w:hAnsi="宋体"/>
                <w:szCs w:val="21"/>
              </w:rPr>
            </w:pPr>
            <w:r>
              <w:rPr>
                <w:rFonts w:hint="eastAsia" w:ascii="宋体" w:hAnsi="宋体"/>
                <w:szCs w:val="21"/>
              </w:rPr>
              <w:t xml:space="preserve"> 0.006%</w:t>
            </w:r>
          </w:p>
        </w:tc>
        <w:tc>
          <w:tcPr>
            <w:tcW w:w="1701" w:type="dxa"/>
          </w:tcPr>
          <w:p>
            <w:pPr>
              <w:spacing w:line="420" w:lineRule="exact"/>
              <w:ind w:firstLine="210" w:firstLineChars="100"/>
              <w:rPr>
                <w:rFonts w:ascii="宋体" w:hAnsi="宋体"/>
                <w:szCs w:val="21"/>
              </w:rPr>
            </w:pPr>
            <w:r>
              <w:rPr>
                <w:rFonts w:hint="eastAsia" w:ascii="宋体" w:hAnsi="宋体"/>
                <w:szCs w:val="21"/>
              </w:rPr>
              <w:t>0.006%</w:t>
            </w:r>
          </w:p>
        </w:tc>
        <w:tc>
          <w:tcPr>
            <w:tcW w:w="1721" w:type="dxa"/>
          </w:tcPr>
          <w:p>
            <w:pPr>
              <w:spacing w:line="420" w:lineRule="exact"/>
              <w:ind w:firstLine="105" w:firstLineChars="50"/>
              <w:rPr>
                <w:rFonts w:ascii="宋体" w:hAnsi="宋体"/>
                <w:szCs w:val="21"/>
              </w:rPr>
            </w:pPr>
            <w:r>
              <w:rPr>
                <w:rFonts w:hint="eastAsia" w:ascii="宋体" w:hAnsi="宋体"/>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092" w:type="dxa"/>
          </w:tcPr>
          <w:p>
            <w:pPr>
              <w:spacing w:line="420" w:lineRule="exact"/>
              <w:rPr>
                <w:rFonts w:ascii="宋体" w:hAnsi="宋体"/>
                <w:szCs w:val="21"/>
              </w:rPr>
            </w:pPr>
            <w:r>
              <w:rPr>
                <w:rFonts w:hint="eastAsia" w:ascii="宋体" w:hAnsi="宋体"/>
                <w:szCs w:val="21"/>
              </w:rPr>
              <w:t>100亿以上</w:t>
            </w:r>
          </w:p>
        </w:tc>
        <w:tc>
          <w:tcPr>
            <w:tcW w:w="2011" w:type="dxa"/>
          </w:tcPr>
          <w:p>
            <w:pPr>
              <w:spacing w:line="420" w:lineRule="exact"/>
              <w:rPr>
                <w:rFonts w:ascii="宋体" w:hAnsi="宋体"/>
                <w:szCs w:val="21"/>
              </w:rPr>
            </w:pPr>
            <w:r>
              <w:rPr>
                <w:rFonts w:hint="eastAsia" w:ascii="宋体" w:hAnsi="宋体"/>
                <w:szCs w:val="21"/>
              </w:rPr>
              <w:t xml:space="preserve"> 0.004%</w:t>
            </w:r>
          </w:p>
        </w:tc>
        <w:tc>
          <w:tcPr>
            <w:tcW w:w="1701" w:type="dxa"/>
          </w:tcPr>
          <w:p>
            <w:pPr>
              <w:spacing w:line="420" w:lineRule="exact"/>
              <w:ind w:firstLine="210" w:firstLineChars="100"/>
              <w:rPr>
                <w:rFonts w:ascii="宋体" w:hAnsi="宋体"/>
                <w:szCs w:val="21"/>
              </w:rPr>
            </w:pPr>
            <w:r>
              <w:rPr>
                <w:rFonts w:hint="eastAsia" w:ascii="宋体" w:hAnsi="宋体"/>
                <w:szCs w:val="21"/>
              </w:rPr>
              <w:t>0.004%</w:t>
            </w:r>
          </w:p>
        </w:tc>
        <w:tc>
          <w:tcPr>
            <w:tcW w:w="1721" w:type="dxa"/>
          </w:tcPr>
          <w:p>
            <w:pPr>
              <w:spacing w:line="420" w:lineRule="exact"/>
              <w:ind w:firstLine="105" w:firstLineChars="50"/>
              <w:rPr>
                <w:rFonts w:ascii="宋体" w:hAnsi="宋体"/>
                <w:szCs w:val="21"/>
              </w:rPr>
            </w:pPr>
            <w:r>
              <w:rPr>
                <w:rFonts w:hint="eastAsia" w:ascii="宋体" w:hAnsi="宋体"/>
                <w:szCs w:val="21"/>
              </w:rPr>
              <w:t>0.004%</w:t>
            </w:r>
          </w:p>
        </w:tc>
      </w:tr>
    </w:tbl>
    <w:p>
      <w:pPr>
        <w:pStyle w:val="7"/>
        <w:spacing w:line="420" w:lineRule="exact"/>
        <w:rPr>
          <w:rFonts w:hAnsi="宋体"/>
          <w:b/>
          <w:szCs w:val="21"/>
        </w:rPr>
      </w:pPr>
      <w:r>
        <w:rPr>
          <w:rFonts w:hint="eastAsia" w:hAnsi="宋体"/>
          <w:szCs w:val="21"/>
        </w:rPr>
        <w:t>注：招标代理服务收费按差额定率累进法计算。</w:t>
      </w:r>
    </w:p>
    <w:p>
      <w:pPr>
        <w:widowControl/>
        <w:tabs>
          <w:tab w:val="left" w:pos="540"/>
        </w:tabs>
        <w:spacing w:line="400" w:lineRule="exact"/>
        <w:ind w:firstLine="420" w:firstLineChars="200"/>
        <w:jc w:val="left"/>
        <w:rPr>
          <w:rFonts w:ascii="宋体" w:hAnsi="宋体"/>
          <w:szCs w:val="21"/>
        </w:rPr>
      </w:pPr>
      <w:r>
        <w:rPr>
          <w:rFonts w:hint="eastAsia" w:ascii="宋体" w:hAnsi="宋体"/>
          <w:szCs w:val="21"/>
        </w:rPr>
        <w:t>33.采购当事人的一切活动均适用于《中华人民共和国政府采购法》、《中华人民共和国政府采购法实施条例》及相关规定。</w:t>
      </w:r>
    </w:p>
    <w:p>
      <w:pPr>
        <w:spacing w:line="500" w:lineRule="exact"/>
        <w:rPr>
          <w:rFonts w:ascii="宋体" w:hAnsi="宋体"/>
          <w:b/>
          <w:sz w:val="32"/>
          <w:szCs w:val="32"/>
        </w:rPr>
      </w:pPr>
      <w:r>
        <w:rPr>
          <w:rFonts w:ascii="宋体" w:hAnsi="宋体"/>
          <w:b/>
          <w:sz w:val="32"/>
          <w:szCs w:val="32"/>
        </w:rPr>
        <w:br w:type="page"/>
      </w:r>
    </w:p>
    <w:p>
      <w:pPr>
        <w:spacing w:line="360" w:lineRule="exact"/>
        <w:jc w:val="center"/>
        <w:outlineLvl w:val="0"/>
        <w:rPr>
          <w:rFonts w:ascii="宋体" w:hAnsi="宋体"/>
          <w:b/>
          <w:color w:val="000000"/>
          <w:sz w:val="28"/>
          <w:szCs w:val="28"/>
        </w:rPr>
      </w:pPr>
      <w:bookmarkStart w:id="67" w:name="_Toc488673045"/>
      <w:r>
        <w:rPr>
          <w:rFonts w:hint="eastAsia" w:ascii="宋体" w:hAnsi="宋体"/>
          <w:b/>
          <w:color w:val="000000"/>
          <w:sz w:val="28"/>
          <w:szCs w:val="28"/>
        </w:rPr>
        <w:t>第三章   项 目 需 求</w:t>
      </w:r>
      <w:bookmarkEnd w:id="67"/>
    </w:p>
    <w:p>
      <w:pPr>
        <w:spacing w:line="400" w:lineRule="exact"/>
        <w:rPr>
          <w:rFonts w:ascii="宋体" w:hAnsi="宋体"/>
          <w:b/>
          <w:color w:val="000000"/>
          <w:sz w:val="28"/>
          <w:szCs w:val="28"/>
        </w:rPr>
      </w:pPr>
    </w:p>
    <w:p>
      <w:pPr>
        <w:spacing w:line="400" w:lineRule="exact"/>
        <w:jc w:val="center"/>
        <w:rPr>
          <w:rFonts w:ascii="宋体" w:hAnsi="宋体"/>
          <w:b/>
          <w:color w:val="000000"/>
          <w:sz w:val="28"/>
          <w:szCs w:val="28"/>
        </w:rPr>
      </w:pPr>
      <w:r>
        <w:rPr>
          <w:rFonts w:hint="eastAsia" w:ascii="宋体" w:hAnsi="宋体"/>
          <w:b/>
          <w:color w:val="000000"/>
          <w:sz w:val="28"/>
          <w:szCs w:val="28"/>
        </w:rPr>
        <w:t>采购项目技术规格、参数及要求</w:t>
      </w:r>
    </w:p>
    <w:p>
      <w:pPr>
        <w:spacing w:line="410" w:lineRule="exact"/>
        <w:rPr>
          <w:rFonts w:ascii="宋体" w:hAnsi="宋体"/>
          <w:b/>
          <w:color w:val="000000"/>
          <w:szCs w:val="21"/>
        </w:rPr>
      </w:pPr>
    </w:p>
    <w:p>
      <w:pPr>
        <w:numPr>
          <w:ilvl w:val="0"/>
          <w:numId w:val="1"/>
        </w:numPr>
        <w:spacing w:line="410" w:lineRule="exact"/>
        <w:rPr>
          <w:rFonts w:ascii="宋体" w:hAnsi="宋体"/>
          <w:b/>
          <w:color w:val="000000"/>
          <w:szCs w:val="21"/>
          <w:u w:val="single"/>
        </w:rPr>
      </w:pPr>
      <w:r>
        <w:rPr>
          <w:rFonts w:hint="eastAsia" w:ascii="宋体" w:hAnsi="宋体"/>
          <w:b/>
          <w:color w:val="000000"/>
          <w:szCs w:val="21"/>
        </w:rPr>
        <w:t>采购项目编号</w:t>
      </w:r>
      <w:r>
        <w:rPr>
          <w:rFonts w:hint="eastAsia" w:ascii="宋体" w:hAnsi="宋体"/>
          <w:b/>
          <w:color w:val="000000"/>
          <w:szCs w:val="21"/>
          <w:lang w:eastAsia="zh-CN"/>
        </w:rPr>
        <w:t>CZZC2020-J1-000280-GXZJ</w:t>
      </w:r>
      <w:r>
        <w:rPr>
          <w:rFonts w:hint="eastAsia" w:ascii="宋体" w:hAnsi="宋体"/>
          <w:b/>
          <w:color w:val="000000"/>
          <w:szCs w:val="21"/>
        </w:rPr>
        <w:t xml:space="preserve"> </w:t>
      </w:r>
    </w:p>
    <w:p>
      <w:pPr>
        <w:spacing w:line="410" w:lineRule="exact"/>
        <w:rPr>
          <w:rFonts w:ascii="宋体" w:hAnsi="宋体"/>
          <w:b/>
          <w:color w:val="000000"/>
          <w:szCs w:val="21"/>
        </w:rPr>
      </w:pPr>
      <w:r>
        <w:rPr>
          <w:rFonts w:hint="eastAsia" w:ascii="宋体" w:hAnsi="宋体"/>
          <w:b/>
          <w:color w:val="000000"/>
          <w:szCs w:val="21"/>
        </w:rPr>
        <w:t>二、采购项目类别：分散</w:t>
      </w:r>
      <w:r>
        <w:rPr>
          <w:rFonts w:hint="eastAsia" w:ascii="宋体" w:hAnsi="宋体"/>
          <w:b/>
          <w:color w:val="000000"/>
          <w:szCs w:val="21"/>
          <w:u w:val="single"/>
        </w:rPr>
        <w:t>采购</w:t>
      </w:r>
    </w:p>
    <w:p>
      <w:pPr>
        <w:spacing w:line="410" w:lineRule="exact"/>
        <w:rPr>
          <w:rFonts w:ascii="宋体" w:hAnsi="宋体"/>
          <w:b/>
          <w:color w:val="000000"/>
          <w:szCs w:val="21"/>
        </w:rPr>
      </w:pPr>
      <w:r>
        <w:rPr>
          <w:rFonts w:hint="eastAsia" w:ascii="宋体" w:hAnsi="宋体"/>
          <w:b/>
          <w:color w:val="000000"/>
          <w:szCs w:val="21"/>
        </w:rPr>
        <w:t>三、采购项目需求一览表</w:t>
      </w:r>
    </w:p>
    <w:p>
      <w:pPr>
        <w:spacing w:line="440" w:lineRule="atLeast"/>
        <w:rPr>
          <w:rFonts w:ascii="宋体" w:hAnsi="宋体"/>
          <w:b/>
          <w:bCs/>
          <w:color w:val="000000"/>
          <w:szCs w:val="21"/>
        </w:rPr>
      </w:pPr>
      <w:r>
        <w:rPr>
          <w:rFonts w:hint="eastAsia" w:ascii="宋体" w:hAnsi="宋体"/>
          <w:b/>
          <w:bCs/>
          <w:color w:val="000000"/>
          <w:szCs w:val="21"/>
        </w:rPr>
        <w:t>说明：</w:t>
      </w:r>
    </w:p>
    <w:p>
      <w:pPr>
        <w:spacing w:line="440" w:lineRule="atLeast"/>
        <w:ind w:firstLine="413" w:firstLineChars="196"/>
        <w:rPr>
          <w:rFonts w:ascii="宋体" w:hAnsi="宋体"/>
          <w:b/>
          <w:bCs/>
          <w:color w:val="000000"/>
          <w:szCs w:val="21"/>
        </w:rPr>
      </w:pPr>
      <w:r>
        <w:rPr>
          <w:rFonts w:hint="eastAsia" w:ascii="宋体" w:hAnsi="宋体"/>
          <w:b/>
          <w:color w:val="000000"/>
          <w:szCs w:val="21"/>
        </w:rPr>
        <w:t>1、</w:t>
      </w:r>
      <w:r>
        <w:rPr>
          <w:rFonts w:hint="eastAsia" w:ascii="宋体" w:hAnsi="宋体"/>
          <w:b/>
          <w:bCs/>
          <w:color w:val="000000"/>
          <w:szCs w:val="21"/>
        </w:rPr>
        <w:t>根据《国务院办公厅关于建立政府强制采购节能产品制度的通知》（国办发〔2007〕51号）和财政部、国家发展改革委发布的《节能产品政府采购实施意见》（财库〔2004〕185号）的规定，采购需求中凡列入国家财政部在中国政府采购网上公布的最新一期节能产品政府采购清单的产品，供应商竞标时必须于响应文件中提供所投产品属于强制采购最新一期节能产品清单的证明（</w:t>
      </w:r>
      <w:r>
        <w:rPr>
          <w:rFonts w:hint="eastAsia" w:ascii="宋体" w:hAnsi="宋体"/>
          <w:b/>
          <w:bCs/>
          <w:color w:val="000000"/>
          <w:szCs w:val="21"/>
          <w:u w:val="single"/>
        </w:rPr>
        <w:t>计算机设备（台式计算机、便携式计算机）、输入输出设备（激光打印机、针式打印机、液晶显示器）、制冷空调设备、镇流器、生活用电器（空调机、电热水器）、照明设备、电视设备、便器、水嘴</w:t>
      </w:r>
      <w:r>
        <w:rPr>
          <w:rFonts w:hint="eastAsia" w:ascii="宋体" w:hAnsi="宋体"/>
          <w:b/>
          <w:bCs/>
          <w:color w:val="000000"/>
          <w:szCs w:val="21"/>
        </w:rPr>
        <w:t>等为政府强制采购节能产品，若采购货物含有此类产品时，竞标供应商的竞标货物必须使用政府强制采购的节能产品，竞标人在竞标文件中必须提供所投产品属于现行政府强制采购节能产品的证明材料（加盖竞标供应商公章），否则相应竞标无效）。</w:t>
      </w:r>
    </w:p>
    <w:p>
      <w:pPr>
        <w:spacing w:line="440" w:lineRule="atLeast"/>
        <w:ind w:firstLine="413" w:firstLineChars="196"/>
        <w:rPr>
          <w:rFonts w:ascii="宋体" w:hAnsi="宋体"/>
          <w:b/>
          <w:bCs/>
          <w:color w:val="000000"/>
          <w:szCs w:val="21"/>
        </w:rPr>
      </w:pPr>
      <w:r>
        <w:rPr>
          <w:rFonts w:hint="eastAsia" w:ascii="宋体" w:hAnsi="宋体"/>
          <w:b/>
          <w:bCs/>
          <w:color w:val="000000"/>
          <w:szCs w:val="21"/>
        </w:rPr>
        <w:t>2、供应商</w:t>
      </w:r>
      <w:r>
        <w:rPr>
          <w:rFonts w:hint="eastAsia" w:ascii="宋体" w:hAnsi="宋体"/>
          <w:b/>
          <w:color w:val="000000"/>
          <w:szCs w:val="21"/>
        </w:rPr>
        <w:t>应对</w:t>
      </w:r>
      <w:r>
        <w:rPr>
          <w:rFonts w:hint="eastAsia" w:ascii="宋体" w:hAnsi="宋体"/>
          <w:b/>
          <w:bCs/>
          <w:color w:val="000000"/>
          <w:szCs w:val="21"/>
        </w:rPr>
        <w:t>竞标</w:t>
      </w:r>
      <w:r>
        <w:rPr>
          <w:rFonts w:hint="eastAsia" w:ascii="宋体" w:hAnsi="宋体"/>
          <w:b/>
          <w:color w:val="000000"/>
          <w:szCs w:val="21"/>
        </w:rPr>
        <w:t>内容所涉及的专利承担法律责任，并负责保护业主的利益不受任何损害。一切由于文字、商标、技术和软件专利授权引起的法律裁决、诉讼和赔偿费用均由成交人负责。同时，具有产品专利的</w:t>
      </w:r>
      <w:r>
        <w:rPr>
          <w:rFonts w:hint="eastAsia" w:ascii="宋体" w:hAnsi="宋体"/>
          <w:b/>
          <w:bCs/>
          <w:color w:val="000000"/>
          <w:szCs w:val="21"/>
        </w:rPr>
        <w:t>供应商</w:t>
      </w:r>
      <w:r>
        <w:rPr>
          <w:rFonts w:hint="eastAsia" w:ascii="宋体" w:hAnsi="宋体"/>
          <w:b/>
          <w:color w:val="000000"/>
          <w:szCs w:val="21"/>
        </w:rPr>
        <w:t>应在其</w:t>
      </w:r>
      <w:r>
        <w:rPr>
          <w:rFonts w:hint="eastAsia" w:ascii="宋体" w:hAnsi="宋体"/>
          <w:b/>
          <w:bCs/>
          <w:color w:val="000000"/>
          <w:szCs w:val="21"/>
        </w:rPr>
        <w:t>响应文件</w:t>
      </w:r>
      <w:r>
        <w:rPr>
          <w:rFonts w:hint="eastAsia" w:ascii="宋体" w:hAnsi="宋体"/>
          <w:b/>
          <w:color w:val="000000"/>
          <w:szCs w:val="21"/>
        </w:rPr>
        <w:t>中提供与其自有产品专利相关的有效证明材料，否则，</w:t>
      </w:r>
      <w:r>
        <w:rPr>
          <w:rFonts w:hint="eastAsia" w:ascii="宋体" w:hAnsi="宋体"/>
          <w:b/>
          <w:bCs/>
          <w:color w:val="000000"/>
          <w:szCs w:val="21"/>
        </w:rPr>
        <w:t>不能就其产品的专利在本项目竞标过程中被侵权问题而提出异议。</w:t>
      </w:r>
    </w:p>
    <w:p>
      <w:pPr>
        <w:spacing w:line="440" w:lineRule="atLeast"/>
        <w:ind w:firstLine="413" w:firstLineChars="196"/>
        <w:rPr>
          <w:rFonts w:ascii="宋体" w:hAnsi="宋体"/>
          <w:b/>
          <w:bCs/>
          <w:color w:val="000000"/>
          <w:szCs w:val="21"/>
        </w:rPr>
      </w:pPr>
      <w:r>
        <w:rPr>
          <w:rFonts w:hint="eastAsia" w:ascii="宋体" w:hAnsi="宋体"/>
          <w:b/>
          <w:bCs/>
          <w:color w:val="000000"/>
          <w:szCs w:val="21"/>
        </w:rPr>
        <w:t>3、根据《关于信息安全产品实施政府采购的通知》（财库[2010]48号）的规定，如各分标中有涉及信息安全产品的设备，必须提供由中国信息安全认证中心按国家标准认证颁发的有效认证证书复印件。</w:t>
      </w:r>
    </w:p>
    <w:p>
      <w:pPr>
        <w:spacing w:line="440" w:lineRule="atLeast"/>
        <w:ind w:firstLine="413" w:firstLineChars="196"/>
        <w:rPr>
          <w:rFonts w:ascii="宋体" w:hAnsi="宋体"/>
          <w:b/>
          <w:bCs/>
          <w:color w:val="000000"/>
          <w:szCs w:val="21"/>
        </w:rPr>
      </w:pPr>
      <w:r>
        <w:rPr>
          <w:rFonts w:hint="eastAsia" w:ascii="宋体" w:hAnsi="宋体"/>
          <w:b/>
          <w:bCs/>
          <w:color w:val="000000"/>
          <w:szCs w:val="21"/>
        </w:rPr>
        <w:t>4、供应商应注意下列内容：</w:t>
      </w:r>
    </w:p>
    <w:p>
      <w:pPr>
        <w:spacing w:line="440" w:lineRule="atLeast"/>
        <w:ind w:firstLine="413" w:firstLineChars="196"/>
        <w:rPr>
          <w:rFonts w:ascii="宋体" w:hAnsi="宋体"/>
          <w:b/>
          <w:bCs/>
          <w:color w:val="000000"/>
          <w:szCs w:val="21"/>
        </w:rPr>
      </w:pPr>
      <w:r>
        <w:rPr>
          <w:rFonts w:hint="eastAsia" w:ascii="宋体" w:hAnsi="宋体"/>
          <w:b/>
          <w:bCs/>
          <w:color w:val="000000"/>
          <w:szCs w:val="21"/>
        </w:rPr>
        <w:t>1）竞争性谈判采购文件中带“★”的条款为本次采购的实质性的商务、技术或服务要求，供应商须满足或响应，若无法完全满足，将会被认定为无效竞标。</w:t>
      </w:r>
    </w:p>
    <w:p>
      <w:pPr>
        <w:spacing w:line="440" w:lineRule="atLeast"/>
        <w:ind w:firstLine="413" w:firstLineChars="196"/>
        <w:rPr>
          <w:rFonts w:ascii="宋体" w:hAnsi="宋体"/>
          <w:b/>
          <w:bCs/>
          <w:color w:val="000000"/>
          <w:szCs w:val="21"/>
        </w:rPr>
      </w:pPr>
      <w:r>
        <w:rPr>
          <w:rFonts w:hint="eastAsia" w:ascii="宋体" w:hAnsi="宋体"/>
          <w:b/>
          <w:bCs/>
          <w:color w:val="000000"/>
          <w:szCs w:val="21"/>
        </w:rPr>
        <w:t>2）供应商须在响应文件中填写/应答技术规格参数，当响应文件中技术参数与竞争性谈判采购文件中技术参数有偏离时，须在“偏离”栏内如实注明是“正偏离”或“负偏离”，“正偏离”指竞标设备的技术参数优于竞争性谈判采购文件中要求，“负偏离”指竞标设备的技术参数低于竞争性谈判采购文件中要求。响应文件中的技术参数、功能或其它内容有“正偏离”的，供应商须对“正偏离”的情况单独作出说明.</w:t>
      </w:r>
    </w:p>
    <w:p>
      <w:pPr>
        <w:spacing w:line="440" w:lineRule="atLeast"/>
        <w:ind w:firstLine="413" w:firstLineChars="196"/>
        <w:rPr>
          <w:rFonts w:ascii="宋体" w:hAnsi="宋体"/>
          <w:b/>
          <w:bCs/>
          <w:color w:val="000000"/>
          <w:szCs w:val="21"/>
        </w:rPr>
      </w:pPr>
      <w:r>
        <w:rPr>
          <w:rFonts w:hint="eastAsia" w:ascii="宋体" w:hAnsi="宋体"/>
          <w:b/>
          <w:bCs/>
          <w:color w:val="000000"/>
          <w:szCs w:val="21"/>
        </w:rPr>
        <w:t>3）经谈判小组评定，允许偏离的技术、性能指标或者辅助功能项目发生负偏离的项数达2项（含）以上的，其竞标视为无效。</w:t>
      </w:r>
    </w:p>
    <w:p>
      <w:pPr>
        <w:spacing w:line="440" w:lineRule="atLeast"/>
        <w:ind w:firstLine="413" w:firstLineChars="196"/>
        <w:rPr>
          <w:rFonts w:ascii="宋体" w:hAnsi="宋体"/>
          <w:b/>
          <w:bCs/>
          <w:color w:val="000000"/>
          <w:szCs w:val="21"/>
        </w:rPr>
      </w:pPr>
      <w:bookmarkStart w:id="68" w:name="工期要求"/>
      <w:bookmarkEnd w:id="68"/>
      <w:r>
        <w:rPr>
          <w:rFonts w:hint="eastAsia" w:ascii="宋体" w:hAnsi="宋体"/>
          <w:b/>
          <w:bCs/>
          <w:color w:val="000000"/>
          <w:szCs w:val="21"/>
        </w:rPr>
        <w:t>5、供应商应承诺响应文件中提供的证明材料和资质文件真实，如出现虚假应标情况，供应商除了应接受有关部门的处罚外，还应依据《中华人民共和国合同法》的相关条款来确定赔偿金额。</w:t>
      </w:r>
    </w:p>
    <w:tbl>
      <w:tblPr>
        <w:tblStyle w:val="14"/>
        <w:tblW w:w="10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443"/>
        <w:gridCol w:w="5357"/>
        <w:gridCol w:w="741"/>
        <w:gridCol w:w="873"/>
        <w:gridCol w:w="730"/>
        <w:gridCol w:w="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329" w:type="dxa"/>
            <w:gridSpan w:val="7"/>
            <w:vAlign w:val="center"/>
          </w:tcPr>
          <w:p>
            <w:pPr>
              <w:widowControl/>
              <w:spacing w:line="400" w:lineRule="exact"/>
              <w:rPr>
                <w:rFonts w:hint="eastAsia" w:ascii="宋体" w:hAnsi="宋体" w:eastAsia="宋体" w:cs="宋体"/>
                <w:bCs/>
                <w:kern w:val="0"/>
                <w:sz w:val="21"/>
                <w:szCs w:val="21"/>
              </w:rPr>
            </w:pPr>
            <w:bookmarkStart w:id="69" w:name="_Toc488673054"/>
            <w:r>
              <w:rPr>
                <w:rFonts w:hint="eastAsia" w:ascii="宋体" w:hAnsi="宋体" w:eastAsia="宋体" w:cs="宋体"/>
                <w:b/>
                <w:bCs/>
                <w:kern w:val="0"/>
                <w:sz w:val="21"/>
                <w:szCs w:val="21"/>
              </w:rPr>
              <w:t>一、采购需求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vAlign w:val="center"/>
          </w:tcPr>
          <w:p>
            <w:pPr>
              <w:widowControl/>
              <w:spacing w:line="400" w:lineRule="exact"/>
              <w:jc w:val="center"/>
              <w:rPr>
                <w:rFonts w:hint="eastAsia" w:ascii="宋体" w:hAnsi="宋体" w:eastAsia="宋体" w:cs="宋体"/>
                <w:bCs/>
                <w:kern w:val="0"/>
                <w:sz w:val="21"/>
                <w:szCs w:val="21"/>
              </w:rPr>
            </w:pPr>
            <w:r>
              <w:rPr>
                <w:rFonts w:hint="eastAsia" w:ascii="宋体" w:hAnsi="宋体" w:eastAsia="宋体" w:cs="宋体"/>
                <w:bCs/>
                <w:kern w:val="0"/>
                <w:sz w:val="21"/>
                <w:szCs w:val="21"/>
              </w:rPr>
              <w:t>项号</w:t>
            </w:r>
          </w:p>
        </w:tc>
        <w:tc>
          <w:tcPr>
            <w:tcW w:w="1443" w:type="dxa"/>
            <w:vAlign w:val="center"/>
          </w:tcPr>
          <w:p>
            <w:pPr>
              <w:widowControl/>
              <w:spacing w:line="400" w:lineRule="exact"/>
              <w:jc w:val="center"/>
              <w:rPr>
                <w:rFonts w:hint="eastAsia" w:ascii="宋体" w:hAnsi="宋体" w:eastAsia="宋体" w:cs="宋体"/>
                <w:bCs/>
                <w:kern w:val="0"/>
                <w:sz w:val="21"/>
                <w:szCs w:val="21"/>
              </w:rPr>
            </w:pPr>
            <w:r>
              <w:rPr>
                <w:rFonts w:hint="eastAsia" w:ascii="宋体" w:hAnsi="宋体" w:eastAsia="宋体" w:cs="宋体"/>
                <w:bCs/>
                <w:kern w:val="0"/>
                <w:sz w:val="21"/>
                <w:szCs w:val="21"/>
              </w:rPr>
              <w:t>货物名称</w:t>
            </w:r>
          </w:p>
        </w:tc>
        <w:tc>
          <w:tcPr>
            <w:tcW w:w="5357" w:type="dxa"/>
            <w:vAlign w:val="center"/>
          </w:tcPr>
          <w:p>
            <w:pPr>
              <w:widowControl/>
              <w:spacing w:line="400" w:lineRule="exact"/>
              <w:jc w:val="center"/>
              <w:rPr>
                <w:rFonts w:hint="eastAsia" w:ascii="宋体" w:hAnsi="宋体" w:eastAsia="宋体" w:cs="宋体"/>
                <w:bCs/>
                <w:kern w:val="0"/>
                <w:sz w:val="21"/>
                <w:szCs w:val="21"/>
              </w:rPr>
            </w:pPr>
            <w:r>
              <w:rPr>
                <w:rFonts w:hint="eastAsia" w:ascii="宋体" w:hAnsi="宋体" w:eastAsia="宋体" w:cs="宋体"/>
                <w:bCs/>
                <w:kern w:val="0"/>
                <w:sz w:val="21"/>
                <w:szCs w:val="21"/>
              </w:rPr>
              <w:t>项目要求及技术需求</w:t>
            </w:r>
          </w:p>
        </w:tc>
        <w:tc>
          <w:tcPr>
            <w:tcW w:w="741" w:type="dxa"/>
            <w:vAlign w:val="center"/>
          </w:tcPr>
          <w:p>
            <w:pPr>
              <w:widowControl/>
              <w:spacing w:line="40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数量</w:t>
            </w:r>
          </w:p>
        </w:tc>
        <w:tc>
          <w:tcPr>
            <w:tcW w:w="873" w:type="dxa"/>
            <w:vAlign w:val="center"/>
          </w:tcPr>
          <w:p>
            <w:pPr>
              <w:widowControl/>
              <w:spacing w:line="40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单位</w:t>
            </w:r>
          </w:p>
        </w:tc>
        <w:tc>
          <w:tcPr>
            <w:tcW w:w="984" w:type="dxa"/>
            <w:gridSpan w:val="2"/>
            <w:vAlign w:val="center"/>
          </w:tcPr>
          <w:p>
            <w:pPr>
              <w:widowControl/>
              <w:spacing w:line="400" w:lineRule="exact"/>
              <w:jc w:val="center"/>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vAlign w:val="center"/>
          </w:tcPr>
          <w:p>
            <w:pPr>
              <w:spacing w:line="400" w:lineRule="exact"/>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1443" w:type="dxa"/>
            <w:vAlign w:val="center"/>
          </w:tcPr>
          <w:p>
            <w:pPr>
              <w:pStyle w:val="20"/>
              <w:widowControl/>
              <w:numPr>
                <w:ilvl w:val="0"/>
                <w:numId w:val="0"/>
              </w:numPr>
              <w:ind w:left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生物安全柜</w:t>
            </w:r>
          </w:p>
        </w:tc>
        <w:tc>
          <w:tcPr>
            <w:tcW w:w="5357" w:type="dxa"/>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一：参数</w:t>
            </w:r>
          </w:p>
          <w:p>
            <w:pPr>
              <w:widowControl/>
              <w:jc w:val="left"/>
              <w:rPr>
                <w:rFonts w:hint="eastAsia" w:ascii="宋体" w:hAnsi="宋体" w:eastAsia="宋体" w:cs="宋体"/>
                <w:color w:val="000000"/>
                <w:kern w:val="0"/>
                <w:sz w:val="21"/>
                <w:szCs w:val="21"/>
              </w:rPr>
            </w:pPr>
            <w:r>
              <w:rPr>
                <w:rFonts w:hint="eastAsia" w:ascii="宋体" w:hAnsi="宋体" w:cs="宋体"/>
                <w:color w:val="000000"/>
                <w:kern w:val="0"/>
                <w:sz w:val="21"/>
                <w:szCs w:val="21"/>
                <w:lang w:val="en-US" w:eastAsia="zh-CN"/>
              </w:rPr>
              <w:t>1、</w:t>
            </w:r>
            <w:r>
              <w:rPr>
                <w:rFonts w:hint="eastAsia" w:ascii="宋体" w:hAnsi="宋体" w:eastAsia="宋体" w:cs="宋体"/>
                <w:color w:val="000000"/>
                <w:kern w:val="0"/>
                <w:sz w:val="21"/>
                <w:szCs w:val="21"/>
              </w:rPr>
              <w:t>气流模式：30%外排，70%循环</w:t>
            </w:r>
          </w:p>
          <w:p>
            <w:pPr>
              <w:pStyle w:val="20"/>
              <w:widowControl/>
              <w:numPr>
                <w:ilvl w:val="0"/>
                <w:numId w:val="0"/>
              </w:numPr>
              <w:ind w:leftChars="0"/>
              <w:jc w:val="left"/>
              <w:rPr>
                <w:rFonts w:hint="eastAsia" w:ascii="宋体" w:hAnsi="宋体" w:eastAsia="宋体" w:cs="宋体"/>
                <w:color w:val="000000"/>
                <w:kern w:val="0"/>
                <w:sz w:val="21"/>
                <w:szCs w:val="21"/>
              </w:rPr>
            </w:pPr>
            <w:r>
              <w:rPr>
                <w:rFonts w:hint="eastAsia" w:ascii="宋体" w:hAnsi="宋体" w:cs="宋体"/>
                <w:color w:val="000000"/>
                <w:kern w:val="0"/>
                <w:sz w:val="21"/>
                <w:szCs w:val="21"/>
                <w:lang w:val="en-US" w:eastAsia="zh-CN"/>
              </w:rPr>
              <w:t>2、</w:t>
            </w:r>
            <w:r>
              <w:rPr>
                <w:rFonts w:hint="eastAsia" w:ascii="宋体" w:hAnsi="宋体" w:eastAsia="宋体" w:cs="宋体"/>
                <w:color w:val="000000"/>
                <w:kern w:val="0"/>
                <w:sz w:val="21"/>
                <w:szCs w:val="21"/>
              </w:rPr>
              <w:t>相关认证YY0569-2005, UL</w:t>
            </w:r>
          </w:p>
          <w:p>
            <w:pPr>
              <w:pStyle w:val="20"/>
              <w:widowControl/>
              <w:numPr>
                <w:ilvl w:val="0"/>
                <w:numId w:val="0"/>
              </w:numPr>
              <w:ind w:leftChars="0"/>
              <w:jc w:val="left"/>
              <w:rPr>
                <w:rFonts w:hint="eastAsia" w:ascii="宋体" w:hAnsi="宋体" w:eastAsia="宋体" w:cs="宋体"/>
                <w:color w:val="000000"/>
                <w:kern w:val="0"/>
                <w:sz w:val="21"/>
                <w:szCs w:val="21"/>
              </w:rPr>
            </w:pPr>
            <w:r>
              <w:rPr>
                <w:rFonts w:hint="eastAsia" w:ascii="宋体" w:hAnsi="宋体" w:cs="宋体"/>
                <w:color w:val="000000"/>
                <w:kern w:val="0"/>
                <w:sz w:val="21"/>
                <w:szCs w:val="21"/>
                <w:lang w:val="en-US" w:eastAsia="zh-CN"/>
              </w:rPr>
              <w:t>3、</w:t>
            </w:r>
            <w:r>
              <w:rPr>
                <w:rFonts w:hint="eastAsia" w:ascii="宋体" w:hAnsi="宋体" w:eastAsia="宋体" w:cs="宋体"/>
                <w:color w:val="000000"/>
                <w:kern w:val="0"/>
                <w:sz w:val="21"/>
                <w:szCs w:val="21"/>
              </w:rPr>
              <w:t>尺寸：内部尺寸（mm）：780×1800×630  前窗工作开口高度（毫米）500，</w:t>
            </w:r>
          </w:p>
          <w:p>
            <w:pPr>
              <w:pStyle w:val="20"/>
              <w:widowControl/>
              <w:numPr>
                <w:ilvl w:val="0"/>
                <w:numId w:val="0"/>
              </w:numPr>
              <w:ind w:leftChars="0"/>
              <w:jc w:val="left"/>
              <w:rPr>
                <w:rFonts w:hint="eastAsia" w:ascii="宋体" w:hAnsi="宋体" w:eastAsia="宋体" w:cs="宋体"/>
                <w:color w:val="000000"/>
                <w:kern w:val="0"/>
                <w:sz w:val="21"/>
                <w:szCs w:val="21"/>
              </w:rPr>
            </w:pPr>
            <w:r>
              <w:rPr>
                <w:rFonts w:hint="eastAsia" w:ascii="宋体" w:hAnsi="宋体" w:cs="宋体"/>
                <w:color w:val="000000"/>
                <w:kern w:val="0"/>
                <w:sz w:val="21"/>
                <w:szCs w:val="21"/>
                <w:lang w:val="en-US" w:eastAsia="zh-CN"/>
              </w:rPr>
              <w:t>4、</w:t>
            </w:r>
            <w:r>
              <w:rPr>
                <w:rFonts w:hint="eastAsia" w:ascii="宋体" w:hAnsi="宋体" w:eastAsia="宋体" w:cs="宋体"/>
                <w:color w:val="000000"/>
                <w:kern w:val="0"/>
                <w:sz w:val="21"/>
                <w:szCs w:val="21"/>
              </w:rPr>
              <w:t>滤膜规格：HEPA送风/排风过滤膜，EN1822 H14 HEPA滤膜，99.995% 对最易穿透性颗粒（MPPS），99.999%对0.3微米颗粒</w:t>
            </w:r>
          </w:p>
          <w:p>
            <w:pPr>
              <w:pStyle w:val="20"/>
              <w:widowControl/>
              <w:numPr>
                <w:ilvl w:val="0"/>
                <w:numId w:val="0"/>
              </w:numPr>
              <w:ind w:leftChars="0"/>
              <w:jc w:val="left"/>
              <w:rPr>
                <w:rFonts w:hint="eastAsia" w:ascii="宋体" w:hAnsi="宋体" w:eastAsia="宋体" w:cs="宋体"/>
                <w:color w:val="000000"/>
                <w:kern w:val="0"/>
                <w:sz w:val="21"/>
                <w:szCs w:val="21"/>
              </w:rPr>
            </w:pPr>
            <w:r>
              <w:rPr>
                <w:rFonts w:hint="eastAsia" w:ascii="宋体" w:hAnsi="宋体" w:cs="宋体"/>
                <w:color w:val="000000"/>
                <w:kern w:val="0"/>
                <w:sz w:val="21"/>
                <w:szCs w:val="21"/>
                <w:lang w:val="en-US" w:eastAsia="zh-CN"/>
              </w:rPr>
              <w:t>5、</w:t>
            </w:r>
            <w:r>
              <w:rPr>
                <w:rFonts w:hint="eastAsia" w:ascii="宋体" w:hAnsi="宋体" w:eastAsia="宋体" w:cs="宋体"/>
                <w:color w:val="000000"/>
                <w:kern w:val="0"/>
                <w:sz w:val="21"/>
                <w:szCs w:val="21"/>
              </w:rPr>
              <w:t>噪音（dBA) &lt;67</w:t>
            </w:r>
          </w:p>
          <w:p>
            <w:pPr>
              <w:pStyle w:val="20"/>
              <w:widowControl/>
              <w:numPr>
                <w:ilvl w:val="0"/>
                <w:numId w:val="0"/>
              </w:numPr>
              <w:ind w:leftChars="0"/>
              <w:jc w:val="left"/>
              <w:rPr>
                <w:rFonts w:hint="eastAsia" w:ascii="宋体" w:hAnsi="宋体" w:eastAsia="宋体" w:cs="宋体"/>
                <w:color w:val="000000"/>
                <w:kern w:val="0"/>
                <w:sz w:val="21"/>
                <w:szCs w:val="21"/>
              </w:rPr>
            </w:pPr>
            <w:r>
              <w:rPr>
                <w:rFonts w:hint="eastAsia" w:ascii="宋体" w:hAnsi="宋体" w:cs="宋体"/>
                <w:color w:val="000000"/>
                <w:kern w:val="0"/>
                <w:sz w:val="21"/>
                <w:szCs w:val="21"/>
                <w:lang w:val="en-US" w:eastAsia="zh-CN"/>
              </w:rPr>
              <w:t>6、</w:t>
            </w:r>
            <w:r>
              <w:rPr>
                <w:rFonts w:hint="eastAsia" w:ascii="宋体" w:hAnsi="宋体" w:eastAsia="宋体" w:cs="宋体"/>
                <w:color w:val="000000"/>
                <w:kern w:val="0"/>
                <w:sz w:val="21"/>
                <w:szCs w:val="21"/>
              </w:rPr>
              <w:t>照度 （lux）&gt;1290</w:t>
            </w:r>
          </w:p>
          <w:p>
            <w:pPr>
              <w:pStyle w:val="20"/>
              <w:widowControl/>
              <w:numPr>
                <w:ilvl w:val="0"/>
                <w:numId w:val="0"/>
              </w:numPr>
              <w:ind w:leftChars="0"/>
              <w:jc w:val="left"/>
              <w:rPr>
                <w:rFonts w:hint="eastAsia" w:ascii="宋体" w:hAnsi="宋体" w:eastAsia="宋体" w:cs="宋体"/>
                <w:color w:val="000000"/>
                <w:kern w:val="0"/>
                <w:sz w:val="21"/>
                <w:szCs w:val="21"/>
              </w:rPr>
            </w:pPr>
            <w:r>
              <w:rPr>
                <w:rFonts w:hint="eastAsia" w:ascii="宋体" w:hAnsi="宋体" w:cs="宋体"/>
                <w:color w:val="000000"/>
                <w:kern w:val="0"/>
                <w:sz w:val="21"/>
                <w:szCs w:val="21"/>
                <w:lang w:val="en-US" w:eastAsia="zh-CN"/>
              </w:rPr>
              <w:t>7、</w:t>
            </w:r>
            <w:r>
              <w:rPr>
                <w:rFonts w:hint="eastAsia" w:ascii="宋体" w:hAnsi="宋体" w:eastAsia="宋体" w:cs="宋体"/>
                <w:color w:val="000000"/>
                <w:kern w:val="0"/>
                <w:sz w:val="21"/>
                <w:szCs w:val="21"/>
              </w:rPr>
              <w:t>通风系统:排风/ 进风量 ( 立方米/ 小时) 810</w:t>
            </w:r>
          </w:p>
          <w:p>
            <w:pPr>
              <w:pStyle w:val="20"/>
              <w:widowControl/>
              <w:numPr>
                <w:ilvl w:val="0"/>
                <w:numId w:val="0"/>
              </w:numPr>
              <w:ind w:leftChars="0"/>
              <w:jc w:val="left"/>
              <w:rPr>
                <w:rFonts w:hint="eastAsia" w:ascii="宋体" w:hAnsi="宋体" w:eastAsia="宋体" w:cs="宋体"/>
                <w:color w:val="000000"/>
                <w:kern w:val="0"/>
                <w:sz w:val="21"/>
                <w:szCs w:val="21"/>
              </w:rPr>
            </w:pPr>
            <w:r>
              <w:rPr>
                <w:rFonts w:hint="eastAsia" w:ascii="宋体" w:hAnsi="宋体" w:cs="宋体"/>
                <w:color w:val="000000"/>
                <w:kern w:val="0"/>
                <w:sz w:val="21"/>
                <w:szCs w:val="21"/>
                <w:lang w:val="en-US" w:eastAsia="zh-CN"/>
              </w:rPr>
              <w:t>8、</w:t>
            </w:r>
            <w:r>
              <w:rPr>
                <w:rFonts w:hint="eastAsia" w:ascii="宋体" w:hAnsi="宋体" w:eastAsia="宋体" w:cs="宋体"/>
                <w:color w:val="000000"/>
                <w:kern w:val="0"/>
                <w:sz w:val="21"/>
                <w:szCs w:val="21"/>
              </w:rPr>
              <w:t>通风量，套管连接( 立方米/ 小时)1053</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四个独立的进气与排气风机自动控制并平衡下降气流与进气/ 排气气流，以保证持续安全的工作条件。智能直流电机可实时监测和控制风机转速，在过滤器阻塞或线路电压波动时持续保护用户安全。</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两个独立式压力传感器用于检测排气和下降气流强制通风时的压力变化。当进气/ 排气或下降气流速度变化量达到20% 时，报警器将发出信号提醒用户</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直流无碳刷电机驱动风机，双风机主动独立控制进气/排气风机</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低速安全节能模式：前窗完全关闭后，风机可继续工作，紫外灭菌位置，下降风速自动变为30%，方便随时使用，并节约能源.</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可直观显示安全柜总体运行状态，绿灯正常使用，黄灯需要注意，红灯需要等待，长时间红灯需要维护。</w:t>
            </w:r>
          </w:p>
          <w:p>
            <w:pPr>
              <w:pStyle w:val="20"/>
              <w:widowControl/>
              <w:numPr>
                <w:ilvl w:val="0"/>
                <w:numId w:val="0"/>
              </w:numPr>
              <w:ind w:leftChars="0"/>
              <w:jc w:val="left"/>
              <w:rPr>
                <w:rFonts w:hint="eastAsia" w:ascii="宋体" w:hAnsi="宋体" w:eastAsia="宋体" w:cs="宋体"/>
                <w:color w:val="000000"/>
                <w:kern w:val="0"/>
                <w:sz w:val="21"/>
                <w:szCs w:val="21"/>
              </w:rPr>
            </w:pPr>
            <w:r>
              <w:rPr>
                <w:rFonts w:hint="eastAsia" w:ascii="宋体" w:hAnsi="宋体" w:cs="宋体"/>
                <w:color w:val="000000"/>
                <w:kern w:val="0"/>
                <w:sz w:val="21"/>
                <w:szCs w:val="21"/>
                <w:lang w:val="en-US" w:eastAsia="zh-CN"/>
              </w:rPr>
              <w:t>14、</w:t>
            </w:r>
            <w:r>
              <w:rPr>
                <w:rFonts w:hint="eastAsia" w:ascii="宋体" w:hAnsi="宋体" w:eastAsia="宋体" w:cs="宋体"/>
                <w:color w:val="000000"/>
                <w:kern w:val="0"/>
                <w:sz w:val="21"/>
                <w:szCs w:val="21"/>
              </w:rPr>
              <w:t>自动报警：可对不正常气流报警及玻璃门位置报警</w:t>
            </w:r>
          </w:p>
          <w:p>
            <w:pPr>
              <w:pStyle w:val="20"/>
              <w:widowControl/>
              <w:numPr>
                <w:ilvl w:val="0"/>
                <w:numId w:val="0"/>
              </w:numPr>
              <w:ind w:leftChars="0"/>
              <w:jc w:val="left"/>
              <w:rPr>
                <w:rFonts w:hint="eastAsia" w:ascii="宋体" w:hAnsi="宋体" w:eastAsia="宋体" w:cs="宋体"/>
                <w:color w:val="000000"/>
                <w:kern w:val="0"/>
                <w:sz w:val="21"/>
                <w:szCs w:val="21"/>
              </w:rPr>
            </w:pPr>
            <w:r>
              <w:rPr>
                <w:rFonts w:hint="eastAsia" w:ascii="宋体" w:hAnsi="宋体" w:cs="宋体"/>
                <w:color w:val="000000"/>
                <w:kern w:val="0"/>
                <w:sz w:val="21"/>
                <w:szCs w:val="21"/>
                <w:lang w:val="en-US" w:eastAsia="zh-CN"/>
              </w:rPr>
              <w:t>15、</w:t>
            </w:r>
            <w:r>
              <w:rPr>
                <w:rFonts w:hint="eastAsia" w:ascii="宋体" w:hAnsi="宋体" w:eastAsia="宋体" w:cs="宋体"/>
                <w:color w:val="000000"/>
                <w:kern w:val="0"/>
                <w:sz w:val="21"/>
                <w:szCs w:val="21"/>
              </w:rPr>
              <w:t>前窗玻璃材料：采用双层贴膜高强度安全防紫外线防爆玻璃，即使发生破裂，玻璃碎片将吸附在贴膜上不会发生飞溅，防止人身伤害</w:t>
            </w:r>
          </w:p>
          <w:p>
            <w:pPr>
              <w:pStyle w:val="20"/>
              <w:widowControl/>
              <w:numPr>
                <w:ilvl w:val="0"/>
                <w:numId w:val="0"/>
              </w:numPr>
              <w:ind w:leftChars="0"/>
              <w:jc w:val="left"/>
              <w:rPr>
                <w:rFonts w:hint="eastAsia" w:ascii="宋体" w:hAnsi="宋体" w:eastAsia="宋体" w:cs="宋体"/>
                <w:color w:val="000000"/>
                <w:kern w:val="0"/>
                <w:sz w:val="21"/>
                <w:szCs w:val="21"/>
              </w:rPr>
            </w:pPr>
            <w:r>
              <w:rPr>
                <w:rFonts w:hint="eastAsia" w:ascii="宋体" w:hAnsi="宋体" w:cs="宋体"/>
                <w:color w:val="000000"/>
                <w:kern w:val="0"/>
                <w:sz w:val="21"/>
                <w:szCs w:val="21"/>
                <w:lang w:val="en-US" w:eastAsia="zh-CN"/>
              </w:rPr>
              <w:t>16、</w:t>
            </w:r>
            <w:r>
              <w:rPr>
                <w:rFonts w:hint="eastAsia" w:ascii="宋体" w:hAnsi="宋体" w:eastAsia="宋体" w:cs="宋体"/>
                <w:color w:val="000000"/>
                <w:kern w:val="0"/>
                <w:sz w:val="21"/>
                <w:szCs w:val="21"/>
              </w:rPr>
              <w:t>前窗位置的监测：位置传感器监测前窗的位置，指示前窗是否开到特定的工作位置；在节能状态时关闭；或一个不安全的中间位置。</w:t>
            </w:r>
          </w:p>
          <w:p>
            <w:pPr>
              <w:pStyle w:val="20"/>
              <w:widowControl/>
              <w:numPr>
                <w:ilvl w:val="0"/>
                <w:numId w:val="0"/>
              </w:numPr>
              <w:ind w:leftChars="0"/>
              <w:jc w:val="left"/>
              <w:rPr>
                <w:rFonts w:hint="eastAsia" w:ascii="宋体" w:hAnsi="宋体" w:eastAsia="宋体" w:cs="宋体"/>
                <w:color w:val="000000"/>
                <w:kern w:val="0"/>
                <w:sz w:val="21"/>
                <w:szCs w:val="21"/>
              </w:rPr>
            </w:pPr>
            <w:r>
              <w:rPr>
                <w:rFonts w:hint="eastAsia" w:ascii="宋体" w:hAnsi="宋体" w:cs="宋体"/>
                <w:color w:val="000000"/>
                <w:kern w:val="0"/>
                <w:sz w:val="21"/>
                <w:szCs w:val="21"/>
                <w:lang w:val="en-US" w:eastAsia="zh-CN"/>
              </w:rPr>
              <w:t>17、</w:t>
            </w:r>
            <w:r>
              <w:rPr>
                <w:rFonts w:hint="eastAsia" w:ascii="宋体" w:hAnsi="宋体" w:eastAsia="宋体" w:cs="宋体"/>
                <w:color w:val="000000"/>
                <w:kern w:val="0"/>
                <w:sz w:val="21"/>
                <w:szCs w:val="21"/>
              </w:rPr>
              <w:t>安全锁定：在紫外灭菌过程中，前窗安全锁启动，防止有害的紫外辐射从样品室中泄</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★18，专利前窗清洁：可以简单的将前窗下降从而彻底清洁柜体内表面，降低污染风险。</w:t>
            </w:r>
          </w:p>
          <w:p>
            <w:pPr>
              <w:pStyle w:val="20"/>
              <w:widowControl/>
              <w:numPr>
                <w:ilvl w:val="0"/>
                <w:numId w:val="0"/>
              </w:numPr>
              <w:ind w:leftChars="0"/>
              <w:jc w:val="left"/>
              <w:rPr>
                <w:rFonts w:hint="eastAsia" w:ascii="宋体" w:hAnsi="宋体" w:eastAsia="宋体" w:cs="宋体"/>
                <w:color w:val="000000"/>
                <w:kern w:val="0"/>
                <w:sz w:val="21"/>
                <w:szCs w:val="21"/>
              </w:rPr>
            </w:pPr>
            <w:r>
              <w:rPr>
                <w:rFonts w:hint="eastAsia" w:ascii="宋体" w:hAnsi="宋体" w:cs="宋体"/>
                <w:color w:val="000000"/>
                <w:kern w:val="0"/>
                <w:sz w:val="21"/>
                <w:szCs w:val="21"/>
                <w:lang w:val="en-US" w:eastAsia="zh-CN"/>
              </w:rPr>
              <w:t>19、</w:t>
            </w:r>
            <w:r>
              <w:rPr>
                <w:rFonts w:hint="eastAsia" w:ascii="宋体" w:hAnsi="宋体" w:eastAsia="宋体" w:cs="宋体"/>
                <w:color w:val="000000"/>
                <w:kern w:val="0"/>
                <w:sz w:val="21"/>
                <w:szCs w:val="21"/>
              </w:rPr>
              <w:t>10度倾角前窗：10度倾角斜面设计的玻璃悬窗符合人体工程学，防止眩光产生，影响操作。</w:t>
            </w:r>
          </w:p>
          <w:p>
            <w:pPr>
              <w:pStyle w:val="20"/>
              <w:widowControl/>
              <w:numPr>
                <w:ilvl w:val="0"/>
                <w:numId w:val="0"/>
              </w:numPr>
              <w:ind w:leftChars="0"/>
              <w:jc w:val="left"/>
              <w:rPr>
                <w:rFonts w:hint="eastAsia" w:ascii="宋体" w:hAnsi="宋体" w:eastAsia="宋体" w:cs="宋体"/>
                <w:color w:val="000000"/>
                <w:kern w:val="0"/>
                <w:sz w:val="21"/>
                <w:szCs w:val="21"/>
              </w:rPr>
            </w:pPr>
            <w:r>
              <w:rPr>
                <w:rFonts w:hint="eastAsia" w:ascii="宋体" w:hAnsi="宋体" w:cs="宋体"/>
                <w:color w:val="000000"/>
                <w:kern w:val="0"/>
                <w:sz w:val="21"/>
                <w:szCs w:val="21"/>
                <w:lang w:val="en-US" w:eastAsia="zh-CN"/>
              </w:rPr>
              <w:t>20、</w:t>
            </w:r>
            <w:r>
              <w:rPr>
                <w:rFonts w:hint="eastAsia" w:ascii="宋体" w:hAnsi="宋体" w:eastAsia="宋体" w:cs="宋体"/>
                <w:color w:val="000000"/>
                <w:kern w:val="0"/>
                <w:sz w:val="21"/>
                <w:szCs w:val="21"/>
              </w:rPr>
              <w:t>控制面板信息：时间显示，风速显示，总工作时间显示，定时器，UV灯工作时间，错误报告，性能参数-PER</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★21，内部工作尺寸（mm）：780×1800×630</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★22，须提供原厂售后服务承诺书</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二：配置</w:t>
            </w:r>
          </w:p>
          <w:p>
            <w:pPr>
              <w:pStyle w:val="20"/>
              <w:widowControl/>
              <w:numPr>
                <w:ilvl w:val="0"/>
                <w:numId w:val="2"/>
              </w:numPr>
              <w:ind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主机一台，含两个单插座</w:t>
            </w:r>
          </w:p>
          <w:p>
            <w:pPr>
              <w:pStyle w:val="20"/>
              <w:widowControl/>
              <w:numPr>
                <w:ilvl w:val="0"/>
                <w:numId w:val="2"/>
              </w:numPr>
              <w:ind w:firstLineChars="0"/>
              <w:jc w:val="left"/>
              <w:rPr>
                <w:rFonts w:hint="eastAsia" w:ascii="宋体" w:hAnsi="宋体" w:eastAsia="宋体" w:cs="宋体"/>
                <w:kern w:val="0"/>
                <w:sz w:val="21"/>
                <w:szCs w:val="21"/>
              </w:rPr>
            </w:pPr>
            <w:r>
              <w:rPr>
                <w:rFonts w:hint="eastAsia" w:ascii="宋体" w:hAnsi="宋体" w:eastAsia="宋体" w:cs="宋体"/>
                <w:color w:val="000000"/>
                <w:kern w:val="0"/>
                <w:sz w:val="21"/>
                <w:szCs w:val="21"/>
              </w:rPr>
              <w:t>可调节高度支架一副</w:t>
            </w:r>
          </w:p>
          <w:p>
            <w:pPr>
              <w:pStyle w:val="20"/>
              <w:widowControl/>
              <w:numPr>
                <w:ilvl w:val="0"/>
                <w:numId w:val="2"/>
              </w:numPr>
              <w:ind w:firstLineChars="0"/>
              <w:jc w:val="left"/>
              <w:rPr>
                <w:rFonts w:hint="eastAsia" w:ascii="宋体" w:hAnsi="宋体" w:eastAsia="宋体" w:cs="宋体"/>
                <w:color w:val="000000"/>
                <w:kern w:val="0"/>
                <w:sz w:val="21"/>
                <w:szCs w:val="21"/>
              </w:rPr>
            </w:pPr>
            <w:r>
              <w:rPr>
                <w:rFonts w:hint="eastAsia" w:ascii="宋体" w:hAnsi="宋体" w:eastAsia="宋体" w:cs="宋体"/>
                <w:kern w:val="0"/>
                <w:sz w:val="21"/>
                <w:szCs w:val="21"/>
              </w:rPr>
              <w:t>搁手架（两个一套）</w:t>
            </w:r>
          </w:p>
        </w:tc>
        <w:tc>
          <w:tcPr>
            <w:tcW w:w="741" w:type="dxa"/>
          </w:tcPr>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r>
              <w:rPr>
                <w:rFonts w:hint="eastAsia" w:ascii="宋体" w:hAnsi="宋体" w:eastAsia="宋体" w:cs="宋体"/>
                <w:b w:val="0"/>
                <w:bCs/>
                <w:sz w:val="21"/>
                <w:szCs w:val="21"/>
              </w:rPr>
              <w:t>2</w:t>
            </w:r>
          </w:p>
        </w:tc>
        <w:tc>
          <w:tcPr>
            <w:tcW w:w="873" w:type="dxa"/>
            <w:vAlign w:val="center"/>
          </w:tcPr>
          <w:p>
            <w:pPr>
              <w:spacing w:line="400" w:lineRule="exact"/>
              <w:jc w:val="center"/>
              <w:rPr>
                <w:rFonts w:hint="eastAsia" w:ascii="宋体" w:hAnsi="宋体" w:eastAsia="宋体" w:cs="宋体"/>
                <w:b w:val="0"/>
                <w:bCs/>
                <w:kern w:val="0"/>
                <w:sz w:val="21"/>
                <w:szCs w:val="21"/>
              </w:rPr>
            </w:pPr>
          </w:p>
          <w:p>
            <w:pPr>
              <w:spacing w:line="400" w:lineRule="exact"/>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rPr>
              <w:t>台</w:t>
            </w:r>
          </w:p>
        </w:tc>
        <w:tc>
          <w:tcPr>
            <w:tcW w:w="984" w:type="dxa"/>
            <w:gridSpan w:val="2"/>
          </w:tcPr>
          <w:p>
            <w:pPr>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vAlign w:val="center"/>
          </w:tcPr>
          <w:p>
            <w:pPr>
              <w:spacing w:line="400" w:lineRule="exact"/>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1443" w:type="dxa"/>
            <w:vAlign w:val="center"/>
          </w:tcPr>
          <w:p>
            <w:pPr>
              <w:widowControl/>
              <w:jc w:val="center"/>
              <w:textAlignment w:val="center"/>
              <w:rPr>
                <w:rFonts w:hint="eastAsia" w:ascii="宋体" w:hAnsi="宋体" w:eastAsia="宋体" w:cs="宋体"/>
                <w:bCs/>
                <w:sz w:val="21"/>
                <w:szCs w:val="21"/>
              </w:rPr>
            </w:pPr>
            <w:r>
              <w:rPr>
                <w:rFonts w:hint="eastAsia" w:ascii="宋体" w:hAnsi="宋体" w:eastAsia="宋体" w:cs="宋体"/>
                <w:sz w:val="21"/>
                <w:szCs w:val="21"/>
              </w:rPr>
              <w:t>全自动立式高压灭菌锅</w:t>
            </w:r>
          </w:p>
        </w:tc>
        <w:tc>
          <w:tcPr>
            <w:tcW w:w="5357"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一.性能指标</w:t>
            </w:r>
          </w:p>
          <w:p>
            <w:pPr>
              <w:widowControl/>
              <w:ind w:firstLine="105" w:firstLineChars="50"/>
              <w:jc w:val="left"/>
              <w:rPr>
                <w:rFonts w:hint="eastAsia" w:ascii="宋体" w:hAnsi="宋体" w:eastAsia="宋体" w:cs="宋体"/>
                <w:kern w:val="0"/>
                <w:sz w:val="21"/>
                <w:szCs w:val="21"/>
                <w:lang w:eastAsia="zh-CN"/>
              </w:rPr>
            </w:pPr>
            <w:r>
              <w:rPr>
                <w:rFonts w:hint="eastAsia" w:ascii="宋体" w:hAnsi="宋体" w:eastAsia="宋体" w:cs="宋体"/>
                <w:color w:val="000000"/>
                <w:kern w:val="0"/>
                <w:sz w:val="21"/>
                <w:szCs w:val="21"/>
              </w:rPr>
              <w:t>★</w:t>
            </w: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.提供</w:t>
            </w:r>
            <w:r>
              <w:rPr>
                <w:rFonts w:hint="eastAsia" w:ascii="宋体" w:hAnsi="宋体" w:eastAsia="宋体" w:cs="宋体"/>
                <w:kern w:val="0"/>
                <w:sz w:val="21"/>
                <w:szCs w:val="21"/>
              </w:rPr>
              <w:t>生产厂家特种设备（压力容器）制造许可证,不接受第三方资质</w:t>
            </w:r>
            <w:r>
              <w:rPr>
                <w:rFonts w:hint="eastAsia" w:ascii="宋体" w:hAnsi="宋体" w:eastAsia="宋体" w:cs="宋体"/>
                <w:kern w:val="0"/>
                <w:sz w:val="21"/>
                <w:szCs w:val="21"/>
                <w:lang w:eastAsia="zh-CN"/>
              </w:rPr>
              <w:t>。</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w:t>
            </w:r>
            <w:r>
              <w:rPr>
                <w:rFonts w:hint="eastAsia" w:ascii="宋体" w:hAnsi="宋体" w:eastAsia="宋体" w:cs="宋体"/>
                <w:color w:val="000000"/>
                <w:kern w:val="0"/>
                <w:sz w:val="21"/>
                <w:szCs w:val="21"/>
              </w:rPr>
              <w:t>★</w:t>
            </w:r>
            <w:r>
              <w:rPr>
                <w:rFonts w:hint="eastAsia" w:ascii="宋体" w:hAnsi="宋体" w:eastAsia="宋体" w:cs="宋体"/>
                <w:kern w:val="0"/>
                <w:sz w:val="21"/>
                <w:szCs w:val="21"/>
              </w:rPr>
              <w:t xml:space="preserve"> 2.容量:110升,立式结构,底部带脚轮 ，腔体直径≥40CM ,可设定6位数管理员密码</w:t>
            </w:r>
          </w:p>
          <w:p>
            <w:pPr>
              <w:widowControl/>
              <w:ind w:firstLine="210" w:firstLineChars="100"/>
              <w:jc w:val="left"/>
              <w:rPr>
                <w:rFonts w:hint="eastAsia" w:ascii="宋体" w:hAnsi="宋体" w:eastAsia="宋体" w:cs="宋体"/>
                <w:kern w:val="0"/>
                <w:sz w:val="21"/>
                <w:szCs w:val="21"/>
              </w:rPr>
            </w:pPr>
            <w:r>
              <w:rPr>
                <w:rFonts w:hint="eastAsia" w:ascii="宋体" w:hAnsi="宋体" w:eastAsia="宋体" w:cs="宋体"/>
                <w:kern w:val="0"/>
                <w:sz w:val="21"/>
                <w:szCs w:val="21"/>
              </w:rPr>
              <w:t>3.灭菌腔材料:SUS304不锈钢,可选316不锈钢</w:t>
            </w:r>
          </w:p>
          <w:p>
            <w:pPr>
              <w:widowControl/>
              <w:jc w:val="left"/>
              <w:rPr>
                <w:rFonts w:hint="eastAsia" w:ascii="宋体" w:hAnsi="宋体" w:eastAsia="宋体" w:cs="宋体"/>
                <w:kern w:val="0"/>
                <w:sz w:val="21"/>
                <w:szCs w:val="21"/>
              </w:rPr>
            </w:pPr>
            <w:r>
              <w:rPr>
                <w:rFonts w:hint="eastAsia" w:ascii="宋体" w:hAnsi="宋体" w:eastAsia="宋体" w:cs="宋体"/>
                <w:color w:val="000000"/>
                <w:kern w:val="0"/>
                <w:sz w:val="21"/>
                <w:szCs w:val="21"/>
              </w:rPr>
              <w:t>★</w:t>
            </w:r>
            <w:r>
              <w:rPr>
                <w:rFonts w:hint="eastAsia" w:ascii="宋体" w:hAnsi="宋体" w:eastAsia="宋体" w:cs="宋体"/>
                <w:kern w:val="0"/>
                <w:sz w:val="21"/>
                <w:szCs w:val="21"/>
              </w:rPr>
              <w:t>4.开关盖方式：触拨式开关，垂直向上打开腔门（上掀式开盖）下压式关盖，节省实验室空间</w:t>
            </w:r>
          </w:p>
          <w:p>
            <w:pPr>
              <w:widowControl/>
              <w:ind w:left="210" w:leftChars="100"/>
              <w:jc w:val="left"/>
              <w:rPr>
                <w:rFonts w:hint="eastAsia" w:ascii="宋体" w:hAnsi="宋体" w:eastAsia="宋体" w:cs="宋体"/>
                <w:kern w:val="0"/>
                <w:sz w:val="21"/>
                <w:szCs w:val="21"/>
              </w:rPr>
            </w:pPr>
            <w:r>
              <w:rPr>
                <w:rFonts w:hint="eastAsia" w:ascii="宋体" w:hAnsi="宋体" w:eastAsia="宋体" w:cs="宋体"/>
                <w:kern w:val="0"/>
                <w:sz w:val="21"/>
                <w:szCs w:val="21"/>
              </w:rPr>
              <w:t>5</w:t>
            </w:r>
            <w:r>
              <w:rPr>
                <w:rFonts w:hint="eastAsia" w:ascii="宋体" w:hAnsi="宋体" w:cs="宋体"/>
                <w:kern w:val="0"/>
                <w:sz w:val="21"/>
                <w:szCs w:val="21"/>
                <w:lang w:val="en-US" w:eastAsia="zh-CN"/>
              </w:rPr>
              <w:t>.</w:t>
            </w:r>
            <w:r>
              <w:rPr>
                <w:rFonts w:hint="eastAsia" w:ascii="宋体" w:hAnsi="宋体" w:eastAsia="宋体" w:cs="宋体"/>
                <w:kern w:val="0"/>
                <w:sz w:val="21"/>
                <w:szCs w:val="21"/>
              </w:rPr>
              <w:t>时间范围:灭菌时间:1-6000分钟,融化时间:1-6000分钟,保温时间:1-5678分钟，定时器预置范围：0-6天延迟</w:t>
            </w:r>
          </w:p>
          <w:p>
            <w:pPr>
              <w:widowControl/>
              <w:ind w:left="210" w:leftChars="100"/>
              <w:jc w:val="left"/>
              <w:rPr>
                <w:rFonts w:hint="eastAsia" w:ascii="宋体" w:hAnsi="宋体" w:eastAsia="宋体" w:cs="宋体"/>
                <w:kern w:val="0"/>
                <w:sz w:val="21"/>
                <w:szCs w:val="21"/>
              </w:rPr>
            </w:pPr>
            <w:r>
              <w:rPr>
                <w:rFonts w:hint="eastAsia" w:ascii="宋体" w:hAnsi="宋体" w:eastAsia="宋体" w:cs="宋体"/>
                <w:kern w:val="0"/>
                <w:sz w:val="21"/>
                <w:szCs w:val="21"/>
              </w:rPr>
              <w:t>6.温度和压力: 最高工作温度≥138℃  设计压力0.35Mpa</w:t>
            </w:r>
          </w:p>
          <w:p>
            <w:pPr>
              <w:widowControl/>
              <w:jc w:val="left"/>
              <w:rPr>
                <w:rFonts w:hint="eastAsia" w:ascii="宋体" w:hAnsi="宋体" w:eastAsia="宋体" w:cs="宋体"/>
                <w:kern w:val="0"/>
                <w:sz w:val="21"/>
                <w:szCs w:val="21"/>
              </w:rPr>
            </w:pPr>
            <w:r>
              <w:rPr>
                <w:rFonts w:hint="eastAsia" w:ascii="宋体" w:hAnsi="宋体" w:eastAsia="宋体" w:cs="宋体"/>
                <w:color w:val="000000"/>
                <w:kern w:val="0"/>
                <w:sz w:val="21"/>
                <w:szCs w:val="21"/>
              </w:rPr>
              <w:t>★</w:t>
            </w:r>
            <w:r>
              <w:rPr>
                <w:rFonts w:hint="eastAsia" w:ascii="宋体" w:hAnsi="宋体" w:eastAsia="宋体" w:cs="宋体"/>
                <w:kern w:val="0"/>
                <w:sz w:val="21"/>
                <w:szCs w:val="21"/>
              </w:rPr>
              <w:t>7.采用原装进口0.2μmPTFE过滤器，具备在线灭菌功能，可有效过滤灭菌过程中产生的气溶胶，微生物等有害物质。</w:t>
            </w:r>
          </w:p>
          <w:p>
            <w:pPr>
              <w:widowControl/>
              <w:ind w:firstLine="210" w:firstLineChars="100"/>
              <w:jc w:val="left"/>
              <w:rPr>
                <w:rFonts w:hint="eastAsia" w:ascii="宋体" w:hAnsi="宋体" w:eastAsia="宋体" w:cs="宋体"/>
                <w:kern w:val="0"/>
                <w:sz w:val="21"/>
                <w:szCs w:val="21"/>
              </w:rPr>
            </w:pPr>
            <w:r>
              <w:rPr>
                <w:rFonts w:hint="eastAsia" w:ascii="宋体" w:hAnsi="宋体" w:eastAsia="宋体" w:cs="宋体"/>
                <w:kern w:val="0"/>
                <w:sz w:val="21"/>
                <w:szCs w:val="21"/>
              </w:rPr>
              <w:t>8.记忆存储系统:可记忆存储20条灭菌程序</w:t>
            </w:r>
          </w:p>
          <w:p>
            <w:pPr>
              <w:widowControl/>
              <w:jc w:val="left"/>
              <w:rPr>
                <w:rFonts w:hint="eastAsia" w:ascii="宋体" w:hAnsi="宋体" w:eastAsia="宋体" w:cs="宋体"/>
                <w:kern w:val="0"/>
                <w:sz w:val="21"/>
                <w:szCs w:val="21"/>
              </w:rPr>
            </w:pPr>
            <w:r>
              <w:rPr>
                <w:rFonts w:hint="eastAsia" w:ascii="宋体" w:hAnsi="宋体" w:eastAsia="宋体" w:cs="宋体"/>
                <w:color w:val="000000"/>
                <w:kern w:val="0"/>
                <w:sz w:val="21"/>
                <w:szCs w:val="21"/>
              </w:rPr>
              <w:t>★</w:t>
            </w:r>
            <w:r>
              <w:rPr>
                <w:rFonts w:hint="eastAsia" w:ascii="宋体" w:hAnsi="宋体" w:eastAsia="宋体" w:cs="宋体"/>
                <w:kern w:val="0"/>
                <w:sz w:val="21"/>
                <w:szCs w:val="21"/>
              </w:rPr>
              <w:t>9.六级排汽方式：灭菌结束完成后，排气阀可按设定的六级排汽速度排汽，同时在排气过程中排汽速度可随时进行手动调整，优于传统的全排，不排，微排等排气方式。</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10.具有废弃物灭菌模式：专用的废弃物灭菌程序，对实验室的废弃物进行有效灭菌</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11.集汽瓶：内置双蒸汽集汽瓶，不会影响周围环境，前置集汽瓶，方便使用</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12.提供校验接口,可同时接入15根温度探头,以供温度验证之用</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13.标配冷却风扇，灭菌结束可快速降低腔体温度</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14.F0值：选购打印机可打印F0值、温度、压力等数据，打印机前置，方便使用。</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15.温度和压力曲线：选购打印校验套装：温度和压力可以同时打印为数据和曲线方式</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16.冷却锁打开温度:根据灭菌物的热惯性,可设置灭菌物的开盖温度,温度没达到设定温度,腔盖无法打开</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17.采用“Inspiration ”级新型智能化微电脑系统,功能强大，实现了灭菌过程的全自动控制</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18.饱和蒸汽监测：系统自动监测冷空气排放情况，确保纯蒸汽的灭菌环境，保证最佳灭菌效果</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19.检验接口：提供温度、压力校验接口，方便进行校验，可搭配3Q验证转接头，最多可同时接入15根温度探头</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20.具有六种灭菌模式，包含液体，固体等灭菌，以及针对特殊物质灭菌器的自定义灭菌模式，</w:t>
            </w:r>
          </w:p>
          <w:p>
            <w:pPr>
              <w:widowControl/>
              <w:tabs>
                <w:tab w:val="left" w:pos="596"/>
              </w:tabs>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21仪器的操作需要简便人性化：压力表前置，废水壶前置，打印机口前置，腔体深度合理。 </w:t>
            </w:r>
          </w:p>
          <w:p>
            <w:pPr>
              <w:widowControl/>
              <w:tabs>
                <w:tab w:val="left" w:pos="596"/>
              </w:tabs>
              <w:jc w:val="left"/>
              <w:rPr>
                <w:rFonts w:hint="eastAsia" w:ascii="宋体" w:hAnsi="宋体" w:eastAsia="宋体" w:cs="宋体"/>
                <w:kern w:val="0"/>
                <w:sz w:val="21"/>
                <w:szCs w:val="21"/>
              </w:rPr>
            </w:pPr>
            <w:r>
              <w:rPr>
                <w:rFonts w:hint="eastAsia" w:ascii="宋体" w:hAnsi="宋体" w:eastAsia="宋体" w:cs="宋体"/>
                <w:kern w:val="0"/>
                <w:sz w:val="21"/>
                <w:szCs w:val="21"/>
              </w:rPr>
              <w:t>22附件:不锈钢提篮2个,冷却风扇1套，气溶胶过滤器</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23.安全装置：</w:t>
            </w:r>
          </w:p>
          <w:p>
            <w:pPr>
              <w:widowControl/>
              <w:ind w:left="90" w:hanging="105" w:hangingChars="50"/>
              <w:jc w:val="left"/>
              <w:rPr>
                <w:rFonts w:hint="eastAsia" w:ascii="宋体" w:hAnsi="宋体" w:eastAsia="宋体" w:cs="宋体"/>
                <w:kern w:val="0"/>
                <w:sz w:val="21"/>
                <w:szCs w:val="21"/>
              </w:rPr>
            </w:pPr>
            <w:r>
              <w:rPr>
                <w:rFonts w:hint="eastAsia" w:ascii="宋体" w:hAnsi="宋体" w:eastAsia="宋体" w:cs="宋体"/>
                <w:kern w:val="0"/>
                <w:sz w:val="21"/>
                <w:szCs w:val="21"/>
              </w:rPr>
              <w:t>八柱均分，闭盖检查系统：</w:t>
            </w:r>
            <w:r>
              <w:rPr>
                <w:rFonts w:hint="eastAsia" w:ascii="宋体" w:hAnsi="宋体" w:eastAsia="宋体" w:cs="宋体"/>
                <w:sz w:val="21"/>
                <w:szCs w:val="21"/>
              </w:rPr>
              <w:t xml:space="preserve">电动式双内锁：冷却锁OPEN温度：缺水保护   过压双重保护： </w:t>
            </w:r>
            <w:r>
              <w:rPr>
                <w:rFonts w:hint="eastAsia" w:ascii="宋体" w:hAnsi="宋体" w:eastAsia="宋体" w:cs="宋体"/>
                <w:kern w:val="0"/>
                <w:sz w:val="21"/>
                <w:szCs w:val="21"/>
              </w:rPr>
              <w:t>自动故障检测系统、后台安全测试程序， 温度监控 漏电、过流与短路</w:t>
            </w:r>
            <w:r>
              <w:rPr>
                <w:rFonts w:hint="eastAsia" w:ascii="宋体" w:hAnsi="宋体" w:cs="宋体"/>
                <w:kern w:val="0"/>
                <w:sz w:val="21"/>
                <w:szCs w:val="21"/>
                <w:lang w:val="en-US" w:eastAsia="zh-CN"/>
              </w:rPr>
              <w:t>保护。</w:t>
            </w:r>
            <w:r>
              <w:rPr>
                <w:rFonts w:hint="eastAsia" w:ascii="宋体" w:hAnsi="宋体" w:eastAsia="宋体" w:cs="宋体"/>
                <w:kern w:val="0"/>
                <w:sz w:val="21"/>
                <w:szCs w:val="21"/>
              </w:rPr>
              <w:t>24.防烫设计:腔盖、台面由热绝缘塑料制成，可以防烫</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25. 八柱均分连锁装置.防烫保护  电动式双内锁  冷却锁  缺水双重保护  过压双重保护 过温与升温保护  过流,短路保护,漏电保护</w:t>
            </w:r>
          </w:p>
          <w:p>
            <w:pPr>
              <w:widowControl/>
              <w:jc w:val="left"/>
              <w:rPr>
                <w:rFonts w:hint="eastAsia" w:ascii="宋体" w:hAnsi="宋体" w:eastAsia="宋体" w:cs="宋体"/>
                <w:sz w:val="21"/>
                <w:szCs w:val="21"/>
              </w:rPr>
            </w:pPr>
            <w:r>
              <w:rPr>
                <w:rFonts w:hint="eastAsia" w:ascii="宋体" w:hAnsi="宋体" w:eastAsia="宋体" w:cs="宋体"/>
                <w:color w:val="000000"/>
                <w:kern w:val="0"/>
                <w:sz w:val="21"/>
                <w:szCs w:val="21"/>
              </w:rPr>
              <w:t>★</w:t>
            </w:r>
            <w:r>
              <w:rPr>
                <w:rFonts w:hint="eastAsia" w:ascii="宋体" w:hAnsi="宋体" w:eastAsia="宋体" w:cs="宋体"/>
                <w:kern w:val="0"/>
                <w:sz w:val="21"/>
                <w:szCs w:val="21"/>
              </w:rPr>
              <w:t>26.须提供原厂售后服务承诺。</w:t>
            </w:r>
          </w:p>
        </w:tc>
        <w:tc>
          <w:tcPr>
            <w:tcW w:w="741" w:type="dxa"/>
          </w:tcPr>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rPr>
            </w:pPr>
          </w:p>
          <w:p>
            <w:pPr>
              <w:jc w:val="center"/>
              <w:rPr>
                <w:rFonts w:hint="eastAsia" w:ascii="宋体" w:hAnsi="宋体" w:eastAsia="宋体" w:cs="宋体"/>
                <w:b w:val="0"/>
                <w:bCs/>
                <w:sz w:val="21"/>
                <w:szCs w:val="21"/>
                <w:lang w:eastAsia="zh-CN"/>
              </w:rPr>
            </w:pPr>
            <w:r>
              <w:rPr>
                <w:rFonts w:hint="eastAsia" w:ascii="宋体" w:hAnsi="宋体" w:cs="宋体"/>
                <w:b w:val="0"/>
                <w:bCs/>
                <w:sz w:val="21"/>
                <w:szCs w:val="21"/>
                <w:lang w:val="en-US" w:eastAsia="zh-CN"/>
              </w:rPr>
              <w:t>1</w:t>
            </w:r>
          </w:p>
        </w:tc>
        <w:tc>
          <w:tcPr>
            <w:tcW w:w="873" w:type="dxa"/>
            <w:vAlign w:val="center"/>
          </w:tcPr>
          <w:p>
            <w:pPr>
              <w:spacing w:line="400" w:lineRule="exact"/>
              <w:jc w:val="center"/>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台</w:t>
            </w:r>
          </w:p>
        </w:tc>
        <w:tc>
          <w:tcPr>
            <w:tcW w:w="984" w:type="dxa"/>
            <w:gridSpan w:val="2"/>
          </w:tcPr>
          <w:p>
            <w:pPr>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931" w:type="dxa"/>
            <w:vAlign w:val="center"/>
          </w:tcPr>
          <w:p>
            <w:pPr>
              <w:spacing w:line="400" w:lineRule="exact"/>
              <w:jc w:val="center"/>
              <w:rPr>
                <w:rFonts w:hint="eastAsia" w:ascii="宋体" w:hAnsi="宋体" w:eastAsia="宋体" w:cs="宋体"/>
                <w:bCs/>
                <w:sz w:val="21"/>
                <w:szCs w:val="21"/>
              </w:rPr>
            </w:pPr>
            <w:r>
              <w:rPr>
                <w:rFonts w:hint="eastAsia" w:ascii="宋体" w:hAnsi="宋体" w:eastAsia="宋体" w:cs="宋体"/>
                <w:bCs/>
                <w:sz w:val="21"/>
                <w:szCs w:val="21"/>
              </w:rPr>
              <w:t>3</w:t>
            </w:r>
          </w:p>
        </w:tc>
        <w:tc>
          <w:tcPr>
            <w:tcW w:w="1443"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纯水机</w:t>
            </w:r>
          </w:p>
          <w:p>
            <w:pPr>
              <w:widowControl/>
              <w:jc w:val="center"/>
              <w:textAlignment w:val="center"/>
              <w:rPr>
                <w:rFonts w:hint="eastAsia" w:ascii="宋体" w:hAnsi="宋体" w:eastAsia="宋体" w:cs="宋体"/>
                <w:bCs/>
                <w:sz w:val="21"/>
                <w:szCs w:val="21"/>
              </w:rPr>
            </w:pPr>
          </w:p>
        </w:tc>
        <w:tc>
          <w:tcPr>
            <w:tcW w:w="5357" w:type="dxa"/>
            <w:vAlign w:val="center"/>
          </w:tcPr>
          <w:p>
            <w:pPr>
              <w:adjustRightInd w:val="0"/>
              <w:snapToGrid w:val="0"/>
              <w:spacing w:before="62" w:beforeLines="20" w:line="288" w:lineRule="auto"/>
              <w:rPr>
                <w:rFonts w:hint="eastAsia" w:ascii="宋体" w:hAnsi="宋体" w:eastAsia="宋体" w:cs="宋体"/>
                <w:b/>
                <w:sz w:val="21"/>
                <w:szCs w:val="21"/>
              </w:rPr>
            </w:pPr>
            <w:r>
              <w:rPr>
                <w:rFonts w:hint="eastAsia" w:ascii="宋体" w:hAnsi="宋体" w:eastAsia="宋体" w:cs="宋体"/>
                <w:b/>
                <w:sz w:val="21"/>
                <w:szCs w:val="21"/>
              </w:rPr>
              <w:t>1.技术规格</w:t>
            </w:r>
          </w:p>
          <w:p>
            <w:pPr>
              <w:tabs>
                <w:tab w:val="left" w:pos="180"/>
                <w:tab w:val="left" w:pos="540"/>
              </w:tabs>
              <w:spacing w:line="288" w:lineRule="auto"/>
              <w:rPr>
                <w:rFonts w:hint="eastAsia" w:ascii="宋体" w:hAnsi="宋体" w:eastAsia="宋体" w:cs="宋体"/>
                <w:bCs/>
                <w:sz w:val="21"/>
                <w:szCs w:val="21"/>
              </w:rPr>
            </w:pPr>
            <w:r>
              <w:rPr>
                <w:rFonts w:hint="eastAsia" w:ascii="宋体" w:hAnsi="宋体" w:eastAsia="宋体" w:cs="宋体"/>
                <w:sz w:val="21"/>
                <w:szCs w:val="21"/>
              </w:rPr>
              <w:t>1.1该系统为以自来水为进水水源，可直接生产III级纯水和I级超纯水的一体化智能系统。</w:t>
            </w:r>
            <w:r>
              <w:rPr>
                <w:rFonts w:hint="eastAsia" w:ascii="宋体" w:hAnsi="宋体" w:eastAsia="宋体" w:cs="宋体"/>
                <w:bCs/>
                <w:sz w:val="21"/>
                <w:szCs w:val="21"/>
              </w:rPr>
              <w:t xml:space="preserve"> </w:t>
            </w:r>
          </w:p>
          <w:p>
            <w:pPr>
              <w:tabs>
                <w:tab w:val="left" w:pos="180"/>
                <w:tab w:val="left" w:pos="540"/>
              </w:tabs>
              <w:spacing w:line="288" w:lineRule="auto"/>
              <w:rPr>
                <w:rFonts w:hint="eastAsia" w:ascii="宋体" w:hAnsi="宋体" w:eastAsia="宋体" w:cs="宋体"/>
                <w:bCs/>
                <w:sz w:val="21"/>
                <w:szCs w:val="21"/>
              </w:rPr>
            </w:pPr>
            <w:r>
              <w:rPr>
                <w:rFonts w:hint="eastAsia" w:ascii="宋体" w:hAnsi="宋体" w:eastAsia="宋体" w:cs="宋体"/>
                <w:bCs/>
                <w:sz w:val="21"/>
                <w:szCs w:val="21"/>
              </w:rPr>
              <w:t>1.2纯水产水水质:</w:t>
            </w:r>
            <w:r>
              <w:rPr>
                <w:rFonts w:hint="eastAsia" w:ascii="宋体" w:hAnsi="宋体" w:eastAsia="宋体" w:cs="宋体"/>
                <w:bCs/>
                <w:color w:val="000000"/>
                <w:sz w:val="21"/>
                <w:szCs w:val="21"/>
              </w:rPr>
              <w:t>离子截留率为97%;</w:t>
            </w:r>
            <w:r>
              <w:rPr>
                <w:rFonts w:hint="eastAsia" w:ascii="宋体" w:hAnsi="宋体" w:eastAsia="宋体" w:cs="宋体"/>
                <w:sz w:val="21"/>
                <w:szCs w:val="21"/>
              </w:rPr>
              <w:t>有机物截留率＞99%;微粒和细菌截留&gt;99%;</w:t>
            </w:r>
          </w:p>
          <w:p>
            <w:pPr>
              <w:spacing w:line="288" w:lineRule="auto"/>
              <w:rPr>
                <w:rFonts w:hint="eastAsia" w:ascii="宋体" w:hAnsi="宋体" w:eastAsia="宋体" w:cs="宋体"/>
                <w:bCs/>
                <w:color w:val="000000"/>
                <w:sz w:val="21"/>
                <w:szCs w:val="21"/>
              </w:rPr>
            </w:pPr>
            <w:r>
              <w:rPr>
                <w:rFonts w:hint="eastAsia" w:ascii="宋体" w:hAnsi="宋体" w:eastAsia="宋体" w:cs="宋体"/>
                <w:sz w:val="21"/>
                <w:szCs w:val="21"/>
              </w:rPr>
              <w:t>1.3纯水产水量：24L</w:t>
            </w:r>
            <w:r>
              <w:rPr>
                <w:rFonts w:hint="eastAsia" w:ascii="宋体" w:hAnsi="宋体" w:eastAsia="宋体" w:cs="宋体"/>
                <w:bCs/>
                <w:color w:val="000000"/>
                <w:sz w:val="21"/>
                <w:szCs w:val="21"/>
              </w:rPr>
              <w:t>/h</w:t>
            </w:r>
            <w:r>
              <w:rPr>
                <w:rFonts w:hint="eastAsia" w:ascii="宋体" w:hAnsi="宋体" w:eastAsia="宋体" w:cs="宋体"/>
                <w:sz w:val="21"/>
                <w:szCs w:val="21"/>
              </w:rPr>
              <w:t>；</w:t>
            </w:r>
          </w:p>
          <w:p>
            <w:pPr>
              <w:spacing w:line="288" w:lineRule="auto"/>
              <w:rPr>
                <w:rFonts w:hint="eastAsia" w:ascii="宋体" w:hAnsi="宋体" w:eastAsia="宋体" w:cs="宋体"/>
                <w:bCs/>
                <w:color w:val="000000"/>
                <w:sz w:val="21"/>
                <w:szCs w:val="21"/>
              </w:rPr>
            </w:pPr>
            <w:r>
              <w:rPr>
                <w:rFonts w:hint="eastAsia" w:ascii="宋体" w:hAnsi="宋体" w:eastAsia="宋体" w:cs="宋体"/>
                <w:bCs/>
                <w:color w:val="000000"/>
                <w:sz w:val="21"/>
                <w:szCs w:val="21"/>
              </w:rPr>
              <w:t>1.4超纯水产水水质：电阻率：18.2 MΩ·cm＠25℃</w:t>
            </w:r>
            <w:r>
              <w:rPr>
                <w:rFonts w:hint="eastAsia" w:ascii="宋体" w:hAnsi="宋体" w:eastAsia="宋体" w:cs="宋体"/>
                <w:sz w:val="21"/>
                <w:szCs w:val="21"/>
              </w:rPr>
              <w:t>（带温度补偿）</w:t>
            </w:r>
            <w:r>
              <w:rPr>
                <w:rFonts w:hint="eastAsia" w:ascii="宋体" w:hAnsi="宋体" w:eastAsia="宋体" w:cs="宋体"/>
                <w:bCs/>
                <w:color w:val="000000"/>
                <w:sz w:val="21"/>
                <w:szCs w:val="21"/>
              </w:rPr>
              <w:t>；</w:t>
            </w:r>
          </w:p>
          <w:p>
            <w:pPr>
              <w:spacing w:line="288" w:lineRule="auto"/>
              <w:rPr>
                <w:rFonts w:hint="eastAsia" w:ascii="宋体" w:hAnsi="宋体" w:eastAsia="宋体" w:cs="宋体"/>
                <w:bCs/>
                <w:color w:val="000000"/>
                <w:sz w:val="21"/>
                <w:szCs w:val="21"/>
              </w:rPr>
            </w:pPr>
            <w:r>
              <w:rPr>
                <w:rFonts w:hint="eastAsia" w:ascii="宋体" w:hAnsi="宋体" w:eastAsia="宋体" w:cs="宋体"/>
                <w:bCs/>
                <w:color w:val="000000"/>
                <w:sz w:val="21"/>
                <w:szCs w:val="21"/>
              </w:rPr>
              <w:t>1.4.1总有机碳含量(TOC)：＜ 5ppb；</w:t>
            </w:r>
          </w:p>
          <w:p>
            <w:pPr>
              <w:spacing w:line="288" w:lineRule="auto"/>
              <w:rPr>
                <w:rFonts w:hint="eastAsia" w:ascii="宋体" w:hAnsi="宋体" w:eastAsia="宋体" w:cs="宋体"/>
                <w:bCs/>
                <w:color w:val="000000"/>
                <w:sz w:val="21"/>
                <w:szCs w:val="21"/>
              </w:rPr>
            </w:pPr>
            <w:r>
              <w:rPr>
                <w:rFonts w:hint="eastAsia" w:ascii="宋体" w:hAnsi="宋体" w:eastAsia="宋体" w:cs="宋体"/>
                <w:bCs/>
                <w:color w:val="000000"/>
                <w:sz w:val="21"/>
                <w:szCs w:val="21"/>
              </w:rPr>
              <w:t>1.4.2细菌：＜ 0.1 cfu/ml；</w:t>
            </w:r>
          </w:p>
          <w:p>
            <w:pPr>
              <w:spacing w:line="288" w:lineRule="auto"/>
              <w:rPr>
                <w:rFonts w:hint="eastAsia" w:ascii="宋体" w:hAnsi="宋体" w:eastAsia="宋体" w:cs="宋体"/>
                <w:bCs/>
                <w:color w:val="000000"/>
                <w:sz w:val="21"/>
                <w:szCs w:val="21"/>
              </w:rPr>
            </w:pPr>
            <w:r>
              <w:rPr>
                <w:rFonts w:hint="eastAsia" w:ascii="宋体" w:hAnsi="宋体" w:eastAsia="宋体" w:cs="宋体"/>
                <w:bCs/>
                <w:color w:val="000000"/>
                <w:sz w:val="21"/>
                <w:szCs w:val="21"/>
              </w:rPr>
              <w:t>1.4.3直径大于0.22μm的颗粒物数量: ＜1/ml；</w:t>
            </w:r>
          </w:p>
          <w:p>
            <w:pPr>
              <w:spacing w:line="288" w:lineRule="auto"/>
              <w:rPr>
                <w:rFonts w:hint="eastAsia" w:ascii="宋体" w:hAnsi="宋体" w:eastAsia="宋体" w:cs="宋体"/>
                <w:bCs/>
                <w:color w:val="000000"/>
                <w:sz w:val="21"/>
                <w:szCs w:val="21"/>
              </w:rPr>
            </w:pPr>
            <w:r>
              <w:rPr>
                <w:rFonts w:hint="eastAsia" w:ascii="宋体" w:hAnsi="宋体" w:eastAsia="宋体" w:cs="宋体"/>
                <w:bCs/>
                <w:color w:val="000000"/>
                <w:sz w:val="21"/>
                <w:szCs w:val="21"/>
              </w:rPr>
              <w:t>1.4.4</w:t>
            </w:r>
            <w:r>
              <w:rPr>
                <w:rFonts w:hint="eastAsia" w:ascii="宋体" w:hAnsi="宋体" w:eastAsia="宋体" w:cs="宋体"/>
                <w:color w:val="000000"/>
                <w:kern w:val="0"/>
                <w:sz w:val="21"/>
                <w:szCs w:val="21"/>
              </w:rPr>
              <w:t>热源含量：</w:t>
            </w:r>
            <w:r>
              <w:rPr>
                <w:rFonts w:hint="eastAsia" w:ascii="宋体" w:hAnsi="宋体" w:eastAsia="宋体" w:cs="宋体"/>
                <w:bCs/>
                <w:color w:val="000000"/>
                <w:sz w:val="21"/>
                <w:szCs w:val="21"/>
              </w:rPr>
              <w:t>＜</w:t>
            </w:r>
            <w:r>
              <w:rPr>
                <w:rFonts w:hint="eastAsia" w:ascii="宋体" w:hAnsi="宋体" w:eastAsia="宋体" w:cs="宋体"/>
                <w:color w:val="000000"/>
                <w:kern w:val="0"/>
                <w:sz w:val="21"/>
                <w:szCs w:val="21"/>
              </w:rPr>
              <w:t>0.001Eu/ml</w:t>
            </w:r>
          </w:p>
          <w:p>
            <w:pPr>
              <w:spacing w:line="288" w:lineRule="auto"/>
              <w:rPr>
                <w:rFonts w:hint="eastAsia" w:ascii="宋体" w:hAnsi="宋体" w:eastAsia="宋体" w:cs="宋体"/>
                <w:color w:val="000000"/>
                <w:kern w:val="0"/>
                <w:sz w:val="21"/>
                <w:szCs w:val="21"/>
              </w:rPr>
            </w:pPr>
            <w:r>
              <w:rPr>
                <w:rFonts w:hint="eastAsia" w:ascii="宋体" w:hAnsi="宋体" w:eastAsia="宋体" w:cs="宋体"/>
                <w:bCs/>
                <w:color w:val="000000"/>
                <w:sz w:val="21"/>
                <w:szCs w:val="21"/>
              </w:rPr>
              <w:t xml:space="preserve">1.4.5 </w:t>
            </w:r>
            <w:r>
              <w:rPr>
                <w:rFonts w:hint="eastAsia" w:ascii="宋体" w:hAnsi="宋体" w:eastAsia="宋体" w:cs="宋体"/>
                <w:color w:val="000000"/>
                <w:kern w:val="0"/>
                <w:sz w:val="21"/>
                <w:szCs w:val="21"/>
              </w:rPr>
              <w:t>RNA酶：＜1pg／ml</w:t>
            </w:r>
          </w:p>
          <w:p>
            <w:pPr>
              <w:spacing w:line="288" w:lineRule="auto"/>
              <w:rPr>
                <w:rFonts w:hint="eastAsia" w:ascii="宋体" w:hAnsi="宋体" w:eastAsia="宋体" w:cs="宋体"/>
                <w:bCs/>
                <w:color w:val="000000"/>
                <w:sz w:val="21"/>
                <w:szCs w:val="21"/>
              </w:rPr>
            </w:pPr>
            <w:r>
              <w:rPr>
                <w:rFonts w:hint="eastAsia" w:ascii="宋体" w:hAnsi="宋体" w:eastAsia="宋体" w:cs="宋体"/>
                <w:bCs/>
                <w:color w:val="000000"/>
                <w:sz w:val="21"/>
                <w:szCs w:val="21"/>
              </w:rPr>
              <w:t>1.4.6 DNA酶：＜5pg/ml</w:t>
            </w:r>
          </w:p>
          <w:p>
            <w:pPr>
              <w:spacing w:line="288" w:lineRule="auto"/>
              <w:rPr>
                <w:rFonts w:hint="eastAsia" w:ascii="宋体" w:hAnsi="宋体" w:eastAsia="宋体" w:cs="宋体"/>
                <w:bCs/>
                <w:color w:val="000000"/>
                <w:sz w:val="21"/>
                <w:szCs w:val="21"/>
              </w:rPr>
            </w:pPr>
            <w:r>
              <w:rPr>
                <w:rFonts w:hint="eastAsia" w:ascii="宋体" w:hAnsi="宋体" w:eastAsia="宋体" w:cs="宋体"/>
                <w:color w:val="000000"/>
                <w:kern w:val="0"/>
                <w:sz w:val="21"/>
                <w:szCs w:val="21"/>
              </w:rPr>
              <w:t>1.4.7流速最高</w:t>
            </w:r>
            <w:r>
              <w:rPr>
                <w:rFonts w:hint="eastAsia" w:ascii="宋体" w:hAnsi="宋体" w:eastAsia="宋体" w:cs="宋体"/>
                <w:sz w:val="21"/>
                <w:szCs w:val="21"/>
              </w:rPr>
              <w:t>可达2.0 L/min</w:t>
            </w:r>
            <w:r>
              <w:rPr>
                <w:rFonts w:hint="eastAsia" w:ascii="宋体" w:hAnsi="宋体" w:eastAsia="宋体" w:cs="宋体"/>
                <w:color w:val="000000"/>
                <w:kern w:val="0"/>
                <w:sz w:val="21"/>
                <w:szCs w:val="21"/>
              </w:rPr>
              <w:t>；</w:t>
            </w:r>
          </w:p>
          <w:p>
            <w:pPr>
              <w:tabs>
                <w:tab w:val="left" w:pos="180"/>
                <w:tab w:val="left" w:pos="540"/>
              </w:tabs>
              <w:spacing w:line="288" w:lineRule="auto"/>
              <w:rPr>
                <w:rFonts w:hint="eastAsia" w:ascii="宋体" w:hAnsi="宋体" w:eastAsia="宋体" w:cs="宋体"/>
                <w:color w:val="000000"/>
                <w:kern w:val="0"/>
                <w:sz w:val="21"/>
                <w:szCs w:val="21"/>
              </w:rPr>
            </w:pPr>
            <w:r>
              <w:rPr>
                <w:rFonts w:hint="eastAsia" w:ascii="宋体" w:hAnsi="宋体" w:eastAsia="宋体" w:cs="宋体"/>
                <w:bCs/>
                <w:color w:val="000000"/>
                <w:sz w:val="21"/>
                <w:szCs w:val="21"/>
              </w:rPr>
              <w:t>1.5</w:t>
            </w:r>
            <w:r>
              <w:rPr>
                <w:rFonts w:hint="eastAsia" w:ascii="宋体" w:hAnsi="宋体" w:eastAsia="宋体" w:cs="宋体"/>
                <w:color w:val="000000"/>
                <w:kern w:val="0"/>
                <w:sz w:val="21"/>
                <w:szCs w:val="21"/>
              </w:rPr>
              <w:t>配置30L 液位控制水箱：圆锥形底部无死角设计,可使水箱内水完全排空；配空气过滤器,降低外界对水箱内水质的污染；有卫生防溢流装置；全程液位显示, 达到10%精度；可根据每天用水量来控制水箱内纯水的存储量,最大程度保证水质新鲜。</w:t>
            </w:r>
          </w:p>
          <w:p>
            <w:pPr>
              <w:tabs>
                <w:tab w:val="left" w:pos="180"/>
                <w:tab w:val="left" w:pos="540"/>
              </w:tabs>
              <w:spacing w:line="288"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1.6内置温度负反馈的反渗透进水压力调节器，确保在任何水温下都保持恒定的24L/h产水量。</w:t>
            </w:r>
          </w:p>
          <w:p>
            <w:pPr>
              <w:tabs>
                <w:tab w:val="left" w:pos="180"/>
                <w:tab w:val="left" w:pos="540"/>
              </w:tabs>
              <w:spacing w:line="288"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1.7具有全数字操作系统，可显示出水质量（电阻率、电导率、温度）和系统工作状态（耗材寿命、进水温度、水箱水位等）等重要信息。具有三种不同颜色背光显示模式，以显示主机状态。</w:t>
            </w:r>
          </w:p>
          <w:p>
            <w:pPr>
              <w:tabs>
                <w:tab w:val="left" w:pos="180"/>
                <w:tab w:val="left" w:pos="540"/>
              </w:tabs>
              <w:spacing w:line="288"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1.8系统带独立远程取水手臂，手臂带底座可置于桌面，手臂可与底座分离并可360°旋转。手臂上带水质优良指示灯，可实时显示水质是否达标。</w:t>
            </w:r>
          </w:p>
          <w:p>
            <w:pPr>
              <w:tabs>
                <w:tab w:val="left" w:pos="180"/>
                <w:tab w:val="left" w:pos="540"/>
              </w:tabs>
              <w:spacing w:line="288"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1.9主机内置电脑芯片，可记录长达6个月的水质报告，配置网线接口，可直接输出水质数据和系统信息。 </w:t>
            </w:r>
          </w:p>
          <w:p>
            <w:pPr>
              <w:tabs>
                <w:tab w:val="left" w:pos="180"/>
                <w:tab w:val="left" w:pos="540"/>
              </w:tabs>
              <w:spacing w:line="288"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1.10内置高精度电阻率检测仪 (精度：±0.01 MΩ·cm，温度灵敏度为0.1˚C) 以温度补偿和非温度补偿两种模式显示，提供检测证书。</w:t>
            </w:r>
          </w:p>
          <w:p>
            <w:pPr>
              <w:tabs>
                <w:tab w:val="left" w:pos="180"/>
                <w:tab w:val="left" w:pos="540"/>
              </w:tabs>
              <w:spacing w:line="288"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1.11产品需提供厂家ISO9001注册证书，及CE证书</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复印件</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w:t>
            </w:r>
          </w:p>
          <w:p>
            <w:pPr>
              <w:widowControl/>
              <w:rPr>
                <w:rFonts w:hint="eastAsia" w:ascii="宋体" w:hAnsi="宋体" w:eastAsia="宋体" w:cs="宋体"/>
                <w:sz w:val="21"/>
                <w:szCs w:val="21"/>
              </w:rPr>
            </w:pPr>
            <w:r>
              <w:rPr>
                <w:rFonts w:hint="eastAsia" w:ascii="宋体" w:hAnsi="宋体" w:eastAsia="宋体" w:cs="宋体"/>
                <w:b/>
                <w:sz w:val="21"/>
                <w:szCs w:val="21"/>
              </w:rPr>
              <w:t>2.配置要求：</w:t>
            </w:r>
            <w:r>
              <w:rPr>
                <w:rFonts w:hint="eastAsia" w:ascii="宋体" w:hAnsi="宋体" w:eastAsia="宋体" w:cs="宋体"/>
                <w:color w:val="000000"/>
                <w:kern w:val="0"/>
                <w:sz w:val="21"/>
                <w:szCs w:val="21"/>
              </w:rPr>
              <w:t>自来水预处理一套；纯水超纯水一体化主机一台，远程取水手臂一个，30L PE水箱一个，水箱空气过滤器一个，预纯化柱一套，精纯化柱一套，反渗透清洗药片一盒，除菌终端过滤器一个；DELL OPT3050 1台</w:t>
            </w:r>
          </w:p>
        </w:tc>
        <w:tc>
          <w:tcPr>
            <w:tcW w:w="741" w:type="dxa"/>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3</w:t>
            </w:r>
          </w:p>
        </w:tc>
        <w:tc>
          <w:tcPr>
            <w:tcW w:w="873" w:type="dxa"/>
            <w:vAlign w:val="center"/>
          </w:tcPr>
          <w:p>
            <w:pPr>
              <w:spacing w:line="400" w:lineRule="exact"/>
              <w:jc w:val="center"/>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台</w:t>
            </w:r>
          </w:p>
        </w:tc>
        <w:tc>
          <w:tcPr>
            <w:tcW w:w="984" w:type="dxa"/>
            <w:gridSpan w:val="2"/>
          </w:tcPr>
          <w:p>
            <w:pPr>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vAlign w:val="center"/>
          </w:tcPr>
          <w:p>
            <w:pPr>
              <w:spacing w:line="400" w:lineRule="exact"/>
              <w:jc w:val="center"/>
              <w:rPr>
                <w:rFonts w:hint="eastAsia" w:ascii="宋体" w:hAnsi="宋体" w:eastAsia="宋体" w:cs="宋体"/>
                <w:bCs/>
                <w:sz w:val="21"/>
                <w:szCs w:val="21"/>
              </w:rPr>
            </w:pPr>
            <w:r>
              <w:rPr>
                <w:rFonts w:hint="eastAsia" w:ascii="宋体" w:hAnsi="宋体" w:eastAsia="宋体" w:cs="宋体"/>
                <w:bCs/>
                <w:sz w:val="21"/>
                <w:szCs w:val="21"/>
              </w:rPr>
              <w:t>4</w:t>
            </w:r>
          </w:p>
        </w:tc>
        <w:tc>
          <w:tcPr>
            <w:tcW w:w="1443"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大体积样本浓缩系统</w:t>
            </w:r>
          </w:p>
          <w:p>
            <w:pPr>
              <w:widowControl/>
              <w:jc w:val="center"/>
              <w:textAlignment w:val="center"/>
              <w:rPr>
                <w:rFonts w:hint="eastAsia" w:ascii="宋体" w:hAnsi="宋体" w:eastAsia="宋体" w:cs="宋体"/>
                <w:bCs/>
                <w:sz w:val="21"/>
                <w:szCs w:val="21"/>
              </w:rPr>
            </w:pPr>
          </w:p>
        </w:tc>
        <w:tc>
          <w:tcPr>
            <w:tcW w:w="5357" w:type="dxa"/>
            <w:vAlign w:val="center"/>
          </w:tcPr>
          <w:p>
            <w:pPr>
              <w:pStyle w:val="21"/>
              <w:widowControl/>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1、仪器用途：可广泛适用于水源性病毒和细菌的富集浓缩和核酸提取操作，包括环境水样本、洁净水样、食品以及其他被病毒污染的样品。</w:t>
            </w:r>
          </w:p>
          <w:p>
            <w:pPr>
              <w:pStyle w:val="21"/>
              <w:widowControl/>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★2、浓缩目标：包含水中常见的病毒和细菌，包括诺如病毒、脊髓灰质炎病毒、甲型肝炎病毒、轮状病毒、星状病毒、霍乱弧菌、创伤弧菌、溶藻弧菌、河弧菌、铜绿假单胞菌、副溶血弧菌。</w:t>
            </w:r>
          </w:p>
          <w:p>
            <w:pPr>
              <w:pStyle w:val="21"/>
              <w:widowControl/>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3、电源：220V，50-60Hz；   </w:t>
            </w:r>
          </w:p>
          <w:p>
            <w:pPr>
              <w:pStyle w:val="21"/>
              <w:widowControl/>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4、工作环境：5-40℃，湿度≤80%RH</w:t>
            </w:r>
          </w:p>
          <w:p>
            <w:pPr>
              <w:pStyle w:val="21"/>
              <w:widowControl/>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★5、处理样本体积：可满足不同体积样本浓缩处理的需要，最小可处理体积为几十毫升，最大可处理体积不小于40升。可根据样品的不同体积，选择不同的浓缩方案</w:t>
            </w:r>
          </w:p>
          <w:p>
            <w:pPr>
              <w:pStyle w:val="21"/>
              <w:widowControl/>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★6、过滤速度：系统的真空度0-720mmHg可调，转速60-600rpm可调；过滤速度最大可达1.2升/分钟。</w:t>
            </w:r>
          </w:p>
          <w:p>
            <w:pPr>
              <w:pStyle w:val="21"/>
              <w:widowControl/>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7、水中细菌：配套水中细菌提取包用于细菌前处理和提取；</w:t>
            </w:r>
          </w:p>
          <w:p>
            <w:pPr>
              <w:pStyle w:val="21"/>
              <w:widowControl/>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8、水中病毒检测洗脱体积：200微升到1毫升之间可调，浓缩比可达10000倍； </w:t>
            </w:r>
          </w:p>
          <w:p>
            <w:pPr>
              <w:pStyle w:val="21"/>
              <w:widowControl/>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9、水中病毒检测浓缩限：自主研发独特高效洗脱剂，可回收10</w:t>
            </w:r>
            <w:r>
              <w:rPr>
                <w:rFonts w:hint="eastAsia" w:ascii="宋体" w:hAnsi="宋体" w:eastAsia="宋体" w:cs="宋体"/>
                <w:color w:val="000000"/>
                <w:kern w:val="0"/>
                <w:sz w:val="21"/>
                <w:szCs w:val="21"/>
                <w:vertAlign w:val="superscript"/>
              </w:rPr>
              <w:t>2</w:t>
            </w:r>
            <w:r>
              <w:rPr>
                <w:rFonts w:hint="eastAsia" w:ascii="宋体" w:hAnsi="宋体" w:eastAsia="宋体" w:cs="宋体"/>
                <w:color w:val="000000"/>
                <w:kern w:val="0"/>
                <w:sz w:val="21"/>
                <w:szCs w:val="21"/>
              </w:rPr>
              <w:t>数量级病毒颗粒/升；</w:t>
            </w:r>
          </w:p>
          <w:p>
            <w:pPr>
              <w:pStyle w:val="21"/>
              <w:widowControl/>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10、浓缩液下游应用：浓缩后的病毒或细菌样品可直接进行核酸提取，也可用于后续养。</w:t>
            </w:r>
          </w:p>
          <w:p>
            <w:pPr>
              <w:pStyle w:val="21"/>
              <w:widowControl/>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11、安全性：系统内置防废液倒吸安全装置，保证仪器安全运行；机身内置低噪音无油真空泵，对样品及环境都不会造成污染；</w:t>
            </w:r>
          </w:p>
          <w:p>
            <w:pPr>
              <w:pStyle w:val="21"/>
              <w:widowControl/>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12、其他：系统具有自动断电记忆功能，能够保证供电恢复后正常运行；与样品直接接触部件均可高温高压灭菌，防止污染；</w:t>
            </w:r>
          </w:p>
          <w:p>
            <w:pPr>
              <w:pStyle w:val="21"/>
              <w:widowControl/>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13、耗材：采用一次性过滤膜，细菌耗材需经过灭菌处理，配套47毫米或142毫米直径规格，应用于不同过滤需求；</w:t>
            </w:r>
          </w:p>
          <w:p>
            <w:pPr>
              <w:pStyle w:val="21"/>
              <w:widowControl/>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★14、配套试剂盒：系统标配有核酸提取试剂盒，可直接对浓缩后样品进行核酸提取操作； </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15、配置：中体积浓缩系统一套，大体积浓缩系统一套，配套耗材一套。</w:t>
            </w:r>
          </w:p>
          <w:p>
            <w:pPr>
              <w:widowControl/>
              <w:jc w:val="left"/>
              <w:rPr>
                <w:rFonts w:hint="eastAsia" w:ascii="宋体" w:hAnsi="宋体" w:eastAsia="宋体" w:cs="宋体"/>
                <w:kern w:val="0"/>
                <w:sz w:val="21"/>
                <w:szCs w:val="21"/>
              </w:rPr>
            </w:pPr>
            <w:r>
              <w:rPr>
                <w:rFonts w:hint="eastAsia" w:ascii="宋体" w:hAnsi="宋体" w:eastAsia="宋体" w:cs="宋体"/>
                <w:color w:val="000000"/>
                <w:kern w:val="0"/>
                <w:sz w:val="21"/>
                <w:szCs w:val="21"/>
              </w:rPr>
              <w:t>★</w:t>
            </w:r>
            <w:r>
              <w:rPr>
                <w:rFonts w:hint="eastAsia" w:ascii="宋体" w:hAnsi="宋体" w:eastAsia="宋体" w:cs="宋体"/>
                <w:kern w:val="0"/>
                <w:sz w:val="21"/>
                <w:szCs w:val="21"/>
              </w:rPr>
              <w:t>16.须提供原厂售后服务承诺。</w:t>
            </w:r>
          </w:p>
        </w:tc>
        <w:tc>
          <w:tcPr>
            <w:tcW w:w="741" w:type="dxa"/>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1</w:t>
            </w:r>
          </w:p>
        </w:tc>
        <w:tc>
          <w:tcPr>
            <w:tcW w:w="873" w:type="dxa"/>
            <w:vAlign w:val="center"/>
          </w:tcPr>
          <w:p>
            <w:pPr>
              <w:spacing w:line="400" w:lineRule="exact"/>
              <w:jc w:val="center"/>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套</w:t>
            </w:r>
          </w:p>
        </w:tc>
        <w:tc>
          <w:tcPr>
            <w:tcW w:w="984" w:type="dxa"/>
            <w:gridSpan w:val="2"/>
          </w:tcPr>
          <w:p>
            <w:pPr>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vAlign w:val="center"/>
          </w:tcPr>
          <w:p>
            <w:pPr>
              <w:spacing w:line="400" w:lineRule="exact"/>
              <w:jc w:val="center"/>
              <w:rPr>
                <w:rFonts w:hint="eastAsia" w:ascii="宋体" w:hAnsi="宋体" w:eastAsia="宋体" w:cs="宋体"/>
                <w:bCs/>
                <w:sz w:val="21"/>
                <w:szCs w:val="21"/>
              </w:rPr>
            </w:pPr>
            <w:r>
              <w:rPr>
                <w:rFonts w:hint="eastAsia" w:ascii="宋体" w:hAnsi="宋体" w:eastAsia="宋体" w:cs="宋体"/>
                <w:bCs/>
                <w:sz w:val="21"/>
                <w:szCs w:val="21"/>
              </w:rPr>
              <w:t>5</w:t>
            </w:r>
          </w:p>
        </w:tc>
        <w:tc>
          <w:tcPr>
            <w:tcW w:w="1443" w:type="dxa"/>
            <w:vAlign w:val="center"/>
          </w:tcPr>
          <w:p>
            <w:pPr>
              <w:widowControl/>
              <w:jc w:val="center"/>
              <w:textAlignment w:val="center"/>
              <w:rPr>
                <w:rFonts w:hint="eastAsia" w:ascii="宋体" w:hAnsi="宋体" w:eastAsia="宋体" w:cs="宋体"/>
                <w:bCs/>
                <w:sz w:val="21"/>
                <w:szCs w:val="21"/>
              </w:rPr>
            </w:pPr>
            <w:r>
              <w:rPr>
                <w:rFonts w:hint="eastAsia" w:ascii="宋体" w:hAnsi="宋体" w:eastAsia="宋体" w:cs="宋体"/>
                <w:color w:val="000000"/>
                <w:sz w:val="21"/>
                <w:szCs w:val="21"/>
              </w:rPr>
              <w:t>液氮罐</w:t>
            </w:r>
          </w:p>
        </w:tc>
        <w:tc>
          <w:tcPr>
            <w:tcW w:w="5357" w:type="dxa"/>
            <w:vAlign w:val="center"/>
          </w:tcPr>
          <w:p>
            <w:pPr>
              <w:rPr>
                <w:rFonts w:hint="eastAsia" w:ascii="宋体" w:hAnsi="宋体" w:eastAsia="宋体" w:cs="宋体"/>
                <w:sz w:val="21"/>
                <w:szCs w:val="21"/>
              </w:rPr>
            </w:pPr>
            <w:r>
              <w:rPr>
                <w:rFonts w:hint="eastAsia" w:ascii="宋体" w:hAnsi="宋体" w:eastAsia="宋体" w:cs="宋体"/>
                <w:sz w:val="21"/>
                <w:szCs w:val="21"/>
              </w:rPr>
              <w:t>1、箱体结构：双层铝制真空设计结合高级真空绝热材料，最小化液氮蒸发速率;</w:t>
            </w:r>
          </w:p>
          <w:p>
            <w:pPr>
              <w:rPr>
                <w:rFonts w:hint="eastAsia" w:ascii="宋体" w:hAnsi="宋体" w:eastAsia="宋体" w:cs="宋体"/>
                <w:sz w:val="21"/>
                <w:szCs w:val="21"/>
              </w:rPr>
            </w:pPr>
            <w:r>
              <w:rPr>
                <w:rFonts w:hint="eastAsia" w:ascii="宋体" w:hAnsi="宋体" w:eastAsia="宋体" w:cs="宋体"/>
                <w:sz w:val="21"/>
                <w:szCs w:val="21"/>
              </w:rPr>
              <w:t>2、液氮容量：</w:t>
            </w:r>
            <w:bookmarkStart w:id="70" w:name="OLE_LINK25"/>
            <w:bookmarkStart w:id="71" w:name="OLE_LINK24"/>
            <w:bookmarkStart w:id="72" w:name="OLE_LINK23"/>
            <w:r>
              <w:rPr>
                <w:rFonts w:hint="eastAsia" w:ascii="宋体" w:hAnsi="宋体" w:eastAsia="宋体" w:cs="宋体"/>
                <w:sz w:val="21"/>
                <w:szCs w:val="21"/>
              </w:rPr>
              <w:t>121 L</w:t>
            </w:r>
          </w:p>
          <w:bookmarkEnd w:id="70"/>
          <w:bookmarkEnd w:id="71"/>
          <w:bookmarkEnd w:id="72"/>
          <w:p>
            <w:pPr>
              <w:rPr>
                <w:rFonts w:hint="eastAsia" w:ascii="宋体" w:hAnsi="宋体" w:eastAsia="宋体" w:cs="宋体"/>
                <w:sz w:val="21"/>
                <w:szCs w:val="21"/>
              </w:rPr>
            </w:pPr>
            <w:r>
              <w:rPr>
                <w:rFonts w:hint="eastAsia" w:ascii="宋体" w:hAnsi="宋体" w:eastAsia="宋体" w:cs="宋体"/>
                <w:sz w:val="21"/>
                <w:szCs w:val="21"/>
              </w:rPr>
              <w:t>3、液氮罐瓶颈: 21.5 cm</w:t>
            </w:r>
          </w:p>
          <w:p>
            <w:pPr>
              <w:rPr>
                <w:rFonts w:hint="eastAsia" w:ascii="宋体" w:hAnsi="宋体" w:eastAsia="宋体" w:cs="宋体"/>
                <w:sz w:val="21"/>
                <w:szCs w:val="21"/>
              </w:rPr>
            </w:pPr>
            <w:r>
              <w:rPr>
                <w:rFonts w:hint="eastAsia" w:ascii="宋体" w:hAnsi="宋体" w:eastAsia="宋体" w:cs="宋体"/>
                <w:sz w:val="21"/>
                <w:szCs w:val="21"/>
              </w:rPr>
              <w:t>4、极低的静态蒸发率：0.99 L/D静态持续时间 112天</w:t>
            </w:r>
          </w:p>
          <w:p>
            <w:pPr>
              <w:spacing w:line="300" w:lineRule="auto"/>
              <w:rPr>
                <w:rFonts w:hint="eastAsia" w:ascii="宋体" w:hAnsi="宋体" w:eastAsia="宋体" w:cs="宋体"/>
                <w:sz w:val="21"/>
                <w:szCs w:val="21"/>
              </w:rPr>
            </w:pPr>
            <w:r>
              <w:rPr>
                <w:rFonts w:hint="eastAsia" w:ascii="宋体" w:hAnsi="宋体" w:eastAsia="宋体" w:cs="宋体"/>
                <w:sz w:val="21"/>
                <w:szCs w:val="21"/>
              </w:rPr>
              <w:t>5、标配4个冻存架，每个冻存架可容纳10个冻存盒, 整个液氮罐可容纳4000只冻存管</w:t>
            </w:r>
          </w:p>
          <w:p>
            <w:pPr>
              <w:spacing w:line="300" w:lineRule="auto"/>
              <w:rPr>
                <w:rFonts w:hint="eastAsia" w:ascii="宋体" w:hAnsi="宋体" w:eastAsia="宋体" w:cs="宋体"/>
                <w:sz w:val="21"/>
                <w:szCs w:val="21"/>
              </w:rPr>
            </w:pPr>
            <w:r>
              <w:rPr>
                <w:rFonts w:hint="eastAsia" w:ascii="宋体" w:hAnsi="宋体" w:eastAsia="宋体" w:cs="宋体"/>
                <w:sz w:val="21"/>
                <w:szCs w:val="21"/>
              </w:rPr>
              <w:t>6、冻存架采用悬挂及隔箱设计，编有索引的架子和盒子可以减少存取样品的时间适合手工和计算机库存管理</w:t>
            </w:r>
          </w:p>
          <w:p>
            <w:pPr>
              <w:spacing w:line="300" w:lineRule="auto"/>
              <w:rPr>
                <w:rFonts w:hint="eastAsia" w:ascii="宋体" w:hAnsi="宋体" w:eastAsia="宋体" w:cs="宋体"/>
                <w:sz w:val="21"/>
                <w:szCs w:val="21"/>
              </w:rPr>
            </w:pPr>
            <w:r>
              <w:rPr>
                <w:rFonts w:hint="eastAsia" w:ascii="宋体" w:hAnsi="宋体" w:eastAsia="宋体" w:cs="宋体"/>
                <w:sz w:val="21"/>
                <w:szCs w:val="21"/>
              </w:rPr>
              <w:t>7、可选配超声波液位监测器，采用超声波技术无需与液氮直接接触，可进行液位监测和报警，减少液氮损耗,提高操作的安全性</w:t>
            </w:r>
          </w:p>
          <w:p>
            <w:pPr>
              <w:spacing w:line="300" w:lineRule="auto"/>
              <w:rPr>
                <w:rFonts w:hint="eastAsia" w:ascii="宋体" w:hAnsi="宋体" w:eastAsia="宋体" w:cs="宋体"/>
                <w:sz w:val="21"/>
                <w:szCs w:val="21"/>
              </w:rPr>
            </w:pPr>
            <w:r>
              <w:rPr>
                <w:rFonts w:hint="eastAsia" w:ascii="宋体" w:hAnsi="宋体" w:eastAsia="宋体" w:cs="宋体"/>
                <w:sz w:val="21"/>
                <w:szCs w:val="21"/>
              </w:rPr>
              <w:t>8、LED液位指示灯面板可持续显示液氮量，精确到1/8增量;液位过低时，报警器连续鸣叫</w:t>
            </w:r>
          </w:p>
          <w:p>
            <w:pPr>
              <w:spacing w:line="300" w:lineRule="auto"/>
              <w:rPr>
                <w:rFonts w:hint="eastAsia" w:ascii="宋体" w:hAnsi="宋体" w:eastAsia="宋体" w:cs="宋体"/>
                <w:sz w:val="21"/>
                <w:szCs w:val="21"/>
              </w:rPr>
            </w:pPr>
            <w:r>
              <w:rPr>
                <w:rFonts w:hint="eastAsia" w:ascii="宋体" w:hAnsi="宋体" w:eastAsia="宋体" w:cs="宋体"/>
                <w:sz w:val="21"/>
                <w:szCs w:val="21"/>
              </w:rPr>
              <w:t>9、罐体高度及直径:95.3cm×55.8cm</w:t>
            </w:r>
          </w:p>
          <w:p>
            <w:pPr>
              <w:spacing w:line="300" w:lineRule="auto"/>
              <w:rPr>
                <w:rFonts w:hint="eastAsia" w:ascii="宋体" w:hAnsi="宋体" w:eastAsia="宋体" w:cs="宋体"/>
                <w:sz w:val="21"/>
                <w:szCs w:val="21"/>
              </w:rPr>
            </w:pPr>
            <w:r>
              <w:rPr>
                <w:rFonts w:hint="eastAsia" w:ascii="宋体" w:hAnsi="宋体" w:eastAsia="宋体" w:cs="宋体"/>
                <w:sz w:val="21"/>
                <w:szCs w:val="21"/>
              </w:rPr>
              <w:t>10、空罐重量及满罐重量：37.5kg/60.7kg</w:t>
            </w:r>
          </w:p>
          <w:p>
            <w:pPr>
              <w:spacing w:line="300" w:lineRule="auto"/>
              <w:rPr>
                <w:rFonts w:hint="eastAsia" w:ascii="宋体" w:hAnsi="宋体" w:eastAsia="宋体" w:cs="宋体"/>
                <w:sz w:val="21"/>
                <w:szCs w:val="21"/>
              </w:rPr>
            </w:pPr>
            <w:r>
              <w:rPr>
                <w:rFonts w:hint="eastAsia" w:ascii="宋体" w:hAnsi="宋体" w:eastAsia="宋体" w:cs="宋体"/>
                <w:sz w:val="21"/>
                <w:szCs w:val="21"/>
              </w:rPr>
              <w:t>11、持久耐用的结构确保多年使用无故障</w:t>
            </w:r>
          </w:p>
          <w:p>
            <w:pPr>
              <w:widowControl/>
              <w:jc w:val="left"/>
              <w:rPr>
                <w:rFonts w:hint="eastAsia" w:ascii="宋体" w:hAnsi="宋体" w:eastAsia="宋体" w:cs="宋体"/>
                <w:sz w:val="21"/>
                <w:szCs w:val="21"/>
              </w:rPr>
            </w:pPr>
            <w:r>
              <w:rPr>
                <w:rFonts w:hint="eastAsia" w:ascii="宋体" w:hAnsi="宋体" w:eastAsia="宋体" w:cs="宋体"/>
                <w:sz w:val="21"/>
                <w:szCs w:val="21"/>
              </w:rPr>
              <w:t>12、安全锁扣设计,保证样品安全</w:t>
            </w:r>
          </w:p>
        </w:tc>
        <w:tc>
          <w:tcPr>
            <w:tcW w:w="741" w:type="dxa"/>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1</w:t>
            </w:r>
          </w:p>
        </w:tc>
        <w:tc>
          <w:tcPr>
            <w:tcW w:w="873" w:type="dxa"/>
            <w:vAlign w:val="center"/>
          </w:tcPr>
          <w:p>
            <w:pPr>
              <w:spacing w:line="400" w:lineRule="exact"/>
              <w:jc w:val="center"/>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个</w:t>
            </w:r>
          </w:p>
        </w:tc>
        <w:tc>
          <w:tcPr>
            <w:tcW w:w="984" w:type="dxa"/>
            <w:gridSpan w:val="2"/>
          </w:tcPr>
          <w:p>
            <w:pPr>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vAlign w:val="center"/>
          </w:tcPr>
          <w:p>
            <w:pPr>
              <w:spacing w:line="400" w:lineRule="exact"/>
              <w:jc w:val="center"/>
              <w:rPr>
                <w:rFonts w:hint="eastAsia" w:ascii="宋体" w:hAnsi="宋体" w:eastAsia="宋体" w:cs="宋体"/>
                <w:bCs/>
                <w:sz w:val="21"/>
                <w:szCs w:val="21"/>
              </w:rPr>
            </w:pPr>
            <w:r>
              <w:rPr>
                <w:rFonts w:hint="eastAsia" w:ascii="宋体" w:hAnsi="宋体" w:eastAsia="宋体" w:cs="宋体"/>
                <w:bCs/>
                <w:sz w:val="21"/>
                <w:szCs w:val="21"/>
              </w:rPr>
              <w:t>6</w:t>
            </w:r>
          </w:p>
        </w:tc>
        <w:tc>
          <w:tcPr>
            <w:tcW w:w="1443" w:type="dxa"/>
            <w:vAlign w:val="center"/>
          </w:tcPr>
          <w:p>
            <w:pPr>
              <w:widowControl/>
              <w:jc w:val="center"/>
              <w:textAlignment w:val="center"/>
              <w:rPr>
                <w:rFonts w:hint="eastAsia" w:ascii="宋体" w:hAnsi="宋体" w:eastAsia="宋体" w:cs="宋体"/>
                <w:bCs/>
                <w:sz w:val="21"/>
                <w:szCs w:val="21"/>
              </w:rPr>
            </w:pPr>
            <w:r>
              <w:rPr>
                <w:rFonts w:hint="eastAsia" w:ascii="宋体" w:hAnsi="宋体" w:eastAsia="宋体" w:cs="宋体"/>
                <w:color w:val="000000"/>
                <w:sz w:val="21"/>
                <w:szCs w:val="21"/>
              </w:rPr>
              <w:t>生化培养箱</w:t>
            </w:r>
          </w:p>
        </w:tc>
        <w:tc>
          <w:tcPr>
            <w:tcW w:w="5357" w:type="dxa"/>
            <w:vAlign w:val="center"/>
          </w:tcPr>
          <w:p>
            <w:pPr>
              <w:pStyle w:val="20"/>
              <w:widowControl/>
              <w:ind w:right="-420" w:rightChars="-200" w:firstLine="0"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1、镜面不锈钢内胆，四角半圈弧过渡，便于工作室清洁。</w:t>
            </w:r>
          </w:p>
          <w:p>
            <w:pPr>
              <w:pStyle w:val="20"/>
              <w:widowControl/>
              <w:ind w:firstLine="0"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2、微电脑控制器；自整定PID技术，不会形成温度过冲；具有温度、开门报警等人性化设计功能，能避免温度突变对实验样品的破坏。</w:t>
            </w:r>
          </w:p>
          <w:p>
            <w:pPr>
              <w:pStyle w:val="20"/>
              <w:widowControl/>
              <w:ind w:firstLine="0"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3、循环风扇速度自动控制：循环风扇三挡控制。</w:t>
            </w:r>
          </w:p>
          <w:p>
            <w:pPr>
              <w:pStyle w:val="20"/>
              <w:widowControl/>
              <w:ind w:firstLine="0"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4、安全功能：独立限温报警系统、能声光报警提示操作者，保证实验安全运行不发生意外。</w:t>
            </w:r>
          </w:p>
          <w:p>
            <w:pPr>
              <w:pStyle w:val="20"/>
              <w:widowControl/>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5、电源电压：AC220V 50HZ</w:t>
            </w:r>
          </w:p>
          <w:p>
            <w:pPr>
              <w:pStyle w:val="20"/>
              <w:widowControl/>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6、进口压缩机，采用环保制冷剂</w:t>
            </w:r>
          </w:p>
          <w:p>
            <w:pPr>
              <w:pStyle w:val="20"/>
              <w:widowControl/>
              <w:ind w:left="147"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控温范围：0～60℃</w:t>
            </w:r>
          </w:p>
          <w:p>
            <w:pPr>
              <w:pStyle w:val="20"/>
              <w:widowControl/>
              <w:numPr>
                <w:ilvl w:val="0"/>
                <w:numId w:val="0"/>
              </w:numPr>
              <w:rPr>
                <w:rFonts w:hint="eastAsia" w:ascii="宋体" w:hAnsi="宋体" w:eastAsia="宋体" w:cs="宋体"/>
                <w:color w:val="000000"/>
                <w:sz w:val="21"/>
                <w:szCs w:val="21"/>
              </w:rPr>
            </w:pPr>
            <w:r>
              <w:rPr>
                <w:rFonts w:hint="eastAsia" w:ascii="宋体" w:hAnsi="宋体" w:cs="宋体"/>
                <w:color w:val="000000"/>
                <w:sz w:val="21"/>
                <w:szCs w:val="21"/>
                <w:lang w:val="en-US" w:eastAsia="zh-CN"/>
              </w:rPr>
              <w:t>7、</w:t>
            </w:r>
            <w:r>
              <w:rPr>
                <w:rFonts w:hint="eastAsia" w:ascii="宋体" w:hAnsi="宋体" w:eastAsia="宋体" w:cs="宋体"/>
                <w:color w:val="000000"/>
                <w:sz w:val="21"/>
                <w:szCs w:val="21"/>
              </w:rPr>
              <w:t>温度分辨率/波动度：0.1℃</w:t>
            </w:r>
          </w:p>
          <w:p>
            <w:pPr>
              <w:pStyle w:val="20"/>
              <w:widowControl/>
              <w:numPr>
                <w:ilvl w:val="0"/>
                <w:numId w:val="0"/>
              </w:numPr>
              <w:rPr>
                <w:rFonts w:hint="eastAsia" w:ascii="宋体" w:hAnsi="宋体" w:eastAsia="宋体" w:cs="宋体"/>
                <w:color w:val="000000"/>
                <w:sz w:val="21"/>
                <w:szCs w:val="21"/>
              </w:rPr>
            </w:pPr>
            <w:r>
              <w:rPr>
                <w:rFonts w:hint="eastAsia" w:ascii="宋体" w:hAnsi="宋体" w:cs="宋体"/>
                <w:color w:val="000000"/>
                <w:sz w:val="21"/>
                <w:szCs w:val="21"/>
                <w:lang w:val="en-US" w:eastAsia="zh-CN"/>
              </w:rPr>
              <w:t>8、</w:t>
            </w:r>
            <w:r>
              <w:rPr>
                <w:rFonts w:hint="eastAsia" w:ascii="宋体" w:hAnsi="宋体" w:eastAsia="宋体" w:cs="宋体"/>
                <w:color w:val="000000"/>
                <w:sz w:val="21"/>
                <w:szCs w:val="21"/>
              </w:rPr>
              <w:t>温度均匀度：±0.5℃ (测试点为37℃)</w:t>
            </w:r>
          </w:p>
          <w:p>
            <w:pPr>
              <w:pStyle w:val="20"/>
              <w:widowControl/>
              <w:numPr>
                <w:ilvl w:val="0"/>
                <w:numId w:val="0"/>
              </w:numPr>
              <w:rPr>
                <w:rFonts w:hint="eastAsia" w:ascii="宋体" w:hAnsi="宋体" w:eastAsia="宋体" w:cs="宋体"/>
                <w:color w:val="000000"/>
                <w:sz w:val="21"/>
                <w:szCs w:val="21"/>
              </w:rPr>
            </w:pPr>
            <w:r>
              <w:rPr>
                <w:rFonts w:hint="eastAsia" w:ascii="宋体" w:hAnsi="宋体" w:cs="宋体"/>
                <w:color w:val="000000"/>
                <w:sz w:val="21"/>
                <w:szCs w:val="21"/>
                <w:lang w:val="en-US" w:eastAsia="zh-CN"/>
              </w:rPr>
              <w:t>9、</w:t>
            </w:r>
            <w:r>
              <w:rPr>
                <w:rFonts w:hint="eastAsia" w:ascii="宋体" w:hAnsi="宋体" w:eastAsia="宋体" w:cs="宋体"/>
                <w:color w:val="000000"/>
                <w:sz w:val="21"/>
                <w:szCs w:val="21"/>
              </w:rPr>
              <w:t>工作环境温度：+5～35℃</w:t>
            </w:r>
          </w:p>
          <w:p>
            <w:pPr>
              <w:pStyle w:val="20"/>
              <w:widowControl/>
              <w:numPr>
                <w:ilvl w:val="0"/>
                <w:numId w:val="0"/>
              </w:numPr>
              <w:rPr>
                <w:rFonts w:hint="eastAsia" w:ascii="宋体" w:hAnsi="宋体" w:eastAsia="宋体" w:cs="宋体"/>
                <w:color w:val="000000"/>
                <w:sz w:val="21"/>
                <w:szCs w:val="21"/>
              </w:rPr>
            </w:pPr>
            <w:r>
              <w:rPr>
                <w:rFonts w:hint="eastAsia" w:ascii="宋体" w:hAnsi="宋体" w:cs="宋体"/>
                <w:color w:val="000000"/>
                <w:sz w:val="21"/>
                <w:szCs w:val="21"/>
                <w:lang w:val="en-US" w:eastAsia="zh-CN"/>
              </w:rPr>
              <w:t>10、</w:t>
            </w:r>
            <w:r>
              <w:rPr>
                <w:rFonts w:hint="eastAsia" w:ascii="宋体" w:hAnsi="宋体" w:eastAsia="宋体" w:cs="宋体"/>
                <w:color w:val="000000"/>
                <w:sz w:val="21"/>
                <w:szCs w:val="21"/>
              </w:rPr>
              <w:t>输入功率：2100W</w:t>
            </w:r>
          </w:p>
          <w:p>
            <w:pPr>
              <w:pStyle w:val="20"/>
              <w:widowControl/>
              <w:numPr>
                <w:ilvl w:val="0"/>
                <w:numId w:val="0"/>
              </w:num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11、</w:t>
            </w:r>
            <w:r>
              <w:rPr>
                <w:rFonts w:hint="eastAsia" w:ascii="宋体" w:hAnsi="宋体" w:eastAsia="宋体" w:cs="宋体"/>
                <w:color w:val="000000"/>
                <w:sz w:val="21"/>
                <w:szCs w:val="21"/>
              </w:rPr>
              <w:t>内胆尺寸(mm)W×D×H：670×720×1020</w:t>
            </w:r>
          </w:p>
          <w:p>
            <w:pPr>
              <w:pStyle w:val="20"/>
              <w:widowControl/>
              <w:numPr>
                <w:ilvl w:val="0"/>
                <w:numId w:val="0"/>
              </w:num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12、</w:t>
            </w:r>
            <w:r>
              <w:rPr>
                <w:rFonts w:hint="eastAsia" w:ascii="宋体" w:hAnsi="宋体" w:eastAsia="宋体" w:cs="宋体"/>
                <w:color w:val="000000"/>
                <w:sz w:val="21"/>
                <w:szCs w:val="21"/>
              </w:rPr>
              <w:t>外形尺寸(mm)W×D×H：850×1103×1930</w:t>
            </w:r>
          </w:p>
          <w:p>
            <w:pPr>
              <w:pStyle w:val="20"/>
              <w:widowControl/>
              <w:numPr>
                <w:ilvl w:val="0"/>
                <w:numId w:val="0"/>
              </w:num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13、</w:t>
            </w:r>
            <w:r>
              <w:rPr>
                <w:rFonts w:hint="eastAsia" w:ascii="宋体" w:hAnsi="宋体" w:eastAsia="宋体" w:cs="宋体"/>
                <w:color w:val="000000"/>
                <w:sz w:val="21"/>
                <w:szCs w:val="21"/>
              </w:rPr>
              <w:t>定时范围：1～9999min</w:t>
            </w:r>
          </w:p>
          <w:p>
            <w:pPr>
              <w:pStyle w:val="20"/>
              <w:widowControl/>
              <w:ind w:left="0" w:leftChars="0" w:firstLine="0" w:firstLineChars="0"/>
              <w:rPr>
                <w:rFonts w:hint="eastAsia" w:ascii="宋体" w:hAnsi="宋体" w:eastAsia="宋体" w:cs="宋体"/>
                <w:sz w:val="21"/>
                <w:szCs w:val="21"/>
              </w:rPr>
            </w:pPr>
            <w:r>
              <w:rPr>
                <w:rFonts w:hint="eastAsia" w:ascii="宋体" w:hAnsi="宋体" w:eastAsia="宋体" w:cs="宋体"/>
                <w:color w:val="000000"/>
                <w:sz w:val="21"/>
                <w:szCs w:val="21"/>
              </w:rPr>
              <w:t>14、载物托架(标配)：3块</w:t>
            </w:r>
          </w:p>
        </w:tc>
        <w:tc>
          <w:tcPr>
            <w:tcW w:w="741" w:type="dxa"/>
            <w:vAlign w:val="center"/>
          </w:tcPr>
          <w:p>
            <w:pPr>
              <w:jc w:val="center"/>
              <w:rPr>
                <w:rFonts w:hint="default" w:ascii="宋体" w:hAnsi="宋体" w:eastAsia="宋体" w:cs="宋体"/>
                <w:b w:val="0"/>
                <w:bCs/>
                <w:sz w:val="21"/>
                <w:szCs w:val="21"/>
                <w:lang w:val="en-US" w:eastAsia="zh-CN"/>
              </w:rPr>
            </w:pPr>
            <w:r>
              <w:rPr>
                <w:rFonts w:hint="eastAsia" w:ascii="宋体" w:hAnsi="宋体" w:cs="宋体"/>
                <w:b w:val="0"/>
                <w:bCs/>
                <w:sz w:val="21"/>
                <w:szCs w:val="21"/>
                <w:lang w:val="en-US" w:eastAsia="zh-CN"/>
              </w:rPr>
              <w:t>2</w:t>
            </w:r>
          </w:p>
        </w:tc>
        <w:tc>
          <w:tcPr>
            <w:tcW w:w="873" w:type="dxa"/>
            <w:vAlign w:val="center"/>
          </w:tcPr>
          <w:p>
            <w:pPr>
              <w:spacing w:line="400" w:lineRule="exact"/>
              <w:jc w:val="center"/>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台</w:t>
            </w:r>
          </w:p>
        </w:tc>
        <w:tc>
          <w:tcPr>
            <w:tcW w:w="984" w:type="dxa"/>
            <w:gridSpan w:val="2"/>
          </w:tcPr>
          <w:p>
            <w:pPr>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vAlign w:val="center"/>
          </w:tcPr>
          <w:p>
            <w:pPr>
              <w:spacing w:line="400" w:lineRule="exact"/>
              <w:jc w:val="center"/>
              <w:rPr>
                <w:rFonts w:hint="eastAsia" w:ascii="宋体" w:hAnsi="宋体" w:eastAsia="宋体" w:cs="宋体"/>
                <w:bCs/>
                <w:sz w:val="21"/>
                <w:szCs w:val="21"/>
              </w:rPr>
            </w:pPr>
            <w:r>
              <w:rPr>
                <w:rFonts w:hint="eastAsia" w:ascii="宋体" w:hAnsi="宋体" w:eastAsia="宋体" w:cs="宋体"/>
                <w:bCs/>
                <w:sz w:val="21"/>
                <w:szCs w:val="21"/>
              </w:rPr>
              <w:t>7</w:t>
            </w:r>
          </w:p>
        </w:tc>
        <w:tc>
          <w:tcPr>
            <w:tcW w:w="1443" w:type="dxa"/>
            <w:vAlign w:val="center"/>
          </w:tcPr>
          <w:p>
            <w:pPr>
              <w:widowControl/>
              <w:jc w:val="center"/>
              <w:textAlignment w:val="center"/>
              <w:rPr>
                <w:rFonts w:hint="eastAsia" w:ascii="宋体" w:hAnsi="宋体" w:eastAsia="宋体" w:cs="宋体"/>
                <w:bCs/>
                <w:sz w:val="21"/>
                <w:szCs w:val="21"/>
              </w:rPr>
            </w:pPr>
            <w:r>
              <w:rPr>
                <w:rFonts w:hint="eastAsia" w:ascii="宋体" w:hAnsi="宋体" w:eastAsia="宋体" w:cs="宋体"/>
                <w:color w:val="000000"/>
                <w:sz w:val="21"/>
                <w:szCs w:val="21"/>
              </w:rPr>
              <w:t>霉菌培养箱</w:t>
            </w:r>
          </w:p>
        </w:tc>
        <w:tc>
          <w:tcPr>
            <w:tcW w:w="5357" w:type="dxa"/>
            <w:vAlign w:val="center"/>
          </w:tcPr>
          <w:p>
            <w:pPr>
              <w:pStyle w:val="20"/>
              <w:widowControl/>
              <w:ind w:right="-420" w:rightChars="-200" w:firstLine="0"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1、镜面不锈钢内胆，四角半圈弧过渡，便于工作室清洁。</w:t>
            </w:r>
          </w:p>
          <w:p>
            <w:pPr>
              <w:pStyle w:val="20"/>
              <w:widowControl/>
              <w:ind w:firstLine="0"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2、微电脑控制器；自整定PID技术，不会形成温度过冲；具有温度、水位和开门报警等人性化设计功能，能避免温度突变对实验样品的破坏。   </w:t>
            </w:r>
          </w:p>
          <w:p>
            <w:pPr>
              <w:pStyle w:val="20"/>
              <w:widowControl/>
              <w:numPr>
                <w:ilvl w:val="0"/>
                <w:numId w:val="0"/>
              </w:numPr>
              <w:jc w:val="left"/>
              <w:rPr>
                <w:rFonts w:hint="eastAsia" w:ascii="宋体" w:hAnsi="宋体" w:eastAsia="宋体" w:cs="宋体"/>
                <w:color w:val="000000"/>
                <w:sz w:val="21"/>
                <w:szCs w:val="21"/>
              </w:rPr>
            </w:pPr>
            <w:r>
              <w:rPr>
                <w:rFonts w:hint="eastAsia" w:ascii="宋体" w:hAnsi="宋体" w:cs="宋体"/>
                <w:color w:val="000000"/>
                <w:sz w:val="21"/>
                <w:szCs w:val="21"/>
                <w:lang w:val="en-US" w:eastAsia="zh-CN"/>
              </w:rPr>
              <w:t>3、</w:t>
            </w:r>
            <w:r>
              <w:rPr>
                <w:rFonts w:hint="eastAsia" w:ascii="宋体" w:hAnsi="宋体" w:eastAsia="宋体" w:cs="宋体"/>
                <w:color w:val="000000"/>
                <w:sz w:val="21"/>
                <w:szCs w:val="21"/>
              </w:rPr>
              <w:t>循环风扇速度自动控制：循环风扇三挡控制。</w:t>
            </w:r>
          </w:p>
          <w:p>
            <w:pPr>
              <w:pStyle w:val="20"/>
              <w:widowControl/>
              <w:ind w:left="0" w:leftChars="0" w:firstLine="0"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4、安全功能：独立限温报警系统、能声光报警提示操作者，保证实验安全运行不发生意外。</w:t>
            </w:r>
          </w:p>
          <w:p>
            <w:pPr>
              <w:pStyle w:val="20"/>
              <w:widowControl/>
              <w:ind w:left="0" w:leftChars="0" w:firstLine="0"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5、电源电压：AC220V 50HZ </w:t>
            </w:r>
          </w:p>
          <w:p>
            <w:pPr>
              <w:pStyle w:val="20"/>
              <w:widowControl/>
              <w:ind w:left="0" w:leftChars="0" w:firstLine="0"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6、进口压缩机，采用环保制冷剂</w:t>
            </w:r>
          </w:p>
          <w:p>
            <w:pPr>
              <w:pStyle w:val="20"/>
              <w:widowControl/>
              <w:numPr>
                <w:ilvl w:val="0"/>
                <w:numId w:val="0"/>
              </w:numPr>
              <w:jc w:val="left"/>
              <w:rPr>
                <w:rFonts w:hint="eastAsia" w:ascii="宋体" w:hAnsi="宋体" w:eastAsia="宋体" w:cs="宋体"/>
                <w:color w:val="000000"/>
                <w:sz w:val="21"/>
                <w:szCs w:val="21"/>
              </w:rPr>
            </w:pPr>
            <w:r>
              <w:rPr>
                <w:rFonts w:hint="eastAsia" w:ascii="宋体" w:hAnsi="宋体" w:cs="宋体"/>
                <w:color w:val="000000"/>
                <w:sz w:val="21"/>
                <w:szCs w:val="21"/>
                <w:lang w:val="en-US" w:eastAsia="zh-CN"/>
              </w:rPr>
              <w:t>7、</w:t>
            </w:r>
            <w:r>
              <w:rPr>
                <w:rFonts w:hint="eastAsia" w:ascii="宋体" w:hAnsi="宋体" w:eastAsia="宋体" w:cs="宋体"/>
                <w:color w:val="000000"/>
                <w:sz w:val="21"/>
                <w:szCs w:val="21"/>
              </w:rPr>
              <w:t>控温范围：0～60℃</w:t>
            </w:r>
          </w:p>
          <w:p>
            <w:pPr>
              <w:pStyle w:val="20"/>
              <w:widowControl/>
              <w:numPr>
                <w:ilvl w:val="0"/>
                <w:numId w:val="0"/>
              </w:numPr>
              <w:jc w:val="left"/>
              <w:rPr>
                <w:rFonts w:hint="eastAsia" w:ascii="宋体" w:hAnsi="宋体" w:eastAsia="宋体" w:cs="宋体"/>
                <w:color w:val="000000"/>
                <w:sz w:val="21"/>
                <w:szCs w:val="21"/>
              </w:rPr>
            </w:pPr>
            <w:r>
              <w:rPr>
                <w:rFonts w:hint="eastAsia" w:ascii="宋体" w:hAnsi="宋体" w:cs="宋体"/>
                <w:color w:val="000000"/>
                <w:sz w:val="21"/>
                <w:szCs w:val="21"/>
                <w:lang w:val="en-US" w:eastAsia="zh-CN"/>
              </w:rPr>
              <w:t>8、</w:t>
            </w:r>
            <w:r>
              <w:rPr>
                <w:rFonts w:hint="eastAsia" w:ascii="宋体" w:hAnsi="宋体" w:eastAsia="宋体" w:cs="宋体"/>
                <w:color w:val="000000"/>
                <w:sz w:val="21"/>
                <w:szCs w:val="21"/>
              </w:rPr>
              <w:t>温度分辨率/波动度：0.1℃</w:t>
            </w:r>
          </w:p>
          <w:p>
            <w:pPr>
              <w:pStyle w:val="20"/>
              <w:widowControl/>
              <w:numPr>
                <w:ilvl w:val="0"/>
                <w:numId w:val="0"/>
              </w:numPr>
              <w:jc w:val="left"/>
              <w:rPr>
                <w:rFonts w:hint="eastAsia" w:ascii="宋体" w:hAnsi="宋体" w:eastAsia="宋体" w:cs="宋体"/>
                <w:color w:val="000000"/>
                <w:sz w:val="21"/>
                <w:szCs w:val="21"/>
              </w:rPr>
            </w:pPr>
            <w:r>
              <w:rPr>
                <w:rFonts w:hint="eastAsia" w:ascii="宋体" w:hAnsi="宋体" w:cs="宋体"/>
                <w:color w:val="000000"/>
                <w:sz w:val="21"/>
                <w:szCs w:val="21"/>
                <w:lang w:val="en-US" w:eastAsia="zh-CN"/>
              </w:rPr>
              <w:t>9、</w:t>
            </w:r>
            <w:r>
              <w:rPr>
                <w:rFonts w:hint="eastAsia" w:ascii="宋体" w:hAnsi="宋体" w:eastAsia="宋体" w:cs="宋体"/>
                <w:color w:val="000000"/>
                <w:sz w:val="21"/>
                <w:szCs w:val="21"/>
              </w:rPr>
              <w:t>温度均匀度：±0.5℃ (测试点为37℃)</w:t>
            </w:r>
          </w:p>
          <w:p>
            <w:pPr>
              <w:pStyle w:val="20"/>
              <w:widowControl/>
              <w:numPr>
                <w:ilvl w:val="0"/>
                <w:numId w:val="0"/>
              </w:num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10、</w:t>
            </w:r>
            <w:r>
              <w:rPr>
                <w:rFonts w:hint="eastAsia" w:ascii="宋体" w:hAnsi="宋体" w:eastAsia="宋体" w:cs="宋体"/>
                <w:color w:val="000000"/>
                <w:sz w:val="21"/>
                <w:szCs w:val="21"/>
              </w:rPr>
              <w:t>工作环境温度：+5～35℃</w:t>
            </w:r>
          </w:p>
          <w:p>
            <w:pPr>
              <w:pStyle w:val="20"/>
              <w:widowControl/>
              <w:numPr>
                <w:ilvl w:val="0"/>
                <w:numId w:val="0"/>
              </w:num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11、</w:t>
            </w:r>
            <w:r>
              <w:rPr>
                <w:rFonts w:hint="eastAsia" w:ascii="宋体" w:hAnsi="宋体" w:eastAsia="宋体" w:cs="宋体"/>
                <w:color w:val="000000"/>
                <w:sz w:val="21"/>
                <w:szCs w:val="21"/>
              </w:rPr>
              <w:t>输入功率：600W</w:t>
            </w:r>
          </w:p>
          <w:p>
            <w:pPr>
              <w:pStyle w:val="20"/>
              <w:widowControl/>
              <w:numPr>
                <w:ilvl w:val="0"/>
                <w:numId w:val="0"/>
              </w:num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12、</w:t>
            </w:r>
            <w:r>
              <w:rPr>
                <w:rFonts w:hint="eastAsia" w:ascii="宋体" w:hAnsi="宋体" w:eastAsia="宋体" w:cs="宋体"/>
                <w:color w:val="000000"/>
                <w:sz w:val="21"/>
                <w:szCs w:val="21"/>
              </w:rPr>
              <w:t>内胆尺寸(mm)W×D×H：540×460×1000</w:t>
            </w:r>
          </w:p>
          <w:p>
            <w:pPr>
              <w:pStyle w:val="20"/>
              <w:widowControl/>
              <w:numPr>
                <w:ilvl w:val="0"/>
                <w:numId w:val="0"/>
              </w:num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外形尺寸(mm)W×D×H：670×720×10200</w:t>
            </w:r>
          </w:p>
          <w:p>
            <w:pPr>
              <w:pStyle w:val="20"/>
              <w:widowControl/>
              <w:numPr>
                <w:ilvl w:val="0"/>
                <w:numId w:val="0"/>
              </w:num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cs="宋体"/>
                <w:color w:val="000000"/>
                <w:sz w:val="21"/>
                <w:szCs w:val="21"/>
                <w:lang w:val="en-US" w:eastAsia="zh-CN"/>
              </w:rPr>
              <w:t>4</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定时范围：1～9999min</w:t>
            </w:r>
          </w:p>
          <w:p>
            <w:pPr>
              <w:widowControl/>
              <w:jc w:val="left"/>
              <w:rPr>
                <w:rFonts w:hint="eastAsia" w:ascii="宋体" w:hAnsi="宋体" w:eastAsia="宋体" w:cs="宋体"/>
                <w:sz w:val="21"/>
                <w:szCs w:val="21"/>
              </w:rPr>
            </w:pPr>
            <w:r>
              <w:rPr>
                <w:rFonts w:hint="eastAsia" w:ascii="宋体" w:hAnsi="宋体" w:eastAsia="宋体" w:cs="宋体"/>
                <w:color w:val="000000"/>
                <w:sz w:val="21"/>
                <w:szCs w:val="21"/>
                <w:lang w:val="en-US" w:eastAsia="zh-CN"/>
              </w:rPr>
              <w:t>1</w:t>
            </w: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载物托架(标配)：2块</w:t>
            </w:r>
          </w:p>
        </w:tc>
        <w:tc>
          <w:tcPr>
            <w:tcW w:w="741" w:type="dxa"/>
            <w:vAlign w:val="center"/>
          </w:tcPr>
          <w:p>
            <w:pPr>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c>
          <w:tcPr>
            <w:tcW w:w="873" w:type="dxa"/>
            <w:vAlign w:val="center"/>
          </w:tcPr>
          <w:p>
            <w:pPr>
              <w:spacing w:line="400" w:lineRule="exact"/>
              <w:jc w:val="center"/>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台</w:t>
            </w:r>
          </w:p>
        </w:tc>
        <w:tc>
          <w:tcPr>
            <w:tcW w:w="984" w:type="dxa"/>
            <w:gridSpan w:val="2"/>
          </w:tcPr>
          <w:p>
            <w:pPr>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vAlign w:val="center"/>
          </w:tcPr>
          <w:p>
            <w:pPr>
              <w:spacing w:line="400" w:lineRule="exact"/>
              <w:jc w:val="center"/>
              <w:rPr>
                <w:rFonts w:hint="eastAsia" w:ascii="宋体" w:hAnsi="宋体" w:eastAsia="宋体" w:cs="宋体"/>
                <w:bCs/>
                <w:sz w:val="21"/>
                <w:szCs w:val="21"/>
              </w:rPr>
            </w:pPr>
            <w:r>
              <w:rPr>
                <w:rFonts w:hint="eastAsia" w:ascii="宋体" w:hAnsi="宋体" w:eastAsia="宋体" w:cs="宋体"/>
                <w:bCs/>
                <w:sz w:val="21"/>
                <w:szCs w:val="21"/>
              </w:rPr>
              <w:t>8</w:t>
            </w:r>
          </w:p>
        </w:tc>
        <w:tc>
          <w:tcPr>
            <w:tcW w:w="1443" w:type="dxa"/>
            <w:vAlign w:val="center"/>
          </w:tcPr>
          <w:p>
            <w:pPr>
              <w:widowControl/>
              <w:jc w:val="center"/>
              <w:textAlignment w:val="center"/>
              <w:rPr>
                <w:rFonts w:hint="eastAsia" w:ascii="宋体" w:hAnsi="宋体" w:eastAsia="宋体" w:cs="宋体"/>
                <w:bCs/>
                <w:sz w:val="21"/>
                <w:szCs w:val="21"/>
              </w:rPr>
            </w:pPr>
            <w:bookmarkStart w:id="73" w:name="RANGE!B13"/>
            <w:r>
              <w:rPr>
                <w:rFonts w:hint="eastAsia" w:ascii="宋体" w:hAnsi="宋体" w:eastAsia="宋体" w:cs="宋体"/>
                <w:color w:val="000000"/>
                <w:sz w:val="21"/>
                <w:szCs w:val="21"/>
              </w:rPr>
              <w:t>恒温培养箱</w:t>
            </w:r>
            <w:bookmarkEnd w:id="73"/>
          </w:p>
        </w:tc>
        <w:tc>
          <w:tcPr>
            <w:tcW w:w="5357" w:type="dxa"/>
            <w:vAlign w:val="center"/>
          </w:tcPr>
          <w:p>
            <w:pPr>
              <w:rPr>
                <w:rFonts w:hint="eastAsia" w:ascii="宋体" w:hAnsi="宋体" w:eastAsia="宋体" w:cs="宋体"/>
                <w:sz w:val="21"/>
                <w:szCs w:val="21"/>
              </w:rPr>
            </w:pPr>
            <w:r>
              <w:rPr>
                <w:rFonts w:hint="eastAsia" w:ascii="宋体" w:hAnsi="宋体" w:eastAsia="宋体" w:cs="宋体"/>
                <w:sz w:val="21"/>
                <w:szCs w:val="21"/>
              </w:rPr>
              <w:t>1、模糊PID控制器，控温精确波动小，带定时功能，时间最大设定值为99小时59分。</w:t>
            </w:r>
          </w:p>
          <w:p>
            <w:pPr>
              <w:rPr>
                <w:rFonts w:hint="eastAsia" w:ascii="宋体" w:hAnsi="宋体" w:eastAsia="宋体" w:cs="宋体"/>
                <w:sz w:val="21"/>
                <w:szCs w:val="21"/>
              </w:rPr>
            </w:pPr>
            <w:r>
              <w:rPr>
                <w:rFonts w:hint="eastAsia" w:ascii="宋体" w:hAnsi="宋体" w:eastAsia="宋体" w:cs="宋体"/>
                <w:sz w:val="21"/>
                <w:szCs w:val="21"/>
              </w:rPr>
              <w:t xml:space="preserve">2、强制对流的风道系统能提高温度响应速度，改善温度均匀性和减少温度波动。  </w:t>
            </w:r>
          </w:p>
          <w:p>
            <w:pPr>
              <w:rPr>
                <w:rFonts w:hint="eastAsia" w:ascii="宋体" w:hAnsi="宋体" w:eastAsia="宋体" w:cs="宋体"/>
                <w:sz w:val="21"/>
                <w:szCs w:val="21"/>
              </w:rPr>
            </w:pPr>
            <w:r>
              <w:rPr>
                <w:rFonts w:hint="eastAsia" w:ascii="宋体" w:hAnsi="宋体" w:eastAsia="宋体" w:cs="宋体"/>
                <w:sz w:val="21"/>
                <w:szCs w:val="21"/>
              </w:rPr>
              <w:t>3、箱门内层有一层玻璃门，观察方便明了，玻璃门打开时，微风循环和加热自动停止，无温度过冲之弊。</w:t>
            </w:r>
          </w:p>
          <w:p>
            <w:pPr>
              <w:rPr>
                <w:rFonts w:hint="eastAsia" w:ascii="宋体" w:hAnsi="宋体" w:eastAsia="宋体" w:cs="宋体"/>
                <w:sz w:val="21"/>
                <w:szCs w:val="21"/>
              </w:rPr>
            </w:pPr>
            <w:r>
              <w:rPr>
                <w:rFonts w:hint="eastAsia" w:ascii="宋体" w:hAnsi="宋体" w:eastAsia="宋体" w:cs="宋体"/>
                <w:sz w:val="21"/>
                <w:szCs w:val="21"/>
              </w:rPr>
              <w:t>4、镜面不锈钢内胆，电热膜加热方式，加热速度快，使箱内均匀加热。</w:t>
            </w:r>
          </w:p>
          <w:p>
            <w:pPr>
              <w:rPr>
                <w:rFonts w:hint="eastAsia" w:ascii="宋体" w:hAnsi="宋体" w:eastAsia="宋体" w:cs="宋体"/>
                <w:sz w:val="21"/>
                <w:szCs w:val="21"/>
              </w:rPr>
            </w:pPr>
            <w:r>
              <w:rPr>
                <w:rFonts w:hint="eastAsia" w:ascii="宋体" w:hAnsi="宋体" w:eastAsia="宋体" w:cs="宋体"/>
                <w:sz w:val="21"/>
                <w:szCs w:val="21"/>
              </w:rPr>
              <w:t>5、独立限温报警系统，超过限制温度即自动中断，保证实验安全运行不发生意外。(选配)</w:t>
            </w:r>
          </w:p>
          <w:p>
            <w:pPr>
              <w:rPr>
                <w:rFonts w:hint="eastAsia" w:ascii="宋体" w:hAnsi="宋体" w:eastAsia="宋体" w:cs="宋体"/>
                <w:sz w:val="21"/>
                <w:szCs w:val="21"/>
              </w:rPr>
            </w:pPr>
            <w:r>
              <w:rPr>
                <w:rFonts w:hint="eastAsia" w:ascii="宋体" w:hAnsi="宋体" w:eastAsia="宋体" w:cs="宋体"/>
                <w:sz w:val="21"/>
                <w:szCs w:val="21"/>
              </w:rPr>
              <w:t>6、可配打印机或RS485接口，用于连接打印机或计算机，能记录温度参数的变化状况。(选配)</w:t>
            </w:r>
          </w:p>
          <w:p>
            <w:pPr>
              <w:rPr>
                <w:rFonts w:hint="eastAsia" w:ascii="宋体" w:hAnsi="宋体" w:eastAsia="宋体" w:cs="宋体"/>
                <w:sz w:val="21"/>
                <w:szCs w:val="21"/>
              </w:rPr>
            </w:pPr>
            <w:r>
              <w:rPr>
                <w:rFonts w:hint="eastAsia" w:ascii="宋体" w:hAnsi="宋体" w:eastAsia="宋体" w:cs="宋体"/>
                <w:sz w:val="21"/>
                <w:szCs w:val="21"/>
              </w:rPr>
              <w:t>7、循环风扇速度大小可自动控制，当箱内温度处于恒温状态时，速度会减小，循环风速会调整到适宜细胞成长的风速，避免试验过程中由于风量过大造成样品的挥发。</w:t>
            </w:r>
          </w:p>
          <w:p>
            <w:pPr>
              <w:rPr>
                <w:rFonts w:hint="eastAsia" w:ascii="宋体" w:hAnsi="宋体" w:eastAsia="宋体" w:cs="宋体"/>
                <w:sz w:val="21"/>
                <w:szCs w:val="21"/>
              </w:rPr>
            </w:pPr>
            <w:r>
              <w:rPr>
                <w:rFonts w:hint="eastAsia" w:ascii="宋体" w:hAnsi="宋体" w:eastAsia="宋体" w:cs="宋体"/>
                <w:sz w:val="21"/>
                <w:szCs w:val="21"/>
              </w:rPr>
              <w:t>8、多段液晶可编程控制器，多种参数一屏显示，菜单式操作界面，可以简化复杂的试验过程，真正实现自动控制与运行。</w:t>
            </w:r>
          </w:p>
          <w:p>
            <w:pPr>
              <w:rPr>
                <w:rFonts w:hint="eastAsia" w:ascii="宋体" w:hAnsi="宋体" w:eastAsia="宋体" w:cs="宋体"/>
                <w:sz w:val="21"/>
                <w:szCs w:val="21"/>
              </w:rPr>
            </w:pPr>
            <w:r>
              <w:rPr>
                <w:rFonts w:hint="eastAsia" w:ascii="宋体" w:hAnsi="宋体" w:eastAsia="宋体" w:cs="宋体"/>
                <w:sz w:val="21"/>
                <w:szCs w:val="21"/>
              </w:rPr>
              <w:t>9、多段温度、循环风速、时间和升温速率等参数能同时设置与编程，可以进行温度上升的梯度控制，从箱内初始温度缓慢升温等功能，也可预设自动开机、待机与关机等功能。</w:t>
            </w:r>
          </w:p>
          <w:p>
            <w:pPr>
              <w:rPr>
                <w:rFonts w:hint="eastAsia" w:ascii="宋体" w:hAnsi="宋体" w:eastAsia="宋体" w:cs="宋体"/>
                <w:sz w:val="21"/>
                <w:szCs w:val="21"/>
              </w:rPr>
            </w:pPr>
            <w:r>
              <w:rPr>
                <w:rFonts w:hint="eastAsia" w:ascii="宋体" w:hAnsi="宋体" w:eastAsia="宋体" w:cs="宋体"/>
                <w:sz w:val="21"/>
                <w:szCs w:val="21"/>
              </w:rPr>
              <w:t>10、独立限温报警系统，并声光报警提示操作者，保证安全运行不发生意外。（选配）</w:t>
            </w:r>
          </w:p>
          <w:p>
            <w:pPr>
              <w:rPr>
                <w:rFonts w:hint="eastAsia" w:ascii="宋体" w:hAnsi="宋体" w:eastAsia="宋体" w:cs="宋体"/>
                <w:sz w:val="21"/>
                <w:szCs w:val="21"/>
              </w:rPr>
            </w:pPr>
            <w:r>
              <w:rPr>
                <w:rFonts w:hint="eastAsia" w:ascii="宋体" w:hAnsi="宋体" w:eastAsia="宋体" w:cs="宋体"/>
                <w:sz w:val="21"/>
                <w:szCs w:val="21"/>
              </w:rPr>
              <w:t>11、工作室尺寸 ：640*585*1355mm</w:t>
            </w:r>
          </w:p>
          <w:p>
            <w:pPr>
              <w:rPr>
                <w:rFonts w:hint="eastAsia" w:ascii="宋体" w:hAnsi="宋体" w:eastAsia="宋体" w:cs="宋体"/>
                <w:sz w:val="21"/>
                <w:szCs w:val="21"/>
              </w:rPr>
            </w:pPr>
            <w:r>
              <w:rPr>
                <w:rFonts w:hint="eastAsia" w:ascii="宋体" w:hAnsi="宋体" w:eastAsia="宋体" w:cs="宋体"/>
                <w:sz w:val="21"/>
                <w:szCs w:val="21"/>
              </w:rPr>
              <w:t>12、外形尺寸 ：780*750*1880mm</w:t>
            </w:r>
          </w:p>
          <w:p>
            <w:pPr>
              <w:rPr>
                <w:rFonts w:hint="eastAsia" w:ascii="宋体" w:hAnsi="宋体" w:eastAsia="宋体" w:cs="宋体"/>
                <w:sz w:val="21"/>
                <w:szCs w:val="21"/>
              </w:rPr>
            </w:pPr>
            <w:r>
              <w:rPr>
                <w:rFonts w:hint="eastAsia" w:ascii="宋体" w:hAnsi="宋体" w:eastAsia="宋体" w:cs="宋体"/>
                <w:sz w:val="21"/>
                <w:szCs w:val="21"/>
              </w:rPr>
              <w:t>13、控温范围 ：室温+5-65℃</w:t>
            </w:r>
          </w:p>
          <w:p>
            <w:pPr>
              <w:rPr>
                <w:rFonts w:hint="eastAsia" w:ascii="宋体" w:hAnsi="宋体" w:eastAsia="宋体" w:cs="宋体"/>
                <w:sz w:val="21"/>
                <w:szCs w:val="21"/>
              </w:rPr>
            </w:pPr>
            <w:r>
              <w:rPr>
                <w:rFonts w:hint="eastAsia" w:ascii="宋体" w:hAnsi="宋体" w:eastAsia="宋体" w:cs="宋体"/>
                <w:sz w:val="21"/>
                <w:szCs w:val="21"/>
              </w:rPr>
              <w:t>14、温度分辨率 ：0.1℃</w:t>
            </w:r>
          </w:p>
          <w:p>
            <w:pPr>
              <w:rPr>
                <w:rFonts w:hint="eastAsia" w:ascii="宋体" w:hAnsi="宋体" w:eastAsia="宋体" w:cs="宋体"/>
                <w:sz w:val="21"/>
                <w:szCs w:val="21"/>
              </w:rPr>
            </w:pPr>
            <w:r>
              <w:rPr>
                <w:rFonts w:hint="eastAsia" w:ascii="宋体" w:hAnsi="宋体" w:eastAsia="宋体" w:cs="宋体"/>
                <w:sz w:val="21"/>
                <w:szCs w:val="21"/>
              </w:rPr>
              <w:t>15、温度波动 ：±0.5℃</w:t>
            </w:r>
          </w:p>
          <w:p>
            <w:pPr>
              <w:rPr>
                <w:rFonts w:hint="eastAsia" w:ascii="宋体" w:hAnsi="宋体" w:eastAsia="宋体" w:cs="宋体"/>
                <w:sz w:val="21"/>
                <w:szCs w:val="21"/>
              </w:rPr>
            </w:pPr>
            <w:r>
              <w:rPr>
                <w:rFonts w:hint="eastAsia" w:ascii="宋体" w:hAnsi="宋体" w:eastAsia="宋体" w:cs="宋体"/>
                <w:sz w:val="21"/>
                <w:szCs w:val="21"/>
              </w:rPr>
              <w:t>16、工作环境温度 ：5~35℃</w:t>
            </w:r>
          </w:p>
          <w:p>
            <w:pPr>
              <w:rPr>
                <w:rFonts w:hint="eastAsia" w:ascii="宋体" w:hAnsi="宋体" w:eastAsia="宋体" w:cs="宋体"/>
                <w:sz w:val="21"/>
                <w:szCs w:val="21"/>
              </w:rPr>
            </w:pPr>
            <w:r>
              <w:rPr>
                <w:rFonts w:hint="eastAsia" w:ascii="宋体" w:hAnsi="宋体" w:eastAsia="宋体" w:cs="宋体"/>
                <w:sz w:val="21"/>
                <w:szCs w:val="21"/>
              </w:rPr>
              <w:t>17、载物托架 ：3块</w:t>
            </w:r>
          </w:p>
          <w:p>
            <w:pPr>
              <w:rPr>
                <w:rFonts w:hint="eastAsia" w:ascii="宋体" w:hAnsi="宋体" w:eastAsia="宋体" w:cs="宋体"/>
                <w:sz w:val="21"/>
                <w:szCs w:val="21"/>
              </w:rPr>
            </w:pPr>
            <w:r>
              <w:rPr>
                <w:rFonts w:hint="eastAsia" w:ascii="宋体" w:hAnsi="宋体" w:eastAsia="宋体" w:cs="宋体"/>
                <w:sz w:val="21"/>
                <w:szCs w:val="21"/>
              </w:rPr>
              <w:t>18、电源电压 ：220V-50HZ</w:t>
            </w:r>
          </w:p>
          <w:p>
            <w:pPr>
              <w:rPr>
                <w:rFonts w:hint="eastAsia" w:ascii="宋体" w:hAnsi="宋体" w:eastAsia="宋体" w:cs="宋体"/>
                <w:sz w:val="21"/>
                <w:szCs w:val="21"/>
              </w:rPr>
            </w:pPr>
            <w:r>
              <w:rPr>
                <w:rFonts w:hint="eastAsia" w:ascii="宋体" w:hAnsi="宋体" w:eastAsia="宋体" w:cs="宋体"/>
                <w:sz w:val="21"/>
                <w:szCs w:val="21"/>
              </w:rPr>
              <w:t>19、功率 ：1100W</w:t>
            </w:r>
          </w:p>
          <w:p>
            <w:pPr>
              <w:widowControl/>
              <w:tabs>
                <w:tab w:val="left" w:pos="312"/>
              </w:tabs>
              <w:jc w:val="left"/>
              <w:rPr>
                <w:rFonts w:hint="eastAsia" w:ascii="宋体" w:hAnsi="宋体" w:eastAsia="宋体" w:cs="宋体"/>
                <w:sz w:val="21"/>
                <w:szCs w:val="21"/>
              </w:rPr>
            </w:pPr>
            <w:r>
              <w:rPr>
                <w:rFonts w:hint="eastAsia" w:ascii="宋体" w:hAnsi="宋体" w:eastAsia="宋体" w:cs="宋体"/>
                <w:sz w:val="21"/>
                <w:szCs w:val="21"/>
              </w:rPr>
              <w:t>20、工作室材质 ：镜面不锈钢内胆</w:t>
            </w:r>
          </w:p>
        </w:tc>
        <w:tc>
          <w:tcPr>
            <w:tcW w:w="741" w:type="dxa"/>
            <w:vAlign w:val="center"/>
          </w:tcPr>
          <w:p>
            <w:pPr>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c>
          <w:tcPr>
            <w:tcW w:w="873" w:type="dxa"/>
            <w:vAlign w:val="center"/>
          </w:tcPr>
          <w:p>
            <w:pPr>
              <w:spacing w:line="400" w:lineRule="exact"/>
              <w:jc w:val="center"/>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台</w:t>
            </w:r>
          </w:p>
        </w:tc>
        <w:tc>
          <w:tcPr>
            <w:tcW w:w="984" w:type="dxa"/>
            <w:gridSpan w:val="2"/>
          </w:tcPr>
          <w:p>
            <w:pPr>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vAlign w:val="center"/>
          </w:tcPr>
          <w:p>
            <w:pPr>
              <w:spacing w:line="400" w:lineRule="exact"/>
              <w:jc w:val="center"/>
              <w:rPr>
                <w:rFonts w:hint="eastAsia" w:ascii="宋体" w:hAnsi="宋体" w:eastAsia="宋体" w:cs="宋体"/>
                <w:bCs/>
                <w:sz w:val="21"/>
                <w:szCs w:val="21"/>
              </w:rPr>
            </w:pPr>
            <w:r>
              <w:rPr>
                <w:rFonts w:hint="eastAsia" w:ascii="宋体" w:hAnsi="宋体" w:eastAsia="宋体" w:cs="宋体"/>
                <w:bCs/>
                <w:sz w:val="21"/>
                <w:szCs w:val="21"/>
              </w:rPr>
              <w:t>9</w:t>
            </w:r>
          </w:p>
        </w:tc>
        <w:tc>
          <w:tcPr>
            <w:tcW w:w="1443" w:type="dxa"/>
            <w:vAlign w:val="center"/>
          </w:tcPr>
          <w:p>
            <w:pPr>
              <w:widowControl/>
              <w:textAlignment w:val="center"/>
              <w:rPr>
                <w:rFonts w:hint="eastAsia" w:ascii="宋体" w:hAnsi="宋体" w:eastAsia="宋体" w:cs="宋体"/>
                <w:bCs/>
                <w:sz w:val="21"/>
                <w:szCs w:val="21"/>
              </w:rPr>
            </w:pPr>
            <w:r>
              <w:rPr>
                <w:rFonts w:hint="eastAsia" w:ascii="宋体" w:hAnsi="宋体" w:eastAsia="宋体" w:cs="宋体"/>
                <w:color w:val="000000"/>
                <w:sz w:val="21"/>
                <w:szCs w:val="21"/>
              </w:rPr>
              <w:t>干燥箱</w:t>
            </w:r>
          </w:p>
        </w:tc>
        <w:tc>
          <w:tcPr>
            <w:tcW w:w="5357" w:type="dxa"/>
            <w:vAlign w:val="center"/>
          </w:tcPr>
          <w:p>
            <w:pPr>
              <w:rPr>
                <w:rFonts w:hint="eastAsia" w:ascii="宋体" w:hAnsi="宋体" w:eastAsia="宋体" w:cs="宋体"/>
                <w:sz w:val="21"/>
                <w:szCs w:val="21"/>
              </w:rPr>
            </w:pPr>
            <w:r>
              <w:rPr>
                <w:rFonts w:hint="eastAsia" w:ascii="宋体" w:hAnsi="宋体" w:eastAsia="宋体" w:cs="宋体"/>
                <w:sz w:val="21"/>
                <w:szCs w:val="21"/>
              </w:rPr>
              <w:t>1、采用具有超温偏差保护、数字显示的微电脑P.I.D温度控制器，带有定时功能，控温精确可靠。</w:t>
            </w:r>
            <w:r>
              <w:rPr>
                <w:rFonts w:hint="eastAsia" w:ascii="宋体" w:hAnsi="宋体" w:eastAsia="宋体" w:cs="宋体"/>
                <w:sz w:val="21"/>
                <w:szCs w:val="21"/>
              </w:rPr>
              <w:br w:type="textWrapping"/>
            </w:r>
            <w:r>
              <w:rPr>
                <w:rFonts w:hint="eastAsia" w:ascii="宋体" w:hAnsi="宋体" w:eastAsia="宋体" w:cs="宋体"/>
                <w:sz w:val="21"/>
                <w:szCs w:val="21"/>
              </w:rPr>
              <w:t>2、箱体内均采用镜面不锈钢氩弧焊制作而成，箱体外采用优质钢板，造型美观、新颖。</w:t>
            </w:r>
          </w:p>
          <w:p>
            <w:pPr>
              <w:rPr>
                <w:rFonts w:hint="eastAsia" w:ascii="宋体" w:hAnsi="宋体" w:eastAsia="宋体" w:cs="宋体"/>
                <w:sz w:val="21"/>
                <w:szCs w:val="21"/>
              </w:rPr>
            </w:pPr>
            <w:r>
              <w:rPr>
                <w:rFonts w:hint="eastAsia" w:ascii="宋体" w:hAnsi="宋体" w:eastAsia="宋体" w:cs="宋体"/>
                <w:sz w:val="21"/>
                <w:szCs w:val="21"/>
              </w:rPr>
              <w:t>3、热风循环系统由能在高温下连续运转的风机和合适风道组成，提高工作室内温度均匀度。</w:t>
            </w:r>
            <w:r>
              <w:rPr>
                <w:rFonts w:hint="eastAsia" w:ascii="宋体" w:hAnsi="宋体" w:eastAsia="宋体" w:cs="宋体"/>
                <w:sz w:val="21"/>
                <w:szCs w:val="21"/>
              </w:rPr>
              <w:br w:type="textWrapping"/>
            </w:r>
            <w:r>
              <w:rPr>
                <w:rFonts w:hint="eastAsia" w:ascii="宋体" w:hAnsi="宋体" w:eastAsia="宋体" w:cs="宋体"/>
                <w:sz w:val="21"/>
                <w:szCs w:val="21"/>
              </w:rPr>
              <w:t>4、采用新型的合成硅密封条，能长期高温运行，使用寿命长，便于更换。</w:t>
            </w:r>
          </w:p>
          <w:p>
            <w:pPr>
              <w:rPr>
                <w:rFonts w:hint="eastAsia" w:ascii="宋体" w:hAnsi="宋体" w:eastAsia="宋体" w:cs="宋体"/>
                <w:sz w:val="21"/>
                <w:szCs w:val="21"/>
              </w:rPr>
            </w:pPr>
            <w:r>
              <w:rPr>
                <w:rFonts w:hint="eastAsia" w:ascii="宋体" w:hAnsi="宋体" w:eastAsia="宋体" w:cs="宋体"/>
                <w:sz w:val="21"/>
                <w:szCs w:val="21"/>
              </w:rPr>
              <w:t>5、可以从控温面板上调节箱内进风和排气量大小。</w:t>
            </w:r>
            <w:r>
              <w:rPr>
                <w:rFonts w:hint="eastAsia" w:ascii="宋体" w:hAnsi="宋体" w:eastAsia="宋体" w:cs="宋体"/>
                <w:sz w:val="21"/>
                <w:szCs w:val="21"/>
              </w:rPr>
              <w:br w:type="textWrapping"/>
            </w:r>
            <w:r>
              <w:rPr>
                <w:rFonts w:hint="eastAsia" w:ascii="宋体" w:hAnsi="宋体" w:eastAsia="宋体" w:cs="宋体"/>
                <w:sz w:val="21"/>
                <w:szCs w:val="21"/>
              </w:rPr>
              <w:t>6、独立限温报警系统，超过限制温度即自动中断，保证实验安全运行不发生意外。</w:t>
            </w:r>
          </w:p>
          <w:p>
            <w:pPr>
              <w:rPr>
                <w:rFonts w:hint="eastAsia" w:ascii="宋体" w:hAnsi="宋体" w:eastAsia="宋体" w:cs="宋体"/>
                <w:sz w:val="21"/>
                <w:szCs w:val="21"/>
              </w:rPr>
            </w:pPr>
            <w:r>
              <w:rPr>
                <w:rFonts w:hint="eastAsia" w:ascii="宋体" w:hAnsi="宋体" w:eastAsia="宋体" w:cs="宋体"/>
                <w:sz w:val="21"/>
                <w:szCs w:val="21"/>
              </w:rPr>
              <w:t>7、可配打印机或RS485接口，用于连接打印机或计算机，能记录温度参数的变化状况。</w:t>
            </w:r>
          </w:p>
          <w:p>
            <w:pPr>
              <w:rPr>
                <w:rFonts w:hint="eastAsia" w:ascii="宋体" w:hAnsi="宋体" w:eastAsia="宋体" w:cs="宋体"/>
                <w:sz w:val="21"/>
                <w:szCs w:val="21"/>
              </w:rPr>
            </w:pPr>
            <w:r>
              <w:rPr>
                <w:rFonts w:hint="eastAsia" w:ascii="宋体" w:hAnsi="宋体" w:eastAsia="宋体" w:cs="宋体"/>
                <w:sz w:val="21"/>
                <w:szCs w:val="21"/>
              </w:rPr>
              <w:t>8、工作室尺寸 ：640*585*1355mm</w:t>
            </w:r>
          </w:p>
          <w:p>
            <w:pPr>
              <w:rPr>
                <w:rFonts w:hint="eastAsia" w:ascii="宋体" w:hAnsi="宋体" w:eastAsia="宋体" w:cs="宋体"/>
                <w:sz w:val="21"/>
                <w:szCs w:val="21"/>
              </w:rPr>
            </w:pPr>
            <w:r>
              <w:rPr>
                <w:rFonts w:hint="eastAsia" w:ascii="宋体" w:hAnsi="宋体" w:eastAsia="宋体" w:cs="宋体"/>
                <w:sz w:val="21"/>
                <w:szCs w:val="21"/>
              </w:rPr>
              <w:t>9、外形尺寸 ：780*750*1880mm</w:t>
            </w:r>
          </w:p>
          <w:p>
            <w:pPr>
              <w:rPr>
                <w:rFonts w:hint="eastAsia" w:ascii="宋体" w:hAnsi="宋体" w:eastAsia="宋体" w:cs="宋体"/>
                <w:sz w:val="21"/>
                <w:szCs w:val="21"/>
              </w:rPr>
            </w:pPr>
            <w:r>
              <w:rPr>
                <w:rFonts w:hint="eastAsia" w:ascii="宋体" w:hAnsi="宋体" w:eastAsia="宋体" w:cs="宋体"/>
                <w:sz w:val="21"/>
                <w:szCs w:val="21"/>
              </w:rPr>
              <w:t>10、控温范围 ：室温+10-200℃</w:t>
            </w:r>
          </w:p>
          <w:p>
            <w:pPr>
              <w:rPr>
                <w:rFonts w:hint="eastAsia" w:ascii="宋体" w:hAnsi="宋体" w:eastAsia="宋体" w:cs="宋体"/>
                <w:sz w:val="21"/>
                <w:szCs w:val="21"/>
              </w:rPr>
            </w:pPr>
            <w:r>
              <w:rPr>
                <w:rFonts w:hint="eastAsia" w:ascii="宋体" w:hAnsi="宋体" w:eastAsia="宋体" w:cs="宋体"/>
                <w:sz w:val="21"/>
                <w:szCs w:val="21"/>
              </w:rPr>
              <w:t>11、温度分辨率 ：0.1℃</w:t>
            </w:r>
          </w:p>
          <w:p>
            <w:pPr>
              <w:rPr>
                <w:rFonts w:hint="eastAsia" w:ascii="宋体" w:hAnsi="宋体" w:eastAsia="宋体" w:cs="宋体"/>
                <w:sz w:val="21"/>
                <w:szCs w:val="21"/>
              </w:rPr>
            </w:pPr>
            <w:r>
              <w:rPr>
                <w:rFonts w:hint="eastAsia" w:ascii="宋体" w:hAnsi="宋体" w:eastAsia="宋体" w:cs="宋体"/>
                <w:sz w:val="21"/>
                <w:szCs w:val="21"/>
              </w:rPr>
              <w:t>12、温度波动 ：±1℃</w:t>
            </w:r>
          </w:p>
          <w:p>
            <w:pPr>
              <w:rPr>
                <w:rFonts w:hint="eastAsia" w:ascii="宋体" w:hAnsi="宋体" w:eastAsia="宋体" w:cs="宋体"/>
                <w:sz w:val="21"/>
                <w:szCs w:val="21"/>
              </w:rPr>
            </w:pPr>
            <w:r>
              <w:rPr>
                <w:rFonts w:hint="eastAsia" w:ascii="宋体" w:hAnsi="宋体" w:eastAsia="宋体" w:cs="宋体"/>
                <w:sz w:val="21"/>
                <w:szCs w:val="21"/>
              </w:rPr>
              <w:t>13、工作环境温度 ：5~40℃</w:t>
            </w:r>
          </w:p>
          <w:p>
            <w:pPr>
              <w:rPr>
                <w:rFonts w:hint="eastAsia" w:ascii="宋体" w:hAnsi="宋体" w:eastAsia="宋体" w:cs="宋体"/>
                <w:sz w:val="21"/>
                <w:szCs w:val="21"/>
              </w:rPr>
            </w:pPr>
            <w:r>
              <w:rPr>
                <w:rFonts w:hint="eastAsia" w:ascii="宋体" w:hAnsi="宋体" w:eastAsia="宋体" w:cs="宋体"/>
                <w:sz w:val="21"/>
                <w:szCs w:val="21"/>
              </w:rPr>
              <w:t>14、载物托架 ：2块</w:t>
            </w:r>
          </w:p>
          <w:p>
            <w:pPr>
              <w:rPr>
                <w:rFonts w:hint="eastAsia" w:ascii="宋体" w:hAnsi="宋体" w:eastAsia="宋体" w:cs="宋体"/>
                <w:sz w:val="21"/>
                <w:szCs w:val="21"/>
              </w:rPr>
            </w:pPr>
            <w:r>
              <w:rPr>
                <w:rFonts w:hint="eastAsia" w:ascii="宋体" w:hAnsi="宋体" w:eastAsia="宋体" w:cs="宋体"/>
                <w:sz w:val="21"/>
                <w:szCs w:val="21"/>
              </w:rPr>
              <w:t>15、电源电压 ：220V-50HZ</w:t>
            </w:r>
          </w:p>
          <w:p>
            <w:pPr>
              <w:rPr>
                <w:rFonts w:hint="eastAsia" w:ascii="宋体" w:hAnsi="宋体" w:eastAsia="宋体" w:cs="宋体"/>
                <w:sz w:val="21"/>
                <w:szCs w:val="21"/>
              </w:rPr>
            </w:pPr>
            <w:r>
              <w:rPr>
                <w:rFonts w:hint="eastAsia" w:ascii="宋体" w:hAnsi="宋体" w:eastAsia="宋体" w:cs="宋体"/>
                <w:sz w:val="21"/>
                <w:szCs w:val="21"/>
              </w:rPr>
              <w:t>16、功率 ：2450W</w:t>
            </w:r>
          </w:p>
          <w:p>
            <w:pPr>
              <w:rPr>
                <w:rFonts w:hint="eastAsia" w:ascii="宋体" w:hAnsi="宋体" w:eastAsia="宋体" w:cs="宋体"/>
                <w:sz w:val="21"/>
                <w:szCs w:val="21"/>
              </w:rPr>
            </w:pPr>
            <w:r>
              <w:rPr>
                <w:rFonts w:hint="eastAsia" w:ascii="宋体" w:hAnsi="宋体" w:eastAsia="宋体" w:cs="宋体"/>
                <w:sz w:val="21"/>
                <w:szCs w:val="21"/>
              </w:rPr>
              <w:t>17、容积：136L</w:t>
            </w:r>
          </w:p>
          <w:p>
            <w:pPr>
              <w:rPr>
                <w:rFonts w:hint="eastAsia" w:ascii="宋体" w:hAnsi="宋体" w:eastAsia="宋体" w:cs="宋体"/>
                <w:sz w:val="21"/>
                <w:szCs w:val="21"/>
              </w:rPr>
            </w:pPr>
            <w:r>
              <w:rPr>
                <w:rFonts w:hint="eastAsia" w:ascii="宋体" w:hAnsi="宋体" w:eastAsia="宋体" w:cs="宋体"/>
                <w:sz w:val="21"/>
                <w:szCs w:val="21"/>
              </w:rPr>
              <w:t>18、工作室材质 ：镜面不锈钢内胆</w:t>
            </w:r>
          </w:p>
        </w:tc>
        <w:tc>
          <w:tcPr>
            <w:tcW w:w="741" w:type="dxa"/>
            <w:vAlign w:val="center"/>
          </w:tcPr>
          <w:p>
            <w:pPr>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c>
          <w:tcPr>
            <w:tcW w:w="873" w:type="dxa"/>
            <w:vAlign w:val="center"/>
          </w:tcPr>
          <w:p>
            <w:pPr>
              <w:spacing w:line="400" w:lineRule="exact"/>
              <w:jc w:val="center"/>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台</w:t>
            </w:r>
          </w:p>
        </w:tc>
        <w:tc>
          <w:tcPr>
            <w:tcW w:w="984" w:type="dxa"/>
            <w:gridSpan w:val="2"/>
          </w:tcPr>
          <w:p>
            <w:pPr>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vAlign w:val="center"/>
          </w:tcPr>
          <w:p>
            <w:pPr>
              <w:spacing w:line="400" w:lineRule="exact"/>
              <w:jc w:val="center"/>
              <w:rPr>
                <w:rFonts w:hint="eastAsia" w:ascii="宋体" w:hAnsi="宋体" w:eastAsia="宋体" w:cs="宋体"/>
                <w:bCs/>
                <w:sz w:val="21"/>
                <w:szCs w:val="21"/>
              </w:rPr>
            </w:pPr>
            <w:r>
              <w:rPr>
                <w:rFonts w:hint="eastAsia" w:ascii="宋体" w:hAnsi="宋体" w:eastAsia="宋体" w:cs="宋体"/>
                <w:bCs/>
                <w:sz w:val="21"/>
                <w:szCs w:val="21"/>
              </w:rPr>
              <w:t>10</w:t>
            </w:r>
          </w:p>
        </w:tc>
        <w:tc>
          <w:tcPr>
            <w:tcW w:w="1443" w:type="dxa"/>
            <w:vAlign w:val="center"/>
          </w:tcPr>
          <w:p>
            <w:pPr>
              <w:widowControl/>
              <w:jc w:val="center"/>
              <w:textAlignment w:val="center"/>
              <w:rPr>
                <w:rFonts w:hint="eastAsia" w:ascii="宋体" w:hAnsi="宋体" w:eastAsia="宋体" w:cs="宋体"/>
                <w:bCs/>
                <w:sz w:val="21"/>
                <w:szCs w:val="21"/>
              </w:rPr>
            </w:pPr>
            <w:r>
              <w:rPr>
                <w:rFonts w:hint="eastAsia" w:ascii="宋体" w:hAnsi="宋体" w:eastAsia="宋体" w:cs="宋体"/>
                <w:color w:val="000000"/>
                <w:sz w:val="21"/>
                <w:szCs w:val="21"/>
              </w:rPr>
              <w:t>水中DSI（固定底物）技术大肠菌群检测系统</w:t>
            </w:r>
          </w:p>
        </w:tc>
        <w:tc>
          <w:tcPr>
            <w:tcW w:w="5357" w:type="dxa"/>
            <w:vAlign w:val="center"/>
          </w:tcPr>
          <w:p>
            <w:pPr>
              <w:pStyle w:val="20"/>
              <w:numPr>
                <w:ilvl w:val="0"/>
                <w:numId w:val="0"/>
              </w:numPr>
              <w:ind w:leftChars="0"/>
              <w:rPr>
                <w:rFonts w:hint="eastAsia" w:ascii="宋体" w:hAnsi="宋体" w:eastAsia="宋体" w:cs="宋体"/>
                <w:sz w:val="21"/>
                <w:szCs w:val="21"/>
              </w:rPr>
            </w:pPr>
            <w:r>
              <w:rPr>
                <w:rFonts w:hint="eastAsia" w:ascii="宋体" w:hAnsi="宋体" w:cs="宋体"/>
                <w:sz w:val="21"/>
                <w:szCs w:val="21"/>
                <w:lang w:val="en-US" w:eastAsia="zh-CN"/>
              </w:rPr>
              <w:t>一、</w:t>
            </w:r>
            <w:r>
              <w:rPr>
                <w:rFonts w:hint="eastAsia" w:ascii="宋体" w:hAnsi="宋体" w:eastAsia="宋体" w:cs="宋体"/>
                <w:sz w:val="21"/>
                <w:szCs w:val="21"/>
              </w:rPr>
              <w:t>产品特点：</w:t>
            </w:r>
          </w:p>
          <w:p>
            <w:pPr>
              <w:rPr>
                <w:rFonts w:hint="eastAsia" w:ascii="宋体" w:hAnsi="宋体" w:eastAsia="宋体" w:cs="宋体"/>
                <w:sz w:val="21"/>
                <w:szCs w:val="21"/>
              </w:rPr>
            </w:pPr>
            <w:r>
              <w:rPr>
                <w:rFonts w:hint="eastAsia" w:ascii="宋体" w:hAnsi="宋体" w:eastAsia="宋体" w:cs="宋体"/>
                <w:sz w:val="21"/>
                <w:szCs w:val="21"/>
              </w:rPr>
              <w:t>1.符合 ISO9001、 ISO17025、 ISO14001:2004 标准认证。</w:t>
            </w:r>
          </w:p>
          <w:p>
            <w:pPr>
              <w:rPr>
                <w:rFonts w:hint="eastAsia" w:ascii="宋体" w:hAnsi="宋体" w:eastAsia="宋体" w:cs="宋体"/>
                <w:sz w:val="21"/>
                <w:szCs w:val="21"/>
              </w:rPr>
            </w:pPr>
            <w:r>
              <w:rPr>
                <w:rFonts w:hint="eastAsia" w:ascii="宋体" w:hAnsi="宋体" w:eastAsia="宋体" w:cs="宋体"/>
                <w:sz w:val="21"/>
                <w:szCs w:val="21"/>
              </w:rPr>
              <w:t>2. 每种耗材包装内都有符合 ISO9001 质量合格体系的合格证书。</w:t>
            </w:r>
          </w:p>
          <w:p>
            <w:pPr>
              <w:rPr>
                <w:rFonts w:hint="eastAsia" w:ascii="宋体" w:hAnsi="宋体" w:eastAsia="宋体" w:cs="宋体"/>
                <w:sz w:val="21"/>
                <w:szCs w:val="21"/>
              </w:rPr>
            </w:pPr>
            <w:r>
              <w:rPr>
                <w:rFonts w:hint="eastAsia" w:ascii="宋体" w:hAnsi="宋体" w:eastAsia="宋体" w:cs="宋体"/>
                <w:sz w:val="21"/>
                <w:szCs w:val="21"/>
              </w:rPr>
              <w:t>3. 所有耗材都通过符合 ISO 标准的要求进行灭菌。</w:t>
            </w:r>
          </w:p>
          <w:p>
            <w:pPr>
              <w:rPr>
                <w:rFonts w:hint="eastAsia" w:ascii="宋体" w:hAnsi="宋体" w:eastAsia="宋体" w:cs="宋体"/>
                <w:sz w:val="21"/>
                <w:szCs w:val="21"/>
              </w:rPr>
            </w:pPr>
            <w:r>
              <w:rPr>
                <w:rFonts w:hint="eastAsia" w:ascii="宋体" w:hAnsi="宋体" w:eastAsia="宋体" w:cs="宋体"/>
                <w:sz w:val="21"/>
                <w:szCs w:val="21"/>
              </w:rPr>
              <w:t>4. 仪器同时可兼容检测总大肠菌群和大肠埃希氏菌或粪大肠菌群时间不超过 24 小时。</w:t>
            </w:r>
          </w:p>
          <w:p>
            <w:pPr>
              <w:rPr>
                <w:rFonts w:hint="eastAsia" w:ascii="宋体" w:hAnsi="宋体" w:eastAsia="宋体" w:cs="宋体"/>
                <w:sz w:val="21"/>
                <w:szCs w:val="21"/>
              </w:rPr>
            </w:pPr>
            <w:r>
              <w:rPr>
                <w:rFonts w:hint="eastAsia" w:ascii="宋体" w:hAnsi="宋体" w:eastAsia="宋体" w:cs="宋体"/>
                <w:sz w:val="21"/>
                <w:szCs w:val="21"/>
              </w:rPr>
              <w:t>5.适用范围：用于水样中的总大肠菌群和粪大肠杆菌、大肠埃希菌、军团菌、绿脓假单胞菌群、肠球菌、菌落总数的快速检测。可野外携带、应急、定量检测。</w:t>
            </w:r>
          </w:p>
          <w:p>
            <w:pPr>
              <w:rPr>
                <w:rFonts w:hint="eastAsia" w:ascii="宋体" w:hAnsi="宋体" w:eastAsia="宋体" w:cs="宋体"/>
                <w:sz w:val="21"/>
                <w:szCs w:val="21"/>
              </w:rPr>
            </w:pPr>
            <w:r>
              <w:rPr>
                <w:rFonts w:hint="eastAsia" w:ascii="宋体" w:hAnsi="宋体" w:eastAsia="宋体" w:cs="宋体"/>
                <w:sz w:val="21"/>
                <w:szCs w:val="21"/>
              </w:rPr>
              <w:t>6.可靠性：符合 GB5750-2006 国标方法，与 MMO-MUG 酶底物培养基配合使用，主机有 ISO9001 认证、 ISO14001 认证。</w:t>
            </w:r>
          </w:p>
          <w:p>
            <w:pPr>
              <w:rPr>
                <w:rFonts w:hint="eastAsia" w:ascii="宋体" w:hAnsi="宋体" w:eastAsia="宋体" w:cs="宋体"/>
                <w:sz w:val="21"/>
                <w:szCs w:val="21"/>
              </w:rPr>
            </w:pPr>
            <w:r>
              <w:rPr>
                <w:rFonts w:hint="eastAsia" w:ascii="宋体" w:hAnsi="宋体" w:eastAsia="宋体" w:cs="宋体"/>
                <w:sz w:val="21"/>
                <w:szCs w:val="21"/>
              </w:rPr>
              <w:t>7.方便性： 3 个按键， 1 个大液晶显示屏，可显示加热程度、休眠状态、错误代码。全自动计数程控功能，全自动休眠模式。</w:t>
            </w:r>
          </w:p>
          <w:p>
            <w:pPr>
              <w:rPr>
                <w:rFonts w:hint="eastAsia" w:ascii="宋体" w:hAnsi="宋体" w:eastAsia="宋体" w:cs="宋体"/>
                <w:sz w:val="21"/>
                <w:szCs w:val="21"/>
              </w:rPr>
            </w:pPr>
            <w:r>
              <w:rPr>
                <w:rFonts w:hint="eastAsia" w:ascii="宋体" w:hAnsi="宋体" w:eastAsia="宋体" w:cs="宋体"/>
                <w:sz w:val="21"/>
                <w:szCs w:val="21"/>
              </w:rPr>
              <w:t>8.稳定性：智能化的程序，全自动显示错误提示代码。 预热时间 2~3 分钟， 10 秒完成封口，可连续不间断工作24 小时。</w:t>
            </w:r>
          </w:p>
          <w:p>
            <w:pPr>
              <w:rPr>
                <w:rFonts w:hint="eastAsia" w:ascii="宋体" w:hAnsi="宋体" w:eastAsia="宋体" w:cs="宋体"/>
                <w:sz w:val="21"/>
                <w:szCs w:val="21"/>
              </w:rPr>
            </w:pPr>
            <w:r>
              <w:rPr>
                <w:rFonts w:hint="eastAsia" w:ascii="宋体" w:hAnsi="宋体" w:eastAsia="宋体" w:cs="宋体"/>
                <w:sz w:val="21"/>
                <w:szCs w:val="21"/>
              </w:rPr>
              <w:t>9.超大检修和维修窗口，无螺丝钉，方便日常维护和清洗。</w:t>
            </w:r>
          </w:p>
          <w:p>
            <w:pPr>
              <w:rPr>
                <w:rFonts w:hint="eastAsia" w:ascii="宋体" w:hAnsi="宋体" w:eastAsia="宋体" w:cs="宋体"/>
                <w:sz w:val="21"/>
                <w:szCs w:val="21"/>
              </w:rPr>
            </w:pPr>
            <w:r>
              <w:rPr>
                <w:rFonts w:hint="eastAsia" w:ascii="宋体" w:hAnsi="宋体" w:eastAsia="宋体" w:cs="宋体"/>
                <w:sz w:val="21"/>
                <w:szCs w:val="21"/>
              </w:rPr>
              <w:t>10.重量 ≤11 KG，可便携野外使用。</w:t>
            </w:r>
          </w:p>
          <w:p>
            <w:pPr>
              <w:rPr>
                <w:rFonts w:hint="eastAsia" w:ascii="宋体" w:hAnsi="宋体" w:eastAsia="宋体" w:cs="宋体"/>
                <w:sz w:val="21"/>
                <w:szCs w:val="21"/>
                <w:lang w:eastAsia="zh-CN"/>
              </w:rPr>
            </w:pPr>
            <w:r>
              <w:rPr>
                <w:rFonts w:hint="eastAsia" w:ascii="宋体" w:hAnsi="宋体" w:eastAsia="宋体" w:cs="宋体"/>
                <w:sz w:val="21"/>
                <w:szCs w:val="21"/>
              </w:rPr>
              <w:t>二、硬件参数</w:t>
            </w:r>
            <w:r>
              <w:rPr>
                <w:rFonts w:hint="eastAsia" w:ascii="宋体" w:hAnsi="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2.1程控定量封口机（带51孔及97孔定量盘橡胶托垫）</w:t>
            </w:r>
          </w:p>
          <w:p>
            <w:pPr>
              <w:rPr>
                <w:rFonts w:hint="eastAsia" w:ascii="宋体" w:hAnsi="宋体" w:eastAsia="宋体" w:cs="宋体"/>
                <w:sz w:val="21"/>
                <w:szCs w:val="21"/>
              </w:rPr>
            </w:pPr>
            <w:r>
              <w:rPr>
                <w:rFonts w:hint="eastAsia" w:ascii="宋体" w:hAnsi="宋体" w:eastAsia="宋体" w:cs="宋体"/>
                <w:sz w:val="21"/>
                <w:szCs w:val="21"/>
              </w:rPr>
              <w:t>2.1.1尺寸：41cm长X36cm宽X33cm高</w:t>
            </w:r>
          </w:p>
          <w:p>
            <w:pPr>
              <w:rPr>
                <w:rFonts w:hint="eastAsia" w:ascii="宋体" w:hAnsi="宋体" w:eastAsia="宋体" w:cs="宋体"/>
                <w:sz w:val="21"/>
                <w:szCs w:val="21"/>
              </w:rPr>
            </w:pPr>
            <w:r>
              <w:rPr>
                <w:rFonts w:hint="eastAsia" w:ascii="宋体" w:hAnsi="宋体" w:eastAsia="宋体" w:cs="宋体"/>
                <w:sz w:val="21"/>
                <w:szCs w:val="21"/>
              </w:rPr>
              <w:t>2.1.2 重量：≤11KG</w:t>
            </w:r>
          </w:p>
          <w:p>
            <w:pPr>
              <w:rPr>
                <w:rFonts w:hint="eastAsia" w:ascii="宋体" w:hAnsi="宋体" w:eastAsia="宋体" w:cs="宋体"/>
                <w:sz w:val="21"/>
                <w:szCs w:val="21"/>
              </w:rPr>
            </w:pPr>
            <w:r>
              <w:rPr>
                <w:rFonts w:hint="eastAsia" w:ascii="宋体" w:hAnsi="宋体" w:eastAsia="宋体" w:cs="宋体"/>
                <w:sz w:val="21"/>
                <w:szCs w:val="21"/>
              </w:rPr>
              <w:t>2.1.3 封口时间：＜10秒</w:t>
            </w:r>
          </w:p>
          <w:p>
            <w:pPr>
              <w:rPr>
                <w:rFonts w:hint="eastAsia" w:ascii="宋体" w:hAnsi="宋体" w:eastAsia="宋体" w:cs="宋体"/>
                <w:sz w:val="21"/>
                <w:szCs w:val="21"/>
              </w:rPr>
            </w:pPr>
            <w:r>
              <w:rPr>
                <w:rFonts w:hint="eastAsia" w:ascii="宋体" w:hAnsi="宋体" w:eastAsia="宋体" w:cs="宋体"/>
                <w:sz w:val="21"/>
                <w:szCs w:val="21"/>
              </w:rPr>
              <w:t>2.1.4 加热辊外表恒定温度：180±3℃（不大于183℃，不小于170℃）</w:t>
            </w:r>
          </w:p>
          <w:p>
            <w:pPr>
              <w:rPr>
                <w:rFonts w:hint="eastAsia" w:ascii="宋体" w:hAnsi="宋体" w:eastAsia="宋体" w:cs="宋体"/>
                <w:sz w:val="21"/>
                <w:szCs w:val="21"/>
              </w:rPr>
            </w:pPr>
            <w:r>
              <w:rPr>
                <w:rFonts w:hint="eastAsia" w:ascii="宋体" w:hAnsi="宋体" w:eastAsia="宋体" w:cs="宋体"/>
                <w:sz w:val="21"/>
                <w:szCs w:val="21"/>
              </w:rPr>
              <w:t>2.1.5 仪器通过ISO认证、 ISO14001 认证、CE证明</w:t>
            </w:r>
          </w:p>
          <w:p>
            <w:pPr>
              <w:rPr>
                <w:rFonts w:hint="eastAsia" w:ascii="宋体" w:hAnsi="宋体" w:eastAsia="宋体" w:cs="宋体"/>
                <w:sz w:val="21"/>
                <w:szCs w:val="21"/>
              </w:rPr>
            </w:pPr>
            <w:r>
              <w:rPr>
                <w:rFonts w:hint="eastAsia" w:ascii="宋体" w:hAnsi="宋体" w:eastAsia="宋体" w:cs="宋体"/>
                <w:sz w:val="21"/>
                <w:szCs w:val="21"/>
              </w:rPr>
              <w:t>2.1.6 带有故障自检装置</w:t>
            </w:r>
          </w:p>
          <w:p>
            <w:pPr>
              <w:rPr>
                <w:rFonts w:hint="eastAsia" w:ascii="宋体" w:hAnsi="宋体" w:eastAsia="宋体" w:cs="宋体"/>
                <w:sz w:val="21"/>
                <w:szCs w:val="21"/>
              </w:rPr>
            </w:pPr>
            <w:r>
              <w:rPr>
                <w:rFonts w:hint="eastAsia" w:ascii="宋体" w:hAnsi="宋体" w:eastAsia="宋体" w:cs="宋体"/>
                <w:sz w:val="21"/>
                <w:szCs w:val="21"/>
              </w:rPr>
              <w:t>2.1.7 预热时间：2至3分钟</w:t>
            </w:r>
          </w:p>
          <w:p>
            <w:pPr>
              <w:rPr>
                <w:rFonts w:hint="eastAsia" w:ascii="宋体" w:hAnsi="宋体" w:eastAsia="宋体" w:cs="宋体"/>
                <w:sz w:val="21"/>
                <w:szCs w:val="21"/>
              </w:rPr>
            </w:pPr>
            <w:r>
              <w:rPr>
                <w:rFonts w:hint="eastAsia" w:ascii="宋体" w:hAnsi="宋体" w:eastAsia="宋体" w:cs="宋体"/>
                <w:sz w:val="21"/>
                <w:szCs w:val="21"/>
              </w:rPr>
              <w:t>2.1.8 工作电压：220V±10%</w:t>
            </w:r>
          </w:p>
          <w:p>
            <w:pPr>
              <w:rPr>
                <w:rFonts w:hint="eastAsia" w:ascii="宋体" w:hAnsi="宋体" w:eastAsia="宋体" w:cs="宋体"/>
                <w:sz w:val="21"/>
                <w:szCs w:val="21"/>
              </w:rPr>
            </w:pPr>
            <w:r>
              <w:rPr>
                <w:rFonts w:hint="eastAsia" w:ascii="宋体" w:hAnsi="宋体" w:eastAsia="宋体" w:cs="宋体"/>
                <w:sz w:val="21"/>
                <w:szCs w:val="21"/>
              </w:rPr>
              <w:t>2.1.9 工作环境温度：-20℃到80℃</w:t>
            </w:r>
          </w:p>
          <w:p>
            <w:pPr>
              <w:rPr>
                <w:rFonts w:hint="eastAsia" w:ascii="宋体" w:hAnsi="宋体" w:eastAsia="宋体" w:cs="宋体"/>
                <w:sz w:val="21"/>
                <w:szCs w:val="21"/>
              </w:rPr>
            </w:pPr>
            <w:r>
              <w:rPr>
                <w:rFonts w:hint="eastAsia" w:ascii="宋体" w:hAnsi="宋体" w:eastAsia="宋体" w:cs="宋体"/>
                <w:sz w:val="21"/>
                <w:szCs w:val="21"/>
              </w:rPr>
              <w:t>2.2 紫外灯,6瓦特,220伏, 366nm</w:t>
            </w:r>
          </w:p>
          <w:p>
            <w:pPr>
              <w:rPr>
                <w:rFonts w:hint="eastAsia" w:ascii="宋体" w:hAnsi="宋体" w:eastAsia="宋体" w:cs="宋体"/>
                <w:sz w:val="21"/>
                <w:szCs w:val="21"/>
              </w:rPr>
            </w:pPr>
            <w:r>
              <w:rPr>
                <w:rFonts w:hint="eastAsia" w:ascii="宋体" w:hAnsi="宋体" w:eastAsia="宋体" w:cs="宋体"/>
                <w:sz w:val="21"/>
                <w:szCs w:val="21"/>
              </w:rPr>
              <w:t>2.2.1 6W 366nm长波紫外灯</w:t>
            </w:r>
          </w:p>
          <w:p>
            <w:pPr>
              <w:rPr>
                <w:rFonts w:hint="eastAsia" w:ascii="宋体" w:hAnsi="宋体" w:eastAsia="宋体" w:cs="宋体"/>
                <w:sz w:val="21"/>
                <w:szCs w:val="21"/>
              </w:rPr>
            </w:pPr>
            <w:r>
              <w:rPr>
                <w:rFonts w:hint="eastAsia" w:ascii="宋体" w:hAnsi="宋体" w:eastAsia="宋体" w:cs="宋体"/>
                <w:sz w:val="21"/>
                <w:szCs w:val="21"/>
              </w:rPr>
              <w:t>2.2.2 尺寸：9cm x 7cm x 27cm</w:t>
            </w:r>
          </w:p>
          <w:p>
            <w:pPr>
              <w:rPr>
                <w:rFonts w:hint="eastAsia" w:ascii="宋体" w:hAnsi="宋体" w:eastAsia="宋体" w:cs="宋体"/>
                <w:sz w:val="21"/>
                <w:szCs w:val="21"/>
              </w:rPr>
            </w:pPr>
            <w:r>
              <w:rPr>
                <w:rFonts w:hint="eastAsia" w:ascii="宋体" w:hAnsi="宋体" w:eastAsia="宋体" w:cs="宋体"/>
                <w:sz w:val="21"/>
                <w:szCs w:val="21"/>
              </w:rPr>
              <w:t>2.2.3 电源：220V</w:t>
            </w:r>
          </w:p>
          <w:p>
            <w:pPr>
              <w:rPr>
                <w:rFonts w:hint="eastAsia" w:ascii="宋体" w:hAnsi="宋体" w:eastAsia="宋体" w:cs="宋体"/>
                <w:sz w:val="21"/>
                <w:szCs w:val="21"/>
              </w:rPr>
            </w:pPr>
            <w:r>
              <w:rPr>
                <w:rFonts w:hint="eastAsia" w:ascii="宋体" w:hAnsi="宋体" w:eastAsia="宋体" w:cs="宋体"/>
                <w:sz w:val="21"/>
                <w:szCs w:val="21"/>
              </w:rPr>
              <w:t>2.3 紫外灯箱</w:t>
            </w:r>
          </w:p>
          <w:p>
            <w:pPr>
              <w:rPr>
                <w:rFonts w:hint="eastAsia" w:ascii="宋体" w:hAnsi="宋体" w:eastAsia="宋体" w:cs="宋体"/>
                <w:sz w:val="21"/>
                <w:szCs w:val="21"/>
              </w:rPr>
            </w:pPr>
            <w:r>
              <w:rPr>
                <w:rFonts w:hint="eastAsia" w:ascii="宋体" w:hAnsi="宋体" w:eastAsia="宋体" w:cs="宋体"/>
                <w:sz w:val="21"/>
                <w:szCs w:val="21"/>
              </w:rPr>
              <w:t>2.3.1 尺寸：23cm x 30cm x 17cm</w:t>
            </w:r>
          </w:p>
          <w:p>
            <w:pPr>
              <w:rPr>
                <w:rFonts w:hint="eastAsia" w:ascii="宋体" w:hAnsi="宋体" w:eastAsia="宋体" w:cs="宋体"/>
                <w:sz w:val="21"/>
                <w:szCs w:val="21"/>
              </w:rPr>
            </w:pPr>
            <w:r>
              <w:rPr>
                <w:rFonts w:hint="eastAsia" w:ascii="宋体" w:hAnsi="宋体" w:eastAsia="宋体" w:cs="宋体"/>
                <w:sz w:val="21"/>
                <w:szCs w:val="21"/>
              </w:rPr>
              <w:t>2.3.2 用途：保护实验员皮肤不受紫外线辐射伤害</w:t>
            </w:r>
          </w:p>
          <w:p>
            <w:pPr>
              <w:rPr>
                <w:rFonts w:hint="eastAsia" w:ascii="宋体" w:hAnsi="宋体" w:eastAsia="宋体" w:cs="宋体"/>
                <w:sz w:val="21"/>
                <w:szCs w:val="21"/>
              </w:rPr>
            </w:pPr>
            <w:r>
              <w:rPr>
                <w:rFonts w:hint="eastAsia" w:ascii="宋体" w:hAnsi="宋体" w:eastAsia="宋体" w:cs="宋体"/>
                <w:sz w:val="21"/>
                <w:szCs w:val="21"/>
              </w:rPr>
              <w:t>3、试剂耗材技术参数</w:t>
            </w:r>
          </w:p>
          <w:p>
            <w:pPr>
              <w:rPr>
                <w:rFonts w:hint="eastAsia" w:ascii="宋体" w:hAnsi="宋体" w:eastAsia="宋体" w:cs="宋体"/>
                <w:sz w:val="21"/>
                <w:szCs w:val="21"/>
              </w:rPr>
            </w:pPr>
            <w:r>
              <w:rPr>
                <w:rFonts w:hint="eastAsia" w:ascii="宋体" w:hAnsi="宋体" w:eastAsia="宋体" w:cs="宋体"/>
                <w:sz w:val="21"/>
                <w:szCs w:val="21"/>
              </w:rPr>
              <w:t>3.1 DST酶底物法酶底物试剂，中文包装，200个/盒</w:t>
            </w:r>
          </w:p>
          <w:p>
            <w:pPr>
              <w:rPr>
                <w:rFonts w:hint="eastAsia" w:ascii="宋体" w:hAnsi="宋体" w:eastAsia="宋体" w:cs="宋体"/>
                <w:sz w:val="21"/>
                <w:szCs w:val="21"/>
              </w:rPr>
            </w:pPr>
            <w:r>
              <w:rPr>
                <w:rFonts w:hint="eastAsia" w:ascii="宋体" w:hAnsi="宋体" w:eastAsia="宋体" w:cs="宋体"/>
                <w:sz w:val="21"/>
                <w:szCs w:val="21"/>
              </w:rPr>
              <w:t>3.1.1 SNAP包装</w:t>
            </w:r>
          </w:p>
          <w:p>
            <w:pPr>
              <w:rPr>
                <w:rFonts w:hint="eastAsia" w:ascii="宋体" w:hAnsi="宋体" w:eastAsia="宋体" w:cs="宋体"/>
                <w:sz w:val="21"/>
                <w:szCs w:val="21"/>
              </w:rPr>
            </w:pPr>
            <w:r>
              <w:rPr>
                <w:rFonts w:hint="eastAsia" w:ascii="宋体" w:hAnsi="宋体" w:eastAsia="宋体" w:cs="宋体"/>
                <w:sz w:val="21"/>
                <w:szCs w:val="21"/>
              </w:rPr>
              <w:t>3.1.2 伽马射线消毒</w:t>
            </w:r>
          </w:p>
          <w:p>
            <w:pPr>
              <w:rPr>
                <w:rFonts w:hint="eastAsia" w:ascii="宋体" w:hAnsi="宋体" w:eastAsia="宋体" w:cs="宋体"/>
                <w:sz w:val="21"/>
                <w:szCs w:val="21"/>
              </w:rPr>
            </w:pPr>
            <w:r>
              <w:rPr>
                <w:rFonts w:hint="eastAsia" w:ascii="宋体" w:hAnsi="宋体" w:eastAsia="宋体" w:cs="宋体"/>
                <w:sz w:val="21"/>
                <w:szCs w:val="21"/>
              </w:rPr>
              <w:t>3.1.3 唯一符合国标的DST固定底物酶底物法</w:t>
            </w:r>
          </w:p>
          <w:p>
            <w:pPr>
              <w:rPr>
                <w:rFonts w:hint="eastAsia" w:ascii="宋体" w:hAnsi="宋体" w:eastAsia="宋体" w:cs="宋体"/>
                <w:sz w:val="21"/>
                <w:szCs w:val="21"/>
              </w:rPr>
            </w:pPr>
            <w:r>
              <w:rPr>
                <w:rFonts w:hint="eastAsia" w:ascii="宋体" w:hAnsi="宋体" w:eastAsia="宋体" w:cs="宋体"/>
                <w:sz w:val="21"/>
                <w:szCs w:val="21"/>
              </w:rPr>
              <w:t>3.1.4 用途：用于淡水检测，24个小时后出结果</w:t>
            </w:r>
          </w:p>
          <w:p>
            <w:pPr>
              <w:rPr>
                <w:rFonts w:hint="eastAsia" w:ascii="宋体" w:hAnsi="宋体" w:eastAsia="宋体" w:cs="宋体"/>
                <w:sz w:val="21"/>
                <w:szCs w:val="21"/>
              </w:rPr>
            </w:pPr>
            <w:r>
              <w:rPr>
                <w:rFonts w:hint="eastAsia" w:ascii="宋体" w:hAnsi="宋体" w:eastAsia="宋体" w:cs="宋体"/>
                <w:sz w:val="21"/>
                <w:szCs w:val="21"/>
              </w:rPr>
              <w:t>3.1.5 每盒包装内需要符合ISO9001、ISO17025质量合格体系监管的合格证书</w:t>
            </w:r>
          </w:p>
          <w:p>
            <w:pPr>
              <w:rPr>
                <w:rFonts w:hint="eastAsia" w:ascii="宋体" w:hAnsi="宋体" w:eastAsia="宋体" w:cs="宋体"/>
                <w:sz w:val="21"/>
                <w:szCs w:val="21"/>
              </w:rPr>
            </w:pPr>
            <w:r>
              <w:rPr>
                <w:rFonts w:hint="eastAsia" w:ascii="宋体" w:hAnsi="宋体" w:eastAsia="宋体" w:cs="宋体"/>
                <w:sz w:val="21"/>
                <w:szCs w:val="21"/>
              </w:rPr>
              <w:t>3.1.6设计、开发、生产、服务符合ISO14001:2004标准</w:t>
            </w:r>
          </w:p>
          <w:p>
            <w:pPr>
              <w:rPr>
                <w:rFonts w:hint="eastAsia" w:ascii="宋体" w:hAnsi="宋体" w:eastAsia="宋体" w:cs="宋体"/>
                <w:sz w:val="21"/>
                <w:szCs w:val="21"/>
              </w:rPr>
            </w:pPr>
            <w:r>
              <w:rPr>
                <w:rFonts w:hint="eastAsia" w:ascii="宋体" w:hAnsi="宋体" w:eastAsia="宋体" w:cs="宋体"/>
                <w:sz w:val="21"/>
                <w:szCs w:val="21"/>
              </w:rPr>
              <w:t>3.2  97孔定量盘, 100个/箱</w:t>
            </w:r>
          </w:p>
          <w:p>
            <w:pPr>
              <w:rPr>
                <w:rFonts w:hint="eastAsia" w:ascii="宋体" w:hAnsi="宋体" w:eastAsia="宋体" w:cs="宋体"/>
                <w:sz w:val="21"/>
                <w:szCs w:val="21"/>
              </w:rPr>
            </w:pPr>
            <w:r>
              <w:rPr>
                <w:rFonts w:hint="eastAsia" w:ascii="宋体" w:hAnsi="宋体" w:eastAsia="宋体" w:cs="宋体"/>
                <w:sz w:val="21"/>
                <w:szCs w:val="21"/>
              </w:rPr>
              <w:t>3.2.1 伽马射线消毒</w:t>
            </w:r>
          </w:p>
          <w:p>
            <w:pPr>
              <w:rPr>
                <w:rFonts w:hint="eastAsia" w:ascii="宋体" w:hAnsi="宋体" w:eastAsia="宋体" w:cs="宋体"/>
                <w:sz w:val="21"/>
                <w:szCs w:val="21"/>
              </w:rPr>
            </w:pPr>
            <w:r>
              <w:rPr>
                <w:rFonts w:hint="eastAsia" w:ascii="宋体" w:hAnsi="宋体" w:eastAsia="宋体" w:cs="宋体"/>
                <w:sz w:val="21"/>
                <w:szCs w:val="21"/>
              </w:rPr>
              <w:t xml:space="preserve">3.2.2量程范围： 1－2419 MPN/100mL </w:t>
            </w:r>
          </w:p>
          <w:p>
            <w:pPr>
              <w:rPr>
                <w:rFonts w:hint="eastAsia" w:ascii="宋体" w:hAnsi="宋体" w:eastAsia="宋体" w:cs="宋体"/>
                <w:sz w:val="21"/>
                <w:szCs w:val="21"/>
              </w:rPr>
            </w:pPr>
            <w:r>
              <w:rPr>
                <w:rFonts w:hint="eastAsia" w:ascii="宋体" w:hAnsi="宋体" w:eastAsia="宋体" w:cs="宋体"/>
                <w:sz w:val="21"/>
                <w:szCs w:val="21"/>
              </w:rPr>
              <w:t>3.2.3设计、开发、生产、服务符合ISO14001:2004标准</w:t>
            </w:r>
          </w:p>
          <w:p>
            <w:pPr>
              <w:rPr>
                <w:rFonts w:hint="eastAsia" w:ascii="宋体" w:hAnsi="宋体" w:eastAsia="宋体" w:cs="宋体"/>
                <w:sz w:val="21"/>
                <w:szCs w:val="21"/>
              </w:rPr>
            </w:pPr>
            <w:r>
              <w:rPr>
                <w:rFonts w:hint="eastAsia" w:ascii="宋体" w:hAnsi="宋体" w:eastAsia="宋体" w:cs="宋体"/>
                <w:sz w:val="21"/>
                <w:szCs w:val="21"/>
              </w:rPr>
              <w:t>3.3 无菌取样瓶200个/箱</w:t>
            </w:r>
          </w:p>
          <w:p>
            <w:pPr>
              <w:rPr>
                <w:rFonts w:hint="eastAsia" w:ascii="宋体" w:hAnsi="宋体" w:eastAsia="宋体" w:cs="宋体"/>
                <w:sz w:val="21"/>
                <w:szCs w:val="21"/>
              </w:rPr>
            </w:pPr>
            <w:r>
              <w:rPr>
                <w:rFonts w:hint="eastAsia" w:ascii="宋体" w:hAnsi="宋体" w:eastAsia="宋体" w:cs="宋体"/>
                <w:sz w:val="21"/>
                <w:szCs w:val="21"/>
              </w:rPr>
              <w:t xml:space="preserve">3.3.1样品体积：100mL </w:t>
            </w:r>
          </w:p>
          <w:p>
            <w:pPr>
              <w:rPr>
                <w:rStyle w:val="22"/>
                <w:rFonts w:hint="eastAsia" w:ascii="宋体" w:hAnsi="宋体" w:eastAsia="宋体" w:cs="宋体"/>
                <w:sz w:val="21"/>
                <w:szCs w:val="21"/>
              </w:rPr>
            </w:pPr>
            <w:r>
              <w:rPr>
                <w:rFonts w:hint="eastAsia" w:ascii="宋体" w:hAnsi="宋体" w:eastAsia="宋体" w:cs="宋体"/>
                <w:sz w:val="21"/>
                <w:szCs w:val="21"/>
              </w:rPr>
              <w:t>3.3.2 含有硫代硫酸钠，通过硫代硫酸钠含量合格证明</w:t>
            </w:r>
          </w:p>
          <w:p>
            <w:pPr>
              <w:rPr>
                <w:rStyle w:val="22"/>
                <w:rFonts w:hint="eastAsia" w:ascii="宋体" w:hAnsi="宋体" w:eastAsia="宋体" w:cs="宋体"/>
                <w:sz w:val="21"/>
                <w:szCs w:val="21"/>
              </w:rPr>
            </w:pPr>
            <w:r>
              <w:rPr>
                <w:rFonts w:hint="eastAsia" w:ascii="宋体" w:hAnsi="宋体" w:eastAsia="宋体" w:cs="宋体"/>
                <w:sz w:val="21"/>
                <w:szCs w:val="21"/>
              </w:rPr>
              <w:t>3.3.3设计、开发、生产、服务符合ISO14001:2004标准</w:t>
            </w:r>
          </w:p>
          <w:p>
            <w:pPr>
              <w:rPr>
                <w:rStyle w:val="22"/>
                <w:rFonts w:hint="eastAsia" w:ascii="宋体" w:hAnsi="宋体" w:eastAsia="宋体" w:cs="宋体"/>
                <w:sz w:val="21"/>
                <w:szCs w:val="21"/>
              </w:rPr>
            </w:pPr>
            <w:r>
              <w:rPr>
                <w:rStyle w:val="22"/>
                <w:rFonts w:hint="eastAsia" w:ascii="宋体" w:hAnsi="宋体" w:eastAsia="宋体" w:cs="宋体"/>
                <w:sz w:val="21"/>
                <w:szCs w:val="21"/>
              </w:rPr>
              <w:t>3.5 97孔阳性标准比色盘</w:t>
            </w:r>
          </w:p>
          <w:p>
            <w:pPr>
              <w:rPr>
                <w:rStyle w:val="22"/>
                <w:rFonts w:hint="eastAsia" w:ascii="宋体" w:hAnsi="宋体" w:eastAsia="宋体" w:cs="宋体"/>
                <w:sz w:val="21"/>
                <w:szCs w:val="21"/>
              </w:rPr>
            </w:pPr>
            <w:r>
              <w:rPr>
                <w:rStyle w:val="22"/>
                <w:rFonts w:hint="eastAsia" w:ascii="宋体" w:hAnsi="宋体" w:eastAsia="宋体" w:cs="宋体"/>
                <w:sz w:val="21"/>
                <w:szCs w:val="21"/>
              </w:rPr>
              <w:t>3.5.1 用于水样颜色结果判读</w:t>
            </w:r>
          </w:p>
          <w:p>
            <w:pPr>
              <w:rPr>
                <w:rFonts w:hint="eastAsia" w:ascii="宋体" w:hAnsi="宋体" w:eastAsia="宋体" w:cs="宋体"/>
                <w:sz w:val="21"/>
                <w:szCs w:val="21"/>
              </w:rPr>
            </w:pPr>
            <w:r>
              <w:rPr>
                <w:rStyle w:val="22"/>
                <w:rFonts w:hint="eastAsia" w:ascii="宋体" w:hAnsi="宋体" w:eastAsia="宋体" w:cs="宋体"/>
                <w:sz w:val="21"/>
                <w:szCs w:val="21"/>
              </w:rPr>
              <w:t>3.5.2 有符合ISO9001质量合格体系的合格证书</w:t>
            </w:r>
          </w:p>
          <w:p>
            <w:pPr>
              <w:rPr>
                <w:rFonts w:hint="eastAsia" w:ascii="宋体" w:hAnsi="宋体" w:eastAsia="宋体" w:cs="宋体"/>
                <w:sz w:val="21"/>
                <w:szCs w:val="21"/>
              </w:rPr>
            </w:pPr>
            <w:r>
              <w:rPr>
                <w:rFonts w:hint="eastAsia" w:ascii="宋体" w:hAnsi="宋体" w:eastAsia="宋体" w:cs="宋体"/>
                <w:sz w:val="21"/>
                <w:szCs w:val="21"/>
              </w:rPr>
              <w:t>3.6 余氯检测试剂套装 1套</w:t>
            </w:r>
          </w:p>
          <w:p>
            <w:pPr>
              <w:rPr>
                <w:rFonts w:hint="eastAsia" w:ascii="宋体" w:hAnsi="宋体" w:eastAsia="宋体" w:cs="宋体"/>
                <w:sz w:val="21"/>
                <w:szCs w:val="21"/>
              </w:rPr>
            </w:pPr>
            <w:r>
              <w:rPr>
                <w:rFonts w:hint="eastAsia" w:ascii="宋体" w:hAnsi="宋体" w:eastAsia="宋体" w:cs="宋体"/>
                <w:sz w:val="21"/>
                <w:szCs w:val="21"/>
              </w:rPr>
              <w:t>3.6.1无铝箔包装，晶体状态，可检测200次</w:t>
            </w:r>
          </w:p>
          <w:p>
            <w:pPr>
              <w:rPr>
                <w:rFonts w:hint="eastAsia" w:ascii="宋体" w:hAnsi="宋体" w:eastAsia="宋体" w:cs="宋体"/>
                <w:sz w:val="21"/>
                <w:szCs w:val="21"/>
              </w:rPr>
            </w:pPr>
            <w:r>
              <w:rPr>
                <w:rFonts w:hint="eastAsia" w:ascii="宋体" w:hAnsi="宋体" w:eastAsia="宋体" w:cs="宋体"/>
                <w:sz w:val="21"/>
                <w:szCs w:val="21"/>
              </w:rPr>
              <w:t>3.6.2适合不同口径样品瓶</w:t>
            </w:r>
          </w:p>
          <w:p>
            <w:pPr>
              <w:rPr>
                <w:rFonts w:hint="eastAsia" w:ascii="宋体" w:hAnsi="宋体" w:eastAsia="宋体" w:cs="宋体"/>
                <w:sz w:val="21"/>
                <w:szCs w:val="21"/>
              </w:rPr>
            </w:pPr>
            <w:r>
              <w:rPr>
                <w:rFonts w:hint="eastAsia" w:ascii="宋体" w:hAnsi="宋体" w:eastAsia="宋体" w:cs="宋体"/>
                <w:sz w:val="21"/>
                <w:szCs w:val="21"/>
              </w:rPr>
              <w:t>3.6.3可与多种氯检测套件联合使用</w:t>
            </w:r>
          </w:p>
          <w:p>
            <w:pPr>
              <w:rPr>
                <w:rFonts w:hint="eastAsia" w:ascii="宋体" w:hAnsi="宋体" w:eastAsia="宋体" w:cs="宋体"/>
                <w:sz w:val="21"/>
                <w:szCs w:val="21"/>
              </w:rPr>
            </w:pPr>
            <w:r>
              <w:rPr>
                <w:rFonts w:hint="eastAsia" w:ascii="宋体" w:hAnsi="宋体" w:eastAsia="宋体" w:cs="宋体"/>
                <w:sz w:val="21"/>
                <w:szCs w:val="21"/>
              </w:rPr>
              <w:t>3.6.4自动定量分配试剂</w:t>
            </w:r>
          </w:p>
          <w:p>
            <w:pPr>
              <w:rPr>
                <w:rFonts w:hint="eastAsia" w:ascii="宋体" w:hAnsi="宋体" w:eastAsia="宋体" w:cs="宋体"/>
                <w:sz w:val="21"/>
                <w:szCs w:val="21"/>
              </w:rPr>
            </w:pPr>
            <w:r>
              <w:rPr>
                <w:rFonts w:hint="eastAsia" w:ascii="宋体" w:hAnsi="宋体" w:eastAsia="宋体" w:cs="宋体"/>
                <w:sz w:val="21"/>
                <w:szCs w:val="21"/>
              </w:rPr>
              <w:t>3.6.5分配器可重复使用</w:t>
            </w:r>
          </w:p>
          <w:p>
            <w:pPr>
              <w:rPr>
                <w:rFonts w:hint="eastAsia" w:ascii="宋体" w:hAnsi="宋体" w:eastAsia="宋体" w:cs="宋体"/>
                <w:sz w:val="21"/>
                <w:szCs w:val="21"/>
              </w:rPr>
            </w:pPr>
            <w:r>
              <w:rPr>
                <w:rFonts w:hint="eastAsia" w:ascii="宋体" w:hAnsi="宋体" w:eastAsia="宋体" w:cs="宋体"/>
                <w:sz w:val="21"/>
                <w:szCs w:val="21"/>
              </w:rPr>
              <w:t>3.6.6 检测范围0.1到3.5ppm</w:t>
            </w:r>
          </w:p>
          <w:p>
            <w:pPr>
              <w:rPr>
                <w:rFonts w:hint="eastAsia" w:ascii="宋体" w:hAnsi="宋体" w:eastAsia="宋体" w:cs="宋体"/>
                <w:sz w:val="21"/>
                <w:szCs w:val="21"/>
              </w:rPr>
            </w:pPr>
            <w:r>
              <w:rPr>
                <w:rFonts w:hint="eastAsia" w:ascii="宋体" w:hAnsi="宋体" w:eastAsia="宋体" w:cs="宋体"/>
                <w:sz w:val="21"/>
                <w:szCs w:val="21"/>
              </w:rPr>
              <w:t>3.7菌落总数检测试剂 25个/盒</w:t>
            </w:r>
          </w:p>
          <w:p>
            <w:pPr>
              <w:rPr>
                <w:rFonts w:hint="eastAsia" w:ascii="宋体" w:hAnsi="宋体" w:eastAsia="宋体" w:cs="宋体"/>
                <w:sz w:val="21"/>
                <w:szCs w:val="21"/>
              </w:rPr>
            </w:pPr>
            <w:r>
              <w:rPr>
                <w:rFonts w:hint="eastAsia" w:ascii="宋体" w:hAnsi="宋体" w:eastAsia="宋体" w:cs="宋体"/>
                <w:sz w:val="21"/>
                <w:szCs w:val="21"/>
              </w:rPr>
              <w:t>3.7.1符合广东省地方标准DB44/T1163-2013“水中菌落总数复合酶底物检测方法”</w:t>
            </w:r>
          </w:p>
          <w:p>
            <w:pPr>
              <w:rPr>
                <w:rFonts w:hint="eastAsia" w:ascii="宋体" w:hAnsi="宋体" w:eastAsia="宋体" w:cs="宋体"/>
                <w:sz w:val="21"/>
                <w:szCs w:val="21"/>
              </w:rPr>
            </w:pPr>
            <w:r>
              <w:rPr>
                <w:rFonts w:hint="eastAsia" w:ascii="宋体" w:hAnsi="宋体" w:eastAsia="宋体" w:cs="宋体"/>
                <w:sz w:val="21"/>
                <w:szCs w:val="21"/>
              </w:rPr>
              <w:t>3.7.2无需在无菌室内操作；无需配置培养基</w:t>
            </w:r>
          </w:p>
          <w:p>
            <w:pPr>
              <w:rPr>
                <w:rFonts w:hint="eastAsia" w:ascii="宋体" w:hAnsi="宋体" w:eastAsia="宋体" w:cs="宋体"/>
                <w:sz w:val="21"/>
                <w:szCs w:val="21"/>
              </w:rPr>
            </w:pPr>
            <w:r>
              <w:rPr>
                <w:rFonts w:hint="eastAsia" w:ascii="宋体" w:hAnsi="宋体" w:eastAsia="宋体" w:cs="宋体"/>
                <w:sz w:val="21"/>
                <w:szCs w:val="21"/>
              </w:rPr>
              <w:t>3.7.3检测范围1-738NPM/1ml</w:t>
            </w:r>
          </w:p>
          <w:p>
            <w:pPr>
              <w:rPr>
                <w:rFonts w:hint="eastAsia" w:ascii="宋体" w:hAnsi="宋体" w:eastAsia="宋体" w:cs="宋体"/>
                <w:sz w:val="21"/>
                <w:szCs w:val="21"/>
              </w:rPr>
            </w:pPr>
            <w:r>
              <w:rPr>
                <w:rFonts w:hint="eastAsia" w:ascii="宋体" w:hAnsi="宋体" w:eastAsia="宋体" w:cs="宋体"/>
                <w:sz w:val="21"/>
                <w:szCs w:val="21"/>
              </w:rPr>
              <w:t>3.7.4 配套84孔圆形定量盘</w:t>
            </w:r>
          </w:p>
          <w:p>
            <w:pPr>
              <w:rPr>
                <w:rFonts w:hint="eastAsia" w:ascii="宋体" w:hAnsi="宋体" w:eastAsia="宋体" w:cs="宋体"/>
                <w:sz w:val="21"/>
                <w:szCs w:val="21"/>
              </w:rPr>
            </w:pPr>
            <w:r>
              <w:rPr>
                <w:rFonts w:hint="eastAsia" w:ascii="宋体" w:hAnsi="宋体" w:eastAsia="宋体" w:cs="宋体"/>
                <w:sz w:val="21"/>
                <w:szCs w:val="21"/>
              </w:rPr>
              <w:t>3.8微生物大肠菌质控样 3瓶/盒</w:t>
            </w:r>
          </w:p>
          <w:p>
            <w:pPr>
              <w:rPr>
                <w:rFonts w:hint="eastAsia" w:ascii="宋体" w:hAnsi="宋体" w:eastAsia="宋体" w:cs="宋体"/>
                <w:sz w:val="21"/>
                <w:szCs w:val="21"/>
              </w:rPr>
            </w:pPr>
            <w:r>
              <w:rPr>
                <w:rFonts w:hint="eastAsia" w:ascii="宋体" w:hAnsi="宋体" w:eastAsia="宋体" w:cs="宋体"/>
                <w:sz w:val="21"/>
                <w:szCs w:val="21"/>
              </w:rPr>
              <w:t>3.8.1可以溯源到NCTC9001（ATCC11755）的原代大肠埃希氏菌，可用于检测饮用水中的总大肠菌群、大肠埃希氏菌和粪大肠菌群</w:t>
            </w:r>
          </w:p>
          <w:p>
            <w:pPr>
              <w:rPr>
                <w:rFonts w:hint="eastAsia" w:ascii="宋体" w:hAnsi="宋体" w:eastAsia="宋体" w:cs="宋体"/>
                <w:sz w:val="21"/>
                <w:szCs w:val="21"/>
              </w:rPr>
            </w:pPr>
            <w:r>
              <w:rPr>
                <w:rFonts w:hint="eastAsia" w:ascii="宋体" w:hAnsi="宋体" w:eastAsia="宋体" w:cs="宋体"/>
                <w:sz w:val="21"/>
                <w:szCs w:val="21"/>
              </w:rPr>
              <w:t>3.8.2 混合菌种，不限定检测方法</w:t>
            </w:r>
          </w:p>
          <w:p>
            <w:pPr>
              <w:rPr>
                <w:rFonts w:hint="eastAsia" w:ascii="宋体" w:hAnsi="宋体" w:eastAsia="宋体" w:cs="宋体"/>
                <w:sz w:val="21"/>
                <w:szCs w:val="21"/>
              </w:rPr>
            </w:pPr>
            <w:r>
              <w:rPr>
                <w:rFonts w:hint="eastAsia" w:ascii="宋体" w:hAnsi="宋体" w:eastAsia="宋体" w:cs="宋体"/>
                <w:sz w:val="21"/>
                <w:szCs w:val="21"/>
              </w:rPr>
              <w:t>3.8.3 结果报告单中体现不同方法所得到的真值和范围值</w:t>
            </w:r>
          </w:p>
          <w:p>
            <w:pPr>
              <w:rPr>
                <w:rFonts w:hint="eastAsia" w:ascii="宋体" w:hAnsi="宋体" w:eastAsia="宋体" w:cs="宋体"/>
                <w:sz w:val="21"/>
                <w:szCs w:val="21"/>
              </w:rPr>
            </w:pPr>
            <w:r>
              <w:rPr>
                <w:rFonts w:hint="eastAsia" w:ascii="宋体" w:hAnsi="宋体" w:eastAsia="宋体" w:cs="宋体"/>
                <w:sz w:val="21"/>
                <w:szCs w:val="21"/>
              </w:rPr>
              <w:t>3.8.4 无需传代，直接可以培养使用，-10°保存</w:t>
            </w:r>
          </w:p>
          <w:p>
            <w:pPr>
              <w:rPr>
                <w:rFonts w:hint="eastAsia" w:ascii="宋体" w:hAnsi="宋体" w:eastAsia="宋体" w:cs="宋体"/>
                <w:sz w:val="21"/>
                <w:szCs w:val="21"/>
              </w:rPr>
            </w:pPr>
            <w:r>
              <w:rPr>
                <w:rFonts w:hint="eastAsia" w:ascii="宋体" w:hAnsi="宋体" w:eastAsia="宋体" w:cs="宋体"/>
                <w:sz w:val="21"/>
                <w:szCs w:val="21"/>
              </w:rPr>
              <w:t>3.8.2 通过：ISO 9001:2008、ISO 17025:2005、ISO Guide 34:2009、ISO 17043:2010认证</w:t>
            </w:r>
          </w:p>
          <w:p>
            <w:pPr>
              <w:pStyle w:val="20"/>
              <w:numPr>
                <w:ilvl w:val="0"/>
                <w:numId w:val="0"/>
              </w:numPr>
              <w:ind w:leftChars="0"/>
              <w:rPr>
                <w:rFonts w:hint="eastAsia" w:ascii="宋体" w:hAnsi="宋体" w:eastAsia="宋体" w:cs="宋体"/>
                <w:sz w:val="21"/>
                <w:szCs w:val="21"/>
                <w:lang w:eastAsia="zh-CN"/>
              </w:rPr>
            </w:pPr>
            <w:r>
              <w:rPr>
                <w:rFonts w:hint="eastAsia" w:ascii="宋体" w:hAnsi="宋体" w:cs="宋体"/>
                <w:sz w:val="21"/>
                <w:szCs w:val="21"/>
                <w:lang w:val="en-US" w:eastAsia="zh-CN"/>
              </w:rPr>
              <w:t>三、</w:t>
            </w:r>
            <w:r>
              <w:rPr>
                <w:rFonts w:hint="eastAsia" w:ascii="宋体" w:hAnsi="宋体" w:eastAsia="宋体" w:cs="宋体"/>
                <w:sz w:val="21"/>
                <w:szCs w:val="21"/>
              </w:rPr>
              <w:t>配置清单</w:t>
            </w:r>
            <w:r>
              <w:rPr>
                <w:rFonts w:hint="eastAsia" w:ascii="宋体" w:hAnsi="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1、程控定量封口机 1 台</w:t>
            </w:r>
          </w:p>
          <w:p>
            <w:pPr>
              <w:rPr>
                <w:rFonts w:hint="eastAsia" w:ascii="宋体" w:hAnsi="宋体" w:eastAsia="宋体" w:cs="宋体"/>
                <w:sz w:val="21"/>
                <w:szCs w:val="21"/>
              </w:rPr>
            </w:pPr>
            <w:r>
              <w:rPr>
                <w:rFonts w:hint="eastAsia" w:ascii="宋体" w:hAnsi="宋体" w:eastAsia="宋体" w:cs="宋体"/>
                <w:sz w:val="21"/>
                <w:szCs w:val="21"/>
              </w:rPr>
              <w:t>2、紫外灯 1 台</w:t>
            </w:r>
          </w:p>
          <w:p>
            <w:pPr>
              <w:rPr>
                <w:rFonts w:hint="eastAsia" w:ascii="宋体" w:hAnsi="宋体" w:eastAsia="宋体" w:cs="宋体"/>
                <w:sz w:val="21"/>
                <w:szCs w:val="21"/>
              </w:rPr>
            </w:pPr>
            <w:r>
              <w:rPr>
                <w:rFonts w:hint="eastAsia" w:ascii="宋体" w:hAnsi="宋体" w:eastAsia="宋体" w:cs="宋体"/>
                <w:sz w:val="21"/>
                <w:szCs w:val="21"/>
              </w:rPr>
              <w:t>3、紫外灯箱 1 台</w:t>
            </w:r>
          </w:p>
          <w:p>
            <w:pPr>
              <w:rPr>
                <w:rFonts w:hint="eastAsia" w:ascii="宋体" w:hAnsi="宋体" w:eastAsia="宋体" w:cs="宋体"/>
                <w:sz w:val="21"/>
                <w:szCs w:val="21"/>
              </w:rPr>
            </w:pPr>
            <w:r>
              <w:rPr>
                <w:rFonts w:hint="eastAsia" w:ascii="宋体" w:hAnsi="宋体" w:eastAsia="宋体" w:cs="宋体"/>
                <w:sz w:val="21"/>
                <w:szCs w:val="21"/>
              </w:rPr>
              <w:t>4、酶底物法试剂  200 个/盒</w:t>
            </w:r>
          </w:p>
          <w:p>
            <w:pPr>
              <w:rPr>
                <w:rFonts w:hint="eastAsia" w:ascii="宋体" w:hAnsi="宋体" w:eastAsia="宋体" w:cs="宋体"/>
                <w:sz w:val="21"/>
                <w:szCs w:val="21"/>
              </w:rPr>
            </w:pPr>
            <w:r>
              <w:rPr>
                <w:rFonts w:hint="eastAsia" w:ascii="宋体" w:hAnsi="宋体" w:eastAsia="宋体" w:cs="宋体"/>
                <w:sz w:val="21"/>
                <w:szCs w:val="21"/>
              </w:rPr>
              <w:t>5、97 孔定量盘 100 个/箱</w:t>
            </w:r>
          </w:p>
          <w:p>
            <w:pPr>
              <w:rPr>
                <w:rFonts w:hint="eastAsia" w:ascii="宋体" w:hAnsi="宋体" w:eastAsia="宋体" w:cs="宋体"/>
                <w:sz w:val="21"/>
                <w:szCs w:val="21"/>
              </w:rPr>
            </w:pPr>
            <w:r>
              <w:rPr>
                <w:rFonts w:hint="eastAsia" w:ascii="宋体" w:hAnsi="宋体" w:eastAsia="宋体" w:cs="宋体"/>
                <w:sz w:val="21"/>
                <w:szCs w:val="21"/>
              </w:rPr>
              <w:t>6、无菌取样瓶 200 个/箱</w:t>
            </w:r>
          </w:p>
          <w:p>
            <w:pPr>
              <w:rPr>
                <w:rFonts w:hint="eastAsia" w:ascii="宋体" w:hAnsi="宋体" w:eastAsia="宋体" w:cs="宋体"/>
                <w:sz w:val="21"/>
                <w:szCs w:val="21"/>
              </w:rPr>
            </w:pPr>
            <w:r>
              <w:rPr>
                <w:rFonts w:hint="eastAsia" w:ascii="宋体" w:hAnsi="宋体" w:eastAsia="宋体" w:cs="宋体"/>
                <w:sz w:val="21"/>
                <w:szCs w:val="21"/>
              </w:rPr>
              <w:t>7、97 孔阳性比色盘 1 个</w:t>
            </w:r>
          </w:p>
          <w:p>
            <w:pPr>
              <w:rPr>
                <w:rFonts w:hint="eastAsia" w:ascii="宋体" w:hAnsi="宋体" w:eastAsia="宋体" w:cs="宋体"/>
                <w:sz w:val="21"/>
                <w:szCs w:val="21"/>
              </w:rPr>
            </w:pPr>
            <w:r>
              <w:rPr>
                <w:rFonts w:hint="eastAsia" w:ascii="宋体" w:hAnsi="宋体" w:eastAsia="宋体" w:cs="宋体"/>
                <w:sz w:val="21"/>
                <w:szCs w:val="21"/>
              </w:rPr>
              <w:t>8、余氯检测试剂套装 1套</w:t>
            </w:r>
          </w:p>
          <w:p>
            <w:pPr>
              <w:rPr>
                <w:rFonts w:hint="eastAsia" w:ascii="宋体" w:hAnsi="宋体" w:eastAsia="宋体" w:cs="宋体"/>
                <w:sz w:val="21"/>
                <w:szCs w:val="21"/>
              </w:rPr>
            </w:pPr>
            <w:r>
              <w:rPr>
                <w:rFonts w:hint="eastAsia" w:ascii="宋体" w:hAnsi="宋体" w:eastAsia="宋体" w:cs="宋体"/>
                <w:sz w:val="21"/>
                <w:szCs w:val="21"/>
              </w:rPr>
              <w:t>9、菌落总数检测试剂（小包装） 25个/盒</w:t>
            </w:r>
          </w:p>
          <w:p>
            <w:pPr>
              <w:rPr>
                <w:rFonts w:hint="eastAsia" w:ascii="宋体" w:hAnsi="宋体" w:eastAsia="宋体" w:cs="宋体"/>
                <w:sz w:val="21"/>
                <w:szCs w:val="21"/>
              </w:rPr>
            </w:pPr>
            <w:r>
              <w:rPr>
                <w:rFonts w:hint="eastAsia" w:ascii="宋体" w:hAnsi="宋体" w:eastAsia="宋体" w:cs="宋体"/>
                <w:sz w:val="21"/>
                <w:szCs w:val="21"/>
              </w:rPr>
              <w:t>10、微生物大肠菌 3瓶/盒</w:t>
            </w:r>
          </w:p>
        </w:tc>
        <w:tc>
          <w:tcPr>
            <w:tcW w:w="741" w:type="dxa"/>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1</w:t>
            </w:r>
          </w:p>
        </w:tc>
        <w:tc>
          <w:tcPr>
            <w:tcW w:w="873" w:type="dxa"/>
            <w:vAlign w:val="center"/>
          </w:tcPr>
          <w:p>
            <w:pPr>
              <w:spacing w:line="400" w:lineRule="exact"/>
              <w:jc w:val="center"/>
              <w:rPr>
                <w:rFonts w:hint="eastAsia" w:ascii="宋体" w:hAnsi="宋体" w:eastAsia="宋体" w:cs="宋体"/>
                <w:b w:val="0"/>
                <w:bCs/>
                <w:kern w:val="0"/>
                <w:sz w:val="21"/>
                <w:szCs w:val="21"/>
                <w:lang w:val="en-US" w:eastAsia="zh-CN"/>
              </w:rPr>
            </w:pPr>
            <w:r>
              <w:rPr>
                <w:rFonts w:hint="eastAsia" w:ascii="宋体" w:hAnsi="宋体" w:cs="宋体"/>
                <w:b w:val="0"/>
                <w:bCs/>
                <w:kern w:val="0"/>
                <w:sz w:val="21"/>
                <w:szCs w:val="21"/>
                <w:lang w:val="en-US" w:eastAsia="zh-CN"/>
              </w:rPr>
              <w:t>套</w:t>
            </w:r>
          </w:p>
        </w:tc>
        <w:tc>
          <w:tcPr>
            <w:tcW w:w="984" w:type="dxa"/>
            <w:gridSpan w:val="2"/>
          </w:tcPr>
          <w:p>
            <w:pPr>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vAlign w:val="center"/>
          </w:tcPr>
          <w:p>
            <w:pPr>
              <w:spacing w:line="400" w:lineRule="exact"/>
              <w:jc w:val="center"/>
              <w:rPr>
                <w:rFonts w:hint="eastAsia" w:ascii="宋体" w:hAnsi="宋体" w:eastAsia="宋体" w:cs="宋体"/>
                <w:bCs/>
                <w:sz w:val="21"/>
                <w:szCs w:val="21"/>
              </w:rPr>
            </w:pPr>
            <w:r>
              <w:rPr>
                <w:rFonts w:hint="eastAsia" w:ascii="宋体" w:hAnsi="宋体" w:eastAsia="宋体" w:cs="宋体"/>
                <w:bCs/>
                <w:sz w:val="21"/>
                <w:szCs w:val="21"/>
              </w:rPr>
              <w:t>11</w:t>
            </w:r>
          </w:p>
        </w:tc>
        <w:tc>
          <w:tcPr>
            <w:tcW w:w="1443"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多联过滤系统（6联）</w:t>
            </w:r>
          </w:p>
        </w:tc>
        <w:tc>
          <w:tcPr>
            <w:tcW w:w="5357" w:type="dxa"/>
            <w:vAlign w:val="center"/>
          </w:tcPr>
          <w:p>
            <w:pPr>
              <w:spacing w:line="300" w:lineRule="exact"/>
              <w:ind w:left="1260" w:hanging="1470" w:hangingChars="700"/>
              <w:jc w:val="left"/>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cs="宋体"/>
                <w:color w:val="000000"/>
                <w:sz w:val="21"/>
                <w:szCs w:val="21"/>
                <w:lang w:eastAsia="zh-CN"/>
              </w:rPr>
              <w:t>、</w:t>
            </w:r>
            <w:r>
              <w:rPr>
                <w:rFonts w:hint="eastAsia" w:ascii="宋体" w:hAnsi="宋体" w:eastAsia="宋体" w:cs="宋体"/>
                <w:color w:val="000000"/>
                <w:sz w:val="21"/>
                <w:szCs w:val="21"/>
              </w:rPr>
              <w:t>快接设计，整机可拆卸，方便清洗消毒，没有后续耗</w:t>
            </w:r>
          </w:p>
          <w:p>
            <w:pPr>
              <w:spacing w:line="300" w:lineRule="exact"/>
              <w:ind w:left="1260" w:hanging="1470" w:hangingChars="700"/>
              <w:jc w:val="left"/>
              <w:rPr>
                <w:rFonts w:hint="eastAsia" w:ascii="宋体" w:hAnsi="宋体" w:eastAsia="宋体" w:cs="宋体"/>
                <w:color w:val="000000"/>
                <w:sz w:val="21"/>
                <w:szCs w:val="21"/>
              </w:rPr>
            </w:pPr>
            <w:r>
              <w:rPr>
                <w:rFonts w:hint="eastAsia" w:ascii="宋体" w:hAnsi="宋体" w:eastAsia="宋体" w:cs="宋体"/>
                <w:color w:val="000000"/>
                <w:sz w:val="21"/>
                <w:szCs w:val="21"/>
              </w:rPr>
              <w:t>材（除滤膜）</w:t>
            </w:r>
          </w:p>
          <w:p>
            <w:pPr>
              <w:jc w:val="left"/>
              <w:rPr>
                <w:rFonts w:hint="eastAsia" w:ascii="宋体" w:hAnsi="宋体" w:eastAsia="宋体" w:cs="宋体"/>
                <w:sz w:val="21"/>
                <w:szCs w:val="21"/>
              </w:rPr>
            </w:pPr>
            <w:r>
              <w:rPr>
                <w:rFonts w:hint="eastAsia" w:ascii="宋体" w:hAnsi="宋体" w:eastAsia="宋体" w:cs="宋体"/>
                <w:color w:val="000000"/>
                <w:sz w:val="21"/>
                <w:szCs w:val="21"/>
              </w:rPr>
              <w:t>2</w:t>
            </w:r>
            <w:r>
              <w:rPr>
                <w:rFonts w:hint="eastAsia" w:ascii="宋体" w:hAnsi="宋体" w:cs="宋体"/>
                <w:color w:val="000000"/>
                <w:sz w:val="21"/>
                <w:szCs w:val="21"/>
                <w:lang w:eastAsia="zh-CN"/>
              </w:rPr>
              <w:t>、</w:t>
            </w:r>
            <w:r>
              <w:rPr>
                <w:rFonts w:hint="eastAsia" w:ascii="宋体" w:hAnsi="宋体" w:eastAsia="宋体" w:cs="宋体"/>
                <w:color w:val="000000"/>
                <w:sz w:val="21"/>
                <w:szCs w:val="21"/>
              </w:rPr>
              <w:t>带直排式真空泵，不需要额外真空瓶，不需要人工倒水，废水直</w:t>
            </w:r>
            <w:r>
              <w:rPr>
                <w:rFonts w:hint="eastAsia" w:ascii="宋体" w:hAnsi="宋体" w:eastAsia="宋体" w:cs="宋体"/>
                <w:sz w:val="21"/>
                <w:szCs w:val="21"/>
              </w:rPr>
              <w:t>接外排。</w:t>
            </w:r>
          </w:p>
          <w:p>
            <w:pPr>
              <w:jc w:val="left"/>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cs="宋体"/>
                <w:sz w:val="21"/>
                <w:szCs w:val="21"/>
                <w:lang w:eastAsia="zh-CN"/>
              </w:rPr>
              <w:t>、</w:t>
            </w:r>
            <w:r>
              <w:rPr>
                <w:rFonts w:hint="eastAsia" w:ascii="宋体" w:hAnsi="宋体" w:eastAsia="宋体" w:cs="宋体"/>
                <w:sz w:val="21"/>
                <w:szCs w:val="21"/>
              </w:rPr>
              <w:t>“三爪式”不锈钢滤膜扣具设计，不需要额外的夹具，便于单手操作和滤膜的取放，操作简单，使用效率更高。</w:t>
            </w:r>
          </w:p>
          <w:p>
            <w:pPr>
              <w:jc w:val="left"/>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cs="宋体"/>
                <w:sz w:val="21"/>
                <w:szCs w:val="21"/>
                <w:lang w:eastAsia="zh-CN"/>
              </w:rPr>
              <w:t>、</w:t>
            </w:r>
            <w:r>
              <w:rPr>
                <w:rFonts w:hint="eastAsia" w:ascii="宋体" w:hAnsi="宋体" w:eastAsia="宋体" w:cs="宋体"/>
                <w:sz w:val="21"/>
                <w:szCs w:val="21"/>
              </w:rPr>
              <w:t>滤器、滤器连接件、阀门、滤器支架、滤器上盖、滤膜支撑垫等主要配件均采用316优质不锈钢生产，不易损坏。</w:t>
            </w:r>
          </w:p>
          <w:p>
            <w:pPr>
              <w:jc w:val="left"/>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cs="宋体"/>
                <w:sz w:val="21"/>
                <w:szCs w:val="21"/>
                <w:lang w:eastAsia="zh-CN"/>
              </w:rPr>
              <w:t>、</w:t>
            </w:r>
            <w:r>
              <w:rPr>
                <w:rFonts w:hint="eastAsia" w:ascii="宋体" w:hAnsi="宋体" w:eastAsia="宋体" w:cs="宋体"/>
                <w:sz w:val="21"/>
                <w:szCs w:val="21"/>
              </w:rPr>
              <w:t>六联不锈钢过滤系统支架（可加配真空表，实时检测抽滤过滤的实际真空度）</w:t>
            </w:r>
          </w:p>
          <w:p>
            <w:pPr>
              <w:jc w:val="left"/>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cs="宋体"/>
                <w:sz w:val="21"/>
                <w:szCs w:val="21"/>
                <w:lang w:eastAsia="zh-CN"/>
              </w:rPr>
              <w:t>、</w:t>
            </w:r>
            <w:r>
              <w:rPr>
                <w:rFonts w:hint="eastAsia" w:ascii="宋体" w:hAnsi="宋体" w:eastAsia="宋体" w:cs="宋体"/>
                <w:sz w:val="21"/>
                <w:szCs w:val="21"/>
              </w:rPr>
              <w:t>不锈钢滤杯和塑料滤杯两种材质可供选择：根据不同的实验情况选择不同的滤杯材质</w:t>
            </w:r>
          </w:p>
          <w:p>
            <w:pPr>
              <w:jc w:val="left"/>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cs="宋体"/>
                <w:sz w:val="21"/>
                <w:szCs w:val="21"/>
                <w:lang w:eastAsia="zh-CN"/>
              </w:rPr>
              <w:t>、</w:t>
            </w:r>
            <w:r>
              <w:rPr>
                <w:rFonts w:hint="eastAsia" w:ascii="宋体" w:hAnsi="宋体" w:eastAsia="宋体" w:cs="宋体"/>
                <w:sz w:val="21"/>
                <w:szCs w:val="21"/>
              </w:rPr>
              <w:t>配置：</w:t>
            </w:r>
          </w:p>
          <w:p>
            <w:pPr>
              <w:jc w:val="left"/>
              <w:rPr>
                <w:rFonts w:hint="eastAsia" w:ascii="宋体" w:hAnsi="宋体" w:eastAsia="宋体" w:cs="宋体"/>
                <w:sz w:val="21"/>
                <w:szCs w:val="21"/>
              </w:rPr>
            </w:pPr>
            <w:r>
              <w:rPr>
                <w:rFonts w:hint="eastAsia" w:ascii="宋体" w:hAnsi="宋体" w:eastAsia="宋体" w:cs="宋体"/>
                <w:sz w:val="21"/>
                <w:szCs w:val="21"/>
              </w:rPr>
              <w:t>主机1台</w:t>
            </w:r>
          </w:p>
          <w:p>
            <w:pPr>
              <w:pStyle w:val="23"/>
              <w:spacing w:before="0" w:beforeAutospacing="0" w:after="0" w:afterAutospacing="0"/>
              <w:jc w:val="left"/>
              <w:rPr>
                <w:rFonts w:hint="eastAsia" w:ascii="宋体" w:hAnsi="宋体" w:eastAsia="宋体" w:cs="宋体"/>
                <w:sz w:val="21"/>
                <w:szCs w:val="21"/>
              </w:rPr>
            </w:pPr>
            <w:r>
              <w:rPr>
                <w:rFonts w:hint="eastAsia" w:ascii="宋体" w:hAnsi="宋体" w:eastAsia="宋体" w:cs="宋体"/>
                <w:sz w:val="21"/>
                <w:szCs w:val="21"/>
              </w:rPr>
              <w:t>5升废液瓶1个</w:t>
            </w:r>
          </w:p>
          <w:p>
            <w:pPr>
              <w:pStyle w:val="23"/>
              <w:spacing w:before="0" w:beforeAutospacing="0" w:after="0" w:afterAutospacing="0"/>
              <w:jc w:val="left"/>
              <w:rPr>
                <w:rFonts w:hint="eastAsia" w:ascii="宋体" w:hAnsi="宋体" w:eastAsia="宋体" w:cs="宋体"/>
                <w:sz w:val="21"/>
                <w:szCs w:val="21"/>
              </w:rPr>
            </w:pPr>
            <w:r>
              <w:rPr>
                <w:rFonts w:hint="eastAsia" w:ascii="宋体" w:hAnsi="宋体" w:eastAsia="宋体" w:cs="宋体"/>
                <w:sz w:val="21"/>
                <w:szCs w:val="21"/>
              </w:rPr>
              <w:t>真空泵保护装置1个</w:t>
            </w:r>
          </w:p>
          <w:p>
            <w:pPr>
              <w:pStyle w:val="23"/>
              <w:spacing w:before="0" w:beforeAutospacing="0" w:after="0" w:afterAutospacing="0"/>
              <w:jc w:val="left"/>
              <w:rPr>
                <w:rFonts w:hint="eastAsia" w:ascii="宋体" w:hAnsi="宋体" w:eastAsia="宋体" w:cs="宋体"/>
                <w:color w:val="000000"/>
                <w:sz w:val="21"/>
                <w:szCs w:val="21"/>
              </w:rPr>
            </w:pPr>
            <w:r>
              <w:rPr>
                <w:rFonts w:hint="eastAsia" w:ascii="宋体" w:hAnsi="宋体" w:eastAsia="宋体" w:cs="宋体"/>
                <w:color w:val="000000"/>
                <w:sz w:val="21"/>
                <w:szCs w:val="21"/>
              </w:rPr>
              <w:t>六联过滤系统支架1台</w:t>
            </w:r>
          </w:p>
          <w:p>
            <w:pPr>
              <w:pStyle w:val="23"/>
              <w:spacing w:before="0" w:beforeAutospacing="0" w:after="0" w:afterAutospacing="0"/>
              <w:jc w:val="left"/>
              <w:rPr>
                <w:rFonts w:hint="eastAsia" w:ascii="宋体" w:hAnsi="宋体" w:eastAsia="宋体" w:cs="宋体"/>
                <w:color w:val="000000"/>
                <w:sz w:val="21"/>
                <w:szCs w:val="21"/>
              </w:rPr>
            </w:pPr>
            <w:r>
              <w:rPr>
                <w:rFonts w:hint="eastAsia" w:ascii="宋体" w:hAnsi="宋体" w:eastAsia="宋体" w:cs="宋体"/>
                <w:color w:val="000000"/>
                <w:sz w:val="21"/>
                <w:szCs w:val="21"/>
              </w:rPr>
              <w:t>250毫升不锈钢滤杯（适配滤膜ф47mm）及杯盖6套</w:t>
            </w:r>
          </w:p>
          <w:p>
            <w:pPr>
              <w:pStyle w:val="23"/>
              <w:spacing w:before="0" w:beforeAutospacing="0" w:after="0" w:afterAutospacing="0"/>
              <w:jc w:val="left"/>
              <w:rPr>
                <w:rFonts w:hint="eastAsia" w:ascii="宋体" w:hAnsi="宋体" w:eastAsia="宋体" w:cs="宋体"/>
                <w:color w:val="000000"/>
                <w:sz w:val="21"/>
                <w:szCs w:val="21"/>
              </w:rPr>
            </w:pPr>
            <w:r>
              <w:rPr>
                <w:rFonts w:hint="eastAsia" w:ascii="宋体" w:hAnsi="宋体" w:eastAsia="宋体" w:cs="宋体"/>
                <w:color w:val="000000"/>
                <w:sz w:val="21"/>
                <w:szCs w:val="21"/>
              </w:rPr>
              <w:t>6孔不锈钢燃烧架1台</w:t>
            </w:r>
          </w:p>
          <w:p>
            <w:pPr>
              <w:pStyle w:val="23"/>
              <w:spacing w:before="0" w:beforeAutospacing="0" w:after="0" w:afterAutospacing="0"/>
              <w:jc w:val="left"/>
              <w:rPr>
                <w:rFonts w:hint="eastAsia" w:ascii="宋体" w:hAnsi="宋体" w:eastAsia="宋体" w:cs="宋体"/>
                <w:color w:val="000000"/>
                <w:sz w:val="21"/>
                <w:szCs w:val="21"/>
              </w:rPr>
            </w:pPr>
            <w:r>
              <w:rPr>
                <w:rFonts w:hint="eastAsia" w:ascii="宋体" w:hAnsi="宋体" w:eastAsia="宋体" w:cs="宋体"/>
                <w:color w:val="000000"/>
                <w:sz w:val="21"/>
                <w:szCs w:val="21"/>
              </w:rPr>
              <w:t>滤头防尘盖6套</w:t>
            </w:r>
          </w:p>
          <w:p>
            <w:pPr>
              <w:pStyle w:val="23"/>
              <w:spacing w:before="0" w:beforeAutospacing="0" w:after="0" w:afterAutospacing="0"/>
              <w:jc w:val="left"/>
              <w:rPr>
                <w:rFonts w:hint="eastAsia" w:ascii="宋体" w:hAnsi="宋体" w:eastAsia="宋体" w:cs="宋体"/>
                <w:sz w:val="21"/>
                <w:szCs w:val="21"/>
              </w:rPr>
            </w:pPr>
            <w:r>
              <w:rPr>
                <w:rFonts w:hint="eastAsia" w:ascii="宋体" w:hAnsi="宋体" w:eastAsia="宋体" w:cs="宋体"/>
                <w:color w:val="000000"/>
                <w:sz w:val="21"/>
                <w:szCs w:val="21"/>
              </w:rPr>
              <w:t>快接型真空表1个</w:t>
            </w:r>
          </w:p>
        </w:tc>
        <w:tc>
          <w:tcPr>
            <w:tcW w:w="741" w:type="dxa"/>
            <w:vAlign w:val="center"/>
          </w:tcPr>
          <w:p>
            <w:pPr>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c>
          <w:tcPr>
            <w:tcW w:w="873" w:type="dxa"/>
            <w:vAlign w:val="center"/>
          </w:tcPr>
          <w:p>
            <w:pPr>
              <w:spacing w:line="400" w:lineRule="exact"/>
              <w:jc w:val="center"/>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套</w:t>
            </w:r>
          </w:p>
        </w:tc>
        <w:tc>
          <w:tcPr>
            <w:tcW w:w="984" w:type="dxa"/>
            <w:gridSpan w:val="2"/>
          </w:tcPr>
          <w:p>
            <w:pPr>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vAlign w:val="center"/>
          </w:tcPr>
          <w:p>
            <w:pPr>
              <w:spacing w:line="400" w:lineRule="exact"/>
              <w:jc w:val="center"/>
              <w:rPr>
                <w:rFonts w:hint="eastAsia" w:ascii="宋体" w:hAnsi="宋体" w:eastAsia="宋体" w:cs="宋体"/>
                <w:bCs/>
                <w:sz w:val="21"/>
                <w:szCs w:val="21"/>
              </w:rPr>
            </w:pPr>
            <w:r>
              <w:rPr>
                <w:rFonts w:hint="eastAsia" w:ascii="宋体" w:hAnsi="宋体" w:eastAsia="宋体" w:cs="宋体"/>
                <w:bCs/>
                <w:sz w:val="21"/>
                <w:szCs w:val="21"/>
              </w:rPr>
              <w:t>12</w:t>
            </w:r>
          </w:p>
        </w:tc>
        <w:tc>
          <w:tcPr>
            <w:tcW w:w="1443"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病毒专用移液器</w:t>
            </w:r>
          </w:p>
          <w:p>
            <w:pPr>
              <w:widowControl/>
              <w:jc w:val="center"/>
              <w:textAlignment w:val="center"/>
              <w:rPr>
                <w:rFonts w:hint="eastAsia" w:ascii="宋体" w:hAnsi="宋体" w:eastAsia="宋体" w:cs="宋体"/>
                <w:color w:val="000000"/>
                <w:sz w:val="21"/>
                <w:szCs w:val="21"/>
              </w:rPr>
            </w:pPr>
          </w:p>
        </w:tc>
        <w:tc>
          <w:tcPr>
            <w:tcW w:w="5357" w:type="dxa"/>
            <w:vAlign w:val="center"/>
          </w:tcPr>
          <w:p>
            <w:pPr>
              <w:pStyle w:val="12"/>
              <w:widowControl/>
              <w:numPr>
                <w:ilvl w:val="0"/>
                <w:numId w:val="0"/>
              </w:numPr>
              <w:shd w:val="clear" w:color="auto" w:fill="FFFFFF"/>
              <w:spacing w:before="0" w:after="0"/>
              <w:ind w:leftChars="0"/>
              <w:rPr>
                <w:rFonts w:hint="eastAsia" w:ascii="宋体" w:hAnsi="宋体" w:eastAsia="宋体" w:cs="宋体"/>
                <w:color w:val="222222"/>
                <w:sz w:val="21"/>
                <w:szCs w:val="21"/>
                <w:lang w:val="en-US" w:eastAsia="zh-CN"/>
              </w:rPr>
            </w:pPr>
            <w:r>
              <w:rPr>
                <w:rFonts w:hint="eastAsia" w:ascii="宋体" w:hAnsi="宋体" w:eastAsia="宋体" w:cs="宋体"/>
                <w:color w:val="222222"/>
                <w:sz w:val="21"/>
                <w:szCs w:val="21"/>
                <w:lang w:val="en-US" w:eastAsia="zh-CN"/>
              </w:rPr>
              <w:t>一:功能</w:t>
            </w:r>
          </w:p>
          <w:p>
            <w:pPr>
              <w:pStyle w:val="12"/>
              <w:widowControl/>
              <w:numPr>
                <w:ilvl w:val="0"/>
                <w:numId w:val="0"/>
              </w:numPr>
              <w:shd w:val="clear" w:color="auto" w:fill="FFFFFF"/>
              <w:spacing w:before="0" w:after="0"/>
              <w:ind w:leftChars="0"/>
              <w:rPr>
                <w:rFonts w:hint="eastAsia" w:ascii="宋体" w:hAnsi="宋体" w:eastAsia="宋体" w:cs="宋体"/>
                <w:color w:val="222222"/>
                <w:sz w:val="21"/>
                <w:szCs w:val="21"/>
              </w:rPr>
            </w:pPr>
            <w:r>
              <w:rPr>
                <w:rFonts w:hint="eastAsia" w:ascii="宋体" w:hAnsi="宋体" w:eastAsia="宋体" w:cs="宋体"/>
                <w:color w:val="222222"/>
                <w:sz w:val="21"/>
                <w:szCs w:val="21"/>
                <w:lang w:val="en-US" w:eastAsia="zh-CN"/>
              </w:rPr>
              <w:t>1、</w:t>
            </w:r>
            <w:r>
              <w:rPr>
                <w:rFonts w:hint="eastAsia" w:ascii="宋体" w:hAnsi="宋体" w:eastAsia="宋体" w:cs="宋体"/>
                <w:color w:val="222222"/>
                <w:sz w:val="21"/>
                <w:szCs w:val="21"/>
              </w:rPr>
              <w:t>四位数字显示，精密度高，移液时便于观察读数框</w:t>
            </w:r>
          </w:p>
          <w:p>
            <w:pPr>
              <w:pStyle w:val="12"/>
              <w:shd w:val="clear" w:color="auto" w:fill="FFFFFF"/>
              <w:spacing w:before="0" w:after="0"/>
              <w:rPr>
                <w:rFonts w:hint="eastAsia" w:ascii="宋体" w:hAnsi="宋体" w:eastAsia="宋体" w:cs="宋体"/>
                <w:color w:val="222222"/>
                <w:sz w:val="21"/>
                <w:szCs w:val="21"/>
              </w:rPr>
            </w:pPr>
            <w:r>
              <w:rPr>
                <w:rFonts w:hint="eastAsia" w:ascii="宋体" w:hAnsi="宋体" w:eastAsia="宋体" w:cs="宋体"/>
                <w:color w:val="222222"/>
                <w:sz w:val="21"/>
                <w:szCs w:val="21"/>
              </w:rPr>
              <w:t>2、可整支高温高压灭菌和紫外线灭菌，操作更安全</w:t>
            </w:r>
            <w:r>
              <w:rPr>
                <w:rFonts w:hint="eastAsia" w:ascii="宋体" w:hAnsi="宋体" w:eastAsia="宋体" w:cs="宋体"/>
                <w:color w:val="222222"/>
                <w:sz w:val="21"/>
                <w:szCs w:val="21"/>
              </w:rPr>
              <w:br w:type="textWrapping"/>
            </w:r>
            <w:r>
              <w:rPr>
                <w:rFonts w:hint="eastAsia" w:ascii="宋体" w:hAnsi="宋体" w:eastAsia="宋体" w:cs="宋体"/>
                <w:color w:val="222222"/>
                <w:sz w:val="21"/>
                <w:szCs w:val="21"/>
              </w:rPr>
              <w:t>3、卓越人体工程学设计，重量轻，操作用力小，避免发生手部重复性劳损（RSI），单手可调，光滑轻便，适手性好</w:t>
            </w:r>
            <w:r>
              <w:rPr>
                <w:rFonts w:hint="eastAsia" w:ascii="宋体" w:hAnsi="宋体" w:eastAsia="宋体" w:cs="宋体"/>
                <w:color w:val="222222"/>
                <w:sz w:val="21"/>
                <w:szCs w:val="21"/>
              </w:rPr>
              <w:br w:type="textWrapping"/>
            </w:r>
            <w:r>
              <w:rPr>
                <w:rFonts w:hint="eastAsia" w:ascii="宋体" w:hAnsi="宋体" w:eastAsia="宋体" w:cs="宋体"/>
                <w:color w:val="222222"/>
                <w:sz w:val="21"/>
                <w:szCs w:val="21"/>
              </w:rPr>
              <w:t>4、伸缩式弹性吸嘴设计，防止吸头安装高高低低，确保移液气密性和均一性</w:t>
            </w:r>
            <w:r>
              <w:rPr>
                <w:rFonts w:hint="eastAsia" w:ascii="宋体" w:hAnsi="宋体" w:eastAsia="宋体" w:cs="宋体"/>
                <w:color w:val="222222"/>
                <w:sz w:val="21"/>
                <w:szCs w:val="21"/>
              </w:rPr>
              <w:br w:type="textWrapping"/>
            </w:r>
            <w:r>
              <w:rPr>
                <w:rFonts w:hint="eastAsia" w:ascii="宋体" w:hAnsi="宋体" w:eastAsia="宋体" w:cs="宋体"/>
                <w:color w:val="222222"/>
                <w:sz w:val="21"/>
                <w:szCs w:val="21"/>
              </w:rPr>
              <w:t>5、具备密度调节功能，适用于不同密度的液体，通用性更广泛</w:t>
            </w:r>
            <w:r>
              <w:rPr>
                <w:rFonts w:hint="eastAsia" w:ascii="宋体" w:hAnsi="宋体" w:eastAsia="宋体" w:cs="宋体"/>
                <w:color w:val="222222"/>
                <w:sz w:val="21"/>
                <w:szCs w:val="21"/>
              </w:rPr>
              <w:br w:type="textWrapping"/>
            </w:r>
            <w:r>
              <w:rPr>
                <w:rFonts w:hint="eastAsia" w:ascii="宋体" w:hAnsi="宋体" w:eastAsia="宋体" w:cs="宋体"/>
                <w:color w:val="222222"/>
                <w:sz w:val="21"/>
                <w:szCs w:val="21"/>
              </w:rPr>
              <w:t>6、 采用高科技材质，坚固耐用，耐高温抗腐蚀</w:t>
            </w:r>
            <w:r>
              <w:rPr>
                <w:rFonts w:hint="eastAsia" w:ascii="宋体" w:hAnsi="宋体" w:eastAsia="宋体" w:cs="宋体"/>
                <w:color w:val="222222"/>
                <w:sz w:val="21"/>
                <w:szCs w:val="21"/>
              </w:rPr>
              <w:br w:type="textWrapping"/>
            </w:r>
            <w:r>
              <w:rPr>
                <w:rFonts w:hint="eastAsia" w:ascii="宋体" w:hAnsi="宋体" w:eastAsia="宋体" w:cs="宋体"/>
                <w:color w:val="222222"/>
                <w:sz w:val="21"/>
                <w:szCs w:val="21"/>
              </w:rPr>
              <w:t>7、 移液器的拆卸和维护非常便捷</w:t>
            </w:r>
          </w:p>
          <w:p>
            <w:pPr>
              <w:widowControl/>
              <w:jc w:val="left"/>
              <w:rPr>
                <w:rFonts w:hint="eastAsia" w:ascii="宋体" w:hAnsi="宋体" w:eastAsia="宋体" w:cs="宋体"/>
                <w:sz w:val="21"/>
                <w:szCs w:val="21"/>
              </w:rPr>
            </w:pPr>
            <w:r>
              <w:rPr>
                <w:rFonts w:hint="eastAsia" w:ascii="宋体" w:hAnsi="宋体" w:eastAsia="宋体" w:cs="宋体"/>
                <w:sz w:val="21"/>
                <w:szCs w:val="21"/>
              </w:rPr>
              <w:t>二：配置</w:t>
            </w:r>
          </w:p>
          <w:p>
            <w:pPr>
              <w:widowControl/>
              <w:jc w:val="left"/>
              <w:rPr>
                <w:rFonts w:hint="eastAsia" w:ascii="宋体" w:hAnsi="宋体" w:eastAsia="宋体" w:cs="宋体"/>
                <w:sz w:val="21"/>
                <w:szCs w:val="21"/>
              </w:rPr>
            </w:pPr>
            <w:r>
              <w:rPr>
                <w:rFonts w:hint="eastAsia" w:ascii="宋体" w:hAnsi="宋体" w:eastAsia="宋体" w:cs="宋体"/>
                <w:color w:val="222222"/>
                <w:sz w:val="21"/>
                <w:szCs w:val="21"/>
              </w:rPr>
              <w:t>一套8支：0.1-2.5ul、0.5-10ul 、2-20ul、10-100ul 、20-200ul、100-1000ul 、0.5-10ul八道 、10-100ul（12道）</w:t>
            </w:r>
          </w:p>
        </w:tc>
        <w:tc>
          <w:tcPr>
            <w:tcW w:w="741" w:type="dxa"/>
            <w:vAlign w:val="center"/>
          </w:tcPr>
          <w:p>
            <w:pPr>
              <w:jc w:val="center"/>
              <w:rPr>
                <w:rFonts w:hint="default" w:ascii="宋体" w:hAnsi="宋体" w:eastAsia="宋体" w:cs="宋体"/>
                <w:b w:val="0"/>
                <w:bCs/>
                <w:sz w:val="21"/>
                <w:szCs w:val="21"/>
                <w:lang w:val="en-US" w:eastAsia="zh-CN"/>
              </w:rPr>
            </w:pPr>
            <w:r>
              <w:rPr>
                <w:rFonts w:hint="eastAsia" w:ascii="宋体" w:hAnsi="宋体" w:cs="宋体"/>
                <w:b w:val="0"/>
                <w:bCs/>
                <w:sz w:val="21"/>
                <w:szCs w:val="21"/>
                <w:lang w:val="en-US" w:eastAsia="zh-CN"/>
              </w:rPr>
              <w:t>2</w:t>
            </w:r>
          </w:p>
        </w:tc>
        <w:tc>
          <w:tcPr>
            <w:tcW w:w="873" w:type="dxa"/>
            <w:vAlign w:val="center"/>
          </w:tcPr>
          <w:p>
            <w:pPr>
              <w:spacing w:line="400" w:lineRule="exact"/>
              <w:jc w:val="center"/>
              <w:rPr>
                <w:rFonts w:hint="default" w:ascii="宋体" w:hAnsi="宋体" w:eastAsia="宋体" w:cs="宋体"/>
                <w:b w:val="0"/>
                <w:bCs/>
                <w:kern w:val="0"/>
                <w:sz w:val="21"/>
                <w:szCs w:val="21"/>
                <w:lang w:val="en-US" w:eastAsia="zh-CN"/>
              </w:rPr>
            </w:pPr>
            <w:r>
              <w:rPr>
                <w:rFonts w:hint="eastAsia" w:ascii="宋体" w:hAnsi="宋体" w:cs="宋体"/>
                <w:b w:val="0"/>
                <w:bCs/>
                <w:kern w:val="0"/>
                <w:sz w:val="21"/>
                <w:szCs w:val="21"/>
                <w:lang w:val="en-US" w:eastAsia="zh-CN"/>
              </w:rPr>
              <w:t>台</w:t>
            </w:r>
          </w:p>
        </w:tc>
        <w:tc>
          <w:tcPr>
            <w:tcW w:w="984" w:type="dxa"/>
            <w:gridSpan w:val="2"/>
          </w:tcPr>
          <w:p>
            <w:pPr>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vAlign w:val="center"/>
          </w:tcPr>
          <w:p>
            <w:pPr>
              <w:spacing w:line="400" w:lineRule="exact"/>
              <w:jc w:val="center"/>
              <w:rPr>
                <w:rFonts w:hint="eastAsia" w:ascii="宋体" w:hAnsi="宋体" w:eastAsia="宋体" w:cs="宋体"/>
                <w:bCs/>
                <w:sz w:val="21"/>
                <w:szCs w:val="21"/>
              </w:rPr>
            </w:pPr>
            <w:r>
              <w:rPr>
                <w:rFonts w:hint="eastAsia" w:ascii="宋体" w:hAnsi="宋体" w:eastAsia="宋体" w:cs="宋体"/>
                <w:bCs/>
                <w:sz w:val="21"/>
                <w:szCs w:val="21"/>
              </w:rPr>
              <w:t>13</w:t>
            </w:r>
          </w:p>
        </w:tc>
        <w:tc>
          <w:tcPr>
            <w:tcW w:w="1443"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细胞计数器</w:t>
            </w:r>
          </w:p>
        </w:tc>
        <w:tc>
          <w:tcPr>
            <w:tcW w:w="5357" w:type="dxa"/>
            <w:vAlign w:val="center"/>
          </w:tcPr>
          <w:p>
            <w:pPr>
              <w:tabs>
                <w:tab w:val="left" w:pos="9180"/>
              </w:tabs>
              <w:rPr>
                <w:rFonts w:hint="eastAsia" w:ascii="宋体" w:hAnsi="宋体" w:eastAsia="宋体" w:cs="宋体"/>
                <w:sz w:val="21"/>
                <w:szCs w:val="21"/>
              </w:rPr>
            </w:pPr>
            <w:r>
              <w:rPr>
                <w:rFonts w:hint="eastAsia" w:ascii="宋体" w:hAnsi="宋体" w:eastAsia="宋体" w:cs="宋体"/>
                <w:sz w:val="21"/>
                <w:szCs w:val="21"/>
              </w:rPr>
              <w:t>1工作条件：</w:t>
            </w:r>
          </w:p>
          <w:p>
            <w:pPr>
              <w:tabs>
                <w:tab w:val="left" w:pos="9180"/>
              </w:tabs>
              <w:rPr>
                <w:rFonts w:hint="eastAsia" w:ascii="宋体" w:hAnsi="宋体" w:eastAsia="宋体" w:cs="宋体"/>
                <w:sz w:val="21"/>
                <w:szCs w:val="21"/>
              </w:rPr>
            </w:pPr>
            <w:r>
              <w:rPr>
                <w:rFonts w:hint="eastAsia" w:ascii="宋体" w:hAnsi="宋体" w:eastAsia="宋体" w:cs="宋体"/>
                <w:sz w:val="21"/>
                <w:szCs w:val="21"/>
              </w:rPr>
              <w:t>1.1常温常湿条件</w:t>
            </w:r>
          </w:p>
          <w:p>
            <w:pPr>
              <w:tabs>
                <w:tab w:val="left" w:pos="9180"/>
              </w:tabs>
              <w:rPr>
                <w:rFonts w:hint="eastAsia" w:ascii="宋体" w:hAnsi="宋体" w:eastAsia="宋体" w:cs="宋体"/>
                <w:sz w:val="21"/>
                <w:szCs w:val="21"/>
              </w:rPr>
            </w:pPr>
            <w:r>
              <w:rPr>
                <w:rFonts w:hint="eastAsia" w:ascii="宋体" w:hAnsi="宋体" w:eastAsia="宋体" w:cs="宋体"/>
                <w:sz w:val="21"/>
                <w:szCs w:val="21"/>
              </w:rPr>
              <w:t>2主要技术指标</w:t>
            </w:r>
          </w:p>
          <w:p>
            <w:pPr>
              <w:tabs>
                <w:tab w:val="left" w:pos="9180"/>
              </w:tabs>
              <w:rPr>
                <w:rFonts w:hint="eastAsia" w:ascii="宋体" w:hAnsi="宋体" w:eastAsia="宋体" w:cs="宋体"/>
                <w:sz w:val="21"/>
                <w:szCs w:val="21"/>
              </w:rPr>
            </w:pPr>
            <w:r>
              <w:rPr>
                <w:rFonts w:hint="eastAsia" w:ascii="宋体" w:hAnsi="宋体" w:eastAsia="宋体" w:cs="宋体"/>
                <w:sz w:val="21"/>
                <w:szCs w:val="21"/>
              </w:rPr>
              <w:t>2.1仪器包含非染色和染色两种模式计数。</w:t>
            </w:r>
          </w:p>
          <w:p>
            <w:pPr>
              <w:tabs>
                <w:tab w:val="left" w:pos="9180"/>
              </w:tabs>
              <w:rPr>
                <w:rFonts w:hint="eastAsia" w:ascii="宋体" w:hAnsi="宋体" w:eastAsia="宋体" w:cs="宋体"/>
                <w:sz w:val="21"/>
                <w:szCs w:val="21"/>
              </w:rPr>
            </w:pPr>
            <w:r>
              <w:rPr>
                <w:rFonts w:hint="eastAsia" w:ascii="宋体" w:hAnsi="宋体" w:eastAsia="宋体" w:cs="宋体"/>
                <w:sz w:val="21"/>
                <w:szCs w:val="21"/>
              </w:rPr>
              <w:t>2.2台式一体机,无需外接电脑,操作简单，触摸屏。</w:t>
            </w:r>
          </w:p>
          <w:p>
            <w:pPr>
              <w:tabs>
                <w:tab w:val="left" w:pos="9180"/>
              </w:tabs>
              <w:rPr>
                <w:rFonts w:hint="eastAsia" w:ascii="宋体" w:hAnsi="宋体" w:eastAsia="宋体" w:cs="宋体"/>
                <w:sz w:val="21"/>
                <w:szCs w:val="21"/>
              </w:rPr>
            </w:pPr>
            <w:r>
              <w:rPr>
                <w:rFonts w:hint="eastAsia" w:ascii="宋体" w:hAnsi="宋体" w:eastAsia="宋体" w:cs="宋体"/>
                <w:sz w:val="21"/>
                <w:szCs w:val="21"/>
              </w:rPr>
              <w:t>2.3对焦：真正意义的全自动智能对焦，更换任何样本都无需人为干预重新定焦。</w:t>
            </w:r>
          </w:p>
          <w:p>
            <w:pPr>
              <w:tabs>
                <w:tab w:val="left" w:pos="9180"/>
              </w:tabs>
              <w:rPr>
                <w:rFonts w:hint="eastAsia" w:ascii="宋体" w:hAnsi="宋体" w:eastAsia="宋体" w:cs="宋体"/>
                <w:sz w:val="21"/>
                <w:szCs w:val="21"/>
              </w:rPr>
            </w:pPr>
            <w:r>
              <w:rPr>
                <w:rFonts w:hint="eastAsia" w:ascii="宋体" w:hAnsi="宋体" w:eastAsia="宋体" w:cs="宋体"/>
                <w:sz w:val="21"/>
                <w:szCs w:val="21"/>
              </w:rPr>
              <w:t xml:space="preserve">2.4具备精细模式,可自动获取3个区域的细胞图像。点击计数键，自动完成采集、存储功能、识别、统计、生成报告等. </w:t>
            </w:r>
          </w:p>
          <w:p>
            <w:pPr>
              <w:tabs>
                <w:tab w:val="left" w:pos="9180"/>
              </w:tabs>
              <w:rPr>
                <w:rFonts w:hint="eastAsia" w:ascii="宋体" w:hAnsi="宋体" w:eastAsia="宋体" w:cs="宋体"/>
                <w:sz w:val="21"/>
                <w:szCs w:val="21"/>
              </w:rPr>
            </w:pPr>
            <w:r>
              <w:rPr>
                <w:rFonts w:hint="eastAsia" w:ascii="宋体" w:hAnsi="宋体" w:eastAsia="宋体" w:cs="宋体"/>
                <w:sz w:val="21"/>
                <w:szCs w:val="21"/>
              </w:rPr>
              <w:t>2.5具备复孔模式,可自动获取同一计数片上两个样品槽中的6个区域细胞图像,软件自动计算平均值,结果更精准.</w:t>
            </w:r>
          </w:p>
          <w:p>
            <w:pPr>
              <w:tabs>
                <w:tab w:val="left" w:pos="9180"/>
              </w:tabs>
              <w:rPr>
                <w:rFonts w:hint="eastAsia" w:ascii="宋体" w:hAnsi="宋体" w:eastAsia="宋体" w:cs="宋体"/>
                <w:sz w:val="21"/>
                <w:szCs w:val="21"/>
              </w:rPr>
            </w:pPr>
            <w:r>
              <w:rPr>
                <w:rFonts w:hint="eastAsia" w:ascii="宋体" w:hAnsi="宋体" w:eastAsia="宋体" w:cs="宋体"/>
                <w:sz w:val="21"/>
                <w:szCs w:val="21"/>
              </w:rPr>
              <w:t>2.6有细胞生长曲线图.</w:t>
            </w:r>
          </w:p>
          <w:p>
            <w:pPr>
              <w:tabs>
                <w:tab w:val="left" w:pos="9180"/>
              </w:tabs>
              <w:rPr>
                <w:rFonts w:hint="eastAsia" w:ascii="宋体" w:hAnsi="宋体" w:eastAsia="宋体" w:cs="宋体"/>
                <w:sz w:val="21"/>
                <w:szCs w:val="21"/>
              </w:rPr>
            </w:pPr>
            <w:r>
              <w:rPr>
                <w:rFonts w:hint="eastAsia" w:ascii="宋体" w:hAnsi="宋体" w:eastAsia="宋体" w:cs="宋体"/>
                <w:sz w:val="21"/>
                <w:szCs w:val="21"/>
              </w:rPr>
              <w:t>2.7数据可通过U盘导出，实验数据以PDF、JPEG、EXCEL形式保存</w:t>
            </w:r>
          </w:p>
          <w:p>
            <w:pPr>
              <w:tabs>
                <w:tab w:val="left" w:pos="9180"/>
              </w:tabs>
              <w:rPr>
                <w:rFonts w:hint="eastAsia" w:ascii="宋体" w:hAnsi="宋体" w:eastAsia="宋体" w:cs="宋体"/>
                <w:sz w:val="21"/>
                <w:szCs w:val="21"/>
              </w:rPr>
            </w:pPr>
            <w:r>
              <w:rPr>
                <w:rFonts w:hint="eastAsia" w:ascii="宋体" w:hAnsi="宋体" w:eastAsia="宋体" w:cs="宋体"/>
                <w:sz w:val="21"/>
                <w:szCs w:val="21"/>
              </w:rPr>
              <w:t>2.8“稀释计算器”功能：无需手工计算，软件轻松直接计算出达到目的浓度稀释原液所需的体积或到目的接种细胞数所需原液体积；也可自定义起始浓度和目标浓度，自动计算合适的稀释（浓缩）体积。</w:t>
            </w:r>
          </w:p>
          <w:p>
            <w:pPr>
              <w:tabs>
                <w:tab w:val="left" w:pos="9180"/>
              </w:tabs>
              <w:rPr>
                <w:rFonts w:hint="eastAsia" w:ascii="宋体" w:hAnsi="宋体" w:eastAsia="宋体" w:cs="宋体"/>
                <w:sz w:val="21"/>
                <w:szCs w:val="21"/>
              </w:rPr>
            </w:pPr>
            <w:r>
              <w:rPr>
                <w:rFonts w:hint="eastAsia" w:ascii="宋体" w:hAnsi="宋体" w:eastAsia="宋体" w:cs="宋体"/>
                <w:sz w:val="21"/>
                <w:szCs w:val="21"/>
              </w:rPr>
              <w:t>2.9测量样品大小范围：5-200um</w:t>
            </w:r>
            <w:r>
              <w:rPr>
                <w:rFonts w:hint="eastAsia" w:ascii="宋体" w:hAnsi="宋体" w:eastAsia="宋体" w:cs="宋体"/>
                <w:sz w:val="21"/>
                <w:szCs w:val="21"/>
              </w:rPr>
              <w:tab/>
            </w:r>
          </w:p>
          <w:p>
            <w:pPr>
              <w:tabs>
                <w:tab w:val="left" w:pos="9180"/>
              </w:tabs>
              <w:rPr>
                <w:rFonts w:hint="eastAsia" w:ascii="宋体" w:hAnsi="宋体" w:eastAsia="宋体" w:cs="宋体"/>
                <w:sz w:val="21"/>
                <w:szCs w:val="21"/>
              </w:rPr>
            </w:pPr>
            <w:r>
              <w:rPr>
                <w:rFonts w:hint="eastAsia" w:ascii="宋体" w:hAnsi="宋体" w:eastAsia="宋体" w:cs="宋体"/>
                <w:sz w:val="21"/>
                <w:szCs w:val="21"/>
              </w:rPr>
              <w:t>2.10细胞浓度测量范围:1×104--- 3×107 细胞/ml</w:t>
            </w:r>
          </w:p>
          <w:p>
            <w:pPr>
              <w:tabs>
                <w:tab w:val="left" w:pos="9180"/>
              </w:tabs>
              <w:rPr>
                <w:rFonts w:hint="eastAsia" w:ascii="宋体" w:hAnsi="宋体" w:eastAsia="宋体" w:cs="宋体"/>
                <w:sz w:val="21"/>
                <w:szCs w:val="21"/>
              </w:rPr>
            </w:pPr>
            <w:r>
              <w:rPr>
                <w:rFonts w:hint="eastAsia" w:ascii="宋体" w:hAnsi="宋体" w:eastAsia="宋体" w:cs="宋体"/>
                <w:sz w:val="21"/>
                <w:szCs w:val="21"/>
              </w:rPr>
              <w:t>2.11每次加样量10µl。</w:t>
            </w:r>
          </w:p>
          <w:p>
            <w:pPr>
              <w:tabs>
                <w:tab w:val="left" w:pos="9180"/>
              </w:tabs>
              <w:rPr>
                <w:rFonts w:hint="eastAsia" w:ascii="宋体" w:hAnsi="宋体" w:eastAsia="宋体" w:cs="宋体"/>
                <w:sz w:val="21"/>
                <w:szCs w:val="21"/>
              </w:rPr>
            </w:pPr>
            <w:r>
              <w:rPr>
                <w:rFonts w:hint="eastAsia" w:ascii="宋体" w:hAnsi="宋体" w:eastAsia="宋体" w:cs="宋体"/>
                <w:sz w:val="21"/>
                <w:szCs w:val="21"/>
              </w:rPr>
              <w:t xml:space="preserve">2.12耗材：一次性计数片，每片2孔位设计更科学，利于存放，避免污染。生物实验一般用复孔统计结果，一次用完就废弃，不用考虑用不完另外保存的问题。标准0.1mm厚度计数池高度，更精密。 </w:t>
            </w:r>
          </w:p>
          <w:p>
            <w:pPr>
              <w:tabs>
                <w:tab w:val="left" w:pos="9180"/>
              </w:tabs>
              <w:rPr>
                <w:rFonts w:hint="eastAsia" w:ascii="宋体" w:hAnsi="宋体" w:eastAsia="宋体" w:cs="宋体"/>
                <w:sz w:val="21"/>
                <w:szCs w:val="21"/>
              </w:rPr>
            </w:pPr>
            <w:r>
              <w:rPr>
                <w:rFonts w:hint="eastAsia" w:ascii="宋体" w:hAnsi="宋体" w:eastAsia="宋体" w:cs="宋体"/>
                <w:sz w:val="21"/>
                <w:szCs w:val="21"/>
              </w:rPr>
              <w:t xml:space="preserve">2.13仪器尺寸:外部尺寸200 mm×220 mm×350 mm </w:t>
            </w:r>
          </w:p>
          <w:p>
            <w:pPr>
              <w:tabs>
                <w:tab w:val="left" w:pos="9180"/>
              </w:tabs>
              <w:rPr>
                <w:rFonts w:hint="eastAsia" w:ascii="宋体" w:hAnsi="宋体" w:eastAsia="宋体" w:cs="宋体"/>
                <w:sz w:val="21"/>
                <w:szCs w:val="21"/>
              </w:rPr>
            </w:pPr>
            <w:r>
              <w:rPr>
                <w:rFonts w:hint="eastAsia" w:ascii="宋体" w:hAnsi="宋体" w:eastAsia="宋体" w:cs="宋体"/>
                <w:sz w:val="21"/>
                <w:szCs w:val="21"/>
              </w:rPr>
              <w:t>3．标准配置：</w:t>
            </w:r>
          </w:p>
          <w:p>
            <w:pPr>
              <w:tabs>
                <w:tab w:val="left" w:pos="9180"/>
              </w:tabs>
              <w:rPr>
                <w:rFonts w:hint="eastAsia" w:ascii="宋体" w:hAnsi="宋体" w:eastAsia="宋体" w:cs="宋体"/>
                <w:sz w:val="21"/>
                <w:szCs w:val="21"/>
              </w:rPr>
            </w:pPr>
            <w:r>
              <w:rPr>
                <w:rFonts w:hint="eastAsia" w:ascii="宋体" w:hAnsi="宋体" w:eastAsia="宋体" w:cs="宋体"/>
                <w:sz w:val="21"/>
                <w:szCs w:val="21"/>
              </w:rPr>
              <w:t>3.1细胞计数仪主机        1台</w:t>
            </w:r>
          </w:p>
          <w:p>
            <w:pPr>
              <w:tabs>
                <w:tab w:val="left" w:pos="9180"/>
              </w:tabs>
              <w:rPr>
                <w:rFonts w:hint="eastAsia" w:ascii="宋体" w:hAnsi="宋体" w:eastAsia="宋体" w:cs="宋体"/>
                <w:sz w:val="21"/>
                <w:szCs w:val="21"/>
              </w:rPr>
            </w:pPr>
            <w:r>
              <w:rPr>
                <w:rFonts w:hint="eastAsia" w:ascii="宋体" w:hAnsi="宋体" w:eastAsia="宋体" w:cs="宋体"/>
                <w:sz w:val="21"/>
                <w:szCs w:val="21"/>
              </w:rPr>
              <w:t>3.2一次性细胞计数片      1盒（50片/盒）</w:t>
            </w:r>
          </w:p>
          <w:p>
            <w:pPr>
              <w:tabs>
                <w:tab w:val="left" w:pos="9180"/>
              </w:tabs>
              <w:rPr>
                <w:rFonts w:hint="eastAsia" w:ascii="宋体" w:hAnsi="宋体" w:eastAsia="宋体" w:cs="宋体"/>
                <w:sz w:val="21"/>
                <w:szCs w:val="21"/>
              </w:rPr>
            </w:pPr>
            <w:r>
              <w:rPr>
                <w:rFonts w:hint="eastAsia" w:ascii="宋体" w:hAnsi="宋体" w:eastAsia="宋体" w:cs="宋体"/>
                <w:sz w:val="21"/>
                <w:szCs w:val="21"/>
              </w:rPr>
              <w:t>3.3台盼蓝染料            1瓶（1.8ml）</w:t>
            </w:r>
          </w:p>
          <w:p>
            <w:pPr>
              <w:tabs>
                <w:tab w:val="left" w:pos="9180"/>
              </w:tabs>
              <w:rPr>
                <w:rFonts w:hint="eastAsia" w:ascii="宋体" w:hAnsi="宋体" w:eastAsia="宋体" w:cs="宋体"/>
                <w:sz w:val="21"/>
                <w:szCs w:val="21"/>
              </w:rPr>
            </w:pPr>
            <w:r>
              <w:rPr>
                <w:rFonts w:hint="eastAsia" w:ascii="宋体" w:hAnsi="宋体" w:eastAsia="宋体" w:cs="宋体"/>
                <w:sz w:val="21"/>
                <w:szCs w:val="21"/>
              </w:rPr>
              <w:t>3.4适配器电源            1套</w:t>
            </w:r>
          </w:p>
          <w:p>
            <w:pPr>
              <w:tabs>
                <w:tab w:val="left" w:pos="9180"/>
              </w:tabs>
              <w:rPr>
                <w:rFonts w:hint="eastAsia" w:ascii="宋体" w:hAnsi="宋体" w:eastAsia="宋体" w:cs="宋体"/>
                <w:sz w:val="21"/>
                <w:szCs w:val="21"/>
              </w:rPr>
            </w:pPr>
            <w:r>
              <w:rPr>
                <w:rFonts w:hint="eastAsia" w:ascii="宋体" w:hAnsi="宋体" w:eastAsia="宋体" w:cs="宋体"/>
                <w:sz w:val="21"/>
                <w:szCs w:val="21"/>
              </w:rPr>
              <w:t>3.5鼠标                  1个</w:t>
            </w:r>
          </w:p>
          <w:p>
            <w:pPr>
              <w:tabs>
                <w:tab w:val="left" w:pos="9180"/>
              </w:tabs>
              <w:rPr>
                <w:rFonts w:hint="eastAsia" w:ascii="宋体" w:hAnsi="宋体" w:eastAsia="宋体" w:cs="宋体"/>
                <w:kern w:val="2"/>
                <w:sz w:val="21"/>
                <w:szCs w:val="21"/>
                <w:lang w:val="en-US" w:eastAsia="zh-CN" w:bidi="ar-SA"/>
              </w:rPr>
            </w:pPr>
            <w:r>
              <w:rPr>
                <w:rFonts w:hint="eastAsia" w:ascii="宋体" w:hAnsi="宋体" w:eastAsia="宋体" w:cs="宋体"/>
                <w:sz w:val="21"/>
                <w:szCs w:val="21"/>
              </w:rPr>
              <w:t>3.6 USB扩展器            1个</w:t>
            </w:r>
          </w:p>
        </w:tc>
        <w:tc>
          <w:tcPr>
            <w:tcW w:w="741" w:type="dxa"/>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1</w:t>
            </w:r>
          </w:p>
        </w:tc>
        <w:tc>
          <w:tcPr>
            <w:tcW w:w="873" w:type="dxa"/>
            <w:vAlign w:val="center"/>
          </w:tcPr>
          <w:p>
            <w:pPr>
              <w:spacing w:line="400" w:lineRule="exact"/>
              <w:jc w:val="center"/>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台</w:t>
            </w:r>
          </w:p>
        </w:tc>
        <w:tc>
          <w:tcPr>
            <w:tcW w:w="984" w:type="dxa"/>
            <w:gridSpan w:val="2"/>
          </w:tcPr>
          <w:p>
            <w:pPr>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vAlign w:val="center"/>
          </w:tcPr>
          <w:p>
            <w:pPr>
              <w:spacing w:line="400" w:lineRule="exact"/>
              <w:jc w:val="center"/>
              <w:rPr>
                <w:rFonts w:hint="eastAsia" w:ascii="宋体" w:hAnsi="宋体" w:eastAsia="宋体" w:cs="宋体"/>
                <w:bCs/>
                <w:sz w:val="21"/>
                <w:szCs w:val="21"/>
              </w:rPr>
            </w:pPr>
            <w:r>
              <w:rPr>
                <w:rFonts w:hint="eastAsia" w:ascii="宋体" w:hAnsi="宋体" w:eastAsia="宋体" w:cs="宋体"/>
                <w:bCs/>
                <w:sz w:val="21"/>
                <w:szCs w:val="21"/>
              </w:rPr>
              <w:t>14</w:t>
            </w:r>
          </w:p>
        </w:tc>
        <w:tc>
          <w:tcPr>
            <w:tcW w:w="1443" w:type="dxa"/>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立式二氧化碳振荡培养箱</w:t>
            </w:r>
          </w:p>
        </w:tc>
        <w:tc>
          <w:tcPr>
            <w:tcW w:w="5357"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1、PID微电脑智能控温仪，控温精确</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2、三维一体的偏三轮驱动，运转平滑、稳定、耐久、可靠</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3、具有超温报警功能及异常情况自动断电功能</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4、具有断电恢复功能，避免因停电、死机而造成的数据丢失问题</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5、流线型外观，美观大方；内衬镜面不锈钢设计，便于清洁，不容易滋生细菌、防腐蚀；外壳采用静电喷塑</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6、精选优质进口压缩机、无氟环保制冷剂，噪音低、制冷效果好，确保设备在低温状态下长时间稳定运行</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7、人性化设计的开门即停功能，使用更加安全便捷</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8、具有紫外线灭菌功能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9、采用进口红外线CO2传感器，自动控制CO2浓度，反应灵敏，精度高，配置一套控制器、电磁阀、减压阀、用户只需配好CO2气源就可接上使用</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10、摇床内胆采用无缝焊接技术，无需专用工具，清理方便</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11、独特定时除霜功能，1～89分钟可自由设定，除霜间隔30～600分钟可调，能确保长时间在低温状态下运行时蒸发器不结冰</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12、中空钢化双面玻璃，方便随时在不开门情况下在各个角落观察箱体内部情况；同时具有玻璃双面加热和门加热功能，避免在低温或高温状态下运行引起的玻璃起雾、滴水现象</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13、配备高质伺服电机，控制速度精确、高速性能好、稳定性强；配备滤波器磁环，减少外界和自身对机器稳定性的干扰</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14、LCD触摸屏，设定温度、转速、时间和实测温度、转速、剩余时间在同一界面显示，不用相互切换界面，观察更直观；操作界面加密锁定功能，杜绝重复操作和人为误操作；可自由设定摇板正转或反转；强制对流的风扇常开或自动；</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15、拥有数据记录功能，可记录近三个月的数据，并且可显示温度、湿度、速度、CO₂浓度曲线，方便数据的分析，有USB接口，可将上述数据导出并保存</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16、配有湿度检测功能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17、配有高效过滤器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43434"/>
                <w:sz w:val="21"/>
                <w:szCs w:val="21"/>
              </w:rPr>
            </w:pPr>
            <w:r>
              <w:rPr>
                <w:rFonts w:hint="eastAsia" w:ascii="宋体" w:hAnsi="宋体" w:eastAsia="宋体" w:cs="宋体"/>
                <w:color w:val="343434"/>
                <w:sz w:val="21"/>
                <w:szCs w:val="21"/>
              </w:rPr>
              <w:t>18、振荡频率：10-300rpm</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43434"/>
                <w:sz w:val="21"/>
                <w:szCs w:val="21"/>
              </w:rPr>
            </w:pPr>
            <w:r>
              <w:rPr>
                <w:rFonts w:hint="eastAsia" w:ascii="宋体" w:hAnsi="宋体" w:eastAsia="宋体" w:cs="宋体"/>
                <w:color w:val="343434"/>
                <w:sz w:val="21"/>
                <w:szCs w:val="21"/>
              </w:rPr>
              <w:t>19、振荡频率精度：±1rpm</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43434"/>
                <w:sz w:val="21"/>
                <w:szCs w:val="21"/>
              </w:rPr>
            </w:pPr>
            <w:r>
              <w:rPr>
                <w:rFonts w:hint="eastAsia" w:ascii="宋体" w:hAnsi="宋体" w:eastAsia="宋体" w:cs="宋体"/>
                <w:color w:val="343434"/>
                <w:sz w:val="21"/>
                <w:szCs w:val="21"/>
              </w:rPr>
              <w:t>20、摇板振幅：Ф26mm</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43434"/>
                <w:sz w:val="21"/>
                <w:szCs w:val="21"/>
              </w:rPr>
            </w:pPr>
            <w:r>
              <w:rPr>
                <w:rFonts w:hint="eastAsia" w:ascii="宋体" w:hAnsi="宋体" w:eastAsia="宋体" w:cs="宋体"/>
                <w:color w:val="343434"/>
                <w:sz w:val="21"/>
                <w:szCs w:val="21"/>
              </w:rPr>
              <w:t>21、温控范围：4-60℃</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43434"/>
                <w:sz w:val="21"/>
                <w:szCs w:val="21"/>
              </w:rPr>
            </w:pPr>
            <w:r>
              <w:rPr>
                <w:rFonts w:hint="eastAsia" w:ascii="宋体" w:hAnsi="宋体" w:eastAsia="宋体" w:cs="宋体"/>
                <w:color w:val="343434"/>
                <w:sz w:val="21"/>
                <w:szCs w:val="21"/>
              </w:rPr>
              <w:t>22、温度调节度：±0.1℃</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43434"/>
                <w:sz w:val="21"/>
                <w:szCs w:val="21"/>
              </w:rPr>
            </w:pPr>
            <w:r>
              <w:rPr>
                <w:rFonts w:hint="eastAsia" w:ascii="宋体" w:hAnsi="宋体" w:eastAsia="宋体" w:cs="宋体"/>
                <w:color w:val="343434"/>
                <w:sz w:val="21"/>
                <w:szCs w:val="21"/>
              </w:rPr>
              <w:t>23、温度均匀度：±5℃（at37℃）</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43434"/>
                <w:sz w:val="21"/>
                <w:szCs w:val="21"/>
              </w:rPr>
            </w:pPr>
            <w:r>
              <w:rPr>
                <w:rFonts w:hint="eastAsia" w:ascii="宋体" w:hAnsi="宋体" w:eastAsia="宋体" w:cs="宋体"/>
                <w:color w:val="343434"/>
                <w:sz w:val="21"/>
                <w:szCs w:val="21"/>
              </w:rPr>
              <w:t>24、CO2控制范围：0-20%</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43434"/>
                <w:sz w:val="21"/>
                <w:szCs w:val="21"/>
              </w:rPr>
            </w:pPr>
            <w:r>
              <w:rPr>
                <w:rFonts w:hint="eastAsia" w:ascii="宋体" w:hAnsi="宋体" w:eastAsia="宋体" w:cs="宋体"/>
                <w:color w:val="343434"/>
                <w:sz w:val="21"/>
                <w:szCs w:val="21"/>
              </w:rPr>
              <w:t>25、CO2控制精度：0.1%</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43434"/>
                <w:sz w:val="21"/>
                <w:szCs w:val="21"/>
              </w:rPr>
            </w:pPr>
            <w:r>
              <w:rPr>
                <w:rFonts w:hint="eastAsia" w:ascii="宋体" w:hAnsi="宋体" w:eastAsia="宋体" w:cs="宋体"/>
                <w:color w:val="343434"/>
                <w:sz w:val="21"/>
                <w:szCs w:val="21"/>
              </w:rPr>
              <w:t>26、显示方式：LCD（触摸屏）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43434"/>
                <w:sz w:val="21"/>
                <w:szCs w:val="21"/>
              </w:rPr>
            </w:pPr>
            <w:r>
              <w:rPr>
                <w:rFonts w:hint="eastAsia" w:ascii="宋体" w:hAnsi="宋体" w:eastAsia="宋体" w:cs="宋体"/>
                <w:color w:val="343434"/>
                <w:sz w:val="21"/>
                <w:szCs w:val="21"/>
              </w:rPr>
              <w:t>27、容量：230升</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sz w:val="21"/>
                <w:szCs w:val="21"/>
              </w:rPr>
            </w:pPr>
            <w:r>
              <w:rPr>
                <w:rFonts w:hint="eastAsia" w:ascii="宋体" w:hAnsi="宋体" w:eastAsia="宋体" w:cs="宋体"/>
                <w:color w:val="343434"/>
                <w:sz w:val="21"/>
                <w:szCs w:val="21"/>
              </w:rPr>
              <w:t>28、载物托架（标配）：4个</w:t>
            </w:r>
          </w:p>
        </w:tc>
        <w:tc>
          <w:tcPr>
            <w:tcW w:w="741" w:type="dxa"/>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1</w:t>
            </w:r>
          </w:p>
        </w:tc>
        <w:tc>
          <w:tcPr>
            <w:tcW w:w="873" w:type="dxa"/>
            <w:vAlign w:val="center"/>
          </w:tcPr>
          <w:p>
            <w:pPr>
              <w:spacing w:line="400" w:lineRule="exact"/>
              <w:jc w:val="center"/>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台</w:t>
            </w:r>
          </w:p>
        </w:tc>
        <w:tc>
          <w:tcPr>
            <w:tcW w:w="984" w:type="dxa"/>
            <w:gridSpan w:val="2"/>
          </w:tcPr>
          <w:p>
            <w:pPr>
              <w:jc w:val="center"/>
              <w:rPr>
                <w:rFonts w:hint="eastAsia" w:ascii="宋体" w:hAnsi="宋体" w:eastAsia="宋体" w:cs="宋体"/>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54" w:type="dxa"/>
          <w:trHeight w:val="5470" w:hRule="atLeast"/>
          <w:jc w:val="center"/>
        </w:trPr>
        <w:tc>
          <w:tcPr>
            <w:tcW w:w="931" w:type="dxa"/>
            <w:vAlign w:val="center"/>
          </w:tcPr>
          <w:p>
            <w:pPr>
              <w:spacing w:line="360" w:lineRule="auto"/>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商</w:t>
            </w:r>
          </w:p>
          <w:p>
            <w:pPr>
              <w:spacing w:line="360" w:lineRule="auto"/>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务</w:t>
            </w:r>
          </w:p>
          <w:p>
            <w:pPr>
              <w:spacing w:line="360" w:lineRule="auto"/>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条</w:t>
            </w:r>
          </w:p>
          <w:p>
            <w:pPr>
              <w:spacing w:line="360" w:lineRule="auto"/>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款</w:t>
            </w:r>
          </w:p>
        </w:tc>
        <w:tc>
          <w:tcPr>
            <w:tcW w:w="9144" w:type="dxa"/>
            <w:gridSpan w:val="5"/>
            <w:vAlign w:val="center"/>
          </w:tcPr>
          <w:p>
            <w:pPr>
              <w:spacing w:line="28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一、合同签订期：自</w:t>
            </w:r>
            <w:r>
              <w:rPr>
                <w:rFonts w:hint="eastAsia" w:ascii="宋体" w:hAnsi="宋体" w:eastAsia="宋体" w:cs="宋体"/>
                <w:color w:val="000000"/>
                <w:sz w:val="21"/>
                <w:szCs w:val="21"/>
                <w:lang w:val="en-US" w:eastAsia="zh-CN"/>
              </w:rPr>
              <w:t>成交</w:t>
            </w:r>
            <w:r>
              <w:rPr>
                <w:rFonts w:hint="eastAsia" w:ascii="宋体" w:hAnsi="宋体" w:eastAsia="宋体" w:cs="宋体"/>
                <w:color w:val="000000"/>
                <w:sz w:val="21"/>
                <w:szCs w:val="21"/>
              </w:rPr>
              <w:t>通知书发出之日起15个日历日内。</w:t>
            </w:r>
          </w:p>
          <w:p>
            <w:pPr>
              <w:spacing w:line="28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★二、交货期：自合同签订之日起30个日历日内安装验收完成。</w:t>
            </w:r>
          </w:p>
          <w:p>
            <w:pPr>
              <w:spacing w:line="28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三、交货地点：由业主指定。</w:t>
            </w:r>
          </w:p>
          <w:p>
            <w:pPr>
              <w:spacing w:line="28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四、交货方式：现场交货。</w:t>
            </w:r>
          </w:p>
          <w:p>
            <w:pPr>
              <w:pStyle w:val="2"/>
              <w:rPr>
                <w:rFonts w:hint="eastAsia" w:ascii="宋体" w:hAnsi="宋体" w:eastAsia="宋体" w:cs="宋体"/>
                <w:b w:val="0"/>
                <w:bCs/>
                <w:sz w:val="21"/>
                <w:szCs w:val="21"/>
                <w:lang w:val="en-US" w:eastAsia="zh-CN"/>
              </w:rPr>
            </w:pPr>
            <w:r>
              <w:rPr>
                <w:rFonts w:hint="eastAsia" w:ascii="宋体" w:hAnsi="宋体" w:eastAsia="宋体" w:cs="宋体"/>
                <w:b w:val="0"/>
                <w:bCs/>
                <w:color w:val="000000"/>
                <w:sz w:val="21"/>
                <w:szCs w:val="21"/>
                <w:lang w:val="en-US" w:eastAsia="zh-CN"/>
              </w:rPr>
              <w:t>五、付款方式：签订合同后15日内采购人支付总合同总价的30%，交货安装验收完成后支付至总合同金额的100%。每一次付款前供应商需开具等额的增值税普通发票给采购人，见票付款。</w:t>
            </w:r>
          </w:p>
          <w:p>
            <w:pPr>
              <w:spacing w:line="28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六</w:t>
            </w:r>
            <w:r>
              <w:rPr>
                <w:rFonts w:hint="eastAsia" w:ascii="宋体" w:hAnsi="宋体" w:eastAsia="宋体" w:cs="宋体"/>
                <w:color w:val="000000"/>
                <w:sz w:val="21"/>
                <w:szCs w:val="21"/>
              </w:rPr>
              <w:t>、售后服务要求：</w:t>
            </w:r>
          </w:p>
          <w:p>
            <w:pPr>
              <w:spacing w:line="28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1、质量保证期 1 年，保修</w:t>
            </w:r>
            <w:r>
              <w:rPr>
                <w:rFonts w:hint="eastAsia" w:ascii="宋体" w:hAnsi="宋体" w:eastAsia="宋体" w:cs="宋体"/>
                <w:color w:val="auto"/>
                <w:sz w:val="21"/>
                <w:szCs w:val="21"/>
              </w:rPr>
              <w:t>期1</w:t>
            </w:r>
            <w:r>
              <w:rPr>
                <w:rFonts w:hint="eastAsia" w:ascii="宋体" w:hAnsi="宋体" w:eastAsia="宋体" w:cs="宋体"/>
                <w:color w:val="000000"/>
                <w:sz w:val="21"/>
                <w:szCs w:val="21"/>
              </w:rPr>
              <w:t>年（自交货并验收合格之日起计），质保期满后，成交供应商仍应提供维修服务，按维修件成本收费，质保期过后的维修只能收取零配件费，免收维修费及差旅费。</w:t>
            </w:r>
          </w:p>
          <w:p>
            <w:pPr>
              <w:spacing w:line="28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★2、在保修期间，故障部件维修返回时间不超过1个月，并应即刻提供故障部件的替换件，恢复正常工作，以维持系统正常运行。</w:t>
            </w:r>
          </w:p>
          <w:p>
            <w:pPr>
              <w:spacing w:line="28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成交供应商须派遣有经验的工程师到采购人单位进行优质的培训服务。对设备的使用、操作、维修进行免费培训，并提供安装使用说明书，以确保采购人能够对设备有足够的了解和熟悉，至少各使一人熟练掌握使用及维修，能独立进行设备的日常维护、保养和管理。培训所需一切费用由成交供应商承担。</w:t>
            </w:r>
          </w:p>
          <w:p>
            <w:pPr>
              <w:spacing w:line="280" w:lineRule="exact"/>
              <w:rPr>
                <w:rFonts w:hint="eastAsia" w:ascii="宋体" w:hAnsi="宋体" w:eastAsia="宋体" w:cs="宋体"/>
                <w:color w:val="000000"/>
                <w:sz w:val="21"/>
                <w:szCs w:val="21"/>
              </w:rPr>
            </w:pPr>
            <w:r>
              <w:rPr>
                <w:rFonts w:hint="eastAsia" w:ascii="宋体" w:hAnsi="宋体" w:eastAsia="宋体" w:cs="宋体"/>
                <w:color w:val="000000"/>
                <w:sz w:val="21"/>
                <w:szCs w:val="21"/>
              </w:rPr>
              <w:t>4、质保期内成交供应商提供免费上门服务。生产厂家需提供24小时服务热线，保修立即响应,24小时紧急维修，48小时普通维修，否则所延误造成的损失由成交供应商承担。如果故障在检修72小时后故障仍无法排除，成交供应商应在48小时内提供不低于故障设备规格型号档次的备用设备供采购人使用，直至故障设备修复，质保期后，成交供应商须提供终身维修服务。定期随访、解决使用过程中的问题。</w:t>
            </w:r>
          </w:p>
          <w:p>
            <w:pPr>
              <w:spacing w:line="28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5、投标人须提供本地化服务，并向采购人承诺技术后援支持。</w:t>
            </w:r>
          </w:p>
        </w:tc>
      </w:tr>
    </w:tbl>
    <w:p>
      <w:pPr>
        <w:spacing w:line="360" w:lineRule="exact"/>
        <w:outlineLvl w:val="0"/>
        <w:rPr>
          <w:rFonts w:ascii="宋体" w:hAnsi="宋体"/>
          <w:b/>
          <w:color w:val="000000"/>
          <w:sz w:val="28"/>
          <w:szCs w:val="28"/>
        </w:rPr>
      </w:pPr>
    </w:p>
    <w:p>
      <w:pPr>
        <w:spacing w:line="360" w:lineRule="exact"/>
        <w:outlineLvl w:val="0"/>
        <w:rPr>
          <w:rFonts w:ascii="宋体" w:hAnsi="宋体"/>
          <w:b/>
          <w:color w:val="000000"/>
          <w:sz w:val="28"/>
          <w:szCs w:val="28"/>
        </w:rPr>
      </w:pPr>
    </w:p>
    <w:p>
      <w:pPr>
        <w:spacing w:line="360" w:lineRule="exact"/>
        <w:jc w:val="center"/>
        <w:outlineLvl w:val="0"/>
        <w:rPr>
          <w:rFonts w:ascii="宋体" w:hAnsi="宋体"/>
          <w:b/>
          <w:color w:val="000000"/>
          <w:sz w:val="28"/>
          <w:szCs w:val="28"/>
        </w:rPr>
      </w:pPr>
    </w:p>
    <w:p>
      <w:pPr>
        <w:spacing w:line="360" w:lineRule="exact"/>
        <w:outlineLvl w:val="0"/>
        <w:rPr>
          <w:rFonts w:ascii="宋体" w:hAnsi="宋体"/>
          <w:b/>
          <w:color w:val="000000"/>
          <w:sz w:val="28"/>
          <w:szCs w:val="28"/>
        </w:rPr>
      </w:pPr>
    </w:p>
    <w:p>
      <w:pPr>
        <w:spacing w:line="360" w:lineRule="exact"/>
        <w:jc w:val="center"/>
        <w:outlineLvl w:val="0"/>
        <w:rPr>
          <w:rFonts w:ascii="宋体" w:hAnsi="宋体"/>
          <w:b/>
          <w:color w:val="000000"/>
          <w:sz w:val="28"/>
          <w:szCs w:val="28"/>
        </w:rPr>
      </w:pPr>
    </w:p>
    <w:p>
      <w:pPr>
        <w:spacing w:line="360" w:lineRule="exact"/>
        <w:outlineLvl w:val="0"/>
        <w:rPr>
          <w:rFonts w:ascii="宋体" w:hAnsi="宋体"/>
          <w:b/>
          <w:color w:val="000000"/>
          <w:sz w:val="28"/>
          <w:szCs w:val="28"/>
        </w:rPr>
      </w:pPr>
    </w:p>
    <w:p>
      <w:pPr>
        <w:spacing w:line="360" w:lineRule="exact"/>
        <w:jc w:val="center"/>
        <w:outlineLvl w:val="0"/>
        <w:rPr>
          <w:rFonts w:ascii="宋体" w:hAnsi="宋体"/>
          <w:b/>
          <w:color w:val="000000"/>
          <w:sz w:val="28"/>
          <w:szCs w:val="28"/>
        </w:rPr>
      </w:pPr>
    </w:p>
    <w:p>
      <w:pPr>
        <w:spacing w:line="360" w:lineRule="exact"/>
        <w:jc w:val="center"/>
        <w:outlineLvl w:val="0"/>
        <w:rPr>
          <w:rFonts w:ascii="宋体" w:hAnsi="宋体"/>
          <w:b/>
          <w:color w:val="000000"/>
          <w:sz w:val="28"/>
          <w:szCs w:val="28"/>
        </w:rPr>
      </w:pPr>
    </w:p>
    <w:p>
      <w:pPr>
        <w:spacing w:line="360" w:lineRule="exact"/>
        <w:outlineLvl w:val="0"/>
        <w:rPr>
          <w:rFonts w:ascii="宋体" w:hAnsi="宋体"/>
          <w:b/>
          <w:color w:val="000000"/>
          <w:sz w:val="28"/>
          <w:szCs w:val="28"/>
        </w:rPr>
      </w:pPr>
    </w:p>
    <w:p>
      <w:pPr>
        <w:pStyle w:val="2"/>
        <w:rPr>
          <w:rFonts w:ascii="宋体" w:hAnsi="宋体"/>
          <w:color w:val="000000"/>
          <w:sz w:val="28"/>
          <w:szCs w:val="28"/>
        </w:rPr>
      </w:pPr>
    </w:p>
    <w:p>
      <w:pPr>
        <w:pStyle w:val="2"/>
        <w:rPr>
          <w:rFonts w:ascii="宋体" w:hAnsi="宋体"/>
          <w:color w:val="000000"/>
          <w:sz w:val="28"/>
          <w:szCs w:val="28"/>
        </w:rPr>
      </w:pPr>
    </w:p>
    <w:p>
      <w:pPr>
        <w:pStyle w:val="2"/>
        <w:rPr>
          <w:rFonts w:ascii="宋体" w:hAnsi="宋体"/>
          <w:color w:val="000000"/>
          <w:sz w:val="28"/>
          <w:szCs w:val="28"/>
        </w:rPr>
      </w:pPr>
    </w:p>
    <w:p>
      <w:pPr>
        <w:pStyle w:val="2"/>
        <w:rPr>
          <w:rFonts w:ascii="宋体" w:hAnsi="宋体"/>
          <w:color w:val="000000"/>
          <w:sz w:val="28"/>
          <w:szCs w:val="28"/>
        </w:rPr>
      </w:pPr>
    </w:p>
    <w:p>
      <w:pPr>
        <w:pStyle w:val="2"/>
        <w:rPr>
          <w:rFonts w:ascii="宋体" w:hAnsi="宋体"/>
          <w:color w:val="000000"/>
          <w:sz w:val="28"/>
          <w:szCs w:val="28"/>
        </w:rPr>
      </w:pPr>
    </w:p>
    <w:p>
      <w:pPr>
        <w:pStyle w:val="2"/>
        <w:rPr>
          <w:rFonts w:ascii="宋体" w:hAnsi="宋体"/>
          <w:color w:val="000000"/>
          <w:sz w:val="28"/>
          <w:szCs w:val="28"/>
        </w:rPr>
      </w:pPr>
    </w:p>
    <w:p>
      <w:pPr>
        <w:pStyle w:val="2"/>
        <w:rPr>
          <w:rFonts w:ascii="宋体" w:hAnsi="宋体"/>
          <w:color w:val="000000"/>
          <w:sz w:val="28"/>
          <w:szCs w:val="28"/>
        </w:rPr>
      </w:pPr>
    </w:p>
    <w:p>
      <w:pPr>
        <w:spacing w:line="360" w:lineRule="exact"/>
        <w:jc w:val="center"/>
        <w:outlineLvl w:val="0"/>
        <w:rPr>
          <w:rFonts w:ascii="宋体" w:hAnsi="宋体"/>
          <w:b/>
          <w:color w:val="000000"/>
          <w:sz w:val="28"/>
          <w:szCs w:val="28"/>
        </w:rPr>
      </w:pPr>
    </w:p>
    <w:p>
      <w:pPr>
        <w:spacing w:line="360" w:lineRule="exact"/>
        <w:jc w:val="center"/>
        <w:outlineLvl w:val="0"/>
        <w:rPr>
          <w:rFonts w:ascii="宋体" w:hAnsi="宋体"/>
          <w:b/>
          <w:color w:val="000000"/>
          <w:sz w:val="28"/>
          <w:szCs w:val="28"/>
        </w:rPr>
      </w:pPr>
      <w:r>
        <w:rPr>
          <w:rFonts w:hint="eastAsia" w:ascii="宋体" w:hAnsi="宋体"/>
          <w:b/>
          <w:color w:val="000000"/>
          <w:sz w:val="28"/>
          <w:szCs w:val="28"/>
        </w:rPr>
        <w:t>第四章  谈判书格式</w:t>
      </w:r>
      <w:bookmarkEnd w:id="69"/>
    </w:p>
    <w:p>
      <w:pPr>
        <w:pStyle w:val="7"/>
        <w:spacing w:line="380" w:lineRule="exact"/>
        <w:jc w:val="center"/>
        <w:rPr>
          <w:rFonts w:hAnsi="宋体"/>
          <w:b/>
          <w:color w:val="000000"/>
          <w:sz w:val="32"/>
          <w:szCs w:val="32"/>
        </w:rPr>
      </w:pPr>
    </w:p>
    <w:p>
      <w:pPr>
        <w:pStyle w:val="7"/>
        <w:spacing w:line="380" w:lineRule="exact"/>
        <w:jc w:val="center"/>
        <w:rPr>
          <w:rFonts w:hAnsi="宋体"/>
          <w:b/>
          <w:color w:val="000000"/>
          <w:sz w:val="32"/>
          <w:szCs w:val="32"/>
        </w:rPr>
      </w:pPr>
    </w:p>
    <w:p>
      <w:pPr>
        <w:pStyle w:val="7"/>
        <w:spacing w:line="380" w:lineRule="exact"/>
        <w:jc w:val="center"/>
        <w:rPr>
          <w:rFonts w:hAnsi="宋体"/>
          <w:b/>
          <w:color w:val="000000"/>
          <w:sz w:val="32"/>
          <w:szCs w:val="32"/>
        </w:rPr>
      </w:pPr>
    </w:p>
    <w:p>
      <w:pPr>
        <w:spacing w:line="400" w:lineRule="exact"/>
        <w:ind w:left="431" w:leftChars="172" w:hanging="70" w:hangingChars="25"/>
        <w:jc w:val="center"/>
        <w:rPr>
          <w:rFonts w:ascii="宋体" w:hAnsi="宋体"/>
          <w:b/>
          <w:color w:val="000000"/>
          <w:sz w:val="28"/>
          <w:szCs w:val="28"/>
        </w:rPr>
      </w:pPr>
      <w:r>
        <w:rPr>
          <w:rFonts w:hint="eastAsia" w:ascii="宋体" w:hAnsi="宋体"/>
          <w:b/>
          <w:color w:val="000000"/>
          <w:sz w:val="28"/>
          <w:szCs w:val="28"/>
        </w:rPr>
        <w:t>竞争性谈判响应文件（封面）</w:t>
      </w:r>
    </w:p>
    <w:p>
      <w:pPr>
        <w:spacing w:line="360" w:lineRule="auto"/>
        <w:ind w:left="413" w:leftChars="172" w:hanging="52" w:hangingChars="25"/>
        <w:jc w:val="left"/>
        <w:rPr>
          <w:rFonts w:ascii="宋体" w:hAnsi="宋体"/>
          <w:color w:val="000000"/>
          <w:szCs w:val="21"/>
        </w:rPr>
      </w:pPr>
    </w:p>
    <w:p>
      <w:pPr>
        <w:spacing w:line="360" w:lineRule="auto"/>
        <w:ind w:left="413" w:leftChars="172" w:hanging="52" w:hangingChars="25"/>
        <w:jc w:val="left"/>
        <w:rPr>
          <w:rFonts w:ascii="宋体" w:hAnsi="宋体"/>
          <w:color w:val="000000"/>
          <w:szCs w:val="21"/>
        </w:rPr>
      </w:pPr>
    </w:p>
    <w:p>
      <w:pPr>
        <w:spacing w:line="360" w:lineRule="auto"/>
        <w:ind w:left="413" w:leftChars="172" w:hanging="52" w:hangingChars="25"/>
        <w:jc w:val="left"/>
        <w:rPr>
          <w:rFonts w:ascii="宋体" w:hAnsi="宋体"/>
          <w:color w:val="000000"/>
          <w:szCs w:val="21"/>
        </w:rPr>
      </w:pPr>
      <w:r>
        <w:rPr>
          <w:rFonts w:hint="eastAsia" w:ascii="宋体" w:hAnsi="宋体"/>
          <w:color w:val="000000"/>
          <w:szCs w:val="21"/>
        </w:rPr>
        <w:t>采购项目编号：</w:t>
      </w:r>
      <w:r>
        <w:rPr>
          <w:rFonts w:hint="eastAsia" w:ascii="宋体" w:hAnsi="宋体"/>
          <w:color w:val="000000"/>
          <w:szCs w:val="21"/>
          <w:u w:val="single"/>
        </w:rPr>
        <w:t xml:space="preserve">                                                         </w:t>
      </w:r>
    </w:p>
    <w:p>
      <w:pPr>
        <w:spacing w:line="360" w:lineRule="auto"/>
        <w:ind w:left="413" w:leftChars="172" w:hanging="52" w:hangingChars="25"/>
        <w:jc w:val="left"/>
        <w:rPr>
          <w:rFonts w:ascii="宋体" w:hAnsi="宋体"/>
          <w:color w:val="000000"/>
          <w:szCs w:val="21"/>
        </w:rPr>
      </w:pPr>
      <w:r>
        <w:rPr>
          <w:rFonts w:hint="eastAsia" w:ascii="宋体" w:hAnsi="宋体"/>
          <w:color w:val="000000"/>
          <w:szCs w:val="21"/>
        </w:rPr>
        <w:t>采购项目名称：</w:t>
      </w:r>
      <w:r>
        <w:rPr>
          <w:rFonts w:hint="eastAsia" w:ascii="宋体" w:hAnsi="宋体"/>
          <w:color w:val="000000"/>
          <w:szCs w:val="21"/>
          <w:u w:val="single"/>
        </w:rPr>
        <w:t xml:space="preserve">                                                         </w:t>
      </w:r>
    </w:p>
    <w:p>
      <w:pPr>
        <w:spacing w:line="360" w:lineRule="auto"/>
        <w:ind w:left="413" w:leftChars="172" w:hanging="52" w:hangingChars="25"/>
        <w:jc w:val="left"/>
        <w:rPr>
          <w:rFonts w:ascii="宋体" w:hAnsi="宋体"/>
          <w:color w:val="000000"/>
          <w:szCs w:val="21"/>
        </w:rPr>
      </w:pPr>
      <w:r>
        <w:rPr>
          <w:rFonts w:hint="eastAsia" w:ascii="宋体" w:hAnsi="宋体"/>
          <w:color w:val="000000"/>
          <w:szCs w:val="21"/>
        </w:rPr>
        <w:t xml:space="preserve">                                                             </w:t>
      </w:r>
    </w:p>
    <w:p>
      <w:pPr>
        <w:spacing w:line="360" w:lineRule="auto"/>
        <w:ind w:left="413" w:leftChars="172" w:hanging="52" w:hangingChars="25"/>
        <w:jc w:val="left"/>
        <w:rPr>
          <w:rFonts w:ascii="宋体" w:hAnsi="宋体"/>
          <w:color w:val="000000"/>
          <w:szCs w:val="21"/>
        </w:rPr>
      </w:pPr>
    </w:p>
    <w:p>
      <w:pPr>
        <w:spacing w:line="360" w:lineRule="auto"/>
        <w:ind w:left="413" w:leftChars="172" w:hanging="52" w:hangingChars="25"/>
        <w:jc w:val="left"/>
        <w:rPr>
          <w:rFonts w:ascii="宋体" w:hAnsi="宋体"/>
          <w:color w:val="000000"/>
          <w:szCs w:val="21"/>
        </w:rPr>
      </w:pPr>
    </w:p>
    <w:p>
      <w:pPr>
        <w:spacing w:line="360" w:lineRule="auto"/>
        <w:ind w:left="413" w:leftChars="172" w:hanging="52" w:hangingChars="25"/>
        <w:jc w:val="left"/>
        <w:rPr>
          <w:rFonts w:ascii="宋体" w:hAnsi="宋体"/>
          <w:color w:val="000000"/>
          <w:szCs w:val="21"/>
        </w:rPr>
      </w:pPr>
    </w:p>
    <w:p>
      <w:pPr>
        <w:spacing w:line="360" w:lineRule="auto"/>
        <w:ind w:left="413" w:leftChars="172" w:hanging="52" w:hangingChars="25"/>
        <w:jc w:val="left"/>
        <w:rPr>
          <w:rFonts w:ascii="宋体" w:hAnsi="宋体"/>
          <w:color w:val="000000"/>
          <w:szCs w:val="21"/>
        </w:rPr>
      </w:pPr>
    </w:p>
    <w:p>
      <w:pPr>
        <w:spacing w:line="360" w:lineRule="auto"/>
        <w:ind w:left="414" w:leftChars="197" w:firstLine="5565" w:firstLineChars="2650"/>
        <w:jc w:val="left"/>
        <w:rPr>
          <w:rFonts w:ascii="宋体" w:hAnsi="宋体"/>
          <w:color w:val="000000"/>
          <w:szCs w:val="21"/>
        </w:rPr>
      </w:pPr>
      <w:r>
        <w:rPr>
          <w:rFonts w:hint="eastAsia" w:ascii="宋体" w:hAnsi="宋体"/>
          <w:color w:val="000000"/>
          <w:szCs w:val="21"/>
        </w:rPr>
        <w:t>（谈判供应商名称）</w:t>
      </w:r>
    </w:p>
    <w:p>
      <w:pPr>
        <w:pStyle w:val="7"/>
        <w:spacing w:line="380" w:lineRule="exact"/>
        <w:jc w:val="center"/>
        <w:rPr>
          <w:rFonts w:hAnsi="宋体"/>
          <w:color w:val="000000"/>
        </w:rPr>
      </w:pPr>
      <w:r>
        <w:rPr>
          <w:rFonts w:hint="eastAsia" w:hAnsi="宋体"/>
          <w:color w:val="000000"/>
        </w:rPr>
        <w:t xml:space="preserve">                                         年   月    日</w:t>
      </w:r>
    </w:p>
    <w:p>
      <w:pPr>
        <w:pStyle w:val="7"/>
        <w:spacing w:line="380" w:lineRule="exact"/>
        <w:jc w:val="center"/>
        <w:rPr>
          <w:rFonts w:hAnsi="宋体"/>
          <w:color w:val="000000"/>
        </w:rPr>
      </w:pPr>
    </w:p>
    <w:p>
      <w:pPr>
        <w:pStyle w:val="7"/>
        <w:spacing w:line="380" w:lineRule="exact"/>
        <w:jc w:val="center"/>
        <w:rPr>
          <w:rFonts w:hAnsi="宋体"/>
          <w:color w:val="000000"/>
        </w:rPr>
      </w:pPr>
    </w:p>
    <w:p>
      <w:pPr>
        <w:pStyle w:val="7"/>
        <w:spacing w:line="380" w:lineRule="exact"/>
        <w:jc w:val="center"/>
        <w:rPr>
          <w:rFonts w:hAnsi="宋体"/>
          <w:color w:val="000000"/>
        </w:rPr>
      </w:pPr>
    </w:p>
    <w:p>
      <w:pPr>
        <w:pStyle w:val="7"/>
        <w:spacing w:line="380" w:lineRule="exact"/>
        <w:jc w:val="center"/>
        <w:rPr>
          <w:rFonts w:hAnsi="宋体"/>
          <w:color w:val="000000"/>
        </w:rPr>
      </w:pPr>
    </w:p>
    <w:p>
      <w:pPr>
        <w:pStyle w:val="7"/>
        <w:spacing w:line="380" w:lineRule="exact"/>
        <w:jc w:val="center"/>
        <w:rPr>
          <w:rFonts w:hAnsi="宋体"/>
          <w:color w:val="000000"/>
        </w:rPr>
      </w:pPr>
    </w:p>
    <w:p>
      <w:pPr>
        <w:pStyle w:val="7"/>
        <w:spacing w:line="380" w:lineRule="exact"/>
        <w:jc w:val="center"/>
        <w:rPr>
          <w:rFonts w:hAnsi="宋体"/>
          <w:color w:val="000000"/>
        </w:rPr>
      </w:pPr>
    </w:p>
    <w:p>
      <w:pPr>
        <w:pStyle w:val="7"/>
        <w:spacing w:line="380" w:lineRule="exact"/>
        <w:jc w:val="center"/>
        <w:rPr>
          <w:rFonts w:hAnsi="宋体"/>
          <w:color w:val="000000"/>
        </w:rPr>
      </w:pPr>
      <w:r>
        <w:rPr>
          <w:rFonts w:hAnsi="宋体"/>
          <w:color w:val="000000"/>
        </w:rPr>
        <w:br w:type="page"/>
      </w:r>
    </w:p>
    <w:p>
      <w:pPr>
        <w:spacing w:line="400" w:lineRule="exact"/>
        <w:ind w:left="431" w:leftChars="172" w:hanging="70" w:hangingChars="25"/>
        <w:rPr>
          <w:rFonts w:ascii="宋体" w:hAnsi="宋体"/>
          <w:b/>
          <w:color w:val="000000"/>
          <w:sz w:val="28"/>
          <w:szCs w:val="28"/>
        </w:rPr>
      </w:pPr>
      <w:r>
        <w:rPr>
          <w:rFonts w:hint="eastAsia" w:ascii="宋体" w:hAnsi="宋体"/>
          <w:b/>
          <w:color w:val="000000"/>
          <w:sz w:val="28"/>
          <w:szCs w:val="28"/>
        </w:rPr>
        <w:t>附件一</w:t>
      </w:r>
    </w:p>
    <w:p>
      <w:pPr>
        <w:spacing w:line="400" w:lineRule="exact"/>
        <w:ind w:left="431" w:leftChars="172" w:hanging="70" w:hangingChars="25"/>
        <w:rPr>
          <w:rFonts w:ascii="宋体" w:hAnsi="宋体"/>
          <w:b/>
          <w:color w:val="000000"/>
          <w:sz w:val="28"/>
          <w:szCs w:val="28"/>
        </w:rPr>
      </w:pPr>
    </w:p>
    <w:p>
      <w:pPr>
        <w:spacing w:line="400" w:lineRule="exact"/>
        <w:jc w:val="center"/>
        <w:rPr>
          <w:rFonts w:ascii="宋体" w:hAnsi="宋体"/>
          <w:b/>
          <w:color w:val="000000"/>
          <w:sz w:val="28"/>
          <w:szCs w:val="28"/>
        </w:rPr>
      </w:pPr>
      <w:r>
        <w:rPr>
          <w:rFonts w:hint="eastAsia" w:ascii="宋体" w:hAnsi="宋体"/>
          <w:b/>
          <w:color w:val="000000"/>
          <w:sz w:val="28"/>
          <w:szCs w:val="28"/>
        </w:rPr>
        <w:t>谈判书</w:t>
      </w:r>
    </w:p>
    <w:p>
      <w:pPr>
        <w:spacing w:line="520" w:lineRule="exact"/>
        <w:rPr>
          <w:rFonts w:ascii="宋体" w:hAnsi="宋体"/>
          <w:color w:val="000000"/>
          <w:szCs w:val="21"/>
        </w:rPr>
      </w:pPr>
      <w:r>
        <w:rPr>
          <w:rFonts w:hint="eastAsia" w:ascii="宋体" w:hAnsi="宋体"/>
          <w:color w:val="000000"/>
          <w:szCs w:val="21"/>
          <w:u w:val="single"/>
        </w:rPr>
        <w:t>广西中吉银工程项目管理有限公司：</w:t>
      </w:r>
    </w:p>
    <w:p>
      <w:pPr>
        <w:spacing w:line="520" w:lineRule="exact"/>
        <w:ind w:left="-181" w:leftChars="-86" w:firstLine="420" w:firstLineChars="200"/>
        <w:rPr>
          <w:rFonts w:ascii="宋体" w:hAnsi="宋体"/>
          <w:color w:val="000000"/>
          <w:szCs w:val="21"/>
        </w:rPr>
      </w:pPr>
      <w:r>
        <w:rPr>
          <w:rFonts w:hint="eastAsia" w:ascii="宋体" w:hAnsi="宋体"/>
          <w:color w:val="000000"/>
          <w:szCs w:val="21"/>
        </w:rPr>
        <w:t>依据贵方</w:t>
      </w:r>
      <w:r>
        <w:rPr>
          <w:rFonts w:hint="eastAsia" w:ascii="宋体" w:hAnsi="宋体"/>
          <w:color w:val="000000"/>
          <w:szCs w:val="21"/>
          <w:u w:val="single"/>
        </w:rPr>
        <w:t>（项目名称/文件编号）</w:t>
      </w:r>
      <w:r>
        <w:rPr>
          <w:rFonts w:hint="eastAsia" w:ascii="宋体" w:hAnsi="宋体"/>
          <w:color w:val="000000"/>
          <w:szCs w:val="21"/>
        </w:rPr>
        <w:t>项目政府采购的谈判邀请，我方</w:t>
      </w:r>
      <w:r>
        <w:rPr>
          <w:rFonts w:hint="eastAsia" w:ascii="宋体" w:hAnsi="宋体"/>
          <w:color w:val="000000"/>
          <w:szCs w:val="21"/>
          <w:u w:val="single"/>
        </w:rPr>
        <w:t>（姓名和职务）</w:t>
      </w:r>
      <w:r>
        <w:rPr>
          <w:rFonts w:hint="eastAsia" w:ascii="宋体" w:hAnsi="宋体"/>
          <w:color w:val="000000"/>
          <w:szCs w:val="21"/>
        </w:rPr>
        <w:t>经正式授权并代表谈判供应商</w:t>
      </w:r>
      <w:r>
        <w:rPr>
          <w:rFonts w:hint="eastAsia" w:ascii="宋体" w:hAnsi="宋体"/>
          <w:color w:val="000000"/>
          <w:szCs w:val="21"/>
          <w:u w:val="single"/>
        </w:rPr>
        <w:t>（谈判供应商名称、地址）</w:t>
      </w:r>
      <w:r>
        <w:rPr>
          <w:rFonts w:hint="eastAsia" w:ascii="宋体" w:hAnsi="宋体"/>
          <w:color w:val="000000"/>
          <w:szCs w:val="21"/>
        </w:rPr>
        <w:t>提交下述竞争性谈判响应文件正本一份和副本</w:t>
      </w:r>
      <w:r>
        <w:rPr>
          <w:rFonts w:hint="eastAsia" w:ascii="宋体" w:hAnsi="宋体"/>
          <w:color w:val="000000"/>
          <w:szCs w:val="21"/>
          <w:u w:val="single"/>
        </w:rPr>
        <w:t>三</w:t>
      </w:r>
      <w:r>
        <w:rPr>
          <w:rFonts w:hint="eastAsia" w:ascii="宋体" w:hAnsi="宋体"/>
          <w:color w:val="000000"/>
          <w:szCs w:val="21"/>
        </w:rPr>
        <w:t>份。</w:t>
      </w:r>
    </w:p>
    <w:p>
      <w:pPr>
        <w:numPr>
          <w:ilvl w:val="1"/>
          <w:numId w:val="3"/>
        </w:numPr>
        <w:spacing w:line="520" w:lineRule="exact"/>
        <w:rPr>
          <w:rFonts w:ascii="宋体" w:hAnsi="宋体"/>
          <w:color w:val="000000"/>
          <w:szCs w:val="21"/>
        </w:rPr>
      </w:pPr>
      <w:r>
        <w:rPr>
          <w:rFonts w:hint="eastAsia" w:ascii="宋体" w:hAnsi="宋体"/>
          <w:color w:val="000000"/>
          <w:szCs w:val="21"/>
        </w:rPr>
        <w:t>报价表；</w:t>
      </w:r>
    </w:p>
    <w:p>
      <w:pPr>
        <w:numPr>
          <w:ilvl w:val="1"/>
          <w:numId w:val="3"/>
        </w:numPr>
        <w:spacing w:line="520" w:lineRule="exact"/>
        <w:rPr>
          <w:rFonts w:ascii="宋体" w:hAnsi="宋体" w:cs="宋体"/>
          <w:color w:val="000000"/>
          <w:szCs w:val="21"/>
        </w:rPr>
      </w:pPr>
      <w:r>
        <w:rPr>
          <w:rFonts w:hint="eastAsia" w:ascii="宋体" w:hAnsi="宋体"/>
          <w:color w:val="000000"/>
          <w:szCs w:val="21"/>
        </w:rPr>
        <w:t>技术响应表；</w:t>
      </w:r>
    </w:p>
    <w:p>
      <w:pPr>
        <w:numPr>
          <w:ilvl w:val="1"/>
          <w:numId w:val="3"/>
        </w:numPr>
        <w:spacing w:line="520" w:lineRule="exact"/>
        <w:rPr>
          <w:rFonts w:ascii="宋体" w:hAnsi="宋体" w:cs="宋体"/>
          <w:color w:val="000000"/>
          <w:szCs w:val="21"/>
        </w:rPr>
      </w:pPr>
      <w:r>
        <w:rPr>
          <w:rFonts w:hint="eastAsia" w:ascii="宋体" w:hAnsi="宋体"/>
          <w:color w:val="000000"/>
          <w:szCs w:val="21"/>
        </w:rPr>
        <w:t>按竞争性谈判采购文件谈判须知和技术规格要求提供的有关文件；</w:t>
      </w:r>
    </w:p>
    <w:p>
      <w:pPr>
        <w:numPr>
          <w:ilvl w:val="1"/>
          <w:numId w:val="3"/>
        </w:numPr>
        <w:spacing w:line="520" w:lineRule="exact"/>
        <w:rPr>
          <w:rFonts w:ascii="宋体" w:hAnsi="宋体" w:cs="宋体"/>
          <w:color w:val="000000"/>
          <w:szCs w:val="21"/>
        </w:rPr>
      </w:pPr>
      <w:r>
        <w:rPr>
          <w:rFonts w:hint="eastAsia" w:ascii="宋体" w:hAnsi="宋体"/>
          <w:color w:val="000000"/>
          <w:szCs w:val="21"/>
        </w:rPr>
        <w:t>资格证明文件。</w:t>
      </w:r>
    </w:p>
    <w:p>
      <w:pPr>
        <w:spacing w:line="520" w:lineRule="exact"/>
        <w:ind w:left="420"/>
        <w:rPr>
          <w:rFonts w:ascii="宋体" w:hAnsi="宋体"/>
          <w:color w:val="000000"/>
          <w:szCs w:val="21"/>
        </w:rPr>
      </w:pPr>
      <w:r>
        <w:rPr>
          <w:rFonts w:hint="eastAsia" w:ascii="宋体" w:hAnsi="宋体"/>
          <w:color w:val="000000"/>
          <w:szCs w:val="21"/>
        </w:rPr>
        <w:t>因此，授权代表宣布同意如下：</w:t>
      </w:r>
    </w:p>
    <w:p>
      <w:pPr>
        <w:numPr>
          <w:ilvl w:val="0"/>
          <w:numId w:val="4"/>
        </w:numPr>
        <w:spacing w:line="520" w:lineRule="exact"/>
        <w:rPr>
          <w:rFonts w:ascii="宋体" w:hAnsi="宋体"/>
          <w:color w:val="000000"/>
          <w:szCs w:val="21"/>
        </w:rPr>
      </w:pPr>
      <w:r>
        <w:rPr>
          <w:rFonts w:hint="eastAsia" w:ascii="宋体" w:hAnsi="宋体"/>
          <w:color w:val="000000"/>
          <w:szCs w:val="21"/>
        </w:rPr>
        <w:t>将按竞争性谈判采购文件的约定履行合同责任和义务；</w:t>
      </w:r>
    </w:p>
    <w:p>
      <w:pPr>
        <w:numPr>
          <w:ilvl w:val="0"/>
          <w:numId w:val="4"/>
        </w:numPr>
        <w:spacing w:line="520" w:lineRule="exact"/>
        <w:rPr>
          <w:rFonts w:ascii="宋体" w:hAnsi="宋体" w:cs="宋体"/>
          <w:color w:val="000000"/>
          <w:szCs w:val="21"/>
        </w:rPr>
      </w:pPr>
      <w:r>
        <w:rPr>
          <w:rFonts w:hint="eastAsia" w:ascii="宋体" w:hAnsi="宋体"/>
          <w:color w:val="000000"/>
          <w:szCs w:val="21"/>
        </w:rPr>
        <w:t>已详细审查全部竞争性谈判采购文件，包括</w:t>
      </w:r>
      <w:r>
        <w:rPr>
          <w:rFonts w:hint="eastAsia" w:ascii="宋体" w:hAnsi="宋体"/>
          <w:color w:val="000000"/>
          <w:szCs w:val="21"/>
          <w:u w:val="single"/>
        </w:rPr>
        <w:t>(补遗文件)（如果有的话）；</w:t>
      </w:r>
      <w:r>
        <w:rPr>
          <w:rFonts w:hint="eastAsia" w:ascii="宋体" w:hAnsi="宋体"/>
          <w:color w:val="000000"/>
          <w:szCs w:val="21"/>
        </w:rPr>
        <w:t>我们完全理解并同意放弃对这方面有不明及误解的权力；</w:t>
      </w:r>
    </w:p>
    <w:p>
      <w:pPr>
        <w:numPr>
          <w:ilvl w:val="0"/>
          <w:numId w:val="4"/>
        </w:numPr>
        <w:spacing w:line="520" w:lineRule="exact"/>
        <w:rPr>
          <w:rFonts w:ascii="宋体" w:hAnsi="宋体" w:cs="宋体"/>
          <w:color w:val="000000"/>
          <w:szCs w:val="21"/>
        </w:rPr>
      </w:pPr>
      <w:r>
        <w:rPr>
          <w:rFonts w:hint="eastAsia" w:ascii="宋体" w:hAnsi="宋体"/>
          <w:color w:val="000000"/>
          <w:szCs w:val="21"/>
        </w:rPr>
        <w:t>同意提供按照贵方可能要求的与其谈判有关的一切数据或资料；</w:t>
      </w:r>
    </w:p>
    <w:p>
      <w:pPr>
        <w:numPr>
          <w:ilvl w:val="0"/>
          <w:numId w:val="4"/>
        </w:numPr>
        <w:spacing w:line="520" w:lineRule="exact"/>
        <w:rPr>
          <w:rFonts w:ascii="宋体" w:hAnsi="宋体" w:cs="宋体"/>
          <w:color w:val="000000"/>
          <w:szCs w:val="21"/>
        </w:rPr>
      </w:pPr>
      <w:r>
        <w:rPr>
          <w:rFonts w:hint="eastAsia" w:ascii="宋体" w:hAnsi="宋体"/>
          <w:color w:val="000000"/>
          <w:szCs w:val="21"/>
        </w:rPr>
        <w:t>与本谈判有关的一切正式往来信函请寄：</w:t>
      </w:r>
    </w:p>
    <w:p>
      <w:pPr>
        <w:snapToGrid w:val="0"/>
        <w:spacing w:line="500" w:lineRule="exact"/>
        <w:ind w:firstLine="735" w:firstLineChars="350"/>
        <w:rPr>
          <w:rFonts w:ascii="宋体" w:hAnsi="宋体"/>
          <w:color w:val="000000"/>
          <w:szCs w:val="21"/>
          <w:u w:val="single"/>
        </w:rPr>
      </w:pPr>
      <w:r>
        <w:rPr>
          <w:rFonts w:hint="eastAsia" w:ascii="宋体" w:hAnsi="宋体"/>
          <w:color w:val="000000"/>
          <w:szCs w:val="21"/>
        </w:rPr>
        <w:t>地址：</w:t>
      </w:r>
      <w:r>
        <w:rPr>
          <w:rFonts w:hint="eastAsia" w:ascii="宋体" w:hAnsi="宋体"/>
          <w:color w:val="000000"/>
          <w:szCs w:val="21"/>
          <w:u w:val="single"/>
        </w:rPr>
        <w:t xml:space="preserve">                       </w:t>
      </w:r>
      <w:r>
        <w:rPr>
          <w:rFonts w:hint="eastAsia" w:ascii="宋体" w:hAnsi="宋体"/>
          <w:color w:val="000000"/>
          <w:szCs w:val="21"/>
        </w:rPr>
        <w:t>；邮编：</w:t>
      </w:r>
      <w:r>
        <w:rPr>
          <w:rFonts w:hint="eastAsia" w:ascii="宋体" w:hAnsi="宋体"/>
          <w:color w:val="000000"/>
          <w:szCs w:val="21"/>
          <w:u w:val="single"/>
        </w:rPr>
        <w:t xml:space="preserve">                   </w:t>
      </w:r>
      <w:r>
        <w:rPr>
          <w:rFonts w:hint="eastAsia" w:ascii="宋体" w:hAnsi="宋体"/>
          <w:color w:val="000000"/>
          <w:szCs w:val="21"/>
        </w:rPr>
        <w:t>；电话：</w:t>
      </w:r>
      <w:r>
        <w:rPr>
          <w:rFonts w:hint="eastAsia" w:ascii="宋体" w:hAnsi="宋体"/>
          <w:color w:val="000000"/>
          <w:szCs w:val="21"/>
          <w:u w:val="single"/>
        </w:rPr>
        <w:t xml:space="preserve">                </w:t>
      </w:r>
      <w:r>
        <w:rPr>
          <w:rFonts w:hint="eastAsia" w:ascii="宋体" w:hAnsi="宋体"/>
          <w:color w:val="000000"/>
          <w:szCs w:val="21"/>
        </w:rPr>
        <w:t>；</w:t>
      </w:r>
    </w:p>
    <w:p>
      <w:pPr>
        <w:snapToGrid w:val="0"/>
        <w:spacing w:line="500" w:lineRule="exact"/>
        <w:ind w:firstLine="735" w:firstLineChars="350"/>
        <w:rPr>
          <w:rFonts w:ascii="宋体" w:hAnsi="宋体"/>
          <w:color w:val="000000"/>
          <w:szCs w:val="21"/>
          <w:u w:val="single"/>
        </w:rPr>
      </w:pPr>
      <w:r>
        <w:rPr>
          <w:rFonts w:hint="eastAsia" w:ascii="宋体" w:hAnsi="宋体"/>
          <w:color w:val="000000"/>
          <w:szCs w:val="21"/>
        </w:rPr>
        <w:t>传真：</w:t>
      </w:r>
      <w:r>
        <w:rPr>
          <w:rFonts w:hint="eastAsia" w:ascii="宋体" w:hAnsi="宋体"/>
          <w:color w:val="000000"/>
          <w:szCs w:val="21"/>
          <w:u w:val="single"/>
        </w:rPr>
        <w:t xml:space="preserve">                       </w:t>
      </w:r>
      <w:r>
        <w:rPr>
          <w:rFonts w:hint="eastAsia" w:ascii="宋体" w:hAnsi="宋体"/>
          <w:color w:val="000000"/>
          <w:szCs w:val="21"/>
        </w:rPr>
        <w:t>；供应商代表姓名：</w:t>
      </w:r>
      <w:r>
        <w:rPr>
          <w:rFonts w:hint="eastAsia" w:ascii="宋体" w:hAnsi="宋体"/>
          <w:color w:val="000000"/>
          <w:szCs w:val="21"/>
          <w:u w:val="single"/>
        </w:rPr>
        <w:t xml:space="preserve">         </w:t>
      </w:r>
      <w:r>
        <w:rPr>
          <w:rFonts w:hint="eastAsia" w:ascii="宋体" w:hAnsi="宋体"/>
          <w:color w:val="000000"/>
          <w:szCs w:val="21"/>
        </w:rPr>
        <w:t>；职务：</w:t>
      </w:r>
      <w:r>
        <w:rPr>
          <w:rFonts w:hint="eastAsia" w:ascii="宋体" w:hAnsi="宋体"/>
          <w:color w:val="000000"/>
          <w:szCs w:val="21"/>
          <w:u w:val="single"/>
        </w:rPr>
        <w:t xml:space="preserve">                </w:t>
      </w:r>
      <w:r>
        <w:rPr>
          <w:rFonts w:hint="eastAsia" w:ascii="宋体" w:hAnsi="宋体"/>
          <w:color w:val="000000"/>
          <w:szCs w:val="21"/>
        </w:rPr>
        <w:t>；</w:t>
      </w:r>
    </w:p>
    <w:p>
      <w:pPr>
        <w:snapToGrid w:val="0"/>
        <w:spacing w:line="500" w:lineRule="exact"/>
        <w:ind w:firstLine="735" w:firstLineChars="350"/>
        <w:rPr>
          <w:rFonts w:ascii="宋体" w:hAnsi="宋体"/>
          <w:color w:val="000000"/>
          <w:szCs w:val="21"/>
          <w:u w:val="single"/>
        </w:rPr>
      </w:pPr>
      <w:r>
        <w:rPr>
          <w:rFonts w:hint="eastAsia" w:ascii="宋体" w:hAnsi="宋体"/>
          <w:color w:val="000000"/>
          <w:szCs w:val="21"/>
        </w:rPr>
        <w:t>供应商名称（公章）：</w:t>
      </w:r>
      <w:r>
        <w:rPr>
          <w:rFonts w:hint="eastAsia" w:ascii="宋体" w:hAnsi="宋体"/>
          <w:color w:val="000000"/>
          <w:szCs w:val="21"/>
          <w:u w:val="single"/>
        </w:rPr>
        <w:t xml:space="preserve">                                          </w:t>
      </w:r>
      <w:r>
        <w:rPr>
          <w:rFonts w:hint="eastAsia" w:ascii="宋体" w:hAnsi="宋体"/>
          <w:color w:val="000000"/>
          <w:szCs w:val="21"/>
        </w:rPr>
        <w:t>；</w:t>
      </w:r>
    </w:p>
    <w:p>
      <w:pPr>
        <w:snapToGrid w:val="0"/>
        <w:spacing w:line="500" w:lineRule="exact"/>
        <w:ind w:firstLine="735" w:firstLineChars="350"/>
        <w:rPr>
          <w:rFonts w:ascii="宋体" w:hAnsi="宋体"/>
          <w:color w:val="000000"/>
          <w:szCs w:val="21"/>
        </w:rPr>
      </w:pPr>
      <w:r>
        <w:rPr>
          <w:rFonts w:hint="eastAsia" w:ascii="宋体" w:hAnsi="宋体"/>
          <w:color w:val="000000"/>
          <w:szCs w:val="21"/>
        </w:rPr>
        <w:t>供应商企业工商营业执照号码：</w:t>
      </w:r>
      <w:r>
        <w:rPr>
          <w:rFonts w:hint="eastAsia" w:ascii="宋体" w:hAnsi="宋体"/>
          <w:color w:val="000000"/>
          <w:szCs w:val="21"/>
          <w:u w:val="single"/>
        </w:rPr>
        <w:t xml:space="preserve">                                  </w:t>
      </w:r>
      <w:r>
        <w:rPr>
          <w:rFonts w:hint="eastAsia" w:ascii="宋体" w:hAnsi="宋体"/>
          <w:color w:val="000000"/>
          <w:szCs w:val="21"/>
        </w:rPr>
        <w:t>；</w:t>
      </w:r>
    </w:p>
    <w:p>
      <w:pPr>
        <w:snapToGrid w:val="0"/>
        <w:spacing w:line="500" w:lineRule="exact"/>
        <w:ind w:firstLine="735" w:firstLineChars="350"/>
        <w:rPr>
          <w:rFonts w:ascii="宋体" w:hAnsi="宋体"/>
          <w:color w:val="000000"/>
          <w:szCs w:val="21"/>
          <w:u w:val="single"/>
        </w:rPr>
      </w:pPr>
      <w:r>
        <w:rPr>
          <w:rFonts w:hint="eastAsia" w:ascii="宋体" w:hAnsi="宋体"/>
          <w:color w:val="000000"/>
          <w:szCs w:val="21"/>
        </w:rPr>
        <w:t>法定代表人姓名：</w:t>
      </w:r>
      <w:r>
        <w:rPr>
          <w:rFonts w:hint="eastAsia" w:ascii="宋体" w:hAnsi="宋体"/>
          <w:color w:val="000000"/>
          <w:szCs w:val="21"/>
          <w:u w:val="single"/>
        </w:rPr>
        <w:t xml:space="preserve">                </w:t>
      </w:r>
      <w:r>
        <w:rPr>
          <w:rFonts w:hint="eastAsia" w:ascii="宋体" w:hAnsi="宋体"/>
          <w:color w:val="000000"/>
          <w:szCs w:val="21"/>
        </w:rPr>
        <w:t>；法定代表人身份证号码：</w:t>
      </w:r>
      <w:r>
        <w:rPr>
          <w:rFonts w:hint="eastAsia" w:ascii="宋体" w:hAnsi="宋体"/>
          <w:color w:val="000000"/>
          <w:szCs w:val="21"/>
          <w:u w:val="single"/>
        </w:rPr>
        <w:t xml:space="preserve">                       </w:t>
      </w:r>
      <w:r>
        <w:rPr>
          <w:rFonts w:hint="eastAsia" w:ascii="宋体" w:hAnsi="宋体"/>
          <w:color w:val="000000"/>
          <w:szCs w:val="21"/>
        </w:rPr>
        <w:t>；</w:t>
      </w:r>
    </w:p>
    <w:p>
      <w:pPr>
        <w:snapToGrid w:val="0"/>
        <w:spacing w:line="500" w:lineRule="exact"/>
        <w:ind w:firstLine="735" w:firstLineChars="350"/>
        <w:rPr>
          <w:rFonts w:ascii="宋体" w:hAnsi="宋体"/>
          <w:color w:val="000000"/>
          <w:szCs w:val="21"/>
          <w:u w:val="single"/>
        </w:rPr>
      </w:pPr>
      <w:r>
        <w:rPr>
          <w:rFonts w:hint="eastAsia" w:ascii="宋体" w:hAnsi="宋体"/>
          <w:color w:val="000000"/>
          <w:szCs w:val="21"/>
        </w:rPr>
        <w:t>授权委托代理人姓名：</w:t>
      </w:r>
      <w:r>
        <w:rPr>
          <w:rFonts w:hint="eastAsia" w:ascii="宋体" w:hAnsi="宋体"/>
          <w:color w:val="000000"/>
          <w:szCs w:val="21"/>
          <w:u w:val="single"/>
        </w:rPr>
        <w:t xml:space="preserve">            </w:t>
      </w:r>
      <w:r>
        <w:rPr>
          <w:rFonts w:hint="eastAsia" w:ascii="宋体" w:hAnsi="宋体"/>
          <w:color w:val="000000"/>
          <w:szCs w:val="21"/>
        </w:rPr>
        <w:t>；授权委托代理人身份证号码：</w:t>
      </w:r>
      <w:r>
        <w:rPr>
          <w:rFonts w:hint="eastAsia" w:ascii="宋体" w:hAnsi="宋体"/>
          <w:color w:val="000000"/>
          <w:szCs w:val="21"/>
          <w:u w:val="single"/>
        </w:rPr>
        <w:t xml:space="preserve">                        </w:t>
      </w:r>
      <w:r>
        <w:rPr>
          <w:rFonts w:hint="eastAsia" w:ascii="宋体" w:hAnsi="宋体"/>
          <w:color w:val="000000"/>
          <w:szCs w:val="21"/>
        </w:rPr>
        <w:t>；</w:t>
      </w:r>
    </w:p>
    <w:p>
      <w:pPr>
        <w:snapToGrid w:val="0"/>
        <w:spacing w:line="500" w:lineRule="exact"/>
        <w:ind w:firstLine="735" w:firstLineChars="350"/>
        <w:rPr>
          <w:rFonts w:ascii="宋体" w:hAnsi="宋体"/>
          <w:color w:val="000000"/>
          <w:szCs w:val="21"/>
        </w:rPr>
      </w:pPr>
      <w:r>
        <w:rPr>
          <w:rFonts w:hint="eastAsia" w:ascii="宋体" w:hAnsi="宋体"/>
          <w:color w:val="000000"/>
          <w:szCs w:val="21"/>
        </w:rPr>
        <w:t>开户银行：</w:t>
      </w:r>
      <w:r>
        <w:rPr>
          <w:rFonts w:hint="eastAsia" w:ascii="宋体" w:hAnsi="宋体"/>
          <w:color w:val="000000"/>
          <w:szCs w:val="21"/>
          <w:u w:val="single"/>
        </w:rPr>
        <w:t xml:space="preserve">                      </w:t>
      </w:r>
      <w:r>
        <w:rPr>
          <w:rFonts w:hint="eastAsia" w:ascii="宋体" w:hAnsi="宋体"/>
          <w:color w:val="000000"/>
          <w:szCs w:val="21"/>
        </w:rPr>
        <w:t>；银行帐号：</w:t>
      </w:r>
      <w:r>
        <w:rPr>
          <w:rFonts w:hint="eastAsia" w:ascii="宋体" w:hAnsi="宋体"/>
          <w:color w:val="000000"/>
          <w:szCs w:val="21"/>
          <w:u w:val="single"/>
        </w:rPr>
        <w:t xml:space="preserve">                    </w:t>
      </w:r>
      <w:r>
        <w:rPr>
          <w:rFonts w:hint="eastAsia" w:ascii="宋体" w:hAnsi="宋体"/>
          <w:color w:val="000000"/>
          <w:szCs w:val="21"/>
        </w:rPr>
        <w:t>；</w:t>
      </w:r>
    </w:p>
    <w:p>
      <w:pPr>
        <w:spacing w:line="520" w:lineRule="exact"/>
        <w:ind w:left="420" w:leftChars="200" w:firstLine="315" w:firstLineChars="150"/>
        <w:rPr>
          <w:rFonts w:ascii="宋体" w:hAnsi="宋体"/>
          <w:color w:val="000000"/>
          <w:szCs w:val="21"/>
        </w:rPr>
      </w:pPr>
      <w:r>
        <w:rPr>
          <w:rFonts w:hint="eastAsia" w:ascii="宋体" w:hAnsi="宋体"/>
          <w:color w:val="000000"/>
          <w:szCs w:val="21"/>
        </w:rPr>
        <w:t>授权代表签字：</w:t>
      </w:r>
      <w:r>
        <w:rPr>
          <w:rFonts w:hint="eastAsia" w:ascii="宋体" w:hAnsi="宋体"/>
          <w:color w:val="000000"/>
          <w:szCs w:val="21"/>
          <w:u w:val="single"/>
        </w:rPr>
        <w:t xml:space="preserve">                </w:t>
      </w:r>
    </w:p>
    <w:p>
      <w:pPr>
        <w:snapToGrid w:val="0"/>
        <w:spacing w:line="500" w:lineRule="exact"/>
        <w:ind w:firstLine="7665" w:firstLineChars="3650"/>
        <w:rPr>
          <w:rFonts w:ascii="宋体" w:hAnsi="宋体"/>
          <w:color w:val="000000"/>
          <w:szCs w:val="21"/>
        </w:rPr>
      </w:pPr>
      <w:r>
        <w:rPr>
          <w:rFonts w:hint="eastAsia" w:ascii="宋体" w:hAnsi="宋体"/>
          <w:color w:val="000000"/>
          <w:szCs w:val="21"/>
        </w:rPr>
        <w:t>（公章）</w:t>
      </w:r>
    </w:p>
    <w:p>
      <w:pPr>
        <w:pStyle w:val="7"/>
        <w:spacing w:line="380" w:lineRule="exact"/>
        <w:jc w:val="center"/>
        <w:rPr>
          <w:rFonts w:hAnsi="宋体"/>
          <w:color w:val="000000"/>
        </w:rPr>
      </w:pPr>
      <w:r>
        <w:rPr>
          <w:rFonts w:hint="eastAsia" w:hAnsi="宋体"/>
          <w:color w:val="000000"/>
        </w:rPr>
        <w:t xml:space="preserve">                                                        </w:t>
      </w:r>
      <w:r>
        <w:rPr>
          <w:rFonts w:hint="eastAsia" w:hAnsi="宋体"/>
          <w:color w:val="000000"/>
          <w:u w:val="single"/>
        </w:rPr>
        <w:t xml:space="preserve">     </w:t>
      </w:r>
      <w:r>
        <w:rPr>
          <w:rFonts w:hint="eastAsia" w:hAnsi="宋体"/>
          <w:color w:val="000000"/>
        </w:rPr>
        <w:t>年</w:t>
      </w:r>
      <w:r>
        <w:rPr>
          <w:rFonts w:hint="eastAsia" w:hAnsi="宋体"/>
          <w:color w:val="000000"/>
          <w:u w:val="single"/>
        </w:rPr>
        <w:t xml:space="preserve">     </w:t>
      </w:r>
      <w:r>
        <w:rPr>
          <w:rFonts w:hint="eastAsia" w:hAnsi="宋体"/>
          <w:color w:val="000000"/>
        </w:rPr>
        <w:t>月</w:t>
      </w:r>
      <w:r>
        <w:rPr>
          <w:rFonts w:hint="eastAsia" w:hAnsi="宋体"/>
          <w:color w:val="000000"/>
          <w:u w:val="single"/>
        </w:rPr>
        <w:t xml:space="preserve">     </w:t>
      </w:r>
      <w:r>
        <w:rPr>
          <w:rFonts w:hint="eastAsia" w:hAnsi="宋体"/>
          <w:color w:val="000000"/>
        </w:rPr>
        <w:t>日</w:t>
      </w:r>
    </w:p>
    <w:p>
      <w:pPr>
        <w:spacing w:line="500" w:lineRule="exact"/>
        <w:rPr>
          <w:rFonts w:ascii="宋体" w:hAnsi="宋体"/>
          <w:b/>
          <w:color w:val="000000"/>
          <w:sz w:val="28"/>
          <w:szCs w:val="28"/>
        </w:rPr>
      </w:pPr>
    </w:p>
    <w:p>
      <w:pPr>
        <w:spacing w:line="500" w:lineRule="exact"/>
        <w:rPr>
          <w:rFonts w:ascii="宋体" w:hAnsi="宋体"/>
          <w:b/>
          <w:color w:val="000000"/>
          <w:sz w:val="28"/>
          <w:szCs w:val="28"/>
        </w:rPr>
      </w:pPr>
    </w:p>
    <w:p>
      <w:pPr>
        <w:spacing w:line="500" w:lineRule="exact"/>
        <w:rPr>
          <w:rFonts w:ascii="宋体" w:hAnsi="宋体"/>
          <w:b/>
          <w:color w:val="000000"/>
          <w:sz w:val="28"/>
          <w:szCs w:val="28"/>
        </w:rPr>
      </w:pPr>
      <w:r>
        <w:rPr>
          <w:rFonts w:hint="eastAsia" w:ascii="宋体" w:hAnsi="宋体"/>
          <w:b/>
          <w:color w:val="000000"/>
          <w:sz w:val="28"/>
          <w:szCs w:val="28"/>
        </w:rPr>
        <w:t xml:space="preserve">附件二             </w:t>
      </w:r>
    </w:p>
    <w:p>
      <w:pPr>
        <w:spacing w:line="500" w:lineRule="exact"/>
        <w:jc w:val="center"/>
        <w:rPr>
          <w:rFonts w:ascii="宋体" w:hAnsi="宋体"/>
          <w:b/>
          <w:color w:val="000000"/>
          <w:sz w:val="28"/>
          <w:szCs w:val="28"/>
        </w:rPr>
      </w:pPr>
    </w:p>
    <w:p>
      <w:pPr>
        <w:spacing w:line="500" w:lineRule="exact"/>
        <w:jc w:val="center"/>
        <w:rPr>
          <w:rFonts w:ascii="宋体" w:hAnsi="宋体"/>
          <w:b/>
          <w:color w:val="000000"/>
          <w:sz w:val="28"/>
          <w:szCs w:val="28"/>
        </w:rPr>
      </w:pPr>
      <w:r>
        <w:rPr>
          <w:rFonts w:hint="eastAsia" w:ascii="宋体" w:hAnsi="宋体"/>
          <w:b/>
          <w:color w:val="000000"/>
          <w:sz w:val="28"/>
          <w:szCs w:val="28"/>
        </w:rPr>
        <w:t>报价表</w:t>
      </w:r>
    </w:p>
    <w:p>
      <w:pPr>
        <w:spacing w:line="500" w:lineRule="exact"/>
        <w:rPr>
          <w:rFonts w:ascii="宋体" w:hAnsi="宋体"/>
          <w:color w:val="000000"/>
          <w:szCs w:val="21"/>
          <w:u w:val="single"/>
        </w:rPr>
      </w:pPr>
      <w:r>
        <w:rPr>
          <w:rFonts w:hint="eastAsia" w:ascii="宋体" w:hAnsi="宋体"/>
          <w:color w:val="000000"/>
          <w:szCs w:val="21"/>
        </w:rPr>
        <w:t>采购项目编号:</w:t>
      </w:r>
      <w:r>
        <w:rPr>
          <w:rFonts w:hint="eastAsia" w:ascii="宋体" w:hAnsi="宋体"/>
          <w:color w:val="000000"/>
          <w:szCs w:val="21"/>
          <w:u w:val="single"/>
        </w:rPr>
        <w:t xml:space="preserve">                 </w:t>
      </w:r>
    </w:p>
    <w:p>
      <w:pPr>
        <w:spacing w:line="500" w:lineRule="exact"/>
        <w:rPr>
          <w:rFonts w:ascii="宋体" w:hAnsi="宋体"/>
          <w:color w:val="000000"/>
          <w:szCs w:val="21"/>
        </w:rPr>
      </w:pPr>
      <w:r>
        <w:rPr>
          <w:rFonts w:hint="eastAsia" w:ascii="宋体" w:hAnsi="宋体"/>
          <w:color w:val="000000"/>
          <w:szCs w:val="21"/>
        </w:rPr>
        <w:t>采购项目名称:</w:t>
      </w:r>
      <w:r>
        <w:rPr>
          <w:rFonts w:hint="eastAsia" w:ascii="宋体" w:hAnsi="宋体"/>
          <w:color w:val="000000"/>
          <w:szCs w:val="21"/>
          <w:u w:val="single"/>
        </w:rPr>
        <w:t xml:space="preserve">                 </w:t>
      </w:r>
      <w:r>
        <w:rPr>
          <w:rFonts w:hint="eastAsia" w:ascii="宋体" w:hAnsi="宋体"/>
          <w:color w:val="000000"/>
          <w:szCs w:val="21"/>
        </w:rPr>
        <w:t xml:space="preserve">    </w:t>
      </w:r>
    </w:p>
    <w:tbl>
      <w:tblPr>
        <w:tblStyle w:val="14"/>
        <w:tblpPr w:leftFromText="180" w:rightFromText="180" w:vertAnchor="text" w:horzAnchor="page" w:tblpX="1448" w:tblpY="46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1774"/>
        <w:gridCol w:w="1417"/>
        <w:gridCol w:w="992"/>
        <w:gridCol w:w="3969"/>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28" w:type="dxa"/>
            <w:vAlign w:val="center"/>
          </w:tcPr>
          <w:p>
            <w:pPr>
              <w:spacing w:line="500" w:lineRule="exact"/>
              <w:jc w:val="center"/>
              <w:rPr>
                <w:rFonts w:ascii="宋体" w:hAnsi="宋体"/>
                <w:color w:val="000000"/>
                <w:szCs w:val="21"/>
              </w:rPr>
            </w:pPr>
            <w:r>
              <w:rPr>
                <w:rFonts w:hint="eastAsia" w:ascii="宋体" w:hAnsi="宋体"/>
                <w:color w:val="000000"/>
                <w:szCs w:val="21"/>
              </w:rPr>
              <w:t>序号</w:t>
            </w:r>
          </w:p>
        </w:tc>
        <w:tc>
          <w:tcPr>
            <w:tcW w:w="1774" w:type="dxa"/>
            <w:vAlign w:val="center"/>
          </w:tcPr>
          <w:p>
            <w:pPr>
              <w:spacing w:line="500" w:lineRule="exact"/>
              <w:jc w:val="center"/>
              <w:rPr>
                <w:rFonts w:ascii="宋体" w:hAnsi="宋体"/>
                <w:color w:val="000000"/>
                <w:szCs w:val="21"/>
              </w:rPr>
            </w:pPr>
            <w:r>
              <w:rPr>
                <w:rFonts w:hint="eastAsia" w:ascii="宋体" w:hAnsi="宋体"/>
                <w:color w:val="000000"/>
                <w:szCs w:val="21"/>
              </w:rPr>
              <w:t>货物名称</w:t>
            </w:r>
          </w:p>
        </w:tc>
        <w:tc>
          <w:tcPr>
            <w:tcW w:w="1417" w:type="dxa"/>
            <w:vAlign w:val="center"/>
          </w:tcPr>
          <w:p>
            <w:pPr>
              <w:spacing w:line="500" w:lineRule="exact"/>
              <w:jc w:val="center"/>
              <w:rPr>
                <w:rFonts w:ascii="宋体" w:hAnsi="宋体"/>
                <w:color w:val="000000"/>
                <w:szCs w:val="21"/>
              </w:rPr>
            </w:pPr>
            <w:r>
              <w:rPr>
                <w:rFonts w:hint="eastAsia" w:ascii="宋体" w:hAnsi="宋体"/>
                <w:color w:val="000000"/>
                <w:szCs w:val="21"/>
              </w:rPr>
              <w:t>数量</w:t>
            </w:r>
          </w:p>
        </w:tc>
        <w:tc>
          <w:tcPr>
            <w:tcW w:w="992" w:type="dxa"/>
            <w:vAlign w:val="center"/>
          </w:tcPr>
          <w:p>
            <w:pPr>
              <w:spacing w:line="500" w:lineRule="exact"/>
              <w:jc w:val="center"/>
              <w:rPr>
                <w:rFonts w:ascii="宋体" w:hAnsi="宋体"/>
                <w:color w:val="000000"/>
                <w:szCs w:val="21"/>
              </w:rPr>
            </w:pPr>
            <w:r>
              <w:rPr>
                <w:rFonts w:hint="eastAsia" w:ascii="宋体" w:hAnsi="宋体"/>
                <w:color w:val="000000"/>
                <w:szCs w:val="21"/>
              </w:rPr>
              <w:t>单价</w:t>
            </w:r>
          </w:p>
        </w:tc>
        <w:tc>
          <w:tcPr>
            <w:tcW w:w="3969" w:type="dxa"/>
            <w:vAlign w:val="center"/>
          </w:tcPr>
          <w:p>
            <w:pPr>
              <w:adjustRightInd w:val="0"/>
              <w:snapToGrid w:val="0"/>
              <w:spacing w:line="300" w:lineRule="auto"/>
              <w:jc w:val="center"/>
              <w:rPr>
                <w:rFonts w:ascii="宋体" w:hAnsi="宋体"/>
                <w:color w:val="000000"/>
                <w:szCs w:val="21"/>
              </w:rPr>
            </w:pPr>
            <w:r>
              <w:rPr>
                <w:rFonts w:hint="eastAsia" w:ascii="宋体" w:hAnsi="宋体"/>
                <w:color w:val="000000"/>
                <w:szCs w:val="21"/>
              </w:rPr>
              <w:t>品牌、规格和生产产地</w:t>
            </w:r>
          </w:p>
        </w:tc>
        <w:tc>
          <w:tcPr>
            <w:tcW w:w="993" w:type="dxa"/>
            <w:vAlign w:val="center"/>
          </w:tcPr>
          <w:p>
            <w:pPr>
              <w:spacing w:line="500" w:lineRule="exact"/>
              <w:jc w:val="center"/>
              <w:rPr>
                <w:rFonts w:ascii="宋体" w:hAnsi="宋体"/>
                <w:color w:val="000000"/>
                <w:szCs w:val="21"/>
              </w:rPr>
            </w:pPr>
            <w:r>
              <w:rPr>
                <w:rFonts w:hint="eastAsia" w:ascii="宋体" w:hAnsi="宋体"/>
                <w:color w:val="000000"/>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028" w:type="dxa"/>
            <w:vAlign w:val="center"/>
          </w:tcPr>
          <w:p>
            <w:pPr>
              <w:spacing w:line="500" w:lineRule="exact"/>
              <w:jc w:val="center"/>
              <w:rPr>
                <w:rFonts w:ascii="宋体" w:hAnsi="宋体"/>
                <w:color w:val="000000"/>
                <w:szCs w:val="21"/>
              </w:rPr>
            </w:pPr>
            <w:r>
              <w:rPr>
                <w:rFonts w:hint="eastAsia" w:ascii="宋体" w:hAnsi="宋体"/>
                <w:color w:val="000000"/>
                <w:szCs w:val="21"/>
              </w:rPr>
              <w:t>1</w:t>
            </w:r>
          </w:p>
        </w:tc>
        <w:tc>
          <w:tcPr>
            <w:tcW w:w="1774" w:type="dxa"/>
            <w:vAlign w:val="center"/>
          </w:tcPr>
          <w:p>
            <w:pPr>
              <w:spacing w:line="500" w:lineRule="exact"/>
              <w:rPr>
                <w:rFonts w:ascii="宋体" w:hAnsi="宋体"/>
                <w:color w:val="000000"/>
                <w:szCs w:val="21"/>
              </w:rPr>
            </w:pPr>
          </w:p>
        </w:tc>
        <w:tc>
          <w:tcPr>
            <w:tcW w:w="1417" w:type="dxa"/>
          </w:tcPr>
          <w:p>
            <w:pPr>
              <w:spacing w:line="500" w:lineRule="exact"/>
              <w:rPr>
                <w:rFonts w:ascii="宋体" w:hAnsi="宋体"/>
                <w:color w:val="000000"/>
                <w:szCs w:val="21"/>
              </w:rPr>
            </w:pPr>
          </w:p>
        </w:tc>
        <w:tc>
          <w:tcPr>
            <w:tcW w:w="992" w:type="dxa"/>
            <w:vAlign w:val="center"/>
          </w:tcPr>
          <w:p>
            <w:pPr>
              <w:spacing w:line="500" w:lineRule="exact"/>
              <w:rPr>
                <w:rFonts w:ascii="宋体" w:hAnsi="宋体"/>
                <w:color w:val="000000"/>
                <w:szCs w:val="21"/>
              </w:rPr>
            </w:pPr>
          </w:p>
        </w:tc>
        <w:tc>
          <w:tcPr>
            <w:tcW w:w="3969" w:type="dxa"/>
            <w:vAlign w:val="center"/>
          </w:tcPr>
          <w:p>
            <w:pPr>
              <w:spacing w:line="500" w:lineRule="exact"/>
              <w:rPr>
                <w:rFonts w:ascii="宋体" w:hAnsi="宋体"/>
                <w:color w:val="000000"/>
                <w:szCs w:val="21"/>
              </w:rPr>
            </w:pPr>
          </w:p>
        </w:tc>
        <w:tc>
          <w:tcPr>
            <w:tcW w:w="993" w:type="dxa"/>
            <w:vAlign w:val="center"/>
          </w:tcPr>
          <w:p>
            <w:pPr>
              <w:spacing w:line="5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028" w:type="dxa"/>
            <w:vAlign w:val="center"/>
          </w:tcPr>
          <w:p>
            <w:pPr>
              <w:spacing w:line="500" w:lineRule="exact"/>
              <w:jc w:val="center"/>
              <w:rPr>
                <w:rFonts w:ascii="宋体" w:hAnsi="宋体"/>
                <w:color w:val="000000"/>
                <w:szCs w:val="21"/>
              </w:rPr>
            </w:pPr>
            <w:r>
              <w:rPr>
                <w:rFonts w:hint="eastAsia" w:ascii="宋体" w:hAnsi="宋体"/>
                <w:color w:val="000000"/>
                <w:szCs w:val="21"/>
              </w:rPr>
              <w:t>2</w:t>
            </w:r>
          </w:p>
        </w:tc>
        <w:tc>
          <w:tcPr>
            <w:tcW w:w="1774" w:type="dxa"/>
            <w:vAlign w:val="center"/>
          </w:tcPr>
          <w:p>
            <w:pPr>
              <w:spacing w:line="500" w:lineRule="exact"/>
              <w:rPr>
                <w:rFonts w:ascii="宋体" w:hAnsi="宋体"/>
                <w:color w:val="000000"/>
                <w:szCs w:val="21"/>
              </w:rPr>
            </w:pPr>
          </w:p>
        </w:tc>
        <w:tc>
          <w:tcPr>
            <w:tcW w:w="1417" w:type="dxa"/>
          </w:tcPr>
          <w:p>
            <w:pPr>
              <w:spacing w:line="500" w:lineRule="exact"/>
              <w:rPr>
                <w:rFonts w:ascii="宋体" w:hAnsi="宋体"/>
                <w:color w:val="000000"/>
                <w:szCs w:val="21"/>
              </w:rPr>
            </w:pPr>
          </w:p>
        </w:tc>
        <w:tc>
          <w:tcPr>
            <w:tcW w:w="992" w:type="dxa"/>
            <w:vAlign w:val="center"/>
          </w:tcPr>
          <w:p>
            <w:pPr>
              <w:spacing w:line="500" w:lineRule="exact"/>
              <w:rPr>
                <w:rFonts w:ascii="宋体" w:hAnsi="宋体"/>
                <w:color w:val="000000"/>
                <w:szCs w:val="21"/>
              </w:rPr>
            </w:pPr>
          </w:p>
        </w:tc>
        <w:tc>
          <w:tcPr>
            <w:tcW w:w="3969" w:type="dxa"/>
            <w:vAlign w:val="center"/>
          </w:tcPr>
          <w:p>
            <w:pPr>
              <w:spacing w:line="500" w:lineRule="exact"/>
              <w:rPr>
                <w:rFonts w:ascii="宋体" w:hAnsi="宋体"/>
                <w:color w:val="000000"/>
                <w:szCs w:val="21"/>
              </w:rPr>
            </w:pPr>
          </w:p>
        </w:tc>
        <w:tc>
          <w:tcPr>
            <w:tcW w:w="993" w:type="dxa"/>
            <w:vAlign w:val="center"/>
          </w:tcPr>
          <w:p>
            <w:pPr>
              <w:spacing w:line="5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028" w:type="dxa"/>
            <w:vAlign w:val="center"/>
          </w:tcPr>
          <w:p>
            <w:pPr>
              <w:spacing w:line="500" w:lineRule="exact"/>
              <w:jc w:val="center"/>
              <w:rPr>
                <w:rFonts w:ascii="宋体" w:hAnsi="宋体"/>
                <w:color w:val="000000"/>
                <w:szCs w:val="21"/>
              </w:rPr>
            </w:pPr>
            <w:r>
              <w:rPr>
                <w:rFonts w:hint="eastAsia" w:ascii="宋体" w:hAnsi="宋体"/>
                <w:color w:val="000000"/>
                <w:szCs w:val="21"/>
              </w:rPr>
              <w:t>3</w:t>
            </w:r>
          </w:p>
        </w:tc>
        <w:tc>
          <w:tcPr>
            <w:tcW w:w="1774" w:type="dxa"/>
            <w:vAlign w:val="center"/>
          </w:tcPr>
          <w:p>
            <w:pPr>
              <w:spacing w:line="500" w:lineRule="exact"/>
              <w:rPr>
                <w:rFonts w:ascii="宋体" w:hAnsi="宋体"/>
                <w:color w:val="000000"/>
                <w:szCs w:val="21"/>
              </w:rPr>
            </w:pPr>
          </w:p>
        </w:tc>
        <w:tc>
          <w:tcPr>
            <w:tcW w:w="1417" w:type="dxa"/>
          </w:tcPr>
          <w:p>
            <w:pPr>
              <w:spacing w:line="500" w:lineRule="exact"/>
              <w:rPr>
                <w:rFonts w:ascii="宋体" w:hAnsi="宋体"/>
                <w:color w:val="000000"/>
                <w:szCs w:val="21"/>
              </w:rPr>
            </w:pPr>
          </w:p>
        </w:tc>
        <w:tc>
          <w:tcPr>
            <w:tcW w:w="992" w:type="dxa"/>
            <w:vAlign w:val="center"/>
          </w:tcPr>
          <w:p>
            <w:pPr>
              <w:spacing w:line="500" w:lineRule="exact"/>
              <w:rPr>
                <w:rFonts w:ascii="宋体" w:hAnsi="宋体"/>
                <w:color w:val="000000"/>
                <w:szCs w:val="21"/>
              </w:rPr>
            </w:pPr>
          </w:p>
        </w:tc>
        <w:tc>
          <w:tcPr>
            <w:tcW w:w="3969" w:type="dxa"/>
            <w:vAlign w:val="center"/>
          </w:tcPr>
          <w:p>
            <w:pPr>
              <w:spacing w:line="500" w:lineRule="exact"/>
              <w:rPr>
                <w:rFonts w:ascii="宋体" w:hAnsi="宋体"/>
                <w:color w:val="000000"/>
                <w:szCs w:val="21"/>
              </w:rPr>
            </w:pPr>
          </w:p>
        </w:tc>
        <w:tc>
          <w:tcPr>
            <w:tcW w:w="993" w:type="dxa"/>
            <w:vAlign w:val="center"/>
          </w:tcPr>
          <w:p>
            <w:pPr>
              <w:spacing w:line="5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028" w:type="dxa"/>
            <w:vAlign w:val="center"/>
          </w:tcPr>
          <w:p>
            <w:pPr>
              <w:spacing w:line="500" w:lineRule="exact"/>
              <w:jc w:val="center"/>
              <w:rPr>
                <w:rFonts w:ascii="宋体" w:hAnsi="宋体"/>
                <w:color w:val="000000"/>
                <w:szCs w:val="21"/>
              </w:rPr>
            </w:pPr>
            <w:r>
              <w:rPr>
                <w:rFonts w:hint="eastAsia" w:ascii="宋体" w:hAnsi="宋体"/>
                <w:color w:val="000000"/>
                <w:szCs w:val="21"/>
              </w:rPr>
              <w:t>4</w:t>
            </w:r>
          </w:p>
        </w:tc>
        <w:tc>
          <w:tcPr>
            <w:tcW w:w="1774" w:type="dxa"/>
            <w:vAlign w:val="center"/>
          </w:tcPr>
          <w:p>
            <w:pPr>
              <w:spacing w:line="500" w:lineRule="exact"/>
              <w:rPr>
                <w:rFonts w:ascii="宋体" w:hAnsi="宋体"/>
                <w:color w:val="000000"/>
                <w:szCs w:val="21"/>
              </w:rPr>
            </w:pPr>
          </w:p>
        </w:tc>
        <w:tc>
          <w:tcPr>
            <w:tcW w:w="1417" w:type="dxa"/>
          </w:tcPr>
          <w:p>
            <w:pPr>
              <w:spacing w:line="500" w:lineRule="exact"/>
              <w:rPr>
                <w:rFonts w:ascii="宋体" w:hAnsi="宋体"/>
                <w:color w:val="000000"/>
                <w:szCs w:val="21"/>
              </w:rPr>
            </w:pPr>
          </w:p>
        </w:tc>
        <w:tc>
          <w:tcPr>
            <w:tcW w:w="992" w:type="dxa"/>
            <w:vAlign w:val="center"/>
          </w:tcPr>
          <w:p>
            <w:pPr>
              <w:spacing w:line="500" w:lineRule="exact"/>
              <w:rPr>
                <w:rFonts w:ascii="宋体" w:hAnsi="宋体"/>
                <w:color w:val="000000"/>
                <w:szCs w:val="21"/>
              </w:rPr>
            </w:pPr>
          </w:p>
        </w:tc>
        <w:tc>
          <w:tcPr>
            <w:tcW w:w="3969" w:type="dxa"/>
            <w:vAlign w:val="center"/>
          </w:tcPr>
          <w:p>
            <w:pPr>
              <w:spacing w:line="500" w:lineRule="exact"/>
              <w:rPr>
                <w:rFonts w:ascii="宋体" w:hAnsi="宋体"/>
                <w:color w:val="000000"/>
                <w:szCs w:val="21"/>
              </w:rPr>
            </w:pPr>
          </w:p>
        </w:tc>
        <w:tc>
          <w:tcPr>
            <w:tcW w:w="993" w:type="dxa"/>
            <w:vAlign w:val="center"/>
          </w:tcPr>
          <w:p>
            <w:pPr>
              <w:spacing w:line="5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028" w:type="dxa"/>
            <w:vAlign w:val="center"/>
          </w:tcPr>
          <w:p>
            <w:pPr>
              <w:spacing w:line="500" w:lineRule="exact"/>
              <w:jc w:val="center"/>
              <w:rPr>
                <w:rFonts w:ascii="宋体" w:hAnsi="宋体"/>
                <w:color w:val="000000"/>
                <w:szCs w:val="21"/>
              </w:rPr>
            </w:pPr>
            <w:r>
              <w:rPr>
                <w:rFonts w:hint="eastAsia" w:ascii="宋体" w:hAnsi="宋体"/>
                <w:color w:val="000000"/>
                <w:szCs w:val="21"/>
              </w:rPr>
              <w:t>5</w:t>
            </w:r>
          </w:p>
        </w:tc>
        <w:tc>
          <w:tcPr>
            <w:tcW w:w="1774" w:type="dxa"/>
            <w:vAlign w:val="center"/>
          </w:tcPr>
          <w:p>
            <w:pPr>
              <w:spacing w:line="500" w:lineRule="exact"/>
              <w:rPr>
                <w:rFonts w:ascii="宋体" w:hAnsi="宋体"/>
                <w:color w:val="000000"/>
                <w:szCs w:val="21"/>
              </w:rPr>
            </w:pPr>
          </w:p>
        </w:tc>
        <w:tc>
          <w:tcPr>
            <w:tcW w:w="1417" w:type="dxa"/>
          </w:tcPr>
          <w:p>
            <w:pPr>
              <w:spacing w:line="500" w:lineRule="exact"/>
              <w:rPr>
                <w:rFonts w:ascii="宋体" w:hAnsi="宋体"/>
                <w:color w:val="000000"/>
                <w:szCs w:val="21"/>
              </w:rPr>
            </w:pPr>
          </w:p>
        </w:tc>
        <w:tc>
          <w:tcPr>
            <w:tcW w:w="992" w:type="dxa"/>
            <w:vAlign w:val="center"/>
          </w:tcPr>
          <w:p>
            <w:pPr>
              <w:spacing w:line="500" w:lineRule="exact"/>
              <w:rPr>
                <w:rFonts w:ascii="宋体" w:hAnsi="宋体"/>
                <w:color w:val="000000"/>
                <w:szCs w:val="21"/>
              </w:rPr>
            </w:pPr>
          </w:p>
        </w:tc>
        <w:tc>
          <w:tcPr>
            <w:tcW w:w="3969" w:type="dxa"/>
            <w:vAlign w:val="center"/>
          </w:tcPr>
          <w:p>
            <w:pPr>
              <w:spacing w:line="500" w:lineRule="exact"/>
              <w:rPr>
                <w:rFonts w:ascii="宋体" w:hAnsi="宋体"/>
                <w:color w:val="000000"/>
                <w:szCs w:val="21"/>
              </w:rPr>
            </w:pPr>
          </w:p>
        </w:tc>
        <w:tc>
          <w:tcPr>
            <w:tcW w:w="993" w:type="dxa"/>
            <w:vAlign w:val="center"/>
          </w:tcPr>
          <w:p>
            <w:pPr>
              <w:spacing w:line="5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028" w:type="dxa"/>
            <w:vAlign w:val="center"/>
          </w:tcPr>
          <w:p>
            <w:pPr>
              <w:spacing w:line="500" w:lineRule="exact"/>
              <w:jc w:val="center"/>
              <w:rPr>
                <w:rFonts w:ascii="宋体" w:hAnsi="宋体"/>
                <w:color w:val="000000"/>
                <w:szCs w:val="21"/>
              </w:rPr>
            </w:pPr>
            <w:r>
              <w:rPr>
                <w:rFonts w:hint="eastAsia" w:ascii="宋体" w:hAnsi="宋体"/>
                <w:color w:val="000000"/>
                <w:szCs w:val="21"/>
              </w:rPr>
              <w:t>……</w:t>
            </w:r>
          </w:p>
        </w:tc>
        <w:tc>
          <w:tcPr>
            <w:tcW w:w="1774" w:type="dxa"/>
            <w:vAlign w:val="center"/>
          </w:tcPr>
          <w:p>
            <w:pPr>
              <w:spacing w:line="500" w:lineRule="exact"/>
              <w:rPr>
                <w:rFonts w:ascii="宋体" w:hAnsi="宋体"/>
                <w:color w:val="000000"/>
                <w:szCs w:val="21"/>
              </w:rPr>
            </w:pPr>
          </w:p>
        </w:tc>
        <w:tc>
          <w:tcPr>
            <w:tcW w:w="1417" w:type="dxa"/>
          </w:tcPr>
          <w:p>
            <w:pPr>
              <w:spacing w:line="500" w:lineRule="exact"/>
              <w:rPr>
                <w:rFonts w:ascii="宋体" w:hAnsi="宋体"/>
                <w:color w:val="000000"/>
                <w:szCs w:val="21"/>
              </w:rPr>
            </w:pPr>
          </w:p>
        </w:tc>
        <w:tc>
          <w:tcPr>
            <w:tcW w:w="992" w:type="dxa"/>
            <w:vAlign w:val="center"/>
          </w:tcPr>
          <w:p>
            <w:pPr>
              <w:spacing w:line="500" w:lineRule="exact"/>
              <w:rPr>
                <w:rFonts w:ascii="宋体" w:hAnsi="宋体"/>
                <w:color w:val="000000"/>
                <w:szCs w:val="21"/>
              </w:rPr>
            </w:pPr>
          </w:p>
        </w:tc>
        <w:tc>
          <w:tcPr>
            <w:tcW w:w="3969" w:type="dxa"/>
            <w:vAlign w:val="center"/>
          </w:tcPr>
          <w:p>
            <w:pPr>
              <w:spacing w:line="500" w:lineRule="exact"/>
              <w:rPr>
                <w:rFonts w:ascii="宋体" w:hAnsi="宋体"/>
                <w:color w:val="000000"/>
                <w:szCs w:val="21"/>
              </w:rPr>
            </w:pPr>
          </w:p>
        </w:tc>
        <w:tc>
          <w:tcPr>
            <w:tcW w:w="993" w:type="dxa"/>
            <w:vAlign w:val="center"/>
          </w:tcPr>
          <w:p>
            <w:pPr>
              <w:spacing w:line="5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173" w:type="dxa"/>
            <w:gridSpan w:val="6"/>
          </w:tcPr>
          <w:p>
            <w:pPr>
              <w:spacing w:line="500" w:lineRule="exact"/>
              <w:rPr>
                <w:rFonts w:ascii="宋体" w:hAnsi="宋体"/>
                <w:color w:val="000000"/>
                <w:szCs w:val="21"/>
              </w:rPr>
            </w:pPr>
            <w:r>
              <w:rPr>
                <w:rFonts w:hint="eastAsia" w:ascii="宋体" w:hAnsi="宋体"/>
                <w:color w:val="000000"/>
                <w:szCs w:val="21"/>
              </w:rPr>
              <w:t>总报价（含所有优惠条件）：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173" w:type="dxa"/>
            <w:gridSpan w:val="6"/>
          </w:tcPr>
          <w:p>
            <w:pPr>
              <w:spacing w:line="500" w:lineRule="exact"/>
              <w:rPr>
                <w:rFonts w:ascii="宋体" w:hAnsi="宋体"/>
                <w:color w:val="000000"/>
                <w:szCs w:val="21"/>
                <w:u w:val="single"/>
              </w:rPr>
            </w:pPr>
            <w:r>
              <w:rPr>
                <w:rFonts w:hint="eastAsia" w:ascii="宋体" w:hAnsi="宋体"/>
                <w:color w:val="000000"/>
                <w:szCs w:val="21"/>
              </w:rPr>
              <w:t>交付使用期：</w:t>
            </w:r>
          </w:p>
        </w:tc>
      </w:tr>
    </w:tbl>
    <w:p>
      <w:pPr>
        <w:adjustRightInd w:val="0"/>
        <w:snapToGrid w:val="0"/>
        <w:spacing w:line="360" w:lineRule="exact"/>
        <w:rPr>
          <w:rFonts w:ascii="宋体" w:hAnsi="宋体"/>
          <w:color w:val="000000"/>
          <w:szCs w:val="21"/>
        </w:rPr>
      </w:pPr>
    </w:p>
    <w:p>
      <w:pPr>
        <w:pStyle w:val="7"/>
        <w:spacing w:line="500" w:lineRule="exact"/>
        <w:rPr>
          <w:rFonts w:hAnsi="宋体"/>
          <w:color w:val="000000"/>
          <w:sz w:val="21"/>
          <w:szCs w:val="21"/>
          <w:u w:val="single"/>
        </w:rPr>
      </w:pPr>
      <w:r>
        <w:rPr>
          <w:rFonts w:hint="eastAsia" w:hAnsi="宋体"/>
          <w:color w:val="000000"/>
          <w:sz w:val="21"/>
          <w:szCs w:val="21"/>
        </w:rPr>
        <w:t>法定代表人或法定代表人授权代表（签字）：</w:t>
      </w:r>
      <w:r>
        <w:rPr>
          <w:rFonts w:hint="eastAsia" w:hAnsi="宋体"/>
          <w:color w:val="000000"/>
          <w:sz w:val="21"/>
          <w:szCs w:val="21"/>
          <w:u w:val="single"/>
        </w:rPr>
        <w:t xml:space="preserve">              </w:t>
      </w:r>
    </w:p>
    <w:p>
      <w:pPr>
        <w:pStyle w:val="7"/>
        <w:spacing w:line="500" w:lineRule="exact"/>
        <w:rPr>
          <w:rFonts w:hAnsi="宋体"/>
          <w:color w:val="000000"/>
          <w:sz w:val="21"/>
          <w:szCs w:val="21"/>
          <w:u w:val="single"/>
        </w:rPr>
      </w:pPr>
      <w:r>
        <w:rPr>
          <w:rFonts w:hint="eastAsia" w:hAnsi="宋体"/>
          <w:color w:val="000000"/>
          <w:sz w:val="21"/>
          <w:szCs w:val="21"/>
        </w:rPr>
        <w:t>谈判供应商名称（签章）：</w:t>
      </w:r>
      <w:r>
        <w:rPr>
          <w:rFonts w:hint="eastAsia" w:hAnsi="宋体"/>
          <w:color w:val="000000"/>
          <w:sz w:val="21"/>
          <w:szCs w:val="21"/>
          <w:u w:val="single"/>
        </w:rPr>
        <w:t xml:space="preserve">                              </w:t>
      </w:r>
    </w:p>
    <w:p>
      <w:pPr>
        <w:pStyle w:val="7"/>
        <w:spacing w:line="500" w:lineRule="exact"/>
        <w:rPr>
          <w:rFonts w:hAnsi="宋体"/>
          <w:color w:val="000000"/>
          <w:sz w:val="21"/>
          <w:szCs w:val="21"/>
          <w:u w:val="single"/>
        </w:rPr>
      </w:pPr>
      <w:r>
        <w:rPr>
          <w:rFonts w:hint="eastAsia" w:hAnsi="宋体"/>
          <w:color w:val="000000"/>
          <w:sz w:val="21"/>
          <w:szCs w:val="21"/>
        </w:rPr>
        <w:t>报价时间：</w:t>
      </w:r>
      <w:r>
        <w:rPr>
          <w:rFonts w:hint="eastAsia" w:hAnsi="宋体"/>
          <w:color w:val="000000"/>
          <w:sz w:val="21"/>
          <w:szCs w:val="21"/>
          <w:u w:val="single"/>
        </w:rPr>
        <w:t xml:space="preserve">     </w:t>
      </w:r>
      <w:r>
        <w:rPr>
          <w:rFonts w:hint="eastAsia" w:hAnsi="宋体"/>
          <w:color w:val="000000"/>
          <w:sz w:val="21"/>
          <w:szCs w:val="21"/>
        </w:rPr>
        <w:t>年</w:t>
      </w:r>
      <w:r>
        <w:rPr>
          <w:rFonts w:hint="eastAsia" w:hAnsi="宋体"/>
          <w:color w:val="000000"/>
          <w:sz w:val="21"/>
          <w:szCs w:val="21"/>
          <w:u w:val="single"/>
        </w:rPr>
        <w:t xml:space="preserve">     </w:t>
      </w:r>
      <w:r>
        <w:rPr>
          <w:rFonts w:hint="eastAsia" w:hAnsi="宋体"/>
          <w:color w:val="000000"/>
          <w:sz w:val="21"/>
          <w:szCs w:val="21"/>
        </w:rPr>
        <w:t>月</w:t>
      </w:r>
      <w:r>
        <w:rPr>
          <w:rFonts w:hint="eastAsia" w:hAnsi="宋体"/>
          <w:color w:val="000000"/>
          <w:sz w:val="21"/>
          <w:szCs w:val="21"/>
          <w:u w:val="single"/>
        </w:rPr>
        <w:t xml:space="preserve">    </w:t>
      </w:r>
      <w:r>
        <w:rPr>
          <w:rFonts w:hint="eastAsia" w:hAnsi="宋体"/>
          <w:color w:val="000000"/>
          <w:sz w:val="21"/>
          <w:szCs w:val="21"/>
        </w:rPr>
        <w:t xml:space="preserve">日 </w:t>
      </w:r>
    </w:p>
    <w:p>
      <w:pPr>
        <w:pStyle w:val="7"/>
        <w:spacing w:line="500" w:lineRule="exact"/>
        <w:rPr>
          <w:rFonts w:hAnsi="宋体"/>
          <w:color w:val="000000"/>
        </w:rPr>
      </w:pPr>
    </w:p>
    <w:p>
      <w:pPr>
        <w:pStyle w:val="7"/>
        <w:ind w:left="1004" w:hanging="1004" w:hangingChars="500"/>
        <w:rPr>
          <w:rFonts w:hAnsi="宋体"/>
          <w:b/>
          <w:color w:val="000000"/>
        </w:rPr>
      </w:pPr>
      <w:r>
        <w:rPr>
          <w:rFonts w:hint="eastAsia" w:hAnsi="宋体"/>
          <w:b/>
          <w:color w:val="000000"/>
        </w:rPr>
        <w:t>竞标说明：</w:t>
      </w:r>
    </w:p>
    <w:p>
      <w:pPr>
        <w:pStyle w:val="7"/>
        <w:rPr>
          <w:rFonts w:hAnsi="宋体"/>
          <w:b/>
          <w:color w:val="000000"/>
        </w:rPr>
      </w:pPr>
      <w:r>
        <w:rPr>
          <w:rFonts w:hint="eastAsia" w:hAnsi="宋体"/>
          <w:b/>
          <w:color w:val="000000"/>
        </w:rPr>
        <w:t>1、供应商必须按以上格式加盖单位公章并签名，否则，无签名、盖单位公章的竞标无效。</w:t>
      </w:r>
    </w:p>
    <w:p>
      <w:pPr>
        <w:pStyle w:val="7"/>
        <w:spacing w:line="500" w:lineRule="exact"/>
        <w:rPr>
          <w:rFonts w:hAnsi="宋体"/>
          <w:color w:val="000000"/>
        </w:rPr>
      </w:pPr>
      <w:r>
        <w:rPr>
          <w:rFonts w:hint="eastAsia" w:hAnsi="宋体"/>
          <w:b/>
          <w:color w:val="000000"/>
        </w:rPr>
        <w:t>2、所有价格均用人民币表示，单位为元，精确到个位数。</w:t>
      </w:r>
    </w:p>
    <w:p>
      <w:pPr>
        <w:adjustRightInd w:val="0"/>
        <w:snapToGrid w:val="0"/>
        <w:spacing w:line="300" w:lineRule="auto"/>
        <w:rPr>
          <w:rFonts w:ascii="宋体" w:hAnsi="宋体"/>
          <w:color w:val="000000"/>
          <w:sz w:val="28"/>
          <w:szCs w:val="28"/>
          <w:u w:val="single"/>
        </w:rPr>
      </w:pPr>
    </w:p>
    <w:p>
      <w:pPr>
        <w:spacing w:line="300" w:lineRule="auto"/>
        <w:rPr>
          <w:rFonts w:ascii="宋体" w:hAnsi="宋体"/>
          <w:b/>
          <w:color w:val="000000"/>
          <w:sz w:val="28"/>
          <w:szCs w:val="28"/>
        </w:rPr>
      </w:pPr>
      <w:r>
        <w:rPr>
          <w:rFonts w:hint="eastAsia" w:ascii="宋体" w:hAnsi="宋体"/>
          <w:b/>
          <w:color w:val="000000"/>
          <w:sz w:val="28"/>
          <w:szCs w:val="28"/>
        </w:rPr>
        <w:t xml:space="preserve">附件三 </w:t>
      </w: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28"/>
          <w:szCs w:val="28"/>
        </w:rPr>
      </w:pPr>
      <w:r>
        <w:rPr>
          <w:rFonts w:hint="eastAsia" w:ascii="宋体" w:hAnsi="宋体"/>
          <w:b/>
          <w:color w:val="000000"/>
          <w:sz w:val="28"/>
          <w:szCs w:val="28"/>
        </w:rPr>
        <w:t>技术响应表</w:t>
      </w:r>
    </w:p>
    <w:p>
      <w:pPr>
        <w:spacing w:line="300" w:lineRule="auto"/>
        <w:rPr>
          <w:rFonts w:ascii="宋体" w:hAnsi="宋体"/>
          <w:color w:val="000000"/>
          <w:sz w:val="28"/>
          <w:szCs w:val="28"/>
        </w:rPr>
      </w:pPr>
    </w:p>
    <w:p>
      <w:pPr>
        <w:spacing w:line="300" w:lineRule="auto"/>
        <w:rPr>
          <w:rFonts w:ascii="宋体" w:hAnsi="宋体"/>
          <w:color w:val="000000"/>
          <w:szCs w:val="21"/>
          <w:u w:val="single"/>
        </w:rPr>
      </w:pPr>
      <w:r>
        <w:rPr>
          <w:rFonts w:hint="eastAsia" w:ascii="宋体" w:hAnsi="宋体"/>
          <w:color w:val="000000"/>
          <w:szCs w:val="21"/>
        </w:rPr>
        <w:t>采购项目编号:</w:t>
      </w:r>
      <w:r>
        <w:rPr>
          <w:rFonts w:hint="eastAsia" w:ascii="宋体" w:hAnsi="宋体"/>
          <w:color w:val="000000"/>
          <w:szCs w:val="21"/>
          <w:u w:val="single"/>
        </w:rPr>
        <w:t xml:space="preserve">                 </w:t>
      </w:r>
    </w:p>
    <w:p>
      <w:pPr>
        <w:spacing w:line="300" w:lineRule="auto"/>
        <w:rPr>
          <w:rFonts w:ascii="宋体" w:hAnsi="宋体"/>
          <w:color w:val="000000"/>
          <w:szCs w:val="21"/>
        </w:rPr>
      </w:pPr>
      <w:r>
        <w:rPr>
          <w:rFonts w:hint="eastAsia" w:ascii="宋体" w:hAnsi="宋体"/>
          <w:color w:val="000000"/>
          <w:szCs w:val="21"/>
        </w:rPr>
        <w:t>采购项目名称:</w:t>
      </w:r>
      <w:r>
        <w:rPr>
          <w:rFonts w:hint="eastAsia" w:ascii="宋体" w:hAnsi="宋体"/>
          <w:color w:val="000000"/>
          <w:szCs w:val="21"/>
          <w:u w:val="single"/>
        </w:rPr>
        <w:t xml:space="preserve">                 </w:t>
      </w:r>
      <w:r>
        <w:rPr>
          <w:rFonts w:hint="eastAsia" w:ascii="宋体" w:hAnsi="宋体"/>
          <w:color w:val="000000"/>
          <w:szCs w:val="21"/>
        </w:rPr>
        <w:t xml:space="preserve">   </w:t>
      </w:r>
    </w:p>
    <w:tbl>
      <w:tblPr>
        <w:tblStyle w:val="14"/>
        <w:tblW w:w="996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41"/>
        <w:gridCol w:w="1252"/>
        <w:gridCol w:w="2694"/>
        <w:gridCol w:w="2508"/>
        <w:gridCol w:w="1514"/>
        <w:gridCol w:w="115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41" w:type="dxa"/>
            <w:vAlign w:val="center"/>
          </w:tcPr>
          <w:p>
            <w:pPr>
              <w:adjustRightInd w:val="0"/>
              <w:snapToGrid w:val="0"/>
              <w:spacing w:line="300" w:lineRule="auto"/>
              <w:jc w:val="center"/>
              <w:outlineLvl w:val="0"/>
              <w:rPr>
                <w:rFonts w:ascii="宋体" w:hAnsi="宋体"/>
                <w:color w:val="000000"/>
                <w:szCs w:val="21"/>
              </w:rPr>
            </w:pPr>
            <w:bookmarkStart w:id="74" w:name="_Toc488673055"/>
            <w:bookmarkStart w:id="75" w:name="_Toc291581941"/>
            <w:bookmarkStart w:id="76" w:name="_Toc388450312"/>
            <w:bookmarkStart w:id="77" w:name="_Toc322959186"/>
            <w:r>
              <w:rPr>
                <w:rFonts w:hint="eastAsia" w:ascii="宋体" w:hAnsi="宋体"/>
                <w:color w:val="000000"/>
                <w:szCs w:val="21"/>
              </w:rPr>
              <w:t>序号</w:t>
            </w:r>
            <w:bookmarkEnd w:id="74"/>
            <w:bookmarkEnd w:id="75"/>
            <w:bookmarkEnd w:id="76"/>
            <w:bookmarkEnd w:id="77"/>
          </w:p>
        </w:tc>
        <w:tc>
          <w:tcPr>
            <w:tcW w:w="1252" w:type="dxa"/>
          </w:tcPr>
          <w:p>
            <w:pPr>
              <w:adjustRightInd w:val="0"/>
              <w:snapToGrid w:val="0"/>
              <w:spacing w:line="300" w:lineRule="auto"/>
              <w:jc w:val="center"/>
              <w:outlineLvl w:val="0"/>
              <w:rPr>
                <w:rFonts w:ascii="宋体" w:hAnsi="宋体"/>
                <w:color w:val="000000"/>
                <w:szCs w:val="21"/>
              </w:rPr>
            </w:pPr>
            <w:r>
              <w:rPr>
                <w:rFonts w:hint="eastAsia" w:ascii="宋体" w:hAnsi="宋体"/>
                <w:color w:val="000000"/>
                <w:szCs w:val="21"/>
              </w:rPr>
              <w:t>货物名称或内容</w:t>
            </w:r>
          </w:p>
        </w:tc>
        <w:tc>
          <w:tcPr>
            <w:tcW w:w="2694" w:type="dxa"/>
            <w:vAlign w:val="center"/>
          </w:tcPr>
          <w:p>
            <w:pPr>
              <w:adjustRightInd w:val="0"/>
              <w:snapToGrid w:val="0"/>
              <w:spacing w:line="300" w:lineRule="auto"/>
              <w:jc w:val="center"/>
              <w:outlineLvl w:val="0"/>
              <w:rPr>
                <w:rFonts w:ascii="宋体" w:hAnsi="宋体"/>
                <w:color w:val="000000"/>
                <w:szCs w:val="21"/>
              </w:rPr>
            </w:pPr>
            <w:bookmarkStart w:id="78" w:name="_Toc322959187"/>
            <w:bookmarkStart w:id="79" w:name="_Toc291581942"/>
            <w:bookmarkStart w:id="80" w:name="_Toc388450313"/>
            <w:bookmarkStart w:id="81" w:name="_Toc488673056"/>
            <w:r>
              <w:rPr>
                <w:rFonts w:hint="eastAsia" w:ascii="宋体" w:hAnsi="宋体"/>
                <w:color w:val="000000"/>
                <w:szCs w:val="21"/>
              </w:rPr>
              <w:t>竞争性谈判采购文件要求</w:t>
            </w:r>
            <w:bookmarkEnd w:id="78"/>
            <w:bookmarkEnd w:id="79"/>
            <w:bookmarkEnd w:id="80"/>
            <w:bookmarkEnd w:id="81"/>
          </w:p>
        </w:tc>
        <w:tc>
          <w:tcPr>
            <w:tcW w:w="2508" w:type="dxa"/>
            <w:vAlign w:val="center"/>
          </w:tcPr>
          <w:p>
            <w:pPr>
              <w:adjustRightInd w:val="0"/>
              <w:snapToGrid w:val="0"/>
              <w:spacing w:line="300" w:lineRule="auto"/>
              <w:jc w:val="center"/>
              <w:outlineLvl w:val="0"/>
              <w:rPr>
                <w:rFonts w:ascii="宋体" w:hAnsi="宋体"/>
                <w:color w:val="000000"/>
                <w:szCs w:val="21"/>
              </w:rPr>
            </w:pPr>
            <w:bookmarkStart w:id="82" w:name="_Toc322959188"/>
            <w:bookmarkStart w:id="83" w:name="_Toc388450314"/>
            <w:bookmarkStart w:id="84" w:name="_Toc291581943"/>
            <w:bookmarkStart w:id="85" w:name="_Toc488673057"/>
            <w:r>
              <w:rPr>
                <w:rFonts w:hint="eastAsia" w:ascii="宋体" w:hAnsi="宋体"/>
                <w:color w:val="000000"/>
                <w:szCs w:val="21"/>
              </w:rPr>
              <w:t>谈判响应文件具体响应</w:t>
            </w:r>
            <w:bookmarkEnd w:id="82"/>
            <w:bookmarkEnd w:id="83"/>
            <w:bookmarkEnd w:id="84"/>
            <w:bookmarkEnd w:id="85"/>
          </w:p>
        </w:tc>
        <w:tc>
          <w:tcPr>
            <w:tcW w:w="1514" w:type="dxa"/>
            <w:vAlign w:val="center"/>
          </w:tcPr>
          <w:p>
            <w:pPr>
              <w:adjustRightInd w:val="0"/>
              <w:snapToGrid w:val="0"/>
              <w:spacing w:line="300" w:lineRule="auto"/>
              <w:jc w:val="center"/>
              <w:outlineLvl w:val="0"/>
              <w:rPr>
                <w:rFonts w:ascii="宋体" w:hAnsi="宋体"/>
                <w:color w:val="000000"/>
                <w:szCs w:val="21"/>
              </w:rPr>
            </w:pPr>
            <w:bookmarkStart w:id="86" w:name="_Toc488673058"/>
            <w:bookmarkStart w:id="87" w:name="_Toc388450315"/>
            <w:bookmarkStart w:id="88" w:name="_Toc322959189"/>
            <w:bookmarkStart w:id="89" w:name="_Toc291581944"/>
            <w:r>
              <w:rPr>
                <w:rFonts w:hint="eastAsia" w:ascii="宋体" w:hAnsi="宋体"/>
                <w:color w:val="000000"/>
                <w:szCs w:val="21"/>
              </w:rPr>
              <w:t>响应/偏离</w:t>
            </w:r>
            <w:bookmarkEnd w:id="86"/>
            <w:bookmarkEnd w:id="87"/>
            <w:bookmarkEnd w:id="88"/>
            <w:bookmarkEnd w:id="89"/>
          </w:p>
        </w:tc>
        <w:tc>
          <w:tcPr>
            <w:tcW w:w="1155" w:type="dxa"/>
            <w:vAlign w:val="center"/>
          </w:tcPr>
          <w:p>
            <w:pPr>
              <w:adjustRightInd w:val="0"/>
              <w:snapToGrid w:val="0"/>
              <w:spacing w:line="300" w:lineRule="auto"/>
              <w:jc w:val="center"/>
              <w:outlineLvl w:val="0"/>
              <w:rPr>
                <w:rFonts w:ascii="宋体" w:hAnsi="宋体"/>
                <w:color w:val="000000"/>
                <w:szCs w:val="21"/>
              </w:rPr>
            </w:pPr>
            <w:bookmarkStart w:id="90" w:name="_Toc322959190"/>
            <w:bookmarkStart w:id="91" w:name="_Toc291581945"/>
            <w:bookmarkStart w:id="92" w:name="_Toc488673059"/>
            <w:bookmarkStart w:id="93" w:name="_Toc388450316"/>
            <w:r>
              <w:rPr>
                <w:rFonts w:hint="eastAsia" w:ascii="宋体" w:hAnsi="宋体"/>
                <w:color w:val="000000"/>
                <w:szCs w:val="21"/>
              </w:rPr>
              <w:t>说明</w:t>
            </w:r>
            <w:bookmarkEnd w:id="90"/>
            <w:bookmarkEnd w:id="91"/>
            <w:bookmarkEnd w:id="92"/>
            <w:bookmarkEnd w:id="93"/>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0" w:hRule="atLeast"/>
        </w:trPr>
        <w:tc>
          <w:tcPr>
            <w:tcW w:w="841" w:type="dxa"/>
            <w:vAlign w:val="center"/>
          </w:tcPr>
          <w:p>
            <w:pPr>
              <w:adjustRightInd w:val="0"/>
              <w:snapToGrid w:val="0"/>
              <w:spacing w:line="300" w:lineRule="auto"/>
              <w:jc w:val="center"/>
              <w:outlineLvl w:val="0"/>
              <w:rPr>
                <w:rFonts w:ascii="宋体" w:hAnsi="宋体"/>
                <w:color w:val="000000"/>
                <w:szCs w:val="21"/>
              </w:rPr>
            </w:pPr>
            <w:bookmarkStart w:id="94" w:name="_Toc322959191"/>
            <w:bookmarkStart w:id="95" w:name="_Toc291581946"/>
            <w:bookmarkStart w:id="96" w:name="_Toc388450317"/>
            <w:bookmarkStart w:id="97" w:name="_Toc488673060"/>
            <w:r>
              <w:rPr>
                <w:rFonts w:hint="eastAsia" w:ascii="宋体" w:hAnsi="宋体"/>
                <w:color w:val="000000"/>
                <w:szCs w:val="21"/>
              </w:rPr>
              <w:t>1</w:t>
            </w:r>
            <w:bookmarkEnd w:id="94"/>
            <w:bookmarkEnd w:id="95"/>
            <w:bookmarkEnd w:id="96"/>
            <w:bookmarkEnd w:id="97"/>
          </w:p>
        </w:tc>
        <w:tc>
          <w:tcPr>
            <w:tcW w:w="1252" w:type="dxa"/>
          </w:tcPr>
          <w:p>
            <w:pPr>
              <w:adjustRightInd w:val="0"/>
              <w:snapToGrid w:val="0"/>
              <w:spacing w:line="300" w:lineRule="auto"/>
              <w:jc w:val="center"/>
              <w:outlineLvl w:val="0"/>
              <w:rPr>
                <w:rFonts w:ascii="宋体" w:hAnsi="宋体"/>
                <w:color w:val="000000"/>
                <w:szCs w:val="21"/>
              </w:rPr>
            </w:pPr>
          </w:p>
        </w:tc>
        <w:tc>
          <w:tcPr>
            <w:tcW w:w="2694" w:type="dxa"/>
            <w:vAlign w:val="center"/>
          </w:tcPr>
          <w:p>
            <w:pPr>
              <w:adjustRightInd w:val="0"/>
              <w:snapToGrid w:val="0"/>
              <w:spacing w:line="300" w:lineRule="auto"/>
              <w:jc w:val="center"/>
              <w:outlineLvl w:val="0"/>
              <w:rPr>
                <w:rFonts w:ascii="宋体" w:hAnsi="宋体"/>
                <w:color w:val="000000"/>
                <w:szCs w:val="21"/>
              </w:rPr>
            </w:pPr>
          </w:p>
        </w:tc>
        <w:tc>
          <w:tcPr>
            <w:tcW w:w="2508" w:type="dxa"/>
            <w:vAlign w:val="center"/>
          </w:tcPr>
          <w:p>
            <w:pPr>
              <w:adjustRightInd w:val="0"/>
              <w:snapToGrid w:val="0"/>
              <w:spacing w:line="300" w:lineRule="auto"/>
              <w:jc w:val="center"/>
              <w:outlineLvl w:val="0"/>
              <w:rPr>
                <w:rFonts w:ascii="宋体" w:hAnsi="宋体"/>
                <w:color w:val="000000"/>
                <w:szCs w:val="21"/>
              </w:rPr>
            </w:pPr>
          </w:p>
        </w:tc>
        <w:tc>
          <w:tcPr>
            <w:tcW w:w="1514" w:type="dxa"/>
            <w:vAlign w:val="center"/>
          </w:tcPr>
          <w:p>
            <w:pPr>
              <w:adjustRightInd w:val="0"/>
              <w:snapToGrid w:val="0"/>
              <w:spacing w:line="300" w:lineRule="auto"/>
              <w:jc w:val="center"/>
              <w:outlineLvl w:val="0"/>
              <w:rPr>
                <w:rFonts w:ascii="宋体" w:hAnsi="宋体"/>
                <w:color w:val="000000"/>
                <w:szCs w:val="21"/>
              </w:rPr>
            </w:pPr>
          </w:p>
        </w:tc>
        <w:tc>
          <w:tcPr>
            <w:tcW w:w="1155" w:type="dxa"/>
            <w:vAlign w:val="center"/>
          </w:tcPr>
          <w:p>
            <w:pPr>
              <w:adjustRightInd w:val="0"/>
              <w:snapToGrid w:val="0"/>
              <w:spacing w:line="300" w:lineRule="auto"/>
              <w:jc w:val="center"/>
              <w:outlineLvl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41" w:type="dxa"/>
            <w:vAlign w:val="center"/>
          </w:tcPr>
          <w:p>
            <w:pPr>
              <w:adjustRightInd w:val="0"/>
              <w:snapToGrid w:val="0"/>
              <w:spacing w:line="300" w:lineRule="auto"/>
              <w:jc w:val="center"/>
              <w:outlineLvl w:val="0"/>
              <w:rPr>
                <w:rFonts w:ascii="宋体" w:hAnsi="宋体"/>
                <w:color w:val="000000"/>
                <w:szCs w:val="21"/>
              </w:rPr>
            </w:pPr>
            <w:bookmarkStart w:id="98" w:name="_Toc322959192"/>
            <w:bookmarkStart w:id="99" w:name="_Toc388450318"/>
            <w:bookmarkStart w:id="100" w:name="_Toc291581947"/>
            <w:bookmarkStart w:id="101" w:name="_Toc488673061"/>
            <w:r>
              <w:rPr>
                <w:rFonts w:hint="eastAsia" w:ascii="宋体" w:hAnsi="宋体"/>
                <w:color w:val="000000"/>
                <w:szCs w:val="21"/>
              </w:rPr>
              <w:t>2</w:t>
            </w:r>
            <w:bookmarkEnd w:id="98"/>
            <w:bookmarkEnd w:id="99"/>
            <w:bookmarkEnd w:id="100"/>
            <w:bookmarkEnd w:id="101"/>
          </w:p>
        </w:tc>
        <w:tc>
          <w:tcPr>
            <w:tcW w:w="1252" w:type="dxa"/>
          </w:tcPr>
          <w:p>
            <w:pPr>
              <w:adjustRightInd w:val="0"/>
              <w:snapToGrid w:val="0"/>
              <w:spacing w:line="300" w:lineRule="auto"/>
              <w:jc w:val="center"/>
              <w:outlineLvl w:val="0"/>
              <w:rPr>
                <w:rFonts w:ascii="宋体" w:hAnsi="宋体"/>
                <w:color w:val="000000"/>
                <w:szCs w:val="21"/>
              </w:rPr>
            </w:pPr>
          </w:p>
        </w:tc>
        <w:tc>
          <w:tcPr>
            <w:tcW w:w="2694" w:type="dxa"/>
            <w:vAlign w:val="center"/>
          </w:tcPr>
          <w:p>
            <w:pPr>
              <w:adjustRightInd w:val="0"/>
              <w:snapToGrid w:val="0"/>
              <w:spacing w:line="300" w:lineRule="auto"/>
              <w:jc w:val="center"/>
              <w:outlineLvl w:val="0"/>
              <w:rPr>
                <w:rFonts w:ascii="宋体" w:hAnsi="宋体"/>
                <w:color w:val="000000"/>
                <w:szCs w:val="21"/>
              </w:rPr>
            </w:pPr>
          </w:p>
        </w:tc>
        <w:tc>
          <w:tcPr>
            <w:tcW w:w="2508" w:type="dxa"/>
            <w:vAlign w:val="center"/>
          </w:tcPr>
          <w:p>
            <w:pPr>
              <w:adjustRightInd w:val="0"/>
              <w:snapToGrid w:val="0"/>
              <w:spacing w:line="300" w:lineRule="auto"/>
              <w:jc w:val="center"/>
              <w:outlineLvl w:val="0"/>
              <w:rPr>
                <w:rFonts w:ascii="宋体" w:hAnsi="宋体"/>
                <w:color w:val="000000"/>
                <w:szCs w:val="21"/>
              </w:rPr>
            </w:pPr>
          </w:p>
        </w:tc>
        <w:tc>
          <w:tcPr>
            <w:tcW w:w="1514" w:type="dxa"/>
            <w:vAlign w:val="center"/>
          </w:tcPr>
          <w:p>
            <w:pPr>
              <w:adjustRightInd w:val="0"/>
              <w:snapToGrid w:val="0"/>
              <w:spacing w:line="300" w:lineRule="auto"/>
              <w:jc w:val="center"/>
              <w:outlineLvl w:val="0"/>
              <w:rPr>
                <w:rFonts w:ascii="宋体" w:hAnsi="宋体"/>
                <w:color w:val="000000"/>
                <w:szCs w:val="21"/>
              </w:rPr>
            </w:pPr>
          </w:p>
        </w:tc>
        <w:tc>
          <w:tcPr>
            <w:tcW w:w="1155" w:type="dxa"/>
            <w:vAlign w:val="center"/>
          </w:tcPr>
          <w:p>
            <w:pPr>
              <w:adjustRightInd w:val="0"/>
              <w:snapToGrid w:val="0"/>
              <w:spacing w:line="300" w:lineRule="auto"/>
              <w:jc w:val="center"/>
              <w:outlineLvl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41" w:type="dxa"/>
            <w:vAlign w:val="center"/>
          </w:tcPr>
          <w:p>
            <w:pPr>
              <w:adjustRightInd w:val="0"/>
              <w:snapToGrid w:val="0"/>
              <w:spacing w:line="300" w:lineRule="auto"/>
              <w:jc w:val="center"/>
              <w:outlineLvl w:val="0"/>
              <w:rPr>
                <w:rFonts w:ascii="宋体" w:hAnsi="宋体"/>
                <w:color w:val="000000"/>
                <w:szCs w:val="21"/>
              </w:rPr>
            </w:pPr>
            <w:bookmarkStart w:id="102" w:name="_Toc322959193"/>
            <w:bookmarkStart w:id="103" w:name="_Toc291581948"/>
            <w:bookmarkStart w:id="104" w:name="_Toc388450319"/>
            <w:bookmarkStart w:id="105" w:name="_Toc488673062"/>
            <w:r>
              <w:rPr>
                <w:rFonts w:hint="eastAsia" w:ascii="宋体" w:hAnsi="宋体"/>
                <w:color w:val="000000"/>
                <w:szCs w:val="21"/>
              </w:rPr>
              <w:t>3</w:t>
            </w:r>
            <w:bookmarkEnd w:id="102"/>
            <w:bookmarkEnd w:id="103"/>
            <w:bookmarkEnd w:id="104"/>
            <w:bookmarkEnd w:id="105"/>
          </w:p>
        </w:tc>
        <w:tc>
          <w:tcPr>
            <w:tcW w:w="1252" w:type="dxa"/>
          </w:tcPr>
          <w:p>
            <w:pPr>
              <w:adjustRightInd w:val="0"/>
              <w:snapToGrid w:val="0"/>
              <w:spacing w:line="300" w:lineRule="auto"/>
              <w:jc w:val="center"/>
              <w:outlineLvl w:val="0"/>
              <w:rPr>
                <w:rFonts w:ascii="宋体" w:hAnsi="宋体"/>
                <w:color w:val="000000"/>
                <w:szCs w:val="21"/>
              </w:rPr>
            </w:pPr>
          </w:p>
        </w:tc>
        <w:tc>
          <w:tcPr>
            <w:tcW w:w="2694" w:type="dxa"/>
            <w:vAlign w:val="center"/>
          </w:tcPr>
          <w:p>
            <w:pPr>
              <w:adjustRightInd w:val="0"/>
              <w:snapToGrid w:val="0"/>
              <w:spacing w:line="300" w:lineRule="auto"/>
              <w:jc w:val="center"/>
              <w:outlineLvl w:val="0"/>
              <w:rPr>
                <w:rFonts w:ascii="宋体" w:hAnsi="宋体"/>
                <w:color w:val="000000"/>
                <w:szCs w:val="21"/>
              </w:rPr>
            </w:pPr>
          </w:p>
        </w:tc>
        <w:tc>
          <w:tcPr>
            <w:tcW w:w="2508" w:type="dxa"/>
            <w:vAlign w:val="center"/>
          </w:tcPr>
          <w:p>
            <w:pPr>
              <w:adjustRightInd w:val="0"/>
              <w:snapToGrid w:val="0"/>
              <w:spacing w:line="300" w:lineRule="auto"/>
              <w:jc w:val="center"/>
              <w:outlineLvl w:val="0"/>
              <w:rPr>
                <w:rFonts w:ascii="宋体" w:hAnsi="宋体"/>
                <w:color w:val="000000"/>
                <w:szCs w:val="21"/>
              </w:rPr>
            </w:pPr>
          </w:p>
        </w:tc>
        <w:tc>
          <w:tcPr>
            <w:tcW w:w="1514" w:type="dxa"/>
            <w:vAlign w:val="center"/>
          </w:tcPr>
          <w:p>
            <w:pPr>
              <w:adjustRightInd w:val="0"/>
              <w:snapToGrid w:val="0"/>
              <w:spacing w:line="300" w:lineRule="auto"/>
              <w:jc w:val="center"/>
              <w:outlineLvl w:val="0"/>
              <w:rPr>
                <w:rFonts w:ascii="宋体" w:hAnsi="宋体"/>
                <w:color w:val="000000"/>
                <w:szCs w:val="21"/>
              </w:rPr>
            </w:pPr>
          </w:p>
        </w:tc>
        <w:tc>
          <w:tcPr>
            <w:tcW w:w="1155" w:type="dxa"/>
            <w:vAlign w:val="center"/>
          </w:tcPr>
          <w:p>
            <w:pPr>
              <w:adjustRightInd w:val="0"/>
              <w:snapToGrid w:val="0"/>
              <w:spacing w:line="300" w:lineRule="auto"/>
              <w:jc w:val="center"/>
              <w:outlineLvl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41" w:type="dxa"/>
            <w:vAlign w:val="center"/>
          </w:tcPr>
          <w:p>
            <w:pPr>
              <w:adjustRightInd w:val="0"/>
              <w:snapToGrid w:val="0"/>
              <w:spacing w:line="300" w:lineRule="auto"/>
              <w:jc w:val="center"/>
              <w:outlineLvl w:val="0"/>
              <w:rPr>
                <w:rFonts w:ascii="宋体" w:hAnsi="宋体"/>
                <w:color w:val="000000"/>
                <w:szCs w:val="21"/>
              </w:rPr>
            </w:pPr>
            <w:bookmarkStart w:id="106" w:name="_Toc322959194"/>
            <w:bookmarkStart w:id="107" w:name="_Toc488673063"/>
            <w:bookmarkStart w:id="108" w:name="_Toc291581949"/>
            <w:bookmarkStart w:id="109" w:name="_Toc388450320"/>
            <w:r>
              <w:rPr>
                <w:rFonts w:hint="eastAsia" w:ascii="宋体" w:hAnsi="宋体"/>
                <w:color w:val="000000"/>
                <w:szCs w:val="21"/>
              </w:rPr>
              <w:t>4</w:t>
            </w:r>
            <w:bookmarkEnd w:id="106"/>
            <w:bookmarkEnd w:id="107"/>
            <w:bookmarkEnd w:id="108"/>
            <w:bookmarkEnd w:id="109"/>
          </w:p>
        </w:tc>
        <w:tc>
          <w:tcPr>
            <w:tcW w:w="1252" w:type="dxa"/>
          </w:tcPr>
          <w:p>
            <w:pPr>
              <w:adjustRightInd w:val="0"/>
              <w:snapToGrid w:val="0"/>
              <w:spacing w:line="300" w:lineRule="auto"/>
              <w:jc w:val="center"/>
              <w:outlineLvl w:val="0"/>
              <w:rPr>
                <w:rFonts w:ascii="宋体" w:hAnsi="宋体"/>
                <w:color w:val="000000"/>
                <w:szCs w:val="21"/>
              </w:rPr>
            </w:pPr>
          </w:p>
        </w:tc>
        <w:tc>
          <w:tcPr>
            <w:tcW w:w="2694" w:type="dxa"/>
            <w:vAlign w:val="center"/>
          </w:tcPr>
          <w:p>
            <w:pPr>
              <w:adjustRightInd w:val="0"/>
              <w:snapToGrid w:val="0"/>
              <w:spacing w:line="300" w:lineRule="auto"/>
              <w:jc w:val="center"/>
              <w:outlineLvl w:val="0"/>
              <w:rPr>
                <w:rFonts w:ascii="宋体" w:hAnsi="宋体"/>
                <w:color w:val="000000"/>
                <w:szCs w:val="21"/>
              </w:rPr>
            </w:pPr>
          </w:p>
        </w:tc>
        <w:tc>
          <w:tcPr>
            <w:tcW w:w="2508" w:type="dxa"/>
            <w:vAlign w:val="center"/>
          </w:tcPr>
          <w:p>
            <w:pPr>
              <w:adjustRightInd w:val="0"/>
              <w:snapToGrid w:val="0"/>
              <w:spacing w:line="300" w:lineRule="auto"/>
              <w:jc w:val="center"/>
              <w:outlineLvl w:val="0"/>
              <w:rPr>
                <w:rFonts w:ascii="宋体" w:hAnsi="宋体"/>
                <w:color w:val="000000"/>
                <w:szCs w:val="21"/>
              </w:rPr>
            </w:pPr>
          </w:p>
        </w:tc>
        <w:tc>
          <w:tcPr>
            <w:tcW w:w="1514" w:type="dxa"/>
            <w:vAlign w:val="center"/>
          </w:tcPr>
          <w:p>
            <w:pPr>
              <w:adjustRightInd w:val="0"/>
              <w:snapToGrid w:val="0"/>
              <w:spacing w:line="300" w:lineRule="auto"/>
              <w:jc w:val="center"/>
              <w:outlineLvl w:val="0"/>
              <w:rPr>
                <w:rFonts w:ascii="宋体" w:hAnsi="宋体"/>
                <w:color w:val="000000"/>
                <w:szCs w:val="21"/>
              </w:rPr>
            </w:pPr>
          </w:p>
        </w:tc>
        <w:tc>
          <w:tcPr>
            <w:tcW w:w="1155" w:type="dxa"/>
            <w:vAlign w:val="center"/>
          </w:tcPr>
          <w:p>
            <w:pPr>
              <w:adjustRightInd w:val="0"/>
              <w:snapToGrid w:val="0"/>
              <w:spacing w:line="300" w:lineRule="auto"/>
              <w:jc w:val="center"/>
              <w:outlineLvl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41" w:type="dxa"/>
            <w:vAlign w:val="center"/>
          </w:tcPr>
          <w:p>
            <w:pPr>
              <w:adjustRightInd w:val="0"/>
              <w:snapToGrid w:val="0"/>
              <w:spacing w:line="300" w:lineRule="auto"/>
              <w:jc w:val="center"/>
              <w:outlineLvl w:val="0"/>
              <w:rPr>
                <w:rFonts w:ascii="宋体" w:hAnsi="宋体"/>
                <w:color w:val="000000"/>
                <w:szCs w:val="21"/>
              </w:rPr>
            </w:pPr>
            <w:bookmarkStart w:id="110" w:name="_Toc488673064"/>
            <w:bookmarkStart w:id="111" w:name="_Toc388450321"/>
            <w:bookmarkStart w:id="112" w:name="_Toc322959195"/>
            <w:bookmarkStart w:id="113" w:name="_Toc291581950"/>
            <w:r>
              <w:rPr>
                <w:rFonts w:hint="eastAsia" w:ascii="宋体" w:hAnsi="宋体"/>
                <w:color w:val="000000"/>
                <w:szCs w:val="21"/>
              </w:rPr>
              <w:t>5</w:t>
            </w:r>
            <w:bookmarkEnd w:id="110"/>
            <w:bookmarkEnd w:id="111"/>
            <w:bookmarkEnd w:id="112"/>
            <w:bookmarkEnd w:id="113"/>
          </w:p>
        </w:tc>
        <w:tc>
          <w:tcPr>
            <w:tcW w:w="1252" w:type="dxa"/>
          </w:tcPr>
          <w:p>
            <w:pPr>
              <w:adjustRightInd w:val="0"/>
              <w:snapToGrid w:val="0"/>
              <w:spacing w:line="300" w:lineRule="auto"/>
              <w:jc w:val="center"/>
              <w:outlineLvl w:val="0"/>
              <w:rPr>
                <w:rFonts w:ascii="宋体" w:hAnsi="宋体"/>
                <w:color w:val="000000"/>
                <w:szCs w:val="21"/>
              </w:rPr>
            </w:pPr>
          </w:p>
        </w:tc>
        <w:tc>
          <w:tcPr>
            <w:tcW w:w="2694" w:type="dxa"/>
            <w:vAlign w:val="center"/>
          </w:tcPr>
          <w:p>
            <w:pPr>
              <w:adjustRightInd w:val="0"/>
              <w:snapToGrid w:val="0"/>
              <w:spacing w:line="300" w:lineRule="auto"/>
              <w:jc w:val="center"/>
              <w:outlineLvl w:val="0"/>
              <w:rPr>
                <w:rFonts w:ascii="宋体" w:hAnsi="宋体"/>
                <w:color w:val="000000"/>
                <w:szCs w:val="21"/>
              </w:rPr>
            </w:pPr>
          </w:p>
        </w:tc>
        <w:tc>
          <w:tcPr>
            <w:tcW w:w="2508" w:type="dxa"/>
            <w:vAlign w:val="center"/>
          </w:tcPr>
          <w:p>
            <w:pPr>
              <w:adjustRightInd w:val="0"/>
              <w:snapToGrid w:val="0"/>
              <w:spacing w:line="300" w:lineRule="auto"/>
              <w:jc w:val="center"/>
              <w:outlineLvl w:val="0"/>
              <w:rPr>
                <w:rFonts w:ascii="宋体" w:hAnsi="宋体"/>
                <w:color w:val="000000"/>
                <w:szCs w:val="21"/>
              </w:rPr>
            </w:pPr>
          </w:p>
        </w:tc>
        <w:tc>
          <w:tcPr>
            <w:tcW w:w="1514" w:type="dxa"/>
            <w:vAlign w:val="center"/>
          </w:tcPr>
          <w:p>
            <w:pPr>
              <w:adjustRightInd w:val="0"/>
              <w:snapToGrid w:val="0"/>
              <w:spacing w:line="300" w:lineRule="auto"/>
              <w:jc w:val="center"/>
              <w:outlineLvl w:val="0"/>
              <w:rPr>
                <w:rFonts w:ascii="宋体" w:hAnsi="宋体"/>
                <w:color w:val="000000"/>
                <w:szCs w:val="21"/>
              </w:rPr>
            </w:pPr>
          </w:p>
        </w:tc>
        <w:tc>
          <w:tcPr>
            <w:tcW w:w="1155" w:type="dxa"/>
            <w:vAlign w:val="center"/>
          </w:tcPr>
          <w:p>
            <w:pPr>
              <w:adjustRightInd w:val="0"/>
              <w:snapToGrid w:val="0"/>
              <w:spacing w:line="300" w:lineRule="auto"/>
              <w:jc w:val="center"/>
              <w:outlineLvl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841" w:type="dxa"/>
            <w:vAlign w:val="center"/>
          </w:tcPr>
          <w:p>
            <w:pPr>
              <w:adjustRightInd w:val="0"/>
              <w:snapToGrid w:val="0"/>
              <w:spacing w:line="300" w:lineRule="auto"/>
              <w:jc w:val="center"/>
              <w:outlineLvl w:val="0"/>
              <w:rPr>
                <w:rFonts w:ascii="宋体" w:hAnsi="宋体"/>
                <w:color w:val="000000"/>
                <w:szCs w:val="21"/>
              </w:rPr>
            </w:pPr>
            <w:bookmarkStart w:id="114" w:name="_Toc291581951"/>
            <w:bookmarkStart w:id="115" w:name="_Toc488673065"/>
            <w:bookmarkStart w:id="116" w:name="_Toc322959196"/>
            <w:bookmarkStart w:id="117" w:name="_Toc388450322"/>
            <w:r>
              <w:rPr>
                <w:rFonts w:hint="eastAsia" w:ascii="宋体" w:hAnsi="宋体"/>
                <w:color w:val="000000"/>
                <w:szCs w:val="21"/>
              </w:rPr>
              <w:t>…</w:t>
            </w:r>
            <w:bookmarkEnd w:id="114"/>
            <w:bookmarkEnd w:id="115"/>
            <w:bookmarkEnd w:id="116"/>
            <w:bookmarkEnd w:id="117"/>
          </w:p>
        </w:tc>
        <w:tc>
          <w:tcPr>
            <w:tcW w:w="1252" w:type="dxa"/>
          </w:tcPr>
          <w:p>
            <w:pPr>
              <w:adjustRightInd w:val="0"/>
              <w:snapToGrid w:val="0"/>
              <w:spacing w:line="300" w:lineRule="auto"/>
              <w:jc w:val="center"/>
              <w:outlineLvl w:val="0"/>
              <w:rPr>
                <w:rFonts w:ascii="宋体" w:hAnsi="宋体"/>
                <w:color w:val="000000"/>
                <w:szCs w:val="21"/>
              </w:rPr>
            </w:pPr>
          </w:p>
        </w:tc>
        <w:tc>
          <w:tcPr>
            <w:tcW w:w="2694" w:type="dxa"/>
            <w:vAlign w:val="center"/>
          </w:tcPr>
          <w:p>
            <w:pPr>
              <w:adjustRightInd w:val="0"/>
              <w:snapToGrid w:val="0"/>
              <w:spacing w:line="300" w:lineRule="auto"/>
              <w:jc w:val="center"/>
              <w:outlineLvl w:val="0"/>
              <w:rPr>
                <w:rFonts w:ascii="宋体" w:hAnsi="宋体"/>
                <w:color w:val="000000"/>
                <w:szCs w:val="21"/>
              </w:rPr>
            </w:pPr>
          </w:p>
        </w:tc>
        <w:tc>
          <w:tcPr>
            <w:tcW w:w="2508" w:type="dxa"/>
            <w:vAlign w:val="center"/>
          </w:tcPr>
          <w:p>
            <w:pPr>
              <w:adjustRightInd w:val="0"/>
              <w:snapToGrid w:val="0"/>
              <w:spacing w:line="300" w:lineRule="auto"/>
              <w:jc w:val="center"/>
              <w:outlineLvl w:val="0"/>
              <w:rPr>
                <w:rFonts w:ascii="宋体" w:hAnsi="宋体"/>
                <w:color w:val="000000"/>
                <w:szCs w:val="21"/>
              </w:rPr>
            </w:pPr>
          </w:p>
        </w:tc>
        <w:tc>
          <w:tcPr>
            <w:tcW w:w="1514" w:type="dxa"/>
            <w:tcBorders>
              <w:right w:val="single" w:color="auto" w:sz="4" w:space="0"/>
            </w:tcBorders>
            <w:vAlign w:val="center"/>
          </w:tcPr>
          <w:p>
            <w:pPr>
              <w:adjustRightInd w:val="0"/>
              <w:snapToGrid w:val="0"/>
              <w:spacing w:line="300" w:lineRule="auto"/>
              <w:jc w:val="center"/>
              <w:outlineLvl w:val="0"/>
              <w:rPr>
                <w:rFonts w:ascii="宋体" w:hAnsi="宋体"/>
                <w:color w:val="000000"/>
                <w:szCs w:val="21"/>
              </w:rPr>
            </w:pPr>
          </w:p>
        </w:tc>
        <w:tc>
          <w:tcPr>
            <w:tcW w:w="1155" w:type="dxa"/>
            <w:tcBorders>
              <w:left w:val="single" w:color="auto" w:sz="4" w:space="0"/>
            </w:tcBorders>
            <w:vAlign w:val="center"/>
          </w:tcPr>
          <w:p>
            <w:pPr>
              <w:adjustRightInd w:val="0"/>
              <w:snapToGrid w:val="0"/>
              <w:spacing w:line="300" w:lineRule="auto"/>
              <w:jc w:val="center"/>
              <w:outlineLvl w:val="0"/>
              <w:rPr>
                <w:rFonts w:ascii="宋体" w:hAnsi="宋体"/>
                <w:color w:val="000000"/>
                <w:szCs w:val="21"/>
              </w:rPr>
            </w:pPr>
          </w:p>
        </w:tc>
      </w:tr>
    </w:tbl>
    <w:p>
      <w:pPr>
        <w:pStyle w:val="6"/>
        <w:spacing w:line="500" w:lineRule="exact"/>
        <w:ind w:firstLine="0"/>
        <w:rPr>
          <w:rFonts w:hAnsi="宋体"/>
          <w:color w:val="000000"/>
          <w:sz w:val="21"/>
          <w:szCs w:val="21"/>
        </w:rPr>
      </w:pPr>
      <w:r>
        <w:rPr>
          <w:rFonts w:hint="eastAsia" w:hAnsi="宋体"/>
          <w:color w:val="000000"/>
          <w:sz w:val="21"/>
          <w:szCs w:val="21"/>
        </w:rPr>
        <w:t>说明：注：⑴表格内容均需按要求填写并盖章，不得留空，否则按竞标无效处理。</w:t>
      </w:r>
    </w:p>
    <w:p>
      <w:pPr>
        <w:pStyle w:val="6"/>
        <w:spacing w:line="500" w:lineRule="exact"/>
        <w:ind w:firstLine="0"/>
        <w:rPr>
          <w:rFonts w:hAnsi="宋体"/>
          <w:color w:val="000000"/>
          <w:sz w:val="21"/>
          <w:szCs w:val="21"/>
        </w:rPr>
      </w:pPr>
      <w:r>
        <w:rPr>
          <w:rFonts w:hint="eastAsia" w:hAnsi="宋体"/>
          <w:color w:val="000000"/>
          <w:sz w:val="21"/>
          <w:szCs w:val="21"/>
        </w:rPr>
        <w:t>⑵当响应文件的技术参数或商务内容低于采购文件要求时，供应商应当如实写明“负偏离”，否则视为虚假应标。</w:t>
      </w:r>
    </w:p>
    <w:p>
      <w:pPr>
        <w:pStyle w:val="7"/>
        <w:spacing w:line="300" w:lineRule="auto"/>
        <w:rPr>
          <w:rFonts w:hAnsi="宋体"/>
          <w:color w:val="000000"/>
        </w:rPr>
      </w:pPr>
    </w:p>
    <w:p>
      <w:pPr>
        <w:pStyle w:val="7"/>
        <w:spacing w:line="300" w:lineRule="auto"/>
        <w:rPr>
          <w:rFonts w:hAnsi="宋体"/>
          <w:color w:val="000000"/>
          <w:sz w:val="28"/>
          <w:szCs w:val="28"/>
        </w:rPr>
      </w:pPr>
    </w:p>
    <w:p>
      <w:pPr>
        <w:pStyle w:val="7"/>
        <w:spacing w:line="300" w:lineRule="auto"/>
        <w:rPr>
          <w:rFonts w:hAnsi="宋体"/>
          <w:color w:val="000000"/>
          <w:sz w:val="28"/>
          <w:szCs w:val="28"/>
        </w:rPr>
      </w:pPr>
    </w:p>
    <w:p>
      <w:pPr>
        <w:pStyle w:val="7"/>
        <w:spacing w:line="500" w:lineRule="exact"/>
        <w:ind w:firstLine="3360" w:firstLineChars="1600"/>
        <w:rPr>
          <w:rFonts w:hAnsi="宋体"/>
          <w:color w:val="000000"/>
          <w:sz w:val="21"/>
          <w:szCs w:val="21"/>
          <w:u w:val="single"/>
        </w:rPr>
      </w:pPr>
      <w:r>
        <w:rPr>
          <w:rFonts w:hint="eastAsia" w:hAnsi="宋体"/>
          <w:color w:val="000000"/>
          <w:sz w:val="21"/>
          <w:szCs w:val="21"/>
        </w:rPr>
        <w:t>法定代表人或法定代表人授权代表（签字）：</w:t>
      </w:r>
      <w:r>
        <w:rPr>
          <w:rFonts w:hint="eastAsia" w:hAnsi="宋体"/>
          <w:color w:val="000000"/>
          <w:sz w:val="21"/>
          <w:szCs w:val="21"/>
          <w:u w:val="single"/>
        </w:rPr>
        <w:t xml:space="preserve">              </w:t>
      </w:r>
    </w:p>
    <w:p>
      <w:pPr>
        <w:pStyle w:val="7"/>
        <w:spacing w:line="500" w:lineRule="exact"/>
        <w:ind w:firstLine="3360" w:firstLineChars="1600"/>
        <w:rPr>
          <w:rFonts w:hAnsi="宋体"/>
          <w:color w:val="000000"/>
          <w:sz w:val="21"/>
          <w:szCs w:val="21"/>
          <w:u w:val="single"/>
        </w:rPr>
      </w:pPr>
      <w:r>
        <w:rPr>
          <w:rFonts w:hint="eastAsia" w:hAnsi="宋体"/>
          <w:color w:val="000000"/>
          <w:sz w:val="21"/>
          <w:szCs w:val="21"/>
        </w:rPr>
        <w:t>谈判供应商名称（签章）：</w:t>
      </w:r>
      <w:r>
        <w:rPr>
          <w:rFonts w:hint="eastAsia" w:hAnsi="宋体"/>
          <w:color w:val="000000"/>
          <w:sz w:val="21"/>
          <w:szCs w:val="21"/>
          <w:u w:val="single"/>
        </w:rPr>
        <w:t xml:space="preserve">                              </w:t>
      </w:r>
    </w:p>
    <w:p>
      <w:pPr>
        <w:pStyle w:val="7"/>
        <w:spacing w:line="360" w:lineRule="auto"/>
        <w:ind w:firstLine="3250" w:firstLineChars="1300"/>
        <w:rPr>
          <w:rFonts w:hAnsi="宋体"/>
          <w:color w:val="000000"/>
          <w:sz w:val="21"/>
          <w:szCs w:val="21"/>
          <w:u w:val="single"/>
        </w:rPr>
      </w:pPr>
      <w:r>
        <w:rPr>
          <w:rFonts w:hint="eastAsia" w:hAnsi="宋体"/>
          <w:color w:val="000000"/>
          <w:spacing w:val="20"/>
          <w:sz w:val="21"/>
          <w:szCs w:val="21"/>
        </w:rPr>
        <w:t xml:space="preserve">  日  期：</w:t>
      </w:r>
      <w:r>
        <w:rPr>
          <w:rFonts w:hint="eastAsia" w:hAnsi="宋体"/>
          <w:color w:val="000000"/>
          <w:sz w:val="21"/>
          <w:szCs w:val="21"/>
          <w:u w:val="single"/>
        </w:rPr>
        <w:t xml:space="preserve">      </w:t>
      </w:r>
      <w:r>
        <w:rPr>
          <w:rFonts w:hint="eastAsia" w:hAnsi="宋体"/>
          <w:color w:val="000000"/>
          <w:sz w:val="21"/>
          <w:szCs w:val="21"/>
        </w:rPr>
        <w:t>年</w:t>
      </w:r>
      <w:r>
        <w:rPr>
          <w:rFonts w:hint="eastAsia" w:hAnsi="宋体"/>
          <w:color w:val="000000"/>
          <w:sz w:val="21"/>
          <w:szCs w:val="21"/>
          <w:u w:val="single"/>
        </w:rPr>
        <w:t xml:space="preserve">   </w:t>
      </w:r>
      <w:r>
        <w:rPr>
          <w:rFonts w:hint="eastAsia" w:hAnsi="宋体"/>
          <w:color w:val="000000"/>
          <w:sz w:val="21"/>
          <w:szCs w:val="21"/>
        </w:rPr>
        <w:t>月</w:t>
      </w:r>
      <w:r>
        <w:rPr>
          <w:rFonts w:hint="eastAsia" w:hAnsi="宋体"/>
          <w:color w:val="000000"/>
          <w:sz w:val="21"/>
          <w:szCs w:val="21"/>
          <w:u w:val="single"/>
        </w:rPr>
        <w:t xml:space="preserve">   </w:t>
      </w:r>
      <w:r>
        <w:rPr>
          <w:rFonts w:hint="eastAsia" w:hAnsi="宋体"/>
          <w:color w:val="000000"/>
          <w:sz w:val="21"/>
          <w:szCs w:val="21"/>
        </w:rPr>
        <w:t>日</w:t>
      </w:r>
    </w:p>
    <w:p>
      <w:pPr>
        <w:spacing w:line="300" w:lineRule="auto"/>
        <w:rPr>
          <w:rFonts w:ascii="宋体" w:hAnsi="宋体"/>
          <w:color w:val="000000"/>
          <w:sz w:val="28"/>
          <w:szCs w:val="28"/>
        </w:rPr>
      </w:pPr>
    </w:p>
    <w:p>
      <w:pPr>
        <w:adjustRightInd w:val="0"/>
        <w:snapToGrid w:val="0"/>
        <w:spacing w:line="300" w:lineRule="auto"/>
        <w:rPr>
          <w:rFonts w:ascii="宋体" w:hAnsi="宋体"/>
          <w:color w:val="000000"/>
          <w:sz w:val="28"/>
          <w:szCs w:val="28"/>
          <w:u w:val="single"/>
        </w:rPr>
      </w:pPr>
    </w:p>
    <w:p>
      <w:pPr>
        <w:adjustRightInd w:val="0"/>
        <w:snapToGrid w:val="0"/>
        <w:spacing w:line="300" w:lineRule="auto"/>
        <w:rPr>
          <w:rFonts w:ascii="宋体" w:hAnsi="宋体"/>
          <w:color w:val="000000"/>
          <w:sz w:val="28"/>
          <w:szCs w:val="28"/>
          <w:u w:val="single"/>
        </w:rPr>
      </w:pPr>
    </w:p>
    <w:p>
      <w:pPr>
        <w:adjustRightInd w:val="0"/>
        <w:snapToGrid w:val="0"/>
        <w:spacing w:line="300" w:lineRule="auto"/>
        <w:rPr>
          <w:rFonts w:ascii="宋体" w:hAnsi="宋体"/>
          <w:color w:val="000000"/>
          <w:sz w:val="28"/>
          <w:szCs w:val="28"/>
          <w:u w:val="single"/>
        </w:rPr>
      </w:pPr>
      <w:r>
        <w:rPr>
          <w:rFonts w:ascii="宋体" w:hAnsi="宋体"/>
          <w:color w:val="000000"/>
          <w:sz w:val="28"/>
          <w:szCs w:val="28"/>
          <w:u w:val="single"/>
        </w:rPr>
        <w:br w:type="page"/>
      </w:r>
    </w:p>
    <w:p>
      <w:pPr>
        <w:spacing w:line="300" w:lineRule="auto"/>
        <w:rPr>
          <w:rFonts w:ascii="宋体" w:hAnsi="宋体"/>
          <w:b/>
          <w:color w:val="000000"/>
          <w:sz w:val="28"/>
          <w:szCs w:val="28"/>
        </w:rPr>
      </w:pPr>
      <w:r>
        <w:rPr>
          <w:rFonts w:hint="eastAsia" w:ascii="宋体" w:hAnsi="宋体"/>
          <w:b/>
          <w:color w:val="000000"/>
          <w:sz w:val="28"/>
          <w:szCs w:val="28"/>
        </w:rPr>
        <w:t>附件四</w:t>
      </w:r>
    </w:p>
    <w:p>
      <w:pPr>
        <w:spacing w:line="300" w:lineRule="auto"/>
        <w:rPr>
          <w:rFonts w:ascii="宋体" w:hAnsi="宋体"/>
          <w:b/>
          <w:color w:val="000000"/>
          <w:sz w:val="28"/>
          <w:szCs w:val="28"/>
        </w:rPr>
      </w:pPr>
    </w:p>
    <w:p>
      <w:pPr>
        <w:spacing w:line="300" w:lineRule="auto"/>
        <w:jc w:val="center"/>
        <w:rPr>
          <w:rFonts w:ascii="宋体" w:hAnsi="宋体"/>
          <w:b/>
          <w:color w:val="000000"/>
          <w:sz w:val="28"/>
          <w:szCs w:val="28"/>
        </w:rPr>
      </w:pPr>
      <w:r>
        <w:rPr>
          <w:rFonts w:hint="eastAsia" w:ascii="宋体" w:hAnsi="宋体"/>
          <w:b/>
          <w:color w:val="000000"/>
          <w:sz w:val="28"/>
          <w:szCs w:val="28"/>
        </w:rPr>
        <w:t>商务响应表</w:t>
      </w:r>
    </w:p>
    <w:p>
      <w:pPr>
        <w:spacing w:line="300" w:lineRule="auto"/>
        <w:rPr>
          <w:rFonts w:ascii="宋体" w:hAnsi="宋体"/>
          <w:color w:val="000000"/>
          <w:szCs w:val="21"/>
          <w:u w:val="single"/>
        </w:rPr>
      </w:pPr>
      <w:r>
        <w:rPr>
          <w:rFonts w:hint="eastAsia" w:ascii="宋体" w:hAnsi="宋体"/>
          <w:color w:val="000000"/>
          <w:szCs w:val="21"/>
        </w:rPr>
        <w:t>采购项目编号：</w:t>
      </w:r>
      <w:r>
        <w:rPr>
          <w:rFonts w:hint="eastAsia" w:ascii="宋体" w:hAnsi="宋体"/>
          <w:color w:val="000000"/>
          <w:szCs w:val="21"/>
          <w:u w:val="single"/>
        </w:rPr>
        <w:t xml:space="preserve">                 </w:t>
      </w:r>
    </w:p>
    <w:p>
      <w:pPr>
        <w:spacing w:line="300" w:lineRule="auto"/>
        <w:rPr>
          <w:rFonts w:ascii="宋体" w:hAnsi="宋体"/>
          <w:color w:val="000000"/>
          <w:szCs w:val="21"/>
        </w:rPr>
      </w:pPr>
      <w:r>
        <w:rPr>
          <w:rFonts w:hint="eastAsia" w:ascii="宋体" w:hAnsi="宋体"/>
          <w:color w:val="000000"/>
          <w:szCs w:val="21"/>
        </w:rPr>
        <w:t>采购项目名称：</w:t>
      </w:r>
      <w:r>
        <w:rPr>
          <w:rFonts w:hint="eastAsia" w:ascii="宋体" w:hAnsi="宋体"/>
          <w:color w:val="000000"/>
          <w:szCs w:val="21"/>
          <w:u w:val="single"/>
        </w:rPr>
        <w:t xml:space="preserve">                 </w:t>
      </w:r>
    </w:p>
    <w:tbl>
      <w:tblPr>
        <w:tblStyle w:val="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3"/>
        <w:gridCol w:w="2977"/>
        <w:gridCol w:w="1417"/>
        <w:gridCol w:w="23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8" w:hRule="atLeast"/>
        </w:trPr>
        <w:tc>
          <w:tcPr>
            <w:tcW w:w="209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b/>
                <w:color w:val="000000"/>
                <w:szCs w:val="21"/>
              </w:rPr>
            </w:pPr>
            <w:r>
              <w:rPr>
                <w:rFonts w:hint="eastAsia" w:ascii="宋体" w:hAnsi="宋体"/>
                <w:b/>
                <w:color w:val="000000"/>
                <w:szCs w:val="21"/>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b/>
                <w:color w:val="000000"/>
                <w:szCs w:val="21"/>
              </w:rPr>
            </w:pPr>
            <w:r>
              <w:rPr>
                <w:rFonts w:hint="eastAsia" w:ascii="宋体" w:hAnsi="宋体"/>
                <w:b/>
                <w:color w:val="000000"/>
                <w:szCs w:val="21"/>
              </w:rPr>
              <w:t>谈判文件要求</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b/>
                <w:color w:val="000000"/>
                <w:szCs w:val="21"/>
              </w:rPr>
            </w:pPr>
            <w:r>
              <w:rPr>
                <w:rFonts w:hint="eastAsia" w:ascii="宋体" w:hAnsi="宋体"/>
                <w:b/>
                <w:color w:val="000000"/>
                <w:szCs w:val="21"/>
              </w:rPr>
              <w:t>是否响应</w:t>
            </w: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b/>
                <w:color w:val="000000"/>
                <w:szCs w:val="21"/>
              </w:rPr>
            </w:pPr>
            <w:r>
              <w:rPr>
                <w:rFonts w:hint="eastAsia" w:ascii="宋体" w:hAnsi="宋体"/>
                <w:b/>
                <w:color w:val="000000"/>
                <w:szCs w:val="21"/>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20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r>
              <w:rPr>
                <w:rFonts w:hint="eastAsia" w:ascii="宋体" w:hAnsi="宋体" w:cs="Arial"/>
                <w:color w:val="000000"/>
                <w:szCs w:val="21"/>
              </w:rPr>
              <w:t>质保期</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olor w:val="000000"/>
                <w:szCs w:val="21"/>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20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r>
              <w:rPr>
                <w:rFonts w:hint="eastAsia" w:ascii="宋体" w:hAnsi="宋体" w:cs="Arial"/>
                <w:color w:val="000000"/>
                <w:szCs w:val="21"/>
              </w:rPr>
              <w:t>售后技术服务要求</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olor w:val="000000"/>
                <w:szCs w:val="21"/>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20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r>
              <w:rPr>
                <w:rFonts w:hint="eastAsia" w:ascii="宋体" w:hAnsi="宋体" w:cs="Arial"/>
                <w:color w:val="000000"/>
                <w:szCs w:val="21"/>
              </w:rPr>
              <w:t>交付使用期及地点</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olor w:val="000000"/>
                <w:szCs w:val="21"/>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olor w:val="000000"/>
                <w:szCs w:val="21"/>
              </w:rPr>
            </w:pPr>
            <w:r>
              <w:rPr>
                <w:rFonts w:hint="eastAsia" w:ascii="宋体" w:hAnsi="宋体"/>
                <w:color w:val="000000"/>
                <w:szCs w:val="21"/>
              </w:rPr>
              <w:t>…</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olor w:val="000000"/>
                <w:szCs w:val="21"/>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olor w:val="000000"/>
                <w:szCs w:val="21"/>
              </w:rPr>
            </w:pPr>
          </w:p>
        </w:tc>
      </w:tr>
    </w:tbl>
    <w:p>
      <w:pPr>
        <w:pStyle w:val="7"/>
        <w:spacing w:line="500" w:lineRule="exact"/>
        <w:ind w:firstLine="3255" w:firstLineChars="1550"/>
        <w:rPr>
          <w:rFonts w:hAnsi="宋体"/>
          <w:color w:val="000000"/>
          <w:sz w:val="21"/>
          <w:szCs w:val="21"/>
          <w:u w:val="single"/>
        </w:rPr>
      </w:pPr>
      <w:r>
        <w:rPr>
          <w:rFonts w:hint="eastAsia" w:hAnsi="宋体"/>
          <w:color w:val="000000"/>
          <w:sz w:val="21"/>
          <w:szCs w:val="21"/>
        </w:rPr>
        <w:t>法定代表人或法定代表人授权代表（签字）：</w:t>
      </w:r>
      <w:r>
        <w:rPr>
          <w:rFonts w:hint="eastAsia" w:hAnsi="宋体"/>
          <w:color w:val="000000"/>
          <w:sz w:val="21"/>
          <w:szCs w:val="21"/>
          <w:u w:val="single"/>
        </w:rPr>
        <w:t xml:space="preserve">              </w:t>
      </w:r>
    </w:p>
    <w:p>
      <w:pPr>
        <w:pStyle w:val="7"/>
        <w:spacing w:line="500" w:lineRule="exact"/>
        <w:ind w:firstLine="3255" w:firstLineChars="1550"/>
        <w:rPr>
          <w:rFonts w:hAnsi="宋体"/>
          <w:color w:val="000000"/>
          <w:sz w:val="21"/>
          <w:szCs w:val="21"/>
          <w:u w:val="single"/>
        </w:rPr>
      </w:pPr>
      <w:r>
        <w:rPr>
          <w:rFonts w:hint="eastAsia" w:hAnsi="宋体"/>
          <w:color w:val="000000"/>
          <w:sz w:val="21"/>
          <w:szCs w:val="21"/>
        </w:rPr>
        <w:t>谈判供应商名称（签章）：</w:t>
      </w:r>
      <w:r>
        <w:rPr>
          <w:rFonts w:hint="eastAsia" w:hAnsi="宋体"/>
          <w:color w:val="000000"/>
          <w:sz w:val="21"/>
          <w:szCs w:val="21"/>
          <w:u w:val="single"/>
        </w:rPr>
        <w:t xml:space="preserve">                              </w:t>
      </w:r>
    </w:p>
    <w:p>
      <w:pPr>
        <w:pStyle w:val="7"/>
        <w:spacing w:line="360" w:lineRule="auto"/>
        <w:ind w:firstLine="3250" w:firstLineChars="1300"/>
        <w:rPr>
          <w:rFonts w:hAnsi="宋体"/>
          <w:color w:val="000000"/>
          <w:sz w:val="21"/>
          <w:szCs w:val="21"/>
          <w:u w:val="single"/>
        </w:rPr>
      </w:pPr>
      <w:r>
        <w:rPr>
          <w:rFonts w:hint="eastAsia" w:hAnsi="宋体"/>
          <w:color w:val="000000"/>
          <w:spacing w:val="20"/>
          <w:sz w:val="21"/>
          <w:szCs w:val="21"/>
        </w:rPr>
        <w:t xml:space="preserve">  日  期：</w:t>
      </w:r>
      <w:r>
        <w:rPr>
          <w:rFonts w:hint="eastAsia" w:hAnsi="宋体"/>
          <w:color w:val="000000"/>
          <w:sz w:val="21"/>
          <w:szCs w:val="21"/>
          <w:u w:val="single"/>
        </w:rPr>
        <w:t xml:space="preserve">      </w:t>
      </w:r>
      <w:r>
        <w:rPr>
          <w:rFonts w:hint="eastAsia" w:hAnsi="宋体"/>
          <w:color w:val="000000"/>
          <w:sz w:val="21"/>
          <w:szCs w:val="21"/>
        </w:rPr>
        <w:t>年</w:t>
      </w:r>
      <w:r>
        <w:rPr>
          <w:rFonts w:hint="eastAsia" w:hAnsi="宋体"/>
          <w:color w:val="000000"/>
          <w:sz w:val="21"/>
          <w:szCs w:val="21"/>
          <w:u w:val="single"/>
        </w:rPr>
        <w:t xml:space="preserve">   </w:t>
      </w:r>
      <w:r>
        <w:rPr>
          <w:rFonts w:hint="eastAsia" w:hAnsi="宋体"/>
          <w:color w:val="000000"/>
          <w:sz w:val="21"/>
          <w:szCs w:val="21"/>
        </w:rPr>
        <w:t>月</w:t>
      </w:r>
      <w:r>
        <w:rPr>
          <w:rFonts w:hint="eastAsia" w:hAnsi="宋体"/>
          <w:color w:val="000000"/>
          <w:sz w:val="21"/>
          <w:szCs w:val="21"/>
          <w:u w:val="single"/>
        </w:rPr>
        <w:t xml:space="preserve">   </w:t>
      </w:r>
      <w:r>
        <w:rPr>
          <w:rFonts w:hint="eastAsia" w:hAnsi="宋体"/>
          <w:color w:val="000000"/>
          <w:sz w:val="21"/>
          <w:szCs w:val="21"/>
        </w:rPr>
        <w:t>日</w:t>
      </w:r>
    </w:p>
    <w:p>
      <w:pPr>
        <w:adjustRightInd w:val="0"/>
        <w:snapToGrid w:val="0"/>
        <w:spacing w:line="300" w:lineRule="auto"/>
        <w:rPr>
          <w:rFonts w:ascii="宋体" w:hAnsi="宋体"/>
          <w:color w:val="000000"/>
          <w:sz w:val="28"/>
          <w:szCs w:val="28"/>
          <w:u w:val="single"/>
        </w:rPr>
      </w:pPr>
    </w:p>
    <w:p>
      <w:pPr>
        <w:adjustRightInd w:val="0"/>
        <w:snapToGrid w:val="0"/>
        <w:spacing w:line="300" w:lineRule="auto"/>
        <w:rPr>
          <w:rFonts w:ascii="宋体" w:hAnsi="宋体"/>
          <w:color w:val="000000"/>
          <w:sz w:val="28"/>
          <w:szCs w:val="28"/>
          <w:u w:val="single"/>
        </w:rPr>
      </w:pPr>
      <w:r>
        <w:rPr>
          <w:rFonts w:ascii="宋体" w:hAnsi="宋体"/>
          <w:color w:val="000000"/>
          <w:sz w:val="28"/>
          <w:szCs w:val="28"/>
          <w:u w:val="single"/>
        </w:rPr>
        <w:br w:type="page"/>
      </w:r>
    </w:p>
    <w:p>
      <w:pPr>
        <w:spacing w:line="300" w:lineRule="auto"/>
        <w:rPr>
          <w:rFonts w:ascii="宋体" w:hAnsi="宋体"/>
          <w:b/>
          <w:color w:val="000000"/>
          <w:sz w:val="28"/>
          <w:szCs w:val="28"/>
        </w:rPr>
      </w:pPr>
      <w:r>
        <w:rPr>
          <w:rFonts w:hint="eastAsia" w:ascii="宋体" w:hAnsi="宋体"/>
          <w:b/>
          <w:color w:val="000000"/>
          <w:sz w:val="28"/>
          <w:szCs w:val="28"/>
        </w:rPr>
        <w:t>附件五</w:t>
      </w:r>
    </w:p>
    <w:p>
      <w:pPr>
        <w:adjustRightInd w:val="0"/>
        <w:snapToGrid w:val="0"/>
        <w:spacing w:line="300" w:lineRule="auto"/>
        <w:jc w:val="center"/>
        <w:rPr>
          <w:rFonts w:ascii="宋体" w:hAnsi="宋体"/>
          <w:b/>
          <w:color w:val="000000"/>
          <w:sz w:val="28"/>
          <w:szCs w:val="28"/>
        </w:rPr>
      </w:pPr>
      <w:r>
        <w:rPr>
          <w:rFonts w:hint="eastAsia" w:ascii="宋体" w:hAnsi="宋体"/>
          <w:b/>
          <w:color w:val="000000"/>
          <w:sz w:val="28"/>
          <w:szCs w:val="28"/>
        </w:rPr>
        <w:t>法定代表人授权书</w:t>
      </w:r>
    </w:p>
    <w:p>
      <w:pPr>
        <w:adjustRightInd w:val="0"/>
        <w:snapToGrid w:val="0"/>
        <w:spacing w:line="520" w:lineRule="exact"/>
        <w:rPr>
          <w:rFonts w:ascii="宋体" w:hAnsi="宋体"/>
          <w:color w:val="000000"/>
          <w:sz w:val="28"/>
          <w:szCs w:val="28"/>
        </w:rPr>
      </w:pPr>
    </w:p>
    <w:p>
      <w:pPr>
        <w:spacing w:line="520" w:lineRule="exact"/>
        <w:rPr>
          <w:rFonts w:ascii="宋体" w:hAnsi="宋体"/>
          <w:color w:val="000000"/>
          <w:szCs w:val="21"/>
        </w:rPr>
      </w:pPr>
      <w:r>
        <w:rPr>
          <w:rFonts w:hint="eastAsia" w:ascii="宋体" w:hAnsi="宋体"/>
          <w:color w:val="000000"/>
          <w:szCs w:val="21"/>
          <w:u w:val="single"/>
        </w:rPr>
        <w:t>广西中吉银工程项目管理有限公司</w:t>
      </w:r>
      <w:r>
        <w:rPr>
          <w:rFonts w:hint="eastAsia" w:ascii="宋体" w:hAnsi="宋体"/>
          <w:color w:val="000000"/>
          <w:szCs w:val="21"/>
        </w:rPr>
        <w:t>：</w:t>
      </w:r>
    </w:p>
    <w:p>
      <w:pPr>
        <w:spacing w:line="520" w:lineRule="exact"/>
        <w:ind w:firstLine="420" w:firstLineChars="200"/>
        <w:rPr>
          <w:rFonts w:ascii="宋体" w:hAnsi="宋体"/>
          <w:color w:val="000000"/>
          <w:szCs w:val="21"/>
        </w:rPr>
      </w:pPr>
      <w:r>
        <w:rPr>
          <w:rFonts w:hint="eastAsia" w:ascii="宋体" w:hAnsi="宋体"/>
          <w:color w:val="000000"/>
          <w:szCs w:val="21"/>
        </w:rPr>
        <w:t>兹授权</w:t>
      </w:r>
      <w:r>
        <w:rPr>
          <w:rFonts w:hint="eastAsia" w:ascii="宋体" w:hAnsi="宋体"/>
          <w:color w:val="000000"/>
          <w:szCs w:val="21"/>
          <w:u w:val="single"/>
        </w:rPr>
        <w:t xml:space="preserve">      </w:t>
      </w:r>
      <w:r>
        <w:rPr>
          <w:rFonts w:hint="eastAsia" w:ascii="宋体" w:hAnsi="宋体"/>
          <w:color w:val="000000"/>
          <w:szCs w:val="21"/>
        </w:rPr>
        <w:t>同志为我公司参加贵单位组织的</w:t>
      </w:r>
      <w:r>
        <w:rPr>
          <w:rFonts w:hint="eastAsia" w:ascii="宋体" w:hAnsi="宋体"/>
          <w:color w:val="000000"/>
          <w:szCs w:val="18"/>
          <w:u w:val="single"/>
        </w:rPr>
        <w:t xml:space="preserve">             </w:t>
      </w:r>
      <w:r>
        <w:rPr>
          <w:rFonts w:hint="eastAsia" w:ascii="宋体" w:hAnsi="宋体"/>
          <w:color w:val="000000"/>
        </w:rPr>
        <w:t>项目(项目编号：</w:t>
      </w:r>
      <w:r>
        <w:rPr>
          <w:rFonts w:hint="eastAsia" w:ascii="宋体" w:hAnsi="宋体"/>
          <w:color w:val="000000"/>
          <w:szCs w:val="18"/>
          <w:u w:val="single"/>
        </w:rPr>
        <w:t xml:space="preserve">             </w:t>
      </w:r>
      <w:r>
        <w:rPr>
          <w:rFonts w:hint="eastAsia" w:ascii="宋体" w:hAnsi="宋体"/>
          <w:color w:val="000000"/>
        </w:rPr>
        <w:t>)</w:t>
      </w:r>
      <w:r>
        <w:rPr>
          <w:rFonts w:hint="eastAsia" w:ascii="宋体" w:hAnsi="宋体"/>
          <w:color w:val="000000"/>
          <w:szCs w:val="21"/>
        </w:rPr>
        <w:t>竞标活动的竞标代表人，全权代表我公司处理在该项目竞标活动中的一切事宜。代理期限从</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日起至</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 xml:space="preserve">日止。 </w:t>
      </w:r>
    </w:p>
    <w:p>
      <w:pPr>
        <w:spacing w:line="520" w:lineRule="exact"/>
        <w:rPr>
          <w:rFonts w:ascii="宋体" w:hAnsi="宋体"/>
          <w:color w:val="000000"/>
          <w:szCs w:val="21"/>
        </w:rPr>
      </w:pPr>
    </w:p>
    <w:p>
      <w:pPr>
        <w:spacing w:line="520" w:lineRule="exact"/>
        <w:rPr>
          <w:rFonts w:ascii="宋体" w:hAnsi="宋体"/>
          <w:color w:val="000000"/>
          <w:szCs w:val="21"/>
        </w:rPr>
      </w:pPr>
      <w:r>
        <w:rPr>
          <w:rFonts w:hint="eastAsia" w:ascii="宋体" w:hAnsi="宋体"/>
          <w:color w:val="000000"/>
          <w:szCs w:val="21"/>
        </w:rPr>
        <w:t>授权单位（盖章）：</w:t>
      </w:r>
      <w:r>
        <w:rPr>
          <w:rFonts w:hint="eastAsia" w:ascii="宋体" w:hAnsi="宋体"/>
          <w:color w:val="000000"/>
          <w:szCs w:val="21"/>
          <w:u w:val="single"/>
        </w:rPr>
        <w:t xml:space="preserve">                         </w:t>
      </w:r>
    </w:p>
    <w:p>
      <w:pPr>
        <w:spacing w:line="520" w:lineRule="exact"/>
        <w:rPr>
          <w:rFonts w:ascii="宋体" w:hAnsi="宋体"/>
          <w:color w:val="000000"/>
          <w:szCs w:val="21"/>
        </w:rPr>
      </w:pPr>
      <w:r>
        <w:rPr>
          <w:rFonts w:hint="eastAsia" w:ascii="宋体" w:hAnsi="宋体"/>
          <w:color w:val="000000"/>
          <w:szCs w:val="21"/>
        </w:rPr>
        <w:t>法定代表人（签字或签章）：</w:t>
      </w:r>
      <w:r>
        <w:rPr>
          <w:rFonts w:hint="eastAsia" w:ascii="宋体" w:hAnsi="宋体"/>
          <w:color w:val="000000"/>
          <w:szCs w:val="21"/>
          <w:u w:val="single"/>
        </w:rPr>
        <w:t xml:space="preserve">                 </w:t>
      </w:r>
    </w:p>
    <w:p>
      <w:pPr>
        <w:spacing w:line="520" w:lineRule="exact"/>
        <w:rPr>
          <w:rFonts w:ascii="宋体" w:hAnsi="宋体"/>
          <w:color w:val="000000"/>
          <w:szCs w:val="21"/>
        </w:rPr>
      </w:pPr>
      <w:r>
        <w:rPr>
          <w:rFonts w:hint="eastAsia" w:ascii="宋体" w:hAnsi="宋体"/>
          <w:color w:val="000000"/>
          <w:szCs w:val="21"/>
        </w:rPr>
        <w:t>签发日期：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spacing w:line="520" w:lineRule="exact"/>
        <w:rPr>
          <w:rFonts w:ascii="宋体" w:hAnsi="宋体"/>
          <w:color w:val="000000"/>
          <w:szCs w:val="21"/>
        </w:rPr>
      </w:pPr>
    </w:p>
    <w:p>
      <w:pPr>
        <w:spacing w:line="520" w:lineRule="exact"/>
        <w:ind w:firstLine="420" w:firstLineChars="200"/>
        <w:rPr>
          <w:rFonts w:ascii="宋体" w:hAnsi="宋体"/>
          <w:color w:val="000000"/>
          <w:szCs w:val="21"/>
        </w:rPr>
      </w:pPr>
      <w:r>
        <w:rPr>
          <w:rFonts w:hint="eastAsia" w:ascii="宋体" w:hAnsi="宋体"/>
          <w:color w:val="000000"/>
          <w:szCs w:val="21"/>
        </w:rPr>
        <w:t>附：代理人工作单位：</w:t>
      </w:r>
      <w:r>
        <w:rPr>
          <w:rFonts w:hint="eastAsia" w:ascii="宋体" w:hAnsi="宋体"/>
          <w:color w:val="000000"/>
          <w:szCs w:val="21"/>
          <w:u w:val="single"/>
        </w:rPr>
        <w:t xml:space="preserve">                     </w:t>
      </w:r>
    </w:p>
    <w:p>
      <w:pPr>
        <w:spacing w:line="520" w:lineRule="exact"/>
        <w:ind w:firstLine="420" w:firstLineChars="200"/>
        <w:rPr>
          <w:rFonts w:ascii="宋体" w:hAnsi="宋体"/>
          <w:color w:val="000000"/>
          <w:szCs w:val="21"/>
        </w:rPr>
      </w:pPr>
      <w:r>
        <w:rPr>
          <w:rFonts w:hint="eastAsia" w:ascii="宋体" w:hAnsi="宋体"/>
          <w:color w:val="000000"/>
          <w:szCs w:val="21"/>
        </w:rPr>
        <w:t>职务：</w:t>
      </w:r>
      <w:r>
        <w:rPr>
          <w:rFonts w:hint="eastAsia" w:ascii="宋体" w:hAnsi="宋体"/>
          <w:color w:val="000000"/>
          <w:szCs w:val="21"/>
          <w:u w:val="single"/>
        </w:rPr>
        <w:t xml:space="preserve">                    </w:t>
      </w:r>
      <w:r>
        <w:rPr>
          <w:rFonts w:hint="eastAsia" w:ascii="宋体" w:hAnsi="宋体"/>
          <w:color w:val="000000"/>
          <w:szCs w:val="21"/>
        </w:rPr>
        <w:t xml:space="preserve">      性别：</w:t>
      </w:r>
      <w:r>
        <w:rPr>
          <w:rFonts w:hint="eastAsia" w:ascii="宋体" w:hAnsi="宋体"/>
          <w:color w:val="000000"/>
          <w:szCs w:val="21"/>
          <w:u w:val="single"/>
        </w:rPr>
        <w:t xml:space="preserve">    </w:t>
      </w:r>
    </w:p>
    <w:p>
      <w:pPr>
        <w:adjustRightInd w:val="0"/>
        <w:snapToGrid w:val="0"/>
        <w:spacing w:line="520" w:lineRule="exact"/>
        <w:ind w:firstLine="420" w:firstLineChars="200"/>
        <w:rPr>
          <w:rFonts w:ascii="宋体" w:hAnsi="宋体"/>
          <w:color w:val="000000"/>
          <w:szCs w:val="21"/>
          <w:u w:val="single"/>
        </w:rPr>
      </w:pPr>
      <w:r>
        <w:rPr>
          <w:rFonts w:hint="eastAsia" w:ascii="宋体" w:hAnsi="宋体"/>
          <w:color w:val="000000"/>
          <w:szCs w:val="21"/>
        </w:rPr>
        <w:t>身份证号码：</w:t>
      </w:r>
      <w:r>
        <w:rPr>
          <w:rFonts w:hint="eastAsia" w:ascii="宋体" w:hAnsi="宋体"/>
          <w:color w:val="000000"/>
          <w:szCs w:val="21"/>
          <w:u w:val="single"/>
        </w:rPr>
        <w:t xml:space="preserve">                              </w:t>
      </w:r>
    </w:p>
    <w:p>
      <w:pPr>
        <w:adjustRightInd w:val="0"/>
        <w:snapToGrid w:val="0"/>
        <w:spacing w:line="520" w:lineRule="exact"/>
        <w:ind w:firstLine="420" w:firstLineChars="200"/>
        <w:rPr>
          <w:rFonts w:ascii="宋体" w:hAnsi="宋体"/>
          <w:color w:val="000000"/>
          <w:szCs w:val="21"/>
          <w:u w:val="single"/>
        </w:rPr>
      </w:pPr>
    </w:p>
    <w:p>
      <w:pPr>
        <w:adjustRightInd w:val="0"/>
        <w:snapToGrid w:val="0"/>
        <w:spacing w:line="520" w:lineRule="exact"/>
        <w:ind w:firstLine="420" w:firstLineChars="200"/>
        <w:rPr>
          <w:rFonts w:ascii="宋体" w:hAnsi="宋体"/>
          <w:color w:val="000000"/>
          <w:szCs w:val="21"/>
          <w:u w:val="single"/>
        </w:rPr>
      </w:pPr>
    </w:p>
    <w:tbl>
      <w:tblPr>
        <w:tblStyle w:val="14"/>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8912" w:type="dxa"/>
          </w:tcPr>
          <w:p>
            <w:pPr>
              <w:spacing w:line="300" w:lineRule="auto"/>
              <w:rPr>
                <w:rFonts w:ascii="宋体" w:hAnsi="宋体"/>
                <w:color w:val="000000"/>
                <w:szCs w:val="21"/>
              </w:rPr>
            </w:pPr>
            <w:r>
              <w:rPr>
                <w:rFonts w:hint="eastAsia" w:ascii="宋体" w:hAnsi="宋体"/>
                <w:color w:val="000000"/>
                <w:szCs w:val="21"/>
              </w:rPr>
              <w:t>粘贴授权人身份证（正反面复印件）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8912" w:type="dxa"/>
          </w:tcPr>
          <w:p>
            <w:pPr>
              <w:spacing w:line="300" w:lineRule="auto"/>
              <w:rPr>
                <w:rFonts w:ascii="宋体" w:hAnsi="宋体"/>
                <w:color w:val="000000"/>
                <w:szCs w:val="21"/>
              </w:rPr>
            </w:pPr>
            <w:r>
              <w:rPr>
                <w:rFonts w:hint="eastAsia" w:ascii="宋体" w:hAnsi="宋体"/>
                <w:color w:val="000000"/>
                <w:szCs w:val="21"/>
              </w:rPr>
              <w:t>粘贴法定代表人身份证（正反面复印件）</w:t>
            </w:r>
          </w:p>
        </w:tc>
      </w:tr>
    </w:tbl>
    <w:p>
      <w:pPr>
        <w:autoSpaceDE w:val="0"/>
        <w:autoSpaceDN w:val="0"/>
        <w:spacing w:line="300" w:lineRule="auto"/>
        <w:ind w:left="480" w:hanging="480"/>
        <w:rPr>
          <w:rFonts w:ascii="宋体" w:hAnsi="宋体"/>
          <w:color w:val="000000"/>
          <w:szCs w:val="21"/>
        </w:rPr>
      </w:pPr>
    </w:p>
    <w:p>
      <w:pPr>
        <w:rPr>
          <w:rFonts w:ascii="宋体" w:hAnsi="宋体"/>
          <w:b/>
          <w:color w:val="000000"/>
          <w:sz w:val="28"/>
          <w:szCs w:val="28"/>
        </w:rPr>
      </w:pPr>
      <w:r>
        <w:rPr>
          <w:rFonts w:hint="eastAsia" w:ascii="宋体" w:hAnsi="宋体"/>
          <w:b/>
          <w:color w:val="000000"/>
          <w:sz w:val="28"/>
          <w:szCs w:val="28"/>
        </w:rPr>
        <w:t>附件六</w:t>
      </w:r>
    </w:p>
    <w:p>
      <w:pPr>
        <w:pStyle w:val="7"/>
        <w:spacing w:line="420" w:lineRule="exact"/>
        <w:jc w:val="center"/>
        <w:rPr>
          <w:rFonts w:hAnsi="宋体" w:cs="宋体"/>
          <w:b/>
          <w:color w:val="000000"/>
          <w:sz w:val="28"/>
          <w:szCs w:val="28"/>
        </w:rPr>
      </w:pPr>
      <w:r>
        <w:rPr>
          <w:rFonts w:hint="eastAsia" w:hAnsi="宋体" w:cs="宋体"/>
          <w:b/>
          <w:color w:val="000000"/>
          <w:sz w:val="28"/>
          <w:szCs w:val="28"/>
        </w:rPr>
        <w:t>信用声明函</w:t>
      </w:r>
    </w:p>
    <w:p>
      <w:pPr>
        <w:pStyle w:val="7"/>
        <w:spacing w:line="420" w:lineRule="exact"/>
        <w:jc w:val="center"/>
        <w:rPr>
          <w:rFonts w:hAnsi="宋体" w:cs="宋体"/>
          <w:b/>
          <w:color w:val="000000"/>
          <w:sz w:val="30"/>
          <w:szCs w:val="30"/>
        </w:rPr>
      </w:pPr>
    </w:p>
    <w:p>
      <w:pPr>
        <w:tabs>
          <w:tab w:val="left" w:pos="7200"/>
        </w:tabs>
        <w:spacing w:line="600" w:lineRule="exact"/>
        <w:rPr>
          <w:rFonts w:ascii="宋体" w:hAnsi="宋体" w:cs="宋体"/>
          <w:color w:val="000000"/>
        </w:rPr>
      </w:pPr>
      <w:r>
        <w:rPr>
          <w:rFonts w:hint="eastAsia" w:ascii="宋体" w:hAnsi="宋体" w:cs="宋体"/>
          <w:color w:val="000000"/>
        </w:rPr>
        <w:t>致：</w:t>
      </w:r>
      <w:r>
        <w:rPr>
          <w:rFonts w:hint="eastAsia" w:ascii="宋体" w:hAnsi="宋体" w:cs="宋体"/>
          <w:color w:val="000000"/>
          <w:u w:val="single"/>
        </w:rPr>
        <w:t xml:space="preserve">                      </w:t>
      </w:r>
      <w:r>
        <w:rPr>
          <w:rFonts w:hint="eastAsia" w:ascii="宋体" w:hAnsi="宋体" w:cs="宋体"/>
          <w:color w:val="000000"/>
        </w:rPr>
        <w:t>（采购代理机构名称）</w:t>
      </w:r>
    </w:p>
    <w:p>
      <w:pPr>
        <w:tabs>
          <w:tab w:val="left" w:pos="7200"/>
        </w:tabs>
        <w:spacing w:line="600" w:lineRule="exact"/>
        <w:ind w:firstLine="420" w:firstLineChars="200"/>
        <w:jc w:val="left"/>
        <w:rPr>
          <w:rFonts w:ascii="宋体" w:hAnsi="宋体" w:cs="宋体"/>
          <w:color w:val="000000"/>
        </w:rPr>
      </w:pPr>
    </w:p>
    <w:p>
      <w:pPr>
        <w:tabs>
          <w:tab w:val="left" w:pos="7200"/>
        </w:tabs>
        <w:spacing w:line="600" w:lineRule="exact"/>
        <w:ind w:firstLine="420" w:firstLineChars="200"/>
        <w:jc w:val="left"/>
        <w:rPr>
          <w:rFonts w:ascii="宋体" w:hAnsi="宋体" w:cs="宋体"/>
          <w:color w:val="000000"/>
        </w:rPr>
      </w:pPr>
      <w:r>
        <w:rPr>
          <w:rFonts w:hint="eastAsia" w:ascii="宋体" w:hAnsi="宋体" w:cs="宋体"/>
          <w:color w:val="000000"/>
        </w:rPr>
        <w:t>我方愿意参加贵方组织的</w:t>
      </w:r>
      <w:r>
        <w:rPr>
          <w:rFonts w:hint="eastAsia" w:ascii="宋体" w:hAnsi="宋体" w:cs="宋体"/>
          <w:color w:val="000000"/>
          <w:u w:val="single"/>
        </w:rPr>
        <w:t xml:space="preserve">     (项目名称)        </w:t>
      </w:r>
      <w:r>
        <w:rPr>
          <w:rFonts w:hint="eastAsia" w:ascii="宋体" w:hAnsi="宋体" w:cs="宋体"/>
          <w:color w:val="000000"/>
        </w:rPr>
        <w:t>（项目编号：</w:t>
      </w:r>
      <w:r>
        <w:rPr>
          <w:rFonts w:hint="eastAsia" w:ascii="宋体" w:hAnsi="宋体" w:cs="宋体"/>
          <w:color w:val="000000"/>
          <w:u w:val="single"/>
        </w:rPr>
        <w:t xml:space="preserve">          </w:t>
      </w:r>
      <w:r>
        <w:rPr>
          <w:rFonts w:hint="eastAsia" w:ascii="宋体" w:hAnsi="宋体" w:cs="宋体"/>
          <w:color w:val="000000"/>
        </w:rPr>
        <w:t>）项目的竞标，为便于贵方公正、择优地确定成交供应商及其竞标服务成果和服务，我方就本次竞标有关事项郑重声明如下：</w:t>
      </w:r>
    </w:p>
    <w:p>
      <w:pPr>
        <w:tabs>
          <w:tab w:val="left" w:pos="7200"/>
        </w:tabs>
        <w:spacing w:line="600" w:lineRule="exact"/>
        <w:ind w:firstLine="420" w:firstLineChars="200"/>
        <w:rPr>
          <w:rFonts w:ascii="宋体" w:hAnsi="宋体" w:cs="宋体"/>
          <w:color w:val="000000"/>
          <w:u w:val="single"/>
        </w:rPr>
      </w:pPr>
      <w:r>
        <w:rPr>
          <w:rFonts w:hint="eastAsia" w:ascii="宋体" w:hAnsi="宋体" w:cs="宋体"/>
          <w:color w:val="000000"/>
        </w:rPr>
        <w:t>1、经查询，在规定的查询时间内，“信用中国”和“中国政府采购网”网站我方未被列入失信被执行人、重大税收违法案件当事人名单、政府采购严重违法失信行为记录名单。</w:t>
      </w:r>
    </w:p>
    <w:p>
      <w:pPr>
        <w:tabs>
          <w:tab w:val="left" w:pos="7200"/>
        </w:tabs>
        <w:spacing w:line="600" w:lineRule="exact"/>
        <w:ind w:firstLine="420" w:firstLineChars="200"/>
        <w:rPr>
          <w:rFonts w:ascii="宋体" w:hAnsi="宋体" w:cs="宋体"/>
          <w:color w:val="000000"/>
        </w:rPr>
      </w:pPr>
      <w:r>
        <w:rPr>
          <w:rFonts w:hint="eastAsia" w:ascii="宋体" w:hAnsi="宋体" w:cs="宋体"/>
          <w:color w:val="000000"/>
        </w:rPr>
        <w:t>2、以上事项如有虚假或隐瞒，我方愿意承担一切后果，并不再寻求任何旨在减轻或免除法律责任的辩解。</w:t>
      </w:r>
    </w:p>
    <w:p>
      <w:pPr>
        <w:tabs>
          <w:tab w:val="left" w:pos="7200"/>
        </w:tabs>
        <w:spacing w:line="600" w:lineRule="exact"/>
        <w:rPr>
          <w:rFonts w:ascii="宋体" w:hAnsi="宋体" w:cs="宋体"/>
          <w:color w:val="000000"/>
        </w:rPr>
      </w:pPr>
      <w:r>
        <w:rPr>
          <w:rFonts w:hint="eastAsia" w:ascii="宋体" w:hAnsi="宋体" w:cs="宋体"/>
          <w:color w:val="000000"/>
        </w:rPr>
        <w:t>说明：</w:t>
      </w:r>
    </w:p>
    <w:p>
      <w:pPr>
        <w:spacing w:line="600" w:lineRule="exact"/>
        <w:ind w:firstLine="420" w:firstLineChars="200"/>
        <w:jc w:val="left"/>
        <w:rPr>
          <w:rFonts w:ascii="宋体" w:hAnsi="宋体" w:cs="宋体"/>
          <w:color w:val="000000"/>
        </w:rPr>
      </w:pPr>
      <w:r>
        <w:rPr>
          <w:rFonts w:hint="eastAsia" w:ascii="宋体" w:hAnsi="宋体" w:cs="宋体"/>
          <w:color w:val="000000"/>
        </w:rPr>
        <w:t>1、供应商应当通过 “信用中国”（www.creditchina.gov.cn）和“中国政府采购网”网站（www.ccgp.gov.cn）查询供应商相关主体的信用记录。查询时间为本项目竞标截止时间前5日至竞标截止时间中任意一天。对列入失信被执行人、重大税收违法案件当事人名单、政府采购严重违法失信行为记录名单的供应商，将被拒绝参与本项目政府采购活动。</w:t>
      </w:r>
    </w:p>
    <w:p>
      <w:pPr>
        <w:spacing w:line="600" w:lineRule="exact"/>
        <w:ind w:firstLine="420" w:firstLineChars="200"/>
        <w:jc w:val="left"/>
        <w:rPr>
          <w:rFonts w:ascii="宋体" w:hAnsi="宋体" w:cs="宋体"/>
          <w:color w:val="000000"/>
        </w:rPr>
      </w:pPr>
      <w:r>
        <w:rPr>
          <w:rFonts w:hint="eastAsia" w:ascii="宋体" w:hAnsi="宋体" w:cs="宋体"/>
          <w:color w:val="000000"/>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7"/>
        <w:spacing w:line="500" w:lineRule="exact"/>
        <w:rPr>
          <w:rFonts w:hAnsi="宋体" w:cs="宋体"/>
          <w:color w:val="000000"/>
          <w:kern w:val="2"/>
          <w:sz w:val="21"/>
          <w:szCs w:val="24"/>
        </w:rPr>
      </w:pPr>
    </w:p>
    <w:p>
      <w:pPr>
        <w:pStyle w:val="7"/>
        <w:spacing w:line="500" w:lineRule="exact"/>
        <w:ind w:firstLine="2911" w:firstLineChars="1450"/>
        <w:rPr>
          <w:rFonts w:hAnsi="宋体"/>
          <w:color w:val="000000"/>
          <w:sz w:val="21"/>
          <w:szCs w:val="21"/>
          <w:u w:val="single"/>
        </w:rPr>
      </w:pPr>
      <w:r>
        <w:rPr>
          <w:rFonts w:hint="eastAsia" w:hAnsi="宋体" w:cs="宋体"/>
          <w:b/>
          <w:color w:val="000000"/>
        </w:rPr>
        <w:t xml:space="preserve">   </w:t>
      </w:r>
      <w:r>
        <w:rPr>
          <w:rFonts w:hint="eastAsia" w:hAnsi="宋体" w:cs="宋体"/>
          <w:b/>
          <w:color w:val="000000"/>
          <w:sz w:val="21"/>
          <w:szCs w:val="21"/>
        </w:rPr>
        <w:t xml:space="preserve"> </w:t>
      </w:r>
      <w:r>
        <w:rPr>
          <w:rFonts w:hint="eastAsia" w:hAnsi="宋体"/>
          <w:color w:val="000000"/>
          <w:sz w:val="21"/>
          <w:szCs w:val="21"/>
        </w:rPr>
        <w:t>法定代表人或法定代表人授权代表（签字）：</w:t>
      </w:r>
      <w:r>
        <w:rPr>
          <w:rFonts w:hint="eastAsia" w:hAnsi="宋体"/>
          <w:color w:val="000000"/>
          <w:sz w:val="21"/>
          <w:szCs w:val="21"/>
          <w:u w:val="single"/>
        </w:rPr>
        <w:t xml:space="preserve">              </w:t>
      </w:r>
    </w:p>
    <w:p>
      <w:pPr>
        <w:pStyle w:val="7"/>
        <w:spacing w:line="500" w:lineRule="exact"/>
        <w:ind w:firstLine="3465" w:firstLineChars="1650"/>
        <w:rPr>
          <w:rFonts w:hAnsi="宋体"/>
          <w:color w:val="000000"/>
          <w:sz w:val="21"/>
          <w:szCs w:val="21"/>
          <w:u w:val="single"/>
        </w:rPr>
      </w:pPr>
      <w:r>
        <w:rPr>
          <w:rFonts w:hint="eastAsia" w:hAnsi="宋体"/>
          <w:color w:val="000000"/>
          <w:sz w:val="21"/>
          <w:szCs w:val="21"/>
        </w:rPr>
        <w:t>谈判供应商名称（签章）：</w:t>
      </w:r>
      <w:r>
        <w:rPr>
          <w:rFonts w:hint="eastAsia" w:hAnsi="宋体"/>
          <w:color w:val="000000"/>
          <w:sz w:val="21"/>
          <w:szCs w:val="21"/>
          <w:u w:val="single"/>
        </w:rPr>
        <w:t xml:space="preserve">                              </w:t>
      </w:r>
    </w:p>
    <w:p>
      <w:pPr>
        <w:pStyle w:val="7"/>
        <w:spacing w:line="360" w:lineRule="auto"/>
        <w:ind w:firstLine="3250" w:firstLineChars="1300"/>
        <w:rPr>
          <w:rFonts w:hAnsi="宋体"/>
          <w:b/>
          <w:color w:val="000000"/>
          <w:sz w:val="28"/>
          <w:szCs w:val="28"/>
        </w:rPr>
      </w:pPr>
      <w:r>
        <w:rPr>
          <w:rFonts w:hint="eastAsia" w:hAnsi="宋体"/>
          <w:color w:val="000000"/>
          <w:spacing w:val="20"/>
          <w:sz w:val="21"/>
          <w:szCs w:val="21"/>
        </w:rPr>
        <w:t xml:space="preserve">  日  期：</w:t>
      </w:r>
      <w:r>
        <w:rPr>
          <w:rFonts w:hint="eastAsia" w:hAnsi="宋体"/>
          <w:color w:val="000000"/>
          <w:sz w:val="21"/>
          <w:szCs w:val="21"/>
          <w:u w:val="single"/>
        </w:rPr>
        <w:t xml:space="preserve">      </w:t>
      </w:r>
      <w:r>
        <w:rPr>
          <w:rFonts w:hint="eastAsia" w:hAnsi="宋体"/>
          <w:color w:val="000000"/>
          <w:sz w:val="21"/>
          <w:szCs w:val="21"/>
        </w:rPr>
        <w:t>年</w:t>
      </w:r>
      <w:r>
        <w:rPr>
          <w:rFonts w:hint="eastAsia" w:hAnsi="宋体"/>
          <w:color w:val="000000"/>
          <w:sz w:val="21"/>
          <w:szCs w:val="21"/>
          <w:u w:val="single"/>
        </w:rPr>
        <w:t xml:space="preserve">   </w:t>
      </w:r>
      <w:r>
        <w:rPr>
          <w:rFonts w:hint="eastAsia" w:hAnsi="宋体"/>
          <w:color w:val="000000"/>
          <w:sz w:val="21"/>
          <w:szCs w:val="21"/>
        </w:rPr>
        <w:t>月</w:t>
      </w:r>
      <w:r>
        <w:rPr>
          <w:rFonts w:hint="eastAsia" w:hAnsi="宋体"/>
          <w:color w:val="000000"/>
          <w:sz w:val="21"/>
          <w:szCs w:val="21"/>
          <w:u w:val="single"/>
        </w:rPr>
        <w:t xml:space="preserve">   </w:t>
      </w:r>
      <w:r>
        <w:rPr>
          <w:rFonts w:hint="eastAsia" w:hAnsi="宋体"/>
          <w:color w:val="000000"/>
          <w:sz w:val="21"/>
          <w:szCs w:val="21"/>
        </w:rPr>
        <w:t>日</w:t>
      </w:r>
    </w:p>
    <w:p>
      <w:pPr>
        <w:rPr>
          <w:rFonts w:ascii="宋体" w:hAnsi="宋体"/>
          <w:b/>
          <w:bCs/>
          <w:color w:val="000000"/>
          <w:szCs w:val="21"/>
        </w:rPr>
      </w:pPr>
      <w:r>
        <w:rPr>
          <w:rFonts w:hint="eastAsia" w:ascii="宋体" w:hAnsi="宋体"/>
          <w:b/>
          <w:color w:val="000000"/>
          <w:sz w:val="28"/>
          <w:szCs w:val="28"/>
        </w:rPr>
        <w:t>附件七</w:t>
      </w:r>
    </w:p>
    <w:p>
      <w:pPr>
        <w:rPr>
          <w:rFonts w:ascii="宋体" w:hAnsi="宋体"/>
          <w:b/>
          <w:bCs/>
          <w:color w:val="000000"/>
          <w:szCs w:val="21"/>
        </w:rPr>
      </w:pPr>
    </w:p>
    <w:p>
      <w:pPr>
        <w:spacing w:line="588" w:lineRule="exact"/>
        <w:jc w:val="center"/>
        <w:rPr>
          <w:rFonts w:ascii="宋体" w:hAnsi="宋体"/>
          <w:b/>
          <w:color w:val="000000"/>
          <w:spacing w:val="6"/>
          <w:sz w:val="32"/>
          <w:szCs w:val="32"/>
        </w:rPr>
      </w:pPr>
      <w:r>
        <w:rPr>
          <w:rFonts w:hint="eastAsia" w:ascii="宋体" w:hAnsi="宋体"/>
          <w:b/>
          <w:color w:val="000000"/>
          <w:spacing w:val="6"/>
          <w:sz w:val="32"/>
          <w:szCs w:val="32"/>
        </w:rPr>
        <w:t>中小企业声明函</w:t>
      </w:r>
    </w:p>
    <w:p>
      <w:pPr>
        <w:spacing w:line="588" w:lineRule="exact"/>
        <w:rPr>
          <w:rFonts w:ascii="宋体" w:hAnsi="宋体"/>
          <w:b/>
          <w:color w:val="000000"/>
          <w:spacing w:val="6"/>
          <w:sz w:val="30"/>
          <w:szCs w:val="30"/>
        </w:rPr>
      </w:pPr>
    </w:p>
    <w:p>
      <w:pPr>
        <w:spacing w:line="588" w:lineRule="exact"/>
        <w:ind w:firstLine="444" w:firstLineChars="200"/>
        <w:rPr>
          <w:rFonts w:ascii="宋体" w:hAnsi="宋体"/>
          <w:color w:val="000000"/>
          <w:spacing w:val="6"/>
          <w:szCs w:val="21"/>
        </w:rPr>
      </w:pPr>
      <w:r>
        <w:rPr>
          <w:rFonts w:hint="eastAsia" w:ascii="宋体" w:hAnsi="宋体"/>
          <w:color w:val="000000"/>
          <w:spacing w:val="6"/>
          <w:szCs w:val="21"/>
        </w:rPr>
        <w:t>本公司郑重声明，根据《政府采购促进中小企业发展暂行办法》（财库[2011]181号）的规定，本公司为</w:t>
      </w:r>
      <w:bookmarkStart w:id="118" w:name="OLE_LINK5"/>
      <w:r>
        <w:rPr>
          <w:rFonts w:hint="eastAsia" w:ascii="宋体" w:hAnsi="宋体"/>
          <w:color w:val="000000"/>
          <w:spacing w:val="6"/>
          <w:szCs w:val="21"/>
          <w:u w:val="single"/>
        </w:rPr>
        <w:t xml:space="preserve">                 </w:t>
      </w:r>
      <w:r>
        <w:rPr>
          <w:rFonts w:hint="eastAsia" w:ascii="宋体" w:hAnsi="宋体"/>
          <w:color w:val="000000"/>
          <w:spacing w:val="6"/>
          <w:szCs w:val="21"/>
        </w:rPr>
        <w:t>（请填写：中型、小型、微型）企业</w:t>
      </w:r>
      <w:bookmarkEnd w:id="118"/>
      <w:r>
        <w:rPr>
          <w:rFonts w:hint="eastAsia" w:ascii="宋体" w:hAnsi="宋体"/>
          <w:color w:val="000000"/>
          <w:spacing w:val="6"/>
          <w:szCs w:val="21"/>
        </w:rPr>
        <w:t>。即，本公司同时满足以下条件：</w:t>
      </w:r>
    </w:p>
    <w:p>
      <w:pPr>
        <w:spacing w:line="588" w:lineRule="exact"/>
        <w:ind w:firstLine="444" w:firstLineChars="200"/>
        <w:rPr>
          <w:rFonts w:ascii="宋体" w:hAnsi="宋体"/>
          <w:color w:val="000000"/>
          <w:spacing w:val="6"/>
          <w:szCs w:val="21"/>
        </w:rPr>
      </w:pPr>
      <w:r>
        <w:rPr>
          <w:rFonts w:hint="eastAsia" w:ascii="宋体" w:hAnsi="宋体"/>
          <w:color w:val="000000"/>
          <w:spacing w:val="6"/>
          <w:szCs w:val="21"/>
        </w:rPr>
        <w:t>1、根据《工业和信息化部、国家统计局、国家发展和改革委员会、财政部关于印发中小企业划型标准规定的通知》（工信部联企业[2011]300号）规定的划分标准，本公司为</w:t>
      </w:r>
      <w:r>
        <w:rPr>
          <w:rFonts w:hint="eastAsia" w:ascii="宋体" w:hAnsi="宋体"/>
          <w:color w:val="000000"/>
          <w:spacing w:val="6"/>
          <w:szCs w:val="21"/>
          <w:u w:val="single"/>
        </w:rPr>
        <w:t xml:space="preserve">        </w:t>
      </w:r>
      <w:r>
        <w:rPr>
          <w:rFonts w:hint="eastAsia" w:ascii="宋体" w:hAnsi="宋体"/>
          <w:color w:val="000000"/>
          <w:spacing w:val="6"/>
          <w:szCs w:val="21"/>
        </w:rPr>
        <w:t>（请填写：中型、小型、微型）企业。</w:t>
      </w:r>
    </w:p>
    <w:p>
      <w:pPr>
        <w:spacing w:line="588" w:lineRule="exact"/>
        <w:ind w:firstLine="444" w:firstLineChars="200"/>
        <w:rPr>
          <w:rFonts w:ascii="宋体" w:hAnsi="宋体"/>
          <w:color w:val="000000"/>
          <w:spacing w:val="6"/>
          <w:szCs w:val="21"/>
        </w:rPr>
      </w:pPr>
      <w:r>
        <w:rPr>
          <w:rFonts w:hint="eastAsia" w:ascii="宋体" w:hAnsi="宋体"/>
          <w:color w:val="000000"/>
          <w:spacing w:val="6"/>
          <w:szCs w:val="21"/>
        </w:rPr>
        <w:t>2、本公司参加</w:t>
      </w:r>
      <w:r>
        <w:rPr>
          <w:rFonts w:hint="eastAsia" w:ascii="宋体" w:hAnsi="宋体"/>
          <w:color w:val="000000"/>
          <w:spacing w:val="6"/>
          <w:szCs w:val="21"/>
          <w:u w:val="single"/>
        </w:rPr>
        <w:t xml:space="preserve">           </w:t>
      </w:r>
      <w:r>
        <w:rPr>
          <w:rFonts w:hint="eastAsia" w:ascii="宋体" w:hAnsi="宋体"/>
          <w:color w:val="000000"/>
          <w:spacing w:val="6"/>
          <w:szCs w:val="21"/>
        </w:rPr>
        <w:t>单位的</w:t>
      </w:r>
      <w:r>
        <w:rPr>
          <w:rFonts w:hint="eastAsia" w:ascii="宋体" w:hAnsi="宋体"/>
          <w:color w:val="000000"/>
          <w:spacing w:val="6"/>
          <w:szCs w:val="21"/>
          <w:u w:val="single"/>
        </w:rPr>
        <w:t xml:space="preserve">          </w:t>
      </w:r>
      <w:r>
        <w:rPr>
          <w:rFonts w:hint="eastAsia" w:ascii="宋体" w:hAnsi="宋体"/>
          <w:color w:val="000000"/>
          <w:spacing w:val="6"/>
          <w:szCs w:val="21"/>
        </w:rPr>
        <w:t>项目采购活动提供本企业制造的货物，由本企业承担工程、提供服务，或者提供其他</w:t>
      </w:r>
      <w:r>
        <w:rPr>
          <w:rFonts w:hint="eastAsia" w:ascii="宋体" w:hAnsi="宋体"/>
          <w:color w:val="000000"/>
          <w:spacing w:val="6"/>
          <w:szCs w:val="21"/>
          <w:u w:val="single"/>
        </w:rPr>
        <w:t xml:space="preserve">            </w:t>
      </w:r>
      <w:r>
        <w:rPr>
          <w:rFonts w:hint="eastAsia" w:ascii="宋体" w:hAnsi="宋体"/>
          <w:color w:val="000000"/>
          <w:spacing w:val="6"/>
          <w:szCs w:val="21"/>
        </w:rPr>
        <w:t>（请填写：中型、小型、微型）企业制造的货物。本条所称货物不包括使用大型企业注册商标的货物。</w:t>
      </w:r>
    </w:p>
    <w:p>
      <w:pPr>
        <w:spacing w:line="588" w:lineRule="exact"/>
        <w:ind w:firstLine="444" w:firstLineChars="200"/>
        <w:rPr>
          <w:rFonts w:ascii="宋体" w:hAnsi="宋体"/>
          <w:color w:val="000000"/>
          <w:spacing w:val="6"/>
          <w:szCs w:val="21"/>
        </w:rPr>
      </w:pPr>
      <w:r>
        <w:rPr>
          <w:rFonts w:hint="eastAsia" w:ascii="宋体" w:hAnsi="宋体"/>
          <w:color w:val="000000"/>
          <w:spacing w:val="6"/>
          <w:szCs w:val="21"/>
        </w:rPr>
        <w:t>本公司对上述声明的真实性负责。如有虚假，将依法承担相应责任。</w:t>
      </w:r>
    </w:p>
    <w:p>
      <w:pPr>
        <w:spacing w:line="588" w:lineRule="exact"/>
        <w:ind w:firstLine="444" w:firstLineChars="200"/>
        <w:rPr>
          <w:rFonts w:ascii="宋体" w:hAnsi="宋体"/>
          <w:color w:val="000000"/>
          <w:spacing w:val="6"/>
          <w:szCs w:val="21"/>
        </w:rPr>
      </w:pPr>
    </w:p>
    <w:p>
      <w:pPr>
        <w:spacing w:line="588" w:lineRule="exact"/>
        <w:ind w:firstLine="444" w:firstLineChars="200"/>
        <w:rPr>
          <w:rFonts w:ascii="宋体" w:hAnsi="宋体"/>
          <w:color w:val="000000"/>
          <w:spacing w:val="6"/>
          <w:szCs w:val="21"/>
        </w:rPr>
      </w:pPr>
    </w:p>
    <w:p>
      <w:pPr>
        <w:tabs>
          <w:tab w:val="left" w:pos="4860"/>
        </w:tabs>
        <w:spacing w:line="588" w:lineRule="exact"/>
        <w:ind w:right="1560" w:firstLine="444" w:firstLineChars="200"/>
        <w:jc w:val="center"/>
        <w:rPr>
          <w:rFonts w:ascii="宋体" w:hAnsi="宋体"/>
          <w:color w:val="000000"/>
          <w:spacing w:val="6"/>
          <w:szCs w:val="21"/>
        </w:rPr>
      </w:pPr>
      <w:r>
        <w:rPr>
          <w:rFonts w:hint="eastAsia" w:ascii="宋体" w:hAnsi="宋体"/>
          <w:color w:val="000000"/>
          <w:spacing w:val="6"/>
          <w:szCs w:val="21"/>
        </w:rPr>
        <w:t xml:space="preserve">               企业名称（盖章）： </w:t>
      </w:r>
    </w:p>
    <w:p>
      <w:pPr>
        <w:tabs>
          <w:tab w:val="left" w:pos="4860"/>
        </w:tabs>
        <w:spacing w:line="588" w:lineRule="exact"/>
        <w:ind w:right="1560" w:firstLine="444" w:firstLineChars="200"/>
        <w:jc w:val="center"/>
        <w:rPr>
          <w:rFonts w:ascii="宋体" w:hAnsi="宋体"/>
          <w:color w:val="000000"/>
          <w:spacing w:val="6"/>
          <w:szCs w:val="21"/>
        </w:rPr>
      </w:pPr>
      <w:r>
        <w:rPr>
          <w:rFonts w:hint="eastAsia" w:ascii="宋体" w:hAnsi="宋体"/>
          <w:color w:val="000000"/>
          <w:spacing w:val="6"/>
          <w:szCs w:val="21"/>
        </w:rPr>
        <w:t xml:space="preserve">       日  期：               </w:t>
      </w:r>
    </w:p>
    <w:p>
      <w:pPr>
        <w:tabs>
          <w:tab w:val="left" w:pos="4860"/>
        </w:tabs>
        <w:spacing w:line="588" w:lineRule="exact"/>
        <w:ind w:right="1560" w:firstLine="444" w:firstLineChars="200"/>
        <w:jc w:val="center"/>
        <w:rPr>
          <w:rFonts w:ascii="宋体" w:hAnsi="宋体"/>
          <w:color w:val="000000"/>
          <w:spacing w:val="6"/>
          <w:szCs w:val="21"/>
        </w:rPr>
      </w:pPr>
      <w:r>
        <w:rPr>
          <w:rFonts w:hint="eastAsia" w:ascii="宋体" w:hAnsi="宋体"/>
          <w:color w:val="000000"/>
          <w:spacing w:val="6"/>
          <w:szCs w:val="21"/>
        </w:rPr>
        <w:t xml:space="preserve"> </w:t>
      </w:r>
    </w:p>
    <w:p>
      <w:pPr>
        <w:tabs>
          <w:tab w:val="left" w:pos="4860"/>
        </w:tabs>
        <w:spacing w:line="588" w:lineRule="exact"/>
        <w:ind w:right="1560" w:firstLine="444" w:firstLineChars="200"/>
        <w:jc w:val="center"/>
        <w:rPr>
          <w:rFonts w:ascii="宋体" w:hAnsi="宋体"/>
          <w:color w:val="000000"/>
          <w:spacing w:val="6"/>
          <w:szCs w:val="21"/>
        </w:rPr>
      </w:pPr>
    </w:p>
    <w:p>
      <w:pPr>
        <w:rPr>
          <w:rFonts w:ascii="宋体" w:hAnsi="宋体"/>
          <w:color w:val="000000"/>
          <w:spacing w:val="6"/>
          <w:szCs w:val="21"/>
        </w:rPr>
      </w:pPr>
    </w:p>
    <w:p>
      <w:pPr>
        <w:rPr>
          <w:rFonts w:ascii="宋体" w:hAnsi="宋体"/>
          <w:b/>
          <w:bCs/>
          <w:color w:val="000000"/>
          <w:szCs w:val="21"/>
        </w:rPr>
      </w:pPr>
      <w:r>
        <w:rPr>
          <w:rFonts w:ascii="宋体" w:hAnsi="宋体"/>
          <w:color w:val="000000"/>
          <w:szCs w:val="21"/>
        </w:rPr>
        <w:br w:type="page"/>
      </w:r>
      <w:r>
        <w:rPr>
          <w:rFonts w:hint="eastAsia" w:ascii="宋体" w:hAnsi="宋体"/>
          <w:b/>
          <w:color w:val="000000"/>
          <w:sz w:val="28"/>
          <w:szCs w:val="28"/>
        </w:rPr>
        <w:t>附件八</w:t>
      </w:r>
    </w:p>
    <w:p>
      <w:pPr>
        <w:widowControl/>
        <w:spacing w:before="100" w:beforeAutospacing="1" w:after="100" w:afterAutospacing="1" w:line="425" w:lineRule="atLeast"/>
        <w:jc w:val="center"/>
        <w:rPr>
          <w:rFonts w:ascii="宋体" w:hAnsi="宋体" w:cs="宋体"/>
          <w:color w:val="000000"/>
          <w:kern w:val="0"/>
          <w:sz w:val="28"/>
          <w:szCs w:val="28"/>
        </w:rPr>
      </w:pPr>
      <w:r>
        <w:rPr>
          <w:rFonts w:hint="eastAsia" w:ascii="宋体" w:hAnsi="宋体" w:cs="宋体"/>
          <w:color w:val="000000"/>
          <w:kern w:val="0"/>
          <w:sz w:val="24"/>
        </w:rPr>
        <w:t>　</w:t>
      </w:r>
      <w:r>
        <w:rPr>
          <w:rFonts w:hint="eastAsia" w:ascii="宋体" w:hAnsi="宋体" w:cs="宋体"/>
          <w:b/>
          <w:bCs/>
          <w:color w:val="000000"/>
          <w:kern w:val="0"/>
          <w:sz w:val="28"/>
          <w:szCs w:val="28"/>
        </w:rPr>
        <w:t>广西工业产品声明函</w:t>
      </w:r>
    </w:p>
    <w:p>
      <w:pPr>
        <w:widowControl/>
        <w:spacing w:before="100" w:beforeAutospacing="1" w:after="100" w:afterAutospacing="1" w:line="425" w:lineRule="atLeast"/>
        <w:jc w:val="left"/>
        <w:rPr>
          <w:rFonts w:ascii="宋体" w:hAnsi="宋体" w:cs="宋体"/>
          <w:color w:val="000000"/>
          <w:kern w:val="0"/>
          <w:szCs w:val="21"/>
        </w:rPr>
      </w:pPr>
      <w:r>
        <w:rPr>
          <w:rFonts w:hint="eastAsia" w:ascii="宋体" w:hAnsi="宋体" w:cs="宋体"/>
          <w:color w:val="000000"/>
          <w:kern w:val="0"/>
          <w:sz w:val="24"/>
        </w:rPr>
        <w:t>　　</w:t>
      </w:r>
      <w:r>
        <w:rPr>
          <w:rFonts w:hint="eastAsia" w:ascii="宋体" w:hAnsi="宋体" w:cs="宋体"/>
          <w:color w:val="000000"/>
          <w:kern w:val="0"/>
          <w:szCs w:val="21"/>
        </w:rPr>
        <w:t>本公司郑重声明，根据《招标采购促进广西工业产品产销对接实施细则》的规定，本公司在本次竞标/竞标中或者工程项目中提供的下述产品为广西工业产品，详情如下:</w:t>
      </w:r>
    </w:p>
    <w:tbl>
      <w:tblPr>
        <w:tblStyle w:val="14"/>
        <w:tblW w:w="0" w:type="auto"/>
        <w:jc w:val="center"/>
        <w:tblLayout w:type="fixed"/>
        <w:tblCellMar>
          <w:top w:w="0" w:type="dxa"/>
          <w:left w:w="0" w:type="dxa"/>
          <w:bottom w:w="0" w:type="dxa"/>
          <w:right w:w="0" w:type="dxa"/>
        </w:tblCellMar>
      </w:tblPr>
      <w:tblGrid>
        <w:gridCol w:w="865"/>
        <w:gridCol w:w="2015"/>
        <w:gridCol w:w="1609"/>
        <w:gridCol w:w="978"/>
        <w:gridCol w:w="2253"/>
        <w:gridCol w:w="1127"/>
        <w:gridCol w:w="792"/>
      </w:tblGrid>
      <w:tr>
        <w:tblPrEx>
          <w:tblCellMar>
            <w:top w:w="0" w:type="dxa"/>
            <w:left w:w="0" w:type="dxa"/>
            <w:bottom w:w="0" w:type="dxa"/>
            <w:right w:w="0" w:type="dxa"/>
          </w:tblCellMar>
        </w:tblPrEx>
        <w:trPr>
          <w:trHeight w:val="454" w:hRule="atLeast"/>
          <w:jc w:val="center"/>
        </w:trPr>
        <w:tc>
          <w:tcPr>
            <w:tcW w:w="865" w:type="dxa"/>
            <w:tcBorders>
              <w:top w:val="single" w:color="auto" w:sz="12" w:space="0"/>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序号</w:t>
            </w:r>
          </w:p>
        </w:tc>
        <w:tc>
          <w:tcPr>
            <w:tcW w:w="2015"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产品名称</w:t>
            </w:r>
          </w:p>
        </w:tc>
        <w:tc>
          <w:tcPr>
            <w:tcW w:w="1609"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型号和规格</w:t>
            </w:r>
          </w:p>
        </w:tc>
        <w:tc>
          <w:tcPr>
            <w:tcW w:w="978"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数量</w:t>
            </w:r>
          </w:p>
        </w:tc>
        <w:tc>
          <w:tcPr>
            <w:tcW w:w="2253"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制造厂商及原产地</w:t>
            </w:r>
          </w:p>
        </w:tc>
        <w:tc>
          <w:tcPr>
            <w:tcW w:w="1127"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竞标价</w:t>
            </w:r>
          </w:p>
        </w:tc>
        <w:tc>
          <w:tcPr>
            <w:tcW w:w="792" w:type="dxa"/>
            <w:tcBorders>
              <w:top w:val="single" w:color="auto" w:sz="12" w:space="0"/>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备注</w:t>
            </w:r>
          </w:p>
        </w:tc>
      </w:tr>
      <w:tr>
        <w:tblPrEx>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1</w:t>
            </w:r>
          </w:p>
        </w:tc>
        <w:tc>
          <w:tcPr>
            <w:tcW w:w="20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6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97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225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2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79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2</w:t>
            </w:r>
          </w:p>
        </w:tc>
        <w:tc>
          <w:tcPr>
            <w:tcW w:w="20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6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97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225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2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79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w:t>
            </w:r>
          </w:p>
        </w:tc>
        <w:tc>
          <w:tcPr>
            <w:tcW w:w="20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6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97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225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2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79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12" w:space="0"/>
              <w:right w:val="single" w:color="auto" w:sz="8" w:space="0"/>
            </w:tcBorders>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2015" w:type="dxa"/>
            <w:tcBorders>
              <w:top w:val="nil"/>
              <w:left w:val="nil"/>
              <w:bottom w:val="single" w:color="auto" w:sz="12" w:space="0"/>
              <w:right w:val="single" w:color="auto" w:sz="8" w:space="0"/>
            </w:tcBorders>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广西工业产品</w:t>
            </w:r>
          </w:p>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合计价格：</w:t>
            </w:r>
          </w:p>
        </w:tc>
        <w:tc>
          <w:tcPr>
            <w:tcW w:w="2587" w:type="dxa"/>
            <w:gridSpan w:val="2"/>
            <w:tcBorders>
              <w:top w:val="nil"/>
              <w:left w:val="nil"/>
              <w:bottom w:val="single" w:color="auto" w:sz="12" w:space="0"/>
              <w:right w:val="single" w:color="auto" w:sz="8" w:space="0"/>
            </w:tcBorders>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2253" w:type="dxa"/>
            <w:tcBorders>
              <w:top w:val="nil"/>
              <w:left w:val="nil"/>
              <w:bottom w:val="single" w:color="auto" w:sz="12"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占竞标总价比例：</w:t>
            </w:r>
          </w:p>
        </w:tc>
        <w:tc>
          <w:tcPr>
            <w:tcW w:w="1919" w:type="dxa"/>
            <w:gridSpan w:val="2"/>
            <w:tcBorders>
              <w:top w:val="nil"/>
              <w:left w:val="nil"/>
              <w:bottom w:val="single" w:color="auto" w:sz="12"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宋体" w:hAnsi="宋体" w:cs="宋体"/>
                <w:color w:val="000000"/>
                <w:kern w:val="0"/>
                <w:szCs w:val="21"/>
              </w:rPr>
              <w:t> </w:t>
            </w:r>
          </w:p>
        </w:tc>
      </w:tr>
    </w:tbl>
    <w:p>
      <w:pPr>
        <w:widowControl/>
        <w:spacing w:before="100" w:beforeAutospacing="1" w:after="100" w:afterAutospacing="1" w:line="425" w:lineRule="atLeast"/>
        <w:jc w:val="left"/>
        <w:rPr>
          <w:rFonts w:ascii="宋体" w:hAnsi="宋体" w:cs="宋体"/>
          <w:color w:val="000000"/>
          <w:kern w:val="0"/>
          <w:szCs w:val="21"/>
        </w:rPr>
      </w:pPr>
      <w:r>
        <w:rPr>
          <w:rFonts w:hint="eastAsia" w:ascii="宋体" w:hAnsi="宋体" w:cs="宋体"/>
          <w:color w:val="000000"/>
          <w:kern w:val="0"/>
          <w:szCs w:val="21"/>
        </w:rPr>
        <w:t>　　本公司对上述声明的真实性负责。如有虚假,将依法承担相应责任。</w:t>
      </w:r>
    </w:p>
    <w:p>
      <w:pPr>
        <w:widowControl/>
        <w:spacing w:before="100" w:beforeAutospacing="1" w:after="100" w:afterAutospacing="1" w:line="425" w:lineRule="atLeast"/>
        <w:jc w:val="left"/>
        <w:rPr>
          <w:rFonts w:ascii="宋体" w:hAnsi="宋体" w:cs="宋体"/>
          <w:color w:val="000000"/>
          <w:kern w:val="0"/>
          <w:sz w:val="24"/>
        </w:rPr>
      </w:pPr>
      <w:r>
        <w:rPr>
          <w:rFonts w:hint="eastAsia" w:ascii="宋体" w:hAnsi="宋体" w:cs="宋体"/>
          <w:color w:val="000000"/>
          <w:kern w:val="0"/>
          <w:sz w:val="24"/>
        </w:rPr>
        <w:t xml:space="preserve">                                                                        </w:t>
      </w:r>
    </w:p>
    <w:p>
      <w:pPr>
        <w:widowControl/>
        <w:spacing w:before="100" w:beforeAutospacing="1" w:after="100" w:afterAutospacing="1" w:line="425" w:lineRule="atLeast"/>
        <w:ind w:firstLine="5280" w:firstLineChars="2200"/>
        <w:jc w:val="left"/>
        <w:rPr>
          <w:rFonts w:ascii="宋体" w:hAnsi="宋体" w:cs="宋体"/>
          <w:color w:val="000000"/>
          <w:kern w:val="0"/>
          <w:sz w:val="24"/>
        </w:rPr>
      </w:pPr>
      <w:r>
        <w:rPr>
          <w:rFonts w:hint="eastAsia" w:ascii="宋体" w:hAnsi="宋体" w:cs="宋体"/>
          <w:color w:val="000000"/>
          <w:kern w:val="0"/>
          <w:sz w:val="24"/>
        </w:rPr>
        <w:t xml:space="preserve">  企业名称(盖章):</w:t>
      </w:r>
    </w:p>
    <w:p>
      <w:pPr>
        <w:rPr>
          <w:rFonts w:ascii="宋体" w:hAnsi="宋体" w:cs="宋体"/>
          <w:color w:val="000000"/>
        </w:rPr>
      </w:pPr>
      <w:r>
        <w:rPr>
          <w:rFonts w:hint="eastAsia" w:ascii="宋体" w:hAnsi="宋体" w:cs="宋体"/>
          <w:color w:val="000000"/>
          <w:kern w:val="0"/>
          <w:sz w:val="24"/>
        </w:rPr>
        <w:t>                                                                           日 期:</w:t>
      </w:r>
    </w:p>
    <w:p>
      <w:pPr>
        <w:snapToGrid w:val="0"/>
        <w:spacing w:before="50" w:after="50" w:line="300" w:lineRule="exact"/>
        <w:ind w:firstLine="420" w:firstLineChars="200"/>
        <w:jc w:val="left"/>
        <w:rPr>
          <w:rFonts w:ascii="宋体" w:hAnsi="宋体"/>
          <w:color w:val="000000"/>
          <w:szCs w:val="21"/>
        </w:rPr>
      </w:pPr>
    </w:p>
    <w:p>
      <w:pPr>
        <w:spacing w:line="360" w:lineRule="auto"/>
        <w:ind w:left="420"/>
        <w:rPr>
          <w:rFonts w:ascii="宋体" w:hAnsi="宋体"/>
          <w:color w:val="000000"/>
          <w:szCs w:val="21"/>
          <w:u w:val="single"/>
        </w:rPr>
      </w:pPr>
    </w:p>
    <w:p>
      <w:pPr>
        <w:spacing w:line="360" w:lineRule="auto"/>
        <w:ind w:left="420"/>
        <w:rPr>
          <w:rFonts w:ascii="宋体" w:hAnsi="宋体"/>
          <w:color w:val="000000"/>
          <w:szCs w:val="21"/>
          <w:u w:val="single"/>
        </w:rPr>
      </w:pPr>
    </w:p>
    <w:p>
      <w:pPr>
        <w:spacing w:line="360" w:lineRule="auto"/>
        <w:ind w:left="420"/>
        <w:rPr>
          <w:rFonts w:ascii="宋体" w:hAnsi="宋体"/>
          <w:color w:val="000000"/>
          <w:szCs w:val="21"/>
          <w:u w:val="single"/>
        </w:rPr>
      </w:pPr>
    </w:p>
    <w:p>
      <w:pPr>
        <w:spacing w:line="360" w:lineRule="auto"/>
        <w:ind w:left="420"/>
        <w:rPr>
          <w:rFonts w:ascii="宋体" w:hAnsi="宋体"/>
          <w:color w:val="000000"/>
          <w:szCs w:val="21"/>
          <w:u w:val="single"/>
        </w:rPr>
      </w:pPr>
    </w:p>
    <w:p>
      <w:pPr>
        <w:rPr>
          <w:rFonts w:ascii="宋体" w:hAnsi="宋体"/>
          <w:b/>
          <w:bCs/>
          <w:color w:val="000000"/>
          <w:szCs w:val="21"/>
        </w:rPr>
      </w:pPr>
      <w:r>
        <w:rPr>
          <w:rFonts w:ascii="宋体" w:hAnsi="宋体"/>
          <w:color w:val="000000"/>
          <w:szCs w:val="21"/>
          <w:u w:val="single"/>
        </w:rPr>
        <w:br w:type="page"/>
      </w:r>
      <w:r>
        <w:rPr>
          <w:rFonts w:hint="eastAsia" w:ascii="宋体" w:hAnsi="宋体"/>
          <w:b/>
          <w:color w:val="000000"/>
          <w:sz w:val="28"/>
          <w:szCs w:val="28"/>
        </w:rPr>
        <w:t>附件九</w:t>
      </w:r>
    </w:p>
    <w:p>
      <w:pPr>
        <w:widowControl/>
        <w:spacing w:before="100" w:beforeAutospacing="1" w:after="100" w:afterAutospacing="1" w:line="425" w:lineRule="atLeast"/>
        <w:jc w:val="center"/>
        <w:rPr>
          <w:rFonts w:ascii="宋体" w:hAnsi="宋体" w:cs="宋体"/>
          <w:color w:val="000000"/>
          <w:kern w:val="0"/>
          <w:sz w:val="28"/>
          <w:szCs w:val="28"/>
        </w:rPr>
      </w:pPr>
      <w:r>
        <w:rPr>
          <w:rFonts w:hint="eastAsia" w:ascii="宋体" w:hAnsi="宋体" w:cs="宋体"/>
          <w:b/>
          <w:bCs/>
          <w:color w:val="000000"/>
          <w:kern w:val="0"/>
          <w:sz w:val="28"/>
          <w:szCs w:val="28"/>
        </w:rPr>
        <w:t>残疾人福利性单位声明函</w:t>
      </w:r>
    </w:p>
    <w:p>
      <w:pPr>
        <w:widowControl/>
        <w:spacing w:before="100" w:beforeAutospacing="1" w:after="100" w:afterAutospacing="1" w:line="425" w:lineRule="atLeast"/>
        <w:jc w:val="left"/>
        <w:rPr>
          <w:rFonts w:ascii="宋体" w:hAnsi="宋体" w:cs="宋体"/>
          <w:color w:val="000000"/>
          <w:kern w:val="0"/>
          <w:sz w:val="24"/>
        </w:rPr>
      </w:pPr>
    </w:p>
    <w:p>
      <w:pPr>
        <w:widowControl/>
        <w:spacing w:before="100" w:beforeAutospacing="1" w:after="100" w:afterAutospacing="1" w:line="40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color w:val="000000"/>
          <w:kern w:val="0"/>
          <w:szCs w:val="21"/>
          <w:u w:val="single"/>
        </w:rPr>
        <w:t xml:space="preserve">             </w:t>
      </w:r>
      <w:r>
        <w:rPr>
          <w:rFonts w:hint="eastAsia" w:ascii="宋体" w:hAnsi="宋体" w:cs="宋体"/>
          <w:color w:val="000000"/>
          <w:kern w:val="0"/>
          <w:szCs w:val="21"/>
        </w:rPr>
        <w:t>单位的</w:t>
      </w:r>
      <w:r>
        <w:rPr>
          <w:rFonts w:hint="eastAsia" w:ascii="宋体" w:hAnsi="宋体" w:cs="宋体"/>
          <w:color w:val="000000"/>
          <w:kern w:val="0"/>
          <w:szCs w:val="21"/>
          <w:u w:val="single"/>
        </w:rPr>
        <w:t xml:space="preserve">                  </w:t>
      </w:r>
      <w:r>
        <w:rPr>
          <w:rFonts w:hint="eastAsia" w:ascii="宋体" w:hAnsi="宋体" w:cs="宋体"/>
          <w:color w:val="000000"/>
          <w:kern w:val="0"/>
          <w:szCs w:val="21"/>
        </w:rPr>
        <w:t>项目采购活动提供本单位制造的货物（由本单位承担工程/提供服务），或者提供其他残疾人福利性单位制造的货物（不包括使用非残疾人福利性单位注册商标的货物）。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0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本单位对上述声明的真实性负责。如有虚假，将依法承担相应责任。</w:t>
      </w:r>
    </w:p>
    <w:p>
      <w:pPr>
        <w:widowControl/>
        <w:spacing w:before="100" w:beforeAutospacing="1" w:after="100" w:afterAutospacing="1" w:line="400" w:lineRule="exact"/>
        <w:jc w:val="left"/>
        <w:rPr>
          <w:rFonts w:ascii="宋体" w:hAnsi="宋体" w:cs="宋体"/>
          <w:color w:val="000000"/>
          <w:kern w:val="0"/>
          <w:szCs w:val="21"/>
        </w:rPr>
      </w:pPr>
    </w:p>
    <w:p>
      <w:pPr>
        <w:widowControl/>
        <w:spacing w:before="100" w:beforeAutospacing="1" w:after="100" w:afterAutospacing="1" w:line="400" w:lineRule="exact"/>
        <w:jc w:val="left"/>
        <w:rPr>
          <w:rFonts w:ascii="宋体" w:hAnsi="宋体" w:cs="宋体"/>
          <w:color w:val="000000"/>
          <w:kern w:val="0"/>
          <w:szCs w:val="21"/>
        </w:rPr>
      </w:pPr>
    </w:p>
    <w:p>
      <w:pPr>
        <w:widowControl/>
        <w:spacing w:before="100" w:beforeAutospacing="1" w:after="100" w:afterAutospacing="1" w:line="400" w:lineRule="exact"/>
        <w:jc w:val="left"/>
        <w:rPr>
          <w:rFonts w:ascii="宋体" w:hAnsi="宋体" w:cs="宋体"/>
          <w:color w:val="000000"/>
          <w:kern w:val="0"/>
          <w:szCs w:val="21"/>
        </w:rPr>
      </w:pPr>
      <w:r>
        <w:rPr>
          <w:rFonts w:hint="eastAsia" w:ascii="宋体" w:hAnsi="宋体" w:cs="宋体"/>
          <w:color w:val="000000"/>
          <w:kern w:val="0"/>
          <w:szCs w:val="21"/>
        </w:rPr>
        <w:t xml:space="preserve">                                                    单位名称（盖章）：</w:t>
      </w:r>
    </w:p>
    <w:p>
      <w:pPr>
        <w:widowControl/>
        <w:spacing w:before="100" w:beforeAutospacing="1" w:after="100" w:afterAutospacing="1" w:line="400" w:lineRule="exact"/>
        <w:jc w:val="left"/>
        <w:rPr>
          <w:rFonts w:ascii="宋体" w:hAnsi="宋体" w:cs="宋体"/>
          <w:color w:val="000000"/>
          <w:kern w:val="0"/>
          <w:szCs w:val="21"/>
        </w:rPr>
      </w:pPr>
      <w:r>
        <w:rPr>
          <w:rFonts w:hint="eastAsia" w:ascii="宋体" w:hAnsi="宋体" w:cs="宋体"/>
          <w:color w:val="000000"/>
          <w:kern w:val="0"/>
          <w:szCs w:val="21"/>
        </w:rPr>
        <w:t xml:space="preserve">                                                          日  期</w:t>
      </w:r>
    </w:p>
    <w:p>
      <w:pPr>
        <w:widowControl/>
        <w:spacing w:before="100" w:beforeAutospacing="1" w:after="100" w:afterAutospacing="1" w:line="400" w:lineRule="exact"/>
        <w:jc w:val="left"/>
        <w:rPr>
          <w:rFonts w:ascii="宋体" w:hAnsi="宋体" w:cs="宋体"/>
          <w:color w:val="000000"/>
          <w:kern w:val="0"/>
          <w:sz w:val="24"/>
        </w:rPr>
      </w:pPr>
    </w:p>
    <w:p>
      <w:pPr>
        <w:snapToGrid w:val="0"/>
        <w:spacing w:before="50" w:after="50" w:line="300" w:lineRule="exact"/>
        <w:ind w:firstLine="420" w:firstLineChars="200"/>
        <w:jc w:val="left"/>
        <w:rPr>
          <w:rFonts w:ascii="宋体" w:hAnsi="宋体"/>
          <w:color w:val="000000"/>
          <w:szCs w:val="21"/>
        </w:rPr>
      </w:pPr>
      <w:r>
        <w:rPr>
          <w:rFonts w:hint="eastAsia" w:ascii="宋体" w:hAnsi="宋体" w:cs="宋体"/>
          <w:color w:val="000000"/>
          <w:kern w:val="0"/>
          <w:szCs w:val="21"/>
        </w:rPr>
        <w:t>注：供应商如为残疾人福利性单位并提供本《残疾人福利性单位声明函》的，必须对声明的真实性负责。</w:t>
      </w:r>
    </w:p>
    <w:p>
      <w:pPr>
        <w:snapToGrid w:val="0"/>
        <w:spacing w:before="50" w:after="50" w:line="300" w:lineRule="exact"/>
        <w:ind w:firstLine="420" w:firstLineChars="200"/>
        <w:jc w:val="left"/>
        <w:rPr>
          <w:rFonts w:ascii="宋体" w:hAnsi="宋体"/>
          <w:color w:val="000000"/>
          <w:szCs w:val="21"/>
          <w:u w:val="single"/>
        </w:rPr>
      </w:pPr>
      <w:r>
        <w:rPr>
          <w:rFonts w:ascii="宋体" w:hAnsi="宋体"/>
          <w:color w:val="000000"/>
          <w:szCs w:val="21"/>
        </w:rPr>
        <w:br w:type="page"/>
      </w:r>
    </w:p>
    <w:p>
      <w:pPr>
        <w:numPr>
          <w:ilvl w:val="0"/>
          <w:numId w:val="5"/>
        </w:numPr>
        <w:spacing w:line="360" w:lineRule="exact"/>
        <w:jc w:val="center"/>
        <w:outlineLvl w:val="0"/>
        <w:rPr>
          <w:rFonts w:ascii="宋体" w:hAnsi="宋体"/>
          <w:b/>
          <w:color w:val="000000"/>
          <w:sz w:val="28"/>
          <w:szCs w:val="28"/>
        </w:rPr>
      </w:pPr>
      <w:bookmarkStart w:id="119" w:name="_Toc488673066"/>
      <w:r>
        <w:rPr>
          <w:rFonts w:hint="eastAsia" w:ascii="宋体" w:hAnsi="宋体"/>
          <w:b/>
          <w:color w:val="000000"/>
          <w:sz w:val="28"/>
          <w:szCs w:val="28"/>
        </w:rPr>
        <w:t xml:space="preserve"> 合同主要条款</w:t>
      </w:r>
      <w:bookmarkEnd w:id="119"/>
    </w:p>
    <w:p>
      <w:pPr>
        <w:spacing w:line="360" w:lineRule="exact"/>
        <w:outlineLvl w:val="0"/>
        <w:rPr>
          <w:rFonts w:ascii="宋体" w:hAnsi="宋体"/>
          <w:b/>
          <w:color w:val="000000"/>
          <w:sz w:val="28"/>
          <w:szCs w:val="28"/>
        </w:rPr>
      </w:pPr>
    </w:p>
    <w:p>
      <w:pPr>
        <w:snapToGrid w:val="0"/>
        <w:spacing w:line="400" w:lineRule="exact"/>
        <w:jc w:val="center"/>
        <w:rPr>
          <w:rFonts w:ascii="宋体" w:hAnsi="宋体"/>
          <w:b/>
          <w:bCs/>
          <w:color w:val="000000"/>
          <w:sz w:val="28"/>
          <w:szCs w:val="28"/>
        </w:rPr>
      </w:pPr>
    </w:p>
    <w:p>
      <w:pPr>
        <w:snapToGrid w:val="0"/>
        <w:spacing w:line="400" w:lineRule="exact"/>
        <w:jc w:val="center"/>
        <w:rPr>
          <w:rFonts w:ascii="宋体" w:hAnsi="宋体"/>
          <w:b/>
          <w:sz w:val="28"/>
          <w:szCs w:val="28"/>
        </w:rPr>
      </w:pPr>
      <w:r>
        <w:rPr>
          <w:rFonts w:hint="eastAsia" w:ascii="宋体" w:hAnsi="宋体"/>
          <w:b/>
          <w:bCs/>
          <w:color w:val="000000"/>
          <w:sz w:val="28"/>
          <w:szCs w:val="28"/>
        </w:rPr>
        <w:t>政府采购合同</w:t>
      </w:r>
      <w:r>
        <w:rPr>
          <w:rFonts w:hint="eastAsia" w:ascii="宋体" w:hAnsi="宋体"/>
          <w:b/>
          <w:color w:val="000000"/>
          <w:sz w:val="28"/>
          <w:szCs w:val="28"/>
        </w:rPr>
        <w:t>文</w:t>
      </w:r>
      <w:r>
        <w:rPr>
          <w:rFonts w:hint="eastAsia" w:ascii="宋体" w:hAnsi="宋体"/>
          <w:b/>
          <w:sz w:val="28"/>
          <w:szCs w:val="28"/>
        </w:rPr>
        <w:t>本</w:t>
      </w:r>
    </w:p>
    <w:p>
      <w:pPr>
        <w:snapToGrid w:val="0"/>
        <w:spacing w:line="400" w:lineRule="exact"/>
        <w:jc w:val="center"/>
        <w:rPr>
          <w:rFonts w:ascii="宋体" w:hAnsi="宋体"/>
          <w:b/>
          <w:sz w:val="28"/>
          <w:szCs w:val="28"/>
        </w:rPr>
      </w:pPr>
    </w:p>
    <w:p>
      <w:pPr>
        <w:snapToGrid w:val="0"/>
        <w:spacing w:line="400" w:lineRule="exact"/>
        <w:ind w:right="270"/>
        <w:jc w:val="right"/>
        <w:rPr>
          <w:rFonts w:ascii="宋体" w:hAnsi="宋体"/>
          <w:bCs/>
          <w:szCs w:val="21"/>
          <w:u w:val="single"/>
        </w:rPr>
      </w:pPr>
      <w:r>
        <w:rPr>
          <w:rFonts w:hint="eastAsia" w:ascii="宋体" w:hAnsi="宋体"/>
          <w:bCs/>
          <w:szCs w:val="21"/>
        </w:rPr>
        <w:t>合同编号：</w:t>
      </w:r>
    </w:p>
    <w:p>
      <w:pPr>
        <w:wordWrap w:val="0"/>
        <w:snapToGrid w:val="0"/>
        <w:spacing w:line="400" w:lineRule="exact"/>
        <w:ind w:right="213" w:firstLine="5040" w:firstLineChars="2400"/>
        <w:jc w:val="right"/>
        <w:rPr>
          <w:rFonts w:ascii="宋体" w:hAnsi="宋体"/>
          <w:szCs w:val="21"/>
        </w:rPr>
      </w:pPr>
    </w:p>
    <w:p>
      <w:pPr>
        <w:snapToGrid w:val="0"/>
        <w:spacing w:line="400" w:lineRule="exact"/>
        <w:ind w:right="213" w:firstLine="5040" w:firstLineChars="2400"/>
        <w:jc w:val="right"/>
        <w:rPr>
          <w:rFonts w:ascii="宋体" w:hAnsi="宋体"/>
          <w:szCs w:val="21"/>
        </w:rPr>
      </w:pPr>
    </w:p>
    <w:p>
      <w:pPr>
        <w:snapToGrid w:val="0"/>
        <w:spacing w:line="400" w:lineRule="exact"/>
        <w:rPr>
          <w:rFonts w:ascii="宋体" w:hAnsi="宋体"/>
          <w:szCs w:val="21"/>
          <w:u w:val="single"/>
        </w:rPr>
      </w:pPr>
      <w:r>
        <w:rPr>
          <w:rFonts w:hint="eastAsia" w:ascii="宋体" w:hAnsi="宋体"/>
          <w:szCs w:val="21"/>
        </w:rPr>
        <w:t>采购单位（甲方）：</w:t>
      </w:r>
      <w:r>
        <w:rPr>
          <w:rFonts w:hint="eastAsia" w:ascii="宋体" w:hAnsi="宋体"/>
          <w:szCs w:val="21"/>
          <w:u w:val="single"/>
        </w:rPr>
        <w:t xml:space="preserve">                        </w:t>
      </w:r>
      <w:r>
        <w:rPr>
          <w:rFonts w:hint="eastAsia" w:ascii="宋体" w:hAnsi="宋体"/>
          <w:szCs w:val="21"/>
        </w:rPr>
        <w:t xml:space="preserve">                    </w:t>
      </w:r>
    </w:p>
    <w:p>
      <w:pPr>
        <w:snapToGrid w:val="0"/>
        <w:spacing w:line="400" w:lineRule="exact"/>
        <w:rPr>
          <w:rFonts w:ascii="宋体" w:hAnsi="宋体"/>
          <w:szCs w:val="21"/>
        </w:rPr>
      </w:pPr>
      <w:r>
        <w:rPr>
          <w:rFonts w:hint="eastAsia" w:ascii="宋体" w:hAnsi="宋体"/>
          <w:szCs w:val="21"/>
        </w:rPr>
        <w:t>供 应 商（乙方）：</w:t>
      </w:r>
      <w:r>
        <w:rPr>
          <w:rFonts w:hint="eastAsia" w:ascii="宋体" w:hAnsi="宋体"/>
          <w:szCs w:val="21"/>
          <w:u w:val="single"/>
        </w:rPr>
        <w:t xml:space="preserve">                        </w:t>
      </w:r>
      <w:r>
        <w:rPr>
          <w:rFonts w:hint="eastAsia" w:ascii="宋体" w:hAnsi="宋体"/>
          <w:szCs w:val="21"/>
        </w:rPr>
        <w:t xml:space="preserve">     </w:t>
      </w:r>
    </w:p>
    <w:p>
      <w:pPr>
        <w:snapToGrid w:val="0"/>
        <w:spacing w:line="400" w:lineRule="exact"/>
        <w:rPr>
          <w:rFonts w:ascii="宋体" w:hAnsi="宋体"/>
          <w:szCs w:val="21"/>
          <w:u w:val="single"/>
        </w:rPr>
      </w:pPr>
      <w:r>
        <w:rPr>
          <w:rFonts w:hint="eastAsia" w:ascii="宋体" w:hAnsi="宋体"/>
          <w:szCs w:val="21"/>
        </w:rPr>
        <w:t>项目名称和编号 ：</w:t>
      </w:r>
      <w:r>
        <w:rPr>
          <w:rFonts w:hint="eastAsia" w:ascii="宋体" w:hAnsi="宋体"/>
          <w:szCs w:val="21"/>
          <w:u w:val="single"/>
        </w:rPr>
        <w:t xml:space="preserve">                          </w:t>
      </w:r>
    </w:p>
    <w:p>
      <w:pPr>
        <w:snapToGrid w:val="0"/>
        <w:spacing w:line="400" w:lineRule="exact"/>
        <w:rPr>
          <w:rFonts w:ascii="宋体" w:hAnsi="宋体"/>
          <w:szCs w:val="21"/>
          <w:u w:val="single"/>
        </w:rPr>
      </w:pPr>
      <w:r>
        <w:rPr>
          <w:rFonts w:hint="eastAsia" w:ascii="宋体" w:hAnsi="宋体"/>
          <w:szCs w:val="21"/>
        </w:rPr>
        <w:t>签  订  地  点 ：</w:t>
      </w:r>
      <w:r>
        <w:rPr>
          <w:rFonts w:hint="eastAsia" w:ascii="宋体" w:hAnsi="宋体"/>
          <w:szCs w:val="21"/>
          <w:u w:val="single"/>
        </w:rPr>
        <w:t xml:space="preserve">            </w:t>
      </w:r>
      <w:r>
        <w:rPr>
          <w:rFonts w:hint="eastAsia" w:ascii="宋体" w:hAnsi="宋体"/>
          <w:szCs w:val="21"/>
        </w:rPr>
        <w:t xml:space="preserve">                   签 订 时 间：</w:t>
      </w:r>
      <w:r>
        <w:rPr>
          <w:rFonts w:hint="eastAsia" w:ascii="宋体" w:hAnsi="宋体"/>
          <w:szCs w:val="21"/>
          <w:u w:val="single"/>
        </w:rPr>
        <w:t xml:space="preserve">2020年    </w:t>
      </w:r>
      <w:r>
        <w:rPr>
          <w:rFonts w:hint="eastAsia" w:ascii="宋体" w:hAnsi="宋体" w:cs="宋体"/>
          <w:szCs w:val="21"/>
        </w:rPr>
        <w:t>月</w:t>
      </w:r>
      <w:r>
        <w:rPr>
          <w:rFonts w:hint="eastAsia" w:ascii="宋体" w:hAnsi="宋体"/>
          <w:szCs w:val="21"/>
          <w:u w:val="single"/>
        </w:rPr>
        <w:t xml:space="preserve">    </w:t>
      </w:r>
      <w:r>
        <w:rPr>
          <w:rFonts w:hint="eastAsia" w:ascii="宋体" w:hAnsi="宋体"/>
          <w:szCs w:val="21"/>
        </w:rPr>
        <w:t xml:space="preserve">日  </w:t>
      </w:r>
    </w:p>
    <w:p>
      <w:pPr>
        <w:snapToGrid w:val="0"/>
        <w:spacing w:line="400" w:lineRule="exact"/>
        <w:ind w:firstLine="420" w:firstLineChars="200"/>
        <w:rPr>
          <w:rFonts w:ascii="宋体" w:hAnsi="宋体"/>
          <w:szCs w:val="21"/>
        </w:rPr>
      </w:pPr>
    </w:p>
    <w:p>
      <w:pPr>
        <w:snapToGrid w:val="0"/>
        <w:spacing w:line="340" w:lineRule="exact"/>
        <w:ind w:firstLine="420" w:firstLineChars="200"/>
        <w:rPr>
          <w:rFonts w:ascii="宋体" w:hAnsi="宋体"/>
          <w:szCs w:val="21"/>
        </w:rPr>
      </w:pPr>
      <w:r>
        <w:rPr>
          <w:rFonts w:hint="eastAsia" w:ascii="宋体" w:hAnsi="宋体"/>
          <w:szCs w:val="21"/>
        </w:rPr>
        <w:t>根据《中华人民共和国政府采购法》、《中华人民共和国合同法》等法律、法规规定，按照谈判文件规定条款和成交供应商承诺，甲乙双方签订本合同。</w:t>
      </w:r>
    </w:p>
    <w:p>
      <w:pPr>
        <w:snapToGrid w:val="0"/>
        <w:spacing w:line="340" w:lineRule="exact"/>
        <w:ind w:firstLine="422" w:firstLineChars="200"/>
        <w:rPr>
          <w:rFonts w:ascii="宋体" w:hAnsi="宋体"/>
          <w:b/>
          <w:szCs w:val="21"/>
        </w:rPr>
      </w:pPr>
      <w:r>
        <w:rPr>
          <w:rFonts w:hint="eastAsia" w:ascii="宋体" w:hAnsi="宋体"/>
          <w:b/>
          <w:szCs w:val="21"/>
        </w:rPr>
        <w:t>第一条、合同标的</w:t>
      </w:r>
    </w:p>
    <w:p>
      <w:pPr>
        <w:snapToGrid w:val="0"/>
        <w:spacing w:line="340" w:lineRule="exact"/>
        <w:ind w:firstLine="420" w:firstLineChars="200"/>
        <w:rPr>
          <w:rFonts w:ascii="宋体" w:hAnsi="宋体"/>
          <w:szCs w:val="21"/>
        </w:rPr>
      </w:pPr>
      <w:r>
        <w:rPr>
          <w:rFonts w:hint="eastAsia" w:ascii="宋体" w:hAnsi="宋体"/>
          <w:szCs w:val="21"/>
        </w:rPr>
        <w:t>1、供货一览表：</w:t>
      </w:r>
    </w:p>
    <w:p>
      <w:pPr>
        <w:snapToGrid w:val="0"/>
        <w:spacing w:line="340" w:lineRule="exact"/>
        <w:ind w:firstLine="422" w:firstLineChars="200"/>
        <w:rPr>
          <w:rFonts w:ascii="宋体" w:hAnsi="宋体"/>
          <w:szCs w:val="21"/>
        </w:rPr>
      </w:pPr>
      <w:r>
        <w:rPr>
          <w:rFonts w:hint="eastAsia" w:ascii="宋体" w:hAnsi="宋体"/>
          <w:b/>
          <w:szCs w:val="21"/>
        </w:rPr>
        <w:t>XXXX</w:t>
      </w:r>
      <w:r>
        <w:rPr>
          <w:rFonts w:hint="eastAsia" w:ascii="宋体" w:hAnsi="宋体"/>
          <w:szCs w:val="21"/>
        </w:rPr>
        <w:t>。具体内容详见谈判文件。</w:t>
      </w:r>
    </w:p>
    <w:p>
      <w:pPr>
        <w:snapToGrid w:val="0"/>
        <w:spacing w:line="340" w:lineRule="exact"/>
        <w:ind w:firstLine="420" w:firstLineChars="200"/>
        <w:rPr>
          <w:rFonts w:ascii="宋体" w:hAnsi="宋体"/>
          <w:szCs w:val="21"/>
        </w:rPr>
      </w:pPr>
      <w:r>
        <w:rPr>
          <w:rFonts w:hint="eastAsia" w:ascii="宋体" w:hAnsi="宋体"/>
          <w:szCs w:val="21"/>
        </w:rPr>
        <w:t>2、合同合计金额：（大写）人民币</w:t>
      </w:r>
      <w:r>
        <w:rPr>
          <w:rFonts w:hint="eastAsia" w:ascii="宋体" w:hAnsi="宋体"/>
          <w:b/>
          <w:szCs w:val="21"/>
          <w:u w:val="single"/>
        </w:rPr>
        <w:t xml:space="preserve">                </w:t>
      </w:r>
      <w:r>
        <w:rPr>
          <w:rFonts w:hint="eastAsia" w:ascii="宋体" w:hAnsi="宋体"/>
          <w:szCs w:val="21"/>
        </w:rPr>
        <w:t>（小写）￥</w:t>
      </w:r>
      <w:r>
        <w:rPr>
          <w:rFonts w:hint="eastAsia" w:ascii="宋体" w:hAnsi="宋体"/>
          <w:b/>
          <w:szCs w:val="21"/>
          <w:u w:val="single"/>
        </w:rPr>
        <w:t xml:space="preserve">                </w:t>
      </w:r>
      <w:r>
        <w:rPr>
          <w:rFonts w:hint="eastAsia" w:ascii="宋体" w:hAnsi="宋体"/>
          <w:szCs w:val="21"/>
        </w:rPr>
        <w:t>。</w:t>
      </w:r>
    </w:p>
    <w:p>
      <w:pPr>
        <w:snapToGrid w:val="0"/>
        <w:spacing w:line="340" w:lineRule="exact"/>
        <w:ind w:right="420" w:firstLine="420" w:firstLineChars="200"/>
        <w:rPr>
          <w:rFonts w:ascii="宋体" w:hAnsi="宋体"/>
          <w:szCs w:val="21"/>
        </w:rPr>
      </w:pPr>
      <w:r>
        <w:rPr>
          <w:rFonts w:hint="eastAsia" w:ascii="宋体" w:hAnsi="宋体"/>
          <w:szCs w:val="21"/>
        </w:rPr>
        <w:t>3、合同合计金额包括货物价款，备件、专用工具、安装、调试、检验、技术培训及技术资料和包装、运输等全部费用。如招谈判响应文件对其另有规定的，从其规定。</w:t>
      </w:r>
    </w:p>
    <w:p>
      <w:pPr>
        <w:snapToGrid w:val="0"/>
        <w:spacing w:line="340" w:lineRule="exact"/>
        <w:ind w:firstLine="422" w:firstLineChars="200"/>
        <w:rPr>
          <w:rFonts w:ascii="宋体" w:hAnsi="宋体"/>
          <w:szCs w:val="21"/>
        </w:rPr>
      </w:pPr>
      <w:r>
        <w:rPr>
          <w:rFonts w:hint="eastAsia" w:ascii="宋体" w:hAnsi="宋体"/>
          <w:b/>
          <w:szCs w:val="21"/>
        </w:rPr>
        <w:t>第二条、质量保证</w:t>
      </w:r>
    </w:p>
    <w:p>
      <w:pPr>
        <w:snapToGrid w:val="0"/>
        <w:spacing w:line="340" w:lineRule="exact"/>
        <w:ind w:firstLine="420" w:firstLineChars="200"/>
        <w:rPr>
          <w:rFonts w:ascii="宋体" w:hAnsi="宋体"/>
          <w:szCs w:val="21"/>
        </w:rPr>
      </w:pPr>
      <w:r>
        <w:rPr>
          <w:rFonts w:hint="eastAsia" w:ascii="宋体" w:hAnsi="宋体"/>
          <w:szCs w:val="21"/>
        </w:rPr>
        <w:t>1、乙方所提供的货物型号、技术规格、技术参数等质量必须与谈判、响应文件和承诺相一致。乙方提供的自主创新产品、节能和环保产品必须是列入政府采购清单的产品。</w:t>
      </w:r>
    </w:p>
    <w:p>
      <w:pPr>
        <w:snapToGrid w:val="0"/>
        <w:spacing w:line="340" w:lineRule="exact"/>
        <w:ind w:firstLine="420" w:firstLineChars="200"/>
        <w:rPr>
          <w:rFonts w:ascii="宋体" w:hAnsi="宋体"/>
          <w:szCs w:val="21"/>
          <w:u w:val="single"/>
        </w:rPr>
      </w:pPr>
      <w:r>
        <w:rPr>
          <w:rFonts w:hint="eastAsia" w:ascii="宋体" w:hAnsi="宋体"/>
          <w:szCs w:val="21"/>
        </w:rPr>
        <w:t>2、乙方所提供的货物必须是全新、未使用的原装产品，且在正常安装、使用和保养条件下，其使用寿命期内各项指标均达到质量要求。</w:t>
      </w:r>
    </w:p>
    <w:p>
      <w:pPr>
        <w:snapToGrid w:val="0"/>
        <w:spacing w:line="340" w:lineRule="exact"/>
        <w:ind w:firstLine="422" w:firstLineChars="200"/>
        <w:rPr>
          <w:rFonts w:ascii="宋体" w:hAnsi="宋体"/>
          <w:szCs w:val="21"/>
        </w:rPr>
      </w:pPr>
      <w:r>
        <w:rPr>
          <w:rFonts w:hint="eastAsia" w:ascii="宋体" w:hAnsi="宋体"/>
          <w:b/>
          <w:szCs w:val="21"/>
        </w:rPr>
        <w:t>第三条、权力保证</w:t>
      </w:r>
    </w:p>
    <w:p>
      <w:pPr>
        <w:snapToGrid w:val="0"/>
        <w:spacing w:line="340" w:lineRule="exact"/>
        <w:ind w:firstLine="420" w:firstLineChars="200"/>
        <w:rPr>
          <w:rFonts w:ascii="宋体" w:hAnsi="宋体"/>
          <w:szCs w:val="21"/>
        </w:rPr>
      </w:pPr>
      <w:r>
        <w:rPr>
          <w:rFonts w:hint="eastAsia" w:ascii="宋体" w:hAnsi="宋体"/>
          <w:szCs w:val="21"/>
        </w:rPr>
        <w:t>乙方应保证所提供货物在使用时不会侵犯任何第三方的专利权、商标权、工业设计权或其他权利。</w:t>
      </w:r>
    </w:p>
    <w:p>
      <w:pPr>
        <w:snapToGrid w:val="0"/>
        <w:spacing w:line="340" w:lineRule="exact"/>
        <w:ind w:firstLine="420" w:firstLineChars="200"/>
        <w:rPr>
          <w:rFonts w:ascii="宋体" w:hAnsi="宋体"/>
          <w:szCs w:val="21"/>
        </w:rPr>
      </w:pPr>
      <w:r>
        <w:rPr>
          <w:rFonts w:hint="eastAsia" w:ascii="宋体" w:hAnsi="宋体"/>
          <w:szCs w:val="21"/>
        </w:rPr>
        <w:t>乙方应按谈判文件规定的时间向甲方提供使用货物的有关技术资料。</w:t>
      </w:r>
    </w:p>
    <w:p>
      <w:pPr>
        <w:snapToGrid w:val="0"/>
        <w:spacing w:line="340" w:lineRule="exact"/>
        <w:ind w:firstLine="420" w:firstLineChars="200"/>
        <w:rPr>
          <w:rFonts w:ascii="宋体" w:hAnsi="宋体"/>
          <w:szCs w:val="21"/>
        </w:rPr>
      </w:pPr>
      <w:r>
        <w:rPr>
          <w:rFonts w:hint="eastAsia" w:ascii="宋体" w:hAnsi="宋体"/>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40" w:lineRule="exact"/>
        <w:ind w:firstLine="420" w:firstLineChars="200"/>
        <w:rPr>
          <w:rFonts w:ascii="宋体" w:hAnsi="宋体"/>
          <w:szCs w:val="21"/>
        </w:rPr>
      </w:pPr>
      <w:r>
        <w:rPr>
          <w:rFonts w:hint="eastAsia" w:ascii="宋体" w:hAnsi="宋体"/>
          <w:szCs w:val="21"/>
        </w:rPr>
        <w:t>乙方保证所交付的货物的所有权完全属于乙方且无任何抵押、质押、查封等产权瑕疵。</w:t>
      </w:r>
    </w:p>
    <w:p>
      <w:pPr>
        <w:snapToGrid w:val="0"/>
        <w:spacing w:line="340" w:lineRule="exact"/>
        <w:ind w:firstLine="422" w:firstLineChars="200"/>
        <w:rPr>
          <w:rFonts w:ascii="宋体" w:hAnsi="宋体"/>
          <w:b/>
          <w:szCs w:val="21"/>
        </w:rPr>
      </w:pPr>
      <w:r>
        <w:rPr>
          <w:rFonts w:hint="eastAsia" w:ascii="宋体" w:hAnsi="宋体"/>
          <w:b/>
          <w:szCs w:val="21"/>
        </w:rPr>
        <w:t>第四条、包装和运输</w:t>
      </w:r>
    </w:p>
    <w:p>
      <w:pPr>
        <w:snapToGrid w:val="0"/>
        <w:spacing w:line="340" w:lineRule="exact"/>
        <w:ind w:firstLine="420" w:firstLineChars="200"/>
        <w:rPr>
          <w:rFonts w:ascii="宋体" w:hAnsi="宋体"/>
          <w:szCs w:val="21"/>
        </w:rPr>
      </w:pPr>
      <w:r>
        <w:rPr>
          <w:rFonts w:hint="eastAsia" w:ascii="宋体" w:hAnsi="宋体"/>
          <w:szCs w:val="21"/>
        </w:rPr>
        <w:t>1、乙方提供的货物均应按谈判、响应文件要求的包装材料、包装标准、包装方式进行包装，每一包装单元内应附详细的装箱单和质量合格证。</w:t>
      </w:r>
    </w:p>
    <w:p>
      <w:pPr>
        <w:snapToGrid w:val="0"/>
        <w:spacing w:line="340" w:lineRule="exact"/>
        <w:ind w:firstLine="420" w:firstLineChars="200"/>
        <w:rPr>
          <w:rFonts w:ascii="宋体" w:hAnsi="宋体"/>
          <w:szCs w:val="21"/>
        </w:rPr>
      </w:pPr>
      <w:r>
        <w:rPr>
          <w:rFonts w:hint="eastAsia" w:ascii="宋体" w:hAnsi="宋体"/>
          <w:szCs w:val="21"/>
        </w:rPr>
        <w:t>2、货物的运输方式：</w:t>
      </w:r>
      <w:r>
        <w:rPr>
          <w:rFonts w:hint="eastAsia" w:ascii="宋体" w:hAnsi="宋体"/>
          <w:szCs w:val="21"/>
          <w:u w:val="single"/>
        </w:rPr>
        <w:t xml:space="preserve">不计 </w:t>
      </w:r>
      <w:r>
        <w:rPr>
          <w:rFonts w:hint="eastAsia" w:ascii="宋体" w:hAnsi="宋体"/>
          <w:szCs w:val="21"/>
        </w:rPr>
        <w:t>。</w:t>
      </w:r>
    </w:p>
    <w:p>
      <w:pPr>
        <w:snapToGrid w:val="0"/>
        <w:spacing w:line="340" w:lineRule="exact"/>
        <w:ind w:firstLine="420" w:firstLineChars="200"/>
        <w:rPr>
          <w:rFonts w:ascii="宋体" w:hAnsi="宋体"/>
          <w:szCs w:val="21"/>
          <w:u w:val="single"/>
        </w:rPr>
      </w:pPr>
      <w:r>
        <w:rPr>
          <w:rFonts w:hint="eastAsia" w:ascii="宋体" w:hAnsi="宋体"/>
          <w:szCs w:val="21"/>
        </w:rPr>
        <w:t>3、乙方负责货物运输，货物运输合理损耗及计算方法：</w:t>
      </w:r>
      <w:r>
        <w:rPr>
          <w:rFonts w:hint="eastAsia" w:ascii="宋体" w:hAnsi="宋体"/>
          <w:szCs w:val="21"/>
          <w:u w:val="single"/>
        </w:rPr>
        <w:t>损耗由乙方承担。</w:t>
      </w:r>
    </w:p>
    <w:p>
      <w:pPr>
        <w:snapToGrid w:val="0"/>
        <w:spacing w:line="340" w:lineRule="exact"/>
        <w:ind w:firstLine="422" w:firstLineChars="200"/>
        <w:rPr>
          <w:rFonts w:ascii="宋体" w:hAnsi="宋体"/>
          <w:szCs w:val="21"/>
        </w:rPr>
      </w:pPr>
      <w:r>
        <w:rPr>
          <w:rFonts w:hint="eastAsia" w:ascii="宋体" w:hAnsi="宋体"/>
          <w:b/>
          <w:szCs w:val="21"/>
        </w:rPr>
        <w:t>第五条、交付和验收</w:t>
      </w:r>
    </w:p>
    <w:p>
      <w:pPr>
        <w:snapToGrid w:val="0"/>
        <w:spacing w:line="340" w:lineRule="exact"/>
        <w:ind w:firstLine="420" w:firstLineChars="200"/>
        <w:rPr>
          <w:rFonts w:ascii="宋体" w:hAnsi="宋体"/>
          <w:color w:val="0000FF"/>
          <w:szCs w:val="21"/>
        </w:rPr>
      </w:pPr>
      <w:r>
        <w:rPr>
          <w:rFonts w:hint="eastAsia" w:ascii="宋体" w:hAnsi="宋体"/>
          <w:color w:val="0000FF"/>
          <w:szCs w:val="21"/>
        </w:rPr>
        <w:t>1、交付使用期：自签订合同之日起</w:t>
      </w:r>
      <w:r>
        <w:rPr>
          <w:rFonts w:hint="eastAsia" w:ascii="宋体" w:hAnsi="宋体"/>
          <w:color w:val="0000FF"/>
          <w:szCs w:val="21"/>
          <w:u w:val="single"/>
        </w:rPr>
        <w:t xml:space="preserve">   </w:t>
      </w:r>
      <w:r>
        <w:rPr>
          <w:rFonts w:hint="eastAsia" w:ascii="宋体" w:hAnsi="宋体"/>
          <w:color w:val="0000FF"/>
          <w:szCs w:val="21"/>
          <w:u w:val="single"/>
          <w:lang w:val="en-US" w:eastAsia="zh-CN"/>
        </w:rPr>
        <w:t>30</w:t>
      </w:r>
      <w:r>
        <w:rPr>
          <w:rFonts w:hint="eastAsia" w:ascii="宋体" w:hAnsi="宋体"/>
          <w:color w:val="0000FF"/>
          <w:szCs w:val="21"/>
          <w:u w:val="single"/>
        </w:rPr>
        <w:t xml:space="preserve">   </w:t>
      </w:r>
      <w:r>
        <w:rPr>
          <w:rFonts w:hint="eastAsia" w:ascii="宋体" w:hAnsi="宋体"/>
          <w:color w:val="0000FF"/>
          <w:szCs w:val="21"/>
        </w:rPr>
        <w:t xml:space="preserve">日历日内       </w:t>
      </w:r>
    </w:p>
    <w:p>
      <w:pPr>
        <w:snapToGrid w:val="0"/>
        <w:spacing w:line="340" w:lineRule="exact"/>
        <w:ind w:firstLine="735" w:firstLineChars="350"/>
        <w:rPr>
          <w:rFonts w:ascii="宋体" w:hAnsi="宋体"/>
          <w:szCs w:val="21"/>
        </w:rPr>
      </w:pPr>
      <w:r>
        <w:rPr>
          <w:rFonts w:hint="eastAsia" w:ascii="宋体" w:hAnsi="宋体"/>
          <w:szCs w:val="21"/>
        </w:rPr>
        <w:t>交货地点</w:t>
      </w:r>
      <w:r>
        <w:rPr>
          <w:rFonts w:hint="eastAsia" w:ascii="宋体" w:hAnsi="宋体"/>
          <w:szCs w:val="21"/>
          <w:lang w:eastAsia="zh-CN"/>
        </w:rPr>
        <w:t>：</w:t>
      </w:r>
      <w:r>
        <w:rPr>
          <w:rFonts w:hint="eastAsia" w:ascii="宋体" w:hAnsi="宋体"/>
          <w:szCs w:val="21"/>
          <w:u w:val="single"/>
        </w:rPr>
        <w:t xml:space="preserve">指定地点 </w:t>
      </w:r>
      <w:r>
        <w:rPr>
          <w:rFonts w:hint="eastAsia" w:ascii="宋体" w:hAnsi="宋体"/>
          <w:szCs w:val="21"/>
        </w:rPr>
        <w:t>。</w:t>
      </w:r>
    </w:p>
    <w:p>
      <w:pPr>
        <w:snapToGrid w:val="0"/>
        <w:spacing w:line="340" w:lineRule="exact"/>
        <w:ind w:firstLine="420" w:firstLineChars="200"/>
        <w:rPr>
          <w:rFonts w:ascii="宋体" w:hAnsi="宋体"/>
          <w:szCs w:val="21"/>
        </w:rPr>
      </w:pPr>
      <w:r>
        <w:rPr>
          <w:rFonts w:hint="eastAsia" w:ascii="宋体" w:hAnsi="宋体"/>
          <w:szCs w:val="21"/>
        </w:rPr>
        <w:t>2、乙方提供不符合谈判、响应文件和本合同规定的货物，甲方有权拒绝接受。</w:t>
      </w:r>
    </w:p>
    <w:p>
      <w:pPr>
        <w:snapToGrid w:val="0"/>
        <w:spacing w:line="340" w:lineRule="exact"/>
        <w:ind w:firstLine="420" w:firstLineChars="200"/>
        <w:rPr>
          <w:rFonts w:ascii="宋体" w:hAnsi="宋体"/>
          <w:szCs w:val="21"/>
        </w:rPr>
      </w:pPr>
      <w:r>
        <w:rPr>
          <w:rFonts w:hint="eastAsia" w:ascii="宋体" w:hAnsi="宋体"/>
          <w:szCs w:val="21"/>
        </w:rPr>
        <w:t>3、乙方应将所提供货物的装箱清单、用户手册、原厂保修卡、随机资料、工具和备品、备件等交付给甲方，如有缺失应及时补齐，否则视为逾期交货。</w:t>
      </w:r>
    </w:p>
    <w:p>
      <w:pPr>
        <w:snapToGrid w:val="0"/>
        <w:spacing w:line="340" w:lineRule="exact"/>
        <w:ind w:firstLine="420" w:firstLineChars="200"/>
        <w:rPr>
          <w:rFonts w:ascii="宋体" w:hAnsi="宋体"/>
          <w:szCs w:val="21"/>
        </w:rPr>
      </w:pPr>
      <w:r>
        <w:rPr>
          <w:rFonts w:hint="eastAsia" w:ascii="宋体" w:hAnsi="宋体"/>
          <w:szCs w:val="21"/>
        </w:rPr>
        <w:t>4、甲方应当在到货（安装、调试完）后7个工作日内进行验收，逾期不验收的，乙方可视同验收合格。验收合格后由甲乙双方签署货物验收单并加盖采购单位公章，甲乙双方各执一份。</w:t>
      </w:r>
    </w:p>
    <w:p>
      <w:pPr>
        <w:snapToGrid w:val="0"/>
        <w:spacing w:line="340" w:lineRule="exact"/>
        <w:ind w:firstLine="420" w:firstLineChars="200"/>
        <w:rPr>
          <w:rFonts w:ascii="宋体" w:hAnsi="宋体"/>
          <w:szCs w:val="21"/>
        </w:rPr>
      </w:pPr>
      <w:r>
        <w:rPr>
          <w:rFonts w:hint="eastAsia" w:ascii="宋体" w:hAnsi="宋体"/>
          <w:szCs w:val="21"/>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40" w:lineRule="exact"/>
        <w:ind w:firstLine="420" w:firstLineChars="200"/>
        <w:rPr>
          <w:rFonts w:ascii="宋体" w:hAnsi="宋体"/>
          <w:szCs w:val="21"/>
        </w:rPr>
      </w:pPr>
      <w:r>
        <w:rPr>
          <w:rFonts w:hint="eastAsia" w:ascii="宋体" w:hAnsi="宋体"/>
          <w:szCs w:val="21"/>
        </w:rPr>
        <w:t>6、甲方对验收有异议的，在验收后5个工作日内以书面形式向乙方提出，乙方应自收到甲方书面异议后</w:t>
      </w:r>
      <w:r>
        <w:rPr>
          <w:rFonts w:hint="eastAsia" w:ascii="宋体" w:hAnsi="宋体"/>
          <w:szCs w:val="21"/>
          <w:u w:val="single"/>
        </w:rPr>
        <w:t xml:space="preserve"> 5 </w:t>
      </w:r>
      <w:r>
        <w:rPr>
          <w:rFonts w:hint="eastAsia" w:ascii="宋体" w:hAnsi="宋体"/>
          <w:szCs w:val="21"/>
        </w:rPr>
        <w:t>日内及时予以解决。</w:t>
      </w:r>
    </w:p>
    <w:p>
      <w:pPr>
        <w:snapToGrid w:val="0"/>
        <w:spacing w:line="340" w:lineRule="exact"/>
        <w:ind w:firstLine="422" w:firstLineChars="200"/>
        <w:rPr>
          <w:rFonts w:ascii="宋体" w:hAnsi="宋体"/>
          <w:b/>
          <w:szCs w:val="21"/>
        </w:rPr>
      </w:pPr>
      <w:r>
        <w:rPr>
          <w:rFonts w:hint="eastAsia" w:ascii="宋体" w:hAnsi="宋体"/>
          <w:b/>
          <w:szCs w:val="21"/>
        </w:rPr>
        <w:t>第六条、安装和培训</w:t>
      </w:r>
    </w:p>
    <w:p>
      <w:pPr>
        <w:snapToGrid w:val="0"/>
        <w:spacing w:line="340" w:lineRule="exact"/>
        <w:ind w:firstLine="420" w:firstLineChars="200"/>
        <w:rPr>
          <w:rFonts w:ascii="宋体" w:hAnsi="宋体"/>
          <w:szCs w:val="21"/>
        </w:rPr>
      </w:pPr>
      <w:r>
        <w:rPr>
          <w:rFonts w:hint="eastAsia" w:ascii="宋体" w:hAnsi="宋体"/>
          <w:szCs w:val="21"/>
        </w:rPr>
        <w:t>1、甲方应提供必要安装条件（如场地、电源、水源等）。</w:t>
      </w:r>
    </w:p>
    <w:p>
      <w:pPr>
        <w:snapToGrid w:val="0"/>
        <w:spacing w:line="340" w:lineRule="exact"/>
        <w:ind w:firstLine="420" w:firstLineChars="200"/>
        <w:rPr>
          <w:rFonts w:ascii="宋体" w:hAnsi="宋体"/>
          <w:szCs w:val="21"/>
          <w:u w:val="single"/>
        </w:rPr>
      </w:pPr>
      <w:r>
        <w:rPr>
          <w:rFonts w:hint="eastAsia" w:ascii="宋体" w:hAnsi="宋体"/>
          <w:szCs w:val="21"/>
        </w:rPr>
        <w:t>2、乙方负责甲方有关人员的培训。培训时间、地点：</w:t>
      </w:r>
      <w:r>
        <w:rPr>
          <w:rFonts w:hint="eastAsia" w:ascii="宋体" w:hAnsi="宋体"/>
          <w:szCs w:val="21"/>
          <w:u w:val="single"/>
        </w:rPr>
        <w:t>甲乙双方协商确定 。</w:t>
      </w:r>
    </w:p>
    <w:p>
      <w:pPr>
        <w:snapToGrid w:val="0"/>
        <w:spacing w:line="340" w:lineRule="exact"/>
        <w:ind w:firstLine="422" w:firstLineChars="200"/>
        <w:rPr>
          <w:rFonts w:ascii="宋体" w:hAnsi="宋体"/>
          <w:b/>
          <w:szCs w:val="21"/>
        </w:rPr>
      </w:pPr>
      <w:r>
        <w:rPr>
          <w:rFonts w:hint="eastAsia" w:ascii="宋体" w:hAnsi="宋体"/>
          <w:b/>
          <w:szCs w:val="21"/>
        </w:rPr>
        <w:t>第七条、售后服务、质保期</w:t>
      </w:r>
    </w:p>
    <w:p>
      <w:pPr>
        <w:snapToGrid w:val="0"/>
        <w:spacing w:line="340" w:lineRule="exact"/>
        <w:ind w:firstLine="420" w:firstLineChars="200"/>
        <w:rPr>
          <w:rFonts w:ascii="宋体" w:hAnsi="宋体"/>
          <w:szCs w:val="21"/>
        </w:rPr>
      </w:pPr>
      <w:r>
        <w:rPr>
          <w:rFonts w:hint="eastAsia" w:ascii="宋体" w:hAnsi="宋体"/>
          <w:szCs w:val="21"/>
        </w:rPr>
        <w:t>1、乙方应按照国家有关法律法规和“三包”规定以及谈判、响应文件和本合同所附的《服务承诺》，为甲方提供售后服务。</w:t>
      </w:r>
    </w:p>
    <w:p>
      <w:pPr>
        <w:snapToGrid w:val="0"/>
        <w:spacing w:line="340" w:lineRule="exact"/>
        <w:ind w:firstLine="420" w:firstLineChars="200"/>
        <w:rPr>
          <w:rFonts w:ascii="宋体" w:hAnsi="宋体"/>
          <w:szCs w:val="21"/>
          <w:u w:val="single"/>
        </w:rPr>
      </w:pPr>
      <w:r>
        <w:rPr>
          <w:rFonts w:hint="eastAsia" w:ascii="宋体" w:hAnsi="宋体"/>
          <w:szCs w:val="21"/>
        </w:rPr>
        <w:t>2、货物质保期；</w:t>
      </w:r>
      <w:r>
        <w:rPr>
          <w:rFonts w:hint="eastAsia" w:ascii="宋体" w:hAnsi="宋体"/>
          <w:szCs w:val="21"/>
          <w:u w:val="single"/>
        </w:rPr>
        <w:t>免费保修期   年（自双方代表在设备验收单上签字之日起计算，乙方谈判响应文件优于此标准的，以乙方谈判响应文件承诺为准）</w:t>
      </w:r>
    </w:p>
    <w:p>
      <w:pPr>
        <w:snapToGrid w:val="0"/>
        <w:spacing w:line="340" w:lineRule="exact"/>
        <w:ind w:firstLine="420" w:firstLineChars="200"/>
        <w:rPr>
          <w:rFonts w:ascii="宋体" w:hAnsi="宋体"/>
          <w:szCs w:val="21"/>
          <w:u w:val="single"/>
        </w:rPr>
      </w:pPr>
      <w:r>
        <w:rPr>
          <w:rFonts w:hint="eastAsia" w:ascii="宋体" w:hAnsi="宋体"/>
          <w:szCs w:val="21"/>
        </w:rPr>
        <w:t>3、乙方提供的服务承诺和售后服务及质保期责任等其它具体约定事项。（见合同附件）</w:t>
      </w:r>
    </w:p>
    <w:p>
      <w:pPr>
        <w:snapToGrid w:val="0"/>
        <w:spacing w:line="340" w:lineRule="exact"/>
        <w:ind w:firstLine="422" w:firstLineChars="200"/>
        <w:rPr>
          <w:rFonts w:ascii="宋体" w:hAnsi="宋体"/>
          <w:szCs w:val="21"/>
        </w:rPr>
      </w:pPr>
      <w:r>
        <w:rPr>
          <w:rFonts w:hint="eastAsia" w:ascii="宋体" w:hAnsi="宋体"/>
          <w:b/>
          <w:szCs w:val="21"/>
        </w:rPr>
        <w:t>第八条、付款方式</w:t>
      </w:r>
    </w:p>
    <w:p>
      <w:pPr>
        <w:pStyle w:val="7"/>
        <w:snapToGrid w:val="0"/>
        <w:spacing w:before="120" w:after="120" w:line="340" w:lineRule="exact"/>
        <w:ind w:firstLine="420" w:firstLineChars="200"/>
        <w:rPr>
          <w:rFonts w:hAnsi="宋体"/>
          <w:sz w:val="21"/>
          <w:szCs w:val="21"/>
        </w:rPr>
      </w:pPr>
      <w:r>
        <w:rPr>
          <w:rFonts w:hint="eastAsia" w:hAnsi="宋体"/>
          <w:bCs/>
          <w:sz w:val="21"/>
          <w:szCs w:val="21"/>
        </w:rPr>
        <w:t>1、</w:t>
      </w:r>
      <w:r>
        <w:rPr>
          <w:rFonts w:hint="eastAsia" w:hAnsi="宋体"/>
          <w:sz w:val="21"/>
          <w:szCs w:val="21"/>
        </w:rPr>
        <w:t>当采购数量与实际使用数量不一致时，乙方应根据实际使用量供货，合同的最终结算金额按实际使用量乘以成交单价进行计算。</w:t>
      </w:r>
    </w:p>
    <w:p>
      <w:pPr>
        <w:snapToGrid w:val="0"/>
        <w:spacing w:line="340" w:lineRule="exact"/>
        <w:ind w:firstLine="420" w:firstLineChars="200"/>
        <w:rPr>
          <w:rFonts w:ascii="宋体" w:hAnsi="宋体"/>
          <w:color w:val="000000"/>
          <w:szCs w:val="21"/>
          <w:u w:val="single"/>
        </w:rPr>
      </w:pPr>
      <w:r>
        <w:rPr>
          <w:rFonts w:hint="eastAsia" w:ascii="宋体" w:hAnsi="宋体"/>
          <w:szCs w:val="21"/>
        </w:rPr>
        <w:t>2、</w:t>
      </w:r>
      <w:r>
        <w:rPr>
          <w:rFonts w:hint="eastAsia" w:ascii="宋体" w:hAnsi="宋体"/>
          <w:color w:val="000000"/>
          <w:szCs w:val="21"/>
        </w:rPr>
        <w:t>资金性质：</w:t>
      </w:r>
      <w:r>
        <w:rPr>
          <w:rFonts w:hint="eastAsia" w:ascii="宋体" w:hAnsi="宋体"/>
          <w:color w:val="000000"/>
          <w:szCs w:val="21"/>
          <w:u w:val="single"/>
        </w:rPr>
        <w:t>政府性资金。</w:t>
      </w:r>
    </w:p>
    <w:p>
      <w:pPr>
        <w:widowControl/>
        <w:spacing w:line="400" w:lineRule="exact"/>
        <w:ind w:firstLine="420" w:firstLineChars="200"/>
        <w:jc w:val="left"/>
        <w:rPr>
          <w:rFonts w:ascii="宋体" w:hAnsi="宋体" w:cs="宋体"/>
          <w:color w:val="000000"/>
          <w:kern w:val="0"/>
          <w:szCs w:val="21"/>
        </w:rPr>
      </w:pPr>
      <w:r>
        <w:rPr>
          <w:rFonts w:hint="eastAsia" w:ascii="宋体" w:hAnsi="宋体"/>
          <w:color w:val="000000"/>
          <w:szCs w:val="21"/>
        </w:rPr>
        <w:t>3、付款方式：</w:t>
      </w:r>
      <w:r>
        <w:rPr>
          <w:rFonts w:hint="eastAsia" w:ascii="宋体" w:hAnsi="宋体" w:cs="宋体"/>
          <w:bCs/>
          <w:color w:val="000000"/>
          <w:szCs w:val="21"/>
        </w:rPr>
        <w:t>签订合同后15日内采购人支付总合同总价的30%，交货安装验收完成后支付至总合同金额的100%。每一次付款前供应商需开具等额的增值税普通发票给采购人，见票付款。</w:t>
      </w:r>
    </w:p>
    <w:p>
      <w:pPr>
        <w:snapToGrid w:val="0"/>
        <w:spacing w:line="340" w:lineRule="exact"/>
        <w:ind w:left="-61" w:leftChars="-29" w:firstLine="517" w:firstLineChars="245"/>
        <w:rPr>
          <w:rFonts w:ascii="宋体" w:hAnsi="宋体"/>
          <w:b/>
          <w:szCs w:val="21"/>
        </w:rPr>
      </w:pPr>
      <w:r>
        <w:rPr>
          <w:rFonts w:hint="eastAsia" w:ascii="宋体" w:hAnsi="宋体"/>
          <w:b/>
          <w:szCs w:val="21"/>
        </w:rPr>
        <w:t>第九条、质量保证金</w:t>
      </w:r>
    </w:p>
    <w:p>
      <w:pPr>
        <w:snapToGrid w:val="0"/>
        <w:spacing w:line="340" w:lineRule="exact"/>
        <w:ind w:firstLine="420" w:firstLineChars="200"/>
        <w:rPr>
          <w:rFonts w:ascii="宋体" w:hAnsi="宋体"/>
          <w:kern w:val="0"/>
          <w:szCs w:val="21"/>
        </w:rPr>
      </w:pPr>
      <w:r>
        <w:rPr>
          <w:rFonts w:hint="eastAsia" w:ascii="宋体" w:hAnsi="宋体"/>
          <w:kern w:val="0"/>
          <w:szCs w:val="21"/>
        </w:rPr>
        <w:t>详见第十一条质量保证及售后服务条款。</w:t>
      </w:r>
    </w:p>
    <w:p>
      <w:pPr>
        <w:snapToGrid w:val="0"/>
        <w:spacing w:line="340" w:lineRule="exact"/>
        <w:ind w:firstLine="422" w:firstLineChars="200"/>
        <w:rPr>
          <w:rFonts w:ascii="宋体" w:hAnsi="宋体"/>
          <w:b/>
          <w:szCs w:val="21"/>
        </w:rPr>
      </w:pPr>
      <w:r>
        <w:rPr>
          <w:rFonts w:hint="eastAsia" w:ascii="宋体" w:hAnsi="宋体"/>
          <w:b/>
          <w:szCs w:val="21"/>
        </w:rPr>
        <w:t>第十条、税费本合同执行中相关的一切税费均由乙方负担。</w:t>
      </w:r>
    </w:p>
    <w:p>
      <w:pPr>
        <w:snapToGrid w:val="0"/>
        <w:spacing w:line="340" w:lineRule="exact"/>
        <w:ind w:firstLine="422" w:firstLineChars="200"/>
        <w:rPr>
          <w:rFonts w:ascii="宋体" w:hAnsi="宋体"/>
          <w:b/>
          <w:szCs w:val="21"/>
        </w:rPr>
      </w:pPr>
      <w:r>
        <w:rPr>
          <w:rFonts w:hint="eastAsia" w:ascii="宋体" w:hAnsi="宋体"/>
          <w:b/>
          <w:szCs w:val="21"/>
        </w:rPr>
        <w:t>第十一条、质量保证及售后服务</w:t>
      </w:r>
    </w:p>
    <w:p>
      <w:pPr>
        <w:snapToGrid w:val="0"/>
        <w:spacing w:line="340" w:lineRule="exact"/>
        <w:ind w:firstLine="420" w:firstLineChars="200"/>
        <w:rPr>
          <w:rFonts w:ascii="宋体" w:hAnsi="宋体"/>
          <w:szCs w:val="21"/>
        </w:rPr>
      </w:pPr>
      <w:r>
        <w:rPr>
          <w:rFonts w:hint="eastAsia" w:ascii="宋体" w:hAnsi="宋体"/>
          <w:szCs w:val="21"/>
        </w:rPr>
        <w:t>1、乙方应按谈判文件规定的货物性能、技术要求、质量标准向甲方提供未经使用的全新产品。要求者，根据实际情况，经双方协商，可按以下办法处理：</w:t>
      </w:r>
    </w:p>
    <w:p>
      <w:pPr>
        <w:pStyle w:val="7"/>
        <w:snapToGrid w:val="0"/>
        <w:spacing w:before="120" w:after="120" w:line="340" w:lineRule="exact"/>
        <w:ind w:firstLine="420" w:firstLineChars="200"/>
        <w:rPr>
          <w:rFonts w:hAnsi="宋体"/>
          <w:sz w:val="21"/>
          <w:szCs w:val="21"/>
        </w:rPr>
      </w:pPr>
      <w:r>
        <w:rPr>
          <w:rFonts w:hint="eastAsia" w:hAnsi="宋体"/>
          <w:sz w:val="21"/>
          <w:szCs w:val="21"/>
        </w:rPr>
        <w:t>⑴更换：由乙方承担所发生的全部费用。</w:t>
      </w:r>
    </w:p>
    <w:p>
      <w:pPr>
        <w:pStyle w:val="7"/>
        <w:snapToGrid w:val="0"/>
        <w:spacing w:before="120" w:after="120" w:line="340" w:lineRule="exact"/>
        <w:ind w:firstLine="420"/>
        <w:rPr>
          <w:rFonts w:hAnsi="宋体"/>
          <w:sz w:val="21"/>
          <w:szCs w:val="21"/>
        </w:rPr>
      </w:pPr>
      <w:r>
        <w:rPr>
          <w:rFonts w:hint="eastAsia" w:hAnsi="宋体"/>
          <w:sz w:val="21"/>
          <w:szCs w:val="21"/>
        </w:rPr>
        <w:t>⑵贬值处理：由甲乙双方合议定价。</w:t>
      </w:r>
    </w:p>
    <w:p>
      <w:pPr>
        <w:pStyle w:val="7"/>
        <w:snapToGrid w:val="0"/>
        <w:spacing w:before="120" w:after="120" w:line="340" w:lineRule="exact"/>
        <w:ind w:left="420" w:leftChars="200"/>
        <w:rPr>
          <w:rFonts w:hAnsi="宋体"/>
          <w:sz w:val="21"/>
          <w:szCs w:val="21"/>
        </w:rPr>
      </w:pPr>
      <w:r>
        <w:rPr>
          <w:rFonts w:hint="eastAsia" w:hAnsi="宋体"/>
          <w:sz w:val="21"/>
          <w:szCs w:val="21"/>
        </w:rPr>
        <w:t>⑶退货处理：乙方应退还甲方支付的合同款，同时应承担该货物的直接费用（运输、保险、检验、货款利息及银行手续费等）。</w:t>
      </w:r>
    </w:p>
    <w:p>
      <w:pPr>
        <w:pStyle w:val="7"/>
        <w:snapToGrid w:val="0"/>
        <w:spacing w:before="120" w:after="120" w:line="340" w:lineRule="exact"/>
        <w:ind w:firstLine="420" w:firstLineChars="200"/>
        <w:rPr>
          <w:rFonts w:hAnsi="宋体"/>
          <w:sz w:val="21"/>
          <w:szCs w:val="21"/>
        </w:rPr>
      </w:pPr>
      <w:r>
        <w:rPr>
          <w:rFonts w:hint="eastAsia" w:hAnsi="宋体"/>
          <w:sz w:val="21"/>
          <w:szCs w:val="21"/>
        </w:rPr>
        <w:t>2、如在使用过程中发生质量问题，乙方在接到甲方通知后</w:t>
      </w:r>
      <w:r>
        <w:rPr>
          <w:rFonts w:hint="eastAsia" w:hAnsi="宋体"/>
          <w:sz w:val="21"/>
          <w:szCs w:val="21"/>
          <w:u w:val="single"/>
        </w:rPr>
        <w:t>按乙方谈判响应文件承诺时间</w:t>
      </w:r>
      <w:r>
        <w:rPr>
          <w:rFonts w:hint="eastAsia" w:hAnsi="宋体"/>
          <w:sz w:val="21"/>
          <w:szCs w:val="21"/>
        </w:rPr>
        <w:t>到达甲方现场处理。</w:t>
      </w:r>
    </w:p>
    <w:p>
      <w:pPr>
        <w:pStyle w:val="7"/>
        <w:snapToGrid w:val="0"/>
        <w:spacing w:before="120" w:after="120" w:line="340" w:lineRule="exact"/>
        <w:ind w:firstLine="420" w:firstLineChars="200"/>
        <w:rPr>
          <w:rFonts w:hAnsi="宋体"/>
          <w:sz w:val="21"/>
          <w:szCs w:val="21"/>
        </w:rPr>
      </w:pPr>
      <w:r>
        <w:rPr>
          <w:rFonts w:hint="eastAsia" w:hAnsi="宋体"/>
          <w:sz w:val="21"/>
          <w:szCs w:val="21"/>
        </w:rPr>
        <w:t>3、在质保期内，乙方应对货物出现的质量及安全问题负责处理解决并承担一切费用。</w:t>
      </w:r>
    </w:p>
    <w:p>
      <w:pPr>
        <w:pStyle w:val="7"/>
        <w:snapToGrid w:val="0"/>
        <w:spacing w:before="120" w:after="120" w:line="340" w:lineRule="exact"/>
        <w:ind w:firstLine="420" w:firstLineChars="200"/>
        <w:rPr>
          <w:rFonts w:hAnsi="宋体"/>
          <w:sz w:val="21"/>
          <w:szCs w:val="21"/>
        </w:rPr>
      </w:pPr>
      <w:r>
        <w:rPr>
          <w:rFonts w:hint="eastAsia" w:hAnsi="宋体"/>
          <w:sz w:val="21"/>
          <w:szCs w:val="21"/>
        </w:rPr>
        <w:t>4、上述的货物免费质保期为</w:t>
      </w:r>
      <w:r>
        <w:rPr>
          <w:rFonts w:hint="eastAsia" w:hAnsi="宋体"/>
          <w:sz w:val="21"/>
          <w:szCs w:val="21"/>
          <w:u w:val="single"/>
        </w:rPr>
        <w:t xml:space="preserve">     </w:t>
      </w:r>
      <w:r>
        <w:rPr>
          <w:rFonts w:hint="eastAsia" w:hAnsi="宋体"/>
          <w:sz w:val="21"/>
          <w:szCs w:val="21"/>
        </w:rPr>
        <w:t>年，因人为因素出现的故障不在免费保修范围内。超过质保期的机器设备，终生维修，维修时只收部件成本费。</w:t>
      </w:r>
    </w:p>
    <w:p>
      <w:pPr>
        <w:pStyle w:val="7"/>
        <w:snapToGrid w:val="0"/>
        <w:spacing w:before="120" w:after="120" w:line="340" w:lineRule="exact"/>
        <w:ind w:firstLine="413" w:firstLineChars="196"/>
        <w:rPr>
          <w:rFonts w:hAnsi="宋体"/>
          <w:b/>
          <w:sz w:val="21"/>
          <w:szCs w:val="21"/>
        </w:rPr>
      </w:pPr>
      <w:r>
        <w:rPr>
          <w:rFonts w:hint="eastAsia" w:hAnsi="宋体"/>
          <w:b/>
          <w:sz w:val="21"/>
          <w:szCs w:val="21"/>
        </w:rPr>
        <w:t>第十二条、调试和验收</w:t>
      </w:r>
    </w:p>
    <w:p>
      <w:pPr>
        <w:pStyle w:val="7"/>
        <w:snapToGrid w:val="0"/>
        <w:spacing w:before="120" w:after="120" w:line="340" w:lineRule="exact"/>
        <w:ind w:firstLine="420" w:firstLineChars="200"/>
        <w:jc w:val="left"/>
        <w:rPr>
          <w:rFonts w:hAnsi="宋体"/>
          <w:sz w:val="21"/>
          <w:szCs w:val="21"/>
        </w:rPr>
      </w:pPr>
      <w:r>
        <w:rPr>
          <w:rFonts w:hint="eastAsia" w:hAnsi="宋体"/>
          <w:sz w:val="21"/>
          <w:szCs w:val="21"/>
        </w:rPr>
        <w:t>1、甲方对乙方提交的货物依据谈判文件上的技术规格要求和国家有关质量标准进行现场初步验收，外观、说明书符合谈判文件技术要求的，给予签收，初步验收不合格的不予签收。货到后，</w:t>
      </w:r>
      <w:r>
        <w:rPr>
          <w:rFonts w:hint="eastAsia" w:hAnsi="宋体"/>
          <w:bCs/>
          <w:sz w:val="21"/>
          <w:szCs w:val="21"/>
        </w:rPr>
        <w:t>甲方应当在到货（安装、调试完）后七个工作日内进行验收</w:t>
      </w:r>
      <w:r>
        <w:rPr>
          <w:rFonts w:hint="eastAsia" w:hAnsi="宋体"/>
          <w:sz w:val="21"/>
          <w:szCs w:val="21"/>
        </w:rPr>
        <w:t>。</w:t>
      </w:r>
    </w:p>
    <w:p>
      <w:pPr>
        <w:pStyle w:val="7"/>
        <w:snapToGrid w:val="0"/>
        <w:spacing w:before="120" w:after="120" w:line="340" w:lineRule="exact"/>
        <w:ind w:firstLine="420" w:firstLineChars="200"/>
        <w:rPr>
          <w:rFonts w:hAnsi="宋体"/>
          <w:sz w:val="21"/>
          <w:szCs w:val="21"/>
        </w:rPr>
      </w:pPr>
      <w:r>
        <w:rPr>
          <w:rFonts w:hint="eastAsia" w:hAnsi="宋体"/>
          <w:sz w:val="21"/>
          <w:szCs w:val="21"/>
        </w:rPr>
        <w:t>2、乙方交货前应对产品作出全面检查和对验收文件进行整理，并列出清单，作为甲方收货验收和使用的技术条件依据，检验的结果应随货物交甲方。</w:t>
      </w:r>
    </w:p>
    <w:p>
      <w:pPr>
        <w:pStyle w:val="7"/>
        <w:snapToGrid w:val="0"/>
        <w:spacing w:before="120" w:after="120" w:line="340" w:lineRule="exact"/>
        <w:ind w:firstLine="420" w:firstLineChars="200"/>
        <w:rPr>
          <w:rFonts w:hAnsi="宋体"/>
          <w:sz w:val="21"/>
          <w:szCs w:val="21"/>
          <w:u w:val="single"/>
        </w:rPr>
      </w:pPr>
      <w:r>
        <w:rPr>
          <w:rFonts w:hint="eastAsia" w:hAnsi="宋体"/>
          <w:sz w:val="21"/>
          <w:szCs w:val="21"/>
        </w:rPr>
        <w:t>3、甲方对乙方提供的货物在使用前进行调试时，乙方需负责安装并培训甲方的使用操作人员，并协助甲方一起调试，直到符合技术要求，甲方才做最终验收。</w:t>
      </w:r>
    </w:p>
    <w:p>
      <w:pPr>
        <w:pStyle w:val="7"/>
        <w:snapToGrid w:val="0"/>
        <w:spacing w:before="120" w:after="120" w:line="340" w:lineRule="exact"/>
        <w:ind w:firstLine="420" w:firstLineChars="200"/>
        <w:rPr>
          <w:rFonts w:hAnsi="宋体"/>
          <w:sz w:val="21"/>
          <w:szCs w:val="21"/>
        </w:rPr>
      </w:pPr>
      <w:r>
        <w:rPr>
          <w:rFonts w:hint="eastAsia" w:hAnsi="宋体"/>
          <w:sz w:val="21"/>
          <w:szCs w:val="21"/>
        </w:rPr>
        <w:t>4、对技术复杂的货物，甲方应请国家认可的专业检测机构参与初步验收及最终验收，并由其出具质量检测报告。</w:t>
      </w:r>
    </w:p>
    <w:p>
      <w:pPr>
        <w:pStyle w:val="7"/>
        <w:snapToGrid w:val="0"/>
        <w:spacing w:before="120" w:after="120" w:line="340" w:lineRule="exact"/>
        <w:ind w:firstLine="420" w:firstLineChars="200"/>
        <w:rPr>
          <w:rFonts w:hAnsi="宋体"/>
          <w:sz w:val="21"/>
          <w:szCs w:val="21"/>
        </w:rPr>
      </w:pPr>
      <w:r>
        <w:rPr>
          <w:rFonts w:hint="eastAsia" w:hAnsi="宋体"/>
          <w:sz w:val="21"/>
          <w:szCs w:val="21"/>
        </w:rPr>
        <w:t>5、甲方应在货到指定地点安装完毕之日起</w:t>
      </w:r>
      <w:r>
        <w:rPr>
          <w:rFonts w:hint="eastAsia" w:hAnsi="宋体"/>
          <w:sz w:val="21"/>
          <w:szCs w:val="21"/>
          <w:u w:val="single"/>
        </w:rPr>
        <w:t xml:space="preserve"> 十 </w:t>
      </w:r>
      <w:r>
        <w:rPr>
          <w:rFonts w:hint="eastAsia" w:hAnsi="宋体"/>
          <w:sz w:val="21"/>
          <w:szCs w:val="21"/>
        </w:rPr>
        <w:t>个工作日内验收完毕，并作出验收结果报告。验收时乙方必须在现场，验收费用由乙方负责。</w:t>
      </w:r>
    </w:p>
    <w:p>
      <w:pPr>
        <w:pStyle w:val="7"/>
        <w:snapToGrid w:val="0"/>
        <w:spacing w:before="120" w:after="120" w:line="340" w:lineRule="exact"/>
        <w:ind w:firstLine="413" w:firstLineChars="196"/>
        <w:rPr>
          <w:rFonts w:hAnsi="宋体"/>
          <w:b/>
          <w:sz w:val="21"/>
          <w:szCs w:val="21"/>
        </w:rPr>
      </w:pPr>
      <w:r>
        <w:rPr>
          <w:rFonts w:hint="eastAsia" w:hAnsi="宋体"/>
          <w:b/>
          <w:sz w:val="21"/>
          <w:szCs w:val="21"/>
        </w:rPr>
        <w:t>第十三条、货物包装、发运及运输</w:t>
      </w:r>
    </w:p>
    <w:p>
      <w:pPr>
        <w:pStyle w:val="7"/>
        <w:snapToGrid w:val="0"/>
        <w:spacing w:before="120" w:after="120" w:line="340" w:lineRule="exact"/>
        <w:ind w:firstLine="420" w:firstLineChars="200"/>
        <w:rPr>
          <w:rFonts w:hAnsi="宋体"/>
          <w:sz w:val="21"/>
          <w:szCs w:val="21"/>
        </w:rPr>
      </w:pPr>
      <w:r>
        <w:rPr>
          <w:rFonts w:hint="eastAsia" w:hAnsi="宋体"/>
          <w:sz w:val="21"/>
          <w:szCs w:val="21"/>
        </w:rPr>
        <w:t>1、乙方应在货物发运前对其进行满足运输距离、防潮、防震、防锈和防破损装卸等要求包装，以保证货物安全运达甲方指定地点。</w:t>
      </w:r>
    </w:p>
    <w:p>
      <w:pPr>
        <w:pStyle w:val="7"/>
        <w:snapToGrid w:val="0"/>
        <w:spacing w:before="120" w:after="120" w:line="340" w:lineRule="exact"/>
        <w:ind w:firstLine="420" w:firstLineChars="200"/>
        <w:rPr>
          <w:rFonts w:hAnsi="宋体"/>
          <w:sz w:val="21"/>
          <w:szCs w:val="21"/>
        </w:rPr>
      </w:pPr>
      <w:r>
        <w:rPr>
          <w:rFonts w:hint="eastAsia" w:hAnsi="宋体"/>
          <w:sz w:val="21"/>
          <w:szCs w:val="21"/>
        </w:rPr>
        <w:t>2、使用说明书、质量检验证明书、随配附件和工具以及清单一并附于货物内。</w:t>
      </w:r>
    </w:p>
    <w:p>
      <w:pPr>
        <w:pStyle w:val="7"/>
        <w:snapToGrid w:val="0"/>
        <w:spacing w:before="120" w:after="120" w:line="340" w:lineRule="exact"/>
        <w:ind w:firstLine="420" w:firstLineChars="200"/>
        <w:rPr>
          <w:rFonts w:hAnsi="宋体"/>
          <w:sz w:val="21"/>
          <w:szCs w:val="21"/>
        </w:rPr>
      </w:pPr>
      <w:r>
        <w:rPr>
          <w:rFonts w:hint="eastAsia" w:hAnsi="宋体"/>
          <w:sz w:val="21"/>
          <w:szCs w:val="21"/>
        </w:rPr>
        <w:t>3、乙方在货物发运手续办理完毕后24小时内或货到甲方48小时前通知甲方，以准备接货。</w:t>
      </w:r>
    </w:p>
    <w:p>
      <w:pPr>
        <w:pStyle w:val="7"/>
        <w:snapToGrid w:val="0"/>
        <w:spacing w:before="120" w:after="120" w:line="340" w:lineRule="exact"/>
        <w:ind w:firstLine="420" w:firstLineChars="200"/>
        <w:rPr>
          <w:rFonts w:hAnsi="宋体"/>
          <w:sz w:val="21"/>
          <w:szCs w:val="21"/>
        </w:rPr>
      </w:pPr>
      <w:r>
        <w:rPr>
          <w:rFonts w:hint="eastAsia" w:hAnsi="宋体"/>
          <w:sz w:val="21"/>
          <w:szCs w:val="21"/>
        </w:rPr>
        <w:t>4、货物在交付甲方前发生的风险均由乙方负责。</w:t>
      </w:r>
    </w:p>
    <w:p>
      <w:pPr>
        <w:pStyle w:val="7"/>
        <w:snapToGrid w:val="0"/>
        <w:spacing w:line="340" w:lineRule="exact"/>
        <w:ind w:right="26" w:firstLine="420" w:firstLineChars="200"/>
        <w:rPr>
          <w:rFonts w:hAnsi="宋体"/>
          <w:spacing w:val="-8"/>
          <w:sz w:val="21"/>
          <w:szCs w:val="21"/>
        </w:rPr>
      </w:pPr>
      <w:r>
        <w:rPr>
          <w:rFonts w:hint="eastAsia" w:hAnsi="宋体"/>
          <w:sz w:val="21"/>
          <w:szCs w:val="21"/>
        </w:rPr>
        <w:t>5、货</w:t>
      </w:r>
      <w:r>
        <w:rPr>
          <w:rFonts w:hint="eastAsia" w:hAnsi="宋体"/>
          <w:spacing w:val="-8"/>
          <w:sz w:val="21"/>
          <w:szCs w:val="21"/>
        </w:rPr>
        <w:t>物在规定的交付期限内由乙方送达甲方指定的地点视为交付，乙方同时需通知甲方货物已送达。</w:t>
      </w:r>
    </w:p>
    <w:p>
      <w:pPr>
        <w:snapToGrid w:val="0"/>
        <w:spacing w:line="340" w:lineRule="exact"/>
        <w:ind w:firstLine="422" w:firstLineChars="200"/>
        <w:rPr>
          <w:rFonts w:ascii="宋体" w:hAnsi="宋体"/>
          <w:b/>
          <w:szCs w:val="21"/>
        </w:rPr>
      </w:pPr>
    </w:p>
    <w:p>
      <w:pPr>
        <w:snapToGrid w:val="0"/>
        <w:spacing w:line="340" w:lineRule="exact"/>
        <w:ind w:firstLine="422" w:firstLineChars="200"/>
        <w:rPr>
          <w:rFonts w:ascii="宋体" w:hAnsi="宋体"/>
          <w:b/>
          <w:szCs w:val="21"/>
        </w:rPr>
      </w:pPr>
      <w:r>
        <w:rPr>
          <w:rFonts w:hint="eastAsia" w:ascii="宋体" w:hAnsi="宋体"/>
          <w:b/>
          <w:szCs w:val="21"/>
        </w:rPr>
        <w:t>第十四条、违约责任</w:t>
      </w:r>
    </w:p>
    <w:p>
      <w:pPr>
        <w:snapToGrid w:val="0"/>
        <w:spacing w:line="340" w:lineRule="exact"/>
        <w:ind w:firstLine="525" w:firstLineChars="250"/>
        <w:rPr>
          <w:rFonts w:ascii="宋体" w:hAnsi="宋体"/>
          <w:szCs w:val="21"/>
        </w:rPr>
      </w:pPr>
      <w:r>
        <w:rPr>
          <w:rFonts w:hint="eastAsia" w:ascii="宋体" w:hAnsi="宋体"/>
          <w:szCs w:val="21"/>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340" w:lineRule="exact"/>
        <w:ind w:firstLine="472" w:firstLineChars="225"/>
        <w:rPr>
          <w:rFonts w:ascii="宋体" w:hAnsi="宋体"/>
          <w:szCs w:val="21"/>
        </w:rPr>
      </w:pPr>
      <w:r>
        <w:rPr>
          <w:rFonts w:hint="eastAsia" w:ascii="宋体" w:hAnsi="宋体"/>
          <w:szCs w:val="21"/>
        </w:rPr>
        <w:t>2、乙方提供的货物如侵犯了第三方合法权益而引发的任何纠纷或诉讼，均由乙方负责交涉并承担全部责任。</w:t>
      </w:r>
    </w:p>
    <w:p>
      <w:pPr>
        <w:snapToGrid w:val="0"/>
        <w:spacing w:line="340" w:lineRule="exact"/>
        <w:ind w:firstLine="420" w:firstLineChars="200"/>
        <w:rPr>
          <w:rFonts w:ascii="宋体" w:hAnsi="宋体"/>
          <w:szCs w:val="21"/>
        </w:rPr>
      </w:pPr>
      <w:r>
        <w:rPr>
          <w:rFonts w:hint="eastAsia" w:ascii="宋体" w:hAnsi="宋体"/>
          <w:szCs w:val="21"/>
        </w:rPr>
        <w:t>3、因包装、运输引起的货物损坏，按质量不合格处罚。</w:t>
      </w:r>
    </w:p>
    <w:p>
      <w:pPr>
        <w:snapToGrid w:val="0"/>
        <w:spacing w:line="340" w:lineRule="exact"/>
        <w:ind w:firstLine="420" w:firstLineChars="200"/>
        <w:rPr>
          <w:rFonts w:ascii="宋体" w:hAnsi="宋体"/>
          <w:szCs w:val="21"/>
        </w:rPr>
      </w:pPr>
      <w:r>
        <w:rPr>
          <w:rFonts w:hint="eastAsia" w:ascii="宋体" w:hAnsi="宋体"/>
          <w:szCs w:val="21"/>
        </w:rPr>
        <w:t>4、甲方无故延期接收货物、乙方逾期交货的，每天向对方偿付违约货款额4‰违约金，但违约金累计不得超过违约货款额5%，超过</w:t>
      </w:r>
      <w:r>
        <w:rPr>
          <w:rFonts w:hint="eastAsia" w:ascii="宋体" w:hAnsi="宋体"/>
          <w:szCs w:val="21"/>
          <w:u w:val="single"/>
        </w:rPr>
        <w:t xml:space="preserve"> 10 </w:t>
      </w:r>
      <w:r>
        <w:rPr>
          <w:rFonts w:hint="eastAsia" w:ascii="宋体" w:hAnsi="宋体"/>
          <w:szCs w:val="21"/>
        </w:rPr>
        <w:t>天对方有权解除合同，违约方承担因此给对方造成经济损失；甲方延期付货款的，每天向乙方偿付延期货款额4‰滞纳金，但滞纳金累计不得超过延期货款额5%。</w:t>
      </w:r>
    </w:p>
    <w:p>
      <w:pPr>
        <w:snapToGrid w:val="0"/>
        <w:spacing w:line="340" w:lineRule="exact"/>
        <w:ind w:firstLine="420" w:firstLineChars="200"/>
        <w:rPr>
          <w:rFonts w:ascii="宋体" w:hAnsi="宋体"/>
          <w:szCs w:val="21"/>
        </w:rPr>
      </w:pPr>
      <w:r>
        <w:rPr>
          <w:rFonts w:hint="eastAsia" w:ascii="宋体" w:hAnsi="宋体"/>
          <w:szCs w:val="21"/>
        </w:rPr>
        <w:t>5、乙方未按本合同和响应文件中规定的服务承诺提供售后服务的，乙方应按本合同合计金额 5%向甲方支付违约金。</w:t>
      </w:r>
    </w:p>
    <w:p>
      <w:pPr>
        <w:snapToGrid w:val="0"/>
        <w:spacing w:line="340" w:lineRule="exact"/>
        <w:ind w:firstLine="420" w:firstLineChars="200"/>
        <w:rPr>
          <w:rFonts w:ascii="宋体" w:hAnsi="宋体"/>
          <w:szCs w:val="21"/>
        </w:rPr>
      </w:pPr>
      <w:r>
        <w:rPr>
          <w:rFonts w:hint="eastAsia" w:ascii="宋体" w:hAnsi="宋体"/>
          <w:szCs w:val="21"/>
        </w:rPr>
        <w:t>6、乙方提供的货物在质量保证期内，因设计、工艺或材料的缺陷和其它质量原因造成的问题，由乙方负责。</w:t>
      </w:r>
    </w:p>
    <w:p>
      <w:pPr>
        <w:snapToGrid w:val="0"/>
        <w:spacing w:line="340" w:lineRule="exact"/>
        <w:ind w:firstLine="420" w:firstLineChars="200"/>
        <w:rPr>
          <w:rFonts w:ascii="宋体" w:hAnsi="宋体"/>
          <w:szCs w:val="21"/>
        </w:rPr>
      </w:pPr>
      <w:r>
        <w:rPr>
          <w:rFonts w:hint="eastAsia" w:ascii="宋体" w:hAnsi="宋体"/>
          <w:szCs w:val="21"/>
        </w:rPr>
        <w:t>7、其它违约行为按违约货款额5%收取违约金并赔偿经济损失。</w:t>
      </w:r>
    </w:p>
    <w:p>
      <w:pPr>
        <w:pStyle w:val="7"/>
        <w:snapToGrid w:val="0"/>
        <w:spacing w:before="120" w:after="120" w:line="340" w:lineRule="exact"/>
        <w:ind w:firstLine="413" w:firstLineChars="196"/>
        <w:rPr>
          <w:rFonts w:hAnsi="宋体"/>
          <w:b/>
          <w:sz w:val="21"/>
          <w:szCs w:val="21"/>
        </w:rPr>
      </w:pPr>
      <w:r>
        <w:rPr>
          <w:rFonts w:hint="eastAsia" w:hAnsi="宋体"/>
          <w:b/>
          <w:sz w:val="21"/>
          <w:szCs w:val="21"/>
        </w:rPr>
        <w:t>第十五条、不可抗力事件处理</w:t>
      </w:r>
    </w:p>
    <w:p>
      <w:pPr>
        <w:pStyle w:val="7"/>
        <w:snapToGrid w:val="0"/>
        <w:spacing w:before="120" w:after="120" w:line="340" w:lineRule="exact"/>
        <w:ind w:firstLine="420" w:firstLineChars="200"/>
        <w:rPr>
          <w:rFonts w:hAnsi="宋体"/>
          <w:sz w:val="21"/>
          <w:szCs w:val="21"/>
        </w:rPr>
      </w:pPr>
      <w:r>
        <w:rPr>
          <w:rFonts w:hint="eastAsia" w:hAnsi="宋体"/>
          <w:sz w:val="21"/>
          <w:szCs w:val="21"/>
        </w:rPr>
        <w:t>1、在合同有效期内，任何一方因不可抗力事件导致不能履行合同，则合同履行期可延长，其延长期与不可抗力影响期相同。</w:t>
      </w:r>
    </w:p>
    <w:p>
      <w:pPr>
        <w:pStyle w:val="7"/>
        <w:snapToGrid w:val="0"/>
        <w:spacing w:before="120" w:after="120" w:line="340" w:lineRule="exact"/>
        <w:ind w:firstLine="420" w:firstLineChars="200"/>
        <w:rPr>
          <w:rFonts w:hAnsi="宋体"/>
          <w:sz w:val="21"/>
          <w:szCs w:val="21"/>
        </w:rPr>
      </w:pPr>
      <w:r>
        <w:rPr>
          <w:rFonts w:hint="eastAsia" w:hAnsi="宋体"/>
          <w:sz w:val="21"/>
          <w:szCs w:val="21"/>
        </w:rPr>
        <w:t>2、不可抗力事件发生后，应立即通知对方，并寄送有关权威机构出具的证明。</w:t>
      </w:r>
    </w:p>
    <w:p>
      <w:pPr>
        <w:pStyle w:val="7"/>
        <w:snapToGrid w:val="0"/>
        <w:spacing w:before="120" w:after="120" w:line="340" w:lineRule="exact"/>
        <w:ind w:firstLine="420" w:firstLineChars="200"/>
        <w:rPr>
          <w:rFonts w:hAnsi="宋体"/>
          <w:sz w:val="21"/>
          <w:szCs w:val="21"/>
        </w:rPr>
      </w:pPr>
      <w:r>
        <w:rPr>
          <w:rFonts w:hint="eastAsia" w:hAnsi="宋体"/>
          <w:sz w:val="21"/>
          <w:szCs w:val="21"/>
        </w:rPr>
        <w:t>3、不可抗力事件延续120天以上，双方应通过友好协商，确定是否继续履行合同。</w:t>
      </w:r>
    </w:p>
    <w:p>
      <w:pPr>
        <w:snapToGrid w:val="0"/>
        <w:spacing w:line="340" w:lineRule="exact"/>
        <w:ind w:firstLine="422" w:firstLineChars="200"/>
        <w:rPr>
          <w:rFonts w:ascii="宋体" w:hAnsi="宋体"/>
          <w:szCs w:val="21"/>
        </w:rPr>
      </w:pPr>
      <w:r>
        <w:rPr>
          <w:rFonts w:hint="eastAsia" w:ascii="宋体" w:hAnsi="宋体"/>
          <w:b/>
          <w:szCs w:val="21"/>
        </w:rPr>
        <w:t>第十六条、合同争议解决</w:t>
      </w:r>
    </w:p>
    <w:p>
      <w:pPr>
        <w:snapToGrid w:val="0"/>
        <w:spacing w:line="340" w:lineRule="exact"/>
        <w:ind w:firstLine="420" w:firstLineChars="200"/>
        <w:rPr>
          <w:rFonts w:ascii="宋体" w:hAnsi="宋体"/>
          <w:szCs w:val="21"/>
        </w:rPr>
      </w:pPr>
      <w:r>
        <w:rPr>
          <w:rFonts w:hint="eastAsia" w:ascii="宋体" w:hAnsi="宋体"/>
          <w:szCs w:val="21"/>
        </w:rPr>
        <w:t>1、因货物质量问题发生争议的，应邀请国家认可的质量检测机构对货物质量进行鉴定。货物符合标准的，鉴定费由甲方承担；货物不符合标准的，鉴定费由乙方承担。</w:t>
      </w:r>
    </w:p>
    <w:p>
      <w:pPr>
        <w:snapToGrid w:val="0"/>
        <w:spacing w:line="340" w:lineRule="exact"/>
        <w:ind w:firstLine="420" w:firstLineChars="200"/>
        <w:rPr>
          <w:rFonts w:ascii="宋体" w:hAnsi="宋体"/>
          <w:szCs w:val="21"/>
        </w:rPr>
      </w:pPr>
      <w:r>
        <w:rPr>
          <w:rFonts w:hint="eastAsia" w:ascii="宋体" w:hAnsi="宋体"/>
          <w:szCs w:val="21"/>
        </w:rPr>
        <w:t>2、因履行本合同引起的或与本合同有关的争议，甲乙双方应首先通过友好协商解决，如果协商不能解决，可向甲方所在地仲裁委员会申请仲裁或向甲方所在地人民法院提起诉讼。</w:t>
      </w:r>
    </w:p>
    <w:p>
      <w:pPr>
        <w:snapToGrid w:val="0"/>
        <w:spacing w:line="340" w:lineRule="exact"/>
        <w:ind w:firstLine="420" w:firstLineChars="200"/>
        <w:rPr>
          <w:rFonts w:ascii="宋体" w:hAnsi="宋体"/>
          <w:szCs w:val="21"/>
        </w:rPr>
      </w:pPr>
      <w:r>
        <w:rPr>
          <w:rFonts w:hint="eastAsia" w:ascii="宋体" w:hAnsi="宋体"/>
          <w:szCs w:val="21"/>
        </w:rPr>
        <w:t>3、诉讼期间，本合同继续履行。</w:t>
      </w:r>
    </w:p>
    <w:p>
      <w:pPr>
        <w:pStyle w:val="7"/>
        <w:snapToGrid w:val="0"/>
        <w:spacing w:before="120" w:after="120" w:line="340" w:lineRule="exact"/>
        <w:ind w:firstLine="413" w:firstLineChars="196"/>
        <w:rPr>
          <w:rFonts w:hAnsi="宋体"/>
          <w:b/>
          <w:sz w:val="21"/>
          <w:szCs w:val="21"/>
        </w:rPr>
      </w:pPr>
      <w:r>
        <w:rPr>
          <w:rFonts w:hint="eastAsia" w:hAnsi="宋体"/>
          <w:b/>
          <w:sz w:val="21"/>
          <w:szCs w:val="21"/>
        </w:rPr>
        <w:t>第十七条、诉讼</w:t>
      </w:r>
    </w:p>
    <w:p>
      <w:pPr>
        <w:pStyle w:val="7"/>
        <w:snapToGrid w:val="0"/>
        <w:spacing w:before="120" w:after="120" w:line="340" w:lineRule="exact"/>
        <w:ind w:firstLine="420" w:firstLineChars="200"/>
        <w:rPr>
          <w:rFonts w:hAnsi="宋体"/>
          <w:sz w:val="21"/>
          <w:szCs w:val="21"/>
        </w:rPr>
      </w:pPr>
      <w:r>
        <w:rPr>
          <w:rFonts w:hint="eastAsia" w:hAnsi="宋体"/>
          <w:sz w:val="21"/>
          <w:szCs w:val="21"/>
        </w:rPr>
        <w:t>双方在执行合同中所发生的一切争议，应通过协商解决。如果协商不能解决，可向甲方所在地仲裁委员会申请仲裁或向甲方所在地人民法院提起诉讼。</w:t>
      </w:r>
    </w:p>
    <w:p>
      <w:pPr>
        <w:pStyle w:val="7"/>
        <w:snapToGrid w:val="0"/>
        <w:spacing w:before="120" w:after="120" w:line="340" w:lineRule="exact"/>
        <w:ind w:firstLine="422" w:firstLineChars="200"/>
        <w:rPr>
          <w:rFonts w:hAnsi="宋体"/>
          <w:b/>
          <w:sz w:val="21"/>
          <w:szCs w:val="21"/>
        </w:rPr>
      </w:pPr>
      <w:r>
        <w:rPr>
          <w:rFonts w:hint="eastAsia" w:hAnsi="宋体"/>
          <w:b/>
          <w:sz w:val="21"/>
          <w:szCs w:val="21"/>
        </w:rPr>
        <w:t>第十八条、合同生效及其它</w:t>
      </w:r>
    </w:p>
    <w:p>
      <w:pPr>
        <w:pStyle w:val="7"/>
        <w:snapToGrid w:val="0"/>
        <w:spacing w:before="120" w:after="120" w:line="340" w:lineRule="exact"/>
        <w:ind w:left="561" w:leftChars="267"/>
        <w:rPr>
          <w:rFonts w:hAnsi="宋体"/>
          <w:b/>
          <w:sz w:val="21"/>
          <w:szCs w:val="21"/>
        </w:rPr>
      </w:pPr>
      <w:r>
        <w:rPr>
          <w:rFonts w:hint="eastAsia" w:hAnsi="宋体"/>
          <w:b/>
          <w:sz w:val="21"/>
          <w:szCs w:val="21"/>
        </w:rPr>
        <w:t>1、合同经双方法定代表人或授权代表签字并加盖单位公章后生效。</w:t>
      </w:r>
    </w:p>
    <w:p>
      <w:pPr>
        <w:pStyle w:val="7"/>
        <w:snapToGrid w:val="0"/>
        <w:spacing w:before="120" w:after="120" w:line="340" w:lineRule="exact"/>
        <w:ind w:firstLine="559" w:firstLineChars="265"/>
        <w:rPr>
          <w:rFonts w:hAnsi="宋体"/>
          <w:b/>
          <w:sz w:val="21"/>
          <w:szCs w:val="21"/>
        </w:rPr>
      </w:pPr>
      <w:r>
        <w:rPr>
          <w:rFonts w:hint="eastAsia" w:hAnsi="宋体"/>
          <w:b/>
          <w:sz w:val="21"/>
          <w:szCs w:val="21"/>
        </w:rPr>
        <w:t>2、合同执行中涉及采购资金和采购内容修改或补充的，须经财政部门审批，并签书面补充协议报财政部门备案，方可作为主合同不可分割的一部分。</w:t>
      </w:r>
    </w:p>
    <w:p>
      <w:pPr>
        <w:pStyle w:val="7"/>
        <w:snapToGrid w:val="0"/>
        <w:spacing w:before="120" w:after="120" w:line="340" w:lineRule="exact"/>
        <w:ind w:left="561" w:leftChars="267"/>
        <w:rPr>
          <w:rFonts w:hAnsi="宋体"/>
          <w:b/>
          <w:sz w:val="21"/>
          <w:szCs w:val="21"/>
        </w:rPr>
      </w:pPr>
      <w:r>
        <w:rPr>
          <w:rFonts w:hint="eastAsia" w:hAnsi="宋体"/>
          <w:b/>
          <w:sz w:val="21"/>
          <w:szCs w:val="21"/>
        </w:rPr>
        <w:t>3、本合同未尽事宜，遵照《合同法》有关条文执行。</w:t>
      </w:r>
    </w:p>
    <w:p>
      <w:pPr>
        <w:snapToGrid w:val="0"/>
        <w:spacing w:line="340" w:lineRule="exact"/>
        <w:ind w:firstLine="413" w:firstLineChars="196"/>
        <w:rPr>
          <w:rFonts w:ascii="宋体" w:hAnsi="宋体"/>
          <w:b/>
          <w:szCs w:val="21"/>
        </w:rPr>
      </w:pPr>
      <w:r>
        <w:rPr>
          <w:rFonts w:hint="eastAsia" w:ascii="宋体" w:hAnsi="宋体"/>
          <w:b/>
          <w:szCs w:val="21"/>
        </w:rPr>
        <w:t>第十九条、合同的变更、终止与转让</w:t>
      </w:r>
    </w:p>
    <w:p>
      <w:pPr>
        <w:snapToGrid w:val="0"/>
        <w:spacing w:line="340" w:lineRule="exact"/>
        <w:ind w:firstLine="420" w:firstLineChars="200"/>
        <w:rPr>
          <w:rFonts w:ascii="宋体" w:hAnsi="宋体"/>
          <w:szCs w:val="21"/>
        </w:rPr>
      </w:pPr>
      <w:r>
        <w:rPr>
          <w:rFonts w:hint="eastAsia" w:ascii="宋体" w:hAnsi="宋体"/>
          <w:szCs w:val="21"/>
        </w:rPr>
        <w:t>1、除《中华人民共和国政府采购法》第五十条规定的情形外，本合同一经签订，甲乙双方不得擅自变更、中止或终止。</w:t>
      </w:r>
    </w:p>
    <w:p>
      <w:pPr>
        <w:pStyle w:val="7"/>
        <w:snapToGrid w:val="0"/>
        <w:spacing w:before="120" w:after="120" w:line="340" w:lineRule="exact"/>
        <w:ind w:firstLine="411" w:firstLineChars="196"/>
        <w:rPr>
          <w:rFonts w:hAnsi="宋体"/>
          <w:b/>
          <w:sz w:val="21"/>
          <w:szCs w:val="21"/>
        </w:rPr>
      </w:pPr>
      <w:r>
        <w:rPr>
          <w:rFonts w:hint="eastAsia" w:hAnsi="宋体"/>
          <w:sz w:val="21"/>
          <w:szCs w:val="21"/>
        </w:rPr>
        <w:t>2、乙方不得擅自转让（无进口资格的供应商委托进口货物除外）其应履行的合同义务。</w:t>
      </w:r>
    </w:p>
    <w:p>
      <w:pPr>
        <w:pStyle w:val="7"/>
        <w:snapToGrid w:val="0"/>
        <w:spacing w:before="120" w:after="120" w:line="340" w:lineRule="exact"/>
        <w:ind w:firstLine="420" w:firstLineChars="200"/>
        <w:rPr>
          <w:rFonts w:hAnsi="宋体"/>
          <w:sz w:val="21"/>
          <w:szCs w:val="21"/>
        </w:rPr>
      </w:pPr>
      <w:r>
        <w:rPr>
          <w:rFonts w:hint="eastAsia" w:hAnsi="宋体"/>
          <w:sz w:val="21"/>
          <w:szCs w:val="21"/>
        </w:rPr>
        <w:t>3、合同执行中涉及采购资金和采购内容修改或补充的，须经财政部门审批，并签书面补充协议报财政部门备案，方可作为主合同不可分割的一部分。</w:t>
      </w:r>
    </w:p>
    <w:p>
      <w:pPr>
        <w:pStyle w:val="7"/>
        <w:snapToGrid w:val="0"/>
        <w:spacing w:before="120" w:after="120" w:line="340" w:lineRule="exact"/>
        <w:ind w:left="420" w:leftChars="200"/>
        <w:rPr>
          <w:rFonts w:hAnsi="宋体"/>
          <w:sz w:val="21"/>
          <w:szCs w:val="21"/>
        </w:rPr>
      </w:pPr>
      <w:r>
        <w:rPr>
          <w:rFonts w:hint="eastAsia" w:hAnsi="宋体"/>
          <w:sz w:val="21"/>
          <w:szCs w:val="21"/>
        </w:rPr>
        <w:t>5、本合同未尽事宜，遵照《合同法》有关条文执行。</w:t>
      </w:r>
    </w:p>
    <w:p>
      <w:pPr>
        <w:snapToGrid w:val="0"/>
        <w:spacing w:line="340" w:lineRule="exact"/>
        <w:ind w:firstLine="422" w:firstLineChars="200"/>
        <w:rPr>
          <w:rFonts w:ascii="宋体" w:hAnsi="宋体"/>
          <w:b/>
          <w:szCs w:val="21"/>
        </w:rPr>
      </w:pPr>
      <w:r>
        <w:rPr>
          <w:rFonts w:hint="eastAsia" w:ascii="宋体" w:hAnsi="宋体"/>
          <w:b/>
          <w:szCs w:val="21"/>
        </w:rPr>
        <w:t>第二十条、签订本合同依据</w:t>
      </w:r>
    </w:p>
    <w:p>
      <w:pPr>
        <w:snapToGrid w:val="0"/>
        <w:spacing w:line="340" w:lineRule="exact"/>
        <w:ind w:firstLine="420" w:firstLineChars="200"/>
        <w:rPr>
          <w:rFonts w:ascii="宋体" w:hAnsi="宋体"/>
          <w:szCs w:val="21"/>
        </w:rPr>
      </w:pPr>
      <w:r>
        <w:rPr>
          <w:rFonts w:hint="eastAsia" w:ascii="宋体" w:hAnsi="宋体"/>
          <w:szCs w:val="21"/>
        </w:rPr>
        <w:t>1、政府采购谈判文件；</w:t>
      </w:r>
    </w:p>
    <w:p>
      <w:pPr>
        <w:snapToGrid w:val="0"/>
        <w:spacing w:line="340" w:lineRule="exact"/>
        <w:ind w:firstLine="420" w:firstLineChars="200"/>
        <w:rPr>
          <w:rFonts w:ascii="宋体" w:hAnsi="宋体"/>
          <w:szCs w:val="21"/>
        </w:rPr>
      </w:pPr>
      <w:r>
        <w:rPr>
          <w:rFonts w:hint="eastAsia" w:ascii="宋体" w:hAnsi="宋体"/>
          <w:szCs w:val="21"/>
        </w:rPr>
        <w:t>2、乙方提供的响应文件；</w:t>
      </w:r>
    </w:p>
    <w:p>
      <w:pPr>
        <w:snapToGrid w:val="0"/>
        <w:spacing w:line="340" w:lineRule="exact"/>
        <w:ind w:firstLine="420" w:firstLineChars="200"/>
        <w:rPr>
          <w:rFonts w:ascii="宋体" w:hAnsi="宋体"/>
          <w:szCs w:val="21"/>
        </w:rPr>
      </w:pPr>
      <w:r>
        <w:rPr>
          <w:rFonts w:hint="eastAsia" w:ascii="宋体" w:hAnsi="宋体"/>
          <w:szCs w:val="21"/>
        </w:rPr>
        <w:t>3、竞标（谈判）承诺书；</w:t>
      </w:r>
    </w:p>
    <w:p>
      <w:pPr>
        <w:snapToGrid w:val="0"/>
        <w:spacing w:line="340" w:lineRule="exact"/>
        <w:ind w:firstLine="420" w:firstLineChars="200"/>
        <w:rPr>
          <w:rFonts w:ascii="宋体" w:hAnsi="宋体"/>
          <w:szCs w:val="21"/>
          <w:u w:val="single"/>
        </w:rPr>
      </w:pPr>
      <w:r>
        <w:rPr>
          <w:rFonts w:hint="eastAsia" w:ascii="宋体" w:hAnsi="宋体"/>
          <w:szCs w:val="21"/>
        </w:rPr>
        <w:t>4、成交通知书。</w:t>
      </w:r>
    </w:p>
    <w:p>
      <w:pPr>
        <w:snapToGrid w:val="0"/>
        <w:spacing w:line="340" w:lineRule="exact"/>
        <w:ind w:firstLine="422" w:firstLineChars="200"/>
        <w:rPr>
          <w:rFonts w:ascii="宋体" w:hAnsi="宋体"/>
          <w:szCs w:val="21"/>
        </w:rPr>
      </w:pPr>
      <w:r>
        <w:rPr>
          <w:rFonts w:hint="eastAsia" w:ascii="宋体" w:hAnsi="宋体"/>
          <w:b/>
          <w:szCs w:val="21"/>
        </w:rPr>
        <w:t>第二十一条、</w:t>
      </w:r>
      <w:r>
        <w:rPr>
          <w:rFonts w:hint="eastAsia" w:ascii="宋体" w:hAnsi="宋体"/>
          <w:szCs w:val="21"/>
        </w:rPr>
        <w:t>本合同一式伍份，具有同等法律效力，政府采购监管部门、采购代理机构各一份，甲方执二份、乙方执一份（可根据需要另增加）。</w:t>
      </w:r>
    </w:p>
    <w:p>
      <w:pPr>
        <w:snapToGrid w:val="0"/>
        <w:spacing w:line="340" w:lineRule="exact"/>
        <w:ind w:firstLine="420" w:firstLineChars="200"/>
        <w:rPr>
          <w:rFonts w:ascii="宋体" w:hAnsi="宋体"/>
          <w:szCs w:val="21"/>
        </w:rPr>
      </w:pPr>
      <w:r>
        <w:rPr>
          <w:rFonts w:hint="eastAsia" w:ascii="宋体" w:hAnsi="宋体"/>
          <w:szCs w:val="21"/>
        </w:rPr>
        <w:t>本合同甲乙双方签字盖章后生效，自签订之日起七个工作日内，采购人或采购代理机构应当将合同副本报政府采购监管部门备案。</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1"/>
        <w:gridCol w:w="4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1" w:hRule="atLeast"/>
          <w:jc w:val="center"/>
        </w:trPr>
        <w:tc>
          <w:tcPr>
            <w:tcW w:w="4791" w:type="dxa"/>
            <w:vAlign w:val="center"/>
          </w:tcPr>
          <w:p>
            <w:pPr>
              <w:snapToGrid w:val="0"/>
              <w:spacing w:line="400" w:lineRule="exact"/>
              <w:rPr>
                <w:rFonts w:ascii="宋体" w:hAnsi="宋体"/>
                <w:szCs w:val="21"/>
              </w:rPr>
            </w:pPr>
            <w:r>
              <w:rPr>
                <w:rFonts w:hint="eastAsia" w:ascii="宋体" w:hAnsi="宋体"/>
                <w:szCs w:val="21"/>
              </w:rPr>
              <w:t xml:space="preserve">甲方（章）           </w:t>
            </w:r>
          </w:p>
          <w:p>
            <w:pPr>
              <w:snapToGrid w:val="0"/>
              <w:spacing w:line="400" w:lineRule="exact"/>
              <w:rPr>
                <w:rFonts w:ascii="宋体" w:hAnsi="宋体"/>
                <w:szCs w:val="21"/>
              </w:rPr>
            </w:pPr>
          </w:p>
          <w:p>
            <w:pPr>
              <w:snapToGrid w:val="0"/>
              <w:spacing w:line="400" w:lineRule="exact"/>
              <w:rPr>
                <w:rFonts w:ascii="宋体" w:hAnsi="宋体"/>
                <w:szCs w:val="21"/>
              </w:rPr>
            </w:pPr>
          </w:p>
          <w:p>
            <w:pPr>
              <w:wordWrap w:val="0"/>
              <w:snapToGrid w:val="0"/>
              <w:spacing w:line="400" w:lineRule="exact"/>
              <w:ind w:firstLine="945" w:firstLineChars="450"/>
              <w:jc w:val="right"/>
              <w:rPr>
                <w:rFonts w:ascii="宋体" w:hAnsi="宋体"/>
                <w:szCs w:val="21"/>
              </w:rPr>
            </w:pPr>
            <w:r>
              <w:rPr>
                <w:rFonts w:hint="eastAsia" w:ascii="宋体" w:hAnsi="宋体"/>
                <w:szCs w:val="21"/>
              </w:rPr>
              <w:t>2020年   月   日</w:t>
            </w:r>
          </w:p>
        </w:tc>
        <w:tc>
          <w:tcPr>
            <w:tcW w:w="4791" w:type="dxa"/>
            <w:vAlign w:val="center"/>
          </w:tcPr>
          <w:p>
            <w:pPr>
              <w:snapToGrid w:val="0"/>
              <w:spacing w:line="400" w:lineRule="exact"/>
              <w:rPr>
                <w:rFonts w:ascii="宋体" w:hAnsi="宋体"/>
                <w:szCs w:val="21"/>
              </w:rPr>
            </w:pPr>
            <w:r>
              <w:rPr>
                <w:rFonts w:hint="eastAsia" w:ascii="宋体" w:hAnsi="宋体"/>
                <w:szCs w:val="21"/>
              </w:rPr>
              <w:t xml:space="preserve">乙方（章）      </w:t>
            </w:r>
          </w:p>
          <w:p>
            <w:pPr>
              <w:snapToGrid w:val="0"/>
              <w:spacing w:line="400" w:lineRule="exact"/>
              <w:rPr>
                <w:rFonts w:ascii="宋体" w:hAnsi="宋体"/>
                <w:szCs w:val="21"/>
              </w:rPr>
            </w:pPr>
          </w:p>
          <w:p>
            <w:pPr>
              <w:wordWrap w:val="0"/>
              <w:snapToGrid w:val="0"/>
              <w:spacing w:line="400" w:lineRule="exact"/>
              <w:jc w:val="right"/>
              <w:rPr>
                <w:rFonts w:ascii="宋体" w:hAnsi="宋体"/>
                <w:szCs w:val="21"/>
              </w:rPr>
            </w:pPr>
          </w:p>
          <w:p>
            <w:pPr>
              <w:snapToGrid w:val="0"/>
              <w:spacing w:line="400" w:lineRule="exact"/>
              <w:jc w:val="right"/>
              <w:rPr>
                <w:rFonts w:ascii="宋体" w:hAnsi="宋体"/>
                <w:szCs w:val="21"/>
              </w:rPr>
            </w:pPr>
            <w:r>
              <w:rPr>
                <w:rFonts w:hint="eastAsia" w:ascii="宋体" w:hAnsi="宋体"/>
                <w:szCs w:val="21"/>
              </w:rPr>
              <w:t xml:space="preserve"> 2020年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4791" w:type="dxa"/>
            <w:vAlign w:val="center"/>
          </w:tcPr>
          <w:p>
            <w:pPr>
              <w:snapToGrid w:val="0"/>
              <w:spacing w:line="320" w:lineRule="exact"/>
              <w:rPr>
                <w:rFonts w:ascii="宋体" w:hAnsi="宋体"/>
                <w:szCs w:val="21"/>
              </w:rPr>
            </w:pPr>
            <w:r>
              <w:rPr>
                <w:rFonts w:hint="eastAsia" w:ascii="宋体" w:hAnsi="宋体"/>
                <w:szCs w:val="21"/>
              </w:rPr>
              <w:t>单位地址：</w:t>
            </w:r>
          </w:p>
          <w:p>
            <w:pPr>
              <w:snapToGrid w:val="0"/>
              <w:spacing w:line="320" w:lineRule="exact"/>
              <w:rPr>
                <w:rFonts w:ascii="宋体" w:hAnsi="宋体"/>
                <w:szCs w:val="21"/>
              </w:rPr>
            </w:pPr>
          </w:p>
        </w:tc>
        <w:tc>
          <w:tcPr>
            <w:tcW w:w="4791" w:type="dxa"/>
            <w:vAlign w:val="center"/>
          </w:tcPr>
          <w:p>
            <w:pPr>
              <w:snapToGrid w:val="0"/>
              <w:spacing w:line="320" w:lineRule="exact"/>
              <w:rPr>
                <w:rFonts w:ascii="宋体" w:hAnsi="宋体"/>
                <w:szCs w:val="21"/>
              </w:rPr>
            </w:pPr>
            <w:r>
              <w:rPr>
                <w:rFonts w:hint="eastAsia" w:ascii="宋体" w:hAnsi="宋体"/>
                <w:szCs w:val="21"/>
              </w:rPr>
              <w:t>单位地址：</w:t>
            </w:r>
          </w:p>
          <w:p>
            <w:pPr>
              <w:snapToGrid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4791" w:type="dxa"/>
            <w:vAlign w:val="center"/>
          </w:tcPr>
          <w:p>
            <w:pPr>
              <w:snapToGrid w:val="0"/>
              <w:spacing w:line="320" w:lineRule="exact"/>
              <w:rPr>
                <w:rFonts w:ascii="宋体" w:hAnsi="宋体"/>
                <w:szCs w:val="21"/>
              </w:rPr>
            </w:pPr>
            <w:r>
              <w:rPr>
                <w:rFonts w:hint="eastAsia" w:ascii="宋体" w:hAnsi="宋体"/>
                <w:szCs w:val="21"/>
              </w:rPr>
              <w:t>法定代表人：</w:t>
            </w:r>
          </w:p>
          <w:p>
            <w:pPr>
              <w:snapToGrid w:val="0"/>
              <w:spacing w:line="320" w:lineRule="exact"/>
              <w:rPr>
                <w:rFonts w:ascii="宋体" w:hAnsi="宋体"/>
                <w:szCs w:val="21"/>
              </w:rPr>
            </w:pPr>
          </w:p>
        </w:tc>
        <w:tc>
          <w:tcPr>
            <w:tcW w:w="4791" w:type="dxa"/>
            <w:vAlign w:val="center"/>
          </w:tcPr>
          <w:p>
            <w:pPr>
              <w:snapToGrid w:val="0"/>
              <w:spacing w:line="320" w:lineRule="exact"/>
              <w:rPr>
                <w:rFonts w:ascii="宋体" w:hAnsi="宋体"/>
                <w:szCs w:val="21"/>
              </w:rPr>
            </w:pPr>
            <w:r>
              <w:rPr>
                <w:rFonts w:hint="eastAsia" w:ascii="宋体" w:hAnsi="宋体"/>
                <w:szCs w:val="21"/>
              </w:rPr>
              <w:t>法定代表人：</w:t>
            </w:r>
          </w:p>
          <w:p>
            <w:pPr>
              <w:snapToGrid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jc w:val="center"/>
        </w:trPr>
        <w:tc>
          <w:tcPr>
            <w:tcW w:w="4791" w:type="dxa"/>
            <w:vAlign w:val="center"/>
          </w:tcPr>
          <w:p>
            <w:pPr>
              <w:snapToGrid w:val="0"/>
              <w:spacing w:line="320" w:lineRule="exact"/>
              <w:rPr>
                <w:rFonts w:ascii="宋体" w:hAnsi="宋体"/>
                <w:szCs w:val="21"/>
              </w:rPr>
            </w:pPr>
            <w:r>
              <w:rPr>
                <w:rFonts w:hint="eastAsia" w:ascii="宋体" w:hAnsi="宋体"/>
                <w:szCs w:val="21"/>
              </w:rPr>
              <w:t>委托代理人：</w:t>
            </w:r>
          </w:p>
          <w:p>
            <w:pPr>
              <w:snapToGrid w:val="0"/>
              <w:spacing w:line="320" w:lineRule="exact"/>
              <w:rPr>
                <w:rFonts w:ascii="宋体" w:hAnsi="宋体"/>
                <w:szCs w:val="21"/>
              </w:rPr>
            </w:pPr>
          </w:p>
        </w:tc>
        <w:tc>
          <w:tcPr>
            <w:tcW w:w="4791" w:type="dxa"/>
            <w:vAlign w:val="center"/>
          </w:tcPr>
          <w:p>
            <w:pPr>
              <w:snapToGrid w:val="0"/>
              <w:spacing w:line="320" w:lineRule="exact"/>
              <w:rPr>
                <w:rFonts w:ascii="宋体" w:hAnsi="宋体"/>
                <w:szCs w:val="21"/>
              </w:rPr>
            </w:pPr>
            <w:r>
              <w:rPr>
                <w:rFonts w:hint="eastAsia" w:ascii="宋体" w:hAnsi="宋体"/>
                <w:szCs w:val="21"/>
              </w:rPr>
              <w:t>委托代理人</w:t>
            </w:r>
          </w:p>
          <w:p>
            <w:pPr>
              <w:snapToGrid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4791" w:type="dxa"/>
            <w:vAlign w:val="center"/>
          </w:tcPr>
          <w:p>
            <w:pPr>
              <w:snapToGrid w:val="0"/>
              <w:spacing w:line="400" w:lineRule="exact"/>
              <w:rPr>
                <w:rFonts w:ascii="宋体" w:hAnsi="宋体"/>
                <w:szCs w:val="21"/>
              </w:rPr>
            </w:pPr>
            <w:r>
              <w:rPr>
                <w:rFonts w:hint="eastAsia" w:ascii="宋体" w:hAnsi="宋体"/>
                <w:szCs w:val="21"/>
              </w:rPr>
              <w:t>电话：</w:t>
            </w:r>
          </w:p>
          <w:p>
            <w:pPr>
              <w:snapToGrid w:val="0"/>
              <w:spacing w:line="400" w:lineRule="exact"/>
              <w:rPr>
                <w:rFonts w:ascii="宋体" w:hAnsi="宋体"/>
                <w:szCs w:val="21"/>
              </w:rPr>
            </w:pPr>
          </w:p>
        </w:tc>
        <w:tc>
          <w:tcPr>
            <w:tcW w:w="4791" w:type="dxa"/>
            <w:vAlign w:val="center"/>
          </w:tcPr>
          <w:p>
            <w:pPr>
              <w:snapToGrid w:val="0"/>
              <w:spacing w:line="400" w:lineRule="exact"/>
              <w:rPr>
                <w:rFonts w:ascii="宋体" w:hAnsi="宋体"/>
                <w:szCs w:val="21"/>
              </w:rPr>
            </w:pPr>
            <w:r>
              <w:rPr>
                <w:rFonts w:hint="eastAsia" w:ascii="宋体" w:hAnsi="宋体"/>
                <w:szCs w:val="21"/>
              </w:rPr>
              <w:t>电话：</w:t>
            </w:r>
          </w:p>
          <w:p>
            <w:pPr>
              <w:snapToGrid w:val="0"/>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4791" w:type="dxa"/>
            <w:vAlign w:val="center"/>
          </w:tcPr>
          <w:p>
            <w:pPr>
              <w:snapToGrid w:val="0"/>
              <w:spacing w:line="320" w:lineRule="exact"/>
              <w:rPr>
                <w:rFonts w:ascii="宋体" w:hAnsi="宋体"/>
                <w:szCs w:val="21"/>
              </w:rPr>
            </w:pPr>
            <w:r>
              <w:rPr>
                <w:rFonts w:hint="eastAsia" w:ascii="宋体" w:hAnsi="宋体"/>
                <w:szCs w:val="21"/>
              </w:rPr>
              <w:t>电子邮箱：</w:t>
            </w:r>
          </w:p>
          <w:p>
            <w:pPr>
              <w:snapToGrid w:val="0"/>
              <w:spacing w:line="320" w:lineRule="exact"/>
              <w:rPr>
                <w:rFonts w:ascii="宋体" w:hAnsi="宋体"/>
                <w:szCs w:val="21"/>
              </w:rPr>
            </w:pPr>
          </w:p>
        </w:tc>
        <w:tc>
          <w:tcPr>
            <w:tcW w:w="4791" w:type="dxa"/>
            <w:vAlign w:val="center"/>
          </w:tcPr>
          <w:p>
            <w:pPr>
              <w:snapToGrid w:val="0"/>
              <w:spacing w:line="320" w:lineRule="exact"/>
              <w:rPr>
                <w:rFonts w:ascii="宋体" w:hAnsi="宋体"/>
                <w:szCs w:val="21"/>
              </w:rPr>
            </w:pPr>
            <w:r>
              <w:rPr>
                <w:rFonts w:hint="eastAsia" w:ascii="宋体" w:hAnsi="宋体"/>
                <w:szCs w:val="21"/>
              </w:rPr>
              <w:t>电子邮箱：</w:t>
            </w:r>
          </w:p>
          <w:p>
            <w:pPr>
              <w:snapToGrid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atLeast"/>
          <w:jc w:val="center"/>
        </w:trPr>
        <w:tc>
          <w:tcPr>
            <w:tcW w:w="4791" w:type="dxa"/>
            <w:vAlign w:val="center"/>
          </w:tcPr>
          <w:p>
            <w:pPr>
              <w:snapToGrid w:val="0"/>
              <w:spacing w:line="320" w:lineRule="exact"/>
              <w:rPr>
                <w:rFonts w:ascii="宋体" w:hAnsi="宋体"/>
                <w:szCs w:val="21"/>
              </w:rPr>
            </w:pPr>
            <w:r>
              <w:rPr>
                <w:rFonts w:hint="eastAsia" w:ascii="宋体" w:hAnsi="宋体"/>
                <w:szCs w:val="21"/>
              </w:rPr>
              <w:t>开户银行：</w:t>
            </w:r>
          </w:p>
          <w:p>
            <w:pPr>
              <w:snapToGrid w:val="0"/>
              <w:spacing w:line="320" w:lineRule="exact"/>
              <w:rPr>
                <w:rFonts w:ascii="宋体" w:hAnsi="宋体"/>
                <w:szCs w:val="21"/>
              </w:rPr>
            </w:pPr>
          </w:p>
        </w:tc>
        <w:tc>
          <w:tcPr>
            <w:tcW w:w="4791" w:type="dxa"/>
            <w:vAlign w:val="center"/>
          </w:tcPr>
          <w:p>
            <w:pPr>
              <w:snapToGrid w:val="0"/>
              <w:spacing w:line="320" w:lineRule="exact"/>
              <w:rPr>
                <w:rFonts w:ascii="宋体" w:hAnsi="宋体"/>
                <w:szCs w:val="21"/>
              </w:rPr>
            </w:pPr>
            <w:r>
              <w:rPr>
                <w:rFonts w:hint="eastAsia" w:ascii="宋体" w:hAnsi="宋体"/>
                <w:szCs w:val="21"/>
              </w:rPr>
              <w:t>开户银行：</w:t>
            </w:r>
          </w:p>
          <w:p>
            <w:pPr>
              <w:snapToGrid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791" w:type="dxa"/>
            <w:vAlign w:val="center"/>
          </w:tcPr>
          <w:p>
            <w:pPr>
              <w:snapToGrid w:val="0"/>
              <w:spacing w:line="400" w:lineRule="exact"/>
              <w:rPr>
                <w:rFonts w:ascii="宋体" w:hAnsi="宋体"/>
                <w:szCs w:val="21"/>
              </w:rPr>
            </w:pPr>
            <w:r>
              <w:rPr>
                <w:rFonts w:hint="eastAsia" w:ascii="宋体" w:hAnsi="宋体"/>
                <w:szCs w:val="21"/>
              </w:rPr>
              <w:t>账号：</w:t>
            </w:r>
          </w:p>
          <w:p>
            <w:pPr>
              <w:snapToGrid w:val="0"/>
              <w:spacing w:line="400" w:lineRule="exact"/>
              <w:rPr>
                <w:rFonts w:ascii="宋体" w:hAnsi="宋体"/>
                <w:szCs w:val="21"/>
              </w:rPr>
            </w:pPr>
          </w:p>
        </w:tc>
        <w:tc>
          <w:tcPr>
            <w:tcW w:w="4791" w:type="dxa"/>
            <w:vAlign w:val="center"/>
          </w:tcPr>
          <w:p>
            <w:pPr>
              <w:snapToGrid w:val="0"/>
              <w:spacing w:line="400" w:lineRule="exact"/>
              <w:rPr>
                <w:rFonts w:ascii="宋体" w:hAnsi="宋体"/>
                <w:szCs w:val="21"/>
              </w:rPr>
            </w:pPr>
            <w:r>
              <w:rPr>
                <w:rFonts w:hint="eastAsia" w:ascii="宋体" w:hAnsi="宋体"/>
                <w:szCs w:val="21"/>
              </w:rPr>
              <w:t>账号：</w:t>
            </w:r>
          </w:p>
          <w:p>
            <w:pPr>
              <w:snapToGrid w:val="0"/>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791" w:type="dxa"/>
            <w:vAlign w:val="center"/>
          </w:tcPr>
          <w:p>
            <w:pPr>
              <w:snapToGrid w:val="0"/>
              <w:spacing w:line="400" w:lineRule="exact"/>
              <w:rPr>
                <w:rFonts w:ascii="宋体" w:hAnsi="宋体"/>
                <w:szCs w:val="21"/>
              </w:rPr>
            </w:pPr>
            <w:r>
              <w:rPr>
                <w:rFonts w:hint="eastAsia" w:ascii="宋体" w:hAnsi="宋体"/>
                <w:szCs w:val="21"/>
              </w:rPr>
              <w:t>邮政编码：</w:t>
            </w:r>
          </w:p>
          <w:p>
            <w:pPr>
              <w:snapToGrid w:val="0"/>
              <w:spacing w:line="400" w:lineRule="exact"/>
              <w:rPr>
                <w:rFonts w:ascii="宋体" w:hAnsi="宋体"/>
                <w:szCs w:val="21"/>
              </w:rPr>
            </w:pPr>
          </w:p>
        </w:tc>
        <w:tc>
          <w:tcPr>
            <w:tcW w:w="4791" w:type="dxa"/>
            <w:vAlign w:val="center"/>
          </w:tcPr>
          <w:p>
            <w:pPr>
              <w:snapToGrid w:val="0"/>
              <w:spacing w:line="400" w:lineRule="exact"/>
              <w:rPr>
                <w:rFonts w:ascii="宋体" w:hAnsi="宋体"/>
                <w:szCs w:val="21"/>
              </w:rPr>
            </w:pPr>
            <w:r>
              <w:rPr>
                <w:rFonts w:hint="eastAsia" w:ascii="宋体" w:hAnsi="宋体"/>
                <w:szCs w:val="21"/>
              </w:rPr>
              <w:t>邮政编码：</w:t>
            </w:r>
          </w:p>
          <w:p>
            <w:pPr>
              <w:snapToGrid w:val="0"/>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jc w:val="center"/>
        </w:trPr>
        <w:tc>
          <w:tcPr>
            <w:tcW w:w="9582" w:type="dxa"/>
            <w:gridSpan w:val="2"/>
          </w:tcPr>
          <w:p>
            <w:pPr>
              <w:snapToGrid w:val="0"/>
              <w:spacing w:line="400" w:lineRule="exact"/>
              <w:rPr>
                <w:rFonts w:ascii="宋体" w:hAnsi="宋体"/>
                <w:szCs w:val="21"/>
              </w:rPr>
            </w:pPr>
            <w:r>
              <w:rPr>
                <w:rFonts w:hint="eastAsia" w:ascii="宋体" w:hAnsi="宋体"/>
                <w:szCs w:val="21"/>
              </w:rPr>
              <w:t>经办人：</w:t>
            </w:r>
          </w:p>
          <w:p>
            <w:pPr>
              <w:snapToGrid w:val="0"/>
              <w:spacing w:line="400" w:lineRule="exact"/>
              <w:ind w:firstLine="630" w:firstLineChars="300"/>
              <w:jc w:val="right"/>
              <w:rPr>
                <w:rFonts w:ascii="宋体" w:hAnsi="宋体"/>
                <w:szCs w:val="21"/>
              </w:rPr>
            </w:pPr>
            <w:r>
              <w:rPr>
                <w:rFonts w:hint="eastAsia" w:ascii="宋体" w:hAnsi="宋体"/>
                <w:szCs w:val="21"/>
              </w:rPr>
              <w:t>2020年   月    日</w:t>
            </w:r>
          </w:p>
        </w:tc>
      </w:tr>
    </w:tbl>
    <w:p>
      <w:pPr>
        <w:snapToGrid w:val="0"/>
        <w:spacing w:line="360" w:lineRule="auto"/>
        <w:jc w:val="center"/>
        <w:rPr>
          <w:rFonts w:ascii="宋体" w:hAnsi="宋体"/>
          <w:b/>
          <w:sz w:val="28"/>
          <w:szCs w:val="28"/>
        </w:rPr>
      </w:pPr>
      <w:r>
        <w:rPr>
          <w:rFonts w:hint="eastAsia" w:ascii="宋体" w:hAnsi="宋体"/>
          <w:b/>
          <w:sz w:val="28"/>
          <w:szCs w:val="28"/>
        </w:rPr>
        <w:br w:type="page"/>
      </w:r>
      <w:r>
        <w:rPr>
          <w:rFonts w:hint="eastAsia" w:ascii="宋体" w:hAnsi="宋体"/>
          <w:b/>
          <w:sz w:val="28"/>
          <w:szCs w:val="28"/>
        </w:rPr>
        <w:t>合 同 附 件</w:t>
      </w:r>
    </w:p>
    <w:tbl>
      <w:tblPr>
        <w:tblStyle w:val="14"/>
        <w:tblW w:w="8422" w:type="dxa"/>
        <w:tblInd w:w="196" w:type="dxa"/>
        <w:tblLayout w:type="fixed"/>
        <w:tblCellMar>
          <w:top w:w="0" w:type="dxa"/>
          <w:left w:w="108" w:type="dxa"/>
          <w:bottom w:w="0" w:type="dxa"/>
          <w:right w:w="108" w:type="dxa"/>
        </w:tblCellMar>
      </w:tblPr>
      <w:tblGrid>
        <w:gridCol w:w="4743"/>
        <w:gridCol w:w="3679"/>
      </w:tblGrid>
      <w:tr>
        <w:tblPrEx>
          <w:tblCellMar>
            <w:top w:w="0" w:type="dxa"/>
            <w:left w:w="108" w:type="dxa"/>
            <w:bottom w:w="0" w:type="dxa"/>
            <w:right w:w="108" w:type="dxa"/>
          </w:tblCellMar>
        </w:tblPrEx>
        <w:trPr>
          <w:trHeight w:val="454" w:hRule="exact"/>
        </w:trPr>
        <w:tc>
          <w:tcPr>
            <w:tcW w:w="8422" w:type="dxa"/>
            <w:gridSpan w:val="2"/>
            <w:tcBorders>
              <w:top w:val="single" w:color="auto" w:sz="4" w:space="0"/>
              <w:left w:val="single" w:color="auto" w:sz="4" w:space="0"/>
              <w:right w:val="single" w:color="auto" w:sz="4" w:space="0"/>
            </w:tcBorders>
            <w:vAlign w:val="center"/>
          </w:tcPr>
          <w:p>
            <w:pPr>
              <w:snapToGrid w:val="0"/>
              <w:ind w:firstLine="103"/>
              <w:jc w:val="left"/>
              <w:rPr>
                <w:rFonts w:ascii="宋体" w:hAnsi="宋体"/>
                <w:b/>
                <w:spacing w:val="-8"/>
                <w:szCs w:val="21"/>
              </w:rPr>
            </w:pPr>
            <w:r>
              <w:rPr>
                <w:rFonts w:hint="eastAsia" w:ascii="宋体" w:hAnsi="宋体"/>
                <w:b/>
                <w:spacing w:val="-8"/>
                <w:szCs w:val="21"/>
              </w:rPr>
              <w:t>1、供应商承诺具体事项：</w:t>
            </w:r>
          </w:p>
        </w:tc>
      </w:tr>
      <w:tr>
        <w:tblPrEx>
          <w:tblCellMar>
            <w:top w:w="0" w:type="dxa"/>
            <w:left w:w="108" w:type="dxa"/>
            <w:bottom w:w="0" w:type="dxa"/>
            <w:right w:w="108" w:type="dxa"/>
          </w:tblCellMar>
        </w:tblPrEx>
        <w:trPr>
          <w:trHeight w:val="454" w:hRule="exact"/>
        </w:trPr>
        <w:tc>
          <w:tcPr>
            <w:tcW w:w="8422" w:type="dxa"/>
            <w:gridSpan w:val="2"/>
            <w:tcBorders>
              <w:left w:val="single" w:color="auto" w:sz="4" w:space="0"/>
              <w:right w:val="single" w:color="auto" w:sz="4" w:space="0"/>
            </w:tcBorders>
            <w:vAlign w:val="center"/>
          </w:tcPr>
          <w:p>
            <w:pPr>
              <w:snapToGrid w:val="0"/>
              <w:ind w:firstLine="103"/>
              <w:jc w:val="left"/>
              <w:rPr>
                <w:rFonts w:ascii="宋体" w:hAnsi="宋体"/>
                <w:b/>
                <w:spacing w:val="-8"/>
                <w:szCs w:val="21"/>
              </w:rPr>
            </w:pPr>
            <w:r>
              <w:rPr>
                <w:rFonts w:hint="eastAsia" w:ascii="宋体" w:hAnsi="宋体"/>
                <w:sz w:val="24"/>
              </w:rPr>
              <w:t>详见乙方谈判响应文件相关内容</w:t>
            </w:r>
          </w:p>
        </w:tc>
      </w:tr>
      <w:tr>
        <w:tblPrEx>
          <w:tblCellMar>
            <w:top w:w="0" w:type="dxa"/>
            <w:left w:w="108" w:type="dxa"/>
            <w:bottom w:w="0" w:type="dxa"/>
            <w:right w:w="108" w:type="dxa"/>
          </w:tblCellMar>
        </w:tblPrEx>
        <w:trPr>
          <w:trHeight w:val="454" w:hRule="exact"/>
        </w:trPr>
        <w:tc>
          <w:tcPr>
            <w:tcW w:w="8422" w:type="dxa"/>
            <w:gridSpan w:val="2"/>
            <w:tcBorders>
              <w:left w:val="single" w:color="auto" w:sz="4" w:space="0"/>
              <w:right w:val="single" w:color="auto" w:sz="4" w:space="0"/>
            </w:tcBorders>
            <w:vAlign w:val="center"/>
          </w:tcPr>
          <w:p>
            <w:pPr>
              <w:snapToGrid w:val="0"/>
              <w:ind w:firstLine="103"/>
              <w:jc w:val="left"/>
              <w:rPr>
                <w:rFonts w:ascii="宋体" w:hAnsi="宋体"/>
                <w:b/>
                <w:spacing w:val="-8"/>
                <w:szCs w:val="21"/>
              </w:rPr>
            </w:pPr>
          </w:p>
        </w:tc>
      </w:tr>
      <w:tr>
        <w:tblPrEx>
          <w:tblCellMar>
            <w:top w:w="0" w:type="dxa"/>
            <w:left w:w="108" w:type="dxa"/>
            <w:bottom w:w="0" w:type="dxa"/>
            <w:right w:w="108" w:type="dxa"/>
          </w:tblCellMar>
        </w:tblPrEx>
        <w:trPr>
          <w:trHeight w:val="454" w:hRule="exact"/>
        </w:trPr>
        <w:tc>
          <w:tcPr>
            <w:tcW w:w="8422" w:type="dxa"/>
            <w:gridSpan w:val="2"/>
            <w:tcBorders>
              <w:left w:val="single" w:color="auto" w:sz="4" w:space="0"/>
              <w:right w:val="single" w:color="auto" w:sz="4" w:space="0"/>
            </w:tcBorders>
            <w:vAlign w:val="center"/>
          </w:tcPr>
          <w:p>
            <w:pPr>
              <w:snapToGrid w:val="0"/>
              <w:ind w:firstLine="103"/>
              <w:jc w:val="left"/>
              <w:rPr>
                <w:rFonts w:ascii="宋体" w:hAnsi="宋体"/>
                <w:b/>
                <w:spacing w:val="-8"/>
                <w:szCs w:val="21"/>
              </w:rPr>
            </w:pPr>
          </w:p>
        </w:tc>
      </w:tr>
      <w:tr>
        <w:tblPrEx>
          <w:tblCellMar>
            <w:top w:w="0" w:type="dxa"/>
            <w:left w:w="108" w:type="dxa"/>
            <w:bottom w:w="0" w:type="dxa"/>
            <w:right w:w="108" w:type="dxa"/>
          </w:tblCellMar>
        </w:tblPrEx>
        <w:trPr>
          <w:trHeight w:val="454" w:hRule="exact"/>
        </w:trPr>
        <w:tc>
          <w:tcPr>
            <w:tcW w:w="8422" w:type="dxa"/>
            <w:gridSpan w:val="2"/>
            <w:tcBorders>
              <w:left w:val="single" w:color="auto" w:sz="4" w:space="0"/>
              <w:right w:val="single" w:color="auto" w:sz="4" w:space="0"/>
            </w:tcBorders>
            <w:vAlign w:val="center"/>
          </w:tcPr>
          <w:p>
            <w:pPr>
              <w:snapToGrid w:val="0"/>
              <w:jc w:val="left"/>
              <w:rPr>
                <w:rFonts w:ascii="宋体" w:hAnsi="宋体"/>
                <w:b/>
                <w:spacing w:val="-8"/>
                <w:szCs w:val="21"/>
              </w:rPr>
            </w:pPr>
          </w:p>
        </w:tc>
      </w:tr>
      <w:tr>
        <w:tblPrEx>
          <w:tblCellMar>
            <w:top w:w="0" w:type="dxa"/>
            <w:left w:w="108" w:type="dxa"/>
            <w:bottom w:w="0" w:type="dxa"/>
            <w:right w:w="108" w:type="dxa"/>
          </w:tblCellMar>
        </w:tblPrEx>
        <w:trPr>
          <w:trHeight w:val="454" w:hRule="exact"/>
        </w:trPr>
        <w:tc>
          <w:tcPr>
            <w:tcW w:w="8422" w:type="dxa"/>
            <w:gridSpan w:val="2"/>
            <w:tcBorders>
              <w:left w:val="single" w:color="auto" w:sz="4" w:space="0"/>
              <w:bottom w:val="single" w:color="auto" w:sz="4" w:space="0"/>
              <w:right w:val="single" w:color="auto" w:sz="4" w:space="0"/>
            </w:tcBorders>
            <w:vAlign w:val="center"/>
          </w:tcPr>
          <w:p>
            <w:pPr>
              <w:snapToGrid w:val="0"/>
              <w:jc w:val="left"/>
              <w:rPr>
                <w:rFonts w:ascii="宋体" w:hAnsi="宋体"/>
                <w:b/>
                <w:spacing w:val="-8"/>
                <w:szCs w:val="21"/>
              </w:rPr>
            </w:pPr>
          </w:p>
        </w:tc>
      </w:tr>
      <w:tr>
        <w:tblPrEx>
          <w:tblCellMar>
            <w:top w:w="0" w:type="dxa"/>
            <w:left w:w="108" w:type="dxa"/>
            <w:bottom w:w="0" w:type="dxa"/>
            <w:right w:w="108" w:type="dxa"/>
          </w:tblCellMar>
        </w:tblPrEx>
        <w:trPr>
          <w:trHeight w:val="454" w:hRule="exact"/>
        </w:trPr>
        <w:tc>
          <w:tcPr>
            <w:tcW w:w="8422" w:type="dxa"/>
            <w:gridSpan w:val="2"/>
            <w:tcBorders>
              <w:top w:val="single" w:color="auto" w:sz="4" w:space="0"/>
              <w:left w:val="single" w:color="auto" w:sz="4" w:space="0"/>
              <w:right w:val="single" w:color="auto" w:sz="4" w:space="0"/>
            </w:tcBorders>
            <w:vAlign w:val="center"/>
          </w:tcPr>
          <w:p>
            <w:pPr>
              <w:snapToGrid w:val="0"/>
              <w:ind w:firstLine="103"/>
              <w:jc w:val="left"/>
              <w:rPr>
                <w:rFonts w:ascii="宋体" w:hAnsi="宋体"/>
                <w:b/>
                <w:spacing w:val="-8"/>
                <w:szCs w:val="21"/>
              </w:rPr>
            </w:pPr>
            <w:r>
              <w:rPr>
                <w:rFonts w:hint="eastAsia" w:ascii="宋体" w:hAnsi="宋体"/>
                <w:b/>
                <w:spacing w:val="-8"/>
                <w:szCs w:val="21"/>
              </w:rPr>
              <w:t>2、售后服务具体事项：</w:t>
            </w:r>
          </w:p>
        </w:tc>
      </w:tr>
      <w:tr>
        <w:tblPrEx>
          <w:tblCellMar>
            <w:top w:w="0" w:type="dxa"/>
            <w:left w:w="108" w:type="dxa"/>
            <w:bottom w:w="0" w:type="dxa"/>
            <w:right w:w="108" w:type="dxa"/>
          </w:tblCellMar>
        </w:tblPrEx>
        <w:trPr>
          <w:trHeight w:val="454" w:hRule="exact"/>
        </w:trPr>
        <w:tc>
          <w:tcPr>
            <w:tcW w:w="8422" w:type="dxa"/>
            <w:gridSpan w:val="2"/>
            <w:tcBorders>
              <w:left w:val="single" w:color="auto" w:sz="4" w:space="0"/>
              <w:right w:val="single" w:color="auto" w:sz="4" w:space="0"/>
            </w:tcBorders>
            <w:vAlign w:val="center"/>
          </w:tcPr>
          <w:p>
            <w:pPr>
              <w:snapToGrid w:val="0"/>
              <w:ind w:firstLine="103"/>
              <w:jc w:val="left"/>
              <w:rPr>
                <w:rFonts w:ascii="宋体" w:hAnsi="宋体"/>
                <w:b/>
                <w:spacing w:val="-8"/>
                <w:szCs w:val="21"/>
              </w:rPr>
            </w:pPr>
            <w:r>
              <w:rPr>
                <w:rFonts w:hint="eastAsia" w:ascii="宋体" w:hAnsi="宋体"/>
                <w:sz w:val="24"/>
              </w:rPr>
              <w:t>详见乙方谈判响应文件售后服务承诺相关内容</w:t>
            </w:r>
          </w:p>
        </w:tc>
      </w:tr>
      <w:tr>
        <w:tblPrEx>
          <w:tblCellMar>
            <w:top w:w="0" w:type="dxa"/>
            <w:left w:w="108" w:type="dxa"/>
            <w:bottom w:w="0" w:type="dxa"/>
            <w:right w:w="108" w:type="dxa"/>
          </w:tblCellMar>
        </w:tblPrEx>
        <w:trPr>
          <w:trHeight w:val="454" w:hRule="exact"/>
        </w:trPr>
        <w:tc>
          <w:tcPr>
            <w:tcW w:w="8422" w:type="dxa"/>
            <w:gridSpan w:val="2"/>
            <w:tcBorders>
              <w:left w:val="single" w:color="auto" w:sz="4" w:space="0"/>
              <w:right w:val="single" w:color="auto" w:sz="4" w:space="0"/>
            </w:tcBorders>
            <w:vAlign w:val="center"/>
          </w:tcPr>
          <w:p>
            <w:pPr>
              <w:snapToGrid w:val="0"/>
              <w:ind w:firstLine="103"/>
              <w:jc w:val="left"/>
              <w:rPr>
                <w:rFonts w:ascii="宋体" w:hAnsi="宋体"/>
                <w:b/>
                <w:spacing w:val="-8"/>
                <w:szCs w:val="21"/>
              </w:rPr>
            </w:pPr>
          </w:p>
        </w:tc>
      </w:tr>
      <w:tr>
        <w:tblPrEx>
          <w:tblCellMar>
            <w:top w:w="0" w:type="dxa"/>
            <w:left w:w="108" w:type="dxa"/>
            <w:bottom w:w="0" w:type="dxa"/>
            <w:right w:w="108" w:type="dxa"/>
          </w:tblCellMar>
        </w:tblPrEx>
        <w:trPr>
          <w:trHeight w:val="454" w:hRule="exact"/>
        </w:trPr>
        <w:tc>
          <w:tcPr>
            <w:tcW w:w="8422" w:type="dxa"/>
            <w:gridSpan w:val="2"/>
            <w:tcBorders>
              <w:left w:val="single" w:color="auto" w:sz="4" w:space="0"/>
              <w:right w:val="single" w:color="auto" w:sz="4" w:space="0"/>
            </w:tcBorders>
            <w:vAlign w:val="center"/>
          </w:tcPr>
          <w:p>
            <w:pPr>
              <w:snapToGrid w:val="0"/>
              <w:ind w:firstLine="103"/>
              <w:jc w:val="left"/>
              <w:rPr>
                <w:rFonts w:ascii="宋体" w:hAnsi="宋体"/>
                <w:b/>
                <w:spacing w:val="-8"/>
                <w:szCs w:val="21"/>
              </w:rPr>
            </w:pPr>
          </w:p>
        </w:tc>
      </w:tr>
      <w:tr>
        <w:tblPrEx>
          <w:tblCellMar>
            <w:top w:w="0" w:type="dxa"/>
            <w:left w:w="108" w:type="dxa"/>
            <w:bottom w:w="0" w:type="dxa"/>
            <w:right w:w="108" w:type="dxa"/>
          </w:tblCellMar>
        </w:tblPrEx>
        <w:trPr>
          <w:trHeight w:val="454" w:hRule="exact"/>
        </w:trPr>
        <w:tc>
          <w:tcPr>
            <w:tcW w:w="8422" w:type="dxa"/>
            <w:gridSpan w:val="2"/>
            <w:tcBorders>
              <w:left w:val="single" w:color="auto" w:sz="4" w:space="0"/>
              <w:right w:val="single" w:color="auto" w:sz="4" w:space="0"/>
            </w:tcBorders>
            <w:vAlign w:val="center"/>
          </w:tcPr>
          <w:p>
            <w:pPr>
              <w:snapToGrid w:val="0"/>
              <w:ind w:firstLine="103"/>
              <w:jc w:val="left"/>
              <w:rPr>
                <w:rFonts w:ascii="宋体" w:hAnsi="宋体"/>
                <w:b/>
                <w:spacing w:val="-8"/>
                <w:szCs w:val="21"/>
              </w:rPr>
            </w:pPr>
          </w:p>
        </w:tc>
      </w:tr>
      <w:tr>
        <w:tblPrEx>
          <w:tblCellMar>
            <w:top w:w="0" w:type="dxa"/>
            <w:left w:w="108" w:type="dxa"/>
            <w:bottom w:w="0" w:type="dxa"/>
            <w:right w:w="108" w:type="dxa"/>
          </w:tblCellMar>
        </w:tblPrEx>
        <w:trPr>
          <w:trHeight w:val="454" w:hRule="exact"/>
        </w:trPr>
        <w:tc>
          <w:tcPr>
            <w:tcW w:w="8422" w:type="dxa"/>
            <w:gridSpan w:val="2"/>
            <w:tcBorders>
              <w:left w:val="single" w:color="auto" w:sz="4" w:space="0"/>
              <w:bottom w:val="single" w:color="auto" w:sz="4" w:space="0"/>
              <w:right w:val="single" w:color="auto" w:sz="4" w:space="0"/>
            </w:tcBorders>
            <w:vAlign w:val="center"/>
          </w:tcPr>
          <w:p>
            <w:pPr>
              <w:snapToGrid w:val="0"/>
              <w:ind w:firstLine="103"/>
              <w:jc w:val="left"/>
              <w:rPr>
                <w:rFonts w:ascii="宋体" w:hAnsi="宋体"/>
                <w:b/>
                <w:spacing w:val="-8"/>
                <w:szCs w:val="21"/>
              </w:rPr>
            </w:pPr>
          </w:p>
        </w:tc>
      </w:tr>
      <w:tr>
        <w:tblPrEx>
          <w:tblCellMar>
            <w:top w:w="0" w:type="dxa"/>
            <w:left w:w="108" w:type="dxa"/>
            <w:bottom w:w="0" w:type="dxa"/>
            <w:right w:w="108" w:type="dxa"/>
          </w:tblCellMar>
        </w:tblPrEx>
        <w:trPr>
          <w:trHeight w:val="454" w:hRule="exact"/>
        </w:trPr>
        <w:tc>
          <w:tcPr>
            <w:tcW w:w="8422" w:type="dxa"/>
            <w:gridSpan w:val="2"/>
            <w:tcBorders>
              <w:top w:val="single" w:color="auto" w:sz="4" w:space="0"/>
              <w:left w:val="single" w:color="auto" w:sz="4" w:space="0"/>
              <w:right w:val="single" w:color="auto" w:sz="4" w:space="0"/>
            </w:tcBorders>
            <w:vAlign w:val="center"/>
          </w:tcPr>
          <w:p>
            <w:pPr>
              <w:snapToGrid w:val="0"/>
              <w:ind w:firstLine="103"/>
              <w:jc w:val="left"/>
              <w:rPr>
                <w:rFonts w:ascii="宋体" w:hAnsi="宋体"/>
                <w:b/>
                <w:spacing w:val="-8"/>
                <w:szCs w:val="21"/>
              </w:rPr>
            </w:pPr>
            <w:r>
              <w:rPr>
                <w:rFonts w:hint="eastAsia" w:ascii="宋体" w:hAnsi="宋体"/>
                <w:b/>
                <w:spacing w:val="-8"/>
                <w:szCs w:val="21"/>
              </w:rPr>
              <w:t>3、质保期责任：</w:t>
            </w:r>
          </w:p>
        </w:tc>
      </w:tr>
      <w:tr>
        <w:tblPrEx>
          <w:tblCellMar>
            <w:top w:w="0" w:type="dxa"/>
            <w:left w:w="108" w:type="dxa"/>
            <w:bottom w:w="0" w:type="dxa"/>
            <w:right w:w="108" w:type="dxa"/>
          </w:tblCellMar>
        </w:tblPrEx>
        <w:trPr>
          <w:trHeight w:val="454" w:hRule="exact"/>
        </w:trPr>
        <w:tc>
          <w:tcPr>
            <w:tcW w:w="8422" w:type="dxa"/>
            <w:gridSpan w:val="2"/>
            <w:tcBorders>
              <w:left w:val="single" w:color="auto" w:sz="4" w:space="0"/>
              <w:right w:val="single" w:color="auto" w:sz="4" w:space="0"/>
            </w:tcBorders>
            <w:vAlign w:val="center"/>
          </w:tcPr>
          <w:p>
            <w:pPr>
              <w:snapToGrid w:val="0"/>
              <w:ind w:firstLine="103"/>
              <w:jc w:val="left"/>
              <w:rPr>
                <w:rFonts w:ascii="宋体" w:hAnsi="宋体"/>
                <w:b/>
                <w:spacing w:val="-8"/>
                <w:szCs w:val="21"/>
              </w:rPr>
            </w:pPr>
            <w:r>
              <w:rPr>
                <w:rFonts w:hint="eastAsia" w:ascii="宋体" w:hAnsi="宋体"/>
                <w:sz w:val="24"/>
              </w:rPr>
              <w:t>详见乙方谈判响应文件售后服务承诺相关内容</w:t>
            </w:r>
          </w:p>
        </w:tc>
      </w:tr>
      <w:tr>
        <w:tblPrEx>
          <w:tblCellMar>
            <w:top w:w="0" w:type="dxa"/>
            <w:left w:w="108" w:type="dxa"/>
            <w:bottom w:w="0" w:type="dxa"/>
            <w:right w:w="108" w:type="dxa"/>
          </w:tblCellMar>
        </w:tblPrEx>
        <w:trPr>
          <w:trHeight w:val="454" w:hRule="exact"/>
        </w:trPr>
        <w:tc>
          <w:tcPr>
            <w:tcW w:w="8422" w:type="dxa"/>
            <w:gridSpan w:val="2"/>
            <w:tcBorders>
              <w:left w:val="single" w:color="auto" w:sz="4" w:space="0"/>
              <w:right w:val="single" w:color="auto" w:sz="4" w:space="0"/>
            </w:tcBorders>
            <w:vAlign w:val="center"/>
          </w:tcPr>
          <w:p>
            <w:pPr>
              <w:snapToGrid w:val="0"/>
              <w:ind w:firstLine="103"/>
              <w:jc w:val="left"/>
              <w:rPr>
                <w:rFonts w:ascii="宋体" w:hAnsi="宋体"/>
                <w:b/>
                <w:spacing w:val="-8"/>
                <w:szCs w:val="21"/>
              </w:rPr>
            </w:pPr>
          </w:p>
        </w:tc>
      </w:tr>
      <w:tr>
        <w:tblPrEx>
          <w:tblCellMar>
            <w:top w:w="0" w:type="dxa"/>
            <w:left w:w="108" w:type="dxa"/>
            <w:bottom w:w="0" w:type="dxa"/>
            <w:right w:w="108" w:type="dxa"/>
          </w:tblCellMar>
        </w:tblPrEx>
        <w:trPr>
          <w:trHeight w:val="454" w:hRule="exact"/>
        </w:trPr>
        <w:tc>
          <w:tcPr>
            <w:tcW w:w="8422" w:type="dxa"/>
            <w:gridSpan w:val="2"/>
            <w:tcBorders>
              <w:left w:val="single" w:color="auto" w:sz="4" w:space="0"/>
              <w:right w:val="single" w:color="auto" w:sz="4" w:space="0"/>
            </w:tcBorders>
            <w:vAlign w:val="center"/>
          </w:tcPr>
          <w:p>
            <w:pPr>
              <w:snapToGrid w:val="0"/>
              <w:ind w:firstLine="103"/>
              <w:jc w:val="left"/>
              <w:rPr>
                <w:rFonts w:ascii="宋体" w:hAnsi="宋体"/>
                <w:b/>
                <w:spacing w:val="-8"/>
                <w:szCs w:val="21"/>
              </w:rPr>
            </w:pPr>
          </w:p>
        </w:tc>
      </w:tr>
      <w:tr>
        <w:tblPrEx>
          <w:tblCellMar>
            <w:top w:w="0" w:type="dxa"/>
            <w:left w:w="108" w:type="dxa"/>
            <w:bottom w:w="0" w:type="dxa"/>
            <w:right w:w="108" w:type="dxa"/>
          </w:tblCellMar>
        </w:tblPrEx>
        <w:trPr>
          <w:trHeight w:val="454" w:hRule="exact"/>
        </w:trPr>
        <w:tc>
          <w:tcPr>
            <w:tcW w:w="8422" w:type="dxa"/>
            <w:gridSpan w:val="2"/>
            <w:tcBorders>
              <w:left w:val="single" w:color="auto" w:sz="4" w:space="0"/>
              <w:right w:val="single" w:color="auto" w:sz="4" w:space="0"/>
            </w:tcBorders>
            <w:vAlign w:val="center"/>
          </w:tcPr>
          <w:p>
            <w:pPr>
              <w:snapToGrid w:val="0"/>
              <w:ind w:firstLine="103"/>
              <w:jc w:val="left"/>
              <w:rPr>
                <w:rFonts w:ascii="宋体" w:hAnsi="宋体"/>
                <w:b/>
                <w:spacing w:val="-8"/>
                <w:szCs w:val="21"/>
              </w:rPr>
            </w:pPr>
          </w:p>
        </w:tc>
      </w:tr>
      <w:tr>
        <w:tblPrEx>
          <w:tblCellMar>
            <w:top w:w="0" w:type="dxa"/>
            <w:left w:w="108" w:type="dxa"/>
            <w:bottom w:w="0" w:type="dxa"/>
            <w:right w:w="108" w:type="dxa"/>
          </w:tblCellMar>
        </w:tblPrEx>
        <w:trPr>
          <w:trHeight w:val="454" w:hRule="exact"/>
        </w:trPr>
        <w:tc>
          <w:tcPr>
            <w:tcW w:w="8422" w:type="dxa"/>
            <w:gridSpan w:val="2"/>
            <w:tcBorders>
              <w:left w:val="single" w:color="auto" w:sz="4" w:space="0"/>
              <w:right w:val="single" w:color="auto" w:sz="4" w:space="0"/>
            </w:tcBorders>
            <w:vAlign w:val="center"/>
          </w:tcPr>
          <w:p>
            <w:pPr>
              <w:snapToGrid w:val="0"/>
              <w:ind w:firstLine="103"/>
              <w:jc w:val="left"/>
              <w:rPr>
                <w:rFonts w:ascii="宋体" w:hAnsi="宋体"/>
                <w:b/>
                <w:spacing w:val="-8"/>
                <w:szCs w:val="21"/>
              </w:rPr>
            </w:pPr>
          </w:p>
        </w:tc>
      </w:tr>
      <w:tr>
        <w:tblPrEx>
          <w:tblCellMar>
            <w:top w:w="0" w:type="dxa"/>
            <w:left w:w="108" w:type="dxa"/>
            <w:bottom w:w="0" w:type="dxa"/>
            <w:right w:w="108" w:type="dxa"/>
          </w:tblCellMar>
        </w:tblPrEx>
        <w:trPr>
          <w:trHeight w:val="90" w:hRule="exact"/>
        </w:trPr>
        <w:tc>
          <w:tcPr>
            <w:tcW w:w="8422" w:type="dxa"/>
            <w:gridSpan w:val="2"/>
            <w:tcBorders>
              <w:left w:val="single" w:color="auto" w:sz="4" w:space="0"/>
              <w:bottom w:val="single" w:color="auto" w:sz="4" w:space="0"/>
              <w:right w:val="single" w:color="auto" w:sz="4" w:space="0"/>
            </w:tcBorders>
            <w:vAlign w:val="center"/>
          </w:tcPr>
          <w:p>
            <w:pPr>
              <w:snapToGrid w:val="0"/>
              <w:ind w:firstLine="103"/>
              <w:jc w:val="left"/>
              <w:rPr>
                <w:rFonts w:ascii="宋体" w:hAnsi="宋体"/>
                <w:b/>
                <w:spacing w:val="-8"/>
                <w:szCs w:val="21"/>
              </w:rPr>
            </w:pPr>
          </w:p>
        </w:tc>
      </w:tr>
      <w:tr>
        <w:tblPrEx>
          <w:tblCellMar>
            <w:top w:w="0" w:type="dxa"/>
            <w:left w:w="108" w:type="dxa"/>
            <w:bottom w:w="0" w:type="dxa"/>
            <w:right w:w="108" w:type="dxa"/>
          </w:tblCellMar>
        </w:tblPrEx>
        <w:trPr>
          <w:trHeight w:val="2240" w:hRule="exact"/>
        </w:trPr>
        <w:tc>
          <w:tcPr>
            <w:tcW w:w="8422"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b/>
                <w:spacing w:val="-8"/>
                <w:szCs w:val="21"/>
              </w:rPr>
            </w:pPr>
            <w:r>
              <w:rPr>
                <w:rFonts w:hint="eastAsia" w:ascii="宋体" w:hAnsi="宋体"/>
                <w:b/>
                <w:spacing w:val="-8"/>
                <w:szCs w:val="21"/>
              </w:rPr>
              <w:t>4、其他具体事项：</w:t>
            </w:r>
          </w:p>
        </w:tc>
      </w:tr>
      <w:tr>
        <w:tblPrEx>
          <w:tblCellMar>
            <w:top w:w="0" w:type="dxa"/>
            <w:left w:w="108" w:type="dxa"/>
            <w:bottom w:w="0" w:type="dxa"/>
            <w:right w:w="108" w:type="dxa"/>
          </w:tblCellMar>
        </w:tblPrEx>
        <w:trPr>
          <w:trHeight w:val="2557" w:hRule="atLeast"/>
        </w:trPr>
        <w:tc>
          <w:tcPr>
            <w:tcW w:w="4743" w:type="dxa"/>
            <w:tcBorders>
              <w:top w:val="single" w:color="auto" w:sz="4" w:space="0"/>
              <w:left w:val="single" w:color="auto" w:sz="4" w:space="0"/>
              <w:bottom w:val="single" w:color="auto" w:sz="4" w:space="0"/>
              <w:right w:val="single" w:color="auto" w:sz="4" w:space="0"/>
            </w:tcBorders>
            <w:vAlign w:val="center"/>
          </w:tcPr>
          <w:p>
            <w:pPr>
              <w:snapToGrid w:val="0"/>
              <w:ind w:firstLine="482"/>
              <w:rPr>
                <w:rFonts w:ascii="宋体" w:hAnsi="宋体"/>
                <w:b/>
                <w:spacing w:val="-8"/>
                <w:szCs w:val="21"/>
              </w:rPr>
            </w:pPr>
            <w:r>
              <w:rPr>
                <w:rFonts w:hint="eastAsia" w:ascii="宋体" w:hAnsi="宋体"/>
                <w:b/>
                <w:spacing w:val="-8"/>
                <w:szCs w:val="21"/>
              </w:rPr>
              <w:t>甲方（章）</w:t>
            </w:r>
          </w:p>
          <w:p>
            <w:pPr>
              <w:snapToGrid w:val="0"/>
              <w:ind w:firstLine="482"/>
              <w:rPr>
                <w:rFonts w:ascii="宋体" w:hAnsi="宋体"/>
                <w:b/>
                <w:spacing w:val="-8"/>
                <w:szCs w:val="21"/>
              </w:rPr>
            </w:pPr>
          </w:p>
          <w:p>
            <w:pPr>
              <w:snapToGrid w:val="0"/>
              <w:ind w:firstLine="482"/>
              <w:rPr>
                <w:rFonts w:ascii="宋体" w:hAnsi="宋体"/>
                <w:b/>
                <w:spacing w:val="-8"/>
                <w:szCs w:val="21"/>
              </w:rPr>
            </w:pPr>
          </w:p>
          <w:p>
            <w:pPr>
              <w:snapToGrid w:val="0"/>
              <w:ind w:firstLine="482"/>
              <w:rPr>
                <w:rFonts w:ascii="宋体" w:hAnsi="宋体"/>
                <w:b/>
                <w:spacing w:val="-8"/>
                <w:szCs w:val="21"/>
              </w:rPr>
            </w:pPr>
          </w:p>
          <w:p>
            <w:pPr>
              <w:snapToGrid w:val="0"/>
              <w:ind w:firstLine="482"/>
              <w:rPr>
                <w:rFonts w:ascii="宋体" w:hAnsi="宋体"/>
                <w:b/>
                <w:spacing w:val="-8"/>
                <w:szCs w:val="21"/>
              </w:rPr>
            </w:pPr>
          </w:p>
          <w:p>
            <w:pPr>
              <w:snapToGrid w:val="0"/>
              <w:ind w:firstLine="482"/>
              <w:rPr>
                <w:rFonts w:ascii="宋体" w:hAnsi="宋体"/>
                <w:b/>
                <w:spacing w:val="-8"/>
                <w:szCs w:val="21"/>
              </w:rPr>
            </w:pPr>
          </w:p>
          <w:p>
            <w:pPr>
              <w:snapToGrid w:val="0"/>
              <w:ind w:firstLine="482"/>
              <w:rPr>
                <w:rFonts w:ascii="宋体" w:hAnsi="宋体"/>
                <w:b/>
                <w:spacing w:val="-8"/>
                <w:szCs w:val="21"/>
              </w:rPr>
            </w:pPr>
            <w:r>
              <w:rPr>
                <w:rFonts w:hint="eastAsia" w:ascii="宋体" w:hAnsi="宋体"/>
                <w:b/>
                <w:spacing w:val="-8"/>
                <w:szCs w:val="21"/>
              </w:rPr>
              <w:t xml:space="preserve">                 2020年   月   日 </w:t>
            </w:r>
          </w:p>
        </w:tc>
        <w:tc>
          <w:tcPr>
            <w:tcW w:w="3679" w:type="dxa"/>
            <w:tcBorders>
              <w:top w:val="single" w:color="auto" w:sz="4" w:space="0"/>
              <w:left w:val="single" w:color="auto" w:sz="4" w:space="0"/>
              <w:bottom w:val="single" w:color="auto" w:sz="4" w:space="0"/>
              <w:right w:val="single" w:color="auto" w:sz="4" w:space="0"/>
            </w:tcBorders>
            <w:vAlign w:val="center"/>
          </w:tcPr>
          <w:p>
            <w:pPr>
              <w:snapToGrid w:val="0"/>
              <w:ind w:firstLine="482"/>
              <w:rPr>
                <w:rFonts w:ascii="宋体" w:hAnsi="宋体"/>
                <w:b/>
                <w:spacing w:val="-8"/>
                <w:szCs w:val="21"/>
              </w:rPr>
            </w:pPr>
            <w:r>
              <w:rPr>
                <w:rFonts w:hint="eastAsia" w:ascii="宋体" w:hAnsi="宋体"/>
                <w:b/>
                <w:spacing w:val="-8"/>
                <w:szCs w:val="21"/>
              </w:rPr>
              <w:t>乙方（章）</w:t>
            </w:r>
          </w:p>
          <w:p>
            <w:pPr>
              <w:snapToGrid w:val="0"/>
              <w:ind w:firstLine="482"/>
              <w:rPr>
                <w:rFonts w:ascii="宋体" w:hAnsi="宋体"/>
                <w:b/>
                <w:spacing w:val="-8"/>
                <w:szCs w:val="21"/>
              </w:rPr>
            </w:pPr>
          </w:p>
          <w:p>
            <w:pPr>
              <w:snapToGrid w:val="0"/>
              <w:ind w:firstLine="482"/>
              <w:rPr>
                <w:rFonts w:ascii="宋体" w:hAnsi="宋体"/>
                <w:b/>
                <w:spacing w:val="-8"/>
                <w:szCs w:val="21"/>
              </w:rPr>
            </w:pPr>
          </w:p>
          <w:p>
            <w:pPr>
              <w:snapToGrid w:val="0"/>
              <w:ind w:firstLine="482"/>
              <w:rPr>
                <w:rFonts w:ascii="宋体" w:hAnsi="宋体"/>
                <w:b/>
                <w:spacing w:val="-8"/>
                <w:szCs w:val="21"/>
              </w:rPr>
            </w:pPr>
          </w:p>
          <w:p>
            <w:pPr>
              <w:snapToGrid w:val="0"/>
              <w:ind w:firstLine="482"/>
              <w:rPr>
                <w:rFonts w:ascii="宋体" w:hAnsi="宋体"/>
                <w:b/>
                <w:spacing w:val="-8"/>
                <w:szCs w:val="21"/>
              </w:rPr>
            </w:pPr>
          </w:p>
          <w:p>
            <w:pPr>
              <w:snapToGrid w:val="0"/>
              <w:ind w:firstLine="482"/>
              <w:rPr>
                <w:rFonts w:ascii="宋体" w:hAnsi="宋体"/>
                <w:b/>
                <w:spacing w:val="-8"/>
                <w:szCs w:val="21"/>
              </w:rPr>
            </w:pPr>
          </w:p>
          <w:p>
            <w:pPr>
              <w:snapToGrid w:val="0"/>
              <w:ind w:firstLine="482"/>
              <w:rPr>
                <w:rFonts w:ascii="宋体" w:hAnsi="宋体"/>
                <w:b/>
                <w:spacing w:val="-8"/>
                <w:szCs w:val="21"/>
              </w:rPr>
            </w:pPr>
          </w:p>
          <w:p>
            <w:pPr>
              <w:snapToGrid w:val="0"/>
              <w:ind w:firstLine="482"/>
              <w:rPr>
                <w:rFonts w:ascii="宋体" w:hAnsi="宋体"/>
                <w:b/>
                <w:spacing w:val="-8"/>
                <w:szCs w:val="21"/>
              </w:rPr>
            </w:pPr>
            <w:r>
              <w:rPr>
                <w:rFonts w:hint="eastAsia" w:ascii="宋体" w:hAnsi="宋体"/>
                <w:b/>
                <w:spacing w:val="-8"/>
                <w:szCs w:val="21"/>
              </w:rPr>
              <w:t xml:space="preserve">                2020年   月   日</w:t>
            </w:r>
          </w:p>
        </w:tc>
      </w:tr>
    </w:tbl>
    <w:p>
      <w:pPr>
        <w:snapToGrid w:val="0"/>
        <w:rPr>
          <w:rFonts w:ascii="宋体" w:hAnsi="宋体"/>
          <w:szCs w:val="21"/>
        </w:rPr>
      </w:pPr>
      <w:r>
        <w:rPr>
          <w:rFonts w:hint="eastAsia" w:ascii="宋体" w:hAnsi="宋体"/>
          <w:szCs w:val="21"/>
        </w:rPr>
        <w:t xml:space="preserve">  注：售后服务事项填不下时可另加附页</w:t>
      </w:r>
    </w:p>
    <w:p>
      <w:pPr>
        <w:adjustRightInd w:val="0"/>
        <w:snapToGrid w:val="0"/>
        <w:spacing w:line="300" w:lineRule="auto"/>
        <w:ind w:left="-88" w:leftChars="-42"/>
        <w:rPr>
          <w:rFonts w:ascii="宋体" w:hAnsi="宋体"/>
          <w:szCs w:val="21"/>
        </w:rPr>
      </w:pPr>
      <w:r>
        <w:rPr>
          <w:rFonts w:ascii="宋体" w:hAnsi="宋体"/>
          <w:szCs w:val="21"/>
        </w:rPr>
        <w:br w:type="page"/>
      </w:r>
    </w:p>
    <w:p>
      <w:pPr>
        <w:spacing w:line="360" w:lineRule="exact"/>
        <w:jc w:val="center"/>
        <w:outlineLvl w:val="0"/>
        <w:rPr>
          <w:rFonts w:ascii="宋体" w:hAnsi="宋体"/>
          <w:b/>
          <w:sz w:val="28"/>
          <w:szCs w:val="28"/>
        </w:rPr>
      </w:pPr>
      <w:bookmarkStart w:id="120" w:name="_Toc488673067"/>
      <w:r>
        <w:rPr>
          <w:rFonts w:hint="eastAsia" w:ascii="宋体" w:hAnsi="宋体"/>
          <w:b/>
          <w:sz w:val="28"/>
          <w:szCs w:val="28"/>
        </w:rPr>
        <w:t>第六章   评审标准</w:t>
      </w:r>
      <w:bookmarkEnd w:id="120"/>
    </w:p>
    <w:p>
      <w:pPr>
        <w:spacing w:line="410" w:lineRule="exact"/>
        <w:jc w:val="center"/>
        <w:rPr>
          <w:rFonts w:ascii="宋体" w:hAnsi="宋体"/>
          <w:b/>
          <w:sz w:val="28"/>
        </w:rPr>
      </w:pPr>
    </w:p>
    <w:p>
      <w:pPr>
        <w:spacing w:line="500" w:lineRule="exact"/>
        <w:ind w:firstLine="422" w:firstLineChars="200"/>
        <w:rPr>
          <w:rFonts w:ascii="宋体" w:hAnsi="宋体"/>
          <w:b/>
          <w:szCs w:val="21"/>
        </w:rPr>
      </w:pPr>
      <w:r>
        <w:rPr>
          <w:rFonts w:hint="eastAsia" w:ascii="宋体" w:hAnsi="宋体"/>
          <w:b/>
          <w:szCs w:val="21"/>
        </w:rPr>
        <w:t>一、评标原则：</w:t>
      </w:r>
    </w:p>
    <w:p>
      <w:pPr>
        <w:spacing w:line="500" w:lineRule="exact"/>
        <w:ind w:firstLine="420" w:firstLineChars="200"/>
        <w:rPr>
          <w:rFonts w:ascii="宋体" w:hAnsi="宋体"/>
          <w:szCs w:val="21"/>
        </w:rPr>
      </w:pPr>
      <w:r>
        <w:rPr>
          <w:rFonts w:hint="eastAsia" w:ascii="宋体" w:hAnsi="宋体"/>
          <w:szCs w:val="21"/>
        </w:rPr>
        <w:t>（一）谈判小组的构成：本采购项目的谈判小组分别由依法组成的评审专家三人以上单数组成，其中专家人数不少于成员总数的三分之二。</w:t>
      </w:r>
    </w:p>
    <w:p>
      <w:pPr>
        <w:spacing w:line="500" w:lineRule="exact"/>
        <w:ind w:firstLine="420" w:firstLineChars="200"/>
        <w:rPr>
          <w:rFonts w:ascii="宋体" w:hAnsi="宋体"/>
          <w:szCs w:val="21"/>
        </w:rPr>
      </w:pPr>
      <w:r>
        <w:rPr>
          <w:rFonts w:hint="eastAsia" w:ascii="宋体" w:hAnsi="宋体"/>
          <w:szCs w:val="21"/>
        </w:rPr>
        <w:t>（二）评标依据：以竞争性谈判采购文件、响应文件为评定依据。</w:t>
      </w:r>
    </w:p>
    <w:p>
      <w:pPr>
        <w:spacing w:line="500" w:lineRule="exact"/>
        <w:ind w:firstLine="420" w:firstLineChars="200"/>
        <w:rPr>
          <w:rFonts w:ascii="宋体" w:hAnsi="宋体"/>
          <w:szCs w:val="21"/>
        </w:rPr>
      </w:pPr>
      <w:r>
        <w:rPr>
          <w:rFonts w:hint="eastAsia" w:ascii="宋体" w:hAnsi="宋体"/>
          <w:szCs w:val="21"/>
        </w:rPr>
        <w:t>（三）评标方法：采用最低评标价法。</w:t>
      </w:r>
    </w:p>
    <w:p>
      <w:pPr>
        <w:spacing w:line="500" w:lineRule="exact"/>
        <w:ind w:firstLine="420"/>
        <w:rPr>
          <w:rFonts w:hAnsi="宋体"/>
          <w:szCs w:val="21"/>
        </w:rPr>
      </w:pPr>
      <w:r>
        <w:rPr>
          <w:rFonts w:hint="eastAsia" w:ascii="宋体" w:hAnsi="宋体"/>
          <w:szCs w:val="21"/>
        </w:rPr>
        <w:t>（四）</w:t>
      </w:r>
      <w:r>
        <w:rPr>
          <w:rFonts w:hAnsi="宋体"/>
          <w:szCs w:val="21"/>
        </w:rPr>
        <w:t>说明：</w:t>
      </w:r>
    </w:p>
    <w:p>
      <w:pPr>
        <w:spacing w:line="500" w:lineRule="exact"/>
        <w:ind w:firstLine="420"/>
        <w:rPr>
          <w:rFonts w:hAnsi="宋体"/>
          <w:szCs w:val="21"/>
        </w:rPr>
      </w:pPr>
      <w:r>
        <w:rPr>
          <w:rFonts w:hAnsi="宋体"/>
          <w:szCs w:val="21"/>
        </w:rPr>
        <w:t>（</w:t>
      </w:r>
      <w:r>
        <w:rPr>
          <w:rFonts w:hint="eastAsia" w:hAnsi="宋体"/>
          <w:szCs w:val="21"/>
        </w:rPr>
        <w:t>1</w:t>
      </w:r>
      <w:r>
        <w:rPr>
          <w:rFonts w:hAnsi="宋体"/>
          <w:szCs w:val="21"/>
        </w:rPr>
        <w:t>）对于非专门面向中小企业的项目，对</w:t>
      </w:r>
      <w:r>
        <w:rPr>
          <w:rFonts w:hint="eastAsia" w:hAnsi="宋体"/>
          <w:szCs w:val="21"/>
        </w:rPr>
        <w:t>提供</w:t>
      </w:r>
      <w:r>
        <w:rPr>
          <w:rFonts w:hAnsi="宋体"/>
          <w:szCs w:val="21"/>
        </w:rPr>
        <w:t>小型</w:t>
      </w:r>
      <w:r>
        <w:rPr>
          <w:rFonts w:hint="eastAsia" w:hAnsi="宋体"/>
          <w:szCs w:val="21"/>
        </w:rPr>
        <w:t>或</w:t>
      </w:r>
      <w:r>
        <w:rPr>
          <w:rFonts w:hAnsi="宋体"/>
          <w:szCs w:val="21"/>
        </w:rPr>
        <w:t>微型企业产品的小型</w:t>
      </w:r>
      <w:r>
        <w:rPr>
          <w:rFonts w:hint="eastAsia" w:hAnsi="宋体"/>
          <w:szCs w:val="21"/>
        </w:rPr>
        <w:t>或</w:t>
      </w:r>
      <w:r>
        <w:rPr>
          <w:rFonts w:hAnsi="宋体"/>
          <w:szCs w:val="21"/>
        </w:rPr>
        <w:t>微型企业</w:t>
      </w:r>
      <w:r>
        <w:rPr>
          <w:rFonts w:hint="eastAsia" w:hAnsi="宋体"/>
          <w:szCs w:val="21"/>
        </w:rPr>
        <w:t>报价</w:t>
      </w:r>
      <w:r>
        <w:rPr>
          <w:rFonts w:hAnsi="宋体"/>
          <w:szCs w:val="21"/>
        </w:rPr>
        <w:t>价格给予</w:t>
      </w:r>
      <w:r>
        <w:rPr>
          <w:rFonts w:hint="eastAsia" w:hAnsi="宋体"/>
          <w:szCs w:val="21"/>
        </w:rPr>
        <w:t>10%</w:t>
      </w:r>
      <w:r>
        <w:rPr>
          <w:rFonts w:hAnsi="宋体"/>
          <w:szCs w:val="21"/>
        </w:rPr>
        <w:t>的价格扣除，扣除后的价格为</w:t>
      </w:r>
      <w:r>
        <w:rPr>
          <w:rFonts w:hint="eastAsia" w:hAnsi="宋体"/>
          <w:szCs w:val="21"/>
        </w:rPr>
        <w:t>最终</w:t>
      </w:r>
      <w:r>
        <w:rPr>
          <w:rFonts w:hAnsi="宋体"/>
          <w:szCs w:val="21"/>
        </w:rPr>
        <w:t>评标价，即</w:t>
      </w:r>
      <w:r>
        <w:rPr>
          <w:rFonts w:hint="eastAsia" w:hAnsi="宋体"/>
          <w:szCs w:val="21"/>
        </w:rPr>
        <w:t>最终</w:t>
      </w:r>
      <w:r>
        <w:rPr>
          <w:rFonts w:hAnsi="宋体"/>
          <w:szCs w:val="21"/>
        </w:rPr>
        <w:t>评标价＝竞标报价×（</w:t>
      </w:r>
      <w:r>
        <w:rPr>
          <w:rFonts w:hint="eastAsia" w:hAnsi="宋体"/>
          <w:szCs w:val="21"/>
        </w:rPr>
        <w:t>1-10%</w:t>
      </w:r>
      <w:r>
        <w:rPr>
          <w:rFonts w:hAnsi="宋体"/>
          <w:szCs w:val="21"/>
        </w:rPr>
        <w:t>）；</w:t>
      </w:r>
      <w:r>
        <w:rPr>
          <w:rFonts w:hint="eastAsia" w:hAnsi="宋体"/>
          <w:bCs/>
          <w:szCs w:val="21"/>
        </w:rPr>
        <w:t>（以供应商按第四章“响应文件格式”要求提供的《竞标报价表》和《</w:t>
      </w:r>
      <w:r>
        <w:rPr>
          <w:rFonts w:hint="eastAsia" w:hAnsi="宋体"/>
          <w:szCs w:val="21"/>
        </w:rPr>
        <w:t>中小企业声明函</w:t>
      </w:r>
      <w:r>
        <w:rPr>
          <w:rFonts w:hint="eastAsia" w:hAnsi="宋体"/>
          <w:bCs/>
          <w:szCs w:val="21"/>
        </w:rPr>
        <w:t>》为评审依据）</w:t>
      </w:r>
    </w:p>
    <w:p>
      <w:pPr>
        <w:spacing w:line="500" w:lineRule="exact"/>
        <w:ind w:firstLine="420" w:firstLineChars="200"/>
        <w:rPr>
          <w:rFonts w:ascii="宋体" w:hAnsi="宋体"/>
          <w:bCs/>
          <w:szCs w:val="21"/>
        </w:rPr>
      </w:pPr>
      <w:r>
        <w:rPr>
          <w:rFonts w:ascii="宋体" w:hAnsi="宋体"/>
          <w:szCs w:val="21"/>
        </w:rPr>
        <w:t>（</w:t>
      </w:r>
      <w:r>
        <w:rPr>
          <w:rFonts w:hint="eastAsia" w:ascii="宋体" w:hAnsi="宋体"/>
          <w:szCs w:val="21"/>
        </w:rPr>
        <w:t>2</w:t>
      </w:r>
      <w:r>
        <w:rPr>
          <w:rFonts w:ascii="宋体" w:hAnsi="宋体"/>
          <w:szCs w:val="21"/>
        </w:rPr>
        <w:t>）对</w:t>
      </w:r>
      <w:r>
        <w:rPr>
          <w:rFonts w:hint="eastAsia" w:ascii="宋体" w:hAnsi="宋体"/>
          <w:szCs w:val="21"/>
        </w:rPr>
        <w:t>大中型企业和其他自然人、法人或者其他组织与小型、微型企业组成联合体，且联合体协议中约定小型、微型企业的协议合同金额占到联合体协议合同总金额30%以上的，给予2%的价格扣除，扣除后的价格为最终评标价，即最终评标价＝竞标报价×（1-2%）；</w:t>
      </w:r>
      <w:r>
        <w:rPr>
          <w:rFonts w:hint="eastAsia" w:ascii="宋体" w:hAnsi="宋体"/>
          <w:bCs/>
          <w:szCs w:val="21"/>
        </w:rPr>
        <w:t>（以供应商按第四章“响应文件格式”要求提供的《竞标报价表》、《中小企业声明函》和《联合体协议书》为评审依据）</w:t>
      </w:r>
    </w:p>
    <w:p>
      <w:pPr>
        <w:spacing w:line="500" w:lineRule="exact"/>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竞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spacing w:line="500" w:lineRule="exact"/>
        <w:ind w:firstLine="420" w:firstLineChars="200"/>
        <w:rPr>
          <w:rFonts w:ascii="宋体" w:hAnsi="宋体"/>
          <w:szCs w:val="21"/>
        </w:rPr>
      </w:pPr>
      <w:r>
        <w:rPr>
          <w:rFonts w:hint="eastAsia" w:ascii="宋体" w:hAnsi="宋体"/>
          <w:szCs w:val="21"/>
        </w:rPr>
        <w:t>（4）竞标</w:t>
      </w:r>
      <w:r>
        <w:rPr>
          <w:rFonts w:hint="eastAsia" w:ascii="宋体" w:hAnsi="宋体"/>
          <w:bCs/>
          <w:szCs w:val="21"/>
        </w:rPr>
        <w:t>产品提供单位按《</w:t>
      </w:r>
      <w:r>
        <w:rPr>
          <w:rFonts w:ascii="宋体" w:hAnsi="宋体"/>
          <w:bCs/>
          <w:szCs w:val="21"/>
        </w:rPr>
        <w:t>关于促进残疾人就业政府采购政策的通知</w:t>
      </w:r>
      <w:r>
        <w:rPr>
          <w:rFonts w:hint="eastAsia" w:ascii="宋体" w:hAnsi="宋体"/>
          <w:bCs/>
          <w:szCs w:val="21"/>
        </w:rPr>
        <w:t>》</w:t>
      </w:r>
      <w:r>
        <w:rPr>
          <w:rFonts w:ascii="宋体" w:hAnsi="宋体"/>
          <w:bCs/>
          <w:szCs w:val="21"/>
        </w:rPr>
        <w:t>(</w:t>
      </w:r>
      <w:r>
        <w:rPr>
          <w:rFonts w:hint="eastAsia" w:ascii="宋体" w:hAnsi="宋体"/>
          <w:bCs/>
          <w:szCs w:val="21"/>
        </w:rPr>
        <w:t>财库〔2017〕141号</w:t>
      </w:r>
      <w:r>
        <w:rPr>
          <w:rFonts w:ascii="宋体" w:hAnsi="宋体"/>
          <w:bCs/>
          <w:szCs w:val="21"/>
        </w:rPr>
        <w:t>)</w:t>
      </w:r>
      <w:r>
        <w:rPr>
          <w:rFonts w:hint="eastAsia" w:ascii="宋体" w:hAnsi="宋体"/>
          <w:bCs/>
          <w:szCs w:val="21"/>
        </w:rPr>
        <w:t>认定为残疾人福利性单位的，在政府采购活动中，残疾人福利性单位视同小型、微型企业。符合条件的残疾人福利性单位在参加政府采购活动时，应当提供本通知规定的《残疾人福利性单位声明函》，并对声明的真实性负责。</w:t>
      </w:r>
    </w:p>
    <w:p>
      <w:pPr>
        <w:spacing w:line="500" w:lineRule="exact"/>
        <w:ind w:firstLine="420" w:firstLineChars="200"/>
        <w:rPr>
          <w:rFonts w:ascii="宋体" w:hAnsi="宋体"/>
          <w:szCs w:val="21"/>
        </w:rPr>
      </w:pPr>
      <w:r>
        <w:rPr>
          <w:rFonts w:hint="eastAsia" w:ascii="宋体" w:hAnsi="宋体"/>
          <w:szCs w:val="21"/>
        </w:rPr>
        <w:t>（5）除上述情况外，最终评标价＝竞标报价。</w:t>
      </w:r>
    </w:p>
    <w:p>
      <w:pPr>
        <w:spacing w:line="500" w:lineRule="exact"/>
        <w:ind w:firstLine="422" w:firstLineChars="200"/>
        <w:rPr>
          <w:rFonts w:ascii="宋体" w:hAnsi="宋体"/>
          <w:szCs w:val="21"/>
        </w:rPr>
      </w:pPr>
      <w:r>
        <w:rPr>
          <w:rFonts w:hint="eastAsia" w:ascii="宋体" w:hAnsi="宋体"/>
          <w:b/>
          <w:szCs w:val="21"/>
        </w:rPr>
        <w:t>二、成交候选供应商推荐原则：</w:t>
      </w:r>
    </w:p>
    <w:p>
      <w:pPr>
        <w:spacing w:line="500" w:lineRule="exact"/>
        <w:ind w:firstLine="420" w:firstLineChars="200"/>
        <w:rPr>
          <w:rFonts w:ascii="宋体" w:hAnsi="宋体"/>
        </w:rPr>
      </w:pPr>
      <w:r>
        <w:rPr>
          <w:rFonts w:hint="eastAsia" w:ascii="宋体" w:hAnsi="宋体"/>
          <w:szCs w:val="21"/>
        </w:rPr>
        <w:t>（一）</w:t>
      </w:r>
      <w:r>
        <w:rPr>
          <w:rFonts w:hint="eastAsia" w:ascii="宋体" w:hAnsi="宋体"/>
        </w:rPr>
        <w:t>谈判小组以各竞争性谈判采购文件为依据，对各竞标</w:t>
      </w:r>
      <w:r>
        <w:rPr>
          <w:rFonts w:hint="eastAsia" w:ascii="宋体" w:hAnsi="宋体"/>
          <w:szCs w:val="21"/>
        </w:rPr>
        <w:t>响应</w:t>
      </w:r>
      <w:r>
        <w:rPr>
          <w:rFonts w:hint="eastAsia" w:ascii="宋体" w:hAnsi="宋体"/>
        </w:rPr>
        <w:t>文件进行评审，在全部满足竞争性谈判采购文件实质性要求和条件的前提下，按最终评标报价由低到高排列成交候选供应商顺序（当最终评标报价相同时，依次以</w:t>
      </w:r>
      <w:r>
        <w:rPr>
          <w:rFonts w:hint="eastAsia"/>
        </w:rPr>
        <w:t>最终竞标报价低优先、</w:t>
      </w:r>
      <w:r>
        <w:rPr>
          <w:rFonts w:hint="eastAsia" w:ascii="宋体" w:hAnsi="宋体"/>
        </w:rPr>
        <w:t>技术指标高优先、质量保证期长优先、</w:t>
      </w:r>
      <w:r>
        <w:rPr>
          <w:rFonts w:hint="eastAsia" w:ascii="宋体" w:hAnsi="宋体"/>
          <w:bCs/>
        </w:rPr>
        <w:t>交付使用期</w:t>
      </w:r>
      <w:r>
        <w:rPr>
          <w:rFonts w:hint="eastAsia" w:ascii="宋体" w:hAnsi="宋体"/>
        </w:rPr>
        <w:t>短优先、故障处理时间短优先的顺序排列），提出三名成交候选人，并编写评审报告。</w:t>
      </w:r>
    </w:p>
    <w:p>
      <w:pPr>
        <w:spacing w:line="500" w:lineRule="exact"/>
        <w:ind w:firstLine="411" w:firstLineChars="196"/>
        <w:rPr>
          <w:rFonts w:ascii="宋体" w:hAnsi="宋体"/>
          <w:szCs w:val="21"/>
        </w:rPr>
      </w:pPr>
      <w:r>
        <w:rPr>
          <w:rFonts w:hint="eastAsia" w:ascii="宋体" w:hAnsi="宋体"/>
          <w:szCs w:val="21"/>
        </w:rPr>
        <w:t>采购单位应当确定谈判小组推荐排名第一的成交候选人为成交人。排名第一的成交候选人放弃成交、因不可抗力提出不能履行合同，或者采购文件规定应当提交履约保证金而在规定的期限内未能提交的，采购单位可以确定排名第二的成交候选人为成交人。排名第二的成交候选人因前款规定的同样原因不能签订合同的，采购单位可以确定排名第三的成交候选人为成交人。</w:t>
      </w:r>
    </w:p>
    <w:p>
      <w:pPr>
        <w:pStyle w:val="7"/>
        <w:spacing w:line="380" w:lineRule="exact"/>
        <w:ind w:firstLine="420" w:firstLineChars="200"/>
        <w:rPr>
          <w:rFonts w:hAnsi="宋体"/>
          <w:kern w:val="2"/>
          <w:sz w:val="21"/>
          <w:szCs w:val="21"/>
        </w:rPr>
      </w:pPr>
      <w:r>
        <w:rPr>
          <w:rFonts w:hint="eastAsia" w:hAnsi="宋体"/>
          <w:kern w:val="2"/>
          <w:sz w:val="21"/>
          <w:szCs w:val="21"/>
        </w:rPr>
        <w:t>（二）供应商的最后报价明显低于其他通过符合性审查供应商的最后报价的，谈判小组认为有可能影响产品质量或者不能诚信履约的，应当要求其在评标现场合理的时间内提供书面说明，必要时提交相关证明材料；供应商不能证明其报价合理性的，谈判小组应当将其作为无效响应文件处理。</w:t>
      </w:r>
    </w:p>
    <w:p>
      <w:pPr>
        <w:pStyle w:val="7"/>
        <w:spacing w:line="380" w:lineRule="exact"/>
        <w:ind w:firstLine="420" w:firstLineChars="200"/>
        <w:rPr>
          <w:rFonts w:hAnsi="宋体"/>
          <w:kern w:val="2"/>
          <w:sz w:val="21"/>
          <w:szCs w:val="21"/>
        </w:rPr>
      </w:pPr>
      <w:r>
        <w:rPr>
          <w:rFonts w:hint="eastAsia" w:hAnsi="宋体"/>
          <w:kern w:val="2"/>
          <w:sz w:val="21"/>
          <w:szCs w:val="21"/>
        </w:rPr>
        <w:t>供应商可根据自己的报价，自行决定是否在响应文件中提供书面说明及相关证明材料。</w:t>
      </w:r>
    </w:p>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黑体">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tentative="0">
      <w:start w:val="1"/>
      <w:numFmt w:val="decimal"/>
      <w:lvlText w:val="%1，"/>
      <w:lvlJc w:val="left"/>
      <w:pPr>
        <w:ind w:left="360" w:hanging="360"/>
      </w:pPr>
      <w:rPr>
        <w:rFonts w:hint="default"/>
      </w:rPr>
    </w:lvl>
    <w:lvl w:ilvl="1" w:tentative="0">
      <w:start w:val="1"/>
      <w:numFmt w:val="lowerLetter"/>
      <w:lvlRestart w:val="0"/>
      <w:lvlText w:val="%2)"/>
      <w:lvlJc w:val="left"/>
      <w:pPr>
        <w:ind w:left="840" w:hanging="420"/>
      </w:pPr>
    </w:lvl>
    <w:lvl w:ilvl="2" w:tentative="0">
      <w:start w:val="1"/>
      <w:numFmt w:val="lowerRoman"/>
      <w:lvlRestart w:val="0"/>
      <w:lvlText w:val="%3."/>
      <w:lvlJc w:val="right"/>
      <w:pPr>
        <w:ind w:left="1260" w:hanging="420"/>
      </w:pPr>
    </w:lvl>
    <w:lvl w:ilvl="3" w:tentative="0">
      <w:start w:val="1"/>
      <w:numFmt w:val="decimal"/>
      <w:lvlRestart w:val="0"/>
      <w:lvlText w:val="%4."/>
      <w:lvlJc w:val="left"/>
      <w:pPr>
        <w:ind w:left="1680" w:hanging="420"/>
      </w:pPr>
    </w:lvl>
    <w:lvl w:ilvl="4" w:tentative="0">
      <w:start w:val="1"/>
      <w:numFmt w:val="lowerLetter"/>
      <w:lvlRestart w:val="0"/>
      <w:lvlText w:val="%5)"/>
      <w:lvlJc w:val="left"/>
      <w:pPr>
        <w:ind w:left="2100" w:hanging="420"/>
      </w:pPr>
    </w:lvl>
    <w:lvl w:ilvl="5" w:tentative="0">
      <w:start w:val="1"/>
      <w:numFmt w:val="lowerRoman"/>
      <w:lvlRestart w:val="0"/>
      <w:lvlText w:val="%6."/>
      <w:lvlJc w:val="right"/>
      <w:pPr>
        <w:ind w:left="2520" w:hanging="420"/>
      </w:pPr>
    </w:lvl>
    <w:lvl w:ilvl="6" w:tentative="0">
      <w:start w:val="1"/>
      <w:numFmt w:val="decimal"/>
      <w:lvlRestart w:val="0"/>
      <w:lvlText w:val="%7."/>
      <w:lvlJc w:val="left"/>
      <w:pPr>
        <w:ind w:left="2940" w:hanging="420"/>
      </w:pPr>
    </w:lvl>
    <w:lvl w:ilvl="7" w:tentative="0">
      <w:start w:val="1"/>
      <w:numFmt w:val="lowerLetter"/>
      <w:lvlRestart w:val="0"/>
      <w:lvlText w:val="%8)"/>
      <w:lvlJc w:val="left"/>
      <w:pPr>
        <w:ind w:left="3360" w:hanging="420"/>
      </w:pPr>
    </w:lvl>
    <w:lvl w:ilvl="8" w:tentative="0">
      <w:start w:val="1"/>
      <w:numFmt w:val="lowerRoman"/>
      <w:lvlRestart w:val="0"/>
      <w:lvlText w:val="%9."/>
      <w:lvlJc w:val="right"/>
      <w:pPr>
        <w:ind w:left="3780" w:hanging="420"/>
      </w:pPr>
    </w:lvl>
  </w:abstractNum>
  <w:abstractNum w:abstractNumId="1">
    <w:nsid w:val="40065907"/>
    <w:multiLevelType w:val="multilevel"/>
    <w:tmpl w:val="40065907"/>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9A22E87"/>
    <w:multiLevelType w:val="singleLevel"/>
    <w:tmpl w:val="59A22E87"/>
    <w:lvl w:ilvl="0" w:tentative="0">
      <w:start w:val="1"/>
      <w:numFmt w:val="chineseCounting"/>
      <w:suff w:val="nothing"/>
      <w:lvlText w:val="%1、"/>
      <w:lvlJc w:val="left"/>
      <w:rPr>
        <w:rFonts w:hint="eastAsia"/>
      </w:rPr>
    </w:lvl>
  </w:abstractNum>
  <w:abstractNum w:abstractNumId="3">
    <w:nsid w:val="5D276593"/>
    <w:multiLevelType w:val="multilevel"/>
    <w:tmpl w:val="5D276593"/>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7E5552D9"/>
    <w:multiLevelType w:val="singleLevel"/>
    <w:tmpl w:val="7E5552D9"/>
    <w:lvl w:ilvl="0" w:tentative="0">
      <w:start w:val="5"/>
      <w:numFmt w:val="chineseCounting"/>
      <w:suff w:val="space"/>
      <w:lvlText w:val="第%1章"/>
      <w:lvlJc w:val="left"/>
      <w:rPr>
        <w:rFonts w:hint="eastAsi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144F94"/>
    <w:rsid w:val="000865D5"/>
    <w:rsid w:val="00212196"/>
    <w:rsid w:val="002826D4"/>
    <w:rsid w:val="002B44B9"/>
    <w:rsid w:val="00324ACA"/>
    <w:rsid w:val="0034781E"/>
    <w:rsid w:val="00420BF5"/>
    <w:rsid w:val="00460800"/>
    <w:rsid w:val="005E4BFA"/>
    <w:rsid w:val="006A4FC2"/>
    <w:rsid w:val="006D76B5"/>
    <w:rsid w:val="007F6380"/>
    <w:rsid w:val="00856F9F"/>
    <w:rsid w:val="008D0F2C"/>
    <w:rsid w:val="0090327E"/>
    <w:rsid w:val="00B45EBA"/>
    <w:rsid w:val="00BE36CD"/>
    <w:rsid w:val="00C03BAA"/>
    <w:rsid w:val="00C1631F"/>
    <w:rsid w:val="00CD7E2A"/>
    <w:rsid w:val="00CF78F5"/>
    <w:rsid w:val="00DC4022"/>
    <w:rsid w:val="00DE4D35"/>
    <w:rsid w:val="00E553FC"/>
    <w:rsid w:val="00E973EB"/>
    <w:rsid w:val="00F23ED2"/>
    <w:rsid w:val="00F66FB5"/>
    <w:rsid w:val="00F80D19"/>
    <w:rsid w:val="01736898"/>
    <w:rsid w:val="01DE074C"/>
    <w:rsid w:val="02880516"/>
    <w:rsid w:val="0288585C"/>
    <w:rsid w:val="029F305E"/>
    <w:rsid w:val="02E11632"/>
    <w:rsid w:val="032D24D1"/>
    <w:rsid w:val="03942558"/>
    <w:rsid w:val="039D17C5"/>
    <w:rsid w:val="03D10E68"/>
    <w:rsid w:val="04A30682"/>
    <w:rsid w:val="04C966DD"/>
    <w:rsid w:val="0608430A"/>
    <w:rsid w:val="06655725"/>
    <w:rsid w:val="06DE16D9"/>
    <w:rsid w:val="06F1006F"/>
    <w:rsid w:val="07335322"/>
    <w:rsid w:val="07CA4126"/>
    <w:rsid w:val="07DC4B85"/>
    <w:rsid w:val="07EE06AB"/>
    <w:rsid w:val="07F55183"/>
    <w:rsid w:val="09416DCD"/>
    <w:rsid w:val="0A646CDF"/>
    <w:rsid w:val="0A77637E"/>
    <w:rsid w:val="0A7859E4"/>
    <w:rsid w:val="0B8E6294"/>
    <w:rsid w:val="0BAD76FF"/>
    <w:rsid w:val="0C20405A"/>
    <w:rsid w:val="0C7701EB"/>
    <w:rsid w:val="0CB864D8"/>
    <w:rsid w:val="0CD83ADC"/>
    <w:rsid w:val="0DC03330"/>
    <w:rsid w:val="0E132D17"/>
    <w:rsid w:val="10056E86"/>
    <w:rsid w:val="10B62BA0"/>
    <w:rsid w:val="10C36246"/>
    <w:rsid w:val="10EC5B39"/>
    <w:rsid w:val="11687F2E"/>
    <w:rsid w:val="1184109F"/>
    <w:rsid w:val="12145867"/>
    <w:rsid w:val="12A41392"/>
    <w:rsid w:val="12AF32BA"/>
    <w:rsid w:val="13BF4CC6"/>
    <w:rsid w:val="13D13E6F"/>
    <w:rsid w:val="14826857"/>
    <w:rsid w:val="14BD1D21"/>
    <w:rsid w:val="15B73388"/>
    <w:rsid w:val="16072CC0"/>
    <w:rsid w:val="160C0104"/>
    <w:rsid w:val="16111D12"/>
    <w:rsid w:val="174C497E"/>
    <w:rsid w:val="17CE4A75"/>
    <w:rsid w:val="18925B82"/>
    <w:rsid w:val="18D01E25"/>
    <w:rsid w:val="19144F94"/>
    <w:rsid w:val="19181E8F"/>
    <w:rsid w:val="19335CFE"/>
    <w:rsid w:val="19627219"/>
    <w:rsid w:val="19A27FA8"/>
    <w:rsid w:val="1A9E1009"/>
    <w:rsid w:val="1AF43E5C"/>
    <w:rsid w:val="1B132C49"/>
    <w:rsid w:val="1B3E4584"/>
    <w:rsid w:val="1B432993"/>
    <w:rsid w:val="1BCA06C9"/>
    <w:rsid w:val="1BF5570F"/>
    <w:rsid w:val="1C36607E"/>
    <w:rsid w:val="1D5F3CA5"/>
    <w:rsid w:val="1DA205FA"/>
    <w:rsid w:val="1DA7406F"/>
    <w:rsid w:val="1E376B90"/>
    <w:rsid w:val="1E3D03B5"/>
    <w:rsid w:val="1E5849FC"/>
    <w:rsid w:val="1E7D4DEB"/>
    <w:rsid w:val="1EDB4F3B"/>
    <w:rsid w:val="1F1F6CAF"/>
    <w:rsid w:val="1FAF7FF5"/>
    <w:rsid w:val="1FE75B1E"/>
    <w:rsid w:val="1FE937A2"/>
    <w:rsid w:val="1FFD46BC"/>
    <w:rsid w:val="209B5073"/>
    <w:rsid w:val="21267457"/>
    <w:rsid w:val="21613E1C"/>
    <w:rsid w:val="24FE6D06"/>
    <w:rsid w:val="25BE5BD6"/>
    <w:rsid w:val="25C17EE2"/>
    <w:rsid w:val="25EF2477"/>
    <w:rsid w:val="26152D97"/>
    <w:rsid w:val="274B058B"/>
    <w:rsid w:val="28796571"/>
    <w:rsid w:val="29C911FE"/>
    <w:rsid w:val="2B9028EB"/>
    <w:rsid w:val="2C0267B2"/>
    <w:rsid w:val="2C294484"/>
    <w:rsid w:val="2DE30537"/>
    <w:rsid w:val="2ECE08AD"/>
    <w:rsid w:val="2F2A6A0E"/>
    <w:rsid w:val="2F347115"/>
    <w:rsid w:val="305B2358"/>
    <w:rsid w:val="3214747E"/>
    <w:rsid w:val="32DE10EA"/>
    <w:rsid w:val="33786443"/>
    <w:rsid w:val="341410F6"/>
    <w:rsid w:val="34491746"/>
    <w:rsid w:val="34CB474F"/>
    <w:rsid w:val="35B04995"/>
    <w:rsid w:val="35F818BA"/>
    <w:rsid w:val="36D23D44"/>
    <w:rsid w:val="375F308C"/>
    <w:rsid w:val="38FF1CA5"/>
    <w:rsid w:val="38FF7703"/>
    <w:rsid w:val="3A2A2C9C"/>
    <w:rsid w:val="3C7322AE"/>
    <w:rsid w:val="3C836A12"/>
    <w:rsid w:val="3D487178"/>
    <w:rsid w:val="3DF95508"/>
    <w:rsid w:val="4102677D"/>
    <w:rsid w:val="413D6F85"/>
    <w:rsid w:val="41601141"/>
    <w:rsid w:val="41723D14"/>
    <w:rsid w:val="418E7DF7"/>
    <w:rsid w:val="41AA7A3E"/>
    <w:rsid w:val="41FF3078"/>
    <w:rsid w:val="420321C5"/>
    <w:rsid w:val="42173071"/>
    <w:rsid w:val="426362B6"/>
    <w:rsid w:val="429349E7"/>
    <w:rsid w:val="429562F2"/>
    <w:rsid w:val="43215102"/>
    <w:rsid w:val="434A75B6"/>
    <w:rsid w:val="43EC6AF5"/>
    <w:rsid w:val="444C2324"/>
    <w:rsid w:val="44A0540D"/>
    <w:rsid w:val="45F5099B"/>
    <w:rsid w:val="46000AC6"/>
    <w:rsid w:val="4656391B"/>
    <w:rsid w:val="46970928"/>
    <w:rsid w:val="469878B3"/>
    <w:rsid w:val="472B000F"/>
    <w:rsid w:val="47F118F1"/>
    <w:rsid w:val="48E00BC7"/>
    <w:rsid w:val="48E1528D"/>
    <w:rsid w:val="490E52D1"/>
    <w:rsid w:val="499076AA"/>
    <w:rsid w:val="4A2910CD"/>
    <w:rsid w:val="4AEC36B7"/>
    <w:rsid w:val="4B4A127A"/>
    <w:rsid w:val="4B9A4174"/>
    <w:rsid w:val="4BC85442"/>
    <w:rsid w:val="4CEE09B5"/>
    <w:rsid w:val="4E0F7BE9"/>
    <w:rsid w:val="4E110831"/>
    <w:rsid w:val="4E9119AD"/>
    <w:rsid w:val="4E915557"/>
    <w:rsid w:val="4EAA2645"/>
    <w:rsid w:val="509D7BE4"/>
    <w:rsid w:val="50C26B92"/>
    <w:rsid w:val="5130633E"/>
    <w:rsid w:val="525B27D8"/>
    <w:rsid w:val="52C26043"/>
    <w:rsid w:val="52E85053"/>
    <w:rsid w:val="54B91AC5"/>
    <w:rsid w:val="54E85E01"/>
    <w:rsid w:val="5508480F"/>
    <w:rsid w:val="5596406B"/>
    <w:rsid w:val="57330966"/>
    <w:rsid w:val="57A42128"/>
    <w:rsid w:val="57FB5394"/>
    <w:rsid w:val="581C6825"/>
    <w:rsid w:val="5886716D"/>
    <w:rsid w:val="59351597"/>
    <w:rsid w:val="5A5063B6"/>
    <w:rsid w:val="5A847ED6"/>
    <w:rsid w:val="5A9B609B"/>
    <w:rsid w:val="5AC07063"/>
    <w:rsid w:val="5B1A6E6D"/>
    <w:rsid w:val="5BA8669E"/>
    <w:rsid w:val="5D5103CB"/>
    <w:rsid w:val="5D9A7FA8"/>
    <w:rsid w:val="5DA40F7F"/>
    <w:rsid w:val="5E007E41"/>
    <w:rsid w:val="5EFE5AE5"/>
    <w:rsid w:val="60F408DC"/>
    <w:rsid w:val="61C36EED"/>
    <w:rsid w:val="634F6BE7"/>
    <w:rsid w:val="652D141E"/>
    <w:rsid w:val="65AD35DB"/>
    <w:rsid w:val="65BA75D5"/>
    <w:rsid w:val="665034E8"/>
    <w:rsid w:val="684877A2"/>
    <w:rsid w:val="68DC77EA"/>
    <w:rsid w:val="693D31AE"/>
    <w:rsid w:val="6A386CB7"/>
    <w:rsid w:val="6A5303FF"/>
    <w:rsid w:val="6B5F19AC"/>
    <w:rsid w:val="6BB86B8D"/>
    <w:rsid w:val="6D2F1A0A"/>
    <w:rsid w:val="6D5401D8"/>
    <w:rsid w:val="6D71006E"/>
    <w:rsid w:val="6D8F6E3A"/>
    <w:rsid w:val="6F5B7037"/>
    <w:rsid w:val="6FBE4896"/>
    <w:rsid w:val="6FE32F7E"/>
    <w:rsid w:val="700772D2"/>
    <w:rsid w:val="704D10E4"/>
    <w:rsid w:val="707B7932"/>
    <w:rsid w:val="71816E4C"/>
    <w:rsid w:val="71FE3682"/>
    <w:rsid w:val="72714F2C"/>
    <w:rsid w:val="728F74E7"/>
    <w:rsid w:val="72B8578E"/>
    <w:rsid w:val="7449356F"/>
    <w:rsid w:val="749609CC"/>
    <w:rsid w:val="75324655"/>
    <w:rsid w:val="75755E75"/>
    <w:rsid w:val="762C09B4"/>
    <w:rsid w:val="765A7915"/>
    <w:rsid w:val="77D748F7"/>
    <w:rsid w:val="781B55F1"/>
    <w:rsid w:val="783A18A2"/>
    <w:rsid w:val="787260F7"/>
    <w:rsid w:val="79683C35"/>
    <w:rsid w:val="7A69641D"/>
    <w:rsid w:val="7A6A015E"/>
    <w:rsid w:val="7B0B3827"/>
    <w:rsid w:val="7B4F2E0F"/>
    <w:rsid w:val="7C915D5D"/>
    <w:rsid w:val="7CB642AC"/>
    <w:rsid w:val="7CD736B3"/>
    <w:rsid w:val="7D47731F"/>
    <w:rsid w:val="7D493323"/>
    <w:rsid w:val="7E9C28AB"/>
    <w:rsid w:val="7EB64766"/>
    <w:rsid w:val="7F735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金山简黑体" w:hAnsi="Courier New" w:eastAsia="金山简黑体"/>
      <w:b/>
      <w:spacing w:val="-8"/>
      <w:kern w:val="0"/>
      <w:sz w:val="44"/>
      <w:szCs w:val="20"/>
    </w:rPr>
  </w:style>
  <w:style w:type="paragraph" w:styleId="5">
    <w:name w:val="annotation text"/>
    <w:basedOn w:val="1"/>
    <w:unhideWhenUsed/>
    <w:qFormat/>
    <w:uiPriority w:val="99"/>
    <w:pPr>
      <w:jc w:val="left"/>
    </w:pPr>
    <w:rPr>
      <w:kern w:val="0"/>
      <w:sz w:val="20"/>
    </w:rPr>
  </w:style>
  <w:style w:type="paragraph" w:styleId="6">
    <w:name w:val="Body Text Indent"/>
    <w:basedOn w:val="1"/>
    <w:qFormat/>
    <w:uiPriority w:val="0"/>
    <w:pPr>
      <w:spacing w:line="200" w:lineRule="exact"/>
      <w:ind w:firstLine="301"/>
    </w:pPr>
    <w:rPr>
      <w:rFonts w:ascii="宋体" w:hAnsi="Courier New"/>
      <w:spacing w:val="-4"/>
      <w:kern w:val="0"/>
      <w:sz w:val="18"/>
      <w:szCs w:val="20"/>
    </w:rPr>
  </w:style>
  <w:style w:type="paragraph" w:styleId="7">
    <w:name w:val="Plain Text"/>
    <w:basedOn w:val="1"/>
    <w:next w:val="4"/>
    <w:qFormat/>
    <w:uiPriority w:val="99"/>
    <w:rPr>
      <w:rFonts w:ascii="宋体" w:hAnsi="Courier New"/>
      <w:kern w:val="0"/>
      <w:sz w:val="20"/>
      <w:szCs w:val="20"/>
    </w:rPr>
  </w:style>
  <w:style w:type="paragraph" w:styleId="8">
    <w:name w:val="Balloon Text"/>
    <w:basedOn w:val="1"/>
    <w:link w:val="19"/>
    <w:qFormat/>
    <w:uiPriority w:val="0"/>
    <w:rPr>
      <w:sz w:val="18"/>
      <w:szCs w:val="18"/>
    </w:rPr>
  </w:style>
  <w:style w:type="paragraph" w:styleId="9">
    <w:name w:val="footer"/>
    <w:basedOn w:val="1"/>
    <w:qFormat/>
    <w:uiPriority w:val="99"/>
    <w:pPr>
      <w:tabs>
        <w:tab w:val="center" w:pos="4153"/>
        <w:tab w:val="right" w:pos="8306"/>
      </w:tabs>
      <w:snapToGrid w:val="0"/>
      <w:jc w:val="left"/>
    </w:pPr>
    <w:rPr>
      <w:rFonts w:ascii="宋体" w:hAnsi="Courier New"/>
      <w:kern w:val="0"/>
      <w:sz w:val="18"/>
      <w:szCs w:val="20"/>
    </w:rPr>
  </w:style>
  <w:style w:type="paragraph" w:styleId="10">
    <w:name w:val="header"/>
    <w:basedOn w:val="1"/>
    <w:qFormat/>
    <w:uiPriority w:val="99"/>
    <w:pPr>
      <w:pBdr>
        <w:bottom w:val="single" w:color="auto" w:sz="6" w:space="1"/>
      </w:pBdr>
      <w:tabs>
        <w:tab w:val="center" w:pos="4153"/>
        <w:tab w:val="right" w:pos="8306"/>
      </w:tabs>
      <w:snapToGrid w:val="0"/>
      <w:jc w:val="center"/>
    </w:pPr>
    <w:rPr>
      <w:rFonts w:ascii="宋体" w:hAnsi="Courier New"/>
      <w:kern w:val="0"/>
      <w:sz w:val="18"/>
      <w:szCs w:val="20"/>
    </w:rPr>
  </w:style>
  <w:style w:type="paragraph" w:styleId="11">
    <w:name w:val="toc 1"/>
    <w:basedOn w:val="1"/>
    <w:next w:val="1"/>
    <w:qFormat/>
    <w:uiPriority w:val="39"/>
    <w:pPr>
      <w:tabs>
        <w:tab w:val="right" w:leader="dot" w:pos="9628"/>
      </w:tabs>
    </w:pPr>
    <w:rPr>
      <w:rFonts w:ascii="黑体" w:eastAsia="黑体"/>
      <w:color w:val="000000"/>
      <w:sz w:val="32"/>
      <w:szCs w:val="32"/>
    </w:rPr>
  </w:style>
  <w:style w:type="paragraph" w:styleId="12">
    <w:name w:val="Normal (Web)"/>
    <w:basedOn w:val="1"/>
    <w:qFormat/>
    <w:uiPriority w:val="99"/>
    <w:pPr>
      <w:spacing w:before="75" w:after="75"/>
      <w:jc w:val="left"/>
    </w:pPr>
    <w:rPr>
      <w:kern w:val="0"/>
      <w:sz w:val="24"/>
    </w:rPr>
  </w:style>
  <w:style w:type="paragraph" w:styleId="13">
    <w:name w:val="Body Text First Indent 2"/>
    <w:basedOn w:val="6"/>
    <w:qFormat/>
    <w:uiPriority w:val="0"/>
    <w:pPr>
      <w:tabs>
        <w:tab w:val="left" w:pos="0"/>
        <w:tab w:val="left" w:pos="993"/>
        <w:tab w:val="left" w:pos="1134"/>
      </w:tabs>
      <w:ind w:firstLine="420" w:firstLineChars="200"/>
    </w:pPr>
  </w:style>
  <w:style w:type="character" w:styleId="16">
    <w:name w:val="page number"/>
    <w:basedOn w:val="15"/>
    <w:qFormat/>
    <w:uiPriority w:val="0"/>
  </w:style>
  <w:style w:type="character" w:styleId="17">
    <w:name w:val="Hyperlink"/>
    <w:qFormat/>
    <w:uiPriority w:val="99"/>
    <w:rPr>
      <w:color w:val="0000FF"/>
      <w:u w:val="single"/>
    </w:rPr>
  </w:style>
  <w:style w:type="character" w:customStyle="1" w:styleId="18">
    <w:name w:val="NormalCharacter"/>
    <w:qFormat/>
    <w:uiPriority w:val="0"/>
  </w:style>
  <w:style w:type="character" w:customStyle="1" w:styleId="19">
    <w:name w:val="批注框文本 字符"/>
    <w:basedOn w:val="15"/>
    <w:link w:val="8"/>
    <w:qFormat/>
    <w:uiPriority w:val="0"/>
    <w:rPr>
      <w:kern w:val="2"/>
      <w:sz w:val="18"/>
      <w:szCs w:val="18"/>
    </w:rPr>
  </w:style>
  <w:style w:type="paragraph" w:styleId="20">
    <w:name w:val="List Paragraph"/>
    <w:basedOn w:val="1"/>
    <w:qFormat/>
    <w:uiPriority w:val="34"/>
    <w:pPr>
      <w:ind w:firstLine="420" w:firstLineChars="200"/>
    </w:pPr>
  </w:style>
  <w:style w:type="paragraph" w:customStyle="1" w:styleId="21">
    <w:name w:val="列出段落1"/>
    <w:basedOn w:val="1"/>
    <w:qFormat/>
    <w:uiPriority w:val="34"/>
    <w:pPr>
      <w:ind w:firstLine="420" w:firstLineChars="200"/>
    </w:pPr>
    <w:rPr>
      <w:rFonts w:ascii="Calibri" w:hAnsi="Calibri" w:cs="宋体"/>
      <w:szCs w:val="22"/>
    </w:rPr>
  </w:style>
  <w:style w:type="character" w:customStyle="1" w:styleId="22">
    <w:name w:val="fontstyle01"/>
    <w:qFormat/>
    <w:uiPriority w:val="0"/>
    <w:rPr>
      <w:rFonts w:hint="eastAsia" w:ascii="宋体" w:hAnsi="宋体" w:eastAsia="宋体" w:cs="Times New Roman"/>
      <w:color w:val="000000"/>
      <w:sz w:val="20"/>
      <w:szCs w:val="20"/>
    </w:rPr>
  </w:style>
  <w:style w:type="paragraph" w:customStyle="1" w:styleId="23">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5325</Words>
  <Characters>30355</Characters>
  <Lines>252</Lines>
  <Paragraphs>71</Paragraphs>
  <TotalTime>2</TotalTime>
  <ScaleCrop>false</ScaleCrop>
  <LinksUpToDate>false</LinksUpToDate>
  <CharactersWithSpaces>35609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2020-11-23T08:04:00Z</dcterms:created>
  <dc:creator>黄璐璐</dc:creator>
  <cp:lastModifiedBy>钢哥2⁰¹⁹</cp:lastModifiedBy>
  <dcterms:modified xsi:type="dcterms:W3CDTF">2020-11-23T11:29:53Z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