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6"/>
          <w:szCs w:val="72"/>
        </w:rPr>
      </w:pPr>
      <w:r>
        <w:rPr>
          <w:rFonts w:hint="eastAsia" w:ascii="宋体" w:hAnsi="宋体"/>
          <w:b/>
          <w:sz w:val="56"/>
          <w:szCs w:val="72"/>
        </w:rPr>
        <w:t>南宁政府采购货物</w:t>
      </w:r>
    </w:p>
    <w:p>
      <w:pPr>
        <w:jc w:val="center"/>
        <w:rPr>
          <w:rFonts w:ascii="宋体" w:hAnsi="宋体"/>
          <w:b/>
          <w:sz w:val="58"/>
          <w:szCs w:val="72"/>
        </w:rPr>
      </w:pPr>
    </w:p>
    <w:p>
      <w:pPr>
        <w:rPr>
          <w:rFonts w:ascii="宋体" w:hAnsi="宋体"/>
          <w:b/>
          <w:sz w:val="84"/>
          <w:szCs w:val="84"/>
        </w:rPr>
      </w:pPr>
      <w:r>
        <w:rPr>
          <w:rFonts w:hint="eastAsia" w:ascii="宋体" w:hAnsi="宋体"/>
          <w:b/>
          <w:sz w:val="84"/>
          <w:szCs w:val="84"/>
        </w:rPr>
        <w:t>竞 争 性 谈 判 文 件</w:t>
      </w:r>
    </w:p>
    <w:p>
      <w:pPr>
        <w:jc w:val="center"/>
        <w:rPr>
          <w:rFonts w:ascii="宋体" w:hAnsi="宋体"/>
          <w:b/>
          <w:sz w:val="56"/>
          <w:szCs w:val="72"/>
        </w:rPr>
      </w:pPr>
    </w:p>
    <w:p>
      <w:pPr>
        <w:pStyle w:val="24"/>
        <w:snapToGrid w:val="0"/>
        <w:ind w:firstLine="708" w:firstLineChars="196"/>
        <w:jc w:val="center"/>
        <w:rPr>
          <w:rFonts w:hAnsi="宋体"/>
          <w:b/>
          <w:bCs/>
          <w:sz w:val="36"/>
          <w:szCs w:val="36"/>
        </w:rPr>
      </w:pPr>
    </w:p>
    <w:p>
      <w:pPr>
        <w:pStyle w:val="24"/>
        <w:snapToGrid w:val="0"/>
        <w:ind w:firstLine="708" w:firstLineChars="196"/>
        <w:jc w:val="center"/>
        <w:rPr>
          <w:rFonts w:hAnsi="宋体"/>
          <w:b/>
          <w:bCs/>
          <w:sz w:val="36"/>
          <w:szCs w:val="36"/>
        </w:rPr>
      </w:pPr>
    </w:p>
    <w:p>
      <w:pPr>
        <w:pStyle w:val="24"/>
        <w:snapToGrid w:val="0"/>
        <w:ind w:firstLine="708" w:firstLineChars="196"/>
        <w:jc w:val="center"/>
        <w:rPr>
          <w:rFonts w:hAnsi="宋体"/>
          <w:b/>
          <w:bCs/>
          <w:sz w:val="36"/>
          <w:szCs w:val="36"/>
        </w:rPr>
      </w:pPr>
    </w:p>
    <w:p>
      <w:pPr>
        <w:pStyle w:val="24"/>
        <w:snapToGrid w:val="0"/>
        <w:ind w:firstLine="708" w:firstLineChars="196"/>
        <w:jc w:val="center"/>
        <w:rPr>
          <w:rFonts w:hAnsi="宋体"/>
          <w:b/>
          <w:bCs/>
          <w:sz w:val="36"/>
          <w:szCs w:val="36"/>
        </w:rPr>
      </w:pPr>
    </w:p>
    <w:p>
      <w:pPr>
        <w:pStyle w:val="24"/>
        <w:snapToGrid w:val="0"/>
        <w:ind w:firstLine="708" w:firstLineChars="196"/>
        <w:jc w:val="center"/>
        <w:rPr>
          <w:rFonts w:hAnsi="宋体"/>
          <w:b/>
          <w:bCs/>
          <w:sz w:val="36"/>
          <w:szCs w:val="36"/>
        </w:rPr>
      </w:pPr>
    </w:p>
    <w:p>
      <w:pPr>
        <w:pStyle w:val="24"/>
        <w:snapToGrid w:val="0"/>
        <w:ind w:firstLine="708" w:firstLineChars="196"/>
        <w:jc w:val="center"/>
        <w:rPr>
          <w:rFonts w:hAnsi="宋体"/>
          <w:b/>
          <w:bCs/>
          <w:sz w:val="36"/>
          <w:szCs w:val="36"/>
        </w:rPr>
      </w:pPr>
    </w:p>
    <w:p>
      <w:pPr>
        <w:pStyle w:val="24"/>
        <w:tabs>
          <w:tab w:val="left" w:pos="5640"/>
        </w:tabs>
        <w:snapToGrid w:val="0"/>
        <w:spacing w:line="360" w:lineRule="auto"/>
        <w:ind w:left="907" w:leftChars="432" w:firstLine="542" w:firstLineChars="150"/>
        <w:rPr>
          <w:rFonts w:hAnsi="宋体"/>
          <w:b/>
          <w:bCs/>
          <w:sz w:val="36"/>
          <w:szCs w:val="36"/>
        </w:rPr>
      </w:pPr>
      <w:r>
        <w:rPr>
          <w:rFonts w:hint="eastAsia" w:hAnsi="宋体"/>
          <w:b/>
          <w:bCs/>
          <w:sz w:val="36"/>
          <w:szCs w:val="36"/>
        </w:rPr>
        <w:t>项目名称：励志学校监控增补</w:t>
      </w:r>
    </w:p>
    <w:p>
      <w:pPr>
        <w:pStyle w:val="24"/>
        <w:tabs>
          <w:tab w:val="left" w:pos="5640"/>
        </w:tabs>
        <w:snapToGrid w:val="0"/>
        <w:spacing w:line="360" w:lineRule="auto"/>
        <w:ind w:left="907" w:leftChars="432" w:firstLine="542" w:firstLineChars="150"/>
        <w:rPr>
          <w:rFonts w:hAnsi="宋体"/>
          <w:b/>
          <w:bCs/>
          <w:sz w:val="36"/>
          <w:szCs w:val="36"/>
        </w:rPr>
      </w:pPr>
      <w:r>
        <w:rPr>
          <w:rFonts w:hint="eastAsia" w:hAnsi="宋体"/>
          <w:b/>
          <w:bCs/>
          <w:sz w:val="36"/>
          <w:szCs w:val="36"/>
        </w:rPr>
        <w:t>项目编号：NNZC2020-J1-990372-JGJD</w:t>
      </w:r>
    </w:p>
    <w:p>
      <w:pPr>
        <w:pStyle w:val="24"/>
        <w:snapToGrid w:val="0"/>
        <w:ind w:firstLine="670" w:firstLineChars="196"/>
        <w:jc w:val="center"/>
        <w:rPr>
          <w:rFonts w:hAnsi="宋体"/>
          <w:bCs/>
          <w:w w:val="95"/>
          <w:sz w:val="36"/>
          <w:szCs w:val="36"/>
        </w:rPr>
      </w:pPr>
    </w:p>
    <w:p>
      <w:pPr>
        <w:pStyle w:val="24"/>
        <w:snapToGrid w:val="0"/>
        <w:ind w:firstLine="673" w:firstLineChars="196"/>
        <w:jc w:val="center"/>
        <w:rPr>
          <w:rFonts w:hAnsi="宋体"/>
          <w:b/>
          <w:bCs/>
          <w:w w:val="95"/>
          <w:sz w:val="36"/>
          <w:szCs w:val="36"/>
        </w:rPr>
      </w:pPr>
    </w:p>
    <w:p>
      <w:pPr>
        <w:pStyle w:val="24"/>
        <w:snapToGrid w:val="0"/>
        <w:ind w:firstLine="673" w:firstLineChars="196"/>
        <w:jc w:val="center"/>
        <w:rPr>
          <w:rFonts w:hAnsi="宋体"/>
          <w:b/>
          <w:bCs/>
          <w:w w:val="95"/>
          <w:sz w:val="36"/>
          <w:szCs w:val="36"/>
        </w:rPr>
      </w:pPr>
    </w:p>
    <w:p>
      <w:pPr>
        <w:pStyle w:val="24"/>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w w:val="95"/>
          <w:sz w:val="28"/>
          <w:szCs w:val="36"/>
          <w:u w:val="single"/>
        </w:rPr>
        <w:t>南宁市励志专门学校</w:t>
      </w:r>
    </w:p>
    <w:p>
      <w:pPr>
        <w:pStyle w:val="24"/>
        <w:snapToGrid w:val="0"/>
        <w:spacing w:line="360" w:lineRule="auto"/>
        <w:ind w:firstLine="1068" w:firstLineChars="400"/>
        <w:jc w:val="left"/>
        <w:rPr>
          <w:rFonts w:hAnsi="宋体"/>
          <w:b/>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4"/>
        <w:snapToGrid w:val="0"/>
        <w:spacing w:line="360" w:lineRule="auto"/>
        <w:ind w:firstLine="3857" w:firstLineChars="1372"/>
        <w:rPr>
          <w:rFonts w:hAnsi="宋体"/>
          <w:b/>
          <w:w w:val="95"/>
          <w:sz w:val="28"/>
          <w:szCs w:val="36"/>
        </w:rPr>
      </w:pPr>
      <w:r>
        <w:rPr>
          <w:rFonts w:hint="eastAsia" w:hAnsi="宋体"/>
          <w:b/>
          <w:sz w:val="28"/>
          <w:szCs w:val="36"/>
          <w:u w:val="single"/>
        </w:rPr>
        <w:t>2020</w:t>
      </w:r>
      <w:r>
        <w:rPr>
          <w:rFonts w:hint="eastAsia" w:hAnsi="宋体"/>
          <w:b/>
          <w:bCs/>
          <w:w w:val="95"/>
          <w:sz w:val="28"/>
          <w:szCs w:val="36"/>
        </w:rPr>
        <w:t>年</w:t>
      </w:r>
      <w:r>
        <w:rPr>
          <w:rFonts w:hint="eastAsia" w:hAnsi="宋体"/>
          <w:b/>
          <w:sz w:val="28"/>
          <w:szCs w:val="36"/>
          <w:u w:val="single"/>
        </w:rPr>
        <w:t>11</w:t>
      </w:r>
      <w:r>
        <w:rPr>
          <w:rFonts w:hint="eastAsia" w:hAnsi="宋体"/>
          <w:b/>
          <w:bCs/>
          <w:w w:val="95"/>
          <w:sz w:val="28"/>
          <w:szCs w:val="36"/>
        </w:rPr>
        <w:t>月</w:t>
      </w:r>
    </w:p>
    <w:p>
      <w:pPr>
        <w:widowControl/>
        <w:jc w:val="left"/>
        <w:rPr>
          <w:rFonts w:ascii="宋体" w:hAnsi="宋体" w:cs="Courier New"/>
          <w:b/>
          <w:sz w:val="44"/>
          <w:szCs w:val="44"/>
        </w:rPr>
      </w:pPr>
      <w:r>
        <w:rPr>
          <w:rFonts w:hAnsi="宋体"/>
          <w:b/>
          <w:sz w:val="44"/>
          <w:szCs w:val="44"/>
        </w:rPr>
        <w:br w:type="page"/>
      </w:r>
    </w:p>
    <w:p>
      <w:pPr>
        <w:pStyle w:val="24"/>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rPr>
      </w:pPr>
      <w:r>
        <w:rPr>
          <w:rFonts w:hint="eastAsia" w:ascii="宋体" w:hAnsi="宋体"/>
          <w:b/>
          <w:sz w:val="32"/>
          <w:szCs w:val="32"/>
        </w:rPr>
        <w:t>竞争性谈判</w:t>
      </w:r>
      <w:r>
        <w:rPr>
          <w:rFonts w:hint="eastAsia" w:ascii="宋体" w:hAnsi="宋体"/>
          <w:b/>
          <w:sz w:val="30"/>
        </w:rPr>
        <w:t>公告……………………………………2</w:t>
      </w:r>
    </w:p>
    <w:p>
      <w:pPr>
        <w:numPr>
          <w:ilvl w:val="0"/>
          <w:numId w:val="3"/>
        </w:numPr>
        <w:tabs>
          <w:tab w:val="left" w:pos="1275"/>
        </w:tabs>
        <w:spacing w:beforeLines="50" w:line="480" w:lineRule="exact"/>
        <w:rPr>
          <w:rFonts w:ascii="宋体" w:hAnsi="宋体"/>
          <w:b/>
          <w:sz w:val="30"/>
        </w:rPr>
      </w:pPr>
      <w:r>
        <w:rPr>
          <w:rFonts w:hint="eastAsia" w:ascii="宋体" w:hAnsi="宋体"/>
          <w:b/>
          <w:sz w:val="32"/>
          <w:szCs w:val="32"/>
        </w:rPr>
        <w:t>供应商人</w:t>
      </w:r>
      <w:r>
        <w:rPr>
          <w:rFonts w:hint="eastAsia" w:ascii="宋体" w:hAnsi="宋体"/>
          <w:b/>
          <w:sz w:val="30"/>
        </w:rPr>
        <w:t>须知………………………………………6</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项目需求……………………………………………23</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响应文件格式………………………………………3</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合同主要条款………………………………………4</w:t>
      </w:r>
      <w:r>
        <w:rPr>
          <w:rFonts w:hint="eastAsia" w:ascii="宋体" w:hAnsi="宋体"/>
          <w:b/>
          <w:sz w:val="30"/>
          <w:lang w:val="en-US" w:eastAsia="zh-CN"/>
        </w:rPr>
        <w:t>5</w:t>
      </w:r>
      <w:bookmarkStart w:id="44" w:name="_GoBack"/>
      <w:bookmarkEnd w:id="44"/>
    </w:p>
    <w:p>
      <w:pPr>
        <w:numPr>
          <w:ilvl w:val="0"/>
          <w:numId w:val="3"/>
        </w:numPr>
        <w:tabs>
          <w:tab w:val="left" w:pos="1275"/>
        </w:tabs>
        <w:spacing w:beforeLines="50" w:line="480" w:lineRule="exact"/>
        <w:rPr>
          <w:rFonts w:ascii="宋体" w:hAnsi="宋体"/>
          <w:b/>
          <w:sz w:val="30"/>
        </w:rPr>
      </w:pPr>
      <w:r>
        <w:rPr>
          <w:rFonts w:hint="eastAsia" w:ascii="宋体" w:hAnsi="宋体"/>
          <w:b/>
          <w:sz w:val="30"/>
        </w:rPr>
        <w:t>评审办法及评审标准………………………………5</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质疑书及投诉书格式………………………………5</w:t>
      </w:r>
      <w:r>
        <w:rPr>
          <w:rFonts w:hint="eastAsia" w:ascii="宋体" w:hAnsi="宋体"/>
          <w:b/>
          <w:sz w:val="30"/>
          <w:lang w:val="en-US" w:eastAsia="zh-CN"/>
        </w:rPr>
        <w:t>5</w:t>
      </w:r>
    </w:p>
    <w:p>
      <w:pPr>
        <w:spacing w:beforeLines="50" w:line="480" w:lineRule="exact"/>
        <w:rPr>
          <w:rFonts w:hint="eastAsia" w:ascii="宋体" w:hAnsi="宋体" w:eastAsia="宋体"/>
          <w:b/>
          <w:sz w:val="30"/>
          <w:lang w:eastAsia="zh-CN"/>
        </w:rPr>
      </w:pPr>
      <w:r>
        <w:rPr>
          <w:rFonts w:hint="eastAsia" w:ascii="宋体" w:hAnsi="宋体"/>
          <w:b/>
          <w:sz w:val="30"/>
        </w:rPr>
        <w:t>附件成交通知书格式………………………………6</w:t>
      </w:r>
      <w:r>
        <w:rPr>
          <w:rFonts w:hint="eastAsia" w:ascii="宋体" w:hAnsi="宋体"/>
          <w:b/>
          <w:sz w:val="30"/>
          <w:lang w:val="en-US" w:eastAsia="zh-CN"/>
        </w:rPr>
        <w:t>0</w:t>
      </w:r>
    </w:p>
    <w:p>
      <w:pPr>
        <w:pStyle w:val="24"/>
        <w:snapToGrid w:val="0"/>
        <w:spacing w:before="120" w:after="120" w:line="360" w:lineRule="auto"/>
        <w:ind w:firstLine="148" w:firstLineChars="49"/>
        <w:rPr>
          <w:rFonts w:hAnsi="宋体" w:cs="Times New Roman"/>
          <w:b/>
          <w:sz w:val="30"/>
          <w:szCs w:val="24"/>
        </w:rPr>
      </w:pPr>
    </w:p>
    <w:p>
      <w:pPr>
        <w:pStyle w:val="24"/>
        <w:snapToGrid w:val="0"/>
        <w:spacing w:before="120" w:after="120"/>
        <w:jc w:val="center"/>
        <w:outlineLvl w:val="0"/>
        <w:rPr>
          <w:rFonts w:hAnsi="宋体"/>
          <w:b/>
          <w:kern w:val="0"/>
          <w:sz w:val="24"/>
        </w:rPr>
      </w:pPr>
      <w:r>
        <w:rPr>
          <w:rFonts w:hAnsi="宋体"/>
          <w:b/>
          <w:kern w:val="0"/>
          <w:sz w:val="24"/>
        </w:rPr>
        <w:br w:type="page"/>
      </w: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kern w:val="0"/>
          <w:sz w:val="24"/>
        </w:rPr>
      </w:pPr>
    </w:p>
    <w:p>
      <w:pPr>
        <w:pStyle w:val="24"/>
        <w:snapToGrid w:val="0"/>
        <w:spacing w:before="120" w:after="120"/>
        <w:jc w:val="center"/>
        <w:outlineLvl w:val="0"/>
        <w:rPr>
          <w:rFonts w:hAnsi="宋体"/>
          <w:b/>
          <w:sz w:val="44"/>
          <w:szCs w:val="44"/>
        </w:rPr>
      </w:pPr>
      <w:r>
        <w:rPr>
          <w:rFonts w:hint="eastAsia" w:hAnsi="宋体"/>
          <w:b/>
          <w:sz w:val="44"/>
          <w:szCs w:val="44"/>
        </w:rPr>
        <w:t>第一章 竞争性谈判公告</w:t>
      </w:r>
    </w:p>
    <w:p>
      <w:pPr>
        <w:rPr>
          <w:rFonts w:ascii="宋体" w:hAnsi="宋体"/>
          <w:b/>
          <w:kern w:val="0"/>
          <w:sz w:val="24"/>
        </w:rPr>
      </w:pPr>
    </w:p>
    <w:p>
      <w:pPr>
        <w:jc w:val="center"/>
        <w:rPr>
          <w:rFonts w:ascii="宋体" w:hAnsi="宋体"/>
          <w:sz w:val="32"/>
          <w:szCs w:val="32"/>
        </w:rPr>
      </w:pPr>
    </w:p>
    <w:p>
      <w:pPr>
        <w:pStyle w:val="3"/>
        <w:tabs>
          <w:tab w:val="left" w:pos="0"/>
        </w:tabs>
        <w:autoSpaceDE w:val="0"/>
        <w:autoSpaceDN w:val="0"/>
        <w:adjustRightInd w:val="0"/>
        <w:spacing w:line="360" w:lineRule="auto"/>
        <w:jc w:val="center"/>
        <w:rPr>
          <w:rFonts w:ascii="华文中宋" w:hAnsi="华文中宋" w:eastAsia="华文中宋"/>
        </w:rPr>
      </w:pPr>
      <w:r>
        <w:rPr>
          <w:rFonts w:ascii="宋体" w:hAnsi="宋体"/>
          <w:sz w:val="32"/>
          <w:szCs w:val="32"/>
        </w:rPr>
        <w:br w:type="page"/>
      </w:r>
      <w:bookmarkStart w:id="0" w:name="_Toc35393797"/>
      <w:bookmarkStart w:id="1" w:name="_Toc28359011"/>
      <w:r>
        <w:rPr>
          <w:rFonts w:hint="eastAsia" w:ascii="华文中宋" w:hAnsi="华文中宋" w:eastAsia="华文中宋"/>
          <w:sz w:val="40"/>
          <w:szCs w:val="144"/>
        </w:rPr>
        <w:t>竞争性谈判公告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pPr>
      <w:r>
        <w:rPr>
          <w:rFonts w:hint="eastAsia" w:ascii="仿宋" w:hAnsi="仿宋" w:eastAsia="仿宋"/>
          <w:sz w:val="28"/>
          <w:szCs w:val="28"/>
          <w:u w:val="single"/>
        </w:rPr>
        <w:t>励志学校监控增补</w:t>
      </w:r>
      <w:r>
        <w:rPr>
          <w:rFonts w:hint="eastAsia" w:ascii="仿宋" w:hAnsi="仿宋" w:eastAsia="仿宋"/>
          <w:sz w:val="28"/>
          <w:szCs w:val="28"/>
        </w:rPr>
        <w:t>采购项目的潜在供应商应在</w:t>
      </w:r>
      <w:r>
        <w:rPr>
          <w:rFonts w:hint="eastAsia" w:ascii="仿宋" w:hAnsi="仿宋" w:eastAsia="仿宋"/>
          <w:sz w:val="28"/>
          <w:szCs w:val="28"/>
          <w:u w:val="single"/>
        </w:rPr>
        <w:t>南宁市公共资源交易中心网站（网址：</w:t>
      </w:r>
      <w:r>
        <w:fldChar w:fldCharType="begin"/>
      </w:r>
      <w:r>
        <w:instrText xml:space="preserve"> HYPERLINK "http://www.nnggzy.org.cn）获取采购文件，并于2020年" </w:instrText>
      </w:r>
      <w:r>
        <w:fldChar w:fldCharType="separate"/>
      </w:r>
      <w:r>
        <w:rPr>
          <w:rStyle w:val="52"/>
          <w:rFonts w:hint="eastAsia" w:ascii="仿宋" w:hAnsi="仿宋" w:eastAsia="仿宋"/>
          <w:sz w:val="28"/>
          <w:szCs w:val="28"/>
        </w:rPr>
        <w:t>www.nnggzy.org.cn）获取采购文件，并于2020</w:t>
      </w:r>
      <w:r>
        <w:rPr>
          <w:rStyle w:val="52"/>
          <w:rFonts w:hint="eastAsia" w:ascii="仿宋" w:hAnsi="仿宋" w:eastAsia="仿宋"/>
          <w:bCs/>
          <w:sz w:val="28"/>
          <w:szCs w:val="28"/>
        </w:rPr>
        <w:t>年</w:t>
      </w:r>
      <w:r>
        <w:rPr>
          <w:rStyle w:val="52"/>
          <w:rFonts w:hint="eastAsia" w:ascii="仿宋" w:hAnsi="仿宋" w:eastAsia="仿宋"/>
          <w:bCs/>
          <w:sz w:val="28"/>
          <w:szCs w:val="28"/>
        </w:rPr>
        <w:fldChar w:fldCharType="end"/>
      </w:r>
      <w:r>
        <w:rPr>
          <w:rStyle w:val="52"/>
          <w:rFonts w:hint="eastAsia" w:ascii="仿宋" w:hAnsi="仿宋" w:eastAsia="仿宋"/>
          <w:bCs/>
          <w:sz w:val="28"/>
          <w:szCs w:val="28"/>
          <w:u w:val="single"/>
        </w:rPr>
        <w:t>11</w:t>
      </w:r>
      <w:r>
        <w:rPr>
          <w:rFonts w:hint="eastAsia" w:ascii="仿宋" w:hAnsi="仿宋" w:eastAsia="仿宋"/>
          <w:bCs/>
          <w:sz w:val="28"/>
          <w:szCs w:val="28"/>
          <w:u w:val="single"/>
        </w:rPr>
        <w:t>月20日13点00分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2"/>
        <w:spacing w:line="400" w:lineRule="exact"/>
        <w:rPr>
          <w:rFonts w:ascii="黑体" w:hAnsi="黑体" w:cs="宋体"/>
          <w:b w:val="0"/>
          <w:sz w:val="28"/>
          <w:szCs w:val="28"/>
        </w:rPr>
      </w:pPr>
      <w:bookmarkStart w:id="2" w:name="_Toc35393798"/>
      <w:bookmarkStart w:id="3" w:name="_Toc28359089"/>
      <w:bookmarkStart w:id="4" w:name="_Toc35393629"/>
      <w:bookmarkStart w:id="5" w:name="_Toc28359012"/>
      <w:r>
        <w:rPr>
          <w:rFonts w:hint="eastAsia" w:ascii="黑体" w:hAnsi="黑体" w:cs="宋体"/>
          <w:b w:val="0"/>
          <w:sz w:val="28"/>
          <w:szCs w:val="28"/>
        </w:rPr>
        <w:t>一、项目基本情况</w:t>
      </w:r>
      <w:bookmarkEnd w:id="2"/>
      <w:bookmarkEnd w:id="3"/>
      <w:bookmarkEnd w:id="4"/>
      <w:bookmarkEnd w:id="5"/>
    </w:p>
    <w:p>
      <w:pPr>
        <w:spacing w:line="400" w:lineRule="exact"/>
        <w:ind w:firstLine="560" w:firstLineChars="200"/>
        <w:rPr>
          <w:rFonts w:ascii="仿宋" w:hAnsi="仿宋" w:eastAsia="仿宋"/>
          <w:sz w:val="28"/>
          <w:szCs w:val="28"/>
        </w:rPr>
      </w:pPr>
      <w:r>
        <w:rPr>
          <w:rFonts w:hint="eastAsia" w:ascii="仿宋" w:hAnsi="仿宋" w:eastAsia="仿宋"/>
          <w:sz w:val="28"/>
          <w:szCs w:val="28"/>
        </w:rPr>
        <w:t>项目编号：NNZC2020-J1-990372-JGJD</w:t>
      </w:r>
    </w:p>
    <w:p>
      <w:pPr>
        <w:spacing w:line="400" w:lineRule="exact"/>
        <w:ind w:firstLine="560" w:firstLineChars="200"/>
        <w:rPr>
          <w:rFonts w:ascii="仿宋" w:hAnsi="仿宋" w:eastAsia="仿宋"/>
          <w:sz w:val="28"/>
          <w:szCs w:val="28"/>
          <w:u w:val="single"/>
        </w:rPr>
      </w:pPr>
      <w:r>
        <w:rPr>
          <w:rFonts w:hint="eastAsia" w:ascii="仿宋" w:hAnsi="仿宋" w:eastAsia="仿宋"/>
          <w:sz w:val="28"/>
          <w:szCs w:val="28"/>
        </w:rPr>
        <w:t>项目名称：励志学校监控增补</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采购方式：竞争性谈判</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预算金额：15万元</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最高限价：15万元</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采购需求：监控设备一批，详见采购文件。</w:t>
      </w:r>
    </w:p>
    <w:p>
      <w:pPr>
        <w:spacing w:line="400" w:lineRule="exact"/>
        <w:ind w:firstLine="560" w:firstLineChars="200"/>
        <w:rPr>
          <w:rFonts w:ascii="仿宋" w:hAnsi="仿宋" w:eastAsia="仿宋"/>
          <w:sz w:val="28"/>
          <w:szCs w:val="28"/>
          <w:u w:val="single"/>
        </w:rPr>
      </w:pPr>
      <w:r>
        <w:rPr>
          <w:rFonts w:hint="eastAsia" w:ascii="仿宋" w:hAnsi="仿宋" w:eastAsia="仿宋"/>
          <w:sz w:val="28"/>
          <w:szCs w:val="28"/>
        </w:rPr>
        <w:t>合同履行期限：自合同签订之日起7天内全部系统安装完毕并验收完成。</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2"/>
        <w:spacing w:line="400" w:lineRule="exact"/>
        <w:rPr>
          <w:rFonts w:ascii="黑体" w:hAnsi="黑体" w:cs="宋体"/>
          <w:b w:val="0"/>
          <w:sz w:val="28"/>
          <w:szCs w:val="28"/>
        </w:rPr>
      </w:pPr>
      <w:bookmarkStart w:id="6" w:name="_Toc35393630"/>
      <w:bookmarkStart w:id="7" w:name="_Toc28359090"/>
      <w:bookmarkStart w:id="8" w:name="_Toc35393799"/>
      <w:bookmarkStart w:id="9" w:name="_Toc28359013"/>
      <w:r>
        <w:rPr>
          <w:rFonts w:hint="eastAsia" w:ascii="黑体" w:hAnsi="黑体" w:cs="宋体"/>
          <w:b w:val="0"/>
          <w:sz w:val="28"/>
          <w:szCs w:val="28"/>
        </w:rPr>
        <w:t>二、申请人的资格要求：</w:t>
      </w:r>
      <w:bookmarkEnd w:id="6"/>
      <w:bookmarkEnd w:id="7"/>
      <w:bookmarkEnd w:id="8"/>
      <w:bookmarkEnd w:id="9"/>
    </w:p>
    <w:p>
      <w:pPr>
        <w:spacing w:line="4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400" w:lineRule="exact"/>
        <w:ind w:firstLine="560" w:firstLineChars="200"/>
        <w:rPr>
          <w:rFonts w:ascii="仿宋" w:hAnsi="仿宋" w:eastAsia="仿宋"/>
          <w:sz w:val="28"/>
          <w:szCs w:val="28"/>
        </w:rPr>
      </w:pPr>
      <w:bookmarkStart w:id="10" w:name="_Toc28359014"/>
      <w:bookmarkStart w:id="11" w:name="_Toc28359091"/>
      <w:r>
        <w:rPr>
          <w:rFonts w:hint="eastAsia" w:ascii="仿宋" w:hAnsi="仿宋" w:eastAsia="仿宋"/>
          <w:sz w:val="28"/>
          <w:szCs w:val="28"/>
        </w:rPr>
        <w:t>2.国内注册，生产或经营本次采购货物的供应商。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3.参加政府采购活动前3年内在经营活动中没有重大违法记录(提供书面声明)。</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落实政府采购政策需满足的资格要求：本项目需要落实的政府采购政策：《政府采购促进中小企业发展暂行办法》（财库[2011]181号）、《关于政府采购支持监狱企业发展有关问题的通知》(财库[2014]68号)、《关于促进残疾人就业政府采购政策的通知》(财库〔2017〕141号)，广西壮族自治区人民政府办公厅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pStyle w:val="2"/>
        <w:numPr>
          <w:ilvl w:val="0"/>
          <w:numId w:val="4"/>
        </w:numPr>
        <w:spacing w:line="400" w:lineRule="exact"/>
        <w:rPr>
          <w:rFonts w:ascii="黑体" w:hAnsi="黑体" w:cs="宋体"/>
          <w:b w:val="0"/>
          <w:sz w:val="28"/>
          <w:szCs w:val="28"/>
        </w:rPr>
      </w:pPr>
      <w:bookmarkStart w:id="12" w:name="_Toc35393631"/>
      <w:bookmarkStart w:id="13" w:name="_Toc35393800"/>
      <w:r>
        <w:rPr>
          <w:rFonts w:hint="eastAsia" w:ascii="黑体" w:hAnsi="黑体" w:cs="宋体"/>
          <w:b w:val="0"/>
          <w:sz w:val="28"/>
          <w:szCs w:val="28"/>
        </w:rPr>
        <w:t>获取采购文件</w:t>
      </w:r>
      <w:bookmarkEnd w:id="10"/>
      <w:bookmarkEnd w:id="11"/>
      <w:bookmarkEnd w:id="12"/>
      <w:bookmarkEnd w:id="13"/>
      <w:bookmarkStart w:id="14" w:name="_Toc35393632"/>
      <w:bookmarkStart w:id="15" w:name="_Toc35393801"/>
      <w:bookmarkStart w:id="16" w:name="_Toc28359015"/>
      <w:bookmarkStart w:id="17" w:name="_Toc28359092"/>
    </w:p>
    <w:p>
      <w:pPr>
        <w:pStyle w:val="2"/>
        <w:spacing w:line="400" w:lineRule="exact"/>
        <w:ind w:firstLine="560" w:firstLineChars="200"/>
        <w:rPr>
          <w:rFonts w:ascii="仿宋" w:hAnsi="仿宋" w:eastAsia="仿宋"/>
          <w:b w:val="0"/>
          <w:bCs w:val="0"/>
          <w:sz w:val="28"/>
          <w:szCs w:val="28"/>
        </w:rPr>
      </w:pPr>
      <w:r>
        <w:rPr>
          <w:rFonts w:hint="eastAsia" w:ascii="仿宋" w:hAnsi="仿宋" w:eastAsia="仿宋"/>
          <w:b w:val="0"/>
          <w:bCs w:val="0"/>
          <w:sz w:val="28"/>
          <w:szCs w:val="28"/>
        </w:rPr>
        <w:t xml:space="preserve">网上下载。本项目不发放纸质文件，供应商可登陆南宁市公共资源交易中心网站（网址：www.nnggzy.org.cn），在南宁市公共资源交易中心或各分支机构的采购公告栏内查找相关项目的采购公告，并点击该公告的附件，即可免费浏览或下载项目的采购文件。 </w:t>
      </w:r>
    </w:p>
    <w:p>
      <w:pPr>
        <w:pStyle w:val="2"/>
        <w:spacing w:line="400" w:lineRule="exact"/>
        <w:rPr>
          <w:rFonts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spacing w:line="400" w:lineRule="exact"/>
        <w:ind w:firstLine="560" w:firstLineChars="200"/>
        <w:rPr>
          <w:rFonts w:ascii="仿宋" w:hAnsi="仿宋" w:eastAsia="仿宋"/>
          <w:bCs/>
          <w:sz w:val="28"/>
          <w:szCs w:val="28"/>
          <w:highlight w:val="none"/>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rPr>
        <w:t>2020</w:t>
      </w:r>
      <w:r>
        <w:rPr>
          <w:rFonts w:hint="eastAsia" w:ascii="仿宋" w:hAnsi="仿宋" w:eastAsia="仿宋"/>
          <w:bCs/>
          <w:sz w:val="28"/>
          <w:szCs w:val="28"/>
          <w:highlight w:val="none"/>
          <w:u w:val="single"/>
        </w:rPr>
        <w:t>年11月20日13点00分</w:t>
      </w:r>
      <w:r>
        <w:rPr>
          <w:rFonts w:hint="eastAsia" w:ascii="仿宋" w:hAnsi="仿宋" w:eastAsia="仿宋"/>
          <w:bCs/>
          <w:sz w:val="28"/>
          <w:szCs w:val="28"/>
          <w:highlight w:val="none"/>
        </w:rPr>
        <w:t>（北京时间）</w:t>
      </w:r>
    </w:p>
    <w:p>
      <w:pPr>
        <w:spacing w:line="40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地点：南宁市良庆区玉洞大道33号（青少年活动中心旁）南宁市民中心9楼南宁市公共资源交易中心（详见9楼电子显示屏场地安排）</w:t>
      </w:r>
    </w:p>
    <w:p>
      <w:pPr>
        <w:pStyle w:val="2"/>
        <w:spacing w:line="400" w:lineRule="exact"/>
        <w:rPr>
          <w:rFonts w:ascii="黑体" w:hAnsi="黑体" w:cs="宋体"/>
          <w:b w:val="0"/>
          <w:sz w:val="28"/>
          <w:szCs w:val="28"/>
          <w:highlight w:val="none"/>
        </w:rPr>
      </w:pPr>
      <w:bookmarkStart w:id="18" w:name="_Toc28359017"/>
      <w:bookmarkStart w:id="19" w:name="_Toc28359094"/>
      <w:bookmarkStart w:id="20" w:name="_Toc35393803"/>
      <w:bookmarkStart w:id="21" w:name="_Toc35393634"/>
      <w:r>
        <w:rPr>
          <w:rFonts w:hint="eastAsia" w:ascii="黑体" w:hAnsi="黑体" w:cs="宋体"/>
          <w:b w:val="0"/>
          <w:sz w:val="28"/>
          <w:szCs w:val="28"/>
          <w:highlight w:val="none"/>
        </w:rPr>
        <w:t>五、公告期限</w:t>
      </w:r>
      <w:bookmarkEnd w:id="18"/>
      <w:bookmarkEnd w:id="19"/>
      <w:bookmarkEnd w:id="20"/>
      <w:bookmarkEnd w:id="21"/>
    </w:p>
    <w:p>
      <w:pPr>
        <w:spacing w:line="40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2"/>
        <w:spacing w:line="400" w:lineRule="exact"/>
        <w:rPr>
          <w:rFonts w:ascii="黑体" w:hAnsi="黑体" w:cs="宋体"/>
          <w:b w:val="0"/>
          <w:sz w:val="28"/>
          <w:szCs w:val="28"/>
          <w:highlight w:val="none"/>
        </w:rPr>
      </w:pPr>
      <w:bookmarkStart w:id="22" w:name="_Toc35393804"/>
      <w:bookmarkStart w:id="23" w:name="_Toc35393635"/>
      <w:r>
        <w:rPr>
          <w:rFonts w:hint="eastAsia" w:ascii="黑体" w:hAnsi="黑体" w:cs="宋体"/>
          <w:b w:val="0"/>
          <w:sz w:val="28"/>
          <w:szCs w:val="28"/>
          <w:highlight w:val="none"/>
        </w:rPr>
        <w:t>七、其他补充事宜</w:t>
      </w:r>
      <w:bookmarkEnd w:id="22"/>
      <w:bookmarkEnd w:id="23"/>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（一）疫情期间竞标截止时间和地点:</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1.递交截止时间：2020年11月20日13时00分</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2.本项目的竞标文件通过邮寄快递的方式送达。</w:t>
      </w:r>
    </w:p>
    <w:p>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3.竞标文件邮寄地址：南宁市青秀区新竹路29号5栋2单元403室；收件人：谭琦辉；联系电话：17677192991。</w:t>
      </w:r>
    </w:p>
    <w:p>
      <w:pPr>
        <w:spacing w:line="400" w:lineRule="exact"/>
        <w:ind w:firstLine="560" w:firstLineChars="200"/>
        <w:rPr>
          <w:rFonts w:ascii="仿宋" w:hAnsi="仿宋" w:eastAsia="仿宋"/>
          <w:sz w:val="28"/>
          <w:szCs w:val="28"/>
        </w:rPr>
      </w:pPr>
      <w:r>
        <w:rPr>
          <w:rFonts w:hint="eastAsia" w:ascii="仿宋" w:hAnsi="仿宋" w:eastAsia="仿宋"/>
          <w:sz w:val="28"/>
          <w:szCs w:val="28"/>
          <w:highlight w:val="none"/>
        </w:rPr>
        <w:t>4.接收邮寄包裹的时间为工作日上午9：00～12：00、下午3:0</w:t>
      </w:r>
      <w:r>
        <w:rPr>
          <w:rFonts w:hint="eastAsia" w:ascii="仿宋" w:hAnsi="仿宋" w:eastAsia="仿宋"/>
          <w:sz w:val="28"/>
          <w:szCs w:val="28"/>
        </w:rPr>
        <w:t>0～6:00。竞标文件必须在竞标截止时间前送达。招标采购人或招标采购代理机构工作人员签收邮寄包裹的时间即为竞标人竞标文件的送达时间，逾期送达的竞标文件无效，后果由竞标人自行承担。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5.采购代理机构将在竞标截止时间前一小时（即 12时 00 分）统一将收到的竞标文件运送至南宁市公共资源交易中心，以确保本项目能在开标截止时间准时截标。竞标人应充分预留竞标文件邮寄、送达所需要的时间。为确保疫情防控期间邮寄包裹能及时送达，应选择邮寄运送时间有保障的快递公司寄送竞标文件，并确保在竞标截止日期1个工作日前内送达。</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6.竞标人在按照招标文件的要求装订、密封好竞标文件后，应使用不透明、防水的邮寄袋或箱子再次包裹已密封好的竞标文件，并在邮寄袋或箱子上粘牢注明项目名称、项目编号、项目开标日期、有效的电子邮箱等内容的纸质表格（表格格式详见附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7.招标采购人或招标采购代理机构工作人员在收到竞标文件的邮寄包裹后，第一时间按照供应商在邮寄包裹上所预留的电子邮箱告知竞标文件收件情况，请供应商务必确保所预留的电子邮箱的有效性，并注意查收邮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（二）网上公告：</w:t>
      </w:r>
      <w:bookmarkStart w:id="24" w:name="_Toc28359018"/>
      <w:bookmarkStart w:id="25" w:name="_Toc28359095"/>
      <w:bookmarkStart w:id="26" w:name="_Toc35393805"/>
      <w:bookmarkStart w:id="27" w:name="_Toc35393636"/>
      <w:r>
        <w:rPr>
          <w:rFonts w:hint="eastAsia" w:ascii="仿宋" w:hAnsi="仿宋" w:eastAsia="仿宋"/>
          <w:sz w:val="28"/>
          <w:szCs w:val="28"/>
        </w:rPr>
        <w:t>南宁市公共资源交易中心网、中国政府采购网、广西壮族自治区政府采购网、南宁政府采购网、广西招标网。</w:t>
      </w:r>
    </w:p>
    <w:p>
      <w:pPr>
        <w:pStyle w:val="2"/>
        <w:spacing w:line="400" w:lineRule="exact"/>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4"/>
      <w:bookmarkEnd w:id="25"/>
      <w:bookmarkEnd w:id="26"/>
      <w:bookmarkEnd w:id="27"/>
    </w:p>
    <w:p>
      <w:pPr>
        <w:pStyle w:val="2"/>
        <w:spacing w:line="400" w:lineRule="exact"/>
        <w:ind w:firstLine="840" w:firstLineChars="300"/>
        <w:rPr>
          <w:rFonts w:ascii="仿宋" w:hAnsi="仿宋" w:eastAsia="仿宋" w:cs="宋体"/>
          <w:b w:val="0"/>
          <w:sz w:val="28"/>
          <w:szCs w:val="28"/>
        </w:rPr>
      </w:pPr>
      <w:bookmarkStart w:id="28" w:name="_Toc35393806"/>
      <w:bookmarkStart w:id="29" w:name="_Toc28359019"/>
      <w:bookmarkStart w:id="30" w:name="_Toc28359096"/>
      <w:bookmarkStart w:id="31" w:name="_Toc35393637"/>
      <w:r>
        <w:rPr>
          <w:rFonts w:hint="eastAsia" w:ascii="仿宋" w:hAnsi="仿宋" w:eastAsia="仿宋" w:cs="宋体"/>
          <w:b w:val="0"/>
          <w:sz w:val="28"/>
          <w:szCs w:val="28"/>
        </w:rPr>
        <w:t>1.采购人信息</w:t>
      </w:r>
      <w:bookmarkEnd w:id="28"/>
      <w:bookmarkEnd w:id="29"/>
      <w:bookmarkEnd w:id="30"/>
      <w:bookmarkEnd w:id="31"/>
    </w:p>
    <w:p>
      <w:pPr>
        <w:spacing w:line="4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南宁市励志专门学校</w:t>
      </w:r>
    </w:p>
    <w:p>
      <w:pPr>
        <w:spacing w:line="4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南宁市邕宁区光明路8号</w:t>
      </w:r>
    </w:p>
    <w:p>
      <w:pPr>
        <w:spacing w:line="4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0771-4722208</w:t>
      </w:r>
    </w:p>
    <w:p>
      <w:pPr>
        <w:pStyle w:val="2"/>
        <w:spacing w:line="400" w:lineRule="exact"/>
        <w:ind w:firstLine="840" w:firstLineChars="300"/>
        <w:rPr>
          <w:rFonts w:ascii="仿宋" w:hAnsi="仿宋" w:eastAsia="仿宋" w:cs="宋体"/>
          <w:b w:val="0"/>
          <w:sz w:val="28"/>
          <w:szCs w:val="28"/>
        </w:rPr>
      </w:pPr>
      <w:bookmarkStart w:id="32" w:name="_Toc28359020"/>
      <w:bookmarkStart w:id="33" w:name="_Toc35393638"/>
      <w:bookmarkStart w:id="34" w:name="_Toc35393807"/>
      <w:bookmarkStart w:id="35" w:name="_Toc28359097"/>
      <w:r>
        <w:rPr>
          <w:rFonts w:hint="eastAsia" w:ascii="仿宋" w:hAnsi="仿宋" w:eastAsia="仿宋" w:cs="宋体"/>
          <w:b w:val="0"/>
          <w:sz w:val="28"/>
          <w:szCs w:val="28"/>
        </w:rPr>
        <w:t>2.采购代理机构信息</w:t>
      </w:r>
      <w:bookmarkEnd w:id="32"/>
      <w:bookmarkEnd w:id="33"/>
      <w:bookmarkEnd w:id="34"/>
      <w:bookmarkEnd w:id="35"/>
    </w:p>
    <w:p>
      <w:pPr>
        <w:spacing w:line="40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广西建设工程机电设备招标中心有限公司</w:t>
      </w:r>
    </w:p>
    <w:p>
      <w:pPr>
        <w:spacing w:line="40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南宁市纬武路165号</w:t>
      </w:r>
    </w:p>
    <w:p>
      <w:pPr>
        <w:spacing w:line="40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17677192991</w:t>
      </w:r>
    </w:p>
    <w:p>
      <w:pPr>
        <w:pStyle w:val="2"/>
        <w:spacing w:line="400" w:lineRule="exact"/>
        <w:ind w:firstLine="840" w:firstLineChars="300"/>
        <w:rPr>
          <w:rFonts w:ascii="仿宋" w:hAnsi="仿宋" w:eastAsia="仿宋" w:cs="宋体"/>
          <w:b w:val="0"/>
          <w:sz w:val="28"/>
          <w:szCs w:val="28"/>
        </w:rPr>
      </w:pPr>
      <w:bookmarkStart w:id="36" w:name="_Toc28359098"/>
      <w:bookmarkStart w:id="37" w:name="_Toc28359021"/>
      <w:bookmarkStart w:id="38" w:name="_Toc35393639"/>
      <w:bookmarkStart w:id="39"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6"/>
      <w:bookmarkEnd w:id="37"/>
      <w:bookmarkEnd w:id="38"/>
      <w:bookmarkEnd w:id="39"/>
    </w:p>
    <w:p>
      <w:pPr>
        <w:pStyle w:val="24"/>
        <w:spacing w:line="40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谭琦辉</w:t>
      </w:r>
    </w:p>
    <w:p>
      <w:pPr>
        <w:spacing w:line="400" w:lineRule="exact"/>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17677192991</w:t>
      </w:r>
    </w:p>
    <w:p>
      <w:pPr>
        <w:spacing w:line="400" w:lineRule="exact"/>
      </w:pPr>
    </w:p>
    <w:p>
      <w:pPr>
        <w:snapToGrid w:val="0"/>
        <w:rPr>
          <w:rFonts w:ascii="宋体" w:hAnsi="宋体"/>
          <w:b/>
          <w:sz w:val="24"/>
        </w:rPr>
      </w:pPr>
    </w:p>
    <w:p>
      <w:pPr>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jc w:val="center"/>
        <w:rPr>
          <w:rFonts w:ascii="宋体" w:hAnsi="宋体"/>
          <w:b/>
          <w:sz w:val="24"/>
        </w:rPr>
      </w:pPr>
    </w:p>
    <w:p>
      <w:pPr>
        <w:jc w:val="center"/>
        <w:rPr>
          <w:rFonts w:ascii="宋体" w:hAnsi="宋体"/>
          <w:b/>
          <w:sz w:val="24"/>
        </w:rPr>
      </w:pPr>
    </w:p>
    <w:p>
      <w:pPr>
        <w:pStyle w:val="24"/>
        <w:ind w:firstLine="525"/>
        <w:jc w:val="center"/>
        <w:outlineLvl w:val="0"/>
        <w:rPr>
          <w:rFonts w:hAnsi="宋体"/>
          <w:b/>
        </w:rPr>
      </w:pPr>
      <w:r>
        <w:rPr>
          <w:rFonts w:hAnsi="宋体"/>
          <w:b/>
          <w:sz w:val="24"/>
        </w:rPr>
        <w:br w:type="page"/>
      </w:r>
      <w:r>
        <w:rPr>
          <w:rFonts w:hint="eastAsia" w:hAnsi="宋体"/>
          <w:b/>
          <w:sz w:val="32"/>
          <w:szCs w:val="32"/>
        </w:rPr>
        <w:t>供应商须知前附表</w:t>
      </w:r>
      <w:r>
        <w:rPr>
          <w:rFonts w:hint="eastAsia" w:hAnsi="宋体"/>
          <w:b/>
          <w:sz w:val="32"/>
          <w:szCs w:val="32"/>
        </w:rPr>
        <w:cr/>
      </w:r>
    </w:p>
    <w:tbl>
      <w:tblPr>
        <w:tblStyle w:val="43"/>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714" w:type="dxa"/>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条款号</w:t>
            </w:r>
          </w:p>
        </w:tc>
        <w:tc>
          <w:tcPr>
            <w:tcW w:w="1701"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条款名称</w:t>
            </w:r>
          </w:p>
        </w:tc>
        <w:tc>
          <w:tcPr>
            <w:tcW w:w="7273" w:type="dxa"/>
            <w:vAlign w:val="center"/>
          </w:tcPr>
          <w:p>
            <w:pPr>
              <w:pStyle w:val="24"/>
              <w:spacing w:line="420" w:lineRule="exact"/>
              <w:ind w:firstLine="2951" w:firstLineChars="1400"/>
              <w:rPr>
                <w:rFonts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14" w:type="dxa"/>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spacing w:line="440" w:lineRule="exact"/>
            </w:pPr>
            <w:r>
              <w:rPr>
                <w:rFonts w:hint="eastAsia"/>
              </w:rPr>
              <w:t>项目名称：励志学校监控增补</w:t>
            </w:r>
          </w:p>
          <w:p>
            <w:pPr>
              <w:spacing w:line="440" w:lineRule="exact"/>
            </w:pPr>
            <w:r>
              <w:rPr>
                <w:rFonts w:hint="eastAsia"/>
              </w:rPr>
              <w:t>项目编号：NNZC2020-J1-990372-JGJD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1.符合《中华人民共和国政府采购法》第二十二条规定。</w:t>
            </w:r>
          </w:p>
          <w:p>
            <w:pPr>
              <w:snapToGrid w:val="0"/>
              <w:rPr>
                <w:rFonts w:asciiTheme="minorEastAsia" w:hAnsiTheme="minorEastAsia" w:eastAsiaTheme="minorEastAsia"/>
                <w:szCs w:val="21"/>
              </w:rPr>
            </w:pPr>
            <w:r>
              <w:rPr>
                <w:rFonts w:hint="eastAsia" w:asciiTheme="minorEastAsia" w:hAnsiTheme="minorEastAsia" w:eastAsiaTheme="minorEastAsia"/>
                <w:szCs w:val="21"/>
              </w:rPr>
              <w:t>2.国内注册，生产或经营本次招标采购货物的供应商。</w:t>
            </w:r>
          </w:p>
          <w:p>
            <w:pPr>
              <w:snapToGrid w:val="0"/>
              <w:rPr>
                <w:rFonts w:asciiTheme="minorEastAsia" w:hAnsiTheme="minorEastAsia" w:eastAsiaTheme="minorEastAsia"/>
                <w:szCs w:val="21"/>
              </w:rPr>
            </w:pPr>
            <w:r>
              <w:rPr>
                <w:rFonts w:hint="eastAsia" w:asciiTheme="minorEastAsia" w:hAnsiTheme="minorEastAsia" w:eastAsiaTheme="minorEastAsia"/>
                <w:szCs w:val="21"/>
              </w:rPr>
              <w:t>3.参加政府采购活动前3年内在经营活动中没有重大违法记录(提供书面声明)。</w:t>
            </w:r>
          </w:p>
          <w:p>
            <w:pPr>
              <w:snapToGrid w:val="0"/>
              <w:rPr>
                <w:rFonts w:asciiTheme="minorEastAsia" w:hAnsiTheme="minorEastAsia" w:eastAsiaTheme="minorEastAsia"/>
                <w:szCs w:val="21"/>
              </w:rPr>
            </w:pPr>
            <w:r>
              <w:rPr>
                <w:rFonts w:hint="eastAsia" w:asciiTheme="minorEastAsia" w:hAnsiTheme="minorEastAsia" w:eastAsiaTheme="minorEastAsia"/>
                <w:szCs w:val="21"/>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谈判费用</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谈判</w:t>
            </w:r>
            <w:r>
              <w:rPr>
                <w:rFonts w:hint="eastAsia" w:asciiTheme="minorEastAsia" w:hAnsiTheme="minorEastAsia" w:eastAsiaTheme="minorEastAsia"/>
                <w:szCs w:val="21"/>
              </w:rPr>
              <w:t>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总采购预算</w:t>
            </w:r>
          </w:p>
        </w:tc>
        <w:tc>
          <w:tcPr>
            <w:tcW w:w="7273" w:type="dxa"/>
            <w:vAlign w:val="center"/>
          </w:tcPr>
          <w:p>
            <w:pPr>
              <w:spacing w:line="320" w:lineRule="exact"/>
              <w:rPr>
                <w:rFonts w:asciiTheme="minorEastAsia" w:hAnsiTheme="minorEastAsia" w:eastAsiaTheme="minorEastAsia"/>
                <w:szCs w:val="21"/>
              </w:rPr>
            </w:pPr>
            <w:r>
              <w:rPr>
                <w:rFonts w:hint="eastAsia" w:ascii="宋体" w:hAnsi="宋体"/>
                <w:sz w:val="24"/>
                <w:u w:val="single"/>
              </w:rPr>
              <w:t>15万元</w:t>
            </w:r>
            <w:r>
              <w:rPr>
                <w:rFonts w:hint="eastAsia" w:ascii="宋体" w:hAnsi="宋体"/>
                <w:sz w:val="24"/>
              </w:rPr>
              <w:t>；</w:t>
            </w:r>
            <w:r>
              <w:rPr>
                <w:rFonts w:hint="eastAsia" w:asciiTheme="minorEastAsia" w:hAnsiTheme="minorEastAsia" w:eastAsiaTheme="minorEastAsia"/>
                <w:szCs w:val="21"/>
              </w:rPr>
              <w:t xml:space="preserve"> 。</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szCs w:val="21"/>
              </w:rPr>
              <w:t>报价</w:t>
            </w:r>
            <w:r>
              <w:rPr>
                <w:rFonts w:hint="eastAsia" w:asciiTheme="minorEastAsia" w:hAnsiTheme="minorEastAsia" w:eastAsiaTheme="minorEastAsia"/>
                <w:kern w:val="0"/>
                <w:szCs w:val="21"/>
              </w:rPr>
              <w:t>超过总采购预算金额（或分项采购预算，</w:t>
            </w:r>
            <w:r>
              <w:rPr>
                <w:rFonts w:hint="eastAsia" w:ascii="宋体" w:hAnsi="宋体"/>
                <w:szCs w:val="21"/>
              </w:rPr>
              <w:t>根据项目增减</w:t>
            </w:r>
            <w:r>
              <w:rPr>
                <w:rFonts w:hint="eastAsia" w:asciiTheme="minorEastAsia" w:hAnsiTheme="minorEastAsia" w:eastAsiaTheme="minorEastAsia"/>
                <w:kern w:val="0"/>
                <w:szCs w:val="21"/>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szCs w:val="21"/>
              </w:rPr>
              <w:t>谈判报价</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供应商须就项目需求中的所有分标货物内容作完整唯一报价。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15.1</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tabs>
                <w:tab w:val="left" w:pos="1305"/>
              </w:tabs>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正本</w:t>
            </w:r>
            <w:r>
              <w:rPr>
                <w:rFonts w:hint="eastAsia" w:asciiTheme="minorEastAsia" w:hAnsiTheme="minorEastAsia" w:eastAsiaTheme="minorEastAsia"/>
                <w:szCs w:val="21"/>
                <w:u w:val="single"/>
              </w:rPr>
              <w:t>1</w:t>
            </w:r>
            <w:r>
              <w:rPr>
                <w:rFonts w:hint="eastAsia" w:asciiTheme="minorEastAsia" w:hAnsiTheme="minorEastAsia" w:eastAsiaTheme="minorEastAsia"/>
                <w:szCs w:val="21"/>
              </w:rPr>
              <w:t xml:space="preserve"> 份，副本</w:t>
            </w:r>
            <w:r>
              <w:rPr>
                <w:rFonts w:hint="eastAsia" w:asciiTheme="minorEastAsia" w:hAnsiTheme="minorEastAsia" w:eastAsiaTheme="minorEastAsia"/>
                <w:szCs w:val="21"/>
                <w:highlight w:val="none"/>
              </w:rPr>
              <w:t>2份,电子版响应文件一份（光盘）。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9</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16.2</w:t>
            </w:r>
          </w:p>
        </w:tc>
        <w:tc>
          <w:tcPr>
            <w:tcW w:w="1701" w:type="dxa"/>
            <w:vAlign w:val="center"/>
          </w:tcPr>
          <w:p>
            <w:pPr>
              <w:spacing w:line="360" w:lineRule="exact"/>
              <w:jc w:val="center"/>
              <w:rPr>
                <w:rFonts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供应商应按 “响应文件组成”规定的顺序自编目录及页码。响应文件的“正本”、“副本”应当单独装订成册并标注页码，装订应牢固，不易拆散和换页。封面应注明“正本”、“副本”字样，封面上写明采购项目名称、采购项目编号、标项、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16.6</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snapToGrid w:val="0"/>
              <w:spacing w:line="380" w:lineRule="exact"/>
              <w:jc w:val="left"/>
              <w:rPr>
                <w:rFonts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w:t>
            </w:r>
            <w:r>
              <w:rPr>
                <w:rFonts w:hint="eastAsia" w:ascii="宋体" w:hAnsi="宋体"/>
                <w:szCs w:val="21"/>
              </w:rPr>
              <w:t>（供应商若为其他组织形式无法定代表人的为机构负责人，供应商若为自然人的为自然人）</w:t>
            </w:r>
            <w:r>
              <w:rPr>
                <w:rFonts w:hint="eastAsia" w:cs="宋体" w:asciiTheme="minorEastAsia" w:hAnsiTheme="minorEastAsia" w:eastAsiaTheme="minorEastAsia"/>
                <w:szCs w:val="21"/>
              </w:rPr>
              <w:t>或相应的授权委托代理人签字均可</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50" w:lineRule="exact"/>
              <w:rPr>
                <w:rFonts w:asciiTheme="minorEastAsia" w:hAnsiTheme="minorEastAsia" w:eastAsiaTheme="minorEastAsia"/>
                <w:b/>
                <w:szCs w:val="21"/>
              </w:rPr>
            </w:pPr>
            <w:r>
              <w:rPr>
                <w:rFonts w:hint="eastAsia" w:asciiTheme="minorEastAsia" w:hAnsiTheme="minorEastAsia" w:eastAsiaTheme="minorEastAsia"/>
                <w:b/>
                <w:szCs w:val="21"/>
              </w:rPr>
              <w:t>响应文件袋标记：</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项目名称： </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项目编号： </w:t>
            </w:r>
          </w:p>
          <w:p>
            <w:pPr>
              <w:spacing w:line="340" w:lineRule="exact"/>
              <w:rPr>
                <w:rFonts w:cs="宋体" w:asciiTheme="minorEastAsia" w:hAnsiTheme="minorEastAsia" w:eastAsiaTheme="minorEastAsia"/>
                <w:kern w:val="0"/>
                <w:szCs w:val="21"/>
                <w:u w:val="single"/>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rPr>
              <w:t>广西建设工程机电设备招标中心有限公司</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供应商名称：</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在  年月  日 时 分前不得开启</w:t>
            </w:r>
            <w:r>
              <w:rPr>
                <w:rFonts w:hint="eastAsia" w:asciiTheme="minorEastAsia" w:hAnsiTheme="minorEastAsia" w:eastAsiaTheme="minorEastAsia"/>
                <w:b/>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16.7</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spacing w:line="350" w:lineRule="exact"/>
              <w:rPr>
                <w:rFonts w:asciiTheme="minorEastAsia" w:hAnsiTheme="minorEastAsia" w:eastAsiaTheme="minorEastAsia"/>
                <w:szCs w:val="21"/>
              </w:rPr>
            </w:pPr>
            <w:r>
              <w:rPr>
                <w:rFonts w:cs="宋体" w:asciiTheme="minorEastAsia" w:hAnsiTheme="minorEastAsia" w:eastAsiaTheme="minorEastAsia"/>
                <w:szCs w:val="21"/>
              </w:rPr>
              <w:t>本</w:t>
            </w:r>
            <w:r>
              <w:rPr>
                <w:rFonts w:hint="eastAsia" w:cs="宋体" w:asciiTheme="minorEastAsia" w:hAnsiTheme="minorEastAsia" w:eastAsiaTheme="minorEastAsia"/>
                <w:szCs w:val="21"/>
              </w:rPr>
              <w:t>竞争性谈判文件</w:t>
            </w:r>
            <w:r>
              <w:rPr>
                <w:rFonts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响应文件递交</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（一）疫情期间竞标截止时间和地点:</w:t>
            </w:r>
          </w:p>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1.递交截止时间：2020年11月20日13时00分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2.本项目的竞标文件通过邮寄快递的方式送达。</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3.竞标文件邮寄地址：南宁市青秀区新竹路29号5栋2单元403室；收件人：谭琦辉；联系电话：17677192991。</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接收邮寄包裹的时间为工作日上午9：00～12：00、下午3:00～6:00。竞标文件必须在竞标截止时间前送达。招标采购人或招标采购代理机构工作人员签收邮寄包裹的时间即为竞标人竞标文件的送达时间，逾期送达的竞标文件无效，后果由竞标人自行承担。</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5.采购代理机构将在竞标截止时间前一小时（即 12时 00 分）统一将收到的竞标文件运送至南宁市公共资源交易中心，以确保本项目能在开标截止时间准时截标。竞标人应充分预留竞标文件邮寄、送达所需要的时间。为确保疫情防控期间邮寄包裹能及时送达，应选择邮寄运送时间有保障的快递公司寄送竞标文件，并确保在竞标截止日期1个工作日前内送达。</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6.竞标人在按照招标文件的要求装订、密封好竞标文件后，应使用不透明、防水的邮寄袋或箱子再次包裹已密封好的竞标文件，并在邮寄袋或箱子上粘牢注明项目名称、项目编号、项目开标日期、有效的电子邮箱等内容的纸质表格（表格格式详见附件）。</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7.招标采购人或招标采购代理机构工作人员在收到竞标文件的邮寄包裹后，第一时间按照供应商在邮寄包裹上所预留的电子邮箱告知竞标文件收件情况，请供应商务必确保所预留的电子邮箱的有效性，并注意查收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18.2</w:t>
            </w:r>
          </w:p>
        </w:tc>
        <w:tc>
          <w:tcPr>
            <w:tcW w:w="170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谈判时间、地点、人员</w:t>
            </w:r>
          </w:p>
        </w:tc>
        <w:tc>
          <w:tcPr>
            <w:tcW w:w="7273" w:type="dxa"/>
          </w:tcPr>
          <w:p>
            <w:pPr>
              <w:spacing w:line="35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rPr>
              <w:t>020年11月20日13时00分整截止后为谈判小组与谈判供应商谈判时间，具体时间由代理机构广西建设工程机电设备招标中心有限公司另行通知。供应商不参加现场开标活动。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701" w:type="dxa"/>
            <w:vAlign w:val="center"/>
          </w:tcPr>
          <w:p>
            <w:pPr>
              <w:spacing w:line="400" w:lineRule="exact"/>
              <w:jc w:val="center"/>
              <w:rPr>
                <w:rFonts w:ascii="宋体" w:hAnsi="宋体"/>
                <w:szCs w:val="21"/>
              </w:rPr>
            </w:pPr>
            <w:r>
              <w:rPr>
                <w:rFonts w:hint="eastAsia" w:ascii="宋体" w:hAnsi="宋体"/>
                <w:szCs w:val="21"/>
              </w:rPr>
              <w:t>信用查询</w:t>
            </w:r>
          </w:p>
        </w:tc>
        <w:tc>
          <w:tcPr>
            <w:tcW w:w="7273" w:type="dxa"/>
            <w:vAlign w:val="center"/>
          </w:tcPr>
          <w:p>
            <w:pPr>
              <w:autoSpaceDE w:val="0"/>
              <w:autoSpaceDN w:val="0"/>
              <w:snapToGrid w:val="0"/>
              <w:spacing w:line="440" w:lineRule="exact"/>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40" w:lineRule="exact"/>
              <w:textAlignment w:val="bottom"/>
              <w:rPr>
                <w:rFonts w:ascii="宋体" w:hAnsi="宋体"/>
              </w:rPr>
            </w:pPr>
            <w:r>
              <w:rPr>
                <w:rFonts w:hint="eastAsia" w:ascii="宋体" w:hAnsi="宋体"/>
              </w:rPr>
              <w:t>⑴查询渠道：“信用中国”网站(www.creditchina.gov.cn)、中国政府采购网(www.ccgp.gov.cn)等；</w:t>
            </w:r>
          </w:p>
          <w:p>
            <w:pPr>
              <w:autoSpaceDE w:val="0"/>
              <w:autoSpaceDN w:val="0"/>
              <w:snapToGrid w:val="0"/>
              <w:spacing w:line="440" w:lineRule="exact"/>
              <w:textAlignment w:val="bottom"/>
              <w:rPr>
                <w:rFonts w:ascii="宋体" w:hAnsi="宋体"/>
              </w:rPr>
            </w:pPr>
            <w:r>
              <w:rPr>
                <w:rFonts w:hint="eastAsia" w:ascii="宋体" w:hAnsi="宋体"/>
              </w:rPr>
              <w:t>⑵查询截止时点：成交通知书发出前；</w:t>
            </w:r>
          </w:p>
          <w:p>
            <w:pPr>
              <w:autoSpaceDE w:val="0"/>
              <w:autoSpaceDN w:val="0"/>
              <w:snapToGrid w:val="0"/>
              <w:spacing w:line="440" w:lineRule="exact"/>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pStyle w:val="173"/>
              <w:spacing w:line="440" w:lineRule="exact"/>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spacing w:line="400" w:lineRule="exact"/>
              <w:ind w:firstLine="420" w:firstLineChars="200"/>
              <w:rPr>
                <w:rFonts w:ascii="宋体" w:hAnsi="宋体"/>
                <w:szCs w:val="21"/>
              </w:rPr>
            </w:pPr>
            <w:r>
              <w:rPr>
                <w:rFonts w:hint="eastAsia"/>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714" w:type="dxa"/>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17</w:t>
            </w:r>
          </w:p>
        </w:tc>
        <w:tc>
          <w:tcPr>
            <w:tcW w:w="714" w:type="dxa"/>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18</w:t>
            </w:r>
          </w:p>
        </w:tc>
        <w:tc>
          <w:tcPr>
            <w:tcW w:w="714" w:type="dxa"/>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成交供应商领取成交通知书前，向广西建设工程机电设备招标中心有限公司一次性付清采购代理服务费。服务费参照国家发展计划委员会文件计价格（2002）1980号《国家计委关于印发&lt;招标代理服务收费管理暂行办法&gt;的通知》规定标准计取。</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缴纳方式：</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开户名称：广西建设工程机电设备招标中心有限公司</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开户银行：招商银行南宁分行营业部</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帐    号：7719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4"/>
              <w:spacing w:line="420" w:lineRule="exact"/>
              <w:jc w:val="center"/>
              <w:rPr>
                <w:rFonts w:asciiTheme="minorEastAsia" w:hAnsiTheme="minorEastAsia" w:eastAsiaTheme="minorEastAsia"/>
              </w:rPr>
            </w:pPr>
            <w:r>
              <w:rPr>
                <w:rFonts w:hint="eastAsia" w:asciiTheme="minorEastAsia" w:hAnsiTheme="minorEastAsia" w:eastAsiaTheme="minorEastAsia"/>
              </w:rPr>
              <w:t>19</w:t>
            </w:r>
          </w:p>
        </w:tc>
        <w:tc>
          <w:tcPr>
            <w:tcW w:w="714" w:type="dxa"/>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本竞争性谈判文件的解释权属于采购代理机构。</w:t>
            </w:r>
          </w:p>
        </w:tc>
      </w:tr>
    </w:tbl>
    <w:p>
      <w:pPr>
        <w:pStyle w:val="24"/>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本文件仅适用于下列项目所叙述的货物类政府采购。</w:t>
      </w:r>
    </w:p>
    <w:p>
      <w:pPr>
        <w:spacing w:line="360" w:lineRule="auto"/>
        <w:rPr>
          <w:rFonts w:ascii="宋体" w:hAnsi="宋体"/>
          <w:sz w:val="24"/>
        </w:rPr>
      </w:pPr>
      <w:r>
        <w:rPr>
          <w:rFonts w:hint="eastAsia" w:ascii="宋体" w:hAnsi="宋体"/>
          <w:sz w:val="24"/>
        </w:rPr>
        <w:t>项目名称：励志学校监控增补</w:t>
      </w:r>
    </w:p>
    <w:p>
      <w:pPr>
        <w:spacing w:line="360" w:lineRule="auto"/>
        <w:rPr>
          <w:rFonts w:ascii="宋体" w:hAnsi="宋体"/>
          <w:sz w:val="24"/>
        </w:rPr>
      </w:pPr>
      <w:r>
        <w:rPr>
          <w:rFonts w:hint="eastAsia" w:ascii="宋体" w:hAnsi="宋体"/>
          <w:sz w:val="24"/>
        </w:rPr>
        <w:t>项目编号：NNZC2020-J1-990372-JGJD</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w:t>
      </w:r>
      <w:r>
        <w:rPr>
          <w:rFonts w:hint="eastAsia"/>
          <w:sz w:val="24"/>
          <w:u w:val="single"/>
        </w:rPr>
        <w:t>南宁市励志专门学校</w:t>
      </w:r>
    </w:p>
    <w:p>
      <w:pPr>
        <w:spacing w:line="360" w:lineRule="auto"/>
        <w:rPr>
          <w:rFonts w:ascii="宋体" w:hAnsi="宋体"/>
          <w:sz w:val="24"/>
        </w:rPr>
      </w:pPr>
      <w:r>
        <w:rPr>
          <w:rFonts w:hint="eastAsia" w:ascii="宋体" w:hAnsi="宋体"/>
          <w:sz w:val="24"/>
        </w:rPr>
        <w:t>2.2“政府采购代理机构”是指：广西建设工程机电设备招标中心有限公司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2.3“供应商”是指符合本次采购项目的供应商资格并提交响应文件、参加谈判的供应商。如果该供应商在本次谈判中成交，即成为“成交供应商”。</w:t>
      </w:r>
    </w:p>
    <w:p>
      <w:pPr>
        <w:spacing w:line="360" w:lineRule="auto"/>
        <w:rPr>
          <w:rFonts w:ascii="宋体" w:hAnsi="宋体"/>
          <w:sz w:val="24"/>
        </w:rPr>
      </w:pPr>
      <w:r>
        <w:rPr>
          <w:rFonts w:hint="eastAsia" w:ascii="宋体" w:hAnsi="宋体"/>
          <w:sz w:val="24"/>
        </w:rPr>
        <w:t>2.4“货物”系指按谈判文件规定，供应商须向采购人提供的一切设备、保险、税金、备品备件、工具、手册及其它有关技术资料和材料。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2.5“服务”系指按谈判文件规定，供应商须承担的安装、调试、技术协助、校准、培训、技术指导以及其他类似的义务。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2.6“项目”系指供应商按谈判文件规定向采购人提供的货物和服务。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spacing w:line="360" w:lineRule="auto"/>
        <w:rPr>
          <w:rFonts w:ascii="宋体" w:hAnsi="宋体"/>
          <w:b/>
          <w:sz w:val="24"/>
        </w:rPr>
      </w:pPr>
      <w:r>
        <w:rPr>
          <w:rFonts w:hint="eastAsia" w:ascii="宋体" w:hAnsi="宋体"/>
          <w:b/>
          <w:sz w:val="24"/>
        </w:rPr>
        <w:t>3. 供应商资格</w:t>
      </w:r>
    </w:p>
    <w:p>
      <w:pPr>
        <w:spacing w:line="360" w:lineRule="auto"/>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符合《中华人民共和国政府采购法》第二十二条规定。</w:t>
      </w:r>
    </w:p>
    <w:p>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w:t>
      </w:r>
      <w:r>
        <w:rPr>
          <w:rFonts w:ascii="宋体" w:hAnsi="宋体"/>
          <w:sz w:val="24"/>
        </w:rPr>
        <w:t>国内注册</w:t>
      </w:r>
      <w:r>
        <w:rPr>
          <w:rFonts w:hint="eastAsia" w:ascii="宋体" w:hAnsi="宋体"/>
          <w:sz w:val="24"/>
        </w:rPr>
        <w:t>，</w:t>
      </w:r>
      <w:r>
        <w:rPr>
          <w:rFonts w:ascii="宋体" w:hAnsi="宋体"/>
          <w:sz w:val="24"/>
        </w:rPr>
        <w:t>生产或经营本次</w:t>
      </w:r>
      <w:r>
        <w:rPr>
          <w:rFonts w:hint="eastAsia" w:ascii="宋体" w:hAnsi="宋体"/>
          <w:sz w:val="24"/>
        </w:rPr>
        <w:t>招</w:t>
      </w:r>
      <w:r>
        <w:rPr>
          <w:rFonts w:ascii="宋体" w:hAnsi="宋体"/>
          <w:sz w:val="24"/>
        </w:rPr>
        <w:t>标采购货物的</w:t>
      </w:r>
      <w:r>
        <w:rPr>
          <w:rFonts w:hint="eastAsia" w:ascii="宋体" w:hAnsi="宋体"/>
          <w:sz w:val="24"/>
        </w:rPr>
        <w:t>供应商。</w:t>
      </w:r>
    </w:p>
    <w:p>
      <w:pPr>
        <w:spacing w:line="360" w:lineRule="auto"/>
        <w:rPr>
          <w:rFonts w:asciiTheme="minorEastAsia" w:hAnsiTheme="minorEastAsia" w:eastAsiaTheme="minorEastAsia"/>
          <w:sz w:val="24"/>
        </w:rPr>
      </w:pPr>
      <w:r>
        <w:rPr>
          <w:rFonts w:hint="eastAsia" w:ascii="宋体" w:hAnsi="宋体"/>
          <w:sz w:val="24"/>
        </w:rPr>
        <w:t>3.3. 参加政府采购活动前3年内在经营活动中没有重大违法记录</w:t>
      </w:r>
      <w:r>
        <w:rPr>
          <w:rFonts w:hint="eastAsia" w:asciiTheme="minorEastAsia" w:hAnsiTheme="minorEastAsia" w:eastAsiaTheme="minorEastAsia"/>
          <w:sz w:val="24"/>
        </w:rPr>
        <w:t>(提供书面声明)。</w:t>
      </w:r>
    </w:p>
    <w:p>
      <w:pPr>
        <w:spacing w:line="360" w:lineRule="auto"/>
        <w:rPr>
          <w:rFonts w:ascii="宋体" w:hAnsi="宋体"/>
          <w:sz w:val="24"/>
        </w:rPr>
      </w:pPr>
      <w:r>
        <w:rPr>
          <w:rFonts w:hint="eastAsia" w:asciiTheme="minorEastAsia" w:hAnsiTheme="minorEastAsia" w:eastAsiaTheme="minorEastAsia"/>
          <w:sz w:val="24"/>
        </w:rPr>
        <w:t>3.4.</w:t>
      </w:r>
      <w:r>
        <w:rPr>
          <w:rFonts w:hint="eastAsia" w:ascii="宋体" w:hAnsi="宋体"/>
          <w:sz w:val="24"/>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rPr>
          <w:rFonts w:ascii="宋体" w:hAnsi="宋体"/>
          <w:b/>
          <w:sz w:val="24"/>
        </w:rPr>
      </w:pPr>
      <w:r>
        <w:rPr>
          <w:rFonts w:hint="eastAsia" w:ascii="宋体" w:hAnsi="宋体"/>
          <w:b/>
          <w:sz w:val="24"/>
        </w:rPr>
        <w:t>4. 谈判费用及其他事项</w:t>
      </w:r>
    </w:p>
    <w:p>
      <w:pPr>
        <w:spacing w:line="360" w:lineRule="auto"/>
        <w:ind w:left="-61"/>
        <w:rPr>
          <w:rFonts w:ascii="宋体" w:hAnsi="宋体"/>
          <w:sz w:val="24"/>
        </w:rPr>
      </w:pPr>
      <w:r>
        <w:rPr>
          <w:rFonts w:hint="eastAsia" w:ascii="宋体" w:hAnsi="宋体"/>
          <w:sz w:val="24"/>
        </w:rPr>
        <w:t>4.1 谈判供应商应自行承担所有与编写和提交竞争性谈判响应文件有关的费用，不论谈判结果如何，采购人和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snapToGrid w:val="0"/>
        <w:spacing w:line="400" w:lineRule="exact"/>
        <w:jc w:val="left"/>
        <w:rPr>
          <w:rFonts w:ascii="宋体" w:hAnsi="宋体"/>
          <w:b/>
          <w:sz w:val="24"/>
        </w:rPr>
      </w:pPr>
      <w:r>
        <w:rPr>
          <w:rFonts w:hint="eastAsia" w:ascii="宋体" w:hAnsi="宋体"/>
          <w:b/>
          <w:sz w:val="24"/>
        </w:rPr>
        <w:t>5. 联合体要求</w:t>
      </w:r>
    </w:p>
    <w:p>
      <w:pPr>
        <w:tabs>
          <w:tab w:val="left" w:pos="2190"/>
        </w:tabs>
        <w:spacing w:line="380" w:lineRule="exact"/>
        <w:rPr>
          <w:rFonts w:ascii="宋体" w:hAnsi="宋体"/>
          <w:sz w:val="24"/>
        </w:rPr>
      </w:pPr>
      <w:r>
        <w:rPr>
          <w:rFonts w:hint="eastAsia" w:ascii="宋体" w:hAnsi="宋体"/>
          <w:sz w:val="24"/>
        </w:rPr>
        <w:t>5.1本项目 （不接受）联合体竞标</w:t>
      </w:r>
    </w:p>
    <w:p>
      <w:pPr>
        <w:tabs>
          <w:tab w:val="left" w:pos="2190"/>
        </w:tabs>
        <w:spacing w:line="380" w:lineRule="exact"/>
        <w:rPr>
          <w:rFonts w:ascii="宋体" w:hAnsi="宋体"/>
          <w:b/>
          <w:sz w:val="24"/>
        </w:rPr>
      </w:pPr>
      <w:r>
        <w:rPr>
          <w:rFonts w:hint="eastAsia" w:ascii="宋体" w:hAnsi="宋体"/>
          <w:b/>
          <w:sz w:val="24"/>
        </w:rPr>
        <w:t>6.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6.1供应商认为谈判文件使自己的合法权益受到损害的，应当在2020年11月19日前），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6.3质疑、投诉应当采用书面形式，均应明确阐述谈判文件、谈判过程或成交结果中使自己合法权益受到损害的实质性内容，并提供必要的证明材料。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7. 转包与分包</w:t>
      </w:r>
    </w:p>
    <w:p>
      <w:pPr>
        <w:tabs>
          <w:tab w:val="left" w:pos="2190"/>
        </w:tabs>
        <w:spacing w:line="380" w:lineRule="exact"/>
        <w:rPr>
          <w:rFonts w:ascii="宋体" w:hAnsi="宋体"/>
          <w:sz w:val="24"/>
        </w:rPr>
      </w:pPr>
      <w:r>
        <w:rPr>
          <w:rFonts w:hint="eastAsia" w:ascii="宋体" w:hAnsi="宋体"/>
          <w:sz w:val="24"/>
        </w:rPr>
        <w:t>7.1 本项目不允许转包。</w:t>
      </w:r>
    </w:p>
    <w:p>
      <w:pPr>
        <w:tabs>
          <w:tab w:val="left" w:pos="2190"/>
        </w:tabs>
        <w:spacing w:line="380" w:lineRule="exact"/>
        <w:rPr>
          <w:rFonts w:ascii="宋体" w:hAnsi="宋体"/>
          <w:sz w:val="24"/>
        </w:rPr>
      </w:pPr>
      <w:r>
        <w:rPr>
          <w:rFonts w:hint="eastAsia" w:ascii="宋体" w:hAnsi="宋体"/>
          <w:sz w:val="24"/>
        </w:rPr>
        <w:t>7.2 本项目（</w:t>
      </w:r>
      <w:r>
        <w:rPr>
          <w:rFonts w:hint="eastAsia" w:cs="宋体" w:asciiTheme="minorEastAsia" w:hAnsiTheme="minorEastAsia" w:eastAsiaTheme="minorEastAsia"/>
          <w:b/>
          <w:kern w:val="0"/>
          <w:sz w:val="24"/>
          <w:u w:val="single"/>
        </w:rPr>
        <w:t>不可以</w:t>
      </w:r>
      <w:r>
        <w:rPr>
          <w:rFonts w:hint="eastAsia" w:ascii="宋体" w:hAnsi="宋体"/>
          <w:sz w:val="24"/>
        </w:rPr>
        <w:t>）</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w:t>
      </w:r>
    </w:p>
    <w:p>
      <w:pPr>
        <w:tabs>
          <w:tab w:val="left" w:pos="1635"/>
        </w:tabs>
        <w:spacing w:line="380" w:lineRule="exact"/>
        <w:rPr>
          <w:rFonts w:ascii="宋体" w:hAnsi="宋体"/>
          <w:b/>
          <w:sz w:val="24"/>
        </w:rPr>
      </w:pPr>
      <w:r>
        <w:rPr>
          <w:rFonts w:hint="eastAsia" w:ascii="宋体" w:hAnsi="宋体"/>
          <w:b/>
          <w:sz w:val="24"/>
        </w:rPr>
        <w:t>8. 关联供应商不得参加同一合同项下政府采购活动，否则响应文件将被视为无效：</w:t>
      </w:r>
    </w:p>
    <w:p>
      <w:pPr>
        <w:tabs>
          <w:tab w:val="left" w:pos="1635"/>
        </w:tabs>
        <w:spacing w:line="380" w:lineRule="exact"/>
        <w:rPr>
          <w:rFonts w:ascii="宋体" w:hAnsi="宋体"/>
          <w:sz w:val="24"/>
        </w:rPr>
      </w:pPr>
      <w:r>
        <w:rPr>
          <w:rFonts w:hint="eastAsia" w:ascii="宋体" w:hAnsi="宋体"/>
          <w:sz w:val="24"/>
        </w:rPr>
        <w:t>8.1单位负责人为同一人或者存在直接控股、管理关系的，不得参加同一合同项下的政府采购活动。</w:t>
      </w:r>
    </w:p>
    <w:p>
      <w:pPr>
        <w:tabs>
          <w:tab w:val="left" w:pos="1635"/>
        </w:tabs>
        <w:spacing w:line="380" w:lineRule="exact"/>
        <w:rPr>
          <w:rFonts w:ascii="宋体" w:hAnsi="宋体"/>
          <w:sz w:val="24"/>
        </w:rPr>
      </w:pPr>
      <w:r>
        <w:rPr>
          <w:rFonts w:hint="eastAsia" w:ascii="宋体" w:hAnsi="宋体"/>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sz w:val="24"/>
        </w:rPr>
      </w:pPr>
      <w:r>
        <w:rPr>
          <w:rFonts w:hint="eastAsia" w:ascii="宋体" w:hAnsi="宋体"/>
          <w:sz w:val="24"/>
        </w:rPr>
        <w:t>8.3为本采购项目提供整体设计、规范编制或者项目管理、监理、检测等服务的供应商，不得再参加本次采购活动。</w:t>
      </w:r>
    </w:p>
    <w:p>
      <w:pPr>
        <w:tabs>
          <w:tab w:val="left" w:pos="1635"/>
        </w:tabs>
        <w:spacing w:line="380" w:lineRule="exact"/>
        <w:rPr>
          <w:rFonts w:ascii="宋体" w:hAnsi="宋体"/>
          <w:sz w:val="24"/>
        </w:rPr>
      </w:pPr>
      <w:r>
        <w:rPr>
          <w:rFonts w:hint="eastAsia" w:ascii="宋体" w:hAnsi="宋体"/>
          <w:sz w:val="24"/>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9.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sz w:val="24"/>
        </w:rPr>
      </w:pPr>
      <w:r>
        <w:rPr>
          <w:rFonts w:hint="eastAsia" w:ascii="宋体" w:hAnsi="宋体"/>
          <w:sz w:val="24"/>
        </w:rPr>
        <w:t>9.1</w:t>
      </w:r>
      <w:r>
        <w:rPr>
          <w:rFonts w:ascii="宋体" w:hAnsi="宋体"/>
          <w:sz w:val="24"/>
        </w:rPr>
        <w:t>不同</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由同一单位或者个人编制；</w:t>
      </w:r>
    </w:p>
    <w:p>
      <w:pPr>
        <w:tabs>
          <w:tab w:val="left" w:pos="1635"/>
        </w:tabs>
        <w:spacing w:line="380" w:lineRule="exact"/>
        <w:rPr>
          <w:rFonts w:ascii="宋体" w:hAnsi="宋体"/>
          <w:sz w:val="24"/>
        </w:rPr>
      </w:pPr>
      <w:r>
        <w:rPr>
          <w:rFonts w:hint="eastAsia" w:ascii="宋体" w:hAnsi="宋体"/>
          <w:sz w:val="24"/>
        </w:rPr>
        <w:t>9.2</w:t>
      </w:r>
      <w:r>
        <w:rPr>
          <w:rFonts w:ascii="宋体" w:hAnsi="宋体"/>
          <w:sz w:val="24"/>
        </w:rPr>
        <w:t>不同</w:t>
      </w:r>
      <w:r>
        <w:rPr>
          <w:rFonts w:hint="eastAsia" w:ascii="宋体" w:hAnsi="宋体"/>
          <w:sz w:val="24"/>
        </w:rPr>
        <w:t>谈判供应商</w:t>
      </w:r>
      <w:r>
        <w:rPr>
          <w:rFonts w:ascii="宋体" w:hAnsi="宋体"/>
          <w:sz w:val="24"/>
        </w:rPr>
        <w:t>委托同一单位或者个人办理竞标事宜;</w:t>
      </w:r>
    </w:p>
    <w:p>
      <w:pPr>
        <w:tabs>
          <w:tab w:val="left" w:pos="1635"/>
        </w:tabs>
        <w:spacing w:line="380" w:lineRule="exact"/>
        <w:rPr>
          <w:rFonts w:ascii="宋体" w:hAnsi="宋体"/>
          <w:sz w:val="24"/>
        </w:rPr>
      </w:pPr>
      <w:r>
        <w:rPr>
          <w:rFonts w:hint="eastAsia" w:ascii="宋体" w:hAnsi="宋体"/>
          <w:sz w:val="24"/>
        </w:rPr>
        <w:t>9.3</w:t>
      </w:r>
      <w:r>
        <w:rPr>
          <w:rFonts w:ascii="宋体" w:hAnsi="宋体"/>
          <w:sz w:val="24"/>
        </w:rPr>
        <w:t>不同的</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载明的项目管理员为同一个人;</w:t>
      </w:r>
    </w:p>
    <w:p>
      <w:pPr>
        <w:tabs>
          <w:tab w:val="left" w:pos="1635"/>
        </w:tabs>
        <w:spacing w:line="380" w:lineRule="exact"/>
        <w:rPr>
          <w:rFonts w:ascii="宋体" w:hAnsi="宋体"/>
          <w:sz w:val="24"/>
        </w:rPr>
      </w:pPr>
      <w:r>
        <w:rPr>
          <w:rFonts w:hint="eastAsia" w:ascii="宋体" w:hAnsi="宋体"/>
          <w:sz w:val="24"/>
        </w:rPr>
        <w:t>9.4</w:t>
      </w:r>
      <w:r>
        <w:rPr>
          <w:rFonts w:ascii="宋体" w:hAnsi="宋体"/>
          <w:sz w:val="24"/>
        </w:rPr>
        <w:t>不同</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异常一致或竞标报价呈规律性差异;</w:t>
      </w:r>
    </w:p>
    <w:p>
      <w:pPr>
        <w:tabs>
          <w:tab w:val="left" w:pos="1635"/>
        </w:tabs>
        <w:spacing w:line="380" w:lineRule="exact"/>
        <w:rPr>
          <w:rFonts w:ascii="宋体" w:hAnsi="宋体"/>
          <w:sz w:val="24"/>
        </w:rPr>
      </w:pPr>
      <w:r>
        <w:rPr>
          <w:rFonts w:hint="eastAsia" w:ascii="宋体" w:hAnsi="宋体"/>
          <w:sz w:val="24"/>
        </w:rPr>
        <w:t>9.5</w:t>
      </w:r>
      <w:r>
        <w:rPr>
          <w:rFonts w:ascii="宋体" w:hAnsi="宋体"/>
          <w:sz w:val="24"/>
        </w:rPr>
        <w:t>不同</w:t>
      </w:r>
      <w:r>
        <w:rPr>
          <w:rFonts w:hint="eastAsia" w:ascii="宋体" w:hAnsi="宋体"/>
          <w:sz w:val="24"/>
        </w:rPr>
        <w:t>谈判供应商</w:t>
      </w:r>
      <w:r>
        <w:rPr>
          <w:rFonts w:ascii="宋体" w:hAnsi="宋体"/>
          <w:sz w:val="24"/>
        </w:rPr>
        <w:t>的</w:t>
      </w:r>
      <w:r>
        <w:rPr>
          <w:rFonts w:hint="eastAsia" w:ascii="宋体" w:hAnsi="宋体"/>
          <w:sz w:val="24"/>
        </w:rPr>
        <w:t>竞争性谈判响应文件</w:t>
      </w:r>
      <w:r>
        <w:rPr>
          <w:rFonts w:ascii="宋体" w:hAnsi="宋体"/>
          <w:sz w:val="24"/>
        </w:rPr>
        <w:t>相互混装</w:t>
      </w:r>
      <w:r>
        <w:rPr>
          <w:rFonts w:hint="eastAsia" w:ascii="宋体" w:hAnsi="宋体"/>
          <w:sz w:val="24"/>
        </w:rPr>
        <w:t>。</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二、谈判文件</w:t>
      </w:r>
    </w:p>
    <w:p>
      <w:pPr>
        <w:tabs>
          <w:tab w:val="left" w:pos="2190"/>
        </w:tabs>
        <w:spacing w:line="380" w:lineRule="exact"/>
        <w:ind w:firstLine="437"/>
        <w:rPr>
          <w:rFonts w:ascii="宋体" w:hAnsi="宋体"/>
          <w:b/>
          <w:sz w:val="24"/>
        </w:rPr>
      </w:pPr>
      <w:r>
        <w:rPr>
          <w:rFonts w:hint="eastAsia" w:ascii="宋体" w:hAnsi="宋体"/>
          <w:b/>
          <w:sz w:val="24"/>
        </w:rPr>
        <w:t>10. 谈判文件的构成</w:t>
      </w:r>
    </w:p>
    <w:p>
      <w:pPr>
        <w:tabs>
          <w:tab w:val="left" w:pos="2190"/>
        </w:tabs>
        <w:spacing w:line="380" w:lineRule="exact"/>
        <w:ind w:firstLine="437"/>
        <w:rPr>
          <w:rFonts w:ascii="宋体" w:hAnsi="宋体"/>
          <w:sz w:val="24"/>
        </w:rPr>
      </w:pPr>
      <w:r>
        <w:rPr>
          <w:rFonts w:hint="eastAsia" w:ascii="宋体" w:hAnsi="宋体"/>
          <w:sz w:val="24"/>
        </w:rPr>
        <w:t>第一章  竞争性谈判公告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ind w:firstLine="437"/>
        <w:rPr>
          <w:rFonts w:ascii="宋体" w:hAnsi="宋体"/>
          <w:b/>
          <w:sz w:val="24"/>
        </w:rPr>
      </w:pPr>
      <w:r>
        <w:rPr>
          <w:rFonts w:hint="eastAsia" w:ascii="宋体" w:hAnsi="宋体"/>
          <w:b/>
          <w:sz w:val="24"/>
        </w:rPr>
        <w:t>11. 谈判文件的澄清与修改</w:t>
      </w:r>
    </w:p>
    <w:p>
      <w:pPr>
        <w:tabs>
          <w:tab w:val="left" w:pos="2190"/>
        </w:tabs>
        <w:spacing w:line="380" w:lineRule="exact"/>
        <w:ind w:firstLine="437"/>
        <w:rPr>
          <w:rFonts w:ascii="宋体" w:hAnsi="宋体"/>
          <w:sz w:val="24"/>
        </w:rPr>
      </w:pPr>
      <w:r>
        <w:rPr>
          <w:rFonts w:hint="eastAsia" w:ascii="宋体" w:hAnsi="宋体"/>
          <w:sz w:val="24"/>
        </w:rPr>
        <w:t>11.1 提交首次响应文件截止之日前，采购代理机构可以对已发出的谈判文件进行必要澄清或者修改，澄清或者修改的内容可能影响响应文件编制的，采购代理机构应当在提交首次响应文件递交截止时间3个工作日前在本项目竞争性谈判公告发布的同一媒体上发布更正公告，不足3个工作日的，应当顺延首次响应文件递交截止时间。</w:t>
      </w:r>
    </w:p>
    <w:p>
      <w:pPr>
        <w:tabs>
          <w:tab w:val="left" w:pos="2190"/>
        </w:tabs>
        <w:spacing w:line="380" w:lineRule="exact"/>
        <w:ind w:firstLine="437"/>
        <w:rPr>
          <w:rFonts w:ascii="宋体" w:hAnsi="宋体"/>
          <w:sz w:val="24"/>
        </w:rPr>
      </w:pPr>
      <w:r>
        <w:rPr>
          <w:rFonts w:hint="eastAsia" w:ascii="宋体" w:hAnsi="宋体"/>
          <w:sz w:val="24"/>
        </w:rPr>
        <w:t>11.2</w:t>
      </w:r>
      <w:r>
        <w:rPr>
          <w:rFonts w:hint="eastAsia" w:ascii="宋体" w:hAnsi="宋体"/>
          <w:b/>
          <w:sz w:val="24"/>
        </w:rPr>
        <w:t>供应商下载竞争性谈判文件后应实时关注相关网站了解澄清、修改等与项目有关的内容，如因供应商未及时登录相关网站了解澄清、修改等与项目有关的内容，从而导致竞标无效的，由供应商自行承担责任。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sz w:val="24"/>
        </w:rPr>
      </w:pPr>
      <w:r>
        <w:rPr>
          <w:rFonts w:hint="eastAsia" w:ascii="宋体" w:hAnsi="宋体"/>
          <w:sz w:val="24"/>
        </w:rPr>
        <w:t>11.3澄清或者修改的内容为谈判文件的组成部分。当澄清或者修改通知就同一内容的表述不一致时，以最后发出的文件为准。</w:t>
      </w:r>
    </w:p>
    <w:p>
      <w:pPr>
        <w:tabs>
          <w:tab w:val="left" w:pos="2190"/>
        </w:tabs>
        <w:spacing w:line="380" w:lineRule="exact"/>
        <w:ind w:firstLine="437"/>
        <w:rPr>
          <w:rFonts w:ascii="宋体" w:hAnsi="宋体"/>
          <w:sz w:val="24"/>
        </w:rPr>
      </w:pPr>
      <w:r>
        <w:rPr>
          <w:rFonts w:hint="eastAsia" w:ascii="宋体" w:hAnsi="宋体"/>
          <w:sz w:val="24"/>
        </w:rPr>
        <w:t>11.4 谈判文件的澄清或者修改都应该通过本项目采购代理机构以法定形式发布，采购人非通过本机构，不得擅自澄清或者修改谈判文件。</w:t>
      </w:r>
    </w:p>
    <w:p>
      <w:pPr>
        <w:tabs>
          <w:tab w:val="left" w:pos="2190"/>
        </w:tabs>
        <w:spacing w:line="380" w:lineRule="exact"/>
        <w:ind w:firstLine="437"/>
        <w:rPr>
          <w:rFonts w:ascii="宋体" w:hAnsi="宋体"/>
          <w:sz w:val="24"/>
        </w:rPr>
      </w:pPr>
      <w:r>
        <w:rPr>
          <w:rFonts w:hint="eastAsia" w:ascii="宋体" w:hAnsi="宋体"/>
          <w:sz w:val="24"/>
        </w:rPr>
        <w:t>11.5采购代理机构可以视采购具体情况，延长首次响应文件递交截止时间和谈判时间，并将变更时间在本项目竞争性谈判公告发布的同一媒体上发布变更公告。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三、竞争性谈判响应文件的编制</w:t>
      </w:r>
    </w:p>
    <w:p>
      <w:pPr>
        <w:spacing w:line="360" w:lineRule="auto"/>
        <w:rPr>
          <w:rFonts w:ascii="宋体" w:hAnsi="宋体"/>
          <w:b/>
          <w:sz w:val="24"/>
        </w:rPr>
      </w:pPr>
      <w:r>
        <w:rPr>
          <w:rFonts w:hint="eastAsia" w:ascii="宋体" w:hAnsi="宋体"/>
          <w:b/>
          <w:sz w:val="24"/>
        </w:rPr>
        <w:t>12. 竞争性谈判响应文件编制基本要求</w:t>
      </w:r>
    </w:p>
    <w:p>
      <w:pPr>
        <w:spacing w:line="360" w:lineRule="auto"/>
        <w:ind w:left="-1" w:leftChars="-29" w:hanging="60" w:hangingChars="25"/>
        <w:rPr>
          <w:rFonts w:ascii="宋体" w:hAnsi="宋体"/>
          <w:sz w:val="24"/>
        </w:rPr>
      </w:pPr>
      <w:r>
        <w:rPr>
          <w:rFonts w:hint="eastAsia" w:ascii="宋体" w:hAnsi="宋体"/>
          <w:sz w:val="24"/>
        </w:rPr>
        <w:t>12.1谈判供应商对竞争性谈判响应文件的编制应按要求装订和封装。</w:t>
      </w:r>
    </w:p>
    <w:p>
      <w:pPr>
        <w:spacing w:line="360" w:lineRule="auto"/>
        <w:ind w:left="-1" w:leftChars="-29" w:hanging="60" w:hangingChars="25"/>
        <w:rPr>
          <w:rFonts w:ascii="宋体" w:hAnsi="宋体"/>
          <w:sz w:val="24"/>
        </w:rPr>
      </w:pPr>
      <w:r>
        <w:rPr>
          <w:rFonts w:hint="eastAsia" w:ascii="宋体" w:hAnsi="宋体"/>
          <w:sz w:val="24"/>
        </w:rPr>
        <w:t>12.2谈判供应商提交的竞争性谈判响应文件以及谈判供应商与</w:t>
      </w:r>
      <w:r>
        <w:rPr>
          <w:rFonts w:hint="eastAsia" w:ascii="宋体" w:hAnsi="宋体"/>
          <w:sz w:val="24"/>
          <w:u w:val="single"/>
        </w:rPr>
        <w:t>广西建设工程机电设备招标中心有限公司（以下简称“本中心”）</w:t>
      </w:r>
      <w:r>
        <w:rPr>
          <w:rFonts w:hint="eastAsia" w:ascii="宋体" w:hAnsi="宋体"/>
          <w:sz w:val="24"/>
        </w:rPr>
        <w:t>和采购人就有关谈判的所有来往函电均应使用中文。谈判供应商提交的支持文件和印刷的文件可以使用别的语言，但其相应内容必须附有中文翻译文本，在解释竞争性谈判响应文件时以翻译文本为主。</w:t>
      </w:r>
    </w:p>
    <w:p>
      <w:pPr>
        <w:spacing w:line="360" w:lineRule="auto"/>
        <w:ind w:left="-1" w:leftChars="-29" w:hanging="60" w:hangingChars="25"/>
        <w:rPr>
          <w:rFonts w:ascii="宋体" w:hAnsi="宋体"/>
          <w:sz w:val="24"/>
        </w:rPr>
      </w:pPr>
      <w:r>
        <w:rPr>
          <w:rFonts w:hint="eastAsia" w:ascii="宋体" w:hAnsi="宋体"/>
          <w:sz w:val="24"/>
        </w:rPr>
        <w:t>12.3谈判供应商应认真阅读、并充分理解本文件的全部内容（包括所有的补充、修改内容），承诺并履行本文件中各项条款规定及要求。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sz w:val="24"/>
        </w:rPr>
      </w:pPr>
      <w:r>
        <w:rPr>
          <w:rFonts w:hint="eastAsia" w:ascii="宋体" w:hAnsi="宋体"/>
          <w:sz w:val="24"/>
        </w:rPr>
        <w:t>12.4竞争性谈判响应文件必须按本文件的全部内容，包括所有的补充通知及附件进行编制。</w:t>
      </w:r>
    </w:p>
    <w:p>
      <w:pPr>
        <w:spacing w:line="360" w:lineRule="auto"/>
        <w:ind w:left="-1" w:leftChars="-29" w:hanging="60" w:hangingChars="25"/>
        <w:rPr>
          <w:rFonts w:ascii="宋体" w:hAnsi="宋体"/>
          <w:b/>
          <w:sz w:val="24"/>
        </w:rPr>
      </w:pPr>
      <w:r>
        <w:rPr>
          <w:rFonts w:hint="eastAsia" w:ascii="宋体" w:hAnsi="宋体"/>
          <w:sz w:val="24"/>
        </w:rPr>
        <w:t>12.5</w:t>
      </w:r>
      <w:r>
        <w:rPr>
          <w:rFonts w:hint="eastAsia" w:ascii="宋体" w:hAnsi="宋体"/>
          <w:b/>
          <w:sz w:val="24"/>
        </w:rPr>
        <w:t>如因谈判供应商只填写和提供了本文件要求的部分内容和附件，而给评审造成困难，其可能导致的结果和责任由谈判供应商自行承担。</w:t>
      </w:r>
    </w:p>
    <w:p>
      <w:pPr>
        <w:spacing w:line="360" w:lineRule="auto"/>
        <w:rPr>
          <w:rFonts w:ascii="宋体" w:hAnsi="宋体"/>
          <w:b/>
          <w:sz w:val="24"/>
        </w:rPr>
      </w:pPr>
      <w:r>
        <w:rPr>
          <w:rFonts w:hint="eastAsia" w:ascii="宋体" w:hAnsi="宋体"/>
          <w:b/>
          <w:sz w:val="24"/>
        </w:rPr>
        <w:t>12.6竞争性谈判响应文件的组成</w:t>
      </w:r>
    </w:p>
    <w:p>
      <w:pPr>
        <w:spacing w:line="360" w:lineRule="auto"/>
        <w:ind w:firstLine="420"/>
        <w:rPr>
          <w:rFonts w:ascii="宋体" w:hAnsi="宋体"/>
          <w:sz w:val="24"/>
        </w:rPr>
      </w:pPr>
      <w:r>
        <w:rPr>
          <w:rFonts w:hint="eastAsia" w:ascii="宋体" w:hAnsi="宋体"/>
          <w:sz w:val="24"/>
        </w:rPr>
        <w:t>竞争性谈判响应文件应分为价格部分、资信及商务部分、技术部分组成。三部分装订成一册，同时提供电子文档一份。装订应牢固，不易拆散和换页。</w:t>
      </w:r>
    </w:p>
    <w:p>
      <w:pPr>
        <w:spacing w:line="360" w:lineRule="auto"/>
        <w:ind w:firstLine="420"/>
        <w:rPr>
          <w:rFonts w:ascii="宋体" w:hAnsi="宋体"/>
          <w:sz w:val="24"/>
        </w:rPr>
      </w:pPr>
      <w:r>
        <w:rPr>
          <w:rFonts w:hint="eastAsia" w:ascii="宋体" w:hAnsi="宋体"/>
          <w:sz w:val="24"/>
        </w:rPr>
        <w:t>所需提供查验的原件与响应文件一并密封到同一文件袋。</w:t>
      </w:r>
    </w:p>
    <w:p>
      <w:pPr>
        <w:spacing w:line="360" w:lineRule="auto"/>
        <w:rPr>
          <w:rFonts w:ascii="宋体" w:hAnsi="宋体"/>
          <w:b/>
          <w:sz w:val="24"/>
        </w:rPr>
      </w:pPr>
      <w:r>
        <w:rPr>
          <w:rFonts w:hint="eastAsia" w:ascii="宋体" w:hAnsi="宋体"/>
          <w:b/>
          <w:sz w:val="24"/>
        </w:rPr>
        <w:t>12.6.1价格部分</w:t>
      </w:r>
    </w:p>
    <w:p>
      <w:pPr>
        <w:spacing w:line="360" w:lineRule="exact"/>
        <w:ind w:firstLine="482" w:firstLineChars="200"/>
        <w:rPr>
          <w:rFonts w:ascii="宋体" w:hAnsi="宋体"/>
          <w:b/>
          <w:sz w:val="24"/>
        </w:rPr>
      </w:pPr>
      <w:r>
        <w:rPr>
          <w:rFonts w:hint="eastAsia" w:ascii="宋体" w:hAnsi="宋体"/>
          <w:b/>
          <w:sz w:val="24"/>
        </w:rPr>
        <w:t>1）响应函；（附件一）</w:t>
      </w:r>
    </w:p>
    <w:p>
      <w:pPr>
        <w:spacing w:line="360" w:lineRule="auto"/>
        <w:ind w:firstLine="482" w:firstLineChars="200"/>
        <w:rPr>
          <w:rFonts w:ascii="宋体" w:hAnsi="宋体"/>
          <w:b/>
          <w:sz w:val="24"/>
        </w:rPr>
      </w:pPr>
      <w:r>
        <w:rPr>
          <w:rFonts w:hint="eastAsia" w:ascii="宋体" w:hAnsi="宋体"/>
          <w:b/>
          <w:sz w:val="24"/>
        </w:rPr>
        <w:t>2）报价明细表；（附件二）</w:t>
      </w:r>
    </w:p>
    <w:p>
      <w:pPr>
        <w:spacing w:line="360" w:lineRule="exact"/>
        <w:ind w:left="-2" w:leftChars="-1"/>
        <w:rPr>
          <w:rFonts w:ascii="宋体" w:hAnsi="宋体"/>
          <w:sz w:val="24"/>
        </w:rPr>
      </w:pPr>
      <w:r>
        <w:rPr>
          <w:rFonts w:hint="eastAsia" w:ascii="宋体" w:hAnsi="宋体"/>
          <w:b/>
          <w:sz w:val="24"/>
        </w:rPr>
        <w:t>12.6.2 资信及商务部分</w:t>
      </w:r>
    </w:p>
    <w:p>
      <w:pPr>
        <w:tabs>
          <w:tab w:val="left" w:pos="1305"/>
        </w:tabs>
        <w:spacing w:line="400" w:lineRule="exact"/>
        <w:ind w:firstLine="480" w:firstLineChars="200"/>
        <w:rPr>
          <w:rFonts w:ascii="宋体" w:hAnsi="宋体"/>
          <w:sz w:val="24"/>
        </w:rPr>
      </w:pPr>
      <w:r>
        <w:rPr>
          <w:rFonts w:hint="eastAsia" w:ascii="宋体" w:hAnsi="宋体"/>
          <w:sz w:val="24"/>
        </w:rPr>
        <w:t>1）供应商的法人或者其他组织营业执照等证明文件（必须提供，自然人除外）；</w:t>
      </w:r>
    </w:p>
    <w:p>
      <w:pPr>
        <w:tabs>
          <w:tab w:val="left" w:pos="1305"/>
        </w:tabs>
        <w:spacing w:line="400" w:lineRule="exact"/>
        <w:ind w:firstLine="482" w:firstLineChars="200"/>
        <w:rPr>
          <w:rFonts w:ascii="宋体" w:hAnsi="宋体"/>
          <w:b/>
          <w:sz w:val="24"/>
        </w:rPr>
      </w:pPr>
      <w:r>
        <w:rPr>
          <w:rFonts w:hint="eastAsia" w:ascii="宋体" w:hAnsi="宋体"/>
          <w:b/>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480" w:firstLineChars="200"/>
        <w:rPr>
          <w:rFonts w:ascii="宋体" w:hAnsi="宋体"/>
          <w:sz w:val="24"/>
        </w:rPr>
      </w:pPr>
      <w:r>
        <w:rPr>
          <w:rFonts w:hint="eastAsia" w:ascii="宋体" w:hAnsi="宋体"/>
          <w:sz w:val="24"/>
        </w:rPr>
        <w:t>2）供应商法定代表人身份证明书、相应的法定代表人身份证正反两面复印件</w:t>
      </w:r>
      <w:r>
        <w:rPr>
          <w:rFonts w:hint="eastAsia" w:ascii="宋体" w:hAnsi="宋体"/>
          <w:b/>
          <w:sz w:val="24"/>
        </w:rPr>
        <w:t>（必须提供；</w:t>
      </w:r>
      <w:r>
        <w:rPr>
          <w:rFonts w:hint="eastAsia" w:ascii="宋体" w:hAnsi="宋体"/>
          <w:sz w:val="24"/>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rPr>
          <w:rFonts w:ascii="宋体" w:hAnsi="宋体"/>
          <w:sz w:val="24"/>
        </w:rPr>
      </w:pPr>
      <w:r>
        <w:rPr>
          <w:rFonts w:hint="eastAsia" w:ascii="宋体" w:hAnsi="宋体"/>
          <w:sz w:val="24"/>
        </w:rPr>
        <w:t>3）授权委托书原件、委托代理人身份证正反面复印件（附件四，委托代理时必须提供）；</w:t>
      </w:r>
    </w:p>
    <w:p>
      <w:pPr>
        <w:tabs>
          <w:tab w:val="left" w:pos="1305"/>
        </w:tabs>
        <w:spacing w:line="400" w:lineRule="exact"/>
        <w:ind w:firstLine="480" w:firstLineChars="200"/>
        <w:rPr>
          <w:rFonts w:ascii="宋体" w:hAnsi="宋体"/>
          <w:sz w:val="24"/>
        </w:rPr>
      </w:pPr>
      <w:r>
        <w:rPr>
          <w:rFonts w:hint="eastAsia" w:ascii="宋体" w:hAnsi="宋体"/>
          <w:sz w:val="24"/>
        </w:rPr>
        <w:t xml:space="preserve">4）供应商参加采购活动前3年内在经营活动中没有重大违法记录的书面声明（附件五，必须提供）； </w:t>
      </w:r>
    </w:p>
    <w:p>
      <w:pPr>
        <w:spacing w:line="360" w:lineRule="exact"/>
        <w:ind w:firstLine="480" w:firstLineChars="200"/>
        <w:rPr>
          <w:rFonts w:ascii="宋体" w:hAnsi="宋体"/>
          <w:sz w:val="24"/>
        </w:rPr>
      </w:pPr>
      <w:r>
        <w:rPr>
          <w:rFonts w:hint="eastAsia" w:ascii="宋体" w:hAnsi="宋体"/>
          <w:sz w:val="24"/>
        </w:rPr>
        <w:t>5）供应商可在“信用中国”网站（www.creditchina.gov.cn）查询相关供应商主体信用记录，同时将查询结果截图加盖公章与上述书面声明一并提交（附件六）</w:t>
      </w:r>
    </w:p>
    <w:p>
      <w:pPr>
        <w:spacing w:line="360" w:lineRule="exact"/>
        <w:ind w:firstLine="480" w:firstLineChars="200"/>
        <w:jc w:val="left"/>
        <w:rPr>
          <w:rFonts w:ascii="宋体" w:hAnsi="宋体"/>
          <w:sz w:val="24"/>
        </w:rPr>
      </w:pPr>
      <w:r>
        <w:rPr>
          <w:rFonts w:hint="eastAsia" w:ascii="宋体" w:hAnsi="宋体"/>
          <w:sz w:val="24"/>
        </w:rPr>
        <w:t>6）供应商参加竞标前一年内连续三个月依法缴纳税费或依法免缴税费的证明（复印件，原件备查，格式自拟），供应商为新注册成立的企业（距谈判截止日不足三个月），须提供企业自成立至今的依法缴纳税收证明材料，原件备查；（必须提供）</w:t>
      </w:r>
    </w:p>
    <w:p>
      <w:pPr>
        <w:tabs>
          <w:tab w:val="left" w:pos="1305"/>
        </w:tabs>
        <w:spacing w:line="360" w:lineRule="exact"/>
        <w:ind w:firstLine="480" w:firstLineChars="200"/>
        <w:rPr>
          <w:rFonts w:ascii="宋体" w:hAnsi="宋体"/>
          <w:sz w:val="24"/>
        </w:rPr>
      </w:pPr>
      <w:r>
        <w:rPr>
          <w:rFonts w:hint="eastAsia" w:ascii="宋体" w:hAnsi="宋体"/>
          <w:sz w:val="24"/>
        </w:rPr>
        <w:t>7）供应商参加竞标前一年内连续三个月依法缴纳社保费的缴费凭证（复印件，原件备查，格式自拟），供应商为新注册成立的企业（距谈判截止日不足三个月），须提供企业自成立至今的社保证明，原件备查；（必须提供）</w:t>
      </w:r>
    </w:p>
    <w:p>
      <w:pPr>
        <w:spacing w:line="360" w:lineRule="exact"/>
        <w:ind w:firstLine="480" w:firstLineChars="200"/>
        <w:rPr>
          <w:rFonts w:ascii="宋体" w:hAnsi="宋体"/>
          <w:sz w:val="24"/>
        </w:rPr>
      </w:pPr>
      <w:r>
        <w:rPr>
          <w:rFonts w:hint="eastAsia" w:ascii="宋体" w:hAnsi="宋体"/>
          <w:sz w:val="24"/>
        </w:rPr>
        <w:t>8）财务会计报表复印件：投标人2019年度财务报表复印件【①如无经会计师事务所审计的财务报告，则需提交本公司出具的财务报表；②新近成立的公司可根据其成立的时间提交财务报表；③自行提供财务报表的，账务报表至少包含资产负债表、利润表、现金流量表，未按要求提供材料的，谈判小组将取消其竞标资格】，或投标人其基本开户银行出具的资信证明（复印件）。</w:t>
      </w:r>
    </w:p>
    <w:p>
      <w:pPr>
        <w:spacing w:line="360" w:lineRule="exact"/>
        <w:ind w:firstLine="480" w:firstLineChars="200"/>
        <w:rPr>
          <w:rFonts w:ascii="宋体" w:hAnsi="宋体"/>
          <w:bCs/>
          <w:sz w:val="24"/>
        </w:rPr>
      </w:pPr>
      <w:r>
        <w:rPr>
          <w:rFonts w:hint="eastAsia" w:ascii="宋体" w:hAnsi="宋体"/>
          <w:sz w:val="24"/>
        </w:rPr>
        <w:t>9）</w:t>
      </w:r>
      <w:r>
        <w:rPr>
          <w:rFonts w:hint="eastAsia" w:ascii="宋体" w:hAnsi="宋体"/>
          <w:bCs/>
          <w:sz w:val="24"/>
        </w:rPr>
        <w:t>商务条款偏离表；</w:t>
      </w:r>
      <w:r>
        <w:rPr>
          <w:rFonts w:hint="eastAsia" w:ascii="宋体" w:hAnsi="宋体"/>
          <w:sz w:val="24"/>
        </w:rPr>
        <w:t>（附件六）</w:t>
      </w:r>
    </w:p>
    <w:p>
      <w:pPr>
        <w:spacing w:line="360" w:lineRule="exact"/>
        <w:ind w:firstLine="480" w:firstLineChars="200"/>
        <w:rPr>
          <w:rFonts w:ascii="宋体" w:hAnsi="宋体"/>
          <w:sz w:val="24"/>
        </w:rPr>
      </w:pPr>
      <w:r>
        <w:rPr>
          <w:rFonts w:hint="eastAsia" w:ascii="宋体" w:hAnsi="宋体"/>
          <w:bCs/>
          <w:sz w:val="24"/>
        </w:rPr>
        <w:t>10）</w:t>
      </w:r>
      <w:r>
        <w:rPr>
          <w:rFonts w:hint="eastAsia" w:ascii="宋体" w:hAnsi="宋体"/>
          <w:sz w:val="24"/>
        </w:rPr>
        <w:t>售后服务承诺；</w:t>
      </w:r>
    </w:p>
    <w:p>
      <w:pPr>
        <w:snapToGrid w:val="0"/>
        <w:spacing w:line="400" w:lineRule="exact"/>
        <w:ind w:firstLine="480" w:firstLineChars="200"/>
        <w:outlineLvl w:val="4"/>
        <w:rPr>
          <w:rFonts w:ascii="宋体" w:hAnsi="宋体"/>
          <w:sz w:val="24"/>
        </w:rPr>
      </w:pPr>
      <w:r>
        <w:rPr>
          <w:rFonts w:hint="eastAsia" w:ascii="宋体" w:hAnsi="宋体"/>
          <w:sz w:val="24"/>
        </w:rPr>
        <w:t>11）节能产品认证证书复印件（如有，请提供）；</w:t>
      </w:r>
    </w:p>
    <w:p>
      <w:pPr>
        <w:snapToGrid w:val="0"/>
        <w:spacing w:line="400" w:lineRule="exact"/>
        <w:ind w:firstLine="480" w:firstLineChars="200"/>
        <w:outlineLvl w:val="4"/>
        <w:rPr>
          <w:rFonts w:ascii="宋体" w:hAnsi="宋体"/>
          <w:sz w:val="24"/>
        </w:rPr>
      </w:pPr>
      <w:r>
        <w:rPr>
          <w:rFonts w:hint="eastAsia" w:ascii="宋体" w:hAnsi="宋体"/>
          <w:sz w:val="24"/>
        </w:rPr>
        <w:t>12）环境标志产品认证证书复印件（如有，请提供）；</w:t>
      </w:r>
    </w:p>
    <w:p>
      <w:pPr>
        <w:snapToGrid w:val="0"/>
        <w:spacing w:line="400" w:lineRule="exact"/>
        <w:ind w:firstLine="480" w:firstLineChars="200"/>
        <w:outlineLvl w:val="4"/>
        <w:rPr>
          <w:rFonts w:ascii="宋体" w:hAnsi="宋体"/>
          <w:sz w:val="24"/>
        </w:rPr>
      </w:pPr>
      <w:r>
        <w:rPr>
          <w:rFonts w:hint="eastAsia" w:ascii="宋体" w:hAnsi="宋体"/>
          <w:sz w:val="24"/>
        </w:rPr>
        <w:t>13）其他有效证明文件的复印件（如产品属于小型、微型企业、监狱企业的，以提供工商注册地的工业和信息化部门等其他行政部门出具的相关证明材料为准）（如有，请提供）。</w:t>
      </w:r>
    </w:p>
    <w:p>
      <w:pPr>
        <w:spacing w:line="360" w:lineRule="exact"/>
        <w:ind w:firstLine="480" w:firstLineChars="200"/>
        <w:rPr>
          <w:rFonts w:ascii="宋体" w:hAnsi="宋体"/>
          <w:sz w:val="24"/>
        </w:rPr>
      </w:pPr>
      <w:r>
        <w:rPr>
          <w:rFonts w:hint="eastAsia" w:ascii="宋体" w:hAnsi="宋体"/>
          <w:sz w:val="24"/>
        </w:rPr>
        <w:t>14）谈判文件要求（具体按第三章要求,如有要求必须提供的则必须提供，否则响应文件无效）或供应商认为有必要提交的其他文件资料；</w:t>
      </w:r>
    </w:p>
    <w:p>
      <w:pPr>
        <w:spacing w:line="360" w:lineRule="auto"/>
        <w:ind w:left="-2" w:leftChars="-1"/>
        <w:rPr>
          <w:rFonts w:ascii="宋体" w:hAnsi="宋体"/>
          <w:b/>
          <w:sz w:val="24"/>
        </w:rPr>
      </w:pPr>
      <w:r>
        <w:rPr>
          <w:rFonts w:hint="eastAsia" w:ascii="宋体" w:hAnsi="宋体"/>
          <w:b/>
          <w:sz w:val="24"/>
        </w:rPr>
        <w:t>12.6.3技术部分</w:t>
      </w:r>
    </w:p>
    <w:p>
      <w:pPr>
        <w:snapToGrid w:val="0"/>
        <w:spacing w:line="400" w:lineRule="exact"/>
        <w:ind w:firstLine="480" w:firstLineChars="200"/>
        <w:outlineLvl w:val="4"/>
        <w:rPr>
          <w:rFonts w:ascii="宋体" w:hAnsi="宋体"/>
          <w:sz w:val="24"/>
        </w:rPr>
      </w:pPr>
      <w:r>
        <w:rPr>
          <w:rFonts w:hint="eastAsia" w:ascii="宋体" w:hAnsi="宋体"/>
          <w:sz w:val="24"/>
        </w:rPr>
        <w:t>1）投标产品技术资料表；（附件七）（必须提供，否则响应文件无效）；</w:t>
      </w:r>
    </w:p>
    <w:p>
      <w:pPr>
        <w:snapToGrid w:val="0"/>
        <w:spacing w:line="400" w:lineRule="exact"/>
        <w:ind w:firstLine="480" w:firstLineChars="200"/>
        <w:outlineLvl w:val="4"/>
        <w:rPr>
          <w:rFonts w:ascii="宋体" w:hAnsi="宋体"/>
          <w:sz w:val="24"/>
        </w:rPr>
      </w:pPr>
      <w:r>
        <w:rPr>
          <w:rFonts w:hint="eastAsia" w:ascii="宋体" w:hAnsi="宋体"/>
          <w:sz w:val="24"/>
        </w:rPr>
        <w:t>2）能够真实反映其它产品技术参数、性能指标的相关资料；</w:t>
      </w:r>
    </w:p>
    <w:p>
      <w:pPr>
        <w:snapToGrid w:val="0"/>
        <w:spacing w:line="400" w:lineRule="exact"/>
        <w:ind w:firstLine="480" w:firstLineChars="200"/>
        <w:outlineLvl w:val="4"/>
        <w:rPr>
          <w:rFonts w:ascii="宋体" w:hAnsi="宋体"/>
          <w:sz w:val="24"/>
        </w:rPr>
      </w:pPr>
      <w:r>
        <w:rPr>
          <w:rFonts w:hint="eastAsia" w:ascii="宋体" w:hAnsi="宋体"/>
          <w:sz w:val="24"/>
        </w:rPr>
        <w:t>3）项目实施人员一览表(如有，请提供)</w:t>
      </w:r>
    </w:p>
    <w:p>
      <w:pPr>
        <w:snapToGrid w:val="0"/>
        <w:spacing w:line="400" w:lineRule="exact"/>
        <w:ind w:firstLine="480" w:firstLineChars="200"/>
        <w:outlineLvl w:val="4"/>
        <w:rPr>
          <w:rFonts w:ascii="宋体" w:hAnsi="宋体"/>
          <w:sz w:val="24"/>
        </w:rPr>
      </w:pPr>
      <w:r>
        <w:rPr>
          <w:rFonts w:hint="eastAsia" w:ascii="宋体" w:hAnsi="宋体"/>
          <w:sz w:val="24"/>
        </w:rPr>
        <w:t>4）供应商</w:t>
      </w:r>
      <w:r>
        <w:rPr>
          <w:rFonts w:hint="eastAsia" w:ascii="宋体" w:hAnsi="宋体"/>
          <w:sz w:val="24"/>
          <w:u w:val="single"/>
        </w:rPr>
        <w:t>2018</w:t>
      </w:r>
      <w:r>
        <w:rPr>
          <w:rFonts w:hint="eastAsia" w:ascii="宋体" w:hAnsi="宋体"/>
          <w:sz w:val="24"/>
        </w:rPr>
        <w:t>年以来具有同类产品的销售业绩的相关证明材料（以中标、成交通知书或签订的销售合同为准，并能清晰反映所销售的货物名称、种类、金额）（如有，请提供）；</w:t>
      </w:r>
    </w:p>
    <w:p>
      <w:pPr>
        <w:snapToGrid w:val="0"/>
        <w:spacing w:line="400" w:lineRule="exact"/>
        <w:ind w:firstLine="480" w:firstLineChars="200"/>
        <w:outlineLvl w:val="4"/>
        <w:rPr>
          <w:rFonts w:ascii="宋体" w:hAnsi="宋体"/>
          <w:sz w:val="24"/>
        </w:rPr>
      </w:pPr>
      <w:r>
        <w:rPr>
          <w:rFonts w:hint="eastAsia" w:ascii="宋体" w:hAnsi="宋体"/>
          <w:sz w:val="24"/>
        </w:rPr>
        <w:t>5）谈判文件要求（具体按第三章要求,如有要求必须提供的则必须提供，否则响应文件无效）或谈判供应商认为需要提供的有关技术资料；</w:t>
      </w:r>
    </w:p>
    <w:p>
      <w:pPr>
        <w:spacing w:line="360" w:lineRule="auto"/>
        <w:rPr>
          <w:rFonts w:ascii="宋体" w:hAnsi="宋体"/>
          <w:b/>
          <w:sz w:val="24"/>
        </w:rPr>
      </w:pPr>
      <w:r>
        <w:rPr>
          <w:rFonts w:hint="eastAsia" w:ascii="宋体" w:hAnsi="宋体"/>
          <w:b/>
          <w:sz w:val="24"/>
        </w:rPr>
        <w:t>13.计量单位</w:t>
      </w:r>
    </w:p>
    <w:p>
      <w:pPr>
        <w:spacing w:line="360" w:lineRule="auto"/>
        <w:ind w:left="-61" w:leftChars="-29" w:firstLine="480" w:firstLineChars="200"/>
        <w:rPr>
          <w:rFonts w:ascii="宋体" w:hAnsi="宋体"/>
          <w:sz w:val="24"/>
        </w:rPr>
      </w:pPr>
      <w:r>
        <w:rPr>
          <w:rFonts w:hint="eastAsia" w:ascii="宋体" w:hAnsi="宋体"/>
          <w:sz w:val="24"/>
        </w:rPr>
        <w:t>13.1除技术要求中另有规定外，本文件所要求使用的计量单位均应采用国家法定计量单位。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三、谈判报价要求</w:t>
      </w:r>
    </w:p>
    <w:p>
      <w:pPr>
        <w:spacing w:line="360" w:lineRule="auto"/>
        <w:ind w:left="-61"/>
        <w:rPr>
          <w:rFonts w:hAnsi="宋体"/>
          <w:b/>
          <w:sz w:val="24"/>
        </w:rPr>
      </w:pPr>
      <w:r>
        <w:rPr>
          <w:rFonts w:hint="eastAsia" w:hAnsi="宋体"/>
          <w:b/>
          <w:sz w:val="24"/>
        </w:rPr>
        <w:t>14</w:t>
      </w:r>
      <w:r>
        <w:rPr>
          <w:rFonts w:hint="eastAsia" w:ascii="宋体" w:hAnsi="宋体"/>
          <w:b/>
          <w:sz w:val="24"/>
        </w:rPr>
        <w:t>.</w:t>
      </w:r>
      <w:r>
        <w:rPr>
          <w:rFonts w:hint="eastAsia" w:hAnsi="宋体"/>
          <w:b/>
          <w:sz w:val="24"/>
        </w:rPr>
        <w:t>谈判报价</w:t>
      </w:r>
    </w:p>
    <w:p>
      <w:pPr>
        <w:spacing w:line="360" w:lineRule="auto"/>
        <w:ind w:left="-61" w:leftChars="-29" w:firstLine="480" w:firstLineChars="200"/>
        <w:rPr>
          <w:rFonts w:ascii="宋体" w:hAnsi="宋体"/>
          <w:sz w:val="24"/>
        </w:rPr>
      </w:pPr>
      <w:r>
        <w:rPr>
          <w:rFonts w:hint="eastAsia" w:ascii="宋体" w:hAnsi="宋体"/>
          <w:sz w:val="24"/>
        </w:rPr>
        <w:t>14.1 谈判报价应按谈判文件中相关附表格式填写，报价超过所竞分标总采购预算金额或分项采购预算（根据项目增减）的，响应文件按分标作相应无效处理。总采购预算按供应商须知前附表。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bCs/>
          <w:sz w:val="24"/>
        </w:rPr>
      </w:pPr>
      <w:r>
        <w:rPr>
          <w:rFonts w:hint="eastAsia" w:ascii="宋体" w:hAnsi="宋体"/>
          <w:sz w:val="24"/>
        </w:rPr>
        <w:t>14.2</w:t>
      </w:r>
      <w:r>
        <w:rPr>
          <w:rFonts w:hint="eastAsia"/>
          <w:bCs/>
          <w:sz w:val="24"/>
        </w:rPr>
        <w:t>供应商须就项目物需求和说明中的所有货物和服务内容作完整唯一报价。（多个标段时：供应商可以就项目需求中全部分标或某几个分标分别报价，但就某一分标的所有货物和服务内容须作完整唯一报价。</w:t>
      </w:r>
    </w:p>
    <w:p>
      <w:pPr>
        <w:spacing w:line="360" w:lineRule="auto"/>
        <w:ind w:left="-61" w:leftChars="-29" w:firstLine="480" w:firstLineChars="200"/>
        <w:rPr>
          <w:bCs/>
          <w:sz w:val="24"/>
        </w:rPr>
      </w:pPr>
      <w:r>
        <w:rPr>
          <w:rFonts w:hint="eastAsia"/>
          <w:bCs/>
          <w:sz w:val="24"/>
        </w:rPr>
        <w:t>14.3谈判报价应包括本次采购范围内货物价款、货物随配标准附件、包装、运输、装卸、保险、税金、货到位以及安装、调试、检验、售后服务、培训、保修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14.4对于本文件中未列明，而谈判供应商认为必需的费用也需列入总报价。在合同实施时，采购人将不予支付成交供应商没有列入的项目费用，并认为此项目的费用已包括在总报价中。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15. 响应文件有效期</w:t>
      </w:r>
    </w:p>
    <w:p>
      <w:pPr>
        <w:spacing w:line="360" w:lineRule="auto"/>
        <w:ind w:left="-61" w:leftChars="-29" w:firstLine="480" w:firstLineChars="200"/>
        <w:rPr>
          <w:rFonts w:ascii="宋体" w:hAnsi="宋体"/>
          <w:sz w:val="24"/>
        </w:rPr>
      </w:pPr>
      <w:r>
        <w:rPr>
          <w:rFonts w:hint="eastAsia" w:ascii="宋体" w:hAnsi="宋体"/>
          <w:sz w:val="24"/>
        </w:rPr>
        <w:t>15.1 响应文件有效期：响应文件递交截止时间之日起60天，有效期不足的响应文件将被拒绝。</w:t>
      </w:r>
    </w:p>
    <w:p>
      <w:pPr>
        <w:spacing w:line="360" w:lineRule="auto"/>
        <w:ind w:left="-61" w:leftChars="-29" w:firstLine="480" w:firstLineChars="200"/>
        <w:rPr>
          <w:rFonts w:ascii="宋体" w:hAnsi="宋体"/>
          <w:szCs w:val="21"/>
        </w:rPr>
      </w:pPr>
      <w:r>
        <w:rPr>
          <w:rFonts w:hint="eastAsia" w:ascii="宋体" w:hAnsi="宋体"/>
          <w:sz w:val="24"/>
        </w:rPr>
        <w:t>15.2 出现特殊情况下，需要延长响应文件有效期的，采购代理机构通知供应商延长响应文件有效期。供应商同意延长的，但不能修改响应文件。供应商拒绝延长的，其响应文件无效。</w:t>
      </w:r>
    </w:p>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四、竞争性谈判响应文件的份数、封装和递交</w:t>
      </w:r>
    </w:p>
    <w:p>
      <w:pPr>
        <w:spacing w:line="360" w:lineRule="auto"/>
        <w:ind w:left="-1" w:leftChars="-29" w:hanging="60" w:hangingChars="25"/>
        <w:rPr>
          <w:rFonts w:ascii="宋体" w:hAnsi="宋体"/>
          <w:b/>
          <w:sz w:val="24"/>
        </w:rPr>
      </w:pPr>
      <w:r>
        <w:rPr>
          <w:rFonts w:hint="eastAsia" w:ascii="宋体" w:hAnsi="宋体"/>
          <w:b/>
          <w:sz w:val="24"/>
        </w:rPr>
        <w:t>16. 谈判响应文件的份数和封装</w:t>
      </w:r>
    </w:p>
    <w:p>
      <w:pPr>
        <w:spacing w:line="360" w:lineRule="auto"/>
        <w:ind w:left="-61"/>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 xml:space="preserve"> 响应文件份数：正本</w:t>
      </w:r>
      <w:r>
        <w:rPr>
          <w:rFonts w:hint="eastAsia" w:ascii="宋体" w:hAnsi="宋体"/>
          <w:sz w:val="24"/>
          <w:u w:val="single"/>
        </w:rPr>
        <w:t>1</w:t>
      </w:r>
      <w:r>
        <w:rPr>
          <w:rFonts w:hint="eastAsia" w:ascii="宋体" w:hAnsi="宋体"/>
          <w:sz w:val="24"/>
        </w:rPr>
        <w:t>册，副本</w:t>
      </w:r>
      <w:r>
        <w:rPr>
          <w:rFonts w:hint="eastAsia" w:ascii="宋体" w:hAnsi="宋体"/>
          <w:sz w:val="24"/>
          <w:u w:val="single"/>
        </w:rPr>
        <w:t>2</w:t>
      </w:r>
      <w:r>
        <w:rPr>
          <w:rFonts w:hint="eastAsia" w:ascii="宋体" w:hAnsi="宋体"/>
          <w:sz w:val="24"/>
        </w:rPr>
        <w:t xml:space="preserve">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信息（详见文内响应文件格式）。</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 xml:space="preserve"> 响应文件的正本需打印或用不褪色的墨水填写，响应文件正本除本谈判文件中规定的可提供复印件外均须提供原件。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.4</w:t>
      </w:r>
      <w:r>
        <w:rPr>
          <w:rFonts w:hint="eastAsia" w:ascii="宋体" w:hAnsi="宋体"/>
          <w:sz w:val="24"/>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.5</w:t>
      </w:r>
      <w:r>
        <w:rPr>
          <w:rFonts w:hint="eastAsia" w:ascii="宋体" w:hAnsi="宋体"/>
          <w:sz w:val="24"/>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16.6.2 响应文件袋（盒、箱）标记：</w:t>
      </w:r>
    </w:p>
    <w:p>
      <w:pPr>
        <w:spacing w:line="360" w:lineRule="auto"/>
        <w:ind w:left="-61"/>
        <w:rPr>
          <w:rFonts w:ascii="宋体" w:hAnsi="宋体"/>
          <w:sz w:val="24"/>
        </w:rPr>
      </w:pPr>
      <w:r>
        <w:rPr>
          <w:rFonts w:hint="eastAsia" w:ascii="宋体" w:hAnsi="宋体"/>
          <w:sz w:val="24"/>
        </w:rPr>
        <w:t xml:space="preserve">项目名称： </w:t>
      </w:r>
    </w:p>
    <w:p>
      <w:pPr>
        <w:spacing w:line="360" w:lineRule="auto"/>
        <w:ind w:left="-61"/>
        <w:rPr>
          <w:rFonts w:ascii="宋体" w:hAnsi="宋体"/>
          <w:sz w:val="24"/>
        </w:rPr>
      </w:pPr>
      <w:r>
        <w:rPr>
          <w:rFonts w:hint="eastAsia" w:ascii="宋体" w:hAnsi="宋体"/>
          <w:sz w:val="24"/>
        </w:rPr>
        <w:t>项目编号：</w:t>
      </w:r>
    </w:p>
    <w:p>
      <w:pPr>
        <w:spacing w:line="360" w:lineRule="auto"/>
        <w:ind w:left="-61"/>
        <w:rPr>
          <w:rFonts w:ascii="宋体" w:hAnsi="宋体"/>
          <w:sz w:val="24"/>
        </w:rPr>
      </w:pPr>
      <w:r>
        <w:rPr>
          <w:rFonts w:hint="eastAsia" w:ascii="宋体" w:hAnsi="宋体"/>
          <w:sz w:val="24"/>
        </w:rPr>
        <w:t>采购代理机构：广西建设工程机电设备招标中心有限公司</w:t>
      </w:r>
    </w:p>
    <w:p>
      <w:pPr>
        <w:spacing w:line="360" w:lineRule="auto"/>
        <w:ind w:left="-61"/>
        <w:rPr>
          <w:rFonts w:ascii="宋体" w:hAnsi="宋体"/>
          <w:sz w:val="24"/>
        </w:rPr>
      </w:pPr>
      <w:r>
        <w:rPr>
          <w:rFonts w:hint="eastAsia" w:ascii="宋体" w:hAnsi="宋体"/>
          <w:sz w:val="24"/>
        </w:rPr>
        <w:t>供应商单位名称：</w:t>
      </w:r>
    </w:p>
    <w:p>
      <w:pPr>
        <w:spacing w:line="360" w:lineRule="auto"/>
        <w:ind w:left="-61"/>
        <w:rPr>
          <w:rFonts w:ascii="宋体" w:hAnsi="宋体"/>
          <w:sz w:val="24"/>
        </w:rPr>
      </w:pPr>
      <w:r>
        <w:rPr>
          <w:rFonts w:hint="eastAsia" w:ascii="宋体" w:hAnsi="宋体"/>
          <w:sz w:val="24"/>
        </w:rPr>
        <w:t xml:space="preserve">在  </w:t>
      </w:r>
      <w:r>
        <w:rPr>
          <w:rFonts w:hint="eastAsia" w:ascii="宋体" w:hAnsi="宋体"/>
          <w:sz w:val="24"/>
          <w:u w:val="single"/>
        </w:rPr>
        <w:t xml:space="preserve"> 年 月  日午  时 分</w:t>
      </w:r>
      <w:r>
        <w:rPr>
          <w:rFonts w:hint="eastAsia" w:ascii="宋体" w:hAnsi="宋体"/>
          <w:sz w:val="24"/>
        </w:rPr>
        <w:t>前不得开启(此处供应商填写响应文件递交截止时间)</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竞争性谈判文件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17. 竞争性谈判响应文件的递交</w:t>
      </w:r>
    </w:p>
    <w:p>
      <w:pPr>
        <w:spacing w:line="360" w:lineRule="auto"/>
        <w:ind w:left="-61"/>
        <w:rPr>
          <w:rFonts w:ascii="宋体" w:hAnsi="宋体"/>
          <w:sz w:val="24"/>
        </w:rPr>
      </w:pPr>
      <w:r>
        <w:rPr>
          <w:rFonts w:hint="eastAsia" w:ascii="宋体" w:hAnsi="宋体"/>
          <w:sz w:val="24"/>
        </w:rPr>
        <w:t>17.1所有竞争性谈判响应文件必须按“供应商须知前附表”第12项规定的时间和地点密封递交。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17.2 除竞争性谈判文件另有规定外，供应商所递交的响应文件不予退还。</w:t>
      </w:r>
    </w:p>
    <w:p>
      <w:pPr>
        <w:spacing w:line="360" w:lineRule="auto"/>
        <w:rPr>
          <w:rFonts w:ascii="宋体" w:hAnsi="宋体"/>
          <w:sz w:val="24"/>
        </w:rPr>
      </w:pPr>
      <w:r>
        <w:rPr>
          <w:rFonts w:hint="eastAsia" w:ascii="宋体" w:hAnsi="宋体"/>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五、竞争性谈判（简称谈判）与评审</w:t>
      </w:r>
    </w:p>
    <w:p>
      <w:pPr>
        <w:tabs>
          <w:tab w:val="center" w:pos="4411"/>
          <w:tab w:val="left" w:pos="5475"/>
        </w:tabs>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18. 谈判小组组成及谈判时间、地点、人员</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18.1 谈判小组组成：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谈判及评审工作由采购代理机构负责组织，具体谈判、评审工作由依法组建的谈判小组负责，谈判小组由采购人代表和有关方面的专家组成。谈判小组的构成：</w:t>
      </w:r>
      <w:r>
        <w:rPr>
          <w:rFonts w:hint="eastAsia" w:asciiTheme="minorEastAsia" w:hAnsiTheme="minorEastAsia" w:eastAsiaTheme="minorEastAsia"/>
          <w:sz w:val="24"/>
          <w:u w:val="single"/>
        </w:rPr>
        <w:t>3</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rPr>
        <w:t xml:space="preserve"> 人， 专家 </w:t>
      </w:r>
      <w:r>
        <w:rPr>
          <w:rFonts w:hint="eastAsia" w:asciiTheme="minorEastAsia" w:hAnsiTheme="minorEastAsia" w:eastAsiaTheme="minorEastAsia"/>
          <w:sz w:val="24"/>
          <w:u w:val="single"/>
        </w:rPr>
        <w:t>2</w:t>
      </w:r>
      <w:r>
        <w:rPr>
          <w:rFonts w:hint="eastAsia" w:asciiTheme="minorEastAsia" w:hAnsiTheme="minorEastAsia" w:eastAsiaTheme="minorEastAsia"/>
          <w:sz w:val="24"/>
        </w:rPr>
        <w:t>人。</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18.2 谈判时间、地点、人员：</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详见竞标人须知前附表第13条。</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19.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19.1 谈判小组必须坚持公平、公正、科学和择优的原则。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19.2 评审办法：具体详见第六章评审办法及评审标准。</w:t>
      </w:r>
    </w:p>
    <w:p>
      <w:pPr>
        <w:pStyle w:val="24"/>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19.3 谈判小组应按谈判文件进行评审，不得擅自更改评审办法。</w:t>
      </w:r>
    </w:p>
    <w:p>
      <w:pPr>
        <w:pStyle w:val="24"/>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19.4 在评审过程中，谈判小组任何人不得对某个供应商发表任何倾向性意见，不得向其他谈判小组成员明示或者暗示自己的评审意见。</w:t>
      </w:r>
    </w:p>
    <w:p>
      <w:pPr>
        <w:pStyle w:val="24"/>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20. 评审程序及谈判要求</w:t>
      </w:r>
    </w:p>
    <w:p>
      <w:pPr>
        <w:pStyle w:val="24"/>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20.1 采购代理机构核实谈判小组成员身份，告知回避要求，宣布评审工作纪律和程序，统一保管通讯工具或相关电子设备，推选谈判小组组长。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20.2 </w:t>
      </w:r>
      <w:r>
        <w:rPr>
          <w:rFonts w:asciiTheme="minorEastAsia" w:hAnsiTheme="minorEastAsia" w:eastAsiaTheme="minorEastAsia"/>
          <w:sz w:val="24"/>
        </w:rPr>
        <w:t>谈判小组</w:t>
      </w:r>
      <w:r>
        <w:rPr>
          <w:rFonts w:hint="eastAsia" w:asciiTheme="minorEastAsia" w:hAnsiTheme="minorEastAsia" w:eastAsiaTheme="minorEastAsia"/>
          <w:sz w:val="24"/>
        </w:rPr>
        <w:t>应当对发布公告的竞争性谈判文件（简称谈判文件）进行确认，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20.3</w:t>
      </w:r>
      <w:r>
        <w:rPr>
          <w:rFonts w:cs="Arial" w:asciiTheme="minorEastAsia" w:hAnsiTheme="minorEastAsia" w:eastAsiaTheme="minorEastAsia"/>
          <w:kern w:val="0"/>
          <w:sz w:val="24"/>
        </w:rPr>
        <w:t>谈判小组</w:t>
      </w:r>
      <w:r>
        <w:rPr>
          <w:rFonts w:hint="eastAsia" w:asciiTheme="minorEastAsia" w:hAnsiTheme="minorEastAsia" w:eastAsiaTheme="minorEastAsia"/>
          <w:sz w:val="24"/>
        </w:rPr>
        <w:t>依据法律法规和竞争性谈判文件的规定，首先对响应文件进行资格性审查，以确定供应商是否具备本项目谈判资格；再对通过资格性审查的供应商响应文件的有效性、完整性和对谈判文件的响应程度进行符合性审查，以确定是否对谈判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20.4谈判小组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20.5谈判小组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（供应商若为其他组织形式无法定代表人的为机构负责人，供应商若为自然人的为自然人）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（供应商若为自然人的在签字处按指印）。</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根据谈判文件规定的程序、评定成交的标准等事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谈判文件要求的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进行谈判。未实质性响应谈判文件的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按无效处理，谈判小组应当告知有关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谈判小组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谈判顺序集中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分别进行谈判，并给予所有实质性响应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谈判文件要求的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平等的谈判机会。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谈判中，谈判小组不得透露与谈判有关的其他供应商的技术资料、价格和其他信息。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采购代理机构对谈判过程和重要谈判内容进行记录，谈判双方在记录上签字确认。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20.6 </w:t>
      </w:r>
      <w:r>
        <w:rPr>
          <w:rFonts w:asciiTheme="minorEastAsia" w:hAnsiTheme="minorEastAsia" w:eastAsiaTheme="minorEastAsia"/>
          <w:sz w:val="24"/>
        </w:rPr>
        <w:t>在谈判过程中，谈判小组可以根据谈判文件和谈判情况实质性变动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需求中的技术、服务要求以及合同草案条款，但不得变动谈判文件中的其他内容。实质性变动的内容，须经采购人代表确认。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对谈判文件作出的实质性变动是谈判文件的有效组成部分，谈判小组应当及时以书面形式同时通知所有参加谈判的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供应商应当按照谈判文件的变动情况和谈判小组的要求重新提交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（自然人除外）</w:t>
      </w:r>
      <w:r>
        <w:rPr>
          <w:rFonts w:asciiTheme="minorEastAsia" w:hAnsiTheme="minorEastAsia" w:eastAsiaTheme="minorEastAsia"/>
          <w:sz w:val="24"/>
        </w:rPr>
        <w:t>。</w:t>
      </w:r>
      <w:r>
        <w:rPr>
          <w:rFonts w:hint="eastAsia" w:asciiTheme="minorEastAsia" w:hAnsiTheme="minorEastAsia" w:eastAsiaTheme="minorEastAsia"/>
          <w:sz w:val="24"/>
        </w:rPr>
        <w:t>逾时不交的，视同放弃谈判。</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20.7</w:t>
      </w:r>
      <w:r>
        <w:rPr>
          <w:rFonts w:asciiTheme="minorEastAsia" w:hAnsiTheme="minorEastAsia" w:eastAsiaTheme="minorEastAsia"/>
          <w:kern w:val="0"/>
          <w:sz w:val="24"/>
        </w:rPr>
        <w:t>在采购过程中符合竞争要求的供应商或者报价未超过</w:t>
      </w:r>
      <w:r>
        <w:rPr>
          <w:rFonts w:hint="eastAsia" w:asciiTheme="minorEastAsia" w:hAnsiTheme="minorEastAsia" w:eastAsiaTheme="minorEastAsia"/>
          <w:kern w:val="0"/>
          <w:sz w:val="24"/>
        </w:rPr>
        <w:t>相应分标总</w:t>
      </w:r>
      <w:r>
        <w:rPr>
          <w:rFonts w:asciiTheme="minorEastAsia" w:hAnsiTheme="minorEastAsia" w:eastAsiaTheme="minorEastAsia"/>
          <w:kern w:val="0"/>
          <w:sz w:val="24"/>
        </w:rPr>
        <w:t>采购预算</w:t>
      </w:r>
      <w:r>
        <w:rPr>
          <w:rFonts w:hint="eastAsia" w:asciiTheme="minorEastAsia" w:hAnsiTheme="minorEastAsia" w:eastAsiaTheme="minorEastAsia"/>
          <w:kern w:val="0"/>
          <w:sz w:val="24"/>
        </w:rPr>
        <w:t>、分项采购预算（</w:t>
      </w:r>
      <w:r>
        <w:rPr>
          <w:rFonts w:hint="eastAsia" w:ascii="宋体" w:hAnsi="宋体"/>
          <w:sz w:val="24"/>
        </w:rPr>
        <w:t>根据项目增减</w:t>
      </w:r>
      <w:r>
        <w:rPr>
          <w:rFonts w:hint="eastAsia" w:asciiTheme="minorEastAsia" w:hAnsiTheme="minorEastAsia" w:eastAsiaTheme="minorEastAsia"/>
          <w:kern w:val="0"/>
          <w:sz w:val="24"/>
        </w:rPr>
        <w:t>）</w:t>
      </w:r>
      <w:r>
        <w:rPr>
          <w:rFonts w:asciiTheme="minorEastAsia" w:hAnsiTheme="minorEastAsia" w:eastAsiaTheme="minorEastAsia"/>
          <w:kern w:val="0"/>
          <w:sz w:val="24"/>
        </w:rPr>
        <w:t>的供应商不足3家的</w:t>
      </w:r>
      <w:r>
        <w:rPr>
          <w:rFonts w:hint="eastAsia" w:asciiTheme="minorEastAsia" w:hAnsiTheme="minorEastAsia" w:eastAsiaTheme="minorEastAsia"/>
          <w:kern w:val="0"/>
          <w:sz w:val="24"/>
        </w:rPr>
        <w:t>，采购人或者采购代理机构应当终止竞争性谈判采购活动。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20.8.1</w:t>
      </w:r>
      <w:r>
        <w:rPr>
          <w:rFonts w:asciiTheme="minorEastAsia" w:hAnsiTheme="minorEastAsia" w:eastAsiaTheme="minorEastAsia"/>
          <w:kern w:val="0"/>
          <w:sz w:val="24"/>
        </w:rPr>
        <w:t>谈判文件能够详细列明采购标的的技术、服务要求的，谈判结束后，谈判小组应当要求所有继续参加谈判的供应商在规定时间内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20.8.2</w:t>
      </w:r>
      <w:r>
        <w:rPr>
          <w:rFonts w:asciiTheme="minorEastAsia" w:hAnsiTheme="minorEastAsia" w:eastAsiaTheme="minorEastAsia"/>
          <w:kern w:val="0"/>
          <w:sz w:val="24"/>
        </w:rPr>
        <w:t>谈判文件不能详细列明采购标的的技术、服务要求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谈判供应商提供最终设计方案或解决方案的，谈判结束后，谈判小组应当按照少数服从多数的原则投票推荐3家以上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20.9</w:t>
      </w:r>
      <w:r>
        <w:rPr>
          <w:rFonts w:asciiTheme="minorEastAsia" w:hAnsiTheme="minorEastAsia" w:eastAsiaTheme="minorEastAsia"/>
          <w:kern w:val="0"/>
          <w:sz w:val="24"/>
        </w:rPr>
        <w:t>已提交响应文件的供应商，在提交最后报价之前，可以根据谈判情况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退出谈判</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20.10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谈判小组应当从质量和服务均能满足</w:t>
      </w:r>
      <w:r>
        <w:rPr>
          <w:rFonts w:hint="eastAsia" w:asciiTheme="minorEastAsia" w:hAnsiTheme="minorEastAsia" w:eastAsiaTheme="minorEastAsia"/>
          <w:kern w:val="0"/>
          <w:sz w:val="24"/>
        </w:rPr>
        <w:t>谈判</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20.11采购代理机构发现谈判小组有明显的违规倾向或歧视现象，或不按评审办法进行，或其他不正常行为的，应当及时制止。如制止无效，应及时向南宁市政府采购监督管理机构报告。</w:t>
      </w:r>
    </w:p>
    <w:p>
      <w:pPr>
        <w:pStyle w:val="24"/>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 确定成交供应商</w:t>
      </w:r>
    </w:p>
    <w:p>
      <w:pPr>
        <w:pStyle w:val="24"/>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（1）采购单位应当确定谈判小组推荐排名第一的成交候选人为成交供应商。</w:t>
      </w:r>
    </w:p>
    <w:p>
      <w:pPr>
        <w:pStyle w:val="24"/>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（2）排名第一的成交候选人放弃中标、因不可抗力提出不能履行合同，采购单位可以确定排名第二的成交候选人为成交供应商。</w:t>
      </w:r>
      <w:r>
        <w:rPr>
          <w:rFonts w:hint="eastAsia" w:hAnsi="宋体"/>
          <w:sz w:val="24"/>
          <w:szCs w:val="24"/>
        </w:rPr>
        <w:t>采购人也可以重新采购。</w:t>
      </w:r>
    </w:p>
    <w:p>
      <w:pPr>
        <w:pStyle w:val="2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22.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（2）未按谈判文件规定完整提交响应文件或未按规定要求密封、签字、盖章的；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（4）不具备谈判文件规定的资格要求的；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（5）响应文件未按谈判文件的内容和要求编制，或提供虚假材料的；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（7）响应文件有效期、交货时间、免费保修期、售后服务不能满足谈判文件要求的；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（8）供应商未就项目需求中所竞分标的所有货物内容作完整唯一报价的，或报价超出相应分标采购预算总金额的；</w:t>
      </w:r>
    </w:p>
    <w:p>
      <w:pPr>
        <w:pStyle w:val="2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未在谈判小组规定的时间内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（10）未满足谈判文件全部实质性要求的或者响应文件有采购人不能接受的附加条件的；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（11）不符合法律、法规和谈判文件规定的其他实质性要求和条件的。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23. </w:t>
      </w:r>
      <w:r>
        <w:rPr>
          <w:rFonts w:asciiTheme="minorEastAsia" w:hAnsiTheme="minorEastAsia" w:eastAsiaTheme="minorEastAsia"/>
          <w:b/>
          <w:sz w:val="24"/>
        </w:rPr>
        <w:t>出现下列情形之一的，采购人或者采购代理机构应当终止竞争性谈判采购活动，发布项目终止公告并说明原因，重新开展采购活动：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因情况变化，不再符合规定的竞争性谈判采购方式适用情形的；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 </w:t>
      </w:r>
    </w:p>
    <w:p>
      <w:pPr>
        <w:snapToGrid w:val="0"/>
        <w:spacing w:line="360" w:lineRule="auto"/>
        <w:ind w:firstLine="482" w:firstLineChars="200"/>
        <w:outlineLvl w:val="4"/>
        <w:rPr>
          <w:rFonts w:asciiTheme="minorEastAsia" w:hAnsiTheme="minorEastAsia" w:eastAsiaTheme="minorEastAsia"/>
          <w:b/>
          <w:sz w:val="24"/>
        </w:rPr>
      </w:pPr>
      <w:r>
        <w:rPr>
          <w:rFonts w:hint="eastAsia" w:asciiTheme="minorEastAsia" w:hAnsiTheme="minorEastAsia" w:eastAsiaTheme="minorEastAsia"/>
          <w:b/>
          <w:sz w:val="24"/>
        </w:rPr>
        <w:t>24. 谈判过程的监控</w:t>
      </w:r>
    </w:p>
    <w:p>
      <w:pPr>
        <w:pStyle w:val="24"/>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本项目谈判过程实行全程录音、录像监控，供应商在谈判过程中所进行的试图影响谈判结果的不公正活动，可能导致其谈判被拒绝。</w:t>
      </w:r>
    </w:p>
    <w:p>
      <w:pPr>
        <w:pStyle w:val="24"/>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成交公告及成交通知书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25.2 在发布成交公告的同时，采购代理机构向成交供应商发出成交通知书</w:t>
      </w:r>
      <w:r>
        <w:rPr>
          <w:rFonts w:hint="eastAsia" w:asciiTheme="minorEastAsia" w:hAnsiTheme="minorEastAsia" w:eastAsiaTheme="minorEastAsia"/>
          <w:color w:val="FF0000"/>
          <w:sz w:val="24"/>
        </w:rPr>
        <w:t>（格式详见附件）</w:t>
      </w:r>
      <w:r>
        <w:rPr>
          <w:rFonts w:hint="eastAsia" w:asciiTheme="minorEastAsia" w:hAnsiTheme="minorEastAsia" w:eastAsiaTheme="minorEastAsia"/>
          <w:sz w:val="24"/>
        </w:rPr>
        <w:t>。如成交供应商自接到通知之日起七个工作日内，不办理成交通知书领取手续的，按违约处理。采购单位将取消其成交资格，从谈判小组推荐的成交候选人中按顺序重新确定成交供应商。</w:t>
      </w:r>
    </w:p>
    <w:p>
      <w:pPr>
        <w:pStyle w:val="24"/>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25.3 采购代理机构无义务向未成交的供应商解释未成交原因和退还响应文件。</w:t>
      </w:r>
    </w:p>
    <w:p>
      <w:pPr>
        <w:pStyle w:val="24"/>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7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4"/>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4"/>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27. 签订合同</w:t>
      </w:r>
    </w:p>
    <w:p>
      <w:pPr>
        <w:pStyle w:val="24"/>
        <w:spacing w:line="360" w:lineRule="auto"/>
        <w:ind w:firstLine="420"/>
        <w:rPr>
          <w:rFonts w:hAnsi="宋体"/>
          <w:sz w:val="24"/>
          <w:szCs w:val="24"/>
        </w:rPr>
      </w:pPr>
      <w:r>
        <w:rPr>
          <w:rFonts w:hint="eastAsia" w:hAnsi="宋体"/>
          <w:sz w:val="24"/>
        </w:rPr>
        <w:t>27.1成交供应商在收到成交通知书后，按规定与采购人签订供货服务合同。</w:t>
      </w:r>
    </w:p>
    <w:p>
      <w:pPr>
        <w:pStyle w:val="24"/>
        <w:spacing w:line="360" w:lineRule="auto"/>
        <w:ind w:firstLine="425"/>
        <w:rPr>
          <w:rFonts w:hAnsi="宋体"/>
          <w:sz w:val="24"/>
          <w:szCs w:val="24"/>
        </w:rPr>
      </w:pPr>
      <w:r>
        <w:rPr>
          <w:rFonts w:hint="eastAsia" w:hAnsi="宋体"/>
          <w:sz w:val="24"/>
          <w:szCs w:val="24"/>
        </w:rPr>
        <w:t>27.2如果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4"/>
        <w:spacing w:line="360" w:lineRule="auto"/>
        <w:ind w:firstLine="420"/>
        <w:rPr>
          <w:rFonts w:hAnsi="宋体"/>
          <w:sz w:val="24"/>
          <w:szCs w:val="24"/>
        </w:rPr>
      </w:pPr>
      <w:r>
        <w:rPr>
          <w:rFonts w:hint="eastAsia" w:hAnsi="宋体"/>
          <w:sz w:val="24"/>
          <w:szCs w:val="24"/>
        </w:rPr>
        <w:t>27.3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4"/>
        <w:snapToGrid w:val="0"/>
        <w:spacing w:before="120" w:after="120" w:line="360" w:lineRule="auto"/>
        <w:ind w:firstLine="236" w:firstLineChars="98"/>
        <w:jc w:val="center"/>
        <w:rPr>
          <w:rFonts w:hAnsi="宋体"/>
          <w:b/>
          <w:sz w:val="24"/>
          <w:szCs w:val="24"/>
        </w:rPr>
      </w:pPr>
      <w:r>
        <w:rPr>
          <w:rFonts w:hint="eastAsia" w:hAnsi="宋体"/>
          <w:b/>
          <w:sz w:val="24"/>
          <w:szCs w:val="24"/>
        </w:rPr>
        <w:t>七、其他事项</w:t>
      </w:r>
    </w:p>
    <w:p>
      <w:pPr>
        <w:pStyle w:val="24"/>
        <w:spacing w:line="360" w:lineRule="auto"/>
        <w:rPr>
          <w:rFonts w:hAnsi="宋体"/>
          <w:b/>
          <w:sz w:val="24"/>
          <w:szCs w:val="24"/>
        </w:rPr>
      </w:pPr>
      <w:r>
        <w:rPr>
          <w:rFonts w:hint="eastAsia" w:hAnsi="宋体"/>
          <w:b/>
          <w:sz w:val="24"/>
          <w:szCs w:val="24"/>
        </w:rPr>
        <w:t>28.采购代理服务费（根据代理协议进行增减）</w:t>
      </w:r>
    </w:p>
    <w:p>
      <w:pPr>
        <w:pStyle w:val="24"/>
        <w:spacing w:line="360" w:lineRule="auto"/>
        <w:ind w:firstLine="425"/>
        <w:rPr>
          <w:rFonts w:hAnsi="宋体"/>
          <w:sz w:val="24"/>
        </w:rPr>
      </w:pPr>
      <w:r>
        <w:rPr>
          <w:rFonts w:hint="eastAsia" w:hAnsi="宋体"/>
          <w:sz w:val="24"/>
        </w:rPr>
        <w:t>28.1成交供应商领取成交通知书前，向广西建设工程机电设备招标中心有限公司一次性付清采购代理服务费。服务费参照国家发展计划委员会文件计价格（2002）1980号《国家计委关于印发&lt;招标代理服务收费管理暂行办法&gt;的通知》规定标准计取。</w:t>
      </w:r>
    </w:p>
    <w:p>
      <w:pPr>
        <w:spacing w:line="360" w:lineRule="exact"/>
        <w:ind w:firstLine="480" w:firstLineChars="200"/>
        <w:rPr>
          <w:rFonts w:ascii="宋体" w:hAnsi="宋体" w:cs="Courier New"/>
          <w:sz w:val="24"/>
        </w:rPr>
      </w:pPr>
      <w:r>
        <w:rPr>
          <w:rFonts w:hint="eastAsia" w:ascii="宋体" w:hAnsi="宋体" w:cs="Courier New"/>
          <w:sz w:val="24"/>
        </w:rPr>
        <w:t>缴纳方式：</w:t>
      </w:r>
    </w:p>
    <w:p>
      <w:pPr>
        <w:spacing w:line="360" w:lineRule="exact"/>
        <w:ind w:firstLine="480" w:firstLineChars="200"/>
        <w:rPr>
          <w:rFonts w:ascii="宋体" w:hAnsi="宋体" w:cs="Courier New"/>
          <w:sz w:val="24"/>
        </w:rPr>
      </w:pPr>
      <w:r>
        <w:rPr>
          <w:rFonts w:hint="eastAsia" w:ascii="宋体" w:hAnsi="宋体" w:cs="Courier New"/>
          <w:sz w:val="24"/>
        </w:rPr>
        <w:t>开户名称：广西建设工程机电设备招标中心有限公司</w:t>
      </w:r>
    </w:p>
    <w:p>
      <w:pPr>
        <w:spacing w:line="360" w:lineRule="exact"/>
        <w:ind w:firstLine="480" w:firstLineChars="200"/>
        <w:rPr>
          <w:rFonts w:ascii="宋体" w:hAnsi="宋体" w:cs="Courier New"/>
          <w:sz w:val="24"/>
        </w:rPr>
      </w:pPr>
      <w:r>
        <w:rPr>
          <w:rFonts w:hint="eastAsia" w:ascii="宋体" w:hAnsi="宋体" w:cs="Courier New"/>
          <w:sz w:val="24"/>
        </w:rPr>
        <w:t>开户银行：招商银行南宁分行营业部</w:t>
      </w:r>
    </w:p>
    <w:p>
      <w:pPr>
        <w:spacing w:line="360" w:lineRule="exact"/>
        <w:ind w:firstLine="480" w:firstLineChars="200"/>
        <w:rPr>
          <w:rFonts w:ascii="宋体" w:hAnsi="宋体" w:cs="Courier New"/>
          <w:sz w:val="24"/>
        </w:rPr>
      </w:pPr>
      <w:r>
        <w:rPr>
          <w:rFonts w:hint="eastAsia" w:ascii="宋体" w:hAnsi="宋体" w:cs="Courier New"/>
          <w:sz w:val="24"/>
        </w:rPr>
        <w:t>帐    号：7719 0142 3310 201</w:t>
      </w:r>
    </w:p>
    <w:p>
      <w:pPr>
        <w:ind w:firstLine="360" w:firstLineChars="150"/>
        <w:rPr>
          <w:rFonts w:ascii="宋体" w:hAnsi="宋体"/>
          <w:bCs/>
          <w:sz w:val="24"/>
        </w:rPr>
      </w:pPr>
      <w:r>
        <w:rPr>
          <w:rFonts w:hint="eastAsia" w:ascii="宋体" w:hAnsi="宋体"/>
          <w:sz w:val="24"/>
        </w:rPr>
        <w:t>28.2</w:t>
      </w:r>
      <w:r>
        <w:rPr>
          <w:rFonts w:hint="eastAsia" w:ascii="宋体" w:hAnsi="宋体"/>
          <w:bCs/>
          <w:sz w:val="24"/>
        </w:rPr>
        <w:t>采购代理服务收费标准</w:t>
      </w:r>
    </w:p>
    <w:tbl>
      <w:tblPr>
        <w:tblStyle w:val="43"/>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pPr>
              <w:ind w:firstLine="944" w:firstLineChars="392"/>
              <w:rPr>
                <w:rFonts w:ascii="宋体" w:hAnsi="宋体"/>
                <w:b/>
                <w:bCs/>
                <w:sz w:val="24"/>
              </w:rPr>
            </w:pPr>
            <w:r>
              <w:rPr>
                <w:rFonts w:ascii="宋体" w:hAnsi="宋体"/>
                <w:b/>
                <w:bCs/>
                <w:sz w:val="24"/>
              </w:rPr>
              <mc:AlternateContent>
                <mc:Choice Requires="wps">
                  <w:drawing>
                    <wp:anchor distT="0" distB="0" distL="114300" distR="114300" simplePos="0" relativeHeight="251087872" behindDoc="0" locked="0" layoutInCell="1" allowOverlap="1">
                      <wp:simplePos x="0" y="0"/>
                      <wp:positionH relativeFrom="column">
                        <wp:posOffset>342900</wp:posOffset>
                      </wp:positionH>
                      <wp:positionV relativeFrom="paragraph">
                        <wp:posOffset>-6350</wp:posOffset>
                      </wp:positionV>
                      <wp:extent cx="1133475" cy="1036955"/>
                      <wp:effectExtent l="3175" t="3810" r="6350" b="6985"/>
                      <wp:wrapNone/>
                      <wp:docPr id="38" name="Line 10"/>
                      <wp:cNvGraphicFramePr/>
                      <a:graphic xmlns:a="http://schemas.openxmlformats.org/drawingml/2006/main">
                        <a:graphicData uri="http://schemas.microsoft.com/office/word/2010/wordprocessingShape">
                          <wps:wsp>
                            <wps:cNvCnPr/>
                            <wps:spPr>
                              <a:xfrm flipH="1" flipV="1">
                                <a:off x="0" y="0"/>
                                <a:ext cx="1133475" cy="10369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flip:x y;margin-left:27pt;margin-top:-0.5pt;height:81.65pt;width:89.25pt;z-index:251087872;mso-width-relative:page;mso-height-relative:page;" filled="f" stroked="t" coordsize="21600,21600" o:gfxdata="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eNmU1QAAAAkBAAAPAAAAAAAAAAEAIAAAACIAAABkcnMvZG93bnJldi54bWxQSwECFAAUAAAA&#10;CACHTuJAxspL9fEBAAADBAAADgAAAAAAAAABACAAAAAkAQAAZHJzL2Uyb0RvYy54bWxQSwUGAAAA&#10;AAYABgBZAQAAhwUAAAAA&#10;">
                      <v:fill on="f" focussize="0,0"/>
                      <v:stroke color="#000000" joinstyle="round"/>
                      <v:imagedata o:title=""/>
                      <o:lock v:ext="edit" aspectratio="f"/>
                    </v:line>
                  </w:pict>
                </mc:Fallback>
              </mc:AlternateContent>
            </w:r>
            <w:r>
              <w:rPr>
                <w:rFonts w:ascii="宋体" w:hAnsi="宋体"/>
                <w:b/>
                <w:bCs/>
                <w:sz w:val="24"/>
              </w:rPr>
              <mc:AlternateContent>
                <mc:Choice Requires="wps">
                  <w:drawing>
                    <wp:anchor distT="0" distB="0" distL="114300" distR="114300" simplePos="0" relativeHeight="251085824" behindDoc="0" locked="0" layoutInCell="1" allowOverlap="1">
                      <wp:simplePos x="0" y="0"/>
                      <wp:positionH relativeFrom="column">
                        <wp:posOffset>-114300</wp:posOffset>
                      </wp:positionH>
                      <wp:positionV relativeFrom="paragraph">
                        <wp:posOffset>-6350</wp:posOffset>
                      </wp:positionV>
                      <wp:extent cx="635" cy="0"/>
                      <wp:effectExtent l="0" t="0" r="0" b="0"/>
                      <wp:wrapNone/>
                      <wp:docPr id="36" name="Line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8" o:spid="_x0000_s1026" o:spt="20" style="position:absolute;left:0pt;margin-left:-9pt;margin-top:-0.5pt;height:0pt;width:0.05pt;z-index:25108582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My3rS3dAQAA5A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bCs/>
                <w:sz w:val="24"/>
              </w:rPr>
              <w:t>服务类型</w:t>
            </w:r>
          </w:p>
          <w:p>
            <w:pPr>
              <w:ind w:firstLine="241" w:firstLineChars="100"/>
              <w:rPr>
                <w:rFonts w:ascii="宋体" w:hAnsi="宋体"/>
                <w:b/>
                <w:bCs/>
                <w:sz w:val="24"/>
              </w:rPr>
            </w:pPr>
            <w:r>
              <w:rPr>
                <w:rFonts w:hint="eastAsia" w:ascii="宋体" w:hAnsi="宋体"/>
                <w:b/>
                <w:bCs/>
                <w:sz w:val="24"/>
              </w:rPr>
              <w:t>费</w:t>
            </w:r>
          </w:p>
          <w:p>
            <w:pPr>
              <w:ind w:firstLine="1205" w:firstLineChars="500"/>
              <w:rPr>
                <w:rFonts w:ascii="宋体" w:hAnsi="宋体"/>
                <w:b/>
                <w:bCs/>
                <w:sz w:val="24"/>
              </w:rPr>
            </w:pPr>
            <w:r>
              <w:rPr>
                <w:rFonts w:ascii="宋体" w:hAnsi="宋体"/>
                <w:b/>
                <w:bCs/>
                <w:sz w:val="24"/>
              </w:rPr>
              <mc:AlternateContent>
                <mc:Choice Requires="wps">
                  <w:drawing>
                    <wp:anchor distT="0" distB="0" distL="114300" distR="114300" simplePos="0" relativeHeight="251086848" behindDoc="0" locked="0" layoutInCell="1" allowOverlap="1">
                      <wp:simplePos x="0" y="0"/>
                      <wp:positionH relativeFrom="column">
                        <wp:posOffset>-84455</wp:posOffset>
                      </wp:positionH>
                      <wp:positionV relativeFrom="paragraph">
                        <wp:posOffset>90805</wp:posOffset>
                      </wp:positionV>
                      <wp:extent cx="1564005" cy="584200"/>
                      <wp:effectExtent l="1905" t="4445" r="15240" b="20955"/>
                      <wp:wrapNone/>
                      <wp:docPr id="37" name="Line 9"/>
                      <wp:cNvGraphicFramePr/>
                      <a:graphic xmlns:a="http://schemas.openxmlformats.org/drawingml/2006/main">
                        <a:graphicData uri="http://schemas.microsoft.com/office/word/2010/wordprocessingShape">
                          <wps:wsp>
                            <wps:cNvCnPr/>
                            <wps:spPr>
                              <a:xfrm flipH="1" flipV="1">
                                <a:off x="0" y="0"/>
                                <a:ext cx="1564005" cy="5842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9" o:spid="_x0000_s1026" o:spt="20" style="position:absolute;left:0pt;flip:x y;margin-left:-6.65pt;margin-top:7.15pt;height:46pt;width:123.15pt;z-index:251086848;mso-width-relative:page;mso-height-relative:page;" filled="f" stroked="t" coordsize="21600,21600" o:gfxdata="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r6V11AAAAAoBAAAPAAAAAAAAAAEAIAAAACIAAABkcnMvZG93bnJldi54bWxQSwECFAAUAAAACACH&#10;TuJAmVQxeO8BAAABBAAADgAAAAAAAAABACAAAAAjAQAAZHJzL2Uyb0RvYy54bWxQSwUGAAAAAAYA&#10;BgBZAQAAhAUAAAAA&#10;">
                      <v:fill on="f" focussize="0,0"/>
                      <v:stroke color="#000000" joinstyle="round"/>
                      <v:imagedata o:title=""/>
                      <o:lock v:ext="edit" aspectratio="f"/>
                    </v:line>
                  </w:pict>
                </mc:Fallback>
              </mc:AlternateContent>
            </w:r>
          </w:p>
          <w:p>
            <w:pPr>
              <w:ind w:firstLine="1205" w:firstLineChars="500"/>
              <w:rPr>
                <w:rFonts w:ascii="宋体" w:hAnsi="宋体"/>
                <w:b/>
                <w:bCs/>
                <w:sz w:val="24"/>
              </w:rPr>
            </w:pPr>
            <w:r>
              <w:rPr>
                <w:rFonts w:hint="eastAsia" w:ascii="宋体" w:hAnsi="宋体"/>
                <w:b/>
                <w:bCs/>
                <w:sz w:val="24"/>
              </w:rPr>
              <w:t>率</w:t>
            </w:r>
          </w:p>
          <w:p>
            <w:pPr>
              <w:ind w:firstLine="1205" w:firstLineChars="500"/>
              <w:rPr>
                <w:rFonts w:ascii="宋体" w:hAnsi="宋体"/>
                <w:b/>
                <w:bCs/>
                <w:sz w:val="24"/>
              </w:rPr>
            </w:pPr>
          </w:p>
          <w:p>
            <w:pPr>
              <w:rPr>
                <w:rFonts w:ascii="宋体" w:hAnsi="宋体"/>
                <w:b/>
                <w:bCs/>
                <w:sz w:val="24"/>
              </w:rPr>
            </w:pPr>
            <w:r>
              <w:rPr>
                <w:rFonts w:hint="eastAsia" w:ascii="宋体" w:hAnsi="宋体"/>
                <w:b/>
                <w:bCs/>
                <w:sz w:val="24"/>
              </w:rPr>
              <w:t>中标金额（万元）</w:t>
            </w:r>
          </w:p>
        </w:tc>
        <w:tc>
          <w:tcPr>
            <w:tcW w:w="2295" w:type="dxa"/>
            <w:vAlign w:val="center"/>
          </w:tcPr>
          <w:p>
            <w:pPr>
              <w:jc w:val="center"/>
              <w:rPr>
                <w:rFonts w:ascii="宋体" w:hAnsi="宋体"/>
                <w:b/>
                <w:bCs/>
                <w:sz w:val="24"/>
              </w:rPr>
            </w:pPr>
            <w:r>
              <w:rPr>
                <w:rFonts w:hint="eastAsia" w:ascii="宋体" w:hAnsi="宋体"/>
                <w:b/>
                <w:bCs/>
                <w:sz w:val="24"/>
              </w:rPr>
              <w:t>货物招标</w:t>
            </w:r>
          </w:p>
        </w:tc>
        <w:tc>
          <w:tcPr>
            <w:tcW w:w="2325" w:type="dxa"/>
            <w:vAlign w:val="center"/>
          </w:tcPr>
          <w:p>
            <w:pPr>
              <w:jc w:val="center"/>
              <w:rPr>
                <w:rFonts w:ascii="宋体" w:hAnsi="宋体"/>
                <w:b/>
                <w:bCs/>
                <w:sz w:val="24"/>
              </w:rPr>
            </w:pPr>
            <w:r>
              <w:rPr>
                <w:rFonts w:hint="eastAsia" w:ascii="宋体" w:hAnsi="宋体"/>
                <w:b/>
                <w:bCs/>
                <w:sz w:val="24"/>
              </w:rPr>
              <w:t>服务招标</w:t>
            </w:r>
          </w:p>
        </w:tc>
        <w:tc>
          <w:tcPr>
            <w:tcW w:w="2565" w:type="dxa"/>
            <w:vAlign w:val="center"/>
          </w:tcPr>
          <w:p>
            <w:pPr>
              <w:ind w:left="99" w:hanging="99" w:hangingChars="41"/>
              <w:jc w:val="center"/>
              <w:rPr>
                <w:rFonts w:ascii="宋体" w:hAnsi="宋体"/>
                <w:b/>
                <w:bCs/>
                <w:sz w:val="24"/>
              </w:rPr>
            </w:pPr>
            <w:r>
              <w:rPr>
                <w:rFonts w:hint="eastAsia" w:ascii="宋体" w:hAnsi="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100以下</w:t>
            </w:r>
          </w:p>
        </w:tc>
        <w:tc>
          <w:tcPr>
            <w:tcW w:w="2295" w:type="dxa"/>
          </w:tcPr>
          <w:p>
            <w:pPr>
              <w:jc w:val="center"/>
              <w:rPr>
                <w:rFonts w:ascii="宋体" w:hAnsi="宋体"/>
                <w:sz w:val="24"/>
              </w:rPr>
            </w:pPr>
            <w:r>
              <w:rPr>
                <w:rFonts w:hint="eastAsia" w:ascii="宋体" w:hAnsi="宋体"/>
                <w:sz w:val="24"/>
              </w:rPr>
              <w:t>1.5%</w:t>
            </w:r>
          </w:p>
        </w:tc>
        <w:tc>
          <w:tcPr>
            <w:tcW w:w="2325" w:type="dxa"/>
          </w:tcPr>
          <w:p>
            <w:pPr>
              <w:jc w:val="center"/>
              <w:rPr>
                <w:rFonts w:ascii="宋体" w:hAnsi="宋体"/>
                <w:sz w:val="24"/>
              </w:rPr>
            </w:pPr>
            <w:r>
              <w:rPr>
                <w:rFonts w:hint="eastAsia" w:ascii="宋体" w:hAnsi="宋体"/>
                <w:sz w:val="24"/>
              </w:rPr>
              <w:t>1.5%</w:t>
            </w:r>
          </w:p>
        </w:tc>
        <w:tc>
          <w:tcPr>
            <w:tcW w:w="2565" w:type="dxa"/>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100-500</w:t>
            </w:r>
          </w:p>
        </w:tc>
        <w:tc>
          <w:tcPr>
            <w:tcW w:w="2295" w:type="dxa"/>
          </w:tcPr>
          <w:p>
            <w:pPr>
              <w:jc w:val="center"/>
              <w:rPr>
                <w:rFonts w:ascii="宋体" w:hAnsi="宋体"/>
                <w:sz w:val="24"/>
              </w:rPr>
            </w:pPr>
            <w:r>
              <w:rPr>
                <w:rFonts w:hint="eastAsia" w:ascii="宋体" w:hAnsi="宋体"/>
                <w:sz w:val="24"/>
              </w:rPr>
              <w:t>1.1%</w:t>
            </w:r>
          </w:p>
        </w:tc>
        <w:tc>
          <w:tcPr>
            <w:tcW w:w="2325" w:type="dxa"/>
          </w:tcPr>
          <w:p>
            <w:pPr>
              <w:jc w:val="center"/>
              <w:rPr>
                <w:rFonts w:ascii="宋体" w:hAnsi="宋体"/>
                <w:sz w:val="24"/>
              </w:rPr>
            </w:pPr>
            <w:r>
              <w:rPr>
                <w:rFonts w:hint="eastAsia" w:ascii="宋体" w:hAnsi="宋体"/>
                <w:sz w:val="24"/>
              </w:rPr>
              <w:t>0.8%</w:t>
            </w:r>
          </w:p>
        </w:tc>
        <w:tc>
          <w:tcPr>
            <w:tcW w:w="2565" w:type="dxa"/>
          </w:tcPr>
          <w:p>
            <w:pPr>
              <w:jc w:val="center"/>
              <w:rPr>
                <w:rFonts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500-1000</w:t>
            </w:r>
          </w:p>
        </w:tc>
        <w:tc>
          <w:tcPr>
            <w:tcW w:w="2295" w:type="dxa"/>
          </w:tcPr>
          <w:p>
            <w:pPr>
              <w:jc w:val="center"/>
              <w:rPr>
                <w:rFonts w:ascii="宋体" w:hAnsi="宋体"/>
                <w:sz w:val="24"/>
              </w:rPr>
            </w:pPr>
            <w:r>
              <w:rPr>
                <w:rFonts w:hint="eastAsia" w:ascii="宋体" w:hAnsi="宋体"/>
                <w:sz w:val="24"/>
              </w:rPr>
              <w:t>0.8%</w:t>
            </w:r>
          </w:p>
        </w:tc>
        <w:tc>
          <w:tcPr>
            <w:tcW w:w="2325" w:type="dxa"/>
          </w:tcPr>
          <w:p>
            <w:pPr>
              <w:jc w:val="center"/>
              <w:rPr>
                <w:rFonts w:ascii="宋体" w:hAnsi="宋体"/>
                <w:sz w:val="24"/>
              </w:rPr>
            </w:pPr>
            <w:r>
              <w:rPr>
                <w:rFonts w:hint="eastAsia" w:ascii="宋体" w:hAnsi="宋体"/>
                <w:sz w:val="24"/>
              </w:rPr>
              <w:t>0.45%</w:t>
            </w:r>
          </w:p>
        </w:tc>
        <w:tc>
          <w:tcPr>
            <w:tcW w:w="2565" w:type="dxa"/>
          </w:tcPr>
          <w:p>
            <w:pPr>
              <w:jc w:val="center"/>
              <w:rPr>
                <w:rFonts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1000-5000</w:t>
            </w:r>
          </w:p>
        </w:tc>
        <w:tc>
          <w:tcPr>
            <w:tcW w:w="2295" w:type="dxa"/>
          </w:tcPr>
          <w:p>
            <w:pPr>
              <w:jc w:val="center"/>
              <w:rPr>
                <w:rFonts w:ascii="宋体" w:hAnsi="宋体"/>
                <w:sz w:val="24"/>
              </w:rPr>
            </w:pPr>
            <w:r>
              <w:rPr>
                <w:rFonts w:hint="eastAsia" w:ascii="宋体" w:hAnsi="宋体"/>
                <w:sz w:val="24"/>
              </w:rPr>
              <w:t>0.5%</w:t>
            </w:r>
          </w:p>
        </w:tc>
        <w:tc>
          <w:tcPr>
            <w:tcW w:w="2325" w:type="dxa"/>
          </w:tcPr>
          <w:p>
            <w:pPr>
              <w:jc w:val="center"/>
              <w:rPr>
                <w:rFonts w:ascii="宋体" w:hAnsi="宋体"/>
                <w:sz w:val="24"/>
              </w:rPr>
            </w:pPr>
            <w:r>
              <w:rPr>
                <w:rFonts w:hint="eastAsia" w:ascii="宋体" w:hAnsi="宋体"/>
                <w:sz w:val="24"/>
              </w:rPr>
              <w:t>0.25%</w:t>
            </w:r>
          </w:p>
        </w:tc>
        <w:tc>
          <w:tcPr>
            <w:tcW w:w="2565" w:type="dxa"/>
          </w:tcPr>
          <w:p>
            <w:pPr>
              <w:jc w:val="center"/>
              <w:rPr>
                <w:rFonts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5000-10000</w:t>
            </w:r>
          </w:p>
        </w:tc>
        <w:tc>
          <w:tcPr>
            <w:tcW w:w="2295" w:type="dxa"/>
          </w:tcPr>
          <w:p>
            <w:pPr>
              <w:jc w:val="center"/>
              <w:rPr>
                <w:rFonts w:ascii="宋体" w:hAnsi="宋体"/>
                <w:sz w:val="24"/>
              </w:rPr>
            </w:pPr>
            <w:r>
              <w:rPr>
                <w:rFonts w:hint="eastAsia" w:ascii="宋体" w:hAnsi="宋体"/>
                <w:sz w:val="24"/>
              </w:rPr>
              <w:t>0.25%</w:t>
            </w:r>
          </w:p>
        </w:tc>
        <w:tc>
          <w:tcPr>
            <w:tcW w:w="2325" w:type="dxa"/>
          </w:tcPr>
          <w:p>
            <w:pPr>
              <w:jc w:val="center"/>
              <w:rPr>
                <w:rFonts w:ascii="宋体" w:hAnsi="宋体"/>
                <w:sz w:val="24"/>
              </w:rPr>
            </w:pPr>
            <w:r>
              <w:rPr>
                <w:rFonts w:hint="eastAsia" w:ascii="宋体" w:hAnsi="宋体"/>
                <w:sz w:val="24"/>
              </w:rPr>
              <w:t>0.1%</w:t>
            </w:r>
          </w:p>
        </w:tc>
        <w:tc>
          <w:tcPr>
            <w:tcW w:w="2565" w:type="dxa"/>
          </w:tcPr>
          <w:p>
            <w:pPr>
              <w:jc w:val="center"/>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10000-100000</w:t>
            </w:r>
          </w:p>
        </w:tc>
        <w:tc>
          <w:tcPr>
            <w:tcW w:w="2295" w:type="dxa"/>
          </w:tcPr>
          <w:p>
            <w:pPr>
              <w:jc w:val="center"/>
              <w:rPr>
                <w:rFonts w:ascii="宋体" w:hAnsi="宋体"/>
                <w:sz w:val="24"/>
              </w:rPr>
            </w:pPr>
            <w:r>
              <w:rPr>
                <w:rFonts w:hint="eastAsia" w:ascii="宋体" w:hAnsi="宋体"/>
                <w:sz w:val="24"/>
              </w:rPr>
              <w:t>0.05%</w:t>
            </w:r>
          </w:p>
        </w:tc>
        <w:tc>
          <w:tcPr>
            <w:tcW w:w="2325" w:type="dxa"/>
          </w:tcPr>
          <w:p>
            <w:pPr>
              <w:jc w:val="center"/>
              <w:rPr>
                <w:rFonts w:ascii="宋体" w:hAnsi="宋体"/>
                <w:sz w:val="24"/>
              </w:rPr>
            </w:pPr>
            <w:r>
              <w:rPr>
                <w:rFonts w:hint="eastAsia" w:ascii="宋体" w:hAnsi="宋体"/>
                <w:sz w:val="24"/>
              </w:rPr>
              <w:t>0.05%</w:t>
            </w:r>
          </w:p>
        </w:tc>
        <w:tc>
          <w:tcPr>
            <w:tcW w:w="2565" w:type="dxa"/>
          </w:tcPr>
          <w:p>
            <w:pPr>
              <w:jc w:val="center"/>
              <w:rPr>
                <w:rFonts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1000000以上</w:t>
            </w:r>
          </w:p>
        </w:tc>
        <w:tc>
          <w:tcPr>
            <w:tcW w:w="2295" w:type="dxa"/>
          </w:tcPr>
          <w:p>
            <w:pPr>
              <w:jc w:val="center"/>
              <w:rPr>
                <w:rFonts w:ascii="宋体" w:hAnsi="宋体"/>
                <w:sz w:val="24"/>
              </w:rPr>
            </w:pPr>
            <w:r>
              <w:rPr>
                <w:rFonts w:hint="eastAsia" w:ascii="宋体" w:hAnsi="宋体"/>
                <w:sz w:val="24"/>
              </w:rPr>
              <w:t>0.01%</w:t>
            </w:r>
          </w:p>
        </w:tc>
        <w:tc>
          <w:tcPr>
            <w:tcW w:w="2325" w:type="dxa"/>
          </w:tcPr>
          <w:p>
            <w:pPr>
              <w:jc w:val="center"/>
              <w:rPr>
                <w:rFonts w:ascii="宋体" w:hAnsi="宋体"/>
                <w:sz w:val="24"/>
              </w:rPr>
            </w:pPr>
            <w:r>
              <w:rPr>
                <w:rFonts w:hint="eastAsia" w:ascii="宋体" w:hAnsi="宋体"/>
                <w:sz w:val="24"/>
              </w:rPr>
              <w:t>0.01%</w:t>
            </w:r>
          </w:p>
        </w:tc>
        <w:tc>
          <w:tcPr>
            <w:tcW w:w="2565" w:type="dxa"/>
          </w:tcPr>
          <w:p>
            <w:pPr>
              <w:jc w:val="center"/>
              <w:rPr>
                <w:rFonts w:ascii="宋体" w:hAnsi="宋体"/>
                <w:sz w:val="24"/>
              </w:rPr>
            </w:pPr>
            <w:r>
              <w:rPr>
                <w:rFonts w:hint="eastAsia" w:ascii="宋体" w:hAnsi="宋体"/>
                <w:sz w:val="24"/>
              </w:rPr>
              <w:t>0.01%</w:t>
            </w:r>
          </w:p>
        </w:tc>
      </w:tr>
    </w:tbl>
    <w:p>
      <w:pPr>
        <w:ind w:left="660" w:leftChars="200" w:hanging="240" w:hangingChars="100"/>
        <w:rPr>
          <w:rFonts w:ascii="宋体" w:hAnsi="宋体" w:cs="宋体"/>
          <w:b/>
          <w:kern w:val="0"/>
          <w:sz w:val="24"/>
        </w:rPr>
      </w:pPr>
      <w:r>
        <w:rPr>
          <w:rFonts w:hint="eastAsia" w:ascii="宋体" w:hAnsi="宋体"/>
          <w:sz w:val="24"/>
        </w:rPr>
        <w:t>注：招标代理服务收费按差额定率累进法计算。</w:t>
      </w:r>
    </w:p>
    <w:p>
      <w:pPr>
        <w:numPr>
          <w:ilvl w:val="0"/>
          <w:numId w:val="5"/>
        </w:numPr>
        <w:spacing w:line="380" w:lineRule="exact"/>
        <w:ind w:firstLine="482" w:firstLineChars="200"/>
        <w:rPr>
          <w:rFonts w:ascii="宋体" w:hAnsi="宋体" w:cs="Courier New"/>
          <w:b/>
          <w:sz w:val="24"/>
        </w:rPr>
      </w:pPr>
      <w:r>
        <w:rPr>
          <w:rFonts w:hint="eastAsia" w:ascii="宋体" w:hAnsi="宋体" w:cs="Courier New"/>
          <w:b/>
          <w:sz w:val="24"/>
        </w:rPr>
        <w:t>解释权</w:t>
      </w:r>
    </w:p>
    <w:p>
      <w:pPr>
        <w:spacing w:line="380" w:lineRule="exact"/>
        <w:ind w:firstLine="480" w:firstLineChars="200"/>
        <w:rPr>
          <w:rFonts w:ascii="宋体" w:hAnsi="宋体"/>
        </w:rPr>
      </w:pPr>
      <w:r>
        <w:rPr>
          <w:rFonts w:hint="eastAsia" w:ascii="宋体" w:hAnsi="宋体" w:cs="Courier New"/>
          <w:sz w:val="24"/>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r>
        <w:rPr>
          <w:rFonts w:hint="eastAsia" w:ascii="宋体" w:hAnsi="宋体"/>
        </w:rPr>
        <w:t>。</w:t>
      </w:r>
    </w:p>
    <w:p>
      <w:pPr>
        <w:spacing w:line="380" w:lineRule="exact"/>
        <w:ind w:firstLine="482" w:firstLineChars="200"/>
        <w:rPr>
          <w:rFonts w:ascii="宋体" w:hAnsi="宋体"/>
          <w:b/>
          <w:bCs/>
        </w:rPr>
      </w:pPr>
      <w:r>
        <w:rPr>
          <w:rFonts w:hint="eastAsia" w:ascii="宋体" w:hAnsi="宋体"/>
          <w:b/>
          <w:bCs/>
          <w:sz w:val="24"/>
        </w:rPr>
        <w:t>30.</w:t>
      </w:r>
      <w:r>
        <w:rPr>
          <w:rFonts w:hint="eastAsia" w:asciiTheme="minorEastAsia" w:hAnsiTheme="minorEastAsia" w:eastAsiaTheme="minorEastAsia"/>
          <w:b/>
          <w:bCs/>
          <w:sz w:val="24"/>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napToGrid w:val="0"/>
        <w:spacing w:beforeLines="50" w:afterLines="50"/>
        <w:ind w:left="238"/>
        <w:jc w:val="center"/>
        <w:rPr>
          <w:rFonts w:ascii="宋体" w:hAnsi="宋体"/>
          <w:b/>
          <w:sz w:val="24"/>
        </w:rPr>
      </w:pPr>
    </w:p>
    <w:p>
      <w:pPr>
        <w:widowControl/>
        <w:jc w:val="left"/>
        <w:rPr>
          <w:rFonts w:ascii="宋体" w:hAnsi="宋体"/>
          <w:b/>
          <w:sz w:val="44"/>
          <w:szCs w:val="44"/>
        </w:rPr>
      </w:pPr>
      <w:r>
        <w:rPr>
          <w:rFonts w:ascii="宋体" w:hAnsi="宋体"/>
          <w:b/>
          <w:sz w:val="44"/>
          <w:szCs w:val="44"/>
        </w:rPr>
        <w:br w:type="page"/>
      </w: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第三章 </w:t>
      </w:r>
      <w:r>
        <w:rPr>
          <w:rFonts w:hint="eastAsia" w:ascii="宋体" w:hAnsi="宋体"/>
          <w:b/>
          <w:bCs/>
          <w:sz w:val="44"/>
          <w:szCs w:val="44"/>
        </w:rPr>
        <w:t>项目</w:t>
      </w:r>
      <w:r>
        <w:rPr>
          <w:rFonts w:hint="eastAsia" w:ascii="宋体" w:hAnsi="宋体"/>
          <w:b/>
          <w:sz w:val="44"/>
          <w:szCs w:val="44"/>
        </w:rPr>
        <w:t>需求</w:t>
      </w:r>
    </w:p>
    <w:p>
      <w:pPr>
        <w:jc w:val="center"/>
        <w:rPr>
          <w:rFonts w:ascii="宋体" w:hAnsi="宋体"/>
          <w:b/>
          <w:sz w:val="24"/>
        </w:rPr>
      </w:pPr>
    </w:p>
    <w:p>
      <w:pPr>
        <w:spacing w:line="320" w:lineRule="exact"/>
        <w:ind w:firstLine="643" w:firstLineChars="200"/>
        <w:jc w:val="center"/>
        <w:rPr>
          <w:rFonts w:hAnsi="宋体"/>
          <w:b/>
          <w:bCs/>
          <w:color w:val="0000FF"/>
          <w:sz w:val="32"/>
          <w:szCs w:val="32"/>
        </w:rPr>
      </w:pPr>
      <w:r>
        <w:rPr>
          <w:rFonts w:hint="eastAsia" w:hAnsi="宋体"/>
          <w:b/>
          <w:bCs/>
          <w:color w:val="0000FF"/>
          <w:sz w:val="32"/>
          <w:szCs w:val="32"/>
        </w:rPr>
        <w:t>货物需求一览表</w:t>
      </w:r>
    </w:p>
    <w:p>
      <w:pPr>
        <w:pStyle w:val="24"/>
        <w:spacing w:line="440" w:lineRule="exact"/>
        <w:rPr>
          <w:b/>
          <w:sz w:val="32"/>
          <w:szCs w:val="32"/>
        </w:rPr>
      </w:pPr>
    </w:p>
    <w:p>
      <w:pPr>
        <w:ind w:firstLine="431"/>
        <w:rPr>
          <w:rFonts w:ascii="宋体" w:hAnsi="宋体"/>
          <w:b/>
          <w:bCs/>
          <w:sz w:val="24"/>
        </w:rPr>
      </w:pPr>
      <w:r>
        <w:rPr>
          <w:rFonts w:hint="eastAsia" w:ascii="宋体" w:hAnsi="宋体"/>
          <w:b/>
          <w:bCs/>
          <w:sz w:val="24"/>
        </w:rPr>
        <w:t>说明：</w:t>
      </w:r>
    </w:p>
    <w:p>
      <w:pPr>
        <w:spacing w:line="370" w:lineRule="exact"/>
        <w:ind w:firstLine="484" w:firstLineChars="202"/>
        <w:jc w:val="left"/>
        <w:rPr>
          <w:rFonts w:ascii="宋体" w:hAnsi="宋体"/>
          <w:sz w:val="24"/>
        </w:rPr>
      </w:pPr>
      <w:r>
        <w:rPr>
          <w:rFonts w:hint="eastAsia" w:ascii="宋体" w:hAnsi="宋体"/>
          <w:sz w:val="24"/>
        </w:rPr>
        <w:t>1、本项目需求中的货物品牌、型号仅起参考作用，供应商可选用其他品牌、型号替代，但这些替代的品牌、型号在实质性要求和条件上相当于或优于参考品牌、型号。</w:t>
      </w:r>
    </w:p>
    <w:p>
      <w:pPr>
        <w:spacing w:line="370" w:lineRule="exact"/>
        <w:ind w:firstLine="484" w:firstLineChars="202"/>
        <w:jc w:val="left"/>
        <w:rPr>
          <w:rFonts w:ascii="宋体" w:hAnsi="宋体"/>
          <w:sz w:val="24"/>
        </w:rPr>
      </w:pPr>
      <w:r>
        <w:rPr>
          <w:rFonts w:hint="eastAsia" w:ascii="宋体" w:hAnsi="宋体"/>
          <w:sz w:val="24"/>
        </w:rPr>
        <w:t>2、凡在“技术参数要求”中表述为“标配”或“标准配置”的设备，供应商应按第四章“响应文件格式”规定的格式在“竞标产品技术资料表”中将其参数详细列明。</w:t>
      </w:r>
    </w:p>
    <w:p>
      <w:pPr>
        <w:spacing w:line="370" w:lineRule="exact"/>
        <w:ind w:firstLine="487" w:firstLineChars="202"/>
        <w:jc w:val="left"/>
        <w:rPr>
          <w:rFonts w:hAnsi="宋体"/>
          <w:b/>
          <w:bCs/>
          <w:sz w:val="24"/>
        </w:rPr>
      </w:pPr>
      <w:r>
        <w:rPr>
          <w:rFonts w:hint="eastAsia" w:hAnsi="宋体"/>
          <w:b/>
          <w:bCs/>
          <w:sz w:val="24"/>
        </w:rPr>
        <w:t>3、本货物需求一览表中标注★号的内容为实质性要求和条件。</w:t>
      </w:r>
    </w:p>
    <w:p>
      <w:pPr>
        <w:spacing w:line="370" w:lineRule="exact"/>
        <w:ind w:firstLine="484" w:firstLineChars="202"/>
        <w:jc w:val="left"/>
        <w:rPr>
          <w:rFonts w:ascii="宋体" w:hAnsi="宋体"/>
          <w:sz w:val="24"/>
        </w:rPr>
      </w:pPr>
      <w:r>
        <w:rPr>
          <w:rFonts w:hint="eastAsia" w:hAnsi="宋体"/>
          <w:sz w:val="24"/>
        </w:rPr>
        <w:t>4、</w:t>
      </w:r>
      <w:r>
        <w:rPr>
          <w:rFonts w:hint="eastAsia" w:ascii="宋体" w:hAnsi="宋体"/>
          <w:sz w:val="24"/>
        </w:rPr>
        <w:t>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line="370" w:lineRule="exact"/>
        <w:ind w:firstLine="484" w:firstLineChars="202"/>
        <w:jc w:val="left"/>
        <w:rPr>
          <w:rFonts w:hAnsi="宋体"/>
          <w:color w:val="0000FF"/>
          <w:sz w:val="24"/>
        </w:rPr>
      </w:pPr>
      <w:r>
        <w:rPr>
          <w:rFonts w:hint="eastAsia" w:ascii="宋体" w:hAnsi="宋体"/>
          <w:sz w:val="24"/>
        </w:rPr>
        <w:t>5、本次采购货物采购最高限价为</w:t>
      </w:r>
      <w:r>
        <w:rPr>
          <w:rFonts w:hint="eastAsia" w:ascii="宋体" w:hAnsi="宋体"/>
          <w:sz w:val="24"/>
          <w:u w:val="single"/>
        </w:rPr>
        <w:t>15</w:t>
      </w:r>
      <w:r>
        <w:rPr>
          <w:rFonts w:hint="eastAsia" w:ascii="宋体" w:hAnsi="宋体"/>
          <w:sz w:val="24"/>
        </w:rPr>
        <w:t>万元，货物分项最高限价详见表格。</w:t>
      </w:r>
    </w:p>
    <w:p>
      <w:pPr>
        <w:spacing w:line="320" w:lineRule="exact"/>
        <w:ind w:firstLine="480" w:firstLineChars="200"/>
        <w:rPr>
          <w:rFonts w:hAnsi="宋体"/>
          <w:color w:val="0000FF"/>
          <w:sz w:val="24"/>
        </w:rPr>
      </w:pP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3"/>
        <w:gridCol w:w="1344"/>
        <w:gridCol w:w="794"/>
        <w:gridCol w:w="1075"/>
        <w:gridCol w:w="4368"/>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793" w:type="dxa"/>
            <w:noWrap/>
            <w:vAlign w:val="center"/>
          </w:tcPr>
          <w:p>
            <w:pPr>
              <w:widowControl/>
              <w:jc w:val="center"/>
              <w:rPr>
                <w:rFonts w:ascii="宋体" w:hAnsi="宋体" w:cs="宋体"/>
                <w:b/>
                <w:szCs w:val="21"/>
              </w:rPr>
            </w:pPr>
            <w:r>
              <w:rPr>
                <w:rFonts w:hint="eastAsia" w:ascii="宋体" w:hAnsi="宋体" w:cs="宋体"/>
                <w:b/>
                <w:kern w:val="0"/>
                <w:szCs w:val="21"/>
              </w:rPr>
              <w:t>项号</w:t>
            </w:r>
          </w:p>
        </w:tc>
        <w:tc>
          <w:tcPr>
            <w:tcW w:w="1344" w:type="dxa"/>
            <w:noWrap/>
            <w:tcMar>
              <w:left w:w="108" w:type="dxa"/>
              <w:right w:w="108" w:type="dxa"/>
            </w:tcMar>
            <w:vAlign w:val="center"/>
          </w:tcPr>
          <w:p>
            <w:pPr>
              <w:widowControl/>
              <w:jc w:val="center"/>
              <w:rPr>
                <w:rFonts w:ascii="宋体" w:hAnsi="宋体" w:cs="宋体"/>
                <w:b/>
                <w:szCs w:val="21"/>
              </w:rPr>
            </w:pPr>
            <w:r>
              <w:rPr>
                <w:rFonts w:hint="eastAsia" w:ascii="宋体" w:hAnsi="宋体" w:cs="宋体"/>
                <w:b/>
                <w:kern w:val="0"/>
                <w:szCs w:val="21"/>
              </w:rPr>
              <w:t>货物名称</w:t>
            </w:r>
          </w:p>
        </w:tc>
        <w:tc>
          <w:tcPr>
            <w:tcW w:w="794" w:type="dxa"/>
            <w:noWrap/>
            <w:tcMar>
              <w:left w:w="108" w:type="dxa"/>
              <w:right w:w="108" w:type="dxa"/>
            </w:tcMar>
            <w:vAlign w:val="center"/>
          </w:tcPr>
          <w:p>
            <w:pPr>
              <w:widowControl/>
              <w:jc w:val="center"/>
              <w:rPr>
                <w:rFonts w:ascii="宋体" w:hAnsi="宋体" w:cs="宋体"/>
                <w:b/>
                <w:szCs w:val="21"/>
              </w:rPr>
            </w:pPr>
            <w:r>
              <w:rPr>
                <w:rFonts w:hint="eastAsia" w:ascii="宋体" w:hAnsi="宋体" w:cs="宋体"/>
                <w:b/>
                <w:kern w:val="0"/>
                <w:szCs w:val="21"/>
              </w:rPr>
              <w:t>数量</w:t>
            </w:r>
          </w:p>
        </w:tc>
        <w:tc>
          <w:tcPr>
            <w:tcW w:w="1075" w:type="dxa"/>
            <w:noWrap/>
            <w:tcMar>
              <w:left w:w="108" w:type="dxa"/>
              <w:right w:w="108" w:type="dxa"/>
            </w:tcMar>
            <w:vAlign w:val="center"/>
          </w:tcPr>
          <w:p>
            <w:pPr>
              <w:widowControl/>
              <w:jc w:val="center"/>
              <w:rPr>
                <w:rFonts w:ascii="宋体" w:hAnsi="宋体" w:cs="宋体"/>
                <w:b/>
                <w:szCs w:val="21"/>
              </w:rPr>
            </w:pPr>
            <w:r>
              <w:rPr>
                <w:rFonts w:hint="eastAsia" w:ascii="宋体" w:hAnsi="宋体" w:cs="宋体"/>
                <w:b/>
                <w:kern w:val="0"/>
                <w:szCs w:val="21"/>
              </w:rPr>
              <w:t>参考品牌、型号</w:t>
            </w:r>
          </w:p>
        </w:tc>
        <w:tc>
          <w:tcPr>
            <w:tcW w:w="4368" w:type="dxa"/>
            <w:noWrap/>
            <w:vAlign w:val="center"/>
          </w:tcPr>
          <w:p>
            <w:pPr>
              <w:widowControl/>
              <w:jc w:val="center"/>
              <w:rPr>
                <w:rFonts w:ascii="宋体" w:hAnsi="宋体" w:cs="宋体"/>
                <w:b/>
                <w:szCs w:val="21"/>
              </w:rPr>
            </w:pPr>
            <w:r>
              <w:rPr>
                <w:rFonts w:hint="eastAsia" w:ascii="宋体" w:hAnsi="宋体" w:cs="宋体"/>
                <w:b/>
                <w:kern w:val="0"/>
                <w:szCs w:val="21"/>
              </w:rPr>
              <w:t>技术参数要求</w:t>
            </w:r>
          </w:p>
        </w:tc>
        <w:tc>
          <w:tcPr>
            <w:tcW w:w="1053" w:type="dxa"/>
            <w:noWrap/>
            <w:tcMar>
              <w:left w:w="108" w:type="dxa"/>
              <w:right w:w="108" w:type="dxa"/>
            </w:tcMar>
            <w:vAlign w:val="center"/>
          </w:tcPr>
          <w:p>
            <w:pPr>
              <w:widowControl/>
              <w:jc w:val="center"/>
              <w:rPr>
                <w:rFonts w:ascii="宋体" w:hAnsi="宋体" w:cs="宋体"/>
                <w:b/>
                <w:szCs w:val="21"/>
              </w:rPr>
            </w:pPr>
            <w:r>
              <w:rPr>
                <w:rFonts w:hint="eastAsia" w:ascii="宋体" w:hAnsi="宋体" w:cs="宋体"/>
                <w:b/>
                <w:kern w:val="0"/>
                <w:szCs w:val="21"/>
              </w:rPr>
              <w:t>分项限价（元）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4OOW室内高清网络半球摄像机（教室）</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29台</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1、内置GPU芯片，支持深度学习算法，有效提升检测准确率；</w:t>
            </w:r>
          </w:p>
          <w:p>
            <w:pPr>
              <w:widowControl/>
              <w:jc w:val="left"/>
              <w:rPr>
                <w:rFonts w:ascii="宋体" w:hAnsi="宋体" w:cs="宋体"/>
                <w:kern w:val="0"/>
                <w:szCs w:val="21"/>
              </w:rPr>
            </w:pPr>
            <w:r>
              <w:rPr>
                <w:rFonts w:hint="eastAsia" w:ascii="宋体" w:hAnsi="宋体" w:cs="宋体"/>
                <w:kern w:val="0"/>
                <w:szCs w:val="21"/>
              </w:rPr>
              <w:t>2、支持绊线入侵，区域入侵，快速移动（三项均支持人车分类及精准检测），物品遗留，物品搬移，徘徊检测，人员聚集，停车检测；</w:t>
            </w:r>
          </w:p>
          <w:p>
            <w:pPr>
              <w:widowControl/>
              <w:jc w:val="left"/>
              <w:rPr>
                <w:rFonts w:ascii="宋体" w:hAnsi="宋体" w:cs="宋体"/>
                <w:kern w:val="0"/>
                <w:szCs w:val="21"/>
              </w:rPr>
            </w:pPr>
            <w:r>
              <w:rPr>
                <w:rFonts w:hint="eastAsia" w:ascii="宋体" w:hAnsi="宋体" w:cs="宋体"/>
                <w:kern w:val="0"/>
                <w:szCs w:val="21"/>
              </w:rPr>
              <w:t>3、采用高性能400万像素1/2.7英寸CMOS图像传感器，低照度效果好，图像清晰度高；</w:t>
            </w:r>
          </w:p>
          <w:p>
            <w:pPr>
              <w:widowControl/>
              <w:jc w:val="left"/>
              <w:rPr>
                <w:rFonts w:ascii="宋体" w:hAnsi="宋体" w:cs="宋体"/>
                <w:kern w:val="0"/>
                <w:szCs w:val="21"/>
              </w:rPr>
            </w:pPr>
            <w:r>
              <w:rPr>
                <w:rFonts w:hint="eastAsia" w:ascii="宋体" w:hAnsi="宋体" w:cs="宋体"/>
                <w:kern w:val="0"/>
                <w:szCs w:val="21"/>
              </w:rPr>
              <w:t>4、最大可输出400万（2688×1520）@25fps；</w:t>
            </w:r>
          </w:p>
          <w:p>
            <w:pPr>
              <w:widowControl/>
              <w:jc w:val="left"/>
              <w:rPr>
                <w:rFonts w:ascii="宋体" w:hAnsi="宋体" w:cs="宋体"/>
                <w:kern w:val="0"/>
                <w:szCs w:val="21"/>
              </w:rPr>
            </w:pPr>
            <w:r>
              <w:rPr>
                <w:rFonts w:hint="eastAsia" w:ascii="宋体" w:hAnsi="宋体" w:cs="宋体"/>
                <w:kern w:val="0"/>
                <w:szCs w:val="21"/>
              </w:rPr>
              <w:t>5、支持H.265编码，压缩比高，实现超低码流传输；</w:t>
            </w:r>
          </w:p>
          <w:p>
            <w:pPr>
              <w:widowControl/>
              <w:jc w:val="left"/>
              <w:rPr>
                <w:rFonts w:ascii="宋体" w:hAnsi="宋体" w:cs="宋体"/>
                <w:kern w:val="0"/>
                <w:szCs w:val="21"/>
              </w:rPr>
            </w:pPr>
            <w:r>
              <w:rPr>
                <w:rFonts w:hint="eastAsia" w:ascii="宋体" w:hAnsi="宋体" w:cs="宋体"/>
                <w:kern w:val="0"/>
                <w:szCs w:val="21"/>
              </w:rPr>
              <w:t>6、内置红外补光灯，最大红外监控距离30米；</w:t>
            </w:r>
          </w:p>
          <w:p>
            <w:pPr>
              <w:widowControl/>
              <w:jc w:val="left"/>
              <w:rPr>
                <w:rFonts w:ascii="宋体" w:hAnsi="宋体" w:cs="宋体"/>
                <w:kern w:val="0"/>
                <w:szCs w:val="21"/>
              </w:rPr>
            </w:pPr>
            <w:r>
              <w:rPr>
                <w:rFonts w:hint="eastAsia" w:ascii="宋体" w:hAnsi="宋体" w:cs="宋体"/>
                <w:kern w:val="0"/>
                <w:szCs w:val="21"/>
              </w:rPr>
              <w:t>7、支持走廊模式，宽动态，3D降噪，强光抑制，背光补偿，数字水印，适用不同监控环境；</w:t>
            </w:r>
          </w:p>
          <w:p>
            <w:pPr>
              <w:widowControl/>
              <w:jc w:val="left"/>
              <w:rPr>
                <w:rFonts w:ascii="宋体" w:hAnsi="宋体" w:cs="宋体"/>
                <w:kern w:val="0"/>
                <w:szCs w:val="21"/>
              </w:rPr>
            </w:pPr>
            <w:r>
              <w:rPr>
                <w:rFonts w:hint="eastAsia" w:ascii="宋体" w:hAnsi="宋体" w:cs="宋体"/>
                <w:kern w:val="0"/>
                <w:szCs w:val="21"/>
              </w:rPr>
              <w:t>8、支持ROI，SMART H.264+/H.265+，灵活编码，适用不同带宽和存储环境；</w:t>
            </w:r>
          </w:p>
          <w:p>
            <w:pPr>
              <w:widowControl/>
              <w:jc w:val="left"/>
              <w:rPr>
                <w:rFonts w:ascii="宋体" w:hAnsi="宋体" w:cs="宋体"/>
                <w:kern w:val="0"/>
                <w:szCs w:val="21"/>
              </w:rPr>
            </w:pPr>
            <w:r>
              <w:rPr>
                <w:rFonts w:hint="eastAsia" w:ascii="宋体" w:hAnsi="宋体" w:cs="宋体"/>
                <w:kern w:val="0"/>
                <w:szCs w:val="21"/>
              </w:rPr>
              <w:t>9、支持报警2进2出，音频1进1出，最大支持256G Micro SD卡；</w:t>
            </w:r>
          </w:p>
          <w:p>
            <w:pPr>
              <w:widowControl/>
              <w:jc w:val="left"/>
              <w:rPr>
                <w:rFonts w:ascii="宋体" w:hAnsi="宋体" w:cs="宋体"/>
                <w:kern w:val="0"/>
                <w:szCs w:val="21"/>
              </w:rPr>
            </w:pPr>
            <w:r>
              <w:rPr>
                <w:rFonts w:hint="eastAsia" w:ascii="宋体" w:hAnsi="宋体" w:cs="宋体"/>
                <w:kern w:val="0"/>
                <w:szCs w:val="21"/>
              </w:rPr>
              <w:t>10、支持DC12V/POE供电方式，支持12V电源返送，最大电流165mA,方便工程安装；</w:t>
            </w:r>
          </w:p>
          <w:p>
            <w:pPr>
              <w:widowControl/>
              <w:jc w:val="left"/>
              <w:rPr>
                <w:rFonts w:ascii="宋体" w:hAnsi="宋体" w:cs="宋体"/>
                <w:kern w:val="0"/>
                <w:szCs w:val="21"/>
              </w:rPr>
            </w:pPr>
            <w:r>
              <w:rPr>
                <w:rFonts w:hint="eastAsia" w:ascii="宋体" w:hAnsi="宋体" w:cs="宋体"/>
                <w:kern w:val="0"/>
                <w:szCs w:val="21"/>
              </w:rPr>
              <w:t>11、支持IP67、IK10防护等级；</w:t>
            </w:r>
          </w:p>
          <w:p>
            <w:pPr>
              <w:widowControl/>
              <w:jc w:val="left"/>
              <w:rPr>
                <w:rFonts w:ascii="宋体" w:hAnsi="宋体" w:cs="宋体"/>
                <w:kern w:val="0"/>
                <w:szCs w:val="21"/>
              </w:rPr>
            </w:pPr>
            <w:r>
              <w:rPr>
                <w:rFonts w:hint="eastAsia" w:ascii="宋体" w:hAnsi="宋体" w:cs="宋体"/>
                <w:kern w:val="0"/>
                <w:szCs w:val="21"/>
              </w:rPr>
              <w:t>12、支持SMD；</w:t>
            </w:r>
          </w:p>
          <w:p>
            <w:pPr>
              <w:widowControl/>
              <w:jc w:val="left"/>
              <w:rPr>
                <w:rFonts w:ascii="宋体" w:hAnsi="宋体" w:cs="宋体"/>
                <w:kern w:val="0"/>
                <w:szCs w:val="21"/>
              </w:rPr>
            </w:pPr>
            <w:r>
              <w:rPr>
                <w:rFonts w:hint="eastAsia" w:ascii="宋体" w:hAnsi="宋体" w:cs="宋体"/>
                <w:kern w:val="0"/>
                <w:szCs w:val="21"/>
              </w:rPr>
              <w:t>★13、电源返送功能检查：支持DC12V电源反向输出；</w:t>
            </w:r>
          </w:p>
          <w:p>
            <w:pPr>
              <w:widowControl/>
              <w:jc w:val="left"/>
              <w:rPr>
                <w:rFonts w:ascii="宋体" w:hAnsi="宋体" w:cs="宋体"/>
                <w:kern w:val="0"/>
                <w:szCs w:val="21"/>
              </w:rPr>
            </w:pPr>
            <w:r>
              <w:rPr>
                <w:rFonts w:hint="eastAsia" w:ascii="宋体" w:hAnsi="宋体" w:cs="宋体"/>
                <w:kern w:val="0"/>
                <w:szCs w:val="21"/>
              </w:rPr>
              <w:t>★14、网络传输距离检查：使用1000m超五类非屏蔽线通过POE供电条件下，可正常显示画面；使用1000m同轴线缆通过POE供电条件下，可正常显示画面；使用1000m同轴线缆通过非POE供电条件下，可正常显示画面；</w:t>
            </w:r>
          </w:p>
          <w:p>
            <w:pPr>
              <w:widowControl/>
              <w:jc w:val="left"/>
              <w:rPr>
                <w:rFonts w:ascii="宋体" w:hAnsi="宋体" w:cs="宋体"/>
                <w:kern w:val="0"/>
                <w:szCs w:val="21"/>
              </w:rPr>
            </w:pPr>
            <w:r>
              <w:rPr>
                <w:rFonts w:hint="eastAsia" w:ascii="宋体" w:hAnsi="宋体" w:cs="宋体"/>
                <w:kern w:val="0"/>
                <w:szCs w:val="21"/>
              </w:rPr>
              <w:t>★15、智能动态检测（SMD）检测率检查：在标准环境下，样机开启智能动态检测，能实时检测、跟踪通过的人、机动车、全部（人或机动车） 在标准环境下，白天依次通过的人检出率不低于99%，夜晚依次通过的人检出率不低于99% 在标准环境下，白天通过的机动车检出率不低于99%，夜晚通过的机动车检出率不低于99%；</w:t>
            </w:r>
          </w:p>
          <w:p>
            <w:pPr>
              <w:widowControl/>
              <w:jc w:val="left"/>
              <w:rPr>
                <w:rFonts w:ascii="宋体" w:hAnsi="宋体" w:cs="宋体"/>
                <w:kern w:val="0"/>
                <w:szCs w:val="21"/>
              </w:rPr>
            </w:pPr>
            <w:r>
              <w:rPr>
                <w:rFonts w:hint="eastAsia" w:ascii="宋体" w:hAnsi="宋体" w:cs="宋体"/>
                <w:kern w:val="0"/>
                <w:szCs w:val="21"/>
              </w:rPr>
              <w:t>★16、智能动态检测（SMD）功能检验：设备支持智能动态检测触发后联动抓图、录像、目标跟踪、报警上传、发送邮件等多种报警触发方式支持设置报警目标为人、机动车、全部（人或机动车）进行检测，支持灵敏度设置低、中、高三档，具备抗干扰功能，当小动物、灯光、树叶、气球等非人或机动车目标出现在画面时，不会触发报警，支持人或机动车报警去重；</w:t>
            </w:r>
          </w:p>
          <w:p>
            <w:pPr>
              <w:widowControl/>
              <w:jc w:val="left"/>
              <w:rPr>
                <w:rFonts w:ascii="宋体" w:hAnsi="宋体" w:cs="宋体"/>
                <w:kern w:val="0"/>
                <w:szCs w:val="21"/>
              </w:rPr>
            </w:pPr>
            <w:r>
              <w:rPr>
                <w:rFonts w:hint="eastAsia" w:ascii="宋体" w:hAnsi="宋体" w:cs="宋体"/>
                <w:kern w:val="0"/>
                <w:szCs w:val="21"/>
              </w:rPr>
              <w:t>★17、能与原128路NVR（型号：</w:t>
            </w:r>
            <w:r>
              <w:rPr>
                <w:rFonts w:ascii="宋体" w:hAnsi="宋体" w:cs="宋体"/>
                <w:kern w:val="0"/>
                <w:szCs w:val="21"/>
              </w:rPr>
              <w:t>DH-NVR616-128-4KS2</w:t>
            </w:r>
            <w:r>
              <w:rPr>
                <w:rFonts w:hint="eastAsia" w:ascii="宋体" w:hAnsi="宋体" w:cs="宋体"/>
                <w:kern w:val="0"/>
                <w:szCs w:val="21"/>
              </w:rPr>
              <w:t xml:space="preserve"> NVR）、平台管理软件（型号：</w:t>
            </w:r>
            <w:r>
              <w:rPr>
                <w:rFonts w:ascii="宋体" w:hAnsi="宋体" w:cs="宋体"/>
                <w:kern w:val="0"/>
                <w:szCs w:val="21"/>
              </w:rPr>
              <w:t>DH-DSS-H8900S3-B</w:t>
            </w:r>
            <w:r>
              <w:rPr>
                <w:rFonts w:hint="eastAsia" w:ascii="宋体" w:hAnsi="宋体" w:cs="宋体"/>
                <w:kern w:val="0"/>
                <w:szCs w:val="21"/>
              </w:rPr>
              <w:t xml:space="preserve"> 平台管理软件）、后端分析服务器（型号：</w:t>
            </w:r>
            <w:r>
              <w:rPr>
                <w:rFonts w:ascii="宋体" w:hAnsi="宋体" w:cs="宋体"/>
                <w:kern w:val="0"/>
                <w:szCs w:val="21"/>
              </w:rPr>
              <w:t>DH-IVSS724-16I</w:t>
            </w:r>
            <w:r>
              <w:rPr>
                <w:rFonts w:hint="eastAsia" w:ascii="宋体" w:hAnsi="宋体" w:cs="宋体"/>
                <w:kern w:val="0"/>
                <w:szCs w:val="21"/>
              </w:rPr>
              <w:t xml:space="preserve"> 后端分析服务器）无缝接入。</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36250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室外高清低照度网络枪型摄像机</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12台</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1、内置GPU芯片，支持深度学习算法，有效提升检测准确率；</w:t>
            </w:r>
          </w:p>
          <w:p>
            <w:pPr>
              <w:widowControl/>
              <w:jc w:val="left"/>
              <w:rPr>
                <w:rFonts w:ascii="宋体" w:hAnsi="宋体" w:cs="宋体"/>
                <w:kern w:val="0"/>
                <w:szCs w:val="21"/>
              </w:rPr>
            </w:pPr>
            <w:r>
              <w:rPr>
                <w:rFonts w:hint="eastAsia" w:ascii="宋体" w:hAnsi="宋体" w:cs="宋体"/>
                <w:kern w:val="0"/>
                <w:szCs w:val="21"/>
              </w:rPr>
              <w:t>2、支持绊线入侵，区域入侵，快速移动（三项均支持人车分类及精准检测），物品遗留，物品搬移，徘徊检测，人员聚集，停车检测；</w:t>
            </w:r>
          </w:p>
          <w:p>
            <w:pPr>
              <w:widowControl/>
              <w:jc w:val="left"/>
              <w:rPr>
                <w:rFonts w:ascii="宋体" w:hAnsi="宋体" w:cs="宋体"/>
                <w:kern w:val="0"/>
                <w:szCs w:val="21"/>
              </w:rPr>
            </w:pPr>
            <w:r>
              <w:rPr>
                <w:rFonts w:hint="eastAsia" w:ascii="宋体" w:hAnsi="宋体" w:cs="宋体"/>
                <w:kern w:val="0"/>
                <w:szCs w:val="21"/>
              </w:rPr>
              <w:t>3、采用高性能400万像素1/2.7英寸CMOS图像传感器，低照度效果好，图像清晰度高；</w:t>
            </w:r>
          </w:p>
          <w:p>
            <w:pPr>
              <w:widowControl/>
              <w:jc w:val="left"/>
              <w:rPr>
                <w:rFonts w:ascii="宋体" w:hAnsi="宋体" w:cs="宋体"/>
                <w:kern w:val="0"/>
                <w:szCs w:val="21"/>
              </w:rPr>
            </w:pPr>
            <w:r>
              <w:rPr>
                <w:rFonts w:hint="eastAsia" w:ascii="宋体" w:hAnsi="宋体" w:cs="宋体"/>
                <w:kern w:val="0"/>
                <w:szCs w:val="21"/>
              </w:rPr>
              <w:t>4、最大可输出400万( 2688×1520)@25fps；</w:t>
            </w:r>
          </w:p>
          <w:p>
            <w:pPr>
              <w:widowControl/>
              <w:jc w:val="left"/>
              <w:rPr>
                <w:rFonts w:ascii="宋体" w:hAnsi="宋体" w:cs="宋体"/>
                <w:kern w:val="0"/>
                <w:szCs w:val="21"/>
              </w:rPr>
            </w:pPr>
            <w:r>
              <w:rPr>
                <w:rFonts w:hint="eastAsia" w:ascii="宋体" w:hAnsi="宋体" w:cs="宋体"/>
                <w:kern w:val="0"/>
                <w:szCs w:val="21"/>
              </w:rPr>
              <w:t>5、支持H.265编码，压缩比高，实现超低码流传输；</w:t>
            </w:r>
          </w:p>
          <w:p>
            <w:pPr>
              <w:widowControl/>
              <w:jc w:val="left"/>
              <w:rPr>
                <w:rFonts w:ascii="宋体" w:hAnsi="宋体" w:cs="宋体"/>
                <w:kern w:val="0"/>
                <w:szCs w:val="21"/>
              </w:rPr>
            </w:pPr>
            <w:r>
              <w:rPr>
                <w:rFonts w:hint="eastAsia" w:ascii="宋体" w:hAnsi="宋体" w:cs="宋体"/>
                <w:kern w:val="0"/>
                <w:szCs w:val="21"/>
              </w:rPr>
              <w:t>6、内置红外补光灯，最大红外监控距离50米；</w:t>
            </w:r>
          </w:p>
          <w:p>
            <w:pPr>
              <w:widowControl/>
              <w:jc w:val="left"/>
              <w:rPr>
                <w:rFonts w:ascii="宋体" w:hAnsi="宋体" w:cs="宋体"/>
                <w:kern w:val="0"/>
                <w:szCs w:val="21"/>
              </w:rPr>
            </w:pPr>
            <w:r>
              <w:rPr>
                <w:rFonts w:hint="eastAsia" w:ascii="宋体" w:hAnsi="宋体" w:cs="宋体"/>
                <w:kern w:val="0"/>
                <w:szCs w:val="21"/>
              </w:rPr>
              <w:t>7、支持走廊模式，宽动态，3D降噪，强光抑制，背光补偿，数字水印，适用不同监控环境；</w:t>
            </w:r>
          </w:p>
          <w:p>
            <w:pPr>
              <w:widowControl/>
              <w:jc w:val="left"/>
              <w:rPr>
                <w:rFonts w:ascii="宋体" w:hAnsi="宋体" w:cs="宋体"/>
                <w:kern w:val="0"/>
                <w:szCs w:val="21"/>
              </w:rPr>
            </w:pPr>
            <w:r>
              <w:rPr>
                <w:rFonts w:hint="eastAsia" w:ascii="宋体" w:hAnsi="宋体" w:cs="宋体"/>
                <w:kern w:val="0"/>
                <w:szCs w:val="21"/>
              </w:rPr>
              <w:t>8、支持ROI，SMART H.264+/H.265+，灵活编码，适用不同带宽和存储环境；</w:t>
            </w:r>
          </w:p>
          <w:p>
            <w:pPr>
              <w:widowControl/>
              <w:jc w:val="left"/>
              <w:rPr>
                <w:rFonts w:ascii="宋体" w:hAnsi="宋体" w:cs="宋体"/>
                <w:kern w:val="0"/>
                <w:szCs w:val="21"/>
              </w:rPr>
            </w:pPr>
            <w:r>
              <w:rPr>
                <w:rFonts w:hint="eastAsia" w:ascii="宋体" w:hAnsi="宋体" w:cs="宋体"/>
                <w:kern w:val="0"/>
                <w:szCs w:val="21"/>
              </w:rPr>
              <w:t>9、支持DC12V/POE供电方式；</w:t>
            </w:r>
          </w:p>
          <w:p>
            <w:pPr>
              <w:widowControl/>
              <w:jc w:val="left"/>
              <w:rPr>
                <w:rFonts w:ascii="宋体" w:hAnsi="宋体" w:cs="宋体"/>
                <w:kern w:val="0"/>
                <w:szCs w:val="21"/>
              </w:rPr>
            </w:pPr>
            <w:r>
              <w:rPr>
                <w:rFonts w:hint="eastAsia" w:ascii="宋体" w:hAnsi="宋体" w:cs="宋体"/>
                <w:kern w:val="0"/>
                <w:szCs w:val="21"/>
              </w:rPr>
              <w:t>10、支持IP67防护等级；</w:t>
            </w:r>
          </w:p>
          <w:p>
            <w:pPr>
              <w:widowControl/>
              <w:jc w:val="left"/>
              <w:rPr>
                <w:rFonts w:ascii="宋体" w:hAnsi="宋体" w:cs="宋体"/>
                <w:kern w:val="0"/>
                <w:szCs w:val="21"/>
              </w:rPr>
            </w:pPr>
            <w:r>
              <w:rPr>
                <w:rFonts w:hint="eastAsia" w:ascii="宋体" w:hAnsi="宋体" w:cs="宋体"/>
                <w:kern w:val="0"/>
                <w:szCs w:val="21"/>
              </w:rPr>
              <w:t>11、支持SMD；</w:t>
            </w:r>
          </w:p>
          <w:p>
            <w:pPr>
              <w:widowControl/>
              <w:jc w:val="left"/>
              <w:rPr>
                <w:rFonts w:ascii="宋体" w:hAnsi="宋体" w:cs="宋体"/>
                <w:kern w:val="0"/>
                <w:szCs w:val="21"/>
              </w:rPr>
            </w:pPr>
            <w:r>
              <w:rPr>
                <w:rFonts w:hint="eastAsia" w:ascii="宋体" w:hAnsi="宋体" w:cs="宋体"/>
                <w:kern w:val="0"/>
                <w:szCs w:val="21"/>
              </w:rPr>
              <w:t>★12、红外夜视距离检验：可识别距样机150m处的人体轮廓；</w:t>
            </w:r>
          </w:p>
          <w:p>
            <w:pPr>
              <w:widowControl/>
              <w:jc w:val="left"/>
              <w:rPr>
                <w:rFonts w:ascii="宋体" w:hAnsi="宋体" w:cs="宋体"/>
                <w:kern w:val="0"/>
                <w:szCs w:val="21"/>
              </w:rPr>
            </w:pPr>
            <w:r>
              <w:rPr>
                <w:rFonts w:hint="eastAsia" w:ascii="宋体" w:hAnsi="宋体" w:cs="宋体"/>
                <w:kern w:val="0"/>
                <w:szCs w:val="21"/>
              </w:rPr>
              <w:t>★13、在标准环境下，样机开启智能动态检测，能实时检测、跟踪通过的人、机动车、全部（人或机动车）；在标准环境下，白天依次通过的人检出率不低于99%，夜晚依次通过的人检出率不低于99%；在标准环境下，白天依次通过的机动车检出率不低于99%，夜晚依次通过的机动车检出率不低于99%；</w:t>
            </w:r>
          </w:p>
          <w:p>
            <w:pPr>
              <w:widowControl/>
              <w:jc w:val="left"/>
              <w:rPr>
                <w:rFonts w:ascii="宋体" w:hAnsi="宋体" w:cs="宋体"/>
                <w:kern w:val="0"/>
                <w:szCs w:val="21"/>
              </w:rPr>
            </w:pPr>
            <w:r>
              <w:rPr>
                <w:rFonts w:hint="eastAsia" w:ascii="宋体" w:hAnsi="宋体" w:cs="宋体"/>
                <w:kern w:val="0"/>
                <w:szCs w:val="21"/>
              </w:rPr>
              <w:t>★14、设备支持智能动态检测（SMD）分析触发后联动抓图、录像、目标跟踪、报警上传、发送邮件、辅助输出等多种报警触发方式支持设置报警目标为人、机动车、全部（人或机动车）进行检测，支持灵敏度设置低、中、高三档，具备智能分析抗干扰功能，当小动物、灯光、树叶、气球等非人或机动车目标出现在画面时，不会触发报警，支持人或机动车报警去重；</w:t>
            </w:r>
          </w:p>
          <w:p>
            <w:pPr>
              <w:widowControl/>
              <w:jc w:val="left"/>
              <w:rPr>
                <w:rFonts w:ascii="宋体" w:hAnsi="宋体" w:cs="宋体"/>
                <w:kern w:val="0"/>
                <w:szCs w:val="21"/>
              </w:rPr>
            </w:pPr>
            <w:r>
              <w:rPr>
                <w:rFonts w:hint="eastAsia" w:ascii="宋体" w:hAnsi="宋体" w:cs="宋体"/>
                <w:kern w:val="0"/>
                <w:szCs w:val="21"/>
              </w:rPr>
              <w:t>★15、能与原128路NVR（型号：</w:t>
            </w:r>
            <w:r>
              <w:rPr>
                <w:rFonts w:ascii="宋体" w:hAnsi="宋体" w:cs="宋体"/>
                <w:kern w:val="0"/>
                <w:szCs w:val="21"/>
              </w:rPr>
              <w:t>DH-NVR616-128-4KS2</w:t>
            </w:r>
            <w:r>
              <w:rPr>
                <w:rFonts w:hint="eastAsia" w:ascii="宋体" w:hAnsi="宋体" w:cs="宋体"/>
                <w:kern w:val="0"/>
                <w:szCs w:val="21"/>
              </w:rPr>
              <w:t xml:space="preserve"> NVR）、平台管理软件（型号：</w:t>
            </w:r>
            <w:r>
              <w:rPr>
                <w:rFonts w:ascii="宋体" w:hAnsi="宋体" w:cs="宋体"/>
                <w:kern w:val="0"/>
                <w:szCs w:val="21"/>
              </w:rPr>
              <w:t>DH-DSS-H8900S3-B</w:t>
            </w:r>
            <w:r>
              <w:rPr>
                <w:rFonts w:hint="eastAsia" w:ascii="宋体" w:hAnsi="宋体" w:cs="宋体"/>
                <w:kern w:val="0"/>
                <w:szCs w:val="21"/>
              </w:rPr>
              <w:t xml:space="preserve"> 平台管理软件）、后端分析服务器（型号：</w:t>
            </w:r>
            <w:r>
              <w:rPr>
                <w:rFonts w:ascii="宋体" w:hAnsi="宋体" w:cs="宋体"/>
                <w:kern w:val="0"/>
                <w:szCs w:val="21"/>
              </w:rPr>
              <w:t>DH-IVSS724-16I</w:t>
            </w:r>
            <w:r>
              <w:rPr>
                <w:rFonts w:hint="eastAsia" w:ascii="宋体" w:hAnsi="宋体" w:cs="宋体"/>
                <w:kern w:val="0"/>
                <w:szCs w:val="21"/>
              </w:rPr>
              <w:t xml:space="preserve"> 后端分析服务器）无缝接入。</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3</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人脸门禁一体主机</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1台</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1、采用铝合金外壳，表面拉丝造型，整机支持IP55防护等级，适用于室内、室外场景；</w:t>
            </w:r>
          </w:p>
          <w:p>
            <w:pPr>
              <w:widowControl/>
              <w:jc w:val="left"/>
              <w:rPr>
                <w:rFonts w:ascii="宋体" w:hAnsi="宋体" w:cs="宋体"/>
                <w:kern w:val="0"/>
                <w:szCs w:val="21"/>
              </w:rPr>
            </w:pPr>
            <w:r>
              <w:rPr>
                <w:rFonts w:hint="eastAsia" w:ascii="宋体" w:hAnsi="宋体" w:cs="宋体"/>
                <w:kern w:val="0"/>
                <w:szCs w:val="21"/>
              </w:rPr>
              <w:t>2、使用10.1英寸LCD触摸显示屏，亮度高达500cd/㎡；</w:t>
            </w:r>
          </w:p>
          <w:p>
            <w:pPr>
              <w:widowControl/>
              <w:jc w:val="left"/>
              <w:rPr>
                <w:rFonts w:ascii="宋体" w:hAnsi="宋体" w:cs="宋体"/>
                <w:kern w:val="0"/>
                <w:szCs w:val="21"/>
              </w:rPr>
            </w:pPr>
            <w:r>
              <w:rPr>
                <w:rFonts w:hint="eastAsia" w:ascii="宋体" w:hAnsi="宋体" w:cs="宋体"/>
                <w:kern w:val="0"/>
                <w:szCs w:val="21"/>
              </w:rPr>
              <w:t>3、采用200万双目广角摄像头，支持白光补光、宽动态对环境光线进行调节；</w:t>
            </w:r>
          </w:p>
          <w:p>
            <w:pPr>
              <w:widowControl/>
              <w:jc w:val="left"/>
              <w:rPr>
                <w:rFonts w:ascii="宋体" w:hAnsi="宋体" w:cs="宋体"/>
                <w:kern w:val="0"/>
                <w:szCs w:val="21"/>
              </w:rPr>
            </w:pPr>
            <w:r>
              <w:rPr>
                <w:rFonts w:hint="eastAsia" w:ascii="宋体" w:hAnsi="宋体" w:cs="宋体"/>
                <w:kern w:val="0"/>
                <w:szCs w:val="21"/>
              </w:rPr>
              <w:t>4、采用深度学习算法，人脸识别率&gt;99%，最快识别速度0.2秒；</w:t>
            </w:r>
          </w:p>
          <w:p>
            <w:pPr>
              <w:widowControl/>
              <w:jc w:val="left"/>
              <w:rPr>
                <w:rFonts w:ascii="宋体" w:hAnsi="宋体" w:cs="宋体"/>
                <w:kern w:val="0"/>
                <w:szCs w:val="21"/>
              </w:rPr>
            </w:pPr>
            <w:r>
              <w:rPr>
                <w:rFonts w:hint="eastAsia" w:ascii="宋体" w:hAnsi="宋体" w:cs="宋体"/>
                <w:kern w:val="0"/>
                <w:szCs w:val="21"/>
              </w:rPr>
              <w:t>5、支持人脸、密码、二维码、蓝牙等多种认证方式；</w:t>
            </w:r>
          </w:p>
          <w:p>
            <w:pPr>
              <w:widowControl/>
              <w:jc w:val="left"/>
              <w:rPr>
                <w:rFonts w:ascii="宋体" w:hAnsi="宋体" w:cs="宋体"/>
                <w:kern w:val="0"/>
                <w:szCs w:val="21"/>
              </w:rPr>
            </w:pPr>
            <w:r>
              <w:rPr>
                <w:rFonts w:hint="eastAsia" w:ascii="宋体" w:hAnsi="宋体" w:cs="宋体"/>
                <w:kern w:val="0"/>
                <w:szCs w:val="21"/>
              </w:rPr>
              <w:t>6、支持存储用户数据，支持离线运行人脸（1:N）库容20000张；</w:t>
            </w:r>
          </w:p>
          <w:p>
            <w:pPr>
              <w:widowControl/>
              <w:jc w:val="left"/>
              <w:rPr>
                <w:rFonts w:ascii="宋体" w:hAnsi="宋体" w:cs="宋体"/>
                <w:kern w:val="0"/>
                <w:szCs w:val="21"/>
              </w:rPr>
            </w:pPr>
            <w:r>
              <w:rPr>
                <w:rFonts w:hint="eastAsia" w:ascii="宋体" w:hAnsi="宋体" w:cs="宋体"/>
                <w:kern w:val="0"/>
                <w:szCs w:val="21"/>
              </w:rPr>
              <w:t>7、支持0.5~2.0m的识别距离控制，有效防止距离较远的人员误识别；</w:t>
            </w:r>
          </w:p>
          <w:p>
            <w:pPr>
              <w:widowControl/>
              <w:jc w:val="left"/>
              <w:rPr>
                <w:rFonts w:ascii="宋体" w:hAnsi="宋体" w:cs="宋体"/>
                <w:kern w:val="0"/>
                <w:szCs w:val="21"/>
              </w:rPr>
            </w:pPr>
            <w:r>
              <w:rPr>
                <w:rFonts w:hint="eastAsia" w:ascii="宋体" w:hAnsi="宋体" w:cs="宋体"/>
                <w:kern w:val="0"/>
                <w:szCs w:val="21"/>
              </w:rPr>
              <w:t>8、支持活体检测功能，能够对照片、视频防假；</w:t>
            </w:r>
          </w:p>
          <w:p>
            <w:pPr>
              <w:widowControl/>
              <w:jc w:val="left"/>
              <w:rPr>
                <w:rFonts w:ascii="宋体" w:hAnsi="宋体" w:cs="宋体"/>
                <w:color w:val="FF0000"/>
                <w:kern w:val="0"/>
                <w:szCs w:val="21"/>
              </w:rPr>
            </w:pPr>
            <w:r>
              <w:rPr>
                <w:rFonts w:hint="eastAsia" w:ascii="宋体" w:hAnsi="宋体" w:cs="宋体"/>
                <w:kern w:val="0"/>
                <w:szCs w:val="21"/>
              </w:rPr>
              <w:t>★9、能与原人脸门禁主机（型号：</w:t>
            </w:r>
            <w:r>
              <w:rPr>
                <w:rFonts w:ascii="宋体" w:hAnsi="宋体" w:cs="宋体"/>
                <w:kern w:val="0"/>
                <w:szCs w:val="21"/>
              </w:rPr>
              <w:t>TH-MY231R</w:t>
            </w:r>
            <w:r>
              <w:rPr>
                <w:rFonts w:hint="eastAsia" w:ascii="宋体" w:hAnsi="宋体" w:cs="宋体"/>
                <w:kern w:val="0"/>
                <w:szCs w:val="21"/>
              </w:rPr>
              <w:t>人脸门禁主机）无缝接入。</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汇聚交换机</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1台</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vAlign w:val="center"/>
          </w:tcPr>
          <w:p>
            <w:pPr>
              <w:jc w:val="left"/>
              <w:rPr>
                <w:bCs/>
                <w:szCs w:val="21"/>
              </w:rPr>
            </w:pPr>
            <w:r>
              <w:rPr>
                <w:rFonts w:hint="eastAsia"/>
                <w:bCs/>
                <w:szCs w:val="21"/>
              </w:rPr>
              <w:t>一、单台配置要求</w:t>
            </w:r>
          </w:p>
          <w:p>
            <w:pPr>
              <w:jc w:val="left"/>
              <w:rPr>
                <w:bCs/>
                <w:szCs w:val="21"/>
              </w:rPr>
            </w:pPr>
            <w:r>
              <w:rPr>
                <w:rFonts w:hint="eastAsia"/>
                <w:bCs/>
                <w:szCs w:val="21"/>
              </w:rPr>
              <w:t>★</w:t>
            </w:r>
            <w:r>
              <w:rPr>
                <w:bCs/>
                <w:szCs w:val="21"/>
              </w:rPr>
              <w:t>1</w:t>
            </w:r>
            <w:r>
              <w:rPr>
                <w:rFonts w:hint="eastAsia"/>
                <w:bCs/>
                <w:szCs w:val="21"/>
              </w:rPr>
              <w:t>、</w:t>
            </w:r>
            <w:r>
              <w:rPr>
                <w:bCs/>
                <w:szCs w:val="21"/>
              </w:rPr>
              <w:t>24</w:t>
            </w:r>
            <w:r>
              <w:rPr>
                <w:rFonts w:hint="eastAsia"/>
                <w:bCs/>
                <w:szCs w:val="21"/>
              </w:rPr>
              <w:t>个</w:t>
            </w:r>
            <w:r>
              <w:rPr>
                <w:bCs/>
                <w:szCs w:val="21"/>
              </w:rPr>
              <w:t>10/100/1000Base-T</w:t>
            </w:r>
            <w:r>
              <w:rPr>
                <w:rFonts w:hint="eastAsia"/>
                <w:bCs/>
                <w:szCs w:val="21"/>
              </w:rPr>
              <w:t>以太网端口，</w:t>
            </w:r>
            <w:r>
              <w:rPr>
                <w:bCs/>
                <w:szCs w:val="21"/>
              </w:rPr>
              <w:t xml:space="preserve">4 </w:t>
            </w:r>
            <w:r>
              <w:rPr>
                <w:rFonts w:hint="eastAsia"/>
                <w:bCs/>
                <w:szCs w:val="21"/>
              </w:rPr>
              <w:t>个非复用的</w:t>
            </w:r>
            <w:r>
              <w:rPr>
                <w:bCs/>
                <w:szCs w:val="21"/>
              </w:rPr>
              <w:t xml:space="preserve">SFP </w:t>
            </w:r>
            <w:r>
              <w:rPr>
                <w:rFonts w:hint="eastAsia"/>
                <w:bCs/>
                <w:szCs w:val="21"/>
              </w:rPr>
              <w:t>千兆端口；</w:t>
            </w:r>
          </w:p>
          <w:p>
            <w:pPr>
              <w:jc w:val="left"/>
              <w:rPr>
                <w:bCs/>
                <w:szCs w:val="21"/>
              </w:rPr>
            </w:pPr>
            <w:r>
              <w:rPr>
                <w:rFonts w:hint="eastAsia"/>
                <w:bCs/>
                <w:szCs w:val="21"/>
              </w:rPr>
              <w:t>二、技术参数要求</w:t>
            </w:r>
          </w:p>
          <w:p>
            <w:pPr>
              <w:jc w:val="left"/>
              <w:rPr>
                <w:bCs/>
                <w:szCs w:val="21"/>
              </w:rPr>
            </w:pPr>
            <w:r>
              <w:rPr>
                <w:bCs/>
                <w:szCs w:val="21"/>
              </w:rPr>
              <w:t>1</w:t>
            </w:r>
            <w:r>
              <w:rPr>
                <w:rFonts w:hint="eastAsia"/>
                <w:bCs/>
                <w:szCs w:val="21"/>
              </w:rPr>
              <w:t>、交换容量≥</w:t>
            </w:r>
            <w:r>
              <w:rPr>
                <w:bCs/>
                <w:szCs w:val="21"/>
              </w:rPr>
              <w:t>330Gbps,</w:t>
            </w:r>
            <w:r>
              <w:rPr>
                <w:rFonts w:hint="eastAsia"/>
                <w:bCs/>
                <w:szCs w:val="21"/>
              </w:rPr>
              <w:t>包转发速率≥</w:t>
            </w:r>
            <w:r>
              <w:rPr>
                <w:bCs/>
                <w:szCs w:val="21"/>
              </w:rPr>
              <w:t>120Mpps</w:t>
            </w:r>
            <w:r>
              <w:rPr>
                <w:rFonts w:hint="eastAsia"/>
                <w:bCs/>
                <w:szCs w:val="21"/>
              </w:rPr>
              <w:t>；</w:t>
            </w:r>
          </w:p>
          <w:p>
            <w:pPr>
              <w:jc w:val="left"/>
              <w:rPr>
                <w:bCs/>
                <w:szCs w:val="21"/>
              </w:rPr>
            </w:pPr>
            <w:r>
              <w:rPr>
                <w:bCs/>
                <w:szCs w:val="21"/>
              </w:rPr>
              <w:t>2</w:t>
            </w:r>
            <w:r>
              <w:rPr>
                <w:rFonts w:hint="eastAsia"/>
                <w:bCs/>
                <w:szCs w:val="21"/>
              </w:rPr>
              <w:t>、路由协议支持</w:t>
            </w:r>
            <w:r>
              <w:rPr>
                <w:bCs/>
                <w:szCs w:val="21"/>
              </w:rPr>
              <w:t>IPv4</w:t>
            </w:r>
            <w:r>
              <w:rPr>
                <w:rFonts w:hint="eastAsia"/>
                <w:bCs/>
                <w:szCs w:val="21"/>
              </w:rPr>
              <w:t>静态路由、</w:t>
            </w:r>
            <w:r>
              <w:rPr>
                <w:bCs/>
                <w:szCs w:val="21"/>
              </w:rPr>
              <w:t>RIP</w:t>
            </w:r>
            <w:r>
              <w:rPr>
                <w:rFonts w:hint="eastAsia"/>
                <w:bCs/>
                <w:szCs w:val="21"/>
              </w:rPr>
              <w:t>路由协议和</w:t>
            </w:r>
            <w:r>
              <w:rPr>
                <w:bCs/>
                <w:szCs w:val="21"/>
              </w:rPr>
              <w:t>OSPF</w:t>
            </w:r>
            <w:r>
              <w:rPr>
                <w:rFonts w:hint="eastAsia"/>
                <w:bCs/>
                <w:szCs w:val="21"/>
              </w:rPr>
              <w:t>路由协议；</w:t>
            </w:r>
          </w:p>
          <w:p>
            <w:pPr>
              <w:jc w:val="left"/>
              <w:rPr>
                <w:bCs/>
                <w:szCs w:val="21"/>
              </w:rPr>
            </w:pPr>
            <w:r>
              <w:rPr>
                <w:bCs/>
                <w:szCs w:val="21"/>
              </w:rPr>
              <w:t>3</w:t>
            </w:r>
            <w:r>
              <w:rPr>
                <w:rFonts w:hint="eastAsia"/>
                <w:bCs/>
                <w:szCs w:val="21"/>
              </w:rPr>
              <w:t>、支持</w:t>
            </w:r>
            <w:r>
              <w:rPr>
                <w:bCs/>
                <w:szCs w:val="21"/>
              </w:rPr>
              <w:t>L2</w:t>
            </w:r>
            <w:r>
              <w:rPr>
                <w:rFonts w:hint="eastAsia"/>
                <w:bCs/>
                <w:szCs w:val="21"/>
              </w:rPr>
              <w:t>（</w:t>
            </w:r>
            <w:r>
              <w:rPr>
                <w:bCs/>
                <w:szCs w:val="21"/>
              </w:rPr>
              <w:t>Layer 2</w:t>
            </w:r>
            <w:r>
              <w:rPr>
                <w:rFonts w:hint="eastAsia"/>
                <w:bCs/>
                <w:szCs w:val="21"/>
              </w:rPr>
              <w:t>）</w:t>
            </w:r>
            <w:r>
              <w:rPr>
                <w:bCs/>
                <w:szCs w:val="21"/>
              </w:rPr>
              <w:t>-L4</w:t>
            </w:r>
            <w:r>
              <w:rPr>
                <w:rFonts w:hint="eastAsia"/>
                <w:bCs/>
                <w:szCs w:val="21"/>
              </w:rPr>
              <w:t>（</w:t>
            </w:r>
            <w:r>
              <w:rPr>
                <w:bCs/>
                <w:szCs w:val="21"/>
              </w:rPr>
              <w:t>Layer 4</w:t>
            </w:r>
            <w:r>
              <w:rPr>
                <w:rFonts w:hint="eastAsia"/>
                <w:bCs/>
                <w:szCs w:val="21"/>
              </w:rPr>
              <w:t>）包过滤功能，提供基于源</w:t>
            </w:r>
            <w:r>
              <w:rPr>
                <w:bCs/>
                <w:szCs w:val="21"/>
              </w:rPr>
              <w:t>MAC</w:t>
            </w:r>
            <w:r>
              <w:rPr>
                <w:rFonts w:hint="eastAsia"/>
                <w:bCs/>
                <w:szCs w:val="21"/>
              </w:rPr>
              <w:t>地址、目的</w:t>
            </w:r>
            <w:r>
              <w:rPr>
                <w:bCs/>
                <w:szCs w:val="21"/>
              </w:rPr>
              <w:t>MAC</w:t>
            </w:r>
            <w:r>
              <w:rPr>
                <w:rFonts w:hint="eastAsia"/>
                <w:bCs/>
                <w:szCs w:val="21"/>
              </w:rPr>
              <w:t>地址、源</w:t>
            </w:r>
            <w:r>
              <w:rPr>
                <w:bCs/>
                <w:szCs w:val="21"/>
              </w:rPr>
              <w:t>IP(IPv4/IPv6)</w:t>
            </w:r>
            <w:r>
              <w:rPr>
                <w:rFonts w:hint="eastAsia"/>
                <w:bCs/>
                <w:szCs w:val="21"/>
              </w:rPr>
              <w:t>地址、目的</w:t>
            </w:r>
            <w:r>
              <w:rPr>
                <w:bCs/>
                <w:szCs w:val="21"/>
              </w:rPr>
              <w:t>IP(IPv4/IPv6)</w:t>
            </w:r>
            <w:r>
              <w:rPr>
                <w:rFonts w:hint="eastAsia"/>
                <w:bCs/>
                <w:szCs w:val="21"/>
              </w:rPr>
              <w:t>地址、端口、协议、</w:t>
            </w:r>
            <w:r>
              <w:rPr>
                <w:bCs/>
                <w:szCs w:val="21"/>
              </w:rPr>
              <w:t>VLAN</w:t>
            </w:r>
            <w:r>
              <w:rPr>
                <w:rFonts w:hint="eastAsia"/>
                <w:bCs/>
                <w:szCs w:val="21"/>
              </w:rPr>
              <w:t>的流分类；</w:t>
            </w:r>
          </w:p>
          <w:p>
            <w:pPr>
              <w:jc w:val="left"/>
              <w:rPr>
                <w:bCs/>
                <w:szCs w:val="21"/>
              </w:rPr>
            </w:pPr>
            <w:r>
              <w:rPr>
                <w:bCs/>
                <w:szCs w:val="21"/>
              </w:rPr>
              <w:t>4</w:t>
            </w:r>
            <w:r>
              <w:rPr>
                <w:rFonts w:hint="eastAsia"/>
                <w:bCs/>
                <w:szCs w:val="21"/>
              </w:rPr>
              <w:t>、支持</w:t>
            </w:r>
            <w:r>
              <w:rPr>
                <w:bCs/>
                <w:szCs w:val="21"/>
              </w:rPr>
              <w:t>IGMP Snooping</w:t>
            </w:r>
            <w:r>
              <w:rPr>
                <w:rFonts w:hint="eastAsia"/>
                <w:bCs/>
                <w:szCs w:val="21"/>
              </w:rPr>
              <w:t>，</w:t>
            </w:r>
            <w:r>
              <w:rPr>
                <w:bCs/>
                <w:szCs w:val="21"/>
              </w:rPr>
              <w:t>MLD Snooping</w:t>
            </w:r>
            <w:r>
              <w:rPr>
                <w:rFonts w:hint="eastAsia"/>
                <w:bCs/>
                <w:szCs w:val="21"/>
              </w:rPr>
              <w:t>、支持组播</w:t>
            </w:r>
            <w:r>
              <w:rPr>
                <w:bCs/>
                <w:szCs w:val="21"/>
              </w:rPr>
              <w:t>VLAN</w:t>
            </w:r>
            <w:r>
              <w:rPr>
                <w:rFonts w:hint="eastAsia"/>
                <w:bCs/>
                <w:szCs w:val="21"/>
              </w:rPr>
              <w:t>；</w:t>
            </w:r>
          </w:p>
          <w:p>
            <w:pPr>
              <w:jc w:val="left"/>
              <w:rPr>
                <w:bCs/>
                <w:szCs w:val="21"/>
              </w:rPr>
            </w:pPr>
            <w:r>
              <w:rPr>
                <w:rFonts w:hint="eastAsia"/>
                <w:bCs/>
                <w:szCs w:val="21"/>
              </w:rPr>
              <w:t>★</w:t>
            </w:r>
            <w:r>
              <w:rPr>
                <w:bCs/>
                <w:szCs w:val="21"/>
              </w:rPr>
              <w:t>5</w:t>
            </w:r>
            <w:r>
              <w:rPr>
                <w:rFonts w:hint="eastAsia"/>
                <w:bCs/>
                <w:szCs w:val="21"/>
              </w:rPr>
              <w:t>、</w:t>
            </w:r>
            <w:r>
              <w:rPr>
                <w:bCs/>
                <w:szCs w:val="21"/>
              </w:rPr>
              <w:t>DHCP</w:t>
            </w:r>
            <w:r>
              <w:rPr>
                <w:rFonts w:hint="eastAsia"/>
                <w:bCs/>
                <w:szCs w:val="21"/>
              </w:rPr>
              <w:t>功能：支持</w:t>
            </w:r>
            <w:r>
              <w:rPr>
                <w:bCs/>
                <w:szCs w:val="21"/>
              </w:rPr>
              <w:t>DHCP Server</w:t>
            </w:r>
            <w:r>
              <w:rPr>
                <w:rFonts w:hint="eastAsia"/>
                <w:bCs/>
                <w:szCs w:val="21"/>
              </w:rPr>
              <w:t>、</w:t>
            </w:r>
            <w:r>
              <w:rPr>
                <w:bCs/>
                <w:szCs w:val="21"/>
              </w:rPr>
              <w:t>DHCP Client</w:t>
            </w:r>
            <w:r>
              <w:rPr>
                <w:rFonts w:hint="eastAsia"/>
                <w:bCs/>
                <w:szCs w:val="21"/>
              </w:rPr>
              <w:t>、</w:t>
            </w:r>
            <w:r>
              <w:rPr>
                <w:bCs/>
                <w:szCs w:val="21"/>
              </w:rPr>
              <w:t>DHCP Relay</w:t>
            </w:r>
            <w:r>
              <w:rPr>
                <w:rFonts w:hint="eastAsia"/>
                <w:bCs/>
                <w:szCs w:val="21"/>
              </w:rPr>
              <w:t>、</w:t>
            </w:r>
            <w:r>
              <w:rPr>
                <w:bCs/>
                <w:szCs w:val="21"/>
              </w:rPr>
              <w:t>DHCP Snooping</w:t>
            </w:r>
            <w:r>
              <w:rPr>
                <w:rFonts w:hint="eastAsia"/>
                <w:bCs/>
                <w:szCs w:val="21"/>
              </w:rPr>
              <w:t>和</w:t>
            </w:r>
            <w:r>
              <w:rPr>
                <w:bCs/>
                <w:szCs w:val="21"/>
              </w:rPr>
              <w:t>DHCP Snooping Option82</w:t>
            </w:r>
            <w:r>
              <w:rPr>
                <w:rFonts w:hint="eastAsia"/>
                <w:bCs/>
                <w:szCs w:val="21"/>
              </w:rPr>
              <w:t>；</w:t>
            </w:r>
          </w:p>
          <w:p>
            <w:pPr>
              <w:jc w:val="left"/>
              <w:rPr>
                <w:bCs/>
                <w:szCs w:val="21"/>
              </w:rPr>
            </w:pPr>
            <w:r>
              <w:rPr>
                <w:bCs/>
                <w:szCs w:val="21"/>
              </w:rPr>
              <w:t>6</w:t>
            </w:r>
            <w:r>
              <w:rPr>
                <w:rFonts w:hint="eastAsia"/>
                <w:bCs/>
                <w:szCs w:val="21"/>
              </w:rPr>
              <w:t>、支持虚电缆检测功能</w:t>
            </w:r>
            <w:r>
              <w:rPr>
                <w:bCs/>
                <w:szCs w:val="21"/>
              </w:rPr>
              <w:t>(VCT)</w:t>
            </w:r>
            <w:r>
              <w:rPr>
                <w:rFonts w:hint="eastAsia"/>
                <w:bCs/>
                <w:szCs w:val="21"/>
              </w:rPr>
              <w:t>，快速准确定位网络中故障电缆的短路或断路点；</w:t>
            </w:r>
          </w:p>
          <w:p>
            <w:pPr>
              <w:jc w:val="left"/>
              <w:rPr>
                <w:bCs/>
                <w:szCs w:val="21"/>
              </w:rPr>
            </w:pPr>
            <w:r>
              <w:rPr>
                <w:rFonts w:hint="eastAsia"/>
                <w:bCs/>
                <w:szCs w:val="21"/>
              </w:rPr>
              <w:t>★</w:t>
            </w:r>
            <w:r>
              <w:rPr>
                <w:bCs/>
                <w:szCs w:val="21"/>
              </w:rPr>
              <w:t>7</w:t>
            </w:r>
            <w:r>
              <w:rPr>
                <w:rFonts w:hint="eastAsia"/>
                <w:bCs/>
                <w:szCs w:val="21"/>
              </w:rPr>
              <w:t>、采用内置端口防雷技术，业务端口防雷能力≥</w:t>
            </w:r>
            <w:r>
              <w:rPr>
                <w:bCs/>
                <w:szCs w:val="21"/>
              </w:rPr>
              <w:t>10KV</w:t>
            </w:r>
            <w:r>
              <w:rPr>
                <w:rFonts w:hint="eastAsia"/>
                <w:bCs/>
                <w:szCs w:val="21"/>
              </w:rPr>
              <w:t>，提供官网截图证明材料；</w:t>
            </w:r>
          </w:p>
          <w:p>
            <w:pPr>
              <w:jc w:val="left"/>
              <w:rPr>
                <w:bCs/>
                <w:szCs w:val="21"/>
                <w:highlight w:val="yellow"/>
              </w:rPr>
            </w:pPr>
            <w:r>
              <w:rPr>
                <w:bCs/>
                <w:szCs w:val="21"/>
              </w:rPr>
              <w:t>8</w:t>
            </w:r>
            <w:r>
              <w:rPr>
                <w:rFonts w:hint="eastAsia"/>
                <w:bCs/>
                <w:szCs w:val="21"/>
              </w:rPr>
              <w:t>、管理与维护：支持</w:t>
            </w:r>
            <w:r>
              <w:rPr>
                <w:bCs/>
                <w:szCs w:val="21"/>
              </w:rPr>
              <w:t>XModem/FTP/TFTP</w:t>
            </w:r>
            <w:r>
              <w:rPr>
                <w:rFonts w:hint="eastAsia"/>
                <w:bCs/>
                <w:szCs w:val="21"/>
              </w:rPr>
              <w:t>加载升级，支持命令行接口（</w:t>
            </w:r>
            <w:r>
              <w:rPr>
                <w:bCs/>
                <w:szCs w:val="21"/>
              </w:rPr>
              <w:t>CLI</w:t>
            </w:r>
            <w:r>
              <w:rPr>
                <w:rFonts w:hint="eastAsia"/>
                <w:bCs/>
                <w:szCs w:val="21"/>
              </w:rPr>
              <w:t>），</w:t>
            </w:r>
            <w:r>
              <w:rPr>
                <w:bCs/>
                <w:szCs w:val="21"/>
              </w:rPr>
              <w:t>Telnet</w:t>
            </w:r>
            <w:r>
              <w:rPr>
                <w:rFonts w:hint="eastAsia"/>
                <w:bCs/>
                <w:szCs w:val="21"/>
              </w:rPr>
              <w:t>，</w:t>
            </w:r>
            <w:r>
              <w:rPr>
                <w:bCs/>
                <w:szCs w:val="21"/>
              </w:rPr>
              <w:t>Console</w:t>
            </w:r>
            <w:r>
              <w:rPr>
                <w:rFonts w:hint="eastAsia"/>
                <w:bCs/>
                <w:szCs w:val="21"/>
              </w:rPr>
              <w:t>口进行配置，支持</w:t>
            </w:r>
            <w:r>
              <w:rPr>
                <w:bCs/>
                <w:szCs w:val="21"/>
              </w:rPr>
              <w:t>SNMP</w:t>
            </w:r>
            <w:r>
              <w:rPr>
                <w:rFonts w:hint="eastAsia"/>
                <w:bCs/>
                <w:szCs w:val="21"/>
              </w:rPr>
              <w:t>，</w:t>
            </w:r>
            <w:r>
              <w:rPr>
                <w:bCs/>
                <w:szCs w:val="21"/>
              </w:rPr>
              <w:t>WEB</w:t>
            </w:r>
            <w:r>
              <w:rPr>
                <w:rFonts w:hint="eastAsia"/>
                <w:bCs/>
                <w:szCs w:val="21"/>
              </w:rPr>
              <w:t>网管，支持</w:t>
            </w:r>
            <w:r>
              <w:rPr>
                <w:bCs/>
                <w:szCs w:val="21"/>
              </w:rPr>
              <w:t>RMON</w:t>
            </w:r>
            <w:r>
              <w:rPr>
                <w:rFonts w:hint="eastAsia"/>
                <w:bCs/>
                <w:szCs w:val="21"/>
              </w:rPr>
              <w:t>（</w:t>
            </w:r>
            <w:r>
              <w:rPr>
                <w:bCs/>
                <w:szCs w:val="21"/>
              </w:rPr>
              <w:t>Remote Monitoring</w:t>
            </w:r>
            <w:r>
              <w:rPr>
                <w:rFonts w:hint="eastAsia"/>
                <w:bCs/>
                <w:szCs w:val="21"/>
              </w:rPr>
              <w:t>）。</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5</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六类网络线</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11箱</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1、符合标准:ISO/IEC 11801 TIA/EIA-568-C.2  YD/T1019-2013；</w:t>
            </w:r>
          </w:p>
          <w:p>
            <w:pPr>
              <w:widowControl/>
              <w:jc w:val="left"/>
              <w:rPr>
                <w:rFonts w:ascii="宋体" w:hAnsi="宋体" w:cs="宋体"/>
                <w:kern w:val="0"/>
                <w:szCs w:val="21"/>
              </w:rPr>
            </w:pPr>
            <w:r>
              <w:rPr>
                <w:rFonts w:hint="eastAsia" w:ascii="宋体" w:hAnsi="宋体" w:cs="宋体"/>
                <w:kern w:val="0"/>
                <w:szCs w:val="21"/>
              </w:rPr>
              <w:t>达到或超过ISO/IEC11801、ANSI/TIA-568C.2中的CAT6类的有关标准；</w:t>
            </w:r>
          </w:p>
          <w:p>
            <w:pPr>
              <w:widowControl/>
              <w:jc w:val="left"/>
              <w:rPr>
                <w:rFonts w:ascii="宋体" w:hAnsi="宋体" w:cs="宋体"/>
                <w:kern w:val="0"/>
                <w:szCs w:val="21"/>
              </w:rPr>
            </w:pPr>
            <w:r>
              <w:rPr>
                <w:rFonts w:hint="eastAsia" w:ascii="宋体" w:hAnsi="宋体" w:cs="宋体"/>
                <w:kern w:val="0"/>
                <w:szCs w:val="21"/>
              </w:rPr>
              <w:t>2、保证250MHz应用带宽，满足622Mbps ATM，同时向下兼容超五类系统；</w:t>
            </w:r>
          </w:p>
          <w:p>
            <w:pPr>
              <w:widowControl/>
              <w:jc w:val="left"/>
              <w:rPr>
                <w:rFonts w:ascii="宋体" w:hAnsi="宋体" w:cs="宋体"/>
                <w:kern w:val="0"/>
                <w:szCs w:val="21"/>
              </w:rPr>
            </w:pPr>
            <w:r>
              <w:rPr>
                <w:rFonts w:hint="eastAsia" w:ascii="宋体" w:hAnsi="宋体" w:cs="宋体"/>
                <w:kern w:val="0"/>
                <w:szCs w:val="21"/>
              </w:rPr>
              <w:t>3、十字骨架分开了线对并维持稳定的线对位置，减小了近端串扰损耗（NEXT）和保持了阻抗稳定；</w:t>
            </w:r>
          </w:p>
          <w:p>
            <w:pPr>
              <w:widowControl/>
              <w:jc w:val="left"/>
              <w:rPr>
                <w:rFonts w:ascii="宋体" w:hAnsi="宋体" w:cs="宋体"/>
                <w:kern w:val="0"/>
                <w:szCs w:val="21"/>
              </w:rPr>
            </w:pPr>
            <w:r>
              <w:rPr>
                <w:rFonts w:hint="eastAsia" w:ascii="宋体" w:hAnsi="宋体" w:cs="宋体"/>
                <w:kern w:val="0"/>
                <w:szCs w:val="21"/>
              </w:rPr>
              <w:t xml:space="preserve">4、选用高质量的材料制成，提供25年质保 </w:t>
            </w:r>
          </w:p>
          <w:p>
            <w:pPr>
              <w:widowControl/>
              <w:jc w:val="left"/>
              <w:rPr>
                <w:rFonts w:ascii="宋体" w:hAnsi="宋体" w:cs="宋体"/>
                <w:kern w:val="0"/>
                <w:szCs w:val="21"/>
              </w:rPr>
            </w:pPr>
            <w:r>
              <w:rPr>
                <w:rFonts w:hint="eastAsia" w:ascii="宋体" w:hAnsi="宋体" w:cs="宋体"/>
                <w:kern w:val="0"/>
                <w:szCs w:val="21"/>
              </w:rPr>
              <w:t>所有使用原材料，符合ROHS,有害物质控制在国际最严格标准内；</w:t>
            </w:r>
          </w:p>
          <w:p>
            <w:pPr>
              <w:widowControl/>
              <w:jc w:val="left"/>
              <w:rPr>
                <w:rFonts w:ascii="宋体" w:hAnsi="宋体" w:cs="宋体"/>
                <w:kern w:val="0"/>
                <w:szCs w:val="21"/>
              </w:rPr>
            </w:pPr>
            <w:r>
              <w:rPr>
                <w:rFonts w:hint="eastAsia" w:ascii="宋体" w:hAnsi="宋体" w:cs="宋体"/>
                <w:kern w:val="0"/>
                <w:szCs w:val="21"/>
              </w:rPr>
              <w:t>5、支持语音、数据、视频信号高速传输；</w:t>
            </w:r>
          </w:p>
          <w:p>
            <w:pPr>
              <w:widowControl/>
              <w:jc w:val="left"/>
              <w:rPr>
                <w:rFonts w:ascii="宋体" w:hAnsi="宋体" w:cs="宋体"/>
                <w:kern w:val="0"/>
                <w:szCs w:val="21"/>
              </w:rPr>
            </w:pPr>
            <w:r>
              <w:rPr>
                <w:rFonts w:hint="eastAsia" w:ascii="宋体" w:hAnsi="宋体" w:cs="宋体"/>
                <w:kern w:val="0"/>
                <w:szCs w:val="21"/>
              </w:rPr>
              <w:t>6、阻抗： (f=1-250MHz)100±15%Ω ；</w:t>
            </w:r>
          </w:p>
          <w:p>
            <w:pPr>
              <w:widowControl/>
              <w:jc w:val="left"/>
              <w:rPr>
                <w:rFonts w:ascii="宋体" w:hAnsi="宋体" w:cs="宋体"/>
                <w:kern w:val="0"/>
                <w:szCs w:val="21"/>
              </w:rPr>
            </w:pPr>
            <w:r>
              <w:rPr>
                <w:rFonts w:hint="eastAsia" w:ascii="宋体" w:hAnsi="宋体" w:cs="宋体"/>
                <w:kern w:val="0"/>
                <w:szCs w:val="21"/>
              </w:rPr>
              <w:t>7、最大直流电阻不平衡（线对内两导体/线对与线对间）：≤2%/ ≤4%@20℃，</w:t>
            </w:r>
          </w:p>
          <w:p>
            <w:pPr>
              <w:widowControl/>
              <w:jc w:val="left"/>
              <w:rPr>
                <w:rFonts w:ascii="宋体" w:hAnsi="宋体" w:cs="宋体"/>
                <w:kern w:val="0"/>
                <w:szCs w:val="21"/>
              </w:rPr>
            </w:pPr>
            <w:r>
              <w:rPr>
                <w:rFonts w:hint="eastAsia" w:ascii="宋体" w:hAnsi="宋体" w:cs="宋体"/>
                <w:kern w:val="0"/>
                <w:szCs w:val="21"/>
              </w:rPr>
              <w:t>单根导体直流电阻：≤9.5Ω/100米；</w:t>
            </w:r>
          </w:p>
          <w:p>
            <w:pPr>
              <w:widowControl/>
              <w:jc w:val="left"/>
              <w:rPr>
                <w:rFonts w:ascii="宋体" w:hAnsi="宋体" w:cs="宋体"/>
                <w:kern w:val="0"/>
                <w:szCs w:val="21"/>
              </w:rPr>
            </w:pPr>
            <w:r>
              <w:rPr>
                <w:rFonts w:hint="eastAsia" w:ascii="宋体" w:hAnsi="宋体" w:cs="宋体"/>
                <w:kern w:val="0"/>
                <w:szCs w:val="21"/>
              </w:rPr>
              <w:t>8、工作电容：≤5.6nF/100米 ；</w:t>
            </w:r>
          </w:p>
          <w:p>
            <w:pPr>
              <w:widowControl/>
              <w:jc w:val="left"/>
              <w:rPr>
                <w:rFonts w:ascii="宋体" w:hAnsi="宋体" w:cs="宋体"/>
                <w:kern w:val="0"/>
                <w:szCs w:val="21"/>
              </w:rPr>
            </w:pPr>
            <w:r>
              <w:rPr>
                <w:rFonts w:hint="eastAsia" w:ascii="宋体" w:hAnsi="宋体" w:cs="宋体"/>
                <w:kern w:val="0"/>
                <w:szCs w:val="21"/>
              </w:rPr>
              <w:t>9、不平衡电容：＜160pF/100米 ；</w:t>
            </w:r>
          </w:p>
          <w:p>
            <w:pPr>
              <w:widowControl/>
              <w:jc w:val="left"/>
              <w:rPr>
                <w:rFonts w:ascii="宋体" w:hAnsi="宋体" w:cs="宋体"/>
                <w:kern w:val="0"/>
                <w:szCs w:val="21"/>
              </w:rPr>
            </w:pPr>
            <w:r>
              <w:rPr>
                <w:rFonts w:hint="eastAsia" w:ascii="宋体" w:hAnsi="宋体" w:cs="宋体"/>
                <w:kern w:val="0"/>
                <w:szCs w:val="21"/>
              </w:rPr>
              <w:t>10、延迟偏差：≤45ns/100m ；</w:t>
            </w:r>
          </w:p>
          <w:p>
            <w:pPr>
              <w:widowControl/>
              <w:jc w:val="left"/>
              <w:rPr>
                <w:rFonts w:ascii="宋体" w:hAnsi="宋体" w:cs="宋体"/>
                <w:kern w:val="0"/>
                <w:szCs w:val="21"/>
              </w:rPr>
            </w:pPr>
            <w:r>
              <w:rPr>
                <w:rFonts w:hint="eastAsia" w:ascii="宋体" w:hAnsi="宋体" w:cs="宋体"/>
                <w:kern w:val="0"/>
                <w:szCs w:val="21"/>
              </w:rPr>
              <w:t>11、额定传输速率(NVP):67% ；</w:t>
            </w:r>
          </w:p>
          <w:p>
            <w:pPr>
              <w:widowControl/>
              <w:jc w:val="left"/>
              <w:rPr>
                <w:rFonts w:ascii="宋体" w:hAnsi="宋体" w:cs="宋体"/>
                <w:kern w:val="0"/>
                <w:szCs w:val="21"/>
              </w:rPr>
            </w:pPr>
            <w:r>
              <w:rPr>
                <w:rFonts w:hint="eastAsia" w:ascii="宋体" w:hAnsi="宋体" w:cs="宋体"/>
                <w:kern w:val="0"/>
                <w:szCs w:val="21"/>
              </w:rPr>
              <w:t>12、电缆直径 ：6.1±0.2mm；</w:t>
            </w:r>
          </w:p>
          <w:p>
            <w:pPr>
              <w:widowControl/>
              <w:jc w:val="left"/>
              <w:rPr>
                <w:rFonts w:ascii="宋体" w:hAnsi="宋体" w:cs="宋体"/>
                <w:kern w:val="0"/>
                <w:szCs w:val="21"/>
              </w:rPr>
            </w:pPr>
            <w:r>
              <w:rPr>
                <w:rFonts w:hint="eastAsia" w:ascii="宋体" w:hAnsi="宋体" w:cs="宋体"/>
                <w:kern w:val="0"/>
                <w:szCs w:val="21"/>
              </w:rPr>
              <w:t xml:space="preserve">13、导体材料：高纯度无氧铜（纯度99.99%）23AWG； </w:t>
            </w:r>
          </w:p>
          <w:p>
            <w:pPr>
              <w:widowControl/>
              <w:jc w:val="left"/>
              <w:rPr>
                <w:rFonts w:ascii="宋体" w:hAnsi="宋体" w:cs="宋体"/>
                <w:kern w:val="0"/>
                <w:szCs w:val="21"/>
              </w:rPr>
            </w:pPr>
            <w:r>
              <w:rPr>
                <w:rFonts w:hint="eastAsia" w:ascii="宋体" w:hAnsi="宋体" w:cs="宋体"/>
                <w:kern w:val="0"/>
                <w:szCs w:val="21"/>
              </w:rPr>
              <w:t>14、最小弯曲半径(安装)：4倍电缆外径；</w:t>
            </w:r>
          </w:p>
          <w:p>
            <w:pPr>
              <w:widowControl/>
              <w:jc w:val="left"/>
              <w:rPr>
                <w:rFonts w:ascii="宋体" w:hAnsi="宋体" w:cs="宋体"/>
                <w:kern w:val="0"/>
                <w:szCs w:val="21"/>
              </w:rPr>
            </w:pPr>
            <w:r>
              <w:rPr>
                <w:rFonts w:hint="eastAsia" w:ascii="宋体" w:hAnsi="宋体" w:cs="宋体"/>
                <w:kern w:val="0"/>
                <w:szCs w:val="21"/>
              </w:rPr>
              <w:t>15、最大</w:t>
            </w:r>
            <w:r>
              <w:rPr>
                <w:rFonts w:hint="eastAsia" w:ascii="Batang" w:hAnsi="Batang" w:eastAsia="Batang" w:cs="Batang"/>
                <w:kern w:val="0"/>
                <w:szCs w:val="21"/>
              </w:rPr>
              <w:t>拉力</w:t>
            </w:r>
            <w:r>
              <w:rPr>
                <w:rFonts w:ascii="宋体" w:hAnsi="宋体" w:cs="宋体"/>
                <w:kern w:val="0"/>
                <w:szCs w:val="21"/>
              </w:rPr>
              <w:t xml:space="preserve"> (</w:t>
            </w:r>
            <w:r>
              <w:rPr>
                <w:rFonts w:hint="eastAsia" w:ascii="宋体" w:hAnsi="宋体" w:cs="宋体"/>
                <w:kern w:val="0"/>
                <w:szCs w:val="21"/>
              </w:rPr>
              <w:t>安装）：</w:t>
            </w:r>
            <w:r>
              <w:rPr>
                <w:rFonts w:ascii="宋体" w:hAnsi="宋体" w:cs="宋体"/>
                <w:kern w:val="0"/>
                <w:szCs w:val="21"/>
              </w:rPr>
              <w:t>110N</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16、额定温度：-20 ℃ ~ +60 ℃；</w:t>
            </w:r>
          </w:p>
          <w:p>
            <w:pPr>
              <w:widowControl/>
              <w:jc w:val="left"/>
              <w:rPr>
                <w:rFonts w:ascii="宋体" w:hAnsi="宋体" w:cs="宋体"/>
                <w:kern w:val="0"/>
                <w:szCs w:val="21"/>
              </w:rPr>
            </w:pPr>
            <w:r>
              <w:rPr>
                <w:rFonts w:hint="eastAsia" w:ascii="宋体" w:hAnsi="宋体" w:cs="宋体"/>
                <w:kern w:val="0"/>
                <w:szCs w:val="21"/>
              </w:rPr>
              <w:t xml:space="preserve">17、供货时，出具链路第三方测试报告。 </w:t>
            </w:r>
          </w:p>
          <w:p>
            <w:pPr>
              <w:pStyle w:val="2"/>
            </w:pPr>
            <w:r>
              <w:rPr>
                <w:rFonts w:hint="eastAsia" w:ascii="宋体" w:hAnsi="宋体" w:cs="宋体"/>
                <w:b w:val="0"/>
                <w:bCs w:val="0"/>
                <w:kern w:val="0"/>
                <w:szCs w:val="21"/>
              </w:rPr>
              <w:t>18、完成与校园监控布线所需必备线材。</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6</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12芯光纤</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1项</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1、缆芯完全填充特种油膏，双面涂塑铝带（APL）确保了光缆防潮、阻水效果；</w:t>
            </w:r>
          </w:p>
          <w:p>
            <w:pPr>
              <w:widowControl/>
              <w:jc w:val="left"/>
              <w:rPr>
                <w:rFonts w:ascii="宋体" w:hAnsi="宋体" w:cs="宋体"/>
                <w:kern w:val="0"/>
                <w:szCs w:val="21"/>
              </w:rPr>
            </w:pPr>
            <w:r>
              <w:rPr>
                <w:rFonts w:hint="eastAsia" w:ascii="宋体" w:hAnsi="宋体" w:cs="宋体"/>
                <w:kern w:val="0"/>
                <w:szCs w:val="21"/>
              </w:rPr>
              <w:t>2、聚乙烯（PE）护套具有良好的抗紫外辐射性能，低损耗，低色散；</w:t>
            </w:r>
          </w:p>
          <w:p>
            <w:pPr>
              <w:widowControl/>
              <w:jc w:val="left"/>
              <w:rPr>
                <w:rFonts w:ascii="宋体" w:hAnsi="宋体" w:cs="宋体"/>
                <w:kern w:val="0"/>
                <w:szCs w:val="21"/>
              </w:rPr>
            </w:pPr>
            <w:r>
              <w:rPr>
                <w:rFonts w:hint="eastAsia" w:ascii="宋体" w:hAnsi="宋体" w:cs="宋体"/>
                <w:kern w:val="0"/>
                <w:szCs w:val="21"/>
              </w:rPr>
              <w:t>3、结构严密、抗弯曲性能良好；</w:t>
            </w:r>
          </w:p>
          <w:p>
            <w:pPr>
              <w:widowControl/>
              <w:jc w:val="left"/>
              <w:rPr>
                <w:rFonts w:ascii="宋体" w:hAnsi="宋体" w:cs="宋体"/>
                <w:kern w:val="0"/>
                <w:szCs w:val="21"/>
              </w:rPr>
            </w:pPr>
            <w:r>
              <w:rPr>
                <w:rFonts w:hint="eastAsia" w:ascii="宋体" w:hAnsi="宋体" w:cs="宋体"/>
                <w:kern w:val="0"/>
                <w:szCs w:val="21"/>
              </w:rPr>
              <w:t>4、精确的光纤余长控制和SZ绞合成缆方式；</w:t>
            </w:r>
          </w:p>
          <w:p>
            <w:pPr>
              <w:widowControl/>
              <w:jc w:val="left"/>
              <w:rPr>
                <w:rFonts w:ascii="宋体" w:hAnsi="宋体" w:cs="宋体"/>
                <w:kern w:val="0"/>
                <w:szCs w:val="21"/>
              </w:rPr>
            </w:pPr>
            <w:r>
              <w:rPr>
                <w:rFonts w:hint="eastAsia" w:ascii="宋体" w:hAnsi="宋体" w:cs="宋体"/>
                <w:kern w:val="0"/>
                <w:szCs w:val="21"/>
              </w:rPr>
              <w:t>5、保证了光缆具备卓越的机械及环境性能，</w:t>
            </w:r>
          </w:p>
          <w:p>
            <w:pPr>
              <w:widowControl/>
              <w:jc w:val="left"/>
              <w:rPr>
                <w:rFonts w:ascii="宋体" w:hAnsi="宋体" w:cs="宋体"/>
                <w:kern w:val="0"/>
                <w:szCs w:val="21"/>
              </w:rPr>
            </w:pPr>
            <w:r>
              <w:rPr>
                <w:rFonts w:hint="eastAsia" w:ascii="宋体" w:hAnsi="宋体" w:cs="宋体"/>
                <w:kern w:val="0"/>
                <w:szCs w:val="21"/>
              </w:rPr>
              <w:t>允许拉伸力：短期：1500N  长期：600N</w:t>
            </w:r>
          </w:p>
          <w:p>
            <w:pPr>
              <w:widowControl/>
              <w:jc w:val="left"/>
              <w:rPr>
                <w:rFonts w:ascii="宋体" w:hAnsi="宋体" w:cs="宋体"/>
                <w:kern w:val="0"/>
                <w:szCs w:val="21"/>
              </w:rPr>
            </w:pPr>
            <w:r>
              <w:rPr>
                <w:rFonts w:hint="eastAsia" w:ascii="宋体" w:hAnsi="宋体" w:cs="宋体"/>
                <w:kern w:val="0"/>
                <w:szCs w:val="21"/>
              </w:rPr>
              <w:t>允许侧压力：短期：1000N/100MM  长期：300N/100MM；</w:t>
            </w:r>
          </w:p>
          <w:p>
            <w:pPr>
              <w:widowControl/>
              <w:jc w:val="left"/>
              <w:rPr>
                <w:rFonts w:ascii="宋体" w:hAnsi="宋体" w:cs="宋体"/>
                <w:kern w:val="0"/>
                <w:szCs w:val="21"/>
              </w:rPr>
            </w:pPr>
            <w:r>
              <w:rPr>
                <w:rFonts w:hint="eastAsia" w:ascii="宋体" w:hAnsi="宋体" w:cs="宋体"/>
                <w:kern w:val="0"/>
                <w:szCs w:val="21"/>
              </w:rPr>
              <w:t>6、最小弯曲半径：静态：10倍缆径；动态：20倍缆径；</w:t>
            </w:r>
          </w:p>
          <w:p>
            <w:pPr>
              <w:widowControl/>
              <w:jc w:val="left"/>
              <w:rPr>
                <w:rFonts w:ascii="宋体" w:hAnsi="宋体" w:cs="宋体"/>
                <w:kern w:val="0"/>
                <w:szCs w:val="21"/>
              </w:rPr>
            </w:pPr>
            <w:r>
              <w:rPr>
                <w:rFonts w:hint="eastAsia" w:ascii="宋体" w:hAnsi="宋体" w:cs="宋体"/>
                <w:kern w:val="0"/>
                <w:szCs w:val="21"/>
              </w:rPr>
              <w:t>7、温度范围：储运、运行：-40℃~+70℃；8.敷设：-15℃~+60℃；</w:t>
            </w:r>
          </w:p>
          <w:p>
            <w:pPr>
              <w:widowControl/>
              <w:jc w:val="left"/>
              <w:rPr>
                <w:rFonts w:ascii="宋体" w:hAnsi="宋体" w:cs="宋体"/>
                <w:kern w:val="0"/>
                <w:szCs w:val="21"/>
              </w:rPr>
            </w:pPr>
            <w:r>
              <w:rPr>
                <w:rFonts w:hint="eastAsia" w:ascii="宋体" w:hAnsi="宋体" w:cs="宋体"/>
                <w:kern w:val="0"/>
                <w:szCs w:val="21"/>
              </w:rPr>
              <w:t>9、敷设方式：管道、架空；</w:t>
            </w:r>
          </w:p>
          <w:p>
            <w:pPr>
              <w:widowControl/>
              <w:jc w:val="left"/>
              <w:rPr>
                <w:rFonts w:ascii="宋体" w:hAnsi="宋体" w:cs="宋体"/>
                <w:kern w:val="0"/>
                <w:szCs w:val="21"/>
              </w:rPr>
            </w:pPr>
            <w:r>
              <w:rPr>
                <w:rFonts w:hint="eastAsia" w:ascii="宋体" w:hAnsi="宋体" w:cs="宋体"/>
                <w:kern w:val="0"/>
                <w:szCs w:val="21"/>
              </w:rPr>
              <w:t>10、供货时，出具第三方测试报告；</w:t>
            </w:r>
          </w:p>
          <w:p>
            <w:pPr>
              <w:widowControl/>
              <w:jc w:val="left"/>
              <w:rPr>
                <w:rFonts w:ascii="宋体" w:hAnsi="宋体" w:cs="宋体"/>
                <w:kern w:val="0"/>
                <w:szCs w:val="21"/>
              </w:rPr>
            </w:pPr>
            <w:r>
              <w:rPr>
                <w:rFonts w:hint="eastAsia" w:ascii="宋体" w:hAnsi="宋体" w:cs="宋体"/>
                <w:kern w:val="0"/>
                <w:szCs w:val="21"/>
              </w:rPr>
              <w:t>11、</w:t>
            </w:r>
            <w:r>
              <w:rPr>
                <w:rFonts w:hint="eastAsia" w:ascii="宋体" w:hAnsi="宋体" w:cs="宋体"/>
                <w:color w:val="FF0000"/>
                <w:kern w:val="0"/>
                <w:szCs w:val="21"/>
              </w:rPr>
              <w:t>完成与校园监控布线所需必备线材</w:t>
            </w:r>
            <w:r>
              <w:rPr>
                <w:rFonts w:hint="eastAsia" w:ascii="宋体" w:hAnsi="宋体" w:cs="宋体"/>
                <w:kern w:val="0"/>
                <w:szCs w:val="21"/>
              </w:rPr>
              <w:t>。</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7</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主干电源线</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1项</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1、产品执行标准：GB/T 5023.5-2008；                                   2、导体: 多股退火裸铜绞合；</w:t>
            </w:r>
          </w:p>
          <w:p>
            <w:pPr>
              <w:widowControl/>
              <w:jc w:val="left"/>
              <w:rPr>
                <w:rFonts w:ascii="宋体" w:hAnsi="宋体" w:cs="宋体"/>
                <w:kern w:val="0"/>
                <w:szCs w:val="21"/>
              </w:rPr>
            </w:pPr>
            <w:r>
              <w:rPr>
                <w:rFonts w:hint="eastAsia" w:ascii="宋体" w:hAnsi="宋体" w:cs="宋体"/>
                <w:kern w:val="0"/>
                <w:szCs w:val="21"/>
              </w:rPr>
              <w:t>3、绝缘: 聚氯乙烯 ；</w:t>
            </w:r>
          </w:p>
          <w:p>
            <w:pPr>
              <w:widowControl/>
              <w:jc w:val="left"/>
              <w:rPr>
                <w:rFonts w:ascii="宋体" w:hAnsi="宋体" w:cs="宋体"/>
                <w:kern w:val="0"/>
                <w:szCs w:val="21"/>
              </w:rPr>
            </w:pPr>
            <w:r>
              <w:rPr>
                <w:rFonts w:hint="eastAsia" w:ascii="宋体" w:hAnsi="宋体" w:cs="宋体"/>
                <w:kern w:val="0"/>
                <w:szCs w:val="21"/>
              </w:rPr>
              <w:t>4、护套: 聚氯乙烯 ；</w:t>
            </w:r>
          </w:p>
          <w:p>
            <w:pPr>
              <w:widowControl/>
              <w:jc w:val="left"/>
              <w:rPr>
                <w:rFonts w:ascii="宋体" w:hAnsi="宋体" w:cs="宋体"/>
                <w:kern w:val="0"/>
                <w:szCs w:val="21"/>
              </w:rPr>
            </w:pPr>
            <w:r>
              <w:rPr>
                <w:rFonts w:hint="eastAsia" w:ascii="宋体" w:hAnsi="宋体" w:cs="宋体"/>
                <w:kern w:val="0"/>
                <w:szCs w:val="21"/>
              </w:rPr>
              <w:t>5、额定电压: Uo/U为300/300V ；</w:t>
            </w:r>
          </w:p>
          <w:p>
            <w:pPr>
              <w:widowControl/>
              <w:jc w:val="left"/>
              <w:rPr>
                <w:rFonts w:ascii="宋体" w:hAnsi="宋体" w:cs="宋体"/>
                <w:kern w:val="0"/>
                <w:szCs w:val="21"/>
              </w:rPr>
            </w:pPr>
            <w:r>
              <w:rPr>
                <w:rFonts w:hint="eastAsia" w:ascii="宋体" w:hAnsi="宋体" w:cs="宋体"/>
                <w:kern w:val="0"/>
                <w:szCs w:val="21"/>
              </w:rPr>
              <w:t>6、额定温度: -20~70℃；</w:t>
            </w:r>
          </w:p>
          <w:p>
            <w:pPr>
              <w:widowControl/>
              <w:jc w:val="left"/>
              <w:rPr>
                <w:rFonts w:ascii="宋体" w:hAnsi="宋体" w:cs="宋体"/>
                <w:kern w:val="0"/>
                <w:szCs w:val="21"/>
              </w:rPr>
            </w:pPr>
            <w:r>
              <w:rPr>
                <w:rFonts w:hint="eastAsia" w:ascii="宋体" w:hAnsi="宋体" w:cs="宋体"/>
                <w:kern w:val="0"/>
                <w:szCs w:val="21"/>
              </w:rPr>
              <w:t>7、ISO9001质量体系认证、高新企业证书、3C认证，为保持系统稳定性，所用综合布线产品要求为同一品牌；</w:t>
            </w:r>
          </w:p>
          <w:p>
            <w:pPr>
              <w:widowControl/>
              <w:jc w:val="left"/>
              <w:rPr>
                <w:rFonts w:ascii="宋体" w:hAnsi="宋体" w:cs="宋体"/>
                <w:kern w:val="0"/>
                <w:szCs w:val="21"/>
              </w:rPr>
            </w:pPr>
            <w:r>
              <w:rPr>
                <w:rFonts w:hint="eastAsia" w:ascii="宋体" w:hAnsi="宋体" w:cs="宋体"/>
                <w:kern w:val="0"/>
                <w:szCs w:val="21"/>
              </w:rPr>
              <w:t>8、</w:t>
            </w:r>
            <w:r>
              <w:rPr>
                <w:rFonts w:hint="eastAsia" w:ascii="宋体" w:hAnsi="宋体" w:cs="宋体"/>
                <w:color w:val="FF0000"/>
                <w:kern w:val="0"/>
                <w:szCs w:val="21"/>
              </w:rPr>
              <w:t>完成与校园监控布线所需必备线材。</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8</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1个</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1、符合标准：GB/T3047.2；</w:t>
            </w:r>
          </w:p>
          <w:p>
            <w:pPr>
              <w:widowControl/>
              <w:jc w:val="left"/>
              <w:rPr>
                <w:rFonts w:ascii="宋体" w:hAnsi="宋体" w:cs="宋体"/>
                <w:kern w:val="0"/>
                <w:szCs w:val="21"/>
              </w:rPr>
            </w:pPr>
            <w:r>
              <w:rPr>
                <w:rFonts w:hint="eastAsia" w:ascii="宋体" w:hAnsi="宋体" w:cs="宋体"/>
                <w:kern w:val="0"/>
                <w:szCs w:val="21"/>
              </w:rPr>
              <w:t>2、整柜采用优质高强度冷轧钢板；</w:t>
            </w:r>
          </w:p>
          <w:p>
            <w:pPr>
              <w:widowControl/>
              <w:jc w:val="left"/>
              <w:rPr>
                <w:rFonts w:ascii="宋体" w:hAnsi="宋体" w:cs="宋体"/>
                <w:kern w:val="0"/>
                <w:szCs w:val="21"/>
              </w:rPr>
            </w:pPr>
            <w:r>
              <w:rPr>
                <w:rFonts w:hint="eastAsia" w:ascii="宋体" w:hAnsi="宋体" w:cs="宋体"/>
                <w:kern w:val="0"/>
                <w:szCs w:val="21"/>
              </w:rPr>
              <w:t>3、表面采用防静电喷涂处理；</w:t>
            </w:r>
          </w:p>
          <w:p>
            <w:pPr>
              <w:widowControl/>
              <w:jc w:val="left"/>
              <w:rPr>
                <w:rFonts w:ascii="宋体" w:hAnsi="宋体" w:cs="宋体"/>
                <w:kern w:val="0"/>
                <w:szCs w:val="21"/>
              </w:rPr>
            </w:pPr>
            <w:r>
              <w:rPr>
                <w:rFonts w:hint="eastAsia" w:ascii="宋体" w:hAnsi="宋体" w:cs="宋体"/>
                <w:kern w:val="0"/>
                <w:szCs w:val="21"/>
              </w:rPr>
              <w:t>4、采用透气网孔门或玻璃门设计，外观高雅大方；</w:t>
            </w:r>
          </w:p>
          <w:p>
            <w:pPr>
              <w:widowControl/>
              <w:jc w:val="left"/>
              <w:rPr>
                <w:rFonts w:ascii="宋体" w:hAnsi="宋体" w:cs="宋体"/>
                <w:kern w:val="0"/>
                <w:szCs w:val="21"/>
              </w:rPr>
            </w:pPr>
            <w:r>
              <w:rPr>
                <w:rFonts w:hint="eastAsia" w:ascii="宋体" w:hAnsi="宋体" w:cs="宋体"/>
                <w:kern w:val="0"/>
                <w:szCs w:val="21"/>
              </w:rPr>
              <w:t>5、顶部自带散热风扇，更加有效的辅助设备散热；</w:t>
            </w:r>
          </w:p>
          <w:p>
            <w:pPr>
              <w:widowControl/>
              <w:jc w:val="left"/>
              <w:rPr>
                <w:rFonts w:ascii="宋体" w:hAnsi="宋体" w:cs="宋体"/>
                <w:kern w:val="0"/>
                <w:szCs w:val="21"/>
              </w:rPr>
            </w:pPr>
            <w:r>
              <w:rPr>
                <w:rFonts w:hint="eastAsia" w:ascii="宋体" w:hAnsi="宋体" w:cs="宋体"/>
                <w:kern w:val="0"/>
                <w:szCs w:val="21"/>
              </w:rPr>
              <w:t>6、外观尺寸约：高500mm*宽600mm*深450mm，通用性强，结构科学，符合国际标准；</w:t>
            </w:r>
          </w:p>
          <w:p>
            <w:pPr>
              <w:widowControl/>
              <w:jc w:val="left"/>
              <w:rPr>
                <w:rFonts w:ascii="宋体" w:hAnsi="宋体" w:cs="宋体"/>
                <w:kern w:val="0"/>
                <w:szCs w:val="21"/>
              </w:rPr>
            </w:pPr>
            <w:r>
              <w:rPr>
                <w:rFonts w:hint="eastAsia" w:ascii="宋体" w:hAnsi="宋体" w:cs="宋体"/>
                <w:kern w:val="0"/>
                <w:szCs w:val="21"/>
              </w:rPr>
              <w:t>7、高强度承重设计，进线位置可按需求封闭；</w:t>
            </w:r>
          </w:p>
          <w:p>
            <w:pPr>
              <w:widowControl/>
              <w:jc w:val="left"/>
              <w:rPr>
                <w:rFonts w:ascii="宋体" w:hAnsi="宋体" w:cs="宋体"/>
                <w:kern w:val="0"/>
                <w:szCs w:val="21"/>
              </w:rPr>
            </w:pPr>
            <w:r>
              <w:rPr>
                <w:rFonts w:hint="eastAsia" w:ascii="宋体" w:hAnsi="宋体" w:cs="宋体"/>
                <w:kern w:val="0"/>
                <w:szCs w:val="21"/>
              </w:rPr>
              <w:t>8、正门、后门、侧门全拆式组合结构便于施工安装；</w:t>
            </w:r>
          </w:p>
          <w:p>
            <w:pPr>
              <w:widowControl/>
              <w:jc w:val="left"/>
              <w:rPr>
                <w:rFonts w:ascii="宋体" w:hAnsi="宋体" w:cs="宋体"/>
                <w:kern w:val="0"/>
                <w:szCs w:val="21"/>
              </w:rPr>
            </w:pPr>
            <w:r>
              <w:rPr>
                <w:rFonts w:hint="eastAsia" w:ascii="宋体" w:hAnsi="宋体" w:cs="宋体"/>
                <w:kern w:val="0"/>
                <w:szCs w:val="21"/>
              </w:rPr>
              <w:t>9、额定温度：-20 ℃ ~ +70 ℃。</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9</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视频会议终端</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1台</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rPr>
              <w:t>★</w:t>
            </w:r>
            <w:r>
              <w:t>1、采用嵌入式一体化结构设计，非PC、工控机架构，集成编解码器、麦克风、摄像头等，方便安装部署。所投产品必须与现网运行的华为MCU VP9650视频会议系统兼容，供货前必须做互联互通测试，测试通过后才视为满足招标要求；</w:t>
            </w:r>
            <w:r>
              <w:br w:type="textWrapping"/>
            </w:r>
            <w:r>
              <w:t>2、支持ITU-T H.323和IETF SIP协议，具有良好的兼容性和开放性；</w:t>
            </w:r>
            <w:r>
              <w:br w:type="textWrapping"/>
            </w:r>
            <w:r>
              <w:t>3、最大呼叫宽带不低于4Mbps接入速率；</w:t>
            </w:r>
            <w:r>
              <w:br w:type="textWrapping"/>
            </w:r>
            <w:r>
              <w:t>4、支持H.264 BP、H.264HP等图像编码协议； </w:t>
            </w:r>
            <w:r>
              <w:br w:type="textWrapping"/>
            </w:r>
            <w:r>
              <w:t>5、支持G.711A、G.711U、G.722、G.722.1C、G.729A、AAC-LD等音频协议；</w:t>
            </w:r>
            <w:r>
              <w:br w:type="textWrapping"/>
            </w:r>
            <w:r>
              <w:t>6、提供至少2路高清视频输入、至少2路高清视频输出，至少支持以下接口：HDMI、VGA；</w:t>
            </w:r>
            <w:r>
              <w:br w:type="textWrapping"/>
            </w:r>
            <w:r>
              <w:t>7、内置全高清摄像机，不低于210万像素，1/2.8英寸CMOS，支持1080P 30fps视频图像采集；摄像机支持不小于5倍光学变焦，水平视角不小于80°（外接摄像头广角镜视为不支持）；</w:t>
            </w:r>
            <w:r>
              <w:br w:type="textWrapping"/>
            </w:r>
            <w:r>
              <w:rPr>
                <w:rFonts w:hint="eastAsia" w:ascii="宋体" w:hAnsi="宋体" w:cs="宋体"/>
              </w:rPr>
              <w:t>★</w:t>
            </w:r>
            <w:r>
              <w:t>8、具备良好的网络适应性，30%的网络丢包下,图像流畅、清晰、无卡顿、无马赛克现象，确保会议正常进行；</w:t>
            </w:r>
            <w:r>
              <w:br w:type="textWrapping"/>
            </w:r>
            <w:r>
              <w:t>9、512Kbps会议带宽下，实现1080P30帧图像格式编解码；384Kbps会议带宽下，实现720P30帧图像格式编解码；</w:t>
            </w:r>
            <w:r>
              <w:br w:type="textWrapping"/>
            </w:r>
            <w:r>
              <w:t>10、支持终端申请主席，实现观看会场、广播会场、呼叫/挂断会场、添加会场、会场麦克风开关、延长会议、释放主席等功能；</w:t>
            </w:r>
            <w:r>
              <w:br w:type="textWrapping"/>
            </w:r>
            <w:r>
              <w:t>11、支持断线重呼功能，能对会议中掉线的终端自动重新呼叫； </w:t>
            </w:r>
            <w:r>
              <w:br w:type="textWrapping"/>
            </w:r>
            <w:r>
              <w:t>12、支持LDAP网络地址本及本地地址本导入导出功能；</w:t>
            </w:r>
            <w:r>
              <w:br w:type="textWrapping"/>
            </w:r>
            <w:r>
              <w:rPr>
                <w:rFonts w:hint="eastAsia" w:ascii="宋体" w:hAnsi="宋体" w:cs="宋体"/>
              </w:rPr>
              <w:t>★</w:t>
            </w:r>
            <w:r>
              <w:t>13、提供二次开发，支持通过USB接口自动导入配置功能，方便设备的安装部署； </w:t>
            </w:r>
            <w:r>
              <w:br w:type="textWrapping"/>
            </w:r>
            <w:r>
              <w:rPr>
                <w:rFonts w:hint="eastAsia" w:ascii="宋体" w:hAnsi="宋体" w:cs="宋体"/>
              </w:rPr>
              <w:t>★</w:t>
            </w:r>
            <w:r>
              <w:rPr>
                <w:color w:val="auto"/>
              </w:rPr>
              <w:t>14、提供原厂</w:t>
            </w:r>
            <w:r>
              <w:rPr>
                <w:rFonts w:hint="eastAsia"/>
                <w:color w:val="auto"/>
              </w:rPr>
              <w:t>三</w:t>
            </w:r>
            <w:r>
              <w:rPr>
                <w:color w:val="auto"/>
              </w:rPr>
              <w:t>年质保服务。</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10</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配件辅材及管材</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1项</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安装辅材、立杆、光纤熔接、PVC管材、尾纤跳线、终端盒、耦合器、插座、网络接头、钢丝绳、摄像机支架、空开、水泥沙浆及扎带等</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9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11</w:t>
            </w:r>
          </w:p>
        </w:tc>
        <w:tc>
          <w:tcPr>
            <w:tcW w:w="134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施工及安装调试</w:t>
            </w:r>
          </w:p>
        </w:tc>
        <w:tc>
          <w:tcPr>
            <w:tcW w:w="794"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1项</w:t>
            </w:r>
          </w:p>
        </w:tc>
        <w:tc>
          <w:tcPr>
            <w:tcW w:w="1075" w:type="dxa"/>
            <w:noWrap/>
            <w:tcMar>
              <w:left w:w="108" w:type="dxa"/>
              <w:right w:w="108" w:type="dxa"/>
            </w:tcMar>
            <w:vAlign w:val="center"/>
          </w:tcPr>
          <w:p>
            <w:pPr>
              <w:widowControl/>
              <w:jc w:val="center"/>
              <w:rPr>
                <w:rFonts w:ascii="宋体" w:hAnsi="宋体" w:cs="宋体"/>
                <w:kern w:val="0"/>
                <w:szCs w:val="21"/>
              </w:rPr>
            </w:pPr>
          </w:p>
        </w:tc>
        <w:tc>
          <w:tcPr>
            <w:tcW w:w="4368" w:type="dxa"/>
            <w:noWrap/>
          </w:tcPr>
          <w:p>
            <w:pPr>
              <w:widowControl/>
              <w:jc w:val="left"/>
              <w:rPr>
                <w:rFonts w:ascii="宋体" w:hAnsi="宋体" w:cs="宋体"/>
                <w:kern w:val="0"/>
                <w:szCs w:val="21"/>
              </w:rPr>
            </w:pPr>
            <w:r>
              <w:rPr>
                <w:rFonts w:hint="eastAsia" w:ascii="宋体" w:hAnsi="宋体" w:cs="宋体"/>
                <w:kern w:val="0"/>
                <w:szCs w:val="21"/>
              </w:rPr>
              <w:t>1、线路施工及设备安装调试等；</w:t>
            </w:r>
          </w:p>
          <w:p>
            <w:pPr>
              <w:widowControl/>
              <w:jc w:val="left"/>
              <w:rPr>
                <w:rFonts w:ascii="宋体" w:hAnsi="宋体" w:cs="宋体"/>
                <w:kern w:val="0"/>
                <w:szCs w:val="21"/>
              </w:rPr>
            </w:pPr>
            <w:r>
              <w:rPr>
                <w:rFonts w:hint="eastAsia" w:ascii="宋体" w:hAnsi="宋体" w:cs="宋体"/>
                <w:kern w:val="0"/>
                <w:szCs w:val="21"/>
              </w:rPr>
              <w:t>2、施工附件，PVC管、水晶头、耦合器、防水胶带、螺钉，电源线，信号线、网线、水晶头等、防尘手套等；</w:t>
            </w:r>
          </w:p>
          <w:p>
            <w:pPr>
              <w:widowControl/>
              <w:jc w:val="left"/>
              <w:rPr>
                <w:rFonts w:ascii="宋体" w:hAnsi="宋体" w:cs="宋体"/>
                <w:kern w:val="0"/>
                <w:szCs w:val="21"/>
              </w:rPr>
            </w:pPr>
            <w:r>
              <w:rPr>
                <w:rFonts w:hint="eastAsia" w:ascii="宋体" w:hAnsi="宋体" w:cs="宋体"/>
                <w:kern w:val="0"/>
                <w:szCs w:val="21"/>
              </w:rPr>
              <w:t>3、网络以机房为中心，星型辐射到各楼宇铺设（包括挖沟回填，水泥路面开沟回填米穿管辅设及挂钢丝绳架空辅设）；</w:t>
            </w:r>
          </w:p>
          <w:p>
            <w:pPr>
              <w:widowControl/>
              <w:jc w:val="left"/>
              <w:rPr>
                <w:rFonts w:ascii="宋体" w:hAnsi="宋体" w:cs="宋体"/>
                <w:kern w:val="0"/>
                <w:szCs w:val="21"/>
              </w:rPr>
            </w:pPr>
            <w:r>
              <w:rPr>
                <w:rFonts w:hint="eastAsia" w:ascii="宋体" w:hAnsi="宋体" w:cs="宋体"/>
                <w:kern w:val="0"/>
                <w:szCs w:val="21"/>
              </w:rPr>
              <w:t>4、所有线路如要经过地面时要敷设耐踩耐踢的线槽，所有弯角不得有锐利突出，强弱电分槽敷设，安装整齐美观、牢靠/在机柜内对绞电缆预留和长度至少1米，在机柜内应对缆线进行绑扎。</w:t>
            </w:r>
          </w:p>
          <w:p>
            <w:pPr>
              <w:widowControl/>
              <w:jc w:val="left"/>
              <w:rPr>
                <w:rFonts w:ascii="宋体" w:hAnsi="宋体" w:cs="宋体"/>
                <w:kern w:val="0"/>
                <w:szCs w:val="21"/>
              </w:rPr>
            </w:pPr>
            <w:r>
              <w:rPr>
                <w:rFonts w:hint="eastAsia" w:ascii="宋体" w:hAnsi="宋体" w:cs="宋体"/>
                <w:kern w:val="0"/>
                <w:szCs w:val="21"/>
              </w:rPr>
              <w:t>5、根据现场人员通道安装配套所需的道路防护栏；</w:t>
            </w:r>
          </w:p>
          <w:p>
            <w:pPr>
              <w:widowControl/>
              <w:jc w:val="left"/>
              <w:rPr>
                <w:rFonts w:ascii="宋体" w:hAnsi="宋体" w:cs="宋体"/>
                <w:kern w:val="0"/>
                <w:szCs w:val="21"/>
              </w:rPr>
            </w:pPr>
            <w:r>
              <w:rPr>
                <w:rFonts w:hint="eastAsia" w:ascii="宋体" w:hAnsi="宋体" w:cs="宋体"/>
                <w:kern w:val="0"/>
                <w:szCs w:val="21"/>
              </w:rPr>
              <w:t>6、各类配线部件安装要求如下：各部件应完整，安装就位，标志齐全；安装螺丝必须拧紧，面板应保持在一个平面上；信息模块通用插座安装要求如下：信息模块式通用插座底座盒的固定方法按施工现场条件而定，宜采用预置扩张螺丝钉固定等方式。 固定螺丝需拧紧，不应产生松动现象。各种插座面板应有标识。</w:t>
            </w:r>
          </w:p>
          <w:p>
            <w:pPr>
              <w:widowControl/>
              <w:jc w:val="left"/>
              <w:rPr>
                <w:rFonts w:ascii="宋体" w:hAnsi="宋体" w:cs="宋体"/>
                <w:kern w:val="0"/>
                <w:szCs w:val="21"/>
              </w:rPr>
            </w:pPr>
            <w:r>
              <w:rPr>
                <w:rFonts w:hint="eastAsia" w:ascii="宋体" w:hAnsi="宋体" w:cs="宋体"/>
                <w:kern w:val="0"/>
                <w:szCs w:val="21"/>
              </w:rPr>
              <w:t>★7、宿舍的2个铁丝网门需要重新制作成铁杆门，颜色与原隔离网一致，材质为方通。安装好铁杆门后须把原来的人脸识别门禁一体机复原。</w:t>
            </w:r>
          </w:p>
          <w:p>
            <w:pPr>
              <w:widowControl/>
              <w:jc w:val="left"/>
              <w:rPr>
                <w:rFonts w:ascii="宋体" w:hAnsi="宋体" w:cs="宋体"/>
                <w:kern w:val="0"/>
                <w:szCs w:val="21"/>
              </w:rPr>
            </w:pPr>
            <w:r>
              <w:rPr>
                <w:rFonts w:hint="eastAsia" w:ascii="宋体" w:hAnsi="宋体" w:cs="宋体"/>
                <w:kern w:val="0"/>
                <w:szCs w:val="21"/>
              </w:rPr>
              <w:t>★8、</w:t>
            </w:r>
            <w:r>
              <w:t>本项目涉及到网线的均采用六类线或以上线材</w:t>
            </w:r>
            <w:r>
              <w:rPr>
                <w:rFonts w:hint="eastAsia"/>
              </w:rPr>
              <w:t>。</w:t>
            </w:r>
          </w:p>
        </w:tc>
        <w:tc>
          <w:tcPr>
            <w:tcW w:w="1053" w:type="dxa"/>
            <w:noWrap/>
            <w:tcMar>
              <w:left w:w="108"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jc w:val="center"/>
        </w:trPr>
        <w:tc>
          <w:tcPr>
            <w:tcW w:w="793" w:type="dxa"/>
            <w:noWrap/>
            <w:tcMar>
              <w:left w:w="108" w:type="dxa"/>
              <w:right w:w="108" w:type="dxa"/>
            </w:tcMar>
            <w:vAlign w:val="center"/>
          </w:tcPr>
          <w:p>
            <w:pPr>
              <w:widowControl/>
              <w:jc w:val="center"/>
              <w:rPr>
                <w:rFonts w:ascii="宋体" w:hAnsi="宋体" w:cs="宋体"/>
                <w:b/>
                <w:szCs w:val="21"/>
              </w:rPr>
            </w:pPr>
            <w:r>
              <w:rPr>
                <w:rFonts w:hint="eastAsia" w:ascii="宋体" w:hAnsi="宋体" w:cs="宋体"/>
                <w:b/>
                <w:kern w:val="0"/>
                <w:szCs w:val="21"/>
              </w:rPr>
              <w:t>商务条款</w:t>
            </w:r>
          </w:p>
        </w:tc>
        <w:tc>
          <w:tcPr>
            <w:tcW w:w="8634" w:type="dxa"/>
            <w:gridSpan w:val="5"/>
            <w:noWrap/>
          </w:tcPr>
          <w:p>
            <w:pPr>
              <w:tabs>
                <w:tab w:val="left" w:pos="9040"/>
              </w:tabs>
              <w:jc w:val="left"/>
              <w:rPr>
                <w:rFonts w:ascii="宋体" w:hAnsi="宋体" w:cs="宋体"/>
                <w:kern w:val="0"/>
                <w:szCs w:val="21"/>
              </w:rPr>
            </w:pPr>
            <w:r>
              <w:rPr>
                <w:rFonts w:hint="eastAsia" w:ascii="宋体" w:hAnsi="宋体" w:cs="宋体"/>
                <w:kern w:val="0"/>
                <w:szCs w:val="21"/>
              </w:rPr>
              <w:t>一、合同签订期：自成交通知书发出之日起3个工作日内。</w:t>
            </w:r>
          </w:p>
          <w:p>
            <w:pPr>
              <w:tabs>
                <w:tab w:val="left" w:pos="9040"/>
              </w:tabs>
              <w:jc w:val="left"/>
              <w:rPr>
                <w:rFonts w:ascii="宋体" w:hAnsi="宋体" w:cs="宋体"/>
                <w:kern w:val="0"/>
                <w:szCs w:val="21"/>
              </w:rPr>
            </w:pPr>
            <w:r>
              <w:rPr>
                <w:rFonts w:hint="eastAsia" w:ascii="宋体" w:hAnsi="宋体" w:cs="宋体"/>
                <w:kern w:val="0"/>
                <w:szCs w:val="21"/>
              </w:rPr>
              <w:t>★二、交货时间：自合同签订之日起7天内全部系统安装完毕并验收完成。</w:t>
            </w:r>
          </w:p>
          <w:p>
            <w:pPr>
              <w:tabs>
                <w:tab w:val="left" w:pos="9040"/>
              </w:tabs>
              <w:jc w:val="left"/>
              <w:rPr>
                <w:rFonts w:ascii="宋体" w:hAnsi="宋体" w:cs="宋体"/>
                <w:kern w:val="0"/>
                <w:szCs w:val="21"/>
              </w:rPr>
            </w:pPr>
            <w:r>
              <w:rPr>
                <w:rFonts w:hint="eastAsia" w:ascii="宋体" w:hAnsi="宋体" w:cs="宋体"/>
                <w:kern w:val="0"/>
                <w:szCs w:val="21"/>
              </w:rPr>
              <w:t>三、交货地点：采购人指定地点；</w:t>
            </w:r>
          </w:p>
          <w:p>
            <w:pPr>
              <w:tabs>
                <w:tab w:val="left" w:pos="9040"/>
              </w:tabs>
              <w:jc w:val="left"/>
              <w:rPr>
                <w:rFonts w:ascii="宋体" w:hAnsi="宋体" w:cs="宋体"/>
                <w:kern w:val="0"/>
                <w:szCs w:val="21"/>
              </w:rPr>
            </w:pPr>
            <w:r>
              <w:rPr>
                <w:rFonts w:hint="eastAsia" w:ascii="宋体" w:hAnsi="宋体" w:cs="宋体"/>
                <w:kern w:val="0"/>
                <w:szCs w:val="21"/>
              </w:rPr>
              <w:t>四、交货方式：现场交货。</w:t>
            </w:r>
          </w:p>
          <w:p>
            <w:pPr>
              <w:tabs>
                <w:tab w:val="left" w:pos="9040"/>
              </w:tabs>
              <w:jc w:val="left"/>
              <w:rPr>
                <w:rFonts w:ascii="宋体" w:hAnsi="宋体" w:cs="宋体"/>
                <w:kern w:val="0"/>
                <w:szCs w:val="21"/>
              </w:rPr>
            </w:pPr>
            <w:r>
              <w:rPr>
                <w:rFonts w:hint="eastAsia" w:ascii="宋体" w:hAnsi="宋体" w:cs="宋体"/>
                <w:kern w:val="0"/>
                <w:szCs w:val="21"/>
              </w:rPr>
              <w:t>五、售后服务要求：</w:t>
            </w:r>
          </w:p>
          <w:p>
            <w:pPr>
              <w:tabs>
                <w:tab w:val="left" w:pos="9040"/>
              </w:tabs>
              <w:jc w:val="left"/>
              <w:rPr>
                <w:rFonts w:hint="eastAsia" w:ascii="宋体" w:hAnsi="宋体" w:cs="宋体"/>
                <w:kern w:val="0"/>
                <w:szCs w:val="21"/>
              </w:rPr>
            </w:pPr>
            <w:r>
              <w:rPr>
                <w:rFonts w:hint="eastAsia" w:ascii="宋体" w:hAnsi="宋体" w:cs="宋体"/>
                <w:kern w:val="0"/>
                <w:szCs w:val="21"/>
              </w:rPr>
              <w:t>★1、自最终验收合格之日起计，整体系统集成项目质保期为</w:t>
            </w:r>
            <w:r>
              <w:rPr>
                <w:rFonts w:hint="eastAsia" w:ascii="宋体" w:hAnsi="宋体" w:cs="宋体"/>
                <w:kern w:val="0"/>
                <w:szCs w:val="21"/>
                <w:u w:val="single"/>
              </w:rPr>
              <w:t>3</w:t>
            </w:r>
            <w:r>
              <w:rPr>
                <w:rFonts w:hint="eastAsia" w:ascii="宋体" w:hAnsi="宋体" w:cs="宋体"/>
                <w:kern w:val="0"/>
                <w:szCs w:val="21"/>
              </w:rPr>
              <w:t>年。质保期内</w:t>
            </w:r>
            <w:r>
              <w:rPr>
                <w:rFonts w:hint="eastAsia" w:ascii="宋体" w:hAnsi="宋体" w:cs="宋体"/>
                <w:szCs w:val="21"/>
              </w:rPr>
              <w:t>成交供应商提供</w:t>
            </w:r>
            <w:r>
              <w:rPr>
                <w:rFonts w:hint="eastAsia" w:ascii="宋体" w:hAnsi="宋体" w:cs="宋体"/>
                <w:kern w:val="0"/>
                <w:szCs w:val="21"/>
              </w:rPr>
              <w:t>上门维修及定期巡检</w:t>
            </w:r>
            <w:r>
              <w:rPr>
                <w:rFonts w:hint="eastAsia" w:ascii="宋体" w:hAnsi="宋体" w:cs="宋体"/>
                <w:szCs w:val="21"/>
              </w:rPr>
              <w:t>服务，相关费用含在总报价中，不另行列出</w:t>
            </w:r>
            <w:r>
              <w:rPr>
                <w:rFonts w:hint="eastAsia" w:ascii="宋体" w:hAnsi="宋体"/>
                <w:szCs w:val="21"/>
              </w:rPr>
              <w:t>，若厂家质保期超过此年限的，合同履行过程中按厂家规定执行。</w:t>
            </w:r>
          </w:p>
          <w:p>
            <w:pPr>
              <w:tabs>
                <w:tab w:val="left" w:pos="9040"/>
              </w:tabs>
              <w:jc w:val="left"/>
              <w:rPr>
                <w:rFonts w:ascii="宋体" w:hAnsi="宋体" w:cs="宋体"/>
                <w:kern w:val="0"/>
                <w:szCs w:val="21"/>
              </w:rPr>
            </w:pPr>
            <w:r>
              <w:rPr>
                <w:rFonts w:hint="eastAsia" w:ascii="宋体" w:hAnsi="宋体" w:cs="宋体"/>
                <w:kern w:val="0"/>
                <w:szCs w:val="21"/>
              </w:rPr>
              <w:t>2、培训要求：</w:t>
            </w:r>
          </w:p>
          <w:p>
            <w:pPr>
              <w:tabs>
                <w:tab w:val="left" w:pos="9040"/>
              </w:tabs>
              <w:jc w:val="left"/>
              <w:rPr>
                <w:rFonts w:ascii="宋体" w:hAnsi="宋体" w:cs="宋体"/>
                <w:kern w:val="0"/>
                <w:szCs w:val="21"/>
              </w:rPr>
            </w:pPr>
            <w:r>
              <w:rPr>
                <w:rFonts w:hint="eastAsia" w:ascii="宋体" w:hAnsi="宋体" w:cs="宋体"/>
                <w:kern w:val="0"/>
                <w:szCs w:val="21"/>
              </w:rPr>
              <w:t>（1）在系统实施完成后，根据采购人要求，成交供应商提供不同设备或系统相关的业务培训，相关培训费用含在总报价中，不另行列出，响应文件中提供详细的人员培训方案。</w:t>
            </w:r>
          </w:p>
          <w:p>
            <w:pPr>
              <w:tabs>
                <w:tab w:val="left" w:pos="9040"/>
              </w:tabs>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成交供应商</w:t>
            </w:r>
            <w:r>
              <w:rPr>
                <w:rFonts w:hint="eastAsia" w:ascii="宋体" w:hAnsi="宋体" w:cs="宋体"/>
                <w:kern w:val="0"/>
                <w:szCs w:val="21"/>
              </w:rPr>
              <w:t>对采购人的管理人员、应用使用人员进行集中培训，确保参与培训人员，能够理解系统原理、系统功能，熟练掌握系统操作流程、常用功能等应用，能熟练掌握硬件设备的安装、使用，能掌握硬件设备运维技巧</w:t>
            </w:r>
            <w:r>
              <w:rPr>
                <w:rFonts w:hint="eastAsia" w:ascii="宋体" w:hAnsi="宋体" w:cs="宋体"/>
                <w:szCs w:val="21"/>
              </w:rPr>
              <w:t>；相关培训费用含在总报价中，不另行列出</w:t>
            </w:r>
            <w:r>
              <w:rPr>
                <w:rFonts w:hint="eastAsia" w:ascii="宋体" w:hAnsi="宋体" w:cs="宋体"/>
                <w:kern w:val="0"/>
                <w:szCs w:val="21"/>
              </w:rPr>
              <w:t>。</w:t>
            </w:r>
          </w:p>
          <w:p>
            <w:pPr>
              <w:tabs>
                <w:tab w:val="left" w:pos="9040"/>
              </w:tabs>
              <w:jc w:val="left"/>
              <w:rPr>
                <w:rFonts w:ascii="宋体" w:hAnsi="宋体" w:cs="宋体"/>
                <w:kern w:val="0"/>
                <w:szCs w:val="21"/>
              </w:rPr>
            </w:pPr>
            <w:r>
              <w:rPr>
                <w:rFonts w:hint="eastAsia" w:ascii="宋体" w:hAnsi="宋体" w:cs="宋体"/>
                <w:kern w:val="0"/>
                <w:szCs w:val="21"/>
              </w:rPr>
              <w:t>（3）培训地点、培训时间和期限由本项目采购人根据需要确定。</w:t>
            </w:r>
          </w:p>
          <w:p>
            <w:pPr>
              <w:tabs>
                <w:tab w:val="left" w:pos="9040"/>
              </w:tabs>
              <w:jc w:val="left"/>
              <w:rPr>
                <w:rFonts w:hint="eastAsia" w:ascii="宋体" w:hAnsi="宋体" w:cs="宋体"/>
                <w:kern w:val="0"/>
                <w:szCs w:val="21"/>
              </w:rPr>
            </w:pPr>
            <w:r>
              <w:rPr>
                <w:rFonts w:hint="eastAsia" w:ascii="宋体" w:hAnsi="宋体" w:cs="宋体"/>
                <w:kern w:val="0"/>
                <w:szCs w:val="21"/>
              </w:rPr>
              <w:t>3、本地化服务内容（包含但不限于）：</w:t>
            </w:r>
          </w:p>
          <w:p>
            <w:pPr>
              <w:pStyle w:val="2"/>
              <w:rPr>
                <w:b w:val="0"/>
                <w:color w:val="auto"/>
              </w:rPr>
            </w:pPr>
            <w:r>
              <w:rPr>
                <w:rFonts w:hint="eastAsia" w:ascii="宋体" w:hAnsi="宋体" w:cs="宋体"/>
                <w:b w:val="0"/>
                <w:color w:val="FF0000"/>
                <w:kern w:val="0"/>
                <w:szCs w:val="21"/>
              </w:rPr>
              <w:t xml:space="preserve"> </w:t>
            </w:r>
            <w:r>
              <w:rPr>
                <w:rFonts w:hint="eastAsia" w:ascii="宋体" w:hAnsi="宋体" w:cs="宋体"/>
                <w:kern w:val="0"/>
                <w:szCs w:val="21"/>
              </w:rPr>
              <w:t>★</w:t>
            </w:r>
            <w:r>
              <w:rPr>
                <w:rFonts w:hint="eastAsia" w:ascii="宋体" w:hAnsi="宋体" w:cs="宋体"/>
                <w:b w:val="0"/>
                <w:color w:val="auto"/>
                <w:kern w:val="0"/>
                <w:szCs w:val="21"/>
              </w:rPr>
              <w:t>(1)本地化服务能力:投标人在本市设有售后服务机构，可以是投标人公司或分支机构或授权的售后服务机构(提供售后服务协议复印件) ,提供相关证明文件复印件。</w:t>
            </w:r>
          </w:p>
          <w:p>
            <w:pPr>
              <w:tabs>
                <w:tab w:val="left" w:pos="9040"/>
              </w:tabs>
              <w:jc w:val="left"/>
              <w:rPr>
                <w:rFonts w:ascii="宋体" w:hAnsi="宋体" w:cs="宋体"/>
                <w:kern w:val="0"/>
                <w:szCs w:val="21"/>
              </w:rPr>
            </w:pPr>
            <w:r>
              <w:rPr>
                <w:rFonts w:hint="eastAsia" w:ascii="宋体" w:hAnsi="宋体" w:cs="宋体"/>
                <w:kern w:val="0"/>
                <w:szCs w:val="21"/>
              </w:rPr>
              <w:t>（2）质保期内，成交供应商对项目出现的各类问题进行修复、完善和升级</w:t>
            </w:r>
            <w:r>
              <w:rPr>
                <w:rFonts w:hint="eastAsia" w:ascii="宋体" w:hAnsi="宋体" w:cs="宋体"/>
                <w:szCs w:val="21"/>
              </w:rPr>
              <w:t>，相关费用含在总报价中，不另行列出</w:t>
            </w:r>
            <w:r>
              <w:rPr>
                <w:rFonts w:hint="eastAsia" w:ascii="宋体" w:hAnsi="宋体" w:cs="宋体"/>
                <w:kern w:val="0"/>
                <w:szCs w:val="21"/>
              </w:rPr>
              <w:t>。</w:t>
            </w:r>
          </w:p>
          <w:p>
            <w:pPr>
              <w:tabs>
                <w:tab w:val="left" w:pos="9040"/>
              </w:tabs>
              <w:jc w:val="left"/>
              <w:rPr>
                <w:rFonts w:ascii="宋体" w:hAnsi="宋体" w:cs="宋体"/>
                <w:kern w:val="0"/>
                <w:szCs w:val="21"/>
              </w:rPr>
            </w:pPr>
            <w:r>
              <w:rPr>
                <w:rFonts w:hint="eastAsia" w:ascii="宋体" w:hAnsi="宋体" w:cs="宋体"/>
                <w:kern w:val="0"/>
                <w:szCs w:val="21"/>
              </w:rPr>
              <w:t>（3）按照国家有关规定实行“三包”，质保期内</w:t>
            </w:r>
            <w:r>
              <w:rPr>
                <w:rFonts w:hint="eastAsia" w:ascii="宋体" w:hAnsi="宋体" w:cs="宋体"/>
                <w:szCs w:val="21"/>
              </w:rPr>
              <w:t>成交供应商提供</w:t>
            </w:r>
            <w:r>
              <w:rPr>
                <w:rFonts w:hint="eastAsia" w:ascii="宋体" w:hAnsi="宋体" w:cs="宋体"/>
                <w:kern w:val="0"/>
                <w:szCs w:val="21"/>
              </w:rPr>
              <w:t>上门服务维修和备品备件更换服务</w:t>
            </w:r>
            <w:r>
              <w:rPr>
                <w:rFonts w:hint="eastAsia" w:ascii="宋体" w:hAnsi="宋体" w:cs="宋体"/>
                <w:szCs w:val="21"/>
              </w:rPr>
              <w:t>，相关费用含在总报价中，不另行列出</w:t>
            </w:r>
            <w:r>
              <w:rPr>
                <w:rFonts w:hint="eastAsia" w:ascii="宋体" w:hAnsi="宋体" w:cs="宋体"/>
                <w:kern w:val="0"/>
                <w:szCs w:val="21"/>
              </w:rPr>
              <w:t>，提供终身维修、维护服务，随时提供备品备件及耗材等。</w:t>
            </w:r>
          </w:p>
          <w:p>
            <w:pPr>
              <w:tabs>
                <w:tab w:val="left" w:pos="9040"/>
              </w:tabs>
              <w:jc w:val="left"/>
              <w:rPr>
                <w:rFonts w:ascii="宋体" w:hAnsi="宋体" w:cs="宋体"/>
                <w:kern w:val="0"/>
                <w:szCs w:val="21"/>
              </w:rPr>
            </w:pPr>
            <w:r>
              <w:rPr>
                <w:rFonts w:hint="eastAsia" w:ascii="宋体" w:hAnsi="宋体" w:cs="宋体"/>
                <w:kern w:val="0"/>
                <w:szCs w:val="21"/>
              </w:rPr>
              <w:t>（4）在质量保证期内设备非因人为及不可抗拒因素的原因而引起损坏或质量问题，成交供应商应提供技术服务、维修或设备更换</w:t>
            </w:r>
            <w:r>
              <w:rPr>
                <w:rFonts w:hint="eastAsia" w:ascii="宋体" w:hAnsi="宋体" w:cs="宋体"/>
                <w:szCs w:val="21"/>
              </w:rPr>
              <w:t>服务，上述相应服务费用及与之相关的零部件的费用均含在总报价中，不另行列出；因人为因素出现的故障不在保修范围内，成交供应商也要积极帮助采购人修理，并提供优惠价格的配件和服务</w:t>
            </w:r>
            <w:r>
              <w:rPr>
                <w:rFonts w:hint="eastAsia" w:ascii="宋体" w:hAnsi="宋体" w:cs="宋体"/>
                <w:kern w:val="0"/>
                <w:szCs w:val="21"/>
              </w:rPr>
              <w:t>。</w:t>
            </w:r>
          </w:p>
          <w:p>
            <w:pPr>
              <w:tabs>
                <w:tab w:val="left" w:pos="9040"/>
              </w:tabs>
              <w:jc w:val="left"/>
              <w:rPr>
                <w:rFonts w:ascii="宋体" w:hAnsi="宋体" w:cs="宋体"/>
                <w:kern w:val="0"/>
                <w:szCs w:val="21"/>
              </w:rPr>
            </w:pPr>
            <w:r>
              <w:rPr>
                <w:rFonts w:hint="eastAsia" w:ascii="宋体" w:hAnsi="宋体" w:cs="宋体"/>
                <w:kern w:val="0"/>
                <w:szCs w:val="21"/>
              </w:rPr>
              <w:t>（5）质保期内，采购人如有重要活动等，成交供应商必须采取必要的技术手段保障系统正常运行。</w:t>
            </w:r>
          </w:p>
          <w:p>
            <w:pPr>
              <w:tabs>
                <w:tab w:val="left" w:pos="9040"/>
              </w:tabs>
              <w:jc w:val="left"/>
              <w:rPr>
                <w:rFonts w:ascii="宋体" w:hAnsi="宋体" w:cs="宋体"/>
                <w:kern w:val="0"/>
                <w:szCs w:val="21"/>
              </w:rPr>
            </w:pPr>
            <w:r>
              <w:rPr>
                <w:rFonts w:hint="eastAsia" w:ascii="宋体" w:hAnsi="宋体" w:cs="宋体"/>
                <w:kern w:val="0"/>
                <w:szCs w:val="21"/>
              </w:rPr>
              <w:t>4、故障响应时间：</w:t>
            </w:r>
          </w:p>
          <w:p>
            <w:pPr>
              <w:tabs>
                <w:tab w:val="left" w:pos="9040"/>
              </w:tabs>
              <w:jc w:val="left"/>
              <w:rPr>
                <w:rFonts w:ascii="宋体" w:hAnsi="宋体" w:cs="宋体"/>
                <w:kern w:val="0"/>
                <w:szCs w:val="21"/>
              </w:rPr>
            </w:pPr>
            <w:r>
              <w:rPr>
                <w:rFonts w:hint="eastAsia" w:ascii="宋体" w:hAnsi="宋体" w:cs="宋体"/>
                <w:kern w:val="0"/>
                <w:szCs w:val="21"/>
              </w:rPr>
              <w:t>（1）若本批采购的货物发生损坏，成交供应商应在30分钟内电话服务应答，</w:t>
            </w:r>
            <w:r>
              <w:rPr>
                <w:rFonts w:hint="eastAsia" w:ascii="宋体" w:hAnsi="宋体" w:cs="宋体"/>
                <w:color w:val="FF0000"/>
                <w:kern w:val="0"/>
                <w:szCs w:val="21"/>
              </w:rPr>
              <w:t>4</w:t>
            </w:r>
            <w:r>
              <w:rPr>
                <w:rFonts w:hint="eastAsia" w:ascii="宋体" w:hAnsi="宋体" w:cs="宋体"/>
                <w:kern w:val="0"/>
                <w:szCs w:val="21"/>
              </w:rPr>
              <w:t>个小时内现场维护响应，4小时内提供解决方案。特殊情况无法修复的，质保期内成交供应商应无条件更换新设备或提供代用设备；或采取使设备可正常运转的措施。</w:t>
            </w:r>
          </w:p>
          <w:p>
            <w:pPr>
              <w:tabs>
                <w:tab w:val="left" w:pos="9040"/>
              </w:tabs>
              <w:jc w:val="left"/>
              <w:rPr>
                <w:rFonts w:ascii="宋体" w:hAnsi="宋体" w:cs="宋体"/>
                <w:kern w:val="0"/>
                <w:szCs w:val="21"/>
              </w:rPr>
            </w:pPr>
            <w:r>
              <w:rPr>
                <w:rFonts w:hint="eastAsia" w:ascii="宋体" w:hAnsi="宋体" w:cs="宋体"/>
                <w:kern w:val="0"/>
                <w:szCs w:val="21"/>
              </w:rPr>
              <w:t>（2）成交供应商能提供7×24通过远程、上门服务、电话、E-mail等方式为用户提供终身完善的售前和售后技术咨询服务；</w:t>
            </w:r>
          </w:p>
          <w:p>
            <w:pPr>
              <w:tabs>
                <w:tab w:val="left" w:pos="9040"/>
              </w:tabs>
              <w:jc w:val="left"/>
              <w:rPr>
                <w:rFonts w:ascii="宋体" w:hAnsi="宋体" w:cs="宋体"/>
                <w:kern w:val="0"/>
                <w:szCs w:val="21"/>
              </w:rPr>
            </w:pPr>
            <w:r>
              <w:rPr>
                <w:rFonts w:hint="eastAsia" w:ascii="宋体" w:hAnsi="宋体" w:cs="宋体"/>
                <w:kern w:val="0"/>
                <w:szCs w:val="21"/>
              </w:rPr>
              <w:t>（3）每季度不少于1次定期回访及对系统进行维护，并出具巡检报告。</w:t>
            </w:r>
          </w:p>
          <w:p>
            <w:pPr>
              <w:tabs>
                <w:tab w:val="left" w:pos="9040"/>
              </w:tabs>
              <w:jc w:val="left"/>
              <w:rPr>
                <w:rFonts w:ascii="宋体" w:hAnsi="宋体" w:cs="宋体"/>
                <w:kern w:val="0"/>
                <w:szCs w:val="21"/>
              </w:rPr>
            </w:pPr>
            <w:r>
              <w:rPr>
                <w:rFonts w:hint="eastAsia" w:ascii="宋体" w:hAnsi="宋体" w:cs="宋体"/>
                <w:kern w:val="0"/>
                <w:szCs w:val="21"/>
              </w:rPr>
              <w:t>5、质保期后，成交供应商应明确承诺继续优惠提供维护服务</w:t>
            </w:r>
          </w:p>
          <w:p>
            <w:pPr>
              <w:tabs>
                <w:tab w:val="left" w:pos="9040"/>
              </w:tabs>
              <w:jc w:val="left"/>
              <w:rPr>
                <w:rFonts w:ascii="宋体" w:hAnsi="宋体" w:cs="宋体"/>
                <w:kern w:val="0"/>
                <w:szCs w:val="21"/>
              </w:rPr>
            </w:pPr>
            <w:r>
              <w:rPr>
                <w:rFonts w:hint="eastAsia" w:ascii="宋体" w:hAnsi="宋体" w:cs="宋体"/>
                <w:kern w:val="0"/>
                <w:szCs w:val="21"/>
              </w:rPr>
              <w:t>（1）承诺提供系统升级、故障排除、性能调优、技术咨询等售后技术支持服务；对于产品安全问题应及时提供补丁</w:t>
            </w:r>
            <w:r>
              <w:rPr>
                <w:rFonts w:hint="eastAsia" w:ascii="宋体" w:hAnsi="宋体" w:cs="宋体"/>
                <w:szCs w:val="21"/>
              </w:rPr>
              <w:t>，相关费用含在总报价中，不另行列出</w:t>
            </w:r>
            <w:r>
              <w:rPr>
                <w:rFonts w:hint="eastAsia" w:ascii="宋体" w:hAnsi="宋体" w:cs="宋体"/>
                <w:kern w:val="0"/>
                <w:szCs w:val="21"/>
              </w:rPr>
              <w:t>；</w:t>
            </w:r>
          </w:p>
          <w:p>
            <w:pPr>
              <w:tabs>
                <w:tab w:val="left" w:pos="9040"/>
              </w:tabs>
              <w:jc w:val="left"/>
              <w:rPr>
                <w:rFonts w:ascii="宋体" w:hAnsi="宋体" w:cs="宋体"/>
                <w:kern w:val="0"/>
                <w:szCs w:val="21"/>
              </w:rPr>
            </w:pPr>
            <w:r>
              <w:rPr>
                <w:rFonts w:hint="eastAsia" w:ascii="宋体" w:hAnsi="宋体" w:cs="宋体"/>
                <w:kern w:val="0"/>
                <w:szCs w:val="21"/>
              </w:rPr>
              <w:t>（2）质保期后，成交供应商应提交各项货物厂家售后服务电话，厂家技术人员联系手机，确保采购人质保期后，自行联系咨询技术人员。</w:t>
            </w:r>
          </w:p>
          <w:p>
            <w:pPr>
              <w:tabs>
                <w:tab w:val="left" w:pos="9040"/>
              </w:tabs>
              <w:jc w:val="left"/>
              <w:rPr>
                <w:rFonts w:ascii="宋体" w:hAnsi="宋体" w:cs="宋体"/>
                <w:kern w:val="0"/>
                <w:szCs w:val="21"/>
              </w:rPr>
            </w:pPr>
            <w:r>
              <w:rPr>
                <w:rFonts w:hint="eastAsia" w:ascii="宋体" w:hAnsi="宋体" w:cs="宋体"/>
                <w:kern w:val="0"/>
                <w:szCs w:val="21"/>
              </w:rPr>
              <w:t>（3）质保期满前1个月内成交供应商应负责对设备进行一次全面检查、维护，如发现潜在问题，应写出正式报告，并负责排除，保证设备正常运行</w:t>
            </w:r>
            <w:r>
              <w:rPr>
                <w:rFonts w:hint="eastAsia" w:ascii="宋体" w:hAnsi="宋体" w:cs="宋体"/>
                <w:szCs w:val="21"/>
              </w:rPr>
              <w:t>，此费用含在总报价中，不另行列出</w:t>
            </w:r>
            <w:r>
              <w:rPr>
                <w:rFonts w:hint="eastAsia" w:ascii="宋体" w:hAnsi="宋体" w:cs="宋体"/>
                <w:kern w:val="0"/>
                <w:szCs w:val="21"/>
              </w:rPr>
              <w:t>。</w:t>
            </w:r>
          </w:p>
          <w:p>
            <w:pPr>
              <w:tabs>
                <w:tab w:val="left" w:pos="9040"/>
              </w:tabs>
              <w:jc w:val="left"/>
              <w:rPr>
                <w:rFonts w:ascii="宋体" w:hAnsi="宋体" w:cs="宋体"/>
                <w:kern w:val="0"/>
                <w:szCs w:val="21"/>
              </w:rPr>
            </w:pPr>
            <w:r>
              <w:rPr>
                <w:rFonts w:hint="eastAsia" w:ascii="宋体" w:hAnsi="宋体" w:cs="宋体"/>
                <w:kern w:val="0"/>
                <w:szCs w:val="21"/>
              </w:rPr>
              <w:t>6、成交供应商如有违反上述保修服务条款或自身承诺，采购人有权没收造成损失的同时应承担赔偿责任。</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六、质量保障要求：</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1、工程质量要求</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（1）严格按国家、行业和地方现行的质量标准及规范组织施工及验收(以现行最高标准、最新规范为准)，并保证承包范围内的工程质量达到上述标准及规范规定的工程质量合格标准。</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（2）成交供应商对本项目的质量向采购人负责，其职责包括但不限于：</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（2.1）编制施工技术方案，确定施工技术措施；</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（2.2）提供和组织足够的工程技术人员，检查和控制工程施工质量；</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（2.3）控制施工所用的材料和工程设备，使其符合标准与规范、设计要求及合同约定的标准；</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（2.4）负责施工中出现质量问题或竣工验收不合格的返修工作；</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（2.5）参加工程的所有验收工作，包括隐蔽验收、中间验收、竣工验收；</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（2.6）承担质量保修期的工程保修责任；</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（2.7）其他工程质量责任。</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（3）因工程质量发生争议的，采购人有权委托有资质的工程质量检测机构进行鉴定，鉴定产生的全部费用由成交供应商承担。</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★（4）本项目主要设备及配件均为原厂生产，整机所有部件在原厂安装完毕，且整机测试合格。</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七、验收条件及标准：</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1、符合合同要求及国家相关标准；</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2、参数配置符合</w:t>
            </w:r>
            <w:r>
              <w:rPr>
                <w:rFonts w:hint="eastAsia" w:ascii="宋体" w:hAnsi="宋体" w:cs="宋体"/>
                <w:szCs w:val="21"/>
              </w:rPr>
              <w:t>竞争性谈判采购文件及成交供应商的响应文件的</w:t>
            </w:r>
            <w:r>
              <w:rPr>
                <w:rFonts w:hint="eastAsia" w:ascii="宋体" w:hAnsi="宋体" w:cs="宋体"/>
                <w:kern w:val="0"/>
                <w:szCs w:val="21"/>
              </w:rPr>
              <w:t>要求，无任何变动；</w:t>
            </w:r>
          </w:p>
          <w:p>
            <w:pPr>
              <w:pStyle w:val="2"/>
              <w:rPr>
                <w:b w:val="0"/>
                <w:color w:val="auto"/>
              </w:rPr>
            </w:pPr>
            <w:r>
              <w:rPr>
                <w:rFonts w:hint="eastAsia" w:ascii="宋体" w:hAnsi="宋体" w:cs="宋体"/>
                <w:b w:val="0"/>
                <w:color w:val="auto"/>
                <w:kern w:val="0"/>
                <w:szCs w:val="21"/>
              </w:rPr>
              <w:t>★3、</w:t>
            </w:r>
            <w:r>
              <w:rPr>
                <w:rFonts w:hint="eastAsia"/>
                <w:b w:val="0"/>
                <w:color w:val="auto"/>
              </w:rPr>
              <w:t>验收时提供视频会议终端厂家三年免费售后服务承诺书原件。</w:t>
            </w:r>
          </w:p>
          <w:p>
            <w:pPr>
              <w:widowControl/>
              <w:tabs>
                <w:tab w:val="left" w:pos="9040"/>
              </w:tabs>
              <w:jc w:val="left"/>
              <w:textAlignment w:val="center"/>
              <w:rPr>
                <w:rFonts w:ascii="宋体" w:hAnsi="宋体" w:cs="宋体"/>
                <w:kern w:val="0"/>
                <w:szCs w:val="21"/>
              </w:rPr>
            </w:pPr>
            <w:r>
              <w:rPr>
                <w:rFonts w:hint="eastAsia" w:ascii="宋体" w:hAnsi="宋体" w:cs="宋体"/>
                <w:kern w:val="0"/>
              </w:rPr>
              <w:t xml:space="preserve">★4、验收方法及方案： </w:t>
            </w:r>
            <w:r>
              <w:rPr>
                <w:rFonts w:hint="eastAsia" w:ascii="宋体" w:hAnsi="宋体" w:cs="宋体"/>
                <w:kern w:val="0"/>
              </w:rPr>
              <w:br w:type="textWrapping"/>
            </w:r>
            <w:r>
              <w:rPr>
                <w:rFonts w:hint="eastAsia" w:ascii="宋体" w:hAnsi="宋体" w:cs="宋体"/>
                <w:kern w:val="0"/>
              </w:rPr>
              <w:t>（1）验收方式：由采购人、成交供应商、使用方共同现场验收，并出具验收文书。有必要时可委托第三方（具备省级或以上质量技术监督部门颁发的计量认证资质CMA、国家实验室认证认可证书CNAS，且具备司法鉴定资质的检测机构）开展采购项目验收工作。如抽取的货物检测报告结果不合格的，则视为货物不合格，须按采购人要求及时整改，如因此过程耽误交货时间导致采购人不能及时接受货物、安装货物、使用货物造成损失的，成交供应商承担由此所造成全部损失。</w:t>
            </w:r>
            <w:r>
              <w:rPr>
                <w:rFonts w:hint="eastAsia" w:ascii="宋体" w:hAnsi="宋体" w:cs="宋体"/>
                <w:kern w:val="0"/>
              </w:rPr>
              <w:br w:type="textWrapping"/>
            </w:r>
            <w:r>
              <w:rPr>
                <w:rFonts w:hint="eastAsia" w:ascii="宋体" w:hAnsi="宋体" w:cs="宋体"/>
                <w:kern w:val="0"/>
              </w:rPr>
              <w:t xml:space="preserve"> (2）验收费用：验收所产生的劳务费、检验费（含抽检时可能对样品造成的物理伤害和破坏）、场保费及相关发生的全部费用均由成交供应商承担。</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5、所有货物必须是具备厂家合法渠道的全新正品，若采购人对所供产品有疑问的，要求成交供应商必须提供制造商针对本项目竞标产品的参数真实性证明、供货证明函及质量保修函，以上材料不全者，视为产品验收不合格，采购人有权不予验收。</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6、交货前不允许提前开箱、调试；货物备齐后通知采购人对货物进行清点、核实，由采购人、成交供应商双方派代表当场开箱验货，并按合同条款逐条检验签收后，双方代表签字，否则不予验收。如供货时出现有设备停产的情况，须提供具备与原设备技术参数要求相同或高于原设备技术参数要求的替代产品，并经采购人确认后方可更换。</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九、其他要求：</w:t>
            </w:r>
          </w:p>
          <w:p>
            <w:pPr>
              <w:tabs>
                <w:tab w:val="left" w:pos="9040"/>
              </w:tabs>
              <w:jc w:val="left"/>
              <w:rPr>
                <w:rFonts w:ascii="宋体" w:hAnsi="宋体" w:cs="宋体"/>
                <w:kern w:val="0"/>
                <w:szCs w:val="21"/>
              </w:rPr>
            </w:pPr>
            <w:r>
              <w:rPr>
                <w:rFonts w:hint="eastAsia" w:ascii="宋体" w:hAnsi="宋体" w:cs="宋体"/>
                <w:kern w:val="0"/>
                <w:szCs w:val="21"/>
              </w:rPr>
              <w:t>★1、谈判报价为采购人指定地点的现场交货价，包括：</w:t>
            </w:r>
          </w:p>
          <w:p>
            <w:pPr>
              <w:tabs>
                <w:tab w:val="left" w:pos="9040"/>
              </w:tabs>
              <w:jc w:val="left"/>
              <w:rPr>
                <w:rFonts w:ascii="宋体" w:hAnsi="宋体" w:cs="宋体"/>
                <w:kern w:val="0"/>
                <w:szCs w:val="21"/>
              </w:rPr>
            </w:pPr>
            <w:r>
              <w:rPr>
                <w:rFonts w:hint="eastAsia" w:ascii="宋体" w:hAnsi="宋体" w:cs="宋体"/>
                <w:kern w:val="0"/>
                <w:szCs w:val="21"/>
              </w:rPr>
              <w:t>（1）货物及标准附件、备品备件、专用工具的价格；</w:t>
            </w:r>
          </w:p>
          <w:p>
            <w:pPr>
              <w:tabs>
                <w:tab w:val="left" w:pos="9040"/>
              </w:tabs>
              <w:jc w:val="left"/>
              <w:rPr>
                <w:rFonts w:ascii="宋体" w:hAnsi="宋体" w:cs="宋体"/>
                <w:kern w:val="0"/>
                <w:szCs w:val="21"/>
              </w:rPr>
            </w:pPr>
            <w:r>
              <w:rPr>
                <w:rFonts w:hint="eastAsia" w:ascii="宋体" w:hAnsi="宋体" w:cs="宋体"/>
                <w:kern w:val="0"/>
                <w:szCs w:val="21"/>
              </w:rPr>
              <w:t>（2）其他费用（包括但不限于运输、装卸、软硬件部署、调试、培训、技术支持、售后服务、检测、更新升级等费用）；</w:t>
            </w:r>
          </w:p>
          <w:p>
            <w:pPr>
              <w:tabs>
                <w:tab w:val="left" w:pos="9040"/>
              </w:tabs>
              <w:jc w:val="left"/>
              <w:rPr>
                <w:rFonts w:ascii="宋体" w:hAnsi="宋体" w:cs="宋体"/>
                <w:kern w:val="0"/>
                <w:szCs w:val="21"/>
              </w:rPr>
            </w:pPr>
            <w:r>
              <w:rPr>
                <w:rFonts w:hint="eastAsia" w:ascii="宋体" w:hAnsi="宋体" w:cs="宋体"/>
                <w:kern w:val="0"/>
                <w:szCs w:val="21"/>
              </w:rPr>
              <w:t>（3）必要的保险费用和各项税费；</w:t>
            </w:r>
          </w:p>
          <w:p>
            <w:pPr>
              <w:tabs>
                <w:tab w:val="left" w:pos="9040"/>
              </w:tabs>
              <w:jc w:val="left"/>
              <w:rPr>
                <w:rFonts w:ascii="宋体" w:hAnsi="宋体" w:cs="宋体"/>
                <w:kern w:val="0"/>
                <w:szCs w:val="21"/>
              </w:rPr>
            </w:pPr>
            <w:r>
              <w:rPr>
                <w:rFonts w:hint="eastAsia" w:ascii="宋体" w:hAnsi="宋体" w:cs="宋体"/>
                <w:kern w:val="0"/>
                <w:szCs w:val="21"/>
              </w:rPr>
              <w:t>（4）安装费用（包括但不限于各类硬件、系统软件等的安装、集成、试运行等费用）；</w:t>
            </w:r>
          </w:p>
          <w:p>
            <w:pPr>
              <w:tabs>
                <w:tab w:val="left" w:pos="9040"/>
              </w:tabs>
              <w:jc w:val="left"/>
              <w:rPr>
                <w:rFonts w:ascii="宋体" w:hAnsi="宋体" w:cs="宋体"/>
                <w:kern w:val="0"/>
                <w:szCs w:val="21"/>
              </w:rPr>
            </w:pPr>
            <w:r>
              <w:rPr>
                <w:rFonts w:hint="eastAsia" w:ascii="宋体" w:hAnsi="宋体" w:cs="宋体"/>
                <w:kern w:val="0"/>
                <w:szCs w:val="21"/>
              </w:rPr>
              <w:t>（5）设备安装、培训（含教材费、场地租用费）、送货上门的费用；</w:t>
            </w:r>
          </w:p>
          <w:p>
            <w:pPr>
              <w:tabs>
                <w:tab w:val="left" w:pos="9040"/>
              </w:tabs>
              <w:jc w:val="left"/>
              <w:rPr>
                <w:rFonts w:ascii="宋体" w:hAnsi="宋体" w:cs="宋体"/>
                <w:kern w:val="0"/>
                <w:szCs w:val="21"/>
              </w:rPr>
            </w:pPr>
            <w:r>
              <w:rPr>
                <w:rFonts w:hint="eastAsia" w:ascii="宋体" w:hAnsi="宋体" w:cs="宋体"/>
                <w:kern w:val="0"/>
                <w:szCs w:val="21"/>
              </w:rPr>
              <w:t>（6）与各类相关系统对接的费用。</w:t>
            </w:r>
          </w:p>
          <w:p>
            <w:pPr>
              <w:tabs>
                <w:tab w:val="left" w:pos="9040"/>
              </w:tabs>
              <w:jc w:val="left"/>
              <w:rPr>
                <w:rFonts w:ascii="宋体" w:hAnsi="宋体" w:cs="宋体"/>
                <w:kern w:val="0"/>
                <w:szCs w:val="21"/>
              </w:rPr>
            </w:pPr>
            <w:r>
              <w:rPr>
                <w:rFonts w:hint="eastAsia" w:ascii="宋体" w:hAnsi="宋体" w:cs="宋体"/>
                <w:kern w:val="0"/>
                <w:szCs w:val="21"/>
              </w:rPr>
              <w:t>（7）到现场验收的费用；</w:t>
            </w:r>
          </w:p>
          <w:p>
            <w:pPr>
              <w:tabs>
                <w:tab w:val="left" w:pos="9040"/>
              </w:tabs>
              <w:jc w:val="left"/>
              <w:rPr>
                <w:rFonts w:ascii="宋体" w:hAnsi="宋体" w:cs="宋体"/>
                <w:kern w:val="0"/>
                <w:szCs w:val="21"/>
              </w:rPr>
            </w:pPr>
            <w:r>
              <w:rPr>
                <w:rFonts w:hint="eastAsia" w:ascii="宋体" w:hAnsi="宋体" w:cs="宋体"/>
                <w:kern w:val="0"/>
                <w:szCs w:val="21"/>
              </w:rPr>
              <w:t>（8）整个项目所有需要的设备、外设、线缆、管材及埋管并完成所有工程和服务，以及施工时对装饰面、其它专业造成的破坏进行修补等及其他所有成本及合同包含的应有环保、文明施工、安全施工、风险费、责任等费用。</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★2、付款方式：本项目无预付款，供应商交货安装完毕并验收合格后，一次性支付合同款。</w:t>
            </w:r>
          </w:p>
          <w:p>
            <w:pPr>
              <w:widowControl/>
              <w:tabs>
                <w:tab w:val="left" w:pos="9040"/>
              </w:tabs>
              <w:jc w:val="left"/>
              <w:textAlignment w:val="center"/>
              <w:rPr>
                <w:rFonts w:ascii="宋体" w:hAnsi="宋体" w:cs="宋体"/>
                <w:kern w:val="0"/>
                <w:szCs w:val="21"/>
              </w:rPr>
            </w:pPr>
            <w:r>
              <w:rPr>
                <w:rFonts w:hint="eastAsia" w:ascii="宋体" w:hAnsi="宋体" w:cs="宋体"/>
                <w:kern w:val="0"/>
                <w:szCs w:val="21"/>
              </w:rPr>
              <w:t>3、备品备件及耗材等要求：成交供应商应按成交价或优于市场价提供相关配件和服务。</w:t>
            </w:r>
          </w:p>
          <w:p>
            <w:pPr>
              <w:widowControl/>
              <w:jc w:val="left"/>
              <w:rPr>
                <w:rFonts w:ascii="宋体" w:hAnsi="宋体" w:cs="宋体"/>
                <w:kern w:val="0"/>
                <w:szCs w:val="21"/>
              </w:rPr>
            </w:pPr>
            <w:r>
              <w:rPr>
                <w:rFonts w:hint="eastAsia" w:ascii="宋体" w:hAnsi="宋体" w:cs="宋体"/>
                <w:kern w:val="0"/>
                <w:szCs w:val="21"/>
              </w:rPr>
              <w:t>★4、成交供应商在施工前，应结合实地图纸出具强、弱电管道走线（强电和弱电须分开穿管走线）和安装点位图纸交予学校保存，以便日后检修维护。</w:t>
            </w:r>
          </w:p>
          <w:p>
            <w:pPr>
              <w:widowControl/>
              <w:jc w:val="left"/>
              <w:rPr>
                <w:rFonts w:ascii="宋体" w:hAnsi="宋体" w:cs="宋体"/>
                <w:szCs w:val="21"/>
              </w:rPr>
            </w:pPr>
            <w:r>
              <w:rPr>
                <w:rFonts w:hint="eastAsia" w:ascii="宋体" w:hAnsi="宋体" w:cs="宋体"/>
              </w:rPr>
              <w:t>★</w:t>
            </w:r>
            <w:r>
              <w:t>5</w:t>
            </w:r>
            <w:r>
              <w:rPr>
                <w:rFonts w:hint="eastAsia"/>
              </w:rPr>
              <w:t>、此项目成交人必须保证按时交货安装调试完毕，否则，将承担相关责任。</w:t>
            </w:r>
            <w:r>
              <w:br w:type="textWrapping"/>
            </w:r>
            <w:r>
              <w:rPr>
                <w:rFonts w:hint="eastAsia" w:ascii="宋体" w:hAnsi="宋体" w:cs="宋体"/>
              </w:rPr>
              <w:t>★</w:t>
            </w:r>
            <w:r>
              <w:t>6</w:t>
            </w:r>
            <w:r>
              <w:rPr>
                <w:rFonts w:hint="eastAsia"/>
              </w:rPr>
              <w:t>、成交后，按照合同要求执行相关要求，若合同与学校实际情况有出入的，以学校实际情况为准。</w:t>
            </w:r>
          </w:p>
        </w:tc>
      </w:tr>
    </w:tbl>
    <w:p>
      <w:pPr>
        <w:spacing w:line="320" w:lineRule="exact"/>
        <w:ind w:firstLine="480" w:firstLineChars="200"/>
        <w:rPr>
          <w:rFonts w:hAnsi="宋体"/>
          <w:color w:val="0000FF"/>
          <w:sz w:val="24"/>
        </w:rPr>
      </w:pPr>
    </w:p>
    <w:p>
      <w:pPr>
        <w:pStyle w:val="24"/>
        <w:snapToGrid w:val="0"/>
        <w:spacing w:before="120" w:after="120"/>
        <w:outlineLvl w:val="0"/>
        <w:rPr>
          <w:rFonts w:hAnsi="宋体"/>
          <w:b/>
          <w:sz w:val="44"/>
          <w:szCs w:val="44"/>
        </w:rPr>
      </w:pPr>
      <w:r>
        <w:rPr>
          <w:rFonts w:hAnsi="宋体"/>
          <w:b/>
          <w:sz w:val="44"/>
          <w:szCs w:val="44"/>
        </w:rPr>
        <w:br w:type="page"/>
      </w:r>
    </w:p>
    <w:p>
      <w:pPr>
        <w:pStyle w:val="24"/>
        <w:snapToGrid w:val="0"/>
        <w:spacing w:before="120" w:after="120"/>
        <w:jc w:val="center"/>
        <w:outlineLvl w:val="0"/>
        <w:rPr>
          <w:rFonts w:hAnsi="宋体"/>
          <w:b/>
          <w:sz w:val="44"/>
          <w:szCs w:val="44"/>
        </w:rPr>
      </w:pPr>
    </w:p>
    <w:p>
      <w:pPr>
        <w:pStyle w:val="24"/>
        <w:snapToGrid w:val="0"/>
        <w:spacing w:before="120" w:after="120"/>
        <w:jc w:val="center"/>
        <w:outlineLvl w:val="0"/>
        <w:rPr>
          <w:rFonts w:hAnsi="宋体"/>
          <w:b/>
          <w:sz w:val="44"/>
          <w:szCs w:val="44"/>
        </w:rPr>
      </w:pPr>
    </w:p>
    <w:p>
      <w:pPr>
        <w:pStyle w:val="24"/>
        <w:snapToGrid w:val="0"/>
        <w:spacing w:before="120" w:after="120"/>
        <w:jc w:val="center"/>
        <w:outlineLvl w:val="0"/>
        <w:rPr>
          <w:rFonts w:hAnsi="宋体"/>
          <w:b/>
          <w:sz w:val="44"/>
          <w:szCs w:val="44"/>
        </w:rPr>
      </w:pPr>
    </w:p>
    <w:p>
      <w:pPr>
        <w:pStyle w:val="24"/>
        <w:snapToGrid w:val="0"/>
        <w:spacing w:before="120" w:after="120"/>
        <w:jc w:val="center"/>
        <w:outlineLvl w:val="0"/>
        <w:rPr>
          <w:rFonts w:hAnsi="宋体"/>
          <w:b/>
          <w:sz w:val="44"/>
          <w:szCs w:val="44"/>
        </w:rPr>
      </w:pPr>
    </w:p>
    <w:p>
      <w:pPr>
        <w:pStyle w:val="24"/>
        <w:snapToGrid w:val="0"/>
        <w:spacing w:before="120" w:after="120"/>
        <w:jc w:val="center"/>
        <w:outlineLvl w:val="0"/>
        <w:rPr>
          <w:rFonts w:hAnsi="宋体"/>
          <w:b/>
          <w:sz w:val="44"/>
          <w:szCs w:val="44"/>
        </w:rPr>
      </w:pPr>
    </w:p>
    <w:p>
      <w:pPr>
        <w:pStyle w:val="24"/>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r>
        <w:rPr>
          <w:rFonts w:ascii="宋体" w:hAnsi="宋体"/>
          <w:sz w:val="24"/>
        </w:rPr>
        <w:br w:type="page"/>
      </w:r>
    </w:p>
    <w:p>
      <w:pPr>
        <w:jc w:val="center"/>
        <w:rPr>
          <w:rFonts w:ascii="宋体" w:hAnsi="宋体"/>
          <w:sz w:val="24"/>
        </w:rPr>
      </w:pPr>
    </w:p>
    <w:p>
      <w:pPr>
        <w:jc w:val="center"/>
        <w:rPr>
          <w:rFonts w:ascii="宋体" w:hAnsi="宋体"/>
          <w:sz w:val="24"/>
        </w:rPr>
      </w:pPr>
    </w:p>
    <w:p>
      <w:pPr>
        <w:jc w:val="center"/>
        <w:rPr>
          <w:rFonts w:ascii="宋体" w:hAnsi="宋体"/>
          <w:sz w:val="44"/>
          <w:szCs w:val="44"/>
        </w:rPr>
      </w:pPr>
      <w:r>
        <w:rPr>
          <w:rFonts w:hint="eastAsia" w:ascii="宋体" w:hAnsi="宋体"/>
          <w:b/>
          <w:sz w:val="44"/>
          <w:szCs w:val="44"/>
        </w:rPr>
        <w:t>竞争性谈判响应文件（封面）</w:t>
      </w: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采购项目编号：</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rPr>
      </w:pPr>
      <w:r>
        <w:rPr>
          <w:rFonts w:hint="eastAsia" w:ascii="宋体" w:hAnsi="宋体"/>
          <w:sz w:val="32"/>
          <w:szCs w:val="32"/>
        </w:rPr>
        <w:t>采购项目名称：</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rPr>
      </w:pPr>
      <w:r>
        <w:rPr>
          <w:rFonts w:hint="eastAsia" w:ascii="宋体" w:hAnsi="宋体"/>
          <w:sz w:val="32"/>
          <w:szCs w:val="32"/>
        </w:rPr>
        <w:t>谈判供应商邮箱：</w:t>
      </w:r>
    </w:p>
    <w:p>
      <w:pPr>
        <w:ind w:firstLine="800" w:firstLineChars="250"/>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w:t>
      </w:r>
      <w:r>
        <w:rPr>
          <w:rFonts w:hint="eastAsia" w:ascii="宋体" w:hAnsi="宋体"/>
          <w:sz w:val="32"/>
          <w:szCs w:val="32"/>
          <w:u w:val="single"/>
        </w:rPr>
        <w:t xml:space="preserve">                   </w:t>
      </w:r>
      <w:r>
        <w:rPr>
          <w:rFonts w:hint="eastAsia" w:ascii="宋体" w:hAnsi="宋体"/>
          <w:sz w:val="32"/>
          <w:szCs w:val="32"/>
        </w:rPr>
        <w:t>（谈判供应商名称）</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    月    日</w:t>
      </w:r>
    </w:p>
    <w:p>
      <w:pPr>
        <w:rPr>
          <w:rFonts w:ascii="宋体" w:hAnsi="宋体"/>
          <w:sz w:val="24"/>
        </w:rPr>
      </w:pPr>
    </w:p>
    <w:p>
      <w:pPr>
        <w:rPr>
          <w:rFonts w:ascii="宋体" w:hAnsi="宋体"/>
          <w:sz w:val="24"/>
        </w:rPr>
      </w:pPr>
    </w:p>
    <w:p>
      <w:pPr>
        <w:rPr>
          <w:rFonts w:ascii="宋体" w:hAnsi="宋体"/>
          <w:sz w:val="24"/>
        </w:rPr>
      </w:pPr>
    </w:p>
    <w:p>
      <w:pPr>
        <w:snapToGrid w:val="0"/>
        <w:spacing w:before="50" w:after="50"/>
        <w:ind w:right="-178" w:rightChars="-85"/>
        <w:rPr>
          <w:rFonts w:hAnsi="宋体"/>
          <w:b/>
          <w:bCs/>
          <w:szCs w:val="21"/>
        </w:rPr>
      </w:pPr>
      <w:r>
        <w:rPr>
          <w:rFonts w:ascii="宋体" w:hAnsi="宋体"/>
          <w:sz w:val="24"/>
        </w:rPr>
        <w:br w:type="page"/>
      </w:r>
      <w:r>
        <w:rPr>
          <w:rFonts w:hint="eastAsia" w:hAnsi="宋体"/>
          <w:b/>
          <w:bCs/>
          <w:szCs w:val="21"/>
        </w:rPr>
        <w:t>响应文件目录：</w:t>
      </w:r>
    </w:p>
    <w:p>
      <w:pPr>
        <w:snapToGrid w:val="0"/>
        <w:spacing w:before="50" w:after="50"/>
        <w:ind w:right="-178" w:rightChars="-85"/>
        <w:rPr>
          <w:rFonts w:hAnsi="宋体"/>
          <w:sz w:val="44"/>
          <w:szCs w:val="44"/>
        </w:rPr>
      </w:pPr>
    </w:p>
    <w:p>
      <w:pPr>
        <w:tabs>
          <w:tab w:val="left" w:pos="3870"/>
          <w:tab w:val="left" w:pos="4085"/>
        </w:tabs>
        <w:snapToGrid w:val="0"/>
        <w:spacing w:line="500" w:lineRule="exact"/>
        <w:ind w:right="-178" w:rightChars="-85"/>
        <w:jc w:val="center"/>
        <w:rPr>
          <w:rFonts w:hAnsi="宋体"/>
          <w:sz w:val="44"/>
          <w:szCs w:val="44"/>
        </w:rPr>
      </w:pPr>
      <w:r>
        <w:rPr>
          <w:rFonts w:hint="eastAsia" w:hAnsi="宋体"/>
          <w:sz w:val="44"/>
          <w:szCs w:val="44"/>
        </w:rPr>
        <w:t>目    录</w:t>
      </w:r>
    </w:p>
    <w:p>
      <w:pPr>
        <w:jc w:val="center"/>
        <w:rPr>
          <w:rFonts w:ascii="宋体" w:hAnsi="宋体"/>
          <w:b/>
          <w:sz w:val="24"/>
        </w:rPr>
      </w:pPr>
      <w:r>
        <w:rPr>
          <w:rFonts w:hint="eastAsia" w:hAnsi="宋体"/>
          <w:b/>
          <w:sz w:val="24"/>
        </w:rPr>
        <w:t>（格式自拟，按供应商须知</w:t>
      </w:r>
      <w:r>
        <w:rPr>
          <w:rFonts w:hint="eastAsia" w:ascii="宋体" w:hAnsi="宋体"/>
          <w:b/>
          <w:sz w:val="24"/>
        </w:rPr>
        <w:t>5.6 “竞争性谈判响应文件的组成”顺序）</w:t>
      </w:r>
    </w:p>
    <w:p>
      <w:pPr>
        <w:jc w:val="cente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附件一 </w:t>
      </w:r>
    </w:p>
    <w:p>
      <w:pPr>
        <w:pStyle w:val="24"/>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4"/>
        <w:spacing w:line="360" w:lineRule="exact"/>
        <w:ind w:firstLine="420"/>
        <w:rPr>
          <w:rFonts w:hAnsi="宋体"/>
        </w:rPr>
      </w:pPr>
      <w:r>
        <w:rPr>
          <w:rFonts w:hint="eastAsia" w:hAnsi="宋体"/>
        </w:rPr>
        <w:t xml:space="preserve">根据贵方项目谈判文件，项目编号 ，签字代表（姓名）经正式授权并代表供应商 </w:t>
      </w:r>
      <w:r>
        <w:rPr>
          <w:rFonts w:hint="eastAsia" w:hAnsi="宋体"/>
          <w:u w:val="single"/>
        </w:rPr>
        <w:t xml:space="preserve">                                   （</w:t>
      </w:r>
      <w:r>
        <w:rPr>
          <w:rFonts w:hint="eastAsia" w:hAnsi="宋体"/>
        </w:rPr>
        <w:t>供应商单位名称，</w:t>
      </w:r>
      <w:r>
        <w:rPr>
          <w:rFonts w:hint="eastAsia" w:hAnsi="宋体"/>
          <w:b/>
        </w:rPr>
        <w:t>如为联合体的，则为联合体各成员的单位名称</w:t>
      </w:r>
      <w:r>
        <w:rPr>
          <w:rFonts w:hint="eastAsia" w:hAnsi="宋体"/>
        </w:rPr>
        <w:t>），提交响应文件正本一份，副本</w:t>
      </w:r>
      <w:r>
        <w:rPr>
          <w:rFonts w:hint="eastAsia" w:hAnsi="宋体"/>
          <w:u w:val="single"/>
        </w:rPr>
        <w:t xml:space="preserve"> 二  </w:t>
      </w:r>
      <w:r>
        <w:rPr>
          <w:rFonts w:hint="eastAsia" w:hAnsi="宋体"/>
        </w:rPr>
        <w:t>份。</w:t>
      </w:r>
    </w:p>
    <w:p>
      <w:pPr>
        <w:pStyle w:val="24"/>
        <w:spacing w:line="360" w:lineRule="exact"/>
        <w:ind w:firstLine="420"/>
        <w:rPr>
          <w:rFonts w:hAnsi="宋体"/>
        </w:rPr>
      </w:pPr>
      <w:r>
        <w:rPr>
          <w:rFonts w:hint="eastAsia" w:hAnsi="宋体"/>
        </w:rPr>
        <w:t>据此函，签字代表宣布同意如下：</w:t>
      </w:r>
    </w:p>
    <w:p>
      <w:pPr>
        <w:pStyle w:val="24"/>
        <w:spacing w:line="360" w:lineRule="exact"/>
        <w:ind w:firstLine="420"/>
        <w:rPr>
          <w:rFonts w:hAnsi="宋体"/>
        </w:rPr>
      </w:pPr>
      <w:r>
        <w:rPr>
          <w:rFonts w:hint="eastAsia" w:hAnsi="宋体"/>
        </w:rPr>
        <w:t>1. 按谈判文件采购需求和谈判报价表：</w:t>
      </w:r>
    </w:p>
    <w:p>
      <w:pPr>
        <w:pStyle w:val="24"/>
        <w:spacing w:line="360" w:lineRule="exact"/>
        <w:ind w:firstLine="420"/>
        <w:rPr>
          <w:rFonts w:hAnsi="宋体"/>
        </w:rPr>
      </w:pPr>
      <w:r>
        <w:rPr>
          <w:rFonts w:hint="eastAsia" w:hAnsi="宋体"/>
        </w:rPr>
        <w:t>谈判总报价（大写）元人民币(￥)，</w:t>
      </w:r>
    </w:p>
    <w:p>
      <w:pPr>
        <w:pStyle w:val="24"/>
        <w:spacing w:line="360" w:lineRule="exact"/>
        <w:ind w:firstLine="420"/>
        <w:rPr>
          <w:rFonts w:hAnsi="宋体"/>
        </w:rPr>
      </w:pPr>
      <w:r>
        <w:rPr>
          <w:rFonts w:hint="eastAsia" w:hAnsi="宋体"/>
        </w:rPr>
        <w:t>2.我方承诺已具备谈判文件规定的供应商资格条件。</w:t>
      </w:r>
    </w:p>
    <w:p>
      <w:pPr>
        <w:pStyle w:val="24"/>
        <w:spacing w:line="360" w:lineRule="exact"/>
        <w:ind w:firstLine="420"/>
        <w:rPr>
          <w:rFonts w:hAnsi="宋体"/>
        </w:rPr>
      </w:pPr>
      <w:r>
        <w:rPr>
          <w:rFonts w:hint="eastAsia" w:hAnsi="宋体"/>
        </w:rPr>
        <w:t>3.我方已详细审核谈判文件，包括修改文件（如有的话）和有关附件，将自行承担因对全部谈判文件理解不正确或误解而产生的相应后果。</w:t>
      </w:r>
    </w:p>
    <w:p>
      <w:pPr>
        <w:pStyle w:val="24"/>
        <w:spacing w:line="360" w:lineRule="exact"/>
        <w:ind w:firstLine="420"/>
        <w:rPr>
          <w:rFonts w:hAnsi="宋体"/>
        </w:rPr>
      </w:pPr>
      <w:r>
        <w:rPr>
          <w:rFonts w:hint="eastAsia" w:hAnsi="宋体"/>
        </w:rPr>
        <w:t>4. 响应文件有效期为响应文件递交截止时间之日起60天。</w:t>
      </w:r>
    </w:p>
    <w:p>
      <w:pPr>
        <w:pStyle w:val="24"/>
        <w:spacing w:line="360" w:lineRule="exact"/>
        <w:ind w:firstLine="420"/>
        <w:rPr>
          <w:rFonts w:hAnsi="宋体"/>
        </w:rPr>
      </w:pPr>
      <w:r>
        <w:rPr>
          <w:rFonts w:hint="eastAsia" w:hAnsi="宋体"/>
        </w:rPr>
        <w:t>5. 如我方成交：</w:t>
      </w:r>
    </w:p>
    <w:p>
      <w:pPr>
        <w:pStyle w:val="24"/>
        <w:spacing w:line="360" w:lineRule="exact"/>
        <w:ind w:firstLine="420"/>
        <w:rPr>
          <w:rFonts w:hAnsi="宋体"/>
        </w:rPr>
      </w:pPr>
      <w:r>
        <w:rPr>
          <w:rFonts w:hint="eastAsia" w:hAnsi="宋体"/>
        </w:rPr>
        <w:t>（1）我方承诺在收到成交通知书后，在成交通知书规定的期限内与采购人签订合同。</w:t>
      </w:r>
    </w:p>
    <w:p>
      <w:pPr>
        <w:pStyle w:val="24"/>
        <w:spacing w:line="360" w:lineRule="exact"/>
        <w:ind w:firstLine="420"/>
        <w:rPr>
          <w:rFonts w:hAnsi="宋体"/>
        </w:rPr>
      </w:pPr>
      <w:r>
        <w:rPr>
          <w:rFonts w:hint="eastAsia" w:hAnsi="宋体"/>
        </w:rPr>
        <w:t>（2）我方承诺本响应文件至本项目合同履行完毕止均保持有效，按谈判文件及政府采购法律、法规的规定履行合同责任和义务。</w:t>
      </w:r>
    </w:p>
    <w:p>
      <w:pPr>
        <w:pStyle w:val="24"/>
        <w:spacing w:line="360" w:lineRule="exact"/>
        <w:ind w:firstLine="420"/>
        <w:rPr>
          <w:rFonts w:hAnsi="宋体"/>
        </w:rPr>
      </w:pPr>
      <w:r>
        <w:rPr>
          <w:rFonts w:hint="eastAsia" w:hAnsi="宋体"/>
        </w:rPr>
        <w:t>与本项目有关的正式通讯地址为：</w:t>
      </w:r>
    </w:p>
    <w:p>
      <w:pPr>
        <w:pStyle w:val="24"/>
        <w:spacing w:line="400" w:lineRule="exact"/>
        <w:ind w:firstLine="420"/>
        <w:rPr>
          <w:rFonts w:hAnsi="宋体"/>
        </w:rPr>
      </w:pPr>
    </w:p>
    <w:p>
      <w:pPr>
        <w:pStyle w:val="24"/>
        <w:spacing w:line="400" w:lineRule="exact"/>
        <w:ind w:firstLine="420"/>
        <w:rPr>
          <w:rFonts w:hAnsi="宋体"/>
          <w:u w:val="single"/>
        </w:rPr>
      </w:pPr>
      <w:r>
        <w:rPr>
          <w:rFonts w:hint="eastAsia" w:hAnsi="宋体"/>
        </w:rPr>
        <w:t>地址： 邮编：  电话、传真：</w:t>
      </w:r>
    </w:p>
    <w:p>
      <w:pPr>
        <w:pStyle w:val="24"/>
        <w:spacing w:line="400" w:lineRule="exact"/>
        <w:ind w:firstLine="420"/>
        <w:rPr>
          <w:rFonts w:hAnsi="宋体"/>
        </w:rPr>
      </w:pPr>
      <w:r>
        <w:rPr>
          <w:rFonts w:hint="eastAsia" w:hAnsi="宋体"/>
        </w:rPr>
        <w:t>开户名称：</w:t>
      </w:r>
    </w:p>
    <w:p>
      <w:pPr>
        <w:pStyle w:val="24"/>
        <w:spacing w:line="400" w:lineRule="exact"/>
        <w:ind w:firstLine="420"/>
        <w:rPr>
          <w:rFonts w:hAnsi="宋体"/>
        </w:rPr>
      </w:pPr>
      <w:r>
        <w:rPr>
          <w:rFonts w:hint="eastAsia" w:hAnsi="宋体"/>
        </w:rPr>
        <w:t>开户银行：</w:t>
      </w:r>
      <w:r>
        <w:rPr>
          <w:rFonts w:hint="eastAsia" w:hAnsi="宋体"/>
          <w:u w:val="single"/>
        </w:rPr>
        <w:t xml:space="preserve">                               　       </w:t>
      </w:r>
    </w:p>
    <w:p>
      <w:pPr>
        <w:pStyle w:val="24"/>
        <w:spacing w:line="400" w:lineRule="exact"/>
        <w:ind w:firstLine="420"/>
        <w:rPr>
          <w:rFonts w:hAnsi="宋体"/>
        </w:rPr>
      </w:pPr>
      <w:r>
        <w:rPr>
          <w:rFonts w:hint="eastAsia" w:hAnsi="宋体"/>
        </w:rPr>
        <w:t>账号：</w:t>
      </w:r>
      <w:r>
        <w:rPr>
          <w:rFonts w:hint="eastAsia" w:hAnsi="宋体"/>
          <w:u w:val="single"/>
        </w:rPr>
        <w:t xml:space="preserve">                                   　　　   </w:t>
      </w:r>
    </w:p>
    <w:p>
      <w:pPr>
        <w:pStyle w:val="24"/>
        <w:spacing w:line="360" w:lineRule="exact"/>
        <w:ind w:firstLine="420"/>
        <w:rPr>
          <w:rFonts w:hAnsi="宋体"/>
        </w:rPr>
      </w:pPr>
      <w:r>
        <w:rPr>
          <w:rFonts w:hint="eastAsia" w:hAnsi="宋体"/>
        </w:rPr>
        <w:t>供应商（公章，自然人除外）：</w:t>
      </w:r>
    </w:p>
    <w:p>
      <w:pPr>
        <w:pStyle w:val="24"/>
        <w:spacing w:line="400" w:lineRule="exact"/>
        <w:ind w:firstLine="420"/>
        <w:rPr>
          <w:rFonts w:hAnsi="宋体"/>
          <w:u w:val="single"/>
        </w:rPr>
      </w:pPr>
      <w:r>
        <w:rPr>
          <w:rFonts w:hint="eastAsia" w:hAnsi="宋体"/>
        </w:rPr>
        <w:t>法定代表人</w:t>
      </w:r>
      <w:r>
        <w:rPr>
          <w:rFonts w:hint="eastAsia" w:hAnsi="宋体"/>
          <w:sz w:val="24"/>
        </w:rPr>
        <w:t>（</w:t>
      </w:r>
      <w:r>
        <w:rPr>
          <w:rFonts w:hint="eastAsia" w:hAnsi="宋体"/>
        </w:rPr>
        <w:t>供应商若为其他组织形式无法定代表人的为机构负责人，供应商若为自然人的为自然人</w:t>
      </w:r>
      <w:r>
        <w:rPr>
          <w:rFonts w:hint="eastAsia" w:hAnsi="宋体"/>
          <w:sz w:val="24"/>
        </w:rPr>
        <w:t>）</w:t>
      </w:r>
      <w:r>
        <w:rPr>
          <w:rFonts w:hint="eastAsia" w:hAnsi="宋体"/>
        </w:rPr>
        <w:t>或相应的委托代理人签字或盖章（属自然人的应在签名处加盖食指指印）：</w:t>
      </w:r>
    </w:p>
    <w:p>
      <w:pPr>
        <w:pStyle w:val="24"/>
        <w:spacing w:line="400" w:lineRule="exact"/>
        <w:ind w:firstLine="420"/>
        <w:rPr>
          <w:u w:val="single"/>
        </w:rPr>
      </w:pPr>
      <w:r>
        <w:rPr>
          <w:rFonts w:hint="eastAsia"/>
          <w:bCs/>
        </w:rPr>
        <w:t>响应</w:t>
      </w:r>
      <w:r>
        <w:rPr>
          <w:rFonts w:hint="eastAsia"/>
        </w:rPr>
        <w:t>日期：</w:t>
      </w:r>
    </w:p>
    <w:p>
      <w:pPr>
        <w:pStyle w:val="24"/>
        <w:spacing w:line="400" w:lineRule="exact"/>
        <w:ind w:firstLine="420" w:firstLineChars="200"/>
        <w:rPr>
          <w:bCs/>
        </w:rPr>
      </w:pPr>
      <w:r>
        <w:rPr>
          <w:rFonts w:hint="eastAsia"/>
          <w:bCs/>
        </w:rPr>
        <w:t>注：</w:t>
      </w:r>
    </w:p>
    <w:p>
      <w:pPr>
        <w:pStyle w:val="24"/>
        <w:spacing w:line="400" w:lineRule="exact"/>
        <w:ind w:firstLine="420" w:firstLineChars="200"/>
        <w:rPr>
          <w:rFonts w:hAnsi="宋体"/>
          <w:bCs/>
        </w:rPr>
      </w:pPr>
      <w:r>
        <w:rPr>
          <w:rFonts w:hint="eastAsia"/>
          <w:bCs/>
        </w:rPr>
        <w:t>响应函</w:t>
      </w:r>
      <w:r>
        <w:rPr>
          <w:rFonts w:hint="eastAsia" w:hAnsi="宋体"/>
          <w:bCs/>
        </w:rPr>
        <w:t>须由法定代表人（</w:t>
      </w:r>
      <w:r>
        <w:rPr>
          <w:rFonts w:hint="eastAsia" w:hAnsi="宋体"/>
          <w:sz w:val="24"/>
        </w:rPr>
        <w:t>供应商若为其他组织形式无法定代表人的为机构负责人，供应商若为自然人的为自然人</w:t>
      </w:r>
      <w:r>
        <w:rPr>
          <w:rFonts w:hint="eastAsia" w:hAnsi="宋体"/>
          <w:bCs/>
        </w:rPr>
        <w:t>）或委托代理人签字或盖章（</w:t>
      </w:r>
      <w:r>
        <w:rPr>
          <w:rFonts w:hint="eastAsia" w:hAnsi="宋体"/>
        </w:rPr>
        <w:t>属自然人的应在签名处加盖食指指印</w:t>
      </w:r>
      <w:r>
        <w:rPr>
          <w:rFonts w:hint="eastAsia" w:hAnsi="宋体"/>
          <w:bCs/>
        </w:rPr>
        <w:t>）并加盖供应商公章（自然人除外）。</w:t>
      </w:r>
    </w:p>
    <w:p>
      <w:pPr>
        <w:ind w:right="-178" w:rightChars="-85" w:firstLine="210" w:firstLineChars="100"/>
        <w:jc w:val="left"/>
        <w:rPr>
          <w:rFonts w:ascii="宋体" w:hAnsi="宋体"/>
          <w:u w:val="single"/>
        </w:rPr>
      </w:pPr>
    </w:p>
    <w:p>
      <w:pPr>
        <w:pStyle w:val="24"/>
        <w:ind w:firstLine="840"/>
        <w:rPr>
          <w:rFonts w:hAnsi="宋体"/>
          <w:sz w:val="24"/>
          <w:szCs w:val="24"/>
        </w:rPr>
      </w:pPr>
    </w:p>
    <w:p>
      <w:pP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附件二             </w:t>
      </w:r>
    </w:p>
    <w:p>
      <w:pPr>
        <w:jc w:val="center"/>
        <w:rPr>
          <w:rFonts w:ascii="宋体" w:hAnsi="宋体"/>
          <w:sz w:val="24"/>
        </w:rPr>
      </w:pPr>
      <w:r>
        <w:rPr>
          <w:rFonts w:hint="eastAsia" w:ascii="宋体" w:hAnsi="宋体"/>
          <w:b/>
          <w:sz w:val="32"/>
          <w:szCs w:val="32"/>
        </w:rPr>
        <w:t>报价明细表</w:t>
      </w:r>
    </w:p>
    <w:p>
      <w:pPr>
        <w:rPr>
          <w:rFonts w:ascii="宋体" w:hAnsi="宋体"/>
          <w:sz w:val="24"/>
          <w:u w:val="single"/>
        </w:rPr>
      </w:pPr>
      <w:r>
        <w:rPr>
          <w:rFonts w:hint="eastAsia" w:ascii="宋体" w:hAnsi="宋体"/>
          <w:sz w:val="24"/>
        </w:rPr>
        <w:t>采购项目编号:</w:t>
      </w:r>
    </w:p>
    <w:p>
      <w:pPr>
        <w:rPr>
          <w:rFonts w:ascii="宋体" w:hAnsi="宋体"/>
          <w:sz w:val="24"/>
          <w:u w:val="single"/>
        </w:rPr>
      </w:pPr>
      <w:r>
        <w:rPr>
          <w:rFonts w:hint="eastAsia" w:ascii="宋体" w:hAnsi="宋体"/>
          <w:sz w:val="24"/>
        </w:rPr>
        <w:t>采购项目名称:</w:t>
      </w:r>
    </w:p>
    <w:p>
      <w:pPr>
        <w:snapToGrid w:val="0"/>
        <w:rPr>
          <w:rFonts w:ascii="宋体" w:hAnsi="宋体"/>
          <w:b/>
          <w:sz w:val="24"/>
        </w:rPr>
      </w:pPr>
    </w:p>
    <w:tbl>
      <w:tblPr>
        <w:tblStyle w:val="43"/>
        <w:tblpPr w:leftFromText="180" w:rightFromText="180" w:vertAnchor="text" w:horzAnchor="margin" w:tblpY="251"/>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17"/>
        <w:gridCol w:w="848"/>
        <w:gridCol w:w="1695"/>
        <w:gridCol w:w="1017"/>
        <w:gridCol w:w="1187"/>
        <w:gridCol w:w="142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货物名称</w:t>
            </w: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数量①</w:t>
            </w: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货物全称、品牌、生产厂家及国别</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848"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429"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02"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报价合计（包含装卸、运输等所有费用）：（大写）人民币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供应商</w:t>
            </w:r>
            <w:r>
              <w:rPr>
                <w:rFonts w:eastAsia="仿宋_GB2312"/>
              </w:rPr>
              <w:t>（盖单位公章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73" w:type="dxa"/>
            <w:gridSpan w:val="8"/>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否则按竞标无效处理</w:t>
      </w:r>
      <w:r>
        <w:rPr>
          <w:rFonts w:hint="eastAsia" w:ascii="仿宋_GB2312" w:eastAsia="仿宋_GB2312"/>
          <w:sz w:val="24"/>
        </w:rPr>
        <w:t>。</w:t>
      </w:r>
    </w:p>
    <w:p>
      <w:pPr>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jc w:val="left"/>
        <w:rPr>
          <w:rFonts w:ascii="宋体" w:hAnsi="宋体"/>
          <w:sz w:val="24"/>
        </w:rPr>
      </w:pPr>
      <w:r>
        <w:rPr>
          <w:rFonts w:ascii="宋体" w:hAnsi="宋体"/>
          <w:sz w:val="24"/>
        </w:rPr>
        <w:br w:type="page"/>
      </w:r>
    </w:p>
    <w:p>
      <w:pPr>
        <w:rPr>
          <w:rFonts w:ascii="宋体" w:hAnsi="宋体"/>
          <w:sz w:val="24"/>
        </w:rPr>
      </w:pPr>
    </w:p>
    <w:p>
      <w:pPr>
        <w:adjustRightInd w:val="0"/>
        <w:snapToGrid w:val="0"/>
        <w:rPr>
          <w:rFonts w:hAnsi="宋体"/>
          <w:sz w:val="24"/>
        </w:rPr>
      </w:pPr>
      <w:r>
        <w:rPr>
          <w:rFonts w:hint="eastAsia" w:hAnsi="宋体"/>
          <w:sz w:val="24"/>
        </w:rPr>
        <w:t>附件三</w:t>
      </w: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4"/>
        <w:jc w:val="center"/>
      </w:pPr>
    </w:p>
    <w:p>
      <w:pPr>
        <w:pStyle w:val="24"/>
        <w:jc w:val="center"/>
      </w:pPr>
    </w:p>
    <w:p>
      <w:pPr>
        <w:pStyle w:val="24"/>
        <w:jc w:val="center"/>
      </w:pPr>
    </w:p>
    <w:p>
      <w:pPr>
        <w:adjustRightInd w:val="0"/>
        <w:snapToGrid w:val="0"/>
        <w:rPr>
          <w:rFonts w:ascii="宋体" w:hAnsi="宋体"/>
          <w:sz w:val="24"/>
          <w:u w:val="single"/>
        </w:rPr>
      </w:pP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粘贴法定代表人身份证（正、反面复印件）</w:t>
            </w:r>
          </w:p>
        </w:tc>
      </w:tr>
    </w:tbl>
    <w:p>
      <w:pPr>
        <w:autoSpaceDE w:val="0"/>
        <w:autoSpaceDN w:val="0"/>
        <w:ind w:hanging="480"/>
        <w:rPr>
          <w:rFonts w:ascii="宋体" w:hAnsi="宋体"/>
          <w:sz w:val="24"/>
        </w:rPr>
      </w:pPr>
    </w:p>
    <w:p>
      <w:pPr>
        <w:autoSpaceDE w:val="0"/>
        <w:autoSpaceDN w:val="0"/>
        <w:ind w:hanging="480"/>
        <w:rPr>
          <w:rFonts w:ascii="宋体" w:hAnsi="宋体"/>
          <w:sz w:val="24"/>
        </w:rPr>
      </w:pPr>
    </w:p>
    <w:p>
      <w:pPr>
        <w:pStyle w:val="24"/>
      </w:pPr>
      <w:r>
        <w:br w:type="page"/>
      </w:r>
      <w:r>
        <w:rPr>
          <w:rFonts w:hint="eastAsia"/>
        </w:rPr>
        <w:t>附件四</w:t>
      </w:r>
    </w:p>
    <w:p>
      <w:pPr>
        <w:pStyle w:val="24"/>
        <w:ind w:firstLine="630" w:firstLineChars="196"/>
        <w:jc w:val="center"/>
        <w:rPr>
          <w:rFonts w:hAnsi="宋体"/>
          <w:b/>
          <w:sz w:val="32"/>
        </w:rPr>
      </w:pPr>
      <w:r>
        <w:rPr>
          <w:rFonts w:hint="eastAsia" w:hAnsi="宋体"/>
          <w:b/>
          <w:sz w:val="32"/>
        </w:rPr>
        <w:t>授权委托书（格式一）</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4"/>
        <w:spacing w:line="400" w:lineRule="exact"/>
        <w:ind w:firstLine="420" w:firstLineChars="200"/>
        <w:rPr>
          <w:rFonts w:hAnsi="宋体"/>
        </w:rPr>
      </w:pPr>
      <w:r>
        <w:rPr>
          <w:rFonts w:hint="eastAsia" w:hAnsi="宋体"/>
          <w:kern w:val="0"/>
        </w:rPr>
        <w:t>我（姓名）系（供应商名称）的法定代表人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，现授权委托本单位在职职工（姓 名）以我公司名义参加</w:t>
      </w:r>
      <w:r>
        <w:rPr>
          <w:rFonts w:hint="eastAsia" w:hAnsi="宋体"/>
          <w:u w:val="single"/>
        </w:rPr>
        <w:t xml:space="preserve">（项目名称及项目编号）        </w:t>
      </w:r>
      <w:r>
        <w:rPr>
          <w:rFonts w:hint="eastAsia" w:hAnsi="宋体"/>
        </w:rPr>
        <w:t>项目的谈判活动，并代表我方全权办理针对上述项目的谈判、签约等具体事务和签署相关文件。</w:t>
      </w:r>
    </w:p>
    <w:p>
      <w:pPr>
        <w:pStyle w:val="24"/>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p>
    <w:p>
      <w:pPr>
        <w:snapToGrid w:val="0"/>
        <w:spacing w:line="400" w:lineRule="exact"/>
        <w:rPr>
          <w:rFonts w:ascii="宋体" w:hAnsi="宋体"/>
          <w:szCs w:val="21"/>
        </w:rPr>
      </w:pPr>
      <w:r>
        <w:rPr>
          <w:rFonts w:hint="eastAsia" w:ascii="宋体" w:hAnsi="宋体"/>
          <w:szCs w:val="21"/>
        </w:rPr>
        <w:t>所在部门：</w:t>
      </w:r>
    </w:p>
    <w:p>
      <w:pPr>
        <w:snapToGrid w:val="0"/>
        <w:spacing w:line="400" w:lineRule="exact"/>
        <w:rPr>
          <w:rFonts w:ascii="宋体" w:hAnsi="宋体"/>
          <w:szCs w:val="21"/>
        </w:rPr>
      </w:pPr>
      <w:r>
        <w:rPr>
          <w:rFonts w:hint="eastAsia" w:ascii="宋体" w:hAnsi="宋体"/>
          <w:szCs w:val="21"/>
        </w:rPr>
        <w:t>职  务：</w:t>
      </w:r>
    </w:p>
    <w:p>
      <w:pPr>
        <w:snapToGrid w:val="0"/>
        <w:spacing w:line="400" w:lineRule="exact"/>
        <w:rPr>
          <w:rFonts w:ascii="宋体" w:hAnsi="宋体"/>
          <w:szCs w:val="21"/>
        </w:rPr>
      </w:pPr>
      <w:r>
        <w:rPr>
          <w:rFonts w:hint="eastAsia" w:ascii="宋体" w:hAnsi="宋体"/>
          <w:szCs w:val="21"/>
        </w:rPr>
        <w:t>被授权人身份证号码：</w:t>
      </w:r>
    </w:p>
    <w:p>
      <w:pPr>
        <w:snapToGrid w:val="0"/>
        <w:spacing w:line="400" w:lineRule="exact"/>
        <w:ind w:firstLine="6300" w:firstLineChars="3000"/>
        <w:outlineLvl w:val="4"/>
        <w:rPr>
          <w:rFonts w:ascii="宋体" w:hAnsi="宋体"/>
          <w:szCs w:val="21"/>
          <w:u w:val="single"/>
        </w:rPr>
      </w:pPr>
      <w:r>
        <w:rPr>
          <w:rFonts w:hint="eastAsia" w:ascii="宋体" w:hAnsi="宋体"/>
          <w:szCs w:val="21"/>
        </w:rPr>
        <w:t>供应商（公章）：</w:t>
      </w:r>
    </w:p>
    <w:p>
      <w:pPr>
        <w:snapToGrid w:val="0"/>
        <w:spacing w:line="400" w:lineRule="exact"/>
        <w:ind w:firstLine="4830" w:firstLineChars="2300"/>
        <w:outlineLvl w:val="4"/>
        <w:rPr>
          <w:rFonts w:ascii="宋体" w:hAnsi="宋体"/>
          <w:szCs w:val="21"/>
          <w:u w:val="single"/>
        </w:rPr>
      </w:pPr>
      <w:r>
        <w:rPr>
          <w:rFonts w:hint="eastAsia" w:ascii="宋体" w:hAnsi="宋体"/>
          <w:szCs w:val="21"/>
        </w:rPr>
        <w:t>法定代表人（若为其他组织形式无法定代表人的应为机构负责人）签字或盖章：</w:t>
      </w:r>
    </w:p>
    <w:p>
      <w:pPr>
        <w:snapToGrid w:val="0"/>
        <w:spacing w:line="400" w:lineRule="exact"/>
        <w:ind w:firstLine="5460" w:firstLineChars="2600"/>
        <w:outlineLvl w:val="4"/>
        <w:rPr>
          <w:rFonts w:ascii="宋体" w:hAnsi="宋体"/>
          <w:b/>
          <w:szCs w:val="21"/>
        </w:rPr>
      </w:pPr>
      <w:r>
        <w:rPr>
          <w:rFonts w:hint="eastAsia" w:ascii="宋体" w:hAnsi="宋体"/>
          <w:szCs w:val="21"/>
        </w:rPr>
        <w:t>年月日</w:t>
      </w:r>
    </w:p>
    <w:p>
      <w:pPr>
        <w:snapToGrid w:val="0"/>
        <w:spacing w:line="400" w:lineRule="exact"/>
        <w:outlineLvl w:val="4"/>
        <w:rPr>
          <w:rFonts w:hAnsi="宋体"/>
          <w:b/>
          <w:sz w:val="32"/>
        </w:rPr>
      </w:pPr>
      <w:r>
        <w:rPr>
          <w:rFonts w:hint="eastAsia" w:ascii="宋体" w:hAnsi="宋体"/>
          <w:b/>
          <w:szCs w:val="21"/>
        </w:rPr>
        <w:t>附：委托代理人有效的身份证正反两面复印件；如为联合体投标，此授权书必须为主体方（牵头方）授权。</w:t>
      </w: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rPr>
                <w:rFonts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4"/>
        <w:rPr>
          <w:rFonts w:hAnsi="宋体"/>
          <w:sz w:val="24"/>
          <w:szCs w:val="24"/>
        </w:rPr>
      </w:pPr>
      <w:r>
        <w:rPr>
          <w:rFonts w:hAnsi="宋体"/>
          <w:sz w:val="24"/>
          <w:szCs w:val="24"/>
        </w:rPr>
        <w:br w:type="page"/>
      </w:r>
    </w:p>
    <w:p>
      <w:pPr>
        <w:snapToGrid w:val="0"/>
        <w:spacing w:line="400" w:lineRule="exact"/>
        <w:ind w:firstLine="420"/>
        <w:jc w:val="center"/>
        <w:outlineLvl w:val="4"/>
        <w:rPr>
          <w:rFonts w:hAnsi="宋体"/>
          <w:b/>
          <w:sz w:val="32"/>
        </w:rPr>
      </w:pP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4"/>
        <w:spacing w:line="340" w:lineRule="exact"/>
        <w:ind w:firstLine="420" w:firstLineChars="200"/>
        <w:rPr>
          <w:rFonts w:hAnsi="宋体"/>
        </w:rPr>
      </w:pPr>
      <w:r>
        <w:rPr>
          <w:rFonts w:hint="eastAsia" w:hAnsi="宋体"/>
          <w:kern w:val="0"/>
        </w:rPr>
        <w:t>我（姓名）系自然人，现授权委托（姓 名）以本人名义参加</w:t>
      </w:r>
      <w:r>
        <w:rPr>
          <w:rFonts w:hint="eastAsia" w:hAnsi="宋体"/>
          <w:u w:val="single"/>
        </w:rPr>
        <w:t xml:space="preserve">（项目名称及项目编号）        </w:t>
      </w:r>
      <w:r>
        <w:rPr>
          <w:rFonts w:hint="eastAsia" w:hAnsi="宋体"/>
        </w:rPr>
        <w:t>项目的谈判活动，并代表本人全权办理针对上述项目的谈判、签约等具体事务和签署相关文件。</w:t>
      </w:r>
    </w:p>
    <w:p>
      <w:pPr>
        <w:pStyle w:val="24"/>
        <w:spacing w:line="340" w:lineRule="exact"/>
        <w:ind w:firstLine="420" w:firstLineChars="200"/>
        <w:rPr>
          <w:rFonts w:hAnsi="宋体"/>
        </w:rPr>
      </w:pPr>
      <w:r>
        <w:rPr>
          <w:rFonts w:hint="eastAsia" w:hAnsi="宋体"/>
        </w:rPr>
        <w:t>本人对被授权人的签字事项负全部责任。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p>
    <w:p>
      <w:pPr>
        <w:snapToGrid w:val="0"/>
        <w:spacing w:line="400" w:lineRule="exact"/>
        <w:rPr>
          <w:rFonts w:ascii="宋体" w:hAnsi="宋体"/>
          <w:szCs w:val="21"/>
        </w:rPr>
      </w:pPr>
      <w:r>
        <w:rPr>
          <w:rFonts w:hint="eastAsia" w:ascii="宋体" w:hAnsi="宋体"/>
          <w:szCs w:val="21"/>
        </w:rPr>
        <w:t>所在部门：</w:t>
      </w:r>
    </w:p>
    <w:p>
      <w:pPr>
        <w:snapToGrid w:val="0"/>
        <w:spacing w:line="400" w:lineRule="exact"/>
        <w:rPr>
          <w:rFonts w:ascii="宋体" w:hAnsi="宋体"/>
          <w:szCs w:val="21"/>
        </w:rPr>
      </w:pPr>
      <w:r>
        <w:rPr>
          <w:rFonts w:hint="eastAsia" w:ascii="宋体" w:hAnsi="宋体"/>
          <w:szCs w:val="21"/>
        </w:rPr>
        <w:t>职  务：</w:t>
      </w:r>
    </w:p>
    <w:p>
      <w:pPr>
        <w:snapToGrid w:val="0"/>
        <w:spacing w:line="400" w:lineRule="exact"/>
        <w:rPr>
          <w:rFonts w:ascii="宋体" w:hAnsi="宋体"/>
          <w:szCs w:val="21"/>
        </w:rPr>
      </w:pPr>
      <w:r>
        <w:rPr>
          <w:rFonts w:hint="eastAsia" w:ascii="宋体" w:hAnsi="宋体"/>
          <w:szCs w:val="21"/>
        </w:rPr>
        <w:t>被授权人身份证号码：</w:t>
      </w:r>
    </w:p>
    <w:p>
      <w:pPr>
        <w:snapToGrid w:val="0"/>
        <w:spacing w:line="400" w:lineRule="exact"/>
        <w:ind w:firstLine="420"/>
        <w:outlineLvl w:val="4"/>
        <w:rPr>
          <w:rFonts w:ascii="宋体" w:hAnsi="宋体"/>
          <w:szCs w:val="21"/>
        </w:rPr>
      </w:pPr>
      <w:r>
        <w:rPr>
          <w:rFonts w:hint="eastAsia" w:ascii="宋体" w:hAnsi="宋体"/>
          <w:szCs w:val="21"/>
        </w:rPr>
        <w:t>自然人签字并在签名处加盖食指指印：</w:t>
      </w:r>
    </w:p>
    <w:p>
      <w:pPr>
        <w:snapToGrid w:val="0"/>
        <w:spacing w:line="340" w:lineRule="exact"/>
        <w:ind w:firstLine="420"/>
        <w:outlineLvl w:val="4"/>
        <w:rPr>
          <w:rFonts w:ascii="宋体" w:hAnsi="宋体"/>
          <w:szCs w:val="21"/>
        </w:rPr>
      </w:pPr>
      <w:r>
        <w:rPr>
          <w:rFonts w:hint="eastAsia" w:ascii="宋体" w:hAnsi="宋体"/>
          <w:szCs w:val="21"/>
        </w:rPr>
        <w:t>　　 年月日</w:t>
      </w:r>
    </w:p>
    <w:p>
      <w:pPr>
        <w:adjustRightInd w:val="0"/>
        <w:snapToGrid w:val="0"/>
        <w:rPr>
          <w:rFonts w:ascii="宋体" w:hAnsi="宋体"/>
          <w:sz w:val="24"/>
          <w:u w:val="single"/>
        </w:rPr>
      </w:pPr>
    </w:p>
    <w:tbl>
      <w:tblPr>
        <w:tblStyle w:val="43"/>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4"/>
        <w:rPr>
          <w:rFonts w:hAnsi="宋体"/>
          <w:sz w:val="24"/>
          <w:szCs w:val="24"/>
        </w:rPr>
      </w:pPr>
      <w:r>
        <w:rPr>
          <w:rFonts w:hAnsi="宋体"/>
          <w:sz w:val="24"/>
          <w:szCs w:val="24"/>
        </w:rPr>
        <w:br w:type="page"/>
      </w:r>
    </w:p>
    <w:p>
      <w:pPr>
        <w:pStyle w:val="24"/>
        <w:spacing w:line="400" w:lineRule="exact"/>
      </w:pPr>
      <w:r>
        <w:rPr>
          <w:rFonts w:hint="eastAsia"/>
        </w:rPr>
        <w:t>附件五：</w:t>
      </w:r>
    </w:p>
    <w:p>
      <w:pPr>
        <w:pStyle w:val="24"/>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4"/>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4"/>
        <w:spacing w:line="400" w:lineRule="exact"/>
        <w:ind w:left="420" w:leftChars="200" w:firstLine="157" w:firstLineChars="49"/>
        <w:rPr>
          <w:rFonts w:hAnsi="宋体"/>
          <w:b/>
          <w:sz w:val="32"/>
          <w:szCs w:val="32"/>
        </w:rPr>
      </w:pP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4"/>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hAnsi="宋体"/>
        </w:rPr>
        <w:t>法定代表人或相应的委托代理人签字或盖章（</w:t>
      </w:r>
      <w:r>
        <w:rPr>
          <w:rFonts w:hint="eastAsia" w:eastAsia="仿宋_GB2312"/>
        </w:rPr>
        <w:t>供应商属自然人的应由自然人签字并加盖指印，供应商若为其他组织形式无法定代表人的应由机构负责人</w:t>
      </w:r>
      <w:r>
        <w:rPr>
          <w:rFonts w:eastAsia="仿宋_GB2312"/>
        </w:rPr>
        <w:t>签字或盖章</w:t>
      </w:r>
      <w:r>
        <w:rPr>
          <w:rFonts w:hint="eastAsia" w:hAnsi="宋体"/>
        </w:rPr>
        <w:t>）：</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right="-178" w:rightChars="-85" w:firstLine="240" w:firstLineChars="100"/>
        <w:jc w:val="left"/>
        <w:rPr>
          <w:rFonts w:ascii="宋体" w:hAnsi="宋体"/>
          <w:sz w:val="24"/>
        </w:rPr>
      </w:pPr>
      <w:r>
        <w:rPr>
          <w:rFonts w:hint="eastAsia" w:ascii="宋体" w:hAnsi="宋体"/>
          <w:sz w:val="24"/>
        </w:rPr>
        <w:t xml:space="preserve">附件六 </w:t>
      </w:r>
    </w:p>
    <w:p>
      <w:pPr>
        <w:pStyle w:val="24"/>
        <w:ind w:right="-178" w:rightChars="-85"/>
        <w:jc w:val="center"/>
        <w:rPr>
          <w:rFonts w:hAnsi="宋体"/>
          <w:b/>
          <w:bCs/>
          <w:sz w:val="28"/>
          <w:szCs w:val="28"/>
        </w:rPr>
      </w:pPr>
      <w:r>
        <w:rPr>
          <w:rFonts w:hint="eastAsia" w:hAnsi="宋体"/>
          <w:b/>
          <w:bCs/>
          <w:sz w:val="28"/>
          <w:szCs w:val="28"/>
        </w:rPr>
        <w:t>商务条款偏离表</w:t>
      </w:r>
    </w:p>
    <w:p>
      <w:pPr>
        <w:pStyle w:val="24"/>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请逐条对应第</w:t>
      </w:r>
      <w:r>
        <w:rPr>
          <w:rFonts w:hint="eastAsia" w:ascii="Times New Roman" w:hAnsi="Times New Roman" w:eastAsia="仿宋_GB2312"/>
          <w:color w:val="0000FF"/>
          <w:sz w:val="32"/>
          <w:szCs w:val="32"/>
        </w:rPr>
        <w:t>三</w:t>
      </w:r>
      <w:r>
        <w:rPr>
          <w:rFonts w:ascii="Times New Roman" w:hAnsi="Times New Roman" w:eastAsia="仿宋_GB2312"/>
          <w:sz w:val="32"/>
          <w:szCs w:val="32"/>
        </w:rPr>
        <w:t>章“货物需求一览表”中“商务条款”的要求，详细填写相应的具体内容。“偏离说明”一栏应当选择“正偏离”、“负偏离”或“无偏离”进行填写。</w:t>
      </w:r>
    </w:p>
    <w:p>
      <w:pPr>
        <w:pStyle w:val="24"/>
        <w:ind w:firstLine="640" w:firstLineChars="200"/>
        <w:rPr>
          <w:rFonts w:ascii="Times New Roman" w:hAnsi="Times New Roman" w:eastAsia="仿宋_GB2312"/>
          <w:sz w:val="32"/>
          <w:szCs w:val="32"/>
        </w:rPr>
      </w:pPr>
    </w:p>
    <w:tbl>
      <w:tblPr>
        <w:tblStyle w:val="43"/>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hint="eastAsia" w:ascii="Times New Roman" w:hAnsi="Times New Roman" w:eastAsia="仿宋_GB2312"/>
              </w:rPr>
              <w:t>谈判</w:t>
            </w:r>
            <w:r>
              <w:rPr>
                <w:rFonts w:ascii="Times New Roman" w:hAnsi="Times New Roman" w:eastAsia="仿宋_GB2312"/>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hint="eastAsia" w:ascii="Times New Roman" w:hAnsi="Times New Roman" w:eastAsia="仿宋_GB2312"/>
              </w:rPr>
              <w:t>响应</w:t>
            </w:r>
            <w:r>
              <w:rPr>
                <w:rFonts w:ascii="Times New Roman" w:hAnsi="Times New Roman" w:eastAsia="仿宋_GB2312"/>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rPr>
              <w:t>...</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4"/>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4"/>
              <w:spacing w:line="300" w:lineRule="exact"/>
              <w:rPr>
                <w:rFonts w:ascii="Times New Roman" w:hAnsi="Times New Roman" w:eastAsia="仿宋_GB2312"/>
              </w:rPr>
            </w:pPr>
          </w:p>
          <w:p>
            <w:pPr>
              <w:pStyle w:val="24"/>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4"/>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供应商</w:t>
            </w:r>
            <w:r>
              <w:rPr>
                <w:rFonts w:eastAsia="仿宋_GB2312"/>
              </w:rPr>
              <w:t>（盖单位公章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4"/>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4"/>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hint="eastAsia" w:ascii="Times New Roman" w:hAnsi="Times New Roman" w:eastAsia="仿宋_GB2312"/>
          <w:bCs/>
          <w:color w:val="0000FF"/>
          <w:sz w:val="24"/>
          <w:szCs w:val="24"/>
        </w:rPr>
        <w:t>响应</w:t>
      </w:r>
      <w:r>
        <w:rPr>
          <w:rFonts w:ascii="Times New Roman" w:hAnsi="Times New Roman" w:eastAsia="仿宋_GB2312"/>
          <w:bCs/>
          <w:color w:val="0000FF"/>
          <w:sz w:val="24"/>
          <w:szCs w:val="24"/>
        </w:rPr>
        <w:t>文件</w:t>
      </w:r>
      <w:r>
        <w:rPr>
          <w:rFonts w:hint="eastAsia" w:ascii="Times New Roman" w:hAnsi="Times New Roman" w:eastAsia="仿宋_GB2312"/>
          <w:bCs/>
          <w:color w:val="0000FF"/>
          <w:sz w:val="24"/>
          <w:szCs w:val="24"/>
        </w:rPr>
        <w:t>需求</w:t>
      </w:r>
      <w:r>
        <w:rPr>
          <w:rFonts w:ascii="Times New Roman" w:hAnsi="Times New Roman" w:eastAsia="仿宋_GB2312"/>
          <w:bCs/>
          <w:color w:val="0000FF"/>
          <w:sz w:val="24"/>
          <w:szCs w:val="24"/>
        </w:rPr>
        <w:t>小于或大于</w:t>
      </w:r>
      <w:r>
        <w:rPr>
          <w:rFonts w:hint="eastAsia" w:ascii="Times New Roman" w:hAnsi="Times New Roman" w:eastAsia="仿宋_GB2312"/>
          <w:bCs/>
          <w:color w:val="0000FF"/>
          <w:sz w:val="24"/>
          <w:szCs w:val="24"/>
        </w:rPr>
        <w:t>谈判</w:t>
      </w:r>
      <w:r>
        <w:rPr>
          <w:rFonts w:ascii="Times New Roman" w:hAnsi="Times New Roman" w:eastAsia="仿宋_GB2312"/>
          <w:bCs/>
          <w:color w:val="0000FF"/>
          <w:sz w:val="24"/>
          <w:szCs w:val="24"/>
        </w:rPr>
        <w:t>文件某个数值标准时，</w:t>
      </w:r>
      <w:r>
        <w:rPr>
          <w:rFonts w:hint="eastAsia" w:ascii="Times New Roman" w:hAnsi="Times New Roman" w:eastAsia="仿宋_GB2312"/>
          <w:bCs/>
          <w:color w:val="0000FF"/>
          <w:sz w:val="24"/>
          <w:szCs w:val="24"/>
        </w:rPr>
        <w:t>响应</w:t>
      </w:r>
      <w:r>
        <w:rPr>
          <w:rFonts w:ascii="Times New Roman" w:hAnsi="Times New Roman" w:eastAsia="仿宋_GB2312"/>
          <w:bCs/>
          <w:color w:val="0000FF"/>
          <w:sz w:val="24"/>
          <w:szCs w:val="24"/>
        </w:rPr>
        <w:t>文件</w:t>
      </w:r>
      <w:r>
        <w:rPr>
          <w:rFonts w:hint="eastAsia" w:ascii="Times New Roman" w:hAnsi="Times New Roman" w:eastAsia="仿宋_GB2312"/>
          <w:bCs/>
          <w:color w:val="0000FF"/>
          <w:sz w:val="24"/>
          <w:szCs w:val="24"/>
        </w:rPr>
        <w:t>不得直接复制谈判文件需求，响应文件对应</w:t>
      </w:r>
      <w:r>
        <w:rPr>
          <w:rFonts w:ascii="Times New Roman" w:hAnsi="Times New Roman" w:eastAsia="仿宋_GB2312"/>
          <w:bCs/>
          <w:color w:val="0000FF"/>
          <w:sz w:val="24"/>
          <w:szCs w:val="24"/>
        </w:rPr>
        <w:t>内容应当写明</w:t>
      </w:r>
      <w:r>
        <w:rPr>
          <w:rFonts w:hint="eastAsia" w:ascii="Times New Roman" w:hAnsi="Times New Roman" w:eastAsia="仿宋_GB2312"/>
          <w:bCs/>
          <w:color w:val="0000FF"/>
          <w:sz w:val="24"/>
          <w:szCs w:val="24"/>
        </w:rPr>
        <w:t>竞</w:t>
      </w:r>
      <w:r>
        <w:rPr>
          <w:rFonts w:ascii="Times New Roman" w:hAnsi="Times New Roman" w:eastAsia="仿宋_GB2312"/>
          <w:bCs/>
          <w:color w:val="0000FF"/>
          <w:sz w:val="24"/>
          <w:szCs w:val="24"/>
        </w:rPr>
        <w:t>标货物具体参数或商务响应的</w:t>
      </w:r>
      <w:r>
        <w:rPr>
          <w:rFonts w:hint="eastAsia" w:ascii="Times New Roman" w:hAnsi="Times New Roman" w:eastAsia="仿宋_GB2312"/>
          <w:bCs/>
          <w:color w:val="0000FF"/>
          <w:sz w:val="24"/>
          <w:szCs w:val="24"/>
        </w:rPr>
        <w:t>实际</w:t>
      </w:r>
      <w:r>
        <w:rPr>
          <w:rFonts w:ascii="Times New Roman" w:hAnsi="Times New Roman" w:eastAsia="仿宋_GB2312"/>
          <w:bCs/>
          <w:color w:val="0000FF"/>
          <w:sz w:val="24"/>
          <w:szCs w:val="24"/>
        </w:rPr>
        <w:t>数值，否则按</w:t>
      </w:r>
      <w:r>
        <w:rPr>
          <w:rFonts w:hint="eastAsia" w:ascii="Times New Roman" w:hAnsi="Times New Roman" w:eastAsia="仿宋_GB2312"/>
          <w:bCs/>
          <w:color w:val="0000FF"/>
          <w:sz w:val="24"/>
          <w:szCs w:val="24"/>
        </w:rPr>
        <w:t>竞</w:t>
      </w:r>
      <w:r>
        <w:rPr>
          <w:rFonts w:ascii="Times New Roman" w:hAnsi="Times New Roman" w:eastAsia="仿宋_GB2312"/>
          <w:bCs/>
          <w:color w:val="0000FF"/>
          <w:sz w:val="24"/>
          <w:szCs w:val="24"/>
        </w:rPr>
        <w:t>标无效处理</w:t>
      </w:r>
      <w:r>
        <w:rPr>
          <w:rFonts w:ascii="Times New Roman" w:hAnsi="Times New Roman" w:eastAsia="仿宋_GB2312"/>
          <w:bCs/>
          <w:sz w:val="24"/>
          <w:szCs w:val="24"/>
        </w:rPr>
        <w:t>。</w:t>
      </w:r>
    </w:p>
    <w:p>
      <w:pPr>
        <w:pStyle w:val="24"/>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w:t>
      </w:r>
      <w:r>
        <w:rPr>
          <w:rFonts w:hint="eastAsia" w:ascii="Times New Roman" w:hAnsi="Times New Roman" w:eastAsia="仿宋_GB2312"/>
          <w:bCs/>
          <w:sz w:val="24"/>
          <w:szCs w:val="24"/>
        </w:rPr>
        <w:t>响应</w:t>
      </w:r>
      <w:r>
        <w:rPr>
          <w:rFonts w:ascii="Times New Roman" w:hAnsi="Times New Roman" w:eastAsia="仿宋_GB2312"/>
          <w:bCs/>
          <w:sz w:val="24"/>
          <w:szCs w:val="24"/>
        </w:rPr>
        <w:t>文件的技术参数或商务内容低于</w:t>
      </w:r>
      <w:r>
        <w:rPr>
          <w:rFonts w:hint="eastAsia" w:ascii="Times New Roman" w:hAnsi="Times New Roman" w:eastAsia="仿宋_GB2312"/>
          <w:bCs/>
          <w:sz w:val="24"/>
          <w:szCs w:val="24"/>
        </w:rPr>
        <w:t>谈判</w:t>
      </w:r>
      <w:r>
        <w:rPr>
          <w:rFonts w:ascii="Times New Roman" w:hAnsi="Times New Roman" w:eastAsia="仿宋_GB2312"/>
          <w:bCs/>
          <w:sz w:val="24"/>
          <w:szCs w:val="24"/>
        </w:rPr>
        <w:t>文件要求时，</w:t>
      </w:r>
      <w:r>
        <w:rPr>
          <w:rFonts w:hint="eastAsia" w:ascii="Times New Roman" w:hAnsi="Times New Roman" w:eastAsia="仿宋_GB2312"/>
          <w:bCs/>
          <w:sz w:val="24"/>
          <w:szCs w:val="24"/>
        </w:rPr>
        <w:t>供应商</w:t>
      </w:r>
      <w:r>
        <w:rPr>
          <w:rFonts w:ascii="Times New Roman" w:hAnsi="Times New Roman" w:eastAsia="仿宋_GB2312"/>
          <w:bCs/>
          <w:sz w:val="24"/>
          <w:szCs w:val="24"/>
        </w:rPr>
        <w:t>应当如实写明“负偏离”，否则视为虚假应标。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附件七</w:t>
      </w:r>
    </w:p>
    <w:p>
      <w:pPr>
        <w:jc w:val="center"/>
        <w:rPr>
          <w:rFonts w:ascii="宋体" w:hAnsi="宋体"/>
          <w:b/>
          <w:sz w:val="32"/>
          <w:szCs w:val="32"/>
        </w:rPr>
      </w:pPr>
      <w:r>
        <w:rPr>
          <w:rFonts w:hint="eastAsia" w:ascii="宋体" w:hAnsi="宋体"/>
          <w:b/>
          <w:sz w:val="32"/>
          <w:szCs w:val="32"/>
        </w:rPr>
        <w:t>竞标产品技术资料表</w:t>
      </w:r>
    </w:p>
    <w:p>
      <w:pPr>
        <w:rPr>
          <w:rFonts w:ascii="宋体" w:hAnsi="宋体"/>
          <w:sz w:val="24"/>
          <w:u w:val="single"/>
        </w:rPr>
      </w:pPr>
      <w:r>
        <w:rPr>
          <w:rFonts w:hint="eastAsia" w:ascii="宋体" w:hAnsi="宋体"/>
          <w:sz w:val="24"/>
        </w:rPr>
        <w:t>采购项目编号:</w:t>
      </w:r>
    </w:p>
    <w:p>
      <w:pPr>
        <w:rPr>
          <w:rFonts w:ascii="宋体" w:hAnsi="宋体"/>
          <w:sz w:val="24"/>
        </w:rPr>
      </w:pPr>
      <w:r>
        <w:rPr>
          <w:rFonts w:hint="eastAsia" w:ascii="宋体" w:hAnsi="宋体"/>
          <w:sz w:val="24"/>
        </w:rPr>
        <w:t>采购项目名称:</w:t>
      </w:r>
    </w:p>
    <w:p>
      <w:pPr>
        <w:rPr>
          <w:rFonts w:ascii="宋体" w:hAnsi="宋体"/>
          <w:sz w:val="24"/>
        </w:rPr>
      </w:pPr>
      <w:r>
        <w:rPr>
          <w:rFonts w:ascii="宋体" w:hAnsi="宋体"/>
          <w:sz w:val="24"/>
        </w:rPr>
        <w:t>请根据所投产品的实际技术参数，逐条对第</w:t>
      </w:r>
      <w:r>
        <w:rPr>
          <w:rFonts w:hint="eastAsia" w:ascii="宋体" w:hAnsi="宋体"/>
          <w:sz w:val="24"/>
        </w:rPr>
        <w:t>三</w:t>
      </w:r>
      <w:r>
        <w:rPr>
          <w:rFonts w:ascii="宋体" w:hAnsi="宋体"/>
          <w:sz w:val="24"/>
        </w:rPr>
        <w:t>章“货物需求一览表”中的技术参数要求详细填写相应的具体内容。“偏离说明”一栏应当选择“正偏离”、“负偏离”或“无偏离”进行填写。</w:t>
      </w:r>
    </w:p>
    <w:tbl>
      <w:tblPr>
        <w:tblStyle w:val="4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项号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谈判</w:t>
            </w:r>
            <w:r>
              <w:rPr>
                <w:rFonts w:eastAsia="仿宋_GB2312"/>
                <w:szCs w:val="21"/>
              </w:rPr>
              <w:t>文件需求</w:t>
            </w:r>
          </w:p>
        </w:tc>
        <w:tc>
          <w:tcPr>
            <w:tcW w:w="4493"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响应</w:t>
            </w:r>
            <w:r>
              <w:rPr>
                <w:rFonts w:eastAsia="仿宋_GB2312"/>
                <w:szCs w:val="21"/>
              </w:rPr>
              <w:t>文件承诺</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技术参数要求</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数量</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品牌、厂家、型号、规格</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技术参数</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2</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555"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供应商</w:t>
            </w:r>
            <w:r>
              <w:rPr>
                <w:rFonts w:eastAsia="仿宋_GB2312"/>
              </w:rPr>
              <w:t>（盖单位公章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供应商属自然人的应由自然人签字并加盖指印，竞标标人若为其他组织形式无法定代表人的应由机构负责人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hint="eastAsia" w:eastAsia="仿宋_GB2312"/>
                <w:szCs w:val="21"/>
              </w:rPr>
              <w:t>日期：    年    月    日</w:t>
            </w:r>
          </w:p>
        </w:tc>
      </w:tr>
    </w:tbl>
    <w:p>
      <w:pPr>
        <w:pStyle w:val="24"/>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pStyle w:val="24"/>
        <w:spacing w:line="6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hint="eastAsia" w:ascii="Times New Roman" w:hAnsi="Times New Roman" w:eastAsia="仿宋_GB2312"/>
          <w:bCs/>
          <w:color w:val="0000FF"/>
          <w:sz w:val="24"/>
          <w:szCs w:val="24"/>
        </w:rPr>
        <w:t>响应</w:t>
      </w:r>
      <w:r>
        <w:rPr>
          <w:rFonts w:ascii="Times New Roman" w:hAnsi="Times New Roman" w:eastAsia="仿宋_GB2312"/>
          <w:bCs/>
          <w:color w:val="0000FF"/>
          <w:sz w:val="24"/>
          <w:szCs w:val="24"/>
        </w:rPr>
        <w:t>文件</w:t>
      </w:r>
      <w:r>
        <w:rPr>
          <w:rFonts w:hint="eastAsia" w:ascii="Times New Roman" w:hAnsi="Times New Roman" w:eastAsia="仿宋_GB2312"/>
          <w:bCs/>
          <w:color w:val="0000FF"/>
          <w:sz w:val="24"/>
          <w:szCs w:val="24"/>
        </w:rPr>
        <w:t>需求</w:t>
      </w:r>
      <w:r>
        <w:rPr>
          <w:rFonts w:ascii="Times New Roman" w:hAnsi="Times New Roman" w:eastAsia="仿宋_GB2312"/>
          <w:bCs/>
          <w:color w:val="0000FF"/>
          <w:sz w:val="24"/>
          <w:szCs w:val="24"/>
        </w:rPr>
        <w:t>小于或大于</w:t>
      </w:r>
      <w:r>
        <w:rPr>
          <w:rFonts w:hint="eastAsia" w:ascii="Times New Roman" w:hAnsi="Times New Roman" w:eastAsia="仿宋_GB2312"/>
          <w:bCs/>
          <w:color w:val="0000FF"/>
          <w:sz w:val="24"/>
          <w:szCs w:val="24"/>
        </w:rPr>
        <w:t>谈判</w:t>
      </w:r>
      <w:r>
        <w:rPr>
          <w:rFonts w:ascii="Times New Roman" w:hAnsi="Times New Roman" w:eastAsia="仿宋_GB2312"/>
          <w:bCs/>
          <w:color w:val="0000FF"/>
          <w:sz w:val="24"/>
          <w:szCs w:val="24"/>
        </w:rPr>
        <w:t>文件某个数值标准时，</w:t>
      </w:r>
      <w:r>
        <w:rPr>
          <w:rFonts w:hint="eastAsia" w:ascii="Times New Roman" w:hAnsi="Times New Roman" w:eastAsia="仿宋_GB2312"/>
          <w:bCs/>
          <w:color w:val="0000FF"/>
          <w:sz w:val="24"/>
          <w:szCs w:val="24"/>
        </w:rPr>
        <w:t>响应</w:t>
      </w:r>
      <w:r>
        <w:rPr>
          <w:rFonts w:ascii="Times New Roman" w:hAnsi="Times New Roman" w:eastAsia="仿宋_GB2312"/>
          <w:bCs/>
          <w:color w:val="0000FF"/>
          <w:sz w:val="24"/>
          <w:szCs w:val="24"/>
        </w:rPr>
        <w:t>文件</w:t>
      </w:r>
      <w:r>
        <w:rPr>
          <w:rFonts w:hint="eastAsia" w:ascii="Times New Roman" w:hAnsi="Times New Roman" w:eastAsia="仿宋_GB2312"/>
          <w:bCs/>
          <w:color w:val="0000FF"/>
          <w:sz w:val="24"/>
          <w:szCs w:val="24"/>
        </w:rPr>
        <w:t>不得直接复制谈判文件需求，响应文件对应</w:t>
      </w:r>
      <w:r>
        <w:rPr>
          <w:rFonts w:ascii="Times New Roman" w:hAnsi="Times New Roman" w:eastAsia="仿宋_GB2312"/>
          <w:bCs/>
          <w:color w:val="0000FF"/>
          <w:sz w:val="24"/>
          <w:szCs w:val="24"/>
        </w:rPr>
        <w:t>内容应当写明</w:t>
      </w:r>
      <w:r>
        <w:rPr>
          <w:rFonts w:hint="eastAsia" w:ascii="Times New Roman" w:hAnsi="Times New Roman" w:eastAsia="仿宋_GB2312"/>
          <w:bCs/>
          <w:color w:val="0000FF"/>
          <w:sz w:val="24"/>
          <w:szCs w:val="24"/>
        </w:rPr>
        <w:t>竞</w:t>
      </w:r>
      <w:r>
        <w:rPr>
          <w:rFonts w:ascii="Times New Roman" w:hAnsi="Times New Roman" w:eastAsia="仿宋_GB2312"/>
          <w:bCs/>
          <w:color w:val="0000FF"/>
          <w:sz w:val="24"/>
          <w:szCs w:val="24"/>
        </w:rPr>
        <w:t>标货物具体参数或商务响应的</w:t>
      </w:r>
      <w:r>
        <w:rPr>
          <w:rFonts w:hint="eastAsia" w:ascii="Times New Roman" w:hAnsi="Times New Roman" w:eastAsia="仿宋_GB2312"/>
          <w:bCs/>
          <w:color w:val="0000FF"/>
          <w:sz w:val="24"/>
          <w:szCs w:val="24"/>
        </w:rPr>
        <w:t>实际</w:t>
      </w:r>
      <w:r>
        <w:rPr>
          <w:rFonts w:ascii="Times New Roman" w:hAnsi="Times New Roman" w:eastAsia="仿宋_GB2312"/>
          <w:bCs/>
          <w:color w:val="0000FF"/>
          <w:sz w:val="24"/>
          <w:szCs w:val="24"/>
        </w:rPr>
        <w:t>数值，否则按</w:t>
      </w:r>
      <w:r>
        <w:rPr>
          <w:rFonts w:hint="eastAsia" w:ascii="Times New Roman" w:hAnsi="Times New Roman" w:eastAsia="仿宋_GB2312"/>
          <w:bCs/>
          <w:color w:val="0000FF"/>
          <w:sz w:val="24"/>
          <w:szCs w:val="24"/>
        </w:rPr>
        <w:t>竞</w:t>
      </w:r>
      <w:r>
        <w:rPr>
          <w:rFonts w:ascii="Times New Roman" w:hAnsi="Times New Roman" w:eastAsia="仿宋_GB2312"/>
          <w:bCs/>
          <w:color w:val="0000FF"/>
          <w:sz w:val="24"/>
          <w:szCs w:val="24"/>
        </w:rPr>
        <w:t>标无效处理</w:t>
      </w:r>
      <w:r>
        <w:rPr>
          <w:rFonts w:ascii="Times New Roman" w:hAnsi="Times New Roman" w:eastAsia="仿宋_GB2312"/>
          <w:bCs/>
          <w:sz w:val="24"/>
          <w:szCs w:val="24"/>
        </w:rPr>
        <w:t>。</w:t>
      </w:r>
    </w:p>
    <w:p>
      <w:pPr>
        <w:pStyle w:val="24"/>
        <w:spacing w:line="600" w:lineRule="exact"/>
        <w:ind w:left="719" w:leftChars="228" w:hanging="240" w:hangingChars="100"/>
        <w:rPr>
          <w:rFonts w:ascii="Times New Roman" w:hAnsi="Times New Roman" w:eastAsia="仿宋_GB2312"/>
          <w:bCs/>
          <w:sz w:val="24"/>
          <w:szCs w:val="24"/>
        </w:rPr>
      </w:pPr>
      <w:r>
        <w:rPr>
          <w:rFonts w:ascii="Times New Roman" w:hAnsi="Times New Roman" w:eastAsia="仿宋_GB2312"/>
          <w:bCs/>
          <w:sz w:val="24"/>
          <w:szCs w:val="24"/>
        </w:rPr>
        <w:t>⑶当</w:t>
      </w:r>
      <w:r>
        <w:rPr>
          <w:rFonts w:hint="eastAsia" w:ascii="Times New Roman" w:hAnsi="Times New Roman" w:eastAsia="仿宋_GB2312"/>
          <w:bCs/>
          <w:sz w:val="24"/>
          <w:szCs w:val="24"/>
        </w:rPr>
        <w:t>响应</w:t>
      </w:r>
      <w:r>
        <w:rPr>
          <w:rFonts w:ascii="Times New Roman" w:hAnsi="Times New Roman" w:eastAsia="仿宋_GB2312"/>
          <w:bCs/>
          <w:sz w:val="24"/>
          <w:szCs w:val="24"/>
        </w:rPr>
        <w:t>文件的技术参数或商务内容低于</w:t>
      </w:r>
      <w:r>
        <w:rPr>
          <w:rFonts w:hint="eastAsia" w:ascii="Times New Roman" w:hAnsi="Times New Roman" w:eastAsia="仿宋_GB2312"/>
          <w:bCs/>
          <w:sz w:val="24"/>
          <w:szCs w:val="24"/>
        </w:rPr>
        <w:t>谈判</w:t>
      </w:r>
      <w:r>
        <w:rPr>
          <w:rFonts w:ascii="Times New Roman" w:hAnsi="Times New Roman" w:eastAsia="仿宋_GB2312"/>
          <w:bCs/>
          <w:sz w:val="24"/>
          <w:szCs w:val="24"/>
        </w:rPr>
        <w:t>文件要求时，</w:t>
      </w:r>
      <w:r>
        <w:rPr>
          <w:rFonts w:hint="eastAsia" w:ascii="Times New Roman" w:hAnsi="Times New Roman" w:eastAsia="仿宋_GB2312"/>
          <w:bCs/>
          <w:sz w:val="24"/>
          <w:szCs w:val="24"/>
        </w:rPr>
        <w:t>供应商</w:t>
      </w:r>
      <w:r>
        <w:rPr>
          <w:rFonts w:ascii="Times New Roman" w:hAnsi="Times New Roman" w:eastAsia="仿宋_GB2312"/>
          <w:bCs/>
          <w:sz w:val="24"/>
          <w:szCs w:val="24"/>
        </w:rPr>
        <w:t>应当如实写明“负偏离”，否则视为虚假应标。</w:t>
      </w:r>
    </w:p>
    <w:p>
      <w:pPr>
        <w:widowControl/>
        <w:shd w:val="clear" w:color="auto" w:fill="FFFFFF"/>
        <w:spacing w:after="240" w:line="360" w:lineRule="atLeast"/>
        <w:ind w:firstLine="480"/>
        <w:jc w:val="center"/>
        <w:rPr>
          <w:rFonts w:ascii="宋体" w:hAnsi="宋体" w:cs="宋体"/>
          <w:kern w:val="0"/>
          <w:sz w:val="24"/>
        </w:rPr>
      </w:pPr>
      <w:r>
        <w:rPr>
          <w:rFonts w:ascii="宋体" w:hAnsi="宋体" w:cs="宋体"/>
          <w:kern w:val="0"/>
          <w:sz w:val="24"/>
        </w:rPr>
        <w:br w:type="page"/>
      </w:r>
    </w:p>
    <w:p>
      <w:pPr>
        <w:widowControl/>
        <w:shd w:val="clear" w:color="auto" w:fill="FFFFFF"/>
        <w:spacing w:after="240" w:line="360" w:lineRule="atLeast"/>
        <w:ind w:firstLine="480"/>
        <w:jc w:val="left"/>
        <w:rPr>
          <w:rFonts w:ascii="宋体" w:hAnsi="宋体" w:cs="宋体"/>
          <w:b/>
          <w:kern w:val="0"/>
          <w:sz w:val="28"/>
          <w:szCs w:val="28"/>
        </w:rPr>
      </w:pPr>
      <w:r>
        <w:rPr>
          <w:rFonts w:hint="eastAsia"/>
        </w:rPr>
        <w:t>附件八：</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rPr>
        <w:t>附件九：</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588" w:lineRule="exact"/>
        <w:jc w:val="center"/>
        <w:rPr>
          <w:rFonts w:ascii="宋体" w:hAnsi="宋体"/>
          <w:b/>
          <w:spacing w:val="6"/>
          <w:sz w:val="24"/>
        </w:rPr>
      </w:pPr>
      <w:bookmarkStart w:id="40" w:name="OLE_LINK14"/>
      <w:bookmarkStart w:id="41" w:name="OLE_LINK13"/>
      <w:r>
        <w:rPr>
          <w:rFonts w:hint="eastAsia" w:ascii="宋体" w:hAnsi="宋体"/>
          <w:b/>
          <w:spacing w:val="6"/>
          <w:sz w:val="24"/>
        </w:rPr>
        <w:t>残疾人福利性单位声明函</w:t>
      </w:r>
    </w:p>
    <w:bookmarkEnd w:id="40"/>
    <w:bookmarkEnd w:id="41"/>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spacing w:line="300" w:lineRule="auto"/>
        <w:ind w:left="420" w:hanging="420"/>
        <w:rPr>
          <w:rFonts w:ascii="宋体" w:hAnsi="宋体"/>
          <w:b/>
          <w:sz w:val="32"/>
          <w:szCs w:val="32"/>
        </w:rPr>
      </w:pPr>
      <w:r>
        <w:rPr>
          <w:rFonts w:ascii="宋体" w:hAnsi="宋体"/>
          <w:b/>
          <w:bCs/>
          <w:sz w:val="44"/>
          <w:szCs w:val="44"/>
        </w:rPr>
        <w:br w:type="page"/>
      </w:r>
      <w:r>
        <w:rPr>
          <w:rFonts w:hint="eastAsia" w:ascii="宋体" w:hAnsi="宋体"/>
          <w:b/>
          <w:sz w:val="32"/>
          <w:szCs w:val="32"/>
        </w:rPr>
        <w:t>一般货物类</w:t>
      </w:r>
    </w:p>
    <w:p>
      <w:pPr>
        <w:snapToGrid w:val="0"/>
        <w:spacing w:line="400" w:lineRule="exact"/>
        <w:jc w:val="center"/>
        <w:rPr>
          <w:rFonts w:ascii="宋体" w:hAnsi="宋体"/>
          <w:b/>
          <w:bCs/>
          <w:sz w:val="32"/>
          <w:szCs w:val="32"/>
        </w:rPr>
      </w:pPr>
      <w:r>
        <w:rPr>
          <w:rFonts w:hint="eastAsia" w:ascii="宋体" w:hAnsi="宋体"/>
          <w:b/>
          <w:bCs/>
          <w:sz w:val="32"/>
          <w:szCs w:val="32"/>
        </w:rPr>
        <w:t>政府采购合同</w:t>
      </w:r>
    </w:p>
    <w:p>
      <w:pPr>
        <w:snapToGrid w:val="0"/>
        <w:ind w:firstLine="5250" w:firstLineChars="2500"/>
        <w:rPr>
          <w:rFonts w:ascii="宋体" w:hAnsi="宋体"/>
          <w:bCs/>
          <w:szCs w:val="21"/>
        </w:rPr>
      </w:pPr>
    </w:p>
    <w:p>
      <w:pPr>
        <w:snapToGrid w:val="0"/>
        <w:ind w:firstLine="5250" w:firstLineChars="2500"/>
        <w:rPr>
          <w:rFonts w:ascii="宋体" w:hAnsi="宋体"/>
          <w:bCs/>
          <w:szCs w:val="21"/>
          <w:u w:val="single"/>
        </w:rPr>
      </w:pPr>
      <w:r>
        <w:rPr>
          <w:rFonts w:hint="eastAsia" w:ascii="宋体" w:hAnsi="宋体"/>
          <w:bCs/>
          <w:szCs w:val="21"/>
        </w:rPr>
        <w:t>合同编号：</w:t>
      </w:r>
    </w:p>
    <w:p>
      <w:pPr>
        <w:snapToGrid w:val="0"/>
        <w:rPr>
          <w:rFonts w:ascii="宋体" w:hAnsi="宋体"/>
          <w:sz w:val="24"/>
          <w:u w:val="single"/>
        </w:rPr>
      </w:pPr>
      <w:r>
        <w:rPr>
          <w:rFonts w:hint="eastAsia" w:ascii="宋体" w:hAnsi="宋体"/>
          <w:sz w:val="24"/>
        </w:rPr>
        <w:t>采购单位（甲方）</w:t>
      </w:r>
      <w:r>
        <w:rPr>
          <w:rFonts w:hint="eastAsia" w:ascii="宋体" w:hAnsi="宋体"/>
          <w:spacing w:val="-20"/>
          <w:sz w:val="24"/>
        </w:rPr>
        <w:t>采 购 计 划 号</w:t>
      </w:r>
    </w:p>
    <w:p>
      <w:pPr>
        <w:snapToGrid w:val="0"/>
        <w:rPr>
          <w:rFonts w:ascii="宋体" w:hAnsi="宋体"/>
          <w:sz w:val="24"/>
          <w:u w:val="single"/>
        </w:rPr>
      </w:pPr>
      <w:r>
        <w:rPr>
          <w:rFonts w:hint="eastAsia" w:ascii="宋体" w:hAnsi="宋体"/>
          <w:sz w:val="24"/>
        </w:rPr>
        <w:t>供 应 商（乙方）</w:t>
      </w:r>
      <w:r>
        <w:rPr>
          <w:rFonts w:hint="eastAsia" w:ascii="宋体" w:hAnsi="宋体"/>
          <w:spacing w:val="-20"/>
          <w:sz w:val="24"/>
        </w:rPr>
        <w:t>招  标  编  号</w:t>
      </w:r>
    </w:p>
    <w:p>
      <w:pPr>
        <w:snapToGrid w:val="0"/>
        <w:rPr>
          <w:rFonts w:ascii="宋体" w:hAnsi="宋体"/>
          <w:sz w:val="24"/>
          <w:u w:val="single"/>
        </w:rPr>
      </w:pPr>
      <w:r>
        <w:rPr>
          <w:rFonts w:hint="eastAsia" w:ascii="宋体" w:hAnsi="宋体"/>
          <w:sz w:val="24"/>
        </w:rPr>
        <w:t>签  订  地  点    签 订 时 间</w:t>
      </w:r>
    </w:p>
    <w:p>
      <w:pPr>
        <w:snapToGrid w:val="0"/>
        <w:ind w:firstLine="480" w:firstLineChars="200"/>
        <w:rPr>
          <w:rFonts w:ascii="宋体" w:hAnsi="宋体"/>
          <w:sz w:val="24"/>
        </w:rPr>
      </w:pPr>
      <w:r>
        <w:rPr>
          <w:rFonts w:hint="eastAsia" w:ascii="宋体" w:hAnsi="宋体"/>
          <w:sz w:val="24"/>
        </w:rPr>
        <w:t>根据《中华人民共和国政府采购法》、《中华人民共和国合同法》等法律、法规规定，按照谈判文件规定条款和成交供应商承诺，甲乙双方签订本合同。</w:t>
      </w:r>
    </w:p>
    <w:p>
      <w:pPr>
        <w:snapToGrid w:val="0"/>
        <w:ind w:firstLine="482" w:firstLineChars="200"/>
        <w:rPr>
          <w:rFonts w:ascii="宋体" w:hAnsi="宋体"/>
          <w:b/>
          <w:sz w:val="24"/>
        </w:rPr>
      </w:pPr>
      <w:r>
        <w:rPr>
          <w:rFonts w:hint="eastAsia" w:ascii="宋体" w:hAnsi="宋体"/>
          <w:b/>
          <w:sz w:val="24"/>
        </w:rPr>
        <w:t>第一条　合同标的</w:t>
      </w:r>
    </w:p>
    <w:p>
      <w:pPr>
        <w:snapToGrid w:val="0"/>
        <w:ind w:firstLine="480" w:firstLineChars="200"/>
        <w:rPr>
          <w:rFonts w:ascii="宋体" w:hAnsi="宋体"/>
          <w:sz w:val="24"/>
        </w:rPr>
      </w:pPr>
      <w:r>
        <w:rPr>
          <w:rFonts w:hint="eastAsia" w:ascii="宋体" w:hAnsi="宋体"/>
          <w:sz w:val="24"/>
        </w:rPr>
        <w:t>1、供货一览表</w:t>
      </w:r>
    </w:p>
    <w:tbl>
      <w:tblPr>
        <w:tblStyle w:val="43"/>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jc w:val="center"/>
              <w:rPr>
                <w:rFonts w:ascii="宋体" w:hAnsi="宋体"/>
                <w:sz w:val="24"/>
              </w:rPr>
            </w:pPr>
            <w:r>
              <w:rPr>
                <w:rFonts w:hint="eastAsia" w:ascii="宋体" w:hAnsi="宋体"/>
                <w:sz w:val="24"/>
              </w:rPr>
              <w:t>序号</w:t>
            </w:r>
          </w:p>
        </w:tc>
        <w:tc>
          <w:tcPr>
            <w:tcW w:w="1233" w:type="dxa"/>
            <w:vAlign w:val="center"/>
          </w:tcPr>
          <w:p>
            <w:pPr>
              <w:snapToGrid w:val="0"/>
              <w:jc w:val="center"/>
              <w:rPr>
                <w:rFonts w:ascii="宋体" w:hAnsi="宋体"/>
                <w:sz w:val="24"/>
              </w:rPr>
            </w:pPr>
            <w:r>
              <w:rPr>
                <w:rFonts w:hint="eastAsia" w:ascii="宋体" w:hAnsi="宋体"/>
                <w:sz w:val="24"/>
              </w:rPr>
              <w:t>产品名称</w:t>
            </w:r>
          </w:p>
        </w:tc>
        <w:tc>
          <w:tcPr>
            <w:tcW w:w="1059" w:type="dxa"/>
            <w:vAlign w:val="center"/>
          </w:tcPr>
          <w:p>
            <w:pPr>
              <w:snapToGrid w:val="0"/>
              <w:jc w:val="center"/>
              <w:rPr>
                <w:rFonts w:ascii="宋体" w:hAnsi="宋体"/>
                <w:sz w:val="24"/>
              </w:rPr>
            </w:pPr>
            <w:r>
              <w:rPr>
                <w:rFonts w:hint="eastAsia" w:ascii="宋体" w:hAnsi="宋体"/>
                <w:sz w:val="24"/>
              </w:rPr>
              <w:t>商标品牌</w:t>
            </w:r>
          </w:p>
        </w:tc>
        <w:tc>
          <w:tcPr>
            <w:tcW w:w="1233" w:type="dxa"/>
            <w:vAlign w:val="center"/>
          </w:tcPr>
          <w:p>
            <w:pPr>
              <w:snapToGrid w:val="0"/>
              <w:jc w:val="center"/>
              <w:rPr>
                <w:rFonts w:ascii="宋体" w:hAnsi="宋体"/>
                <w:sz w:val="24"/>
              </w:rPr>
            </w:pPr>
            <w:r>
              <w:rPr>
                <w:rFonts w:hint="eastAsia" w:ascii="宋体" w:hAnsi="宋体"/>
                <w:sz w:val="24"/>
              </w:rPr>
              <w:t>规格型号</w:t>
            </w:r>
          </w:p>
        </w:tc>
        <w:tc>
          <w:tcPr>
            <w:tcW w:w="1210" w:type="dxa"/>
            <w:vAlign w:val="center"/>
          </w:tcPr>
          <w:p>
            <w:pPr>
              <w:snapToGrid w:val="0"/>
              <w:jc w:val="center"/>
              <w:rPr>
                <w:rFonts w:ascii="宋体" w:hAnsi="宋体"/>
                <w:sz w:val="24"/>
              </w:rPr>
            </w:pPr>
            <w:r>
              <w:rPr>
                <w:rFonts w:hint="eastAsia" w:ascii="宋体" w:hAnsi="宋体"/>
                <w:sz w:val="24"/>
              </w:rPr>
              <w:t>生产厂家</w:t>
            </w:r>
          </w:p>
        </w:tc>
        <w:tc>
          <w:tcPr>
            <w:tcW w:w="908" w:type="dxa"/>
            <w:vAlign w:val="center"/>
          </w:tcPr>
          <w:p>
            <w:pPr>
              <w:snapToGrid w:val="0"/>
              <w:jc w:val="center"/>
              <w:rPr>
                <w:rFonts w:ascii="宋体" w:hAnsi="宋体"/>
                <w:sz w:val="24"/>
              </w:rPr>
            </w:pPr>
            <w:r>
              <w:rPr>
                <w:rFonts w:hint="eastAsia" w:ascii="宋体" w:hAnsi="宋体"/>
                <w:sz w:val="24"/>
              </w:rPr>
              <w:t>数  量</w:t>
            </w:r>
          </w:p>
        </w:tc>
        <w:tc>
          <w:tcPr>
            <w:tcW w:w="668" w:type="dxa"/>
            <w:vAlign w:val="center"/>
          </w:tcPr>
          <w:p>
            <w:pPr>
              <w:snapToGrid w:val="0"/>
              <w:jc w:val="center"/>
              <w:rPr>
                <w:rFonts w:ascii="宋体" w:hAnsi="宋体"/>
                <w:sz w:val="24"/>
              </w:rPr>
            </w:pPr>
            <w:r>
              <w:rPr>
                <w:rFonts w:hint="eastAsia" w:ascii="宋体" w:hAnsi="宋体"/>
                <w:sz w:val="24"/>
              </w:rPr>
              <w:t>单位</w:t>
            </w:r>
          </w:p>
        </w:tc>
        <w:tc>
          <w:tcPr>
            <w:tcW w:w="947" w:type="dxa"/>
            <w:vAlign w:val="center"/>
          </w:tcPr>
          <w:p>
            <w:pPr>
              <w:snapToGrid w:val="0"/>
              <w:jc w:val="center"/>
              <w:rPr>
                <w:rFonts w:ascii="宋体" w:hAnsi="宋体"/>
                <w:sz w:val="24"/>
              </w:rPr>
            </w:pPr>
            <w:r>
              <w:rPr>
                <w:rFonts w:hint="eastAsia" w:ascii="宋体" w:hAnsi="宋体"/>
                <w:sz w:val="24"/>
              </w:rPr>
              <w:t>单  价</w:t>
            </w:r>
          </w:p>
          <w:p>
            <w:pPr>
              <w:snapToGrid w:val="0"/>
              <w:jc w:val="center"/>
              <w:rPr>
                <w:rFonts w:ascii="宋体" w:hAnsi="宋体"/>
                <w:sz w:val="24"/>
              </w:rPr>
            </w:pPr>
            <w:r>
              <w:rPr>
                <w:rFonts w:hint="eastAsia" w:ascii="宋体" w:hAnsi="宋体"/>
                <w:sz w:val="24"/>
              </w:rPr>
              <w:t>（元）</w:t>
            </w:r>
          </w:p>
        </w:tc>
        <w:tc>
          <w:tcPr>
            <w:tcW w:w="1189" w:type="dxa"/>
            <w:vAlign w:val="center"/>
          </w:tcPr>
          <w:p>
            <w:pPr>
              <w:snapToGrid w:val="0"/>
              <w:jc w:val="center"/>
              <w:rPr>
                <w:rFonts w:ascii="宋体" w:hAnsi="宋体"/>
                <w:sz w:val="24"/>
              </w:rPr>
            </w:pPr>
            <w:r>
              <w:rPr>
                <w:rFonts w:hint="eastAsia" w:ascii="宋体" w:hAnsi="宋体"/>
                <w:sz w:val="24"/>
              </w:rPr>
              <w:t>金  额</w:t>
            </w:r>
          </w:p>
          <w:p>
            <w:pPr>
              <w:snapToGrid w:val="0"/>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sz w:val="24"/>
              </w:rPr>
            </w:pPr>
            <w:r>
              <w:rPr>
                <w:rFonts w:hint="eastAsia" w:ascii="宋体" w:hAnsi="宋体"/>
                <w:sz w:val="24"/>
              </w:rPr>
              <w:t>1</w:t>
            </w:r>
          </w:p>
        </w:tc>
        <w:tc>
          <w:tcPr>
            <w:tcW w:w="1233" w:type="dxa"/>
            <w:vAlign w:val="center"/>
          </w:tcPr>
          <w:p>
            <w:pPr>
              <w:snapToGrid w:val="0"/>
              <w:jc w:val="center"/>
              <w:rPr>
                <w:rFonts w:ascii="宋体" w:hAnsi="宋体"/>
                <w:sz w:val="24"/>
              </w:rPr>
            </w:pPr>
          </w:p>
        </w:tc>
        <w:tc>
          <w:tcPr>
            <w:tcW w:w="1059" w:type="dxa"/>
            <w:vAlign w:val="center"/>
          </w:tcPr>
          <w:p>
            <w:pPr>
              <w:snapToGrid w:val="0"/>
              <w:jc w:val="center"/>
              <w:rPr>
                <w:rFonts w:ascii="宋体" w:hAnsi="宋体"/>
                <w:sz w:val="24"/>
              </w:rPr>
            </w:pPr>
          </w:p>
        </w:tc>
        <w:tc>
          <w:tcPr>
            <w:tcW w:w="1233" w:type="dxa"/>
            <w:vAlign w:val="center"/>
          </w:tcPr>
          <w:p>
            <w:pPr>
              <w:snapToGrid w:val="0"/>
              <w:jc w:val="center"/>
              <w:rPr>
                <w:rFonts w:ascii="宋体" w:hAnsi="宋体"/>
                <w:sz w:val="24"/>
              </w:rPr>
            </w:pPr>
          </w:p>
        </w:tc>
        <w:tc>
          <w:tcPr>
            <w:tcW w:w="1210" w:type="dxa"/>
          </w:tcPr>
          <w:p>
            <w:pPr>
              <w:snapToGrid w:val="0"/>
              <w:jc w:val="center"/>
              <w:rPr>
                <w:rFonts w:ascii="宋体" w:hAnsi="宋体"/>
                <w:sz w:val="24"/>
              </w:rPr>
            </w:pPr>
          </w:p>
        </w:tc>
        <w:tc>
          <w:tcPr>
            <w:tcW w:w="908" w:type="dxa"/>
          </w:tcPr>
          <w:p>
            <w:pPr>
              <w:snapToGrid w:val="0"/>
              <w:jc w:val="center"/>
              <w:rPr>
                <w:rFonts w:ascii="宋体" w:hAnsi="宋体"/>
                <w:sz w:val="24"/>
              </w:rPr>
            </w:pPr>
          </w:p>
        </w:tc>
        <w:tc>
          <w:tcPr>
            <w:tcW w:w="668" w:type="dxa"/>
          </w:tcPr>
          <w:p>
            <w:pPr>
              <w:snapToGrid w:val="0"/>
              <w:jc w:val="center"/>
              <w:rPr>
                <w:rFonts w:ascii="宋体" w:hAnsi="宋体"/>
                <w:sz w:val="24"/>
              </w:rPr>
            </w:pPr>
          </w:p>
        </w:tc>
        <w:tc>
          <w:tcPr>
            <w:tcW w:w="947" w:type="dxa"/>
            <w:vAlign w:val="center"/>
          </w:tcPr>
          <w:p>
            <w:pPr>
              <w:snapToGrid w:val="0"/>
              <w:jc w:val="center"/>
              <w:rPr>
                <w:rFonts w:ascii="宋体" w:hAnsi="宋体"/>
                <w:sz w:val="24"/>
              </w:rPr>
            </w:pPr>
          </w:p>
        </w:tc>
        <w:tc>
          <w:tcPr>
            <w:tcW w:w="1189"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sz w:val="24"/>
              </w:rPr>
            </w:pPr>
            <w:r>
              <w:rPr>
                <w:rFonts w:hint="eastAsia" w:ascii="宋体" w:hAnsi="宋体"/>
                <w:sz w:val="24"/>
              </w:rPr>
              <w:t>2</w:t>
            </w:r>
          </w:p>
        </w:tc>
        <w:tc>
          <w:tcPr>
            <w:tcW w:w="1233" w:type="dxa"/>
            <w:vAlign w:val="center"/>
          </w:tcPr>
          <w:p>
            <w:pPr>
              <w:snapToGrid w:val="0"/>
              <w:jc w:val="center"/>
              <w:rPr>
                <w:rFonts w:ascii="宋体" w:hAnsi="宋体"/>
                <w:sz w:val="24"/>
              </w:rPr>
            </w:pPr>
          </w:p>
        </w:tc>
        <w:tc>
          <w:tcPr>
            <w:tcW w:w="1059" w:type="dxa"/>
            <w:vAlign w:val="center"/>
          </w:tcPr>
          <w:p>
            <w:pPr>
              <w:snapToGrid w:val="0"/>
              <w:jc w:val="center"/>
              <w:rPr>
                <w:rFonts w:ascii="宋体" w:hAnsi="宋体"/>
                <w:sz w:val="24"/>
              </w:rPr>
            </w:pPr>
          </w:p>
        </w:tc>
        <w:tc>
          <w:tcPr>
            <w:tcW w:w="1233" w:type="dxa"/>
            <w:vAlign w:val="center"/>
          </w:tcPr>
          <w:p>
            <w:pPr>
              <w:snapToGrid w:val="0"/>
              <w:jc w:val="center"/>
              <w:rPr>
                <w:rFonts w:ascii="宋体" w:hAnsi="宋体"/>
                <w:sz w:val="24"/>
              </w:rPr>
            </w:pPr>
          </w:p>
        </w:tc>
        <w:tc>
          <w:tcPr>
            <w:tcW w:w="1210" w:type="dxa"/>
          </w:tcPr>
          <w:p>
            <w:pPr>
              <w:snapToGrid w:val="0"/>
              <w:jc w:val="center"/>
              <w:rPr>
                <w:rFonts w:ascii="宋体" w:hAnsi="宋体"/>
                <w:sz w:val="24"/>
              </w:rPr>
            </w:pPr>
          </w:p>
        </w:tc>
        <w:tc>
          <w:tcPr>
            <w:tcW w:w="908" w:type="dxa"/>
          </w:tcPr>
          <w:p>
            <w:pPr>
              <w:snapToGrid w:val="0"/>
              <w:jc w:val="center"/>
              <w:rPr>
                <w:rFonts w:ascii="宋体" w:hAnsi="宋体"/>
                <w:sz w:val="24"/>
              </w:rPr>
            </w:pPr>
          </w:p>
        </w:tc>
        <w:tc>
          <w:tcPr>
            <w:tcW w:w="668" w:type="dxa"/>
          </w:tcPr>
          <w:p>
            <w:pPr>
              <w:snapToGrid w:val="0"/>
              <w:jc w:val="center"/>
              <w:rPr>
                <w:rFonts w:ascii="宋体" w:hAnsi="宋体"/>
                <w:sz w:val="24"/>
              </w:rPr>
            </w:pPr>
          </w:p>
        </w:tc>
        <w:tc>
          <w:tcPr>
            <w:tcW w:w="947" w:type="dxa"/>
            <w:vAlign w:val="center"/>
          </w:tcPr>
          <w:p>
            <w:pPr>
              <w:snapToGrid w:val="0"/>
              <w:jc w:val="center"/>
              <w:rPr>
                <w:rFonts w:ascii="宋体" w:hAnsi="宋体"/>
                <w:sz w:val="24"/>
              </w:rPr>
            </w:pPr>
          </w:p>
        </w:tc>
        <w:tc>
          <w:tcPr>
            <w:tcW w:w="1189"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sz w:val="24"/>
              </w:rPr>
            </w:pPr>
            <w:r>
              <w:rPr>
                <w:rFonts w:hint="eastAsia" w:ascii="宋体" w:hAnsi="宋体"/>
                <w:sz w:val="24"/>
              </w:rPr>
              <w:t>3</w:t>
            </w:r>
          </w:p>
        </w:tc>
        <w:tc>
          <w:tcPr>
            <w:tcW w:w="1233" w:type="dxa"/>
            <w:vAlign w:val="center"/>
          </w:tcPr>
          <w:p>
            <w:pPr>
              <w:snapToGrid w:val="0"/>
              <w:jc w:val="center"/>
              <w:rPr>
                <w:rFonts w:ascii="宋体" w:hAnsi="宋体"/>
                <w:sz w:val="24"/>
              </w:rPr>
            </w:pPr>
          </w:p>
        </w:tc>
        <w:tc>
          <w:tcPr>
            <w:tcW w:w="1059" w:type="dxa"/>
            <w:vAlign w:val="center"/>
          </w:tcPr>
          <w:p>
            <w:pPr>
              <w:snapToGrid w:val="0"/>
              <w:jc w:val="center"/>
              <w:rPr>
                <w:rFonts w:ascii="宋体" w:hAnsi="宋体"/>
                <w:sz w:val="24"/>
              </w:rPr>
            </w:pPr>
          </w:p>
        </w:tc>
        <w:tc>
          <w:tcPr>
            <w:tcW w:w="1233" w:type="dxa"/>
            <w:vAlign w:val="center"/>
          </w:tcPr>
          <w:p>
            <w:pPr>
              <w:snapToGrid w:val="0"/>
              <w:jc w:val="center"/>
              <w:rPr>
                <w:rFonts w:ascii="宋体" w:hAnsi="宋体"/>
                <w:sz w:val="24"/>
              </w:rPr>
            </w:pPr>
          </w:p>
        </w:tc>
        <w:tc>
          <w:tcPr>
            <w:tcW w:w="1210" w:type="dxa"/>
          </w:tcPr>
          <w:p>
            <w:pPr>
              <w:snapToGrid w:val="0"/>
              <w:jc w:val="center"/>
              <w:rPr>
                <w:rFonts w:ascii="宋体" w:hAnsi="宋体"/>
                <w:sz w:val="24"/>
              </w:rPr>
            </w:pPr>
          </w:p>
        </w:tc>
        <w:tc>
          <w:tcPr>
            <w:tcW w:w="908" w:type="dxa"/>
          </w:tcPr>
          <w:p>
            <w:pPr>
              <w:snapToGrid w:val="0"/>
              <w:jc w:val="center"/>
              <w:rPr>
                <w:rFonts w:ascii="宋体" w:hAnsi="宋体"/>
                <w:sz w:val="24"/>
              </w:rPr>
            </w:pPr>
          </w:p>
        </w:tc>
        <w:tc>
          <w:tcPr>
            <w:tcW w:w="668" w:type="dxa"/>
          </w:tcPr>
          <w:p>
            <w:pPr>
              <w:snapToGrid w:val="0"/>
              <w:jc w:val="center"/>
              <w:rPr>
                <w:rFonts w:ascii="宋体" w:hAnsi="宋体"/>
                <w:sz w:val="24"/>
              </w:rPr>
            </w:pPr>
          </w:p>
        </w:tc>
        <w:tc>
          <w:tcPr>
            <w:tcW w:w="947" w:type="dxa"/>
            <w:vAlign w:val="center"/>
          </w:tcPr>
          <w:p>
            <w:pPr>
              <w:snapToGrid w:val="0"/>
              <w:jc w:val="center"/>
              <w:rPr>
                <w:rFonts w:ascii="宋体" w:hAnsi="宋体"/>
                <w:sz w:val="24"/>
              </w:rPr>
            </w:pPr>
          </w:p>
        </w:tc>
        <w:tc>
          <w:tcPr>
            <w:tcW w:w="1189"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rPr>
                <w:rFonts w:ascii="宋体" w:hAnsi="宋体"/>
                <w:sz w:val="24"/>
              </w:rPr>
            </w:pPr>
            <w:r>
              <w:rPr>
                <w:rFonts w:hint="eastAsia" w:ascii="宋体" w:hAnsi="宋体"/>
                <w:sz w:val="24"/>
              </w:rPr>
              <w:t xml:space="preserve">人民币合计金额（大写）                          （小写）                 </w:t>
            </w:r>
          </w:p>
        </w:tc>
      </w:tr>
    </w:tbl>
    <w:p>
      <w:pPr>
        <w:snapToGrid w:val="0"/>
        <w:ind w:firstLine="480" w:firstLineChars="200"/>
        <w:rPr>
          <w:rFonts w:ascii="宋体" w:hAnsi="宋体"/>
          <w:sz w:val="24"/>
        </w:rPr>
      </w:pPr>
      <w:r>
        <w:rPr>
          <w:rFonts w:hint="eastAsia" w:ascii="宋体" w:hAnsi="宋体"/>
          <w:sz w:val="24"/>
        </w:rPr>
        <w:t>2、合同合计金额包括货物价款，备件、专用工具、安装、调试、检验、技术培训及技术资料和包装、运输等全部费用。如招投标文件对其另有规定的，从其规定。</w:t>
      </w:r>
    </w:p>
    <w:p>
      <w:pPr>
        <w:snapToGrid w:val="0"/>
        <w:ind w:firstLine="482" w:firstLineChars="200"/>
        <w:rPr>
          <w:rFonts w:ascii="宋体" w:hAnsi="宋体"/>
          <w:sz w:val="24"/>
        </w:rPr>
      </w:pPr>
      <w:r>
        <w:rPr>
          <w:rFonts w:hint="eastAsia" w:ascii="宋体" w:hAnsi="宋体"/>
          <w:b/>
          <w:sz w:val="24"/>
        </w:rPr>
        <w:t>第二条</w:t>
      </w:r>
      <w:r>
        <w:rPr>
          <w:rFonts w:hint="eastAsia" w:ascii="宋体" w:hAnsi="宋体"/>
          <w:sz w:val="24"/>
        </w:rPr>
        <w:t>　质量保证</w:t>
      </w:r>
    </w:p>
    <w:p>
      <w:pPr>
        <w:snapToGrid w:val="0"/>
        <w:ind w:firstLine="480" w:firstLineChars="200"/>
        <w:rPr>
          <w:rFonts w:ascii="宋体" w:hAnsi="宋体"/>
          <w:sz w:val="24"/>
        </w:rPr>
      </w:pPr>
      <w:r>
        <w:rPr>
          <w:rFonts w:hint="eastAsia" w:ascii="宋体" w:hAnsi="宋体"/>
          <w:sz w:val="24"/>
        </w:rPr>
        <w:t>1、乙方所提供的货物型号、技术规格、技术参数等质量必须与招投标文件和承诺相一致。</w:t>
      </w:r>
    </w:p>
    <w:p>
      <w:pPr>
        <w:snapToGrid w:val="0"/>
        <w:ind w:firstLine="480" w:firstLineChars="200"/>
        <w:rPr>
          <w:rFonts w:ascii="宋体" w:hAnsi="宋体"/>
          <w:sz w:val="24"/>
        </w:rPr>
      </w:pPr>
      <w:r>
        <w:rPr>
          <w:rFonts w:hint="eastAsia" w:ascii="宋体" w:hAnsi="宋体"/>
          <w:sz w:val="24"/>
        </w:rPr>
        <w:t>2、乙方所提供的货物必须是全新、未使用的原装产品，且在正常安装、使用和保养条件下，其使用寿命期内各项指标均达到质量要求。</w:t>
      </w:r>
    </w:p>
    <w:p>
      <w:pPr>
        <w:snapToGrid w:val="0"/>
        <w:ind w:firstLine="482" w:firstLineChars="200"/>
        <w:rPr>
          <w:rFonts w:ascii="宋体" w:hAnsi="宋体"/>
          <w:sz w:val="24"/>
        </w:rPr>
      </w:pPr>
      <w:r>
        <w:rPr>
          <w:rFonts w:hint="eastAsia" w:ascii="宋体" w:hAnsi="宋体"/>
          <w:b/>
          <w:sz w:val="24"/>
        </w:rPr>
        <w:t>第三条</w:t>
      </w:r>
      <w:r>
        <w:rPr>
          <w:rFonts w:hint="eastAsia" w:ascii="宋体" w:hAnsi="宋体"/>
          <w:sz w:val="24"/>
        </w:rPr>
        <w:t>　权力保证</w:t>
      </w:r>
    </w:p>
    <w:p>
      <w:pPr>
        <w:snapToGrid w:val="0"/>
        <w:ind w:firstLine="480" w:firstLineChars="200"/>
        <w:rPr>
          <w:rFonts w:ascii="宋体" w:hAnsi="宋体"/>
          <w:sz w:val="24"/>
        </w:rPr>
      </w:pPr>
      <w:r>
        <w:rPr>
          <w:rFonts w:hint="eastAsia" w:ascii="宋体" w:hAnsi="宋体"/>
          <w:sz w:val="24"/>
        </w:rPr>
        <w:t>乙方应保证所提供货物在使用时不会侵犯任何第三方的专利权、商标权、工业设计权或其他权利。</w:t>
      </w:r>
    </w:p>
    <w:p>
      <w:pPr>
        <w:snapToGrid w:val="0"/>
        <w:ind w:firstLine="480" w:firstLineChars="200"/>
        <w:rPr>
          <w:rFonts w:ascii="宋体" w:hAnsi="宋体"/>
          <w:sz w:val="24"/>
        </w:rPr>
      </w:pPr>
      <w:r>
        <w:rPr>
          <w:rFonts w:hint="eastAsia" w:ascii="宋体" w:hAnsi="宋体"/>
          <w:sz w:val="24"/>
        </w:rPr>
        <w:t>乙方应按招标文件规定的时间向甲方提供使用货物的有关技术资料。</w:t>
      </w:r>
    </w:p>
    <w:p>
      <w:pPr>
        <w:snapToGrid w:val="0"/>
        <w:ind w:firstLine="480" w:firstLineChars="200"/>
        <w:rPr>
          <w:rFonts w:ascii="宋体" w:hAnsi="宋体"/>
          <w:sz w:val="24"/>
        </w:rPr>
      </w:pPr>
      <w:r>
        <w:rPr>
          <w:rFonts w:hint="eastAsia" w:ascii="宋体"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ind w:firstLine="480" w:firstLineChars="200"/>
        <w:rPr>
          <w:rFonts w:ascii="宋体" w:hAnsi="宋体"/>
          <w:sz w:val="24"/>
        </w:rPr>
      </w:pPr>
      <w:r>
        <w:rPr>
          <w:rFonts w:hint="eastAsia" w:ascii="宋体" w:hAnsi="宋体"/>
          <w:sz w:val="24"/>
        </w:rPr>
        <w:t>乙方保证所交付的货物的所有权完全属于乙方且无任何抵押、质押、查封等产权瑕疵。</w:t>
      </w:r>
    </w:p>
    <w:p>
      <w:pPr>
        <w:snapToGrid w:val="0"/>
        <w:ind w:firstLine="482" w:firstLineChars="200"/>
        <w:rPr>
          <w:rFonts w:ascii="宋体" w:hAnsi="宋体"/>
          <w:sz w:val="24"/>
        </w:rPr>
      </w:pPr>
      <w:r>
        <w:rPr>
          <w:rFonts w:hint="eastAsia" w:ascii="宋体" w:hAnsi="宋体"/>
          <w:b/>
          <w:sz w:val="24"/>
        </w:rPr>
        <w:t>第四条</w:t>
      </w:r>
      <w:r>
        <w:rPr>
          <w:rFonts w:hint="eastAsia" w:ascii="宋体" w:hAnsi="宋体"/>
          <w:sz w:val="24"/>
        </w:rPr>
        <w:t>　包装和运输</w:t>
      </w:r>
    </w:p>
    <w:p>
      <w:pPr>
        <w:snapToGrid w:val="0"/>
        <w:ind w:firstLine="480" w:firstLineChars="200"/>
        <w:rPr>
          <w:rFonts w:ascii="宋体" w:hAnsi="宋体"/>
          <w:sz w:val="24"/>
        </w:rPr>
      </w:pPr>
      <w:r>
        <w:rPr>
          <w:rFonts w:hint="eastAsia" w:ascii="宋体" w:hAnsi="宋体"/>
          <w:sz w:val="24"/>
        </w:rPr>
        <w:t>1、乙方提供的货物均应按招投标文件要求的包装材料、包装标准、包装方式进行包装，每一包装单元内应附详细的装箱单和质量合格证。</w:t>
      </w:r>
    </w:p>
    <w:p>
      <w:pPr>
        <w:snapToGrid w:val="0"/>
        <w:ind w:firstLine="480" w:firstLineChars="200"/>
        <w:rPr>
          <w:rFonts w:ascii="宋体" w:hAnsi="宋体"/>
          <w:sz w:val="24"/>
        </w:rPr>
      </w:pPr>
      <w:r>
        <w:rPr>
          <w:rFonts w:hint="eastAsia" w:ascii="宋体" w:hAnsi="宋体"/>
          <w:sz w:val="24"/>
        </w:rPr>
        <w:t>2、货物的运输方式：不限 。</w:t>
      </w:r>
    </w:p>
    <w:p>
      <w:pPr>
        <w:snapToGrid w:val="0"/>
        <w:ind w:firstLine="480" w:firstLineChars="200"/>
        <w:rPr>
          <w:rFonts w:ascii="宋体" w:hAnsi="宋体"/>
          <w:sz w:val="24"/>
        </w:rPr>
      </w:pPr>
      <w:r>
        <w:rPr>
          <w:rFonts w:hint="eastAsia" w:ascii="宋体" w:hAnsi="宋体"/>
          <w:sz w:val="24"/>
        </w:rPr>
        <w:t>3、乙方负责货物运输，货物运输合理损耗及计算方法：本合同交付货物不接受损耗。</w:t>
      </w:r>
    </w:p>
    <w:p>
      <w:pPr>
        <w:snapToGrid w:val="0"/>
        <w:ind w:firstLine="482" w:firstLineChars="200"/>
        <w:rPr>
          <w:rFonts w:ascii="宋体" w:hAnsi="宋体"/>
          <w:sz w:val="24"/>
        </w:rPr>
      </w:pPr>
      <w:r>
        <w:rPr>
          <w:rFonts w:hint="eastAsia" w:ascii="宋体" w:hAnsi="宋体"/>
          <w:b/>
          <w:sz w:val="24"/>
        </w:rPr>
        <w:t>第五条</w:t>
      </w:r>
      <w:r>
        <w:rPr>
          <w:rFonts w:hint="eastAsia" w:ascii="宋体" w:hAnsi="宋体"/>
          <w:sz w:val="24"/>
        </w:rPr>
        <w:t>　交付和验收</w:t>
      </w:r>
    </w:p>
    <w:p>
      <w:pPr>
        <w:snapToGrid w:val="0"/>
        <w:ind w:firstLine="480" w:firstLineChars="200"/>
        <w:rPr>
          <w:rFonts w:ascii="宋体" w:hAnsi="宋体"/>
          <w:sz w:val="24"/>
        </w:rPr>
      </w:pPr>
      <w:r>
        <w:rPr>
          <w:rFonts w:hint="eastAsia" w:ascii="宋体" w:hAnsi="宋体"/>
          <w:sz w:val="24"/>
        </w:rPr>
        <w:t>1、交货时间：</w:t>
      </w:r>
      <w:r>
        <w:rPr>
          <w:rFonts w:hint="eastAsia" w:ascii="宋体" w:hAnsi="宋体"/>
          <w:sz w:val="24"/>
          <w:u w:val="single"/>
        </w:rPr>
        <w:t>按乙方响应文件承诺。</w:t>
      </w:r>
    </w:p>
    <w:p>
      <w:pPr>
        <w:ind w:firstLine="480" w:firstLineChars="200"/>
        <w:rPr>
          <w:rFonts w:ascii="宋体" w:hAnsi="宋体"/>
          <w:sz w:val="24"/>
        </w:rPr>
      </w:pPr>
      <w:r>
        <w:rPr>
          <w:rFonts w:hint="eastAsia" w:ascii="宋体" w:hAnsi="宋体"/>
          <w:sz w:val="24"/>
        </w:rPr>
        <w:t>交货地点：</w:t>
      </w:r>
      <w:r>
        <w:rPr>
          <w:rFonts w:hint="eastAsia" w:ascii="宋体" w:hAnsi="宋体"/>
          <w:sz w:val="24"/>
          <w:u w:val="single"/>
        </w:rPr>
        <w:t>采购人指定地点。</w:t>
      </w:r>
    </w:p>
    <w:p>
      <w:pPr>
        <w:snapToGrid w:val="0"/>
        <w:ind w:firstLine="480" w:firstLineChars="200"/>
        <w:rPr>
          <w:rFonts w:ascii="宋体" w:hAnsi="宋体"/>
          <w:sz w:val="24"/>
        </w:rPr>
      </w:pPr>
      <w:r>
        <w:rPr>
          <w:rFonts w:hint="eastAsia" w:ascii="宋体" w:hAnsi="宋体"/>
          <w:sz w:val="24"/>
        </w:rPr>
        <w:t>2、乙方提供不符合招投标文件和本合同规定的货物，甲方有权拒绝接受。</w:t>
      </w:r>
    </w:p>
    <w:p>
      <w:pPr>
        <w:snapToGrid w:val="0"/>
        <w:ind w:firstLine="480" w:firstLineChars="200"/>
        <w:rPr>
          <w:rFonts w:ascii="宋体" w:hAnsi="宋体"/>
          <w:sz w:val="24"/>
        </w:rPr>
      </w:pPr>
      <w:r>
        <w:rPr>
          <w:rFonts w:hint="eastAsia" w:ascii="宋体" w:hAnsi="宋体"/>
          <w:sz w:val="24"/>
        </w:rPr>
        <w:t>3、乙方应将所提供货物的装箱清单、用户手册、原厂保修卡、随机资料、工具和备品、备件等交付给甲方，如有缺失应及时补齐，否则视为逾期交货。</w:t>
      </w:r>
    </w:p>
    <w:p>
      <w:pPr>
        <w:snapToGrid w:val="0"/>
        <w:ind w:firstLine="480" w:firstLineChars="200"/>
        <w:rPr>
          <w:rFonts w:ascii="宋体" w:hAnsi="宋体"/>
          <w:sz w:val="24"/>
        </w:rPr>
      </w:pPr>
      <w:r>
        <w:rPr>
          <w:rFonts w:hint="eastAsia" w:ascii="宋体" w:hAnsi="宋体"/>
          <w:sz w:val="24"/>
        </w:rPr>
        <w:t>4、甲方应当在到货（安装、调试完）后七个工作日内进行验收，逾期不验收的，乙方可视同验收合格。验收合格后由甲乙双方签署货物验收单并加盖采购单位公章，甲乙双方各执一份。</w:t>
      </w:r>
    </w:p>
    <w:p>
      <w:pPr>
        <w:snapToGrid w:val="0"/>
        <w:ind w:firstLine="480" w:firstLineChars="200"/>
        <w:rPr>
          <w:rFonts w:ascii="宋体" w:hAnsi="宋体"/>
          <w:sz w:val="24"/>
        </w:rPr>
      </w:pPr>
      <w:r>
        <w:rPr>
          <w:rFonts w:hint="eastAsia" w:ascii="宋体" w:hAnsi="宋体"/>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ind w:firstLine="480" w:firstLineChars="200"/>
        <w:rPr>
          <w:rFonts w:ascii="宋体" w:hAnsi="宋体"/>
          <w:sz w:val="24"/>
        </w:rPr>
      </w:pPr>
      <w:r>
        <w:rPr>
          <w:rFonts w:hint="eastAsia" w:ascii="宋体" w:hAnsi="宋体"/>
          <w:sz w:val="24"/>
        </w:rPr>
        <w:t>6、甲方对验收有异议的，在验收后五个工作日内以书面形式向乙方提出，乙方应自收到甲方书面异议后五个工作日内及时予以解决。</w:t>
      </w:r>
    </w:p>
    <w:p>
      <w:pPr>
        <w:snapToGrid w:val="0"/>
        <w:ind w:firstLine="482" w:firstLineChars="200"/>
        <w:rPr>
          <w:rFonts w:ascii="宋体" w:hAnsi="宋体"/>
          <w:sz w:val="24"/>
        </w:rPr>
      </w:pPr>
      <w:r>
        <w:rPr>
          <w:rFonts w:hint="eastAsia" w:ascii="宋体" w:hAnsi="宋体"/>
          <w:b/>
          <w:sz w:val="24"/>
        </w:rPr>
        <w:t>第六条</w:t>
      </w:r>
      <w:r>
        <w:rPr>
          <w:rFonts w:hint="eastAsia" w:ascii="宋体" w:hAnsi="宋体"/>
          <w:sz w:val="24"/>
        </w:rPr>
        <w:t>　安装和培训</w:t>
      </w:r>
    </w:p>
    <w:p>
      <w:pPr>
        <w:snapToGrid w:val="0"/>
        <w:ind w:firstLine="480" w:firstLineChars="200"/>
        <w:rPr>
          <w:rFonts w:ascii="宋体" w:hAnsi="宋体"/>
          <w:sz w:val="24"/>
        </w:rPr>
      </w:pPr>
      <w:r>
        <w:rPr>
          <w:rFonts w:hint="eastAsia" w:ascii="宋体" w:hAnsi="宋体"/>
          <w:sz w:val="24"/>
        </w:rPr>
        <w:t>无</w:t>
      </w:r>
    </w:p>
    <w:p>
      <w:pPr>
        <w:snapToGrid w:val="0"/>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售后服务、保修期</w:t>
      </w:r>
    </w:p>
    <w:p>
      <w:pPr>
        <w:snapToGrid w:val="0"/>
        <w:ind w:firstLine="480" w:firstLineChars="200"/>
        <w:rPr>
          <w:rFonts w:ascii="宋体" w:hAnsi="宋体"/>
          <w:sz w:val="24"/>
        </w:rPr>
      </w:pPr>
      <w:r>
        <w:rPr>
          <w:rFonts w:hint="eastAsia" w:ascii="宋体" w:hAnsi="宋体"/>
          <w:sz w:val="24"/>
        </w:rPr>
        <w:t>1、乙方应按照国家有关法律法规和“三包”规定以及招投标文件和本合同所附的《服务承诺》，为甲方提供售后服务。</w:t>
      </w:r>
    </w:p>
    <w:p>
      <w:pPr>
        <w:snapToGrid w:val="0"/>
        <w:ind w:firstLine="480" w:firstLineChars="200"/>
        <w:rPr>
          <w:rFonts w:ascii="宋体" w:hAnsi="宋体"/>
          <w:sz w:val="24"/>
        </w:rPr>
      </w:pPr>
      <w:r>
        <w:rPr>
          <w:rFonts w:hint="eastAsia" w:ascii="宋体" w:hAnsi="宋体"/>
          <w:sz w:val="24"/>
        </w:rPr>
        <w:t xml:space="preserve">2、货物保修期： </w:t>
      </w:r>
      <w:r>
        <w:rPr>
          <w:rFonts w:hint="eastAsia" w:ascii="宋体" w:hAnsi="宋体"/>
          <w:sz w:val="24"/>
          <w:u w:val="single"/>
        </w:rPr>
        <w:t xml:space="preserve"> 按乙方商务条款偏离表和售后服务方案</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3、乙方提供的服务承诺和售后服务及保修期责任等其它具体约定事项。（见合同附件）</w:t>
      </w:r>
    </w:p>
    <w:p>
      <w:pPr>
        <w:snapToGrid w:val="0"/>
        <w:ind w:firstLine="482" w:firstLineChars="200"/>
        <w:rPr>
          <w:rFonts w:ascii="宋体" w:hAnsi="宋体"/>
          <w:sz w:val="24"/>
        </w:rPr>
      </w:pPr>
      <w:r>
        <w:rPr>
          <w:rFonts w:hint="eastAsia" w:ascii="宋体" w:hAnsi="宋体"/>
          <w:b/>
          <w:sz w:val="24"/>
        </w:rPr>
        <w:t>第八条</w:t>
      </w:r>
      <w:r>
        <w:rPr>
          <w:rFonts w:hint="eastAsia" w:ascii="宋体" w:hAnsi="宋体"/>
          <w:sz w:val="24"/>
        </w:rPr>
        <w:t>　付款方式</w:t>
      </w:r>
    </w:p>
    <w:p>
      <w:pPr>
        <w:snapToGrid w:val="0"/>
        <w:ind w:firstLine="480" w:firstLineChars="200"/>
        <w:rPr>
          <w:rFonts w:hAnsi="宋体"/>
          <w:sz w:val="24"/>
        </w:rPr>
      </w:pPr>
      <w:r>
        <w:rPr>
          <w:rFonts w:hint="eastAsia" w:hAnsi="宋体"/>
          <w:sz w:val="24"/>
        </w:rPr>
        <w:t>1、资金性质：预算内资金。</w:t>
      </w:r>
    </w:p>
    <w:p>
      <w:pPr>
        <w:snapToGrid w:val="0"/>
        <w:ind w:firstLine="480" w:firstLineChars="200"/>
        <w:rPr>
          <w:rFonts w:hAnsi="宋体"/>
          <w:sz w:val="24"/>
        </w:rPr>
      </w:pPr>
      <w:r>
        <w:rPr>
          <w:rFonts w:hint="eastAsia" w:hAnsi="宋体"/>
          <w:sz w:val="24"/>
        </w:rPr>
        <w:t>2、付款方式：本项目无预付款，供应商交货安装完毕并验收合格后，一次性支付合同款。</w:t>
      </w:r>
    </w:p>
    <w:p>
      <w:pPr>
        <w:snapToGrid w:val="0"/>
        <w:ind w:firstLine="514"/>
        <w:rPr>
          <w:rFonts w:ascii="宋体" w:hAnsi="宋体"/>
          <w:sz w:val="24"/>
        </w:rPr>
      </w:pPr>
      <w:r>
        <w:rPr>
          <w:rFonts w:hint="eastAsia" w:ascii="宋体" w:hAnsi="宋体"/>
          <w:b/>
          <w:sz w:val="24"/>
        </w:rPr>
        <w:t>第九条</w:t>
      </w:r>
      <w:r>
        <w:rPr>
          <w:rFonts w:hint="eastAsia" w:ascii="宋体" w:hAnsi="宋体"/>
          <w:sz w:val="24"/>
        </w:rPr>
        <w:t xml:space="preserve">  税费</w:t>
      </w:r>
    </w:p>
    <w:p>
      <w:pPr>
        <w:snapToGrid w:val="0"/>
        <w:ind w:firstLine="514"/>
        <w:rPr>
          <w:rFonts w:ascii="宋体" w:hAnsi="宋体"/>
          <w:sz w:val="24"/>
        </w:rPr>
      </w:pPr>
      <w:r>
        <w:rPr>
          <w:rFonts w:hint="eastAsia" w:ascii="宋体" w:hAnsi="宋体"/>
          <w:sz w:val="24"/>
        </w:rPr>
        <w:t>本合同执行中相关的一切税费均由乙方负担。</w:t>
      </w:r>
    </w:p>
    <w:p>
      <w:pPr>
        <w:snapToGrid w:val="0"/>
        <w:ind w:firstLine="514"/>
        <w:rPr>
          <w:rFonts w:ascii="宋体" w:hAnsi="宋体"/>
          <w:sz w:val="24"/>
        </w:rPr>
      </w:pPr>
      <w:r>
        <w:rPr>
          <w:rFonts w:hint="eastAsia" w:ascii="宋体" w:hAnsi="宋体"/>
          <w:b/>
          <w:sz w:val="24"/>
        </w:rPr>
        <w:t>第十条</w:t>
      </w:r>
      <w:r>
        <w:rPr>
          <w:rFonts w:hint="eastAsia" w:ascii="宋体" w:hAnsi="宋体"/>
          <w:sz w:val="24"/>
        </w:rPr>
        <w:t>、质量保证及售后服务</w:t>
      </w:r>
    </w:p>
    <w:p>
      <w:pPr>
        <w:snapToGrid w:val="0"/>
        <w:ind w:firstLine="480" w:firstLineChars="200"/>
        <w:rPr>
          <w:rFonts w:ascii="宋体" w:hAnsi="宋体"/>
          <w:sz w:val="24"/>
        </w:rPr>
      </w:pPr>
      <w:r>
        <w:rPr>
          <w:rFonts w:hint="eastAsia" w:ascii="宋体" w:hAnsi="宋体"/>
          <w:sz w:val="24"/>
        </w:rPr>
        <w:t>1. 乙方应按招标文件规定的货物性能、技术要求、质量标准向甲方提供未经使用的全新产品。不符合要求者，根据实际情况，经双方协商，可按以下办法处理：</w:t>
      </w:r>
    </w:p>
    <w:p>
      <w:pPr>
        <w:pStyle w:val="24"/>
        <w:snapToGrid w:val="0"/>
        <w:ind w:firstLine="480" w:firstLineChars="200"/>
        <w:rPr>
          <w:rFonts w:hAnsi="宋体"/>
          <w:sz w:val="24"/>
          <w:szCs w:val="24"/>
        </w:rPr>
      </w:pPr>
      <w:r>
        <w:rPr>
          <w:rFonts w:hint="eastAsia" w:hAnsi="宋体"/>
          <w:sz w:val="24"/>
          <w:szCs w:val="24"/>
        </w:rPr>
        <w:t>⑴更换：由乙方承担所发生的全部费用。</w:t>
      </w:r>
    </w:p>
    <w:p>
      <w:pPr>
        <w:pStyle w:val="24"/>
        <w:snapToGrid w:val="0"/>
        <w:ind w:firstLine="420"/>
        <w:rPr>
          <w:rFonts w:hAnsi="宋体"/>
          <w:sz w:val="24"/>
          <w:szCs w:val="24"/>
        </w:rPr>
      </w:pPr>
      <w:r>
        <w:rPr>
          <w:rFonts w:hint="eastAsia" w:hAnsi="宋体"/>
          <w:sz w:val="24"/>
          <w:szCs w:val="24"/>
        </w:rPr>
        <w:t>⑵贬值处理：由甲乙双方合议定价。</w:t>
      </w:r>
    </w:p>
    <w:p>
      <w:pPr>
        <w:pStyle w:val="24"/>
        <w:snapToGrid w:val="0"/>
        <w:ind w:left="420" w:leftChars="200"/>
        <w:rPr>
          <w:rFonts w:hAnsi="宋体"/>
          <w:sz w:val="24"/>
          <w:szCs w:val="24"/>
        </w:rPr>
      </w:pPr>
      <w:r>
        <w:rPr>
          <w:rFonts w:hint="eastAsia" w:hAnsi="宋体"/>
          <w:sz w:val="24"/>
          <w:szCs w:val="24"/>
        </w:rPr>
        <w:t>⑶退货处理：乙方应退还甲方支付的合同款，同时应承担该货物的直接费用（运输、保险、检验、货款利息及银行手续费等）。</w:t>
      </w:r>
    </w:p>
    <w:p>
      <w:pPr>
        <w:pStyle w:val="24"/>
        <w:snapToGrid w:val="0"/>
        <w:ind w:firstLine="480" w:firstLineChars="200"/>
        <w:rPr>
          <w:rFonts w:hAnsi="宋体"/>
          <w:sz w:val="24"/>
          <w:szCs w:val="24"/>
        </w:rPr>
      </w:pPr>
      <w:r>
        <w:rPr>
          <w:rFonts w:hint="eastAsia" w:hAnsi="宋体"/>
          <w:sz w:val="24"/>
          <w:szCs w:val="24"/>
        </w:rPr>
        <w:t>3. 如在使用过程中发生质量问题，乙方在接到甲方通知后48小时内到达甲方现场处理。</w:t>
      </w:r>
    </w:p>
    <w:p>
      <w:pPr>
        <w:pStyle w:val="24"/>
        <w:snapToGrid w:val="0"/>
        <w:ind w:firstLine="480" w:firstLineChars="200"/>
        <w:rPr>
          <w:rFonts w:hAnsi="宋体"/>
          <w:sz w:val="24"/>
          <w:szCs w:val="24"/>
        </w:rPr>
      </w:pPr>
      <w:r>
        <w:rPr>
          <w:rFonts w:hint="eastAsia" w:hAnsi="宋体"/>
          <w:sz w:val="24"/>
          <w:szCs w:val="24"/>
        </w:rPr>
        <w:t>4. 在质保期内，乙方应对货物出现的质量及安全问题负责处理解决并承担一切费用。</w:t>
      </w:r>
    </w:p>
    <w:p>
      <w:pPr>
        <w:snapToGrid w:val="0"/>
        <w:ind w:firstLine="514"/>
        <w:rPr>
          <w:rFonts w:ascii="宋体" w:hAnsi="宋体"/>
          <w:sz w:val="24"/>
        </w:rPr>
      </w:pPr>
      <w:r>
        <w:rPr>
          <w:rFonts w:hint="eastAsia" w:ascii="宋体" w:hAnsi="宋体"/>
          <w:sz w:val="24"/>
        </w:rPr>
        <w:t>5. 上述的货物免费保修期为投标文件中承诺的保修期，因人为因素出现的故障不在免费保修范围内。超过保修期的机器设备，终生维修，维修时只收部件成本费。</w:t>
      </w:r>
    </w:p>
    <w:p>
      <w:pPr>
        <w:snapToGrid w:val="0"/>
        <w:ind w:firstLine="514"/>
        <w:rPr>
          <w:rFonts w:ascii="宋体" w:hAnsi="宋体"/>
          <w:sz w:val="24"/>
        </w:rPr>
      </w:pPr>
      <w:r>
        <w:rPr>
          <w:rFonts w:hint="eastAsia" w:ascii="宋体" w:hAnsi="宋体"/>
          <w:b/>
          <w:sz w:val="24"/>
        </w:rPr>
        <w:t>第十一条</w:t>
      </w:r>
      <w:r>
        <w:rPr>
          <w:rFonts w:hint="eastAsia" w:ascii="宋体" w:hAnsi="宋体"/>
          <w:sz w:val="24"/>
        </w:rPr>
        <w:t xml:space="preserve">  调试和验收</w:t>
      </w:r>
    </w:p>
    <w:p>
      <w:pPr>
        <w:pStyle w:val="24"/>
        <w:snapToGrid w:val="0"/>
        <w:ind w:firstLine="480" w:firstLineChars="200"/>
        <w:jc w:val="left"/>
        <w:rPr>
          <w:rFonts w:hAnsi="宋体"/>
          <w:sz w:val="24"/>
          <w:szCs w:val="24"/>
        </w:rPr>
      </w:pPr>
      <w:r>
        <w:rPr>
          <w:rFonts w:hint="eastAsia"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4"/>
        <w:snapToGrid w:val="0"/>
        <w:ind w:firstLine="480" w:firstLineChars="200"/>
        <w:rPr>
          <w:rFonts w:hAnsi="宋体"/>
          <w:sz w:val="24"/>
          <w:szCs w:val="24"/>
        </w:rPr>
      </w:pPr>
      <w:r>
        <w:rPr>
          <w:rFonts w:hint="eastAsia" w:hAnsi="宋体"/>
          <w:sz w:val="24"/>
          <w:szCs w:val="24"/>
        </w:rPr>
        <w:t>2. 乙方交货前应对产品作出全面检查和对验收文件进行整理，并列出清单，作为甲方收货验收和使用的技术条件依据，检验的结果应随货物交甲方。</w:t>
      </w:r>
    </w:p>
    <w:p>
      <w:pPr>
        <w:pStyle w:val="24"/>
        <w:snapToGrid w:val="0"/>
        <w:ind w:firstLine="480" w:firstLineChars="200"/>
        <w:rPr>
          <w:rFonts w:hAnsi="宋体"/>
          <w:sz w:val="24"/>
          <w:szCs w:val="24"/>
        </w:rPr>
      </w:pPr>
      <w:r>
        <w:rPr>
          <w:rFonts w:hint="eastAsia" w:hAnsi="宋体"/>
          <w:sz w:val="24"/>
          <w:szCs w:val="24"/>
        </w:rPr>
        <w:t>3. 甲方对乙方提供的货物在使用前进行调试时，乙方需负责安装并培训甲方的使用操作人员，并协助甲方一起调试，直到符合技术要求，甲方才做最终验收。</w:t>
      </w:r>
    </w:p>
    <w:p>
      <w:pPr>
        <w:pStyle w:val="24"/>
        <w:snapToGrid w:val="0"/>
        <w:ind w:firstLine="480" w:firstLineChars="200"/>
        <w:rPr>
          <w:rFonts w:hAnsi="宋体"/>
          <w:sz w:val="24"/>
          <w:szCs w:val="24"/>
        </w:rPr>
      </w:pPr>
      <w:r>
        <w:rPr>
          <w:rFonts w:hint="eastAsia" w:hAnsi="宋体"/>
          <w:sz w:val="24"/>
          <w:szCs w:val="24"/>
        </w:rPr>
        <w:t>4. 对技术复杂的货物，甲方应请国家认可的专业检测机构参与初步验收及最终验收，并由其出具质量检测报告。</w:t>
      </w:r>
    </w:p>
    <w:p>
      <w:pPr>
        <w:snapToGrid w:val="0"/>
        <w:ind w:firstLine="514"/>
        <w:rPr>
          <w:rFonts w:ascii="宋体" w:hAnsi="宋体"/>
          <w:sz w:val="24"/>
        </w:rPr>
      </w:pPr>
      <w:r>
        <w:rPr>
          <w:rFonts w:hint="eastAsia" w:ascii="宋体" w:hAnsi="宋体"/>
          <w:sz w:val="24"/>
        </w:rPr>
        <w:t>5. 验收时乙方必须在现场，验收完毕后作出验收结果报告；验收费用由乙方负责。</w:t>
      </w:r>
    </w:p>
    <w:p>
      <w:pPr>
        <w:pStyle w:val="24"/>
        <w:snapToGrid w:val="0"/>
        <w:ind w:firstLine="472" w:firstLineChars="196"/>
        <w:rPr>
          <w:rFonts w:hAnsi="宋体"/>
          <w:sz w:val="24"/>
          <w:szCs w:val="24"/>
        </w:rPr>
      </w:pPr>
      <w:r>
        <w:rPr>
          <w:rFonts w:hint="eastAsia" w:hAnsi="宋体"/>
          <w:b/>
          <w:sz w:val="24"/>
          <w:szCs w:val="24"/>
        </w:rPr>
        <w:t>第十二条</w:t>
      </w:r>
      <w:r>
        <w:rPr>
          <w:rFonts w:hint="eastAsia" w:hAnsi="宋体"/>
          <w:sz w:val="24"/>
          <w:szCs w:val="24"/>
        </w:rPr>
        <w:t>、货物包装、发运及运输</w:t>
      </w:r>
    </w:p>
    <w:p>
      <w:pPr>
        <w:pStyle w:val="24"/>
        <w:snapToGrid w:val="0"/>
        <w:ind w:left="420" w:leftChars="200"/>
        <w:rPr>
          <w:rFonts w:hAnsi="宋体"/>
          <w:sz w:val="24"/>
          <w:szCs w:val="24"/>
        </w:rPr>
      </w:pPr>
      <w:r>
        <w:rPr>
          <w:rFonts w:hint="eastAsia" w:hAnsi="宋体"/>
          <w:sz w:val="24"/>
          <w:szCs w:val="24"/>
        </w:rPr>
        <w:t>1. 乙方应在货物发运前对其进行满足运输距离、防潮、防震、防锈和防破损装卸等要求包装，以保证货物安全运达甲方指定地点。</w:t>
      </w:r>
    </w:p>
    <w:p>
      <w:pPr>
        <w:pStyle w:val="24"/>
        <w:snapToGrid w:val="0"/>
        <w:ind w:left="420" w:leftChars="200"/>
        <w:rPr>
          <w:rFonts w:hAnsi="宋体"/>
          <w:sz w:val="24"/>
          <w:szCs w:val="24"/>
        </w:rPr>
      </w:pPr>
      <w:r>
        <w:rPr>
          <w:rFonts w:hint="eastAsia" w:hAnsi="宋体"/>
          <w:sz w:val="24"/>
          <w:szCs w:val="24"/>
        </w:rPr>
        <w:t>2. 使用说明书、质量检验证明书、随配附件和工具以及清单一并附于货物内。</w:t>
      </w:r>
    </w:p>
    <w:p>
      <w:pPr>
        <w:pStyle w:val="24"/>
        <w:snapToGrid w:val="0"/>
        <w:ind w:left="420" w:leftChars="200"/>
        <w:rPr>
          <w:rFonts w:hAnsi="宋体"/>
          <w:sz w:val="24"/>
          <w:szCs w:val="24"/>
        </w:rPr>
      </w:pPr>
      <w:r>
        <w:rPr>
          <w:rFonts w:hint="eastAsia" w:hAnsi="宋体"/>
          <w:sz w:val="24"/>
          <w:szCs w:val="24"/>
        </w:rPr>
        <w:t>3. 乙方在货物发运手续办理完毕后二十四小时内或货到甲方四十八小时前通知甲方，以准备接货。</w:t>
      </w:r>
    </w:p>
    <w:p>
      <w:pPr>
        <w:pStyle w:val="24"/>
        <w:snapToGrid w:val="0"/>
        <w:ind w:left="420" w:leftChars="200"/>
        <w:rPr>
          <w:rFonts w:hAnsi="宋体"/>
          <w:sz w:val="24"/>
          <w:szCs w:val="24"/>
        </w:rPr>
      </w:pPr>
      <w:r>
        <w:rPr>
          <w:rFonts w:hint="eastAsia" w:hAnsi="宋体"/>
          <w:sz w:val="24"/>
          <w:szCs w:val="24"/>
        </w:rPr>
        <w:t>4. 货物在交付甲方前发生的风险均由乙方负责。</w:t>
      </w:r>
    </w:p>
    <w:p>
      <w:pPr>
        <w:snapToGrid w:val="0"/>
        <w:ind w:firstLine="514"/>
        <w:rPr>
          <w:rFonts w:ascii="宋体" w:hAnsi="宋体"/>
          <w:sz w:val="24"/>
        </w:rPr>
      </w:pPr>
      <w:r>
        <w:rPr>
          <w:rFonts w:hint="eastAsia" w:ascii="宋体" w:hAnsi="宋体"/>
          <w:sz w:val="24"/>
        </w:rPr>
        <w:t>5. 货物在规定的交付期限内由乙方送达甲方指定的地点视为交付，乙方同时需通知甲方货物已送达。</w:t>
      </w:r>
    </w:p>
    <w:p>
      <w:pPr>
        <w:snapToGrid w:val="0"/>
        <w:ind w:firstLine="482" w:firstLineChars="200"/>
        <w:rPr>
          <w:rFonts w:ascii="宋体" w:hAnsi="宋体"/>
          <w:sz w:val="24"/>
        </w:rPr>
      </w:pPr>
      <w:r>
        <w:rPr>
          <w:rFonts w:hint="eastAsia" w:ascii="宋体" w:hAnsi="宋体"/>
          <w:b/>
          <w:sz w:val="24"/>
        </w:rPr>
        <w:t>第十三条</w:t>
      </w:r>
      <w:r>
        <w:rPr>
          <w:rFonts w:hint="eastAsia" w:ascii="宋体" w:hAnsi="宋体"/>
          <w:sz w:val="24"/>
        </w:rPr>
        <w:t>　违约责任</w:t>
      </w:r>
    </w:p>
    <w:p>
      <w:pPr>
        <w:snapToGrid w:val="0"/>
        <w:ind w:firstLine="600" w:firstLineChars="250"/>
        <w:rPr>
          <w:rFonts w:ascii="宋体" w:hAnsi="宋体"/>
          <w:sz w:val="24"/>
        </w:rPr>
      </w:pPr>
      <w:r>
        <w:rPr>
          <w:rFonts w:hint="eastAsia" w:ascii="宋体" w:hAnsi="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hint="eastAsia" w:ascii="宋体" w:hAnsi="宋体"/>
          <w:sz w:val="24"/>
          <w:u w:val="single"/>
        </w:rPr>
        <w:t>10%</w:t>
      </w:r>
      <w:r>
        <w:rPr>
          <w:rFonts w:hint="eastAsia" w:ascii="宋体" w:hAnsi="宋体"/>
          <w:sz w:val="24"/>
        </w:rPr>
        <w:t xml:space="preserve">违约金并赔偿甲方经济损失。                                       </w:t>
      </w:r>
    </w:p>
    <w:p>
      <w:pPr>
        <w:snapToGrid w:val="0"/>
        <w:ind w:firstLine="540" w:firstLineChars="225"/>
        <w:rPr>
          <w:rFonts w:ascii="宋体" w:hAnsi="宋体"/>
          <w:sz w:val="24"/>
        </w:rPr>
      </w:pPr>
      <w:r>
        <w:rPr>
          <w:rFonts w:hint="eastAsia" w:ascii="宋体" w:hAnsi="宋体"/>
          <w:sz w:val="24"/>
        </w:rPr>
        <w:t>2、乙方提供的货物如侵犯了第三方合法权益而引发的任何纠纷或诉讼，均由乙方负责交涉并承担全部责任。</w:t>
      </w:r>
    </w:p>
    <w:p>
      <w:pPr>
        <w:snapToGrid w:val="0"/>
        <w:ind w:firstLine="480" w:firstLineChars="200"/>
        <w:rPr>
          <w:rFonts w:ascii="宋体" w:hAnsi="宋体"/>
          <w:sz w:val="24"/>
        </w:rPr>
      </w:pPr>
      <w:r>
        <w:rPr>
          <w:rFonts w:hint="eastAsia" w:ascii="宋体" w:hAnsi="宋体"/>
          <w:sz w:val="24"/>
        </w:rPr>
        <w:t>3、因包装、运输引起的货物损坏，按质量不合格处罚。</w:t>
      </w:r>
    </w:p>
    <w:p>
      <w:pPr>
        <w:snapToGrid w:val="0"/>
        <w:ind w:firstLine="480" w:firstLineChars="200"/>
        <w:rPr>
          <w:rFonts w:ascii="宋体" w:hAnsi="宋体"/>
          <w:sz w:val="24"/>
        </w:rPr>
      </w:pPr>
      <w:r>
        <w:rPr>
          <w:rFonts w:hint="eastAsia" w:ascii="宋体" w:hAnsi="宋体"/>
          <w:sz w:val="24"/>
        </w:rPr>
        <w:t>4、甲方无故延期接收货物、乙方逾期交货的，每天向对方偿付违约货款额</w:t>
      </w:r>
      <w:r>
        <w:rPr>
          <w:rFonts w:hint="eastAsia" w:ascii="宋体" w:hAnsi="宋体"/>
          <w:sz w:val="24"/>
          <w:u w:val="single"/>
        </w:rPr>
        <w:t>3‰</w:t>
      </w:r>
      <w:r>
        <w:rPr>
          <w:rFonts w:hint="eastAsia" w:ascii="宋体" w:hAnsi="宋体"/>
          <w:sz w:val="24"/>
        </w:rPr>
        <w:t>违约金，但违约金累计不得超过违约货款额</w:t>
      </w:r>
      <w:r>
        <w:rPr>
          <w:rFonts w:hint="eastAsia" w:ascii="宋体" w:hAnsi="宋体"/>
          <w:sz w:val="24"/>
          <w:u w:val="single"/>
        </w:rPr>
        <w:t>5%</w:t>
      </w:r>
      <w:r>
        <w:rPr>
          <w:rFonts w:hint="eastAsia" w:ascii="宋体" w:hAnsi="宋体"/>
          <w:sz w:val="24"/>
        </w:rPr>
        <w:t>，超过</w:t>
      </w:r>
      <w:r>
        <w:rPr>
          <w:rFonts w:hint="eastAsia" w:ascii="宋体" w:hAnsi="宋体"/>
          <w:sz w:val="24"/>
          <w:u w:val="single"/>
        </w:rPr>
        <w:t xml:space="preserve"> 10 天</w:t>
      </w:r>
      <w:r>
        <w:rPr>
          <w:rFonts w:hint="eastAsia" w:ascii="宋体" w:hAnsi="宋体"/>
          <w:sz w:val="24"/>
        </w:rPr>
        <w:t>对方有权解除合同，违约方承担因此给对方造成经济损失；甲方延期付货款的，每天向乙方偿付延期货款额</w:t>
      </w:r>
      <w:r>
        <w:rPr>
          <w:rFonts w:hint="eastAsia" w:ascii="宋体" w:hAnsi="宋体"/>
          <w:sz w:val="24"/>
          <w:u w:val="single"/>
        </w:rPr>
        <w:t>3‰</w:t>
      </w:r>
      <w:r>
        <w:rPr>
          <w:rFonts w:hint="eastAsia" w:ascii="宋体" w:hAnsi="宋体"/>
          <w:sz w:val="24"/>
        </w:rPr>
        <w:t>滞纳金，但滞纳金累计不得超过延期货款额</w:t>
      </w:r>
      <w:r>
        <w:rPr>
          <w:rFonts w:hint="eastAsia" w:ascii="宋体" w:hAnsi="宋体"/>
          <w:sz w:val="24"/>
          <w:u w:val="single"/>
        </w:rPr>
        <w:t>5%</w:t>
      </w:r>
      <w:r>
        <w:rPr>
          <w:rFonts w:hint="eastAsia" w:ascii="宋体" w:hAnsi="宋体"/>
          <w:sz w:val="24"/>
        </w:rPr>
        <w:t>。</w:t>
      </w:r>
    </w:p>
    <w:p>
      <w:pPr>
        <w:snapToGrid w:val="0"/>
        <w:ind w:firstLine="480" w:firstLineChars="200"/>
        <w:rPr>
          <w:rFonts w:ascii="宋体" w:hAnsi="宋体"/>
          <w:sz w:val="24"/>
        </w:rPr>
      </w:pPr>
      <w:r>
        <w:rPr>
          <w:rFonts w:hint="eastAsia" w:ascii="宋体" w:hAnsi="宋体"/>
          <w:sz w:val="24"/>
        </w:rPr>
        <w:t>5、乙方未按本合同和投标文件中规定的服务承诺提供售后服务的，乙方应按本合同合计金额 5%向甲方支付违约金。</w:t>
      </w:r>
    </w:p>
    <w:p>
      <w:pPr>
        <w:snapToGrid w:val="0"/>
        <w:ind w:firstLine="480" w:firstLineChars="200"/>
        <w:rPr>
          <w:rFonts w:ascii="宋体" w:hAnsi="宋体"/>
          <w:sz w:val="24"/>
        </w:rPr>
      </w:pPr>
      <w:r>
        <w:rPr>
          <w:rFonts w:hint="eastAsia" w:ascii="宋体" w:hAnsi="宋体"/>
          <w:sz w:val="24"/>
        </w:rPr>
        <w:t>6、乙方提供的货物在质量保证期内，因设计、工艺或材料的缺陷和其它质量原因造成的问题，由乙方负责。</w:t>
      </w:r>
    </w:p>
    <w:p>
      <w:pPr>
        <w:snapToGrid w:val="0"/>
        <w:ind w:firstLine="514"/>
        <w:rPr>
          <w:rFonts w:ascii="宋体" w:hAnsi="宋体"/>
          <w:sz w:val="24"/>
        </w:rPr>
      </w:pPr>
      <w:r>
        <w:rPr>
          <w:rFonts w:hint="eastAsia" w:ascii="宋体" w:hAnsi="宋体"/>
          <w:sz w:val="24"/>
        </w:rPr>
        <w:t>7、其它违约行为按违约货款额</w:t>
      </w:r>
      <w:r>
        <w:rPr>
          <w:rFonts w:hint="eastAsia" w:ascii="宋体" w:hAnsi="宋体"/>
          <w:sz w:val="24"/>
          <w:u w:val="single"/>
        </w:rPr>
        <w:t>10%</w:t>
      </w:r>
      <w:r>
        <w:rPr>
          <w:rFonts w:hint="eastAsia" w:ascii="宋体" w:hAnsi="宋体"/>
          <w:sz w:val="24"/>
        </w:rPr>
        <w:t>收取违约金并赔偿经济损失。</w:t>
      </w:r>
    </w:p>
    <w:p>
      <w:pPr>
        <w:pStyle w:val="24"/>
        <w:snapToGrid w:val="0"/>
        <w:ind w:firstLine="472" w:firstLineChars="196"/>
        <w:rPr>
          <w:rFonts w:hAnsi="宋体"/>
          <w:b/>
          <w:sz w:val="24"/>
          <w:szCs w:val="24"/>
        </w:rPr>
      </w:pPr>
      <w:r>
        <w:rPr>
          <w:rFonts w:hint="eastAsia" w:hAnsi="宋体"/>
          <w:b/>
          <w:sz w:val="24"/>
          <w:szCs w:val="24"/>
        </w:rPr>
        <w:t>第十四条、</w:t>
      </w:r>
      <w:r>
        <w:rPr>
          <w:rFonts w:hint="eastAsia" w:hAnsi="宋体"/>
          <w:sz w:val="24"/>
          <w:szCs w:val="24"/>
        </w:rPr>
        <w:t>不可抗力事件处理</w:t>
      </w:r>
    </w:p>
    <w:p>
      <w:pPr>
        <w:pStyle w:val="24"/>
        <w:snapToGrid w:val="0"/>
        <w:ind w:firstLine="480" w:firstLineChars="200"/>
        <w:rPr>
          <w:rFonts w:hAnsi="宋体"/>
          <w:sz w:val="24"/>
          <w:szCs w:val="24"/>
        </w:rPr>
      </w:pPr>
      <w:r>
        <w:rPr>
          <w:rFonts w:hint="eastAsia" w:hAnsi="宋体"/>
          <w:sz w:val="24"/>
          <w:szCs w:val="24"/>
        </w:rPr>
        <w:t>1. 在合同有效期内，任何一方因不可抗力事件导致不能履行合同，则合同履行期可延长，其延长期与不可抗力影响期相同。</w:t>
      </w:r>
    </w:p>
    <w:p>
      <w:pPr>
        <w:pStyle w:val="24"/>
        <w:snapToGrid w:val="0"/>
        <w:ind w:firstLine="480" w:firstLineChars="200"/>
        <w:rPr>
          <w:rFonts w:hAnsi="宋体"/>
          <w:sz w:val="24"/>
          <w:szCs w:val="24"/>
        </w:rPr>
      </w:pPr>
      <w:r>
        <w:rPr>
          <w:rFonts w:hint="eastAsia" w:hAnsi="宋体"/>
          <w:sz w:val="24"/>
          <w:szCs w:val="24"/>
        </w:rPr>
        <w:t>2. 不可抗力事件发生后，应立即通知对方，并寄送有关权威机构出具的证明。</w:t>
      </w:r>
    </w:p>
    <w:p>
      <w:pPr>
        <w:snapToGrid w:val="0"/>
        <w:ind w:firstLine="514"/>
        <w:rPr>
          <w:rFonts w:ascii="宋体" w:hAnsi="宋体"/>
          <w:sz w:val="24"/>
        </w:rPr>
      </w:pPr>
      <w:r>
        <w:rPr>
          <w:rFonts w:hint="eastAsia" w:ascii="宋体" w:hAnsi="宋体"/>
          <w:sz w:val="24"/>
        </w:rPr>
        <w:t>3. 不可抗力事件延续一百二十天以上，双方应通过友好协商，确定是否继续履行合同。</w:t>
      </w:r>
    </w:p>
    <w:p>
      <w:pPr>
        <w:snapToGrid w:val="0"/>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合同争议解决</w:t>
      </w:r>
    </w:p>
    <w:p>
      <w:pPr>
        <w:snapToGrid w:val="0"/>
        <w:ind w:firstLine="480" w:firstLineChars="200"/>
        <w:rPr>
          <w:rFonts w:ascii="宋体" w:hAnsi="宋体"/>
          <w:sz w:val="24"/>
        </w:rPr>
      </w:pPr>
      <w:r>
        <w:rPr>
          <w:rFonts w:hint="eastAsia" w:ascii="宋体" w:hAnsi="宋体"/>
          <w:sz w:val="24"/>
        </w:rPr>
        <w:t>1、因货物质量问题发生争议的，应邀请国家认可的质量检测机构对货物质量进行鉴定。货物符合标准的，鉴定费由甲方承担；货物不符合标准的，鉴定费由乙方承担。</w:t>
      </w:r>
    </w:p>
    <w:p>
      <w:pPr>
        <w:snapToGrid w:val="0"/>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napToGrid w:val="0"/>
        <w:ind w:firstLine="514"/>
        <w:rPr>
          <w:rFonts w:ascii="宋体" w:hAnsi="宋体"/>
          <w:sz w:val="24"/>
        </w:rPr>
      </w:pPr>
      <w:r>
        <w:rPr>
          <w:rFonts w:hint="eastAsia" w:ascii="宋体" w:hAnsi="宋体"/>
          <w:sz w:val="24"/>
        </w:rPr>
        <w:t>3、诉讼期间，本合同继续履行。</w:t>
      </w:r>
    </w:p>
    <w:p>
      <w:pPr>
        <w:pStyle w:val="24"/>
        <w:snapToGrid w:val="0"/>
        <w:ind w:firstLine="472" w:firstLineChars="196"/>
        <w:rPr>
          <w:rFonts w:hAnsi="宋体"/>
          <w:sz w:val="24"/>
          <w:szCs w:val="24"/>
        </w:rPr>
      </w:pPr>
      <w:r>
        <w:rPr>
          <w:rFonts w:hint="eastAsia" w:hAnsi="宋体"/>
          <w:b/>
          <w:sz w:val="24"/>
          <w:szCs w:val="24"/>
        </w:rPr>
        <w:t>第十六条</w:t>
      </w:r>
      <w:r>
        <w:rPr>
          <w:rFonts w:hint="eastAsia" w:hAnsi="宋体"/>
          <w:sz w:val="24"/>
          <w:szCs w:val="24"/>
        </w:rPr>
        <w:t>、诉讼</w:t>
      </w:r>
    </w:p>
    <w:p>
      <w:pPr>
        <w:snapToGrid w:val="0"/>
        <w:ind w:firstLine="514"/>
        <w:rPr>
          <w:rFonts w:ascii="宋体" w:hAnsi="宋体"/>
          <w:sz w:val="24"/>
        </w:rPr>
      </w:pPr>
      <w:r>
        <w:rPr>
          <w:rFonts w:hint="eastAsia" w:ascii="宋体" w:hAnsi="宋体"/>
          <w:sz w:val="24"/>
        </w:rPr>
        <w:t>双方在执行合同中所发生的一切争议，应通过协商解决。如协商不能解决，可向甲方所在地仲裁委员会申请仲裁或向甲方所在地人民法院提起诉讼。</w:t>
      </w:r>
    </w:p>
    <w:p>
      <w:pPr>
        <w:pStyle w:val="24"/>
        <w:snapToGrid w:val="0"/>
        <w:ind w:firstLine="472" w:firstLineChars="196"/>
        <w:rPr>
          <w:rFonts w:hAnsi="宋体"/>
          <w:sz w:val="24"/>
          <w:szCs w:val="24"/>
        </w:rPr>
      </w:pPr>
      <w:r>
        <w:rPr>
          <w:rFonts w:hint="eastAsia" w:hAnsi="宋体"/>
          <w:b/>
          <w:sz w:val="24"/>
          <w:szCs w:val="24"/>
        </w:rPr>
        <w:t>第十七条</w:t>
      </w:r>
      <w:r>
        <w:rPr>
          <w:rFonts w:hint="eastAsia" w:hAnsi="宋体"/>
          <w:sz w:val="24"/>
          <w:szCs w:val="24"/>
        </w:rPr>
        <w:t>、合同生效及其它</w:t>
      </w:r>
    </w:p>
    <w:p>
      <w:pPr>
        <w:pStyle w:val="24"/>
        <w:snapToGrid w:val="0"/>
        <w:ind w:firstLine="480" w:firstLineChars="200"/>
        <w:rPr>
          <w:rFonts w:hAnsi="宋体"/>
          <w:sz w:val="24"/>
          <w:szCs w:val="24"/>
        </w:rPr>
      </w:pPr>
      <w:r>
        <w:rPr>
          <w:rFonts w:hint="eastAsia" w:hAnsi="宋体"/>
          <w:sz w:val="24"/>
          <w:szCs w:val="24"/>
        </w:rPr>
        <w:t>1. 合同经双方法定代表人或被授权人签字并加盖单位公章后生效。</w:t>
      </w:r>
    </w:p>
    <w:p>
      <w:pPr>
        <w:pStyle w:val="24"/>
        <w:snapToGrid w:val="0"/>
        <w:ind w:firstLine="480" w:firstLineChars="200"/>
        <w:rPr>
          <w:rFonts w:hAnsi="宋体"/>
          <w:sz w:val="24"/>
          <w:szCs w:val="24"/>
        </w:rPr>
      </w:pPr>
      <w:r>
        <w:rPr>
          <w:rFonts w:hint="eastAsia" w:hAnsi="宋体"/>
          <w:sz w:val="24"/>
          <w:szCs w:val="24"/>
        </w:rPr>
        <w:t>2.合同执行中涉及采购资金和采购内容修改或补充的，须经财政部门审批，并签书面补充协议报财政部门备案，方可作为主合同不可分割的一部分。</w:t>
      </w:r>
    </w:p>
    <w:p>
      <w:pPr>
        <w:pStyle w:val="24"/>
        <w:snapToGrid w:val="0"/>
        <w:ind w:left="420" w:leftChars="200"/>
        <w:rPr>
          <w:rFonts w:hAnsi="宋体"/>
          <w:sz w:val="24"/>
          <w:szCs w:val="24"/>
        </w:rPr>
      </w:pPr>
      <w:r>
        <w:rPr>
          <w:rFonts w:hint="eastAsia" w:hAnsi="宋体"/>
          <w:sz w:val="24"/>
          <w:szCs w:val="24"/>
        </w:rPr>
        <w:t>3.本合同未尽事宜，遵照《合同法》有关条文执行。</w:t>
      </w:r>
    </w:p>
    <w:p>
      <w:pPr>
        <w:snapToGrid w:val="0"/>
        <w:ind w:firstLine="482" w:firstLineChars="200"/>
        <w:rPr>
          <w:rFonts w:ascii="宋体" w:hAnsi="宋体"/>
          <w:sz w:val="24"/>
        </w:rPr>
      </w:pPr>
      <w:r>
        <w:rPr>
          <w:rFonts w:hint="eastAsia" w:ascii="宋体" w:hAnsi="宋体"/>
          <w:b/>
          <w:sz w:val="24"/>
        </w:rPr>
        <w:t>第十八条</w:t>
      </w:r>
      <w:r>
        <w:rPr>
          <w:rFonts w:hint="eastAsia" w:ascii="宋体" w:hAnsi="宋体"/>
          <w:sz w:val="24"/>
        </w:rPr>
        <w:t>　合同的变更、终止与转让</w:t>
      </w:r>
    </w:p>
    <w:p>
      <w:pPr>
        <w:snapToGrid w:val="0"/>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1、除《中华人民共和国政府采购法》第五十条规定的情形外，本合同一经签订，甲乙双方不得擅自变更、中止或终止。</w:t>
      </w:r>
    </w:p>
    <w:p>
      <w:pPr>
        <w:snapToGrid w:val="0"/>
        <w:ind w:firstLine="514"/>
        <w:rPr>
          <w:rFonts w:ascii="宋体" w:hAnsi="宋体"/>
          <w:sz w:val="24"/>
        </w:rPr>
      </w:pPr>
      <w:r>
        <w:rPr>
          <w:rFonts w:hint="eastAsia" w:ascii="宋体" w:hAnsi="宋体"/>
          <w:sz w:val="24"/>
        </w:rPr>
        <w:t>2、乙方不得擅自转让（无进口资格的供应商委托进口货物除外）其应履行的合同义务。</w:t>
      </w:r>
    </w:p>
    <w:p>
      <w:pPr>
        <w:snapToGrid w:val="0"/>
        <w:ind w:firstLine="482" w:firstLineChars="200"/>
        <w:rPr>
          <w:rFonts w:ascii="宋体" w:hAnsi="宋体"/>
          <w:sz w:val="24"/>
        </w:rPr>
      </w:pPr>
      <w:r>
        <w:rPr>
          <w:rFonts w:hint="eastAsia" w:ascii="宋体" w:hAnsi="宋体"/>
          <w:b/>
          <w:sz w:val="24"/>
        </w:rPr>
        <w:t>第十九条　</w:t>
      </w:r>
      <w:r>
        <w:rPr>
          <w:rFonts w:hint="eastAsia" w:ascii="宋体" w:hAnsi="宋体"/>
          <w:sz w:val="24"/>
        </w:rPr>
        <w:t>签订本合同依据</w:t>
      </w:r>
    </w:p>
    <w:p>
      <w:pPr>
        <w:pStyle w:val="24"/>
        <w:snapToGrid w:val="0"/>
        <w:ind w:left="420" w:leftChars="200"/>
        <w:rPr>
          <w:rFonts w:hAnsi="宋体"/>
          <w:sz w:val="24"/>
          <w:szCs w:val="24"/>
        </w:rPr>
      </w:pPr>
      <w:r>
        <w:rPr>
          <w:rFonts w:hint="eastAsia" w:hAnsi="宋体"/>
          <w:sz w:val="24"/>
          <w:szCs w:val="24"/>
        </w:rPr>
        <w:t>1、竞争性谈判文件；</w:t>
      </w:r>
    </w:p>
    <w:p>
      <w:pPr>
        <w:pStyle w:val="24"/>
        <w:snapToGrid w:val="0"/>
        <w:ind w:left="420" w:leftChars="200"/>
        <w:rPr>
          <w:rFonts w:hAnsi="宋体"/>
          <w:sz w:val="24"/>
          <w:szCs w:val="24"/>
        </w:rPr>
      </w:pPr>
      <w:r>
        <w:rPr>
          <w:rFonts w:hint="eastAsia" w:hAnsi="宋体"/>
          <w:sz w:val="24"/>
          <w:szCs w:val="24"/>
        </w:rPr>
        <w:t>2、乙方提供的响应（或应答）文件；</w:t>
      </w:r>
    </w:p>
    <w:p>
      <w:pPr>
        <w:pStyle w:val="24"/>
        <w:snapToGrid w:val="0"/>
        <w:ind w:left="420" w:leftChars="200"/>
        <w:rPr>
          <w:rFonts w:hAnsi="宋体"/>
          <w:sz w:val="24"/>
          <w:szCs w:val="24"/>
        </w:rPr>
      </w:pPr>
      <w:r>
        <w:rPr>
          <w:rFonts w:hint="eastAsia" w:hAnsi="宋体"/>
          <w:sz w:val="24"/>
          <w:szCs w:val="24"/>
        </w:rPr>
        <w:t>3、成交通知书。</w:t>
      </w:r>
    </w:p>
    <w:p>
      <w:pPr>
        <w:snapToGrid w:val="0"/>
        <w:ind w:firstLine="514"/>
        <w:rPr>
          <w:rFonts w:ascii="宋体" w:hAnsi="宋体"/>
          <w:sz w:val="24"/>
        </w:rPr>
      </w:pPr>
      <w:r>
        <w:rPr>
          <w:rFonts w:hint="eastAsia" w:ascii="宋体" w:hAnsi="宋体"/>
          <w:b/>
          <w:sz w:val="24"/>
        </w:rPr>
        <w:t>第二十条</w:t>
      </w:r>
      <w:r>
        <w:rPr>
          <w:rFonts w:hint="eastAsia" w:ascii="宋体" w:hAnsi="宋体"/>
          <w:sz w:val="24"/>
        </w:rPr>
        <w:t>　本合同一式六份，具有同等法律效力，甲方三份，乙方两份，采购代理机构一份（可根据需要另增加）。</w:t>
      </w:r>
    </w:p>
    <w:p>
      <w:pPr>
        <w:snapToGrid w:val="0"/>
        <w:ind w:firstLine="514"/>
        <w:rPr>
          <w:rFonts w:ascii="宋体" w:hAnsi="宋体"/>
          <w:sz w:val="24"/>
        </w:rPr>
      </w:pPr>
      <w:r>
        <w:rPr>
          <w:rFonts w:hint="eastAsia" w:ascii="宋体" w:hAnsi="宋体"/>
          <w:sz w:val="24"/>
        </w:rPr>
        <w:t>本合同甲乙双方签字盖章后生效。</w:t>
      </w:r>
    </w:p>
    <w:tbl>
      <w:tblPr>
        <w:tblStyle w:val="43"/>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rPr>
                <w:rFonts w:ascii="宋体" w:hAnsi="宋体"/>
                <w:sz w:val="24"/>
              </w:rPr>
            </w:pPr>
            <w:r>
              <w:rPr>
                <w:rFonts w:hint="eastAsia" w:ascii="宋体" w:hAnsi="宋体"/>
                <w:sz w:val="24"/>
              </w:rPr>
              <w:t xml:space="preserve">甲方（章）           </w:t>
            </w:r>
          </w:p>
          <w:p>
            <w:pPr>
              <w:snapToGrid w:val="0"/>
              <w:rPr>
                <w:rFonts w:ascii="宋体" w:hAnsi="宋体"/>
                <w:sz w:val="24"/>
              </w:rPr>
            </w:pPr>
          </w:p>
          <w:p>
            <w:pPr>
              <w:snapToGrid w:val="0"/>
              <w:ind w:firstLine="1080" w:firstLineChars="450"/>
              <w:jc w:val="right"/>
              <w:rPr>
                <w:rFonts w:ascii="宋体" w:hAnsi="宋体"/>
                <w:sz w:val="24"/>
              </w:rPr>
            </w:pPr>
            <w:r>
              <w:rPr>
                <w:rFonts w:hint="eastAsia" w:ascii="宋体" w:hAnsi="宋体"/>
                <w:sz w:val="24"/>
              </w:rPr>
              <w:t>年   月   日</w:t>
            </w:r>
          </w:p>
        </w:tc>
        <w:tc>
          <w:tcPr>
            <w:tcW w:w="4517" w:type="dxa"/>
            <w:vAlign w:val="center"/>
          </w:tcPr>
          <w:p>
            <w:pPr>
              <w:snapToGrid w:val="0"/>
              <w:rPr>
                <w:rFonts w:ascii="宋体" w:hAnsi="宋体"/>
                <w:sz w:val="24"/>
              </w:rPr>
            </w:pPr>
            <w:r>
              <w:rPr>
                <w:rFonts w:hint="eastAsia" w:ascii="宋体" w:hAnsi="宋体"/>
                <w:sz w:val="24"/>
              </w:rPr>
              <w:t xml:space="preserve">乙方（章）              </w:t>
            </w:r>
          </w:p>
          <w:p>
            <w:pPr>
              <w:snapToGrid w:val="0"/>
              <w:rPr>
                <w:rFonts w:ascii="宋体" w:hAnsi="宋体"/>
                <w:sz w:val="24"/>
              </w:rPr>
            </w:pPr>
          </w:p>
          <w:p>
            <w:pPr>
              <w:snapToGrid w:val="0"/>
              <w:jc w:val="righ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rPr>
                <w:rFonts w:ascii="宋体" w:hAnsi="宋体"/>
                <w:sz w:val="24"/>
              </w:rPr>
            </w:pPr>
            <w:r>
              <w:rPr>
                <w:rFonts w:hint="eastAsia" w:ascii="宋体" w:hAnsi="宋体"/>
                <w:sz w:val="24"/>
              </w:rPr>
              <w:t>单位地址：</w:t>
            </w:r>
          </w:p>
        </w:tc>
        <w:tc>
          <w:tcPr>
            <w:tcW w:w="4517" w:type="dxa"/>
            <w:vAlign w:val="center"/>
          </w:tcPr>
          <w:p>
            <w:pPr>
              <w:snapToGrid w:val="0"/>
              <w:rPr>
                <w:rFonts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rPr>
                <w:rFonts w:ascii="宋体" w:hAnsi="宋体"/>
                <w:sz w:val="24"/>
              </w:rPr>
            </w:pPr>
            <w:r>
              <w:rPr>
                <w:rFonts w:hint="eastAsia" w:ascii="宋体" w:hAnsi="宋体"/>
                <w:sz w:val="24"/>
              </w:rPr>
              <w:t>法定代表人：</w:t>
            </w:r>
          </w:p>
        </w:tc>
        <w:tc>
          <w:tcPr>
            <w:tcW w:w="4517" w:type="dxa"/>
            <w:vAlign w:val="center"/>
          </w:tcPr>
          <w:p>
            <w:pPr>
              <w:snapToGrid w:val="0"/>
              <w:rPr>
                <w:rFonts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rPr>
                <w:rFonts w:ascii="宋体" w:hAnsi="宋体"/>
                <w:sz w:val="24"/>
              </w:rPr>
            </w:pPr>
            <w:r>
              <w:rPr>
                <w:rFonts w:hint="eastAsia" w:ascii="宋体" w:hAnsi="宋体"/>
                <w:sz w:val="24"/>
              </w:rPr>
              <w:t>委托代理人：</w:t>
            </w:r>
          </w:p>
        </w:tc>
        <w:tc>
          <w:tcPr>
            <w:tcW w:w="4517" w:type="dxa"/>
            <w:vAlign w:val="center"/>
          </w:tcPr>
          <w:p>
            <w:pPr>
              <w:snapToGrid w:val="0"/>
              <w:rPr>
                <w:rFonts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rPr>
                <w:rFonts w:ascii="宋体" w:hAnsi="宋体"/>
                <w:sz w:val="24"/>
              </w:rPr>
            </w:pPr>
            <w:r>
              <w:rPr>
                <w:rFonts w:hint="eastAsia" w:ascii="宋体" w:hAnsi="宋体"/>
                <w:sz w:val="24"/>
              </w:rPr>
              <w:t>电话：</w:t>
            </w:r>
          </w:p>
        </w:tc>
        <w:tc>
          <w:tcPr>
            <w:tcW w:w="4517" w:type="dxa"/>
            <w:vAlign w:val="center"/>
          </w:tcPr>
          <w:p>
            <w:pPr>
              <w:snapToGrid w:val="0"/>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rPr>
                <w:rFonts w:ascii="宋体" w:hAnsi="宋体"/>
                <w:sz w:val="24"/>
              </w:rPr>
            </w:pPr>
            <w:r>
              <w:rPr>
                <w:rFonts w:hint="eastAsia" w:ascii="宋体" w:hAnsi="宋体"/>
                <w:sz w:val="24"/>
              </w:rPr>
              <w:t>电子邮箱：</w:t>
            </w:r>
          </w:p>
        </w:tc>
        <w:tc>
          <w:tcPr>
            <w:tcW w:w="4517" w:type="dxa"/>
            <w:vAlign w:val="center"/>
          </w:tcPr>
          <w:p>
            <w:pPr>
              <w:snapToGrid w:val="0"/>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rPr>
                <w:rFonts w:ascii="宋体" w:hAnsi="宋体"/>
                <w:sz w:val="24"/>
              </w:rPr>
            </w:pPr>
            <w:r>
              <w:rPr>
                <w:rFonts w:hint="eastAsia" w:ascii="宋体" w:hAnsi="宋体"/>
                <w:sz w:val="24"/>
              </w:rPr>
              <w:t>开户银行：</w:t>
            </w:r>
          </w:p>
        </w:tc>
        <w:tc>
          <w:tcPr>
            <w:tcW w:w="4517" w:type="dxa"/>
            <w:vAlign w:val="center"/>
          </w:tcPr>
          <w:p>
            <w:pPr>
              <w:snapToGrid w:val="0"/>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rPr>
                <w:rFonts w:ascii="宋体" w:hAnsi="宋体"/>
                <w:sz w:val="24"/>
              </w:rPr>
            </w:pPr>
            <w:r>
              <w:rPr>
                <w:rFonts w:hint="eastAsia" w:ascii="宋体" w:hAnsi="宋体"/>
                <w:sz w:val="24"/>
              </w:rPr>
              <w:t>账号：</w:t>
            </w:r>
          </w:p>
        </w:tc>
        <w:tc>
          <w:tcPr>
            <w:tcW w:w="4517" w:type="dxa"/>
            <w:vAlign w:val="center"/>
          </w:tcPr>
          <w:p>
            <w:pPr>
              <w:snapToGrid w:val="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rPr>
                <w:rFonts w:ascii="宋体" w:hAnsi="宋体"/>
                <w:sz w:val="24"/>
              </w:rPr>
            </w:pPr>
            <w:r>
              <w:rPr>
                <w:rFonts w:hint="eastAsia" w:ascii="宋体" w:hAnsi="宋体"/>
                <w:sz w:val="24"/>
              </w:rPr>
              <w:t>邮政编码：</w:t>
            </w:r>
          </w:p>
        </w:tc>
        <w:tc>
          <w:tcPr>
            <w:tcW w:w="4517" w:type="dxa"/>
            <w:vAlign w:val="center"/>
          </w:tcPr>
          <w:p>
            <w:pPr>
              <w:snapToGrid w:val="0"/>
              <w:rPr>
                <w:rFonts w:ascii="宋体" w:hAnsi="宋体"/>
                <w:sz w:val="24"/>
              </w:rPr>
            </w:pPr>
            <w:r>
              <w:rPr>
                <w:rFonts w:hint="eastAsia" w:ascii="宋体" w:hAnsi="宋体"/>
                <w:sz w:val="24"/>
              </w:rPr>
              <w:t>邮政编码：</w:t>
            </w:r>
          </w:p>
        </w:tc>
      </w:tr>
    </w:tbl>
    <w:p>
      <w:pPr>
        <w:snapToGrid w:val="0"/>
        <w:jc w:val="center"/>
        <w:rPr>
          <w:rFonts w:ascii="宋体" w:hAnsi="宋体"/>
          <w:b/>
          <w:sz w:val="24"/>
        </w:rPr>
      </w:pPr>
      <w:r>
        <w:rPr>
          <w:rFonts w:ascii="宋体" w:hAnsi="宋体"/>
          <w:b/>
          <w:sz w:val="24"/>
        </w:rPr>
        <w:br w:type="page"/>
      </w:r>
      <w:r>
        <w:rPr>
          <w:rFonts w:hint="eastAsia" w:ascii="宋体" w:hAnsi="宋体"/>
          <w:b/>
          <w:sz w:val="24"/>
        </w:rPr>
        <w:t>合 同 附 件</w:t>
      </w:r>
    </w:p>
    <w:p>
      <w:pPr>
        <w:snapToGrid w:val="0"/>
        <w:rPr>
          <w:rFonts w:ascii="宋体" w:hAnsi="宋体"/>
          <w:sz w:val="24"/>
        </w:rPr>
      </w:pPr>
      <w:r>
        <w:rPr>
          <w:rFonts w:hint="eastAsia" w:ascii="宋体" w:hAnsi="宋体"/>
          <w:sz w:val="24"/>
        </w:rPr>
        <w:t>一般货物类</w:t>
      </w:r>
    </w:p>
    <w:tbl>
      <w:tblPr>
        <w:tblStyle w:val="43"/>
        <w:tblW w:w="8928" w:type="dxa"/>
        <w:tblInd w:w="468" w:type="dxa"/>
        <w:tblLayout w:type="fixed"/>
        <w:tblCellMar>
          <w:top w:w="0" w:type="dxa"/>
          <w:left w:w="108" w:type="dxa"/>
          <w:bottom w:w="0" w:type="dxa"/>
          <w:right w:w="108" w:type="dxa"/>
        </w:tblCellMar>
      </w:tblPr>
      <w:tblGrid>
        <w:gridCol w:w="4215"/>
        <w:gridCol w:w="4713"/>
      </w:tblGrid>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sz w:val="24"/>
              </w:rPr>
            </w:pPr>
            <w:r>
              <w:rPr>
                <w:rFonts w:hint="eastAsia" w:ascii="宋体" w:hAnsi="宋体"/>
                <w:b/>
                <w:sz w:val="24"/>
              </w:rPr>
              <w:t>1、供应商承诺具体事项：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sz w:val="24"/>
              </w:rPr>
            </w:pPr>
            <w:r>
              <w:rPr>
                <w:rFonts w:hint="eastAsia" w:ascii="宋体" w:hAnsi="宋体"/>
                <w:b/>
                <w:sz w:val="24"/>
              </w:rPr>
              <w:t>2、售后服务具体事项：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sz w:val="24"/>
              </w:rPr>
            </w:pPr>
            <w:r>
              <w:rPr>
                <w:rFonts w:hint="eastAsia" w:ascii="宋体" w:hAnsi="宋体"/>
                <w:b/>
                <w:sz w:val="24"/>
              </w:rPr>
              <w:t>3、保修期责任：</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top w:val="single" w:color="auto" w:sz="4" w:space="0"/>
              <w:left w:val="single" w:color="auto" w:sz="4" w:space="0"/>
              <w:right w:val="single" w:color="auto" w:sz="4" w:space="0"/>
            </w:tcBorders>
            <w:vAlign w:val="center"/>
          </w:tcPr>
          <w:p>
            <w:pPr>
              <w:snapToGrid w:val="0"/>
              <w:ind w:firstLine="482" w:firstLineChars="200"/>
              <w:rPr>
                <w:rFonts w:ascii="宋体" w:hAnsi="宋体"/>
                <w:b/>
                <w:sz w:val="24"/>
              </w:rPr>
            </w:pPr>
            <w:r>
              <w:rPr>
                <w:rFonts w:hint="eastAsia" w:ascii="宋体" w:hAnsi="宋体"/>
                <w:b/>
                <w:sz w:val="24"/>
              </w:rPr>
              <w:t>4、其他具体事项：</w:t>
            </w: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454" w:hRule="exact"/>
        </w:trPr>
        <w:tc>
          <w:tcPr>
            <w:tcW w:w="8928" w:type="dxa"/>
            <w:gridSpan w:val="2"/>
            <w:tcBorders>
              <w:left w:val="single" w:color="auto" w:sz="4" w:space="0"/>
              <w:bottom w:val="single" w:color="auto" w:sz="4" w:space="0"/>
              <w:right w:val="single" w:color="auto" w:sz="4" w:space="0"/>
            </w:tcBorders>
            <w:vAlign w:val="center"/>
          </w:tcPr>
          <w:p>
            <w:pPr>
              <w:snapToGrid w:val="0"/>
              <w:ind w:firstLine="482" w:firstLineChars="200"/>
              <w:rPr>
                <w:rFonts w:ascii="宋体" w:hAnsi="宋体"/>
                <w:b/>
                <w:sz w:val="24"/>
              </w:rPr>
            </w:pPr>
          </w:p>
        </w:tc>
      </w:tr>
      <w:tr>
        <w:tblPrEx>
          <w:tblCellMar>
            <w:top w:w="0" w:type="dxa"/>
            <w:left w:w="108" w:type="dxa"/>
            <w:bottom w:w="0" w:type="dxa"/>
            <w:right w:w="108" w:type="dxa"/>
          </w:tblCellMar>
        </w:tblPrEx>
        <w:trPr>
          <w:trHeight w:val="2577" w:hRule="atLeast"/>
        </w:trPr>
        <w:tc>
          <w:tcPr>
            <w:tcW w:w="4215"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sz w:val="24"/>
              </w:rPr>
            </w:pPr>
            <w:r>
              <w:rPr>
                <w:rFonts w:hint="eastAsia" w:ascii="宋体" w:hAnsi="宋体"/>
                <w:b/>
                <w:sz w:val="24"/>
              </w:rPr>
              <w:t>甲方（章）</w:t>
            </w: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r>
              <w:rPr>
                <w:rFonts w:hint="eastAsia" w:ascii="宋体" w:hAnsi="宋体"/>
                <w:b/>
                <w:sz w:val="24"/>
              </w:rPr>
              <w:t xml:space="preserve">                年  月   日 </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ind w:firstLine="482" w:firstLineChars="200"/>
              <w:rPr>
                <w:rFonts w:ascii="宋体" w:hAnsi="宋体"/>
                <w:b/>
                <w:sz w:val="24"/>
              </w:rPr>
            </w:pPr>
            <w:r>
              <w:rPr>
                <w:rFonts w:hint="eastAsia" w:ascii="宋体" w:hAnsi="宋体"/>
                <w:b/>
                <w:sz w:val="24"/>
              </w:rPr>
              <w:t>乙方（章）</w:t>
            </w: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p>
          <w:p>
            <w:pPr>
              <w:snapToGrid w:val="0"/>
              <w:ind w:firstLine="482" w:firstLineChars="200"/>
              <w:rPr>
                <w:rFonts w:ascii="宋体" w:hAnsi="宋体"/>
                <w:b/>
                <w:sz w:val="24"/>
              </w:rPr>
            </w:pPr>
            <w:r>
              <w:rPr>
                <w:rFonts w:hint="eastAsia" w:ascii="宋体" w:hAnsi="宋体"/>
                <w:b/>
                <w:sz w:val="24"/>
              </w:rPr>
              <w:t xml:space="preserve">                年   月   日</w:t>
            </w:r>
          </w:p>
        </w:tc>
      </w:tr>
    </w:tbl>
    <w:p>
      <w:pPr>
        <w:snapToGrid w:val="0"/>
        <w:rPr>
          <w:rFonts w:ascii="宋体" w:hAnsi="宋体"/>
          <w:sz w:val="24"/>
        </w:rPr>
      </w:pPr>
      <w:r>
        <w:rPr>
          <w:rFonts w:hint="eastAsia" w:ascii="宋体" w:hAnsi="宋体"/>
          <w:sz w:val="24"/>
        </w:rPr>
        <w:t xml:space="preserve">                             注：售后服务事项填不下时可另加附页</w:t>
      </w:r>
    </w:p>
    <w:p>
      <w:pPr>
        <w:snapToGrid w:val="0"/>
        <w:spacing w:line="400" w:lineRule="exact"/>
        <w:jc w:val="center"/>
        <w:rPr>
          <w:rFonts w:ascii="宋体" w:hAnsi="宋体"/>
          <w:sz w:val="24"/>
        </w:rPr>
      </w:pPr>
    </w:p>
    <w:p>
      <w:pPr>
        <w:adjustRightInd w:val="0"/>
        <w:snapToGrid w:val="0"/>
        <w:ind w:firstLine="480" w:firstLineChars="200"/>
        <w:rPr>
          <w:rFonts w:ascii="宋体" w:hAnsi="宋体"/>
          <w:sz w:val="24"/>
        </w:rPr>
      </w:pPr>
    </w:p>
    <w:p>
      <w:pPr>
        <w:adjustRightInd w:val="0"/>
        <w:snapToGrid w:val="0"/>
        <w:ind w:firstLine="480" w:firstLineChars="200"/>
        <w:rPr>
          <w:rFonts w:ascii="宋体" w:hAnsi="宋体"/>
          <w:sz w:val="24"/>
        </w:rPr>
      </w:pPr>
    </w:p>
    <w:p>
      <w:pPr>
        <w:snapToGrid w:val="0"/>
        <w:ind w:firstLine="420" w:firstLineChars="200"/>
        <w:rPr>
          <w:rFonts w:ascii="宋体" w:hAnsi="宋体"/>
          <w:sz w:val="24"/>
          <w:u w:val="single"/>
        </w:rPr>
      </w:pPr>
      <w:r>
        <w:rPr>
          <w:rFonts w:hAnsi="宋体"/>
        </w:rPr>
        <w:br w:type="page"/>
      </w:r>
    </w:p>
    <w:p>
      <w:pPr>
        <w:pStyle w:val="24"/>
        <w:tabs>
          <w:tab w:val="left" w:pos="2472"/>
        </w:tabs>
        <w:snapToGrid w:val="0"/>
        <w:jc w:val="center"/>
        <w:rPr>
          <w:rFonts w:hAnsi="宋体"/>
        </w:rPr>
      </w:pPr>
    </w:p>
    <w:p>
      <w:pPr>
        <w:pStyle w:val="24"/>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政府采购项目成交供应商（公司名称）       </w:t>
      </w:r>
      <w:r>
        <w:rPr>
          <w:rFonts w:hint="eastAsia" w:ascii="宋体" w:hAnsi="宋体"/>
          <w:kern w:val="0"/>
          <w:szCs w:val="21"/>
        </w:rPr>
        <w:t>提供的货物进行了验收，验收情况如下：</w:t>
      </w:r>
    </w:p>
    <w:tbl>
      <w:tblPr>
        <w:tblStyle w:val="43"/>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验收方式：</w:t>
            </w:r>
          </w:p>
        </w:tc>
        <w:tc>
          <w:tcPr>
            <w:tcW w:w="6218" w:type="dxa"/>
            <w:gridSpan w:val="5"/>
            <w:vAlign w:val="center"/>
          </w:tcPr>
          <w:p>
            <w:pPr>
              <w:widowControl/>
              <w:snapToGrid w:val="0"/>
              <w:ind w:left="-3"/>
              <w:jc w:val="center"/>
              <w:rPr>
                <w:rFonts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963" w:type="dxa"/>
            <w:vAlign w:val="center"/>
          </w:tcPr>
          <w:p>
            <w:pPr>
              <w:widowControl/>
              <w:snapToGrid w:val="0"/>
              <w:ind w:left="-3"/>
              <w:jc w:val="center"/>
              <w:rPr>
                <w:rFonts w:ascii="宋体" w:hAnsi="宋体"/>
                <w:kern w:val="0"/>
                <w:szCs w:val="21"/>
              </w:rPr>
            </w:pPr>
            <w:r>
              <w:rPr>
                <w:rFonts w:hint="eastAsia" w:ascii="宋体" w:hAnsi="宋体"/>
                <w:kern w:val="0"/>
                <w:szCs w:val="21"/>
              </w:rPr>
              <w:t>名  称</w:t>
            </w:r>
          </w:p>
        </w:tc>
        <w:tc>
          <w:tcPr>
            <w:tcW w:w="3441"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货物型号规格、标准及配置</w:t>
            </w:r>
          </w:p>
          <w:p>
            <w:pPr>
              <w:widowControl/>
              <w:snapToGrid w:val="0"/>
              <w:jc w:val="center"/>
              <w:rPr>
                <w:rFonts w:ascii="宋体" w:hAnsi="宋体"/>
                <w:kern w:val="0"/>
                <w:szCs w:val="21"/>
              </w:rPr>
            </w:pPr>
          </w:p>
        </w:tc>
        <w:tc>
          <w:tcPr>
            <w:tcW w:w="998" w:type="dxa"/>
            <w:gridSpan w:val="2"/>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779" w:type="dxa"/>
            <w:vAlign w:val="center"/>
          </w:tcPr>
          <w:p>
            <w:pPr>
              <w:widowControl/>
              <w:snapToGrid w:val="0"/>
              <w:ind w:left="-3"/>
              <w:jc w:val="center"/>
              <w:rPr>
                <w:rFonts w:ascii="宋体" w:hAnsi="宋体"/>
                <w:kern w:val="0"/>
                <w:szCs w:val="21"/>
              </w:rPr>
            </w:pPr>
            <w:r>
              <w:rPr>
                <w:rFonts w:hint="eastAsia" w:ascii="宋体" w:hAnsi="宋体"/>
                <w:kern w:val="0"/>
                <w:szCs w:val="21"/>
              </w:rPr>
              <w:t>与合同约定</w:t>
            </w:r>
          </w:p>
          <w:p>
            <w:pPr>
              <w:widowControl/>
              <w:snapToGrid w:val="0"/>
              <w:ind w:left="-3"/>
              <w:jc w:val="center"/>
              <w:rPr>
                <w:rFonts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p>
        </w:tc>
        <w:tc>
          <w:tcPr>
            <w:tcW w:w="1779" w:type="dxa"/>
            <w:vAlign w:val="center"/>
          </w:tcPr>
          <w:p>
            <w:pPr>
              <w:widowControl/>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p>
        </w:tc>
        <w:tc>
          <w:tcPr>
            <w:tcW w:w="1779" w:type="dxa"/>
            <w:vAlign w:val="center"/>
          </w:tcPr>
          <w:p>
            <w:pPr>
              <w:widowControl/>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p>
        </w:tc>
        <w:tc>
          <w:tcPr>
            <w:tcW w:w="1779" w:type="dxa"/>
            <w:vAlign w:val="center"/>
          </w:tcPr>
          <w:p>
            <w:pPr>
              <w:widowControl/>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kern w:val="0"/>
                <w:szCs w:val="21"/>
              </w:rPr>
            </w:pPr>
            <w:r>
              <w:rPr>
                <w:rFonts w:hint="eastAsia" w:ascii="宋体" w:hAnsi="宋体"/>
                <w:kern w:val="0"/>
                <w:szCs w:val="21"/>
              </w:rPr>
              <w:t>实际供货日期</w:t>
            </w:r>
          </w:p>
        </w:tc>
        <w:tc>
          <w:tcPr>
            <w:tcW w:w="3542" w:type="dxa"/>
            <w:gridSpan w:val="2"/>
            <w:vAlign w:val="center"/>
          </w:tcPr>
          <w:p>
            <w:pPr>
              <w:snapToGrid w:val="0"/>
              <w:jc w:val="left"/>
              <w:rPr>
                <w:rFonts w:ascii="宋体" w:hAnsi="宋体"/>
                <w:kern w:val="0"/>
                <w:szCs w:val="21"/>
              </w:rPr>
            </w:pPr>
          </w:p>
        </w:tc>
        <w:tc>
          <w:tcPr>
            <w:tcW w:w="2522" w:type="dxa"/>
            <w:gridSpan w:val="2"/>
            <w:vAlign w:val="center"/>
          </w:tcPr>
          <w:p>
            <w:pPr>
              <w:snapToGrid w:val="0"/>
              <w:ind w:left="590"/>
              <w:jc w:val="left"/>
              <w:rPr>
                <w:rFonts w:ascii="宋体" w:hAnsi="宋体"/>
                <w:kern w:val="0"/>
                <w:szCs w:val="21"/>
              </w:rPr>
            </w:pPr>
            <w:r>
              <w:rPr>
                <w:rFonts w:hint="eastAsia" w:ascii="宋体" w:hAnsi="宋体"/>
                <w:kern w:val="0"/>
                <w:szCs w:val="21"/>
              </w:rPr>
              <w:t>合同交货验收日期</w:t>
            </w:r>
          </w:p>
        </w:tc>
        <w:tc>
          <w:tcPr>
            <w:tcW w:w="2117" w:type="dxa"/>
            <w:gridSpan w:val="2"/>
            <w:vAlign w:val="center"/>
          </w:tcPr>
          <w:p>
            <w:pPr>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(按招标采购文件、竞标响应文件及验收方案等。可附件)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验收小组意见</w:t>
            </w:r>
          </w:p>
        </w:tc>
        <w:tc>
          <w:tcPr>
            <w:tcW w:w="8181" w:type="dxa"/>
            <w:gridSpan w:val="6"/>
            <w:vAlign w:val="center"/>
          </w:tcPr>
          <w:p>
            <w:pPr>
              <w:widowControl/>
              <w:jc w:val="left"/>
              <w:rPr>
                <w:rFonts w:ascii="宋体" w:hAnsi="宋体"/>
                <w:kern w:val="0"/>
                <w:szCs w:val="21"/>
              </w:rPr>
            </w:pPr>
            <w:r>
              <w:rPr>
                <w:rFonts w:hint="eastAsia" w:ascii="宋体" w:hAnsi="宋体"/>
                <w:kern w:val="0"/>
                <w:szCs w:val="21"/>
              </w:rPr>
              <w:t> </w:t>
            </w:r>
          </w:p>
          <w:p>
            <w:pPr>
              <w:widowControl/>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供应商签字或盖章：</w:t>
            </w:r>
          </w:p>
          <w:p>
            <w:pPr>
              <w:widowControl/>
              <w:jc w:val="left"/>
              <w:rPr>
                <w:rFonts w:ascii="宋体" w:hAnsi="宋体"/>
                <w:kern w:val="0"/>
                <w:szCs w:val="21"/>
              </w:rPr>
            </w:pPr>
            <w:r>
              <w:rPr>
                <w:rFonts w:hint="eastAsia" w:ascii="宋体" w:hAnsi="宋体"/>
                <w:kern w:val="0"/>
                <w:szCs w:val="21"/>
              </w:rPr>
              <w:t>联系方式：         年 月 日</w:t>
            </w:r>
          </w:p>
        </w:tc>
        <w:tc>
          <w:tcPr>
            <w:tcW w:w="4639" w:type="dxa"/>
            <w:gridSpan w:val="4"/>
            <w:vAlign w:val="center"/>
          </w:tcPr>
          <w:p>
            <w:pPr>
              <w:widowControl/>
              <w:jc w:val="left"/>
              <w:rPr>
                <w:rFonts w:ascii="宋体" w:hAnsi="宋体"/>
                <w:kern w:val="0"/>
                <w:szCs w:val="21"/>
              </w:rPr>
            </w:pPr>
            <w:r>
              <w:rPr>
                <w:rFonts w:hint="eastAsia" w:ascii="宋体" w:hAnsi="宋体"/>
                <w:kern w:val="0"/>
                <w:szCs w:val="21"/>
              </w:rPr>
              <w:t> 采购单位盖章：</w:t>
            </w:r>
          </w:p>
          <w:p>
            <w:pPr>
              <w:widowControl/>
              <w:ind w:firstLine="2119"/>
              <w:jc w:val="left"/>
              <w:rPr>
                <w:rFonts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adjustRightInd w:val="0"/>
        <w:snapToGrid w:val="0"/>
        <w:ind w:firstLine="480" w:firstLineChars="200"/>
        <w:rPr>
          <w:rFonts w:ascii="宋体"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sz w:val="24"/>
        </w:rPr>
      </w:pPr>
    </w:p>
    <w:p>
      <w:pPr>
        <w:pStyle w:val="24"/>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4"/>
        <w:snapToGrid w:val="0"/>
        <w:jc w:val="center"/>
        <w:outlineLvl w:val="0"/>
        <w:rPr>
          <w:rFonts w:hAnsi="宋体"/>
          <w:b/>
          <w:sz w:val="32"/>
          <w:szCs w:val="32"/>
        </w:rPr>
      </w:pPr>
      <w:r>
        <w:rPr>
          <w:rFonts w:hAnsi="宋体"/>
          <w:b/>
          <w:sz w:val="44"/>
          <w:szCs w:val="44"/>
        </w:rPr>
        <w:br w:type="page"/>
      </w:r>
      <w:bookmarkStart w:id="42" w:name="_Toc254970548"/>
      <w:bookmarkStart w:id="43" w:name="_Toc254970689"/>
      <w:r>
        <w:rPr>
          <w:rFonts w:hint="eastAsia" w:hAnsi="宋体"/>
          <w:b/>
          <w:sz w:val="32"/>
          <w:szCs w:val="32"/>
        </w:rPr>
        <w:t>评审办法及评审标准</w:t>
      </w:r>
      <w:bookmarkEnd w:id="42"/>
      <w:bookmarkEnd w:id="43"/>
    </w:p>
    <w:p>
      <w:pPr>
        <w:spacing w:line="36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36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谈判小组必须坚持公平、公正、科学和择优的原则。</w:t>
      </w:r>
    </w:p>
    <w:p>
      <w:pPr>
        <w:spacing w:line="36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(一)谈判小组构成：本项目的谈判小组成员由从财政部门的政府采购评标专家库随机抽取的评审专家</w:t>
      </w:r>
      <w:r>
        <w:rPr>
          <w:rFonts w:hint="eastAsia" w:ascii="宋体" w:hAnsi="宋体"/>
          <w:sz w:val="24"/>
          <w:u w:val="single"/>
        </w:rPr>
        <w:t>2</w:t>
      </w:r>
      <w:r>
        <w:rPr>
          <w:rFonts w:hint="eastAsia" w:ascii="宋体" w:hAnsi="宋体" w:cs="Courier New"/>
          <w:sz w:val="24"/>
        </w:rPr>
        <w:t>人和采购人代表</w:t>
      </w:r>
      <w:r>
        <w:rPr>
          <w:rFonts w:hint="eastAsia" w:ascii="宋体" w:hAnsi="宋体"/>
          <w:sz w:val="24"/>
          <w:u w:val="single"/>
        </w:rPr>
        <w:t>1</w:t>
      </w:r>
      <w:r>
        <w:rPr>
          <w:rFonts w:hint="eastAsia" w:ascii="宋体" w:hAnsi="宋体" w:cs="Courier New"/>
          <w:sz w:val="24"/>
        </w:rPr>
        <w:t>人，共</w:t>
      </w:r>
      <w:r>
        <w:rPr>
          <w:rFonts w:hint="eastAsia" w:ascii="宋体" w:hAnsi="宋体"/>
          <w:sz w:val="24"/>
          <w:u w:val="single"/>
        </w:rPr>
        <w:t>3</w:t>
      </w:r>
      <w:r>
        <w:rPr>
          <w:rFonts w:hint="eastAsia" w:ascii="宋体" w:hAnsi="宋体" w:cs="Courier New"/>
          <w:sz w:val="24"/>
        </w:rPr>
        <w:t>人以上单数组成，其中专家人数不少于成员总数的三分之二。</w:t>
      </w:r>
    </w:p>
    <w:p>
      <w:pPr>
        <w:spacing w:line="36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(二)评标依据：以竞争性谈判采购文件和响应文件为评定依据。</w:t>
      </w:r>
    </w:p>
    <w:p>
      <w:pPr>
        <w:pStyle w:val="24"/>
        <w:rPr>
          <w:rFonts w:hAnsi="宋体"/>
          <w:sz w:val="24"/>
          <w:szCs w:val="24"/>
        </w:rPr>
      </w:pPr>
      <w:r>
        <w:rPr>
          <w:rFonts w:hint="eastAsia" w:hAnsi="宋体"/>
          <w:sz w:val="24"/>
        </w:rPr>
        <w:t xml:space="preserve">    (三)评标方法：</w:t>
      </w:r>
      <w:r>
        <w:rPr>
          <w:rFonts w:hint="eastAsia" w:hAnsi="宋体"/>
          <w:sz w:val="24"/>
          <w:szCs w:val="24"/>
        </w:rPr>
        <w:t>采用最低评标价法。</w:t>
      </w:r>
    </w:p>
    <w:p>
      <w:pPr>
        <w:pStyle w:val="24"/>
        <w:rPr>
          <w:rFonts w:hAnsi="宋体"/>
          <w:b/>
          <w:bCs/>
          <w:sz w:val="24"/>
          <w:szCs w:val="24"/>
        </w:rPr>
      </w:pPr>
      <w:r>
        <w:rPr>
          <w:rFonts w:hint="eastAsia" w:hAnsi="宋体"/>
          <w:b/>
          <w:bCs/>
          <w:sz w:val="24"/>
          <w:szCs w:val="24"/>
        </w:rPr>
        <w:t>二、评定方法</w:t>
      </w:r>
    </w:p>
    <w:p>
      <w:pPr>
        <w:pStyle w:val="24"/>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对商务评审和技术（服务）评审合格的响应文件，采用最低评标价法进行评审。</w:t>
      </w:r>
    </w:p>
    <w:p>
      <w:pPr>
        <w:pStyle w:val="24"/>
        <w:ind w:firstLine="480" w:firstLineChars="200"/>
        <w:rPr>
          <w:rFonts w:hAnsi="宋体"/>
          <w:sz w:val="24"/>
          <w:szCs w:val="24"/>
        </w:rPr>
      </w:pPr>
      <w:r>
        <w:rPr>
          <w:rFonts w:hint="eastAsia" w:hAnsi="宋体"/>
          <w:sz w:val="24"/>
          <w:szCs w:val="24"/>
        </w:rPr>
        <w:t>谈判小组将以谈判文件、响应文件为评定依据，在符合采购需求、质量和服务等实质性要求的前提下，以提出最低评标价的供应商作为成交候选供应商。</w:t>
      </w:r>
    </w:p>
    <w:p>
      <w:pPr>
        <w:pStyle w:val="24"/>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根据广西壮族自治区人民政府办公厅关于印发2020 年广西优化营商环境百日攻坚行动方案的通知（桂政办发〔2020〕59 号）的规定：</w:t>
      </w:r>
    </w:p>
    <w:p>
      <w:pPr>
        <w:pStyle w:val="24"/>
        <w:ind w:firstLine="480" w:firstLineChars="200"/>
        <w:rPr>
          <w:rFonts w:hAnsi="宋体"/>
          <w:sz w:val="24"/>
          <w:szCs w:val="24"/>
        </w:rPr>
      </w:pPr>
      <w:r>
        <w:rPr>
          <w:rFonts w:hint="eastAsia" w:hAnsi="宋体" w:cs="宋体"/>
          <w:kern w:val="0"/>
          <w:sz w:val="24"/>
          <w:szCs w:val="24"/>
        </w:rPr>
        <w:t>对小型或微型企业产品的价格给予10%的扣除，用扣除后的价格参与评审，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-10%×最终竞标价P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4"/>
        <w:ind w:firstLine="480"/>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-2%×最终竞标价P</w:t>
      </w:r>
      <w:r>
        <w:rPr>
          <w:rFonts w:hint="eastAsia" w:hAnsi="宋体"/>
          <w:bCs/>
          <w:sz w:val="24"/>
          <w:szCs w:val="24"/>
          <w:vertAlign w:val="subscript"/>
        </w:rPr>
        <w:t>i</w:t>
      </w:r>
      <w:r>
        <w:rPr>
          <w:rFonts w:hint="eastAsia" w:hAnsi="宋体"/>
          <w:sz w:val="24"/>
          <w:szCs w:val="24"/>
        </w:rPr>
        <w:t>。</w:t>
      </w:r>
    </w:p>
    <w:p>
      <w:pPr>
        <w:pStyle w:val="24"/>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rPr>
          <w:rFonts w:hAnsi="宋体"/>
          <w:sz w:val="24"/>
          <w:szCs w:val="24"/>
        </w:rPr>
      </w:pPr>
      <w:r>
        <w:rPr>
          <w:rFonts w:hint="eastAsia" w:hAnsi="宋体"/>
          <w:sz w:val="24"/>
          <w:szCs w:val="24"/>
        </w:rPr>
        <w:t>根据《关于促进残疾人就业政府采购政策的通知》（财库【2017】141号）规定，</w:t>
      </w:r>
      <w:r>
        <w:rPr>
          <w:rFonts w:hint="eastAsia"/>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480" w:firstLineChars="200"/>
        <w:rPr>
          <w:rFonts w:hAnsi="宋体"/>
          <w:bCs/>
          <w:sz w:val="24"/>
          <w:szCs w:val="24"/>
        </w:rPr>
      </w:pPr>
      <w:r>
        <w:rPr>
          <w:rFonts w:hint="eastAsia" w:hAnsi="宋体"/>
          <w:bCs/>
          <w:sz w:val="24"/>
          <w:szCs w:val="24"/>
        </w:rPr>
        <w:t>除上述情况外，评标价=最终竞标报价。</w:t>
      </w:r>
    </w:p>
    <w:p>
      <w:pPr>
        <w:pStyle w:val="24"/>
        <w:rPr>
          <w:b/>
          <w:sz w:val="24"/>
          <w:szCs w:val="24"/>
        </w:rPr>
      </w:pPr>
      <w:r>
        <w:rPr>
          <w:rFonts w:hint="eastAsia"/>
          <w:b/>
          <w:sz w:val="24"/>
          <w:szCs w:val="24"/>
        </w:rPr>
        <w:t>三、成交候选供应商推荐原则</w:t>
      </w:r>
    </w:p>
    <w:p>
      <w:pPr>
        <w:pStyle w:val="24"/>
        <w:ind w:firstLine="480" w:firstLineChars="200"/>
        <w:rPr>
          <w:rFonts w:hAnsi="宋体"/>
          <w:sz w:val="24"/>
          <w:szCs w:val="24"/>
        </w:rPr>
      </w:pPr>
      <w:r>
        <w:rPr>
          <w:rFonts w:hint="eastAsia" w:hAnsi="宋体"/>
          <w:sz w:val="24"/>
          <w:szCs w:val="24"/>
        </w:rPr>
        <w:t>谈判小组将按评标价由低到高顺序排列，并推荐最低评标价的供应商为成交候选供应商（最终评标价相同时，最终竞标报价低的优先，最终评标价相同且最终竞标报价也相同的，按</w:t>
      </w:r>
      <w:r>
        <w:rPr>
          <w:rFonts w:hint="eastAsia" w:hAnsi="宋体"/>
          <w:sz w:val="24"/>
          <w:szCs w:val="24"/>
          <w:u w:val="single"/>
        </w:rPr>
        <w:t>整体技术指标优劣</w:t>
      </w:r>
      <w:r>
        <w:rPr>
          <w:rFonts w:hint="eastAsia" w:hAnsi="宋体"/>
          <w:sz w:val="24"/>
          <w:szCs w:val="24"/>
        </w:rPr>
        <w:t>顺序排列，整体技术指标仍然相同时，按售后服务承诺由高到低顺序排列，售后服务承诺仍然相同时，由谈判小组集体讨论确定排序），采购单位应当确定谈判小组推荐排名第一的成交候选人为成交人。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招标采购单位</w:t>
      </w:r>
      <w:r>
        <w:rPr>
          <w:rFonts w:hint="eastAsia" w:hAnsi="宋体"/>
          <w:sz w:val="24"/>
          <w:szCs w:val="24"/>
          <w:shd w:val="clear" w:color="auto" w:fill="FFFFFF"/>
        </w:rPr>
        <w:t>将对</w:t>
      </w:r>
      <w:r>
        <w:rPr>
          <w:rFonts w:hint="eastAsia" w:hAnsi="宋体"/>
          <w:bCs/>
          <w:sz w:val="24"/>
          <w:szCs w:val="24"/>
        </w:rPr>
        <w:t>排名第一的中标候选人进行信用查询</w:t>
      </w:r>
      <w:r>
        <w:rPr>
          <w:rFonts w:hint="eastAsia" w:hAnsi="宋体"/>
          <w:sz w:val="24"/>
          <w:szCs w:val="24"/>
          <w:shd w:val="clear" w:color="auto" w:fill="FFFFFF"/>
        </w:rPr>
        <w:t>，如</w:t>
      </w:r>
      <w:r>
        <w:rPr>
          <w:rFonts w:hint="eastAsia" w:hAnsi="宋体"/>
          <w:bCs/>
          <w:sz w:val="24"/>
          <w:szCs w:val="24"/>
        </w:rPr>
        <w:t>排名第一的中标候选人在中国政府采购网处于被暂停参加政府采购活动期间的，或</w:t>
      </w:r>
      <w:r>
        <w:rPr>
          <w:rFonts w:hint="eastAsia" w:hAnsi="宋体"/>
          <w:sz w:val="24"/>
          <w:szCs w:val="24"/>
        </w:rPr>
        <w:t>排名第一的成交候选人放弃成交、因不可抗力提出不能履行合同，采购单位可以确定排名第二的成交候选人为成交人。排名第二的成交候选人因前款规定的同样原因不能签订合同的，提出不能履行合同，采购单位可以确定排名第三的成交候选人为成交人。采购单位也可以重新采购。</w:t>
      </w:r>
    </w:p>
    <w:p>
      <w:pPr>
        <w:pStyle w:val="24"/>
        <w:ind w:left="181" w:leftChars="86" w:firstLine="2997" w:firstLineChars="1249"/>
        <w:rPr>
          <w:rFonts w:hAnsi="宋体"/>
          <w:bCs/>
          <w:sz w:val="24"/>
          <w:szCs w:val="24"/>
        </w:rPr>
      </w:pPr>
    </w:p>
    <w:p>
      <w:pPr>
        <w:pStyle w:val="24"/>
        <w:ind w:left="181" w:leftChars="86" w:firstLine="2997" w:firstLineChars="1249"/>
        <w:rPr>
          <w:rFonts w:hAnsi="宋体"/>
          <w:bCs/>
          <w:sz w:val="24"/>
          <w:szCs w:val="24"/>
        </w:rPr>
      </w:pPr>
    </w:p>
    <w:p>
      <w:pPr>
        <w:pStyle w:val="24"/>
        <w:ind w:left="181" w:leftChars="86" w:firstLine="2997" w:firstLineChars="1249"/>
        <w:rPr>
          <w:rFonts w:hAnsi="宋体"/>
          <w:bCs/>
          <w:sz w:val="24"/>
          <w:szCs w:val="24"/>
        </w:rPr>
      </w:pPr>
    </w:p>
    <w:p>
      <w:pPr>
        <w:pStyle w:val="24"/>
        <w:ind w:left="181" w:leftChars="86" w:firstLine="2997" w:firstLineChars="1249"/>
        <w:rPr>
          <w:rFonts w:hAnsi="宋体"/>
          <w:bCs/>
          <w:sz w:val="24"/>
          <w:szCs w:val="24"/>
        </w:rPr>
      </w:pPr>
    </w:p>
    <w:p>
      <w:pPr>
        <w:pStyle w:val="24"/>
        <w:ind w:left="181" w:leftChars="86" w:firstLine="2997" w:firstLineChars="1249"/>
        <w:rPr>
          <w:rFonts w:hAnsi="宋体"/>
          <w:bCs/>
          <w:sz w:val="24"/>
          <w:szCs w:val="24"/>
        </w:rPr>
      </w:pPr>
    </w:p>
    <w:p>
      <w:pPr>
        <w:pStyle w:val="24"/>
        <w:ind w:left="181" w:leftChars="86" w:firstLine="2997" w:firstLineChars="1249"/>
        <w:rPr>
          <w:rFonts w:hAnsi="宋体"/>
          <w:bCs/>
          <w:sz w:val="24"/>
          <w:szCs w:val="24"/>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widowControl/>
        <w:jc w:val="left"/>
        <w:rPr>
          <w:rFonts w:ascii="宋体" w:hAnsi="宋体" w:cs="宋体"/>
          <w:b/>
          <w:kern w:val="0"/>
          <w:sz w:val="36"/>
          <w:szCs w:val="36"/>
        </w:rPr>
      </w:pPr>
      <w:r>
        <w:rPr>
          <w:rFonts w:ascii="宋体" w:hAnsi="宋体" w:cs="宋体"/>
          <w:b/>
          <w:kern w:val="0"/>
          <w:sz w:val="36"/>
          <w:szCs w:val="36"/>
        </w:rPr>
        <w:br w:type="page"/>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第七章  质疑书及投诉书格式</w:t>
      </w:r>
    </w:p>
    <w:p>
      <w:pPr>
        <w:tabs>
          <w:tab w:val="left" w:pos="606"/>
        </w:tabs>
      </w:pPr>
    </w:p>
    <w:p>
      <w:pPr>
        <w:tabs>
          <w:tab w:val="left" w:pos="606"/>
        </w:tabs>
      </w:pP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p>
    <w:p>
      <w:pPr>
        <w:rPr>
          <w:rFonts w:ascii="仿宋_GB2312" w:hAnsi="Calibri" w:eastAsia="仿宋_GB2312"/>
          <w:sz w:val="32"/>
          <w:szCs w:val="32"/>
          <w:u w:val="single"/>
        </w:rPr>
      </w:pPr>
      <w:r>
        <w:rPr>
          <w:rFonts w:hint="eastAsia" w:ascii="仿宋_GB2312" w:hAnsi="Calibri" w:eastAsia="仿宋_GB2312"/>
          <w:sz w:val="32"/>
          <w:szCs w:val="32"/>
        </w:rPr>
        <w:t>地     址：邮编：</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p>
    <w:p>
      <w:pPr>
        <w:rPr>
          <w:rFonts w:ascii="仿宋_GB2312" w:hAnsi="Calibri" w:eastAsia="仿宋_GB2312"/>
          <w:sz w:val="32"/>
          <w:szCs w:val="32"/>
          <w:u w:val="dotted"/>
        </w:rPr>
      </w:pPr>
      <w:r>
        <w:rPr>
          <w:rFonts w:hint="eastAsia" w:ascii="仿宋_GB2312" w:hAnsi="Calibri" w:eastAsia="仿宋_GB2312"/>
          <w:sz w:val="32"/>
          <w:szCs w:val="32"/>
        </w:rPr>
        <w:t>授权代表：联系电话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址：邮编：</w:t>
      </w:r>
    </w:p>
    <w:p>
      <w:pPr>
        <w:rPr>
          <w:rFonts w:ascii="仿宋_GB2312" w:hAnsi="Calibri" w:eastAsia="仿宋_GB2312"/>
          <w:sz w:val="32"/>
          <w:szCs w:val="32"/>
          <w:u w:val="single"/>
        </w:rPr>
      </w:pPr>
      <w:r>
        <w:rPr>
          <w:rFonts w:hint="eastAsia" w:ascii="仿宋_GB2312" w:hAnsi="Calibri" w:eastAsia="仿宋_GB2312"/>
          <w:sz w:val="32"/>
          <w:szCs w:val="32"/>
        </w:rPr>
        <w:t>被投诉人1：</w:t>
      </w:r>
    </w:p>
    <w:p>
      <w:pPr>
        <w:rPr>
          <w:rFonts w:ascii="仿宋_GB2312" w:hAnsi="Calibri" w:eastAsia="仿宋_GB2312"/>
          <w:sz w:val="32"/>
          <w:szCs w:val="32"/>
          <w:u w:val="single"/>
        </w:rPr>
      </w:pPr>
      <w:r>
        <w:rPr>
          <w:rFonts w:hint="eastAsia" w:ascii="仿宋_GB2312" w:hAnsi="Calibri" w:eastAsia="仿宋_GB2312"/>
          <w:sz w:val="32"/>
          <w:szCs w:val="32"/>
        </w:rPr>
        <w:t>地     址：邮编：</w:t>
      </w:r>
    </w:p>
    <w:p>
      <w:pPr>
        <w:rPr>
          <w:rFonts w:ascii="仿宋_GB2312" w:hAnsi="Calibri" w:eastAsia="仿宋_GB2312"/>
          <w:sz w:val="32"/>
          <w:szCs w:val="32"/>
          <w:u w:val="single"/>
        </w:rPr>
      </w:pPr>
      <w:r>
        <w:rPr>
          <w:rFonts w:hint="eastAsia" w:ascii="仿宋_GB2312" w:hAnsi="Calibri" w:eastAsia="仿宋_GB2312"/>
          <w:sz w:val="32"/>
          <w:szCs w:val="32"/>
        </w:rPr>
        <w:t>联系人：联系电话：</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p>
    <w:p>
      <w:pPr>
        <w:rPr>
          <w:rFonts w:ascii="仿宋_GB2312" w:hAnsi="Calibri" w:eastAsia="仿宋_GB2312"/>
          <w:sz w:val="32"/>
          <w:szCs w:val="32"/>
          <w:u w:val="single"/>
        </w:rPr>
      </w:pPr>
      <w:r>
        <w:rPr>
          <w:rFonts w:hint="eastAsia" w:ascii="仿宋_GB2312" w:hAnsi="Calibri" w:eastAsia="仿宋_GB2312"/>
          <w:sz w:val="32"/>
          <w:szCs w:val="32"/>
        </w:rPr>
        <w:t>地     址：邮编：</w:t>
      </w:r>
    </w:p>
    <w:p>
      <w:pPr>
        <w:rPr>
          <w:rFonts w:ascii="仿宋_GB2312" w:hAnsi="Calibri" w:eastAsia="仿宋_GB2312"/>
          <w:sz w:val="32"/>
          <w:szCs w:val="32"/>
          <w:u w:val="single"/>
        </w:rPr>
      </w:pPr>
      <w:r>
        <w:rPr>
          <w:rFonts w:hint="eastAsia" w:ascii="仿宋_GB2312" w:hAnsi="Calibri" w:eastAsia="仿宋_GB2312"/>
          <w:sz w:val="32"/>
          <w:szCs w:val="32"/>
        </w:rPr>
        <w:t>联系人：联系电话：</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p>
    <w:p>
      <w:pPr>
        <w:rPr>
          <w:rFonts w:ascii="仿宋_GB2312" w:hAnsi="Calibri" w:eastAsia="仿宋_GB2312"/>
          <w:sz w:val="32"/>
          <w:szCs w:val="32"/>
          <w:u w:val="single"/>
        </w:rPr>
      </w:pPr>
      <w:r>
        <w:rPr>
          <w:rFonts w:hint="eastAsia" w:ascii="仿宋_GB2312" w:hAnsi="Calibri" w:eastAsia="仿宋_GB2312"/>
          <w:sz w:val="32"/>
          <w:szCs w:val="32"/>
        </w:rPr>
        <w:t>采购项目编号：包号：</w:t>
      </w:r>
    </w:p>
    <w:p>
      <w:pPr>
        <w:rPr>
          <w:rFonts w:ascii="仿宋_GB2312" w:hAnsi="Calibri" w:eastAsia="仿宋_GB2312"/>
          <w:sz w:val="32"/>
          <w:szCs w:val="32"/>
        </w:rPr>
      </w:pPr>
      <w:r>
        <w:rPr>
          <w:rFonts w:hint="eastAsia" w:ascii="仿宋_GB2312" w:hAnsi="Calibri" w:eastAsia="仿宋_GB2312"/>
          <w:sz w:val="32"/>
          <w:szCs w:val="32"/>
        </w:rPr>
        <w:t>采购人名称：</w:t>
      </w:r>
    </w:p>
    <w:p>
      <w:pPr>
        <w:rPr>
          <w:rFonts w:ascii="仿宋_GB2312" w:hAnsi="Calibri" w:eastAsia="仿宋_GB2312"/>
          <w:sz w:val="32"/>
          <w:szCs w:val="32"/>
          <w:u w:val="single"/>
        </w:rPr>
      </w:pPr>
      <w:r>
        <w:rPr>
          <w:rFonts w:hint="eastAsia" w:ascii="仿宋_GB2312" w:hAnsi="Calibri" w:eastAsia="仿宋_GB2312"/>
          <w:sz w:val="32"/>
          <w:szCs w:val="32"/>
        </w:rPr>
        <w:t>代理机构名称：</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投诉人于年月日,向提出质疑，质疑事项为：</w:t>
      </w:r>
    </w:p>
    <w:p>
      <w:pPr>
        <w:rPr>
          <w:rFonts w:ascii="仿宋_GB2312" w:hAnsi="Calibri" w:eastAsia="仿宋_GB2312"/>
          <w:sz w:val="32"/>
          <w:szCs w:val="32"/>
          <w:u w:val="dotted"/>
        </w:rPr>
      </w:pP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于年月日,就质疑事项作出了答复/没有在法定期限内作出答复。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p>
    <w:p>
      <w:pPr>
        <w:rPr>
          <w:rFonts w:ascii="仿宋_GB2312" w:hAnsi="Calibri" w:eastAsia="仿宋_GB2312"/>
          <w:sz w:val="32"/>
          <w:szCs w:val="32"/>
        </w:rPr>
      </w:pPr>
      <w:r>
        <w:rPr>
          <w:rFonts w:hint="eastAsia" w:ascii="仿宋_GB2312" w:hAnsi="Calibri" w:eastAsia="仿宋_GB2312"/>
          <w:sz w:val="32"/>
          <w:szCs w:val="32"/>
        </w:rPr>
        <w:t>事实依据：</w:t>
      </w:r>
    </w:p>
    <w:p>
      <w:pPr>
        <w:rPr>
          <w:rFonts w:ascii="仿宋_GB2312" w:hAnsi="Calibri" w:eastAsia="仿宋_GB2312"/>
          <w:sz w:val="32"/>
          <w:szCs w:val="32"/>
          <w:u w:val="dotted"/>
        </w:rPr>
      </w:pPr>
    </w:p>
    <w:p>
      <w:pPr>
        <w:rPr>
          <w:rFonts w:ascii="仿宋_GB2312" w:hAnsi="Calibri" w:eastAsia="仿宋_GB2312"/>
          <w:sz w:val="32"/>
          <w:szCs w:val="32"/>
          <w:u w:val="single"/>
        </w:rPr>
      </w:pPr>
      <w:r>
        <w:rPr>
          <w:rFonts w:hint="eastAsia" w:ascii="仿宋_GB2312" w:hAnsi="Calibri" w:eastAsia="仿宋_GB2312"/>
          <w:sz w:val="32"/>
          <w:szCs w:val="32"/>
        </w:rPr>
        <w:t>法律依据：</w:t>
      </w:r>
    </w:p>
    <w:p>
      <w:pPr>
        <w:rPr>
          <w:rFonts w:ascii="仿宋_GB2312" w:hAnsi="Calibri" w:eastAsia="仿宋_GB2312"/>
          <w:sz w:val="32"/>
          <w:szCs w:val="32"/>
          <w:u w:val="dotted"/>
        </w:rPr>
      </w:pP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p>
    <w:p>
      <w:pPr>
        <w:rPr>
          <w:rFonts w:ascii="仿宋_GB2312" w:hAnsi="Calibri" w:eastAsia="仿宋_GB2312"/>
          <w:sz w:val="32"/>
          <w:szCs w:val="32"/>
          <w:u w:val="single"/>
        </w:rPr>
      </w:pP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rPr>
          <w:rFonts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hAnsi="宋体"/>
          <w:bCs/>
          <w:sz w:val="24"/>
        </w:rPr>
      </w:pPr>
      <w:r>
        <w:rPr>
          <w:rFonts w:hAnsi="宋体"/>
          <w:bCs/>
          <w:sz w:val="24"/>
        </w:rPr>
        <w:br w:type="page"/>
      </w:r>
    </w:p>
    <w:p>
      <w:pPr>
        <w:tabs>
          <w:tab w:val="left" w:pos="606"/>
        </w:tabs>
        <w:rPr>
          <w:color w:val="FF0000"/>
        </w:rPr>
      </w:pPr>
      <w:r>
        <w:rPr>
          <w:rFonts w:hint="eastAsia" w:ascii="宋体" w:hAnsi="宋体" w:cs="宋体"/>
          <w:b/>
          <w:color w:val="FF0000"/>
          <w:kern w:val="0"/>
          <w:sz w:val="36"/>
          <w:szCs w:val="36"/>
        </w:rPr>
        <w:t>附件</w:t>
      </w:r>
    </w:p>
    <w:p>
      <w:pPr>
        <w:tabs>
          <w:tab w:val="left" w:pos="606"/>
        </w:tabs>
        <w:rPr>
          <w:color w:val="FF0000"/>
        </w:rPr>
      </w:pPr>
    </w:p>
    <w:p>
      <w:pPr>
        <w:widowControl/>
        <w:shd w:val="clear" w:color="auto" w:fill="FFFFFF"/>
        <w:spacing w:line="360" w:lineRule="auto"/>
        <w:ind w:firstLine="480"/>
        <w:jc w:val="center"/>
        <w:rPr>
          <w:rFonts w:ascii="宋体" w:hAnsi="宋体" w:cs="宋体"/>
          <w:b/>
          <w:color w:val="FF0000"/>
          <w:kern w:val="0"/>
          <w:sz w:val="36"/>
          <w:szCs w:val="36"/>
        </w:rPr>
      </w:pPr>
      <w:r>
        <w:rPr>
          <w:rFonts w:hint="eastAsia" w:ascii="宋体" w:hAnsi="宋体" w:cs="宋体"/>
          <w:b/>
          <w:color w:val="FF0000"/>
          <w:kern w:val="0"/>
          <w:sz w:val="36"/>
          <w:szCs w:val="36"/>
        </w:rPr>
        <w:t>成交通知书</w:t>
      </w:r>
    </w:p>
    <w:p>
      <w:pPr>
        <w:tabs>
          <w:tab w:val="left" w:pos="606"/>
        </w:tabs>
        <w:rPr>
          <w:color w:val="FF0000"/>
          <w:sz w:val="24"/>
        </w:rPr>
      </w:pPr>
    </w:p>
    <w:p>
      <w:pPr>
        <w:tabs>
          <w:tab w:val="left" w:pos="606"/>
        </w:tabs>
        <w:rPr>
          <w:color w:val="FF0000"/>
          <w:sz w:val="28"/>
          <w:szCs w:val="28"/>
        </w:rPr>
      </w:pPr>
      <w:r>
        <w:rPr>
          <w:rFonts w:hint="eastAsia"/>
          <w:color w:val="FF0000"/>
          <w:sz w:val="28"/>
          <w:szCs w:val="28"/>
        </w:rPr>
        <w:t>公司：</w:t>
      </w:r>
    </w:p>
    <w:p>
      <w:pPr>
        <w:tabs>
          <w:tab w:val="left" w:pos="606"/>
        </w:tabs>
        <w:ind w:firstLine="420"/>
        <w:rPr>
          <w:color w:val="FF0000"/>
          <w:sz w:val="28"/>
          <w:szCs w:val="28"/>
        </w:rPr>
      </w:pPr>
      <w:r>
        <w:rPr>
          <w:rFonts w:hint="eastAsia"/>
          <w:color w:val="FF0000"/>
          <w:sz w:val="28"/>
          <w:szCs w:val="28"/>
          <w:u w:val="single"/>
        </w:rPr>
        <w:t>（代理机构名称）</w:t>
      </w:r>
      <w:r>
        <w:rPr>
          <w:rFonts w:hint="eastAsia"/>
          <w:color w:val="FF0000"/>
          <w:sz w:val="28"/>
          <w:szCs w:val="28"/>
        </w:rPr>
        <w:t>受</w:t>
      </w:r>
      <w:r>
        <w:rPr>
          <w:rFonts w:hint="eastAsia"/>
          <w:color w:val="FF0000"/>
          <w:sz w:val="28"/>
          <w:szCs w:val="28"/>
          <w:u w:val="single"/>
        </w:rPr>
        <w:t>（采购单位名称）</w:t>
      </w:r>
      <w:r>
        <w:rPr>
          <w:rFonts w:hint="eastAsia"/>
          <w:color w:val="FF0000"/>
          <w:sz w:val="28"/>
          <w:szCs w:val="28"/>
        </w:rPr>
        <w:t>的委托，就</w:t>
      </w:r>
      <w:r>
        <w:rPr>
          <w:rFonts w:hint="eastAsia"/>
          <w:color w:val="FF0000"/>
          <w:sz w:val="28"/>
          <w:szCs w:val="28"/>
          <w:u w:val="single"/>
        </w:rPr>
        <w:t xml:space="preserve">              项目</w:t>
      </w:r>
      <w:r>
        <w:rPr>
          <w:rFonts w:hint="eastAsia"/>
          <w:color w:val="FF0000"/>
          <w:sz w:val="28"/>
          <w:szCs w:val="28"/>
        </w:rPr>
        <w:t>（项目编号：；审批编号：）采用方式进行采购。经采购人确认，贵单位为项目的成交单位，具体内容如下：</w:t>
      </w:r>
    </w:p>
    <w:p>
      <w:pPr>
        <w:tabs>
          <w:tab w:val="left" w:pos="606"/>
        </w:tabs>
        <w:ind w:firstLine="420"/>
        <w:rPr>
          <w:color w:val="FF0000"/>
          <w:sz w:val="28"/>
          <w:szCs w:val="28"/>
        </w:rPr>
      </w:pPr>
    </w:p>
    <w:p>
      <w:pPr>
        <w:tabs>
          <w:tab w:val="left" w:pos="606"/>
        </w:tabs>
        <w:ind w:firstLine="420"/>
        <w:rPr>
          <w:color w:val="FF0000"/>
          <w:sz w:val="28"/>
          <w:szCs w:val="28"/>
        </w:rPr>
      </w:pPr>
    </w:p>
    <w:p>
      <w:pPr>
        <w:tabs>
          <w:tab w:val="left" w:pos="606"/>
        </w:tabs>
        <w:ind w:firstLine="420"/>
        <w:rPr>
          <w:color w:val="FF0000"/>
          <w:sz w:val="28"/>
          <w:szCs w:val="28"/>
        </w:rPr>
      </w:pPr>
      <w:r>
        <w:rPr>
          <w:rFonts w:hint="eastAsia"/>
          <w:color w:val="FF0000"/>
          <w:sz w:val="28"/>
          <w:szCs w:val="28"/>
        </w:rPr>
        <w:t>成交单位：公司</w:t>
      </w:r>
    </w:p>
    <w:p>
      <w:pPr>
        <w:tabs>
          <w:tab w:val="left" w:pos="606"/>
        </w:tabs>
        <w:ind w:firstLine="420"/>
        <w:rPr>
          <w:color w:val="FF0000"/>
          <w:sz w:val="28"/>
          <w:szCs w:val="28"/>
        </w:rPr>
      </w:pPr>
      <w:r>
        <w:rPr>
          <w:rFonts w:hint="eastAsia"/>
          <w:color w:val="FF0000"/>
          <w:sz w:val="28"/>
          <w:szCs w:val="28"/>
        </w:rPr>
        <w:t>企业规模：□中型 □小型 □微型 □其他</w:t>
      </w:r>
    </w:p>
    <w:p>
      <w:pPr>
        <w:tabs>
          <w:tab w:val="left" w:pos="606"/>
        </w:tabs>
        <w:ind w:firstLine="420"/>
        <w:rPr>
          <w:color w:val="FF0000"/>
          <w:sz w:val="28"/>
          <w:szCs w:val="28"/>
        </w:rPr>
      </w:pPr>
      <w:r>
        <w:rPr>
          <w:rFonts w:hint="eastAsia"/>
          <w:color w:val="FF0000"/>
          <w:sz w:val="28"/>
          <w:szCs w:val="28"/>
        </w:rPr>
        <w:t>成交金额：（￥  元）</w:t>
      </w:r>
    </w:p>
    <w:p>
      <w:pPr>
        <w:tabs>
          <w:tab w:val="left" w:pos="606"/>
        </w:tabs>
        <w:ind w:firstLine="420"/>
        <w:rPr>
          <w:color w:val="FF0000"/>
          <w:sz w:val="28"/>
          <w:szCs w:val="28"/>
        </w:rPr>
      </w:pPr>
      <w:r>
        <w:rPr>
          <w:rFonts w:hint="eastAsia"/>
          <w:color w:val="FF0000"/>
          <w:sz w:val="28"/>
          <w:szCs w:val="28"/>
        </w:rPr>
        <w:t>交货时间：自合同签定之日起天内</w:t>
      </w:r>
    </w:p>
    <w:p>
      <w:pPr>
        <w:tabs>
          <w:tab w:val="left" w:pos="606"/>
        </w:tabs>
        <w:ind w:firstLine="420"/>
        <w:rPr>
          <w:color w:val="FF0000"/>
          <w:sz w:val="28"/>
          <w:szCs w:val="28"/>
        </w:rPr>
      </w:pPr>
    </w:p>
    <w:p>
      <w:pPr>
        <w:tabs>
          <w:tab w:val="left" w:pos="606"/>
        </w:tabs>
        <w:ind w:firstLine="420"/>
        <w:rPr>
          <w:color w:val="FF0000"/>
          <w:sz w:val="28"/>
          <w:szCs w:val="28"/>
        </w:rPr>
      </w:pPr>
      <w:r>
        <w:rPr>
          <w:rFonts w:hint="eastAsia"/>
          <w:color w:val="FF0000"/>
          <w:sz w:val="28"/>
          <w:szCs w:val="28"/>
        </w:rPr>
        <w:t>请贵单位接此通知书后日内尽快与采购人签订合同，并按采购文件要求和竞标文件的承诺履行合同。</w:t>
      </w:r>
    </w:p>
    <w:p>
      <w:pPr>
        <w:tabs>
          <w:tab w:val="left" w:pos="606"/>
        </w:tabs>
        <w:ind w:firstLine="420"/>
        <w:rPr>
          <w:color w:val="FF0000"/>
          <w:sz w:val="28"/>
          <w:szCs w:val="28"/>
        </w:rPr>
      </w:pPr>
      <w:r>
        <w:rPr>
          <w:rFonts w:hint="eastAsia"/>
          <w:color w:val="FF0000"/>
          <w:sz w:val="28"/>
          <w:szCs w:val="28"/>
        </w:rPr>
        <w:t>特此通知！</w:t>
      </w:r>
    </w:p>
    <w:p>
      <w:pPr>
        <w:tabs>
          <w:tab w:val="left" w:pos="606"/>
        </w:tabs>
        <w:rPr>
          <w:color w:val="FF0000"/>
          <w:sz w:val="28"/>
          <w:szCs w:val="28"/>
        </w:rPr>
      </w:pPr>
    </w:p>
    <w:p>
      <w:pPr>
        <w:tabs>
          <w:tab w:val="left" w:pos="606"/>
        </w:tabs>
        <w:ind w:firstLine="4480" w:firstLineChars="1600"/>
        <w:rPr>
          <w:color w:val="FF0000"/>
          <w:sz w:val="28"/>
          <w:szCs w:val="28"/>
        </w:rPr>
      </w:pPr>
      <w:r>
        <w:rPr>
          <w:rFonts w:hint="eastAsia"/>
          <w:color w:val="FF0000"/>
          <w:sz w:val="28"/>
          <w:szCs w:val="28"/>
        </w:rPr>
        <w:t>代理机构（盖章）：</w:t>
      </w:r>
    </w:p>
    <w:p>
      <w:pPr>
        <w:tabs>
          <w:tab w:val="left" w:pos="606"/>
        </w:tabs>
        <w:ind w:firstLine="4480" w:firstLineChars="1600"/>
        <w:rPr>
          <w:rFonts w:hAnsi="宋体"/>
          <w:bCs/>
          <w:sz w:val="24"/>
        </w:rPr>
      </w:pPr>
      <w:r>
        <w:rPr>
          <w:rFonts w:hint="eastAsia"/>
          <w:color w:val="FF0000"/>
          <w:sz w:val="28"/>
          <w:szCs w:val="28"/>
        </w:rPr>
        <w:t>日期：  年  月  日</w:t>
      </w:r>
    </w:p>
    <w:sectPr>
      <w:headerReference r:id="rId3" w:type="default"/>
      <w:footerReference r:id="rId4" w:type="default"/>
      <w:footerReference r:id="rId5" w:type="even"/>
      <w:pgSz w:w="11906" w:h="16838"/>
      <w:pgMar w:top="1440" w:right="123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楷体_GB2312">
    <w:altName w:val="楷体"/>
    <w:panose1 w:val="02010609030101010101"/>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31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p>
    <w:pPr>
      <w:pStyle w:val="30"/>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3"/>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E96932C"/>
    <w:multiLevelType w:val="singleLevel"/>
    <w:tmpl w:val="1E96932C"/>
    <w:lvl w:ilvl="0" w:tentative="0">
      <w:start w:val="3"/>
      <w:numFmt w:val="chineseCounting"/>
      <w:suff w:val="nothing"/>
      <w:lvlText w:val="%1、"/>
      <w:lvlJc w:val="left"/>
      <w:rPr>
        <w:rFonts w:hint="eastAsia"/>
      </w:rPr>
    </w:lvl>
  </w:abstractNum>
  <w:abstractNum w:abstractNumId="2">
    <w:nsid w:val="21315C89"/>
    <w:multiLevelType w:val="singleLevel"/>
    <w:tmpl w:val="21315C89"/>
    <w:lvl w:ilvl="0" w:tentative="0">
      <w:start w:val="29"/>
      <w:numFmt w:val="decimal"/>
      <w:suff w:val="space"/>
      <w:lvlText w:val="%1."/>
      <w:lvlJc w:val="left"/>
    </w:lvl>
  </w:abstractNum>
  <w:abstractNum w:abstractNumId="3">
    <w:nsid w:val="763060DB"/>
    <w:multiLevelType w:val="multilevel"/>
    <w:tmpl w:val="763060DB"/>
    <w:lvl w:ilvl="0" w:tentative="0">
      <w:start w:val="1"/>
      <w:numFmt w:val="japaneseCounting"/>
      <w:pStyle w:val="20"/>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5"/>
      <w:lvlText w:val="%4."/>
      <w:lvlJc w:val="left"/>
      <w:pPr>
        <w:tabs>
          <w:tab w:val="left" w:pos="1860"/>
        </w:tabs>
        <w:ind w:left="1860" w:hanging="420"/>
      </w:pPr>
    </w:lvl>
    <w:lvl w:ilvl="4" w:tentative="0">
      <w:start w:val="1"/>
      <w:numFmt w:val="lowerLetter"/>
      <w:pStyle w:val="6"/>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3"/>
  </w:num>
  <w:num w:numId="2">
    <w:abstractNumId w:val="0"/>
  </w:num>
  <w:num w:numId="3">
    <w:abstractNumId w:val="3"/>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52"/>
    <w:rsid w:val="000059EB"/>
    <w:rsid w:val="000113CA"/>
    <w:rsid w:val="0001237E"/>
    <w:rsid w:val="00013434"/>
    <w:rsid w:val="000165DD"/>
    <w:rsid w:val="0001792D"/>
    <w:rsid w:val="00021CE7"/>
    <w:rsid w:val="00022FA9"/>
    <w:rsid w:val="000242D8"/>
    <w:rsid w:val="00027A71"/>
    <w:rsid w:val="00031C0A"/>
    <w:rsid w:val="00040B11"/>
    <w:rsid w:val="00041A0E"/>
    <w:rsid w:val="000427FB"/>
    <w:rsid w:val="0004695A"/>
    <w:rsid w:val="00047E7F"/>
    <w:rsid w:val="00050856"/>
    <w:rsid w:val="00050E74"/>
    <w:rsid w:val="000549A3"/>
    <w:rsid w:val="00055F86"/>
    <w:rsid w:val="00066EFB"/>
    <w:rsid w:val="0006700D"/>
    <w:rsid w:val="0007000B"/>
    <w:rsid w:val="000700DD"/>
    <w:rsid w:val="000709D5"/>
    <w:rsid w:val="0007154C"/>
    <w:rsid w:val="00071F62"/>
    <w:rsid w:val="00073B8A"/>
    <w:rsid w:val="00074B56"/>
    <w:rsid w:val="00075324"/>
    <w:rsid w:val="0007619F"/>
    <w:rsid w:val="00076EE7"/>
    <w:rsid w:val="000801A0"/>
    <w:rsid w:val="000869E9"/>
    <w:rsid w:val="00092D35"/>
    <w:rsid w:val="00094824"/>
    <w:rsid w:val="00096DAC"/>
    <w:rsid w:val="00097194"/>
    <w:rsid w:val="000A0973"/>
    <w:rsid w:val="000A5F17"/>
    <w:rsid w:val="000A6BCE"/>
    <w:rsid w:val="000A6DA0"/>
    <w:rsid w:val="000B09F0"/>
    <w:rsid w:val="000B162C"/>
    <w:rsid w:val="000B250A"/>
    <w:rsid w:val="000B3323"/>
    <w:rsid w:val="000B3671"/>
    <w:rsid w:val="000B59DC"/>
    <w:rsid w:val="000B7E41"/>
    <w:rsid w:val="000C6583"/>
    <w:rsid w:val="000C6668"/>
    <w:rsid w:val="000D2CC6"/>
    <w:rsid w:val="000D57B7"/>
    <w:rsid w:val="000D57DF"/>
    <w:rsid w:val="000D7E1D"/>
    <w:rsid w:val="000E0974"/>
    <w:rsid w:val="000E0BCD"/>
    <w:rsid w:val="000E1B2E"/>
    <w:rsid w:val="000E399F"/>
    <w:rsid w:val="000E702D"/>
    <w:rsid w:val="000F6647"/>
    <w:rsid w:val="000F7BFB"/>
    <w:rsid w:val="00102816"/>
    <w:rsid w:val="001031C8"/>
    <w:rsid w:val="00103C30"/>
    <w:rsid w:val="00103CFA"/>
    <w:rsid w:val="0010495D"/>
    <w:rsid w:val="00107B4F"/>
    <w:rsid w:val="001107F1"/>
    <w:rsid w:val="00114003"/>
    <w:rsid w:val="00114831"/>
    <w:rsid w:val="001175B9"/>
    <w:rsid w:val="00124553"/>
    <w:rsid w:val="00124933"/>
    <w:rsid w:val="00125257"/>
    <w:rsid w:val="00125D81"/>
    <w:rsid w:val="001318C9"/>
    <w:rsid w:val="00133AA1"/>
    <w:rsid w:val="001349FB"/>
    <w:rsid w:val="00141722"/>
    <w:rsid w:val="00143596"/>
    <w:rsid w:val="00144B89"/>
    <w:rsid w:val="001459D1"/>
    <w:rsid w:val="00145F50"/>
    <w:rsid w:val="001519D2"/>
    <w:rsid w:val="00157312"/>
    <w:rsid w:val="00157567"/>
    <w:rsid w:val="001579D3"/>
    <w:rsid w:val="00160046"/>
    <w:rsid w:val="00162B8B"/>
    <w:rsid w:val="00162F41"/>
    <w:rsid w:val="00163C72"/>
    <w:rsid w:val="00164350"/>
    <w:rsid w:val="00166DBD"/>
    <w:rsid w:val="00170383"/>
    <w:rsid w:val="00171177"/>
    <w:rsid w:val="00171641"/>
    <w:rsid w:val="00172A27"/>
    <w:rsid w:val="00180EF6"/>
    <w:rsid w:val="001853F4"/>
    <w:rsid w:val="0019301B"/>
    <w:rsid w:val="0019344A"/>
    <w:rsid w:val="001950CE"/>
    <w:rsid w:val="001A50F8"/>
    <w:rsid w:val="001A5A97"/>
    <w:rsid w:val="001A6B89"/>
    <w:rsid w:val="001A6C79"/>
    <w:rsid w:val="001B193F"/>
    <w:rsid w:val="001B32A0"/>
    <w:rsid w:val="001B39AC"/>
    <w:rsid w:val="001B48BE"/>
    <w:rsid w:val="001B6C8E"/>
    <w:rsid w:val="001C10C0"/>
    <w:rsid w:val="001C15E7"/>
    <w:rsid w:val="001C1E7F"/>
    <w:rsid w:val="001C361F"/>
    <w:rsid w:val="001C4289"/>
    <w:rsid w:val="001C4BB6"/>
    <w:rsid w:val="001C575D"/>
    <w:rsid w:val="001D4B1D"/>
    <w:rsid w:val="001D5990"/>
    <w:rsid w:val="001D66F2"/>
    <w:rsid w:val="001D79CB"/>
    <w:rsid w:val="001E340D"/>
    <w:rsid w:val="001E3B8C"/>
    <w:rsid w:val="001E3CE6"/>
    <w:rsid w:val="001E4563"/>
    <w:rsid w:val="001E646A"/>
    <w:rsid w:val="001E65A3"/>
    <w:rsid w:val="001E6811"/>
    <w:rsid w:val="001E6BAA"/>
    <w:rsid w:val="001F0AD2"/>
    <w:rsid w:val="001F24AB"/>
    <w:rsid w:val="001F2FE8"/>
    <w:rsid w:val="001F66E2"/>
    <w:rsid w:val="00200737"/>
    <w:rsid w:val="00200D14"/>
    <w:rsid w:val="0020224D"/>
    <w:rsid w:val="00204AD0"/>
    <w:rsid w:val="00212275"/>
    <w:rsid w:val="00216C27"/>
    <w:rsid w:val="00217F51"/>
    <w:rsid w:val="002201C7"/>
    <w:rsid w:val="0022167A"/>
    <w:rsid w:val="0022431A"/>
    <w:rsid w:val="002310C3"/>
    <w:rsid w:val="00231DA7"/>
    <w:rsid w:val="002430DA"/>
    <w:rsid w:val="00244050"/>
    <w:rsid w:val="0024607D"/>
    <w:rsid w:val="00246342"/>
    <w:rsid w:val="00251F42"/>
    <w:rsid w:val="00262472"/>
    <w:rsid w:val="00265C56"/>
    <w:rsid w:val="00265E8E"/>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076E"/>
    <w:rsid w:val="002B0D69"/>
    <w:rsid w:val="002B5ACD"/>
    <w:rsid w:val="002C038D"/>
    <w:rsid w:val="002C454C"/>
    <w:rsid w:val="002C7696"/>
    <w:rsid w:val="002C77A8"/>
    <w:rsid w:val="002D0F84"/>
    <w:rsid w:val="002D1917"/>
    <w:rsid w:val="002D306F"/>
    <w:rsid w:val="002D3A05"/>
    <w:rsid w:val="002D5053"/>
    <w:rsid w:val="002D5225"/>
    <w:rsid w:val="002D57EF"/>
    <w:rsid w:val="002D65E0"/>
    <w:rsid w:val="002D67B4"/>
    <w:rsid w:val="002E1448"/>
    <w:rsid w:val="002E4551"/>
    <w:rsid w:val="002E4958"/>
    <w:rsid w:val="002E5304"/>
    <w:rsid w:val="002E662E"/>
    <w:rsid w:val="002F0C82"/>
    <w:rsid w:val="002F1867"/>
    <w:rsid w:val="002F61F9"/>
    <w:rsid w:val="00301543"/>
    <w:rsid w:val="00304B95"/>
    <w:rsid w:val="003070BD"/>
    <w:rsid w:val="00311035"/>
    <w:rsid w:val="00320F2F"/>
    <w:rsid w:val="00322074"/>
    <w:rsid w:val="00323827"/>
    <w:rsid w:val="003248A3"/>
    <w:rsid w:val="00326CF0"/>
    <w:rsid w:val="003278CB"/>
    <w:rsid w:val="00331FDC"/>
    <w:rsid w:val="00333FA6"/>
    <w:rsid w:val="00336522"/>
    <w:rsid w:val="003405C7"/>
    <w:rsid w:val="00345F77"/>
    <w:rsid w:val="00350EA5"/>
    <w:rsid w:val="00352601"/>
    <w:rsid w:val="00352640"/>
    <w:rsid w:val="00352E9E"/>
    <w:rsid w:val="00353E06"/>
    <w:rsid w:val="0035414E"/>
    <w:rsid w:val="00355200"/>
    <w:rsid w:val="00355860"/>
    <w:rsid w:val="00355917"/>
    <w:rsid w:val="003571F2"/>
    <w:rsid w:val="00360891"/>
    <w:rsid w:val="0036205A"/>
    <w:rsid w:val="003640DB"/>
    <w:rsid w:val="00365474"/>
    <w:rsid w:val="00367DE8"/>
    <w:rsid w:val="00367FDB"/>
    <w:rsid w:val="0037686C"/>
    <w:rsid w:val="00376D16"/>
    <w:rsid w:val="003831DF"/>
    <w:rsid w:val="0038728A"/>
    <w:rsid w:val="00390123"/>
    <w:rsid w:val="00391FCD"/>
    <w:rsid w:val="003935FB"/>
    <w:rsid w:val="0039429C"/>
    <w:rsid w:val="003977B2"/>
    <w:rsid w:val="00397B80"/>
    <w:rsid w:val="003A0A98"/>
    <w:rsid w:val="003A4523"/>
    <w:rsid w:val="003A5DB1"/>
    <w:rsid w:val="003A6516"/>
    <w:rsid w:val="003A68A5"/>
    <w:rsid w:val="003B0E7F"/>
    <w:rsid w:val="003B38CD"/>
    <w:rsid w:val="003B3A38"/>
    <w:rsid w:val="003B47C8"/>
    <w:rsid w:val="003B586C"/>
    <w:rsid w:val="003B6160"/>
    <w:rsid w:val="003C1F7D"/>
    <w:rsid w:val="003C4424"/>
    <w:rsid w:val="003C64FC"/>
    <w:rsid w:val="003D10BE"/>
    <w:rsid w:val="003D220E"/>
    <w:rsid w:val="003D2260"/>
    <w:rsid w:val="003D2DBF"/>
    <w:rsid w:val="003D3739"/>
    <w:rsid w:val="003D4961"/>
    <w:rsid w:val="003D5A40"/>
    <w:rsid w:val="003E2A9B"/>
    <w:rsid w:val="003E3C11"/>
    <w:rsid w:val="003E4922"/>
    <w:rsid w:val="003E54AA"/>
    <w:rsid w:val="003E5D77"/>
    <w:rsid w:val="003E7B87"/>
    <w:rsid w:val="003F1F34"/>
    <w:rsid w:val="003F2C5C"/>
    <w:rsid w:val="003F330E"/>
    <w:rsid w:val="003F374D"/>
    <w:rsid w:val="003F4145"/>
    <w:rsid w:val="00400769"/>
    <w:rsid w:val="00401740"/>
    <w:rsid w:val="00402B41"/>
    <w:rsid w:val="004033E9"/>
    <w:rsid w:val="00410069"/>
    <w:rsid w:val="0041087B"/>
    <w:rsid w:val="004130CE"/>
    <w:rsid w:val="0041410D"/>
    <w:rsid w:val="00414284"/>
    <w:rsid w:val="00424DC7"/>
    <w:rsid w:val="0042667A"/>
    <w:rsid w:val="004277CA"/>
    <w:rsid w:val="00431BC1"/>
    <w:rsid w:val="00435A37"/>
    <w:rsid w:val="00441A20"/>
    <w:rsid w:val="004448AD"/>
    <w:rsid w:val="00451F6B"/>
    <w:rsid w:val="00455495"/>
    <w:rsid w:val="00455604"/>
    <w:rsid w:val="00455D3B"/>
    <w:rsid w:val="0046017C"/>
    <w:rsid w:val="004603D9"/>
    <w:rsid w:val="00460545"/>
    <w:rsid w:val="00460DE4"/>
    <w:rsid w:val="00463D9C"/>
    <w:rsid w:val="00466001"/>
    <w:rsid w:val="00471B85"/>
    <w:rsid w:val="00471C7B"/>
    <w:rsid w:val="00473356"/>
    <w:rsid w:val="00473892"/>
    <w:rsid w:val="00474902"/>
    <w:rsid w:val="00475540"/>
    <w:rsid w:val="00475FC7"/>
    <w:rsid w:val="00476455"/>
    <w:rsid w:val="00483AA0"/>
    <w:rsid w:val="00484312"/>
    <w:rsid w:val="004866C0"/>
    <w:rsid w:val="00490574"/>
    <w:rsid w:val="004908AF"/>
    <w:rsid w:val="00490CD6"/>
    <w:rsid w:val="00496030"/>
    <w:rsid w:val="00497F19"/>
    <w:rsid w:val="004A0387"/>
    <w:rsid w:val="004A1868"/>
    <w:rsid w:val="004A1C0F"/>
    <w:rsid w:val="004A2B06"/>
    <w:rsid w:val="004A31E7"/>
    <w:rsid w:val="004A474F"/>
    <w:rsid w:val="004A4C07"/>
    <w:rsid w:val="004A5133"/>
    <w:rsid w:val="004A72BA"/>
    <w:rsid w:val="004A7620"/>
    <w:rsid w:val="004B06DE"/>
    <w:rsid w:val="004B141E"/>
    <w:rsid w:val="004B2324"/>
    <w:rsid w:val="004C0902"/>
    <w:rsid w:val="004C3B18"/>
    <w:rsid w:val="004C3BD4"/>
    <w:rsid w:val="004C6290"/>
    <w:rsid w:val="004D24C0"/>
    <w:rsid w:val="004D2C16"/>
    <w:rsid w:val="004D3E85"/>
    <w:rsid w:val="004D5B49"/>
    <w:rsid w:val="004D789C"/>
    <w:rsid w:val="004E0952"/>
    <w:rsid w:val="004E0DE8"/>
    <w:rsid w:val="004E4783"/>
    <w:rsid w:val="004E585D"/>
    <w:rsid w:val="004F1174"/>
    <w:rsid w:val="004F58C6"/>
    <w:rsid w:val="0050052B"/>
    <w:rsid w:val="00504B89"/>
    <w:rsid w:val="005058D6"/>
    <w:rsid w:val="005064F9"/>
    <w:rsid w:val="00513ED9"/>
    <w:rsid w:val="00514567"/>
    <w:rsid w:val="00516360"/>
    <w:rsid w:val="005164D1"/>
    <w:rsid w:val="005178A4"/>
    <w:rsid w:val="00520748"/>
    <w:rsid w:val="00522C85"/>
    <w:rsid w:val="0052480E"/>
    <w:rsid w:val="0053246E"/>
    <w:rsid w:val="00532851"/>
    <w:rsid w:val="00532D46"/>
    <w:rsid w:val="0053383A"/>
    <w:rsid w:val="0053387D"/>
    <w:rsid w:val="0053771A"/>
    <w:rsid w:val="00550B46"/>
    <w:rsid w:val="0055151F"/>
    <w:rsid w:val="00551B09"/>
    <w:rsid w:val="00552851"/>
    <w:rsid w:val="005529C8"/>
    <w:rsid w:val="00554847"/>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49D0"/>
    <w:rsid w:val="005B537F"/>
    <w:rsid w:val="005B5789"/>
    <w:rsid w:val="005B6AB0"/>
    <w:rsid w:val="005C22ED"/>
    <w:rsid w:val="005C4F69"/>
    <w:rsid w:val="005C54AF"/>
    <w:rsid w:val="005D3CD0"/>
    <w:rsid w:val="005D3D37"/>
    <w:rsid w:val="005D5983"/>
    <w:rsid w:val="005D66D3"/>
    <w:rsid w:val="005E1289"/>
    <w:rsid w:val="005E2AEF"/>
    <w:rsid w:val="005E4555"/>
    <w:rsid w:val="005E7F28"/>
    <w:rsid w:val="005F12B7"/>
    <w:rsid w:val="005F5B01"/>
    <w:rsid w:val="005F5FB1"/>
    <w:rsid w:val="00601131"/>
    <w:rsid w:val="00601824"/>
    <w:rsid w:val="006024D4"/>
    <w:rsid w:val="00602C0B"/>
    <w:rsid w:val="0060547D"/>
    <w:rsid w:val="006119E8"/>
    <w:rsid w:val="00613CF5"/>
    <w:rsid w:val="00615E96"/>
    <w:rsid w:val="006172B4"/>
    <w:rsid w:val="00620987"/>
    <w:rsid w:val="00626019"/>
    <w:rsid w:val="00630AEA"/>
    <w:rsid w:val="00631CB9"/>
    <w:rsid w:val="00636BD8"/>
    <w:rsid w:val="00637ADB"/>
    <w:rsid w:val="006513CE"/>
    <w:rsid w:val="0065318F"/>
    <w:rsid w:val="00654ADD"/>
    <w:rsid w:val="00657194"/>
    <w:rsid w:val="00657F54"/>
    <w:rsid w:val="00663D89"/>
    <w:rsid w:val="006659BF"/>
    <w:rsid w:val="00665DCB"/>
    <w:rsid w:val="0066643B"/>
    <w:rsid w:val="00670C5E"/>
    <w:rsid w:val="00675D8A"/>
    <w:rsid w:val="00676893"/>
    <w:rsid w:val="00680869"/>
    <w:rsid w:val="00687A26"/>
    <w:rsid w:val="00691265"/>
    <w:rsid w:val="00694A00"/>
    <w:rsid w:val="00696D07"/>
    <w:rsid w:val="006A11DD"/>
    <w:rsid w:val="006A2BC5"/>
    <w:rsid w:val="006A6403"/>
    <w:rsid w:val="006A6713"/>
    <w:rsid w:val="006A78B7"/>
    <w:rsid w:val="006A7CB2"/>
    <w:rsid w:val="006B10FB"/>
    <w:rsid w:val="006B24AF"/>
    <w:rsid w:val="006B35AC"/>
    <w:rsid w:val="006B4E41"/>
    <w:rsid w:val="006B6A3D"/>
    <w:rsid w:val="006B7957"/>
    <w:rsid w:val="006C58DE"/>
    <w:rsid w:val="006C5D06"/>
    <w:rsid w:val="006C7CE9"/>
    <w:rsid w:val="006D1CE4"/>
    <w:rsid w:val="006D4CA4"/>
    <w:rsid w:val="006D64CF"/>
    <w:rsid w:val="006D76B4"/>
    <w:rsid w:val="006E16BA"/>
    <w:rsid w:val="006E27C5"/>
    <w:rsid w:val="006E37E2"/>
    <w:rsid w:val="006E54C5"/>
    <w:rsid w:val="006E57C1"/>
    <w:rsid w:val="006E5816"/>
    <w:rsid w:val="006E5B47"/>
    <w:rsid w:val="006E6487"/>
    <w:rsid w:val="006E6B75"/>
    <w:rsid w:val="006F19D0"/>
    <w:rsid w:val="006F2415"/>
    <w:rsid w:val="006F6039"/>
    <w:rsid w:val="006F63A9"/>
    <w:rsid w:val="00703304"/>
    <w:rsid w:val="00703B65"/>
    <w:rsid w:val="007060EB"/>
    <w:rsid w:val="007063A2"/>
    <w:rsid w:val="00721E06"/>
    <w:rsid w:val="00722098"/>
    <w:rsid w:val="0072290B"/>
    <w:rsid w:val="00732A91"/>
    <w:rsid w:val="00735936"/>
    <w:rsid w:val="00737663"/>
    <w:rsid w:val="007376DD"/>
    <w:rsid w:val="00737942"/>
    <w:rsid w:val="00737A7A"/>
    <w:rsid w:val="007445A1"/>
    <w:rsid w:val="00746254"/>
    <w:rsid w:val="0074671D"/>
    <w:rsid w:val="007509DE"/>
    <w:rsid w:val="00752A44"/>
    <w:rsid w:val="00753BD4"/>
    <w:rsid w:val="007550F5"/>
    <w:rsid w:val="00755FCA"/>
    <w:rsid w:val="00756B36"/>
    <w:rsid w:val="00760364"/>
    <w:rsid w:val="00760983"/>
    <w:rsid w:val="00765690"/>
    <w:rsid w:val="00767932"/>
    <w:rsid w:val="00771F5D"/>
    <w:rsid w:val="0077230C"/>
    <w:rsid w:val="00774EA6"/>
    <w:rsid w:val="00777CAC"/>
    <w:rsid w:val="00780555"/>
    <w:rsid w:val="007810FD"/>
    <w:rsid w:val="00785496"/>
    <w:rsid w:val="00786B0D"/>
    <w:rsid w:val="00793BA8"/>
    <w:rsid w:val="00794BAD"/>
    <w:rsid w:val="00794CF1"/>
    <w:rsid w:val="00794EB8"/>
    <w:rsid w:val="00795944"/>
    <w:rsid w:val="0079719E"/>
    <w:rsid w:val="007972D5"/>
    <w:rsid w:val="007A0175"/>
    <w:rsid w:val="007A01F5"/>
    <w:rsid w:val="007A4C17"/>
    <w:rsid w:val="007B3B83"/>
    <w:rsid w:val="007B3CF0"/>
    <w:rsid w:val="007B3E6D"/>
    <w:rsid w:val="007B7605"/>
    <w:rsid w:val="007C4BA1"/>
    <w:rsid w:val="007C618D"/>
    <w:rsid w:val="007C69C6"/>
    <w:rsid w:val="007C76D6"/>
    <w:rsid w:val="007D4971"/>
    <w:rsid w:val="007D4C08"/>
    <w:rsid w:val="007D590D"/>
    <w:rsid w:val="007D6819"/>
    <w:rsid w:val="007D6F8A"/>
    <w:rsid w:val="007D7842"/>
    <w:rsid w:val="007E0EE7"/>
    <w:rsid w:val="007E6255"/>
    <w:rsid w:val="007F1AA9"/>
    <w:rsid w:val="007F2FAC"/>
    <w:rsid w:val="007F445F"/>
    <w:rsid w:val="007F47A9"/>
    <w:rsid w:val="007F6E86"/>
    <w:rsid w:val="007F7D57"/>
    <w:rsid w:val="008021AF"/>
    <w:rsid w:val="00806ED8"/>
    <w:rsid w:val="00807368"/>
    <w:rsid w:val="00810B81"/>
    <w:rsid w:val="008116BE"/>
    <w:rsid w:val="00814908"/>
    <w:rsid w:val="00821656"/>
    <w:rsid w:val="00824735"/>
    <w:rsid w:val="0082670E"/>
    <w:rsid w:val="0082773C"/>
    <w:rsid w:val="00836196"/>
    <w:rsid w:val="00836996"/>
    <w:rsid w:val="00840B29"/>
    <w:rsid w:val="00841F6B"/>
    <w:rsid w:val="00842F20"/>
    <w:rsid w:val="00843734"/>
    <w:rsid w:val="00845326"/>
    <w:rsid w:val="0085139C"/>
    <w:rsid w:val="00851A56"/>
    <w:rsid w:val="00854FCA"/>
    <w:rsid w:val="00855823"/>
    <w:rsid w:val="00863520"/>
    <w:rsid w:val="00865C3A"/>
    <w:rsid w:val="00866827"/>
    <w:rsid w:val="00867F5C"/>
    <w:rsid w:val="008702E4"/>
    <w:rsid w:val="0087115F"/>
    <w:rsid w:val="00872CB9"/>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7A42"/>
    <w:rsid w:val="008B05C3"/>
    <w:rsid w:val="008B456E"/>
    <w:rsid w:val="008B5543"/>
    <w:rsid w:val="008B69CD"/>
    <w:rsid w:val="008C2096"/>
    <w:rsid w:val="008C2FBC"/>
    <w:rsid w:val="008C3B7A"/>
    <w:rsid w:val="008C565A"/>
    <w:rsid w:val="008C5DA7"/>
    <w:rsid w:val="008C60E7"/>
    <w:rsid w:val="008C70F7"/>
    <w:rsid w:val="008C710F"/>
    <w:rsid w:val="008D1F5A"/>
    <w:rsid w:val="008D474B"/>
    <w:rsid w:val="008D71D9"/>
    <w:rsid w:val="008D7671"/>
    <w:rsid w:val="008E011F"/>
    <w:rsid w:val="008E05AF"/>
    <w:rsid w:val="008E1B68"/>
    <w:rsid w:val="008E6367"/>
    <w:rsid w:val="008E6943"/>
    <w:rsid w:val="008F04C8"/>
    <w:rsid w:val="008F35E5"/>
    <w:rsid w:val="008F6CEF"/>
    <w:rsid w:val="0090008B"/>
    <w:rsid w:val="00900993"/>
    <w:rsid w:val="00907FFE"/>
    <w:rsid w:val="00910C7F"/>
    <w:rsid w:val="00911346"/>
    <w:rsid w:val="0091231B"/>
    <w:rsid w:val="0091386A"/>
    <w:rsid w:val="009208CC"/>
    <w:rsid w:val="0092134D"/>
    <w:rsid w:val="0092135A"/>
    <w:rsid w:val="0092451F"/>
    <w:rsid w:val="00924C76"/>
    <w:rsid w:val="0092606C"/>
    <w:rsid w:val="00927953"/>
    <w:rsid w:val="00930B31"/>
    <w:rsid w:val="009313F1"/>
    <w:rsid w:val="00931684"/>
    <w:rsid w:val="0093284A"/>
    <w:rsid w:val="009356B6"/>
    <w:rsid w:val="00943339"/>
    <w:rsid w:val="009458FF"/>
    <w:rsid w:val="00945DC4"/>
    <w:rsid w:val="00946D77"/>
    <w:rsid w:val="00947F36"/>
    <w:rsid w:val="00952E46"/>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2855"/>
    <w:rsid w:val="009B3EE8"/>
    <w:rsid w:val="009B4E2D"/>
    <w:rsid w:val="009B6EE1"/>
    <w:rsid w:val="009C09D8"/>
    <w:rsid w:val="009C3C7C"/>
    <w:rsid w:val="009C43D8"/>
    <w:rsid w:val="009C4EF5"/>
    <w:rsid w:val="009D4E4A"/>
    <w:rsid w:val="009D50C7"/>
    <w:rsid w:val="009E1BD3"/>
    <w:rsid w:val="009E43B7"/>
    <w:rsid w:val="009F1269"/>
    <w:rsid w:val="009F45DF"/>
    <w:rsid w:val="009F5E88"/>
    <w:rsid w:val="00A00A50"/>
    <w:rsid w:val="00A01908"/>
    <w:rsid w:val="00A02390"/>
    <w:rsid w:val="00A0536D"/>
    <w:rsid w:val="00A06AC5"/>
    <w:rsid w:val="00A07056"/>
    <w:rsid w:val="00A07A91"/>
    <w:rsid w:val="00A07F5B"/>
    <w:rsid w:val="00A13458"/>
    <w:rsid w:val="00A134BA"/>
    <w:rsid w:val="00A136BE"/>
    <w:rsid w:val="00A14A1F"/>
    <w:rsid w:val="00A15C43"/>
    <w:rsid w:val="00A16814"/>
    <w:rsid w:val="00A16C6B"/>
    <w:rsid w:val="00A22B8F"/>
    <w:rsid w:val="00A300F3"/>
    <w:rsid w:val="00A30B5F"/>
    <w:rsid w:val="00A327B9"/>
    <w:rsid w:val="00A3304F"/>
    <w:rsid w:val="00A3502A"/>
    <w:rsid w:val="00A35A12"/>
    <w:rsid w:val="00A42B35"/>
    <w:rsid w:val="00A46124"/>
    <w:rsid w:val="00A47B95"/>
    <w:rsid w:val="00A52EE1"/>
    <w:rsid w:val="00A565C7"/>
    <w:rsid w:val="00A56A7C"/>
    <w:rsid w:val="00A57B9F"/>
    <w:rsid w:val="00A6180E"/>
    <w:rsid w:val="00A66818"/>
    <w:rsid w:val="00A716B4"/>
    <w:rsid w:val="00A771D5"/>
    <w:rsid w:val="00A80BBA"/>
    <w:rsid w:val="00A81268"/>
    <w:rsid w:val="00A83143"/>
    <w:rsid w:val="00A90239"/>
    <w:rsid w:val="00A91FEC"/>
    <w:rsid w:val="00A93555"/>
    <w:rsid w:val="00A94F80"/>
    <w:rsid w:val="00AA1591"/>
    <w:rsid w:val="00AA1F18"/>
    <w:rsid w:val="00AA254B"/>
    <w:rsid w:val="00AA260B"/>
    <w:rsid w:val="00AB1553"/>
    <w:rsid w:val="00AC3478"/>
    <w:rsid w:val="00AC778D"/>
    <w:rsid w:val="00AD1D79"/>
    <w:rsid w:val="00AD3475"/>
    <w:rsid w:val="00AE0028"/>
    <w:rsid w:val="00AE1E9F"/>
    <w:rsid w:val="00AE4514"/>
    <w:rsid w:val="00AE6859"/>
    <w:rsid w:val="00AF10AD"/>
    <w:rsid w:val="00AF2FAF"/>
    <w:rsid w:val="00AF3A89"/>
    <w:rsid w:val="00AF50C5"/>
    <w:rsid w:val="00AF6655"/>
    <w:rsid w:val="00AF68D7"/>
    <w:rsid w:val="00AF7041"/>
    <w:rsid w:val="00AF7F90"/>
    <w:rsid w:val="00B063EB"/>
    <w:rsid w:val="00B06ECB"/>
    <w:rsid w:val="00B1655F"/>
    <w:rsid w:val="00B16951"/>
    <w:rsid w:val="00B17F1E"/>
    <w:rsid w:val="00B222E9"/>
    <w:rsid w:val="00B2370F"/>
    <w:rsid w:val="00B25407"/>
    <w:rsid w:val="00B32336"/>
    <w:rsid w:val="00B37953"/>
    <w:rsid w:val="00B401EC"/>
    <w:rsid w:val="00B41125"/>
    <w:rsid w:val="00B43A0A"/>
    <w:rsid w:val="00B43EEB"/>
    <w:rsid w:val="00B458BB"/>
    <w:rsid w:val="00B46D3B"/>
    <w:rsid w:val="00B471D6"/>
    <w:rsid w:val="00B50063"/>
    <w:rsid w:val="00B54A0D"/>
    <w:rsid w:val="00B54F29"/>
    <w:rsid w:val="00B60B2E"/>
    <w:rsid w:val="00B60E99"/>
    <w:rsid w:val="00B61961"/>
    <w:rsid w:val="00B61DD7"/>
    <w:rsid w:val="00B62AF3"/>
    <w:rsid w:val="00B70256"/>
    <w:rsid w:val="00B70ED0"/>
    <w:rsid w:val="00B712C8"/>
    <w:rsid w:val="00B74A8F"/>
    <w:rsid w:val="00B80FC7"/>
    <w:rsid w:val="00B82A84"/>
    <w:rsid w:val="00B85BEB"/>
    <w:rsid w:val="00B9038D"/>
    <w:rsid w:val="00B9223D"/>
    <w:rsid w:val="00B941FA"/>
    <w:rsid w:val="00B946CF"/>
    <w:rsid w:val="00B95851"/>
    <w:rsid w:val="00BA5BE8"/>
    <w:rsid w:val="00BA6729"/>
    <w:rsid w:val="00BB2656"/>
    <w:rsid w:val="00BC08F0"/>
    <w:rsid w:val="00BC14B1"/>
    <w:rsid w:val="00BC15A9"/>
    <w:rsid w:val="00BC1BA6"/>
    <w:rsid w:val="00BC2418"/>
    <w:rsid w:val="00BC351E"/>
    <w:rsid w:val="00BC4AAD"/>
    <w:rsid w:val="00BC6B8E"/>
    <w:rsid w:val="00BD41D4"/>
    <w:rsid w:val="00BD53F8"/>
    <w:rsid w:val="00BD7A74"/>
    <w:rsid w:val="00BE1240"/>
    <w:rsid w:val="00BE1999"/>
    <w:rsid w:val="00BE1C41"/>
    <w:rsid w:val="00BE4B3D"/>
    <w:rsid w:val="00BE5E82"/>
    <w:rsid w:val="00BF4AE6"/>
    <w:rsid w:val="00BF5501"/>
    <w:rsid w:val="00C02258"/>
    <w:rsid w:val="00C02595"/>
    <w:rsid w:val="00C031F4"/>
    <w:rsid w:val="00C04505"/>
    <w:rsid w:val="00C12F91"/>
    <w:rsid w:val="00C13FCC"/>
    <w:rsid w:val="00C163DC"/>
    <w:rsid w:val="00C16F12"/>
    <w:rsid w:val="00C17D2C"/>
    <w:rsid w:val="00C22D9F"/>
    <w:rsid w:val="00C247A0"/>
    <w:rsid w:val="00C31491"/>
    <w:rsid w:val="00C33B23"/>
    <w:rsid w:val="00C34CD9"/>
    <w:rsid w:val="00C36C94"/>
    <w:rsid w:val="00C45574"/>
    <w:rsid w:val="00C51E5A"/>
    <w:rsid w:val="00C530B7"/>
    <w:rsid w:val="00C55C48"/>
    <w:rsid w:val="00C57479"/>
    <w:rsid w:val="00C6205D"/>
    <w:rsid w:val="00C6242F"/>
    <w:rsid w:val="00C62CDC"/>
    <w:rsid w:val="00C64B88"/>
    <w:rsid w:val="00C66EF0"/>
    <w:rsid w:val="00C676FE"/>
    <w:rsid w:val="00C67B07"/>
    <w:rsid w:val="00C70D5C"/>
    <w:rsid w:val="00C770A1"/>
    <w:rsid w:val="00C8290A"/>
    <w:rsid w:val="00C91489"/>
    <w:rsid w:val="00C92D9B"/>
    <w:rsid w:val="00C934F8"/>
    <w:rsid w:val="00C96F3D"/>
    <w:rsid w:val="00CA47AB"/>
    <w:rsid w:val="00CA5C1D"/>
    <w:rsid w:val="00CA61F1"/>
    <w:rsid w:val="00CB3F5E"/>
    <w:rsid w:val="00CB44C4"/>
    <w:rsid w:val="00CB67C3"/>
    <w:rsid w:val="00CC111B"/>
    <w:rsid w:val="00CC265E"/>
    <w:rsid w:val="00CC59EA"/>
    <w:rsid w:val="00CD1309"/>
    <w:rsid w:val="00CD3D07"/>
    <w:rsid w:val="00CD58F3"/>
    <w:rsid w:val="00CE038B"/>
    <w:rsid w:val="00CE0640"/>
    <w:rsid w:val="00CE0A38"/>
    <w:rsid w:val="00CE28BA"/>
    <w:rsid w:val="00CE2BF9"/>
    <w:rsid w:val="00CE5942"/>
    <w:rsid w:val="00CE6B24"/>
    <w:rsid w:val="00CF250C"/>
    <w:rsid w:val="00CF25DF"/>
    <w:rsid w:val="00CF2978"/>
    <w:rsid w:val="00CF6357"/>
    <w:rsid w:val="00CF6D45"/>
    <w:rsid w:val="00D020A4"/>
    <w:rsid w:val="00D02768"/>
    <w:rsid w:val="00D135E3"/>
    <w:rsid w:val="00D13846"/>
    <w:rsid w:val="00D14D65"/>
    <w:rsid w:val="00D2242B"/>
    <w:rsid w:val="00D3216B"/>
    <w:rsid w:val="00D32AD9"/>
    <w:rsid w:val="00D3603C"/>
    <w:rsid w:val="00D37DF9"/>
    <w:rsid w:val="00D37F65"/>
    <w:rsid w:val="00D4102C"/>
    <w:rsid w:val="00D43A31"/>
    <w:rsid w:val="00D4668F"/>
    <w:rsid w:val="00D51D54"/>
    <w:rsid w:val="00D5578B"/>
    <w:rsid w:val="00D56DDA"/>
    <w:rsid w:val="00D57AA9"/>
    <w:rsid w:val="00D60D16"/>
    <w:rsid w:val="00D61AF7"/>
    <w:rsid w:val="00D7125F"/>
    <w:rsid w:val="00D714B3"/>
    <w:rsid w:val="00D768E7"/>
    <w:rsid w:val="00D770D9"/>
    <w:rsid w:val="00D80767"/>
    <w:rsid w:val="00D8091D"/>
    <w:rsid w:val="00D81A70"/>
    <w:rsid w:val="00D84C58"/>
    <w:rsid w:val="00D85234"/>
    <w:rsid w:val="00D87D54"/>
    <w:rsid w:val="00D91153"/>
    <w:rsid w:val="00DA02C6"/>
    <w:rsid w:val="00DA0708"/>
    <w:rsid w:val="00DA4ACB"/>
    <w:rsid w:val="00DB2A68"/>
    <w:rsid w:val="00DB6860"/>
    <w:rsid w:val="00DB6A2E"/>
    <w:rsid w:val="00DC27BE"/>
    <w:rsid w:val="00DC3582"/>
    <w:rsid w:val="00DC39DD"/>
    <w:rsid w:val="00DC506E"/>
    <w:rsid w:val="00DC5397"/>
    <w:rsid w:val="00DC6679"/>
    <w:rsid w:val="00DC6855"/>
    <w:rsid w:val="00DC6B8F"/>
    <w:rsid w:val="00DC794C"/>
    <w:rsid w:val="00DD0E16"/>
    <w:rsid w:val="00DD21D2"/>
    <w:rsid w:val="00DD246C"/>
    <w:rsid w:val="00DD3032"/>
    <w:rsid w:val="00DE052D"/>
    <w:rsid w:val="00DE077E"/>
    <w:rsid w:val="00DE23D1"/>
    <w:rsid w:val="00DE2CF2"/>
    <w:rsid w:val="00DE4413"/>
    <w:rsid w:val="00DE5079"/>
    <w:rsid w:val="00DE7D68"/>
    <w:rsid w:val="00DF03F7"/>
    <w:rsid w:val="00DF19DA"/>
    <w:rsid w:val="00DF1A1A"/>
    <w:rsid w:val="00DF2735"/>
    <w:rsid w:val="00DF30ED"/>
    <w:rsid w:val="00DF4106"/>
    <w:rsid w:val="00E00802"/>
    <w:rsid w:val="00E03129"/>
    <w:rsid w:val="00E03146"/>
    <w:rsid w:val="00E05CAD"/>
    <w:rsid w:val="00E05F04"/>
    <w:rsid w:val="00E1468D"/>
    <w:rsid w:val="00E15048"/>
    <w:rsid w:val="00E151B9"/>
    <w:rsid w:val="00E20F8E"/>
    <w:rsid w:val="00E21275"/>
    <w:rsid w:val="00E252FD"/>
    <w:rsid w:val="00E25945"/>
    <w:rsid w:val="00E27932"/>
    <w:rsid w:val="00E30752"/>
    <w:rsid w:val="00E30F76"/>
    <w:rsid w:val="00E31C19"/>
    <w:rsid w:val="00E31D9D"/>
    <w:rsid w:val="00E336EC"/>
    <w:rsid w:val="00E34E17"/>
    <w:rsid w:val="00E360FF"/>
    <w:rsid w:val="00E40C16"/>
    <w:rsid w:val="00E41D94"/>
    <w:rsid w:val="00E5101A"/>
    <w:rsid w:val="00E51F9B"/>
    <w:rsid w:val="00E53802"/>
    <w:rsid w:val="00E557F9"/>
    <w:rsid w:val="00E56C10"/>
    <w:rsid w:val="00E613E3"/>
    <w:rsid w:val="00E62FAC"/>
    <w:rsid w:val="00E649ED"/>
    <w:rsid w:val="00E64D90"/>
    <w:rsid w:val="00E71657"/>
    <w:rsid w:val="00E721E0"/>
    <w:rsid w:val="00E73357"/>
    <w:rsid w:val="00E82709"/>
    <w:rsid w:val="00E85322"/>
    <w:rsid w:val="00E90A16"/>
    <w:rsid w:val="00E9202D"/>
    <w:rsid w:val="00E940EE"/>
    <w:rsid w:val="00E9495F"/>
    <w:rsid w:val="00E95825"/>
    <w:rsid w:val="00E97D41"/>
    <w:rsid w:val="00EA342E"/>
    <w:rsid w:val="00EA3B57"/>
    <w:rsid w:val="00EB16D7"/>
    <w:rsid w:val="00EB2FBE"/>
    <w:rsid w:val="00EB55BD"/>
    <w:rsid w:val="00EC61EF"/>
    <w:rsid w:val="00ED7C2A"/>
    <w:rsid w:val="00EE61D4"/>
    <w:rsid w:val="00EF5169"/>
    <w:rsid w:val="00EF5B42"/>
    <w:rsid w:val="00F04890"/>
    <w:rsid w:val="00F048CF"/>
    <w:rsid w:val="00F04B2C"/>
    <w:rsid w:val="00F06560"/>
    <w:rsid w:val="00F07AFF"/>
    <w:rsid w:val="00F108F0"/>
    <w:rsid w:val="00F14F78"/>
    <w:rsid w:val="00F1511F"/>
    <w:rsid w:val="00F16892"/>
    <w:rsid w:val="00F231AA"/>
    <w:rsid w:val="00F235A9"/>
    <w:rsid w:val="00F34DBE"/>
    <w:rsid w:val="00F41ADC"/>
    <w:rsid w:val="00F45C80"/>
    <w:rsid w:val="00F507A8"/>
    <w:rsid w:val="00F52424"/>
    <w:rsid w:val="00F52873"/>
    <w:rsid w:val="00F52CDC"/>
    <w:rsid w:val="00F5415F"/>
    <w:rsid w:val="00F61C3E"/>
    <w:rsid w:val="00F6326D"/>
    <w:rsid w:val="00F63D4A"/>
    <w:rsid w:val="00F70A5A"/>
    <w:rsid w:val="00F73D33"/>
    <w:rsid w:val="00F746FE"/>
    <w:rsid w:val="00F751DA"/>
    <w:rsid w:val="00F80A23"/>
    <w:rsid w:val="00F812E3"/>
    <w:rsid w:val="00F82C62"/>
    <w:rsid w:val="00F82EF7"/>
    <w:rsid w:val="00F83775"/>
    <w:rsid w:val="00F83A39"/>
    <w:rsid w:val="00F841A9"/>
    <w:rsid w:val="00F941C3"/>
    <w:rsid w:val="00F95849"/>
    <w:rsid w:val="00F9754D"/>
    <w:rsid w:val="00FA11C8"/>
    <w:rsid w:val="00FA3B4B"/>
    <w:rsid w:val="00FA52A9"/>
    <w:rsid w:val="00FA7567"/>
    <w:rsid w:val="00FB1F12"/>
    <w:rsid w:val="00FB4D00"/>
    <w:rsid w:val="00FC0600"/>
    <w:rsid w:val="00FC22FA"/>
    <w:rsid w:val="00FC2625"/>
    <w:rsid w:val="00FC36BA"/>
    <w:rsid w:val="00FC7078"/>
    <w:rsid w:val="00FD291D"/>
    <w:rsid w:val="00FD3E43"/>
    <w:rsid w:val="00FE3A66"/>
    <w:rsid w:val="00FE3B4F"/>
    <w:rsid w:val="00FE40E1"/>
    <w:rsid w:val="00FE47EC"/>
    <w:rsid w:val="00FE4973"/>
    <w:rsid w:val="00FE797C"/>
    <w:rsid w:val="00FF111B"/>
    <w:rsid w:val="00FF4C2E"/>
    <w:rsid w:val="00FF7B93"/>
    <w:rsid w:val="038F73AB"/>
    <w:rsid w:val="03A77B30"/>
    <w:rsid w:val="048248F1"/>
    <w:rsid w:val="084E540B"/>
    <w:rsid w:val="093673DD"/>
    <w:rsid w:val="0B1F4E29"/>
    <w:rsid w:val="0BF56D61"/>
    <w:rsid w:val="0C1969E9"/>
    <w:rsid w:val="0C9C7485"/>
    <w:rsid w:val="0CE12BAF"/>
    <w:rsid w:val="0CE41EF6"/>
    <w:rsid w:val="0E3508B7"/>
    <w:rsid w:val="0E6062B8"/>
    <w:rsid w:val="0FED3846"/>
    <w:rsid w:val="10410FB7"/>
    <w:rsid w:val="10B94CED"/>
    <w:rsid w:val="10D30DCA"/>
    <w:rsid w:val="12930507"/>
    <w:rsid w:val="13421FD0"/>
    <w:rsid w:val="18526A30"/>
    <w:rsid w:val="1DB8181C"/>
    <w:rsid w:val="21B57ED5"/>
    <w:rsid w:val="21CF2955"/>
    <w:rsid w:val="22B77326"/>
    <w:rsid w:val="23495081"/>
    <w:rsid w:val="25D97EF1"/>
    <w:rsid w:val="267A00D1"/>
    <w:rsid w:val="27D348B3"/>
    <w:rsid w:val="282832E9"/>
    <w:rsid w:val="285E16FC"/>
    <w:rsid w:val="29481433"/>
    <w:rsid w:val="297D1B7F"/>
    <w:rsid w:val="2A466665"/>
    <w:rsid w:val="2BEB5C2F"/>
    <w:rsid w:val="2C9B6C76"/>
    <w:rsid w:val="2E241C21"/>
    <w:rsid w:val="2EAE2F89"/>
    <w:rsid w:val="2EAE76EB"/>
    <w:rsid w:val="2F467D6A"/>
    <w:rsid w:val="2F6A7056"/>
    <w:rsid w:val="30D8629D"/>
    <w:rsid w:val="325D30A7"/>
    <w:rsid w:val="328B0830"/>
    <w:rsid w:val="33782519"/>
    <w:rsid w:val="35DA204B"/>
    <w:rsid w:val="37682375"/>
    <w:rsid w:val="39864615"/>
    <w:rsid w:val="3A5E3DC6"/>
    <w:rsid w:val="3AFD75F3"/>
    <w:rsid w:val="3CE710AF"/>
    <w:rsid w:val="3EB52699"/>
    <w:rsid w:val="3EFF63B3"/>
    <w:rsid w:val="4157035C"/>
    <w:rsid w:val="41D53A02"/>
    <w:rsid w:val="426F528B"/>
    <w:rsid w:val="42FB3B3D"/>
    <w:rsid w:val="440D2D61"/>
    <w:rsid w:val="44260770"/>
    <w:rsid w:val="44294E40"/>
    <w:rsid w:val="45F22372"/>
    <w:rsid w:val="49E61524"/>
    <w:rsid w:val="4E825233"/>
    <w:rsid w:val="4F124CA2"/>
    <w:rsid w:val="4FC3409A"/>
    <w:rsid w:val="51B26AFC"/>
    <w:rsid w:val="52355D72"/>
    <w:rsid w:val="528E5CFF"/>
    <w:rsid w:val="56F02AE8"/>
    <w:rsid w:val="57E14F1A"/>
    <w:rsid w:val="59C8773D"/>
    <w:rsid w:val="5AD57D94"/>
    <w:rsid w:val="5CD46FF3"/>
    <w:rsid w:val="5CF55F56"/>
    <w:rsid w:val="5E2836FB"/>
    <w:rsid w:val="5E8D119F"/>
    <w:rsid w:val="5F332BBC"/>
    <w:rsid w:val="610973E5"/>
    <w:rsid w:val="61843D87"/>
    <w:rsid w:val="631413E7"/>
    <w:rsid w:val="63D15554"/>
    <w:rsid w:val="64EB5D2F"/>
    <w:rsid w:val="667C5B3B"/>
    <w:rsid w:val="66AF3CB2"/>
    <w:rsid w:val="67E84393"/>
    <w:rsid w:val="68AA0FD6"/>
    <w:rsid w:val="690F7427"/>
    <w:rsid w:val="69513E35"/>
    <w:rsid w:val="6AB21E8B"/>
    <w:rsid w:val="6AFE019A"/>
    <w:rsid w:val="6D7871D1"/>
    <w:rsid w:val="6D8D0ADF"/>
    <w:rsid w:val="6D923BA5"/>
    <w:rsid w:val="6DF23950"/>
    <w:rsid w:val="6E9E64C2"/>
    <w:rsid w:val="72DE7937"/>
    <w:rsid w:val="731D2F18"/>
    <w:rsid w:val="744B50A5"/>
    <w:rsid w:val="76A62EC7"/>
    <w:rsid w:val="789059CC"/>
    <w:rsid w:val="78BD4FD6"/>
    <w:rsid w:val="7B1032DC"/>
    <w:rsid w:val="7B2D7F68"/>
    <w:rsid w:val="7DDE2E51"/>
    <w:rsid w:val="7E3A6786"/>
    <w:rsid w:val="7ED94309"/>
    <w:rsid w:val="7F2D2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2">
    <w:name w:val="heading 2"/>
    <w:basedOn w:val="1"/>
    <w:next w:val="1"/>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56"/>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8"/>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172"/>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455"/>
      </w:tabs>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0"/>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66"/>
    <w:qFormat/>
    <w:uiPriority w:val="0"/>
    <w:rPr>
      <w:rFonts w:ascii="宋体" w:hAnsi="Courier New" w:cs="Courier New"/>
      <w:szCs w:val="21"/>
    </w:rPr>
  </w:style>
  <w:style w:type="paragraph" w:styleId="25">
    <w:name w:val="toc 8"/>
    <w:basedOn w:val="1"/>
    <w:next w:val="1"/>
    <w:unhideWhenUsed/>
    <w:qFormat/>
    <w:uiPriority w:val="0"/>
    <w:pPr>
      <w:ind w:left="1470"/>
      <w:jc w:val="left"/>
    </w:pPr>
    <w:rPr>
      <w:rFonts w:ascii="Calibri" w:hAnsi="Calibri"/>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link w:val="77"/>
    <w:qFormat/>
    <w:uiPriority w:val="99"/>
    <w:pPr>
      <w:tabs>
        <w:tab w:val="center" w:pos="4153"/>
        <w:tab w:val="right" w:pos="8306"/>
      </w:tabs>
      <w:snapToGrid w:val="0"/>
      <w:jc w:val="left"/>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unhideWhenUsed/>
    <w:qFormat/>
    <w:uiPriority w:val="0"/>
    <w:pPr>
      <w:ind w:left="630"/>
      <w:jc w:val="left"/>
    </w:pPr>
    <w:rPr>
      <w:rFonts w:ascii="Calibri" w:hAnsi="Calibri"/>
      <w:sz w:val="18"/>
      <w:szCs w:val="18"/>
    </w:rPr>
  </w:style>
  <w:style w:type="paragraph" w:styleId="33">
    <w:name w:val="List"/>
    <w:basedOn w:val="1"/>
    <w:qFormat/>
    <w:uiPriority w:val="0"/>
    <w:pPr>
      <w:ind w:left="200" w:hanging="200" w:hangingChars="200"/>
    </w:pPr>
    <w:rPr>
      <w:sz w:val="28"/>
    </w:rPr>
  </w:style>
  <w:style w:type="paragraph" w:styleId="34">
    <w:name w:val="toc 6"/>
    <w:basedOn w:val="1"/>
    <w:next w:val="1"/>
    <w:unhideWhenUsed/>
    <w:qFormat/>
    <w:uiPriority w:val="0"/>
    <w:pPr>
      <w:ind w:left="1050"/>
      <w:jc w:val="left"/>
    </w:pPr>
    <w:rPr>
      <w:rFonts w:ascii="Calibri" w:hAnsi="Calibri"/>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qFormat/>
    <w:uiPriority w:val="39"/>
    <w:pPr>
      <w:ind w:left="210"/>
      <w:jc w:val="left"/>
    </w:pPr>
    <w:rPr>
      <w:rFonts w:ascii="Calibri" w:hAnsi="Calibri"/>
      <w:smallCaps/>
      <w:sz w:val="20"/>
      <w:szCs w:val="20"/>
    </w:rPr>
  </w:style>
  <w:style w:type="paragraph" w:styleId="37">
    <w:name w:val="toc 9"/>
    <w:basedOn w:val="1"/>
    <w:next w:val="1"/>
    <w:unhideWhenUsed/>
    <w:qFormat/>
    <w:uiPriority w:val="0"/>
    <w:pPr>
      <w:ind w:left="1680"/>
      <w:jc w:val="left"/>
    </w:pPr>
    <w:rPr>
      <w:rFonts w:ascii="Calibri" w:hAnsi="Calibri"/>
      <w:sz w:val="18"/>
      <w:szCs w:val="18"/>
    </w:rPr>
  </w:style>
  <w:style w:type="paragraph" w:styleId="38">
    <w:name w:val="Body Text 2"/>
    <w:basedOn w:val="1"/>
    <w:qFormat/>
    <w:uiPriority w:val="0"/>
    <w:pPr>
      <w:spacing w:after="120" w:line="480" w:lineRule="auto"/>
    </w:pPr>
  </w:style>
  <w:style w:type="paragraph" w:styleId="39">
    <w:name w:val="Normal (Web)"/>
    <w:basedOn w:val="1"/>
    <w:link w:val="78"/>
    <w:qFormat/>
    <w:uiPriority w:val="0"/>
    <w:pPr>
      <w:widowControl/>
      <w:jc w:val="left"/>
    </w:pPr>
    <w:rPr>
      <w:rFonts w:ascii="宋体" w:hAnsi="宋体"/>
      <w:kern w:val="0"/>
      <w:sz w:val="24"/>
    </w:rPr>
  </w:style>
  <w:style w:type="paragraph" w:styleId="40">
    <w:name w:val="index 1"/>
    <w:basedOn w:val="1"/>
    <w:next w:val="1"/>
    <w:qFormat/>
    <w:uiPriority w:val="0"/>
    <w:pPr>
      <w:spacing w:line="400" w:lineRule="exact"/>
      <w:ind w:firstLine="420" w:firstLineChars="200"/>
    </w:pPr>
    <w:rPr>
      <w:rFonts w:ascii="宋体" w:hAnsi="Courier New"/>
      <w:b/>
      <w:szCs w:val="20"/>
    </w:rPr>
  </w:style>
  <w:style w:type="paragraph" w:styleId="41">
    <w:name w:val="Title"/>
    <w:basedOn w:val="1"/>
    <w:next w:val="1"/>
    <w:link w:val="75"/>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62"/>
    <w:qFormat/>
    <w:uiPriority w:val="0"/>
    <w:rPr>
      <w:rFonts w:ascii="宋体" w:hAnsi="Courier New"/>
      <w:szCs w:val="2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20"/>
    <w:rPr>
      <w:i/>
      <w:iCs/>
    </w:rPr>
  </w:style>
  <w:style w:type="character" w:styleId="49">
    <w:name w:val="HTML Definition"/>
    <w:qFormat/>
    <w:uiPriority w:val="0"/>
  </w:style>
  <w:style w:type="character" w:styleId="50">
    <w:name w:val="HTML Acronym"/>
    <w:basedOn w:val="45"/>
    <w:qFormat/>
    <w:uiPriority w:val="0"/>
  </w:style>
  <w:style w:type="character" w:styleId="51">
    <w:name w:val="HTML Variable"/>
    <w:qFormat/>
    <w:uiPriority w:val="0"/>
  </w:style>
  <w:style w:type="character" w:styleId="52">
    <w:name w:val="Hyperlink"/>
    <w:qFormat/>
    <w:uiPriority w:val="99"/>
    <w:rPr>
      <w:color w:val="333333"/>
      <w:u w:val="none"/>
    </w:rPr>
  </w:style>
  <w:style w:type="character" w:styleId="53">
    <w:name w:val="HTML Code"/>
    <w:qFormat/>
    <w:uiPriority w:val="0"/>
    <w:rPr>
      <w:rFonts w:ascii="Courier New" w:hAnsi="Courier New"/>
      <w:color w:val="505050"/>
      <w:sz w:val="24"/>
      <w:szCs w:val="24"/>
    </w:rPr>
  </w:style>
  <w:style w:type="character" w:styleId="54">
    <w:name w:val="annotation reference"/>
    <w:qFormat/>
    <w:uiPriority w:val="0"/>
    <w:rPr>
      <w:sz w:val="21"/>
      <w:szCs w:val="21"/>
    </w:rPr>
  </w:style>
  <w:style w:type="character" w:styleId="55">
    <w:name w:val="HTML Cite"/>
    <w:qFormat/>
    <w:uiPriority w:val="0"/>
  </w:style>
  <w:style w:type="character" w:customStyle="1" w:styleId="56">
    <w:name w:val="标题 4 Char"/>
    <w:link w:val="5"/>
    <w:qFormat/>
    <w:uiPriority w:val="0"/>
    <w:rPr>
      <w:rFonts w:ascii="Arial" w:hAnsi="Arial" w:eastAsia="黑体"/>
      <w:b/>
      <w:kern w:val="2"/>
      <w:sz w:val="28"/>
    </w:rPr>
  </w:style>
  <w:style w:type="character" w:customStyle="1" w:styleId="57">
    <w:name w:val="访问过的超链接"/>
    <w:qFormat/>
    <w:uiPriority w:val="0"/>
    <w:rPr>
      <w:color w:val="333333"/>
      <w:u w:val="none"/>
    </w:rPr>
  </w:style>
  <w:style w:type="character" w:customStyle="1" w:styleId="58">
    <w:name w:val="批注文字 Char"/>
    <w:link w:val="16"/>
    <w:qFormat/>
    <w:uiPriority w:val="0"/>
    <w:rPr>
      <w:kern w:val="2"/>
      <w:sz w:val="21"/>
      <w:szCs w:val="24"/>
      <w:lang w:bidi="ar-SA"/>
    </w:rPr>
  </w:style>
  <w:style w:type="character" w:customStyle="1" w:styleId="59">
    <w:name w:val="textcontents"/>
    <w:basedOn w:val="45"/>
    <w:qFormat/>
    <w:uiPriority w:val="0"/>
  </w:style>
  <w:style w:type="character" w:customStyle="1" w:styleId="60">
    <w:name w:val="页眉 Char"/>
    <w:link w:val="30"/>
    <w:qFormat/>
    <w:uiPriority w:val="99"/>
    <w:rPr>
      <w:rFonts w:eastAsia="宋体"/>
      <w:kern w:val="2"/>
      <w:sz w:val="18"/>
      <w:szCs w:val="18"/>
      <w:lang w:val="en-US" w:eastAsia="zh-CN" w:bidi="ar-SA"/>
    </w:rPr>
  </w:style>
  <w:style w:type="character" w:customStyle="1" w:styleId="61">
    <w:name w:val="Char Char2"/>
    <w:qFormat/>
    <w:uiPriority w:val="0"/>
    <w:rPr>
      <w:kern w:val="2"/>
      <w:sz w:val="21"/>
      <w:szCs w:val="24"/>
    </w:rPr>
  </w:style>
  <w:style w:type="character" w:customStyle="1" w:styleId="62">
    <w:name w:val="批注主题 Char"/>
    <w:link w:val="42"/>
    <w:qFormat/>
    <w:uiPriority w:val="0"/>
    <w:rPr>
      <w:rFonts w:ascii="宋体" w:hAnsi="Courier New" w:eastAsia="宋体"/>
      <w:kern w:val="2"/>
      <w:sz w:val="21"/>
      <w:lang w:val="en-US" w:eastAsia="zh-CN" w:bidi="ar-SA"/>
    </w:rPr>
  </w:style>
  <w:style w:type="character" w:customStyle="1" w:styleId="63">
    <w:name w:val="普通文字 Char Char1"/>
    <w:qFormat/>
    <w:uiPriority w:val="0"/>
    <w:rPr>
      <w:rFonts w:ascii="宋体" w:hAnsi="Courier New" w:eastAsia="宋体" w:cs="Courier New"/>
      <w:kern w:val="2"/>
      <w:sz w:val="21"/>
      <w:szCs w:val="21"/>
      <w:lang w:val="en-US" w:eastAsia="zh-CN" w:bidi="ar-SA"/>
    </w:rPr>
  </w:style>
  <w:style w:type="character" w:customStyle="1" w:styleId="64">
    <w:name w:val="case31"/>
    <w:qFormat/>
    <w:uiPriority w:val="0"/>
    <w:rPr>
      <w:rFonts w:hint="default"/>
      <w:sz w:val="21"/>
      <w:szCs w:val="21"/>
    </w:rPr>
  </w:style>
  <w:style w:type="character" w:customStyle="1" w:styleId="65">
    <w:name w:val="Char Char5"/>
    <w:qFormat/>
    <w:uiPriority w:val="0"/>
    <w:rPr>
      <w:rFonts w:eastAsia="宋体"/>
      <w:kern w:val="2"/>
      <w:sz w:val="21"/>
      <w:szCs w:val="24"/>
      <w:lang w:val="en-US" w:eastAsia="zh-CN" w:bidi="ar-SA"/>
    </w:rPr>
  </w:style>
  <w:style w:type="character" w:customStyle="1" w:styleId="66">
    <w:name w:val="纯文本 Char"/>
    <w:link w:val="24"/>
    <w:qFormat/>
    <w:uiPriority w:val="0"/>
    <w:rPr>
      <w:rFonts w:ascii="宋体" w:hAnsi="Courier New" w:eastAsia="宋体" w:cs="Courier New"/>
      <w:kern w:val="2"/>
      <w:sz w:val="21"/>
      <w:szCs w:val="21"/>
      <w:lang w:val="en-US" w:eastAsia="zh-CN" w:bidi="ar-SA"/>
    </w:rPr>
  </w:style>
  <w:style w:type="character" w:customStyle="1" w:styleId="67">
    <w:name w:val="无间隔 Char"/>
    <w:link w:val="68"/>
    <w:qFormat/>
    <w:uiPriority w:val="0"/>
    <w:rPr>
      <w:rFonts w:ascii="Calibri" w:hAnsi="Calibri" w:eastAsia="Times New Roman"/>
      <w:sz w:val="22"/>
      <w:szCs w:val="22"/>
      <w:lang w:val="en-US" w:eastAsia="zh-CN" w:bidi="ar-SA"/>
    </w:rPr>
  </w:style>
  <w:style w:type="paragraph" w:styleId="68">
    <w:name w:val="No Spacing"/>
    <w:link w:val="67"/>
    <w:qFormat/>
    <w:uiPriority w:val="0"/>
    <w:rPr>
      <w:rFonts w:ascii="Calibri" w:hAnsi="Calibri" w:eastAsia="Times New Roman" w:cs="Times New Roman"/>
      <w:sz w:val="22"/>
      <w:szCs w:val="22"/>
      <w:lang w:val="en-US" w:eastAsia="zh-CN" w:bidi="ar-SA"/>
    </w:rPr>
  </w:style>
  <w:style w:type="character" w:customStyle="1" w:styleId="69">
    <w:name w:val="lb1"/>
    <w:qFormat/>
    <w:uiPriority w:val="0"/>
    <w:rPr>
      <w:rFonts w:hint="default"/>
      <w:b/>
      <w:bCs/>
      <w:color w:val="0851A5"/>
      <w:sz w:val="27"/>
      <w:szCs w:val="27"/>
    </w:rPr>
  </w:style>
  <w:style w:type="character" w:customStyle="1" w:styleId="70">
    <w:name w:val="Char Char Char"/>
    <w:qFormat/>
    <w:uiPriority w:val="0"/>
    <w:rPr>
      <w:rFonts w:ascii="宋体" w: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szCs w:val="20"/>
      <w:u w:val="none"/>
    </w:rPr>
  </w:style>
  <w:style w:type="character" w:customStyle="1" w:styleId="72">
    <w:name w:val="search_content1"/>
    <w:qFormat/>
    <w:uiPriority w:val="0"/>
    <w:rPr>
      <w:sz w:val="20"/>
      <w:szCs w:val="20"/>
    </w:rPr>
  </w:style>
  <w:style w:type="character" w:customStyle="1" w:styleId="73">
    <w:name w:val="Char Char21"/>
    <w:qFormat/>
    <w:uiPriority w:val="0"/>
    <w:rPr>
      <w:rFonts w:ascii="宋体" w:hAnsi="宋体" w:eastAsia="宋体"/>
      <w:kern w:val="2"/>
      <w:sz w:val="21"/>
      <w:szCs w:val="24"/>
      <w:lang w:val="en-US" w:eastAsia="zh-CN" w:bidi="ar-SA"/>
    </w:rPr>
  </w:style>
  <w:style w:type="character" w:customStyle="1" w:styleId="74">
    <w:name w:val="apple-converted-space"/>
    <w:basedOn w:val="45"/>
    <w:qFormat/>
    <w:uiPriority w:val="0"/>
  </w:style>
  <w:style w:type="character" w:customStyle="1" w:styleId="75">
    <w:name w:val="标题 Char"/>
    <w:link w:val="41"/>
    <w:qFormat/>
    <w:uiPriority w:val="0"/>
    <w:rPr>
      <w:rFonts w:ascii="Cambria" w:hAnsi="Cambria" w:eastAsia="宋体"/>
      <w:b/>
      <w:bCs/>
      <w:kern w:val="2"/>
      <w:sz w:val="32"/>
      <w:szCs w:val="32"/>
      <w:lang w:val="en-US" w:eastAsia="zh-CN" w:bidi="ar-SA"/>
    </w:rPr>
  </w:style>
  <w:style w:type="character" w:customStyle="1" w:styleId="76">
    <w:name w:val="font31"/>
    <w:qFormat/>
    <w:uiPriority w:val="0"/>
    <w:rPr>
      <w:rFonts w:hint="eastAsia" w:ascii="宋体" w:hAnsi="宋体" w:eastAsia="宋体" w:cs="宋体"/>
      <w:color w:val="000000"/>
      <w:sz w:val="20"/>
      <w:szCs w:val="20"/>
      <w:u w:val="none"/>
    </w:rPr>
  </w:style>
  <w:style w:type="character" w:customStyle="1" w:styleId="77">
    <w:name w:val="页脚 Char"/>
    <w:basedOn w:val="45"/>
    <w:link w:val="29"/>
    <w:qFormat/>
    <w:uiPriority w:val="99"/>
    <w:rPr>
      <w:kern w:val="2"/>
      <w:sz w:val="18"/>
      <w:szCs w:val="18"/>
    </w:rPr>
  </w:style>
  <w:style w:type="character" w:customStyle="1" w:styleId="78">
    <w:name w:val="普通(网站) Char"/>
    <w:link w:val="39"/>
    <w:qFormat/>
    <w:locked/>
    <w:uiPriority w:val="0"/>
    <w:rPr>
      <w:rFonts w:ascii="宋体" w:hAnsi="宋体" w:cs="宋体"/>
      <w:sz w:val="24"/>
      <w:szCs w:val="24"/>
    </w:rPr>
  </w:style>
  <w:style w:type="paragraph" w:customStyle="1" w:styleId="79">
    <w:name w:val="表格"/>
    <w:basedOn w:val="1"/>
    <w:qFormat/>
    <w:uiPriority w:val="0"/>
    <w:pPr>
      <w:spacing w:line="400" w:lineRule="exact"/>
    </w:pPr>
    <w:rPr>
      <w:sz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1">
    <w:name w:val="正文段"/>
    <w:basedOn w:val="1"/>
    <w:qFormat/>
    <w:uiPriority w:val="0"/>
    <w:pPr>
      <w:widowControl/>
      <w:snapToGrid w:val="0"/>
      <w:spacing w:afterLines="50"/>
      <w:ind w:firstLine="200" w:firstLineChars="200"/>
    </w:pPr>
    <w:rPr>
      <w:kern w:val="0"/>
      <w:sz w:val="24"/>
      <w:szCs w:val="20"/>
    </w:rPr>
  </w:style>
  <w:style w:type="paragraph" w:customStyle="1" w:styleId="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5">
    <w:name w:val="14 Char Char Char Char Char Char Char Char Char Char Char Char"/>
    <w:basedOn w:val="1"/>
    <w:qFormat/>
    <w:uiPriority w:val="0"/>
    <w:pPr>
      <w:widowControl/>
      <w:spacing w:after="160" w:line="240" w:lineRule="exact"/>
      <w:jc w:val="left"/>
    </w:pPr>
  </w:style>
  <w:style w:type="paragraph" w:customStyle="1" w:styleId="86">
    <w:name w:val="正文首行缩进两字符"/>
    <w:basedOn w:val="1"/>
    <w:qFormat/>
    <w:uiPriority w:val="0"/>
    <w:pPr>
      <w:spacing w:line="360" w:lineRule="auto"/>
      <w:ind w:firstLine="200" w:firstLineChars="200"/>
    </w:pPr>
  </w:style>
  <w:style w:type="paragraph" w:customStyle="1" w:styleId="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2">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7">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0">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1">
    <w:name w:val="样式 首行缩进:  2 字符"/>
    <w:basedOn w:val="1"/>
    <w:qFormat/>
    <w:uiPriority w:val="0"/>
    <w:pPr>
      <w:spacing w:line="400" w:lineRule="exact"/>
      <w:ind w:firstLine="200" w:firstLineChars="200"/>
    </w:pPr>
    <w:rPr>
      <w:rFonts w:cs="宋体"/>
      <w:sz w:val="24"/>
    </w:rPr>
  </w:style>
  <w:style w:type="paragraph" w:customStyle="1" w:styleId="10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4">
    <w:name w:val="默认段落字体 Para Char"/>
    <w:basedOn w:val="1"/>
    <w:qFormat/>
    <w:uiPriority w:val="0"/>
    <w:pPr>
      <w:adjustRightInd w:val="0"/>
      <w:spacing w:line="360" w:lineRule="auto"/>
    </w:pPr>
    <w:rPr>
      <w:kern w:val="0"/>
      <w:sz w:val="24"/>
      <w:szCs w:val="20"/>
    </w:rPr>
  </w:style>
  <w:style w:type="paragraph" w:customStyle="1" w:styleId="105">
    <w:name w:val="p0"/>
    <w:basedOn w:val="1"/>
    <w:qFormat/>
    <w:uiPriority w:val="0"/>
    <w:pPr>
      <w:widowControl/>
    </w:pPr>
    <w:rPr>
      <w:kern w:val="0"/>
      <w:szCs w:val="21"/>
    </w:rPr>
  </w:style>
  <w:style w:type="paragraph" w:customStyle="1" w:styleId="106">
    <w:name w:val="Char Char Char Char Char Char"/>
    <w:basedOn w:val="1"/>
    <w:qFormat/>
    <w:uiPriority w:val="0"/>
  </w:style>
  <w:style w:type="paragraph" w:customStyle="1" w:styleId="107">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0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3">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5">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7">
    <w:name w:val="Char1"/>
    <w:basedOn w:val="1"/>
    <w:qFormat/>
    <w:uiPriority w:val="0"/>
    <w:rPr>
      <w:szCs w:val="21"/>
    </w:rPr>
  </w:style>
  <w:style w:type="paragraph" w:customStyle="1" w:styleId="118">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3">
    <w:name w:val="font10"/>
    <w:basedOn w:val="1"/>
    <w:qFormat/>
    <w:uiPriority w:val="0"/>
    <w:pPr>
      <w:widowControl/>
      <w:spacing w:before="100" w:beforeAutospacing="1" w:after="100" w:afterAutospacing="1"/>
      <w:jc w:val="left"/>
    </w:pPr>
    <w:rPr>
      <w:kern w:val="0"/>
      <w:sz w:val="20"/>
      <w:szCs w:val="20"/>
    </w:rPr>
  </w:style>
  <w:style w:type="paragraph" w:customStyle="1" w:styleId="124">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8">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Char"/>
    <w:basedOn w:val="15"/>
    <w:qFormat/>
    <w:uiPriority w:val="0"/>
    <w:pPr>
      <w:widowControl/>
      <w:ind w:firstLine="454"/>
      <w:jc w:val="left"/>
    </w:pPr>
    <w:rPr>
      <w:rFonts w:ascii="Tahoma" w:hAnsi="Tahoma" w:cs="宋体"/>
      <w:kern w:val="0"/>
      <w:sz w:val="24"/>
      <w:szCs w:val="20"/>
    </w:rPr>
  </w:style>
  <w:style w:type="paragraph" w:styleId="132">
    <w:name w:val="List Paragraph"/>
    <w:basedOn w:val="1"/>
    <w:qFormat/>
    <w:uiPriority w:val="34"/>
    <w:pPr>
      <w:ind w:firstLine="420" w:firstLineChars="200"/>
    </w:pPr>
  </w:style>
  <w:style w:type="paragraph" w:customStyle="1" w:styleId="133">
    <w:name w:val="列出段落1"/>
    <w:basedOn w:val="1"/>
    <w:qFormat/>
    <w:uiPriority w:val="0"/>
    <w:pPr>
      <w:ind w:firstLine="420" w:firstLineChars="200"/>
    </w:pPr>
    <w:rPr>
      <w:rFonts w:ascii="Calibri" w:hAnsi="Calibri"/>
      <w:szCs w:val="22"/>
    </w:rPr>
  </w:style>
  <w:style w:type="paragraph" w:customStyle="1" w:styleId="134">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13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39">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4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4">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4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1">
    <w:name w:val="font7"/>
    <w:basedOn w:val="1"/>
    <w:qFormat/>
    <w:uiPriority w:val="0"/>
    <w:pPr>
      <w:widowControl/>
      <w:spacing w:before="100" w:beforeAutospacing="1" w:after="100" w:afterAutospacing="1"/>
      <w:jc w:val="left"/>
    </w:pPr>
    <w:rPr>
      <w:kern w:val="0"/>
      <w:sz w:val="16"/>
      <w:szCs w:val="16"/>
    </w:rPr>
  </w:style>
  <w:style w:type="paragraph" w:customStyle="1" w:styleId="152">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6">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9">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1">
    <w:name w:val="Char Char6"/>
    <w:basedOn w:val="15"/>
    <w:qFormat/>
    <w:uiPriority w:val="0"/>
    <w:pPr>
      <w:widowControl/>
      <w:ind w:firstLine="454"/>
      <w:jc w:val="left"/>
    </w:pPr>
  </w:style>
  <w:style w:type="paragraph" w:customStyle="1" w:styleId="1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3">
    <w:name w:val="tdmpwh"/>
    <w:qFormat/>
    <w:uiPriority w:val="0"/>
  </w:style>
  <w:style w:type="character" w:customStyle="1" w:styleId="164">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5">
    <w:name w:val="Char Char4"/>
    <w:qFormat/>
    <w:uiPriority w:val="0"/>
    <w:rPr>
      <w:rFonts w:ascii="宋体" w:hAnsi="Courier New" w:eastAsia="宋体" w:cs="Courier New"/>
      <w:kern w:val="2"/>
      <w:sz w:val="21"/>
      <w:szCs w:val="21"/>
      <w:lang w:val="en-US" w:eastAsia="zh-CN" w:bidi="ar-SA"/>
    </w:rPr>
  </w:style>
  <w:style w:type="character" w:customStyle="1" w:styleId="166">
    <w:name w:val="Plain Text Char"/>
    <w:qFormat/>
    <w:locked/>
    <w:uiPriority w:val="0"/>
    <w:rPr>
      <w:rFonts w:ascii="宋体" w:hAnsi="Courier New" w:eastAsia="宋体" w:cs="Courier New"/>
      <w:kern w:val="2"/>
      <w:sz w:val="21"/>
      <w:szCs w:val="21"/>
      <w:lang w:val="en-US" w:eastAsia="zh-CN" w:bidi="ar-SA"/>
    </w:rPr>
  </w:style>
  <w:style w:type="character" w:customStyle="1" w:styleId="167">
    <w:name w:val="样式 body + 仿宋_GB2312 三号"/>
    <w:qFormat/>
    <w:uiPriority w:val="0"/>
    <w:rPr>
      <w:rFonts w:ascii="宋体" w:eastAsia="宋体"/>
      <w:kern w:val="0"/>
      <w:sz w:val="24"/>
      <w:szCs w:val="24"/>
      <w:lang w:val="en-US" w:eastAsia="zh-CN" w:bidi="ar-SA"/>
    </w:rPr>
  </w:style>
  <w:style w:type="character" w:customStyle="1" w:styleId="168">
    <w:name w:val="14"/>
    <w:basedOn w:val="45"/>
    <w:qFormat/>
    <w:uiPriority w:val="0"/>
  </w:style>
  <w:style w:type="paragraph" w:customStyle="1" w:styleId="169">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0">
    <w:name w:val="_Style 81"/>
    <w:basedOn w:val="15"/>
    <w:qFormat/>
    <w:uiPriority w:val="0"/>
    <w:pPr>
      <w:widowControl/>
      <w:ind w:firstLine="454"/>
      <w:jc w:val="left"/>
    </w:pPr>
  </w:style>
  <w:style w:type="paragraph" w:customStyle="1" w:styleId="171">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2">
    <w:name w:val="正文文本缩进 Char"/>
    <w:link w:val="19"/>
    <w:qFormat/>
    <w:uiPriority w:val="0"/>
    <w:rPr>
      <w:rFonts w:ascii="仿宋_GB2312" w:eastAsia="仿宋_GB2312"/>
      <w:kern w:val="2"/>
      <w:sz w:val="32"/>
    </w:rPr>
  </w:style>
  <w:style w:type="paragraph" w:customStyle="1" w:styleId="173">
    <w:name w:val="1"/>
    <w:basedOn w:val="1"/>
    <w:next w:val="24"/>
    <w:qFormat/>
    <w:uiPriority w:val="0"/>
    <w:rPr>
      <w:rFonts w:ascii="宋体" w:hAnsi="Courier New"/>
      <w:szCs w:val="20"/>
    </w:rPr>
  </w:style>
  <w:style w:type="character" w:customStyle="1" w:styleId="174">
    <w:name w:val="font21"/>
    <w:basedOn w:val="45"/>
    <w:qFormat/>
    <w:uiPriority w:val="0"/>
    <w:rPr>
      <w:rFonts w:hint="default" w:ascii="Tahoma" w:hAnsi="Tahoma" w:eastAsia="Tahoma" w:cs="Tahoma"/>
      <w:color w:val="000000"/>
      <w:sz w:val="22"/>
      <w:szCs w:val="22"/>
      <w:u w:val="none"/>
    </w:rPr>
  </w:style>
  <w:style w:type="character" w:customStyle="1" w:styleId="175">
    <w:name w:val="font0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93C4B-30CE-45FC-9892-DB6B484C03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5526</Words>
  <Characters>31502</Characters>
  <Lines>262</Lines>
  <Paragraphs>73</Paragraphs>
  <TotalTime>456</TotalTime>
  <ScaleCrop>false</ScaleCrop>
  <LinksUpToDate>false</LinksUpToDate>
  <CharactersWithSpaces>36955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2018-10-23T02:24:00Z</dcterms:created>
  <dc:creator>微软用户</dc:creator>
  <cp:lastModifiedBy>Lenovo</cp:lastModifiedBy>
  <cp:lastPrinted>2019-02-28T07:06:00Z</cp:lastPrinted>
  <dcterms:modified xsi:type="dcterms:W3CDTF">2020-11-15T14:02:56Z</dcterms:modified>
  <dc:title>竞争性谈判采购文件</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