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6"/>
          <w:szCs w:val="72"/>
        </w:rPr>
      </w:pPr>
      <w:r>
        <w:rPr>
          <w:rFonts w:hint="eastAsia" w:ascii="宋体" w:hAnsi="宋体"/>
          <w:b/>
          <w:sz w:val="56"/>
          <w:szCs w:val="72"/>
        </w:rPr>
        <w:t>南宁政府采购货物</w:t>
      </w:r>
    </w:p>
    <w:p>
      <w:pPr>
        <w:jc w:val="center"/>
        <w:rPr>
          <w:rFonts w:ascii="宋体" w:hAnsi="宋体"/>
          <w:b/>
          <w:sz w:val="58"/>
          <w:szCs w:val="72"/>
        </w:rPr>
      </w:pPr>
    </w:p>
    <w:p>
      <w:pPr>
        <w:rPr>
          <w:rFonts w:ascii="宋体" w:hAnsi="宋体"/>
          <w:b/>
          <w:sz w:val="84"/>
          <w:szCs w:val="84"/>
        </w:rPr>
      </w:pPr>
      <w:r>
        <w:rPr>
          <w:rFonts w:hint="eastAsia" w:ascii="宋体" w:hAnsi="宋体"/>
          <w:b/>
          <w:sz w:val="84"/>
          <w:szCs w:val="84"/>
        </w:rPr>
        <w:t>竞 争 性 谈 判 文 件</w:t>
      </w:r>
    </w:p>
    <w:p>
      <w:pPr>
        <w:jc w:val="center"/>
        <w:rPr>
          <w:rFonts w:ascii="宋体" w:hAnsi="宋体"/>
          <w:b/>
          <w:sz w:val="56"/>
          <w:szCs w:val="72"/>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tabs>
          <w:tab w:val="left" w:pos="5640"/>
        </w:tabs>
        <w:snapToGrid w:val="0"/>
        <w:spacing w:line="360" w:lineRule="auto"/>
        <w:ind w:left="907" w:leftChars="432" w:firstLine="542" w:firstLineChars="150"/>
        <w:rPr>
          <w:rFonts w:hAnsi="宋体"/>
          <w:b/>
          <w:bCs/>
          <w:sz w:val="36"/>
          <w:szCs w:val="36"/>
        </w:rPr>
      </w:pPr>
      <w:r>
        <w:rPr>
          <w:rFonts w:hint="eastAsia" w:hAnsi="宋体"/>
          <w:b/>
          <w:bCs/>
          <w:sz w:val="36"/>
          <w:szCs w:val="36"/>
        </w:rPr>
        <w:t>项目名称：励志学校监控增补</w:t>
      </w:r>
    </w:p>
    <w:p>
      <w:pPr>
        <w:pStyle w:val="24"/>
        <w:tabs>
          <w:tab w:val="left" w:pos="5640"/>
        </w:tabs>
        <w:snapToGrid w:val="0"/>
        <w:spacing w:line="360" w:lineRule="auto"/>
        <w:ind w:left="907" w:leftChars="432" w:firstLine="542" w:firstLineChars="150"/>
        <w:rPr>
          <w:rFonts w:hAnsi="宋体"/>
          <w:b/>
          <w:bCs/>
          <w:sz w:val="36"/>
          <w:szCs w:val="36"/>
        </w:rPr>
      </w:pPr>
      <w:r>
        <w:rPr>
          <w:rFonts w:hint="eastAsia" w:hAnsi="宋体"/>
          <w:b/>
          <w:bCs/>
          <w:sz w:val="36"/>
          <w:szCs w:val="36"/>
        </w:rPr>
        <w:t>项目编号：NNZC2020-J1-990372-JGJD</w:t>
      </w:r>
    </w:p>
    <w:p>
      <w:pPr>
        <w:pStyle w:val="24"/>
        <w:snapToGrid w:val="0"/>
        <w:ind w:firstLine="670" w:firstLineChars="196"/>
        <w:jc w:val="center"/>
        <w:rPr>
          <w:rFonts w:hAnsi="宋体"/>
          <w:bCs/>
          <w:w w:val="95"/>
          <w:sz w:val="36"/>
          <w:szCs w:val="36"/>
        </w:rPr>
      </w:pPr>
    </w:p>
    <w:p>
      <w:pPr>
        <w:pStyle w:val="24"/>
        <w:snapToGrid w:val="0"/>
        <w:ind w:firstLine="673" w:firstLineChars="196"/>
        <w:jc w:val="center"/>
        <w:rPr>
          <w:rFonts w:hAnsi="宋体"/>
          <w:b/>
          <w:bCs/>
          <w:w w:val="95"/>
          <w:sz w:val="36"/>
          <w:szCs w:val="36"/>
        </w:rPr>
      </w:pPr>
    </w:p>
    <w:p>
      <w:pPr>
        <w:pStyle w:val="24"/>
        <w:snapToGrid w:val="0"/>
        <w:ind w:firstLine="673" w:firstLineChars="196"/>
        <w:jc w:val="center"/>
        <w:rPr>
          <w:rFonts w:hAnsi="宋体"/>
          <w:b/>
          <w:bCs/>
          <w:w w:val="95"/>
          <w:sz w:val="36"/>
          <w:szCs w:val="36"/>
        </w:rPr>
      </w:pPr>
    </w:p>
    <w:p>
      <w:pPr>
        <w:pStyle w:val="24"/>
        <w:snapToGrid w:val="0"/>
        <w:spacing w:line="360" w:lineRule="auto"/>
        <w:ind w:firstLine="1068" w:firstLineChars="400"/>
        <w:jc w:val="left"/>
        <w:rPr>
          <w:rFonts w:hAnsi="宋体"/>
          <w:b/>
          <w:sz w:val="28"/>
          <w:szCs w:val="36"/>
          <w:u w:val="single"/>
        </w:rPr>
      </w:pPr>
      <w:r>
        <w:rPr>
          <w:rFonts w:hint="eastAsia" w:hAnsi="宋体"/>
          <w:b/>
          <w:bCs/>
          <w:w w:val="95"/>
          <w:sz w:val="28"/>
          <w:szCs w:val="36"/>
        </w:rPr>
        <w:t>采购单位：</w:t>
      </w:r>
      <w:r>
        <w:rPr>
          <w:rFonts w:hint="eastAsia" w:hAnsi="宋体"/>
          <w:b/>
          <w:bCs/>
          <w:w w:val="95"/>
          <w:sz w:val="28"/>
          <w:szCs w:val="36"/>
          <w:u w:val="single"/>
        </w:rPr>
        <w:t>南宁市励志专门学校</w:t>
      </w:r>
    </w:p>
    <w:p>
      <w:pPr>
        <w:pStyle w:val="24"/>
        <w:snapToGrid w:val="0"/>
        <w:spacing w:line="360" w:lineRule="auto"/>
        <w:ind w:firstLine="1068" w:firstLineChars="400"/>
        <w:jc w:val="left"/>
        <w:rPr>
          <w:rFonts w:hAnsi="宋体"/>
          <w:b/>
          <w:sz w:val="28"/>
          <w:szCs w:val="36"/>
          <w:u w:val="single"/>
        </w:rPr>
      </w:pPr>
      <w:r>
        <w:rPr>
          <w:rFonts w:hint="eastAsia" w:hAnsi="宋体"/>
          <w:b/>
          <w:bCs/>
          <w:w w:val="95"/>
          <w:sz w:val="28"/>
          <w:szCs w:val="36"/>
        </w:rPr>
        <w:t>代理机构：</w:t>
      </w:r>
      <w:r>
        <w:rPr>
          <w:rFonts w:hint="eastAsia" w:hAnsi="宋体"/>
          <w:b/>
          <w:bCs/>
          <w:sz w:val="28"/>
          <w:szCs w:val="36"/>
          <w:u w:val="single"/>
        </w:rPr>
        <w:t>广西建设工程机电设备招标中心有限公司</w:t>
      </w:r>
    </w:p>
    <w:p>
      <w:pPr>
        <w:pStyle w:val="24"/>
        <w:snapToGrid w:val="0"/>
        <w:spacing w:line="360" w:lineRule="auto"/>
        <w:ind w:firstLine="3857" w:firstLineChars="1372"/>
        <w:rPr>
          <w:rFonts w:hAnsi="宋体"/>
          <w:b/>
          <w:w w:val="95"/>
          <w:sz w:val="28"/>
          <w:szCs w:val="36"/>
        </w:rPr>
      </w:pPr>
      <w:r>
        <w:rPr>
          <w:rFonts w:hint="eastAsia" w:hAnsi="宋体"/>
          <w:b/>
          <w:sz w:val="28"/>
          <w:szCs w:val="36"/>
          <w:u w:val="single"/>
        </w:rPr>
        <w:t>2020</w:t>
      </w:r>
      <w:r>
        <w:rPr>
          <w:rFonts w:hint="eastAsia" w:hAnsi="宋体"/>
          <w:b/>
          <w:bCs/>
          <w:w w:val="95"/>
          <w:sz w:val="28"/>
          <w:szCs w:val="36"/>
        </w:rPr>
        <w:t>年</w:t>
      </w:r>
      <w:r>
        <w:rPr>
          <w:rFonts w:hint="eastAsia" w:hAnsi="宋体"/>
          <w:b/>
          <w:sz w:val="28"/>
          <w:szCs w:val="36"/>
          <w:u w:val="single"/>
        </w:rPr>
        <w:t>11</w:t>
      </w:r>
      <w:r>
        <w:rPr>
          <w:rFonts w:hint="eastAsia" w:hAnsi="宋体"/>
          <w:b/>
          <w:bCs/>
          <w:w w:val="95"/>
          <w:sz w:val="28"/>
          <w:szCs w:val="36"/>
        </w:rPr>
        <w:t>月</w:t>
      </w:r>
    </w:p>
    <w:p>
      <w:pPr>
        <w:widowControl/>
        <w:jc w:val="left"/>
        <w:rPr>
          <w:rFonts w:ascii="宋体" w:hAnsi="宋体" w:cs="Courier New"/>
          <w:b/>
          <w:sz w:val="44"/>
          <w:szCs w:val="44"/>
        </w:rPr>
      </w:pPr>
      <w:r>
        <w:rPr>
          <w:rFonts w:hAnsi="宋体"/>
          <w:b/>
          <w:sz w:val="44"/>
          <w:szCs w:val="44"/>
        </w:rPr>
        <w:br w:type="page"/>
      </w:r>
    </w:p>
    <w:p>
      <w:pPr>
        <w:pStyle w:val="24"/>
        <w:snapToGrid w:val="0"/>
        <w:spacing w:before="120" w:after="120" w:line="360" w:lineRule="auto"/>
        <w:jc w:val="center"/>
        <w:rPr>
          <w:rFonts w:hAnsi="宋体"/>
          <w:b/>
          <w:sz w:val="44"/>
          <w:szCs w:val="44"/>
        </w:rPr>
      </w:pPr>
      <w:r>
        <w:rPr>
          <w:rFonts w:hint="eastAsia" w:hAnsi="宋体"/>
          <w:b/>
          <w:sz w:val="44"/>
          <w:szCs w:val="44"/>
        </w:rPr>
        <w:t>目    录</w:t>
      </w:r>
    </w:p>
    <w:p>
      <w:pPr>
        <w:numPr>
          <w:ilvl w:val="0"/>
          <w:numId w:val="3"/>
        </w:numPr>
        <w:tabs>
          <w:tab w:val="left" w:pos="1275"/>
        </w:tabs>
        <w:spacing w:beforeLines="50" w:line="480" w:lineRule="exact"/>
        <w:rPr>
          <w:rFonts w:ascii="宋体" w:hAnsi="宋体"/>
          <w:b/>
          <w:sz w:val="30"/>
        </w:rPr>
      </w:pPr>
      <w:r>
        <w:rPr>
          <w:rFonts w:hint="eastAsia" w:ascii="宋体" w:hAnsi="宋体"/>
          <w:b/>
          <w:sz w:val="32"/>
          <w:szCs w:val="32"/>
        </w:rPr>
        <w:t>竞争性谈判</w:t>
      </w:r>
      <w:r>
        <w:rPr>
          <w:rFonts w:hint="eastAsia" w:ascii="宋体" w:hAnsi="宋体"/>
          <w:b/>
          <w:sz w:val="30"/>
        </w:rPr>
        <w:t>公告……………………………………2</w:t>
      </w:r>
    </w:p>
    <w:p>
      <w:pPr>
        <w:numPr>
          <w:ilvl w:val="0"/>
          <w:numId w:val="3"/>
        </w:numPr>
        <w:tabs>
          <w:tab w:val="left" w:pos="1275"/>
        </w:tabs>
        <w:spacing w:beforeLines="50" w:line="480" w:lineRule="exact"/>
        <w:rPr>
          <w:rFonts w:ascii="宋体" w:hAnsi="宋体"/>
          <w:b/>
          <w:sz w:val="30"/>
        </w:rPr>
      </w:pPr>
      <w:r>
        <w:rPr>
          <w:rFonts w:hint="eastAsia" w:ascii="宋体" w:hAnsi="宋体"/>
          <w:b/>
          <w:sz w:val="32"/>
          <w:szCs w:val="32"/>
        </w:rPr>
        <w:t>供应商人</w:t>
      </w:r>
      <w:r>
        <w:rPr>
          <w:rFonts w:hint="eastAsia" w:ascii="宋体" w:hAnsi="宋体"/>
          <w:b/>
          <w:sz w:val="30"/>
        </w:rPr>
        <w:t>须知………………………………………6</w:t>
      </w:r>
    </w:p>
    <w:p>
      <w:pPr>
        <w:numPr>
          <w:ilvl w:val="0"/>
          <w:numId w:val="3"/>
        </w:numPr>
        <w:tabs>
          <w:tab w:val="left" w:pos="1275"/>
        </w:tabs>
        <w:spacing w:beforeLines="50" w:line="480" w:lineRule="exact"/>
        <w:rPr>
          <w:rFonts w:ascii="宋体" w:hAnsi="宋体"/>
          <w:b/>
          <w:sz w:val="28"/>
          <w:szCs w:val="28"/>
        </w:rPr>
      </w:pPr>
      <w:r>
        <w:rPr>
          <w:rFonts w:hint="eastAsia" w:ascii="宋体" w:hAnsi="宋体"/>
          <w:b/>
          <w:sz w:val="30"/>
        </w:rPr>
        <w:t>项目需求……………………………………………23</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响应文件格式………………………………………3</w:t>
      </w:r>
      <w:r>
        <w:rPr>
          <w:rFonts w:hint="eastAsia" w:ascii="宋体" w:hAnsi="宋体"/>
          <w:b/>
          <w:sz w:val="30"/>
          <w:lang w:val="en-US" w:eastAsia="zh-CN"/>
        </w:rPr>
        <w:t>2</w:t>
      </w:r>
    </w:p>
    <w:p>
      <w:pPr>
        <w:numPr>
          <w:ilvl w:val="0"/>
          <w:numId w:val="3"/>
        </w:numPr>
        <w:tabs>
          <w:tab w:val="left" w:pos="1275"/>
        </w:tabs>
        <w:spacing w:beforeLines="50" w:line="480" w:lineRule="exact"/>
        <w:rPr>
          <w:rFonts w:ascii="宋体" w:hAnsi="宋体"/>
          <w:b/>
          <w:sz w:val="30"/>
          <w:szCs w:val="20"/>
        </w:rPr>
      </w:pPr>
      <w:r>
        <w:rPr>
          <w:rFonts w:hint="eastAsia" w:ascii="宋体" w:hAnsi="宋体"/>
          <w:b/>
          <w:sz w:val="30"/>
        </w:rPr>
        <w:t>合同主要条款………………………………………4</w:t>
      </w:r>
      <w:r>
        <w:rPr>
          <w:rFonts w:hint="eastAsia" w:ascii="宋体" w:hAnsi="宋体"/>
          <w:b/>
          <w:sz w:val="30"/>
          <w:lang w:val="en-US" w:eastAsia="zh-CN"/>
        </w:rPr>
        <w:t>5</w:t>
      </w:r>
      <w:bookmarkStart w:id="44" w:name="_GoBack"/>
      <w:bookmarkEnd w:id="44"/>
    </w:p>
    <w:p>
      <w:pPr>
        <w:numPr>
          <w:ilvl w:val="0"/>
          <w:numId w:val="3"/>
        </w:numPr>
        <w:tabs>
          <w:tab w:val="left" w:pos="1275"/>
        </w:tabs>
        <w:spacing w:beforeLines="50" w:line="480" w:lineRule="exact"/>
        <w:rPr>
          <w:rFonts w:ascii="宋体" w:hAnsi="宋体"/>
          <w:b/>
          <w:sz w:val="30"/>
        </w:rPr>
      </w:pPr>
      <w:r>
        <w:rPr>
          <w:rFonts w:hint="eastAsia" w:ascii="宋体" w:hAnsi="宋体"/>
          <w:b/>
          <w:sz w:val="30"/>
        </w:rPr>
        <w:t>评审办法及评审标准………………………………5</w:t>
      </w:r>
      <w:r>
        <w:rPr>
          <w:rFonts w:hint="eastAsia" w:ascii="宋体" w:hAnsi="宋体"/>
          <w:b/>
          <w:sz w:val="30"/>
          <w:lang w:val="en-US" w:eastAsia="zh-CN"/>
        </w:rPr>
        <w:t>2</w:t>
      </w:r>
    </w:p>
    <w:p>
      <w:pPr>
        <w:numPr>
          <w:ilvl w:val="0"/>
          <w:numId w:val="3"/>
        </w:numPr>
        <w:tabs>
          <w:tab w:val="left" w:pos="1275"/>
        </w:tabs>
        <w:spacing w:beforeLines="50" w:line="480" w:lineRule="exact"/>
        <w:rPr>
          <w:rFonts w:ascii="宋体" w:hAnsi="宋体"/>
          <w:b/>
          <w:sz w:val="30"/>
        </w:rPr>
      </w:pPr>
      <w:r>
        <w:rPr>
          <w:rFonts w:hint="eastAsia" w:ascii="宋体" w:hAnsi="宋体"/>
          <w:b/>
          <w:sz w:val="30"/>
        </w:rPr>
        <w:t>质疑书及投诉书格式………………………………5</w:t>
      </w:r>
      <w:r>
        <w:rPr>
          <w:rFonts w:hint="eastAsia" w:ascii="宋体" w:hAnsi="宋体"/>
          <w:b/>
          <w:sz w:val="30"/>
          <w:lang w:val="en-US" w:eastAsia="zh-CN"/>
        </w:rPr>
        <w:t>5</w:t>
      </w:r>
    </w:p>
    <w:p>
      <w:pPr>
        <w:spacing w:beforeLines="50" w:line="480" w:lineRule="exact"/>
        <w:rPr>
          <w:rFonts w:hint="eastAsia" w:ascii="宋体" w:hAnsi="宋体" w:eastAsia="宋体"/>
          <w:b/>
          <w:sz w:val="30"/>
          <w:lang w:eastAsia="zh-CN"/>
        </w:rPr>
      </w:pPr>
      <w:r>
        <w:rPr>
          <w:rFonts w:hint="eastAsia" w:ascii="宋体" w:hAnsi="宋体"/>
          <w:b/>
          <w:sz w:val="30"/>
        </w:rPr>
        <w:t>附件成交通知书格式………………………………6</w:t>
      </w:r>
      <w:r>
        <w:rPr>
          <w:rFonts w:hint="eastAsia" w:ascii="宋体" w:hAnsi="宋体"/>
          <w:b/>
          <w:sz w:val="30"/>
          <w:lang w:val="en-US" w:eastAsia="zh-CN"/>
        </w:rPr>
        <w:t>0</w:t>
      </w:r>
    </w:p>
    <w:p>
      <w:pPr>
        <w:pStyle w:val="24"/>
        <w:snapToGrid w:val="0"/>
        <w:spacing w:before="120" w:after="120" w:line="360" w:lineRule="auto"/>
        <w:ind w:firstLine="148" w:firstLineChars="49"/>
        <w:rPr>
          <w:rFonts w:hAnsi="宋体" w:cs="Times New Roman"/>
          <w:b/>
          <w:sz w:val="30"/>
          <w:szCs w:val="24"/>
        </w:rPr>
      </w:pPr>
    </w:p>
    <w:p>
      <w:pPr>
        <w:pStyle w:val="24"/>
        <w:snapToGrid w:val="0"/>
        <w:spacing w:before="120" w:after="120"/>
        <w:jc w:val="center"/>
        <w:outlineLvl w:val="0"/>
        <w:rPr>
          <w:rFonts w:hAnsi="宋体"/>
          <w:b/>
          <w:kern w:val="0"/>
          <w:sz w:val="24"/>
        </w:rPr>
      </w:pPr>
      <w:r>
        <w:rPr>
          <w:rFonts w:hAnsi="宋体"/>
          <w:b/>
          <w:kern w:val="0"/>
          <w:sz w:val="24"/>
        </w:rPr>
        <w:br w:type="page"/>
      </w: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kern w:val="0"/>
          <w:sz w:val="24"/>
        </w:rPr>
      </w:pPr>
    </w:p>
    <w:p>
      <w:pPr>
        <w:pStyle w:val="24"/>
        <w:snapToGrid w:val="0"/>
        <w:spacing w:before="120" w:after="120"/>
        <w:jc w:val="center"/>
        <w:outlineLvl w:val="0"/>
        <w:rPr>
          <w:rFonts w:hAnsi="宋体"/>
          <w:b/>
          <w:sz w:val="44"/>
          <w:szCs w:val="44"/>
        </w:rPr>
      </w:pPr>
      <w:r>
        <w:rPr>
          <w:rFonts w:hint="eastAsia" w:hAnsi="宋体"/>
          <w:b/>
          <w:sz w:val="44"/>
          <w:szCs w:val="44"/>
        </w:rPr>
        <w:t>第一章 竞争性谈判公告</w:t>
      </w:r>
    </w:p>
    <w:p>
      <w:pPr>
        <w:rPr>
          <w:rFonts w:ascii="宋体" w:hAnsi="宋体"/>
          <w:b/>
          <w:kern w:val="0"/>
          <w:sz w:val="24"/>
        </w:rPr>
      </w:pPr>
    </w:p>
    <w:p>
      <w:pPr>
        <w:jc w:val="center"/>
        <w:rPr>
          <w:rFonts w:ascii="宋体" w:hAnsi="宋体"/>
          <w:sz w:val="32"/>
          <w:szCs w:val="32"/>
        </w:rPr>
      </w:pPr>
    </w:p>
    <w:p>
      <w:pPr>
        <w:pStyle w:val="3"/>
        <w:tabs>
          <w:tab w:val="left" w:pos="0"/>
        </w:tabs>
        <w:autoSpaceDE w:val="0"/>
        <w:autoSpaceDN w:val="0"/>
        <w:adjustRightInd w:val="0"/>
        <w:spacing w:line="360" w:lineRule="auto"/>
        <w:jc w:val="center"/>
        <w:rPr>
          <w:rFonts w:ascii="华文中宋" w:hAnsi="华文中宋" w:eastAsia="华文中宋"/>
        </w:rPr>
      </w:pPr>
      <w:r>
        <w:rPr>
          <w:rFonts w:ascii="宋体" w:hAnsi="宋体"/>
          <w:sz w:val="32"/>
          <w:szCs w:val="32"/>
        </w:rPr>
        <w:br w:type="page"/>
      </w:r>
      <w:bookmarkStart w:id="0" w:name="_Toc35393797"/>
      <w:bookmarkStart w:id="1" w:name="_Toc28359011"/>
      <w:r>
        <w:rPr>
          <w:rFonts w:hint="eastAsia" w:ascii="华文中宋" w:hAnsi="华文中宋" w:eastAsia="华文中宋"/>
          <w:sz w:val="40"/>
          <w:szCs w:val="144"/>
        </w:rPr>
        <w:t>竞争性谈判公告</w:t>
      </w:r>
      <w:bookmarkEnd w:id="0"/>
      <w:bookmarkEnd w:id="1"/>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pPr>
      <w:r>
        <w:rPr>
          <w:rFonts w:hint="eastAsia" w:ascii="仿宋" w:hAnsi="仿宋" w:eastAsia="仿宋"/>
          <w:sz w:val="28"/>
          <w:szCs w:val="28"/>
          <w:u w:val="single"/>
        </w:rPr>
        <w:t>励志学校监控增补</w:t>
      </w:r>
      <w:r>
        <w:rPr>
          <w:rFonts w:hint="eastAsia" w:ascii="仿宋" w:hAnsi="仿宋" w:eastAsia="仿宋"/>
          <w:sz w:val="28"/>
          <w:szCs w:val="28"/>
        </w:rPr>
        <w:t>采购项目的潜在供应商应在</w:t>
      </w:r>
      <w:r>
        <w:rPr>
          <w:rFonts w:hint="eastAsia" w:ascii="仿宋" w:hAnsi="仿宋" w:eastAsia="仿宋"/>
          <w:sz w:val="28"/>
          <w:szCs w:val="28"/>
          <w:u w:val="single"/>
        </w:rPr>
        <w:t>南宁市公共资源交易中心网站（网址：</w:t>
      </w:r>
      <w:r>
        <w:fldChar w:fldCharType="begin"/>
      </w:r>
      <w:r>
        <w:instrText xml:space="preserve"> HYPERLINK "http://www.nnggzy.org.cn）获取采购文件，并于2020年" </w:instrText>
      </w:r>
      <w:r>
        <w:fldChar w:fldCharType="separate"/>
      </w:r>
      <w:r>
        <w:rPr>
          <w:rStyle w:val="52"/>
          <w:rFonts w:hint="eastAsia" w:ascii="仿宋" w:hAnsi="仿宋" w:eastAsia="仿宋"/>
          <w:sz w:val="28"/>
          <w:szCs w:val="28"/>
        </w:rPr>
        <w:t>www.nnggzy.org.cn）获取采购文件，并于2020</w:t>
      </w:r>
      <w:r>
        <w:rPr>
          <w:rStyle w:val="52"/>
          <w:rFonts w:hint="eastAsia" w:ascii="仿宋" w:hAnsi="仿宋" w:eastAsia="仿宋"/>
          <w:bCs/>
          <w:sz w:val="28"/>
          <w:szCs w:val="28"/>
        </w:rPr>
        <w:t>年</w:t>
      </w:r>
      <w:r>
        <w:rPr>
          <w:rStyle w:val="52"/>
          <w:rFonts w:hint="eastAsia" w:ascii="仿宋" w:hAnsi="仿宋" w:eastAsia="仿宋"/>
          <w:bCs/>
          <w:sz w:val="28"/>
          <w:szCs w:val="28"/>
        </w:rPr>
        <w:fldChar w:fldCharType="end"/>
      </w:r>
      <w:r>
        <w:rPr>
          <w:rStyle w:val="52"/>
          <w:rFonts w:hint="eastAsia" w:ascii="仿宋" w:hAnsi="仿宋" w:eastAsia="仿宋"/>
          <w:bCs/>
          <w:sz w:val="28"/>
          <w:szCs w:val="28"/>
          <w:u w:val="single"/>
        </w:rPr>
        <w:t>11</w:t>
      </w:r>
      <w:r>
        <w:rPr>
          <w:rFonts w:hint="eastAsia" w:ascii="仿宋" w:hAnsi="仿宋" w:eastAsia="仿宋"/>
          <w:bCs/>
          <w:sz w:val="28"/>
          <w:szCs w:val="28"/>
          <w:u w:val="single"/>
        </w:rPr>
        <w:t>月20日13点00分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Style w:val="2"/>
        <w:spacing w:line="400" w:lineRule="exact"/>
        <w:rPr>
          <w:rFonts w:ascii="黑体" w:hAnsi="黑体" w:cs="宋体"/>
          <w:b w:val="0"/>
          <w:sz w:val="28"/>
          <w:szCs w:val="28"/>
        </w:rPr>
      </w:pPr>
      <w:bookmarkStart w:id="2" w:name="_Toc35393798"/>
      <w:bookmarkStart w:id="3" w:name="_Toc28359089"/>
      <w:bookmarkStart w:id="4" w:name="_Toc35393629"/>
      <w:bookmarkStart w:id="5" w:name="_Toc28359012"/>
      <w:r>
        <w:rPr>
          <w:rFonts w:hint="eastAsia" w:ascii="黑体" w:hAnsi="黑体" w:cs="宋体"/>
          <w:b w:val="0"/>
          <w:sz w:val="28"/>
          <w:szCs w:val="28"/>
        </w:rPr>
        <w:t>一、项目基本情况</w:t>
      </w:r>
      <w:bookmarkEnd w:id="2"/>
      <w:bookmarkEnd w:id="3"/>
      <w:bookmarkEnd w:id="4"/>
      <w:bookmarkEnd w:id="5"/>
    </w:p>
    <w:p>
      <w:pPr>
        <w:spacing w:line="400" w:lineRule="exact"/>
        <w:ind w:firstLine="560" w:firstLineChars="200"/>
        <w:rPr>
          <w:rFonts w:ascii="仿宋" w:hAnsi="仿宋" w:eastAsia="仿宋"/>
          <w:sz w:val="28"/>
          <w:szCs w:val="28"/>
        </w:rPr>
      </w:pPr>
      <w:r>
        <w:rPr>
          <w:rFonts w:hint="eastAsia" w:ascii="仿宋" w:hAnsi="仿宋" w:eastAsia="仿宋"/>
          <w:sz w:val="28"/>
          <w:szCs w:val="28"/>
        </w:rPr>
        <w:t>项目编号：NNZC2020-J1-990372-JGJD</w:t>
      </w:r>
    </w:p>
    <w:p>
      <w:pPr>
        <w:spacing w:line="400" w:lineRule="exact"/>
        <w:ind w:firstLine="560" w:firstLineChars="200"/>
        <w:rPr>
          <w:rFonts w:ascii="仿宋" w:hAnsi="仿宋" w:eastAsia="仿宋"/>
          <w:sz w:val="28"/>
          <w:szCs w:val="28"/>
          <w:u w:val="single"/>
        </w:rPr>
      </w:pPr>
      <w:r>
        <w:rPr>
          <w:rFonts w:hint="eastAsia" w:ascii="仿宋" w:hAnsi="仿宋" w:eastAsia="仿宋"/>
          <w:sz w:val="28"/>
          <w:szCs w:val="28"/>
        </w:rPr>
        <w:t>项目名称：励志学校监控增补</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采购方式：竞争性谈判</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预算金额：15万元</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最高限价：15万元</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采购需求：监控设备一批，详见采购文件。</w:t>
      </w:r>
    </w:p>
    <w:p>
      <w:pPr>
        <w:spacing w:line="400" w:lineRule="exact"/>
        <w:ind w:firstLine="560" w:firstLineChars="200"/>
        <w:rPr>
          <w:rFonts w:ascii="仿宋" w:hAnsi="仿宋" w:eastAsia="仿宋"/>
          <w:sz w:val="28"/>
          <w:szCs w:val="28"/>
          <w:u w:val="single"/>
        </w:rPr>
      </w:pPr>
      <w:r>
        <w:rPr>
          <w:rFonts w:hint="eastAsia" w:ascii="仿宋" w:hAnsi="仿宋" w:eastAsia="仿宋"/>
          <w:sz w:val="28"/>
          <w:szCs w:val="28"/>
        </w:rPr>
        <w:t>合同履行期限：自合同签订之日起7天内全部系统安装完毕并验收完成。</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本项目不接受联合体。</w:t>
      </w:r>
    </w:p>
    <w:p>
      <w:pPr>
        <w:pStyle w:val="2"/>
        <w:spacing w:line="400" w:lineRule="exact"/>
        <w:rPr>
          <w:rFonts w:ascii="黑体" w:hAnsi="黑体" w:cs="宋体"/>
          <w:b w:val="0"/>
          <w:sz w:val="28"/>
          <w:szCs w:val="28"/>
        </w:rPr>
      </w:pPr>
      <w:bookmarkStart w:id="6" w:name="_Toc35393630"/>
      <w:bookmarkStart w:id="7" w:name="_Toc28359090"/>
      <w:bookmarkStart w:id="8" w:name="_Toc35393799"/>
      <w:bookmarkStart w:id="9" w:name="_Toc28359013"/>
      <w:r>
        <w:rPr>
          <w:rFonts w:hint="eastAsia" w:ascii="黑体" w:hAnsi="黑体" w:cs="宋体"/>
          <w:b w:val="0"/>
          <w:sz w:val="28"/>
          <w:szCs w:val="28"/>
        </w:rPr>
        <w:t>二、申请人的资格要求：</w:t>
      </w:r>
      <w:bookmarkEnd w:id="6"/>
      <w:bookmarkEnd w:id="7"/>
      <w:bookmarkEnd w:id="8"/>
      <w:bookmarkEnd w:id="9"/>
    </w:p>
    <w:p>
      <w:pPr>
        <w:spacing w:line="400" w:lineRule="exact"/>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spacing w:line="400" w:lineRule="exact"/>
        <w:ind w:firstLine="560" w:firstLineChars="200"/>
        <w:rPr>
          <w:rFonts w:ascii="仿宋" w:hAnsi="仿宋" w:eastAsia="仿宋"/>
          <w:sz w:val="28"/>
          <w:szCs w:val="28"/>
        </w:rPr>
      </w:pPr>
      <w:bookmarkStart w:id="10" w:name="_Toc28359014"/>
      <w:bookmarkStart w:id="11" w:name="_Toc28359091"/>
      <w:r>
        <w:rPr>
          <w:rFonts w:hint="eastAsia" w:ascii="仿宋" w:hAnsi="仿宋" w:eastAsia="仿宋"/>
          <w:sz w:val="28"/>
          <w:szCs w:val="28"/>
        </w:rPr>
        <w:t>2.国内注册，生产或经营本次采购货物的供应商。</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3.参加政府采购活动前3年内在经营活动中没有重大违法记录(提供书面声明)。</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5.落实政府采购政策需满足的资格要求：本项目需要落实的政府采购政策：《政府采购促进中小企业发展暂行办法》（财库[2011]181号）、《关于政府采购支持监狱企业发展有关问题的通知》(财库[2014]68号)、《关于促进残疾人就业政府采购政策的通知》(财库〔2017〕141号)，广西壮族自治区人民政府办公厅关于印发2020 年广西优化营商环境百日攻坚行动方案的通知（桂政办发〔2020〕59 号），评审时残疾人福利性单位、小型和微型企业产品的价格给予10%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pStyle w:val="2"/>
        <w:numPr>
          <w:ilvl w:val="0"/>
          <w:numId w:val="4"/>
        </w:numPr>
        <w:spacing w:line="400" w:lineRule="exact"/>
        <w:rPr>
          <w:rFonts w:ascii="黑体" w:hAnsi="黑体" w:cs="宋体"/>
          <w:b w:val="0"/>
          <w:sz w:val="28"/>
          <w:szCs w:val="28"/>
        </w:rPr>
      </w:pPr>
      <w:bookmarkStart w:id="12" w:name="_Toc35393631"/>
      <w:bookmarkStart w:id="13" w:name="_Toc35393800"/>
      <w:r>
        <w:rPr>
          <w:rFonts w:hint="eastAsia" w:ascii="黑体" w:hAnsi="黑体" w:cs="宋体"/>
          <w:b w:val="0"/>
          <w:sz w:val="28"/>
          <w:szCs w:val="28"/>
        </w:rPr>
        <w:t>获取采购文件</w:t>
      </w:r>
      <w:bookmarkEnd w:id="10"/>
      <w:bookmarkEnd w:id="11"/>
      <w:bookmarkEnd w:id="12"/>
      <w:bookmarkEnd w:id="13"/>
      <w:bookmarkStart w:id="14" w:name="_Toc35393632"/>
      <w:bookmarkStart w:id="15" w:name="_Toc35393801"/>
      <w:bookmarkStart w:id="16" w:name="_Toc28359015"/>
      <w:bookmarkStart w:id="17" w:name="_Toc28359092"/>
    </w:p>
    <w:p>
      <w:pPr>
        <w:pStyle w:val="2"/>
        <w:spacing w:line="400" w:lineRule="exact"/>
        <w:ind w:firstLine="560" w:firstLineChars="200"/>
        <w:rPr>
          <w:rFonts w:ascii="仿宋" w:hAnsi="仿宋" w:eastAsia="仿宋"/>
          <w:b w:val="0"/>
          <w:bCs w:val="0"/>
          <w:sz w:val="28"/>
          <w:szCs w:val="28"/>
        </w:rPr>
      </w:pPr>
      <w:r>
        <w:rPr>
          <w:rFonts w:hint="eastAsia" w:ascii="仿宋" w:hAnsi="仿宋" w:eastAsia="仿宋"/>
          <w:b w:val="0"/>
          <w:bCs w:val="0"/>
          <w:sz w:val="28"/>
          <w:szCs w:val="28"/>
        </w:rPr>
        <w:t xml:space="preserve">网上下载。本项目不发放纸质文件，供应商可登陆南宁市公共资源交易中心网站（网址：www.nnggzy.org.cn），在南宁市公共资源交易中心或各分支机构的采购公告栏内查找相关项目的采购公告，并点击该公告的附件，即可免费浏览或下载项目的采购文件。 </w:t>
      </w:r>
    </w:p>
    <w:p>
      <w:pPr>
        <w:pStyle w:val="2"/>
        <w:spacing w:line="400" w:lineRule="exact"/>
        <w:rPr>
          <w:rFonts w:ascii="黑体" w:hAnsi="黑体" w:cs="宋体"/>
          <w:b w:val="0"/>
          <w:sz w:val="28"/>
          <w:szCs w:val="28"/>
        </w:rPr>
      </w:pPr>
      <w:r>
        <w:rPr>
          <w:rFonts w:hint="eastAsia" w:ascii="黑体" w:hAnsi="黑体" w:cs="宋体"/>
          <w:b w:val="0"/>
          <w:sz w:val="28"/>
          <w:szCs w:val="28"/>
        </w:rPr>
        <w:t>四、响应文件提交</w:t>
      </w:r>
      <w:bookmarkEnd w:id="14"/>
      <w:bookmarkEnd w:id="15"/>
      <w:bookmarkEnd w:id="16"/>
      <w:bookmarkEnd w:id="17"/>
    </w:p>
    <w:p>
      <w:pPr>
        <w:spacing w:line="400" w:lineRule="exact"/>
        <w:ind w:firstLine="560" w:firstLineChars="200"/>
        <w:rPr>
          <w:rFonts w:ascii="仿宋" w:hAnsi="仿宋" w:eastAsia="仿宋"/>
          <w:bCs/>
          <w:sz w:val="28"/>
          <w:szCs w:val="28"/>
          <w:highlight w:val="none"/>
        </w:rPr>
      </w:pPr>
      <w:r>
        <w:rPr>
          <w:rFonts w:hint="eastAsia" w:ascii="仿宋" w:hAnsi="仿宋" w:eastAsia="仿宋"/>
          <w:sz w:val="28"/>
          <w:szCs w:val="28"/>
          <w:highlight w:val="none"/>
        </w:rPr>
        <w:t>截止时间：</w:t>
      </w:r>
      <w:r>
        <w:rPr>
          <w:rFonts w:hint="eastAsia" w:ascii="仿宋" w:hAnsi="仿宋" w:eastAsia="仿宋"/>
          <w:sz w:val="28"/>
          <w:szCs w:val="28"/>
          <w:highlight w:val="none"/>
          <w:u w:val="single"/>
        </w:rPr>
        <w:t>2020</w:t>
      </w:r>
      <w:r>
        <w:rPr>
          <w:rFonts w:hint="eastAsia" w:ascii="仿宋" w:hAnsi="仿宋" w:eastAsia="仿宋"/>
          <w:bCs/>
          <w:sz w:val="28"/>
          <w:szCs w:val="28"/>
          <w:highlight w:val="none"/>
          <w:u w:val="single"/>
        </w:rPr>
        <w:t>年11月20日13点00分</w:t>
      </w:r>
      <w:r>
        <w:rPr>
          <w:rFonts w:hint="eastAsia" w:ascii="仿宋" w:hAnsi="仿宋" w:eastAsia="仿宋"/>
          <w:bCs/>
          <w:sz w:val="28"/>
          <w:szCs w:val="28"/>
          <w:highlight w:val="none"/>
        </w:rPr>
        <w:t>（北京时间）</w:t>
      </w:r>
    </w:p>
    <w:p>
      <w:pPr>
        <w:spacing w:line="400" w:lineRule="exact"/>
        <w:ind w:firstLine="560" w:firstLineChars="200"/>
        <w:rPr>
          <w:rFonts w:ascii="仿宋" w:hAnsi="仿宋" w:eastAsia="仿宋"/>
          <w:bCs/>
          <w:sz w:val="28"/>
          <w:szCs w:val="28"/>
          <w:highlight w:val="none"/>
          <w:u w:val="single"/>
        </w:rPr>
      </w:pPr>
      <w:r>
        <w:rPr>
          <w:rFonts w:hint="eastAsia" w:ascii="仿宋" w:hAnsi="仿宋" w:eastAsia="仿宋"/>
          <w:sz w:val="28"/>
          <w:szCs w:val="28"/>
          <w:highlight w:val="none"/>
        </w:rPr>
        <w:t>地点：南宁市良庆区玉洞大道33号（青少年活动中心旁）南宁市民中心9楼南宁市公共资源交易中心（详见9楼电子显示屏场地安排）</w:t>
      </w:r>
    </w:p>
    <w:p>
      <w:pPr>
        <w:pStyle w:val="2"/>
        <w:spacing w:line="400" w:lineRule="exact"/>
        <w:rPr>
          <w:rFonts w:ascii="黑体" w:hAnsi="黑体" w:cs="宋体"/>
          <w:b w:val="0"/>
          <w:sz w:val="28"/>
          <w:szCs w:val="28"/>
          <w:highlight w:val="none"/>
        </w:rPr>
      </w:pPr>
      <w:bookmarkStart w:id="18" w:name="_Toc28359017"/>
      <w:bookmarkStart w:id="19" w:name="_Toc28359094"/>
      <w:bookmarkStart w:id="20" w:name="_Toc35393803"/>
      <w:bookmarkStart w:id="21" w:name="_Toc35393634"/>
      <w:r>
        <w:rPr>
          <w:rFonts w:hint="eastAsia" w:ascii="黑体" w:hAnsi="黑体" w:cs="宋体"/>
          <w:b w:val="0"/>
          <w:sz w:val="28"/>
          <w:szCs w:val="28"/>
          <w:highlight w:val="none"/>
        </w:rPr>
        <w:t>五、公告期限</w:t>
      </w:r>
      <w:bookmarkEnd w:id="18"/>
      <w:bookmarkEnd w:id="19"/>
      <w:bookmarkEnd w:id="20"/>
      <w:bookmarkEnd w:id="21"/>
    </w:p>
    <w:p>
      <w:pPr>
        <w:spacing w:line="400" w:lineRule="exact"/>
        <w:ind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自本公告发布之日起3个工作日。</w:t>
      </w:r>
    </w:p>
    <w:p>
      <w:pPr>
        <w:pStyle w:val="2"/>
        <w:spacing w:line="400" w:lineRule="exact"/>
        <w:rPr>
          <w:rFonts w:ascii="黑体" w:hAnsi="黑体" w:cs="宋体"/>
          <w:b w:val="0"/>
          <w:sz w:val="28"/>
          <w:szCs w:val="28"/>
          <w:highlight w:val="none"/>
        </w:rPr>
      </w:pPr>
      <w:bookmarkStart w:id="22" w:name="_Toc35393804"/>
      <w:bookmarkStart w:id="23" w:name="_Toc35393635"/>
      <w:r>
        <w:rPr>
          <w:rFonts w:hint="eastAsia" w:ascii="黑体" w:hAnsi="黑体" w:cs="宋体"/>
          <w:b w:val="0"/>
          <w:sz w:val="28"/>
          <w:szCs w:val="28"/>
          <w:highlight w:val="none"/>
        </w:rPr>
        <w:t>七、其他补充事宜</w:t>
      </w:r>
      <w:bookmarkEnd w:id="22"/>
      <w:bookmarkEnd w:id="23"/>
    </w:p>
    <w:p>
      <w:pPr>
        <w:spacing w:line="4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（一）疫情期间竞标截止时间和地点:</w:t>
      </w:r>
    </w:p>
    <w:p>
      <w:pPr>
        <w:spacing w:line="4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1.递交截止时间：2020年11月20日13时00分</w:t>
      </w:r>
    </w:p>
    <w:p>
      <w:pPr>
        <w:spacing w:line="4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2.本项目的竞标文件通过邮寄快递的方式送达。</w:t>
      </w:r>
    </w:p>
    <w:p>
      <w:pPr>
        <w:spacing w:line="40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3.竞标文件邮寄地址：南宁市青秀区新竹路29号5栋2单元403室；收件人：谭琦辉；联系电话：17677192991。</w:t>
      </w:r>
    </w:p>
    <w:p>
      <w:pPr>
        <w:spacing w:line="400" w:lineRule="exact"/>
        <w:ind w:firstLine="560" w:firstLineChars="200"/>
        <w:rPr>
          <w:rFonts w:ascii="仿宋" w:hAnsi="仿宋" w:eastAsia="仿宋"/>
          <w:sz w:val="28"/>
          <w:szCs w:val="28"/>
        </w:rPr>
      </w:pPr>
      <w:r>
        <w:rPr>
          <w:rFonts w:hint="eastAsia" w:ascii="仿宋" w:hAnsi="仿宋" w:eastAsia="仿宋"/>
          <w:sz w:val="28"/>
          <w:szCs w:val="28"/>
          <w:highlight w:val="none"/>
        </w:rPr>
        <w:t>4.接收邮寄包裹的时间为工作日上午9：00～12：00、下午3:0</w:t>
      </w:r>
      <w:r>
        <w:rPr>
          <w:rFonts w:hint="eastAsia" w:ascii="仿宋" w:hAnsi="仿宋" w:eastAsia="仿宋"/>
          <w:sz w:val="28"/>
          <w:szCs w:val="28"/>
        </w:rPr>
        <w:t>0～6:00。竞标文件必须在竞标截止时间前送达。招标采购人或招标采购代理机构工作人员签收邮寄包裹的时间即为竞标人竞标文件的送达时间，逾期送达的竞标文件无效，后果由竞标人自行承担。</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5.采购代理机构将在竞标截止时间前一小时（即 12时 00 分）统一将收到的竞标文件运送至南宁市公共资源交易中心，以确保本项目能在开标截止时间准时截标。竞标人应充分预留竞标文件邮寄、送达所需要的时间。为确保疫情防控期间邮寄包裹能及时送达，应选择邮寄运送时间有保障的快递公司寄送竞标文件，并确保在竞标截止日期1个工作日前内送达。</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6.竞标人在按照招标文件的要求装订、密封好竞标文件后，应使用不透明、防水的邮寄袋或箱子再次包裹已密封好的竞标文件，并在邮寄袋或箱子上粘牢注明项目名称、项目编号、项目开标日期、有效的电子邮箱等内容的纸质表格（表格格式详见附件）。</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7.招标采购人或招标采购代理机构工作人员在收到竞标文件的邮寄包裹后，第一时间按照供应商在邮寄包裹上所预留的电子邮箱告知竞标文件收件情况，请供应商务必确保所预留的电子邮箱的有效性，并注意查收邮件。</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（二）网上公告：</w:t>
      </w:r>
      <w:bookmarkStart w:id="24" w:name="_Toc28359018"/>
      <w:bookmarkStart w:id="25" w:name="_Toc28359095"/>
      <w:bookmarkStart w:id="26" w:name="_Toc35393805"/>
      <w:bookmarkStart w:id="27" w:name="_Toc35393636"/>
      <w:r>
        <w:rPr>
          <w:rFonts w:hint="eastAsia" w:ascii="仿宋" w:hAnsi="仿宋" w:eastAsia="仿宋"/>
          <w:sz w:val="28"/>
          <w:szCs w:val="28"/>
        </w:rPr>
        <w:t>南宁市公共资源交易中心网、中国政府采购网、广西壮族自治区政府采购网、南宁政府采购网、广西招标网。</w:t>
      </w:r>
    </w:p>
    <w:p>
      <w:pPr>
        <w:pStyle w:val="2"/>
        <w:spacing w:line="400" w:lineRule="exact"/>
        <w:rPr>
          <w:rFonts w:ascii="黑体" w:hAnsi="黑体" w:cs="宋体"/>
          <w:b w:val="0"/>
          <w:sz w:val="28"/>
          <w:szCs w:val="28"/>
        </w:rPr>
      </w:pPr>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4"/>
      <w:bookmarkEnd w:id="25"/>
      <w:bookmarkEnd w:id="26"/>
      <w:bookmarkEnd w:id="27"/>
    </w:p>
    <w:p>
      <w:pPr>
        <w:pStyle w:val="2"/>
        <w:spacing w:line="400" w:lineRule="exact"/>
        <w:ind w:firstLine="840" w:firstLineChars="300"/>
        <w:rPr>
          <w:rFonts w:ascii="仿宋" w:hAnsi="仿宋" w:eastAsia="仿宋" w:cs="宋体"/>
          <w:b w:val="0"/>
          <w:sz w:val="28"/>
          <w:szCs w:val="28"/>
        </w:rPr>
      </w:pPr>
      <w:bookmarkStart w:id="28" w:name="_Toc35393806"/>
      <w:bookmarkStart w:id="29" w:name="_Toc28359019"/>
      <w:bookmarkStart w:id="30" w:name="_Toc28359096"/>
      <w:bookmarkStart w:id="31" w:name="_Toc35393637"/>
      <w:r>
        <w:rPr>
          <w:rFonts w:hint="eastAsia" w:ascii="仿宋" w:hAnsi="仿宋" w:eastAsia="仿宋" w:cs="宋体"/>
          <w:b w:val="0"/>
          <w:sz w:val="28"/>
          <w:szCs w:val="28"/>
        </w:rPr>
        <w:t>1.采购人信息</w:t>
      </w:r>
      <w:bookmarkEnd w:id="28"/>
      <w:bookmarkEnd w:id="29"/>
      <w:bookmarkEnd w:id="30"/>
      <w:bookmarkEnd w:id="31"/>
    </w:p>
    <w:p>
      <w:pPr>
        <w:spacing w:line="4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南宁市励志专门学校</w:t>
      </w:r>
    </w:p>
    <w:p>
      <w:pPr>
        <w:spacing w:line="4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南宁市邕宁区光明路8号</w:t>
      </w:r>
    </w:p>
    <w:p>
      <w:pPr>
        <w:spacing w:line="4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0771-4722208</w:t>
      </w:r>
    </w:p>
    <w:p>
      <w:pPr>
        <w:pStyle w:val="2"/>
        <w:spacing w:line="400" w:lineRule="exact"/>
        <w:ind w:firstLine="840" w:firstLineChars="300"/>
        <w:rPr>
          <w:rFonts w:ascii="仿宋" w:hAnsi="仿宋" w:eastAsia="仿宋" w:cs="宋体"/>
          <w:b w:val="0"/>
          <w:sz w:val="28"/>
          <w:szCs w:val="28"/>
        </w:rPr>
      </w:pPr>
      <w:bookmarkStart w:id="32" w:name="_Toc28359020"/>
      <w:bookmarkStart w:id="33" w:name="_Toc35393638"/>
      <w:bookmarkStart w:id="34" w:name="_Toc35393807"/>
      <w:bookmarkStart w:id="35" w:name="_Toc28359097"/>
      <w:r>
        <w:rPr>
          <w:rFonts w:hint="eastAsia" w:ascii="仿宋" w:hAnsi="仿宋" w:eastAsia="仿宋" w:cs="宋体"/>
          <w:b w:val="0"/>
          <w:sz w:val="28"/>
          <w:szCs w:val="28"/>
        </w:rPr>
        <w:t>2.采购代理机构信息</w:t>
      </w:r>
      <w:bookmarkEnd w:id="32"/>
      <w:bookmarkEnd w:id="33"/>
      <w:bookmarkEnd w:id="34"/>
      <w:bookmarkEnd w:id="35"/>
    </w:p>
    <w:p>
      <w:pPr>
        <w:spacing w:line="400" w:lineRule="exact"/>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广西建设工程机电设备招标中心有限公司</w:t>
      </w:r>
    </w:p>
    <w:p>
      <w:pPr>
        <w:spacing w:line="400" w:lineRule="exact"/>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南宁市纬武路165号</w:t>
      </w:r>
    </w:p>
    <w:p>
      <w:pPr>
        <w:spacing w:line="400" w:lineRule="exact"/>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17677192991</w:t>
      </w:r>
    </w:p>
    <w:p>
      <w:pPr>
        <w:pStyle w:val="2"/>
        <w:spacing w:line="400" w:lineRule="exact"/>
        <w:ind w:firstLine="840" w:firstLineChars="300"/>
        <w:rPr>
          <w:rFonts w:ascii="仿宋" w:hAnsi="仿宋" w:eastAsia="仿宋" w:cs="宋体"/>
          <w:b w:val="0"/>
          <w:sz w:val="28"/>
          <w:szCs w:val="28"/>
        </w:rPr>
      </w:pPr>
      <w:bookmarkStart w:id="36" w:name="_Toc28359098"/>
      <w:bookmarkStart w:id="37" w:name="_Toc28359021"/>
      <w:bookmarkStart w:id="38" w:name="_Toc35393639"/>
      <w:bookmarkStart w:id="39" w:name="_Toc35393808"/>
      <w:r>
        <w:rPr>
          <w:rFonts w:hint="eastAsia" w:ascii="仿宋" w:hAnsi="仿宋" w:eastAsia="仿宋" w:cs="宋体"/>
          <w:b w:val="0"/>
          <w:sz w:val="28"/>
          <w:szCs w:val="28"/>
        </w:rPr>
        <w:t>3.项目联系</w:t>
      </w:r>
      <w:r>
        <w:rPr>
          <w:rFonts w:ascii="仿宋" w:hAnsi="仿宋" w:eastAsia="仿宋" w:cs="宋体"/>
          <w:b w:val="0"/>
          <w:sz w:val="28"/>
          <w:szCs w:val="28"/>
        </w:rPr>
        <w:t>方式</w:t>
      </w:r>
      <w:bookmarkEnd w:id="36"/>
      <w:bookmarkEnd w:id="37"/>
      <w:bookmarkEnd w:id="38"/>
      <w:bookmarkEnd w:id="39"/>
    </w:p>
    <w:p>
      <w:pPr>
        <w:pStyle w:val="24"/>
        <w:spacing w:line="400" w:lineRule="exact"/>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谭琦辉</w:t>
      </w:r>
    </w:p>
    <w:p>
      <w:pPr>
        <w:spacing w:line="400" w:lineRule="exact"/>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17677192991</w:t>
      </w:r>
    </w:p>
    <w:p>
      <w:pPr>
        <w:spacing w:line="400" w:lineRule="exact"/>
      </w:pPr>
    </w:p>
    <w:p>
      <w:pPr>
        <w:snapToGrid w:val="0"/>
        <w:rPr>
          <w:rFonts w:ascii="宋体" w:hAnsi="宋体"/>
          <w:b/>
          <w:sz w:val="24"/>
        </w:rPr>
      </w:pPr>
    </w:p>
    <w:p>
      <w:pPr>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24"/>
        </w:rPr>
      </w:pP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p>
    <w:p>
      <w:pPr>
        <w:snapToGrid w:val="0"/>
        <w:spacing w:beforeLines="50" w:afterLines="50"/>
        <w:ind w:left="238"/>
        <w:jc w:val="center"/>
        <w:rPr>
          <w:rFonts w:ascii="宋体" w:hAnsi="宋体"/>
          <w:b/>
          <w:sz w:val="44"/>
          <w:szCs w:val="44"/>
        </w:rPr>
      </w:pPr>
      <w:r>
        <w:rPr>
          <w:rFonts w:hint="eastAsia" w:ascii="宋体" w:hAnsi="宋体"/>
          <w:b/>
          <w:sz w:val="44"/>
          <w:szCs w:val="44"/>
        </w:rPr>
        <w:t xml:space="preserve">第二章 </w:t>
      </w:r>
      <w:r>
        <w:rPr>
          <w:rFonts w:hint="eastAsia" w:hAnsi="宋体"/>
          <w:b/>
          <w:bCs/>
          <w:sz w:val="44"/>
          <w:szCs w:val="44"/>
        </w:rPr>
        <w:t>供应商须知</w:t>
      </w:r>
    </w:p>
    <w:p>
      <w:pPr>
        <w:jc w:val="center"/>
        <w:rPr>
          <w:rFonts w:ascii="宋体" w:hAnsi="宋体"/>
          <w:b/>
          <w:sz w:val="24"/>
        </w:rPr>
      </w:pPr>
    </w:p>
    <w:p>
      <w:pPr>
        <w:jc w:val="center"/>
        <w:rPr>
          <w:rFonts w:ascii="宋体" w:hAnsi="宋体"/>
          <w:b/>
          <w:sz w:val="24"/>
        </w:rPr>
      </w:pPr>
    </w:p>
    <w:p>
      <w:pPr>
        <w:pStyle w:val="24"/>
        <w:ind w:firstLine="525"/>
        <w:jc w:val="center"/>
        <w:outlineLvl w:val="0"/>
        <w:rPr>
          <w:rFonts w:hAnsi="宋体"/>
          <w:b/>
        </w:rPr>
      </w:pPr>
      <w:r>
        <w:rPr>
          <w:rFonts w:hAnsi="宋体"/>
          <w:b/>
          <w:sz w:val="24"/>
        </w:rPr>
        <w:br w:type="page"/>
      </w:r>
      <w:r>
        <w:rPr>
          <w:rFonts w:hint="eastAsia" w:hAnsi="宋体"/>
          <w:b/>
          <w:sz w:val="32"/>
          <w:szCs w:val="32"/>
        </w:rPr>
        <w:t>供应商须知前附表</w:t>
      </w:r>
      <w:r>
        <w:rPr>
          <w:rFonts w:hint="eastAsia" w:hAnsi="宋体"/>
          <w:b/>
          <w:sz w:val="32"/>
          <w:szCs w:val="32"/>
        </w:rPr>
        <w:cr/>
      </w:r>
    </w:p>
    <w:tbl>
      <w:tblPr>
        <w:tblStyle w:val="43"/>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序号</w:t>
            </w:r>
          </w:p>
        </w:tc>
        <w:tc>
          <w:tcPr>
            <w:tcW w:w="714" w:type="dxa"/>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条款号</w:t>
            </w:r>
          </w:p>
        </w:tc>
        <w:tc>
          <w:tcPr>
            <w:tcW w:w="1701"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条款名称</w:t>
            </w:r>
          </w:p>
        </w:tc>
        <w:tc>
          <w:tcPr>
            <w:tcW w:w="7273" w:type="dxa"/>
            <w:vAlign w:val="center"/>
          </w:tcPr>
          <w:p>
            <w:pPr>
              <w:pStyle w:val="24"/>
              <w:spacing w:line="420" w:lineRule="exact"/>
              <w:ind w:firstLine="2951" w:firstLineChars="1400"/>
              <w:rPr>
                <w:rFonts w:asciiTheme="minorEastAsia" w:hAnsiTheme="minorEastAsia" w:eastAsiaTheme="minorEastAsia"/>
                <w:b/>
              </w:rPr>
            </w:pPr>
            <w:r>
              <w:rPr>
                <w:rFonts w:hint="eastAsia" w:asciiTheme="minorEastAsia" w:hAnsiTheme="minorEastAsia" w:eastAsiaTheme="minorEastAsia"/>
                <w:b/>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14" w:type="dxa"/>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1.1</w:t>
            </w:r>
          </w:p>
        </w:tc>
        <w:tc>
          <w:tcPr>
            <w:tcW w:w="1701"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项目名称及编号</w:t>
            </w:r>
          </w:p>
        </w:tc>
        <w:tc>
          <w:tcPr>
            <w:tcW w:w="7273" w:type="dxa"/>
            <w:vAlign w:val="center"/>
          </w:tcPr>
          <w:p>
            <w:pPr>
              <w:spacing w:line="440" w:lineRule="exact"/>
            </w:pPr>
            <w:r>
              <w:rPr>
                <w:rFonts w:hint="eastAsia"/>
              </w:rPr>
              <w:t>项目名称：励志学校监控增补</w:t>
            </w:r>
          </w:p>
          <w:p>
            <w:pPr>
              <w:spacing w:line="440" w:lineRule="exact"/>
            </w:pPr>
            <w:r>
              <w:rPr>
                <w:rFonts w:hint="eastAsia"/>
              </w:rPr>
              <w:t>项目编号：NNZC2020-J1-990372-JGJD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供应商资格</w:t>
            </w:r>
          </w:p>
        </w:tc>
        <w:tc>
          <w:tcPr>
            <w:tcW w:w="7273" w:type="dxa"/>
            <w:vAlign w:val="center"/>
          </w:tcPr>
          <w:p>
            <w:pPr>
              <w:snapToGrid w:val="0"/>
              <w:rPr>
                <w:rFonts w:asciiTheme="minorEastAsia" w:hAnsiTheme="minorEastAsia" w:eastAsiaTheme="minorEastAsia"/>
                <w:szCs w:val="21"/>
              </w:rPr>
            </w:pPr>
            <w:r>
              <w:rPr>
                <w:rFonts w:hint="eastAsia" w:asciiTheme="minorEastAsia" w:hAnsiTheme="minorEastAsia" w:eastAsiaTheme="minorEastAsia"/>
                <w:szCs w:val="21"/>
              </w:rPr>
              <w:t>1.符合《中华人民共和国政府采购法》第二十二条规定。</w:t>
            </w:r>
          </w:p>
          <w:p>
            <w:pPr>
              <w:snapToGrid w:val="0"/>
              <w:rPr>
                <w:rFonts w:asciiTheme="minorEastAsia" w:hAnsiTheme="minorEastAsia" w:eastAsiaTheme="minorEastAsia"/>
                <w:szCs w:val="21"/>
              </w:rPr>
            </w:pPr>
            <w:r>
              <w:rPr>
                <w:rFonts w:hint="eastAsia" w:asciiTheme="minorEastAsia" w:hAnsiTheme="minorEastAsia" w:eastAsiaTheme="minorEastAsia"/>
                <w:szCs w:val="21"/>
              </w:rPr>
              <w:t>2.国内注册，生产或经营本次招标采购货物的供应商。</w:t>
            </w:r>
          </w:p>
          <w:p>
            <w:pPr>
              <w:snapToGrid w:val="0"/>
              <w:rPr>
                <w:rFonts w:asciiTheme="minorEastAsia" w:hAnsiTheme="minorEastAsia" w:eastAsiaTheme="minorEastAsia"/>
                <w:szCs w:val="21"/>
              </w:rPr>
            </w:pPr>
            <w:r>
              <w:rPr>
                <w:rFonts w:hint="eastAsia" w:asciiTheme="minorEastAsia" w:hAnsiTheme="minorEastAsia" w:eastAsiaTheme="minorEastAsia"/>
                <w:szCs w:val="21"/>
              </w:rPr>
              <w:t>3.参加政府采购活动前3年内在经营活动中没有重大违法记录(提供书面声明)。</w:t>
            </w:r>
          </w:p>
          <w:p>
            <w:pPr>
              <w:snapToGrid w:val="0"/>
              <w:rPr>
                <w:rFonts w:asciiTheme="minorEastAsia" w:hAnsiTheme="minorEastAsia" w:eastAsiaTheme="minorEastAsia"/>
                <w:szCs w:val="21"/>
              </w:rPr>
            </w:pPr>
            <w:r>
              <w:rPr>
                <w:rFonts w:hint="eastAsia" w:asciiTheme="minorEastAsia" w:hAnsiTheme="minorEastAsia" w:eastAsiaTheme="minorEastAsia"/>
                <w:szCs w:val="21"/>
              </w:rPr>
              <w:t>4.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谈判费用</w:t>
            </w:r>
          </w:p>
        </w:tc>
        <w:tc>
          <w:tcPr>
            <w:tcW w:w="7273" w:type="dxa"/>
            <w:vAlign w:val="center"/>
          </w:tcPr>
          <w:p>
            <w:pPr>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不论</w:t>
            </w:r>
            <w:r>
              <w:rPr>
                <w:rFonts w:hint="eastAsia" w:cs="宋体" w:asciiTheme="minorEastAsia" w:hAnsiTheme="minorEastAsia" w:eastAsiaTheme="minorEastAsia"/>
                <w:szCs w:val="21"/>
              </w:rPr>
              <w:t>谈判</w:t>
            </w:r>
            <w:r>
              <w:rPr>
                <w:rFonts w:hint="eastAsia" w:asciiTheme="minorEastAsia" w:hAnsiTheme="minorEastAsia" w:eastAsiaTheme="minorEastAsia"/>
                <w:szCs w:val="21"/>
              </w:rPr>
              <w:t>结果如何，供应商均应自行承担所有与谈判有关的全部费用。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澄清或者修改</w:t>
            </w:r>
          </w:p>
        </w:tc>
        <w:tc>
          <w:tcPr>
            <w:tcW w:w="7273" w:type="dxa"/>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14.1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总采购预算</w:t>
            </w:r>
          </w:p>
        </w:tc>
        <w:tc>
          <w:tcPr>
            <w:tcW w:w="7273" w:type="dxa"/>
            <w:vAlign w:val="center"/>
          </w:tcPr>
          <w:p>
            <w:pPr>
              <w:spacing w:line="320" w:lineRule="exact"/>
              <w:rPr>
                <w:rFonts w:asciiTheme="minorEastAsia" w:hAnsiTheme="minorEastAsia" w:eastAsiaTheme="minorEastAsia"/>
                <w:szCs w:val="21"/>
              </w:rPr>
            </w:pPr>
            <w:r>
              <w:rPr>
                <w:rFonts w:hint="eastAsia" w:ascii="宋体" w:hAnsi="宋体"/>
                <w:sz w:val="24"/>
                <w:u w:val="single"/>
              </w:rPr>
              <w:t>15万元</w:t>
            </w:r>
            <w:r>
              <w:rPr>
                <w:rFonts w:hint="eastAsia" w:ascii="宋体" w:hAnsi="宋体"/>
                <w:sz w:val="24"/>
              </w:rPr>
              <w:t>；</w:t>
            </w:r>
            <w:r>
              <w:rPr>
                <w:rFonts w:hint="eastAsia" w:asciiTheme="minorEastAsia" w:hAnsiTheme="minorEastAsia" w:eastAsiaTheme="minorEastAsia"/>
                <w:szCs w:val="21"/>
              </w:rPr>
              <w:t xml:space="preserve"> 。</w:t>
            </w:r>
          </w:p>
          <w:p>
            <w:pPr>
              <w:spacing w:line="320" w:lineRule="exact"/>
              <w:rPr>
                <w:rFonts w:asciiTheme="minorEastAsia" w:hAnsiTheme="minorEastAsia" w:eastAsiaTheme="minorEastAsia"/>
                <w:kern w:val="0"/>
                <w:szCs w:val="21"/>
              </w:rPr>
            </w:pPr>
            <w:r>
              <w:rPr>
                <w:rFonts w:hint="eastAsia" w:asciiTheme="minorEastAsia" w:hAnsiTheme="minorEastAsia" w:eastAsiaTheme="minorEastAsia"/>
                <w:szCs w:val="21"/>
              </w:rPr>
              <w:t>报价</w:t>
            </w:r>
            <w:r>
              <w:rPr>
                <w:rFonts w:hint="eastAsia" w:asciiTheme="minorEastAsia" w:hAnsiTheme="minorEastAsia" w:eastAsiaTheme="minorEastAsia"/>
                <w:kern w:val="0"/>
                <w:szCs w:val="21"/>
              </w:rPr>
              <w:t>超过总采购预算金额（或分项采购预算，</w:t>
            </w:r>
            <w:r>
              <w:rPr>
                <w:rFonts w:hint="eastAsia" w:ascii="宋体" w:hAnsi="宋体"/>
                <w:szCs w:val="21"/>
              </w:rPr>
              <w:t>根据项目增减</w:t>
            </w:r>
            <w:r>
              <w:rPr>
                <w:rFonts w:hint="eastAsia" w:asciiTheme="minorEastAsia" w:hAnsiTheme="minorEastAsia" w:eastAsiaTheme="minorEastAsia"/>
                <w:kern w:val="0"/>
                <w:szCs w:val="21"/>
              </w:rPr>
              <w:t>）的，响应文件作无效处理。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14.2</w:t>
            </w:r>
          </w:p>
        </w:tc>
        <w:tc>
          <w:tcPr>
            <w:tcW w:w="1701" w:type="dxa"/>
            <w:vAlign w:val="center"/>
          </w:tcPr>
          <w:p>
            <w:pPr>
              <w:spacing w:line="360" w:lineRule="exact"/>
              <w:jc w:val="center"/>
              <w:rPr>
                <w:rFonts w:asciiTheme="minorEastAsia" w:hAnsiTheme="minorEastAsia" w:eastAsiaTheme="minorEastAsia"/>
                <w:position w:val="-2"/>
                <w:szCs w:val="21"/>
              </w:rPr>
            </w:pPr>
            <w:r>
              <w:rPr>
                <w:rFonts w:hint="eastAsia" w:asciiTheme="minorEastAsia" w:hAnsiTheme="minorEastAsia" w:eastAsiaTheme="minorEastAsia"/>
                <w:szCs w:val="21"/>
              </w:rPr>
              <w:t>谈判报价</w:t>
            </w:r>
          </w:p>
        </w:tc>
        <w:tc>
          <w:tcPr>
            <w:tcW w:w="7273" w:type="dxa"/>
            <w:vAlign w:val="center"/>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供应商须就项目需求中的所有分标货物内容作完整唯一报价。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7</w:t>
            </w:r>
          </w:p>
        </w:tc>
        <w:tc>
          <w:tcPr>
            <w:tcW w:w="714" w:type="dxa"/>
            <w:vAlign w:val="center"/>
          </w:tcPr>
          <w:p>
            <w:pPr>
              <w:spacing w:line="360" w:lineRule="exact"/>
              <w:jc w:val="center"/>
              <w:rPr>
                <w:rFonts w:asciiTheme="minorEastAsia" w:hAnsiTheme="minorEastAsia" w:eastAsiaTheme="minorEastAsia"/>
                <w:position w:val="-2"/>
                <w:szCs w:val="21"/>
              </w:rPr>
            </w:pPr>
            <w:r>
              <w:rPr>
                <w:rFonts w:hint="eastAsia" w:asciiTheme="minorEastAsia" w:hAnsiTheme="minorEastAsia" w:eastAsiaTheme="minorEastAsia"/>
                <w:position w:val="-2"/>
                <w:szCs w:val="21"/>
              </w:rPr>
              <w:t>15.1</w:t>
            </w:r>
          </w:p>
        </w:tc>
        <w:tc>
          <w:tcPr>
            <w:tcW w:w="1701" w:type="dxa"/>
            <w:vAlign w:val="center"/>
          </w:tcPr>
          <w:p>
            <w:pPr>
              <w:spacing w:line="360" w:lineRule="exact"/>
              <w:jc w:val="center"/>
              <w:rPr>
                <w:rFonts w:asciiTheme="minorEastAsia" w:hAnsiTheme="minorEastAsia" w:eastAsiaTheme="minorEastAsia"/>
                <w:position w:val="-2"/>
                <w:szCs w:val="21"/>
              </w:rPr>
            </w:pPr>
            <w:r>
              <w:rPr>
                <w:rFonts w:hint="eastAsia" w:asciiTheme="minorEastAsia" w:hAnsiTheme="minorEastAsia" w:eastAsiaTheme="minorEastAsia"/>
                <w:position w:val="-2"/>
                <w:szCs w:val="21"/>
              </w:rPr>
              <w:t>响应文件有效期</w:t>
            </w:r>
          </w:p>
        </w:tc>
        <w:tc>
          <w:tcPr>
            <w:tcW w:w="7273" w:type="dxa"/>
            <w:vAlign w:val="center"/>
          </w:tcPr>
          <w:p>
            <w:pPr>
              <w:tabs>
                <w:tab w:val="left" w:pos="1305"/>
              </w:tabs>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响应文件递交截止之日起60天，有效期不足的响应文件将被拒绝。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8</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响应文件份数</w:t>
            </w:r>
          </w:p>
        </w:tc>
        <w:tc>
          <w:tcPr>
            <w:tcW w:w="7273" w:type="dxa"/>
            <w:vAlign w:val="center"/>
          </w:tcPr>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正本</w:t>
            </w:r>
            <w:r>
              <w:rPr>
                <w:rFonts w:hint="eastAsia" w:asciiTheme="minorEastAsia" w:hAnsiTheme="minorEastAsia" w:eastAsiaTheme="minorEastAsia"/>
                <w:szCs w:val="21"/>
                <w:u w:val="single"/>
              </w:rPr>
              <w:t>1</w:t>
            </w:r>
            <w:r>
              <w:rPr>
                <w:rFonts w:hint="eastAsia" w:asciiTheme="minorEastAsia" w:hAnsiTheme="minorEastAsia" w:eastAsiaTheme="minorEastAsia"/>
                <w:szCs w:val="21"/>
              </w:rPr>
              <w:t xml:space="preserve"> 份，副本</w:t>
            </w:r>
            <w:r>
              <w:rPr>
                <w:rFonts w:hint="eastAsia" w:asciiTheme="minorEastAsia" w:hAnsiTheme="minorEastAsia" w:eastAsiaTheme="minorEastAsia"/>
                <w:szCs w:val="21"/>
                <w:highlight w:val="none"/>
              </w:rPr>
              <w:t>2份,电子版响应文件一份（光盘）。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9</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16.2</w:t>
            </w:r>
          </w:p>
        </w:tc>
        <w:tc>
          <w:tcPr>
            <w:tcW w:w="1701" w:type="dxa"/>
            <w:vAlign w:val="center"/>
          </w:tcPr>
          <w:p>
            <w:pPr>
              <w:spacing w:line="360" w:lineRule="exact"/>
              <w:jc w:val="center"/>
              <w:rPr>
                <w:rFonts w:asciiTheme="minorEastAsia" w:hAnsiTheme="minorEastAsia" w:eastAsiaTheme="minorEastAsia"/>
                <w:position w:val="10"/>
                <w:szCs w:val="21"/>
              </w:rPr>
            </w:pPr>
            <w:r>
              <w:rPr>
                <w:rFonts w:hint="eastAsia" w:asciiTheme="minorEastAsia" w:hAnsiTheme="minorEastAsia" w:eastAsiaTheme="minorEastAsia"/>
                <w:szCs w:val="21"/>
              </w:rPr>
              <w:t>响应文件装订要求</w:t>
            </w:r>
          </w:p>
        </w:tc>
        <w:tc>
          <w:tcPr>
            <w:tcW w:w="7273" w:type="dxa"/>
            <w:vAlign w:val="center"/>
          </w:tcPr>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供应商应按 “响应文件组成”规定的顺序自编目录及页码。响应文件的“正本”、“副本”应当单独装订成册并标注页码，装订应牢固，不易拆散和换页。封面应注明“正本”、“副本”字样，封面上写明采购项目名称、采购项目编号、标项、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10</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16.6</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响应文件包装、密封、标记                  </w:t>
            </w:r>
          </w:p>
        </w:tc>
        <w:tc>
          <w:tcPr>
            <w:tcW w:w="7273" w:type="dxa"/>
            <w:vAlign w:val="center"/>
          </w:tcPr>
          <w:p>
            <w:pPr>
              <w:snapToGrid w:val="0"/>
              <w:spacing w:line="380" w:lineRule="exact"/>
              <w:jc w:val="left"/>
              <w:rPr>
                <w:rFonts w:cs="宋体" w:asciiTheme="minorEastAsia" w:hAnsiTheme="minorEastAsia" w:eastAsiaTheme="minorEastAsia"/>
                <w:szCs w:val="21"/>
              </w:rPr>
            </w:pPr>
            <w:r>
              <w:rPr>
                <w:rFonts w:hint="eastAsia" w:asciiTheme="minorEastAsia" w:hAnsiTheme="minorEastAsia" w:eastAsiaTheme="minorEastAsia"/>
                <w:b/>
                <w:szCs w:val="21"/>
              </w:rPr>
              <w:t>响应文件包装、密封：</w:t>
            </w:r>
            <w:r>
              <w:rPr>
                <w:rFonts w:hint="eastAsia" w:cs="宋体" w:asciiTheme="minorEastAsia" w:hAnsiTheme="minorEastAsia" w:eastAsiaTheme="minorEastAsia"/>
                <w:szCs w:val="21"/>
              </w:rPr>
              <w:t>供应商须将响应文件“正本”、“副本”一并装入一个响应文件袋（盒、箱）中密封，并在密封处密封签章【公章、密封章、法定代表人</w:t>
            </w:r>
            <w:r>
              <w:rPr>
                <w:rFonts w:hint="eastAsia" w:ascii="宋体" w:hAnsi="宋体"/>
                <w:szCs w:val="21"/>
              </w:rPr>
              <w:t>（供应商若为其他组织形式无法定代表人的为机构负责人，供应商若为自然人的为自然人）</w:t>
            </w:r>
            <w:r>
              <w:rPr>
                <w:rFonts w:hint="eastAsia" w:cs="宋体" w:asciiTheme="minorEastAsia" w:hAnsiTheme="minorEastAsia" w:eastAsiaTheme="minorEastAsia"/>
                <w:szCs w:val="21"/>
              </w:rPr>
              <w:t>或相应的授权委托代理人签字均可</w:t>
            </w:r>
            <w:r>
              <w:rPr>
                <w:rFonts w:cs="宋体" w:asciiTheme="minorEastAsia" w:hAnsiTheme="minorEastAsia" w:eastAsiaTheme="minorEastAsia"/>
                <w:szCs w:val="21"/>
              </w:rPr>
              <w:t>】</w:t>
            </w:r>
            <w:r>
              <w:rPr>
                <w:rFonts w:hint="eastAsia" w:cs="宋体" w:asciiTheme="minorEastAsia" w:hAnsiTheme="minorEastAsia" w:eastAsiaTheme="minorEastAsia"/>
                <w:szCs w:val="21"/>
              </w:rPr>
              <w:t>。</w:t>
            </w:r>
          </w:p>
          <w:p>
            <w:pPr>
              <w:spacing w:line="350" w:lineRule="exact"/>
              <w:rPr>
                <w:rFonts w:asciiTheme="minorEastAsia" w:hAnsiTheme="minorEastAsia" w:eastAsiaTheme="minorEastAsia"/>
                <w:b/>
                <w:szCs w:val="21"/>
              </w:rPr>
            </w:pPr>
            <w:r>
              <w:rPr>
                <w:rFonts w:hint="eastAsia" w:asciiTheme="minorEastAsia" w:hAnsiTheme="minorEastAsia" w:eastAsiaTheme="minorEastAsia"/>
                <w:b/>
                <w:szCs w:val="21"/>
              </w:rPr>
              <w:t>响应文件袋标记：</w:t>
            </w:r>
          </w:p>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 xml:space="preserve">项目名称： </w:t>
            </w:r>
          </w:p>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 xml:space="preserve">项目编号： </w:t>
            </w:r>
          </w:p>
          <w:p>
            <w:pPr>
              <w:spacing w:line="340" w:lineRule="exact"/>
              <w:rPr>
                <w:rFonts w:cs="宋体" w:asciiTheme="minorEastAsia" w:hAnsiTheme="minorEastAsia" w:eastAsiaTheme="minorEastAsia"/>
                <w:kern w:val="0"/>
                <w:szCs w:val="21"/>
                <w:u w:val="single"/>
              </w:rPr>
            </w:pPr>
            <w:r>
              <w:rPr>
                <w:rFonts w:hint="eastAsia" w:asciiTheme="minorEastAsia" w:hAnsiTheme="minorEastAsia" w:eastAsiaTheme="minorEastAsia"/>
                <w:szCs w:val="21"/>
              </w:rPr>
              <w:t>采购代理机构：</w:t>
            </w:r>
            <w:r>
              <w:rPr>
                <w:rFonts w:hint="eastAsia" w:cs="宋体" w:asciiTheme="minorEastAsia" w:hAnsiTheme="minorEastAsia" w:eastAsiaTheme="minorEastAsia"/>
                <w:kern w:val="0"/>
                <w:szCs w:val="21"/>
              </w:rPr>
              <w:t>广西建设工程机电设备招标中心有限公司</w:t>
            </w:r>
          </w:p>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供应商名称：</w:t>
            </w:r>
          </w:p>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在  年月  日 时 分前不得开启</w:t>
            </w:r>
            <w:r>
              <w:rPr>
                <w:rFonts w:hint="eastAsia" w:asciiTheme="minorEastAsia" w:hAnsiTheme="minorEastAsia" w:eastAsiaTheme="minorEastAsia"/>
                <w:b/>
                <w:szCs w:val="21"/>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11</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16.7</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供应商公章</w:t>
            </w:r>
          </w:p>
        </w:tc>
        <w:tc>
          <w:tcPr>
            <w:tcW w:w="7273" w:type="dxa"/>
            <w:vAlign w:val="center"/>
          </w:tcPr>
          <w:p>
            <w:pPr>
              <w:spacing w:line="350" w:lineRule="exact"/>
              <w:rPr>
                <w:rFonts w:asciiTheme="minorEastAsia" w:hAnsiTheme="minorEastAsia" w:eastAsiaTheme="minorEastAsia"/>
                <w:szCs w:val="21"/>
              </w:rPr>
            </w:pPr>
            <w:r>
              <w:rPr>
                <w:rFonts w:cs="宋体" w:asciiTheme="minorEastAsia" w:hAnsiTheme="minorEastAsia" w:eastAsiaTheme="minorEastAsia"/>
                <w:szCs w:val="21"/>
              </w:rPr>
              <w:t>本</w:t>
            </w:r>
            <w:r>
              <w:rPr>
                <w:rFonts w:hint="eastAsia" w:cs="宋体" w:asciiTheme="minorEastAsia" w:hAnsiTheme="minorEastAsia" w:eastAsiaTheme="minorEastAsia"/>
                <w:szCs w:val="21"/>
              </w:rPr>
              <w:t>竞争性谈判文件</w:t>
            </w:r>
            <w:r>
              <w:rPr>
                <w:rFonts w:cs="宋体" w:asciiTheme="minorEastAsia" w:hAnsiTheme="minorEastAsia" w:eastAsiaTheme="minorEastAsia"/>
                <w:szCs w:val="21"/>
              </w:rPr>
              <w:t>中描述</w:t>
            </w:r>
            <w:r>
              <w:rPr>
                <w:rFonts w:hint="eastAsia" w:cs="宋体" w:asciiTheme="minorEastAsia" w:hAnsiTheme="minorEastAsia" w:eastAsiaTheme="minorEastAsia"/>
                <w:szCs w:val="21"/>
              </w:rPr>
              <w:t>供应商</w:t>
            </w:r>
            <w:r>
              <w:rPr>
                <w:rFonts w:cs="宋体" w:asciiTheme="minorEastAsia" w:hAnsiTheme="minorEastAsia" w:eastAsiaTheme="minorEastAsia"/>
                <w:szCs w:val="21"/>
              </w:rPr>
              <w:t>的“公章”是指根据我国对公章的管理规定，用</w:t>
            </w:r>
            <w:r>
              <w:rPr>
                <w:rFonts w:hint="eastAsia" w:cs="宋体" w:asciiTheme="minorEastAsia" w:hAnsiTheme="minorEastAsia" w:eastAsiaTheme="minorEastAsia"/>
                <w:szCs w:val="21"/>
              </w:rPr>
              <w:t>供应商</w:t>
            </w:r>
            <w:r>
              <w:rPr>
                <w:rFonts w:cs="宋体" w:asciiTheme="minorEastAsia" w:hAnsiTheme="minorEastAsia" w:eastAsiaTheme="minorEastAsia"/>
                <w:szCs w:val="21"/>
              </w:rPr>
              <w:t>法定主体行为名称制作的印章，除本文件有特殊规定外，</w:t>
            </w:r>
            <w:r>
              <w:rPr>
                <w:rFonts w:hint="eastAsia" w:cs="宋体" w:asciiTheme="minorEastAsia" w:hAnsiTheme="minorEastAsia" w:eastAsiaTheme="minorEastAsia"/>
                <w:szCs w:val="21"/>
              </w:rPr>
              <w:t>供应商</w:t>
            </w:r>
            <w:r>
              <w:rPr>
                <w:rFonts w:cs="宋体" w:asciiTheme="minorEastAsia" w:hAnsiTheme="minorEastAsia" w:eastAsiaTheme="minorEastAsia"/>
                <w:szCs w:val="21"/>
              </w:rPr>
              <w:t>的财务章、部门章、分公司章、工会章、合同章、</w:t>
            </w:r>
            <w:r>
              <w:rPr>
                <w:rFonts w:hint="eastAsia" w:cs="宋体" w:asciiTheme="minorEastAsia" w:hAnsiTheme="minorEastAsia" w:eastAsiaTheme="minorEastAsia"/>
                <w:szCs w:val="21"/>
              </w:rPr>
              <w:t>投标</w:t>
            </w:r>
            <w:r>
              <w:rPr>
                <w:rFonts w:cs="宋体" w:asciiTheme="minorEastAsia" w:hAnsiTheme="minorEastAsia" w:eastAsiaTheme="minorEastAsia"/>
                <w:szCs w:val="21"/>
              </w:rPr>
              <w:t>专用章、业务专用章及银行的转账章、现金收讫章、现金付讫章等其它形式印章均不能代替公章</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12</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17.1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响应文件递交</w:t>
            </w:r>
          </w:p>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截止时间、地点</w:t>
            </w:r>
          </w:p>
        </w:tc>
        <w:tc>
          <w:tcPr>
            <w:tcW w:w="7273"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（一）疫情期间竞标截止时间和地点:</w:t>
            </w:r>
          </w:p>
          <w:p>
            <w:pPr>
              <w:spacing w:line="36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1.递交截止时间：2020年11月20日13时00分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2.本项目的竞标文件通过邮寄快递的方式送达。</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3.竞标文件邮寄地址：南宁市青秀区新竹路29号5栋2单元403室；收件人：谭琦辉；联系电话：17677192991。</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4.接收邮寄包裹的时间为工作日上午9：00～12：00、下午3:00～6:00。竞标文件必须在竞标截止时间前送达。招标采购人或招标采购代理机构工作人员签收邮寄包裹的时间即为竞标人竞标文件的送达时间，逾期送达的竞标文件无效，后果由竞标人自行承担。</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5.采购代理机构将在竞标截止时间前一小时（即 12时 00 分）统一将收到的竞标文件运送至南宁市公共资源交易中心，以确保本项目能在开标截止时间准时截标。竞标人应充分预留竞标文件邮寄、送达所需要的时间。为确保疫情防控期间邮寄包裹能及时送达，应选择邮寄运送时间有保障的快递公司寄送竞标文件，并确保在竞标截止日期1个工作日前内送达。</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6.竞标人在按照招标文件的要求装订、密封好竞标文件后，应使用不透明、防水的邮寄袋或箱子再次包裹已密封好的竞标文件，并在邮寄袋或箱子上粘牢注明项目名称、项目编号、项目开标日期、有效的电子邮箱等内容的纸质表格（表格格式详见附件）。</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7.招标采购人或招标采购代理机构工作人员在收到竞标文件的邮寄包裹后，第一时间按照供应商在邮寄包裹上所预留的电子邮箱告知竞标文件收件情况，请供应商务必确保所预留的电子邮箱的有效性，并注意查收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13</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18.2</w:t>
            </w:r>
          </w:p>
        </w:tc>
        <w:tc>
          <w:tcPr>
            <w:tcW w:w="1701" w:type="dxa"/>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谈判时间、地点、人员</w:t>
            </w:r>
          </w:p>
        </w:tc>
        <w:tc>
          <w:tcPr>
            <w:tcW w:w="7273" w:type="dxa"/>
          </w:tcPr>
          <w:p>
            <w:pPr>
              <w:spacing w:line="35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r>
              <w:rPr>
                <w:rFonts w:hint="eastAsia" w:asciiTheme="minorEastAsia" w:hAnsiTheme="minorEastAsia" w:eastAsiaTheme="minorEastAsia"/>
                <w:color w:val="auto"/>
                <w:szCs w:val="21"/>
              </w:rPr>
              <w:t>020年11月20日13时00分整截止后为谈判小组与谈判供应商谈判时间，具体时间由代理机构广西建设工程机电设备招标中心有限公司另行通知。供应商不参加现场开标活动。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14</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19</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评审办法</w:t>
            </w:r>
          </w:p>
        </w:tc>
        <w:tc>
          <w:tcPr>
            <w:tcW w:w="7273" w:type="dxa"/>
            <w:vAlign w:val="center"/>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采用最低评标价法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15</w:t>
            </w:r>
          </w:p>
        </w:tc>
        <w:tc>
          <w:tcPr>
            <w:tcW w:w="71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26</w:t>
            </w:r>
          </w:p>
        </w:tc>
        <w:tc>
          <w:tcPr>
            <w:tcW w:w="1701" w:type="dxa"/>
            <w:vAlign w:val="center"/>
          </w:tcPr>
          <w:p>
            <w:pPr>
              <w:spacing w:line="400" w:lineRule="exact"/>
              <w:jc w:val="center"/>
              <w:rPr>
                <w:rFonts w:ascii="宋体" w:hAnsi="宋体"/>
                <w:szCs w:val="21"/>
              </w:rPr>
            </w:pPr>
            <w:r>
              <w:rPr>
                <w:rFonts w:hint="eastAsia" w:ascii="宋体" w:hAnsi="宋体"/>
                <w:szCs w:val="21"/>
              </w:rPr>
              <w:t>信用查询</w:t>
            </w:r>
          </w:p>
        </w:tc>
        <w:tc>
          <w:tcPr>
            <w:tcW w:w="7273" w:type="dxa"/>
            <w:vAlign w:val="center"/>
          </w:tcPr>
          <w:p>
            <w:pPr>
              <w:autoSpaceDE w:val="0"/>
              <w:autoSpaceDN w:val="0"/>
              <w:snapToGrid w:val="0"/>
              <w:spacing w:line="440" w:lineRule="exact"/>
              <w:textAlignment w:val="bottom"/>
              <w:rPr>
                <w:rFonts w:ascii="宋体" w:hAnsi="宋体"/>
              </w:rPr>
            </w:pPr>
            <w:r>
              <w:rPr>
                <w:rFonts w:hint="eastAsia" w:ascii="宋体" w:hAnsi="宋体"/>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440" w:lineRule="exact"/>
              <w:textAlignment w:val="bottom"/>
              <w:rPr>
                <w:rFonts w:ascii="宋体" w:hAnsi="宋体"/>
              </w:rPr>
            </w:pPr>
            <w:r>
              <w:rPr>
                <w:rFonts w:hint="eastAsia" w:ascii="宋体" w:hAnsi="宋体"/>
              </w:rPr>
              <w:t>⑴查询渠道：“信用中国”网站(www.creditchina.gov.cn)、中国政府采购网(www.ccgp.gov.cn)等；</w:t>
            </w:r>
          </w:p>
          <w:p>
            <w:pPr>
              <w:autoSpaceDE w:val="0"/>
              <w:autoSpaceDN w:val="0"/>
              <w:snapToGrid w:val="0"/>
              <w:spacing w:line="440" w:lineRule="exact"/>
              <w:textAlignment w:val="bottom"/>
              <w:rPr>
                <w:rFonts w:ascii="宋体" w:hAnsi="宋体"/>
              </w:rPr>
            </w:pPr>
            <w:r>
              <w:rPr>
                <w:rFonts w:hint="eastAsia" w:ascii="宋体" w:hAnsi="宋体"/>
              </w:rPr>
              <w:t>⑵查询截止时点：成交通知书发出前；</w:t>
            </w:r>
          </w:p>
          <w:p>
            <w:pPr>
              <w:autoSpaceDE w:val="0"/>
              <w:autoSpaceDN w:val="0"/>
              <w:snapToGrid w:val="0"/>
              <w:spacing w:line="440" w:lineRule="exact"/>
              <w:textAlignment w:val="bottom"/>
              <w:rPr>
                <w:rFonts w:ascii="宋体" w:hAnsi="宋体"/>
              </w:rPr>
            </w:pPr>
            <w:r>
              <w:rPr>
                <w:rFonts w:hint="eastAsia" w:ascii="宋体" w:hAnsi="宋体"/>
              </w:rPr>
              <w:t>⑶信用信息查询记录和证据留存方式：在查询网站中直接打印查询记录，打印材料作为采购活动资料保存。</w:t>
            </w:r>
          </w:p>
          <w:p>
            <w:pPr>
              <w:pStyle w:val="173"/>
              <w:spacing w:line="440" w:lineRule="exact"/>
              <w:rPr>
                <w:rFonts w:hAnsi="宋体"/>
              </w:rPr>
            </w:pPr>
            <w:r>
              <w:rPr>
                <w:rFonts w:hint="eastAsia" w:hAnsi="宋体"/>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spacing w:line="400" w:lineRule="exact"/>
              <w:ind w:firstLine="420" w:firstLineChars="200"/>
              <w:rPr>
                <w:rFonts w:ascii="宋体" w:hAnsi="宋体"/>
                <w:szCs w:val="21"/>
              </w:rPr>
            </w:pPr>
            <w:r>
              <w:rPr>
                <w:rFonts w:hint="eastAsia"/>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16</w:t>
            </w:r>
          </w:p>
        </w:tc>
        <w:tc>
          <w:tcPr>
            <w:tcW w:w="714"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25.1</w:t>
            </w:r>
          </w:p>
        </w:tc>
        <w:tc>
          <w:tcPr>
            <w:tcW w:w="170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成交公告及成交通知书</w:t>
            </w:r>
          </w:p>
        </w:tc>
        <w:tc>
          <w:tcPr>
            <w:tcW w:w="7273"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17</w:t>
            </w:r>
          </w:p>
        </w:tc>
        <w:tc>
          <w:tcPr>
            <w:tcW w:w="714" w:type="dxa"/>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27</w:t>
            </w:r>
          </w:p>
        </w:tc>
        <w:tc>
          <w:tcPr>
            <w:tcW w:w="1701"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签订合同时间</w:t>
            </w:r>
          </w:p>
        </w:tc>
        <w:tc>
          <w:tcPr>
            <w:tcW w:w="7273" w:type="dxa"/>
            <w:vAlign w:val="center"/>
          </w:tcPr>
          <w:p>
            <w:pPr>
              <w:spacing w:line="340" w:lineRule="exact"/>
              <w:rPr>
                <w:rFonts w:asciiTheme="minorEastAsia" w:hAnsiTheme="minorEastAsia" w:eastAsiaTheme="minorEastAsia"/>
                <w:szCs w:val="21"/>
              </w:rPr>
            </w:pPr>
            <w:r>
              <w:rPr>
                <w:rFonts w:hint="eastAsia" w:asciiTheme="minorEastAsia" w:hAnsiTheme="minorEastAsia" w:eastAsiaTheme="minorEastAsia"/>
                <w:szCs w:val="21"/>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18</w:t>
            </w:r>
          </w:p>
        </w:tc>
        <w:tc>
          <w:tcPr>
            <w:tcW w:w="714" w:type="dxa"/>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1701" w:type="dxa"/>
            <w:vAlign w:val="center"/>
          </w:tcPr>
          <w:p>
            <w:pPr>
              <w:snapToGri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代理服务费</w:t>
            </w:r>
          </w:p>
        </w:tc>
        <w:tc>
          <w:tcPr>
            <w:tcW w:w="7273"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成交供应商领取成交通知书前，向广西建设工程机电设备招标中心有限公司一次性付清采购代理服务费。服务费参照国家发展计划委员会文件计价格（2002）1980号《国家计委关于印发&lt;招标代理服务收费管理暂行办法&gt;的通知》规定标准计取。</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缴纳方式：</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开户名称：广西建设工程机电设备招标中心有限公司</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开户银行：招商银行南宁分行营业部</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帐    号：7719 0142 3310 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6" w:type="dxa"/>
            <w:vAlign w:val="center"/>
          </w:tcPr>
          <w:p>
            <w:pPr>
              <w:pStyle w:val="24"/>
              <w:spacing w:line="420" w:lineRule="exact"/>
              <w:jc w:val="center"/>
              <w:rPr>
                <w:rFonts w:asciiTheme="minorEastAsia" w:hAnsiTheme="minorEastAsia" w:eastAsiaTheme="minorEastAsia"/>
              </w:rPr>
            </w:pPr>
            <w:r>
              <w:rPr>
                <w:rFonts w:hint="eastAsia" w:asciiTheme="minorEastAsia" w:hAnsiTheme="minorEastAsia" w:eastAsiaTheme="minorEastAsia"/>
              </w:rPr>
              <w:t>19</w:t>
            </w:r>
          </w:p>
        </w:tc>
        <w:tc>
          <w:tcPr>
            <w:tcW w:w="714" w:type="dxa"/>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29</w:t>
            </w:r>
          </w:p>
        </w:tc>
        <w:tc>
          <w:tcPr>
            <w:tcW w:w="1701"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解释权</w:t>
            </w:r>
          </w:p>
        </w:tc>
        <w:tc>
          <w:tcPr>
            <w:tcW w:w="7273" w:type="dxa"/>
            <w:vAlign w:val="center"/>
          </w:tcPr>
          <w:p>
            <w:pPr>
              <w:spacing w:line="340" w:lineRule="exact"/>
              <w:jc w:val="left"/>
              <w:rPr>
                <w:rFonts w:asciiTheme="minorEastAsia" w:hAnsiTheme="minorEastAsia" w:eastAsiaTheme="minorEastAsia"/>
                <w:szCs w:val="21"/>
              </w:rPr>
            </w:pPr>
            <w:r>
              <w:rPr>
                <w:rFonts w:hint="eastAsia" w:asciiTheme="minorEastAsia" w:hAnsiTheme="minorEastAsia" w:eastAsiaTheme="minorEastAsia"/>
                <w:szCs w:val="21"/>
              </w:rPr>
              <w:t>本竞争性谈判文件的解释权属于采购代理机构。</w:t>
            </w:r>
          </w:p>
        </w:tc>
      </w:tr>
    </w:tbl>
    <w:p>
      <w:pPr>
        <w:pStyle w:val="24"/>
        <w:jc w:val="center"/>
        <w:rPr>
          <w:rFonts w:hAnsi="宋体"/>
          <w:b/>
          <w:sz w:val="36"/>
          <w:szCs w:val="36"/>
        </w:rPr>
      </w:pPr>
      <w:r>
        <w:rPr>
          <w:rFonts w:hAnsi="宋体"/>
          <w:b/>
          <w:sz w:val="36"/>
          <w:szCs w:val="36"/>
        </w:rPr>
        <w:br w:type="page"/>
      </w:r>
      <w:r>
        <w:rPr>
          <w:rFonts w:hint="eastAsia" w:hAnsi="宋体"/>
          <w:b/>
          <w:sz w:val="36"/>
          <w:szCs w:val="36"/>
        </w:rPr>
        <w:t>供应商须知</w:t>
      </w:r>
    </w:p>
    <w:p>
      <w:pPr>
        <w:jc w:val="center"/>
        <w:rPr>
          <w:rFonts w:ascii="宋体" w:hAnsi="宋体"/>
          <w:b/>
          <w:sz w:val="24"/>
        </w:rPr>
      </w:pPr>
      <w:r>
        <w:rPr>
          <w:rFonts w:hint="eastAsia" w:ascii="宋体" w:hAnsi="宋体"/>
          <w:b/>
          <w:sz w:val="24"/>
        </w:rPr>
        <w:t>一、总 则</w:t>
      </w:r>
    </w:p>
    <w:p>
      <w:pPr>
        <w:spacing w:line="360" w:lineRule="auto"/>
        <w:rPr>
          <w:rFonts w:ascii="宋体" w:hAnsi="宋体"/>
          <w:b/>
          <w:sz w:val="24"/>
        </w:rPr>
      </w:pPr>
      <w:r>
        <w:rPr>
          <w:rFonts w:hint="eastAsia" w:ascii="宋体" w:hAnsi="宋体"/>
          <w:b/>
          <w:sz w:val="24"/>
        </w:rPr>
        <w:t>1. 适用范围</w:t>
      </w:r>
    </w:p>
    <w:p>
      <w:pPr>
        <w:spacing w:line="360" w:lineRule="auto"/>
        <w:ind w:left="-61" w:leftChars="-29" w:firstLine="120" w:firstLineChars="50"/>
        <w:rPr>
          <w:rFonts w:ascii="宋体" w:hAnsi="宋体"/>
          <w:sz w:val="24"/>
        </w:rPr>
      </w:pPr>
      <w:r>
        <w:rPr>
          <w:rFonts w:hint="eastAsia" w:ascii="宋体" w:hAnsi="宋体"/>
          <w:sz w:val="24"/>
        </w:rPr>
        <w:t>1.1 本文件仅适用于下列项目所叙述的货物类政府采购。</w:t>
      </w:r>
    </w:p>
    <w:p>
      <w:pPr>
        <w:spacing w:line="360" w:lineRule="auto"/>
        <w:rPr>
          <w:rFonts w:ascii="宋体" w:hAnsi="宋体"/>
          <w:sz w:val="24"/>
        </w:rPr>
      </w:pPr>
      <w:r>
        <w:rPr>
          <w:rFonts w:hint="eastAsia" w:ascii="宋体" w:hAnsi="宋体"/>
          <w:sz w:val="24"/>
        </w:rPr>
        <w:t>项目名称：励志学校监控增补</w:t>
      </w:r>
    </w:p>
    <w:p>
      <w:pPr>
        <w:spacing w:line="360" w:lineRule="auto"/>
        <w:rPr>
          <w:rFonts w:ascii="宋体" w:hAnsi="宋体"/>
          <w:sz w:val="24"/>
        </w:rPr>
      </w:pPr>
      <w:r>
        <w:rPr>
          <w:rFonts w:hint="eastAsia" w:ascii="宋体" w:hAnsi="宋体"/>
          <w:sz w:val="24"/>
        </w:rPr>
        <w:t>项目编号：NNZC2020-J1-990372-JGJD</w:t>
      </w:r>
    </w:p>
    <w:p>
      <w:pPr>
        <w:spacing w:line="360" w:lineRule="auto"/>
        <w:rPr>
          <w:rFonts w:ascii="宋体" w:hAnsi="宋体"/>
          <w:sz w:val="24"/>
        </w:rPr>
      </w:pPr>
      <w:r>
        <w:rPr>
          <w:rFonts w:hint="eastAsia" w:ascii="宋体" w:hAnsi="宋体"/>
          <w:b/>
          <w:sz w:val="24"/>
        </w:rPr>
        <w:t>2. 定义</w:t>
      </w:r>
    </w:p>
    <w:p>
      <w:pPr>
        <w:spacing w:line="360" w:lineRule="auto"/>
        <w:rPr>
          <w:rFonts w:ascii="宋体" w:hAnsi="宋体"/>
          <w:sz w:val="24"/>
          <w:u w:val="single"/>
        </w:rPr>
      </w:pPr>
      <w:r>
        <w:rPr>
          <w:rFonts w:hint="eastAsia" w:ascii="宋体" w:hAnsi="宋体"/>
          <w:sz w:val="24"/>
        </w:rPr>
        <w:t>2.1“采购人”是指：</w:t>
      </w:r>
      <w:r>
        <w:rPr>
          <w:rFonts w:hint="eastAsia"/>
          <w:sz w:val="24"/>
          <w:u w:val="single"/>
        </w:rPr>
        <w:t>南宁市励志专门学校</w:t>
      </w:r>
    </w:p>
    <w:p>
      <w:pPr>
        <w:spacing w:line="360" w:lineRule="auto"/>
        <w:rPr>
          <w:rFonts w:ascii="宋体" w:hAnsi="宋体"/>
          <w:sz w:val="24"/>
        </w:rPr>
      </w:pPr>
      <w:r>
        <w:rPr>
          <w:rFonts w:hint="eastAsia" w:ascii="宋体" w:hAnsi="宋体"/>
          <w:sz w:val="24"/>
        </w:rPr>
        <w:t>2.2“政府采购代理机构”是指：广西建设工程机电设备招标中心有限公司</w:t>
      </w:r>
    </w:p>
    <w:p>
      <w:pPr>
        <w:spacing w:line="360" w:lineRule="auto"/>
        <w:rPr>
          <w:rFonts w:ascii="宋体" w:hAnsi="宋体"/>
          <w:sz w:val="24"/>
        </w:rPr>
      </w:pPr>
      <w:r>
        <w:rPr>
          <w:rFonts w:hint="eastAsia" w:ascii="宋体" w:hAnsi="宋体"/>
          <w:sz w:val="24"/>
        </w:rPr>
        <w:t>2.3“供应商”是指符合本次采购项目的供应商资格并提交响应文件、参加谈判的供应商。如果该供应商在本次谈判中成交，即成为“成交供应商”。</w:t>
      </w:r>
    </w:p>
    <w:p>
      <w:pPr>
        <w:spacing w:line="360" w:lineRule="auto"/>
        <w:rPr>
          <w:rFonts w:ascii="宋体" w:hAnsi="宋体"/>
          <w:sz w:val="24"/>
        </w:rPr>
      </w:pPr>
      <w:r>
        <w:rPr>
          <w:rFonts w:hint="eastAsia" w:ascii="宋体" w:hAnsi="宋体"/>
          <w:sz w:val="24"/>
        </w:rPr>
        <w:t>2.4“货物”系指按谈判文件规定，供应商须向采购人提供的一切设备、保险、税金、备品备件、工具、手册及其它有关技术资料和材料。</w:t>
      </w:r>
    </w:p>
    <w:p>
      <w:pPr>
        <w:spacing w:line="360" w:lineRule="auto"/>
        <w:rPr>
          <w:rFonts w:ascii="宋体" w:hAnsi="宋体"/>
          <w:sz w:val="24"/>
        </w:rPr>
      </w:pPr>
      <w:r>
        <w:rPr>
          <w:rFonts w:hint="eastAsia" w:ascii="宋体" w:hAnsi="宋体"/>
          <w:sz w:val="24"/>
        </w:rPr>
        <w:t>2.5“服务”系指按谈判文件规定，供应商须承担的安装、调试、技术协助、校准、培训、技术指导以及其他类似的义务。</w:t>
      </w:r>
    </w:p>
    <w:p>
      <w:pPr>
        <w:spacing w:line="360" w:lineRule="auto"/>
        <w:rPr>
          <w:rFonts w:ascii="宋体" w:hAnsi="宋体"/>
          <w:sz w:val="24"/>
        </w:rPr>
      </w:pPr>
      <w:r>
        <w:rPr>
          <w:rFonts w:hint="eastAsia" w:ascii="宋体" w:hAnsi="宋体"/>
          <w:sz w:val="24"/>
        </w:rPr>
        <w:t>2.6“项目”系指供应商按谈判文件规定向采购人提供的货物和服务。</w:t>
      </w:r>
    </w:p>
    <w:p>
      <w:pPr>
        <w:spacing w:line="360" w:lineRule="auto"/>
        <w:rPr>
          <w:rFonts w:ascii="宋体" w:hAnsi="宋体"/>
          <w:sz w:val="24"/>
        </w:rPr>
      </w:pPr>
      <w:r>
        <w:rPr>
          <w:rFonts w:hint="eastAsia" w:ascii="宋体" w:hAnsi="宋体"/>
          <w:sz w:val="24"/>
        </w:rPr>
        <w:t>2.7“书面形式”包括信函、传真、电报等。</w:t>
      </w:r>
    </w:p>
    <w:p>
      <w:pPr>
        <w:spacing w:line="360" w:lineRule="auto"/>
        <w:rPr>
          <w:rFonts w:ascii="宋体" w:hAnsi="宋体"/>
          <w:b/>
          <w:sz w:val="24"/>
        </w:rPr>
      </w:pPr>
      <w:r>
        <w:rPr>
          <w:rFonts w:hint="eastAsia" w:ascii="宋体" w:hAnsi="宋体"/>
          <w:b/>
          <w:sz w:val="24"/>
        </w:rPr>
        <w:t>3. 供应商资格</w:t>
      </w:r>
    </w:p>
    <w:p>
      <w:pPr>
        <w:spacing w:line="360" w:lineRule="auto"/>
        <w:rPr>
          <w:rFonts w:ascii="宋体" w:hAnsi="宋体"/>
          <w:sz w:val="24"/>
        </w:rPr>
      </w:pPr>
      <w:r>
        <w:rPr>
          <w:rFonts w:hint="eastAsia" w:ascii="宋体" w:hAnsi="宋体"/>
          <w:sz w:val="24"/>
        </w:rPr>
        <w:t>3.</w:t>
      </w:r>
      <w:r>
        <w:rPr>
          <w:rFonts w:ascii="宋体" w:hAnsi="宋体"/>
          <w:sz w:val="24"/>
        </w:rPr>
        <w:t>1.</w:t>
      </w:r>
      <w:r>
        <w:rPr>
          <w:rFonts w:hint="eastAsia" w:ascii="宋体" w:hAnsi="宋体"/>
          <w:sz w:val="24"/>
        </w:rPr>
        <w:t>符合《中华人民共和国政府采购法》第二十二条规定。</w:t>
      </w:r>
    </w:p>
    <w:p>
      <w:pPr>
        <w:spacing w:line="360" w:lineRule="auto"/>
        <w:rPr>
          <w:rFonts w:ascii="宋体" w:hAnsi="宋体"/>
          <w:sz w:val="24"/>
        </w:rPr>
      </w:pPr>
      <w:r>
        <w:rPr>
          <w:rFonts w:hint="eastAsia" w:ascii="宋体" w:hAnsi="宋体"/>
          <w:sz w:val="24"/>
        </w:rPr>
        <w:t>3.</w:t>
      </w:r>
      <w:r>
        <w:rPr>
          <w:rFonts w:ascii="宋体" w:hAnsi="宋体"/>
          <w:sz w:val="24"/>
        </w:rPr>
        <w:t>2</w:t>
      </w:r>
      <w:r>
        <w:rPr>
          <w:rFonts w:hint="eastAsia" w:ascii="宋体" w:hAnsi="宋体"/>
          <w:sz w:val="24"/>
        </w:rPr>
        <w:t>.</w:t>
      </w:r>
      <w:r>
        <w:rPr>
          <w:rFonts w:ascii="宋体" w:hAnsi="宋体"/>
          <w:sz w:val="24"/>
        </w:rPr>
        <w:t>国内注册</w:t>
      </w:r>
      <w:r>
        <w:rPr>
          <w:rFonts w:hint="eastAsia" w:ascii="宋体" w:hAnsi="宋体"/>
          <w:sz w:val="24"/>
        </w:rPr>
        <w:t>，</w:t>
      </w:r>
      <w:r>
        <w:rPr>
          <w:rFonts w:ascii="宋体" w:hAnsi="宋体"/>
          <w:sz w:val="24"/>
        </w:rPr>
        <w:t>生产或经营本次</w:t>
      </w:r>
      <w:r>
        <w:rPr>
          <w:rFonts w:hint="eastAsia" w:ascii="宋体" w:hAnsi="宋体"/>
          <w:sz w:val="24"/>
        </w:rPr>
        <w:t>招</w:t>
      </w:r>
      <w:r>
        <w:rPr>
          <w:rFonts w:ascii="宋体" w:hAnsi="宋体"/>
          <w:sz w:val="24"/>
        </w:rPr>
        <w:t>标采购货物的</w:t>
      </w:r>
      <w:r>
        <w:rPr>
          <w:rFonts w:hint="eastAsia" w:ascii="宋体" w:hAnsi="宋体"/>
          <w:sz w:val="24"/>
        </w:rPr>
        <w:t>供应商。</w:t>
      </w:r>
    </w:p>
    <w:p>
      <w:pPr>
        <w:spacing w:line="360" w:lineRule="auto"/>
        <w:rPr>
          <w:rFonts w:asciiTheme="minorEastAsia" w:hAnsiTheme="minorEastAsia" w:eastAsiaTheme="minorEastAsia"/>
          <w:sz w:val="24"/>
        </w:rPr>
      </w:pPr>
      <w:r>
        <w:rPr>
          <w:rFonts w:hint="eastAsia" w:ascii="宋体" w:hAnsi="宋体"/>
          <w:sz w:val="24"/>
        </w:rPr>
        <w:t>3.3. 参加政府采购活动前3年内在经营活动中没有重大违法记录</w:t>
      </w:r>
      <w:r>
        <w:rPr>
          <w:rFonts w:hint="eastAsia" w:asciiTheme="minorEastAsia" w:hAnsiTheme="minorEastAsia" w:eastAsiaTheme="minorEastAsia"/>
          <w:sz w:val="24"/>
        </w:rPr>
        <w:t>(提供书面声明)。</w:t>
      </w:r>
    </w:p>
    <w:p>
      <w:pPr>
        <w:spacing w:line="360" w:lineRule="auto"/>
        <w:rPr>
          <w:rFonts w:ascii="宋体" w:hAnsi="宋体"/>
          <w:sz w:val="24"/>
        </w:rPr>
      </w:pPr>
      <w:r>
        <w:rPr>
          <w:rFonts w:hint="eastAsia" w:asciiTheme="minorEastAsia" w:hAnsiTheme="minorEastAsia" w:eastAsiaTheme="minorEastAsia"/>
          <w:sz w:val="24"/>
        </w:rPr>
        <w:t>3.4.</w:t>
      </w:r>
      <w:r>
        <w:rPr>
          <w:rFonts w:hint="eastAsia" w:ascii="宋体" w:hAnsi="宋体"/>
          <w:sz w:val="24"/>
        </w:rPr>
        <w:t>供应商在竞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pacing w:line="360" w:lineRule="auto"/>
        <w:rPr>
          <w:rFonts w:ascii="宋体" w:hAnsi="宋体"/>
          <w:b/>
          <w:sz w:val="24"/>
        </w:rPr>
      </w:pPr>
      <w:r>
        <w:rPr>
          <w:rFonts w:hint="eastAsia" w:ascii="宋体" w:hAnsi="宋体"/>
          <w:b/>
          <w:sz w:val="24"/>
        </w:rPr>
        <w:t>4. 谈判费用及其他事项</w:t>
      </w:r>
    </w:p>
    <w:p>
      <w:pPr>
        <w:spacing w:line="360" w:lineRule="auto"/>
        <w:ind w:left="-61"/>
        <w:rPr>
          <w:rFonts w:ascii="宋体" w:hAnsi="宋体"/>
          <w:sz w:val="24"/>
        </w:rPr>
      </w:pPr>
      <w:r>
        <w:rPr>
          <w:rFonts w:hint="eastAsia" w:ascii="宋体" w:hAnsi="宋体"/>
          <w:sz w:val="24"/>
        </w:rPr>
        <w:t>4.1 谈判供应商应自行承担所有与编写和提交竞争性谈判响应文件有关的费用，不论谈判结果如何，采购人和</w:t>
      </w:r>
      <w:r>
        <w:rPr>
          <w:rFonts w:hint="eastAsia" w:ascii="宋体" w:hAnsi="宋体"/>
          <w:sz w:val="24"/>
          <w:u w:val="single"/>
        </w:rPr>
        <w:t>（政府采购代理机构）</w:t>
      </w:r>
      <w:r>
        <w:rPr>
          <w:rFonts w:hint="eastAsia" w:ascii="宋体" w:hAnsi="宋体"/>
          <w:sz w:val="24"/>
        </w:rPr>
        <w:t>在任何情况下无义务和责任承担此类费用。</w:t>
      </w:r>
    </w:p>
    <w:p>
      <w:pPr>
        <w:snapToGrid w:val="0"/>
        <w:spacing w:line="400" w:lineRule="exact"/>
        <w:jc w:val="left"/>
        <w:rPr>
          <w:rFonts w:ascii="宋体" w:hAnsi="宋体"/>
          <w:b/>
          <w:sz w:val="24"/>
        </w:rPr>
      </w:pPr>
      <w:r>
        <w:rPr>
          <w:rFonts w:hint="eastAsia" w:ascii="宋体" w:hAnsi="宋体"/>
          <w:b/>
          <w:sz w:val="24"/>
        </w:rPr>
        <w:t>5. 联合体要求</w:t>
      </w:r>
    </w:p>
    <w:p>
      <w:pPr>
        <w:tabs>
          <w:tab w:val="left" w:pos="2190"/>
        </w:tabs>
        <w:spacing w:line="380" w:lineRule="exact"/>
        <w:rPr>
          <w:rFonts w:ascii="宋体" w:hAnsi="宋体"/>
          <w:sz w:val="24"/>
        </w:rPr>
      </w:pPr>
      <w:r>
        <w:rPr>
          <w:rFonts w:hint="eastAsia" w:ascii="宋体" w:hAnsi="宋体"/>
          <w:sz w:val="24"/>
        </w:rPr>
        <w:t>5.1本项目 （不接受）联合体竞标</w:t>
      </w:r>
    </w:p>
    <w:p>
      <w:pPr>
        <w:tabs>
          <w:tab w:val="left" w:pos="2190"/>
        </w:tabs>
        <w:spacing w:line="380" w:lineRule="exact"/>
        <w:rPr>
          <w:rFonts w:ascii="宋体" w:hAnsi="宋体"/>
          <w:b/>
          <w:sz w:val="24"/>
        </w:rPr>
      </w:pPr>
      <w:r>
        <w:rPr>
          <w:rFonts w:hint="eastAsia" w:ascii="宋体" w:hAnsi="宋体"/>
          <w:b/>
          <w:sz w:val="24"/>
        </w:rPr>
        <w:t>6. 质疑和投诉</w:t>
      </w:r>
      <w:r>
        <w:rPr>
          <w:rFonts w:ascii="宋体" w:hAnsi="宋体"/>
          <w:b/>
          <w:sz w:val="24"/>
        </w:rPr>
        <w:tab/>
      </w:r>
    </w:p>
    <w:p>
      <w:pPr>
        <w:tabs>
          <w:tab w:val="left" w:pos="2190"/>
        </w:tabs>
        <w:spacing w:line="380" w:lineRule="exact"/>
        <w:rPr>
          <w:rFonts w:ascii="宋体" w:hAnsi="宋体"/>
          <w:sz w:val="24"/>
        </w:rPr>
      </w:pPr>
      <w:r>
        <w:rPr>
          <w:rFonts w:hint="eastAsia" w:ascii="宋体" w:hAnsi="宋体"/>
          <w:sz w:val="24"/>
        </w:rPr>
        <w:t>6.1供应商认为谈判文件使自己的合法权益受到损害的，应当在2020年11月19日前），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380" w:lineRule="exact"/>
        <w:rPr>
          <w:rFonts w:ascii="宋体" w:hAnsi="宋体"/>
          <w:sz w:val="24"/>
        </w:rPr>
      </w:pPr>
      <w:r>
        <w:rPr>
          <w:rFonts w:hint="eastAsia" w:ascii="宋体" w:hAnsi="宋体"/>
          <w:sz w:val="24"/>
        </w:rPr>
        <w:t>6.2供应商对采购代理机构的质疑答复不满意或者采购代理机构未在规定的时间内作出答复的，可以在答复期满后十五个工作日内向本级政府采购监督管理机构投诉。</w:t>
      </w:r>
    </w:p>
    <w:p>
      <w:pPr>
        <w:tabs>
          <w:tab w:val="left" w:pos="2190"/>
        </w:tabs>
        <w:spacing w:line="380" w:lineRule="exact"/>
        <w:rPr>
          <w:rFonts w:ascii="宋体" w:hAnsi="宋体"/>
          <w:sz w:val="24"/>
        </w:rPr>
      </w:pPr>
      <w:r>
        <w:rPr>
          <w:rFonts w:hint="eastAsia" w:ascii="宋体" w:hAnsi="宋体"/>
          <w:sz w:val="24"/>
        </w:rPr>
        <w:t>6.3质疑、投诉应当采用书面形式，均应明确阐述谈判文件、谈判过程或成交结果中使自己合法权益受到损害的实质性内容，并提供必要的证明材料。</w:t>
      </w:r>
    </w:p>
    <w:p>
      <w:pPr>
        <w:tabs>
          <w:tab w:val="left" w:pos="2190"/>
        </w:tabs>
        <w:spacing w:line="380" w:lineRule="exact"/>
        <w:rPr>
          <w:rFonts w:ascii="宋体" w:hAnsi="宋体"/>
          <w:b/>
          <w:sz w:val="24"/>
        </w:rPr>
      </w:pPr>
      <w:r>
        <w:rPr>
          <w:rFonts w:hint="eastAsia" w:ascii="宋体" w:hAnsi="宋体"/>
          <w:b/>
          <w:sz w:val="24"/>
        </w:rPr>
        <w:t>7. 转包与分包</w:t>
      </w:r>
    </w:p>
    <w:p>
      <w:pPr>
        <w:tabs>
          <w:tab w:val="left" w:pos="2190"/>
        </w:tabs>
        <w:spacing w:line="380" w:lineRule="exact"/>
        <w:rPr>
          <w:rFonts w:ascii="宋体" w:hAnsi="宋体"/>
          <w:sz w:val="24"/>
        </w:rPr>
      </w:pPr>
      <w:r>
        <w:rPr>
          <w:rFonts w:hint="eastAsia" w:ascii="宋体" w:hAnsi="宋体"/>
          <w:sz w:val="24"/>
        </w:rPr>
        <w:t>7.1 本项目不允许转包。</w:t>
      </w:r>
    </w:p>
    <w:p>
      <w:pPr>
        <w:tabs>
          <w:tab w:val="left" w:pos="2190"/>
        </w:tabs>
        <w:spacing w:line="380" w:lineRule="exact"/>
        <w:rPr>
          <w:rFonts w:ascii="宋体" w:hAnsi="宋体"/>
          <w:sz w:val="24"/>
        </w:rPr>
      </w:pPr>
      <w:r>
        <w:rPr>
          <w:rFonts w:hint="eastAsia" w:ascii="宋体" w:hAnsi="宋体"/>
          <w:sz w:val="24"/>
        </w:rPr>
        <w:t>7.2 本项目（</w:t>
      </w:r>
      <w:r>
        <w:rPr>
          <w:rFonts w:hint="eastAsia" w:cs="宋体" w:asciiTheme="minorEastAsia" w:hAnsiTheme="minorEastAsia" w:eastAsiaTheme="minorEastAsia"/>
          <w:b/>
          <w:kern w:val="0"/>
          <w:sz w:val="24"/>
          <w:u w:val="single"/>
        </w:rPr>
        <w:t>不可以</w:t>
      </w:r>
      <w:r>
        <w:rPr>
          <w:rFonts w:hint="eastAsia" w:ascii="宋体" w:hAnsi="宋体"/>
          <w:sz w:val="24"/>
        </w:rPr>
        <w:t>）</w:t>
      </w:r>
      <w:r>
        <w:rPr>
          <w:rFonts w:hint="eastAsia" w:cs="宋体" w:asciiTheme="minorEastAsia" w:hAnsiTheme="minorEastAsia" w:eastAsiaTheme="minorEastAsia"/>
          <w:b/>
          <w:kern w:val="0"/>
          <w:sz w:val="24"/>
        </w:rPr>
        <w:t>将</w:t>
      </w:r>
      <w:r>
        <w:rPr>
          <w:rFonts w:hint="eastAsia" w:cs="宋体" w:asciiTheme="minorEastAsia" w:hAnsiTheme="minorEastAsia" w:eastAsiaTheme="minorEastAsia"/>
          <w:kern w:val="0"/>
          <w:sz w:val="24"/>
        </w:rPr>
        <w:t>非主体、非关键性工作分包。</w:t>
      </w:r>
    </w:p>
    <w:p>
      <w:pPr>
        <w:tabs>
          <w:tab w:val="left" w:pos="1635"/>
        </w:tabs>
        <w:spacing w:line="380" w:lineRule="exact"/>
        <w:rPr>
          <w:rFonts w:ascii="宋体" w:hAnsi="宋体"/>
          <w:b/>
          <w:sz w:val="24"/>
        </w:rPr>
      </w:pPr>
      <w:r>
        <w:rPr>
          <w:rFonts w:hint="eastAsia" w:ascii="宋体" w:hAnsi="宋体"/>
          <w:b/>
          <w:sz w:val="24"/>
        </w:rPr>
        <w:t>8. 关联供应商不得参加同一合同项下政府采购活动，否则响应文件将被视为无效：</w:t>
      </w:r>
    </w:p>
    <w:p>
      <w:pPr>
        <w:tabs>
          <w:tab w:val="left" w:pos="1635"/>
        </w:tabs>
        <w:spacing w:line="380" w:lineRule="exact"/>
        <w:rPr>
          <w:rFonts w:ascii="宋体" w:hAnsi="宋体"/>
          <w:sz w:val="24"/>
        </w:rPr>
      </w:pPr>
      <w:r>
        <w:rPr>
          <w:rFonts w:hint="eastAsia" w:ascii="宋体" w:hAnsi="宋体"/>
          <w:sz w:val="24"/>
        </w:rPr>
        <w:t>8.1单位负责人为同一人或者存在直接控股、管理关系的，不得参加同一合同项下的政府采购活动。</w:t>
      </w:r>
    </w:p>
    <w:p>
      <w:pPr>
        <w:tabs>
          <w:tab w:val="left" w:pos="1635"/>
        </w:tabs>
        <w:spacing w:line="380" w:lineRule="exact"/>
        <w:rPr>
          <w:rFonts w:ascii="宋体" w:hAnsi="宋体"/>
          <w:sz w:val="24"/>
        </w:rPr>
      </w:pPr>
      <w:r>
        <w:rPr>
          <w:rFonts w:hint="eastAsia" w:ascii="宋体" w:hAnsi="宋体"/>
          <w:sz w:val="24"/>
        </w:rPr>
        <w:t>8.2生产厂商授权给供应商后自己不得参加同一合同项下的政府采购活动；生产厂商对同一品牌同一型号的货物，仅能委托一个代理商参加竞标。</w:t>
      </w:r>
    </w:p>
    <w:p>
      <w:pPr>
        <w:tabs>
          <w:tab w:val="left" w:pos="1635"/>
        </w:tabs>
        <w:spacing w:line="380" w:lineRule="exact"/>
        <w:rPr>
          <w:rFonts w:ascii="宋体" w:hAnsi="宋体"/>
          <w:sz w:val="24"/>
        </w:rPr>
      </w:pPr>
      <w:r>
        <w:rPr>
          <w:rFonts w:hint="eastAsia" w:ascii="宋体" w:hAnsi="宋体"/>
          <w:sz w:val="24"/>
        </w:rPr>
        <w:t>8.3为本采购项目提供整体设计、规范编制或者项目管理、监理、检测等服务的供应商，不得再参加本次采购活动。</w:t>
      </w:r>
    </w:p>
    <w:p>
      <w:pPr>
        <w:tabs>
          <w:tab w:val="left" w:pos="1635"/>
        </w:tabs>
        <w:spacing w:line="380" w:lineRule="exact"/>
        <w:rPr>
          <w:rFonts w:ascii="宋体" w:hAnsi="宋体"/>
          <w:sz w:val="24"/>
        </w:rPr>
      </w:pPr>
      <w:r>
        <w:rPr>
          <w:rFonts w:hint="eastAsia" w:ascii="宋体" w:hAnsi="宋体"/>
          <w:sz w:val="24"/>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widowControl/>
        <w:shd w:val="clear" w:color="auto" w:fill="FFFFFF"/>
        <w:spacing w:line="360" w:lineRule="auto"/>
        <w:jc w:val="left"/>
        <w:rPr>
          <w:rFonts w:ascii="宋体" w:hAnsi="宋体" w:cs="宋体"/>
          <w:b/>
          <w:kern w:val="0"/>
          <w:sz w:val="24"/>
        </w:rPr>
      </w:pPr>
      <w:r>
        <w:rPr>
          <w:rFonts w:hint="eastAsia" w:ascii="宋体" w:hAnsi="宋体" w:cs="Tahoma"/>
          <w:b/>
          <w:kern w:val="0"/>
          <w:sz w:val="24"/>
        </w:rPr>
        <w:t>9. 有下列情形之一的视为</w:t>
      </w:r>
      <w:r>
        <w:rPr>
          <w:rFonts w:ascii="宋体" w:hAnsi="宋体" w:cs="Tahoma"/>
          <w:b/>
          <w:kern w:val="0"/>
          <w:sz w:val="24"/>
        </w:rPr>
        <w:t>供应商相互串通</w:t>
      </w:r>
      <w:r>
        <w:rPr>
          <w:rFonts w:hint="eastAsia" w:ascii="宋体" w:hAnsi="宋体" w:cs="Tahoma"/>
          <w:b/>
          <w:kern w:val="0"/>
          <w:sz w:val="24"/>
        </w:rPr>
        <w:t>，响应文件将视为无效：</w:t>
      </w:r>
    </w:p>
    <w:p>
      <w:pPr>
        <w:tabs>
          <w:tab w:val="left" w:pos="1635"/>
        </w:tabs>
        <w:spacing w:line="380" w:lineRule="exact"/>
        <w:rPr>
          <w:rFonts w:ascii="宋体" w:hAnsi="宋体"/>
          <w:sz w:val="24"/>
        </w:rPr>
      </w:pPr>
      <w:r>
        <w:rPr>
          <w:rFonts w:hint="eastAsia" w:ascii="宋体" w:hAnsi="宋体"/>
          <w:sz w:val="24"/>
        </w:rPr>
        <w:t>9.1</w:t>
      </w:r>
      <w:r>
        <w:rPr>
          <w:rFonts w:ascii="宋体" w:hAnsi="宋体"/>
          <w:sz w:val="24"/>
        </w:rPr>
        <w:t>不同</w:t>
      </w:r>
      <w:r>
        <w:rPr>
          <w:rFonts w:hint="eastAsia" w:ascii="宋体" w:hAnsi="宋体"/>
          <w:sz w:val="24"/>
        </w:rPr>
        <w:t>谈判供应商</w:t>
      </w:r>
      <w:r>
        <w:rPr>
          <w:rFonts w:ascii="宋体" w:hAnsi="宋体"/>
          <w:sz w:val="24"/>
        </w:rPr>
        <w:t>的</w:t>
      </w:r>
      <w:r>
        <w:rPr>
          <w:rFonts w:hint="eastAsia" w:ascii="宋体" w:hAnsi="宋体"/>
          <w:sz w:val="24"/>
        </w:rPr>
        <w:t>竞争性谈判响应文件</w:t>
      </w:r>
      <w:r>
        <w:rPr>
          <w:rFonts w:ascii="宋体" w:hAnsi="宋体"/>
          <w:sz w:val="24"/>
        </w:rPr>
        <w:t>由同一单位或者个人编制；</w:t>
      </w:r>
    </w:p>
    <w:p>
      <w:pPr>
        <w:tabs>
          <w:tab w:val="left" w:pos="1635"/>
        </w:tabs>
        <w:spacing w:line="380" w:lineRule="exact"/>
        <w:rPr>
          <w:rFonts w:ascii="宋体" w:hAnsi="宋体"/>
          <w:sz w:val="24"/>
        </w:rPr>
      </w:pPr>
      <w:r>
        <w:rPr>
          <w:rFonts w:hint="eastAsia" w:ascii="宋体" w:hAnsi="宋体"/>
          <w:sz w:val="24"/>
        </w:rPr>
        <w:t>9.2</w:t>
      </w:r>
      <w:r>
        <w:rPr>
          <w:rFonts w:ascii="宋体" w:hAnsi="宋体"/>
          <w:sz w:val="24"/>
        </w:rPr>
        <w:t>不同</w:t>
      </w:r>
      <w:r>
        <w:rPr>
          <w:rFonts w:hint="eastAsia" w:ascii="宋体" w:hAnsi="宋体"/>
          <w:sz w:val="24"/>
        </w:rPr>
        <w:t>谈判供应商</w:t>
      </w:r>
      <w:r>
        <w:rPr>
          <w:rFonts w:ascii="宋体" w:hAnsi="宋体"/>
          <w:sz w:val="24"/>
        </w:rPr>
        <w:t>委托同一单位或者个人办理竞标事宜;</w:t>
      </w:r>
    </w:p>
    <w:p>
      <w:pPr>
        <w:tabs>
          <w:tab w:val="left" w:pos="1635"/>
        </w:tabs>
        <w:spacing w:line="380" w:lineRule="exact"/>
        <w:rPr>
          <w:rFonts w:ascii="宋体" w:hAnsi="宋体"/>
          <w:sz w:val="24"/>
        </w:rPr>
      </w:pPr>
      <w:r>
        <w:rPr>
          <w:rFonts w:hint="eastAsia" w:ascii="宋体" w:hAnsi="宋体"/>
          <w:sz w:val="24"/>
        </w:rPr>
        <w:t>9.3</w:t>
      </w:r>
      <w:r>
        <w:rPr>
          <w:rFonts w:ascii="宋体" w:hAnsi="宋体"/>
          <w:sz w:val="24"/>
        </w:rPr>
        <w:t>不同的</w:t>
      </w:r>
      <w:r>
        <w:rPr>
          <w:rFonts w:hint="eastAsia" w:ascii="宋体" w:hAnsi="宋体"/>
          <w:sz w:val="24"/>
        </w:rPr>
        <w:t>谈判供应商</w:t>
      </w:r>
      <w:r>
        <w:rPr>
          <w:rFonts w:ascii="宋体" w:hAnsi="宋体"/>
          <w:sz w:val="24"/>
        </w:rPr>
        <w:t>的</w:t>
      </w:r>
      <w:r>
        <w:rPr>
          <w:rFonts w:hint="eastAsia" w:ascii="宋体" w:hAnsi="宋体"/>
          <w:sz w:val="24"/>
        </w:rPr>
        <w:t>竞争性谈判响应文件</w:t>
      </w:r>
      <w:r>
        <w:rPr>
          <w:rFonts w:ascii="宋体" w:hAnsi="宋体"/>
          <w:sz w:val="24"/>
        </w:rPr>
        <w:t>载明的项目管理员为同一个人;</w:t>
      </w:r>
    </w:p>
    <w:p>
      <w:pPr>
        <w:tabs>
          <w:tab w:val="left" w:pos="1635"/>
        </w:tabs>
        <w:spacing w:line="380" w:lineRule="exact"/>
        <w:rPr>
          <w:rFonts w:ascii="宋体" w:hAnsi="宋体"/>
          <w:sz w:val="24"/>
        </w:rPr>
      </w:pPr>
      <w:r>
        <w:rPr>
          <w:rFonts w:hint="eastAsia" w:ascii="宋体" w:hAnsi="宋体"/>
          <w:sz w:val="24"/>
        </w:rPr>
        <w:t>9.4</w:t>
      </w:r>
      <w:r>
        <w:rPr>
          <w:rFonts w:ascii="宋体" w:hAnsi="宋体"/>
          <w:sz w:val="24"/>
        </w:rPr>
        <w:t>不同</w:t>
      </w:r>
      <w:r>
        <w:rPr>
          <w:rFonts w:hint="eastAsia" w:ascii="宋体" w:hAnsi="宋体"/>
          <w:sz w:val="24"/>
        </w:rPr>
        <w:t>谈判供应商</w:t>
      </w:r>
      <w:r>
        <w:rPr>
          <w:rFonts w:ascii="宋体" w:hAnsi="宋体"/>
          <w:sz w:val="24"/>
        </w:rPr>
        <w:t>的</w:t>
      </w:r>
      <w:r>
        <w:rPr>
          <w:rFonts w:hint="eastAsia" w:ascii="宋体" w:hAnsi="宋体"/>
          <w:sz w:val="24"/>
        </w:rPr>
        <w:t>竞争性谈判响应文件</w:t>
      </w:r>
      <w:r>
        <w:rPr>
          <w:rFonts w:ascii="宋体" w:hAnsi="宋体"/>
          <w:sz w:val="24"/>
        </w:rPr>
        <w:t>异常一致或竞标报价呈规律性差异;</w:t>
      </w:r>
    </w:p>
    <w:p>
      <w:pPr>
        <w:tabs>
          <w:tab w:val="left" w:pos="1635"/>
        </w:tabs>
        <w:spacing w:line="380" w:lineRule="exact"/>
        <w:rPr>
          <w:rFonts w:ascii="宋体" w:hAnsi="宋体"/>
          <w:sz w:val="24"/>
        </w:rPr>
      </w:pPr>
      <w:r>
        <w:rPr>
          <w:rFonts w:hint="eastAsia" w:ascii="宋体" w:hAnsi="宋体"/>
          <w:sz w:val="24"/>
        </w:rPr>
        <w:t>9.5</w:t>
      </w:r>
      <w:r>
        <w:rPr>
          <w:rFonts w:ascii="宋体" w:hAnsi="宋体"/>
          <w:sz w:val="24"/>
        </w:rPr>
        <w:t>不同</w:t>
      </w:r>
      <w:r>
        <w:rPr>
          <w:rFonts w:hint="eastAsia" w:ascii="宋体" w:hAnsi="宋体"/>
          <w:sz w:val="24"/>
        </w:rPr>
        <w:t>谈判供应商</w:t>
      </w:r>
      <w:r>
        <w:rPr>
          <w:rFonts w:ascii="宋体" w:hAnsi="宋体"/>
          <w:sz w:val="24"/>
        </w:rPr>
        <w:t>的</w:t>
      </w:r>
      <w:r>
        <w:rPr>
          <w:rFonts w:hint="eastAsia" w:ascii="宋体" w:hAnsi="宋体"/>
          <w:sz w:val="24"/>
        </w:rPr>
        <w:t>竞争性谈判响应文件</w:t>
      </w:r>
      <w:r>
        <w:rPr>
          <w:rFonts w:ascii="宋体" w:hAnsi="宋体"/>
          <w:sz w:val="24"/>
        </w:rPr>
        <w:t>相互混装</w:t>
      </w:r>
      <w:r>
        <w:rPr>
          <w:rFonts w:hint="eastAsia" w:ascii="宋体" w:hAnsi="宋体"/>
          <w:sz w:val="24"/>
        </w:rPr>
        <w:t>。</w:t>
      </w:r>
    </w:p>
    <w:p>
      <w:pPr>
        <w:spacing w:line="360" w:lineRule="auto"/>
        <w:jc w:val="left"/>
        <w:rPr>
          <w:rFonts w:ascii="宋体" w:hAnsi="宋体"/>
          <w:b/>
          <w:sz w:val="24"/>
        </w:rPr>
      </w:pPr>
    </w:p>
    <w:p>
      <w:pPr>
        <w:tabs>
          <w:tab w:val="left" w:pos="2190"/>
        </w:tabs>
        <w:spacing w:line="380" w:lineRule="exact"/>
        <w:ind w:firstLine="435"/>
        <w:jc w:val="center"/>
        <w:rPr>
          <w:rFonts w:ascii="宋体" w:hAnsi="宋体"/>
          <w:b/>
          <w:sz w:val="28"/>
          <w:szCs w:val="28"/>
        </w:rPr>
      </w:pPr>
      <w:r>
        <w:rPr>
          <w:rFonts w:hint="eastAsia" w:ascii="宋体" w:hAnsi="宋体"/>
          <w:b/>
          <w:sz w:val="28"/>
          <w:szCs w:val="28"/>
        </w:rPr>
        <w:t>二、谈判文件</w:t>
      </w:r>
    </w:p>
    <w:p>
      <w:pPr>
        <w:tabs>
          <w:tab w:val="left" w:pos="2190"/>
        </w:tabs>
        <w:spacing w:line="380" w:lineRule="exact"/>
        <w:ind w:firstLine="437"/>
        <w:rPr>
          <w:rFonts w:ascii="宋体" w:hAnsi="宋体"/>
          <w:b/>
          <w:sz w:val="24"/>
        </w:rPr>
      </w:pPr>
      <w:r>
        <w:rPr>
          <w:rFonts w:hint="eastAsia" w:ascii="宋体" w:hAnsi="宋体"/>
          <w:b/>
          <w:sz w:val="24"/>
        </w:rPr>
        <w:t>10. 谈判文件的构成</w:t>
      </w:r>
    </w:p>
    <w:p>
      <w:pPr>
        <w:tabs>
          <w:tab w:val="left" w:pos="2190"/>
        </w:tabs>
        <w:spacing w:line="380" w:lineRule="exact"/>
        <w:ind w:firstLine="437"/>
        <w:rPr>
          <w:rFonts w:ascii="宋体" w:hAnsi="宋体"/>
          <w:sz w:val="24"/>
        </w:rPr>
      </w:pPr>
      <w:r>
        <w:rPr>
          <w:rFonts w:hint="eastAsia" w:ascii="宋体" w:hAnsi="宋体"/>
          <w:sz w:val="24"/>
        </w:rPr>
        <w:t>第一章  竞争性谈判公告</w:t>
      </w:r>
    </w:p>
    <w:p>
      <w:pPr>
        <w:tabs>
          <w:tab w:val="left" w:pos="2190"/>
        </w:tabs>
        <w:spacing w:line="380" w:lineRule="exact"/>
        <w:ind w:firstLine="437"/>
        <w:rPr>
          <w:rFonts w:ascii="宋体" w:hAnsi="宋体"/>
          <w:sz w:val="24"/>
        </w:rPr>
      </w:pPr>
      <w:r>
        <w:rPr>
          <w:rFonts w:hint="eastAsia" w:ascii="宋体" w:hAnsi="宋体"/>
          <w:sz w:val="24"/>
        </w:rPr>
        <w:t>第二章  供应商须知</w:t>
      </w:r>
    </w:p>
    <w:p>
      <w:pPr>
        <w:tabs>
          <w:tab w:val="left" w:pos="2190"/>
        </w:tabs>
        <w:spacing w:line="380" w:lineRule="exact"/>
        <w:ind w:firstLine="437"/>
        <w:rPr>
          <w:rFonts w:ascii="宋体" w:hAnsi="宋体"/>
          <w:sz w:val="24"/>
        </w:rPr>
      </w:pPr>
      <w:r>
        <w:rPr>
          <w:rFonts w:hint="eastAsia" w:ascii="宋体" w:hAnsi="宋体"/>
          <w:sz w:val="24"/>
        </w:rPr>
        <w:t>第三章  项目需求</w:t>
      </w:r>
    </w:p>
    <w:p>
      <w:pPr>
        <w:tabs>
          <w:tab w:val="left" w:pos="2190"/>
        </w:tabs>
        <w:spacing w:line="380" w:lineRule="exact"/>
        <w:ind w:firstLine="437"/>
        <w:rPr>
          <w:rFonts w:ascii="宋体" w:hAnsi="宋体"/>
          <w:sz w:val="24"/>
        </w:rPr>
      </w:pPr>
      <w:r>
        <w:rPr>
          <w:rFonts w:hint="eastAsia" w:ascii="宋体" w:hAnsi="宋体"/>
          <w:sz w:val="24"/>
        </w:rPr>
        <w:t>第四章  响应文件格式</w:t>
      </w:r>
    </w:p>
    <w:p>
      <w:pPr>
        <w:tabs>
          <w:tab w:val="left" w:pos="2190"/>
        </w:tabs>
        <w:spacing w:line="380" w:lineRule="exact"/>
        <w:ind w:firstLine="437"/>
        <w:rPr>
          <w:rFonts w:ascii="宋体" w:hAnsi="宋体"/>
          <w:sz w:val="24"/>
        </w:rPr>
      </w:pPr>
      <w:r>
        <w:rPr>
          <w:rFonts w:hint="eastAsia" w:ascii="宋体" w:hAnsi="宋体"/>
          <w:sz w:val="24"/>
        </w:rPr>
        <w:t>第五章  合同主要条款</w:t>
      </w:r>
    </w:p>
    <w:p>
      <w:pPr>
        <w:tabs>
          <w:tab w:val="left" w:pos="2190"/>
        </w:tabs>
        <w:spacing w:line="380" w:lineRule="exact"/>
        <w:ind w:firstLine="437"/>
        <w:rPr>
          <w:rFonts w:ascii="宋体" w:hAnsi="宋体"/>
          <w:sz w:val="24"/>
        </w:rPr>
      </w:pPr>
      <w:r>
        <w:rPr>
          <w:rFonts w:hint="eastAsia" w:ascii="宋体" w:hAnsi="宋体"/>
          <w:sz w:val="24"/>
        </w:rPr>
        <w:t>第六章  评审办法及评审标准</w:t>
      </w:r>
    </w:p>
    <w:p>
      <w:pPr>
        <w:tabs>
          <w:tab w:val="left" w:pos="2190"/>
        </w:tabs>
        <w:spacing w:line="380" w:lineRule="exact"/>
        <w:ind w:firstLine="437"/>
        <w:rPr>
          <w:rFonts w:ascii="宋体" w:hAnsi="宋体"/>
          <w:sz w:val="24"/>
        </w:rPr>
      </w:pPr>
      <w:r>
        <w:rPr>
          <w:rFonts w:hint="eastAsia" w:ascii="宋体" w:hAnsi="宋体"/>
          <w:sz w:val="24"/>
        </w:rPr>
        <w:t>第七章  质疑书及投诉书格式</w:t>
      </w:r>
    </w:p>
    <w:p>
      <w:pPr>
        <w:tabs>
          <w:tab w:val="left" w:pos="2190"/>
        </w:tabs>
        <w:spacing w:line="380" w:lineRule="exact"/>
        <w:ind w:firstLine="437"/>
        <w:rPr>
          <w:rFonts w:ascii="宋体" w:hAnsi="宋体"/>
          <w:b/>
          <w:sz w:val="24"/>
        </w:rPr>
      </w:pPr>
      <w:r>
        <w:rPr>
          <w:rFonts w:hint="eastAsia" w:ascii="宋体" w:hAnsi="宋体"/>
          <w:b/>
          <w:sz w:val="24"/>
        </w:rPr>
        <w:t>11. 谈判文件的澄清与修改</w:t>
      </w:r>
    </w:p>
    <w:p>
      <w:pPr>
        <w:tabs>
          <w:tab w:val="left" w:pos="2190"/>
        </w:tabs>
        <w:spacing w:line="380" w:lineRule="exact"/>
        <w:ind w:firstLine="437"/>
        <w:rPr>
          <w:rFonts w:ascii="宋体" w:hAnsi="宋体"/>
          <w:sz w:val="24"/>
        </w:rPr>
      </w:pPr>
      <w:r>
        <w:rPr>
          <w:rFonts w:hint="eastAsia" w:ascii="宋体" w:hAnsi="宋体"/>
          <w:sz w:val="24"/>
        </w:rPr>
        <w:t>11.1 提交首次响应文件截止之日前，采购代理机构可以对已发出的谈判文件进行必要澄清或者修改，澄清或者修改的内容可能影响响应文件编制的，采购代理机构应当在提交首次响应文件递交截止时间3个工作日前在本项目竞争性谈判公告发布的同一媒体上发布更正公告，不足3个工作日的，应当顺延首次响应文件递交截止时间。</w:t>
      </w:r>
    </w:p>
    <w:p>
      <w:pPr>
        <w:tabs>
          <w:tab w:val="left" w:pos="2190"/>
        </w:tabs>
        <w:spacing w:line="380" w:lineRule="exact"/>
        <w:ind w:firstLine="437"/>
        <w:rPr>
          <w:rFonts w:ascii="宋体" w:hAnsi="宋体"/>
          <w:sz w:val="24"/>
        </w:rPr>
      </w:pPr>
      <w:r>
        <w:rPr>
          <w:rFonts w:hint="eastAsia" w:ascii="宋体" w:hAnsi="宋体"/>
          <w:sz w:val="24"/>
        </w:rPr>
        <w:t>11.2</w:t>
      </w:r>
      <w:r>
        <w:rPr>
          <w:rFonts w:hint="eastAsia" w:ascii="宋体" w:hAnsi="宋体"/>
          <w:b/>
          <w:sz w:val="24"/>
        </w:rPr>
        <w:t>供应商下载竞争性谈判文件后应实时关注相关网站了解澄清、修改等与项目有关的内容，如因供应商未及时登录相关网站了解澄清、修改等与项目有关的内容，从而导致竞标无效的，由供应商自行承担责任。</w:t>
      </w:r>
    </w:p>
    <w:p>
      <w:pPr>
        <w:tabs>
          <w:tab w:val="left" w:pos="2190"/>
        </w:tabs>
        <w:spacing w:line="380" w:lineRule="exact"/>
        <w:ind w:firstLine="437"/>
        <w:rPr>
          <w:rFonts w:ascii="宋体" w:hAnsi="宋体"/>
          <w:sz w:val="24"/>
        </w:rPr>
      </w:pPr>
      <w:r>
        <w:rPr>
          <w:rFonts w:hint="eastAsia" w:ascii="宋体" w:hAnsi="宋体"/>
          <w:sz w:val="24"/>
        </w:rPr>
        <w:t>11.3澄清或者修改的内容为谈判文件的组成部分。当澄清或者修改通知就同一内容的表述不一致时，以最后发出的文件为准。</w:t>
      </w:r>
    </w:p>
    <w:p>
      <w:pPr>
        <w:tabs>
          <w:tab w:val="left" w:pos="2190"/>
        </w:tabs>
        <w:spacing w:line="380" w:lineRule="exact"/>
        <w:ind w:firstLine="437"/>
        <w:rPr>
          <w:rFonts w:ascii="宋体" w:hAnsi="宋体"/>
          <w:sz w:val="24"/>
        </w:rPr>
      </w:pPr>
      <w:r>
        <w:rPr>
          <w:rFonts w:hint="eastAsia" w:ascii="宋体" w:hAnsi="宋体"/>
          <w:sz w:val="24"/>
        </w:rPr>
        <w:t>11.4 谈判文件的澄清或者修改都应该通过本项目采购代理机构以法定形式发布，采购人非通过本机构，不得擅自澄清或者修改谈判文件。</w:t>
      </w:r>
    </w:p>
    <w:p>
      <w:pPr>
        <w:tabs>
          <w:tab w:val="left" w:pos="2190"/>
        </w:tabs>
        <w:spacing w:line="380" w:lineRule="exact"/>
        <w:ind w:firstLine="437"/>
        <w:rPr>
          <w:rFonts w:ascii="宋体" w:hAnsi="宋体"/>
          <w:sz w:val="24"/>
        </w:rPr>
      </w:pPr>
      <w:r>
        <w:rPr>
          <w:rFonts w:hint="eastAsia" w:ascii="宋体" w:hAnsi="宋体"/>
          <w:sz w:val="24"/>
        </w:rPr>
        <w:t>11.5采购代理机构可以视采购具体情况，延长首次响应文件递交截止时间和谈判时间，并将变更时间在本项目竞争性谈判公告发布的同一媒体上发布变更公告。</w:t>
      </w:r>
    </w:p>
    <w:p>
      <w:pPr>
        <w:spacing w:line="360" w:lineRule="auto"/>
        <w:jc w:val="left"/>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t>三、竞争性谈判响应文件的编制</w:t>
      </w:r>
    </w:p>
    <w:p>
      <w:pPr>
        <w:spacing w:line="360" w:lineRule="auto"/>
        <w:rPr>
          <w:rFonts w:ascii="宋体" w:hAnsi="宋体"/>
          <w:b/>
          <w:sz w:val="24"/>
        </w:rPr>
      </w:pPr>
      <w:r>
        <w:rPr>
          <w:rFonts w:hint="eastAsia" w:ascii="宋体" w:hAnsi="宋体"/>
          <w:b/>
          <w:sz w:val="24"/>
        </w:rPr>
        <w:t>12. 竞争性谈判响应文件编制基本要求</w:t>
      </w:r>
    </w:p>
    <w:p>
      <w:pPr>
        <w:spacing w:line="360" w:lineRule="auto"/>
        <w:ind w:left="-1" w:leftChars="-29" w:hanging="60" w:hangingChars="25"/>
        <w:rPr>
          <w:rFonts w:ascii="宋体" w:hAnsi="宋体"/>
          <w:sz w:val="24"/>
        </w:rPr>
      </w:pPr>
      <w:r>
        <w:rPr>
          <w:rFonts w:hint="eastAsia" w:ascii="宋体" w:hAnsi="宋体"/>
          <w:sz w:val="24"/>
        </w:rPr>
        <w:t>12.1谈判供应商对竞争性谈判响应文件的编制应按要求装订和封装。</w:t>
      </w:r>
    </w:p>
    <w:p>
      <w:pPr>
        <w:spacing w:line="360" w:lineRule="auto"/>
        <w:ind w:left="-1" w:leftChars="-29" w:hanging="60" w:hangingChars="25"/>
        <w:rPr>
          <w:rFonts w:ascii="宋体" w:hAnsi="宋体"/>
          <w:sz w:val="24"/>
        </w:rPr>
      </w:pPr>
      <w:r>
        <w:rPr>
          <w:rFonts w:hint="eastAsia" w:ascii="宋体" w:hAnsi="宋体"/>
          <w:sz w:val="24"/>
        </w:rPr>
        <w:t>12.2谈判供应商提交的竞争性谈判响应文件以及谈判供应商与</w:t>
      </w:r>
      <w:r>
        <w:rPr>
          <w:rFonts w:hint="eastAsia" w:ascii="宋体" w:hAnsi="宋体"/>
          <w:sz w:val="24"/>
          <w:u w:val="single"/>
        </w:rPr>
        <w:t>广西建设工程机电设备招标中心有限公司（以下简称“本中心”）</w:t>
      </w:r>
      <w:r>
        <w:rPr>
          <w:rFonts w:hint="eastAsia" w:ascii="宋体" w:hAnsi="宋体"/>
          <w:sz w:val="24"/>
        </w:rPr>
        <w:t>和采购人就有关谈判的所有来往函电均应使用中文。谈判供应商提交的支持文件和印刷的文件可以使用别的语言，但其相应内容必须附有中文翻译文本，在解释竞争性谈判响应文件时以翻译文本为主。</w:t>
      </w:r>
    </w:p>
    <w:p>
      <w:pPr>
        <w:spacing w:line="360" w:lineRule="auto"/>
        <w:ind w:left="-1" w:leftChars="-29" w:hanging="60" w:hangingChars="25"/>
        <w:rPr>
          <w:rFonts w:ascii="宋体" w:hAnsi="宋体"/>
          <w:sz w:val="24"/>
        </w:rPr>
      </w:pPr>
      <w:r>
        <w:rPr>
          <w:rFonts w:hint="eastAsia" w:ascii="宋体" w:hAnsi="宋体"/>
          <w:sz w:val="24"/>
        </w:rPr>
        <w:t>12.3谈判供应商应认真阅读、并充分理解本文件的全部内容（包括所有的补充、修改内容），承诺并履行本文件中各项条款规定及要求。</w:t>
      </w:r>
    </w:p>
    <w:p>
      <w:pPr>
        <w:spacing w:line="360" w:lineRule="auto"/>
        <w:ind w:left="-1" w:leftChars="-29" w:hanging="60" w:hangingChars="25"/>
        <w:rPr>
          <w:rFonts w:ascii="宋体" w:hAnsi="宋体"/>
          <w:sz w:val="24"/>
        </w:rPr>
      </w:pPr>
      <w:r>
        <w:rPr>
          <w:rFonts w:hint="eastAsia" w:ascii="宋体" w:hAnsi="宋体"/>
          <w:sz w:val="24"/>
        </w:rPr>
        <w:t>12.4竞争性谈判响应文件必须按本文件的全部内容，包括所有的补充通知及附件进行编制。</w:t>
      </w:r>
    </w:p>
    <w:p>
      <w:pPr>
        <w:spacing w:line="360" w:lineRule="auto"/>
        <w:ind w:left="-1" w:leftChars="-29" w:hanging="60" w:hangingChars="25"/>
        <w:rPr>
          <w:rFonts w:ascii="宋体" w:hAnsi="宋体"/>
          <w:b/>
          <w:sz w:val="24"/>
        </w:rPr>
      </w:pPr>
      <w:r>
        <w:rPr>
          <w:rFonts w:hint="eastAsia" w:ascii="宋体" w:hAnsi="宋体"/>
          <w:sz w:val="24"/>
        </w:rPr>
        <w:t>12.5</w:t>
      </w:r>
      <w:r>
        <w:rPr>
          <w:rFonts w:hint="eastAsia" w:ascii="宋体" w:hAnsi="宋体"/>
          <w:b/>
          <w:sz w:val="24"/>
        </w:rPr>
        <w:t>如因谈判供应商只填写和提供了本文件要求的部分内容和附件，而给评审造成困难，其可能导致的结果和责任由谈判供应商自行承担。</w:t>
      </w:r>
    </w:p>
    <w:p>
      <w:pPr>
        <w:spacing w:line="360" w:lineRule="auto"/>
        <w:rPr>
          <w:rFonts w:ascii="宋体" w:hAnsi="宋体"/>
          <w:b/>
          <w:sz w:val="24"/>
        </w:rPr>
      </w:pPr>
      <w:r>
        <w:rPr>
          <w:rFonts w:hint="eastAsia" w:ascii="宋体" w:hAnsi="宋体"/>
          <w:b/>
          <w:sz w:val="24"/>
        </w:rPr>
        <w:t>12.6竞争性谈判响应文件的组成</w:t>
      </w:r>
    </w:p>
    <w:p>
      <w:pPr>
        <w:spacing w:line="360" w:lineRule="auto"/>
        <w:ind w:firstLine="420"/>
        <w:rPr>
          <w:rFonts w:ascii="宋体" w:hAnsi="宋体"/>
          <w:sz w:val="24"/>
        </w:rPr>
      </w:pPr>
      <w:r>
        <w:rPr>
          <w:rFonts w:hint="eastAsia" w:ascii="宋体" w:hAnsi="宋体"/>
          <w:sz w:val="24"/>
        </w:rPr>
        <w:t>竞争性谈判响应文件应分为价格部分、资信及商务部分、技术部分组成。三部分装订成一册，同时提供电子文档一份。装订应牢固，不易拆散和换页。</w:t>
      </w:r>
    </w:p>
    <w:p>
      <w:pPr>
        <w:spacing w:line="360" w:lineRule="auto"/>
        <w:ind w:firstLine="420"/>
        <w:rPr>
          <w:rFonts w:ascii="宋体" w:hAnsi="宋体"/>
          <w:sz w:val="24"/>
        </w:rPr>
      </w:pPr>
      <w:r>
        <w:rPr>
          <w:rFonts w:hint="eastAsia" w:ascii="宋体" w:hAnsi="宋体"/>
          <w:sz w:val="24"/>
        </w:rPr>
        <w:t>所需提供查验的原件与响应文件一并密封到同一文件袋。</w:t>
      </w:r>
    </w:p>
    <w:p>
      <w:pPr>
        <w:spacing w:line="360" w:lineRule="auto"/>
        <w:rPr>
          <w:rFonts w:ascii="宋体" w:hAnsi="宋体"/>
          <w:b/>
          <w:sz w:val="24"/>
        </w:rPr>
      </w:pPr>
      <w:r>
        <w:rPr>
          <w:rFonts w:hint="eastAsia" w:ascii="宋体" w:hAnsi="宋体"/>
          <w:b/>
          <w:sz w:val="24"/>
        </w:rPr>
        <w:t>12.6.1价格部分</w:t>
      </w:r>
    </w:p>
    <w:p>
      <w:pPr>
        <w:spacing w:line="360" w:lineRule="exact"/>
        <w:ind w:firstLine="482" w:firstLineChars="200"/>
        <w:rPr>
          <w:rFonts w:ascii="宋体" w:hAnsi="宋体"/>
          <w:b/>
          <w:sz w:val="24"/>
        </w:rPr>
      </w:pPr>
      <w:r>
        <w:rPr>
          <w:rFonts w:hint="eastAsia" w:ascii="宋体" w:hAnsi="宋体"/>
          <w:b/>
          <w:sz w:val="24"/>
        </w:rPr>
        <w:t>1）响应函；（附件一）</w:t>
      </w:r>
    </w:p>
    <w:p>
      <w:pPr>
        <w:spacing w:line="360" w:lineRule="auto"/>
        <w:ind w:firstLine="482" w:firstLineChars="200"/>
        <w:rPr>
          <w:rFonts w:ascii="宋体" w:hAnsi="宋体"/>
          <w:b/>
          <w:sz w:val="24"/>
        </w:rPr>
      </w:pPr>
      <w:r>
        <w:rPr>
          <w:rFonts w:hint="eastAsia" w:ascii="宋体" w:hAnsi="宋体"/>
          <w:b/>
          <w:sz w:val="24"/>
        </w:rPr>
        <w:t>2）报价明细表；（附件二）</w:t>
      </w:r>
    </w:p>
    <w:p>
      <w:pPr>
        <w:spacing w:line="360" w:lineRule="exact"/>
        <w:ind w:left="-2" w:leftChars="-1"/>
        <w:rPr>
          <w:rFonts w:ascii="宋体" w:hAnsi="宋体"/>
          <w:sz w:val="24"/>
        </w:rPr>
      </w:pPr>
      <w:r>
        <w:rPr>
          <w:rFonts w:hint="eastAsia" w:ascii="宋体" w:hAnsi="宋体"/>
          <w:b/>
          <w:sz w:val="24"/>
        </w:rPr>
        <w:t>12.6.2 资信及商务部分</w:t>
      </w:r>
    </w:p>
    <w:p>
      <w:pPr>
        <w:tabs>
          <w:tab w:val="left" w:pos="1305"/>
        </w:tabs>
        <w:spacing w:line="400" w:lineRule="exact"/>
        <w:ind w:firstLine="480" w:firstLineChars="200"/>
        <w:rPr>
          <w:rFonts w:ascii="宋体" w:hAnsi="宋体"/>
          <w:sz w:val="24"/>
        </w:rPr>
      </w:pPr>
      <w:r>
        <w:rPr>
          <w:rFonts w:hint="eastAsia" w:ascii="宋体" w:hAnsi="宋体"/>
          <w:sz w:val="24"/>
        </w:rPr>
        <w:t>1）供应商的法人或者其他组织营业执照等证明文件（必须提供，自然人除外）；</w:t>
      </w:r>
    </w:p>
    <w:p>
      <w:pPr>
        <w:tabs>
          <w:tab w:val="left" w:pos="1305"/>
        </w:tabs>
        <w:spacing w:line="400" w:lineRule="exact"/>
        <w:ind w:firstLine="482" w:firstLineChars="200"/>
        <w:rPr>
          <w:rFonts w:ascii="宋体" w:hAnsi="宋体"/>
          <w:b/>
          <w:sz w:val="24"/>
        </w:rPr>
      </w:pPr>
      <w:r>
        <w:rPr>
          <w:rFonts w:hint="eastAsia" w:ascii="宋体" w:hAnsi="宋体"/>
          <w:b/>
          <w:sz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30" w:lineRule="exact"/>
        <w:ind w:firstLine="480" w:firstLineChars="200"/>
        <w:rPr>
          <w:rFonts w:ascii="宋体" w:hAnsi="宋体"/>
          <w:sz w:val="24"/>
        </w:rPr>
      </w:pPr>
      <w:r>
        <w:rPr>
          <w:rFonts w:hint="eastAsia" w:ascii="宋体" w:hAnsi="宋体"/>
          <w:sz w:val="24"/>
        </w:rPr>
        <w:t>2）供应商法定代表人身份证明书、相应的法定代表人身份证正反两面复印件</w:t>
      </w:r>
      <w:r>
        <w:rPr>
          <w:rFonts w:hint="eastAsia" w:ascii="宋体" w:hAnsi="宋体"/>
          <w:b/>
          <w:sz w:val="24"/>
        </w:rPr>
        <w:t>（必须提供；</w:t>
      </w:r>
      <w:r>
        <w:rPr>
          <w:rFonts w:hint="eastAsia" w:ascii="宋体" w:hAnsi="宋体"/>
          <w:sz w:val="24"/>
        </w:rPr>
        <w:t>供应商若为自然人的提供自然人身份证正反两面复印件，供应商若为其他组织形式无法定代表人的提供负责人身份证正反两面复印件）（附件三，必须提供）；</w:t>
      </w:r>
    </w:p>
    <w:p>
      <w:pPr>
        <w:tabs>
          <w:tab w:val="left" w:pos="1305"/>
        </w:tabs>
        <w:spacing w:line="380" w:lineRule="exact"/>
        <w:ind w:firstLine="480" w:firstLineChars="200"/>
        <w:rPr>
          <w:rFonts w:ascii="宋体" w:hAnsi="宋体"/>
          <w:sz w:val="24"/>
        </w:rPr>
      </w:pPr>
      <w:r>
        <w:rPr>
          <w:rFonts w:hint="eastAsia" w:ascii="宋体" w:hAnsi="宋体"/>
          <w:sz w:val="24"/>
        </w:rPr>
        <w:t>3）授权委托书原件、委托代理人身份证正反面复印件（附件四，委托代理时必须提供）；</w:t>
      </w:r>
    </w:p>
    <w:p>
      <w:pPr>
        <w:tabs>
          <w:tab w:val="left" w:pos="1305"/>
        </w:tabs>
        <w:spacing w:line="400" w:lineRule="exact"/>
        <w:ind w:firstLine="480" w:firstLineChars="200"/>
        <w:rPr>
          <w:rFonts w:ascii="宋体" w:hAnsi="宋体"/>
          <w:sz w:val="24"/>
        </w:rPr>
      </w:pPr>
      <w:r>
        <w:rPr>
          <w:rFonts w:hint="eastAsia" w:ascii="宋体" w:hAnsi="宋体"/>
          <w:sz w:val="24"/>
        </w:rPr>
        <w:t xml:space="preserve">4）供应商参加采购活动前3年内在经营活动中没有重大违法记录的书面声明（附件五，必须提供）； </w:t>
      </w:r>
    </w:p>
    <w:p>
      <w:pPr>
        <w:spacing w:line="360" w:lineRule="exact"/>
        <w:ind w:firstLine="480" w:firstLineChars="200"/>
        <w:rPr>
          <w:rFonts w:ascii="宋体" w:hAnsi="宋体"/>
          <w:sz w:val="24"/>
        </w:rPr>
      </w:pPr>
      <w:r>
        <w:rPr>
          <w:rFonts w:hint="eastAsia" w:ascii="宋体" w:hAnsi="宋体"/>
          <w:sz w:val="24"/>
        </w:rPr>
        <w:t>5）供应商可在“信用中国”网站（www.creditchina.gov.cn）查询相关供应商主体信用记录，同时将查询结果截图加盖公章与上述书面声明一并提交（附件六）</w:t>
      </w:r>
    </w:p>
    <w:p>
      <w:pPr>
        <w:spacing w:line="360" w:lineRule="exact"/>
        <w:ind w:firstLine="480" w:firstLineChars="200"/>
        <w:jc w:val="left"/>
        <w:rPr>
          <w:rFonts w:ascii="宋体" w:hAnsi="宋体"/>
          <w:sz w:val="24"/>
        </w:rPr>
      </w:pPr>
      <w:r>
        <w:rPr>
          <w:rFonts w:hint="eastAsia" w:ascii="宋体" w:hAnsi="宋体"/>
          <w:sz w:val="24"/>
        </w:rPr>
        <w:t>6）供应商参加竞标前一年内连续三个月依法缴纳税费或依法免缴税费的证明（复印件，原件备查，格式自拟），供应商为新注册成立的企业（距谈判截止日不足三个月），须提供企业自成立至今的依法缴纳税收证明材料，原件备查；（必须提供）</w:t>
      </w:r>
    </w:p>
    <w:p>
      <w:pPr>
        <w:tabs>
          <w:tab w:val="left" w:pos="1305"/>
        </w:tabs>
        <w:spacing w:line="360" w:lineRule="exact"/>
        <w:ind w:firstLine="480" w:firstLineChars="200"/>
        <w:rPr>
          <w:rFonts w:ascii="宋体" w:hAnsi="宋体"/>
          <w:sz w:val="24"/>
        </w:rPr>
      </w:pPr>
      <w:r>
        <w:rPr>
          <w:rFonts w:hint="eastAsia" w:ascii="宋体" w:hAnsi="宋体"/>
          <w:sz w:val="24"/>
        </w:rPr>
        <w:t>7）供应商参加竞标前一年内连续三个月依法缴纳社保费的缴费凭证（复印件，原件备查，格式自拟），供应商为新注册成立的企业（距谈判截止日不足三个月），须提供企业自成立至今的社保证明，原件备查；（必须提供）</w:t>
      </w:r>
    </w:p>
    <w:p>
      <w:pPr>
        <w:spacing w:line="360" w:lineRule="exact"/>
        <w:ind w:firstLine="480" w:firstLineChars="200"/>
        <w:rPr>
          <w:rFonts w:ascii="宋体" w:hAnsi="宋体"/>
          <w:sz w:val="24"/>
        </w:rPr>
      </w:pPr>
      <w:r>
        <w:rPr>
          <w:rFonts w:hint="eastAsia" w:ascii="宋体" w:hAnsi="宋体"/>
          <w:sz w:val="24"/>
        </w:rPr>
        <w:t>8）财务会计报表复印件：投标人2019年度财务报表复印件【①如无经会计师事务所审计的财务报告，则需提交本公司出具的财务报表；②新近成立的公司可根据其成立的时间提交财务报表；③自行提供财务报表的，账务报表至少包含资产负债表、利润表、现金流量表，未按要求提供材料的，谈判小组将取消其竞标资格】，或投标人其基本开户银行出具的资信证明（复印件）。</w:t>
      </w:r>
    </w:p>
    <w:p>
      <w:pPr>
        <w:spacing w:line="360" w:lineRule="exact"/>
        <w:ind w:firstLine="480" w:firstLineChars="200"/>
        <w:rPr>
          <w:rFonts w:ascii="宋体" w:hAnsi="宋体"/>
          <w:bCs/>
          <w:sz w:val="24"/>
        </w:rPr>
      </w:pPr>
      <w:r>
        <w:rPr>
          <w:rFonts w:hint="eastAsia" w:ascii="宋体" w:hAnsi="宋体"/>
          <w:sz w:val="24"/>
        </w:rPr>
        <w:t>9）</w:t>
      </w:r>
      <w:r>
        <w:rPr>
          <w:rFonts w:hint="eastAsia" w:ascii="宋体" w:hAnsi="宋体"/>
          <w:bCs/>
          <w:sz w:val="24"/>
        </w:rPr>
        <w:t>商务条款偏离表；</w:t>
      </w:r>
      <w:r>
        <w:rPr>
          <w:rFonts w:hint="eastAsia" w:ascii="宋体" w:hAnsi="宋体"/>
          <w:sz w:val="24"/>
        </w:rPr>
        <w:t>（附件六）</w:t>
      </w:r>
    </w:p>
    <w:p>
      <w:pPr>
        <w:spacing w:line="360" w:lineRule="exact"/>
        <w:ind w:firstLine="480" w:firstLineChars="200"/>
        <w:rPr>
          <w:rFonts w:ascii="宋体" w:hAnsi="宋体"/>
          <w:sz w:val="24"/>
        </w:rPr>
      </w:pPr>
      <w:r>
        <w:rPr>
          <w:rFonts w:hint="eastAsia" w:ascii="宋体" w:hAnsi="宋体"/>
          <w:bCs/>
          <w:sz w:val="24"/>
        </w:rPr>
        <w:t>10）</w:t>
      </w:r>
      <w:r>
        <w:rPr>
          <w:rFonts w:hint="eastAsia" w:ascii="宋体" w:hAnsi="宋体"/>
          <w:sz w:val="24"/>
        </w:rPr>
        <w:t>售后服务承诺；</w:t>
      </w:r>
    </w:p>
    <w:p>
      <w:pPr>
        <w:snapToGrid w:val="0"/>
        <w:spacing w:line="400" w:lineRule="exact"/>
        <w:ind w:firstLine="480" w:firstLineChars="200"/>
        <w:outlineLvl w:val="4"/>
        <w:rPr>
          <w:rFonts w:ascii="宋体" w:hAnsi="宋体"/>
          <w:sz w:val="24"/>
        </w:rPr>
      </w:pPr>
      <w:r>
        <w:rPr>
          <w:rFonts w:hint="eastAsia" w:ascii="宋体" w:hAnsi="宋体"/>
          <w:sz w:val="24"/>
        </w:rPr>
        <w:t>11）节能产品认证证书复印件（如有，请提供）；</w:t>
      </w:r>
    </w:p>
    <w:p>
      <w:pPr>
        <w:snapToGrid w:val="0"/>
        <w:spacing w:line="400" w:lineRule="exact"/>
        <w:ind w:firstLine="480" w:firstLineChars="200"/>
        <w:outlineLvl w:val="4"/>
        <w:rPr>
          <w:rFonts w:ascii="宋体" w:hAnsi="宋体"/>
          <w:sz w:val="24"/>
        </w:rPr>
      </w:pPr>
      <w:r>
        <w:rPr>
          <w:rFonts w:hint="eastAsia" w:ascii="宋体" w:hAnsi="宋体"/>
          <w:sz w:val="24"/>
        </w:rPr>
        <w:t>12）环境标志产品认证证书复印件（如有，请提供）；</w:t>
      </w:r>
    </w:p>
    <w:p>
      <w:pPr>
        <w:snapToGrid w:val="0"/>
        <w:spacing w:line="400" w:lineRule="exact"/>
        <w:ind w:firstLine="480" w:firstLineChars="200"/>
        <w:outlineLvl w:val="4"/>
        <w:rPr>
          <w:rFonts w:ascii="宋体" w:hAnsi="宋体"/>
          <w:sz w:val="24"/>
        </w:rPr>
      </w:pPr>
      <w:r>
        <w:rPr>
          <w:rFonts w:hint="eastAsia" w:ascii="宋体" w:hAnsi="宋体"/>
          <w:sz w:val="24"/>
        </w:rPr>
        <w:t>13）其他有效证明文件的复印件（如产品属于小型、微型企业、监狱企业的，以提供工商注册地的工业和信息化部门等其他行政部门出具的相关证明材料为准）（如有，请提供）。</w:t>
      </w:r>
    </w:p>
    <w:p>
      <w:pPr>
        <w:spacing w:line="360" w:lineRule="exact"/>
        <w:ind w:firstLine="480" w:firstLineChars="200"/>
        <w:rPr>
          <w:rFonts w:ascii="宋体" w:hAnsi="宋体"/>
          <w:sz w:val="24"/>
        </w:rPr>
      </w:pPr>
      <w:r>
        <w:rPr>
          <w:rFonts w:hint="eastAsia" w:ascii="宋体" w:hAnsi="宋体"/>
          <w:sz w:val="24"/>
        </w:rPr>
        <w:t>14）谈判文件要求（具体按第三章要求,如有要求必须提供的则必须提供，否则响应文件无效）或供应商认为有必要提交的其他文件资料；</w:t>
      </w:r>
    </w:p>
    <w:p>
      <w:pPr>
        <w:spacing w:line="360" w:lineRule="auto"/>
        <w:ind w:left="-2" w:leftChars="-1"/>
        <w:rPr>
          <w:rFonts w:ascii="宋体" w:hAnsi="宋体"/>
          <w:b/>
          <w:sz w:val="24"/>
        </w:rPr>
      </w:pPr>
      <w:r>
        <w:rPr>
          <w:rFonts w:hint="eastAsia" w:ascii="宋体" w:hAnsi="宋体"/>
          <w:b/>
          <w:sz w:val="24"/>
        </w:rPr>
        <w:t>12.6.3技术部分</w:t>
      </w:r>
    </w:p>
    <w:p>
      <w:pPr>
        <w:snapToGrid w:val="0"/>
        <w:spacing w:line="400" w:lineRule="exact"/>
        <w:ind w:firstLine="480" w:firstLineChars="200"/>
        <w:outlineLvl w:val="4"/>
        <w:rPr>
          <w:rFonts w:ascii="宋体" w:hAnsi="宋体"/>
          <w:sz w:val="24"/>
        </w:rPr>
      </w:pPr>
      <w:r>
        <w:rPr>
          <w:rFonts w:hint="eastAsia" w:ascii="宋体" w:hAnsi="宋体"/>
          <w:sz w:val="24"/>
        </w:rPr>
        <w:t>1）投标产品技术资料表；（附件七）（必须提供，否则响应文件无效）；</w:t>
      </w:r>
    </w:p>
    <w:p>
      <w:pPr>
        <w:snapToGrid w:val="0"/>
        <w:spacing w:line="400" w:lineRule="exact"/>
        <w:ind w:firstLine="480" w:firstLineChars="200"/>
        <w:outlineLvl w:val="4"/>
        <w:rPr>
          <w:rFonts w:ascii="宋体" w:hAnsi="宋体"/>
          <w:sz w:val="24"/>
        </w:rPr>
      </w:pPr>
      <w:r>
        <w:rPr>
          <w:rFonts w:hint="eastAsia" w:ascii="宋体" w:hAnsi="宋体"/>
          <w:sz w:val="24"/>
        </w:rPr>
        <w:t>2）能够真实反映其它产品技术参数、性能指标的相关资料；</w:t>
      </w:r>
    </w:p>
    <w:p>
      <w:pPr>
        <w:snapToGrid w:val="0"/>
        <w:spacing w:line="400" w:lineRule="exact"/>
        <w:ind w:firstLine="480" w:firstLineChars="200"/>
        <w:outlineLvl w:val="4"/>
        <w:rPr>
          <w:rFonts w:ascii="宋体" w:hAnsi="宋体"/>
          <w:sz w:val="24"/>
        </w:rPr>
      </w:pPr>
      <w:r>
        <w:rPr>
          <w:rFonts w:hint="eastAsia" w:ascii="宋体" w:hAnsi="宋体"/>
          <w:sz w:val="24"/>
        </w:rPr>
        <w:t>3）项目实施人员一览表(如有，请提供)</w:t>
      </w:r>
    </w:p>
    <w:p>
      <w:pPr>
        <w:snapToGrid w:val="0"/>
        <w:spacing w:line="400" w:lineRule="exact"/>
        <w:ind w:firstLine="480" w:firstLineChars="200"/>
        <w:outlineLvl w:val="4"/>
        <w:rPr>
          <w:rFonts w:ascii="宋体" w:hAnsi="宋体"/>
          <w:sz w:val="24"/>
        </w:rPr>
      </w:pPr>
      <w:r>
        <w:rPr>
          <w:rFonts w:hint="eastAsia" w:ascii="宋体" w:hAnsi="宋体"/>
          <w:sz w:val="24"/>
        </w:rPr>
        <w:t>4）供应商</w:t>
      </w:r>
      <w:r>
        <w:rPr>
          <w:rFonts w:hint="eastAsia" w:ascii="宋体" w:hAnsi="宋体"/>
          <w:sz w:val="24"/>
          <w:u w:val="single"/>
        </w:rPr>
        <w:t>2018</w:t>
      </w:r>
      <w:r>
        <w:rPr>
          <w:rFonts w:hint="eastAsia" w:ascii="宋体" w:hAnsi="宋体"/>
          <w:sz w:val="24"/>
        </w:rPr>
        <w:t>年以来具有同类产品的销售业绩的相关证明材料（以中标、成交通知书或签订的销售合同为准，并能清晰反映所销售的货物名称、种类、金额）（如有，请提供）；</w:t>
      </w:r>
    </w:p>
    <w:p>
      <w:pPr>
        <w:snapToGrid w:val="0"/>
        <w:spacing w:line="400" w:lineRule="exact"/>
        <w:ind w:firstLine="480" w:firstLineChars="200"/>
        <w:outlineLvl w:val="4"/>
        <w:rPr>
          <w:rFonts w:ascii="宋体" w:hAnsi="宋体"/>
          <w:sz w:val="24"/>
        </w:rPr>
      </w:pPr>
      <w:r>
        <w:rPr>
          <w:rFonts w:hint="eastAsia" w:ascii="宋体" w:hAnsi="宋体"/>
          <w:sz w:val="24"/>
        </w:rPr>
        <w:t>5）谈判文件要求（具体按第三章要求,如有要求必须提供的则必须提供，否则响应文件无效）或谈判供应商认为需要提供的有关技术资料；</w:t>
      </w:r>
    </w:p>
    <w:p>
      <w:pPr>
        <w:spacing w:line="360" w:lineRule="auto"/>
        <w:rPr>
          <w:rFonts w:ascii="宋体" w:hAnsi="宋体"/>
          <w:b/>
          <w:sz w:val="24"/>
        </w:rPr>
      </w:pPr>
      <w:r>
        <w:rPr>
          <w:rFonts w:hint="eastAsia" w:ascii="宋体" w:hAnsi="宋体"/>
          <w:b/>
          <w:sz w:val="24"/>
        </w:rPr>
        <w:t>13.计量单位</w:t>
      </w:r>
    </w:p>
    <w:p>
      <w:pPr>
        <w:spacing w:line="360" w:lineRule="auto"/>
        <w:ind w:left="-61" w:leftChars="-29" w:firstLine="480" w:firstLineChars="200"/>
        <w:rPr>
          <w:rFonts w:ascii="宋体" w:hAnsi="宋体"/>
          <w:sz w:val="24"/>
        </w:rPr>
      </w:pPr>
      <w:r>
        <w:rPr>
          <w:rFonts w:hint="eastAsia" w:ascii="宋体" w:hAnsi="宋体"/>
          <w:sz w:val="24"/>
        </w:rPr>
        <w:t>13.1除技术要求中另有规定外，本文件所要求使用的计量单位均应采用国家法定计量单位。</w:t>
      </w:r>
    </w:p>
    <w:p>
      <w:pPr>
        <w:spacing w:line="360" w:lineRule="auto"/>
        <w:jc w:val="center"/>
        <w:rPr>
          <w:rFonts w:ascii="宋体" w:hAnsi="宋体"/>
          <w:b/>
          <w:sz w:val="28"/>
          <w:szCs w:val="28"/>
        </w:rPr>
      </w:pPr>
      <w:r>
        <w:rPr>
          <w:rFonts w:hint="eastAsia" w:ascii="宋体" w:hAnsi="宋体"/>
          <w:b/>
          <w:sz w:val="28"/>
          <w:szCs w:val="28"/>
        </w:rPr>
        <w:t>三、谈判报价要求</w:t>
      </w:r>
    </w:p>
    <w:p>
      <w:pPr>
        <w:spacing w:line="360" w:lineRule="auto"/>
        <w:ind w:left="-61"/>
        <w:rPr>
          <w:rFonts w:hAnsi="宋体"/>
          <w:b/>
          <w:sz w:val="24"/>
        </w:rPr>
      </w:pPr>
      <w:r>
        <w:rPr>
          <w:rFonts w:hint="eastAsia" w:hAnsi="宋体"/>
          <w:b/>
          <w:sz w:val="24"/>
        </w:rPr>
        <w:t>14</w:t>
      </w:r>
      <w:r>
        <w:rPr>
          <w:rFonts w:hint="eastAsia" w:ascii="宋体" w:hAnsi="宋体"/>
          <w:b/>
          <w:sz w:val="24"/>
        </w:rPr>
        <w:t>.</w:t>
      </w:r>
      <w:r>
        <w:rPr>
          <w:rFonts w:hint="eastAsia" w:hAnsi="宋体"/>
          <w:b/>
          <w:sz w:val="24"/>
        </w:rPr>
        <w:t>谈判报价</w:t>
      </w:r>
    </w:p>
    <w:p>
      <w:pPr>
        <w:spacing w:line="360" w:lineRule="auto"/>
        <w:ind w:left="-61" w:leftChars="-29" w:firstLine="480" w:firstLineChars="200"/>
        <w:rPr>
          <w:rFonts w:ascii="宋体" w:hAnsi="宋体"/>
          <w:sz w:val="24"/>
        </w:rPr>
      </w:pPr>
      <w:r>
        <w:rPr>
          <w:rFonts w:hint="eastAsia" w:ascii="宋体" w:hAnsi="宋体"/>
          <w:sz w:val="24"/>
        </w:rPr>
        <w:t>14.1 谈判报价应按谈判文件中相关附表格式填写，报价超过所竞分标总采购预算金额或分项采购预算（根据项目增减）的，响应文件按分标作相应无效处理。总采购预算按供应商须知前附表。</w:t>
      </w:r>
    </w:p>
    <w:p>
      <w:pPr>
        <w:spacing w:line="360" w:lineRule="auto"/>
        <w:ind w:left="-61" w:leftChars="-29" w:firstLine="480" w:firstLineChars="200"/>
        <w:rPr>
          <w:bCs/>
          <w:sz w:val="24"/>
        </w:rPr>
      </w:pPr>
      <w:r>
        <w:rPr>
          <w:rFonts w:hint="eastAsia" w:ascii="宋体" w:hAnsi="宋体"/>
          <w:sz w:val="24"/>
        </w:rPr>
        <w:t>14.2</w:t>
      </w:r>
      <w:r>
        <w:rPr>
          <w:rFonts w:hint="eastAsia"/>
          <w:bCs/>
          <w:sz w:val="24"/>
        </w:rPr>
        <w:t>供应商须就项目物需求和说明中的所有货物和服务内容作完整唯一报价。（多个标段时：供应商可以就项目需求中全部分标或某几个分标分别报价，但就某一分标的所有货物和服务内容须作完整唯一报价。</w:t>
      </w:r>
    </w:p>
    <w:p>
      <w:pPr>
        <w:spacing w:line="360" w:lineRule="auto"/>
        <w:ind w:left="-61" w:leftChars="-29" w:firstLine="480" w:firstLineChars="200"/>
        <w:rPr>
          <w:bCs/>
          <w:sz w:val="24"/>
        </w:rPr>
      </w:pPr>
      <w:r>
        <w:rPr>
          <w:rFonts w:hint="eastAsia"/>
          <w:bCs/>
          <w:sz w:val="24"/>
        </w:rPr>
        <w:t>14.3谈判报价应包括本次采购范围内货物价款、货物随配标准附件、包装、运输、装卸、保险、税金、货到位以及安装、调试、检验、售后服务、培训、保修及其他所有成本费用的总和；供应商综合考虑在报价中。</w:t>
      </w:r>
    </w:p>
    <w:p>
      <w:pPr>
        <w:tabs>
          <w:tab w:val="left" w:pos="1305"/>
        </w:tabs>
        <w:spacing w:line="380" w:lineRule="exact"/>
        <w:ind w:firstLine="480" w:firstLineChars="200"/>
        <w:rPr>
          <w:rFonts w:ascii="宋体" w:hAnsi="宋体"/>
          <w:sz w:val="24"/>
        </w:rPr>
      </w:pPr>
      <w:r>
        <w:rPr>
          <w:rFonts w:hint="eastAsia" w:ascii="宋体" w:hAnsi="宋体"/>
          <w:sz w:val="24"/>
        </w:rPr>
        <w:t>14.4对于本文件中未列明，而谈判供应商认为必需的费用也需列入总报价。在合同实施时，采购人将不予支付成交供应商没有列入的项目费用，并认为此项目的费用已包括在总报价中。</w:t>
      </w:r>
    </w:p>
    <w:p>
      <w:pPr>
        <w:spacing w:line="360" w:lineRule="auto"/>
        <w:ind w:left="-61"/>
        <w:rPr>
          <w:rFonts w:hAnsi="宋体"/>
          <w:b/>
          <w:sz w:val="24"/>
        </w:rPr>
      </w:pPr>
      <w:r>
        <w:rPr>
          <w:rFonts w:hint="eastAsia" w:hAnsi="宋体"/>
          <w:b/>
          <w:sz w:val="24"/>
        </w:rPr>
        <w:t>15. 响应文件有效期</w:t>
      </w:r>
    </w:p>
    <w:p>
      <w:pPr>
        <w:spacing w:line="360" w:lineRule="auto"/>
        <w:ind w:left="-61" w:leftChars="-29" w:firstLine="480" w:firstLineChars="200"/>
        <w:rPr>
          <w:rFonts w:ascii="宋体" w:hAnsi="宋体"/>
          <w:sz w:val="24"/>
        </w:rPr>
      </w:pPr>
      <w:r>
        <w:rPr>
          <w:rFonts w:hint="eastAsia" w:ascii="宋体" w:hAnsi="宋体"/>
          <w:sz w:val="24"/>
        </w:rPr>
        <w:t>15.1 响应文件有效期：响应文件递交截止时间之日起60天，有效期不足的响应文件将被拒绝。</w:t>
      </w:r>
    </w:p>
    <w:p>
      <w:pPr>
        <w:spacing w:line="360" w:lineRule="auto"/>
        <w:ind w:left="-61" w:leftChars="-29" w:firstLine="480" w:firstLineChars="200"/>
        <w:rPr>
          <w:rFonts w:ascii="宋体" w:hAnsi="宋体"/>
          <w:szCs w:val="21"/>
        </w:rPr>
      </w:pPr>
      <w:r>
        <w:rPr>
          <w:rFonts w:hint="eastAsia" w:ascii="宋体" w:hAnsi="宋体"/>
          <w:sz w:val="24"/>
        </w:rPr>
        <w:t>15.2 出现特殊情况下，需要延长响应文件有效期的，采购代理机构通知供应商延长响应文件有效期。供应商同意延长的，但不能修改响应文件。供应商拒绝延长的，其响应文件无效。</w:t>
      </w:r>
    </w:p>
    <w:p>
      <w:pPr>
        <w:snapToGrid w:val="0"/>
        <w:spacing w:line="360" w:lineRule="auto"/>
        <w:jc w:val="center"/>
        <w:rPr>
          <w:rFonts w:ascii="宋体" w:hAnsi="宋体"/>
          <w:b/>
          <w:sz w:val="24"/>
        </w:rPr>
      </w:pPr>
    </w:p>
    <w:p>
      <w:pPr>
        <w:snapToGrid w:val="0"/>
        <w:spacing w:line="360" w:lineRule="auto"/>
        <w:jc w:val="center"/>
        <w:rPr>
          <w:rFonts w:ascii="宋体" w:hAnsi="宋体"/>
          <w:b/>
          <w:sz w:val="24"/>
        </w:rPr>
      </w:pPr>
      <w:r>
        <w:rPr>
          <w:rFonts w:hint="eastAsia" w:ascii="宋体" w:hAnsi="宋体"/>
          <w:b/>
          <w:sz w:val="24"/>
        </w:rPr>
        <w:t>四、竞争性谈判响应文件的份数、封装和递交</w:t>
      </w:r>
    </w:p>
    <w:p>
      <w:pPr>
        <w:spacing w:line="360" w:lineRule="auto"/>
        <w:ind w:left="-1" w:leftChars="-29" w:hanging="60" w:hangingChars="25"/>
        <w:rPr>
          <w:rFonts w:ascii="宋体" w:hAnsi="宋体"/>
          <w:b/>
          <w:sz w:val="24"/>
        </w:rPr>
      </w:pPr>
      <w:r>
        <w:rPr>
          <w:rFonts w:hint="eastAsia" w:ascii="宋体" w:hAnsi="宋体"/>
          <w:b/>
          <w:sz w:val="24"/>
        </w:rPr>
        <w:t>16. 谈判响应文件的份数和封装</w:t>
      </w:r>
    </w:p>
    <w:p>
      <w:pPr>
        <w:spacing w:line="360" w:lineRule="auto"/>
        <w:ind w:left="-61"/>
        <w:rPr>
          <w:rFonts w:ascii="宋体" w:hAnsi="宋体"/>
          <w:sz w:val="24"/>
        </w:rPr>
      </w:pPr>
      <w:r>
        <w:rPr>
          <w:rFonts w:hint="eastAsia" w:ascii="宋体" w:hAnsi="宋体"/>
          <w:sz w:val="24"/>
        </w:rPr>
        <w:t>16</w:t>
      </w:r>
      <w:r>
        <w:rPr>
          <w:rFonts w:ascii="宋体" w:hAnsi="宋体"/>
          <w:sz w:val="24"/>
        </w:rPr>
        <w:t>.1</w:t>
      </w:r>
      <w:r>
        <w:rPr>
          <w:rFonts w:hint="eastAsia" w:ascii="宋体" w:hAnsi="宋体"/>
          <w:sz w:val="24"/>
        </w:rPr>
        <w:t xml:space="preserve"> 响应文件份数：正本</w:t>
      </w:r>
      <w:r>
        <w:rPr>
          <w:rFonts w:hint="eastAsia" w:ascii="宋体" w:hAnsi="宋体"/>
          <w:sz w:val="24"/>
          <w:u w:val="single"/>
        </w:rPr>
        <w:t>1</w:t>
      </w:r>
      <w:r>
        <w:rPr>
          <w:rFonts w:hint="eastAsia" w:ascii="宋体" w:hAnsi="宋体"/>
          <w:sz w:val="24"/>
        </w:rPr>
        <w:t>册，副本</w:t>
      </w:r>
      <w:r>
        <w:rPr>
          <w:rFonts w:hint="eastAsia" w:ascii="宋体" w:hAnsi="宋体"/>
          <w:sz w:val="24"/>
          <w:u w:val="single"/>
        </w:rPr>
        <w:t>2</w:t>
      </w:r>
      <w:r>
        <w:rPr>
          <w:rFonts w:hint="eastAsia" w:ascii="宋体" w:hAnsi="宋体"/>
          <w:sz w:val="24"/>
        </w:rPr>
        <w:t xml:space="preserve"> 册，须完整提交（</w:t>
      </w:r>
      <w:r>
        <w:rPr>
          <w:rFonts w:ascii="宋体" w:hAnsi="宋体"/>
          <w:sz w:val="24"/>
        </w:rPr>
        <w:t>A4</w:t>
      </w:r>
      <w:r>
        <w:rPr>
          <w:rFonts w:hint="eastAsia" w:ascii="宋体" w:hAnsi="宋体"/>
          <w:sz w:val="24"/>
        </w:rPr>
        <w:t>纸装订）。</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.2</w:t>
      </w:r>
      <w:r>
        <w:rPr>
          <w:rFonts w:hint="eastAsia" w:ascii="宋体" w:hAnsi="宋体"/>
          <w:sz w:val="24"/>
        </w:rPr>
        <w:t xml:space="preserve"> 响应文件装订要求：供应商应按供应商须知第12.6条“响应文件组成”规定的顺序自编目录及页码。响应文件的“正本”、“副本”应当单独装订成册并标注页码，装订应牢固，不易拆散和换页。封面应注明“正本”、“副本”字样，封面上写明项目信息（详见文内响应文件格式）。</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.3</w:t>
      </w:r>
      <w:r>
        <w:rPr>
          <w:rFonts w:hint="eastAsia" w:ascii="宋体" w:hAnsi="宋体"/>
          <w:sz w:val="24"/>
        </w:rPr>
        <w:t xml:space="preserve"> 响应文件的正本需打印或用不褪色的墨水填写，响应文件正本除本谈判文件中规定的可提供复印件外均须提供原件。</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.4</w:t>
      </w:r>
      <w:r>
        <w:rPr>
          <w:rFonts w:hint="eastAsia" w:ascii="宋体" w:hAnsi="宋体"/>
          <w:sz w:val="24"/>
        </w:rPr>
        <w:t xml:space="preserve">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.5</w:t>
      </w:r>
      <w:r>
        <w:rPr>
          <w:rFonts w:hint="eastAsia" w:ascii="宋体" w:hAnsi="宋体"/>
          <w:sz w:val="24"/>
        </w:rPr>
        <w:t xml:space="preserve"> 响应文件不得涂改，若有修改错漏处，须加盖供应商公章（供应商若为自然人的在签字处按指印）及法定代表人（供应商若为其他组织形式无法定代表人的为机构负责人，供应商若为自然人的为自然人）或相应的授权委托代理人签字。响应文件因字迹潦草或表达不清所引起的后果由供应商负责。</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6 响应文件包装、密封、标记：</w:t>
      </w:r>
    </w:p>
    <w:p>
      <w:pPr>
        <w:spacing w:line="360" w:lineRule="auto"/>
        <w:ind w:left="-61"/>
        <w:rPr>
          <w:rFonts w:ascii="宋体" w:hAnsi="宋体"/>
          <w:sz w:val="24"/>
        </w:rPr>
      </w:pPr>
      <w:r>
        <w:rPr>
          <w:rFonts w:hint="eastAsia" w:ascii="宋体" w:hAnsi="宋体"/>
          <w:sz w:val="24"/>
        </w:rPr>
        <w:t>16.6.1 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r>
        <w:rPr>
          <w:rFonts w:ascii="宋体" w:hAnsi="宋体"/>
          <w:sz w:val="24"/>
        </w:rPr>
        <w:t>】</w:t>
      </w:r>
      <w:r>
        <w:rPr>
          <w:rFonts w:hint="eastAsia" w:ascii="宋体" w:hAnsi="宋体"/>
          <w:sz w:val="24"/>
        </w:rPr>
        <w:t>。</w:t>
      </w:r>
    </w:p>
    <w:p>
      <w:pPr>
        <w:spacing w:line="360" w:lineRule="auto"/>
        <w:ind w:left="-61"/>
        <w:rPr>
          <w:rFonts w:ascii="宋体" w:hAnsi="宋体"/>
          <w:sz w:val="24"/>
        </w:rPr>
      </w:pPr>
      <w:r>
        <w:rPr>
          <w:rFonts w:hint="eastAsia" w:ascii="宋体" w:hAnsi="宋体"/>
          <w:sz w:val="24"/>
        </w:rPr>
        <w:t>16.6.2 响应文件袋（盒、箱）标记：</w:t>
      </w:r>
    </w:p>
    <w:p>
      <w:pPr>
        <w:spacing w:line="360" w:lineRule="auto"/>
        <w:ind w:left="-61"/>
        <w:rPr>
          <w:rFonts w:ascii="宋体" w:hAnsi="宋体"/>
          <w:sz w:val="24"/>
        </w:rPr>
      </w:pPr>
      <w:r>
        <w:rPr>
          <w:rFonts w:hint="eastAsia" w:ascii="宋体" w:hAnsi="宋体"/>
          <w:sz w:val="24"/>
        </w:rPr>
        <w:t xml:space="preserve">项目名称： </w:t>
      </w:r>
    </w:p>
    <w:p>
      <w:pPr>
        <w:spacing w:line="360" w:lineRule="auto"/>
        <w:ind w:left="-61"/>
        <w:rPr>
          <w:rFonts w:ascii="宋体" w:hAnsi="宋体"/>
          <w:sz w:val="24"/>
        </w:rPr>
      </w:pPr>
      <w:r>
        <w:rPr>
          <w:rFonts w:hint="eastAsia" w:ascii="宋体" w:hAnsi="宋体"/>
          <w:sz w:val="24"/>
        </w:rPr>
        <w:t>项目编号：</w:t>
      </w:r>
    </w:p>
    <w:p>
      <w:pPr>
        <w:spacing w:line="360" w:lineRule="auto"/>
        <w:ind w:left="-61"/>
        <w:rPr>
          <w:rFonts w:ascii="宋体" w:hAnsi="宋体"/>
          <w:sz w:val="24"/>
        </w:rPr>
      </w:pPr>
      <w:r>
        <w:rPr>
          <w:rFonts w:hint="eastAsia" w:ascii="宋体" w:hAnsi="宋体"/>
          <w:sz w:val="24"/>
        </w:rPr>
        <w:t>采购代理机构：广西建设工程机电设备招标中心有限公司</w:t>
      </w:r>
    </w:p>
    <w:p>
      <w:pPr>
        <w:spacing w:line="360" w:lineRule="auto"/>
        <w:ind w:left="-61"/>
        <w:rPr>
          <w:rFonts w:ascii="宋体" w:hAnsi="宋体"/>
          <w:sz w:val="24"/>
        </w:rPr>
      </w:pPr>
      <w:r>
        <w:rPr>
          <w:rFonts w:hint="eastAsia" w:ascii="宋体" w:hAnsi="宋体"/>
          <w:sz w:val="24"/>
        </w:rPr>
        <w:t>供应商单位名称：</w:t>
      </w:r>
    </w:p>
    <w:p>
      <w:pPr>
        <w:spacing w:line="360" w:lineRule="auto"/>
        <w:ind w:left="-61"/>
        <w:rPr>
          <w:rFonts w:ascii="宋体" w:hAnsi="宋体"/>
          <w:sz w:val="24"/>
        </w:rPr>
      </w:pPr>
      <w:r>
        <w:rPr>
          <w:rFonts w:hint="eastAsia" w:ascii="宋体" w:hAnsi="宋体"/>
          <w:sz w:val="24"/>
        </w:rPr>
        <w:t xml:space="preserve">在  </w:t>
      </w:r>
      <w:r>
        <w:rPr>
          <w:rFonts w:hint="eastAsia" w:ascii="宋体" w:hAnsi="宋体"/>
          <w:sz w:val="24"/>
          <w:u w:val="single"/>
        </w:rPr>
        <w:t xml:space="preserve"> 年 月  日午  时 分</w:t>
      </w:r>
      <w:r>
        <w:rPr>
          <w:rFonts w:hint="eastAsia" w:ascii="宋体" w:hAnsi="宋体"/>
          <w:sz w:val="24"/>
        </w:rPr>
        <w:t>前不得开启(此处供应商填写响应文件递交截止时间)</w:t>
      </w:r>
    </w:p>
    <w:p>
      <w:pPr>
        <w:spacing w:line="360" w:lineRule="auto"/>
        <w:ind w:left="-61"/>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7 供应商公章：</w:t>
      </w:r>
      <w:r>
        <w:rPr>
          <w:rFonts w:ascii="宋体" w:hAnsi="宋体"/>
          <w:sz w:val="24"/>
        </w:rPr>
        <w:t>本</w:t>
      </w:r>
      <w:r>
        <w:rPr>
          <w:rFonts w:hint="eastAsia" w:ascii="宋体" w:hAnsi="宋体"/>
          <w:sz w:val="24"/>
        </w:rPr>
        <w:t>竞争性谈判文件</w:t>
      </w:r>
      <w:r>
        <w:rPr>
          <w:rFonts w:ascii="宋体" w:hAnsi="宋体"/>
          <w:sz w:val="24"/>
        </w:rPr>
        <w:t>中描述</w:t>
      </w:r>
      <w:r>
        <w:rPr>
          <w:rFonts w:hint="eastAsia" w:ascii="宋体" w:hAnsi="宋体"/>
          <w:sz w:val="24"/>
        </w:rPr>
        <w:t>供应商</w:t>
      </w:r>
      <w:r>
        <w:rPr>
          <w:rFonts w:ascii="宋体" w:hAnsi="宋体"/>
          <w:sz w:val="24"/>
        </w:rPr>
        <w:t>的“公章”是指根据我国对公章的管理规定，用</w:t>
      </w:r>
      <w:r>
        <w:rPr>
          <w:rFonts w:hint="eastAsia" w:ascii="宋体" w:hAnsi="宋体"/>
          <w:sz w:val="24"/>
        </w:rPr>
        <w:t>供应商</w:t>
      </w:r>
      <w:r>
        <w:rPr>
          <w:rFonts w:ascii="宋体" w:hAnsi="宋体"/>
          <w:sz w:val="24"/>
        </w:rPr>
        <w:t>法定主体行为名称制作的印章，除本文件有特殊规定外，</w:t>
      </w:r>
      <w:r>
        <w:rPr>
          <w:rFonts w:hint="eastAsia" w:ascii="宋体" w:hAnsi="宋体"/>
          <w:sz w:val="24"/>
        </w:rPr>
        <w:t>供应商</w:t>
      </w:r>
      <w:r>
        <w:rPr>
          <w:rFonts w:ascii="宋体" w:hAnsi="宋体"/>
          <w:sz w:val="24"/>
        </w:rPr>
        <w:t>的财务章、部门章、分公司章、工会章、合同章、</w:t>
      </w:r>
      <w:r>
        <w:rPr>
          <w:rFonts w:hint="eastAsia" w:ascii="宋体" w:hAnsi="宋体"/>
          <w:sz w:val="24"/>
        </w:rPr>
        <w:t>投</w:t>
      </w:r>
      <w:r>
        <w:rPr>
          <w:rFonts w:ascii="宋体" w:hAnsi="宋体"/>
          <w:sz w:val="24"/>
        </w:rPr>
        <w:t>标专用章、业务专用章及银行的转账章、现金收讫章、现金付讫章等其它形式印章均不能代替公章</w:t>
      </w:r>
      <w:r>
        <w:rPr>
          <w:rFonts w:hint="eastAsia" w:ascii="宋体" w:hAnsi="宋体"/>
          <w:sz w:val="24"/>
        </w:rPr>
        <w:t>。</w:t>
      </w:r>
    </w:p>
    <w:p>
      <w:pPr>
        <w:spacing w:line="360" w:lineRule="auto"/>
        <w:rPr>
          <w:rFonts w:ascii="宋体" w:hAnsi="宋体"/>
          <w:b/>
          <w:sz w:val="24"/>
        </w:rPr>
      </w:pPr>
      <w:r>
        <w:rPr>
          <w:rFonts w:hint="eastAsia" w:ascii="宋体" w:hAnsi="宋体"/>
          <w:b/>
          <w:sz w:val="24"/>
        </w:rPr>
        <w:t>17. 竞争性谈判响应文件的递交</w:t>
      </w:r>
    </w:p>
    <w:p>
      <w:pPr>
        <w:spacing w:line="360" w:lineRule="auto"/>
        <w:ind w:left="-61"/>
        <w:rPr>
          <w:rFonts w:ascii="宋体" w:hAnsi="宋体"/>
          <w:sz w:val="24"/>
        </w:rPr>
      </w:pPr>
      <w:r>
        <w:rPr>
          <w:rFonts w:hint="eastAsia" w:ascii="宋体" w:hAnsi="宋体"/>
          <w:sz w:val="24"/>
        </w:rPr>
        <w:t>17.1所有竞争性谈判响应文件必须按“供应商须知前附表”第12项规定的时间和地点密封递交。</w:t>
      </w:r>
    </w:p>
    <w:p>
      <w:pPr>
        <w:tabs>
          <w:tab w:val="left" w:pos="1305"/>
        </w:tabs>
        <w:spacing w:line="380" w:lineRule="exact"/>
        <w:rPr>
          <w:rFonts w:ascii="宋体" w:hAnsi="宋体"/>
          <w:sz w:val="24"/>
        </w:rPr>
      </w:pPr>
      <w:r>
        <w:rPr>
          <w:rFonts w:hint="eastAsia" w:ascii="宋体" w:hAnsi="宋体"/>
          <w:sz w:val="24"/>
        </w:rPr>
        <w:t>17.2 除竞争性谈判文件另有规定外，供应商所递交的响应文件不予退还。</w:t>
      </w:r>
    </w:p>
    <w:p>
      <w:pPr>
        <w:spacing w:line="360" w:lineRule="auto"/>
        <w:rPr>
          <w:rFonts w:ascii="宋体" w:hAnsi="宋体"/>
          <w:sz w:val="24"/>
        </w:rPr>
      </w:pPr>
      <w:r>
        <w:rPr>
          <w:rFonts w:hint="eastAsia" w:ascii="宋体" w:hAnsi="宋体"/>
          <w:sz w:val="24"/>
        </w:rPr>
        <w:t>17.3 逾期送达的或者未送达指定地点的响应文件，采购代理机构不予受理.</w:t>
      </w:r>
    </w:p>
    <w:p>
      <w:pPr>
        <w:tabs>
          <w:tab w:val="left" w:pos="1305"/>
        </w:tabs>
        <w:spacing w:line="380" w:lineRule="exact"/>
        <w:ind w:firstLine="562" w:firstLineChars="200"/>
        <w:jc w:val="center"/>
        <w:rPr>
          <w:rFonts w:ascii="宋体" w:hAnsi="宋体"/>
          <w:b/>
          <w:sz w:val="28"/>
          <w:szCs w:val="28"/>
        </w:rPr>
      </w:pPr>
    </w:p>
    <w:p>
      <w:pPr>
        <w:tabs>
          <w:tab w:val="left" w:pos="1305"/>
        </w:tabs>
        <w:spacing w:line="380" w:lineRule="exact"/>
        <w:ind w:firstLine="562" w:firstLineChars="200"/>
        <w:jc w:val="center"/>
        <w:rPr>
          <w:rFonts w:ascii="宋体" w:hAnsi="宋体"/>
          <w:b/>
          <w:sz w:val="28"/>
          <w:szCs w:val="28"/>
        </w:rPr>
      </w:pPr>
      <w:r>
        <w:rPr>
          <w:rFonts w:hint="eastAsia" w:ascii="宋体" w:hAnsi="宋体"/>
          <w:b/>
          <w:sz w:val="28"/>
          <w:szCs w:val="28"/>
        </w:rPr>
        <w:t>五、竞争性谈判（简称谈判）与评审</w:t>
      </w:r>
    </w:p>
    <w:p>
      <w:pPr>
        <w:tabs>
          <w:tab w:val="center" w:pos="4411"/>
          <w:tab w:val="left" w:pos="5475"/>
        </w:tabs>
        <w:spacing w:line="360" w:lineRule="auto"/>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18. 谈判小组组成及谈判时间、地点、人员</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18.1 谈判小组组成：</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谈判及评审工作由采购代理机构负责组织，具体谈判、评审工作由依法组建的谈判小组负责，谈判小组由采购人代表和有关方面的专家组成。谈判小组的构成：</w:t>
      </w:r>
      <w:r>
        <w:rPr>
          <w:rFonts w:hint="eastAsia" w:asciiTheme="minorEastAsia" w:hAnsiTheme="minorEastAsia" w:eastAsiaTheme="minorEastAsia"/>
          <w:sz w:val="24"/>
          <w:u w:val="single"/>
        </w:rPr>
        <w:t>3</w:t>
      </w:r>
      <w:r>
        <w:rPr>
          <w:rFonts w:hint="eastAsia" w:asciiTheme="minorEastAsia" w:hAnsiTheme="minorEastAsia" w:eastAsiaTheme="minorEastAsia"/>
          <w:sz w:val="24"/>
        </w:rPr>
        <w:t>人，其中采购人代表</w:t>
      </w:r>
      <w:r>
        <w:rPr>
          <w:rFonts w:hint="eastAsia" w:asciiTheme="minorEastAsia" w:hAnsiTheme="minorEastAsia" w:eastAsiaTheme="minorEastAsia"/>
          <w:sz w:val="24"/>
          <w:u w:val="single"/>
        </w:rPr>
        <w:t>1</w:t>
      </w:r>
      <w:r>
        <w:rPr>
          <w:rFonts w:hint="eastAsia" w:asciiTheme="minorEastAsia" w:hAnsiTheme="minorEastAsia" w:eastAsiaTheme="minorEastAsia"/>
          <w:sz w:val="24"/>
        </w:rPr>
        <w:t xml:space="preserve"> 人， 专家 </w:t>
      </w:r>
      <w:r>
        <w:rPr>
          <w:rFonts w:hint="eastAsia" w:asciiTheme="minorEastAsia" w:hAnsiTheme="minorEastAsia" w:eastAsiaTheme="minorEastAsia"/>
          <w:sz w:val="24"/>
          <w:u w:val="single"/>
        </w:rPr>
        <w:t>2</w:t>
      </w:r>
      <w:r>
        <w:rPr>
          <w:rFonts w:hint="eastAsia" w:asciiTheme="minorEastAsia" w:hAnsiTheme="minorEastAsia" w:eastAsiaTheme="minorEastAsia"/>
          <w:sz w:val="24"/>
        </w:rPr>
        <w:t>人。</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18.2 谈判时间、地点、人员：</w:t>
      </w:r>
    </w:p>
    <w:p>
      <w:pPr>
        <w:tabs>
          <w:tab w:val="left" w:pos="1140"/>
        </w:tabs>
        <w:spacing w:line="360" w:lineRule="auto"/>
        <w:ind w:left="420" w:leftChars="200"/>
        <w:rPr>
          <w:rFonts w:asciiTheme="minorEastAsia" w:hAnsiTheme="minorEastAsia" w:eastAsiaTheme="minorEastAsia"/>
          <w:sz w:val="24"/>
        </w:rPr>
      </w:pPr>
      <w:r>
        <w:rPr>
          <w:rFonts w:hint="eastAsia" w:asciiTheme="minorEastAsia" w:hAnsiTheme="minorEastAsia" w:eastAsiaTheme="minorEastAsia"/>
          <w:sz w:val="24"/>
        </w:rPr>
        <w:t>详见竞标人须知前附表第13条。</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19. 评审原则和评审办法</w:t>
      </w:r>
    </w:p>
    <w:p>
      <w:pPr>
        <w:tabs>
          <w:tab w:val="left" w:pos="1140"/>
        </w:tabs>
        <w:spacing w:line="360" w:lineRule="auto"/>
        <w:ind w:firstLine="410" w:firstLineChars="171"/>
        <w:rPr>
          <w:rFonts w:asciiTheme="minorEastAsia" w:hAnsiTheme="minorEastAsia" w:eastAsiaTheme="minorEastAsia"/>
          <w:sz w:val="24"/>
        </w:rPr>
      </w:pPr>
      <w:r>
        <w:rPr>
          <w:rFonts w:hint="eastAsia" w:asciiTheme="minorEastAsia" w:hAnsiTheme="minorEastAsia" w:eastAsiaTheme="minorEastAsia"/>
          <w:sz w:val="24"/>
        </w:rPr>
        <w:t>19.1 谈判小组必须坚持公平、公正、科学和择优的原则。</w:t>
      </w:r>
    </w:p>
    <w:p>
      <w:pPr>
        <w:tabs>
          <w:tab w:val="left" w:pos="1140"/>
        </w:tabs>
        <w:spacing w:line="360" w:lineRule="auto"/>
        <w:ind w:firstLine="410" w:firstLineChars="171"/>
        <w:rPr>
          <w:rFonts w:asciiTheme="minorEastAsia" w:hAnsiTheme="minorEastAsia" w:eastAsiaTheme="minorEastAsia"/>
          <w:sz w:val="24"/>
        </w:rPr>
      </w:pPr>
      <w:r>
        <w:rPr>
          <w:rFonts w:hint="eastAsia" w:asciiTheme="minorEastAsia" w:hAnsiTheme="minorEastAsia" w:eastAsiaTheme="minorEastAsia"/>
          <w:sz w:val="24"/>
        </w:rPr>
        <w:t>19.2 评审办法：具体详见第六章评审办法及评审标准。</w:t>
      </w:r>
    </w:p>
    <w:p>
      <w:pPr>
        <w:pStyle w:val="24"/>
        <w:spacing w:line="360" w:lineRule="auto"/>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19.3 谈判小组应按谈判文件进行评审，不得擅自更改评审办法。</w:t>
      </w:r>
    </w:p>
    <w:p>
      <w:pPr>
        <w:pStyle w:val="24"/>
        <w:spacing w:line="360" w:lineRule="auto"/>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19.4 在评审过程中，谈判小组任何人不得对某个供应商发表任何倾向性意见，不得向其他谈判小组成员明示或者暗示自己的评审意见。</w:t>
      </w:r>
    </w:p>
    <w:p>
      <w:pPr>
        <w:pStyle w:val="24"/>
        <w:spacing w:line="360" w:lineRule="auto"/>
        <w:ind w:firstLine="410" w:firstLineChars="171"/>
        <w:jc w:val="left"/>
        <w:rPr>
          <w:rFonts w:asciiTheme="minorEastAsia" w:hAnsiTheme="minorEastAsia" w:eastAsiaTheme="minorEastAsia"/>
          <w:sz w:val="24"/>
          <w:szCs w:val="24"/>
        </w:rPr>
      </w:pPr>
      <w:r>
        <w:rPr>
          <w:rFonts w:hint="eastAsia" w:asciiTheme="minorEastAsia" w:hAnsiTheme="minorEastAsia" w:eastAsiaTheme="minorEastAsia"/>
          <w:sz w:val="24"/>
          <w:szCs w:val="24"/>
        </w:rPr>
        <w:t>19.5 谈判小组成员对需要共同认定的事项存在争议的，按照少数服从多数的原则作出结论。持不同意见的谈判小组成员应当在评审报告上签署不同意见并说明理由，否则视为同意。</w:t>
      </w:r>
    </w:p>
    <w:p>
      <w:pPr>
        <w:tabs>
          <w:tab w:val="left" w:pos="1140"/>
        </w:tabs>
        <w:spacing w:line="360" w:lineRule="auto"/>
        <w:ind w:left="428" w:leftChars="172" w:hanging="67" w:hangingChars="28"/>
        <w:rPr>
          <w:rFonts w:asciiTheme="minorEastAsia" w:hAnsiTheme="minorEastAsia" w:eastAsiaTheme="minorEastAsia"/>
          <w:b/>
          <w:sz w:val="24"/>
        </w:rPr>
      </w:pPr>
      <w:r>
        <w:rPr>
          <w:rFonts w:hint="eastAsia" w:asciiTheme="minorEastAsia" w:hAnsiTheme="minorEastAsia" w:eastAsiaTheme="minorEastAsia"/>
          <w:b/>
          <w:sz w:val="24"/>
        </w:rPr>
        <w:t>20. 评审程序及谈判要求</w:t>
      </w:r>
    </w:p>
    <w:p>
      <w:pPr>
        <w:pStyle w:val="24"/>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20.1 采购代理机构核实谈判小组成员身份，告知回避要求，宣布评审工作纪律和程序，统一保管通讯工具或相关电子设备，推选谈判小组组长。</w:t>
      </w:r>
    </w:p>
    <w:p>
      <w:pPr>
        <w:spacing w:line="360" w:lineRule="auto"/>
        <w:ind w:firstLine="360" w:firstLineChars="150"/>
        <w:rPr>
          <w:rFonts w:cs="Arial" w:asciiTheme="minorEastAsia" w:hAnsiTheme="minorEastAsia" w:eastAsiaTheme="minorEastAsia"/>
          <w:kern w:val="0"/>
          <w:sz w:val="24"/>
        </w:rPr>
      </w:pPr>
      <w:r>
        <w:rPr>
          <w:rFonts w:hint="eastAsia" w:asciiTheme="minorEastAsia" w:hAnsiTheme="minorEastAsia" w:eastAsiaTheme="minorEastAsia"/>
          <w:sz w:val="24"/>
        </w:rPr>
        <w:t xml:space="preserve">20.2 </w:t>
      </w:r>
      <w:r>
        <w:rPr>
          <w:rFonts w:asciiTheme="minorEastAsia" w:hAnsiTheme="minorEastAsia" w:eastAsiaTheme="minorEastAsia"/>
          <w:sz w:val="24"/>
        </w:rPr>
        <w:t>谈判小组</w:t>
      </w:r>
      <w:r>
        <w:rPr>
          <w:rFonts w:hint="eastAsia" w:asciiTheme="minorEastAsia" w:hAnsiTheme="minorEastAsia" w:eastAsiaTheme="minorEastAsia"/>
          <w:sz w:val="24"/>
        </w:rPr>
        <w:t>应当对发布公告的竞争性谈判文件（简称谈判文件）进行确认，</w:t>
      </w:r>
      <w:r>
        <w:rPr>
          <w:rFonts w:cs="Arial" w:asciiTheme="minorEastAsia" w:hAnsiTheme="minorEastAsia" w:eastAsiaTheme="minorEastAsia"/>
          <w:kern w:val="0"/>
          <w:sz w:val="24"/>
        </w:rPr>
        <w:t>审查供应商的响应文件并作出评价；要求供应商解释或者澄清其响应文件；编写评审报告；告知采购人、采购代理机构在评审过程中发现的供应商的违法违规行为。</w:t>
      </w:r>
    </w:p>
    <w:p>
      <w:pPr>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20.3</w:t>
      </w:r>
      <w:r>
        <w:rPr>
          <w:rFonts w:cs="Arial" w:asciiTheme="minorEastAsia" w:hAnsiTheme="minorEastAsia" w:eastAsiaTheme="minorEastAsia"/>
          <w:kern w:val="0"/>
          <w:sz w:val="24"/>
        </w:rPr>
        <w:t>谈判小组</w:t>
      </w:r>
      <w:r>
        <w:rPr>
          <w:rFonts w:hint="eastAsia" w:asciiTheme="minorEastAsia" w:hAnsiTheme="minorEastAsia" w:eastAsiaTheme="minorEastAsia"/>
          <w:sz w:val="24"/>
        </w:rPr>
        <w:t>依据法律法规和竞争性谈判文件的规定，首先对响应文件进行资格性审查，以确定供应商是否具备本项目谈判资格；再对通过资格性审查的供应商响应文件的有效性、完整性和对谈判文件的响应程度进行符合性审查，以确定是否对谈判文件的实质性要求做出响应。</w:t>
      </w:r>
    </w:p>
    <w:p>
      <w:pPr>
        <w:spacing w:line="360" w:lineRule="auto"/>
        <w:ind w:firstLine="480" w:firstLineChars="2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20.4谈判小组</w:t>
      </w:r>
      <w:r>
        <w:rPr>
          <w:rFonts w:hint="eastAsia" w:asciiTheme="minorEastAsia" w:hAnsiTheme="minorEastAsia" w:eastAsiaTheme="minorEastAsia"/>
          <w:sz w:val="24"/>
        </w:rPr>
        <w:t>如发现供应商提供的证明文件不齐全或不符合规定格式的，应一次性告知供应商，供应商应在规定的时间内当场补正或更正。</w:t>
      </w:r>
    </w:p>
    <w:p>
      <w:pPr>
        <w:spacing w:line="360" w:lineRule="auto"/>
        <w:ind w:firstLine="480" w:firstLineChars="200"/>
        <w:rPr>
          <w:rFonts w:asciiTheme="minorEastAsia" w:hAnsiTheme="minorEastAsia" w:eastAsiaTheme="minorEastAsia"/>
          <w:sz w:val="24"/>
        </w:rPr>
      </w:pPr>
      <w:r>
        <w:rPr>
          <w:rFonts w:hint="eastAsia" w:cs="Arial" w:asciiTheme="minorEastAsia" w:hAnsiTheme="minorEastAsia" w:eastAsiaTheme="minorEastAsia"/>
          <w:kern w:val="0"/>
          <w:sz w:val="24"/>
        </w:rPr>
        <w:t>20.5谈判小组</w:t>
      </w:r>
      <w:r>
        <w:rPr>
          <w:rFonts w:cs="Arial" w:asciiTheme="minorEastAsia" w:hAnsiTheme="minorEastAsia" w:eastAsiaTheme="minorEastAsia"/>
          <w:kern w:val="0"/>
          <w:sz w:val="24"/>
        </w:rPr>
        <w:t>在对响应文件的有效性、完整性和响应程度进行审查时，可以要求供应商对</w:t>
      </w:r>
      <w:r>
        <w:rPr>
          <w:rFonts w:hint="eastAsia" w:asciiTheme="minorEastAsia" w:hAnsiTheme="minorEastAsia" w:eastAsiaTheme="minorEastAsia"/>
          <w:sz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Theme="minorEastAsia" w:hAnsiTheme="minorEastAsia" w:eastAsiaTheme="minorEastAsia"/>
          <w:sz w:val="24"/>
        </w:rPr>
        <w:t>由其法定代表人</w:t>
      </w:r>
      <w:r>
        <w:rPr>
          <w:rFonts w:hint="eastAsia" w:ascii="宋体" w:hAnsi="宋体"/>
          <w:sz w:val="24"/>
        </w:rPr>
        <w:t>（供应商若为其他组织形式无法定代表人的为机构负责人，供应商若为自然人的为自然人）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（供应商若为自然人的在签字处按指印）。</w:t>
      </w:r>
      <w:r>
        <w:rPr>
          <w:rFonts w:asciiTheme="minorEastAsia" w:hAnsiTheme="minorEastAsia" w:eastAsiaTheme="minorEastAsia"/>
          <w:sz w:val="24"/>
        </w:rPr>
        <w:t>由授权</w:t>
      </w:r>
      <w:r>
        <w:rPr>
          <w:rFonts w:hint="eastAsia" w:asciiTheme="minorEastAsia" w:hAnsiTheme="minorEastAsia" w:eastAsiaTheme="minorEastAsia"/>
          <w:sz w:val="24"/>
        </w:rPr>
        <w:t>委托</w:t>
      </w:r>
      <w:r>
        <w:rPr>
          <w:rFonts w:asciiTheme="minorEastAsia" w:hAnsiTheme="minorEastAsia" w:eastAsiaTheme="minorEastAsia"/>
          <w:sz w:val="24"/>
        </w:rPr>
        <w:t>代表签字的，应当附授权</w:t>
      </w:r>
      <w:r>
        <w:rPr>
          <w:rFonts w:hint="eastAsia" w:asciiTheme="minorEastAsia" w:hAnsiTheme="minorEastAsia" w:eastAsiaTheme="minorEastAsia"/>
          <w:sz w:val="24"/>
        </w:rPr>
        <w:t>委托</w:t>
      </w:r>
      <w:r>
        <w:rPr>
          <w:rFonts w:asciiTheme="minorEastAsia" w:hAnsiTheme="minorEastAsia" w:eastAsiaTheme="minorEastAsia"/>
          <w:sz w:val="24"/>
        </w:rPr>
        <w:t>书。</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根据谈判文件规定的程序、评定成交的标准等事</w:t>
      </w:r>
      <w:r>
        <w:rPr>
          <w:rFonts w:hint="eastAsia" w:asciiTheme="minorEastAsia" w:hAnsiTheme="minorEastAsia" w:eastAsiaTheme="minorEastAsia"/>
          <w:sz w:val="24"/>
        </w:rPr>
        <w:t>项</w:t>
      </w:r>
      <w:r>
        <w:rPr>
          <w:rFonts w:asciiTheme="minorEastAsia" w:hAnsiTheme="minorEastAsia" w:eastAsiaTheme="minorEastAsia"/>
          <w:sz w:val="24"/>
        </w:rPr>
        <w:t>与实质性响应</w:t>
      </w:r>
      <w:r>
        <w:rPr>
          <w:rFonts w:hint="eastAsia" w:asciiTheme="minorEastAsia" w:hAnsiTheme="minorEastAsia" w:eastAsiaTheme="minorEastAsia"/>
          <w:sz w:val="24"/>
        </w:rPr>
        <w:t>竞争性</w:t>
      </w:r>
      <w:r>
        <w:rPr>
          <w:rFonts w:asciiTheme="minorEastAsia" w:hAnsiTheme="minorEastAsia" w:eastAsiaTheme="minorEastAsia"/>
          <w:sz w:val="24"/>
        </w:rPr>
        <w:t>谈判文件要求的</w:t>
      </w:r>
      <w:r>
        <w:rPr>
          <w:rFonts w:hint="eastAsia" w:asciiTheme="minorEastAsia" w:hAnsiTheme="minorEastAsia" w:eastAsiaTheme="minorEastAsia"/>
          <w:sz w:val="24"/>
        </w:rPr>
        <w:t>供应商</w:t>
      </w:r>
      <w:r>
        <w:rPr>
          <w:rFonts w:asciiTheme="minorEastAsia" w:hAnsiTheme="minorEastAsia" w:eastAsiaTheme="minorEastAsia"/>
          <w:sz w:val="24"/>
        </w:rPr>
        <w:t>进行谈判。未实质性响应谈判文件的</w:t>
      </w:r>
      <w:r>
        <w:rPr>
          <w:rFonts w:hint="eastAsia" w:asciiTheme="minorEastAsia" w:hAnsiTheme="minorEastAsia" w:eastAsiaTheme="minorEastAsia"/>
          <w:sz w:val="24"/>
        </w:rPr>
        <w:t>响应文件</w:t>
      </w:r>
      <w:r>
        <w:rPr>
          <w:rFonts w:asciiTheme="minorEastAsia" w:hAnsiTheme="minorEastAsia" w:eastAsiaTheme="minorEastAsia"/>
          <w:sz w:val="24"/>
        </w:rPr>
        <w:t>按无效处理，谈判小组应当告知有关</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kern w:val="0"/>
          <w:sz w:val="24"/>
        </w:rPr>
        <w:t>谈判小组</w:t>
      </w:r>
      <w:r>
        <w:rPr>
          <w:rFonts w:asciiTheme="minorEastAsia" w:hAnsiTheme="minorEastAsia" w:eastAsiaTheme="minorEastAsia"/>
          <w:sz w:val="24"/>
        </w:rPr>
        <w:t>所有成员应当</w:t>
      </w:r>
      <w:r>
        <w:rPr>
          <w:rFonts w:hint="eastAsia" w:cs="宋体" w:asciiTheme="minorEastAsia" w:hAnsiTheme="minorEastAsia" w:eastAsiaTheme="minorEastAsia"/>
          <w:kern w:val="0"/>
          <w:sz w:val="24"/>
        </w:rPr>
        <w:t>按已确定的</w:t>
      </w:r>
      <w:r>
        <w:rPr>
          <w:rFonts w:hint="eastAsia" w:asciiTheme="minorEastAsia" w:hAnsiTheme="minorEastAsia" w:eastAsiaTheme="minorEastAsia"/>
          <w:sz w:val="24"/>
        </w:rPr>
        <w:t>谈判顺序集中</w:t>
      </w:r>
      <w:r>
        <w:rPr>
          <w:rFonts w:asciiTheme="minorEastAsia" w:hAnsiTheme="minorEastAsia" w:eastAsiaTheme="minorEastAsia"/>
          <w:sz w:val="24"/>
        </w:rPr>
        <w:t>与单一</w:t>
      </w:r>
      <w:r>
        <w:rPr>
          <w:rFonts w:hint="eastAsia" w:asciiTheme="minorEastAsia" w:hAnsiTheme="minorEastAsia" w:eastAsiaTheme="minorEastAsia"/>
          <w:sz w:val="24"/>
        </w:rPr>
        <w:t>供应商</w:t>
      </w:r>
      <w:r>
        <w:rPr>
          <w:rFonts w:asciiTheme="minorEastAsia" w:hAnsiTheme="minorEastAsia" w:eastAsiaTheme="minorEastAsia"/>
          <w:sz w:val="24"/>
        </w:rPr>
        <w:t>分别进行谈判，并给予所有实质性响应</w:t>
      </w:r>
      <w:r>
        <w:rPr>
          <w:rFonts w:hint="eastAsia" w:asciiTheme="minorEastAsia" w:hAnsiTheme="minorEastAsia" w:eastAsiaTheme="minorEastAsia"/>
          <w:sz w:val="24"/>
        </w:rPr>
        <w:t>竞争性</w:t>
      </w:r>
      <w:r>
        <w:rPr>
          <w:rFonts w:asciiTheme="minorEastAsia" w:hAnsiTheme="minorEastAsia" w:eastAsiaTheme="minorEastAsia"/>
          <w:sz w:val="24"/>
        </w:rPr>
        <w:t>谈判文件要求的</w:t>
      </w:r>
      <w:r>
        <w:rPr>
          <w:rFonts w:hint="eastAsia" w:asciiTheme="minorEastAsia" w:hAnsiTheme="minorEastAsia" w:eastAsiaTheme="minorEastAsia"/>
          <w:sz w:val="24"/>
        </w:rPr>
        <w:t>供应商</w:t>
      </w:r>
      <w:r>
        <w:rPr>
          <w:rFonts w:asciiTheme="minorEastAsia" w:hAnsiTheme="minorEastAsia" w:eastAsiaTheme="minorEastAsia"/>
          <w:sz w:val="24"/>
        </w:rPr>
        <w:t>平等的谈判机会。</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谈判中，谈判小组不得透露与谈判有关的其他供应商的技术资料、价格和其他信息。</w:t>
      </w:r>
    </w:p>
    <w:p>
      <w:pPr>
        <w:widowControl/>
        <w:tabs>
          <w:tab w:val="left" w:pos="540"/>
        </w:tabs>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采购代理机构对谈判过程和重要谈判内容进行记录，谈判双方在记录上签字确认。</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20.6 </w:t>
      </w:r>
      <w:r>
        <w:rPr>
          <w:rFonts w:asciiTheme="minorEastAsia" w:hAnsiTheme="minorEastAsia" w:eastAsiaTheme="minorEastAsia"/>
          <w:sz w:val="24"/>
        </w:rPr>
        <w:t>在谈判过程中，谈判小组可以根据谈判文件和谈判情况实质性变动</w:t>
      </w:r>
      <w:r>
        <w:rPr>
          <w:rFonts w:hint="eastAsia" w:asciiTheme="minorEastAsia" w:hAnsiTheme="minorEastAsia" w:eastAsiaTheme="minorEastAsia"/>
          <w:sz w:val="24"/>
        </w:rPr>
        <w:t>项目</w:t>
      </w:r>
      <w:r>
        <w:rPr>
          <w:rFonts w:asciiTheme="minorEastAsia" w:hAnsiTheme="minorEastAsia" w:eastAsiaTheme="minorEastAsia"/>
          <w:sz w:val="24"/>
        </w:rPr>
        <w:t>需求中的技术、服务要求以及合同草案条款，但不得变动谈判文件中的其他内容。实质性变动的内容，须经采购人代表确认。</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对谈判文件作出的实质性变动是谈判文件的有效组成部分，谈判小组应当及时以书面形式同时通知所有参加谈判的</w:t>
      </w:r>
      <w:r>
        <w:rPr>
          <w:rFonts w:hint="eastAsia" w:asciiTheme="minorEastAsia" w:hAnsiTheme="minorEastAsia" w:eastAsiaTheme="minorEastAsia"/>
          <w:sz w:val="24"/>
        </w:rPr>
        <w:t>供应商</w:t>
      </w:r>
      <w:r>
        <w:rPr>
          <w:rFonts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供应商应当按照谈判文件的变动情况和谈判小组的要求重新提交</w:t>
      </w:r>
      <w:r>
        <w:rPr>
          <w:rFonts w:hint="eastAsia" w:asciiTheme="minorEastAsia" w:hAnsiTheme="minorEastAsia" w:eastAsiaTheme="minorEastAsia"/>
          <w:sz w:val="24"/>
        </w:rPr>
        <w:t>响应</w:t>
      </w:r>
      <w:r>
        <w:rPr>
          <w:rFonts w:asciiTheme="minorEastAsia" w:hAnsiTheme="minorEastAsia" w:eastAsiaTheme="minorEastAsia"/>
          <w:sz w:val="24"/>
        </w:rPr>
        <w:t>文件，并由其法定代表人</w:t>
      </w:r>
      <w:r>
        <w:rPr>
          <w:rFonts w:hint="eastAsia" w:asciiTheme="minorEastAsia" w:hAnsiTheme="minorEastAsia" w:eastAsiaTheme="minorEastAsia"/>
          <w:sz w:val="24"/>
        </w:rPr>
        <w:t>、负责人、自然人</w:t>
      </w:r>
      <w:r>
        <w:rPr>
          <w:rFonts w:asciiTheme="minorEastAsia" w:hAnsiTheme="minorEastAsia" w:eastAsiaTheme="minorEastAsia"/>
          <w:sz w:val="24"/>
        </w:rPr>
        <w:t>或</w:t>
      </w:r>
      <w:r>
        <w:rPr>
          <w:rFonts w:hint="eastAsia" w:asciiTheme="minorEastAsia" w:hAnsiTheme="minorEastAsia" w:eastAsiaTheme="minorEastAsia"/>
          <w:sz w:val="24"/>
        </w:rPr>
        <w:t>相应的</w:t>
      </w:r>
      <w:r>
        <w:rPr>
          <w:rFonts w:asciiTheme="minorEastAsia" w:hAnsiTheme="minorEastAsia" w:eastAsiaTheme="minorEastAsia"/>
          <w:sz w:val="24"/>
        </w:rPr>
        <w:t>授权</w:t>
      </w:r>
      <w:r>
        <w:rPr>
          <w:rFonts w:hint="eastAsia" w:asciiTheme="minorEastAsia" w:hAnsiTheme="minorEastAsia" w:eastAsiaTheme="minorEastAsia"/>
          <w:sz w:val="24"/>
        </w:rPr>
        <w:t>委托</w:t>
      </w:r>
      <w:r>
        <w:rPr>
          <w:rFonts w:asciiTheme="minorEastAsia" w:hAnsiTheme="minorEastAsia" w:eastAsiaTheme="minorEastAsia"/>
          <w:sz w:val="24"/>
        </w:rPr>
        <w:t>代表签字或者加盖</w:t>
      </w:r>
      <w:r>
        <w:rPr>
          <w:rFonts w:hint="eastAsia" w:asciiTheme="minorEastAsia" w:hAnsiTheme="minorEastAsia" w:eastAsiaTheme="minorEastAsia"/>
          <w:sz w:val="24"/>
        </w:rPr>
        <w:t>供应商</w:t>
      </w:r>
      <w:r>
        <w:rPr>
          <w:rFonts w:asciiTheme="minorEastAsia" w:hAnsiTheme="minorEastAsia" w:eastAsiaTheme="minorEastAsia"/>
          <w:sz w:val="24"/>
        </w:rPr>
        <w:t>公章</w:t>
      </w:r>
      <w:r>
        <w:rPr>
          <w:rFonts w:hint="eastAsia" w:asciiTheme="minorEastAsia" w:hAnsiTheme="minorEastAsia" w:eastAsiaTheme="minorEastAsia"/>
          <w:sz w:val="24"/>
        </w:rPr>
        <w:t>（自然人除外）</w:t>
      </w:r>
      <w:r>
        <w:rPr>
          <w:rFonts w:asciiTheme="minorEastAsia" w:hAnsiTheme="minorEastAsia" w:eastAsiaTheme="minorEastAsia"/>
          <w:sz w:val="24"/>
        </w:rPr>
        <w:t>。</w:t>
      </w:r>
      <w:r>
        <w:rPr>
          <w:rFonts w:hint="eastAsia" w:asciiTheme="minorEastAsia" w:hAnsiTheme="minorEastAsia" w:eastAsiaTheme="minorEastAsia"/>
          <w:sz w:val="24"/>
        </w:rPr>
        <w:t>逾时不交的，视同放弃谈判。</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20.7</w:t>
      </w:r>
      <w:r>
        <w:rPr>
          <w:rFonts w:asciiTheme="minorEastAsia" w:hAnsiTheme="minorEastAsia" w:eastAsiaTheme="minorEastAsia"/>
          <w:kern w:val="0"/>
          <w:sz w:val="24"/>
        </w:rPr>
        <w:t>在采购过程中符合竞争要求的供应商或者报价未超过</w:t>
      </w:r>
      <w:r>
        <w:rPr>
          <w:rFonts w:hint="eastAsia" w:asciiTheme="minorEastAsia" w:hAnsiTheme="minorEastAsia" w:eastAsiaTheme="minorEastAsia"/>
          <w:kern w:val="0"/>
          <w:sz w:val="24"/>
        </w:rPr>
        <w:t>相应分标总</w:t>
      </w:r>
      <w:r>
        <w:rPr>
          <w:rFonts w:asciiTheme="minorEastAsia" w:hAnsiTheme="minorEastAsia" w:eastAsiaTheme="minorEastAsia"/>
          <w:kern w:val="0"/>
          <w:sz w:val="24"/>
        </w:rPr>
        <w:t>采购预算</w:t>
      </w:r>
      <w:r>
        <w:rPr>
          <w:rFonts w:hint="eastAsia" w:asciiTheme="minorEastAsia" w:hAnsiTheme="minorEastAsia" w:eastAsiaTheme="minorEastAsia"/>
          <w:kern w:val="0"/>
          <w:sz w:val="24"/>
        </w:rPr>
        <w:t>、分项采购预算（</w:t>
      </w:r>
      <w:r>
        <w:rPr>
          <w:rFonts w:hint="eastAsia" w:ascii="宋体" w:hAnsi="宋体"/>
          <w:sz w:val="24"/>
        </w:rPr>
        <w:t>根据项目增减</w:t>
      </w:r>
      <w:r>
        <w:rPr>
          <w:rFonts w:hint="eastAsia" w:asciiTheme="minorEastAsia" w:hAnsiTheme="minorEastAsia" w:eastAsiaTheme="minorEastAsia"/>
          <w:kern w:val="0"/>
          <w:sz w:val="24"/>
        </w:rPr>
        <w:t>）</w:t>
      </w:r>
      <w:r>
        <w:rPr>
          <w:rFonts w:asciiTheme="minorEastAsia" w:hAnsiTheme="minorEastAsia" w:eastAsiaTheme="minorEastAsia"/>
          <w:kern w:val="0"/>
          <w:sz w:val="24"/>
        </w:rPr>
        <w:t>的供应商不足3家的</w:t>
      </w:r>
      <w:r>
        <w:rPr>
          <w:rFonts w:hint="eastAsia" w:asciiTheme="minorEastAsia" w:hAnsiTheme="minorEastAsia" w:eastAsiaTheme="minorEastAsia"/>
          <w:kern w:val="0"/>
          <w:sz w:val="24"/>
        </w:rPr>
        <w:t>，采购人或者采购代理机构应当终止竞争性谈判采购活动。</w:t>
      </w:r>
    </w:p>
    <w:p>
      <w:pPr>
        <w:widowControl/>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20.8最后报价</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20.8.1</w:t>
      </w:r>
      <w:r>
        <w:rPr>
          <w:rFonts w:asciiTheme="minorEastAsia" w:hAnsiTheme="minorEastAsia" w:eastAsiaTheme="minorEastAsia"/>
          <w:kern w:val="0"/>
          <w:sz w:val="24"/>
        </w:rPr>
        <w:t>谈判文件能够详细列明采购标的的技术、服务要求的，谈判结束后，谈判小组应当要求所有继续参加谈判的供应商在规定时间内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提交最后报价，提交最后报价的供应商不得少于3家。</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20.8.2</w:t>
      </w:r>
      <w:r>
        <w:rPr>
          <w:rFonts w:asciiTheme="minorEastAsia" w:hAnsiTheme="minorEastAsia" w:eastAsiaTheme="minorEastAsia"/>
          <w:kern w:val="0"/>
          <w:sz w:val="24"/>
        </w:rPr>
        <w:t>谈判文件不能详细列明采购标的的技术、服务要求</w:t>
      </w:r>
      <w:r>
        <w:rPr>
          <w:rFonts w:hint="eastAsia" w:asciiTheme="minorEastAsia" w:hAnsiTheme="minorEastAsia" w:eastAsiaTheme="minorEastAsia"/>
          <w:kern w:val="0"/>
          <w:sz w:val="24"/>
        </w:rPr>
        <w:t>的</w:t>
      </w:r>
      <w:r>
        <w:rPr>
          <w:rFonts w:asciiTheme="minorEastAsia" w:hAnsiTheme="minorEastAsia" w:eastAsiaTheme="minorEastAsia"/>
          <w:kern w:val="0"/>
          <w:sz w:val="24"/>
        </w:rPr>
        <w:t>，需</w:t>
      </w:r>
      <w:r>
        <w:rPr>
          <w:rFonts w:hint="eastAsia" w:asciiTheme="minorEastAsia" w:hAnsiTheme="minorEastAsia" w:eastAsiaTheme="minorEastAsia"/>
          <w:kern w:val="0"/>
          <w:sz w:val="24"/>
        </w:rPr>
        <w:t>由</w:t>
      </w:r>
      <w:r>
        <w:rPr>
          <w:rFonts w:asciiTheme="minorEastAsia" w:hAnsiTheme="minorEastAsia" w:eastAsiaTheme="minorEastAsia"/>
          <w:kern w:val="0"/>
          <w:sz w:val="24"/>
        </w:rPr>
        <w:t>谈判供应商提供最终设计方案或解决方案的，谈判结束后，谈判小组应当按照少数服从多数的原则投票推荐3家以上</w:t>
      </w:r>
      <w:r>
        <w:rPr>
          <w:rFonts w:hint="eastAsia" w:asciiTheme="minorEastAsia" w:hAnsiTheme="minorEastAsia" w:eastAsiaTheme="minorEastAsia"/>
          <w:kern w:val="0"/>
          <w:sz w:val="24"/>
        </w:rPr>
        <w:t>（含3家）</w:t>
      </w:r>
      <w:r>
        <w:rPr>
          <w:rFonts w:asciiTheme="minorEastAsia" w:hAnsiTheme="minorEastAsia" w:eastAsiaTheme="minorEastAsia"/>
          <w:kern w:val="0"/>
          <w:sz w:val="24"/>
        </w:rPr>
        <w:t>供应商的设计方案或者解决方案，并要求其在规定时间内</w:t>
      </w:r>
      <w:r>
        <w:rPr>
          <w:rFonts w:hint="eastAsia" w:asciiTheme="minorEastAsia" w:hAnsiTheme="minorEastAsia" w:eastAsiaTheme="minorEastAsia"/>
          <w:kern w:val="0"/>
          <w:sz w:val="24"/>
        </w:rPr>
        <w:t>密封</w:t>
      </w:r>
      <w:r>
        <w:rPr>
          <w:rFonts w:asciiTheme="minorEastAsia" w:hAnsiTheme="minorEastAsia" w:eastAsiaTheme="minorEastAsia"/>
          <w:kern w:val="0"/>
          <w:sz w:val="24"/>
        </w:rPr>
        <w:t>提交最后报价</w:t>
      </w:r>
      <w:r>
        <w:rPr>
          <w:rFonts w:hint="eastAsia" w:asciiTheme="minorEastAsia" w:hAnsiTheme="minorEastAsia" w:eastAsiaTheme="minorEastAsia"/>
          <w:kern w:val="0"/>
          <w:sz w:val="24"/>
        </w:rPr>
        <w:t>。</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20.8.3</w:t>
      </w:r>
      <w:r>
        <w:rPr>
          <w:rFonts w:asciiTheme="minorEastAsia" w:hAnsiTheme="minorEastAsia" w:eastAsiaTheme="minorEastAsia"/>
          <w:kern w:val="0"/>
          <w:sz w:val="24"/>
        </w:rPr>
        <w:t>最后报价是供应商</w:t>
      </w:r>
      <w:r>
        <w:rPr>
          <w:rFonts w:hint="eastAsia" w:asciiTheme="minorEastAsia" w:hAnsiTheme="minorEastAsia" w:eastAsiaTheme="minorEastAsia"/>
          <w:kern w:val="0"/>
          <w:sz w:val="24"/>
        </w:rPr>
        <w:t>响应文件</w:t>
      </w:r>
      <w:r>
        <w:rPr>
          <w:rFonts w:asciiTheme="minorEastAsia" w:hAnsiTheme="minorEastAsia" w:eastAsiaTheme="minorEastAsia"/>
          <w:kern w:val="0"/>
          <w:sz w:val="24"/>
        </w:rPr>
        <w:t>的有效组成部分。</w:t>
      </w:r>
    </w:p>
    <w:p>
      <w:pPr>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20.9</w:t>
      </w:r>
      <w:r>
        <w:rPr>
          <w:rFonts w:asciiTheme="minorEastAsia" w:hAnsiTheme="minorEastAsia" w:eastAsiaTheme="minorEastAsia"/>
          <w:kern w:val="0"/>
          <w:sz w:val="24"/>
        </w:rPr>
        <w:t>已提交响应文件的供应商，在提交最后报价之前，可以根据谈判情况</w:t>
      </w:r>
      <w:r>
        <w:rPr>
          <w:rFonts w:hint="eastAsia" w:asciiTheme="minorEastAsia" w:hAnsiTheme="minorEastAsia" w:eastAsiaTheme="minorEastAsia"/>
          <w:kern w:val="0"/>
          <w:sz w:val="24"/>
        </w:rPr>
        <w:t>书面</w:t>
      </w:r>
      <w:r>
        <w:rPr>
          <w:rFonts w:asciiTheme="minorEastAsia" w:hAnsiTheme="minorEastAsia" w:eastAsiaTheme="minorEastAsia"/>
          <w:kern w:val="0"/>
          <w:sz w:val="24"/>
        </w:rPr>
        <w:t>退出谈判</w:t>
      </w:r>
      <w:r>
        <w:rPr>
          <w:rFonts w:hint="eastAsia" w:asciiTheme="minorEastAsia" w:hAnsiTheme="minorEastAsia" w:eastAsiaTheme="minorEastAsia"/>
          <w:kern w:val="0"/>
          <w:sz w:val="24"/>
        </w:rPr>
        <w:t>。</w:t>
      </w:r>
    </w:p>
    <w:p>
      <w:pPr>
        <w:widowControl/>
        <w:tabs>
          <w:tab w:val="left" w:pos="540"/>
        </w:tabs>
        <w:spacing w:line="360" w:lineRule="auto"/>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20.10 </w:t>
      </w:r>
      <w:r>
        <w:rPr>
          <w:rFonts w:asciiTheme="minorEastAsia" w:hAnsiTheme="minorEastAsia" w:eastAsiaTheme="minorEastAsia"/>
          <w:kern w:val="0"/>
          <w:sz w:val="24"/>
        </w:rPr>
        <w:t>评审报告</w:t>
      </w:r>
    </w:p>
    <w:p>
      <w:pPr>
        <w:spacing w:line="360" w:lineRule="auto"/>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谈判小组应当从质量和服务均能满足</w:t>
      </w:r>
      <w:r>
        <w:rPr>
          <w:rFonts w:hint="eastAsia" w:asciiTheme="minorEastAsia" w:hAnsiTheme="minorEastAsia" w:eastAsiaTheme="minorEastAsia"/>
          <w:kern w:val="0"/>
          <w:sz w:val="24"/>
        </w:rPr>
        <w:t>谈判</w:t>
      </w:r>
      <w:r>
        <w:rPr>
          <w:rFonts w:asciiTheme="minorEastAsia" w:hAnsiTheme="minorEastAsia" w:eastAsiaTheme="minorEastAsia"/>
          <w:kern w:val="0"/>
          <w:sz w:val="24"/>
        </w:rPr>
        <w:t>文件</w:t>
      </w:r>
      <w:r>
        <w:rPr>
          <w:rFonts w:hint="eastAsia" w:asciiTheme="minorEastAsia" w:hAnsiTheme="minorEastAsia" w:eastAsiaTheme="minorEastAsia"/>
          <w:kern w:val="0"/>
          <w:sz w:val="24"/>
        </w:rPr>
        <w:t>全部</w:t>
      </w:r>
      <w:r>
        <w:rPr>
          <w:rFonts w:asciiTheme="minorEastAsia" w:hAnsiTheme="minorEastAsia" w:eastAsiaTheme="minorEastAsia"/>
          <w:kern w:val="0"/>
          <w:sz w:val="24"/>
        </w:rPr>
        <w:t>实质性响应要求的供应商中，按</w:t>
      </w:r>
      <w:r>
        <w:rPr>
          <w:rFonts w:hint="eastAsia" w:asciiTheme="minorEastAsia" w:hAnsiTheme="minorEastAsia" w:eastAsiaTheme="minorEastAsia"/>
          <w:kern w:val="0"/>
          <w:sz w:val="24"/>
        </w:rPr>
        <w:t>照评审报价（最后报价及享受政府采购政策的优惠扣除）由低到高的顺序</w:t>
      </w:r>
      <w:r>
        <w:rPr>
          <w:rFonts w:asciiTheme="minorEastAsia" w:hAnsiTheme="minorEastAsia" w:eastAsiaTheme="minorEastAsia"/>
          <w:kern w:val="0"/>
          <w:sz w:val="24"/>
        </w:rPr>
        <w:t>提出3名以上</w:t>
      </w:r>
      <w:r>
        <w:rPr>
          <w:rFonts w:hint="eastAsia" w:asciiTheme="minorEastAsia" w:hAnsiTheme="minorEastAsia" w:eastAsiaTheme="minorEastAsia"/>
          <w:kern w:val="0"/>
          <w:sz w:val="24"/>
        </w:rPr>
        <w:t>（含3名）</w:t>
      </w:r>
      <w:r>
        <w:rPr>
          <w:rFonts w:asciiTheme="minorEastAsia" w:hAnsiTheme="minorEastAsia" w:eastAsiaTheme="minorEastAsia"/>
          <w:kern w:val="0"/>
          <w:sz w:val="24"/>
        </w:rPr>
        <w:t>成交候选人，并编写评审报告。</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20.11采购代理机构发现谈判小组有明显的违规倾向或歧视现象，或不按评审办法进行，或其他不正常行为的，应当及时制止。如制止无效，应及时向南宁市政府采购监督管理机构报告。</w:t>
      </w:r>
    </w:p>
    <w:p>
      <w:pPr>
        <w:pStyle w:val="24"/>
        <w:spacing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21. 确定成交供应商</w:t>
      </w:r>
    </w:p>
    <w:p>
      <w:pPr>
        <w:pStyle w:val="24"/>
        <w:tabs>
          <w:tab w:val="left" w:pos="4214"/>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（1）采购单位应当确定谈判小组推荐排名第一的成交候选人为成交供应商。</w:t>
      </w:r>
    </w:p>
    <w:p>
      <w:pPr>
        <w:pStyle w:val="24"/>
        <w:spacing w:line="360" w:lineRule="auto"/>
        <w:ind w:firstLine="511" w:firstLineChars="213"/>
        <w:rPr>
          <w:rFonts w:asciiTheme="minorEastAsia" w:hAnsiTheme="minorEastAsia" w:eastAsiaTheme="minorEastAsia"/>
          <w:sz w:val="24"/>
          <w:szCs w:val="24"/>
        </w:rPr>
      </w:pPr>
      <w:r>
        <w:rPr>
          <w:rFonts w:hint="eastAsia" w:asciiTheme="minorEastAsia" w:hAnsiTheme="minorEastAsia" w:eastAsiaTheme="minorEastAsia"/>
          <w:sz w:val="24"/>
          <w:szCs w:val="24"/>
        </w:rPr>
        <w:t>（2）排名第一的成交候选人放弃中标、因不可抗力提出不能履行合同，采购单位可以确定排名第二的成交候选人为成交供应商。</w:t>
      </w:r>
      <w:r>
        <w:rPr>
          <w:rFonts w:hint="eastAsia" w:hAnsi="宋体"/>
          <w:sz w:val="24"/>
          <w:szCs w:val="24"/>
        </w:rPr>
        <w:t>采购人也可以重新采购。</w:t>
      </w:r>
    </w:p>
    <w:p>
      <w:pPr>
        <w:pStyle w:val="24"/>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排名第二的成交候选人因前款规定的同样原因不能签订合同的，采购单位可以确定排名第三的成交候选人为成交供应商。</w:t>
      </w:r>
      <w:r>
        <w:rPr>
          <w:rFonts w:hint="eastAsia" w:hAnsi="宋体"/>
          <w:sz w:val="24"/>
          <w:szCs w:val="24"/>
        </w:rPr>
        <w:t>采购人也可以重新采购。</w:t>
      </w:r>
    </w:p>
    <w:p>
      <w:pPr>
        <w:widowControl/>
        <w:shd w:val="clear" w:color="auto" w:fill="FFFFFF"/>
        <w:spacing w:line="360" w:lineRule="auto"/>
        <w:ind w:firstLine="480"/>
        <w:jc w:val="left"/>
        <w:rPr>
          <w:rFonts w:asciiTheme="minorEastAsia" w:hAnsiTheme="minorEastAsia" w:eastAsiaTheme="minorEastAsia"/>
          <w:b/>
          <w:sz w:val="24"/>
        </w:rPr>
      </w:pPr>
      <w:r>
        <w:rPr>
          <w:rFonts w:hint="eastAsia" w:asciiTheme="minorEastAsia" w:hAnsiTheme="minorEastAsia" w:eastAsiaTheme="minorEastAsia"/>
          <w:b/>
          <w:bCs/>
          <w:sz w:val="24"/>
        </w:rPr>
        <w:t xml:space="preserve">22. </w:t>
      </w:r>
      <w:r>
        <w:rPr>
          <w:rFonts w:hint="eastAsia" w:asciiTheme="minorEastAsia" w:hAnsiTheme="minorEastAsia" w:eastAsiaTheme="minorEastAsia"/>
          <w:b/>
          <w:sz w:val="24"/>
        </w:rPr>
        <w:t>属于下列情况之一者，响应文件无效：</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（2）未按谈判文件规定完整提交响应文件或未按规定要求密封、签字、盖章的；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（3）超越了行政审批的经营范围的；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（4）不具备谈判文件规定的资格要求的；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（5）响应文件未按谈判文件的内容和要求编制，或提供虚假材料的；</w:t>
      </w:r>
    </w:p>
    <w:p>
      <w:pPr>
        <w:snapToGrid w:val="0"/>
        <w:spacing w:line="360" w:lineRule="auto"/>
        <w:ind w:firstLine="480" w:firstLineChars="200"/>
        <w:outlineLvl w:val="4"/>
        <w:rPr>
          <w:rFonts w:asciiTheme="minorEastAsia" w:hAnsiTheme="minorEastAsia" w:eastAsiaTheme="minorEastAsia"/>
          <w:sz w:val="24"/>
        </w:rPr>
      </w:pPr>
      <w:r>
        <w:rPr>
          <w:rFonts w:hint="eastAsia" w:asciiTheme="minorEastAsia" w:hAnsiTheme="minorEastAsia" w:eastAsiaTheme="minorEastAsia"/>
          <w:sz w:val="24"/>
        </w:rPr>
        <w:t>（6）属于“必须提供”的响应文件未能按时提供或补正、更正的；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（7）响应文件有效期、交货时间、免费保修期、售后服务不能满足谈判文件要求的；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（8）供应商未就项目需求中所竞分标的所有货物内容作完整唯一报价的，或报价超出相应分标采购预算总金额的；</w:t>
      </w:r>
    </w:p>
    <w:p>
      <w:pPr>
        <w:pStyle w:val="24"/>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未在谈判小组规定的时间内</w:t>
      </w:r>
      <w:r>
        <w:rPr>
          <w:rFonts w:hint="eastAsia" w:asciiTheme="minorEastAsia" w:hAnsiTheme="minorEastAsia" w:eastAsiaTheme="minorEastAsia"/>
          <w:sz w:val="24"/>
          <w:szCs w:val="24"/>
        </w:rPr>
        <w:t>重新提交响应文件</w:t>
      </w:r>
      <w:r>
        <w:rPr>
          <w:rFonts w:asciiTheme="minorEastAsia" w:hAnsiTheme="minorEastAsia" w:eastAsiaTheme="minorEastAsia"/>
          <w:sz w:val="24"/>
          <w:szCs w:val="24"/>
        </w:rPr>
        <w:t>的</w:t>
      </w:r>
      <w:r>
        <w:rPr>
          <w:rFonts w:hint="eastAsia" w:asciiTheme="minorEastAsia" w:hAnsiTheme="minorEastAsia" w:eastAsiaTheme="minorEastAsia"/>
          <w:sz w:val="24"/>
          <w:szCs w:val="24"/>
        </w:rPr>
        <w:t>；</w:t>
      </w:r>
    </w:p>
    <w:p>
      <w:pPr>
        <w:pStyle w:val="24"/>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（10）未满足谈判文件全部实质性要求的或者响应文件有采购人不能接受的附加条件的；</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（11）不符合法律、法规和谈判文件规定的其他实质性要求和条件的。</w:t>
      </w:r>
    </w:p>
    <w:p>
      <w:pPr>
        <w:snapToGrid w:val="0"/>
        <w:spacing w:line="360" w:lineRule="auto"/>
        <w:ind w:left="355" w:leftChars="169" w:firstLine="118" w:firstLineChars="49"/>
        <w:outlineLvl w:val="4"/>
        <w:rPr>
          <w:rFonts w:asciiTheme="minorEastAsia" w:hAnsiTheme="minorEastAsia" w:eastAsiaTheme="minorEastAsia"/>
          <w:b/>
          <w:sz w:val="24"/>
        </w:rPr>
      </w:pPr>
      <w:r>
        <w:rPr>
          <w:rFonts w:hint="eastAsia" w:asciiTheme="minorEastAsia" w:hAnsiTheme="minorEastAsia" w:eastAsiaTheme="minorEastAsia"/>
          <w:b/>
          <w:sz w:val="24"/>
        </w:rPr>
        <w:t>供应商有下列情形之一的，视为串通竞标，响应文件将被视为无效：</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（1）不同供应商的响应文件由同一单位或者个人编制；</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（2）不同供应商委托同一单位或者个人办理竞标事宜；</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（3）不同的供应商的响应文件载明的项目管理员为同一个人；</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 xml:space="preserve">（4）不同供应商的响应文件异常一致或报价呈规律性差异； </w:t>
      </w:r>
    </w:p>
    <w:p>
      <w:pPr>
        <w:snapToGrid w:val="0"/>
        <w:spacing w:line="360" w:lineRule="auto"/>
        <w:ind w:left="355" w:leftChars="169" w:firstLine="117" w:firstLineChars="49"/>
        <w:outlineLvl w:val="4"/>
        <w:rPr>
          <w:rFonts w:asciiTheme="minorEastAsia" w:hAnsiTheme="minorEastAsia" w:eastAsiaTheme="minorEastAsia"/>
          <w:sz w:val="24"/>
        </w:rPr>
      </w:pPr>
      <w:r>
        <w:rPr>
          <w:rFonts w:hint="eastAsia" w:asciiTheme="minorEastAsia" w:hAnsiTheme="minorEastAsia" w:eastAsiaTheme="minorEastAsia"/>
          <w:sz w:val="24"/>
        </w:rPr>
        <w:t>（5）不同供应商的响应文件相互混装；</w:t>
      </w:r>
    </w:p>
    <w:p>
      <w:pPr>
        <w:snapToGrid w:val="0"/>
        <w:spacing w:line="360" w:lineRule="auto"/>
        <w:ind w:firstLine="472" w:firstLineChars="196"/>
        <w:outlineLvl w:val="4"/>
        <w:rPr>
          <w:rFonts w:asciiTheme="minorEastAsia" w:hAnsiTheme="minorEastAsia" w:eastAsiaTheme="minorEastAsia"/>
          <w:b/>
          <w:sz w:val="24"/>
        </w:rPr>
      </w:pPr>
      <w:r>
        <w:rPr>
          <w:rFonts w:hint="eastAsia" w:asciiTheme="minorEastAsia" w:hAnsiTheme="minorEastAsia" w:eastAsiaTheme="minorEastAsia"/>
          <w:b/>
          <w:sz w:val="24"/>
        </w:rPr>
        <w:t xml:space="preserve">23. </w:t>
      </w:r>
      <w:r>
        <w:rPr>
          <w:rFonts w:asciiTheme="minorEastAsia" w:hAnsiTheme="minorEastAsia" w:eastAsiaTheme="minorEastAsia"/>
          <w:b/>
          <w:sz w:val="24"/>
        </w:rPr>
        <w:t>出现下列情形之一的，采购人或者采购代理机构应当终止竞争性谈判采购活动，发布项目终止公告并说明原因，重新开展采购活动：</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因情况变化，不再符合规定的竞争性谈判采购方式适用情形的；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出现影响采购公正的违法、违规行为的；</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在采购过程中符合竞争要求的供应商不足3家的</w:t>
      </w:r>
      <w:r>
        <w:rPr>
          <w:rFonts w:hint="eastAsia" w:asciiTheme="minorEastAsia" w:hAnsiTheme="minorEastAsia" w:eastAsiaTheme="minorEastAsia"/>
          <w:sz w:val="24"/>
        </w:rPr>
        <w:t xml:space="preserve">。 </w:t>
      </w:r>
    </w:p>
    <w:p>
      <w:pPr>
        <w:snapToGrid w:val="0"/>
        <w:spacing w:line="360" w:lineRule="auto"/>
        <w:ind w:firstLine="482" w:firstLineChars="200"/>
        <w:outlineLvl w:val="4"/>
        <w:rPr>
          <w:rFonts w:asciiTheme="minorEastAsia" w:hAnsiTheme="minorEastAsia" w:eastAsiaTheme="minorEastAsia"/>
          <w:b/>
          <w:sz w:val="24"/>
        </w:rPr>
      </w:pPr>
      <w:r>
        <w:rPr>
          <w:rFonts w:hint="eastAsia" w:asciiTheme="minorEastAsia" w:hAnsiTheme="minorEastAsia" w:eastAsiaTheme="minorEastAsia"/>
          <w:b/>
          <w:sz w:val="24"/>
        </w:rPr>
        <w:t>24. 谈判过程的监控</w:t>
      </w:r>
    </w:p>
    <w:p>
      <w:pPr>
        <w:pStyle w:val="24"/>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本项目谈判过程实行全程录音、录像监控，供应商在谈判过程中所进行的试图影响谈判结果的不公正活动，可能导致其谈判被拒绝。</w:t>
      </w:r>
    </w:p>
    <w:p>
      <w:pPr>
        <w:pStyle w:val="24"/>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25. 成交公告及成交通知书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25.1 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line="360" w:lineRule="auto"/>
        <w:ind w:firstLine="470" w:firstLineChars="196"/>
        <w:outlineLvl w:val="4"/>
        <w:rPr>
          <w:rFonts w:asciiTheme="minorEastAsia" w:hAnsiTheme="minorEastAsia" w:eastAsiaTheme="minorEastAsia"/>
          <w:sz w:val="24"/>
        </w:rPr>
      </w:pPr>
      <w:r>
        <w:rPr>
          <w:rFonts w:hint="eastAsia" w:asciiTheme="minorEastAsia" w:hAnsiTheme="minorEastAsia" w:eastAsiaTheme="minorEastAsia"/>
          <w:sz w:val="24"/>
        </w:rPr>
        <w:t>25.2 在发布成交公告的同时，采购代理机构向成交供应商发出成交通知书</w:t>
      </w:r>
      <w:r>
        <w:rPr>
          <w:rFonts w:hint="eastAsia" w:asciiTheme="minorEastAsia" w:hAnsiTheme="minorEastAsia" w:eastAsiaTheme="minorEastAsia"/>
          <w:color w:val="FF0000"/>
          <w:sz w:val="24"/>
        </w:rPr>
        <w:t>（格式详见附件）</w:t>
      </w:r>
      <w:r>
        <w:rPr>
          <w:rFonts w:hint="eastAsia" w:asciiTheme="minorEastAsia" w:hAnsiTheme="minorEastAsia" w:eastAsiaTheme="minorEastAsia"/>
          <w:sz w:val="24"/>
        </w:rPr>
        <w:t>。如成交供应商自接到通知之日起七个工作日内，不办理成交通知书领取手续的，按违约处理。采购单位将取消其成交资格，从谈判小组推荐的成交候选人中按顺序重新确定成交供应商。</w:t>
      </w:r>
    </w:p>
    <w:p>
      <w:pPr>
        <w:pStyle w:val="24"/>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25.3 采购代理机构无义务向未成交的供应商解释未成交原因和退还响应文件。</w:t>
      </w:r>
    </w:p>
    <w:p>
      <w:pPr>
        <w:pStyle w:val="24"/>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26.信用查询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⑴查询渠道：“信用中国”网站(www.creditchina.gov.cn)、中国政府采购网(www.ccgp.gov.cn)等；</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⑵查询截止时点：成交通知书发出前；</w:t>
      </w:r>
    </w:p>
    <w:p>
      <w:pPr>
        <w:autoSpaceDE w:val="0"/>
        <w:autoSpaceDN w:val="0"/>
        <w:snapToGrid w:val="0"/>
        <w:spacing w:line="360" w:lineRule="auto"/>
        <w:ind w:firstLine="480" w:firstLineChars="200"/>
        <w:textAlignment w:val="bottom"/>
        <w:rPr>
          <w:rFonts w:asciiTheme="minorEastAsia" w:hAnsiTheme="minorEastAsia" w:eastAsiaTheme="minorEastAsia"/>
          <w:sz w:val="24"/>
        </w:rPr>
      </w:pPr>
      <w:r>
        <w:rPr>
          <w:rFonts w:hint="eastAsia" w:asciiTheme="minorEastAsia" w:hAnsiTheme="minorEastAsia" w:eastAsiaTheme="minorEastAsia"/>
          <w:sz w:val="24"/>
        </w:rPr>
        <w:t>⑶信用信息查询记录和证据留存方式：在查询网站中直接打印查询记录，打印材料作为采购活动资料保存。</w:t>
      </w:r>
    </w:p>
    <w:p>
      <w:pPr>
        <w:pStyle w:val="173"/>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p>
      <w:pPr>
        <w:pStyle w:val="24"/>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4"/>
        <w:spacing w:line="380" w:lineRule="exact"/>
        <w:ind w:firstLine="420" w:firstLineChars="200"/>
        <w:rPr>
          <w:rFonts w:hAnsi="宋体"/>
        </w:rPr>
      </w:pPr>
    </w:p>
    <w:p>
      <w:pPr>
        <w:spacing w:line="360" w:lineRule="auto"/>
        <w:jc w:val="center"/>
        <w:rPr>
          <w:rFonts w:ascii="宋体" w:hAnsi="宋体"/>
          <w:b/>
          <w:sz w:val="24"/>
        </w:rPr>
      </w:pPr>
      <w:r>
        <w:rPr>
          <w:rFonts w:hint="eastAsia" w:ascii="宋体" w:hAnsi="宋体"/>
          <w:b/>
          <w:sz w:val="24"/>
        </w:rPr>
        <w:t>六、签订合同</w:t>
      </w:r>
    </w:p>
    <w:p>
      <w:pPr>
        <w:spacing w:line="360" w:lineRule="auto"/>
        <w:rPr>
          <w:rFonts w:ascii="宋体" w:hAnsi="宋体"/>
          <w:b/>
          <w:sz w:val="24"/>
        </w:rPr>
      </w:pPr>
      <w:r>
        <w:rPr>
          <w:rFonts w:hint="eastAsia" w:ascii="宋体" w:hAnsi="宋体"/>
          <w:b/>
          <w:sz w:val="24"/>
        </w:rPr>
        <w:t>27. 签订合同</w:t>
      </w:r>
    </w:p>
    <w:p>
      <w:pPr>
        <w:pStyle w:val="24"/>
        <w:spacing w:line="360" w:lineRule="auto"/>
        <w:ind w:firstLine="420"/>
        <w:rPr>
          <w:rFonts w:hAnsi="宋体"/>
          <w:sz w:val="24"/>
          <w:szCs w:val="24"/>
        </w:rPr>
      </w:pPr>
      <w:r>
        <w:rPr>
          <w:rFonts w:hint="eastAsia" w:hAnsi="宋体"/>
          <w:sz w:val="24"/>
        </w:rPr>
        <w:t>27.1成交供应商在收到成交通知书后，按规定与采购人签订供货服务合同。</w:t>
      </w:r>
    </w:p>
    <w:p>
      <w:pPr>
        <w:pStyle w:val="24"/>
        <w:spacing w:line="360" w:lineRule="auto"/>
        <w:ind w:firstLine="425"/>
        <w:rPr>
          <w:rFonts w:hAnsi="宋体"/>
          <w:sz w:val="24"/>
          <w:szCs w:val="24"/>
        </w:rPr>
      </w:pPr>
      <w:r>
        <w:rPr>
          <w:rFonts w:hint="eastAsia" w:hAnsi="宋体"/>
          <w:sz w:val="24"/>
          <w:szCs w:val="24"/>
        </w:rPr>
        <w:t>27.2如果</w:t>
      </w:r>
      <w:r>
        <w:rPr>
          <w:rFonts w:hint="eastAsia" w:hAnsi="宋体"/>
          <w:sz w:val="24"/>
        </w:rPr>
        <w:t>成交供应商</w:t>
      </w:r>
      <w:r>
        <w:rPr>
          <w:rFonts w:hint="eastAsia" w:hAnsi="宋体"/>
          <w:sz w:val="24"/>
          <w:szCs w:val="24"/>
        </w:rPr>
        <w:t>不按</w:t>
      </w:r>
      <w:r>
        <w:rPr>
          <w:rFonts w:hint="eastAsia" w:hAnsi="宋体"/>
          <w:sz w:val="24"/>
        </w:rPr>
        <w:t>成交</w:t>
      </w:r>
      <w:r>
        <w:rPr>
          <w:rFonts w:hint="eastAsia" w:hAnsi="宋体"/>
          <w:sz w:val="24"/>
          <w:szCs w:val="24"/>
        </w:rPr>
        <w:t>通知书中规定签订合同，则按</w:t>
      </w:r>
      <w:r>
        <w:rPr>
          <w:rFonts w:hint="eastAsia" w:hAnsi="宋体"/>
          <w:sz w:val="24"/>
        </w:rPr>
        <w:t>成交</w:t>
      </w:r>
      <w:r>
        <w:rPr>
          <w:rFonts w:hint="eastAsia" w:hAnsi="宋体"/>
          <w:sz w:val="24"/>
          <w:szCs w:val="24"/>
        </w:rPr>
        <w:t>供应商违约处理。</w:t>
      </w:r>
    </w:p>
    <w:p>
      <w:pPr>
        <w:pStyle w:val="24"/>
        <w:spacing w:line="360" w:lineRule="auto"/>
        <w:ind w:firstLine="420"/>
        <w:rPr>
          <w:rFonts w:hAnsi="宋体"/>
          <w:sz w:val="24"/>
          <w:szCs w:val="24"/>
        </w:rPr>
      </w:pPr>
      <w:r>
        <w:rPr>
          <w:rFonts w:hint="eastAsia" w:hAnsi="宋体"/>
          <w:sz w:val="24"/>
          <w:szCs w:val="24"/>
        </w:rPr>
        <w:t>27.3</w:t>
      </w:r>
      <w:r>
        <w:rPr>
          <w:rFonts w:hint="eastAsia" w:hAnsi="宋体"/>
          <w:sz w:val="24"/>
        </w:rPr>
        <w:t>成交</w:t>
      </w:r>
      <w:r>
        <w:rPr>
          <w:rFonts w:hint="eastAsia" w:hAnsi="宋体"/>
          <w:sz w:val="24"/>
          <w:szCs w:val="24"/>
        </w:rPr>
        <w:t>供应商因不可抗力或者自身原因不能履行政府采购合同的，采购人可以与</w:t>
      </w:r>
      <w:r>
        <w:rPr>
          <w:rFonts w:hint="eastAsia" w:hAnsi="宋体"/>
          <w:sz w:val="24"/>
        </w:rPr>
        <w:t>成交</w:t>
      </w:r>
      <w:r>
        <w:rPr>
          <w:rFonts w:hint="eastAsia" w:hAnsi="宋体"/>
          <w:sz w:val="24"/>
          <w:szCs w:val="24"/>
        </w:rPr>
        <w:t>供应商之后排名第一的</w:t>
      </w:r>
      <w:r>
        <w:rPr>
          <w:rFonts w:hint="eastAsia" w:hAnsi="宋体"/>
          <w:sz w:val="24"/>
        </w:rPr>
        <w:t>成交</w:t>
      </w:r>
      <w:r>
        <w:rPr>
          <w:rFonts w:hint="eastAsia" w:hAnsi="宋体"/>
          <w:sz w:val="24"/>
          <w:szCs w:val="24"/>
        </w:rPr>
        <w:t>候选供应商签订采购合同，以此类推。</w:t>
      </w:r>
      <w:r>
        <w:rPr>
          <w:rFonts w:hint="eastAsia" w:hAnsi="宋体"/>
          <w:bCs/>
          <w:sz w:val="24"/>
          <w:szCs w:val="24"/>
        </w:rPr>
        <w:t>采购人也可以重新开展采购活动。</w:t>
      </w:r>
    </w:p>
    <w:p>
      <w:pPr>
        <w:pStyle w:val="24"/>
        <w:snapToGrid w:val="0"/>
        <w:spacing w:before="120" w:after="120" w:line="360" w:lineRule="auto"/>
        <w:ind w:firstLine="236" w:firstLineChars="98"/>
        <w:jc w:val="center"/>
        <w:rPr>
          <w:rFonts w:hAnsi="宋体"/>
          <w:b/>
          <w:sz w:val="24"/>
          <w:szCs w:val="24"/>
        </w:rPr>
      </w:pPr>
      <w:r>
        <w:rPr>
          <w:rFonts w:hint="eastAsia" w:hAnsi="宋体"/>
          <w:b/>
          <w:sz w:val="24"/>
          <w:szCs w:val="24"/>
        </w:rPr>
        <w:t>七、其他事项</w:t>
      </w:r>
    </w:p>
    <w:p>
      <w:pPr>
        <w:pStyle w:val="24"/>
        <w:spacing w:line="360" w:lineRule="auto"/>
        <w:rPr>
          <w:rFonts w:hAnsi="宋体"/>
          <w:b/>
          <w:sz w:val="24"/>
          <w:szCs w:val="24"/>
        </w:rPr>
      </w:pPr>
      <w:r>
        <w:rPr>
          <w:rFonts w:hint="eastAsia" w:hAnsi="宋体"/>
          <w:b/>
          <w:sz w:val="24"/>
          <w:szCs w:val="24"/>
        </w:rPr>
        <w:t>28.采购代理服务费（根据代理协议进行增减）</w:t>
      </w:r>
    </w:p>
    <w:p>
      <w:pPr>
        <w:pStyle w:val="24"/>
        <w:spacing w:line="360" w:lineRule="auto"/>
        <w:ind w:firstLine="425"/>
        <w:rPr>
          <w:rFonts w:hAnsi="宋体"/>
          <w:sz w:val="24"/>
        </w:rPr>
      </w:pPr>
      <w:r>
        <w:rPr>
          <w:rFonts w:hint="eastAsia" w:hAnsi="宋体"/>
          <w:sz w:val="24"/>
        </w:rPr>
        <w:t>28.1成交供应商领取成交通知书前，向广西建设工程机电设备招标中心有限公司一次性付清采购代理服务费。服务费参照国家发展计划委员会文件计价格（2002）1980号《国家计委关于印发&lt;招标代理服务收费管理暂行办法&gt;的通知》规定标准计取。</w:t>
      </w:r>
    </w:p>
    <w:p>
      <w:pPr>
        <w:spacing w:line="360" w:lineRule="exact"/>
        <w:ind w:firstLine="480" w:firstLineChars="200"/>
        <w:rPr>
          <w:rFonts w:ascii="宋体" w:hAnsi="宋体" w:cs="Courier New"/>
          <w:sz w:val="24"/>
        </w:rPr>
      </w:pPr>
      <w:r>
        <w:rPr>
          <w:rFonts w:hint="eastAsia" w:ascii="宋体" w:hAnsi="宋体" w:cs="Courier New"/>
          <w:sz w:val="24"/>
        </w:rPr>
        <w:t>缴纳方式：</w:t>
      </w:r>
    </w:p>
    <w:p>
      <w:pPr>
        <w:spacing w:line="360" w:lineRule="exact"/>
        <w:ind w:firstLine="480" w:firstLineChars="200"/>
        <w:rPr>
          <w:rFonts w:ascii="宋体" w:hAnsi="宋体" w:cs="Courier New"/>
          <w:sz w:val="24"/>
        </w:rPr>
      </w:pPr>
      <w:r>
        <w:rPr>
          <w:rFonts w:hint="eastAsia" w:ascii="宋体" w:hAnsi="宋体" w:cs="Courier New"/>
          <w:sz w:val="24"/>
        </w:rPr>
        <w:t>开户名称：广西建设工程机电设备招标中心有限公司</w:t>
      </w:r>
    </w:p>
    <w:p>
      <w:pPr>
        <w:spacing w:line="360" w:lineRule="exact"/>
        <w:ind w:firstLine="480" w:firstLineChars="200"/>
        <w:rPr>
          <w:rFonts w:ascii="宋体" w:hAnsi="宋体" w:cs="Courier New"/>
          <w:sz w:val="24"/>
        </w:rPr>
      </w:pPr>
      <w:r>
        <w:rPr>
          <w:rFonts w:hint="eastAsia" w:ascii="宋体" w:hAnsi="宋体" w:cs="Courier New"/>
          <w:sz w:val="24"/>
        </w:rPr>
        <w:t>开户银行：招商银行南宁分行营业部</w:t>
      </w:r>
    </w:p>
    <w:p>
      <w:pPr>
        <w:spacing w:line="360" w:lineRule="exact"/>
        <w:ind w:firstLine="480" w:firstLineChars="200"/>
        <w:rPr>
          <w:rFonts w:ascii="宋体" w:hAnsi="宋体" w:cs="Courier New"/>
          <w:sz w:val="24"/>
        </w:rPr>
      </w:pPr>
      <w:r>
        <w:rPr>
          <w:rFonts w:hint="eastAsia" w:ascii="宋体" w:hAnsi="宋体" w:cs="Courier New"/>
          <w:sz w:val="24"/>
        </w:rPr>
        <w:t>帐    号：7719 0142 3310 201</w:t>
      </w:r>
    </w:p>
    <w:p>
      <w:pPr>
        <w:ind w:firstLine="360" w:firstLineChars="150"/>
        <w:rPr>
          <w:rFonts w:ascii="宋体" w:hAnsi="宋体"/>
          <w:bCs/>
          <w:sz w:val="24"/>
        </w:rPr>
      </w:pPr>
      <w:r>
        <w:rPr>
          <w:rFonts w:hint="eastAsia" w:ascii="宋体" w:hAnsi="宋体"/>
          <w:sz w:val="24"/>
        </w:rPr>
        <w:t>28.2</w:t>
      </w:r>
      <w:r>
        <w:rPr>
          <w:rFonts w:hint="eastAsia" w:ascii="宋体" w:hAnsi="宋体"/>
          <w:bCs/>
          <w:sz w:val="24"/>
        </w:rPr>
        <w:t>采购代理服务收费标准</w:t>
      </w:r>
    </w:p>
    <w:tbl>
      <w:tblPr>
        <w:tblStyle w:val="43"/>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95"/>
        <w:gridCol w:w="232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2448" w:type="dxa"/>
          </w:tcPr>
          <w:p>
            <w:pPr>
              <w:ind w:firstLine="944" w:firstLineChars="392"/>
              <w:rPr>
                <w:rFonts w:ascii="宋体" w:hAnsi="宋体"/>
                <w:b/>
                <w:bCs/>
                <w:sz w:val="24"/>
              </w:rPr>
            </w:pPr>
            <w:r>
              <w:rPr>
                <w:rFonts w:ascii="宋体" w:hAnsi="宋体"/>
                <w:b/>
                <w:bCs/>
                <w:sz w:val="24"/>
              </w:rPr>
              <mc:AlternateContent>
                <mc:Choice Requires="wps">
                  <w:drawing>
                    <wp:anchor distT="0" distB="0" distL="114300" distR="114300" simplePos="0" relativeHeight="251087872" behindDoc="0" locked="0" layoutInCell="1" allowOverlap="1">
                      <wp:simplePos x="0" y="0"/>
                      <wp:positionH relativeFrom="column">
                        <wp:posOffset>342900</wp:posOffset>
                      </wp:positionH>
                      <wp:positionV relativeFrom="paragraph">
                        <wp:posOffset>-6350</wp:posOffset>
                      </wp:positionV>
                      <wp:extent cx="1133475" cy="1036955"/>
                      <wp:effectExtent l="3175" t="3810" r="6350" b="6985"/>
                      <wp:wrapNone/>
                      <wp:docPr id="38" name="Line 10"/>
                      <wp:cNvGraphicFramePr/>
                      <a:graphic xmlns:a="http://schemas.openxmlformats.org/drawingml/2006/main">
                        <a:graphicData uri="http://schemas.microsoft.com/office/word/2010/wordprocessingShape">
                          <wps:wsp>
                            <wps:cNvCnPr/>
                            <wps:spPr>
                              <a:xfrm flipH="1" flipV="1">
                                <a:off x="0" y="0"/>
                                <a:ext cx="1133475" cy="10369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0" o:spid="_x0000_s1026" o:spt="20" style="position:absolute;left:0pt;flip:x y;margin-left:27pt;margin-top:-0.5pt;height:81.65pt;width:89.25pt;z-index:251087872;mso-width-relative:page;mso-height-relative:page;" filled="f" stroked="t" coordsize="21600,21600" o:gfxdata="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eNmU1QAAAAkBAAAPAAAAAAAAAAEAIAAAACIAAABkcnMvZG93bnJldi54bWxQSwECFAAUAAAA&#10;CACHTuJAxspL9fEBAAADBAAADgAAAAAAAAABACAAAAAkAQAAZHJzL2Uyb0RvYy54bWxQSwUGAAAA&#10;AAYABgBZAQAAhwUAAAAA&#10;">
                      <v:fill on="f" focussize="0,0"/>
                      <v:stroke color="#000000" joinstyle="round"/>
                      <v:imagedata o:title=""/>
                      <o:lock v:ext="edit" aspectratio="f"/>
                    </v:line>
                  </w:pict>
                </mc:Fallback>
              </mc:AlternateContent>
            </w:r>
            <w:r>
              <w:rPr>
                <w:rFonts w:ascii="宋体" w:hAnsi="宋体"/>
                <w:b/>
                <w:bCs/>
                <w:sz w:val="24"/>
              </w:rPr>
              <mc:AlternateContent>
                <mc:Choice Requires="wps">
                  <w:drawing>
                    <wp:anchor distT="0" distB="0" distL="114300" distR="114300" simplePos="0" relativeHeight="251085824" behindDoc="0" locked="0" layoutInCell="1" allowOverlap="1">
                      <wp:simplePos x="0" y="0"/>
                      <wp:positionH relativeFrom="column">
                        <wp:posOffset>-114300</wp:posOffset>
                      </wp:positionH>
                      <wp:positionV relativeFrom="paragraph">
                        <wp:posOffset>-6350</wp:posOffset>
                      </wp:positionV>
                      <wp:extent cx="635" cy="0"/>
                      <wp:effectExtent l="0" t="0" r="0" b="0"/>
                      <wp:wrapNone/>
                      <wp:docPr id="36" name="Line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8" o:spid="_x0000_s1026" o:spt="20" style="position:absolute;left:0pt;margin-left:-9pt;margin-top:-0.5pt;height:0pt;width:0.05pt;z-index:251085824;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5HTftUAAAAJAQAADwAAAAAA&#10;AAABACAAAAAiAAAAZHJzL2Rvd25yZXYueG1sUEsBAhQAFAAAAAgAh07iQMy3rS3dAQAA5AMAAA4A&#10;AAAAAAAAAQAgAAAAJAEAAGRycy9lMm9Eb2MueG1sUEsFBgAAAAAGAAYAWQEAAHMFAAAAAA==&#10;">
                      <v:fill on="f" focussize="0,0"/>
                      <v:stroke color="#000000" joinstyle="round"/>
                      <v:imagedata o:title=""/>
                      <o:lock v:ext="edit" aspectratio="f"/>
                    </v:line>
                  </w:pict>
                </mc:Fallback>
              </mc:AlternateContent>
            </w:r>
            <w:r>
              <w:rPr>
                <w:rFonts w:hint="eastAsia" w:ascii="宋体" w:hAnsi="宋体"/>
                <w:b/>
                <w:bCs/>
                <w:sz w:val="24"/>
              </w:rPr>
              <w:t>服务类型</w:t>
            </w:r>
          </w:p>
          <w:p>
            <w:pPr>
              <w:ind w:firstLine="241" w:firstLineChars="100"/>
              <w:rPr>
                <w:rFonts w:ascii="宋体" w:hAnsi="宋体"/>
                <w:b/>
                <w:bCs/>
                <w:sz w:val="24"/>
              </w:rPr>
            </w:pPr>
            <w:r>
              <w:rPr>
                <w:rFonts w:hint="eastAsia" w:ascii="宋体" w:hAnsi="宋体"/>
                <w:b/>
                <w:bCs/>
                <w:sz w:val="24"/>
              </w:rPr>
              <w:t>费</w:t>
            </w:r>
          </w:p>
          <w:p>
            <w:pPr>
              <w:ind w:firstLine="1205" w:firstLineChars="500"/>
              <w:rPr>
                <w:rFonts w:ascii="宋体" w:hAnsi="宋体"/>
                <w:b/>
                <w:bCs/>
                <w:sz w:val="24"/>
              </w:rPr>
            </w:pPr>
            <w:r>
              <w:rPr>
                <w:rFonts w:ascii="宋体" w:hAnsi="宋体"/>
                <w:b/>
                <w:bCs/>
                <w:sz w:val="24"/>
              </w:rPr>
              <mc:AlternateContent>
                <mc:Choice Requires="wps">
                  <w:drawing>
                    <wp:anchor distT="0" distB="0" distL="114300" distR="114300" simplePos="0" relativeHeight="251086848" behindDoc="0" locked="0" layoutInCell="1" allowOverlap="1">
                      <wp:simplePos x="0" y="0"/>
                      <wp:positionH relativeFrom="column">
                        <wp:posOffset>-84455</wp:posOffset>
                      </wp:positionH>
                      <wp:positionV relativeFrom="paragraph">
                        <wp:posOffset>90805</wp:posOffset>
                      </wp:positionV>
                      <wp:extent cx="1564005" cy="584200"/>
                      <wp:effectExtent l="1905" t="4445" r="15240" b="20955"/>
                      <wp:wrapNone/>
                      <wp:docPr id="37" name="Line 9"/>
                      <wp:cNvGraphicFramePr/>
                      <a:graphic xmlns:a="http://schemas.openxmlformats.org/drawingml/2006/main">
                        <a:graphicData uri="http://schemas.microsoft.com/office/word/2010/wordprocessingShape">
                          <wps:wsp>
                            <wps:cNvCnPr/>
                            <wps:spPr>
                              <a:xfrm flipH="1" flipV="1">
                                <a:off x="0" y="0"/>
                                <a:ext cx="1564005" cy="5842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9" o:spid="_x0000_s1026" o:spt="20" style="position:absolute;left:0pt;flip:x y;margin-left:-6.65pt;margin-top:7.15pt;height:46pt;width:123.15pt;z-index:251086848;mso-width-relative:page;mso-height-relative:page;" filled="f" stroked="t" coordsize="21600,21600" o:gfxdata="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r6V11AAAAAoBAAAPAAAAAAAAAAEAIAAAACIAAABkcnMvZG93bnJldi54bWxQSwECFAAUAAAACACH&#10;TuJAmVQxeO8BAAABBAAADgAAAAAAAAABACAAAAAjAQAAZHJzL2Uyb0RvYy54bWxQSwUGAAAAAAYA&#10;BgBZAQAAhAUAAAAA&#10;">
                      <v:fill on="f" focussize="0,0"/>
                      <v:stroke color="#000000" joinstyle="round"/>
                      <v:imagedata o:title=""/>
                      <o:lock v:ext="edit" aspectratio="f"/>
                    </v:line>
                  </w:pict>
                </mc:Fallback>
              </mc:AlternateContent>
            </w:r>
          </w:p>
          <w:p>
            <w:pPr>
              <w:ind w:firstLine="1205" w:firstLineChars="500"/>
              <w:rPr>
                <w:rFonts w:ascii="宋体" w:hAnsi="宋体"/>
                <w:b/>
                <w:bCs/>
                <w:sz w:val="24"/>
              </w:rPr>
            </w:pPr>
            <w:r>
              <w:rPr>
                <w:rFonts w:hint="eastAsia" w:ascii="宋体" w:hAnsi="宋体"/>
                <w:b/>
                <w:bCs/>
                <w:sz w:val="24"/>
              </w:rPr>
              <w:t>率</w:t>
            </w:r>
          </w:p>
          <w:p>
            <w:pPr>
              <w:ind w:firstLine="1205" w:firstLineChars="500"/>
              <w:rPr>
                <w:rFonts w:ascii="宋体" w:hAnsi="宋体"/>
                <w:b/>
                <w:bCs/>
                <w:sz w:val="24"/>
              </w:rPr>
            </w:pPr>
          </w:p>
          <w:p>
            <w:pPr>
              <w:rPr>
                <w:rFonts w:ascii="宋体" w:hAnsi="宋体"/>
                <w:b/>
                <w:bCs/>
                <w:sz w:val="24"/>
              </w:rPr>
            </w:pPr>
            <w:r>
              <w:rPr>
                <w:rFonts w:hint="eastAsia" w:ascii="宋体" w:hAnsi="宋体"/>
                <w:b/>
                <w:bCs/>
                <w:sz w:val="24"/>
              </w:rPr>
              <w:t>中标金额（万元）</w:t>
            </w:r>
          </w:p>
        </w:tc>
        <w:tc>
          <w:tcPr>
            <w:tcW w:w="2295" w:type="dxa"/>
            <w:vAlign w:val="center"/>
          </w:tcPr>
          <w:p>
            <w:pPr>
              <w:jc w:val="center"/>
              <w:rPr>
                <w:rFonts w:ascii="宋体" w:hAnsi="宋体"/>
                <w:b/>
                <w:bCs/>
                <w:sz w:val="24"/>
              </w:rPr>
            </w:pPr>
            <w:r>
              <w:rPr>
                <w:rFonts w:hint="eastAsia" w:ascii="宋体" w:hAnsi="宋体"/>
                <w:b/>
                <w:bCs/>
                <w:sz w:val="24"/>
              </w:rPr>
              <w:t>货物招标</w:t>
            </w:r>
          </w:p>
        </w:tc>
        <w:tc>
          <w:tcPr>
            <w:tcW w:w="2325" w:type="dxa"/>
            <w:vAlign w:val="center"/>
          </w:tcPr>
          <w:p>
            <w:pPr>
              <w:jc w:val="center"/>
              <w:rPr>
                <w:rFonts w:ascii="宋体" w:hAnsi="宋体"/>
                <w:b/>
                <w:bCs/>
                <w:sz w:val="24"/>
              </w:rPr>
            </w:pPr>
            <w:r>
              <w:rPr>
                <w:rFonts w:hint="eastAsia" w:ascii="宋体" w:hAnsi="宋体"/>
                <w:b/>
                <w:bCs/>
                <w:sz w:val="24"/>
              </w:rPr>
              <w:t>服务招标</w:t>
            </w:r>
          </w:p>
        </w:tc>
        <w:tc>
          <w:tcPr>
            <w:tcW w:w="2565" w:type="dxa"/>
            <w:vAlign w:val="center"/>
          </w:tcPr>
          <w:p>
            <w:pPr>
              <w:ind w:left="99" w:hanging="99" w:hangingChars="41"/>
              <w:jc w:val="center"/>
              <w:rPr>
                <w:rFonts w:ascii="宋体" w:hAnsi="宋体"/>
                <w:b/>
                <w:bCs/>
                <w:sz w:val="24"/>
              </w:rPr>
            </w:pPr>
            <w:r>
              <w:rPr>
                <w:rFonts w:hint="eastAsia" w:ascii="宋体" w:hAnsi="宋体"/>
                <w:b/>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100以下</w:t>
            </w:r>
          </w:p>
        </w:tc>
        <w:tc>
          <w:tcPr>
            <w:tcW w:w="2295" w:type="dxa"/>
          </w:tcPr>
          <w:p>
            <w:pPr>
              <w:jc w:val="center"/>
              <w:rPr>
                <w:rFonts w:ascii="宋体" w:hAnsi="宋体"/>
                <w:sz w:val="24"/>
              </w:rPr>
            </w:pPr>
            <w:r>
              <w:rPr>
                <w:rFonts w:hint="eastAsia" w:ascii="宋体" w:hAnsi="宋体"/>
                <w:sz w:val="24"/>
              </w:rPr>
              <w:t>1.5%</w:t>
            </w:r>
          </w:p>
        </w:tc>
        <w:tc>
          <w:tcPr>
            <w:tcW w:w="2325" w:type="dxa"/>
          </w:tcPr>
          <w:p>
            <w:pPr>
              <w:jc w:val="center"/>
              <w:rPr>
                <w:rFonts w:ascii="宋体" w:hAnsi="宋体"/>
                <w:sz w:val="24"/>
              </w:rPr>
            </w:pPr>
            <w:r>
              <w:rPr>
                <w:rFonts w:hint="eastAsia" w:ascii="宋体" w:hAnsi="宋体"/>
                <w:sz w:val="24"/>
              </w:rPr>
              <w:t>1.5%</w:t>
            </w:r>
          </w:p>
        </w:tc>
        <w:tc>
          <w:tcPr>
            <w:tcW w:w="2565" w:type="dxa"/>
          </w:tcPr>
          <w:p>
            <w:pPr>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100-500</w:t>
            </w:r>
          </w:p>
        </w:tc>
        <w:tc>
          <w:tcPr>
            <w:tcW w:w="2295" w:type="dxa"/>
          </w:tcPr>
          <w:p>
            <w:pPr>
              <w:jc w:val="center"/>
              <w:rPr>
                <w:rFonts w:ascii="宋体" w:hAnsi="宋体"/>
                <w:sz w:val="24"/>
              </w:rPr>
            </w:pPr>
            <w:r>
              <w:rPr>
                <w:rFonts w:hint="eastAsia" w:ascii="宋体" w:hAnsi="宋体"/>
                <w:sz w:val="24"/>
              </w:rPr>
              <w:t>1.1%</w:t>
            </w:r>
          </w:p>
        </w:tc>
        <w:tc>
          <w:tcPr>
            <w:tcW w:w="2325" w:type="dxa"/>
          </w:tcPr>
          <w:p>
            <w:pPr>
              <w:jc w:val="center"/>
              <w:rPr>
                <w:rFonts w:ascii="宋体" w:hAnsi="宋体"/>
                <w:sz w:val="24"/>
              </w:rPr>
            </w:pPr>
            <w:r>
              <w:rPr>
                <w:rFonts w:hint="eastAsia" w:ascii="宋体" w:hAnsi="宋体"/>
                <w:sz w:val="24"/>
              </w:rPr>
              <w:t>0.8%</w:t>
            </w:r>
          </w:p>
        </w:tc>
        <w:tc>
          <w:tcPr>
            <w:tcW w:w="2565" w:type="dxa"/>
          </w:tcPr>
          <w:p>
            <w:pPr>
              <w:jc w:val="center"/>
              <w:rPr>
                <w:rFonts w:ascii="宋体" w:hAnsi="宋体"/>
                <w:sz w:val="24"/>
              </w:rPr>
            </w:pPr>
            <w:r>
              <w:rPr>
                <w:rFonts w:hint="eastAsia" w:ascii="宋体" w:hAnsi="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500-1000</w:t>
            </w:r>
          </w:p>
        </w:tc>
        <w:tc>
          <w:tcPr>
            <w:tcW w:w="2295" w:type="dxa"/>
          </w:tcPr>
          <w:p>
            <w:pPr>
              <w:jc w:val="center"/>
              <w:rPr>
                <w:rFonts w:ascii="宋体" w:hAnsi="宋体"/>
                <w:sz w:val="24"/>
              </w:rPr>
            </w:pPr>
            <w:r>
              <w:rPr>
                <w:rFonts w:hint="eastAsia" w:ascii="宋体" w:hAnsi="宋体"/>
                <w:sz w:val="24"/>
              </w:rPr>
              <w:t>0.8%</w:t>
            </w:r>
          </w:p>
        </w:tc>
        <w:tc>
          <w:tcPr>
            <w:tcW w:w="2325" w:type="dxa"/>
          </w:tcPr>
          <w:p>
            <w:pPr>
              <w:jc w:val="center"/>
              <w:rPr>
                <w:rFonts w:ascii="宋体" w:hAnsi="宋体"/>
                <w:sz w:val="24"/>
              </w:rPr>
            </w:pPr>
            <w:r>
              <w:rPr>
                <w:rFonts w:hint="eastAsia" w:ascii="宋体" w:hAnsi="宋体"/>
                <w:sz w:val="24"/>
              </w:rPr>
              <w:t>0.45%</w:t>
            </w:r>
          </w:p>
        </w:tc>
        <w:tc>
          <w:tcPr>
            <w:tcW w:w="2565" w:type="dxa"/>
          </w:tcPr>
          <w:p>
            <w:pPr>
              <w:jc w:val="center"/>
              <w:rPr>
                <w:rFonts w:ascii="宋体" w:hAnsi="宋体"/>
                <w:sz w:val="24"/>
              </w:rPr>
            </w:pPr>
            <w:r>
              <w:rPr>
                <w:rFonts w:hint="eastAsia" w:ascii="宋体" w:hAnsi="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1000-5000</w:t>
            </w:r>
          </w:p>
        </w:tc>
        <w:tc>
          <w:tcPr>
            <w:tcW w:w="2295" w:type="dxa"/>
          </w:tcPr>
          <w:p>
            <w:pPr>
              <w:jc w:val="center"/>
              <w:rPr>
                <w:rFonts w:ascii="宋体" w:hAnsi="宋体"/>
                <w:sz w:val="24"/>
              </w:rPr>
            </w:pPr>
            <w:r>
              <w:rPr>
                <w:rFonts w:hint="eastAsia" w:ascii="宋体" w:hAnsi="宋体"/>
                <w:sz w:val="24"/>
              </w:rPr>
              <w:t>0.5%</w:t>
            </w:r>
          </w:p>
        </w:tc>
        <w:tc>
          <w:tcPr>
            <w:tcW w:w="2325" w:type="dxa"/>
          </w:tcPr>
          <w:p>
            <w:pPr>
              <w:jc w:val="center"/>
              <w:rPr>
                <w:rFonts w:ascii="宋体" w:hAnsi="宋体"/>
                <w:sz w:val="24"/>
              </w:rPr>
            </w:pPr>
            <w:r>
              <w:rPr>
                <w:rFonts w:hint="eastAsia" w:ascii="宋体" w:hAnsi="宋体"/>
                <w:sz w:val="24"/>
              </w:rPr>
              <w:t>0.25%</w:t>
            </w:r>
          </w:p>
        </w:tc>
        <w:tc>
          <w:tcPr>
            <w:tcW w:w="2565" w:type="dxa"/>
          </w:tcPr>
          <w:p>
            <w:pPr>
              <w:jc w:val="center"/>
              <w:rPr>
                <w:rFonts w:ascii="宋体" w:hAnsi="宋体"/>
                <w:sz w:val="24"/>
              </w:rPr>
            </w:pPr>
            <w:r>
              <w:rPr>
                <w:rFonts w:hint="eastAsia" w:ascii="宋体" w:hAnsi="宋体"/>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5000-10000</w:t>
            </w:r>
          </w:p>
        </w:tc>
        <w:tc>
          <w:tcPr>
            <w:tcW w:w="2295" w:type="dxa"/>
          </w:tcPr>
          <w:p>
            <w:pPr>
              <w:jc w:val="center"/>
              <w:rPr>
                <w:rFonts w:ascii="宋体" w:hAnsi="宋体"/>
                <w:sz w:val="24"/>
              </w:rPr>
            </w:pPr>
            <w:r>
              <w:rPr>
                <w:rFonts w:hint="eastAsia" w:ascii="宋体" w:hAnsi="宋体"/>
                <w:sz w:val="24"/>
              </w:rPr>
              <w:t>0.25%</w:t>
            </w:r>
          </w:p>
        </w:tc>
        <w:tc>
          <w:tcPr>
            <w:tcW w:w="2325" w:type="dxa"/>
          </w:tcPr>
          <w:p>
            <w:pPr>
              <w:jc w:val="center"/>
              <w:rPr>
                <w:rFonts w:ascii="宋体" w:hAnsi="宋体"/>
                <w:sz w:val="24"/>
              </w:rPr>
            </w:pPr>
            <w:r>
              <w:rPr>
                <w:rFonts w:hint="eastAsia" w:ascii="宋体" w:hAnsi="宋体"/>
                <w:sz w:val="24"/>
              </w:rPr>
              <w:t>0.1%</w:t>
            </w:r>
          </w:p>
        </w:tc>
        <w:tc>
          <w:tcPr>
            <w:tcW w:w="2565" w:type="dxa"/>
          </w:tcPr>
          <w:p>
            <w:pPr>
              <w:jc w:val="center"/>
              <w:rPr>
                <w:rFonts w:ascii="宋体" w:hAnsi="宋体"/>
                <w:sz w:val="24"/>
              </w:rPr>
            </w:pPr>
            <w:r>
              <w:rPr>
                <w:rFonts w:hint="eastAsia" w:ascii="宋体" w:hAnsi="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10000-100000</w:t>
            </w:r>
          </w:p>
        </w:tc>
        <w:tc>
          <w:tcPr>
            <w:tcW w:w="2295" w:type="dxa"/>
          </w:tcPr>
          <w:p>
            <w:pPr>
              <w:jc w:val="center"/>
              <w:rPr>
                <w:rFonts w:ascii="宋体" w:hAnsi="宋体"/>
                <w:sz w:val="24"/>
              </w:rPr>
            </w:pPr>
            <w:r>
              <w:rPr>
                <w:rFonts w:hint="eastAsia" w:ascii="宋体" w:hAnsi="宋体"/>
                <w:sz w:val="24"/>
              </w:rPr>
              <w:t>0.05%</w:t>
            </w:r>
          </w:p>
        </w:tc>
        <w:tc>
          <w:tcPr>
            <w:tcW w:w="2325" w:type="dxa"/>
          </w:tcPr>
          <w:p>
            <w:pPr>
              <w:jc w:val="center"/>
              <w:rPr>
                <w:rFonts w:ascii="宋体" w:hAnsi="宋体"/>
                <w:sz w:val="24"/>
              </w:rPr>
            </w:pPr>
            <w:r>
              <w:rPr>
                <w:rFonts w:hint="eastAsia" w:ascii="宋体" w:hAnsi="宋体"/>
                <w:sz w:val="24"/>
              </w:rPr>
              <w:t>0.05%</w:t>
            </w:r>
          </w:p>
        </w:tc>
        <w:tc>
          <w:tcPr>
            <w:tcW w:w="2565" w:type="dxa"/>
          </w:tcPr>
          <w:p>
            <w:pPr>
              <w:jc w:val="center"/>
              <w:rPr>
                <w:rFonts w:ascii="宋体" w:hAnsi="宋体"/>
                <w:sz w:val="24"/>
              </w:rPr>
            </w:pPr>
            <w:r>
              <w:rPr>
                <w:rFonts w:hint="eastAsia" w:ascii="宋体" w:hAnsi="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sz w:val="24"/>
              </w:rPr>
            </w:pPr>
            <w:r>
              <w:rPr>
                <w:rFonts w:hint="eastAsia" w:ascii="宋体" w:hAnsi="宋体"/>
                <w:sz w:val="24"/>
              </w:rPr>
              <w:t>1000000以上</w:t>
            </w:r>
          </w:p>
        </w:tc>
        <w:tc>
          <w:tcPr>
            <w:tcW w:w="2295" w:type="dxa"/>
          </w:tcPr>
          <w:p>
            <w:pPr>
              <w:jc w:val="center"/>
              <w:rPr>
                <w:rFonts w:ascii="宋体" w:hAnsi="宋体"/>
                <w:sz w:val="24"/>
              </w:rPr>
            </w:pPr>
            <w:r>
              <w:rPr>
                <w:rFonts w:hint="eastAsia" w:ascii="宋体" w:hAnsi="宋体"/>
                <w:sz w:val="24"/>
              </w:rPr>
              <w:t>0.01%</w:t>
            </w:r>
          </w:p>
        </w:tc>
        <w:tc>
          <w:tcPr>
            <w:tcW w:w="2325" w:type="dxa"/>
          </w:tcPr>
          <w:p>
            <w:pPr>
              <w:jc w:val="center"/>
              <w:rPr>
                <w:rFonts w:ascii="宋体" w:hAnsi="宋体"/>
                <w:sz w:val="24"/>
              </w:rPr>
            </w:pPr>
            <w:r>
              <w:rPr>
                <w:rFonts w:hint="eastAsia" w:ascii="宋体" w:hAnsi="宋体"/>
                <w:sz w:val="24"/>
              </w:rPr>
              <w:t>0.01%</w:t>
            </w:r>
          </w:p>
        </w:tc>
        <w:tc>
          <w:tcPr>
            <w:tcW w:w="2565" w:type="dxa"/>
          </w:tcPr>
          <w:p>
            <w:pPr>
              <w:jc w:val="center"/>
              <w:rPr>
                <w:rFonts w:ascii="宋体" w:hAnsi="宋体"/>
                <w:sz w:val="24"/>
              </w:rPr>
            </w:pPr>
            <w:r>
              <w:rPr>
                <w:rFonts w:hint="eastAsia" w:ascii="宋体" w:hAnsi="宋体"/>
                <w:sz w:val="24"/>
              </w:rPr>
              <w:t>0.01%</w:t>
            </w:r>
          </w:p>
        </w:tc>
      </w:tr>
    </w:tbl>
    <w:p>
      <w:pPr>
        <w:ind w:left="660" w:leftChars="200" w:hanging="240" w:hangingChars="100"/>
        <w:rPr>
          <w:rFonts w:ascii="宋体" w:hAnsi="宋体" w:cs="宋体"/>
          <w:b/>
          <w:kern w:val="0"/>
          <w:sz w:val="24"/>
        </w:rPr>
      </w:pPr>
      <w:r>
        <w:rPr>
          <w:rFonts w:hint="eastAsia" w:ascii="宋体" w:hAnsi="宋体"/>
          <w:sz w:val="24"/>
        </w:rPr>
        <w:t>注：招标代理服务收费按差额定率累进法计算。</w:t>
      </w:r>
    </w:p>
    <w:p>
      <w:pPr>
        <w:numPr>
          <w:ilvl w:val="0"/>
          <w:numId w:val="5"/>
        </w:numPr>
        <w:spacing w:line="380" w:lineRule="exact"/>
        <w:ind w:firstLine="482" w:firstLineChars="200"/>
        <w:rPr>
          <w:rFonts w:ascii="宋体" w:hAnsi="宋体" w:cs="Courier New"/>
          <w:b/>
          <w:sz w:val="24"/>
        </w:rPr>
      </w:pPr>
      <w:r>
        <w:rPr>
          <w:rFonts w:hint="eastAsia" w:ascii="宋体" w:hAnsi="宋体" w:cs="Courier New"/>
          <w:b/>
          <w:sz w:val="24"/>
        </w:rPr>
        <w:t>解释权</w:t>
      </w:r>
    </w:p>
    <w:p>
      <w:pPr>
        <w:spacing w:line="380" w:lineRule="exact"/>
        <w:ind w:firstLine="480" w:firstLineChars="200"/>
        <w:rPr>
          <w:rFonts w:ascii="宋体" w:hAnsi="宋体"/>
        </w:rPr>
      </w:pPr>
      <w:r>
        <w:rPr>
          <w:rFonts w:hint="eastAsia" w:ascii="宋体" w:hAnsi="宋体" w:cs="Courier New"/>
          <w:sz w:val="24"/>
          <w:szCs w:val="21"/>
        </w:rPr>
        <w:t>本竞争性谈判文件是根据《中华人民共和国政府采购法》、《中华人民共和国政府采购法实施条例》、《政府采购非招标采购方式管理办法》和政府采购管理有关规定编制，本竞争性谈判文件的解释权属于采购代理机构</w:t>
      </w:r>
      <w:r>
        <w:rPr>
          <w:rFonts w:hint="eastAsia" w:ascii="宋体" w:hAnsi="宋体"/>
        </w:rPr>
        <w:t>。</w:t>
      </w:r>
    </w:p>
    <w:p>
      <w:pPr>
        <w:spacing w:line="380" w:lineRule="exact"/>
        <w:ind w:firstLine="482" w:firstLineChars="200"/>
        <w:rPr>
          <w:rFonts w:ascii="宋体" w:hAnsi="宋体"/>
          <w:b/>
          <w:bCs/>
        </w:rPr>
      </w:pPr>
      <w:r>
        <w:rPr>
          <w:rFonts w:hint="eastAsia" w:ascii="宋体" w:hAnsi="宋体"/>
          <w:b/>
          <w:bCs/>
          <w:sz w:val="24"/>
        </w:rPr>
        <w:t>30.</w:t>
      </w:r>
      <w:r>
        <w:rPr>
          <w:rFonts w:hint="eastAsia" w:asciiTheme="minorEastAsia" w:hAnsiTheme="minorEastAsia" w:eastAsiaTheme="minorEastAsia"/>
          <w:b/>
          <w:bCs/>
          <w:sz w:val="24"/>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napToGrid w:val="0"/>
        <w:spacing w:beforeLines="50" w:afterLines="50"/>
        <w:ind w:left="238"/>
        <w:jc w:val="center"/>
        <w:rPr>
          <w:rFonts w:ascii="宋体" w:hAnsi="宋体"/>
          <w:b/>
          <w:sz w:val="24"/>
        </w:rPr>
      </w:pPr>
    </w:p>
    <w:p>
      <w:pPr>
        <w:widowControl/>
        <w:jc w:val="left"/>
        <w:rPr>
          <w:rFonts w:ascii="宋体" w:hAnsi="宋体"/>
          <w:b/>
          <w:sz w:val="44"/>
          <w:szCs w:val="44"/>
        </w:rPr>
      </w:pPr>
      <w:r>
        <w:rPr>
          <w:rFonts w:ascii="宋体" w:hAnsi="宋体"/>
          <w:b/>
          <w:sz w:val="44"/>
          <w:szCs w:val="44"/>
        </w:rPr>
        <w:br w:type="page"/>
      </w:r>
    </w:p>
    <w:p>
      <w:pPr>
        <w:snapToGrid w:val="0"/>
        <w:spacing w:beforeLines="50" w:afterLines="50"/>
        <w:ind w:left="238"/>
        <w:jc w:val="center"/>
        <w:rPr>
          <w:rFonts w:ascii="宋体" w:hAnsi="宋体"/>
          <w:b/>
          <w:sz w:val="44"/>
          <w:szCs w:val="44"/>
        </w:rPr>
      </w:pPr>
      <w:r>
        <w:rPr>
          <w:rFonts w:hint="eastAsia" w:ascii="宋体" w:hAnsi="宋体"/>
          <w:b/>
          <w:sz w:val="44"/>
          <w:szCs w:val="44"/>
        </w:rPr>
        <w:t xml:space="preserve">第三章 </w:t>
      </w:r>
      <w:r>
        <w:rPr>
          <w:rFonts w:hint="eastAsia" w:ascii="宋体" w:hAnsi="宋体"/>
          <w:b/>
          <w:bCs/>
          <w:sz w:val="44"/>
          <w:szCs w:val="44"/>
        </w:rPr>
        <w:t>项目</w:t>
      </w:r>
      <w:r>
        <w:rPr>
          <w:rFonts w:hint="eastAsia" w:ascii="宋体" w:hAnsi="宋体"/>
          <w:b/>
          <w:sz w:val="44"/>
          <w:szCs w:val="44"/>
        </w:rPr>
        <w:t>需求</w:t>
      </w:r>
    </w:p>
    <w:p>
      <w:pPr>
        <w:jc w:val="center"/>
        <w:rPr>
          <w:rFonts w:ascii="宋体" w:hAnsi="宋体"/>
          <w:b/>
          <w:sz w:val="24"/>
        </w:rPr>
      </w:pPr>
    </w:p>
    <w:p>
      <w:pPr>
        <w:spacing w:line="320" w:lineRule="exact"/>
        <w:ind w:firstLine="643" w:firstLineChars="200"/>
        <w:jc w:val="center"/>
        <w:rPr>
          <w:rFonts w:hAnsi="宋体"/>
          <w:b/>
          <w:bCs/>
          <w:color w:val="0000FF"/>
          <w:sz w:val="32"/>
          <w:szCs w:val="32"/>
        </w:rPr>
      </w:pPr>
      <w:r>
        <w:rPr>
          <w:rFonts w:hint="eastAsia" w:hAnsi="宋体"/>
          <w:b/>
          <w:bCs/>
          <w:color w:val="0000FF"/>
          <w:sz w:val="32"/>
          <w:szCs w:val="32"/>
        </w:rPr>
        <w:t>货物需求一览表</w:t>
      </w:r>
    </w:p>
    <w:p>
      <w:pPr>
        <w:pStyle w:val="24"/>
        <w:spacing w:line="440" w:lineRule="exact"/>
        <w:rPr>
          <w:b/>
          <w:sz w:val="32"/>
          <w:szCs w:val="32"/>
        </w:rPr>
      </w:pPr>
    </w:p>
    <w:p>
      <w:pPr>
        <w:ind w:firstLine="431"/>
        <w:rPr>
          <w:rFonts w:ascii="宋体" w:hAnsi="宋体"/>
          <w:b/>
          <w:bCs/>
          <w:sz w:val="24"/>
        </w:rPr>
      </w:pPr>
      <w:r>
        <w:rPr>
          <w:rFonts w:hint="eastAsia" w:ascii="宋体" w:hAnsi="宋体"/>
          <w:b/>
          <w:bCs/>
          <w:sz w:val="24"/>
        </w:rPr>
        <w:t>说明：</w:t>
      </w:r>
    </w:p>
    <w:p>
      <w:pPr>
        <w:spacing w:line="370" w:lineRule="exact"/>
        <w:ind w:firstLine="484" w:firstLineChars="202"/>
        <w:jc w:val="left"/>
        <w:rPr>
          <w:rFonts w:ascii="宋体" w:hAnsi="宋体"/>
          <w:sz w:val="24"/>
        </w:rPr>
      </w:pPr>
      <w:r>
        <w:rPr>
          <w:rFonts w:hint="eastAsia" w:ascii="宋体" w:hAnsi="宋体"/>
          <w:sz w:val="24"/>
        </w:rPr>
        <w:t>1、本项目需求中的货物品牌、型号仅起参考作用，供应商可选用其他品牌、型号替代，但这些替代的品牌、型号在实质性要求和条件上相当于或优于参考品牌、型号。</w:t>
      </w:r>
    </w:p>
    <w:p>
      <w:pPr>
        <w:spacing w:line="370" w:lineRule="exact"/>
        <w:ind w:firstLine="484" w:firstLineChars="202"/>
        <w:jc w:val="left"/>
        <w:rPr>
          <w:rFonts w:ascii="宋体" w:hAnsi="宋体"/>
          <w:sz w:val="24"/>
        </w:rPr>
      </w:pPr>
      <w:r>
        <w:rPr>
          <w:rFonts w:hint="eastAsia" w:ascii="宋体" w:hAnsi="宋体"/>
          <w:sz w:val="24"/>
        </w:rPr>
        <w:t>2、凡在“技术参数要求”中表述为“标配”或“标准配置”的设备，供应商应按第四章“响应文件格式”规定的格式在“竞标产品技术资料表”中将其参数详细列明。</w:t>
      </w:r>
    </w:p>
    <w:p>
      <w:pPr>
        <w:spacing w:line="370" w:lineRule="exact"/>
        <w:ind w:firstLine="487" w:firstLineChars="202"/>
        <w:jc w:val="left"/>
        <w:rPr>
          <w:rFonts w:hAnsi="宋体"/>
          <w:b/>
          <w:bCs/>
          <w:sz w:val="24"/>
        </w:rPr>
      </w:pPr>
      <w:r>
        <w:rPr>
          <w:rFonts w:hint="eastAsia" w:hAnsi="宋体"/>
          <w:b/>
          <w:bCs/>
          <w:sz w:val="24"/>
        </w:rPr>
        <w:t>3、本货物需求一览表中标注★号的内容为实质性要求和条件。</w:t>
      </w:r>
    </w:p>
    <w:p>
      <w:pPr>
        <w:spacing w:line="370" w:lineRule="exact"/>
        <w:ind w:firstLine="484" w:firstLineChars="202"/>
        <w:jc w:val="left"/>
        <w:rPr>
          <w:rFonts w:ascii="宋体" w:hAnsi="宋体"/>
          <w:sz w:val="24"/>
        </w:rPr>
      </w:pPr>
      <w:r>
        <w:rPr>
          <w:rFonts w:hint="eastAsia" w:hAnsi="宋体"/>
          <w:sz w:val="24"/>
        </w:rPr>
        <w:t>4、</w:t>
      </w:r>
      <w:r>
        <w:rPr>
          <w:rFonts w:hint="eastAsia" w:ascii="宋体" w:hAnsi="宋体"/>
          <w:sz w:val="24"/>
        </w:rPr>
        <w:t>供应商必须自行为其竞标产品侵犯其他供应商或专利人的专利成果承担相应法律责任；同时，具有产品专利的供应商应在其响应文件中提供与其自有产品专利相关的有效证明材料，否则，不能就其产品的专利在本项目竞标过程中被侵权问题提出异议。</w:t>
      </w:r>
    </w:p>
    <w:p>
      <w:pPr>
        <w:spacing w:line="370" w:lineRule="exact"/>
        <w:ind w:firstLine="484" w:firstLineChars="202"/>
        <w:jc w:val="left"/>
        <w:rPr>
          <w:rFonts w:hAnsi="宋体"/>
          <w:color w:val="0000FF"/>
          <w:sz w:val="24"/>
        </w:rPr>
      </w:pPr>
      <w:r>
        <w:rPr>
          <w:rFonts w:hint="eastAsia" w:ascii="宋体" w:hAnsi="宋体"/>
          <w:sz w:val="24"/>
        </w:rPr>
        <w:t>5、本次采购货物采购最高限价为</w:t>
      </w:r>
      <w:r>
        <w:rPr>
          <w:rFonts w:hint="eastAsia" w:ascii="宋体" w:hAnsi="宋体"/>
          <w:sz w:val="24"/>
          <w:u w:val="single"/>
        </w:rPr>
        <w:t>15</w:t>
      </w:r>
      <w:r>
        <w:rPr>
          <w:rFonts w:hint="eastAsia" w:ascii="宋体" w:hAnsi="宋体"/>
          <w:sz w:val="24"/>
        </w:rPr>
        <w:t>万元，货物分项最高限价详见表格。</w:t>
      </w:r>
    </w:p>
    <w:p>
      <w:pPr>
        <w:spacing w:line="320" w:lineRule="exact"/>
        <w:ind w:firstLine="480" w:firstLineChars="200"/>
        <w:rPr>
          <w:rFonts w:hAnsi="宋体"/>
          <w:color w:val="0000FF"/>
          <w:sz w:val="24"/>
        </w:rPr>
      </w:pPr>
    </w:p>
    <w:tbl>
      <w:tblPr>
        <w:tblStyle w:val="43"/>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3"/>
        <w:gridCol w:w="1344"/>
        <w:gridCol w:w="794"/>
        <w:gridCol w:w="1075"/>
        <w:gridCol w:w="4368"/>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793" w:type="dxa"/>
            <w:noWrap/>
            <w:vAlign w:val="center"/>
          </w:tcPr>
          <w:p>
            <w:pPr>
              <w:widowControl/>
              <w:jc w:val="center"/>
              <w:rPr>
                <w:rFonts w:ascii="宋体" w:hAnsi="宋体" w:cs="宋体"/>
                <w:b/>
                <w:szCs w:val="21"/>
              </w:rPr>
            </w:pPr>
            <w:r>
              <w:rPr>
                <w:rFonts w:hint="eastAsia" w:ascii="宋体" w:hAnsi="宋体" w:cs="宋体"/>
                <w:b/>
                <w:kern w:val="0"/>
                <w:szCs w:val="21"/>
              </w:rPr>
              <w:t>项号</w:t>
            </w:r>
          </w:p>
        </w:tc>
        <w:tc>
          <w:tcPr>
            <w:tcW w:w="1344" w:type="dxa"/>
            <w:noWrap/>
            <w:tcMar>
              <w:left w:w="108" w:type="dxa"/>
              <w:right w:w="108" w:type="dxa"/>
            </w:tcMar>
            <w:vAlign w:val="center"/>
          </w:tcPr>
          <w:p>
            <w:pPr>
              <w:widowControl/>
              <w:jc w:val="center"/>
              <w:rPr>
                <w:rFonts w:ascii="宋体" w:hAnsi="宋体" w:cs="宋体"/>
                <w:b/>
                <w:szCs w:val="21"/>
              </w:rPr>
            </w:pPr>
            <w:r>
              <w:rPr>
                <w:rFonts w:hint="eastAsia" w:ascii="宋体" w:hAnsi="宋体" w:cs="宋体"/>
                <w:b/>
                <w:kern w:val="0"/>
                <w:szCs w:val="21"/>
              </w:rPr>
              <w:t>货物名称</w:t>
            </w:r>
          </w:p>
        </w:tc>
        <w:tc>
          <w:tcPr>
            <w:tcW w:w="794" w:type="dxa"/>
            <w:noWrap/>
            <w:tcMar>
              <w:left w:w="108" w:type="dxa"/>
              <w:right w:w="108" w:type="dxa"/>
            </w:tcMar>
            <w:vAlign w:val="center"/>
          </w:tcPr>
          <w:p>
            <w:pPr>
              <w:widowControl/>
              <w:jc w:val="center"/>
              <w:rPr>
                <w:rFonts w:ascii="宋体" w:hAnsi="宋体" w:cs="宋体"/>
                <w:b/>
                <w:szCs w:val="21"/>
              </w:rPr>
            </w:pPr>
            <w:r>
              <w:rPr>
                <w:rFonts w:hint="eastAsia" w:ascii="宋体" w:hAnsi="宋体" w:cs="宋体"/>
                <w:b/>
                <w:kern w:val="0"/>
                <w:szCs w:val="21"/>
              </w:rPr>
              <w:t>数量</w:t>
            </w:r>
          </w:p>
        </w:tc>
        <w:tc>
          <w:tcPr>
            <w:tcW w:w="1075" w:type="dxa"/>
            <w:noWrap/>
            <w:tcMar>
              <w:left w:w="108" w:type="dxa"/>
              <w:right w:w="108" w:type="dxa"/>
            </w:tcMar>
            <w:vAlign w:val="center"/>
          </w:tcPr>
          <w:p>
            <w:pPr>
              <w:widowControl/>
              <w:jc w:val="center"/>
              <w:rPr>
                <w:rFonts w:ascii="宋体" w:hAnsi="宋体" w:cs="宋体"/>
                <w:b/>
                <w:szCs w:val="21"/>
              </w:rPr>
            </w:pPr>
            <w:r>
              <w:rPr>
                <w:rFonts w:hint="eastAsia" w:ascii="宋体" w:hAnsi="宋体" w:cs="宋体"/>
                <w:b/>
                <w:kern w:val="0"/>
                <w:szCs w:val="21"/>
              </w:rPr>
              <w:t>参考品牌、型号</w:t>
            </w:r>
          </w:p>
        </w:tc>
        <w:tc>
          <w:tcPr>
            <w:tcW w:w="4368" w:type="dxa"/>
            <w:noWrap/>
            <w:vAlign w:val="center"/>
          </w:tcPr>
          <w:p>
            <w:pPr>
              <w:widowControl/>
              <w:jc w:val="center"/>
              <w:rPr>
                <w:rFonts w:ascii="宋体" w:hAnsi="宋体" w:cs="宋体"/>
                <w:b/>
                <w:szCs w:val="21"/>
              </w:rPr>
            </w:pPr>
            <w:r>
              <w:rPr>
                <w:rFonts w:hint="eastAsia" w:ascii="宋体" w:hAnsi="宋体" w:cs="宋体"/>
                <w:b/>
                <w:kern w:val="0"/>
                <w:szCs w:val="21"/>
              </w:rPr>
              <w:t>技术参数要求</w:t>
            </w:r>
          </w:p>
        </w:tc>
        <w:tc>
          <w:tcPr>
            <w:tcW w:w="1053" w:type="dxa"/>
            <w:noWrap/>
            <w:tcMar>
              <w:left w:w="108" w:type="dxa"/>
              <w:right w:w="108" w:type="dxa"/>
            </w:tcMar>
            <w:vAlign w:val="center"/>
          </w:tcPr>
          <w:p>
            <w:pPr>
              <w:widowControl/>
              <w:jc w:val="center"/>
              <w:rPr>
                <w:rFonts w:ascii="宋体" w:hAnsi="宋体" w:cs="宋体"/>
                <w:b/>
                <w:szCs w:val="21"/>
              </w:rPr>
            </w:pPr>
            <w:r>
              <w:rPr>
                <w:rFonts w:hint="eastAsia" w:ascii="宋体" w:hAnsi="宋体" w:cs="宋体"/>
                <w:b/>
                <w:kern w:val="0"/>
                <w:szCs w:val="21"/>
              </w:rPr>
              <w:t>分项限价（元）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4OOW室内高清网络半球摄像机（教室）</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29台</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kern w:val="0"/>
                <w:szCs w:val="21"/>
              </w:rPr>
              <w:t>1、内置GPU芯片，支持深度学习算法，有效提升检测准确率；</w:t>
            </w:r>
          </w:p>
          <w:p>
            <w:pPr>
              <w:widowControl/>
              <w:jc w:val="left"/>
              <w:rPr>
                <w:rFonts w:ascii="宋体" w:hAnsi="宋体" w:cs="宋体"/>
                <w:kern w:val="0"/>
                <w:szCs w:val="21"/>
              </w:rPr>
            </w:pPr>
            <w:r>
              <w:rPr>
                <w:rFonts w:hint="eastAsia" w:ascii="宋体" w:hAnsi="宋体" w:cs="宋体"/>
                <w:kern w:val="0"/>
                <w:szCs w:val="21"/>
              </w:rPr>
              <w:t>2、支持绊线入侵，区域入侵，快速移动（三项均支持人车分类及精准检测），物品遗留，物品搬移，徘徊检测，人员聚集，停车检测；</w:t>
            </w:r>
          </w:p>
          <w:p>
            <w:pPr>
              <w:widowControl/>
              <w:jc w:val="left"/>
              <w:rPr>
                <w:rFonts w:ascii="宋体" w:hAnsi="宋体" w:cs="宋体"/>
                <w:kern w:val="0"/>
                <w:szCs w:val="21"/>
              </w:rPr>
            </w:pPr>
            <w:r>
              <w:rPr>
                <w:rFonts w:hint="eastAsia" w:ascii="宋体" w:hAnsi="宋体" w:cs="宋体"/>
                <w:kern w:val="0"/>
                <w:szCs w:val="21"/>
              </w:rPr>
              <w:t>3、采用高性能400万像素1/2.7英寸CMOS图像传感器，低照度效果好，图像清晰度高；</w:t>
            </w:r>
          </w:p>
          <w:p>
            <w:pPr>
              <w:widowControl/>
              <w:jc w:val="left"/>
              <w:rPr>
                <w:rFonts w:ascii="宋体" w:hAnsi="宋体" w:cs="宋体"/>
                <w:kern w:val="0"/>
                <w:szCs w:val="21"/>
              </w:rPr>
            </w:pPr>
            <w:r>
              <w:rPr>
                <w:rFonts w:hint="eastAsia" w:ascii="宋体" w:hAnsi="宋体" w:cs="宋体"/>
                <w:kern w:val="0"/>
                <w:szCs w:val="21"/>
              </w:rPr>
              <w:t>4、最大可输出400万（2688×1520）@25fps；</w:t>
            </w:r>
          </w:p>
          <w:p>
            <w:pPr>
              <w:widowControl/>
              <w:jc w:val="left"/>
              <w:rPr>
                <w:rFonts w:ascii="宋体" w:hAnsi="宋体" w:cs="宋体"/>
                <w:kern w:val="0"/>
                <w:szCs w:val="21"/>
              </w:rPr>
            </w:pPr>
            <w:r>
              <w:rPr>
                <w:rFonts w:hint="eastAsia" w:ascii="宋体" w:hAnsi="宋体" w:cs="宋体"/>
                <w:kern w:val="0"/>
                <w:szCs w:val="21"/>
              </w:rPr>
              <w:t>5、支持H.265编码，压缩比高，实现超低码流传输；</w:t>
            </w:r>
          </w:p>
          <w:p>
            <w:pPr>
              <w:widowControl/>
              <w:jc w:val="left"/>
              <w:rPr>
                <w:rFonts w:ascii="宋体" w:hAnsi="宋体" w:cs="宋体"/>
                <w:kern w:val="0"/>
                <w:szCs w:val="21"/>
              </w:rPr>
            </w:pPr>
            <w:r>
              <w:rPr>
                <w:rFonts w:hint="eastAsia" w:ascii="宋体" w:hAnsi="宋体" w:cs="宋体"/>
                <w:kern w:val="0"/>
                <w:szCs w:val="21"/>
              </w:rPr>
              <w:t>6、内置红外补光灯，最大红外监控距离30米；</w:t>
            </w:r>
          </w:p>
          <w:p>
            <w:pPr>
              <w:widowControl/>
              <w:jc w:val="left"/>
              <w:rPr>
                <w:rFonts w:ascii="宋体" w:hAnsi="宋体" w:cs="宋体"/>
                <w:kern w:val="0"/>
                <w:szCs w:val="21"/>
              </w:rPr>
            </w:pPr>
            <w:r>
              <w:rPr>
                <w:rFonts w:hint="eastAsia" w:ascii="宋体" w:hAnsi="宋体" w:cs="宋体"/>
                <w:kern w:val="0"/>
                <w:szCs w:val="21"/>
              </w:rPr>
              <w:t>7、支持走廊模式，宽动态，3D降噪，强光抑制，背光补偿，数字水印，适用不同监控环境；</w:t>
            </w:r>
          </w:p>
          <w:p>
            <w:pPr>
              <w:widowControl/>
              <w:jc w:val="left"/>
              <w:rPr>
                <w:rFonts w:ascii="宋体" w:hAnsi="宋体" w:cs="宋体"/>
                <w:kern w:val="0"/>
                <w:szCs w:val="21"/>
              </w:rPr>
            </w:pPr>
            <w:r>
              <w:rPr>
                <w:rFonts w:hint="eastAsia" w:ascii="宋体" w:hAnsi="宋体" w:cs="宋体"/>
                <w:kern w:val="0"/>
                <w:szCs w:val="21"/>
              </w:rPr>
              <w:t>8、支持ROI，SMART H.264+/H.265+，灵活编码，适用不同带宽和存储环境；</w:t>
            </w:r>
          </w:p>
          <w:p>
            <w:pPr>
              <w:widowControl/>
              <w:jc w:val="left"/>
              <w:rPr>
                <w:rFonts w:ascii="宋体" w:hAnsi="宋体" w:cs="宋体"/>
                <w:kern w:val="0"/>
                <w:szCs w:val="21"/>
              </w:rPr>
            </w:pPr>
            <w:r>
              <w:rPr>
                <w:rFonts w:hint="eastAsia" w:ascii="宋体" w:hAnsi="宋体" w:cs="宋体"/>
                <w:kern w:val="0"/>
                <w:szCs w:val="21"/>
              </w:rPr>
              <w:t>9、支持报警2进2出，音频1进1出，最大支持256G Micro SD卡；</w:t>
            </w:r>
          </w:p>
          <w:p>
            <w:pPr>
              <w:widowControl/>
              <w:jc w:val="left"/>
              <w:rPr>
                <w:rFonts w:ascii="宋体" w:hAnsi="宋体" w:cs="宋体"/>
                <w:kern w:val="0"/>
                <w:szCs w:val="21"/>
              </w:rPr>
            </w:pPr>
            <w:r>
              <w:rPr>
                <w:rFonts w:hint="eastAsia" w:ascii="宋体" w:hAnsi="宋体" w:cs="宋体"/>
                <w:kern w:val="0"/>
                <w:szCs w:val="21"/>
              </w:rPr>
              <w:t>10、支持DC12V/POE供电方式，支持12V电源返送，最大电流165mA,方便工程安装；</w:t>
            </w:r>
          </w:p>
          <w:p>
            <w:pPr>
              <w:widowControl/>
              <w:jc w:val="left"/>
              <w:rPr>
                <w:rFonts w:ascii="宋体" w:hAnsi="宋体" w:cs="宋体"/>
                <w:kern w:val="0"/>
                <w:szCs w:val="21"/>
              </w:rPr>
            </w:pPr>
            <w:r>
              <w:rPr>
                <w:rFonts w:hint="eastAsia" w:ascii="宋体" w:hAnsi="宋体" w:cs="宋体"/>
                <w:kern w:val="0"/>
                <w:szCs w:val="21"/>
              </w:rPr>
              <w:t>11、支持IP67、IK10防护等级；</w:t>
            </w:r>
          </w:p>
          <w:p>
            <w:pPr>
              <w:widowControl/>
              <w:jc w:val="left"/>
              <w:rPr>
                <w:rFonts w:ascii="宋体" w:hAnsi="宋体" w:cs="宋体"/>
                <w:kern w:val="0"/>
                <w:szCs w:val="21"/>
              </w:rPr>
            </w:pPr>
            <w:r>
              <w:rPr>
                <w:rFonts w:hint="eastAsia" w:ascii="宋体" w:hAnsi="宋体" w:cs="宋体"/>
                <w:kern w:val="0"/>
                <w:szCs w:val="21"/>
              </w:rPr>
              <w:t>12、支持SMD；</w:t>
            </w:r>
          </w:p>
          <w:p>
            <w:pPr>
              <w:widowControl/>
              <w:jc w:val="left"/>
              <w:rPr>
                <w:rFonts w:ascii="宋体" w:hAnsi="宋体" w:cs="宋体"/>
                <w:kern w:val="0"/>
                <w:szCs w:val="21"/>
              </w:rPr>
            </w:pPr>
            <w:r>
              <w:rPr>
                <w:rFonts w:hint="eastAsia" w:ascii="宋体" w:hAnsi="宋体" w:cs="宋体"/>
                <w:kern w:val="0"/>
                <w:szCs w:val="21"/>
              </w:rPr>
              <w:t>★13、电源返送功能检查：支持DC12V电源反向输出；</w:t>
            </w:r>
          </w:p>
          <w:p>
            <w:pPr>
              <w:widowControl/>
              <w:jc w:val="left"/>
              <w:rPr>
                <w:rFonts w:ascii="宋体" w:hAnsi="宋体" w:cs="宋体"/>
                <w:kern w:val="0"/>
                <w:szCs w:val="21"/>
              </w:rPr>
            </w:pPr>
            <w:r>
              <w:rPr>
                <w:rFonts w:hint="eastAsia" w:ascii="宋体" w:hAnsi="宋体" w:cs="宋体"/>
                <w:kern w:val="0"/>
                <w:szCs w:val="21"/>
              </w:rPr>
              <w:t>★14、网络传输距离检查：使用1000m超五类非屏蔽线通过POE供电条件下，可正常显示画面；使用1000m同轴线缆通过POE供电条件下，可正常显示画面；使用1000m同轴线缆通过非POE供电条件下，可正常显示画面；</w:t>
            </w:r>
          </w:p>
          <w:p>
            <w:pPr>
              <w:widowControl/>
              <w:jc w:val="left"/>
              <w:rPr>
                <w:rFonts w:ascii="宋体" w:hAnsi="宋体" w:cs="宋体"/>
                <w:kern w:val="0"/>
                <w:szCs w:val="21"/>
              </w:rPr>
            </w:pPr>
            <w:r>
              <w:rPr>
                <w:rFonts w:hint="eastAsia" w:ascii="宋体" w:hAnsi="宋体" w:cs="宋体"/>
                <w:kern w:val="0"/>
                <w:szCs w:val="21"/>
              </w:rPr>
              <w:t>★15、智能动态检测（SMD）检测率检查：在标准环境下，样机开启智能动态检测，能实时检测、跟踪通过的人、机动车、全部（人或机动车） 在标准环境下，白天依次通过的人检出率不低于99%，夜晚依次通过的人检出率不低于99% 在标准环境下，白天通过的机动车检出率不低于99%，夜晚通过的机动车检出率不低于99%；</w:t>
            </w:r>
          </w:p>
          <w:p>
            <w:pPr>
              <w:widowControl/>
              <w:jc w:val="left"/>
              <w:rPr>
                <w:rFonts w:ascii="宋体" w:hAnsi="宋体" w:cs="宋体"/>
                <w:kern w:val="0"/>
                <w:szCs w:val="21"/>
              </w:rPr>
            </w:pPr>
            <w:r>
              <w:rPr>
                <w:rFonts w:hint="eastAsia" w:ascii="宋体" w:hAnsi="宋体" w:cs="宋体"/>
                <w:kern w:val="0"/>
                <w:szCs w:val="21"/>
              </w:rPr>
              <w:t>★16、智能动态检测（SMD）功能检验：设备支持智能动态检测触发后联动抓图、录像、目标跟踪、报警上传、发送邮件等多种报警触发方式支持设置报警目标为人、机动车、全部（人或机动车）进行检测，支持灵敏度设置低、中、高三档，具备抗干扰功能，当小动物、灯光、树叶、气球等非人或机动车目标出现在画面时，不会触发报警，支持人或机动车报警去重；</w:t>
            </w:r>
          </w:p>
          <w:p>
            <w:pPr>
              <w:widowControl/>
              <w:jc w:val="left"/>
              <w:rPr>
                <w:rFonts w:ascii="宋体" w:hAnsi="宋体" w:cs="宋体"/>
                <w:kern w:val="0"/>
                <w:szCs w:val="21"/>
              </w:rPr>
            </w:pPr>
            <w:r>
              <w:rPr>
                <w:rFonts w:hint="eastAsia" w:ascii="宋体" w:hAnsi="宋体" w:cs="宋体"/>
                <w:kern w:val="0"/>
                <w:szCs w:val="21"/>
              </w:rPr>
              <w:t>★17、能与原128路NVR（型号：</w:t>
            </w:r>
            <w:r>
              <w:rPr>
                <w:rFonts w:ascii="宋体" w:hAnsi="宋体" w:cs="宋体"/>
                <w:kern w:val="0"/>
                <w:szCs w:val="21"/>
              </w:rPr>
              <w:t>DH-NVR616-128-4KS2</w:t>
            </w:r>
            <w:r>
              <w:rPr>
                <w:rFonts w:hint="eastAsia" w:ascii="宋体" w:hAnsi="宋体" w:cs="宋体"/>
                <w:kern w:val="0"/>
                <w:szCs w:val="21"/>
              </w:rPr>
              <w:t xml:space="preserve"> NVR）、平台管理软件（型号：</w:t>
            </w:r>
            <w:r>
              <w:rPr>
                <w:rFonts w:ascii="宋体" w:hAnsi="宋体" w:cs="宋体"/>
                <w:kern w:val="0"/>
                <w:szCs w:val="21"/>
              </w:rPr>
              <w:t>DH-DSS-H8900S3-B</w:t>
            </w:r>
            <w:r>
              <w:rPr>
                <w:rFonts w:hint="eastAsia" w:ascii="宋体" w:hAnsi="宋体" w:cs="宋体"/>
                <w:kern w:val="0"/>
                <w:szCs w:val="21"/>
              </w:rPr>
              <w:t xml:space="preserve"> 平台管理软件）、后端分析服务器（型号：</w:t>
            </w:r>
            <w:r>
              <w:rPr>
                <w:rFonts w:ascii="宋体" w:hAnsi="宋体" w:cs="宋体"/>
                <w:kern w:val="0"/>
                <w:szCs w:val="21"/>
              </w:rPr>
              <w:t>DH-IVSS724-16I</w:t>
            </w:r>
            <w:r>
              <w:rPr>
                <w:rFonts w:hint="eastAsia" w:ascii="宋体" w:hAnsi="宋体" w:cs="宋体"/>
                <w:kern w:val="0"/>
                <w:szCs w:val="21"/>
              </w:rPr>
              <w:t xml:space="preserve"> 后端分析服务器）无缝接入。</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36250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2</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室外高清低照度网络枪型摄像机</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12台</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kern w:val="0"/>
                <w:szCs w:val="21"/>
              </w:rPr>
              <w:t>1、内置GPU芯片，支持深度学习算法，有效提升检测准确率；</w:t>
            </w:r>
          </w:p>
          <w:p>
            <w:pPr>
              <w:widowControl/>
              <w:jc w:val="left"/>
              <w:rPr>
                <w:rFonts w:ascii="宋体" w:hAnsi="宋体" w:cs="宋体"/>
                <w:kern w:val="0"/>
                <w:szCs w:val="21"/>
              </w:rPr>
            </w:pPr>
            <w:r>
              <w:rPr>
                <w:rFonts w:hint="eastAsia" w:ascii="宋体" w:hAnsi="宋体" w:cs="宋体"/>
                <w:kern w:val="0"/>
                <w:szCs w:val="21"/>
              </w:rPr>
              <w:t>2、支持绊线入侵，区域入侵，快速移动（三项均支持人车分类及精准检测），物品遗留，物品搬移，徘徊检测，人员聚集，停车检测；</w:t>
            </w:r>
          </w:p>
          <w:p>
            <w:pPr>
              <w:widowControl/>
              <w:jc w:val="left"/>
              <w:rPr>
                <w:rFonts w:ascii="宋体" w:hAnsi="宋体" w:cs="宋体"/>
                <w:kern w:val="0"/>
                <w:szCs w:val="21"/>
              </w:rPr>
            </w:pPr>
            <w:r>
              <w:rPr>
                <w:rFonts w:hint="eastAsia" w:ascii="宋体" w:hAnsi="宋体" w:cs="宋体"/>
                <w:kern w:val="0"/>
                <w:szCs w:val="21"/>
              </w:rPr>
              <w:t>3、采用高性能400万像素1/2.7英寸CMOS图像传感器，低照度效果好，图像清晰度高；</w:t>
            </w:r>
          </w:p>
          <w:p>
            <w:pPr>
              <w:widowControl/>
              <w:jc w:val="left"/>
              <w:rPr>
                <w:rFonts w:ascii="宋体" w:hAnsi="宋体" w:cs="宋体"/>
                <w:kern w:val="0"/>
                <w:szCs w:val="21"/>
              </w:rPr>
            </w:pPr>
            <w:r>
              <w:rPr>
                <w:rFonts w:hint="eastAsia" w:ascii="宋体" w:hAnsi="宋体" w:cs="宋体"/>
                <w:kern w:val="0"/>
                <w:szCs w:val="21"/>
              </w:rPr>
              <w:t>4、最大可输出400万( 2688×1520)@25fps；</w:t>
            </w:r>
          </w:p>
          <w:p>
            <w:pPr>
              <w:widowControl/>
              <w:jc w:val="left"/>
              <w:rPr>
                <w:rFonts w:ascii="宋体" w:hAnsi="宋体" w:cs="宋体"/>
                <w:kern w:val="0"/>
                <w:szCs w:val="21"/>
              </w:rPr>
            </w:pPr>
            <w:r>
              <w:rPr>
                <w:rFonts w:hint="eastAsia" w:ascii="宋体" w:hAnsi="宋体" w:cs="宋体"/>
                <w:kern w:val="0"/>
                <w:szCs w:val="21"/>
              </w:rPr>
              <w:t>5、支持H.265编码，压缩比高，实现超低码流传输；</w:t>
            </w:r>
          </w:p>
          <w:p>
            <w:pPr>
              <w:widowControl/>
              <w:jc w:val="left"/>
              <w:rPr>
                <w:rFonts w:ascii="宋体" w:hAnsi="宋体" w:cs="宋体"/>
                <w:kern w:val="0"/>
                <w:szCs w:val="21"/>
              </w:rPr>
            </w:pPr>
            <w:r>
              <w:rPr>
                <w:rFonts w:hint="eastAsia" w:ascii="宋体" w:hAnsi="宋体" w:cs="宋体"/>
                <w:kern w:val="0"/>
                <w:szCs w:val="21"/>
              </w:rPr>
              <w:t>6、内置红外补光灯，最大红外监控距离50米；</w:t>
            </w:r>
          </w:p>
          <w:p>
            <w:pPr>
              <w:widowControl/>
              <w:jc w:val="left"/>
              <w:rPr>
                <w:rFonts w:ascii="宋体" w:hAnsi="宋体" w:cs="宋体"/>
                <w:kern w:val="0"/>
                <w:szCs w:val="21"/>
              </w:rPr>
            </w:pPr>
            <w:r>
              <w:rPr>
                <w:rFonts w:hint="eastAsia" w:ascii="宋体" w:hAnsi="宋体" w:cs="宋体"/>
                <w:kern w:val="0"/>
                <w:szCs w:val="21"/>
              </w:rPr>
              <w:t>7、支持走廊模式，宽动态，3D降噪，强光抑制，背光补偿，数字水印，适用不同监控环境；</w:t>
            </w:r>
          </w:p>
          <w:p>
            <w:pPr>
              <w:widowControl/>
              <w:jc w:val="left"/>
              <w:rPr>
                <w:rFonts w:ascii="宋体" w:hAnsi="宋体" w:cs="宋体"/>
                <w:kern w:val="0"/>
                <w:szCs w:val="21"/>
              </w:rPr>
            </w:pPr>
            <w:r>
              <w:rPr>
                <w:rFonts w:hint="eastAsia" w:ascii="宋体" w:hAnsi="宋体" w:cs="宋体"/>
                <w:kern w:val="0"/>
                <w:szCs w:val="21"/>
              </w:rPr>
              <w:t>8、支持ROI，SMART H.264+/H.265+，灵活编码，适用不同带宽和存储环境；</w:t>
            </w:r>
          </w:p>
          <w:p>
            <w:pPr>
              <w:widowControl/>
              <w:jc w:val="left"/>
              <w:rPr>
                <w:rFonts w:ascii="宋体" w:hAnsi="宋体" w:cs="宋体"/>
                <w:kern w:val="0"/>
                <w:szCs w:val="21"/>
              </w:rPr>
            </w:pPr>
            <w:r>
              <w:rPr>
                <w:rFonts w:hint="eastAsia" w:ascii="宋体" w:hAnsi="宋体" w:cs="宋体"/>
                <w:kern w:val="0"/>
                <w:szCs w:val="21"/>
              </w:rPr>
              <w:t>9、支持DC12V/POE供电方式；</w:t>
            </w:r>
          </w:p>
          <w:p>
            <w:pPr>
              <w:widowControl/>
              <w:jc w:val="left"/>
              <w:rPr>
                <w:rFonts w:ascii="宋体" w:hAnsi="宋体" w:cs="宋体"/>
                <w:kern w:val="0"/>
                <w:szCs w:val="21"/>
              </w:rPr>
            </w:pPr>
            <w:r>
              <w:rPr>
                <w:rFonts w:hint="eastAsia" w:ascii="宋体" w:hAnsi="宋体" w:cs="宋体"/>
                <w:kern w:val="0"/>
                <w:szCs w:val="21"/>
              </w:rPr>
              <w:t>10、支持IP67防护等级；</w:t>
            </w:r>
          </w:p>
          <w:p>
            <w:pPr>
              <w:widowControl/>
              <w:jc w:val="left"/>
              <w:rPr>
                <w:rFonts w:ascii="宋体" w:hAnsi="宋体" w:cs="宋体"/>
                <w:kern w:val="0"/>
                <w:szCs w:val="21"/>
              </w:rPr>
            </w:pPr>
            <w:r>
              <w:rPr>
                <w:rFonts w:hint="eastAsia" w:ascii="宋体" w:hAnsi="宋体" w:cs="宋体"/>
                <w:kern w:val="0"/>
                <w:szCs w:val="21"/>
              </w:rPr>
              <w:t>11、支持SMD；</w:t>
            </w:r>
          </w:p>
          <w:p>
            <w:pPr>
              <w:widowControl/>
              <w:jc w:val="left"/>
              <w:rPr>
                <w:rFonts w:ascii="宋体" w:hAnsi="宋体" w:cs="宋体"/>
                <w:kern w:val="0"/>
                <w:szCs w:val="21"/>
              </w:rPr>
            </w:pPr>
            <w:r>
              <w:rPr>
                <w:rFonts w:hint="eastAsia" w:ascii="宋体" w:hAnsi="宋体" w:cs="宋体"/>
                <w:kern w:val="0"/>
                <w:szCs w:val="21"/>
              </w:rPr>
              <w:t>★12、红外夜视距离检验：可识别距样机150m处的人体轮廓；</w:t>
            </w:r>
          </w:p>
          <w:p>
            <w:pPr>
              <w:widowControl/>
              <w:jc w:val="left"/>
              <w:rPr>
                <w:rFonts w:ascii="宋体" w:hAnsi="宋体" w:cs="宋体"/>
                <w:kern w:val="0"/>
                <w:szCs w:val="21"/>
              </w:rPr>
            </w:pPr>
            <w:r>
              <w:rPr>
                <w:rFonts w:hint="eastAsia" w:ascii="宋体" w:hAnsi="宋体" w:cs="宋体"/>
                <w:kern w:val="0"/>
                <w:szCs w:val="21"/>
              </w:rPr>
              <w:t>★13、在标准环境下，样机开启智能动态检测，能实时检测、跟踪通过的人、机动车、全部（人或机动车）；在标准环境下，白天依次通过的人检出率不低于99%，夜晚依次通过的人检出率不低于99%；在标准环境下，白天依次通过的机动车检出率不低于99%，夜晚依次通过的机动车检出率不低于99%；</w:t>
            </w:r>
          </w:p>
          <w:p>
            <w:pPr>
              <w:widowControl/>
              <w:jc w:val="left"/>
              <w:rPr>
                <w:rFonts w:ascii="宋体" w:hAnsi="宋体" w:cs="宋体"/>
                <w:kern w:val="0"/>
                <w:szCs w:val="21"/>
              </w:rPr>
            </w:pPr>
            <w:r>
              <w:rPr>
                <w:rFonts w:hint="eastAsia" w:ascii="宋体" w:hAnsi="宋体" w:cs="宋体"/>
                <w:kern w:val="0"/>
                <w:szCs w:val="21"/>
              </w:rPr>
              <w:t>★14、设备支持智能动态检测（SMD）分析触发后联动抓图、录像、目标跟踪、报警上传、发送邮件、辅助输出等多种报警触发方式支持设置报警目标为人、机动车、全部（人或机动车）进行检测，支持灵敏度设置低、中、高三档，具备智能分析抗干扰功能，当小动物、灯光、树叶、气球等非人或机动车目标出现在画面时，不会触发报警，支持人或机动车报警去重；</w:t>
            </w:r>
          </w:p>
          <w:p>
            <w:pPr>
              <w:widowControl/>
              <w:jc w:val="left"/>
              <w:rPr>
                <w:rFonts w:ascii="宋体" w:hAnsi="宋体" w:cs="宋体"/>
                <w:kern w:val="0"/>
                <w:szCs w:val="21"/>
              </w:rPr>
            </w:pPr>
            <w:r>
              <w:rPr>
                <w:rFonts w:hint="eastAsia" w:ascii="宋体" w:hAnsi="宋体" w:cs="宋体"/>
                <w:kern w:val="0"/>
                <w:szCs w:val="21"/>
              </w:rPr>
              <w:t>★15、能与原128路NVR（型号：</w:t>
            </w:r>
            <w:r>
              <w:rPr>
                <w:rFonts w:ascii="宋体" w:hAnsi="宋体" w:cs="宋体"/>
                <w:kern w:val="0"/>
                <w:szCs w:val="21"/>
              </w:rPr>
              <w:t>DH-NVR616-128-4KS2</w:t>
            </w:r>
            <w:r>
              <w:rPr>
                <w:rFonts w:hint="eastAsia" w:ascii="宋体" w:hAnsi="宋体" w:cs="宋体"/>
                <w:kern w:val="0"/>
                <w:szCs w:val="21"/>
              </w:rPr>
              <w:t xml:space="preserve"> NVR）、平台管理软件（型号：</w:t>
            </w:r>
            <w:r>
              <w:rPr>
                <w:rFonts w:ascii="宋体" w:hAnsi="宋体" w:cs="宋体"/>
                <w:kern w:val="0"/>
                <w:szCs w:val="21"/>
              </w:rPr>
              <w:t>DH-DSS-H8900S3-B</w:t>
            </w:r>
            <w:r>
              <w:rPr>
                <w:rFonts w:hint="eastAsia" w:ascii="宋体" w:hAnsi="宋体" w:cs="宋体"/>
                <w:kern w:val="0"/>
                <w:szCs w:val="21"/>
              </w:rPr>
              <w:t xml:space="preserve"> 平台管理软件）、后端分析服务器（型号：</w:t>
            </w:r>
            <w:r>
              <w:rPr>
                <w:rFonts w:ascii="宋体" w:hAnsi="宋体" w:cs="宋体"/>
                <w:kern w:val="0"/>
                <w:szCs w:val="21"/>
              </w:rPr>
              <w:t>DH-IVSS724-16I</w:t>
            </w:r>
            <w:r>
              <w:rPr>
                <w:rFonts w:hint="eastAsia" w:ascii="宋体" w:hAnsi="宋体" w:cs="宋体"/>
                <w:kern w:val="0"/>
                <w:szCs w:val="21"/>
              </w:rPr>
              <w:t xml:space="preserve"> 后端分析服务器）无缝接入。</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3</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人脸门禁一体主机</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1台</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kern w:val="0"/>
                <w:szCs w:val="21"/>
              </w:rPr>
              <w:t>1、采用铝合金外壳，表面拉丝造型，整机支持IP55防护等级，适用于室内、室外场景；</w:t>
            </w:r>
          </w:p>
          <w:p>
            <w:pPr>
              <w:widowControl/>
              <w:jc w:val="left"/>
              <w:rPr>
                <w:rFonts w:ascii="宋体" w:hAnsi="宋体" w:cs="宋体"/>
                <w:kern w:val="0"/>
                <w:szCs w:val="21"/>
              </w:rPr>
            </w:pPr>
            <w:r>
              <w:rPr>
                <w:rFonts w:hint="eastAsia" w:ascii="宋体" w:hAnsi="宋体" w:cs="宋体"/>
                <w:kern w:val="0"/>
                <w:szCs w:val="21"/>
              </w:rPr>
              <w:t>2、使用10.1英寸LCD触摸显示屏，亮度高达500cd/㎡；</w:t>
            </w:r>
          </w:p>
          <w:p>
            <w:pPr>
              <w:widowControl/>
              <w:jc w:val="left"/>
              <w:rPr>
                <w:rFonts w:ascii="宋体" w:hAnsi="宋体" w:cs="宋体"/>
                <w:kern w:val="0"/>
                <w:szCs w:val="21"/>
              </w:rPr>
            </w:pPr>
            <w:r>
              <w:rPr>
                <w:rFonts w:hint="eastAsia" w:ascii="宋体" w:hAnsi="宋体" w:cs="宋体"/>
                <w:kern w:val="0"/>
                <w:szCs w:val="21"/>
              </w:rPr>
              <w:t>3、采用200万双目广角摄像头，支持白光补光、宽动态对环境光线进行调节；</w:t>
            </w:r>
          </w:p>
          <w:p>
            <w:pPr>
              <w:widowControl/>
              <w:jc w:val="left"/>
              <w:rPr>
                <w:rFonts w:ascii="宋体" w:hAnsi="宋体" w:cs="宋体"/>
                <w:kern w:val="0"/>
                <w:szCs w:val="21"/>
              </w:rPr>
            </w:pPr>
            <w:r>
              <w:rPr>
                <w:rFonts w:hint="eastAsia" w:ascii="宋体" w:hAnsi="宋体" w:cs="宋体"/>
                <w:kern w:val="0"/>
                <w:szCs w:val="21"/>
              </w:rPr>
              <w:t>4、采用深度学习算法，人脸识别率&gt;99%，最快识别速度0.2秒；</w:t>
            </w:r>
          </w:p>
          <w:p>
            <w:pPr>
              <w:widowControl/>
              <w:jc w:val="left"/>
              <w:rPr>
                <w:rFonts w:ascii="宋体" w:hAnsi="宋体" w:cs="宋体"/>
                <w:kern w:val="0"/>
                <w:szCs w:val="21"/>
              </w:rPr>
            </w:pPr>
            <w:r>
              <w:rPr>
                <w:rFonts w:hint="eastAsia" w:ascii="宋体" w:hAnsi="宋体" w:cs="宋体"/>
                <w:kern w:val="0"/>
                <w:szCs w:val="21"/>
              </w:rPr>
              <w:t>5、支持人脸、密码、二维码、蓝牙等多种认证方式；</w:t>
            </w:r>
          </w:p>
          <w:p>
            <w:pPr>
              <w:widowControl/>
              <w:jc w:val="left"/>
              <w:rPr>
                <w:rFonts w:ascii="宋体" w:hAnsi="宋体" w:cs="宋体"/>
                <w:kern w:val="0"/>
                <w:szCs w:val="21"/>
              </w:rPr>
            </w:pPr>
            <w:r>
              <w:rPr>
                <w:rFonts w:hint="eastAsia" w:ascii="宋体" w:hAnsi="宋体" w:cs="宋体"/>
                <w:kern w:val="0"/>
                <w:szCs w:val="21"/>
              </w:rPr>
              <w:t>6、支持存储用户数据，支持离线运行人脸（1:N）库容20000张；</w:t>
            </w:r>
          </w:p>
          <w:p>
            <w:pPr>
              <w:widowControl/>
              <w:jc w:val="left"/>
              <w:rPr>
                <w:rFonts w:ascii="宋体" w:hAnsi="宋体" w:cs="宋体"/>
                <w:kern w:val="0"/>
                <w:szCs w:val="21"/>
              </w:rPr>
            </w:pPr>
            <w:r>
              <w:rPr>
                <w:rFonts w:hint="eastAsia" w:ascii="宋体" w:hAnsi="宋体" w:cs="宋体"/>
                <w:kern w:val="0"/>
                <w:szCs w:val="21"/>
              </w:rPr>
              <w:t>7、支持0.5~2.0m的识别距离控制，有效防止距离较远的人员误识别；</w:t>
            </w:r>
          </w:p>
          <w:p>
            <w:pPr>
              <w:widowControl/>
              <w:jc w:val="left"/>
              <w:rPr>
                <w:rFonts w:ascii="宋体" w:hAnsi="宋体" w:cs="宋体"/>
                <w:kern w:val="0"/>
                <w:szCs w:val="21"/>
              </w:rPr>
            </w:pPr>
            <w:r>
              <w:rPr>
                <w:rFonts w:hint="eastAsia" w:ascii="宋体" w:hAnsi="宋体" w:cs="宋体"/>
                <w:kern w:val="0"/>
                <w:szCs w:val="21"/>
              </w:rPr>
              <w:t>8、支持活体检测功能，能够对照片、视频防假；</w:t>
            </w:r>
          </w:p>
          <w:p>
            <w:pPr>
              <w:widowControl/>
              <w:jc w:val="left"/>
              <w:rPr>
                <w:rFonts w:ascii="宋体" w:hAnsi="宋体" w:cs="宋体"/>
                <w:color w:val="FF0000"/>
                <w:kern w:val="0"/>
                <w:szCs w:val="21"/>
              </w:rPr>
            </w:pPr>
            <w:r>
              <w:rPr>
                <w:rFonts w:hint="eastAsia" w:ascii="宋体" w:hAnsi="宋体" w:cs="宋体"/>
                <w:kern w:val="0"/>
                <w:szCs w:val="21"/>
              </w:rPr>
              <w:t>★9、能与原人脸门禁主机（型号：</w:t>
            </w:r>
            <w:r>
              <w:rPr>
                <w:rFonts w:ascii="宋体" w:hAnsi="宋体" w:cs="宋体"/>
                <w:kern w:val="0"/>
                <w:szCs w:val="21"/>
              </w:rPr>
              <w:t>TH-MY231R</w:t>
            </w:r>
            <w:r>
              <w:rPr>
                <w:rFonts w:hint="eastAsia" w:ascii="宋体" w:hAnsi="宋体" w:cs="宋体"/>
                <w:kern w:val="0"/>
                <w:szCs w:val="21"/>
              </w:rPr>
              <w:t>人脸门禁主机）无缝接入。</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4240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4</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汇聚交换机</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1台</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vAlign w:val="center"/>
          </w:tcPr>
          <w:p>
            <w:pPr>
              <w:jc w:val="left"/>
              <w:rPr>
                <w:bCs/>
                <w:szCs w:val="21"/>
              </w:rPr>
            </w:pPr>
            <w:r>
              <w:rPr>
                <w:rFonts w:hint="eastAsia"/>
                <w:bCs/>
                <w:szCs w:val="21"/>
              </w:rPr>
              <w:t>一、单台配置要求</w:t>
            </w:r>
          </w:p>
          <w:p>
            <w:pPr>
              <w:jc w:val="left"/>
              <w:rPr>
                <w:bCs/>
                <w:szCs w:val="21"/>
              </w:rPr>
            </w:pPr>
            <w:r>
              <w:rPr>
                <w:rFonts w:hint="eastAsia"/>
                <w:bCs/>
                <w:szCs w:val="21"/>
              </w:rPr>
              <w:t>★</w:t>
            </w:r>
            <w:r>
              <w:rPr>
                <w:bCs/>
                <w:szCs w:val="21"/>
              </w:rPr>
              <w:t>1</w:t>
            </w:r>
            <w:r>
              <w:rPr>
                <w:rFonts w:hint="eastAsia"/>
                <w:bCs/>
                <w:szCs w:val="21"/>
              </w:rPr>
              <w:t>、</w:t>
            </w:r>
            <w:r>
              <w:rPr>
                <w:bCs/>
                <w:szCs w:val="21"/>
              </w:rPr>
              <w:t>24</w:t>
            </w:r>
            <w:r>
              <w:rPr>
                <w:rFonts w:hint="eastAsia"/>
                <w:bCs/>
                <w:szCs w:val="21"/>
              </w:rPr>
              <w:t>个</w:t>
            </w:r>
            <w:r>
              <w:rPr>
                <w:bCs/>
                <w:szCs w:val="21"/>
              </w:rPr>
              <w:t>10/100/1000Base-T</w:t>
            </w:r>
            <w:r>
              <w:rPr>
                <w:rFonts w:hint="eastAsia"/>
                <w:bCs/>
                <w:szCs w:val="21"/>
              </w:rPr>
              <w:t>以太网端口，</w:t>
            </w:r>
            <w:r>
              <w:rPr>
                <w:bCs/>
                <w:szCs w:val="21"/>
              </w:rPr>
              <w:t xml:space="preserve">4 </w:t>
            </w:r>
            <w:r>
              <w:rPr>
                <w:rFonts w:hint="eastAsia"/>
                <w:bCs/>
                <w:szCs w:val="21"/>
              </w:rPr>
              <w:t>个非复用的</w:t>
            </w:r>
            <w:r>
              <w:rPr>
                <w:bCs/>
                <w:szCs w:val="21"/>
              </w:rPr>
              <w:t xml:space="preserve">SFP </w:t>
            </w:r>
            <w:r>
              <w:rPr>
                <w:rFonts w:hint="eastAsia"/>
                <w:bCs/>
                <w:szCs w:val="21"/>
              </w:rPr>
              <w:t>千兆端口；</w:t>
            </w:r>
          </w:p>
          <w:p>
            <w:pPr>
              <w:jc w:val="left"/>
              <w:rPr>
                <w:bCs/>
                <w:szCs w:val="21"/>
              </w:rPr>
            </w:pPr>
            <w:r>
              <w:rPr>
                <w:rFonts w:hint="eastAsia"/>
                <w:bCs/>
                <w:szCs w:val="21"/>
              </w:rPr>
              <w:t>二、技术参数要求</w:t>
            </w:r>
          </w:p>
          <w:p>
            <w:pPr>
              <w:jc w:val="left"/>
              <w:rPr>
                <w:bCs/>
                <w:szCs w:val="21"/>
              </w:rPr>
            </w:pPr>
            <w:r>
              <w:rPr>
                <w:bCs/>
                <w:szCs w:val="21"/>
              </w:rPr>
              <w:t>1</w:t>
            </w:r>
            <w:r>
              <w:rPr>
                <w:rFonts w:hint="eastAsia"/>
                <w:bCs/>
                <w:szCs w:val="21"/>
              </w:rPr>
              <w:t>、交换容量≥</w:t>
            </w:r>
            <w:r>
              <w:rPr>
                <w:bCs/>
                <w:szCs w:val="21"/>
              </w:rPr>
              <w:t>330Gbps,</w:t>
            </w:r>
            <w:r>
              <w:rPr>
                <w:rFonts w:hint="eastAsia"/>
                <w:bCs/>
                <w:szCs w:val="21"/>
              </w:rPr>
              <w:t>包转发速率≥</w:t>
            </w:r>
            <w:r>
              <w:rPr>
                <w:bCs/>
                <w:szCs w:val="21"/>
              </w:rPr>
              <w:t>120Mpps</w:t>
            </w:r>
            <w:r>
              <w:rPr>
                <w:rFonts w:hint="eastAsia"/>
                <w:bCs/>
                <w:szCs w:val="21"/>
              </w:rPr>
              <w:t>；</w:t>
            </w:r>
          </w:p>
          <w:p>
            <w:pPr>
              <w:jc w:val="left"/>
              <w:rPr>
                <w:bCs/>
                <w:szCs w:val="21"/>
              </w:rPr>
            </w:pPr>
            <w:r>
              <w:rPr>
                <w:bCs/>
                <w:szCs w:val="21"/>
              </w:rPr>
              <w:t>2</w:t>
            </w:r>
            <w:r>
              <w:rPr>
                <w:rFonts w:hint="eastAsia"/>
                <w:bCs/>
                <w:szCs w:val="21"/>
              </w:rPr>
              <w:t>、路由协议支持</w:t>
            </w:r>
            <w:r>
              <w:rPr>
                <w:bCs/>
                <w:szCs w:val="21"/>
              </w:rPr>
              <w:t>IPv4</w:t>
            </w:r>
            <w:r>
              <w:rPr>
                <w:rFonts w:hint="eastAsia"/>
                <w:bCs/>
                <w:szCs w:val="21"/>
              </w:rPr>
              <w:t>静态路由、</w:t>
            </w:r>
            <w:r>
              <w:rPr>
                <w:bCs/>
                <w:szCs w:val="21"/>
              </w:rPr>
              <w:t>RIP</w:t>
            </w:r>
            <w:r>
              <w:rPr>
                <w:rFonts w:hint="eastAsia"/>
                <w:bCs/>
                <w:szCs w:val="21"/>
              </w:rPr>
              <w:t>路由协议和</w:t>
            </w:r>
            <w:r>
              <w:rPr>
                <w:bCs/>
                <w:szCs w:val="21"/>
              </w:rPr>
              <w:t>OSPF</w:t>
            </w:r>
            <w:r>
              <w:rPr>
                <w:rFonts w:hint="eastAsia"/>
                <w:bCs/>
                <w:szCs w:val="21"/>
              </w:rPr>
              <w:t>路由协议；</w:t>
            </w:r>
          </w:p>
          <w:p>
            <w:pPr>
              <w:jc w:val="left"/>
              <w:rPr>
                <w:bCs/>
                <w:szCs w:val="21"/>
              </w:rPr>
            </w:pPr>
            <w:r>
              <w:rPr>
                <w:bCs/>
                <w:szCs w:val="21"/>
              </w:rPr>
              <w:t>3</w:t>
            </w:r>
            <w:r>
              <w:rPr>
                <w:rFonts w:hint="eastAsia"/>
                <w:bCs/>
                <w:szCs w:val="21"/>
              </w:rPr>
              <w:t>、支持</w:t>
            </w:r>
            <w:r>
              <w:rPr>
                <w:bCs/>
                <w:szCs w:val="21"/>
              </w:rPr>
              <w:t>L2</w:t>
            </w:r>
            <w:r>
              <w:rPr>
                <w:rFonts w:hint="eastAsia"/>
                <w:bCs/>
                <w:szCs w:val="21"/>
              </w:rPr>
              <w:t>（</w:t>
            </w:r>
            <w:r>
              <w:rPr>
                <w:bCs/>
                <w:szCs w:val="21"/>
              </w:rPr>
              <w:t>Layer 2</w:t>
            </w:r>
            <w:r>
              <w:rPr>
                <w:rFonts w:hint="eastAsia"/>
                <w:bCs/>
                <w:szCs w:val="21"/>
              </w:rPr>
              <w:t>）</w:t>
            </w:r>
            <w:r>
              <w:rPr>
                <w:bCs/>
                <w:szCs w:val="21"/>
              </w:rPr>
              <w:t>-L4</w:t>
            </w:r>
            <w:r>
              <w:rPr>
                <w:rFonts w:hint="eastAsia"/>
                <w:bCs/>
                <w:szCs w:val="21"/>
              </w:rPr>
              <w:t>（</w:t>
            </w:r>
            <w:r>
              <w:rPr>
                <w:bCs/>
                <w:szCs w:val="21"/>
              </w:rPr>
              <w:t>Layer 4</w:t>
            </w:r>
            <w:r>
              <w:rPr>
                <w:rFonts w:hint="eastAsia"/>
                <w:bCs/>
                <w:szCs w:val="21"/>
              </w:rPr>
              <w:t>）包过滤功能，提供基于源</w:t>
            </w:r>
            <w:r>
              <w:rPr>
                <w:bCs/>
                <w:szCs w:val="21"/>
              </w:rPr>
              <w:t>MAC</w:t>
            </w:r>
            <w:r>
              <w:rPr>
                <w:rFonts w:hint="eastAsia"/>
                <w:bCs/>
                <w:szCs w:val="21"/>
              </w:rPr>
              <w:t>地址、目的</w:t>
            </w:r>
            <w:r>
              <w:rPr>
                <w:bCs/>
                <w:szCs w:val="21"/>
              </w:rPr>
              <w:t>MAC</w:t>
            </w:r>
            <w:r>
              <w:rPr>
                <w:rFonts w:hint="eastAsia"/>
                <w:bCs/>
                <w:szCs w:val="21"/>
              </w:rPr>
              <w:t>地址、源</w:t>
            </w:r>
            <w:r>
              <w:rPr>
                <w:bCs/>
                <w:szCs w:val="21"/>
              </w:rPr>
              <w:t>IP(IPv4/IPv6)</w:t>
            </w:r>
            <w:r>
              <w:rPr>
                <w:rFonts w:hint="eastAsia"/>
                <w:bCs/>
                <w:szCs w:val="21"/>
              </w:rPr>
              <w:t>地址、目的</w:t>
            </w:r>
            <w:r>
              <w:rPr>
                <w:bCs/>
                <w:szCs w:val="21"/>
              </w:rPr>
              <w:t>IP(IPv4/IPv6)</w:t>
            </w:r>
            <w:r>
              <w:rPr>
                <w:rFonts w:hint="eastAsia"/>
                <w:bCs/>
                <w:szCs w:val="21"/>
              </w:rPr>
              <w:t>地址、端口、协议、</w:t>
            </w:r>
            <w:r>
              <w:rPr>
                <w:bCs/>
                <w:szCs w:val="21"/>
              </w:rPr>
              <w:t>VLAN</w:t>
            </w:r>
            <w:r>
              <w:rPr>
                <w:rFonts w:hint="eastAsia"/>
                <w:bCs/>
                <w:szCs w:val="21"/>
              </w:rPr>
              <w:t>的流分类；</w:t>
            </w:r>
          </w:p>
          <w:p>
            <w:pPr>
              <w:jc w:val="left"/>
              <w:rPr>
                <w:bCs/>
                <w:szCs w:val="21"/>
              </w:rPr>
            </w:pPr>
            <w:r>
              <w:rPr>
                <w:bCs/>
                <w:szCs w:val="21"/>
              </w:rPr>
              <w:t>4</w:t>
            </w:r>
            <w:r>
              <w:rPr>
                <w:rFonts w:hint="eastAsia"/>
                <w:bCs/>
                <w:szCs w:val="21"/>
              </w:rPr>
              <w:t>、支持</w:t>
            </w:r>
            <w:r>
              <w:rPr>
                <w:bCs/>
                <w:szCs w:val="21"/>
              </w:rPr>
              <w:t>IGMP Snooping</w:t>
            </w:r>
            <w:r>
              <w:rPr>
                <w:rFonts w:hint="eastAsia"/>
                <w:bCs/>
                <w:szCs w:val="21"/>
              </w:rPr>
              <w:t>，</w:t>
            </w:r>
            <w:r>
              <w:rPr>
                <w:bCs/>
                <w:szCs w:val="21"/>
              </w:rPr>
              <w:t>MLD Snooping</w:t>
            </w:r>
            <w:r>
              <w:rPr>
                <w:rFonts w:hint="eastAsia"/>
                <w:bCs/>
                <w:szCs w:val="21"/>
              </w:rPr>
              <w:t>、支持组播</w:t>
            </w:r>
            <w:r>
              <w:rPr>
                <w:bCs/>
                <w:szCs w:val="21"/>
              </w:rPr>
              <w:t>VLAN</w:t>
            </w:r>
            <w:r>
              <w:rPr>
                <w:rFonts w:hint="eastAsia"/>
                <w:bCs/>
                <w:szCs w:val="21"/>
              </w:rPr>
              <w:t>；</w:t>
            </w:r>
          </w:p>
          <w:p>
            <w:pPr>
              <w:jc w:val="left"/>
              <w:rPr>
                <w:bCs/>
                <w:szCs w:val="21"/>
              </w:rPr>
            </w:pPr>
            <w:r>
              <w:rPr>
                <w:rFonts w:hint="eastAsia"/>
                <w:bCs/>
                <w:szCs w:val="21"/>
              </w:rPr>
              <w:t>★</w:t>
            </w:r>
            <w:r>
              <w:rPr>
                <w:bCs/>
                <w:szCs w:val="21"/>
              </w:rPr>
              <w:t>5</w:t>
            </w:r>
            <w:r>
              <w:rPr>
                <w:rFonts w:hint="eastAsia"/>
                <w:bCs/>
                <w:szCs w:val="21"/>
              </w:rPr>
              <w:t>、</w:t>
            </w:r>
            <w:r>
              <w:rPr>
                <w:bCs/>
                <w:szCs w:val="21"/>
              </w:rPr>
              <w:t>DHCP</w:t>
            </w:r>
            <w:r>
              <w:rPr>
                <w:rFonts w:hint="eastAsia"/>
                <w:bCs/>
                <w:szCs w:val="21"/>
              </w:rPr>
              <w:t>功能：支持</w:t>
            </w:r>
            <w:r>
              <w:rPr>
                <w:bCs/>
                <w:szCs w:val="21"/>
              </w:rPr>
              <w:t>DHCP Server</w:t>
            </w:r>
            <w:r>
              <w:rPr>
                <w:rFonts w:hint="eastAsia"/>
                <w:bCs/>
                <w:szCs w:val="21"/>
              </w:rPr>
              <w:t>、</w:t>
            </w:r>
            <w:r>
              <w:rPr>
                <w:bCs/>
                <w:szCs w:val="21"/>
              </w:rPr>
              <w:t>DHCP Client</w:t>
            </w:r>
            <w:r>
              <w:rPr>
                <w:rFonts w:hint="eastAsia"/>
                <w:bCs/>
                <w:szCs w:val="21"/>
              </w:rPr>
              <w:t>、</w:t>
            </w:r>
            <w:r>
              <w:rPr>
                <w:bCs/>
                <w:szCs w:val="21"/>
              </w:rPr>
              <w:t>DHCP Relay</w:t>
            </w:r>
            <w:r>
              <w:rPr>
                <w:rFonts w:hint="eastAsia"/>
                <w:bCs/>
                <w:szCs w:val="21"/>
              </w:rPr>
              <w:t>、</w:t>
            </w:r>
            <w:r>
              <w:rPr>
                <w:bCs/>
                <w:szCs w:val="21"/>
              </w:rPr>
              <w:t>DHCP Snooping</w:t>
            </w:r>
            <w:r>
              <w:rPr>
                <w:rFonts w:hint="eastAsia"/>
                <w:bCs/>
                <w:szCs w:val="21"/>
              </w:rPr>
              <w:t>和</w:t>
            </w:r>
            <w:r>
              <w:rPr>
                <w:bCs/>
                <w:szCs w:val="21"/>
              </w:rPr>
              <w:t>DHCP Snooping Option82</w:t>
            </w:r>
            <w:r>
              <w:rPr>
                <w:rFonts w:hint="eastAsia"/>
                <w:bCs/>
                <w:szCs w:val="21"/>
              </w:rPr>
              <w:t>；</w:t>
            </w:r>
          </w:p>
          <w:p>
            <w:pPr>
              <w:jc w:val="left"/>
              <w:rPr>
                <w:bCs/>
                <w:szCs w:val="21"/>
              </w:rPr>
            </w:pPr>
            <w:r>
              <w:rPr>
                <w:bCs/>
                <w:szCs w:val="21"/>
              </w:rPr>
              <w:t>6</w:t>
            </w:r>
            <w:r>
              <w:rPr>
                <w:rFonts w:hint="eastAsia"/>
                <w:bCs/>
                <w:szCs w:val="21"/>
              </w:rPr>
              <w:t>、支持虚电缆检测功能</w:t>
            </w:r>
            <w:r>
              <w:rPr>
                <w:bCs/>
                <w:szCs w:val="21"/>
              </w:rPr>
              <w:t>(VCT)</w:t>
            </w:r>
            <w:r>
              <w:rPr>
                <w:rFonts w:hint="eastAsia"/>
                <w:bCs/>
                <w:szCs w:val="21"/>
              </w:rPr>
              <w:t>，快速准确定位网络中故障电缆的短路或断路点；</w:t>
            </w:r>
          </w:p>
          <w:p>
            <w:pPr>
              <w:jc w:val="left"/>
              <w:rPr>
                <w:bCs/>
                <w:szCs w:val="21"/>
              </w:rPr>
            </w:pPr>
            <w:r>
              <w:rPr>
                <w:rFonts w:hint="eastAsia"/>
                <w:bCs/>
                <w:szCs w:val="21"/>
              </w:rPr>
              <w:t>★</w:t>
            </w:r>
            <w:r>
              <w:rPr>
                <w:bCs/>
                <w:szCs w:val="21"/>
              </w:rPr>
              <w:t>7</w:t>
            </w:r>
            <w:r>
              <w:rPr>
                <w:rFonts w:hint="eastAsia"/>
                <w:bCs/>
                <w:szCs w:val="21"/>
              </w:rPr>
              <w:t>、采用内置端口防雷技术，业务端口防雷能力≥</w:t>
            </w:r>
            <w:r>
              <w:rPr>
                <w:bCs/>
                <w:szCs w:val="21"/>
              </w:rPr>
              <w:t>10KV</w:t>
            </w:r>
            <w:r>
              <w:rPr>
                <w:rFonts w:hint="eastAsia"/>
                <w:bCs/>
                <w:szCs w:val="21"/>
              </w:rPr>
              <w:t>，提供官网截图证明材料；</w:t>
            </w:r>
          </w:p>
          <w:p>
            <w:pPr>
              <w:jc w:val="left"/>
              <w:rPr>
                <w:bCs/>
                <w:szCs w:val="21"/>
                <w:highlight w:val="yellow"/>
              </w:rPr>
            </w:pPr>
            <w:r>
              <w:rPr>
                <w:bCs/>
                <w:szCs w:val="21"/>
              </w:rPr>
              <w:t>8</w:t>
            </w:r>
            <w:r>
              <w:rPr>
                <w:rFonts w:hint="eastAsia"/>
                <w:bCs/>
                <w:szCs w:val="21"/>
              </w:rPr>
              <w:t>、管理与维护：支持</w:t>
            </w:r>
            <w:r>
              <w:rPr>
                <w:bCs/>
                <w:szCs w:val="21"/>
              </w:rPr>
              <w:t>XModem/FTP/TFTP</w:t>
            </w:r>
            <w:r>
              <w:rPr>
                <w:rFonts w:hint="eastAsia"/>
                <w:bCs/>
                <w:szCs w:val="21"/>
              </w:rPr>
              <w:t>加载升级，支持命令行接口（</w:t>
            </w:r>
            <w:r>
              <w:rPr>
                <w:bCs/>
                <w:szCs w:val="21"/>
              </w:rPr>
              <w:t>CLI</w:t>
            </w:r>
            <w:r>
              <w:rPr>
                <w:rFonts w:hint="eastAsia"/>
                <w:bCs/>
                <w:szCs w:val="21"/>
              </w:rPr>
              <w:t>），</w:t>
            </w:r>
            <w:r>
              <w:rPr>
                <w:bCs/>
                <w:szCs w:val="21"/>
              </w:rPr>
              <w:t>Telnet</w:t>
            </w:r>
            <w:r>
              <w:rPr>
                <w:rFonts w:hint="eastAsia"/>
                <w:bCs/>
                <w:szCs w:val="21"/>
              </w:rPr>
              <w:t>，</w:t>
            </w:r>
            <w:r>
              <w:rPr>
                <w:bCs/>
                <w:szCs w:val="21"/>
              </w:rPr>
              <w:t>Console</w:t>
            </w:r>
            <w:r>
              <w:rPr>
                <w:rFonts w:hint="eastAsia"/>
                <w:bCs/>
                <w:szCs w:val="21"/>
              </w:rPr>
              <w:t>口进行配置，支持</w:t>
            </w:r>
            <w:r>
              <w:rPr>
                <w:bCs/>
                <w:szCs w:val="21"/>
              </w:rPr>
              <w:t>SNMP</w:t>
            </w:r>
            <w:r>
              <w:rPr>
                <w:rFonts w:hint="eastAsia"/>
                <w:bCs/>
                <w:szCs w:val="21"/>
              </w:rPr>
              <w:t>，</w:t>
            </w:r>
            <w:r>
              <w:rPr>
                <w:bCs/>
                <w:szCs w:val="21"/>
              </w:rPr>
              <w:t>WEB</w:t>
            </w:r>
            <w:r>
              <w:rPr>
                <w:rFonts w:hint="eastAsia"/>
                <w:bCs/>
                <w:szCs w:val="21"/>
              </w:rPr>
              <w:t>网管，支持</w:t>
            </w:r>
            <w:r>
              <w:rPr>
                <w:bCs/>
                <w:szCs w:val="21"/>
              </w:rPr>
              <w:t>RMON</w:t>
            </w:r>
            <w:r>
              <w:rPr>
                <w:rFonts w:hint="eastAsia"/>
                <w:bCs/>
                <w:szCs w:val="21"/>
              </w:rPr>
              <w:t>（</w:t>
            </w:r>
            <w:r>
              <w:rPr>
                <w:bCs/>
                <w:szCs w:val="21"/>
              </w:rPr>
              <w:t>Remote Monitoring</w:t>
            </w:r>
            <w:r>
              <w:rPr>
                <w:rFonts w:hint="eastAsia"/>
                <w:bCs/>
                <w:szCs w:val="21"/>
              </w:rPr>
              <w:t>）。</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5</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六类网络线</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11箱</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kern w:val="0"/>
                <w:szCs w:val="21"/>
              </w:rPr>
              <w:t>1、符合标准:ISO/IEC 11801 TIA/EIA-568-C.2  YD/T1019-2013；</w:t>
            </w:r>
          </w:p>
          <w:p>
            <w:pPr>
              <w:widowControl/>
              <w:jc w:val="left"/>
              <w:rPr>
                <w:rFonts w:ascii="宋体" w:hAnsi="宋体" w:cs="宋体"/>
                <w:kern w:val="0"/>
                <w:szCs w:val="21"/>
              </w:rPr>
            </w:pPr>
            <w:r>
              <w:rPr>
                <w:rFonts w:hint="eastAsia" w:ascii="宋体" w:hAnsi="宋体" w:cs="宋体"/>
                <w:kern w:val="0"/>
                <w:szCs w:val="21"/>
              </w:rPr>
              <w:t>达到或超过ISO/IEC11801、ANSI/TIA-568C.2中的CAT6类的有关标准；</w:t>
            </w:r>
          </w:p>
          <w:p>
            <w:pPr>
              <w:widowControl/>
              <w:jc w:val="left"/>
              <w:rPr>
                <w:rFonts w:ascii="宋体" w:hAnsi="宋体" w:cs="宋体"/>
                <w:kern w:val="0"/>
                <w:szCs w:val="21"/>
              </w:rPr>
            </w:pPr>
            <w:r>
              <w:rPr>
                <w:rFonts w:hint="eastAsia" w:ascii="宋体" w:hAnsi="宋体" w:cs="宋体"/>
                <w:kern w:val="0"/>
                <w:szCs w:val="21"/>
              </w:rPr>
              <w:t>2、保证250MHz应用带宽，满足622Mbps ATM，同时向下兼容超五类系统；</w:t>
            </w:r>
          </w:p>
          <w:p>
            <w:pPr>
              <w:widowControl/>
              <w:jc w:val="left"/>
              <w:rPr>
                <w:rFonts w:ascii="宋体" w:hAnsi="宋体" w:cs="宋体"/>
                <w:kern w:val="0"/>
                <w:szCs w:val="21"/>
              </w:rPr>
            </w:pPr>
            <w:r>
              <w:rPr>
                <w:rFonts w:hint="eastAsia" w:ascii="宋体" w:hAnsi="宋体" w:cs="宋体"/>
                <w:kern w:val="0"/>
                <w:szCs w:val="21"/>
              </w:rPr>
              <w:t>3、十字骨架分开了线对并维持稳定的线对位置，减小了近端串扰损耗（NEXT）和保持了阻抗稳定；</w:t>
            </w:r>
          </w:p>
          <w:p>
            <w:pPr>
              <w:widowControl/>
              <w:jc w:val="left"/>
              <w:rPr>
                <w:rFonts w:ascii="宋体" w:hAnsi="宋体" w:cs="宋体"/>
                <w:kern w:val="0"/>
                <w:szCs w:val="21"/>
              </w:rPr>
            </w:pPr>
            <w:r>
              <w:rPr>
                <w:rFonts w:hint="eastAsia" w:ascii="宋体" w:hAnsi="宋体" w:cs="宋体"/>
                <w:kern w:val="0"/>
                <w:szCs w:val="21"/>
              </w:rPr>
              <w:t xml:space="preserve">4、选用高质量的材料制成，提供25年质保 </w:t>
            </w:r>
          </w:p>
          <w:p>
            <w:pPr>
              <w:widowControl/>
              <w:jc w:val="left"/>
              <w:rPr>
                <w:rFonts w:ascii="宋体" w:hAnsi="宋体" w:cs="宋体"/>
                <w:kern w:val="0"/>
                <w:szCs w:val="21"/>
              </w:rPr>
            </w:pPr>
            <w:r>
              <w:rPr>
                <w:rFonts w:hint="eastAsia" w:ascii="宋体" w:hAnsi="宋体" w:cs="宋体"/>
                <w:kern w:val="0"/>
                <w:szCs w:val="21"/>
              </w:rPr>
              <w:t>所有使用原材料，符合ROHS,有害物质控制在国际最严格标准内；</w:t>
            </w:r>
          </w:p>
          <w:p>
            <w:pPr>
              <w:widowControl/>
              <w:jc w:val="left"/>
              <w:rPr>
                <w:rFonts w:ascii="宋体" w:hAnsi="宋体" w:cs="宋体"/>
                <w:kern w:val="0"/>
                <w:szCs w:val="21"/>
              </w:rPr>
            </w:pPr>
            <w:r>
              <w:rPr>
                <w:rFonts w:hint="eastAsia" w:ascii="宋体" w:hAnsi="宋体" w:cs="宋体"/>
                <w:kern w:val="0"/>
                <w:szCs w:val="21"/>
              </w:rPr>
              <w:t>5、支持语音、数据、视频信号高速传输；</w:t>
            </w:r>
          </w:p>
          <w:p>
            <w:pPr>
              <w:widowControl/>
              <w:jc w:val="left"/>
              <w:rPr>
                <w:rFonts w:ascii="宋体" w:hAnsi="宋体" w:cs="宋体"/>
                <w:kern w:val="0"/>
                <w:szCs w:val="21"/>
              </w:rPr>
            </w:pPr>
            <w:r>
              <w:rPr>
                <w:rFonts w:hint="eastAsia" w:ascii="宋体" w:hAnsi="宋体" w:cs="宋体"/>
                <w:kern w:val="0"/>
                <w:szCs w:val="21"/>
              </w:rPr>
              <w:t>6、阻抗： (f=1-250MHz)100±15%Ω ；</w:t>
            </w:r>
          </w:p>
          <w:p>
            <w:pPr>
              <w:widowControl/>
              <w:jc w:val="left"/>
              <w:rPr>
                <w:rFonts w:ascii="宋体" w:hAnsi="宋体" w:cs="宋体"/>
                <w:kern w:val="0"/>
                <w:szCs w:val="21"/>
              </w:rPr>
            </w:pPr>
            <w:r>
              <w:rPr>
                <w:rFonts w:hint="eastAsia" w:ascii="宋体" w:hAnsi="宋体" w:cs="宋体"/>
                <w:kern w:val="0"/>
                <w:szCs w:val="21"/>
              </w:rPr>
              <w:t>7、最大直流电阻不平衡（线对内两导体/线对与线对间）：≤2%/ ≤4%@20℃，</w:t>
            </w:r>
          </w:p>
          <w:p>
            <w:pPr>
              <w:widowControl/>
              <w:jc w:val="left"/>
              <w:rPr>
                <w:rFonts w:ascii="宋体" w:hAnsi="宋体" w:cs="宋体"/>
                <w:kern w:val="0"/>
                <w:szCs w:val="21"/>
              </w:rPr>
            </w:pPr>
            <w:r>
              <w:rPr>
                <w:rFonts w:hint="eastAsia" w:ascii="宋体" w:hAnsi="宋体" w:cs="宋体"/>
                <w:kern w:val="0"/>
                <w:szCs w:val="21"/>
              </w:rPr>
              <w:t>单根导体直流电阻：≤9.5Ω/100米；</w:t>
            </w:r>
          </w:p>
          <w:p>
            <w:pPr>
              <w:widowControl/>
              <w:jc w:val="left"/>
              <w:rPr>
                <w:rFonts w:ascii="宋体" w:hAnsi="宋体" w:cs="宋体"/>
                <w:kern w:val="0"/>
                <w:szCs w:val="21"/>
              </w:rPr>
            </w:pPr>
            <w:r>
              <w:rPr>
                <w:rFonts w:hint="eastAsia" w:ascii="宋体" w:hAnsi="宋体" w:cs="宋体"/>
                <w:kern w:val="0"/>
                <w:szCs w:val="21"/>
              </w:rPr>
              <w:t>8、工作电容：≤5.6nF/100米 ；</w:t>
            </w:r>
          </w:p>
          <w:p>
            <w:pPr>
              <w:widowControl/>
              <w:jc w:val="left"/>
              <w:rPr>
                <w:rFonts w:ascii="宋体" w:hAnsi="宋体" w:cs="宋体"/>
                <w:kern w:val="0"/>
                <w:szCs w:val="21"/>
              </w:rPr>
            </w:pPr>
            <w:r>
              <w:rPr>
                <w:rFonts w:hint="eastAsia" w:ascii="宋体" w:hAnsi="宋体" w:cs="宋体"/>
                <w:kern w:val="0"/>
                <w:szCs w:val="21"/>
              </w:rPr>
              <w:t>9、不平衡电容：＜160pF/100米 ；</w:t>
            </w:r>
          </w:p>
          <w:p>
            <w:pPr>
              <w:widowControl/>
              <w:jc w:val="left"/>
              <w:rPr>
                <w:rFonts w:ascii="宋体" w:hAnsi="宋体" w:cs="宋体"/>
                <w:kern w:val="0"/>
                <w:szCs w:val="21"/>
              </w:rPr>
            </w:pPr>
            <w:r>
              <w:rPr>
                <w:rFonts w:hint="eastAsia" w:ascii="宋体" w:hAnsi="宋体" w:cs="宋体"/>
                <w:kern w:val="0"/>
                <w:szCs w:val="21"/>
              </w:rPr>
              <w:t>10、延迟偏差：≤45ns/100m ；</w:t>
            </w:r>
          </w:p>
          <w:p>
            <w:pPr>
              <w:widowControl/>
              <w:jc w:val="left"/>
              <w:rPr>
                <w:rFonts w:ascii="宋体" w:hAnsi="宋体" w:cs="宋体"/>
                <w:kern w:val="0"/>
                <w:szCs w:val="21"/>
              </w:rPr>
            </w:pPr>
            <w:r>
              <w:rPr>
                <w:rFonts w:hint="eastAsia" w:ascii="宋体" w:hAnsi="宋体" w:cs="宋体"/>
                <w:kern w:val="0"/>
                <w:szCs w:val="21"/>
              </w:rPr>
              <w:t>11、额定传输速率(NVP):67% ；</w:t>
            </w:r>
          </w:p>
          <w:p>
            <w:pPr>
              <w:widowControl/>
              <w:jc w:val="left"/>
              <w:rPr>
                <w:rFonts w:ascii="宋体" w:hAnsi="宋体" w:cs="宋体"/>
                <w:kern w:val="0"/>
                <w:szCs w:val="21"/>
              </w:rPr>
            </w:pPr>
            <w:r>
              <w:rPr>
                <w:rFonts w:hint="eastAsia" w:ascii="宋体" w:hAnsi="宋体" w:cs="宋体"/>
                <w:kern w:val="0"/>
                <w:szCs w:val="21"/>
              </w:rPr>
              <w:t>12、电缆直径 ：6.1±0.2mm；</w:t>
            </w:r>
          </w:p>
          <w:p>
            <w:pPr>
              <w:widowControl/>
              <w:jc w:val="left"/>
              <w:rPr>
                <w:rFonts w:ascii="宋体" w:hAnsi="宋体" w:cs="宋体"/>
                <w:kern w:val="0"/>
                <w:szCs w:val="21"/>
              </w:rPr>
            </w:pPr>
            <w:r>
              <w:rPr>
                <w:rFonts w:hint="eastAsia" w:ascii="宋体" w:hAnsi="宋体" w:cs="宋体"/>
                <w:kern w:val="0"/>
                <w:szCs w:val="21"/>
              </w:rPr>
              <w:t xml:space="preserve">13、导体材料：高纯度无氧铜（纯度99.99%）23AWG； </w:t>
            </w:r>
          </w:p>
          <w:p>
            <w:pPr>
              <w:widowControl/>
              <w:jc w:val="left"/>
              <w:rPr>
                <w:rFonts w:ascii="宋体" w:hAnsi="宋体" w:cs="宋体"/>
                <w:kern w:val="0"/>
                <w:szCs w:val="21"/>
              </w:rPr>
            </w:pPr>
            <w:r>
              <w:rPr>
                <w:rFonts w:hint="eastAsia" w:ascii="宋体" w:hAnsi="宋体" w:cs="宋体"/>
                <w:kern w:val="0"/>
                <w:szCs w:val="21"/>
              </w:rPr>
              <w:t>14、最小弯曲半径(安装)：4倍电缆外径；</w:t>
            </w:r>
          </w:p>
          <w:p>
            <w:pPr>
              <w:widowControl/>
              <w:jc w:val="left"/>
              <w:rPr>
                <w:rFonts w:ascii="宋体" w:hAnsi="宋体" w:cs="宋体"/>
                <w:kern w:val="0"/>
                <w:szCs w:val="21"/>
              </w:rPr>
            </w:pPr>
            <w:r>
              <w:rPr>
                <w:rFonts w:hint="eastAsia" w:ascii="宋体" w:hAnsi="宋体" w:cs="宋体"/>
                <w:kern w:val="0"/>
                <w:szCs w:val="21"/>
              </w:rPr>
              <w:t>15、最大</w:t>
            </w:r>
            <w:r>
              <w:rPr>
                <w:rFonts w:hint="eastAsia" w:ascii="Batang" w:hAnsi="Batang" w:eastAsia="Batang" w:cs="Batang"/>
                <w:kern w:val="0"/>
                <w:szCs w:val="21"/>
              </w:rPr>
              <w:t>拉力</w:t>
            </w:r>
            <w:r>
              <w:rPr>
                <w:rFonts w:ascii="宋体" w:hAnsi="宋体" w:cs="宋体"/>
                <w:kern w:val="0"/>
                <w:szCs w:val="21"/>
              </w:rPr>
              <w:t xml:space="preserve"> (</w:t>
            </w:r>
            <w:r>
              <w:rPr>
                <w:rFonts w:hint="eastAsia" w:ascii="宋体" w:hAnsi="宋体" w:cs="宋体"/>
                <w:kern w:val="0"/>
                <w:szCs w:val="21"/>
              </w:rPr>
              <w:t>安装）：</w:t>
            </w:r>
            <w:r>
              <w:rPr>
                <w:rFonts w:ascii="宋体" w:hAnsi="宋体" w:cs="宋体"/>
                <w:kern w:val="0"/>
                <w:szCs w:val="21"/>
              </w:rPr>
              <w:t>110N</w:t>
            </w:r>
            <w:r>
              <w:rPr>
                <w:rFonts w:hint="eastAsia" w:ascii="宋体" w:hAnsi="宋体" w:cs="宋体"/>
                <w:kern w:val="0"/>
                <w:szCs w:val="21"/>
              </w:rPr>
              <w:t>；</w:t>
            </w:r>
          </w:p>
          <w:p>
            <w:pPr>
              <w:widowControl/>
              <w:jc w:val="left"/>
              <w:rPr>
                <w:rFonts w:ascii="宋体" w:hAnsi="宋体" w:cs="宋体"/>
                <w:kern w:val="0"/>
                <w:szCs w:val="21"/>
              </w:rPr>
            </w:pPr>
            <w:r>
              <w:rPr>
                <w:rFonts w:hint="eastAsia" w:ascii="宋体" w:hAnsi="宋体" w:cs="宋体"/>
                <w:kern w:val="0"/>
                <w:szCs w:val="21"/>
              </w:rPr>
              <w:t>16、额定温度：-20 ℃ ~ +60 ℃；</w:t>
            </w:r>
          </w:p>
          <w:p>
            <w:pPr>
              <w:widowControl/>
              <w:jc w:val="left"/>
              <w:rPr>
                <w:rFonts w:ascii="宋体" w:hAnsi="宋体" w:cs="宋体"/>
                <w:kern w:val="0"/>
                <w:szCs w:val="21"/>
              </w:rPr>
            </w:pPr>
            <w:r>
              <w:rPr>
                <w:rFonts w:hint="eastAsia" w:ascii="宋体" w:hAnsi="宋体" w:cs="宋体"/>
                <w:kern w:val="0"/>
                <w:szCs w:val="21"/>
              </w:rPr>
              <w:t xml:space="preserve">17、供货时，出具链路第三方测试报告。 </w:t>
            </w:r>
          </w:p>
          <w:p>
            <w:pPr>
              <w:pStyle w:val="2"/>
            </w:pPr>
            <w:r>
              <w:rPr>
                <w:rFonts w:hint="eastAsia" w:ascii="宋体" w:hAnsi="宋体" w:cs="宋体"/>
                <w:b w:val="0"/>
                <w:bCs w:val="0"/>
                <w:kern w:val="0"/>
                <w:szCs w:val="21"/>
              </w:rPr>
              <w:t>18、完成与校园监控布线所需必备线材。</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6</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12芯光纤</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1项</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kern w:val="0"/>
                <w:szCs w:val="21"/>
              </w:rPr>
              <w:t>1、缆芯完全填充特种油膏，双面涂塑铝带（APL）确保了光缆防潮、阻水效果；</w:t>
            </w:r>
          </w:p>
          <w:p>
            <w:pPr>
              <w:widowControl/>
              <w:jc w:val="left"/>
              <w:rPr>
                <w:rFonts w:ascii="宋体" w:hAnsi="宋体" w:cs="宋体"/>
                <w:kern w:val="0"/>
                <w:szCs w:val="21"/>
              </w:rPr>
            </w:pPr>
            <w:r>
              <w:rPr>
                <w:rFonts w:hint="eastAsia" w:ascii="宋体" w:hAnsi="宋体" w:cs="宋体"/>
                <w:kern w:val="0"/>
                <w:szCs w:val="21"/>
              </w:rPr>
              <w:t>2、聚乙烯（PE）护套具有良好的抗紫外辐射性能，低损耗，低色散；</w:t>
            </w:r>
          </w:p>
          <w:p>
            <w:pPr>
              <w:widowControl/>
              <w:jc w:val="left"/>
              <w:rPr>
                <w:rFonts w:ascii="宋体" w:hAnsi="宋体" w:cs="宋体"/>
                <w:kern w:val="0"/>
                <w:szCs w:val="21"/>
              </w:rPr>
            </w:pPr>
            <w:r>
              <w:rPr>
                <w:rFonts w:hint="eastAsia" w:ascii="宋体" w:hAnsi="宋体" w:cs="宋体"/>
                <w:kern w:val="0"/>
                <w:szCs w:val="21"/>
              </w:rPr>
              <w:t>3、结构严密、抗弯曲性能良好；</w:t>
            </w:r>
          </w:p>
          <w:p>
            <w:pPr>
              <w:widowControl/>
              <w:jc w:val="left"/>
              <w:rPr>
                <w:rFonts w:ascii="宋体" w:hAnsi="宋体" w:cs="宋体"/>
                <w:kern w:val="0"/>
                <w:szCs w:val="21"/>
              </w:rPr>
            </w:pPr>
            <w:r>
              <w:rPr>
                <w:rFonts w:hint="eastAsia" w:ascii="宋体" w:hAnsi="宋体" w:cs="宋体"/>
                <w:kern w:val="0"/>
                <w:szCs w:val="21"/>
              </w:rPr>
              <w:t>4、精确的光纤余长控制和SZ绞合成缆方式；</w:t>
            </w:r>
          </w:p>
          <w:p>
            <w:pPr>
              <w:widowControl/>
              <w:jc w:val="left"/>
              <w:rPr>
                <w:rFonts w:ascii="宋体" w:hAnsi="宋体" w:cs="宋体"/>
                <w:kern w:val="0"/>
                <w:szCs w:val="21"/>
              </w:rPr>
            </w:pPr>
            <w:r>
              <w:rPr>
                <w:rFonts w:hint="eastAsia" w:ascii="宋体" w:hAnsi="宋体" w:cs="宋体"/>
                <w:kern w:val="0"/>
                <w:szCs w:val="21"/>
              </w:rPr>
              <w:t>5、保证了光缆具备卓越的机械及环境性能，</w:t>
            </w:r>
          </w:p>
          <w:p>
            <w:pPr>
              <w:widowControl/>
              <w:jc w:val="left"/>
              <w:rPr>
                <w:rFonts w:ascii="宋体" w:hAnsi="宋体" w:cs="宋体"/>
                <w:kern w:val="0"/>
                <w:szCs w:val="21"/>
              </w:rPr>
            </w:pPr>
            <w:r>
              <w:rPr>
                <w:rFonts w:hint="eastAsia" w:ascii="宋体" w:hAnsi="宋体" w:cs="宋体"/>
                <w:kern w:val="0"/>
                <w:szCs w:val="21"/>
              </w:rPr>
              <w:t>允许拉伸力：短期：1500N  长期：600N</w:t>
            </w:r>
          </w:p>
          <w:p>
            <w:pPr>
              <w:widowControl/>
              <w:jc w:val="left"/>
              <w:rPr>
                <w:rFonts w:ascii="宋体" w:hAnsi="宋体" w:cs="宋体"/>
                <w:kern w:val="0"/>
                <w:szCs w:val="21"/>
              </w:rPr>
            </w:pPr>
            <w:r>
              <w:rPr>
                <w:rFonts w:hint="eastAsia" w:ascii="宋体" w:hAnsi="宋体" w:cs="宋体"/>
                <w:kern w:val="0"/>
                <w:szCs w:val="21"/>
              </w:rPr>
              <w:t>允许侧压力：短期：1000N/100MM  长期：300N/100MM；</w:t>
            </w:r>
          </w:p>
          <w:p>
            <w:pPr>
              <w:widowControl/>
              <w:jc w:val="left"/>
              <w:rPr>
                <w:rFonts w:ascii="宋体" w:hAnsi="宋体" w:cs="宋体"/>
                <w:kern w:val="0"/>
                <w:szCs w:val="21"/>
              </w:rPr>
            </w:pPr>
            <w:r>
              <w:rPr>
                <w:rFonts w:hint="eastAsia" w:ascii="宋体" w:hAnsi="宋体" w:cs="宋体"/>
                <w:kern w:val="0"/>
                <w:szCs w:val="21"/>
              </w:rPr>
              <w:t>6、最小弯曲半径：静态：10倍缆径；动态：20倍缆径；</w:t>
            </w:r>
          </w:p>
          <w:p>
            <w:pPr>
              <w:widowControl/>
              <w:jc w:val="left"/>
              <w:rPr>
                <w:rFonts w:ascii="宋体" w:hAnsi="宋体" w:cs="宋体"/>
                <w:kern w:val="0"/>
                <w:szCs w:val="21"/>
              </w:rPr>
            </w:pPr>
            <w:r>
              <w:rPr>
                <w:rFonts w:hint="eastAsia" w:ascii="宋体" w:hAnsi="宋体" w:cs="宋体"/>
                <w:kern w:val="0"/>
                <w:szCs w:val="21"/>
              </w:rPr>
              <w:t>7、温度范围：储运、运行：-40℃~+70℃；8.敷设：-15℃~+60℃；</w:t>
            </w:r>
          </w:p>
          <w:p>
            <w:pPr>
              <w:widowControl/>
              <w:jc w:val="left"/>
              <w:rPr>
                <w:rFonts w:ascii="宋体" w:hAnsi="宋体" w:cs="宋体"/>
                <w:kern w:val="0"/>
                <w:szCs w:val="21"/>
              </w:rPr>
            </w:pPr>
            <w:r>
              <w:rPr>
                <w:rFonts w:hint="eastAsia" w:ascii="宋体" w:hAnsi="宋体" w:cs="宋体"/>
                <w:kern w:val="0"/>
                <w:szCs w:val="21"/>
              </w:rPr>
              <w:t>9、敷设方式：管道、架空；</w:t>
            </w:r>
          </w:p>
          <w:p>
            <w:pPr>
              <w:widowControl/>
              <w:jc w:val="left"/>
              <w:rPr>
                <w:rFonts w:ascii="宋体" w:hAnsi="宋体" w:cs="宋体"/>
                <w:kern w:val="0"/>
                <w:szCs w:val="21"/>
              </w:rPr>
            </w:pPr>
            <w:r>
              <w:rPr>
                <w:rFonts w:hint="eastAsia" w:ascii="宋体" w:hAnsi="宋体" w:cs="宋体"/>
                <w:kern w:val="0"/>
                <w:szCs w:val="21"/>
              </w:rPr>
              <w:t>10、供货时，出具第三方测试报告；</w:t>
            </w:r>
          </w:p>
          <w:p>
            <w:pPr>
              <w:widowControl/>
              <w:jc w:val="left"/>
              <w:rPr>
                <w:rFonts w:ascii="宋体" w:hAnsi="宋体" w:cs="宋体"/>
                <w:kern w:val="0"/>
                <w:szCs w:val="21"/>
              </w:rPr>
            </w:pPr>
            <w:r>
              <w:rPr>
                <w:rFonts w:hint="eastAsia" w:ascii="宋体" w:hAnsi="宋体" w:cs="宋体"/>
                <w:kern w:val="0"/>
                <w:szCs w:val="21"/>
              </w:rPr>
              <w:t>11、</w:t>
            </w:r>
            <w:r>
              <w:rPr>
                <w:rFonts w:hint="eastAsia" w:ascii="宋体" w:hAnsi="宋体" w:cs="宋体"/>
                <w:color w:val="FF0000"/>
                <w:kern w:val="0"/>
                <w:szCs w:val="21"/>
              </w:rPr>
              <w:t>完成与校园监控布线所需必备线材</w:t>
            </w:r>
            <w:r>
              <w:rPr>
                <w:rFonts w:hint="eastAsia" w:ascii="宋体" w:hAnsi="宋体" w:cs="宋体"/>
                <w:kern w:val="0"/>
                <w:szCs w:val="21"/>
              </w:rPr>
              <w:t>。</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7</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主干电源线</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1项</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kern w:val="0"/>
                <w:szCs w:val="21"/>
              </w:rPr>
              <w:t>1、产品执行标准：GB/T 5023.5-2008；                                   2、导体: 多股退火裸铜绞合；</w:t>
            </w:r>
          </w:p>
          <w:p>
            <w:pPr>
              <w:widowControl/>
              <w:jc w:val="left"/>
              <w:rPr>
                <w:rFonts w:ascii="宋体" w:hAnsi="宋体" w:cs="宋体"/>
                <w:kern w:val="0"/>
                <w:szCs w:val="21"/>
              </w:rPr>
            </w:pPr>
            <w:r>
              <w:rPr>
                <w:rFonts w:hint="eastAsia" w:ascii="宋体" w:hAnsi="宋体" w:cs="宋体"/>
                <w:kern w:val="0"/>
                <w:szCs w:val="21"/>
              </w:rPr>
              <w:t>3、绝缘: 聚氯乙烯 ；</w:t>
            </w:r>
          </w:p>
          <w:p>
            <w:pPr>
              <w:widowControl/>
              <w:jc w:val="left"/>
              <w:rPr>
                <w:rFonts w:ascii="宋体" w:hAnsi="宋体" w:cs="宋体"/>
                <w:kern w:val="0"/>
                <w:szCs w:val="21"/>
              </w:rPr>
            </w:pPr>
            <w:r>
              <w:rPr>
                <w:rFonts w:hint="eastAsia" w:ascii="宋体" w:hAnsi="宋体" w:cs="宋体"/>
                <w:kern w:val="0"/>
                <w:szCs w:val="21"/>
              </w:rPr>
              <w:t>4、护套: 聚氯乙烯 ；</w:t>
            </w:r>
          </w:p>
          <w:p>
            <w:pPr>
              <w:widowControl/>
              <w:jc w:val="left"/>
              <w:rPr>
                <w:rFonts w:ascii="宋体" w:hAnsi="宋体" w:cs="宋体"/>
                <w:kern w:val="0"/>
                <w:szCs w:val="21"/>
              </w:rPr>
            </w:pPr>
            <w:r>
              <w:rPr>
                <w:rFonts w:hint="eastAsia" w:ascii="宋体" w:hAnsi="宋体" w:cs="宋体"/>
                <w:kern w:val="0"/>
                <w:szCs w:val="21"/>
              </w:rPr>
              <w:t>5、额定电压: Uo/U为300/300V ；</w:t>
            </w:r>
          </w:p>
          <w:p>
            <w:pPr>
              <w:widowControl/>
              <w:jc w:val="left"/>
              <w:rPr>
                <w:rFonts w:ascii="宋体" w:hAnsi="宋体" w:cs="宋体"/>
                <w:kern w:val="0"/>
                <w:szCs w:val="21"/>
              </w:rPr>
            </w:pPr>
            <w:r>
              <w:rPr>
                <w:rFonts w:hint="eastAsia" w:ascii="宋体" w:hAnsi="宋体" w:cs="宋体"/>
                <w:kern w:val="0"/>
                <w:szCs w:val="21"/>
              </w:rPr>
              <w:t>6、额定温度: -20~70℃；</w:t>
            </w:r>
          </w:p>
          <w:p>
            <w:pPr>
              <w:widowControl/>
              <w:jc w:val="left"/>
              <w:rPr>
                <w:rFonts w:ascii="宋体" w:hAnsi="宋体" w:cs="宋体"/>
                <w:kern w:val="0"/>
                <w:szCs w:val="21"/>
              </w:rPr>
            </w:pPr>
            <w:r>
              <w:rPr>
                <w:rFonts w:hint="eastAsia" w:ascii="宋体" w:hAnsi="宋体" w:cs="宋体"/>
                <w:kern w:val="0"/>
                <w:szCs w:val="21"/>
              </w:rPr>
              <w:t>7、ISO9001质量体系认证、高新企业证书、3C认证，为保持系统稳定性，所用综合布线产品要求为同一品牌；</w:t>
            </w:r>
          </w:p>
          <w:p>
            <w:pPr>
              <w:widowControl/>
              <w:jc w:val="left"/>
              <w:rPr>
                <w:rFonts w:ascii="宋体" w:hAnsi="宋体" w:cs="宋体"/>
                <w:kern w:val="0"/>
                <w:szCs w:val="21"/>
              </w:rPr>
            </w:pPr>
            <w:r>
              <w:rPr>
                <w:rFonts w:hint="eastAsia" w:ascii="宋体" w:hAnsi="宋体" w:cs="宋体"/>
                <w:kern w:val="0"/>
                <w:szCs w:val="21"/>
              </w:rPr>
              <w:t>8、</w:t>
            </w:r>
            <w:r>
              <w:rPr>
                <w:rFonts w:hint="eastAsia" w:ascii="宋体" w:hAnsi="宋体" w:cs="宋体"/>
                <w:color w:val="FF0000"/>
                <w:kern w:val="0"/>
                <w:szCs w:val="21"/>
              </w:rPr>
              <w:t>完成与校园监控布线所需必备线材。</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8</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机柜</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1个</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kern w:val="0"/>
                <w:szCs w:val="21"/>
              </w:rPr>
              <w:t>1、符合标准：GB/T3047.2；</w:t>
            </w:r>
          </w:p>
          <w:p>
            <w:pPr>
              <w:widowControl/>
              <w:jc w:val="left"/>
              <w:rPr>
                <w:rFonts w:ascii="宋体" w:hAnsi="宋体" w:cs="宋体"/>
                <w:kern w:val="0"/>
                <w:szCs w:val="21"/>
              </w:rPr>
            </w:pPr>
            <w:r>
              <w:rPr>
                <w:rFonts w:hint="eastAsia" w:ascii="宋体" w:hAnsi="宋体" w:cs="宋体"/>
                <w:kern w:val="0"/>
                <w:szCs w:val="21"/>
              </w:rPr>
              <w:t>2、整柜采用优质高强度冷轧钢板；</w:t>
            </w:r>
          </w:p>
          <w:p>
            <w:pPr>
              <w:widowControl/>
              <w:jc w:val="left"/>
              <w:rPr>
                <w:rFonts w:ascii="宋体" w:hAnsi="宋体" w:cs="宋体"/>
                <w:kern w:val="0"/>
                <w:szCs w:val="21"/>
              </w:rPr>
            </w:pPr>
            <w:r>
              <w:rPr>
                <w:rFonts w:hint="eastAsia" w:ascii="宋体" w:hAnsi="宋体" w:cs="宋体"/>
                <w:kern w:val="0"/>
                <w:szCs w:val="21"/>
              </w:rPr>
              <w:t>3、表面采用防静电喷涂处理；</w:t>
            </w:r>
          </w:p>
          <w:p>
            <w:pPr>
              <w:widowControl/>
              <w:jc w:val="left"/>
              <w:rPr>
                <w:rFonts w:ascii="宋体" w:hAnsi="宋体" w:cs="宋体"/>
                <w:kern w:val="0"/>
                <w:szCs w:val="21"/>
              </w:rPr>
            </w:pPr>
            <w:r>
              <w:rPr>
                <w:rFonts w:hint="eastAsia" w:ascii="宋体" w:hAnsi="宋体" w:cs="宋体"/>
                <w:kern w:val="0"/>
                <w:szCs w:val="21"/>
              </w:rPr>
              <w:t>4、采用透气网孔门或玻璃门设计，外观高雅大方；</w:t>
            </w:r>
          </w:p>
          <w:p>
            <w:pPr>
              <w:widowControl/>
              <w:jc w:val="left"/>
              <w:rPr>
                <w:rFonts w:ascii="宋体" w:hAnsi="宋体" w:cs="宋体"/>
                <w:kern w:val="0"/>
                <w:szCs w:val="21"/>
              </w:rPr>
            </w:pPr>
            <w:r>
              <w:rPr>
                <w:rFonts w:hint="eastAsia" w:ascii="宋体" w:hAnsi="宋体" w:cs="宋体"/>
                <w:kern w:val="0"/>
                <w:szCs w:val="21"/>
              </w:rPr>
              <w:t>5、顶部自带散热风扇，更加有效的辅助设备散热；</w:t>
            </w:r>
          </w:p>
          <w:p>
            <w:pPr>
              <w:widowControl/>
              <w:jc w:val="left"/>
              <w:rPr>
                <w:rFonts w:ascii="宋体" w:hAnsi="宋体" w:cs="宋体"/>
                <w:kern w:val="0"/>
                <w:szCs w:val="21"/>
              </w:rPr>
            </w:pPr>
            <w:r>
              <w:rPr>
                <w:rFonts w:hint="eastAsia" w:ascii="宋体" w:hAnsi="宋体" w:cs="宋体"/>
                <w:kern w:val="0"/>
                <w:szCs w:val="21"/>
              </w:rPr>
              <w:t>6、外观尺寸约：高500mm*宽600mm*深450mm，通用性强，结构科学，符合国际标准；</w:t>
            </w:r>
          </w:p>
          <w:p>
            <w:pPr>
              <w:widowControl/>
              <w:jc w:val="left"/>
              <w:rPr>
                <w:rFonts w:ascii="宋体" w:hAnsi="宋体" w:cs="宋体"/>
                <w:kern w:val="0"/>
                <w:szCs w:val="21"/>
              </w:rPr>
            </w:pPr>
            <w:r>
              <w:rPr>
                <w:rFonts w:hint="eastAsia" w:ascii="宋体" w:hAnsi="宋体" w:cs="宋体"/>
                <w:kern w:val="0"/>
                <w:szCs w:val="21"/>
              </w:rPr>
              <w:t>7、高强度承重设计，进线位置可按需求封闭；</w:t>
            </w:r>
          </w:p>
          <w:p>
            <w:pPr>
              <w:widowControl/>
              <w:jc w:val="left"/>
              <w:rPr>
                <w:rFonts w:ascii="宋体" w:hAnsi="宋体" w:cs="宋体"/>
                <w:kern w:val="0"/>
                <w:szCs w:val="21"/>
              </w:rPr>
            </w:pPr>
            <w:r>
              <w:rPr>
                <w:rFonts w:hint="eastAsia" w:ascii="宋体" w:hAnsi="宋体" w:cs="宋体"/>
                <w:kern w:val="0"/>
                <w:szCs w:val="21"/>
              </w:rPr>
              <w:t>8、正门、后门、侧门全拆式组合结构便于施工安装；</w:t>
            </w:r>
          </w:p>
          <w:p>
            <w:pPr>
              <w:widowControl/>
              <w:jc w:val="left"/>
              <w:rPr>
                <w:rFonts w:ascii="宋体" w:hAnsi="宋体" w:cs="宋体"/>
                <w:kern w:val="0"/>
                <w:szCs w:val="21"/>
              </w:rPr>
            </w:pPr>
            <w:r>
              <w:rPr>
                <w:rFonts w:hint="eastAsia" w:ascii="宋体" w:hAnsi="宋体" w:cs="宋体"/>
                <w:kern w:val="0"/>
                <w:szCs w:val="21"/>
              </w:rPr>
              <w:t>9、额定温度：-20 ℃ ~ +70 ℃。</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9</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视频会议终端</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1台</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rPr>
              <w:t>★</w:t>
            </w:r>
            <w:r>
              <w:t>1、采用嵌入式一体化结构设计，非PC、工控机架构，集成编解码器、麦克风、摄像头等，方便安装部署。所投产品必须与现网运行的华为MCU VP9650视频会议系统兼容，供货前必须做互联互通测试，测试通过后才视为满足招标要求；</w:t>
            </w:r>
            <w:r>
              <w:br w:type="textWrapping"/>
            </w:r>
            <w:r>
              <w:t>2、支持ITU-T H.323和IETF SIP协议，具有良好的兼容性和开放性；</w:t>
            </w:r>
            <w:r>
              <w:br w:type="textWrapping"/>
            </w:r>
            <w:r>
              <w:t>3、最大呼叫宽带不低于4Mbps接入速率；</w:t>
            </w:r>
            <w:r>
              <w:br w:type="textWrapping"/>
            </w:r>
            <w:r>
              <w:t>4、支持H.264 BP、H.264HP等图像编码协议； </w:t>
            </w:r>
            <w:r>
              <w:br w:type="textWrapping"/>
            </w:r>
            <w:r>
              <w:t>5、支持G.711A、G.711U、G.722、G.722.1C、G.729A、AAC-LD等音频协议；</w:t>
            </w:r>
            <w:r>
              <w:br w:type="textWrapping"/>
            </w:r>
            <w:r>
              <w:t>6、提供至少2路高清视频输入、至少2路高清视频输出，至少支持以下接口：HDMI、VGA；</w:t>
            </w:r>
            <w:r>
              <w:br w:type="textWrapping"/>
            </w:r>
            <w:r>
              <w:t>7、内置全高清摄像机，不低于210万像素，1/2.8英寸CMOS，支持1080P 30fps视频图像采集；摄像机支持不小于5倍光学变焦，水平视角不小于80°（外接摄像头广角镜视为不支持）；</w:t>
            </w:r>
            <w:r>
              <w:br w:type="textWrapping"/>
            </w:r>
            <w:r>
              <w:rPr>
                <w:rFonts w:hint="eastAsia" w:ascii="宋体" w:hAnsi="宋体" w:cs="宋体"/>
              </w:rPr>
              <w:t>★</w:t>
            </w:r>
            <w:r>
              <w:t>8、具备良好的网络适应性，30%的网络丢包下,图像流畅、清晰、无卡顿、无马赛克现象，确保会议正常进行；</w:t>
            </w:r>
            <w:r>
              <w:br w:type="textWrapping"/>
            </w:r>
            <w:r>
              <w:t>9、512Kbps会议带宽下，实现1080P30帧图像格式编解码；384Kbps会议带宽下，实现720P30帧图像格式编解码；</w:t>
            </w:r>
            <w:r>
              <w:br w:type="textWrapping"/>
            </w:r>
            <w:r>
              <w:t>10、支持终端申请主席，实现观看会场、广播会场、呼叫/挂断会场、添加会场、会场麦克风开关、延长会议、释放主席等功能；</w:t>
            </w:r>
            <w:r>
              <w:br w:type="textWrapping"/>
            </w:r>
            <w:r>
              <w:t>11、支持断线重呼功能，能对会议中掉线的终端自动重新呼叫； </w:t>
            </w:r>
            <w:r>
              <w:br w:type="textWrapping"/>
            </w:r>
            <w:r>
              <w:t>12、支持LDAP网络地址本及本地地址本导入导出功能；</w:t>
            </w:r>
            <w:r>
              <w:br w:type="textWrapping"/>
            </w:r>
            <w:r>
              <w:rPr>
                <w:rFonts w:hint="eastAsia" w:ascii="宋体" w:hAnsi="宋体" w:cs="宋体"/>
              </w:rPr>
              <w:t>★</w:t>
            </w:r>
            <w:r>
              <w:t>13、提供二次开发，支持通过USB接口自动导入配置功能，方便设备的安装部署； </w:t>
            </w:r>
            <w:r>
              <w:br w:type="textWrapping"/>
            </w:r>
            <w:r>
              <w:rPr>
                <w:rFonts w:hint="eastAsia" w:ascii="宋体" w:hAnsi="宋体" w:cs="宋体"/>
              </w:rPr>
              <w:t>★</w:t>
            </w:r>
            <w:r>
              <w:rPr>
                <w:color w:val="auto"/>
              </w:rPr>
              <w:t>14、提供原厂</w:t>
            </w:r>
            <w:r>
              <w:rPr>
                <w:rFonts w:hint="eastAsia"/>
                <w:color w:val="auto"/>
              </w:rPr>
              <w:t>三</w:t>
            </w:r>
            <w:r>
              <w:rPr>
                <w:color w:val="auto"/>
              </w:rPr>
              <w:t>年质保服务。</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10</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配件辅材及管材</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1项</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kern w:val="0"/>
                <w:szCs w:val="21"/>
              </w:rPr>
              <w:t>安装辅材、立杆、光纤熔接、PVC管材、尾纤跳线、终端盒、耦合器、插座、网络接头、钢丝绳、摄像机支架、空开、水泥沙浆及扎带等</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79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11</w:t>
            </w:r>
          </w:p>
        </w:tc>
        <w:tc>
          <w:tcPr>
            <w:tcW w:w="134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施工及安装调试</w:t>
            </w:r>
          </w:p>
        </w:tc>
        <w:tc>
          <w:tcPr>
            <w:tcW w:w="794"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1项</w:t>
            </w:r>
          </w:p>
        </w:tc>
        <w:tc>
          <w:tcPr>
            <w:tcW w:w="1075" w:type="dxa"/>
            <w:noWrap/>
            <w:tcMar>
              <w:left w:w="108" w:type="dxa"/>
              <w:right w:w="108" w:type="dxa"/>
            </w:tcMar>
            <w:vAlign w:val="center"/>
          </w:tcPr>
          <w:p>
            <w:pPr>
              <w:widowControl/>
              <w:jc w:val="center"/>
              <w:rPr>
                <w:rFonts w:ascii="宋体" w:hAnsi="宋体" w:cs="宋体"/>
                <w:kern w:val="0"/>
                <w:szCs w:val="21"/>
              </w:rPr>
            </w:pPr>
          </w:p>
        </w:tc>
        <w:tc>
          <w:tcPr>
            <w:tcW w:w="4368" w:type="dxa"/>
            <w:noWrap/>
          </w:tcPr>
          <w:p>
            <w:pPr>
              <w:widowControl/>
              <w:jc w:val="left"/>
              <w:rPr>
                <w:rFonts w:ascii="宋体" w:hAnsi="宋体" w:cs="宋体"/>
                <w:kern w:val="0"/>
                <w:szCs w:val="21"/>
              </w:rPr>
            </w:pPr>
            <w:r>
              <w:rPr>
                <w:rFonts w:hint="eastAsia" w:ascii="宋体" w:hAnsi="宋体" w:cs="宋体"/>
                <w:kern w:val="0"/>
                <w:szCs w:val="21"/>
              </w:rPr>
              <w:t>1、线路施工及设备安装调试等；</w:t>
            </w:r>
          </w:p>
          <w:p>
            <w:pPr>
              <w:widowControl/>
              <w:jc w:val="left"/>
              <w:rPr>
                <w:rFonts w:ascii="宋体" w:hAnsi="宋体" w:cs="宋体"/>
                <w:kern w:val="0"/>
                <w:szCs w:val="21"/>
              </w:rPr>
            </w:pPr>
            <w:r>
              <w:rPr>
                <w:rFonts w:hint="eastAsia" w:ascii="宋体" w:hAnsi="宋体" w:cs="宋体"/>
                <w:kern w:val="0"/>
                <w:szCs w:val="21"/>
              </w:rPr>
              <w:t>2、施工附件，PVC管、水晶头、耦合器、防水胶带、螺钉，电源线，信号线、网线、水晶头等、防尘手套等；</w:t>
            </w:r>
          </w:p>
          <w:p>
            <w:pPr>
              <w:widowControl/>
              <w:jc w:val="left"/>
              <w:rPr>
                <w:rFonts w:ascii="宋体" w:hAnsi="宋体" w:cs="宋体"/>
                <w:kern w:val="0"/>
                <w:szCs w:val="21"/>
              </w:rPr>
            </w:pPr>
            <w:r>
              <w:rPr>
                <w:rFonts w:hint="eastAsia" w:ascii="宋体" w:hAnsi="宋体" w:cs="宋体"/>
                <w:kern w:val="0"/>
                <w:szCs w:val="21"/>
              </w:rPr>
              <w:t>3、网络以机房为中心，星型辐射到各楼宇铺设（包括挖沟回填，水泥路面开沟回填米穿管辅设及挂钢丝绳架空辅设）；</w:t>
            </w:r>
          </w:p>
          <w:p>
            <w:pPr>
              <w:widowControl/>
              <w:jc w:val="left"/>
              <w:rPr>
                <w:rFonts w:ascii="宋体" w:hAnsi="宋体" w:cs="宋体"/>
                <w:kern w:val="0"/>
                <w:szCs w:val="21"/>
              </w:rPr>
            </w:pPr>
            <w:r>
              <w:rPr>
                <w:rFonts w:hint="eastAsia" w:ascii="宋体" w:hAnsi="宋体" w:cs="宋体"/>
                <w:kern w:val="0"/>
                <w:szCs w:val="21"/>
              </w:rPr>
              <w:t>4、所有线路如要经过地面时要敷设耐踩耐踢的线槽，所有弯角不得有锐利突出，强弱电分槽敷设，安装整齐美观、牢靠/在机柜内对绞电缆预留和长度至少1米，在机柜内应对缆线进行绑扎。</w:t>
            </w:r>
          </w:p>
          <w:p>
            <w:pPr>
              <w:widowControl/>
              <w:jc w:val="left"/>
              <w:rPr>
                <w:rFonts w:ascii="宋体" w:hAnsi="宋体" w:cs="宋体"/>
                <w:kern w:val="0"/>
                <w:szCs w:val="21"/>
              </w:rPr>
            </w:pPr>
            <w:r>
              <w:rPr>
                <w:rFonts w:hint="eastAsia" w:ascii="宋体" w:hAnsi="宋体" w:cs="宋体"/>
                <w:kern w:val="0"/>
                <w:szCs w:val="21"/>
              </w:rPr>
              <w:t>5、根据现场人员通道安装配套所需的道路防护栏；</w:t>
            </w:r>
          </w:p>
          <w:p>
            <w:pPr>
              <w:widowControl/>
              <w:jc w:val="left"/>
              <w:rPr>
                <w:rFonts w:ascii="宋体" w:hAnsi="宋体" w:cs="宋体"/>
                <w:kern w:val="0"/>
                <w:szCs w:val="21"/>
              </w:rPr>
            </w:pPr>
            <w:r>
              <w:rPr>
                <w:rFonts w:hint="eastAsia" w:ascii="宋体" w:hAnsi="宋体" w:cs="宋体"/>
                <w:kern w:val="0"/>
                <w:szCs w:val="21"/>
              </w:rPr>
              <w:t>6、各类配线部件安装要求如下：各部件应完整，安装就位，标志齐全；安装螺丝必须拧紧，面板应保持在一个平面上；信息模块通用插座安装要求如下：信息模块式通用插座底座盒的固定方法按施工现场条件而定，宜采用预置扩张螺丝钉固定等方式。 固定螺丝需拧紧，不应产生松动现象。各种插座面板应有标识。</w:t>
            </w:r>
          </w:p>
          <w:p>
            <w:pPr>
              <w:widowControl/>
              <w:jc w:val="left"/>
              <w:rPr>
                <w:rFonts w:ascii="宋体" w:hAnsi="宋体" w:cs="宋体"/>
                <w:kern w:val="0"/>
                <w:szCs w:val="21"/>
              </w:rPr>
            </w:pPr>
            <w:r>
              <w:rPr>
                <w:rFonts w:hint="eastAsia" w:ascii="宋体" w:hAnsi="宋体" w:cs="宋体"/>
                <w:kern w:val="0"/>
                <w:szCs w:val="21"/>
              </w:rPr>
              <w:t>★7、宿舍的2个铁丝网门需要重新制作成铁杆门，颜色与原隔离网一致，材质为方通。安装好铁杆门后须把原来的人脸识别门禁一体机复原。</w:t>
            </w:r>
          </w:p>
          <w:p>
            <w:pPr>
              <w:widowControl/>
              <w:jc w:val="left"/>
              <w:rPr>
                <w:rFonts w:ascii="宋体" w:hAnsi="宋体" w:cs="宋体"/>
                <w:kern w:val="0"/>
                <w:szCs w:val="21"/>
              </w:rPr>
            </w:pPr>
            <w:r>
              <w:rPr>
                <w:rFonts w:hint="eastAsia" w:ascii="宋体" w:hAnsi="宋体" w:cs="宋体"/>
                <w:kern w:val="0"/>
                <w:szCs w:val="21"/>
              </w:rPr>
              <w:t>★8、</w:t>
            </w:r>
            <w:r>
              <w:t>本项目涉及到网线的均采用六类线或以上线材</w:t>
            </w:r>
            <w:r>
              <w:rPr>
                <w:rFonts w:hint="eastAsia"/>
              </w:rPr>
              <w:t>。</w:t>
            </w:r>
          </w:p>
        </w:tc>
        <w:tc>
          <w:tcPr>
            <w:tcW w:w="1053" w:type="dxa"/>
            <w:noWrap/>
            <w:tcMar>
              <w:left w:w="108"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36800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7" w:hRule="atLeast"/>
          <w:jc w:val="center"/>
        </w:trPr>
        <w:tc>
          <w:tcPr>
            <w:tcW w:w="793" w:type="dxa"/>
            <w:noWrap/>
            <w:tcMar>
              <w:left w:w="108" w:type="dxa"/>
              <w:right w:w="108" w:type="dxa"/>
            </w:tcMar>
            <w:vAlign w:val="center"/>
          </w:tcPr>
          <w:p>
            <w:pPr>
              <w:widowControl/>
              <w:jc w:val="center"/>
              <w:rPr>
                <w:rFonts w:ascii="宋体" w:hAnsi="宋体" w:cs="宋体"/>
                <w:b/>
                <w:szCs w:val="21"/>
              </w:rPr>
            </w:pPr>
            <w:r>
              <w:rPr>
                <w:rFonts w:hint="eastAsia" w:ascii="宋体" w:hAnsi="宋体" w:cs="宋体"/>
                <w:b/>
                <w:kern w:val="0"/>
                <w:szCs w:val="21"/>
              </w:rPr>
              <w:t>商务条款</w:t>
            </w:r>
          </w:p>
        </w:tc>
        <w:tc>
          <w:tcPr>
            <w:tcW w:w="8634" w:type="dxa"/>
            <w:gridSpan w:val="5"/>
            <w:noWrap/>
          </w:tcPr>
          <w:p>
            <w:pPr>
              <w:tabs>
                <w:tab w:val="left" w:pos="9040"/>
              </w:tabs>
              <w:jc w:val="left"/>
              <w:rPr>
                <w:rFonts w:ascii="宋体" w:hAnsi="宋体" w:cs="宋体"/>
                <w:kern w:val="0"/>
                <w:szCs w:val="21"/>
              </w:rPr>
            </w:pPr>
            <w:r>
              <w:rPr>
                <w:rFonts w:hint="eastAsia" w:ascii="宋体" w:hAnsi="宋体" w:cs="宋体"/>
                <w:kern w:val="0"/>
                <w:szCs w:val="21"/>
              </w:rPr>
              <w:t>一、合同签订期：自成交通知书发出之日起3个工作日内。</w:t>
            </w:r>
          </w:p>
          <w:p>
            <w:pPr>
              <w:tabs>
                <w:tab w:val="left" w:pos="9040"/>
              </w:tabs>
              <w:jc w:val="left"/>
              <w:rPr>
                <w:rFonts w:ascii="宋体" w:hAnsi="宋体" w:cs="宋体"/>
                <w:kern w:val="0"/>
                <w:szCs w:val="21"/>
              </w:rPr>
            </w:pPr>
            <w:r>
              <w:rPr>
                <w:rFonts w:hint="eastAsia" w:ascii="宋体" w:hAnsi="宋体" w:cs="宋体"/>
                <w:kern w:val="0"/>
                <w:szCs w:val="21"/>
              </w:rPr>
              <w:t>★二、交货时间：自合同签订之日起7天内全部系统安装完毕并验收完成。</w:t>
            </w:r>
          </w:p>
          <w:p>
            <w:pPr>
              <w:tabs>
                <w:tab w:val="left" w:pos="9040"/>
              </w:tabs>
              <w:jc w:val="left"/>
              <w:rPr>
                <w:rFonts w:ascii="宋体" w:hAnsi="宋体" w:cs="宋体"/>
                <w:kern w:val="0"/>
                <w:szCs w:val="21"/>
              </w:rPr>
            </w:pPr>
            <w:r>
              <w:rPr>
                <w:rFonts w:hint="eastAsia" w:ascii="宋体" w:hAnsi="宋体" w:cs="宋体"/>
                <w:kern w:val="0"/>
                <w:szCs w:val="21"/>
              </w:rPr>
              <w:t>三、交货地点：采购人指定地点；</w:t>
            </w:r>
          </w:p>
          <w:p>
            <w:pPr>
              <w:tabs>
                <w:tab w:val="left" w:pos="9040"/>
              </w:tabs>
              <w:jc w:val="left"/>
              <w:rPr>
                <w:rFonts w:ascii="宋体" w:hAnsi="宋体" w:cs="宋体"/>
                <w:kern w:val="0"/>
                <w:szCs w:val="21"/>
              </w:rPr>
            </w:pPr>
            <w:r>
              <w:rPr>
                <w:rFonts w:hint="eastAsia" w:ascii="宋体" w:hAnsi="宋体" w:cs="宋体"/>
                <w:kern w:val="0"/>
                <w:szCs w:val="21"/>
              </w:rPr>
              <w:t>四、交货方式：现场交货。</w:t>
            </w:r>
          </w:p>
          <w:p>
            <w:pPr>
              <w:tabs>
                <w:tab w:val="left" w:pos="9040"/>
              </w:tabs>
              <w:jc w:val="left"/>
              <w:rPr>
                <w:rFonts w:ascii="宋体" w:hAnsi="宋体" w:cs="宋体"/>
                <w:kern w:val="0"/>
                <w:szCs w:val="21"/>
              </w:rPr>
            </w:pPr>
            <w:r>
              <w:rPr>
                <w:rFonts w:hint="eastAsia" w:ascii="宋体" w:hAnsi="宋体" w:cs="宋体"/>
                <w:kern w:val="0"/>
                <w:szCs w:val="21"/>
              </w:rPr>
              <w:t>五、售后服务要求：</w:t>
            </w:r>
          </w:p>
          <w:p>
            <w:pPr>
              <w:tabs>
                <w:tab w:val="left" w:pos="9040"/>
              </w:tabs>
              <w:jc w:val="left"/>
              <w:rPr>
                <w:rFonts w:hint="eastAsia" w:ascii="宋体" w:hAnsi="宋体" w:cs="宋体"/>
                <w:kern w:val="0"/>
                <w:szCs w:val="21"/>
              </w:rPr>
            </w:pPr>
            <w:r>
              <w:rPr>
                <w:rFonts w:hint="eastAsia" w:ascii="宋体" w:hAnsi="宋体" w:cs="宋体"/>
                <w:kern w:val="0"/>
                <w:szCs w:val="21"/>
              </w:rPr>
              <w:t>★1、自最终验收合格之日起计，整体系统集成项目质保期为</w:t>
            </w:r>
            <w:r>
              <w:rPr>
                <w:rFonts w:hint="eastAsia" w:ascii="宋体" w:hAnsi="宋体" w:cs="宋体"/>
                <w:kern w:val="0"/>
                <w:szCs w:val="21"/>
                <w:u w:val="single"/>
              </w:rPr>
              <w:t>3</w:t>
            </w:r>
            <w:r>
              <w:rPr>
                <w:rFonts w:hint="eastAsia" w:ascii="宋体" w:hAnsi="宋体" w:cs="宋体"/>
                <w:kern w:val="0"/>
                <w:szCs w:val="21"/>
              </w:rPr>
              <w:t>年。质保期内</w:t>
            </w:r>
            <w:r>
              <w:rPr>
                <w:rFonts w:hint="eastAsia" w:ascii="宋体" w:hAnsi="宋体" w:cs="宋体"/>
                <w:szCs w:val="21"/>
              </w:rPr>
              <w:t>成交供应商提供</w:t>
            </w:r>
            <w:r>
              <w:rPr>
                <w:rFonts w:hint="eastAsia" w:ascii="宋体" w:hAnsi="宋体" w:cs="宋体"/>
                <w:kern w:val="0"/>
                <w:szCs w:val="21"/>
              </w:rPr>
              <w:t>上门维修及定期巡检</w:t>
            </w:r>
            <w:r>
              <w:rPr>
                <w:rFonts w:hint="eastAsia" w:ascii="宋体" w:hAnsi="宋体" w:cs="宋体"/>
                <w:szCs w:val="21"/>
              </w:rPr>
              <w:t>服务，相关费用含在总报价中，不另行列出</w:t>
            </w:r>
            <w:r>
              <w:rPr>
                <w:rFonts w:hint="eastAsia" w:ascii="宋体" w:hAnsi="宋体"/>
                <w:szCs w:val="21"/>
              </w:rPr>
              <w:t>，若厂家质保期超过此年限的，合同履行过程中按厂家规定执行。</w:t>
            </w:r>
          </w:p>
          <w:p>
            <w:pPr>
              <w:tabs>
                <w:tab w:val="left" w:pos="9040"/>
              </w:tabs>
              <w:jc w:val="left"/>
              <w:rPr>
                <w:rFonts w:ascii="宋体" w:hAnsi="宋体" w:cs="宋体"/>
                <w:kern w:val="0"/>
                <w:szCs w:val="21"/>
              </w:rPr>
            </w:pPr>
            <w:r>
              <w:rPr>
                <w:rFonts w:hint="eastAsia" w:ascii="宋体" w:hAnsi="宋体" w:cs="宋体"/>
                <w:kern w:val="0"/>
                <w:szCs w:val="21"/>
              </w:rPr>
              <w:t>2、培训要求：</w:t>
            </w:r>
          </w:p>
          <w:p>
            <w:pPr>
              <w:tabs>
                <w:tab w:val="left" w:pos="9040"/>
              </w:tabs>
              <w:jc w:val="left"/>
              <w:rPr>
                <w:rFonts w:ascii="宋体" w:hAnsi="宋体" w:cs="宋体"/>
                <w:kern w:val="0"/>
                <w:szCs w:val="21"/>
              </w:rPr>
            </w:pPr>
            <w:r>
              <w:rPr>
                <w:rFonts w:hint="eastAsia" w:ascii="宋体" w:hAnsi="宋体" w:cs="宋体"/>
                <w:kern w:val="0"/>
                <w:szCs w:val="21"/>
              </w:rPr>
              <w:t>（1）在系统实施完成后，根据采购人要求，成交供应商提供不同设备或系统相关的业务培训，相关培训费用含在总报价中，不另行列出，响应文件中提供详细的人员培训方案。</w:t>
            </w:r>
          </w:p>
          <w:p>
            <w:pPr>
              <w:tabs>
                <w:tab w:val="left" w:pos="9040"/>
              </w:tabs>
              <w:jc w:val="left"/>
              <w:rPr>
                <w:rFonts w:ascii="宋体" w:hAnsi="宋体" w:cs="宋体"/>
                <w:kern w:val="0"/>
                <w:szCs w:val="21"/>
              </w:rPr>
            </w:pPr>
            <w:r>
              <w:rPr>
                <w:rFonts w:hint="eastAsia" w:ascii="宋体" w:hAnsi="宋体" w:cs="宋体"/>
                <w:kern w:val="0"/>
                <w:szCs w:val="21"/>
              </w:rPr>
              <w:t>（2）</w:t>
            </w:r>
            <w:r>
              <w:rPr>
                <w:rFonts w:hint="eastAsia" w:ascii="宋体" w:hAnsi="宋体" w:cs="宋体"/>
                <w:szCs w:val="21"/>
              </w:rPr>
              <w:t>成交供应商</w:t>
            </w:r>
            <w:r>
              <w:rPr>
                <w:rFonts w:hint="eastAsia" w:ascii="宋体" w:hAnsi="宋体" w:cs="宋体"/>
                <w:kern w:val="0"/>
                <w:szCs w:val="21"/>
              </w:rPr>
              <w:t>对采购人的管理人员、应用使用人员进行集中培训，确保参与培训人员，能够理解系统原理、系统功能，熟练掌握系统操作流程、常用功能等应用，能熟练掌握硬件设备的安装、使用，能掌握硬件设备运维技巧</w:t>
            </w:r>
            <w:r>
              <w:rPr>
                <w:rFonts w:hint="eastAsia" w:ascii="宋体" w:hAnsi="宋体" w:cs="宋体"/>
                <w:szCs w:val="21"/>
              </w:rPr>
              <w:t>；相关培训费用含在总报价中，不另行列出</w:t>
            </w:r>
            <w:r>
              <w:rPr>
                <w:rFonts w:hint="eastAsia" w:ascii="宋体" w:hAnsi="宋体" w:cs="宋体"/>
                <w:kern w:val="0"/>
                <w:szCs w:val="21"/>
              </w:rPr>
              <w:t>。</w:t>
            </w:r>
          </w:p>
          <w:p>
            <w:pPr>
              <w:tabs>
                <w:tab w:val="left" w:pos="9040"/>
              </w:tabs>
              <w:jc w:val="left"/>
              <w:rPr>
                <w:rFonts w:ascii="宋体" w:hAnsi="宋体" w:cs="宋体"/>
                <w:kern w:val="0"/>
                <w:szCs w:val="21"/>
              </w:rPr>
            </w:pPr>
            <w:r>
              <w:rPr>
                <w:rFonts w:hint="eastAsia" w:ascii="宋体" w:hAnsi="宋体" w:cs="宋体"/>
                <w:kern w:val="0"/>
                <w:szCs w:val="21"/>
              </w:rPr>
              <w:t>（3）培训地点、培训时间和期限由本项目采购人根据需要确定。</w:t>
            </w:r>
          </w:p>
          <w:p>
            <w:pPr>
              <w:tabs>
                <w:tab w:val="left" w:pos="9040"/>
              </w:tabs>
              <w:jc w:val="left"/>
              <w:rPr>
                <w:rFonts w:hint="eastAsia" w:ascii="宋体" w:hAnsi="宋体" w:cs="宋体"/>
                <w:kern w:val="0"/>
                <w:szCs w:val="21"/>
              </w:rPr>
            </w:pPr>
            <w:r>
              <w:rPr>
                <w:rFonts w:hint="eastAsia" w:ascii="宋体" w:hAnsi="宋体" w:cs="宋体"/>
                <w:kern w:val="0"/>
                <w:szCs w:val="21"/>
              </w:rPr>
              <w:t>3、本地化服务内容（包含但不限于）：</w:t>
            </w:r>
          </w:p>
          <w:p>
            <w:pPr>
              <w:pStyle w:val="2"/>
              <w:rPr>
                <w:b w:val="0"/>
                <w:color w:val="auto"/>
              </w:rPr>
            </w:pPr>
            <w:r>
              <w:rPr>
                <w:rFonts w:hint="eastAsia" w:ascii="宋体" w:hAnsi="宋体" w:cs="宋体"/>
                <w:b w:val="0"/>
                <w:color w:val="FF0000"/>
                <w:kern w:val="0"/>
                <w:szCs w:val="21"/>
              </w:rPr>
              <w:t xml:space="preserve"> </w:t>
            </w:r>
            <w:r>
              <w:rPr>
                <w:rFonts w:hint="eastAsia" w:ascii="宋体" w:hAnsi="宋体" w:cs="宋体"/>
                <w:kern w:val="0"/>
                <w:szCs w:val="21"/>
              </w:rPr>
              <w:t>★</w:t>
            </w:r>
            <w:r>
              <w:rPr>
                <w:rFonts w:hint="eastAsia" w:ascii="宋体" w:hAnsi="宋体" w:cs="宋体"/>
                <w:b w:val="0"/>
                <w:color w:val="auto"/>
                <w:kern w:val="0"/>
                <w:szCs w:val="21"/>
              </w:rPr>
              <w:t>(1)本地化服务能力:投标人在本市设有售后服务机构，可以是投标人公司或分支机构或授权的售后服务机构(提供售后服务协议复印件) ,提供相关证明文件复印件。</w:t>
            </w:r>
          </w:p>
          <w:p>
            <w:pPr>
              <w:tabs>
                <w:tab w:val="left" w:pos="9040"/>
              </w:tabs>
              <w:jc w:val="left"/>
              <w:rPr>
                <w:rFonts w:ascii="宋体" w:hAnsi="宋体" w:cs="宋体"/>
                <w:kern w:val="0"/>
                <w:szCs w:val="21"/>
              </w:rPr>
            </w:pPr>
            <w:r>
              <w:rPr>
                <w:rFonts w:hint="eastAsia" w:ascii="宋体" w:hAnsi="宋体" w:cs="宋体"/>
                <w:kern w:val="0"/>
                <w:szCs w:val="21"/>
              </w:rPr>
              <w:t>（2）质保期内，成交供应商对项目出现的各类问题进行修复、完善和升级</w:t>
            </w:r>
            <w:r>
              <w:rPr>
                <w:rFonts w:hint="eastAsia" w:ascii="宋体" w:hAnsi="宋体" w:cs="宋体"/>
                <w:szCs w:val="21"/>
              </w:rPr>
              <w:t>，相关费用含在总报价中，不另行列出</w:t>
            </w:r>
            <w:r>
              <w:rPr>
                <w:rFonts w:hint="eastAsia" w:ascii="宋体" w:hAnsi="宋体" w:cs="宋体"/>
                <w:kern w:val="0"/>
                <w:szCs w:val="21"/>
              </w:rPr>
              <w:t>。</w:t>
            </w:r>
          </w:p>
          <w:p>
            <w:pPr>
              <w:tabs>
                <w:tab w:val="left" w:pos="9040"/>
              </w:tabs>
              <w:jc w:val="left"/>
              <w:rPr>
                <w:rFonts w:ascii="宋体" w:hAnsi="宋体" w:cs="宋体"/>
                <w:kern w:val="0"/>
                <w:szCs w:val="21"/>
              </w:rPr>
            </w:pPr>
            <w:r>
              <w:rPr>
                <w:rFonts w:hint="eastAsia" w:ascii="宋体" w:hAnsi="宋体" w:cs="宋体"/>
                <w:kern w:val="0"/>
                <w:szCs w:val="21"/>
              </w:rPr>
              <w:t>（3）按照国家有关规定实行“三包”，质保期内</w:t>
            </w:r>
            <w:r>
              <w:rPr>
                <w:rFonts w:hint="eastAsia" w:ascii="宋体" w:hAnsi="宋体" w:cs="宋体"/>
                <w:szCs w:val="21"/>
              </w:rPr>
              <w:t>成交供应商提供</w:t>
            </w:r>
            <w:r>
              <w:rPr>
                <w:rFonts w:hint="eastAsia" w:ascii="宋体" w:hAnsi="宋体" w:cs="宋体"/>
                <w:kern w:val="0"/>
                <w:szCs w:val="21"/>
              </w:rPr>
              <w:t>上门服务维修和备品备件更换服务</w:t>
            </w:r>
            <w:r>
              <w:rPr>
                <w:rFonts w:hint="eastAsia" w:ascii="宋体" w:hAnsi="宋体" w:cs="宋体"/>
                <w:szCs w:val="21"/>
              </w:rPr>
              <w:t>，相关费用含在总报价中，不另行列出</w:t>
            </w:r>
            <w:r>
              <w:rPr>
                <w:rFonts w:hint="eastAsia" w:ascii="宋体" w:hAnsi="宋体" w:cs="宋体"/>
                <w:kern w:val="0"/>
                <w:szCs w:val="21"/>
              </w:rPr>
              <w:t>，提供终身维修、维护服务，随时提供备品备件及耗材等。</w:t>
            </w:r>
          </w:p>
          <w:p>
            <w:pPr>
              <w:tabs>
                <w:tab w:val="left" w:pos="9040"/>
              </w:tabs>
              <w:jc w:val="left"/>
              <w:rPr>
                <w:rFonts w:ascii="宋体" w:hAnsi="宋体" w:cs="宋体"/>
                <w:kern w:val="0"/>
                <w:szCs w:val="21"/>
              </w:rPr>
            </w:pPr>
            <w:r>
              <w:rPr>
                <w:rFonts w:hint="eastAsia" w:ascii="宋体" w:hAnsi="宋体" w:cs="宋体"/>
                <w:kern w:val="0"/>
                <w:szCs w:val="21"/>
              </w:rPr>
              <w:t>（4）在质量保证期内设备非因人为及不可抗拒因素的原因而引起损坏或质量问题，成交供应商应提供技术服务、维修或设备更换</w:t>
            </w:r>
            <w:r>
              <w:rPr>
                <w:rFonts w:hint="eastAsia" w:ascii="宋体" w:hAnsi="宋体" w:cs="宋体"/>
                <w:szCs w:val="21"/>
              </w:rPr>
              <w:t>服务，上述相应服务费用及与之相关的零部件的费用均含在总报价中，不另行列出；因人为因素出现的故障不在保修范围内，成交供应商也要积极帮助采购人修理，并提供优惠价格的配件和服务</w:t>
            </w:r>
            <w:r>
              <w:rPr>
                <w:rFonts w:hint="eastAsia" w:ascii="宋体" w:hAnsi="宋体" w:cs="宋体"/>
                <w:kern w:val="0"/>
                <w:szCs w:val="21"/>
              </w:rPr>
              <w:t>。</w:t>
            </w:r>
          </w:p>
          <w:p>
            <w:pPr>
              <w:tabs>
                <w:tab w:val="left" w:pos="9040"/>
              </w:tabs>
              <w:jc w:val="left"/>
              <w:rPr>
                <w:rFonts w:ascii="宋体" w:hAnsi="宋体" w:cs="宋体"/>
                <w:kern w:val="0"/>
                <w:szCs w:val="21"/>
              </w:rPr>
            </w:pPr>
            <w:r>
              <w:rPr>
                <w:rFonts w:hint="eastAsia" w:ascii="宋体" w:hAnsi="宋体" w:cs="宋体"/>
                <w:kern w:val="0"/>
                <w:szCs w:val="21"/>
              </w:rPr>
              <w:t>（5）质保期内，采购人如有重要活动等，成交供应商必须采取必要的技术手段保障系统正常运行。</w:t>
            </w:r>
          </w:p>
          <w:p>
            <w:pPr>
              <w:tabs>
                <w:tab w:val="left" w:pos="9040"/>
              </w:tabs>
              <w:jc w:val="left"/>
              <w:rPr>
                <w:rFonts w:ascii="宋体" w:hAnsi="宋体" w:cs="宋体"/>
                <w:kern w:val="0"/>
                <w:szCs w:val="21"/>
              </w:rPr>
            </w:pPr>
            <w:r>
              <w:rPr>
                <w:rFonts w:hint="eastAsia" w:ascii="宋体" w:hAnsi="宋体" w:cs="宋体"/>
                <w:kern w:val="0"/>
                <w:szCs w:val="21"/>
              </w:rPr>
              <w:t>4、故障响应时间：</w:t>
            </w:r>
          </w:p>
          <w:p>
            <w:pPr>
              <w:tabs>
                <w:tab w:val="left" w:pos="9040"/>
              </w:tabs>
              <w:jc w:val="left"/>
              <w:rPr>
                <w:rFonts w:ascii="宋体" w:hAnsi="宋体" w:cs="宋体"/>
                <w:kern w:val="0"/>
                <w:szCs w:val="21"/>
              </w:rPr>
            </w:pPr>
            <w:r>
              <w:rPr>
                <w:rFonts w:hint="eastAsia" w:ascii="宋体" w:hAnsi="宋体" w:cs="宋体"/>
                <w:kern w:val="0"/>
                <w:szCs w:val="21"/>
              </w:rPr>
              <w:t>（1）若本批采购的货物发生损坏，成交供应商应在30分钟内电话服务应答，</w:t>
            </w:r>
            <w:r>
              <w:rPr>
                <w:rFonts w:hint="eastAsia" w:ascii="宋体" w:hAnsi="宋体" w:cs="宋体"/>
                <w:color w:val="FF0000"/>
                <w:kern w:val="0"/>
                <w:szCs w:val="21"/>
              </w:rPr>
              <w:t>4</w:t>
            </w:r>
            <w:r>
              <w:rPr>
                <w:rFonts w:hint="eastAsia" w:ascii="宋体" w:hAnsi="宋体" w:cs="宋体"/>
                <w:kern w:val="0"/>
                <w:szCs w:val="21"/>
              </w:rPr>
              <w:t>个小时内现场维护响应，4小时内提供解决方案。特殊情况无法修复的，质保期内成交供应商应无条件更换新设备或提供代用设备；或采取使设备可正常运转的措施。</w:t>
            </w:r>
          </w:p>
          <w:p>
            <w:pPr>
              <w:tabs>
                <w:tab w:val="left" w:pos="9040"/>
              </w:tabs>
              <w:jc w:val="left"/>
              <w:rPr>
                <w:rFonts w:ascii="宋体" w:hAnsi="宋体" w:cs="宋体"/>
                <w:kern w:val="0"/>
                <w:szCs w:val="21"/>
              </w:rPr>
            </w:pPr>
            <w:r>
              <w:rPr>
                <w:rFonts w:hint="eastAsia" w:ascii="宋体" w:hAnsi="宋体" w:cs="宋体"/>
                <w:kern w:val="0"/>
                <w:szCs w:val="21"/>
              </w:rPr>
              <w:t>（2）成交供应商能提供7×24通过远程、上门服务、电话、E-mail等方式为用户提供终身完善的售前和售后技术咨询服务；</w:t>
            </w:r>
          </w:p>
          <w:p>
            <w:pPr>
              <w:tabs>
                <w:tab w:val="left" w:pos="9040"/>
              </w:tabs>
              <w:jc w:val="left"/>
              <w:rPr>
                <w:rFonts w:ascii="宋体" w:hAnsi="宋体" w:cs="宋体"/>
                <w:kern w:val="0"/>
                <w:szCs w:val="21"/>
              </w:rPr>
            </w:pPr>
            <w:r>
              <w:rPr>
                <w:rFonts w:hint="eastAsia" w:ascii="宋体" w:hAnsi="宋体" w:cs="宋体"/>
                <w:kern w:val="0"/>
                <w:szCs w:val="21"/>
              </w:rPr>
              <w:t>（3）每季度不少于1次定期回访及对系统进行维护，并出具巡检报告。</w:t>
            </w:r>
          </w:p>
          <w:p>
            <w:pPr>
              <w:tabs>
                <w:tab w:val="left" w:pos="9040"/>
              </w:tabs>
              <w:jc w:val="left"/>
              <w:rPr>
                <w:rFonts w:ascii="宋体" w:hAnsi="宋体" w:cs="宋体"/>
                <w:kern w:val="0"/>
                <w:szCs w:val="21"/>
              </w:rPr>
            </w:pPr>
            <w:r>
              <w:rPr>
                <w:rFonts w:hint="eastAsia" w:ascii="宋体" w:hAnsi="宋体" w:cs="宋体"/>
                <w:kern w:val="0"/>
                <w:szCs w:val="21"/>
              </w:rPr>
              <w:t>5、质保期后，成交供应商应明确承诺继续优惠提供维护服务</w:t>
            </w:r>
          </w:p>
          <w:p>
            <w:pPr>
              <w:tabs>
                <w:tab w:val="left" w:pos="9040"/>
              </w:tabs>
              <w:jc w:val="left"/>
              <w:rPr>
                <w:rFonts w:ascii="宋体" w:hAnsi="宋体" w:cs="宋体"/>
                <w:kern w:val="0"/>
                <w:szCs w:val="21"/>
              </w:rPr>
            </w:pPr>
            <w:r>
              <w:rPr>
                <w:rFonts w:hint="eastAsia" w:ascii="宋体" w:hAnsi="宋体" w:cs="宋体"/>
                <w:kern w:val="0"/>
                <w:szCs w:val="21"/>
              </w:rPr>
              <w:t>（1）承诺提供系统升级、故障排除、性能调优、技术咨询等售后技术支持服务；对于产品安全问题应及时提供补丁</w:t>
            </w:r>
            <w:r>
              <w:rPr>
                <w:rFonts w:hint="eastAsia" w:ascii="宋体" w:hAnsi="宋体" w:cs="宋体"/>
                <w:szCs w:val="21"/>
              </w:rPr>
              <w:t>，相关费用含在总报价中，不另行列出</w:t>
            </w:r>
            <w:r>
              <w:rPr>
                <w:rFonts w:hint="eastAsia" w:ascii="宋体" w:hAnsi="宋体" w:cs="宋体"/>
                <w:kern w:val="0"/>
                <w:szCs w:val="21"/>
              </w:rPr>
              <w:t>；</w:t>
            </w:r>
          </w:p>
          <w:p>
            <w:pPr>
              <w:tabs>
                <w:tab w:val="left" w:pos="9040"/>
              </w:tabs>
              <w:jc w:val="left"/>
              <w:rPr>
                <w:rFonts w:ascii="宋体" w:hAnsi="宋体" w:cs="宋体"/>
                <w:kern w:val="0"/>
                <w:szCs w:val="21"/>
              </w:rPr>
            </w:pPr>
            <w:r>
              <w:rPr>
                <w:rFonts w:hint="eastAsia" w:ascii="宋体" w:hAnsi="宋体" w:cs="宋体"/>
                <w:kern w:val="0"/>
                <w:szCs w:val="21"/>
              </w:rPr>
              <w:t>（2）质保期后，成交供应商应提交各项货物厂家售后服务电话，厂家技术人员联系手机，确保采购人质保期后，自行联系咨询技术人员。</w:t>
            </w:r>
          </w:p>
          <w:p>
            <w:pPr>
              <w:tabs>
                <w:tab w:val="left" w:pos="9040"/>
              </w:tabs>
              <w:jc w:val="left"/>
              <w:rPr>
                <w:rFonts w:ascii="宋体" w:hAnsi="宋体" w:cs="宋体"/>
                <w:kern w:val="0"/>
                <w:szCs w:val="21"/>
              </w:rPr>
            </w:pPr>
            <w:r>
              <w:rPr>
                <w:rFonts w:hint="eastAsia" w:ascii="宋体" w:hAnsi="宋体" w:cs="宋体"/>
                <w:kern w:val="0"/>
                <w:szCs w:val="21"/>
              </w:rPr>
              <w:t>（3）质保期满前1个月内成交供应商应负责对设备进行一次全面检查、维护，如发现潜在问题，应写出正式报告，并负责排除，保证设备正常运行</w:t>
            </w:r>
            <w:r>
              <w:rPr>
                <w:rFonts w:hint="eastAsia" w:ascii="宋体" w:hAnsi="宋体" w:cs="宋体"/>
                <w:szCs w:val="21"/>
              </w:rPr>
              <w:t>，此费用含在总报价中，不另行列出</w:t>
            </w:r>
            <w:r>
              <w:rPr>
                <w:rFonts w:hint="eastAsia" w:ascii="宋体" w:hAnsi="宋体" w:cs="宋体"/>
                <w:kern w:val="0"/>
                <w:szCs w:val="21"/>
              </w:rPr>
              <w:t>。</w:t>
            </w:r>
          </w:p>
          <w:p>
            <w:pPr>
              <w:tabs>
                <w:tab w:val="left" w:pos="9040"/>
              </w:tabs>
              <w:jc w:val="left"/>
              <w:rPr>
                <w:rFonts w:ascii="宋体" w:hAnsi="宋体" w:cs="宋体"/>
                <w:kern w:val="0"/>
                <w:szCs w:val="21"/>
              </w:rPr>
            </w:pPr>
            <w:r>
              <w:rPr>
                <w:rFonts w:hint="eastAsia" w:ascii="宋体" w:hAnsi="宋体" w:cs="宋体"/>
                <w:kern w:val="0"/>
                <w:szCs w:val="21"/>
              </w:rPr>
              <w:t>6、成交供应商如有违反上述保修服务条款或自身承诺，采购人有权没收造成损失的同时应承担赔偿责任。</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六、质量保障要求：</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1、工程质量要求</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（1）严格按国家、行业和地方现行的质量标准及规范组织施工及验收(以现行最高标准、最新规范为准)，并保证承包范围内的工程质量达到上述标准及规范规定的工程质量合格标准。</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（2）成交供应商对本项目的质量向采购人负责，其职责包括但不限于：</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（2.1）编制施工技术方案，确定施工技术措施；</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（2.2）提供和组织足够的工程技术人员，检查和控制工程施工质量；</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（2.3）控制施工所用的材料和工程设备，使其符合标准与规范、设计要求及合同约定的标准；</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（2.4）负责施工中出现质量问题或竣工验收不合格的返修工作；</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（2.5）参加工程的所有验收工作，包括隐蔽验收、中间验收、竣工验收；</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（2.6）承担质量保修期的工程保修责任；</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（2.7）其他工程质量责任。</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（3）因工程质量发生争议的，采购人有权委托有资质的工程质量检测机构进行鉴定，鉴定产生的全部费用由成交供应商承担。</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★（4）本项目主要设备及配件均为原厂生产，整机所有部件在原厂安装完毕，且整机测试合格。</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七、验收条件及标准：</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1、符合合同要求及国家相关标准；</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2、参数配置符合</w:t>
            </w:r>
            <w:r>
              <w:rPr>
                <w:rFonts w:hint="eastAsia" w:ascii="宋体" w:hAnsi="宋体" w:cs="宋体"/>
                <w:szCs w:val="21"/>
              </w:rPr>
              <w:t>竞争性谈判采购文件及成交供应商的响应文件的</w:t>
            </w:r>
            <w:r>
              <w:rPr>
                <w:rFonts w:hint="eastAsia" w:ascii="宋体" w:hAnsi="宋体" w:cs="宋体"/>
                <w:kern w:val="0"/>
                <w:szCs w:val="21"/>
              </w:rPr>
              <w:t>要求，无任何变动；</w:t>
            </w:r>
          </w:p>
          <w:p>
            <w:pPr>
              <w:pStyle w:val="2"/>
              <w:rPr>
                <w:b w:val="0"/>
                <w:color w:val="auto"/>
              </w:rPr>
            </w:pPr>
            <w:r>
              <w:rPr>
                <w:rFonts w:hint="eastAsia" w:ascii="宋体" w:hAnsi="宋体" w:cs="宋体"/>
                <w:b w:val="0"/>
                <w:color w:val="auto"/>
                <w:kern w:val="0"/>
                <w:szCs w:val="21"/>
              </w:rPr>
              <w:t>★3、</w:t>
            </w:r>
            <w:r>
              <w:rPr>
                <w:rFonts w:hint="eastAsia"/>
                <w:b w:val="0"/>
                <w:color w:val="auto"/>
              </w:rPr>
              <w:t>验收时提供视频会议终端厂家三年免费售后服务承诺书原件。</w:t>
            </w:r>
          </w:p>
          <w:p>
            <w:pPr>
              <w:widowControl/>
              <w:tabs>
                <w:tab w:val="left" w:pos="9040"/>
              </w:tabs>
              <w:jc w:val="left"/>
              <w:textAlignment w:val="center"/>
              <w:rPr>
                <w:rFonts w:ascii="宋体" w:hAnsi="宋体" w:cs="宋体"/>
                <w:kern w:val="0"/>
                <w:szCs w:val="21"/>
              </w:rPr>
            </w:pPr>
            <w:r>
              <w:rPr>
                <w:rFonts w:hint="eastAsia" w:ascii="宋体" w:hAnsi="宋体" w:cs="宋体"/>
                <w:kern w:val="0"/>
              </w:rPr>
              <w:t xml:space="preserve">★4、验收方法及方案： </w:t>
            </w:r>
            <w:r>
              <w:rPr>
                <w:rFonts w:hint="eastAsia" w:ascii="宋体" w:hAnsi="宋体" w:cs="宋体"/>
                <w:kern w:val="0"/>
              </w:rPr>
              <w:br w:type="textWrapping"/>
            </w:r>
            <w:r>
              <w:rPr>
                <w:rFonts w:hint="eastAsia" w:ascii="宋体" w:hAnsi="宋体" w:cs="宋体"/>
                <w:kern w:val="0"/>
              </w:rPr>
              <w:t>（1）验收方式：由采购人、成交供应商、使用方共同现场验收，并出具验收文书。有必要时可委托第三方（具备省级或以上质量技术监督部门颁发的计量认证资质CMA、国家实验室认证认可证书CNAS，且具备司法鉴定资质的检测机构）开展采购项目验收工作。如抽取的货物检测报告结果不合格的，则视为货物不合格，须按采购人要求及时整改，如因此过程耽误交货时间导致采购人不能及时接受货物、安装货物、使用货物造成损失的，成交供应商承担由此所造成全部损失。</w:t>
            </w:r>
            <w:r>
              <w:rPr>
                <w:rFonts w:hint="eastAsia" w:ascii="宋体" w:hAnsi="宋体" w:cs="宋体"/>
                <w:kern w:val="0"/>
              </w:rPr>
              <w:br w:type="textWrapping"/>
            </w:r>
            <w:r>
              <w:rPr>
                <w:rFonts w:hint="eastAsia" w:ascii="宋体" w:hAnsi="宋体" w:cs="宋体"/>
                <w:kern w:val="0"/>
              </w:rPr>
              <w:t xml:space="preserve"> (2）验收费用：验收所产生的劳务费、检验费（含抽检时可能对样品造成的物理伤害和破坏）、场保费及相关发生的全部费用均由成交供应商承担。</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5、所有货物必须是具备厂家合法渠道的全新正品，若采购人对所供产品有疑问的，要求成交供应商必须提供制造商针对本项目竞标产品的参数真实性证明、供货证明函及质量保修函，以上材料不全者，视为产品验收不合格，采购人有权不予验收。</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6、交货前不允许提前开箱、调试；货物备齐后通知采购人对货物进行清点、核实，由采购人、成交供应商双方派代表当场开箱验货，并按合同条款逐条检验签收后，双方代表签字，否则不予验收。如供货时出现有设备停产的情况，须提供具备与原设备技术参数要求相同或高于原设备技术参数要求的替代产品，并经采购人确认后方可更换。</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九、其他要求：</w:t>
            </w:r>
          </w:p>
          <w:p>
            <w:pPr>
              <w:tabs>
                <w:tab w:val="left" w:pos="9040"/>
              </w:tabs>
              <w:jc w:val="left"/>
              <w:rPr>
                <w:rFonts w:ascii="宋体" w:hAnsi="宋体" w:cs="宋体"/>
                <w:kern w:val="0"/>
                <w:szCs w:val="21"/>
              </w:rPr>
            </w:pPr>
            <w:r>
              <w:rPr>
                <w:rFonts w:hint="eastAsia" w:ascii="宋体" w:hAnsi="宋体" w:cs="宋体"/>
                <w:kern w:val="0"/>
                <w:szCs w:val="21"/>
              </w:rPr>
              <w:t>★1、谈判报价为采购人指定地点的现场交货价，包括：</w:t>
            </w:r>
          </w:p>
          <w:p>
            <w:pPr>
              <w:tabs>
                <w:tab w:val="left" w:pos="9040"/>
              </w:tabs>
              <w:jc w:val="left"/>
              <w:rPr>
                <w:rFonts w:ascii="宋体" w:hAnsi="宋体" w:cs="宋体"/>
                <w:kern w:val="0"/>
                <w:szCs w:val="21"/>
              </w:rPr>
            </w:pPr>
            <w:r>
              <w:rPr>
                <w:rFonts w:hint="eastAsia" w:ascii="宋体" w:hAnsi="宋体" w:cs="宋体"/>
                <w:kern w:val="0"/>
                <w:szCs w:val="21"/>
              </w:rPr>
              <w:t>（1）货物及标准附件、备品备件、专用工具的价格；</w:t>
            </w:r>
          </w:p>
          <w:p>
            <w:pPr>
              <w:tabs>
                <w:tab w:val="left" w:pos="9040"/>
              </w:tabs>
              <w:jc w:val="left"/>
              <w:rPr>
                <w:rFonts w:ascii="宋体" w:hAnsi="宋体" w:cs="宋体"/>
                <w:kern w:val="0"/>
                <w:szCs w:val="21"/>
              </w:rPr>
            </w:pPr>
            <w:r>
              <w:rPr>
                <w:rFonts w:hint="eastAsia" w:ascii="宋体" w:hAnsi="宋体" w:cs="宋体"/>
                <w:kern w:val="0"/>
                <w:szCs w:val="21"/>
              </w:rPr>
              <w:t>（2）其他费用（包括但不限于运输、装卸、软硬件部署、调试、培训、技术支持、售后服务、检测、更新升级等费用）；</w:t>
            </w:r>
          </w:p>
          <w:p>
            <w:pPr>
              <w:tabs>
                <w:tab w:val="left" w:pos="9040"/>
              </w:tabs>
              <w:jc w:val="left"/>
              <w:rPr>
                <w:rFonts w:ascii="宋体" w:hAnsi="宋体" w:cs="宋体"/>
                <w:kern w:val="0"/>
                <w:szCs w:val="21"/>
              </w:rPr>
            </w:pPr>
            <w:r>
              <w:rPr>
                <w:rFonts w:hint="eastAsia" w:ascii="宋体" w:hAnsi="宋体" w:cs="宋体"/>
                <w:kern w:val="0"/>
                <w:szCs w:val="21"/>
              </w:rPr>
              <w:t>（3）必要的保险费用和各项税费；</w:t>
            </w:r>
          </w:p>
          <w:p>
            <w:pPr>
              <w:tabs>
                <w:tab w:val="left" w:pos="9040"/>
              </w:tabs>
              <w:jc w:val="left"/>
              <w:rPr>
                <w:rFonts w:ascii="宋体" w:hAnsi="宋体" w:cs="宋体"/>
                <w:kern w:val="0"/>
                <w:szCs w:val="21"/>
              </w:rPr>
            </w:pPr>
            <w:r>
              <w:rPr>
                <w:rFonts w:hint="eastAsia" w:ascii="宋体" w:hAnsi="宋体" w:cs="宋体"/>
                <w:kern w:val="0"/>
                <w:szCs w:val="21"/>
              </w:rPr>
              <w:t>（4）安装费用（包括但不限于各类硬件、系统软件等的安装、集成、试运行等费用）；</w:t>
            </w:r>
          </w:p>
          <w:p>
            <w:pPr>
              <w:tabs>
                <w:tab w:val="left" w:pos="9040"/>
              </w:tabs>
              <w:jc w:val="left"/>
              <w:rPr>
                <w:rFonts w:ascii="宋体" w:hAnsi="宋体" w:cs="宋体"/>
                <w:kern w:val="0"/>
                <w:szCs w:val="21"/>
              </w:rPr>
            </w:pPr>
            <w:r>
              <w:rPr>
                <w:rFonts w:hint="eastAsia" w:ascii="宋体" w:hAnsi="宋体" w:cs="宋体"/>
                <w:kern w:val="0"/>
                <w:szCs w:val="21"/>
              </w:rPr>
              <w:t>（5）设备安装、培训（含教材费、场地租用费）、送货上门的费用；</w:t>
            </w:r>
          </w:p>
          <w:p>
            <w:pPr>
              <w:tabs>
                <w:tab w:val="left" w:pos="9040"/>
              </w:tabs>
              <w:jc w:val="left"/>
              <w:rPr>
                <w:rFonts w:ascii="宋体" w:hAnsi="宋体" w:cs="宋体"/>
                <w:kern w:val="0"/>
                <w:szCs w:val="21"/>
              </w:rPr>
            </w:pPr>
            <w:r>
              <w:rPr>
                <w:rFonts w:hint="eastAsia" w:ascii="宋体" w:hAnsi="宋体" w:cs="宋体"/>
                <w:kern w:val="0"/>
                <w:szCs w:val="21"/>
              </w:rPr>
              <w:t>（6）与各类相关系统对接的费用。</w:t>
            </w:r>
          </w:p>
          <w:p>
            <w:pPr>
              <w:tabs>
                <w:tab w:val="left" w:pos="9040"/>
              </w:tabs>
              <w:jc w:val="left"/>
              <w:rPr>
                <w:rFonts w:ascii="宋体" w:hAnsi="宋体" w:cs="宋体"/>
                <w:kern w:val="0"/>
                <w:szCs w:val="21"/>
              </w:rPr>
            </w:pPr>
            <w:r>
              <w:rPr>
                <w:rFonts w:hint="eastAsia" w:ascii="宋体" w:hAnsi="宋体" w:cs="宋体"/>
                <w:kern w:val="0"/>
                <w:szCs w:val="21"/>
              </w:rPr>
              <w:t>（7）到现场验收的费用；</w:t>
            </w:r>
          </w:p>
          <w:p>
            <w:pPr>
              <w:tabs>
                <w:tab w:val="left" w:pos="9040"/>
              </w:tabs>
              <w:jc w:val="left"/>
              <w:rPr>
                <w:rFonts w:ascii="宋体" w:hAnsi="宋体" w:cs="宋体"/>
                <w:kern w:val="0"/>
                <w:szCs w:val="21"/>
              </w:rPr>
            </w:pPr>
            <w:r>
              <w:rPr>
                <w:rFonts w:hint="eastAsia" w:ascii="宋体" w:hAnsi="宋体" w:cs="宋体"/>
                <w:kern w:val="0"/>
                <w:szCs w:val="21"/>
              </w:rPr>
              <w:t>（8）整个项目所有需要的设备、外设、线缆、管材及埋管并完成所有工程和服务，以及施工时对装饰面、其它专业造成的破坏进行修补等及其他所有成本及合同包含的应有环保、文明施工、安全施工、风险费、责任等费用。</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★2、付款方式：本项目无预付款，供应商交货安装完毕并验收合格后，一次性支付合同款。</w:t>
            </w:r>
          </w:p>
          <w:p>
            <w:pPr>
              <w:widowControl/>
              <w:tabs>
                <w:tab w:val="left" w:pos="9040"/>
              </w:tabs>
              <w:jc w:val="left"/>
              <w:textAlignment w:val="center"/>
              <w:rPr>
                <w:rFonts w:ascii="宋体" w:hAnsi="宋体" w:cs="宋体"/>
                <w:kern w:val="0"/>
                <w:szCs w:val="21"/>
              </w:rPr>
            </w:pPr>
            <w:r>
              <w:rPr>
                <w:rFonts w:hint="eastAsia" w:ascii="宋体" w:hAnsi="宋体" w:cs="宋体"/>
                <w:kern w:val="0"/>
                <w:szCs w:val="21"/>
              </w:rPr>
              <w:t>3、备品备件及耗材等要求：成交供应商应按成交价或优于市场价提供相关配件和服务。</w:t>
            </w:r>
          </w:p>
          <w:p>
            <w:pPr>
              <w:widowControl/>
              <w:jc w:val="left"/>
              <w:rPr>
                <w:rFonts w:ascii="宋体" w:hAnsi="宋体" w:cs="宋体"/>
                <w:kern w:val="0"/>
                <w:szCs w:val="21"/>
              </w:rPr>
            </w:pPr>
            <w:r>
              <w:rPr>
                <w:rFonts w:hint="eastAsia" w:ascii="宋体" w:hAnsi="宋体" w:cs="宋体"/>
                <w:kern w:val="0"/>
                <w:szCs w:val="21"/>
              </w:rPr>
              <w:t>★4、成交供应商在施工前，应结合实地图纸出具强、弱电管道走线（强电和弱电须分开穿管走线）和安装点位图纸交予学校保存，以便日后检修维护。</w:t>
            </w:r>
          </w:p>
          <w:p>
            <w:pPr>
              <w:widowControl/>
              <w:jc w:val="left"/>
              <w:rPr>
                <w:rFonts w:ascii="宋体" w:hAnsi="宋体" w:cs="宋体"/>
                <w:szCs w:val="21"/>
              </w:rPr>
            </w:pPr>
            <w:r>
              <w:rPr>
                <w:rFonts w:hint="eastAsia" w:ascii="宋体" w:hAnsi="宋体" w:cs="宋体"/>
              </w:rPr>
              <w:t>★</w:t>
            </w:r>
            <w:r>
              <w:t>5</w:t>
            </w:r>
            <w:r>
              <w:rPr>
                <w:rFonts w:hint="eastAsia"/>
              </w:rPr>
              <w:t>、此项目成交人必须保证按时交货安装调试完毕，否则，将承担相关责任。</w:t>
            </w:r>
            <w:r>
              <w:br w:type="textWrapping"/>
            </w:r>
            <w:r>
              <w:rPr>
                <w:rFonts w:hint="eastAsia" w:ascii="宋体" w:hAnsi="宋体" w:cs="宋体"/>
              </w:rPr>
              <w:t>★</w:t>
            </w:r>
            <w:r>
              <w:t>6</w:t>
            </w:r>
            <w:r>
              <w:rPr>
                <w:rFonts w:hint="eastAsia"/>
              </w:rPr>
              <w:t>、成交后，按照合同要求执行相关要求，若合同与学校实际情况有出入的，以学校实际情况为准。</w:t>
            </w:r>
          </w:p>
        </w:tc>
      </w:tr>
    </w:tbl>
    <w:p>
      <w:pPr>
        <w:spacing w:line="320" w:lineRule="exact"/>
        <w:ind w:firstLine="480" w:firstLineChars="200"/>
        <w:rPr>
          <w:rFonts w:hAnsi="宋体"/>
          <w:color w:val="0000FF"/>
          <w:sz w:val="24"/>
        </w:rPr>
      </w:pPr>
    </w:p>
    <w:p>
      <w:pPr>
        <w:pStyle w:val="24"/>
        <w:snapToGrid w:val="0"/>
        <w:spacing w:before="120" w:after="120"/>
        <w:outlineLvl w:val="0"/>
        <w:rPr>
          <w:rFonts w:hAnsi="宋体"/>
          <w:b/>
          <w:sz w:val="44"/>
          <w:szCs w:val="44"/>
        </w:rPr>
      </w:pPr>
      <w:r>
        <w:rPr>
          <w:rFonts w:hAnsi="宋体"/>
          <w:b/>
          <w:sz w:val="44"/>
          <w:szCs w:val="44"/>
        </w:rPr>
        <w:br w:type="page"/>
      </w:r>
    </w:p>
    <w:p>
      <w:pPr>
        <w:pStyle w:val="24"/>
        <w:snapToGrid w:val="0"/>
        <w:spacing w:before="120" w:after="120"/>
        <w:jc w:val="center"/>
        <w:outlineLvl w:val="0"/>
        <w:rPr>
          <w:rFonts w:hAnsi="宋体"/>
          <w:b/>
          <w:sz w:val="44"/>
          <w:szCs w:val="44"/>
        </w:rPr>
      </w:pPr>
    </w:p>
    <w:p>
      <w:pPr>
        <w:pStyle w:val="24"/>
        <w:snapToGrid w:val="0"/>
        <w:spacing w:before="120" w:after="120"/>
        <w:jc w:val="center"/>
        <w:outlineLvl w:val="0"/>
        <w:rPr>
          <w:rFonts w:hAnsi="宋体"/>
          <w:b/>
          <w:sz w:val="44"/>
          <w:szCs w:val="44"/>
        </w:rPr>
      </w:pPr>
    </w:p>
    <w:p>
      <w:pPr>
        <w:pStyle w:val="24"/>
        <w:snapToGrid w:val="0"/>
        <w:spacing w:before="120" w:after="120"/>
        <w:jc w:val="center"/>
        <w:outlineLvl w:val="0"/>
        <w:rPr>
          <w:rFonts w:hAnsi="宋体"/>
          <w:b/>
          <w:sz w:val="44"/>
          <w:szCs w:val="44"/>
        </w:rPr>
      </w:pPr>
    </w:p>
    <w:p>
      <w:pPr>
        <w:pStyle w:val="24"/>
        <w:snapToGrid w:val="0"/>
        <w:spacing w:before="120" w:after="120"/>
        <w:jc w:val="center"/>
        <w:outlineLvl w:val="0"/>
        <w:rPr>
          <w:rFonts w:hAnsi="宋体"/>
          <w:b/>
          <w:sz w:val="44"/>
          <w:szCs w:val="44"/>
        </w:rPr>
      </w:pPr>
    </w:p>
    <w:p>
      <w:pPr>
        <w:pStyle w:val="24"/>
        <w:snapToGrid w:val="0"/>
        <w:spacing w:before="120" w:after="120"/>
        <w:jc w:val="center"/>
        <w:outlineLvl w:val="0"/>
        <w:rPr>
          <w:rFonts w:hAnsi="宋体"/>
          <w:b/>
          <w:sz w:val="44"/>
          <w:szCs w:val="44"/>
        </w:rPr>
      </w:pPr>
    </w:p>
    <w:p>
      <w:pPr>
        <w:pStyle w:val="24"/>
        <w:snapToGrid w:val="0"/>
        <w:spacing w:before="120" w:after="120"/>
        <w:jc w:val="center"/>
        <w:outlineLvl w:val="0"/>
        <w:rPr>
          <w:rFonts w:hAnsi="宋体"/>
          <w:b/>
          <w:sz w:val="44"/>
          <w:szCs w:val="44"/>
        </w:rPr>
      </w:pPr>
      <w:r>
        <w:rPr>
          <w:rFonts w:hint="eastAsia" w:hAnsi="宋体"/>
          <w:b/>
          <w:sz w:val="44"/>
          <w:szCs w:val="44"/>
        </w:rPr>
        <w:t>第四章 响应文件格式</w:t>
      </w:r>
    </w:p>
    <w:p>
      <w:pPr>
        <w:tabs>
          <w:tab w:val="left" w:pos="180"/>
          <w:tab w:val="left" w:pos="1620"/>
        </w:tabs>
        <w:rPr>
          <w:rFonts w:ascii="宋体" w:hAnsi="宋体"/>
          <w:sz w:val="24"/>
        </w:rPr>
      </w:pPr>
    </w:p>
    <w:p>
      <w:pPr>
        <w:tabs>
          <w:tab w:val="left" w:pos="180"/>
          <w:tab w:val="left" w:pos="1620"/>
        </w:tabs>
        <w:rPr>
          <w:rFonts w:ascii="宋体" w:hAnsi="宋体"/>
          <w:sz w:val="24"/>
        </w:rPr>
      </w:pPr>
      <w:r>
        <w:rPr>
          <w:rFonts w:ascii="宋体" w:hAnsi="宋体"/>
          <w:sz w:val="24"/>
        </w:rPr>
        <w:br w:type="page"/>
      </w:r>
    </w:p>
    <w:p>
      <w:pPr>
        <w:jc w:val="center"/>
        <w:rPr>
          <w:rFonts w:ascii="宋体" w:hAnsi="宋体"/>
          <w:sz w:val="24"/>
        </w:rPr>
      </w:pPr>
    </w:p>
    <w:p>
      <w:pPr>
        <w:jc w:val="center"/>
        <w:rPr>
          <w:rFonts w:ascii="宋体" w:hAnsi="宋体"/>
          <w:sz w:val="24"/>
        </w:rPr>
      </w:pPr>
    </w:p>
    <w:p>
      <w:pPr>
        <w:jc w:val="center"/>
        <w:rPr>
          <w:rFonts w:ascii="宋体" w:hAnsi="宋体"/>
          <w:sz w:val="44"/>
          <w:szCs w:val="44"/>
        </w:rPr>
      </w:pPr>
      <w:r>
        <w:rPr>
          <w:rFonts w:hint="eastAsia" w:ascii="宋体" w:hAnsi="宋体"/>
          <w:b/>
          <w:sz w:val="44"/>
          <w:szCs w:val="44"/>
        </w:rPr>
        <w:t>竞争性谈判响应文件（封面）</w:t>
      </w:r>
    </w:p>
    <w:p>
      <w:pPr>
        <w:jc w:val="center"/>
        <w:rPr>
          <w:rFonts w:ascii="宋体" w:hAnsi="宋体"/>
          <w:sz w:val="24"/>
        </w:rPr>
      </w:pPr>
    </w:p>
    <w:p>
      <w:pPr>
        <w:jc w:val="center"/>
        <w:rPr>
          <w:rFonts w:ascii="宋体" w:hAnsi="宋体"/>
          <w:sz w:val="24"/>
        </w:rPr>
      </w:pPr>
    </w:p>
    <w:p>
      <w:pPr>
        <w:jc w:val="center"/>
        <w:rPr>
          <w:rFonts w:ascii="宋体" w:hAnsi="宋体"/>
          <w:sz w:val="32"/>
          <w:szCs w:val="32"/>
        </w:rPr>
      </w:pPr>
    </w:p>
    <w:p>
      <w:pPr>
        <w:ind w:firstLine="800" w:firstLineChars="250"/>
        <w:rPr>
          <w:rFonts w:ascii="宋体" w:hAnsi="宋体"/>
          <w:sz w:val="32"/>
          <w:szCs w:val="32"/>
          <w:u w:val="single"/>
        </w:rPr>
      </w:pPr>
      <w:r>
        <w:rPr>
          <w:rFonts w:hint="eastAsia" w:ascii="宋体" w:hAnsi="宋体"/>
          <w:sz w:val="32"/>
          <w:szCs w:val="32"/>
        </w:rPr>
        <w:t>采购项目编号：</w:t>
      </w:r>
    </w:p>
    <w:p>
      <w:pPr>
        <w:tabs>
          <w:tab w:val="left" w:pos="3240"/>
        </w:tabs>
        <w:ind w:firstLine="800" w:firstLineChars="250"/>
        <w:rPr>
          <w:rFonts w:ascii="宋体" w:hAnsi="宋体"/>
          <w:sz w:val="32"/>
          <w:szCs w:val="32"/>
        </w:rPr>
      </w:pPr>
    </w:p>
    <w:p>
      <w:pPr>
        <w:tabs>
          <w:tab w:val="left" w:pos="3240"/>
        </w:tabs>
        <w:ind w:firstLine="800" w:firstLineChars="250"/>
        <w:rPr>
          <w:rFonts w:ascii="宋体" w:hAnsi="宋体"/>
          <w:sz w:val="32"/>
          <w:szCs w:val="32"/>
        </w:rPr>
      </w:pPr>
      <w:r>
        <w:rPr>
          <w:rFonts w:hint="eastAsia" w:ascii="宋体" w:hAnsi="宋体"/>
          <w:sz w:val="32"/>
          <w:szCs w:val="32"/>
        </w:rPr>
        <w:t>采购项目名称：</w:t>
      </w:r>
    </w:p>
    <w:p>
      <w:pPr>
        <w:tabs>
          <w:tab w:val="left" w:pos="3240"/>
        </w:tabs>
        <w:ind w:firstLine="800" w:firstLineChars="250"/>
        <w:rPr>
          <w:rFonts w:ascii="宋体" w:hAnsi="宋体"/>
          <w:sz w:val="32"/>
          <w:szCs w:val="32"/>
        </w:rPr>
      </w:pPr>
    </w:p>
    <w:p>
      <w:pPr>
        <w:tabs>
          <w:tab w:val="left" w:pos="3240"/>
        </w:tabs>
        <w:ind w:firstLine="800" w:firstLineChars="250"/>
        <w:rPr>
          <w:rFonts w:ascii="宋体" w:hAnsi="宋体"/>
          <w:sz w:val="32"/>
          <w:szCs w:val="32"/>
        </w:rPr>
      </w:pPr>
      <w:r>
        <w:rPr>
          <w:rFonts w:hint="eastAsia" w:ascii="宋体" w:hAnsi="宋体"/>
          <w:sz w:val="32"/>
          <w:szCs w:val="32"/>
        </w:rPr>
        <w:t>谈判供应商邮箱：</w:t>
      </w:r>
    </w:p>
    <w:p>
      <w:pPr>
        <w:ind w:firstLine="800" w:firstLineChars="250"/>
        <w:rPr>
          <w:rFonts w:ascii="宋体" w:hAnsi="宋体"/>
          <w:sz w:val="32"/>
          <w:szCs w:val="32"/>
        </w:rPr>
      </w:pPr>
    </w:p>
    <w:p>
      <w:pPr>
        <w:tabs>
          <w:tab w:val="left" w:pos="2625"/>
        </w:tabs>
        <w:jc w:val="center"/>
        <w:rPr>
          <w:rFonts w:ascii="宋体" w:hAnsi="宋体"/>
          <w:sz w:val="32"/>
          <w:szCs w:val="32"/>
        </w:rPr>
      </w:pPr>
    </w:p>
    <w:p>
      <w:pPr>
        <w:tabs>
          <w:tab w:val="left" w:pos="2625"/>
        </w:tabs>
        <w:jc w:val="center"/>
        <w:rPr>
          <w:rFonts w:ascii="宋体" w:hAnsi="宋体"/>
          <w:sz w:val="32"/>
          <w:szCs w:val="32"/>
        </w:rPr>
      </w:pPr>
    </w:p>
    <w:p>
      <w:pPr>
        <w:tabs>
          <w:tab w:val="left" w:pos="2625"/>
        </w:tabs>
        <w:jc w:val="center"/>
        <w:rPr>
          <w:rFonts w:ascii="宋体" w:hAnsi="宋体"/>
          <w:sz w:val="32"/>
          <w:szCs w:val="32"/>
        </w:rPr>
      </w:pPr>
    </w:p>
    <w:p>
      <w:pPr>
        <w:jc w:val="center"/>
        <w:rPr>
          <w:rFonts w:ascii="宋体" w:hAnsi="宋体"/>
          <w:sz w:val="32"/>
          <w:szCs w:val="32"/>
        </w:rPr>
      </w:pP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（谈判供应商名称）</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r>
        <w:rPr>
          <w:rFonts w:hint="eastAsia" w:ascii="宋体" w:hAnsi="宋体"/>
          <w:sz w:val="32"/>
          <w:szCs w:val="32"/>
        </w:rPr>
        <w:t>年    月    日</w:t>
      </w:r>
    </w:p>
    <w:p>
      <w:pPr>
        <w:rPr>
          <w:rFonts w:ascii="宋体" w:hAnsi="宋体"/>
          <w:sz w:val="24"/>
        </w:rPr>
      </w:pPr>
    </w:p>
    <w:p>
      <w:pPr>
        <w:rPr>
          <w:rFonts w:ascii="宋体" w:hAnsi="宋体"/>
          <w:sz w:val="24"/>
        </w:rPr>
      </w:pPr>
    </w:p>
    <w:p>
      <w:pPr>
        <w:rPr>
          <w:rFonts w:ascii="宋体" w:hAnsi="宋体"/>
          <w:sz w:val="24"/>
        </w:rPr>
      </w:pPr>
    </w:p>
    <w:p>
      <w:pPr>
        <w:snapToGrid w:val="0"/>
        <w:spacing w:before="50" w:after="50"/>
        <w:ind w:right="-178" w:rightChars="-85"/>
        <w:rPr>
          <w:rFonts w:hAnsi="宋体"/>
          <w:b/>
          <w:bCs/>
          <w:szCs w:val="21"/>
        </w:rPr>
      </w:pPr>
      <w:r>
        <w:rPr>
          <w:rFonts w:ascii="宋体" w:hAnsi="宋体"/>
          <w:sz w:val="24"/>
        </w:rPr>
        <w:br w:type="page"/>
      </w:r>
      <w:r>
        <w:rPr>
          <w:rFonts w:hint="eastAsia" w:hAnsi="宋体"/>
          <w:b/>
          <w:bCs/>
          <w:szCs w:val="21"/>
        </w:rPr>
        <w:t>响应文件目录：</w:t>
      </w:r>
    </w:p>
    <w:p>
      <w:pPr>
        <w:snapToGrid w:val="0"/>
        <w:spacing w:before="50" w:after="50"/>
        <w:ind w:right="-178" w:rightChars="-85"/>
        <w:rPr>
          <w:rFonts w:hAnsi="宋体"/>
          <w:sz w:val="44"/>
          <w:szCs w:val="44"/>
        </w:rPr>
      </w:pPr>
    </w:p>
    <w:p>
      <w:pPr>
        <w:tabs>
          <w:tab w:val="left" w:pos="3870"/>
          <w:tab w:val="left" w:pos="4085"/>
        </w:tabs>
        <w:snapToGrid w:val="0"/>
        <w:spacing w:line="500" w:lineRule="exact"/>
        <w:ind w:right="-178" w:rightChars="-85"/>
        <w:jc w:val="center"/>
        <w:rPr>
          <w:rFonts w:hAnsi="宋体"/>
          <w:sz w:val="44"/>
          <w:szCs w:val="44"/>
        </w:rPr>
      </w:pPr>
      <w:r>
        <w:rPr>
          <w:rFonts w:hint="eastAsia" w:hAnsi="宋体"/>
          <w:sz w:val="44"/>
          <w:szCs w:val="44"/>
        </w:rPr>
        <w:t>目    录</w:t>
      </w:r>
    </w:p>
    <w:p>
      <w:pPr>
        <w:jc w:val="center"/>
        <w:rPr>
          <w:rFonts w:ascii="宋体" w:hAnsi="宋体"/>
          <w:b/>
          <w:sz w:val="24"/>
        </w:rPr>
      </w:pPr>
      <w:r>
        <w:rPr>
          <w:rFonts w:hint="eastAsia" w:hAnsi="宋体"/>
          <w:b/>
          <w:sz w:val="24"/>
        </w:rPr>
        <w:t>（格式自拟，按供应商须知</w:t>
      </w:r>
      <w:r>
        <w:rPr>
          <w:rFonts w:hint="eastAsia" w:ascii="宋体" w:hAnsi="宋体"/>
          <w:b/>
          <w:sz w:val="24"/>
        </w:rPr>
        <w:t>5.6 “竞争性谈判响应文件的组成”顺序）</w:t>
      </w:r>
    </w:p>
    <w:p>
      <w:pPr>
        <w:jc w:val="center"/>
        <w:rPr>
          <w:rFonts w:ascii="宋体" w:hAnsi="宋体"/>
          <w:sz w:val="24"/>
        </w:rPr>
      </w:pPr>
    </w:p>
    <w:p>
      <w:pPr>
        <w:rPr>
          <w:rFonts w:ascii="宋体" w:hAnsi="宋体"/>
          <w:sz w:val="24"/>
        </w:rPr>
      </w:pPr>
      <w:r>
        <w:rPr>
          <w:rFonts w:ascii="宋体" w:hAnsi="宋体"/>
          <w:sz w:val="24"/>
        </w:rPr>
        <w:br w:type="page"/>
      </w:r>
      <w:r>
        <w:rPr>
          <w:rFonts w:hint="eastAsia" w:ascii="宋体" w:hAnsi="宋体"/>
          <w:sz w:val="24"/>
        </w:rPr>
        <w:t xml:space="preserve">附件一 </w:t>
      </w:r>
    </w:p>
    <w:p>
      <w:pPr>
        <w:pStyle w:val="24"/>
        <w:ind w:firstLine="803" w:firstLineChars="250"/>
        <w:jc w:val="center"/>
        <w:rPr>
          <w:rFonts w:hAnsi="宋体"/>
          <w:b/>
          <w:sz w:val="32"/>
        </w:rPr>
      </w:pPr>
      <w:r>
        <w:rPr>
          <w:rFonts w:hint="eastAsia" w:hAnsi="宋体"/>
          <w:b/>
          <w:sz w:val="32"/>
        </w:rPr>
        <w:t>响 应 函 （格 式）</w:t>
      </w:r>
    </w:p>
    <w:p>
      <w:pPr>
        <w:spacing w:line="240" w:lineRule="exact"/>
        <w:jc w:val="center"/>
        <w:rPr>
          <w:rFonts w:ascii="宋体" w:hAnsi="宋体"/>
          <w:sz w:val="32"/>
        </w:rPr>
      </w:pP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：(采购单位名称)   </w:t>
      </w:r>
    </w:p>
    <w:p>
      <w:pPr>
        <w:spacing w:line="400" w:lineRule="exact"/>
        <w:rPr>
          <w:rFonts w:ascii="宋体" w:hAnsi="宋体"/>
          <w:szCs w:val="21"/>
        </w:rPr>
      </w:pPr>
    </w:p>
    <w:p>
      <w:pPr>
        <w:pStyle w:val="24"/>
        <w:spacing w:line="360" w:lineRule="exact"/>
        <w:ind w:firstLine="420"/>
        <w:rPr>
          <w:rFonts w:hAnsi="宋体"/>
        </w:rPr>
      </w:pPr>
      <w:r>
        <w:rPr>
          <w:rFonts w:hint="eastAsia" w:hAnsi="宋体"/>
        </w:rPr>
        <w:t xml:space="preserve">根据贵方项目谈判文件，项目编号 ，签字代表（姓名）经正式授权并代表供应商 </w:t>
      </w:r>
      <w:r>
        <w:rPr>
          <w:rFonts w:hint="eastAsia" w:hAnsi="宋体"/>
          <w:u w:val="single"/>
        </w:rPr>
        <w:t xml:space="preserve">                                   （</w:t>
      </w:r>
      <w:r>
        <w:rPr>
          <w:rFonts w:hint="eastAsia" w:hAnsi="宋体"/>
        </w:rPr>
        <w:t>供应商单位名称，</w:t>
      </w:r>
      <w:r>
        <w:rPr>
          <w:rFonts w:hint="eastAsia" w:hAnsi="宋体"/>
          <w:b/>
        </w:rPr>
        <w:t>如为联合体的，则为联合体各成员的单位名称</w:t>
      </w:r>
      <w:r>
        <w:rPr>
          <w:rFonts w:hint="eastAsia" w:hAnsi="宋体"/>
        </w:rPr>
        <w:t>），提交响应文件正本一份，副本</w:t>
      </w:r>
      <w:r>
        <w:rPr>
          <w:rFonts w:hint="eastAsia" w:hAnsi="宋体"/>
          <w:u w:val="single"/>
        </w:rPr>
        <w:t xml:space="preserve"> 二  </w:t>
      </w:r>
      <w:r>
        <w:rPr>
          <w:rFonts w:hint="eastAsia" w:hAnsi="宋体"/>
        </w:rPr>
        <w:t>份。</w:t>
      </w:r>
    </w:p>
    <w:p>
      <w:pPr>
        <w:pStyle w:val="24"/>
        <w:spacing w:line="360" w:lineRule="exact"/>
        <w:ind w:firstLine="420"/>
        <w:rPr>
          <w:rFonts w:hAnsi="宋体"/>
        </w:rPr>
      </w:pPr>
      <w:r>
        <w:rPr>
          <w:rFonts w:hint="eastAsia" w:hAnsi="宋体"/>
        </w:rPr>
        <w:t>据此函，签字代表宣布同意如下：</w:t>
      </w:r>
    </w:p>
    <w:p>
      <w:pPr>
        <w:pStyle w:val="24"/>
        <w:spacing w:line="360" w:lineRule="exact"/>
        <w:ind w:firstLine="420"/>
        <w:rPr>
          <w:rFonts w:hAnsi="宋体"/>
        </w:rPr>
      </w:pPr>
      <w:r>
        <w:rPr>
          <w:rFonts w:hint="eastAsia" w:hAnsi="宋体"/>
        </w:rPr>
        <w:t>1. 按谈判文件采购需求和谈判报价表：</w:t>
      </w:r>
    </w:p>
    <w:p>
      <w:pPr>
        <w:pStyle w:val="24"/>
        <w:spacing w:line="360" w:lineRule="exact"/>
        <w:ind w:firstLine="420"/>
        <w:rPr>
          <w:rFonts w:hAnsi="宋体"/>
        </w:rPr>
      </w:pPr>
      <w:r>
        <w:rPr>
          <w:rFonts w:hint="eastAsia" w:hAnsi="宋体"/>
        </w:rPr>
        <w:t>谈判总报价（大写）元人民币(￥)，</w:t>
      </w:r>
    </w:p>
    <w:p>
      <w:pPr>
        <w:pStyle w:val="24"/>
        <w:spacing w:line="360" w:lineRule="exact"/>
        <w:ind w:firstLine="420"/>
        <w:rPr>
          <w:rFonts w:hAnsi="宋体"/>
        </w:rPr>
      </w:pPr>
      <w:r>
        <w:rPr>
          <w:rFonts w:hint="eastAsia" w:hAnsi="宋体"/>
        </w:rPr>
        <w:t>2.我方承诺已具备谈判文件规定的供应商资格条件。</w:t>
      </w:r>
    </w:p>
    <w:p>
      <w:pPr>
        <w:pStyle w:val="24"/>
        <w:spacing w:line="360" w:lineRule="exact"/>
        <w:ind w:firstLine="420"/>
        <w:rPr>
          <w:rFonts w:hAnsi="宋体"/>
        </w:rPr>
      </w:pPr>
      <w:r>
        <w:rPr>
          <w:rFonts w:hint="eastAsia" w:hAnsi="宋体"/>
        </w:rPr>
        <w:t>3.我方已详细审核谈判文件，包括修改文件（如有的话）和有关附件，将自行承担因对全部谈判文件理解不正确或误解而产生的相应后果。</w:t>
      </w:r>
    </w:p>
    <w:p>
      <w:pPr>
        <w:pStyle w:val="24"/>
        <w:spacing w:line="360" w:lineRule="exact"/>
        <w:ind w:firstLine="420"/>
        <w:rPr>
          <w:rFonts w:hAnsi="宋体"/>
        </w:rPr>
      </w:pPr>
      <w:r>
        <w:rPr>
          <w:rFonts w:hint="eastAsia" w:hAnsi="宋体"/>
        </w:rPr>
        <w:t>4. 响应文件有效期为响应文件递交截止时间之日起60天。</w:t>
      </w:r>
    </w:p>
    <w:p>
      <w:pPr>
        <w:pStyle w:val="24"/>
        <w:spacing w:line="360" w:lineRule="exact"/>
        <w:ind w:firstLine="420"/>
        <w:rPr>
          <w:rFonts w:hAnsi="宋体"/>
        </w:rPr>
      </w:pPr>
      <w:r>
        <w:rPr>
          <w:rFonts w:hint="eastAsia" w:hAnsi="宋体"/>
        </w:rPr>
        <w:t>5. 如我方成交：</w:t>
      </w:r>
    </w:p>
    <w:p>
      <w:pPr>
        <w:pStyle w:val="24"/>
        <w:spacing w:line="360" w:lineRule="exact"/>
        <w:ind w:firstLine="420"/>
        <w:rPr>
          <w:rFonts w:hAnsi="宋体"/>
        </w:rPr>
      </w:pPr>
      <w:r>
        <w:rPr>
          <w:rFonts w:hint="eastAsia" w:hAnsi="宋体"/>
        </w:rPr>
        <w:t>（1）我方承诺在收到成交通知书后，在成交通知书规定的期限内与采购人签订合同。</w:t>
      </w:r>
    </w:p>
    <w:p>
      <w:pPr>
        <w:pStyle w:val="24"/>
        <w:spacing w:line="360" w:lineRule="exact"/>
        <w:ind w:firstLine="420"/>
        <w:rPr>
          <w:rFonts w:hAnsi="宋体"/>
        </w:rPr>
      </w:pPr>
      <w:r>
        <w:rPr>
          <w:rFonts w:hint="eastAsia" w:hAnsi="宋体"/>
        </w:rPr>
        <w:t>（2）我方承诺本响应文件至本项目合同履行完毕止均保持有效，按谈判文件及政府采购法律、法规的规定履行合同责任和义务。</w:t>
      </w:r>
    </w:p>
    <w:p>
      <w:pPr>
        <w:pStyle w:val="24"/>
        <w:spacing w:line="360" w:lineRule="exact"/>
        <w:ind w:firstLine="420"/>
        <w:rPr>
          <w:rFonts w:hAnsi="宋体"/>
        </w:rPr>
      </w:pPr>
      <w:r>
        <w:rPr>
          <w:rFonts w:hint="eastAsia" w:hAnsi="宋体"/>
        </w:rPr>
        <w:t>与本项目有关的正式通讯地址为：</w:t>
      </w:r>
    </w:p>
    <w:p>
      <w:pPr>
        <w:pStyle w:val="24"/>
        <w:spacing w:line="400" w:lineRule="exact"/>
        <w:ind w:firstLine="420"/>
        <w:rPr>
          <w:rFonts w:hAnsi="宋体"/>
        </w:rPr>
      </w:pPr>
    </w:p>
    <w:p>
      <w:pPr>
        <w:pStyle w:val="24"/>
        <w:spacing w:line="400" w:lineRule="exact"/>
        <w:ind w:firstLine="420"/>
        <w:rPr>
          <w:rFonts w:hAnsi="宋体"/>
          <w:u w:val="single"/>
        </w:rPr>
      </w:pPr>
      <w:r>
        <w:rPr>
          <w:rFonts w:hint="eastAsia" w:hAnsi="宋体"/>
        </w:rPr>
        <w:t>地址： 邮编：  电话、传真：</w:t>
      </w:r>
    </w:p>
    <w:p>
      <w:pPr>
        <w:pStyle w:val="24"/>
        <w:spacing w:line="400" w:lineRule="exact"/>
        <w:ind w:firstLine="420"/>
        <w:rPr>
          <w:rFonts w:hAnsi="宋体"/>
        </w:rPr>
      </w:pPr>
      <w:r>
        <w:rPr>
          <w:rFonts w:hint="eastAsia" w:hAnsi="宋体"/>
        </w:rPr>
        <w:t>开户名称：</w:t>
      </w:r>
    </w:p>
    <w:p>
      <w:pPr>
        <w:pStyle w:val="24"/>
        <w:spacing w:line="400" w:lineRule="exact"/>
        <w:ind w:firstLine="420"/>
        <w:rPr>
          <w:rFonts w:hAnsi="宋体"/>
        </w:rPr>
      </w:pPr>
      <w:r>
        <w:rPr>
          <w:rFonts w:hint="eastAsia" w:hAnsi="宋体"/>
        </w:rPr>
        <w:t>开户银行：</w:t>
      </w:r>
      <w:r>
        <w:rPr>
          <w:rFonts w:hint="eastAsia" w:hAnsi="宋体"/>
          <w:u w:val="single"/>
        </w:rPr>
        <w:t xml:space="preserve">                               　       </w:t>
      </w:r>
    </w:p>
    <w:p>
      <w:pPr>
        <w:pStyle w:val="24"/>
        <w:spacing w:line="400" w:lineRule="exact"/>
        <w:ind w:firstLine="420"/>
        <w:rPr>
          <w:rFonts w:hAnsi="宋体"/>
        </w:rPr>
      </w:pPr>
      <w:r>
        <w:rPr>
          <w:rFonts w:hint="eastAsia" w:hAnsi="宋体"/>
        </w:rPr>
        <w:t>账号：</w:t>
      </w:r>
      <w:r>
        <w:rPr>
          <w:rFonts w:hint="eastAsia" w:hAnsi="宋体"/>
          <w:u w:val="single"/>
        </w:rPr>
        <w:t xml:space="preserve">                                   　　　   </w:t>
      </w:r>
    </w:p>
    <w:p>
      <w:pPr>
        <w:pStyle w:val="24"/>
        <w:spacing w:line="360" w:lineRule="exact"/>
        <w:ind w:firstLine="420"/>
        <w:rPr>
          <w:rFonts w:hAnsi="宋体"/>
        </w:rPr>
      </w:pPr>
      <w:r>
        <w:rPr>
          <w:rFonts w:hint="eastAsia" w:hAnsi="宋体"/>
        </w:rPr>
        <w:t>供应商（公章，自然人除外）：</w:t>
      </w:r>
    </w:p>
    <w:p>
      <w:pPr>
        <w:pStyle w:val="24"/>
        <w:spacing w:line="400" w:lineRule="exact"/>
        <w:ind w:firstLine="420"/>
        <w:rPr>
          <w:rFonts w:hAnsi="宋体"/>
          <w:u w:val="single"/>
        </w:rPr>
      </w:pPr>
      <w:r>
        <w:rPr>
          <w:rFonts w:hint="eastAsia" w:hAnsi="宋体"/>
        </w:rPr>
        <w:t>法定代表人</w:t>
      </w:r>
      <w:r>
        <w:rPr>
          <w:rFonts w:hint="eastAsia" w:hAnsi="宋体"/>
          <w:sz w:val="24"/>
        </w:rPr>
        <w:t>（</w:t>
      </w:r>
      <w:r>
        <w:rPr>
          <w:rFonts w:hint="eastAsia" w:hAnsi="宋体"/>
        </w:rPr>
        <w:t>供应商若为其他组织形式无法定代表人的为机构负责人，供应商若为自然人的为自然人</w:t>
      </w:r>
      <w:r>
        <w:rPr>
          <w:rFonts w:hint="eastAsia" w:hAnsi="宋体"/>
          <w:sz w:val="24"/>
        </w:rPr>
        <w:t>）</w:t>
      </w:r>
      <w:r>
        <w:rPr>
          <w:rFonts w:hint="eastAsia" w:hAnsi="宋体"/>
        </w:rPr>
        <w:t>或相应的委托代理人签字或盖章（属自然人的应在签名处加盖食指指印）：</w:t>
      </w:r>
    </w:p>
    <w:p>
      <w:pPr>
        <w:pStyle w:val="24"/>
        <w:spacing w:line="400" w:lineRule="exact"/>
        <w:ind w:firstLine="420"/>
        <w:rPr>
          <w:u w:val="single"/>
        </w:rPr>
      </w:pPr>
      <w:r>
        <w:rPr>
          <w:rFonts w:hint="eastAsia"/>
          <w:bCs/>
        </w:rPr>
        <w:t>响应</w:t>
      </w:r>
      <w:r>
        <w:rPr>
          <w:rFonts w:hint="eastAsia"/>
        </w:rPr>
        <w:t>日期：</w:t>
      </w:r>
    </w:p>
    <w:p>
      <w:pPr>
        <w:pStyle w:val="24"/>
        <w:spacing w:line="400" w:lineRule="exact"/>
        <w:ind w:firstLine="420" w:firstLineChars="200"/>
        <w:rPr>
          <w:bCs/>
        </w:rPr>
      </w:pPr>
      <w:r>
        <w:rPr>
          <w:rFonts w:hint="eastAsia"/>
          <w:bCs/>
        </w:rPr>
        <w:t>注：</w:t>
      </w:r>
    </w:p>
    <w:p>
      <w:pPr>
        <w:pStyle w:val="24"/>
        <w:spacing w:line="400" w:lineRule="exact"/>
        <w:ind w:firstLine="420" w:firstLineChars="200"/>
        <w:rPr>
          <w:rFonts w:hAnsi="宋体"/>
          <w:bCs/>
        </w:rPr>
      </w:pPr>
      <w:r>
        <w:rPr>
          <w:rFonts w:hint="eastAsia"/>
          <w:bCs/>
        </w:rPr>
        <w:t>响应函</w:t>
      </w:r>
      <w:r>
        <w:rPr>
          <w:rFonts w:hint="eastAsia" w:hAnsi="宋体"/>
          <w:bCs/>
        </w:rPr>
        <w:t>须由法定代表人（</w:t>
      </w:r>
      <w:r>
        <w:rPr>
          <w:rFonts w:hint="eastAsia" w:hAnsi="宋体"/>
          <w:sz w:val="24"/>
        </w:rPr>
        <w:t>供应商若为其他组织形式无法定代表人的为机构负责人，供应商若为自然人的为自然人</w:t>
      </w:r>
      <w:r>
        <w:rPr>
          <w:rFonts w:hint="eastAsia" w:hAnsi="宋体"/>
          <w:bCs/>
        </w:rPr>
        <w:t>）或委托代理人签字或盖章（</w:t>
      </w:r>
      <w:r>
        <w:rPr>
          <w:rFonts w:hint="eastAsia" w:hAnsi="宋体"/>
        </w:rPr>
        <w:t>属自然人的应在签名处加盖食指指印</w:t>
      </w:r>
      <w:r>
        <w:rPr>
          <w:rFonts w:hint="eastAsia" w:hAnsi="宋体"/>
          <w:bCs/>
        </w:rPr>
        <w:t>）并加盖供应商公章（自然人除外）。</w:t>
      </w:r>
    </w:p>
    <w:p>
      <w:pPr>
        <w:ind w:right="-178" w:rightChars="-85" w:firstLine="210" w:firstLineChars="100"/>
        <w:jc w:val="left"/>
        <w:rPr>
          <w:rFonts w:ascii="宋体" w:hAnsi="宋体"/>
          <w:u w:val="single"/>
        </w:rPr>
      </w:pPr>
    </w:p>
    <w:p>
      <w:pPr>
        <w:pStyle w:val="24"/>
        <w:ind w:firstLine="840"/>
        <w:rPr>
          <w:rFonts w:hAnsi="宋体"/>
          <w:sz w:val="24"/>
          <w:szCs w:val="24"/>
        </w:rPr>
      </w:pPr>
    </w:p>
    <w:p>
      <w:pPr>
        <w:rPr>
          <w:rFonts w:ascii="宋体" w:hAnsi="宋体"/>
          <w:sz w:val="24"/>
        </w:rPr>
      </w:pPr>
    </w:p>
    <w:p>
      <w:pPr>
        <w:rPr>
          <w:rFonts w:ascii="宋体" w:hAnsi="宋体"/>
          <w:sz w:val="24"/>
        </w:rPr>
      </w:pPr>
      <w:r>
        <w:rPr>
          <w:rFonts w:ascii="宋体" w:hAnsi="宋体"/>
          <w:sz w:val="24"/>
        </w:rPr>
        <w:br w:type="page"/>
      </w:r>
      <w:r>
        <w:rPr>
          <w:rFonts w:hint="eastAsia" w:ascii="宋体" w:hAnsi="宋体"/>
          <w:sz w:val="24"/>
        </w:rPr>
        <w:t xml:space="preserve">附件二             </w:t>
      </w:r>
    </w:p>
    <w:p>
      <w:pPr>
        <w:jc w:val="center"/>
        <w:rPr>
          <w:rFonts w:ascii="宋体" w:hAnsi="宋体"/>
          <w:sz w:val="24"/>
        </w:rPr>
      </w:pPr>
      <w:r>
        <w:rPr>
          <w:rFonts w:hint="eastAsia" w:ascii="宋体" w:hAnsi="宋体"/>
          <w:b/>
          <w:sz w:val="32"/>
          <w:szCs w:val="32"/>
        </w:rPr>
        <w:t>报价明细表</w:t>
      </w:r>
    </w:p>
    <w:p>
      <w:pPr>
        <w:rPr>
          <w:rFonts w:ascii="宋体" w:hAnsi="宋体"/>
          <w:sz w:val="24"/>
          <w:u w:val="single"/>
        </w:rPr>
      </w:pPr>
      <w:r>
        <w:rPr>
          <w:rFonts w:hint="eastAsia" w:ascii="宋体" w:hAnsi="宋体"/>
          <w:sz w:val="24"/>
        </w:rPr>
        <w:t>采购项目编号:</w:t>
      </w:r>
    </w:p>
    <w:p>
      <w:pPr>
        <w:rPr>
          <w:rFonts w:ascii="宋体" w:hAnsi="宋体"/>
          <w:sz w:val="24"/>
          <w:u w:val="single"/>
        </w:rPr>
      </w:pPr>
      <w:r>
        <w:rPr>
          <w:rFonts w:hint="eastAsia" w:ascii="宋体" w:hAnsi="宋体"/>
          <w:sz w:val="24"/>
        </w:rPr>
        <w:t>采购项目名称:</w:t>
      </w:r>
    </w:p>
    <w:p>
      <w:pPr>
        <w:snapToGrid w:val="0"/>
        <w:rPr>
          <w:rFonts w:ascii="宋体" w:hAnsi="宋体"/>
          <w:b/>
          <w:sz w:val="24"/>
        </w:rPr>
      </w:pPr>
    </w:p>
    <w:tbl>
      <w:tblPr>
        <w:tblStyle w:val="43"/>
        <w:tblpPr w:leftFromText="180" w:rightFromText="180" w:vertAnchor="text" w:horzAnchor="margin" w:tblpY="25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货物名称</w:t>
            </w: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数量①</w:t>
            </w: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货物全称、品牌、生产厂家及国别</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报价合计（包含装卸、运输等所有费用）：（大写）人民币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u w:val="single"/>
              </w:rPr>
              <w:t>　　</w:t>
            </w:r>
            <w:r>
              <w:rPr>
                <w:rFonts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供应商</w:t>
            </w:r>
            <w:r>
              <w:rPr>
                <w:rFonts w:eastAsia="仿宋_GB2312"/>
              </w:rPr>
              <w:t>（盖单位公章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供应商属自然人的应由自然人签字并加盖指印，供应商若为其他组织形式无法定代表人的应由机构负责人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否则按竞标无效处理</w:t>
      </w:r>
      <w:r>
        <w:rPr>
          <w:rFonts w:hint="eastAsia" w:ascii="仿宋_GB2312" w:eastAsia="仿宋_GB2312"/>
          <w:sz w:val="24"/>
        </w:rPr>
        <w:t>。</w:t>
      </w:r>
    </w:p>
    <w:p>
      <w:pPr>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widowControl/>
        <w:jc w:val="left"/>
        <w:rPr>
          <w:rFonts w:ascii="宋体" w:hAnsi="宋体"/>
          <w:sz w:val="24"/>
        </w:rPr>
      </w:pPr>
      <w:r>
        <w:rPr>
          <w:rFonts w:ascii="宋体" w:hAnsi="宋体"/>
          <w:sz w:val="24"/>
        </w:rPr>
        <w:br w:type="page"/>
      </w:r>
    </w:p>
    <w:p>
      <w:pPr>
        <w:rPr>
          <w:rFonts w:ascii="宋体" w:hAnsi="宋体"/>
          <w:sz w:val="24"/>
        </w:rPr>
      </w:pPr>
    </w:p>
    <w:p>
      <w:pPr>
        <w:adjustRightInd w:val="0"/>
        <w:snapToGrid w:val="0"/>
        <w:rPr>
          <w:rFonts w:hAnsi="宋体"/>
          <w:sz w:val="24"/>
        </w:rPr>
      </w:pPr>
      <w:r>
        <w:rPr>
          <w:rFonts w:hint="eastAsia" w:hAnsi="宋体"/>
          <w:sz w:val="24"/>
        </w:rPr>
        <w:t>附件三</w:t>
      </w:r>
    </w:p>
    <w:p>
      <w:pPr>
        <w:jc w:val="center"/>
        <w:rPr>
          <w:rFonts w:hAnsi="宋体"/>
          <w:b/>
          <w:sz w:val="32"/>
        </w:rPr>
      </w:pPr>
      <w:r>
        <w:rPr>
          <w:rFonts w:hint="eastAsia" w:hAnsi="宋体"/>
          <w:b/>
          <w:sz w:val="32"/>
        </w:rPr>
        <w:t>法定代表人身份证明书</w:t>
      </w:r>
    </w:p>
    <w:p>
      <w:pPr>
        <w:ind w:firstLine="840" w:firstLineChars="400"/>
        <w:rPr>
          <w:u w:val="single"/>
        </w:rPr>
      </w:pPr>
    </w:p>
    <w:p>
      <w:pPr>
        <w:ind w:firstLine="840" w:firstLineChars="400"/>
      </w:pPr>
      <w:r>
        <w:rPr>
          <w:rFonts w:hint="eastAsia"/>
          <w:u w:val="single"/>
        </w:rPr>
        <w:t xml:space="preserve">   （法定代表人名字）       </w:t>
      </w:r>
      <w:r>
        <w:rPr>
          <w:rFonts w:hint="eastAsia"/>
        </w:rPr>
        <w:t xml:space="preserve"> 在</w:t>
      </w:r>
      <w:r>
        <w:rPr>
          <w:rFonts w:hint="eastAsia"/>
          <w:u w:val="single"/>
        </w:rPr>
        <w:t xml:space="preserve">（ 单位名称）     </w:t>
      </w:r>
      <w:r>
        <w:rPr>
          <w:rFonts w:hint="eastAsia"/>
        </w:rPr>
        <w:t>任职务，是</w:t>
      </w:r>
      <w:r>
        <w:rPr>
          <w:rFonts w:hint="eastAsia"/>
          <w:u w:val="single"/>
        </w:rPr>
        <w:t xml:space="preserve">（ 单位名称）    </w:t>
      </w:r>
      <w:r>
        <w:rPr>
          <w:rFonts w:hint="eastAsia"/>
        </w:rPr>
        <w:t>的法定代表人。</w:t>
      </w:r>
    </w:p>
    <w:p>
      <w:pPr>
        <w:ind w:firstLine="735" w:firstLineChars="350"/>
      </w:pPr>
      <w:r>
        <w:rPr>
          <w:rFonts w:hint="eastAsia"/>
        </w:rPr>
        <w:t>特此证明。</w:t>
      </w:r>
    </w:p>
    <w:p/>
    <w:p/>
    <w:p>
      <w:pPr>
        <w:rPr>
          <w:u w:val="single"/>
        </w:rPr>
      </w:pPr>
      <w:r>
        <w:rPr>
          <w:rFonts w:hint="eastAsia"/>
        </w:rPr>
        <w:t xml:space="preserve">                                     单位名称：</w:t>
      </w:r>
    </w:p>
    <w:p>
      <w:r>
        <w:rPr>
          <w:rFonts w:hint="eastAsia"/>
        </w:rPr>
        <w:t xml:space="preserve">                                                        （单位公章）</w:t>
      </w:r>
    </w:p>
    <w:p>
      <w:r>
        <w:rPr>
          <w:rFonts w:hint="eastAsia"/>
        </w:rPr>
        <w:t xml:space="preserve">                                                        年     月    日</w:t>
      </w:r>
    </w:p>
    <w:p/>
    <w:p>
      <w:pPr>
        <w:ind w:firstLine="315" w:firstLineChars="150"/>
      </w:pPr>
      <w:r>
        <w:rPr>
          <w:rFonts w:hint="eastAsia"/>
        </w:rPr>
        <w:t>法定代表人身份证号码：</w:t>
      </w:r>
    </w:p>
    <w:p>
      <w:pPr>
        <w:ind w:firstLine="315" w:firstLineChars="150"/>
      </w:pPr>
      <w:r>
        <w:rPr>
          <w:rFonts w:hint="eastAsia"/>
        </w:rPr>
        <w:t>住    址：</w:t>
      </w:r>
    </w:p>
    <w:p>
      <w:pPr>
        <w:pStyle w:val="24"/>
        <w:jc w:val="center"/>
      </w:pPr>
    </w:p>
    <w:p>
      <w:pPr>
        <w:pStyle w:val="24"/>
        <w:jc w:val="center"/>
      </w:pPr>
    </w:p>
    <w:p>
      <w:pPr>
        <w:pStyle w:val="24"/>
        <w:jc w:val="center"/>
      </w:pPr>
    </w:p>
    <w:p>
      <w:pPr>
        <w:adjustRightInd w:val="0"/>
        <w:snapToGrid w:val="0"/>
        <w:rPr>
          <w:rFonts w:ascii="宋体" w:hAnsi="宋体"/>
          <w:sz w:val="24"/>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rPr>
                <w:rFonts w:ascii="宋体" w:hAnsi="宋体"/>
                <w:sz w:val="24"/>
              </w:rPr>
            </w:pPr>
            <w:r>
              <w:rPr>
                <w:rFonts w:hint="eastAsia" w:ascii="宋体" w:hAnsi="宋体"/>
                <w:sz w:val="24"/>
              </w:rPr>
              <w:t>粘贴法定代表人身份证（正、反面复印件）</w:t>
            </w:r>
          </w:p>
        </w:tc>
      </w:tr>
    </w:tbl>
    <w:p>
      <w:pPr>
        <w:autoSpaceDE w:val="0"/>
        <w:autoSpaceDN w:val="0"/>
        <w:ind w:hanging="480"/>
        <w:rPr>
          <w:rFonts w:ascii="宋体" w:hAnsi="宋体"/>
          <w:sz w:val="24"/>
        </w:rPr>
      </w:pPr>
    </w:p>
    <w:p>
      <w:pPr>
        <w:autoSpaceDE w:val="0"/>
        <w:autoSpaceDN w:val="0"/>
        <w:ind w:hanging="480"/>
        <w:rPr>
          <w:rFonts w:ascii="宋体" w:hAnsi="宋体"/>
          <w:sz w:val="24"/>
        </w:rPr>
      </w:pPr>
    </w:p>
    <w:p>
      <w:pPr>
        <w:pStyle w:val="24"/>
      </w:pPr>
      <w:r>
        <w:br w:type="page"/>
      </w:r>
      <w:r>
        <w:rPr>
          <w:rFonts w:hint="eastAsia"/>
        </w:rPr>
        <w:t>附件四</w:t>
      </w:r>
    </w:p>
    <w:p>
      <w:pPr>
        <w:pStyle w:val="24"/>
        <w:ind w:firstLine="630" w:firstLineChars="196"/>
        <w:jc w:val="center"/>
        <w:rPr>
          <w:rFonts w:hAnsi="宋体"/>
          <w:b/>
          <w:sz w:val="32"/>
        </w:rPr>
      </w:pPr>
      <w:r>
        <w:rPr>
          <w:rFonts w:hint="eastAsia" w:hAnsi="宋体"/>
          <w:b/>
          <w:sz w:val="32"/>
        </w:rPr>
        <w:t>授权委托书（格式一）</w:t>
      </w:r>
    </w:p>
    <w:p>
      <w:pPr>
        <w:spacing w:line="400" w:lineRule="exact"/>
        <w:rPr>
          <w:rFonts w:ascii="宋体" w:hAnsi="宋体"/>
        </w:rPr>
      </w:pPr>
      <w:r>
        <w:rPr>
          <w:rFonts w:hint="eastAsia" w:ascii="宋体" w:hAnsi="宋体"/>
          <w:szCs w:val="21"/>
        </w:rPr>
        <w:t>致：</w:t>
      </w:r>
      <w:r>
        <w:rPr>
          <w:rFonts w:hint="eastAsia" w:ascii="宋体" w:hAnsi="宋体"/>
          <w:szCs w:val="21"/>
          <w:u w:val="single"/>
        </w:rPr>
        <w:t xml:space="preserve"> (采购单位名称)</w:t>
      </w:r>
    </w:p>
    <w:p>
      <w:pPr>
        <w:pStyle w:val="24"/>
        <w:spacing w:line="400" w:lineRule="exact"/>
        <w:ind w:firstLine="420" w:firstLineChars="200"/>
        <w:rPr>
          <w:rFonts w:hAnsi="宋体"/>
        </w:rPr>
      </w:pPr>
      <w:r>
        <w:rPr>
          <w:rFonts w:hint="eastAsia" w:hAnsi="宋体"/>
          <w:kern w:val="0"/>
        </w:rPr>
        <w:t>我（姓名）系（供应商名称）的法定代表人</w:t>
      </w:r>
      <w:r>
        <w:rPr>
          <w:rFonts w:hint="eastAsia" w:hAnsi="宋体"/>
          <w:sz w:val="24"/>
        </w:rPr>
        <w:t>（</w:t>
      </w:r>
      <w:r>
        <w:rPr>
          <w:rFonts w:hint="eastAsia" w:asciiTheme="minorEastAsia" w:hAnsiTheme="minorEastAsia" w:eastAsiaTheme="minorEastAsia"/>
          <w:sz w:val="24"/>
        </w:rPr>
        <w:t>供应商若为其他组织形式无法定代表人的应为机构负责人</w:t>
      </w:r>
      <w:r>
        <w:rPr>
          <w:rFonts w:hint="eastAsia" w:hAnsi="宋体"/>
          <w:sz w:val="24"/>
        </w:rPr>
        <w:t>）</w:t>
      </w:r>
      <w:r>
        <w:rPr>
          <w:rFonts w:hint="eastAsia" w:hAnsi="宋体"/>
          <w:kern w:val="0"/>
        </w:rPr>
        <w:t>，现授权委托本单位在职职工（姓 名）以我公司名义参加</w:t>
      </w:r>
      <w:r>
        <w:rPr>
          <w:rFonts w:hint="eastAsia" w:hAnsi="宋体"/>
          <w:u w:val="single"/>
        </w:rPr>
        <w:t xml:space="preserve">（项目名称及项目编号）        </w:t>
      </w:r>
      <w:r>
        <w:rPr>
          <w:rFonts w:hint="eastAsia" w:hAnsi="宋体"/>
        </w:rPr>
        <w:t>项目的谈判活动，并代表我方全权办理针对上述项目的谈判、签约等具体事务和签署相关文件。</w:t>
      </w:r>
    </w:p>
    <w:p>
      <w:pPr>
        <w:pStyle w:val="24"/>
        <w:spacing w:line="400" w:lineRule="exact"/>
        <w:ind w:firstLine="420" w:firstLineChars="200"/>
        <w:rPr>
          <w:rFonts w:hAnsi="宋体"/>
        </w:rPr>
      </w:pPr>
      <w:r>
        <w:rPr>
          <w:rFonts w:hint="eastAsia" w:hAnsi="宋体"/>
        </w:rPr>
        <w:t>我方对被授权人的签字事项负全部责任。</w:t>
      </w:r>
    </w:p>
    <w:p>
      <w:pPr>
        <w:snapToGrid w:val="0"/>
        <w:spacing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rPr>
          <w:rFonts w:ascii="宋体" w:hAnsi="宋体"/>
          <w:szCs w:val="21"/>
        </w:rPr>
      </w:pPr>
      <w:r>
        <w:rPr>
          <w:rFonts w:hint="eastAsia" w:ascii="宋体" w:hAnsi="宋体"/>
          <w:szCs w:val="21"/>
        </w:rPr>
        <w:t>被授权人无转委托权，特此委托。</w:t>
      </w:r>
    </w:p>
    <w:p>
      <w:pPr>
        <w:snapToGrid w:val="0"/>
        <w:spacing w:line="400" w:lineRule="exact"/>
        <w:rPr>
          <w:rFonts w:ascii="宋体" w:hAnsi="宋体"/>
          <w:szCs w:val="21"/>
        </w:rPr>
      </w:pPr>
    </w:p>
    <w:p>
      <w:pPr>
        <w:snapToGrid w:val="0"/>
        <w:spacing w:line="400" w:lineRule="exact"/>
        <w:rPr>
          <w:rFonts w:ascii="宋体" w:hAnsi="宋体"/>
          <w:szCs w:val="21"/>
          <w:u w:val="single"/>
        </w:rPr>
      </w:pPr>
      <w:r>
        <w:rPr>
          <w:rFonts w:hint="eastAsia" w:ascii="宋体" w:hAnsi="宋体"/>
          <w:szCs w:val="21"/>
        </w:rPr>
        <w:t>被授权人签名：</w:t>
      </w:r>
    </w:p>
    <w:p>
      <w:pPr>
        <w:snapToGrid w:val="0"/>
        <w:spacing w:line="400" w:lineRule="exact"/>
        <w:rPr>
          <w:rFonts w:ascii="宋体" w:hAnsi="宋体"/>
          <w:szCs w:val="21"/>
        </w:rPr>
      </w:pPr>
      <w:r>
        <w:rPr>
          <w:rFonts w:hint="eastAsia" w:ascii="宋体" w:hAnsi="宋体"/>
          <w:szCs w:val="21"/>
        </w:rPr>
        <w:t>所在部门：</w:t>
      </w:r>
    </w:p>
    <w:p>
      <w:pPr>
        <w:snapToGrid w:val="0"/>
        <w:spacing w:line="400" w:lineRule="exact"/>
        <w:rPr>
          <w:rFonts w:ascii="宋体" w:hAnsi="宋体"/>
          <w:szCs w:val="21"/>
        </w:rPr>
      </w:pPr>
      <w:r>
        <w:rPr>
          <w:rFonts w:hint="eastAsia" w:ascii="宋体" w:hAnsi="宋体"/>
          <w:szCs w:val="21"/>
        </w:rPr>
        <w:t>职  务：</w:t>
      </w:r>
    </w:p>
    <w:p>
      <w:pPr>
        <w:snapToGrid w:val="0"/>
        <w:spacing w:line="400" w:lineRule="exact"/>
        <w:rPr>
          <w:rFonts w:ascii="宋体" w:hAnsi="宋体"/>
          <w:szCs w:val="21"/>
        </w:rPr>
      </w:pPr>
      <w:r>
        <w:rPr>
          <w:rFonts w:hint="eastAsia" w:ascii="宋体" w:hAnsi="宋体"/>
          <w:szCs w:val="21"/>
        </w:rPr>
        <w:t>被授权人身份证号码：</w:t>
      </w:r>
    </w:p>
    <w:p>
      <w:pPr>
        <w:snapToGrid w:val="0"/>
        <w:spacing w:line="400" w:lineRule="exact"/>
        <w:ind w:firstLine="6300" w:firstLineChars="3000"/>
        <w:outlineLvl w:val="4"/>
        <w:rPr>
          <w:rFonts w:ascii="宋体" w:hAnsi="宋体"/>
          <w:szCs w:val="21"/>
          <w:u w:val="single"/>
        </w:rPr>
      </w:pPr>
      <w:r>
        <w:rPr>
          <w:rFonts w:hint="eastAsia" w:ascii="宋体" w:hAnsi="宋体"/>
          <w:szCs w:val="21"/>
        </w:rPr>
        <w:t>供应商（公章）：</w:t>
      </w:r>
    </w:p>
    <w:p>
      <w:pPr>
        <w:snapToGrid w:val="0"/>
        <w:spacing w:line="400" w:lineRule="exact"/>
        <w:ind w:firstLine="4830" w:firstLineChars="2300"/>
        <w:outlineLvl w:val="4"/>
        <w:rPr>
          <w:rFonts w:ascii="宋体" w:hAnsi="宋体"/>
          <w:szCs w:val="21"/>
          <w:u w:val="single"/>
        </w:rPr>
      </w:pPr>
      <w:r>
        <w:rPr>
          <w:rFonts w:hint="eastAsia" w:ascii="宋体" w:hAnsi="宋体"/>
          <w:szCs w:val="21"/>
        </w:rPr>
        <w:t>法定代表人（若为其他组织形式无法定代表人的应为机构负责人）签字或盖章：</w:t>
      </w:r>
    </w:p>
    <w:p>
      <w:pPr>
        <w:snapToGrid w:val="0"/>
        <w:spacing w:line="400" w:lineRule="exact"/>
        <w:ind w:firstLine="5460" w:firstLineChars="2600"/>
        <w:outlineLvl w:val="4"/>
        <w:rPr>
          <w:rFonts w:ascii="宋体" w:hAnsi="宋体"/>
          <w:b/>
          <w:szCs w:val="21"/>
        </w:rPr>
      </w:pPr>
      <w:r>
        <w:rPr>
          <w:rFonts w:hint="eastAsia" w:ascii="宋体" w:hAnsi="宋体"/>
          <w:szCs w:val="21"/>
        </w:rPr>
        <w:t>年月日</w:t>
      </w:r>
    </w:p>
    <w:p>
      <w:pPr>
        <w:snapToGrid w:val="0"/>
        <w:spacing w:line="400" w:lineRule="exact"/>
        <w:outlineLvl w:val="4"/>
        <w:rPr>
          <w:rFonts w:hAnsi="宋体"/>
          <w:b/>
          <w:sz w:val="32"/>
        </w:rPr>
      </w:pPr>
      <w:r>
        <w:rPr>
          <w:rFonts w:hint="eastAsia" w:ascii="宋体" w:hAnsi="宋体"/>
          <w:b/>
          <w:szCs w:val="21"/>
        </w:rPr>
        <w:t>附：委托代理人有效的身份证正反两面复印件；如为联合体投标，此授权书必须为主体方（牵头方）授权。</w:t>
      </w: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499" w:type="dxa"/>
          </w:tcPr>
          <w:p>
            <w:pPr>
              <w:rPr>
                <w:rFonts w:ascii="宋体" w:hAnsi="宋体"/>
                <w:sz w:val="24"/>
              </w:rPr>
            </w:pPr>
            <w:r>
              <w:rPr>
                <w:rFonts w:hint="eastAsia" w:ascii="宋体" w:hAnsi="宋体"/>
                <w:sz w:val="24"/>
              </w:rPr>
              <w:t>粘贴被授权人身份证（正、反面复印件）</w:t>
            </w:r>
          </w:p>
        </w:tc>
      </w:tr>
    </w:tbl>
    <w:p>
      <w:pPr>
        <w:autoSpaceDE w:val="0"/>
        <w:autoSpaceDN w:val="0"/>
        <w:ind w:hanging="480"/>
        <w:rPr>
          <w:rFonts w:ascii="宋体" w:hAnsi="宋体"/>
          <w:sz w:val="24"/>
        </w:rPr>
      </w:pPr>
    </w:p>
    <w:p>
      <w:pPr>
        <w:pStyle w:val="24"/>
        <w:rPr>
          <w:rFonts w:hAnsi="宋体"/>
          <w:sz w:val="24"/>
          <w:szCs w:val="24"/>
        </w:rPr>
      </w:pPr>
      <w:r>
        <w:rPr>
          <w:rFonts w:hAnsi="宋体"/>
          <w:sz w:val="24"/>
          <w:szCs w:val="24"/>
        </w:rPr>
        <w:br w:type="page"/>
      </w:r>
    </w:p>
    <w:p>
      <w:pPr>
        <w:snapToGrid w:val="0"/>
        <w:spacing w:line="400" w:lineRule="exact"/>
        <w:ind w:firstLine="420"/>
        <w:jc w:val="center"/>
        <w:outlineLvl w:val="4"/>
        <w:rPr>
          <w:rFonts w:hAnsi="宋体"/>
          <w:b/>
          <w:sz w:val="32"/>
        </w:rPr>
      </w:pPr>
      <w:r>
        <w:rPr>
          <w:rFonts w:hint="eastAsia" w:hAnsi="宋体"/>
          <w:b/>
          <w:sz w:val="32"/>
        </w:rPr>
        <w:t>授权委托书（格式二）</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szCs w:val="21"/>
          <w:u w:val="single"/>
        </w:rPr>
        <w:t>(采购单位名称)</w:t>
      </w:r>
    </w:p>
    <w:p>
      <w:pPr>
        <w:snapToGrid w:val="0"/>
        <w:spacing w:line="400" w:lineRule="exact"/>
        <w:outlineLvl w:val="4"/>
        <w:rPr>
          <w:rFonts w:ascii="宋体" w:hAnsi="宋体"/>
          <w:szCs w:val="21"/>
          <w:u w:val="single"/>
        </w:rPr>
      </w:pPr>
    </w:p>
    <w:p>
      <w:pPr>
        <w:pStyle w:val="24"/>
        <w:spacing w:line="340" w:lineRule="exact"/>
        <w:ind w:firstLine="420" w:firstLineChars="200"/>
        <w:rPr>
          <w:rFonts w:hAnsi="宋体"/>
        </w:rPr>
      </w:pPr>
      <w:r>
        <w:rPr>
          <w:rFonts w:hint="eastAsia" w:hAnsi="宋体"/>
          <w:kern w:val="0"/>
        </w:rPr>
        <w:t>我（姓名）系自然人，现授权委托（姓 名）以本人名义参加</w:t>
      </w:r>
      <w:r>
        <w:rPr>
          <w:rFonts w:hint="eastAsia" w:hAnsi="宋体"/>
          <w:u w:val="single"/>
        </w:rPr>
        <w:t xml:space="preserve">（项目名称及项目编号）        </w:t>
      </w:r>
      <w:r>
        <w:rPr>
          <w:rFonts w:hint="eastAsia" w:hAnsi="宋体"/>
        </w:rPr>
        <w:t>项目的谈判活动，并代表本人全权办理针对上述项目的谈判、签约等具体事务和签署相关文件。</w:t>
      </w:r>
    </w:p>
    <w:p>
      <w:pPr>
        <w:pStyle w:val="24"/>
        <w:spacing w:line="340" w:lineRule="exact"/>
        <w:ind w:firstLine="420" w:firstLineChars="200"/>
        <w:rPr>
          <w:rFonts w:hAnsi="宋体"/>
        </w:rPr>
      </w:pPr>
      <w:r>
        <w:rPr>
          <w:rFonts w:hint="eastAsia" w:hAnsi="宋体"/>
        </w:rPr>
        <w:t>本人对被授权人的签字事项负全部责任。</w:t>
      </w:r>
    </w:p>
    <w:p>
      <w:pPr>
        <w:snapToGrid w:val="0"/>
        <w:spacing w:line="40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400" w:lineRule="exact"/>
        <w:ind w:firstLine="480"/>
        <w:rPr>
          <w:rFonts w:ascii="宋体" w:hAnsi="宋体"/>
          <w:szCs w:val="21"/>
        </w:rPr>
      </w:pPr>
      <w:r>
        <w:rPr>
          <w:rFonts w:hint="eastAsia" w:ascii="宋体" w:hAnsi="宋体"/>
          <w:szCs w:val="21"/>
        </w:rPr>
        <w:t>被授权人无转委托权，特此委托。</w:t>
      </w:r>
    </w:p>
    <w:p>
      <w:pPr>
        <w:snapToGrid w:val="0"/>
        <w:spacing w:line="400" w:lineRule="exact"/>
        <w:rPr>
          <w:rFonts w:ascii="宋体" w:hAnsi="宋体"/>
          <w:szCs w:val="21"/>
        </w:rPr>
      </w:pPr>
    </w:p>
    <w:p>
      <w:pPr>
        <w:snapToGrid w:val="0"/>
        <w:spacing w:line="400" w:lineRule="exact"/>
        <w:rPr>
          <w:rFonts w:ascii="宋体" w:hAnsi="宋体"/>
          <w:szCs w:val="21"/>
          <w:u w:val="single"/>
        </w:rPr>
      </w:pPr>
      <w:r>
        <w:rPr>
          <w:rFonts w:hint="eastAsia" w:ascii="宋体" w:hAnsi="宋体"/>
          <w:szCs w:val="21"/>
        </w:rPr>
        <w:t>被授权人签名：</w:t>
      </w:r>
    </w:p>
    <w:p>
      <w:pPr>
        <w:snapToGrid w:val="0"/>
        <w:spacing w:line="400" w:lineRule="exact"/>
        <w:rPr>
          <w:rFonts w:ascii="宋体" w:hAnsi="宋体"/>
          <w:szCs w:val="21"/>
        </w:rPr>
      </w:pPr>
      <w:r>
        <w:rPr>
          <w:rFonts w:hint="eastAsia" w:ascii="宋体" w:hAnsi="宋体"/>
          <w:szCs w:val="21"/>
        </w:rPr>
        <w:t>所在部门：</w:t>
      </w:r>
    </w:p>
    <w:p>
      <w:pPr>
        <w:snapToGrid w:val="0"/>
        <w:spacing w:line="400" w:lineRule="exact"/>
        <w:rPr>
          <w:rFonts w:ascii="宋体" w:hAnsi="宋体"/>
          <w:szCs w:val="21"/>
        </w:rPr>
      </w:pPr>
      <w:r>
        <w:rPr>
          <w:rFonts w:hint="eastAsia" w:ascii="宋体" w:hAnsi="宋体"/>
          <w:szCs w:val="21"/>
        </w:rPr>
        <w:t>职  务：</w:t>
      </w:r>
    </w:p>
    <w:p>
      <w:pPr>
        <w:snapToGrid w:val="0"/>
        <w:spacing w:line="400" w:lineRule="exact"/>
        <w:rPr>
          <w:rFonts w:ascii="宋体" w:hAnsi="宋体"/>
          <w:szCs w:val="21"/>
        </w:rPr>
      </w:pPr>
      <w:r>
        <w:rPr>
          <w:rFonts w:hint="eastAsia" w:ascii="宋体" w:hAnsi="宋体"/>
          <w:szCs w:val="21"/>
        </w:rPr>
        <w:t>被授权人身份证号码：</w:t>
      </w:r>
    </w:p>
    <w:p>
      <w:pPr>
        <w:snapToGrid w:val="0"/>
        <w:spacing w:line="400" w:lineRule="exact"/>
        <w:ind w:firstLine="420"/>
        <w:outlineLvl w:val="4"/>
        <w:rPr>
          <w:rFonts w:ascii="宋体" w:hAnsi="宋体"/>
          <w:szCs w:val="21"/>
        </w:rPr>
      </w:pPr>
      <w:r>
        <w:rPr>
          <w:rFonts w:hint="eastAsia" w:ascii="宋体" w:hAnsi="宋体"/>
          <w:szCs w:val="21"/>
        </w:rPr>
        <w:t>自然人签字并在签名处加盖食指指印：</w:t>
      </w:r>
    </w:p>
    <w:p>
      <w:pPr>
        <w:snapToGrid w:val="0"/>
        <w:spacing w:line="340" w:lineRule="exact"/>
        <w:ind w:firstLine="420"/>
        <w:outlineLvl w:val="4"/>
        <w:rPr>
          <w:rFonts w:ascii="宋体" w:hAnsi="宋体"/>
          <w:szCs w:val="21"/>
        </w:rPr>
      </w:pPr>
      <w:r>
        <w:rPr>
          <w:rFonts w:hint="eastAsia" w:ascii="宋体" w:hAnsi="宋体"/>
          <w:szCs w:val="21"/>
        </w:rPr>
        <w:t>　　 年月日</w:t>
      </w:r>
    </w:p>
    <w:p>
      <w:pPr>
        <w:adjustRightInd w:val="0"/>
        <w:snapToGrid w:val="0"/>
        <w:rPr>
          <w:rFonts w:ascii="宋体" w:hAnsi="宋体"/>
          <w:sz w:val="24"/>
          <w:u w:val="single"/>
        </w:rPr>
      </w:pPr>
    </w:p>
    <w:tbl>
      <w:tblPr>
        <w:tblStyle w:val="43"/>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1" w:hRule="atLeast"/>
        </w:trPr>
        <w:tc>
          <w:tcPr>
            <w:tcW w:w="8499" w:type="dxa"/>
          </w:tcPr>
          <w:p>
            <w:pPr>
              <w:rPr>
                <w:rFonts w:ascii="宋体" w:hAnsi="宋体"/>
                <w:sz w:val="24"/>
              </w:rPr>
            </w:pPr>
            <w:r>
              <w:rPr>
                <w:rFonts w:hint="eastAsia" w:ascii="宋体" w:hAnsi="宋体"/>
                <w:sz w:val="24"/>
              </w:rPr>
              <w:t>粘贴被授权人身份证（正、反面复印件）</w:t>
            </w:r>
          </w:p>
        </w:tc>
      </w:tr>
    </w:tbl>
    <w:p>
      <w:pPr>
        <w:autoSpaceDE w:val="0"/>
        <w:autoSpaceDN w:val="0"/>
        <w:ind w:hanging="480"/>
        <w:rPr>
          <w:rFonts w:ascii="宋体" w:hAnsi="宋体"/>
          <w:sz w:val="24"/>
        </w:rPr>
      </w:pPr>
    </w:p>
    <w:p>
      <w:pPr>
        <w:pStyle w:val="24"/>
        <w:rPr>
          <w:rFonts w:hAnsi="宋体"/>
          <w:sz w:val="24"/>
          <w:szCs w:val="24"/>
        </w:rPr>
      </w:pPr>
      <w:r>
        <w:rPr>
          <w:rFonts w:hAnsi="宋体"/>
          <w:sz w:val="24"/>
          <w:szCs w:val="24"/>
        </w:rPr>
        <w:br w:type="page"/>
      </w:r>
    </w:p>
    <w:p>
      <w:pPr>
        <w:pStyle w:val="24"/>
        <w:spacing w:line="400" w:lineRule="exact"/>
      </w:pPr>
      <w:r>
        <w:rPr>
          <w:rFonts w:hint="eastAsia"/>
        </w:rPr>
        <w:t>附件五：</w:t>
      </w:r>
    </w:p>
    <w:p>
      <w:pPr>
        <w:pStyle w:val="24"/>
        <w:spacing w:line="400" w:lineRule="exact"/>
        <w:ind w:firstLine="2088" w:firstLineChars="650"/>
        <w:rPr>
          <w:rFonts w:hAnsi="宋体"/>
          <w:b/>
          <w:sz w:val="32"/>
          <w:szCs w:val="32"/>
        </w:rPr>
      </w:pPr>
      <w:r>
        <w:rPr>
          <w:rFonts w:hint="eastAsia" w:hAnsi="宋体"/>
          <w:b/>
          <w:sz w:val="32"/>
          <w:szCs w:val="32"/>
        </w:rPr>
        <w:t>供应商参加政府采购活动前3年内</w:t>
      </w:r>
    </w:p>
    <w:p>
      <w:pPr>
        <w:pStyle w:val="24"/>
        <w:spacing w:line="400" w:lineRule="exact"/>
        <w:ind w:firstLine="1446" w:firstLineChars="450"/>
        <w:rPr>
          <w:rFonts w:hAnsi="宋体"/>
          <w:b/>
          <w:sz w:val="32"/>
          <w:szCs w:val="32"/>
        </w:rPr>
      </w:pPr>
      <w:r>
        <w:rPr>
          <w:rFonts w:hint="eastAsia" w:hAnsi="宋体"/>
          <w:b/>
          <w:sz w:val="32"/>
          <w:szCs w:val="32"/>
        </w:rPr>
        <w:t>在经营活动中没有重大违法记录的书面声明</w:t>
      </w:r>
    </w:p>
    <w:p>
      <w:pPr>
        <w:pStyle w:val="24"/>
        <w:spacing w:line="400" w:lineRule="exact"/>
        <w:ind w:left="420" w:leftChars="200" w:firstLine="157" w:firstLineChars="49"/>
        <w:rPr>
          <w:rFonts w:hAnsi="宋体"/>
          <w:b/>
          <w:sz w:val="32"/>
          <w:szCs w:val="32"/>
        </w:rPr>
      </w:pP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szCs w:val="21"/>
          <w:u w:val="single"/>
        </w:rPr>
        <w:t>(采购单位名称)</w:t>
      </w:r>
    </w:p>
    <w:p>
      <w:pPr>
        <w:snapToGrid w:val="0"/>
        <w:spacing w:line="400" w:lineRule="exact"/>
        <w:outlineLvl w:val="4"/>
        <w:rPr>
          <w:rFonts w:ascii="宋体" w:hAnsi="宋体"/>
          <w:szCs w:val="21"/>
          <w:u w:val="single"/>
        </w:rPr>
      </w:pPr>
    </w:p>
    <w:p>
      <w:pPr>
        <w:pStyle w:val="24"/>
        <w:spacing w:line="400" w:lineRule="exact"/>
        <w:ind w:firstLine="420" w:firstLineChars="200"/>
      </w:pPr>
      <w:r>
        <w:rPr>
          <w:rFonts w:hint="eastAsia"/>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4"/>
        <w:rPr>
          <w:rFonts w:ascii="宋体" w:hAnsi="宋体"/>
          <w:szCs w:val="21"/>
        </w:rPr>
      </w:pPr>
    </w:p>
    <w:p>
      <w:pPr>
        <w:snapToGrid w:val="0"/>
        <w:spacing w:line="400" w:lineRule="exact"/>
        <w:ind w:firstLine="420"/>
        <w:outlineLvl w:val="4"/>
        <w:rPr>
          <w:rFonts w:ascii="宋体" w:hAnsi="宋体"/>
          <w:szCs w:val="21"/>
        </w:rPr>
      </w:pPr>
    </w:p>
    <w:p>
      <w:pPr>
        <w:snapToGrid w:val="0"/>
        <w:spacing w:line="400" w:lineRule="exact"/>
        <w:ind w:firstLine="4935" w:firstLineChars="2350"/>
        <w:outlineLvl w:val="4"/>
        <w:rPr>
          <w:rFonts w:ascii="宋体" w:hAnsi="宋体"/>
          <w:szCs w:val="21"/>
          <w:u w:val="single"/>
        </w:rPr>
      </w:pPr>
      <w:r>
        <w:rPr>
          <w:rFonts w:hint="eastAsia" w:ascii="宋体" w:hAnsi="宋体"/>
          <w:szCs w:val="21"/>
        </w:rPr>
        <w:t>供应商（公章，自然人除外）：</w:t>
      </w:r>
    </w:p>
    <w:p>
      <w:pPr>
        <w:snapToGrid w:val="0"/>
        <w:spacing w:line="400" w:lineRule="exact"/>
        <w:ind w:firstLine="420"/>
        <w:outlineLvl w:val="4"/>
        <w:rPr>
          <w:rFonts w:ascii="宋体" w:hAnsi="宋体"/>
          <w:szCs w:val="21"/>
        </w:rPr>
      </w:pPr>
    </w:p>
    <w:p>
      <w:pPr>
        <w:spacing w:line="340" w:lineRule="exact"/>
        <w:ind w:left="4935" w:leftChars="2350"/>
        <w:rPr>
          <w:rFonts w:ascii="宋体" w:hAnsi="宋体"/>
          <w:szCs w:val="21"/>
          <w:u w:val="single"/>
        </w:rPr>
      </w:pPr>
      <w:r>
        <w:rPr>
          <w:rFonts w:hint="eastAsia" w:hAnsi="宋体"/>
        </w:rPr>
        <w:t>法定代表人或相应的委托代理人签字或盖章（</w:t>
      </w:r>
      <w:r>
        <w:rPr>
          <w:rFonts w:hint="eastAsia" w:eastAsia="仿宋_GB2312"/>
        </w:rPr>
        <w:t>供应商属自然人的应由自然人签字并加盖指印，供应商若为其他组织形式无法定代表人的应由机构负责人</w:t>
      </w:r>
      <w:r>
        <w:rPr>
          <w:rFonts w:eastAsia="仿宋_GB2312"/>
        </w:rPr>
        <w:t>签字或盖章</w:t>
      </w:r>
      <w:r>
        <w:rPr>
          <w:rFonts w:hint="eastAsia" w:hAnsi="宋体"/>
        </w:rPr>
        <w:t>）：</w:t>
      </w:r>
    </w:p>
    <w:p>
      <w:pPr>
        <w:spacing w:line="340" w:lineRule="exact"/>
        <w:ind w:firstLine="420" w:firstLineChars="200"/>
        <w:rPr>
          <w:rFonts w:ascii="宋体" w:hAnsi="宋体"/>
        </w:rPr>
      </w:pPr>
    </w:p>
    <w:p>
      <w:pPr>
        <w:snapToGrid w:val="0"/>
        <w:jc w:val="center"/>
        <w:rPr>
          <w:rFonts w:ascii="宋体" w:hAnsi="宋体"/>
          <w:sz w:val="24"/>
        </w:rPr>
      </w:pPr>
      <w:r>
        <w:rPr>
          <w:rFonts w:hint="eastAsia" w:ascii="宋体" w:hAnsi="宋体"/>
          <w:sz w:val="24"/>
        </w:rPr>
        <w:t xml:space="preserve">                      日期:_____年___月___日</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br w:type="page"/>
      </w:r>
    </w:p>
    <w:p>
      <w:pPr>
        <w:ind w:right="-178" w:rightChars="-85" w:firstLine="240" w:firstLineChars="100"/>
        <w:jc w:val="left"/>
        <w:rPr>
          <w:rFonts w:ascii="宋体" w:hAnsi="宋体"/>
          <w:sz w:val="24"/>
        </w:rPr>
      </w:pPr>
      <w:r>
        <w:rPr>
          <w:rFonts w:hint="eastAsia" w:ascii="宋体" w:hAnsi="宋体"/>
          <w:sz w:val="24"/>
        </w:rPr>
        <w:t xml:space="preserve">附件六 </w:t>
      </w:r>
    </w:p>
    <w:p>
      <w:pPr>
        <w:pStyle w:val="24"/>
        <w:ind w:right="-178" w:rightChars="-85"/>
        <w:jc w:val="center"/>
        <w:rPr>
          <w:rFonts w:hAnsi="宋体"/>
          <w:b/>
          <w:bCs/>
          <w:sz w:val="28"/>
          <w:szCs w:val="28"/>
        </w:rPr>
      </w:pPr>
      <w:r>
        <w:rPr>
          <w:rFonts w:hint="eastAsia" w:hAnsi="宋体"/>
          <w:b/>
          <w:bCs/>
          <w:sz w:val="28"/>
          <w:szCs w:val="28"/>
        </w:rPr>
        <w:t>商务条款偏离表</w:t>
      </w:r>
    </w:p>
    <w:p>
      <w:pPr>
        <w:pStyle w:val="24"/>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请逐条对应第</w:t>
      </w:r>
      <w:r>
        <w:rPr>
          <w:rFonts w:hint="eastAsia" w:ascii="Times New Roman" w:hAnsi="Times New Roman" w:eastAsia="仿宋_GB2312"/>
          <w:color w:val="0000FF"/>
          <w:sz w:val="32"/>
          <w:szCs w:val="32"/>
        </w:rPr>
        <w:t>三</w:t>
      </w:r>
      <w:r>
        <w:rPr>
          <w:rFonts w:ascii="Times New Roman" w:hAnsi="Times New Roman" w:eastAsia="仿宋_GB2312"/>
          <w:sz w:val="32"/>
          <w:szCs w:val="32"/>
        </w:rPr>
        <w:t>章“货物需求一览表”中“商务条款”的要求，详细填写相应的具体内容。“偏离说明”一栏应当选择“正偏离”、“负偏离”或“无偏离”进行填写。</w:t>
      </w:r>
    </w:p>
    <w:p>
      <w:pPr>
        <w:pStyle w:val="24"/>
        <w:ind w:firstLine="640" w:firstLineChars="200"/>
        <w:rPr>
          <w:rFonts w:ascii="Times New Roman" w:hAnsi="Times New Roman" w:eastAsia="仿宋_GB2312"/>
          <w:sz w:val="32"/>
          <w:szCs w:val="32"/>
        </w:rPr>
      </w:pPr>
    </w:p>
    <w:tbl>
      <w:tblPr>
        <w:tblStyle w:val="43"/>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ascii="Times New Roman" w:hAnsi="Times New Roman" w:eastAsia="仿宋_GB2312"/>
              </w:rPr>
            </w:pPr>
            <w:r>
              <w:rPr>
                <w:rFonts w:ascii="Times New Roman" w:hAnsi="Times New Roman" w:eastAsia="仿宋_GB2312"/>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ascii="Times New Roman" w:hAnsi="Times New Roman" w:eastAsia="仿宋_GB2312"/>
              </w:rPr>
            </w:pPr>
            <w:r>
              <w:rPr>
                <w:rFonts w:hint="eastAsia" w:ascii="Times New Roman" w:hAnsi="Times New Roman" w:eastAsia="仿宋_GB2312"/>
              </w:rPr>
              <w:t>谈判</w:t>
            </w:r>
            <w:r>
              <w:rPr>
                <w:rFonts w:ascii="Times New Roman" w:hAnsi="Times New Roman" w:eastAsia="仿宋_GB2312"/>
              </w:rPr>
              <w:t>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ascii="Times New Roman" w:hAnsi="Times New Roman" w:eastAsia="仿宋_GB2312"/>
              </w:rPr>
            </w:pPr>
            <w:r>
              <w:rPr>
                <w:rFonts w:hint="eastAsia" w:ascii="Times New Roman" w:hAnsi="Times New Roman" w:eastAsia="仿宋_GB2312"/>
              </w:rPr>
              <w:t>响应</w:t>
            </w:r>
            <w:r>
              <w:rPr>
                <w:rFonts w:ascii="Times New Roman" w:hAnsi="Times New Roman" w:eastAsia="仿宋_GB2312"/>
              </w:rPr>
              <w:t>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ascii="Times New Roman" w:hAnsi="Times New Roman" w:eastAsia="仿宋_GB2312"/>
              </w:rPr>
            </w:pPr>
            <w:r>
              <w:rPr>
                <w:rFonts w:ascii="Times New Roman" w:hAnsi="Times New Roman" w:eastAsia="仿宋_GB2312"/>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rPr>
            </w:pPr>
            <w:r>
              <w:rPr>
                <w:rFonts w:ascii="Times New Roman" w:hAnsi="Times New Roman" w:eastAsia="仿宋_GB2312"/>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4"/>
              <w:spacing w:line="340" w:lineRule="exact"/>
              <w:rPr>
                <w:rFonts w:ascii="Times New Roman" w:hAnsi="Times New Roman" w:eastAsia="仿宋_GB2312"/>
              </w:rPr>
            </w:pPr>
            <w:r>
              <w:rPr>
                <w:rFonts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4"/>
              <w:spacing w:line="340" w:lineRule="exact"/>
              <w:rPr>
                <w:rFonts w:ascii="Times New Roman" w:hAnsi="Times New Roman" w:eastAsia="仿宋_GB2312"/>
              </w:rPr>
            </w:pPr>
            <w:r>
              <w:rPr>
                <w:rFonts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ascii="Times New Roman" w:hAnsi="Times New Roman" w:eastAsia="仿宋_GB2312"/>
              </w:rPr>
            </w:pPr>
            <w:r>
              <w:rPr>
                <w:rFonts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rPr>
            </w:pPr>
            <w:r>
              <w:rPr>
                <w:rFonts w:ascii="Times New Roman" w:hAnsi="Times New Roman" w:eastAsia="仿宋_GB2312"/>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4"/>
              <w:spacing w:line="340" w:lineRule="exact"/>
              <w:rPr>
                <w:rFonts w:ascii="Times New Roman" w:hAnsi="Times New Roman" w:eastAsia="仿宋_GB2312"/>
              </w:rPr>
            </w:pPr>
            <w:r>
              <w:rPr>
                <w:rFonts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4"/>
              <w:spacing w:line="340" w:lineRule="exact"/>
              <w:rPr>
                <w:rFonts w:ascii="Times New Roman" w:hAnsi="Times New Roman" w:eastAsia="仿宋_GB2312"/>
              </w:rPr>
            </w:pPr>
            <w:r>
              <w:rPr>
                <w:rFonts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ascii="Times New Roman" w:hAnsi="Times New Roman" w:eastAsia="仿宋_GB2312"/>
              </w:rPr>
            </w:pPr>
            <w:r>
              <w:rPr>
                <w:rFonts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rPr>
            </w:pPr>
            <w:r>
              <w:rPr>
                <w:rFonts w:ascii="Times New Roman" w:hAnsi="Times New Roman" w:eastAsia="仿宋_GB2312"/>
              </w:rPr>
              <w:t>...</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4"/>
              <w:spacing w:line="340" w:lineRule="exact"/>
              <w:rPr>
                <w:rFonts w:ascii="Times New Roman" w:hAnsi="Times New Roman" w:eastAsia="仿宋_GB2312"/>
              </w:rPr>
            </w:pPr>
            <w:r>
              <w:rPr>
                <w:rFonts w:ascii="Times New Roman" w:hAnsi="Times New Roman" w:eastAsia="仿宋_GB2312"/>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szCs w:val="21"/>
              </w:rPr>
            </w:pPr>
            <w:r>
              <w:rPr>
                <w:rFonts w:eastAsia="仿宋_GB2312"/>
                <w:szCs w:val="21"/>
              </w:rPr>
              <w:t>1  ……</w:t>
            </w:r>
          </w:p>
          <w:p>
            <w:pPr>
              <w:spacing w:line="340" w:lineRule="exact"/>
              <w:rPr>
                <w:rFonts w:eastAsia="仿宋_GB2312"/>
                <w:szCs w:val="21"/>
              </w:rPr>
            </w:pPr>
            <w:r>
              <w:rPr>
                <w:rFonts w:eastAsia="仿宋_GB2312"/>
                <w:szCs w:val="21"/>
              </w:rPr>
              <w:t>2  ……</w:t>
            </w:r>
          </w:p>
          <w:p>
            <w:pPr>
              <w:spacing w:line="340" w:lineRule="exact"/>
              <w:rPr>
                <w:rFonts w:eastAsia="仿宋_GB2312"/>
                <w:szCs w:val="21"/>
              </w:rPr>
            </w:pPr>
            <w:r>
              <w:rPr>
                <w:rFonts w:eastAsia="仿宋_GB2312"/>
                <w:szCs w:val="21"/>
              </w:rPr>
              <w:t>3  ……</w:t>
            </w:r>
          </w:p>
          <w:p>
            <w:pPr>
              <w:pStyle w:val="24"/>
              <w:spacing w:line="340" w:lineRule="exact"/>
              <w:rPr>
                <w:rFonts w:ascii="Times New Roman" w:hAnsi="Times New Roman" w:eastAsia="仿宋_GB2312"/>
              </w:rPr>
            </w:pPr>
            <w:r>
              <w:rPr>
                <w:rFonts w:ascii="Times New Roman" w:hAnsi="Times New Roman" w:eastAsia="仿宋_GB2312"/>
              </w:rPr>
              <w:t>……</w:t>
            </w: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ascii="Times New Roman" w:hAnsi="Times New Roman" w:eastAsia="仿宋_GB2312"/>
              </w:rPr>
            </w:pPr>
          </w:p>
          <w:p>
            <w:pPr>
              <w:pStyle w:val="24"/>
              <w:spacing w:line="300" w:lineRule="exact"/>
              <w:rPr>
                <w:rFonts w:ascii="Times New Roman" w:hAnsi="Times New Roman" w:eastAsia="仿宋_GB2312"/>
              </w:rPr>
            </w:pPr>
            <w:r>
              <w:rPr>
                <w:rFonts w:ascii="Times New Roman" w:hAnsi="Times New Roman" w:eastAsia="仿宋_GB2312"/>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4"/>
              <w:spacing w:line="340" w:lineRule="exact"/>
              <w:rPr>
                <w:rFonts w:ascii="Times New Roman" w:hAnsi="Times New Roman" w:eastAsia="仿宋_GB2312"/>
              </w:rPr>
            </w:pPr>
            <w:r>
              <w:rPr>
                <w:rFonts w:ascii="Times New Roman" w:hAnsi="Times New Roman" w:eastAsia="仿宋_GB2312"/>
                <w:u w:val="single"/>
              </w:rPr>
              <w:t>　　</w:t>
            </w:r>
            <w:r>
              <w:rPr>
                <w:rFonts w:ascii="Times New Roman" w:hAnsi="Times New Roman" w:eastAsia="仿宋_GB2312"/>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供应商</w:t>
            </w:r>
            <w:r>
              <w:rPr>
                <w:rFonts w:eastAsia="仿宋_GB2312"/>
              </w:rPr>
              <w:t>（盖单位公章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供应商属自然人的应由自然人签字并加盖指印，供应商若为其他组织形式无法定代表人的应由机构负责人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pStyle w:val="24"/>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否则按投标无效处理</w:t>
      </w:r>
      <w:r>
        <w:rPr>
          <w:rFonts w:ascii="Times New Roman" w:hAnsi="Times New Roman" w:eastAsia="仿宋_GB2312"/>
          <w:sz w:val="24"/>
          <w:szCs w:val="24"/>
        </w:rPr>
        <w:t>。</w:t>
      </w:r>
    </w:p>
    <w:p>
      <w:pPr>
        <w:pStyle w:val="24"/>
        <w:spacing w:line="600" w:lineRule="exact"/>
        <w:ind w:left="719" w:leftChars="228" w:hanging="240" w:hangingChars="100"/>
        <w:rPr>
          <w:rFonts w:ascii="Times New Roman" w:hAnsi="Times New Roman" w:eastAsia="仿宋_GB2312"/>
          <w:bCs/>
          <w:sz w:val="24"/>
          <w:szCs w:val="24"/>
        </w:rPr>
      </w:pPr>
      <w:r>
        <w:rPr>
          <w:rFonts w:ascii="Times New Roman" w:hAnsi="Times New Roman" w:eastAsia="楷体_GB2312"/>
          <w:bCs/>
          <w:sz w:val="24"/>
          <w:szCs w:val="24"/>
        </w:rPr>
        <w:t>⑵</w:t>
      </w:r>
      <w:r>
        <w:rPr>
          <w:rFonts w:hint="eastAsia" w:ascii="Times New Roman" w:hAnsi="Times New Roman" w:eastAsia="仿宋_GB2312"/>
          <w:bCs/>
          <w:color w:val="0000FF"/>
          <w:sz w:val="24"/>
          <w:szCs w:val="24"/>
        </w:rPr>
        <w:t>响应</w:t>
      </w:r>
      <w:r>
        <w:rPr>
          <w:rFonts w:ascii="Times New Roman" w:hAnsi="Times New Roman" w:eastAsia="仿宋_GB2312"/>
          <w:bCs/>
          <w:color w:val="0000FF"/>
          <w:sz w:val="24"/>
          <w:szCs w:val="24"/>
        </w:rPr>
        <w:t>文件</w:t>
      </w:r>
      <w:r>
        <w:rPr>
          <w:rFonts w:hint="eastAsia" w:ascii="Times New Roman" w:hAnsi="Times New Roman" w:eastAsia="仿宋_GB2312"/>
          <w:bCs/>
          <w:color w:val="0000FF"/>
          <w:sz w:val="24"/>
          <w:szCs w:val="24"/>
        </w:rPr>
        <w:t>需求</w:t>
      </w:r>
      <w:r>
        <w:rPr>
          <w:rFonts w:ascii="Times New Roman" w:hAnsi="Times New Roman" w:eastAsia="仿宋_GB2312"/>
          <w:bCs/>
          <w:color w:val="0000FF"/>
          <w:sz w:val="24"/>
          <w:szCs w:val="24"/>
        </w:rPr>
        <w:t>小于或大于</w:t>
      </w:r>
      <w:r>
        <w:rPr>
          <w:rFonts w:hint="eastAsia" w:ascii="Times New Roman" w:hAnsi="Times New Roman" w:eastAsia="仿宋_GB2312"/>
          <w:bCs/>
          <w:color w:val="0000FF"/>
          <w:sz w:val="24"/>
          <w:szCs w:val="24"/>
        </w:rPr>
        <w:t>谈判</w:t>
      </w:r>
      <w:r>
        <w:rPr>
          <w:rFonts w:ascii="Times New Roman" w:hAnsi="Times New Roman" w:eastAsia="仿宋_GB2312"/>
          <w:bCs/>
          <w:color w:val="0000FF"/>
          <w:sz w:val="24"/>
          <w:szCs w:val="24"/>
        </w:rPr>
        <w:t>文件某个数值标准时，</w:t>
      </w:r>
      <w:r>
        <w:rPr>
          <w:rFonts w:hint="eastAsia" w:ascii="Times New Roman" w:hAnsi="Times New Roman" w:eastAsia="仿宋_GB2312"/>
          <w:bCs/>
          <w:color w:val="0000FF"/>
          <w:sz w:val="24"/>
          <w:szCs w:val="24"/>
        </w:rPr>
        <w:t>响应</w:t>
      </w:r>
      <w:r>
        <w:rPr>
          <w:rFonts w:ascii="Times New Roman" w:hAnsi="Times New Roman" w:eastAsia="仿宋_GB2312"/>
          <w:bCs/>
          <w:color w:val="0000FF"/>
          <w:sz w:val="24"/>
          <w:szCs w:val="24"/>
        </w:rPr>
        <w:t>文件</w:t>
      </w:r>
      <w:r>
        <w:rPr>
          <w:rFonts w:hint="eastAsia" w:ascii="Times New Roman" w:hAnsi="Times New Roman" w:eastAsia="仿宋_GB2312"/>
          <w:bCs/>
          <w:color w:val="0000FF"/>
          <w:sz w:val="24"/>
          <w:szCs w:val="24"/>
        </w:rPr>
        <w:t>不得直接复制谈判文件需求，响应文件对应</w:t>
      </w:r>
      <w:r>
        <w:rPr>
          <w:rFonts w:ascii="Times New Roman" w:hAnsi="Times New Roman" w:eastAsia="仿宋_GB2312"/>
          <w:bCs/>
          <w:color w:val="0000FF"/>
          <w:sz w:val="24"/>
          <w:szCs w:val="24"/>
        </w:rPr>
        <w:t>内容应当写明</w:t>
      </w:r>
      <w:r>
        <w:rPr>
          <w:rFonts w:hint="eastAsia" w:ascii="Times New Roman" w:hAnsi="Times New Roman" w:eastAsia="仿宋_GB2312"/>
          <w:bCs/>
          <w:color w:val="0000FF"/>
          <w:sz w:val="24"/>
          <w:szCs w:val="24"/>
        </w:rPr>
        <w:t>竞</w:t>
      </w:r>
      <w:r>
        <w:rPr>
          <w:rFonts w:ascii="Times New Roman" w:hAnsi="Times New Roman" w:eastAsia="仿宋_GB2312"/>
          <w:bCs/>
          <w:color w:val="0000FF"/>
          <w:sz w:val="24"/>
          <w:szCs w:val="24"/>
        </w:rPr>
        <w:t>标货物具体参数或商务响应的</w:t>
      </w:r>
      <w:r>
        <w:rPr>
          <w:rFonts w:hint="eastAsia" w:ascii="Times New Roman" w:hAnsi="Times New Roman" w:eastAsia="仿宋_GB2312"/>
          <w:bCs/>
          <w:color w:val="0000FF"/>
          <w:sz w:val="24"/>
          <w:szCs w:val="24"/>
        </w:rPr>
        <w:t>实际</w:t>
      </w:r>
      <w:r>
        <w:rPr>
          <w:rFonts w:ascii="Times New Roman" w:hAnsi="Times New Roman" w:eastAsia="仿宋_GB2312"/>
          <w:bCs/>
          <w:color w:val="0000FF"/>
          <w:sz w:val="24"/>
          <w:szCs w:val="24"/>
        </w:rPr>
        <w:t>数值，否则按</w:t>
      </w:r>
      <w:r>
        <w:rPr>
          <w:rFonts w:hint="eastAsia" w:ascii="Times New Roman" w:hAnsi="Times New Roman" w:eastAsia="仿宋_GB2312"/>
          <w:bCs/>
          <w:color w:val="0000FF"/>
          <w:sz w:val="24"/>
          <w:szCs w:val="24"/>
        </w:rPr>
        <w:t>竞</w:t>
      </w:r>
      <w:r>
        <w:rPr>
          <w:rFonts w:ascii="Times New Roman" w:hAnsi="Times New Roman" w:eastAsia="仿宋_GB2312"/>
          <w:bCs/>
          <w:color w:val="0000FF"/>
          <w:sz w:val="24"/>
          <w:szCs w:val="24"/>
        </w:rPr>
        <w:t>标无效处理</w:t>
      </w:r>
      <w:r>
        <w:rPr>
          <w:rFonts w:ascii="Times New Roman" w:hAnsi="Times New Roman" w:eastAsia="仿宋_GB2312"/>
          <w:bCs/>
          <w:sz w:val="24"/>
          <w:szCs w:val="24"/>
        </w:rPr>
        <w:t>。</w:t>
      </w:r>
    </w:p>
    <w:p>
      <w:pPr>
        <w:pStyle w:val="24"/>
        <w:spacing w:line="600" w:lineRule="exact"/>
        <w:ind w:left="719" w:leftChars="228" w:hanging="240" w:hangingChars="100"/>
        <w:rPr>
          <w:rFonts w:ascii="Times New Roman" w:hAnsi="Times New Roman" w:eastAsia="仿宋_GB2312"/>
          <w:bCs/>
          <w:sz w:val="24"/>
          <w:szCs w:val="24"/>
        </w:rPr>
      </w:pPr>
      <w:r>
        <w:rPr>
          <w:rFonts w:ascii="Times New Roman" w:hAnsi="Times New Roman" w:eastAsia="仿宋_GB2312"/>
          <w:bCs/>
          <w:sz w:val="24"/>
          <w:szCs w:val="24"/>
        </w:rPr>
        <w:t>⑶当</w:t>
      </w:r>
      <w:r>
        <w:rPr>
          <w:rFonts w:hint="eastAsia" w:ascii="Times New Roman" w:hAnsi="Times New Roman" w:eastAsia="仿宋_GB2312"/>
          <w:bCs/>
          <w:sz w:val="24"/>
          <w:szCs w:val="24"/>
        </w:rPr>
        <w:t>响应</w:t>
      </w:r>
      <w:r>
        <w:rPr>
          <w:rFonts w:ascii="Times New Roman" w:hAnsi="Times New Roman" w:eastAsia="仿宋_GB2312"/>
          <w:bCs/>
          <w:sz w:val="24"/>
          <w:szCs w:val="24"/>
        </w:rPr>
        <w:t>文件的技术参数或商务内容低于</w:t>
      </w:r>
      <w:r>
        <w:rPr>
          <w:rFonts w:hint="eastAsia" w:ascii="Times New Roman" w:hAnsi="Times New Roman" w:eastAsia="仿宋_GB2312"/>
          <w:bCs/>
          <w:sz w:val="24"/>
          <w:szCs w:val="24"/>
        </w:rPr>
        <w:t>谈判</w:t>
      </w:r>
      <w:r>
        <w:rPr>
          <w:rFonts w:ascii="Times New Roman" w:hAnsi="Times New Roman" w:eastAsia="仿宋_GB2312"/>
          <w:bCs/>
          <w:sz w:val="24"/>
          <w:szCs w:val="24"/>
        </w:rPr>
        <w:t>文件要求时，</w:t>
      </w:r>
      <w:r>
        <w:rPr>
          <w:rFonts w:hint="eastAsia" w:ascii="Times New Roman" w:hAnsi="Times New Roman" w:eastAsia="仿宋_GB2312"/>
          <w:bCs/>
          <w:sz w:val="24"/>
          <w:szCs w:val="24"/>
        </w:rPr>
        <w:t>供应商</w:t>
      </w:r>
      <w:r>
        <w:rPr>
          <w:rFonts w:ascii="Times New Roman" w:hAnsi="Times New Roman" w:eastAsia="仿宋_GB2312"/>
          <w:bCs/>
          <w:sz w:val="24"/>
          <w:szCs w:val="24"/>
        </w:rPr>
        <w:t>应当如实写明“负偏离”，否则视为虚假应标。</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附件七</w:t>
      </w:r>
    </w:p>
    <w:p>
      <w:pPr>
        <w:jc w:val="center"/>
        <w:rPr>
          <w:rFonts w:ascii="宋体" w:hAnsi="宋体"/>
          <w:b/>
          <w:sz w:val="32"/>
          <w:szCs w:val="32"/>
        </w:rPr>
      </w:pPr>
      <w:r>
        <w:rPr>
          <w:rFonts w:hint="eastAsia" w:ascii="宋体" w:hAnsi="宋体"/>
          <w:b/>
          <w:sz w:val="32"/>
          <w:szCs w:val="32"/>
        </w:rPr>
        <w:t>竞标产品技术资料表</w:t>
      </w:r>
    </w:p>
    <w:p>
      <w:pPr>
        <w:rPr>
          <w:rFonts w:ascii="宋体" w:hAnsi="宋体"/>
          <w:sz w:val="24"/>
          <w:u w:val="single"/>
        </w:rPr>
      </w:pPr>
      <w:r>
        <w:rPr>
          <w:rFonts w:hint="eastAsia" w:ascii="宋体" w:hAnsi="宋体"/>
          <w:sz w:val="24"/>
        </w:rPr>
        <w:t>采购项目编号:</w:t>
      </w:r>
    </w:p>
    <w:p>
      <w:pPr>
        <w:rPr>
          <w:rFonts w:ascii="宋体" w:hAnsi="宋体"/>
          <w:sz w:val="24"/>
        </w:rPr>
      </w:pPr>
      <w:r>
        <w:rPr>
          <w:rFonts w:hint="eastAsia" w:ascii="宋体" w:hAnsi="宋体"/>
          <w:sz w:val="24"/>
        </w:rPr>
        <w:t>采购项目名称:</w:t>
      </w:r>
    </w:p>
    <w:p>
      <w:pPr>
        <w:rPr>
          <w:rFonts w:ascii="宋体" w:hAnsi="宋体"/>
          <w:sz w:val="24"/>
        </w:rPr>
      </w:pPr>
      <w:r>
        <w:rPr>
          <w:rFonts w:ascii="宋体" w:hAnsi="宋体"/>
          <w:sz w:val="24"/>
        </w:rPr>
        <w:t>请根据所投产品的实际技术参数，逐条对第</w:t>
      </w:r>
      <w:r>
        <w:rPr>
          <w:rFonts w:hint="eastAsia" w:ascii="宋体" w:hAnsi="宋体"/>
          <w:sz w:val="24"/>
        </w:rPr>
        <w:t>三</w:t>
      </w:r>
      <w:r>
        <w:rPr>
          <w:rFonts w:ascii="宋体" w:hAnsi="宋体"/>
          <w:sz w:val="24"/>
        </w:rPr>
        <w:t>章“货物需求一览表”中的技术参数要求详细填写相应的具体内容。“偏离说明”一栏应当选择“正偏离”、“负偏离”或“无偏离”进行填写。</w:t>
      </w:r>
    </w:p>
    <w:tbl>
      <w:tblPr>
        <w:tblStyle w:val="43"/>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76"/>
        <w:gridCol w:w="686"/>
        <w:gridCol w:w="1471"/>
        <w:gridCol w:w="949"/>
        <w:gridCol w:w="686"/>
        <w:gridCol w:w="1555"/>
        <w:gridCol w:w="130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92"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项号</w:t>
            </w:r>
          </w:p>
        </w:tc>
        <w:tc>
          <w:tcPr>
            <w:tcW w:w="333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谈判</w:t>
            </w:r>
            <w:r>
              <w:rPr>
                <w:rFonts w:eastAsia="仿宋_GB2312"/>
                <w:szCs w:val="21"/>
              </w:rPr>
              <w:t>文件需求</w:t>
            </w:r>
          </w:p>
        </w:tc>
        <w:tc>
          <w:tcPr>
            <w:tcW w:w="449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响应</w:t>
            </w:r>
            <w:r>
              <w:rPr>
                <w:rFonts w:eastAsia="仿宋_GB2312"/>
                <w:szCs w:val="21"/>
              </w:rPr>
              <w:t>文件承诺</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技术参数要求</w:t>
            </w: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数量</w:t>
            </w: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品牌、厂家、型号、规格</w:t>
            </w: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技术参数</w:t>
            </w: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2</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1  ……</w:t>
            </w:r>
          </w:p>
          <w:p>
            <w:pPr>
              <w:rPr>
                <w:rFonts w:eastAsia="仿宋_GB2312"/>
                <w:szCs w:val="21"/>
              </w:rPr>
            </w:pPr>
            <w:r>
              <w:rPr>
                <w:rFonts w:eastAsia="仿宋_GB2312"/>
                <w:szCs w:val="21"/>
              </w:rPr>
              <w:t>2  ……</w:t>
            </w:r>
          </w:p>
          <w:p>
            <w:pPr>
              <w:rPr>
                <w:rFonts w:eastAsia="仿宋_GB2312"/>
                <w:szCs w:val="21"/>
              </w:rPr>
            </w:pPr>
            <w:r>
              <w:rPr>
                <w:rFonts w:eastAsia="仿宋_GB2312"/>
                <w:szCs w:val="21"/>
              </w:rPr>
              <w:t>3  ……</w:t>
            </w:r>
          </w:p>
          <w:p>
            <w:pPr>
              <w:rPr>
                <w:rFonts w:eastAsia="仿宋_GB2312"/>
                <w:szCs w:val="21"/>
              </w:rPr>
            </w:pPr>
            <w:r>
              <w:rPr>
                <w:rFonts w:eastAsia="仿宋_GB2312"/>
                <w:szCs w:val="21"/>
              </w:rPr>
              <w:t>……</w:t>
            </w: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eastAsia="仿宋_GB2312"/>
                <w:szCs w:val="21"/>
                <w:u w:val="single"/>
              </w:rPr>
              <w:t>　　</w:t>
            </w:r>
            <w:r>
              <w:rPr>
                <w:rFonts w:eastAsia="仿宋_GB2312"/>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供应商</w:t>
            </w:r>
            <w:r>
              <w:rPr>
                <w:rFonts w:eastAsia="仿宋_GB2312"/>
              </w:rPr>
              <w:t>（盖单位公章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供应商属自然人的应由自然人签字并加盖指印，竞标标人若为其他组织形式无法定代表人的应由机构负责人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eastAsia="仿宋_GB2312"/>
                <w:szCs w:val="21"/>
              </w:rPr>
              <w:t>日期：    年    月    日</w:t>
            </w:r>
          </w:p>
        </w:tc>
      </w:tr>
    </w:tbl>
    <w:p>
      <w:pPr>
        <w:pStyle w:val="24"/>
        <w:rPr>
          <w:rFonts w:ascii="Times New Roman" w:hAnsi="Times New Roman" w:eastAsia="仿宋_GB2312"/>
          <w:sz w:val="24"/>
          <w:szCs w:val="24"/>
        </w:rPr>
      </w:pPr>
      <w:r>
        <w:rPr>
          <w:rFonts w:ascii="Times New Roman" w:hAnsi="Times New Roman" w:eastAsia="仿宋_GB2312"/>
          <w:sz w:val="24"/>
          <w:szCs w:val="24"/>
        </w:rPr>
        <w:t>注：⑴表格内容均需按要求填写并盖章，不得留空，</w:t>
      </w:r>
      <w:r>
        <w:rPr>
          <w:rFonts w:ascii="Times New Roman" w:hAnsi="Times New Roman" w:eastAsia="仿宋_GB2312"/>
          <w:bCs/>
          <w:sz w:val="24"/>
          <w:szCs w:val="24"/>
        </w:rPr>
        <w:t>否则按投标无效处理</w:t>
      </w:r>
      <w:r>
        <w:rPr>
          <w:rFonts w:ascii="Times New Roman" w:hAnsi="Times New Roman" w:eastAsia="仿宋_GB2312"/>
          <w:sz w:val="24"/>
          <w:szCs w:val="24"/>
        </w:rPr>
        <w:t>。</w:t>
      </w:r>
    </w:p>
    <w:p>
      <w:pPr>
        <w:pStyle w:val="24"/>
        <w:spacing w:line="600" w:lineRule="exact"/>
        <w:ind w:left="719" w:leftChars="228" w:hanging="240" w:hangingChars="100"/>
        <w:rPr>
          <w:rFonts w:ascii="Times New Roman" w:hAnsi="Times New Roman" w:eastAsia="仿宋_GB2312"/>
          <w:bCs/>
          <w:sz w:val="24"/>
          <w:szCs w:val="24"/>
        </w:rPr>
      </w:pPr>
      <w:r>
        <w:rPr>
          <w:rFonts w:ascii="Times New Roman" w:hAnsi="Times New Roman" w:eastAsia="楷体_GB2312"/>
          <w:bCs/>
          <w:sz w:val="24"/>
          <w:szCs w:val="24"/>
        </w:rPr>
        <w:t>⑵</w:t>
      </w:r>
      <w:r>
        <w:rPr>
          <w:rFonts w:hint="eastAsia" w:ascii="Times New Roman" w:hAnsi="Times New Roman" w:eastAsia="仿宋_GB2312"/>
          <w:bCs/>
          <w:color w:val="0000FF"/>
          <w:sz w:val="24"/>
          <w:szCs w:val="24"/>
        </w:rPr>
        <w:t>响应</w:t>
      </w:r>
      <w:r>
        <w:rPr>
          <w:rFonts w:ascii="Times New Roman" w:hAnsi="Times New Roman" w:eastAsia="仿宋_GB2312"/>
          <w:bCs/>
          <w:color w:val="0000FF"/>
          <w:sz w:val="24"/>
          <w:szCs w:val="24"/>
        </w:rPr>
        <w:t>文件</w:t>
      </w:r>
      <w:r>
        <w:rPr>
          <w:rFonts w:hint="eastAsia" w:ascii="Times New Roman" w:hAnsi="Times New Roman" w:eastAsia="仿宋_GB2312"/>
          <w:bCs/>
          <w:color w:val="0000FF"/>
          <w:sz w:val="24"/>
          <w:szCs w:val="24"/>
        </w:rPr>
        <w:t>需求</w:t>
      </w:r>
      <w:r>
        <w:rPr>
          <w:rFonts w:ascii="Times New Roman" w:hAnsi="Times New Roman" w:eastAsia="仿宋_GB2312"/>
          <w:bCs/>
          <w:color w:val="0000FF"/>
          <w:sz w:val="24"/>
          <w:szCs w:val="24"/>
        </w:rPr>
        <w:t>小于或大于</w:t>
      </w:r>
      <w:r>
        <w:rPr>
          <w:rFonts w:hint="eastAsia" w:ascii="Times New Roman" w:hAnsi="Times New Roman" w:eastAsia="仿宋_GB2312"/>
          <w:bCs/>
          <w:color w:val="0000FF"/>
          <w:sz w:val="24"/>
          <w:szCs w:val="24"/>
        </w:rPr>
        <w:t>谈判</w:t>
      </w:r>
      <w:r>
        <w:rPr>
          <w:rFonts w:ascii="Times New Roman" w:hAnsi="Times New Roman" w:eastAsia="仿宋_GB2312"/>
          <w:bCs/>
          <w:color w:val="0000FF"/>
          <w:sz w:val="24"/>
          <w:szCs w:val="24"/>
        </w:rPr>
        <w:t>文件某个数值标准时，</w:t>
      </w:r>
      <w:r>
        <w:rPr>
          <w:rFonts w:hint="eastAsia" w:ascii="Times New Roman" w:hAnsi="Times New Roman" w:eastAsia="仿宋_GB2312"/>
          <w:bCs/>
          <w:color w:val="0000FF"/>
          <w:sz w:val="24"/>
          <w:szCs w:val="24"/>
        </w:rPr>
        <w:t>响应</w:t>
      </w:r>
      <w:r>
        <w:rPr>
          <w:rFonts w:ascii="Times New Roman" w:hAnsi="Times New Roman" w:eastAsia="仿宋_GB2312"/>
          <w:bCs/>
          <w:color w:val="0000FF"/>
          <w:sz w:val="24"/>
          <w:szCs w:val="24"/>
        </w:rPr>
        <w:t>文件</w:t>
      </w:r>
      <w:r>
        <w:rPr>
          <w:rFonts w:hint="eastAsia" w:ascii="Times New Roman" w:hAnsi="Times New Roman" w:eastAsia="仿宋_GB2312"/>
          <w:bCs/>
          <w:color w:val="0000FF"/>
          <w:sz w:val="24"/>
          <w:szCs w:val="24"/>
        </w:rPr>
        <w:t>不得直接复制谈判文件需求，响应文件对应</w:t>
      </w:r>
      <w:r>
        <w:rPr>
          <w:rFonts w:ascii="Times New Roman" w:hAnsi="Times New Roman" w:eastAsia="仿宋_GB2312"/>
          <w:bCs/>
          <w:color w:val="0000FF"/>
          <w:sz w:val="24"/>
          <w:szCs w:val="24"/>
        </w:rPr>
        <w:t>内容应当写明</w:t>
      </w:r>
      <w:r>
        <w:rPr>
          <w:rFonts w:hint="eastAsia" w:ascii="Times New Roman" w:hAnsi="Times New Roman" w:eastAsia="仿宋_GB2312"/>
          <w:bCs/>
          <w:color w:val="0000FF"/>
          <w:sz w:val="24"/>
          <w:szCs w:val="24"/>
        </w:rPr>
        <w:t>竞</w:t>
      </w:r>
      <w:r>
        <w:rPr>
          <w:rFonts w:ascii="Times New Roman" w:hAnsi="Times New Roman" w:eastAsia="仿宋_GB2312"/>
          <w:bCs/>
          <w:color w:val="0000FF"/>
          <w:sz w:val="24"/>
          <w:szCs w:val="24"/>
        </w:rPr>
        <w:t>标货物具体参数或商务响应的</w:t>
      </w:r>
      <w:r>
        <w:rPr>
          <w:rFonts w:hint="eastAsia" w:ascii="Times New Roman" w:hAnsi="Times New Roman" w:eastAsia="仿宋_GB2312"/>
          <w:bCs/>
          <w:color w:val="0000FF"/>
          <w:sz w:val="24"/>
          <w:szCs w:val="24"/>
        </w:rPr>
        <w:t>实际</w:t>
      </w:r>
      <w:r>
        <w:rPr>
          <w:rFonts w:ascii="Times New Roman" w:hAnsi="Times New Roman" w:eastAsia="仿宋_GB2312"/>
          <w:bCs/>
          <w:color w:val="0000FF"/>
          <w:sz w:val="24"/>
          <w:szCs w:val="24"/>
        </w:rPr>
        <w:t>数值，否则按</w:t>
      </w:r>
      <w:r>
        <w:rPr>
          <w:rFonts w:hint="eastAsia" w:ascii="Times New Roman" w:hAnsi="Times New Roman" w:eastAsia="仿宋_GB2312"/>
          <w:bCs/>
          <w:color w:val="0000FF"/>
          <w:sz w:val="24"/>
          <w:szCs w:val="24"/>
        </w:rPr>
        <w:t>竞</w:t>
      </w:r>
      <w:r>
        <w:rPr>
          <w:rFonts w:ascii="Times New Roman" w:hAnsi="Times New Roman" w:eastAsia="仿宋_GB2312"/>
          <w:bCs/>
          <w:color w:val="0000FF"/>
          <w:sz w:val="24"/>
          <w:szCs w:val="24"/>
        </w:rPr>
        <w:t>标无效处理</w:t>
      </w:r>
      <w:r>
        <w:rPr>
          <w:rFonts w:ascii="Times New Roman" w:hAnsi="Times New Roman" w:eastAsia="仿宋_GB2312"/>
          <w:bCs/>
          <w:sz w:val="24"/>
          <w:szCs w:val="24"/>
        </w:rPr>
        <w:t>。</w:t>
      </w:r>
    </w:p>
    <w:p>
      <w:pPr>
        <w:pStyle w:val="24"/>
        <w:spacing w:line="600" w:lineRule="exact"/>
        <w:ind w:left="719" w:leftChars="228" w:hanging="240" w:hangingChars="100"/>
        <w:rPr>
          <w:rFonts w:ascii="Times New Roman" w:hAnsi="Times New Roman" w:eastAsia="仿宋_GB2312"/>
          <w:bCs/>
          <w:sz w:val="24"/>
          <w:szCs w:val="24"/>
        </w:rPr>
      </w:pPr>
      <w:r>
        <w:rPr>
          <w:rFonts w:ascii="Times New Roman" w:hAnsi="Times New Roman" w:eastAsia="仿宋_GB2312"/>
          <w:bCs/>
          <w:sz w:val="24"/>
          <w:szCs w:val="24"/>
        </w:rPr>
        <w:t>⑶当</w:t>
      </w:r>
      <w:r>
        <w:rPr>
          <w:rFonts w:hint="eastAsia" w:ascii="Times New Roman" w:hAnsi="Times New Roman" w:eastAsia="仿宋_GB2312"/>
          <w:bCs/>
          <w:sz w:val="24"/>
          <w:szCs w:val="24"/>
        </w:rPr>
        <w:t>响应</w:t>
      </w:r>
      <w:r>
        <w:rPr>
          <w:rFonts w:ascii="Times New Roman" w:hAnsi="Times New Roman" w:eastAsia="仿宋_GB2312"/>
          <w:bCs/>
          <w:sz w:val="24"/>
          <w:szCs w:val="24"/>
        </w:rPr>
        <w:t>文件的技术参数或商务内容低于</w:t>
      </w:r>
      <w:r>
        <w:rPr>
          <w:rFonts w:hint="eastAsia" w:ascii="Times New Roman" w:hAnsi="Times New Roman" w:eastAsia="仿宋_GB2312"/>
          <w:bCs/>
          <w:sz w:val="24"/>
          <w:szCs w:val="24"/>
        </w:rPr>
        <w:t>谈判</w:t>
      </w:r>
      <w:r>
        <w:rPr>
          <w:rFonts w:ascii="Times New Roman" w:hAnsi="Times New Roman" w:eastAsia="仿宋_GB2312"/>
          <w:bCs/>
          <w:sz w:val="24"/>
          <w:szCs w:val="24"/>
        </w:rPr>
        <w:t>文件要求时，</w:t>
      </w:r>
      <w:r>
        <w:rPr>
          <w:rFonts w:hint="eastAsia" w:ascii="Times New Roman" w:hAnsi="Times New Roman" w:eastAsia="仿宋_GB2312"/>
          <w:bCs/>
          <w:sz w:val="24"/>
          <w:szCs w:val="24"/>
        </w:rPr>
        <w:t>供应商</w:t>
      </w:r>
      <w:r>
        <w:rPr>
          <w:rFonts w:ascii="Times New Roman" w:hAnsi="Times New Roman" w:eastAsia="仿宋_GB2312"/>
          <w:bCs/>
          <w:sz w:val="24"/>
          <w:szCs w:val="24"/>
        </w:rPr>
        <w:t>应当如实写明“负偏离”，否则视为虚假应标。</w:t>
      </w:r>
    </w:p>
    <w:p>
      <w:pPr>
        <w:widowControl/>
        <w:shd w:val="clear" w:color="auto" w:fill="FFFFFF"/>
        <w:spacing w:after="240" w:line="360" w:lineRule="atLeast"/>
        <w:ind w:firstLine="480"/>
        <w:jc w:val="center"/>
        <w:rPr>
          <w:rFonts w:ascii="宋体" w:hAnsi="宋体" w:cs="宋体"/>
          <w:kern w:val="0"/>
          <w:sz w:val="24"/>
        </w:rPr>
      </w:pPr>
      <w:r>
        <w:rPr>
          <w:rFonts w:ascii="宋体" w:hAnsi="宋体" w:cs="宋体"/>
          <w:kern w:val="0"/>
          <w:sz w:val="24"/>
        </w:rPr>
        <w:br w:type="page"/>
      </w:r>
    </w:p>
    <w:p>
      <w:pPr>
        <w:widowControl/>
        <w:shd w:val="clear" w:color="auto" w:fill="FFFFFF"/>
        <w:spacing w:after="240" w:line="360" w:lineRule="atLeast"/>
        <w:ind w:firstLine="480"/>
        <w:jc w:val="left"/>
        <w:rPr>
          <w:rFonts w:ascii="宋体" w:hAnsi="宋体" w:cs="宋体"/>
          <w:b/>
          <w:kern w:val="0"/>
          <w:sz w:val="28"/>
          <w:szCs w:val="28"/>
        </w:rPr>
      </w:pPr>
      <w:r>
        <w:rPr>
          <w:rFonts w:hint="eastAsia"/>
        </w:rPr>
        <w:t>附件八：</w:t>
      </w:r>
    </w:p>
    <w:p>
      <w:pPr>
        <w:widowControl/>
        <w:shd w:val="clear" w:color="auto" w:fill="FFFFFF"/>
        <w:spacing w:after="240" w:line="360" w:lineRule="atLeast"/>
        <w:ind w:firstLine="480"/>
        <w:jc w:val="center"/>
        <w:rPr>
          <w:rFonts w:ascii="宋体" w:hAnsi="宋体" w:cs="宋体"/>
          <w:b/>
          <w:kern w:val="0"/>
          <w:sz w:val="28"/>
          <w:szCs w:val="28"/>
        </w:rPr>
      </w:pPr>
      <w:r>
        <w:rPr>
          <w:rFonts w:hint="eastAsia" w:ascii="宋体" w:hAnsi="宋体" w:cs="宋体"/>
          <w:b/>
          <w:kern w:val="0"/>
          <w:sz w:val="28"/>
          <w:szCs w:val="28"/>
        </w:rPr>
        <w:t>中小企业声明函</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企业名称（盖章）：</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日期：</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rPr>
        <w:t>附件九：</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588" w:lineRule="exact"/>
        <w:jc w:val="center"/>
        <w:rPr>
          <w:rFonts w:ascii="宋体" w:hAnsi="宋体"/>
          <w:b/>
          <w:spacing w:val="6"/>
          <w:sz w:val="24"/>
        </w:rPr>
      </w:pPr>
      <w:bookmarkStart w:id="40" w:name="OLE_LINK14"/>
      <w:bookmarkStart w:id="41" w:name="OLE_LINK13"/>
      <w:r>
        <w:rPr>
          <w:rFonts w:hint="eastAsia" w:ascii="宋体" w:hAnsi="宋体"/>
          <w:b/>
          <w:spacing w:val="6"/>
          <w:sz w:val="24"/>
        </w:rPr>
        <w:t>残疾人福利性单位声明函</w:t>
      </w:r>
    </w:p>
    <w:bookmarkEnd w:id="40"/>
    <w:bookmarkEnd w:id="41"/>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sz w:val="44"/>
          <w:szCs w:val="44"/>
        </w:rPr>
      </w:pPr>
    </w:p>
    <w:p>
      <w:pPr>
        <w:spacing w:beforeLines="50" w:afterLines="50"/>
        <w:ind w:firstLine="883" w:firstLineChars="200"/>
        <w:jc w:val="center"/>
        <w:rPr>
          <w:rFonts w:ascii="宋体" w:hAnsi="宋体"/>
          <w:b/>
          <w:bCs/>
          <w:sz w:val="44"/>
          <w:szCs w:val="44"/>
        </w:rPr>
      </w:pPr>
      <w:r>
        <w:rPr>
          <w:rFonts w:hint="eastAsia" w:ascii="宋体" w:hAnsi="宋体"/>
          <w:b/>
          <w:sz w:val="44"/>
          <w:szCs w:val="44"/>
        </w:rPr>
        <w:t xml:space="preserve">第五章 </w:t>
      </w:r>
      <w:r>
        <w:rPr>
          <w:rFonts w:hint="eastAsia" w:ascii="宋体" w:hAnsi="宋体"/>
          <w:b/>
          <w:bCs/>
          <w:sz w:val="44"/>
          <w:szCs w:val="44"/>
        </w:rPr>
        <w:t>合同主要条款</w:t>
      </w:r>
    </w:p>
    <w:p>
      <w:pPr>
        <w:spacing w:line="300" w:lineRule="auto"/>
        <w:ind w:left="420" w:hanging="420"/>
        <w:rPr>
          <w:rFonts w:ascii="宋体" w:hAnsi="宋体"/>
          <w:b/>
          <w:sz w:val="32"/>
          <w:szCs w:val="32"/>
        </w:rPr>
      </w:pPr>
      <w:r>
        <w:rPr>
          <w:rFonts w:ascii="宋体" w:hAnsi="宋体"/>
          <w:b/>
          <w:bCs/>
          <w:sz w:val="44"/>
          <w:szCs w:val="44"/>
        </w:rPr>
        <w:br w:type="page"/>
      </w:r>
      <w:r>
        <w:rPr>
          <w:rFonts w:hint="eastAsia" w:ascii="宋体" w:hAnsi="宋体"/>
          <w:b/>
          <w:sz w:val="32"/>
          <w:szCs w:val="32"/>
        </w:rPr>
        <w:t>一般货物类</w:t>
      </w:r>
    </w:p>
    <w:p>
      <w:pPr>
        <w:snapToGrid w:val="0"/>
        <w:spacing w:line="400" w:lineRule="exact"/>
        <w:jc w:val="center"/>
        <w:rPr>
          <w:rFonts w:ascii="宋体" w:hAnsi="宋体"/>
          <w:b/>
          <w:bCs/>
          <w:sz w:val="32"/>
          <w:szCs w:val="32"/>
        </w:rPr>
      </w:pPr>
      <w:r>
        <w:rPr>
          <w:rFonts w:hint="eastAsia" w:ascii="宋体" w:hAnsi="宋体"/>
          <w:b/>
          <w:bCs/>
          <w:sz w:val="32"/>
          <w:szCs w:val="32"/>
        </w:rPr>
        <w:t>政府采购合同</w:t>
      </w:r>
    </w:p>
    <w:p>
      <w:pPr>
        <w:snapToGrid w:val="0"/>
        <w:ind w:firstLine="5250" w:firstLineChars="2500"/>
        <w:rPr>
          <w:rFonts w:ascii="宋体" w:hAnsi="宋体"/>
          <w:bCs/>
          <w:szCs w:val="21"/>
        </w:rPr>
      </w:pPr>
    </w:p>
    <w:p>
      <w:pPr>
        <w:snapToGrid w:val="0"/>
        <w:ind w:firstLine="5250" w:firstLineChars="2500"/>
        <w:rPr>
          <w:rFonts w:ascii="宋体" w:hAnsi="宋体"/>
          <w:bCs/>
          <w:szCs w:val="21"/>
          <w:u w:val="single"/>
        </w:rPr>
      </w:pPr>
      <w:r>
        <w:rPr>
          <w:rFonts w:hint="eastAsia" w:ascii="宋体" w:hAnsi="宋体"/>
          <w:bCs/>
          <w:szCs w:val="21"/>
        </w:rPr>
        <w:t>合同编号：</w:t>
      </w:r>
    </w:p>
    <w:p>
      <w:pPr>
        <w:snapToGrid w:val="0"/>
        <w:rPr>
          <w:rFonts w:ascii="宋体" w:hAnsi="宋体"/>
          <w:sz w:val="24"/>
          <w:u w:val="single"/>
        </w:rPr>
      </w:pPr>
      <w:r>
        <w:rPr>
          <w:rFonts w:hint="eastAsia" w:ascii="宋体" w:hAnsi="宋体"/>
          <w:sz w:val="24"/>
        </w:rPr>
        <w:t>采购单位（甲方）</w:t>
      </w:r>
      <w:r>
        <w:rPr>
          <w:rFonts w:hint="eastAsia" w:ascii="宋体" w:hAnsi="宋体"/>
          <w:spacing w:val="-20"/>
          <w:sz w:val="24"/>
        </w:rPr>
        <w:t>采 购 计 划 号</w:t>
      </w:r>
    </w:p>
    <w:p>
      <w:pPr>
        <w:snapToGrid w:val="0"/>
        <w:rPr>
          <w:rFonts w:ascii="宋体" w:hAnsi="宋体"/>
          <w:sz w:val="24"/>
          <w:u w:val="single"/>
        </w:rPr>
      </w:pPr>
      <w:r>
        <w:rPr>
          <w:rFonts w:hint="eastAsia" w:ascii="宋体" w:hAnsi="宋体"/>
          <w:sz w:val="24"/>
        </w:rPr>
        <w:t>供 应 商（乙方）</w:t>
      </w:r>
      <w:r>
        <w:rPr>
          <w:rFonts w:hint="eastAsia" w:ascii="宋体" w:hAnsi="宋体"/>
          <w:spacing w:val="-20"/>
          <w:sz w:val="24"/>
        </w:rPr>
        <w:t>招  标  编  号</w:t>
      </w:r>
    </w:p>
    <w:p>
      <w:pPr>
        <w:snapToGrid w:val="0"/>
        <w:rPr>
          <w:rFonts w:ascii="宋体" w:hAnsi="宋体"/>
          <w:sz w:val="24"/>
          <w:u w:val="single"/>
        </w:rPr>
      </w:pPr>
      <w:r>
        <w:rPr>
          <w:rFonts w:hint="eastAsia" w:ascii="宋体" w:hAnsi="宋体"/>
          <w:sz w:val="24"/>
        </w:rPr>
        <w:t>签  订  地  点    签 订 时 间</w:t>
      </w:r>
    </w:p>
    <w:p>
      <w:pPr>
        <w:snapToGrid w:val="0"/>
        <w:ind w:firstLine="480" w:firstLineChars="200"/>
        <w:rPr>
          <w:rFonts w:ascii="宋体" w:hAnsi="宋体"/>
          <w:sz w:val="24"/>
        </w:rPr>
      </w:pPr>
      <w:r>
        <w:rPr>
          <w:rFonts w:hint="eastAsia" w:ascii="宋体" w:hAnsi="宋体"/>
          <w:sz w:val="24"/>
        </w:rPr>
        <w:t>根据《中华人民共和国政府采购法》、《中华人民共和国合同法》等法律、法规规定，按照谈判文件规定条款和成交供应商承诺，甲乙双方签订本合同。</w:t>
      </w:r>
    </w:p>
    <w:p>
      <w:pPr>
        <w:snapToGrid w:val="0"/>
        <w:ind w:firstLine="482" w:firstLineChars="200"/>
        <w:rPr>
          <w:rFonts w:ascii="宋体" w:hAnsi="宋体"/>
          <w:b/>
          <w:sz w:val="24"/>
        </w:rPr>
      </w:pPr>
      <w:r>
        <w:rPr>
          <w:rFonts w:hint="eastAsia" w:ascii="宋体" w:hAnsi="宋体"/>
          <w:b/>
          <w:sz w:val="24"/>
        </w:rPr>
        <w:t>第一条　合同标的</w:t>
      </w:r>
    </w:p>
    <w:p>
      <w:pPr>
        <w:snapToGrid w:val="0"/>
        <w:ind w:firstLine="480" w:firstLineChars="200"/>
        <w:rPr>
          <w:rFonts w:ascii="宋体" w:hAnsi="宋体"/>
          <w:sz w:val="24"/>
        </w:rPr>
      </w:pPr>
      <w:r>
        <w:rPr>
          <w:rFonts w:hint="eastAsia" w:ascii="宋体" w:hAnsi="宋体"/>
          <w:sz w:val="24"/>
        </w:rPr>
        <w:t>1、供货一览表</w:t>
      </w:r>
    </w:p>
    <w:tbl>
      <w:tblPr>
        <w:tblStyle w:val="43"/>
        <w:tblW w:w="915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jc w:val="center"/>
              <w:rPr>
                <w:rFonts w:ascii="宋体" w:hAnsi="宋体"/>
                <w:sz w:val="24"/>
              </w:rPr>
            </w:pPr>
            <w:r>
              <w:rPr>
                <w:rFonts w:hint="eastAsia" w:ascii="宋体" w:hAnsi="宋体"/>
                <w:sz w:val="24"/>
              </w:rPr>
              <w:t>序号</w:t>
            </w:r>
          </w:p>
        </w:tc>
        <w:tc>
          <w:tcPr>
            <w:tcW w:w="1233" w:type="dxa"/>
            <w:vAlign w:val="center"/>
          </w:tcPr>
          <w:p>
            <w:pPr>
              <w:snapToGrid w:val="0"/>
              <w:jc w:val="center"/>
              <w:rPr>
                <w:rFonts w:ascii="宋体" w:hAnsi="宋体"/>
                <w:sz w:val="24"/>
              </w:rPr>
            </w:pPr>
            <w:r>
              <w:rPr>
                <w:rFonts w:hint="eastAsia" w:ascii="宋体" w:hAnsi="宋体"/>
                <w:sz w:val="24"/>
              </w:rPr>
              <w:t>产品名称</w:t>
            </w:r>
          </w:p>
        </w:tc>
        <w:tc>
          <w:tcPr>
            <w:tcW w:w="1059" w:type="dxa"/>
            <w:vAlign w:val="center"/>
          </w:tcPr>
          <w:p>
            <w:pPr>
              <w:snapToGrid w:val="0"/>
              <w:jc w:val="center"/>
              <w:rPr>
                <w:rFonts w:ascii="宋体" w:hAnsi="宋体"/>
                <w:sz w:val="24"/>
              </w:rPr>
            </w:pPr>
            <w:r>
              <w:rPr>
                <w:rFonts w:hint="eastAsia" w:ascii="宋体" w:hAnsi="宋体"/>
                <w:sz w:val="24"/>
              </w:rPr>
              <w:t>商标品牌</w:t>
            </w:r>
          </w:p>
        </w:tc>
        <w:tc>
          <w:tcPr>
            <w:tcW w:w="1233" w:type="dxa"/>
            <w:vAlign w:val="center"/>
          </w:tcPr>
          <w:p>
            <w:pPr>
              <w:snapToGrid w:val="0"/>
              <w:jc w:val="center"/>
              <w:rPr>
                <w:rFonts w:ascii="宋体" w:hAnsi="宋体"/>
                <w:sz w:val="24"/>
              </w:rPr>
            </w:pPr>
            <w:r>
              <w:rPr>
                <w:rFonts w:hint="eastAsia" w:ascii="宋体" w:hAnsi="宋体"/>
                <w:sz w:val="24"/>
              </w:rPr>
              <w:t>规格型号</w:t>
            </w:r>
          </w:p>
        </w:tc>
        <w:tc>
          <w:tcPr>
            <w:tcW w:w="1210" w:type="dxa"/>
            <w:vAlign w:val="center"/>
          </w:tcPr>
          <w:p>
            <w:pPr>
              <w:snapToGrid w:val="0"/>
              <w:jc w:val="center"/>
              <w:rPr>
                <w:rFonts w:ascii="宋体" w:hAnsi="宋体"/>
                <w:sz w:val="24"/>
              </w:rPr>
            </w:pPr>
            <w:r>
              <w:rPr>
                <w:rFonts w:hint="eastAsia" w:ascii="宋体" w:hAnsi="宋体"/>
                <w:sz w:val="24"/>
              </w:rPr>
              <w:t>生产厂家</w:t>
            </w:r>
          </w:p>
        </w:tc>
        <w:tc>
          <w:tcPr>
            <w:tcW w:w="908" w:type="dxa"/>
            <w:vAlign w:val="center"/>
          </w:tcPr>
          <w:p>
            <w:pPr>
              <w:snapToGrid w:val="0"/>
              <w:jc w:val="center"/>
              <w:rPr>
                <w:rFonts w:ascii="宋体" w:hAnsi="宋体"/>
                <w:sz w:val="24"/>
              </w:rPr>
            </w:pPr>
            <w:r>
              <w:rPr>
                <w:rFonts w:hint="eastAsia" w:ascii="宋体" w:hAnsi="宋体"/>
                <w:sz w:val="24"/>
              </w:rPr>
              <w:t>数  量</w:t>
            </w:r>
          </w:p>
        </w:tc>
        <w:tc>
          <w:tcPr>
            <w:tcW w:w="668" w:type="dxa"/>
            <w:vAlign w:val="center"/>
          </w:tcPr>
          <w:p>
            <w:pPr>
              <w:snapToGrid w:val="0"/>
              <w:jc w:val="center"/>
              <w:rPr>
                <w:rFonts w:ascii="宋体" w:hAnsi="宋体"/>
                <w:sz w:val="24"/>
              </w:rPr>
            </w:pPr>
            <w:r>
              <w:rPr>
                <w:rFonts w:hint="eastAsia" w:ascii="宋体" w:hAnsi="宋体"/>
                <w:sz w:val="24"/>
              </w:rPr>
              <w:t>单位</w:t>
            </w:r>
          </w:p>
        </w:tc>
        <w:tc>
          <w:tcPr>
            <w:tcW w:w="947" w:type="dxa"/>
            <w:vAlign w:val="center"/>
          </w:tcPr>
          <w:p>
            <w:pPr>
              <w:snapToGrid w:val="0"/>
              <w:jc w:val="center"/>
              <w:rPr>
                <w:rFonts w:ascii="宋体" w:hAnsi="宋体"/>
                <w:sz w:val="24"/>
              </w:rPr>
            </w:pPr>
            <w:r>
              <w:rPr>
                <w:rFonts w:hint="eastAsia" w:ascii="宋体" w:hAnsi="宋体"/>
                <w:sz w:val="24"/>
              </w:rPr>
              <w:t>单  价</w:t>
            </w:r>
          </w:p>
          <w:p>
            <w:pPr>
              <w:snapToGrid w:val="0"/>
              <w:jc w:val="center"/>
              <w:rPr>
                <w:rFonts w:ascii="宋体" w:hAnsi="宋体"/>
                <w:sz w:val="24"/>
              </w:rPr>
            </w:pPr>
            <w:r>
              <w:rPr>
                <w:rFonts w:hint="eastAsia" w:ascii="宋体" w:hAnsi="宋体"/>
                <w:sz w:val="24"/>
              </w:rPr>
              <w:t>（元）</w:t>
            </w:r>
          </w:p>
        </w:tc>
        <w:tc>
          <w:tcPr>
            <w:tcW w:w="1189" w:type="dxa"/>
            <w:vAlign w:val="center"/>
          </w:tcPr>
          <w:p>
            <w:pPr>
              <w:snapToGrid w:val="0"/>
              <w:jc w:val="center"/>
              <w:rPr>
                <w:rFonts w:ascii="宋体" w:hAnsi="宋体"/>
                <w:sz w:val="24"/>
              </w:rPr>
            </w:pPr>
            <w:r>
              <w:rPr>
                <w:rFonts w:hint="eastAsia" w:ascii="宋体" w:hAnsi="宋体"/>
                <w:sz w:val="24"/>
              </w:rPr>
              <w:t>金  额</w:t>
            </w:r>
          </w:p>
          <w:p>
            <w:pPr>
              <w:snapToGrid w:val="0"/>
              <w:jc w:val="center"/>
              <w:rPr>
                <w:rFonts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jc w:val="center"/>
              <w:rPr>
                <w:rFonts w:ascii="宋体" w:hAnsi="宋体"/>
                <w:sz w:val="24"/>
              </w:rPr>
            </w:pPr>
            <w:r>
              <w:rPr>
                <w:rFonts w:hint="eastAsia" w:ascii="宋体" w:hAnsi="宋体"/>
                <w:sz w:val="24"/>
              </w:rPr>
              <w:t>1</w:t>
            </w:r>
          </w:p>
        </w:tc>
        <w:tc>
          <w:tcPr>
            <w:tcW w:w="1233" w:type="dxa"/>
            <w:vAlign w:val="center"/>
          </w:tcPr>
          <w:p>
            <w:pPr>
              <w:snapToGrid w:val="0"/>
              <w:jc w:val="center"/>
              <w:rPr>
                <w:rFonts w:ascii="宋体" w:hAnsi="宋体"/>
                <w:sz w:val="24"/>
              </w:rPr>
            </w:pPr>
          </w:p>
        </w:tc>
        <w:tc>
          <w:tcPr>
            <w:tcW w:w="1059" w:type="dxa"/>
            <w:vAlign w:val="center"/>
          </w:tcPr>
          <w:p>
            <w:pPr>
              <w:snapToGrid w:val="0"/>
              <w:jc w:val="center"/>
              <w:rPr>
                <w:rFonts w:ascii="宋体" w:hAnsi="宋体"/>
                <w:sz w:val="24"/>
              </w:rPr>
            </w:pPr>
          </w:p>
        </w:tc>
        <w:tc>
          <w:tcPr>
            <w:tcW w:w="1233" w:type="dxa"/>
            <w:vAlign w:val="center"/>
          </w:tcPr>
          <w:p>
            <w:pPr>
              <w:snapToGrid w:val="0"/>
              <w:jc w:val="center"/>
              <w:rPr>
                <w:rFonts w:ascii="宋体" w:hAnsi="宋体"/>
                <w:sz w:val="24"/>
              </w:rPr>
            </w:pPr>
          </w:p>
        </w:tc>
        <w:tc>
          <w:tcPr>
            <w:tcW w:w="1210" w:type="dxa"/>
          </w:tcPr>
          <w:p>
            <w:pPr>
              <w:snapToGrid w:val="0"/>
              <w:jc w:val="center"/>
              <w:rPr>
                <w:rFonts w:ascii="宋体" w:hAnsi="宋体"/>
                <w:sz w:val="24"/>
              </w:rPr>
            </w:pPr>
          </w:p>
        </w:tc>
        <w:tc>
          <w:tcPr>
            <w:tcW w:w="908" w:type="dxa"/>
          </w:tcPr>
          <w:p>
            <w:pPr>
              <w:snapToGrid w:val="0"/>
              <w:jc w:val="center"/>
              <w:rPr>
                <w:rFonts w:ascii="宋体" w:hAnsi="宋体"/>
                <w:sz w:val="24"/>
              </w:rPr>
            </w:pPr>
          </w:p>
        </w:tc>
        <w:tc>
          <w:tcPr>
            <w:tcW w:w="668" w:type="dxa"/>
          </w:tcPr>
          <w:p>
            <w:pPr>
              <w:snapToGrid w:val="0"/>
              <w:jc w:val="center"/>
              <w:rPr>
                <w:rFonts w:ascii="宋体" w:hAnsi="宋体"/>
                <w:sz w:val="24"/>
              </w:rPr>
            </w:pPr>
          </w:p>
        </w:tc>
        <w:tc>
          <w:tcPr>
            <w:tcW w:w="947" w:type="dxa"/>
            <w:vAlign w:val="center"/>
          </w:tcPr>
          <w:p>
            <w:pPr>
              <w:snapToGrid w:val="0"/>
              <w:jc w:val="center"/>
              <w:rPr>
                <w:rFonts w:ascii="宋体" w:hAnsi="宋体"/>
                <w:sz w:val="24"/>
              </w:rPr>
            </w:pPr>
          </w:p>
        </w:tc>
        <w:tc>
          <w:tcPr>
            <w:tcW w:w="1189"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jc w:val="center"/>
              <w:rPr>
                <w:rFonts w:ascii="宋体" w:hAnsi="宋体"/>
                <w:sz w:val="24"/>
              </w:rPr>
            </w:pPr>
            <w:r>
              <w:rPr>
                <w:rFonts w:hint="eastAsia" w:ascii="宋体" w:hAnsi="宋体"/>
                <w:sz w:val="24"/>
              </w:rPr>
              <w:t>2</w:t>
            </w:r>
          </w:p>
        </w:tc>
        <w:tc>
          <w:tcPr>
            <w:tcW w:w="1233" w:type="dxa"/>
            <w:vAlign w:val="center"/>
          </w:tcPr>
          <w:p>
            <w:pPr>
              <w:snapToGrid w:val="0"/>
              <w:jc w:val="center"/>
              <w:rPr>
                <w:rFonts w:ascii="宋体" w:hAnsi="宋体"/>
                <w:sz w:val="24"/>
              </w:rPr>
            </w:pPr>
          </w:p>
        </w:tc>
        <w:tc>
          <w:tcPr>
            <w:tcW w:w="1059" w:type="dxa"/>
            <w:vAlign w:val="center"/>
          </w:tcPr>
          <w:p>
            <w:pPr>
              <w:snapToGrid w:val="0"/>
              <w:jc w:val="center"/>
              <w:rPr>
                <w:rFonts w:ascii="宋体" w:hAnsi="宋体"/>
                <w:sz w:val="24"/>
              </w:rPr>
            </w:pPr>
          </w:p>
        </w:tc>
        <w:tc>
          <w:tcPr>
            <w:tcW w:w="1233" w:type="dxa"/>
            <w:vAlign w:val="center"/>
          </w:tcPr>
          <w:p>
            <w:pPr>
              <w:snapToGrid w:val="0"/>
              <w:jc w:val="center"/>
              <w:rPr>
                <w:rFonts w:ascii="宋体" w:hAnsi="宋体"/>
                <w:sz w:val="24"/>
              </w:rPr>
            </w:pPr>
          </w:p>
        </w:tc>
        <w:tc>
          <w:tcPr>
            <w:tcW w:w="1210" w:type="dxa"/>
          </w:tcPr>
          <w:p>
            <w:pPr>
              <w:snapToGrid w:val="0"/>
              <w:jc w:val="center"/>
              <w:rPr>
                <w:rFonts w:ascii="宋体" w:hAnsi="宋体"/>
                <w:sz w:val="24"/>
              </w:rPr>
            </w:pPr>
          </w:p>
        </w:tc>
        <w:tc>
          <w:tcPr>
            <w:tcW w:w="908" w:type="dxa"/>
          </w:tcPr>
          <w:p>
            <w:pPr>
              <w:snapToGrid w:val="0"/>
              <w:jc w:val="center"/>
              <w:rPr>
                <w:rFonts w:ascii="宋体" w:hAnsi="宋体"/>
                <w:sz w:val="24"/>
              </w:rPr>
            </w:pPr>
          </w:p>
        </w:tc>
        <w:tc>
          <w:tcPr>
            <w:tcW w:w="668" w:type="dxa"/>
          </w:tcPr>
          <w:p>
            <w:pPr>
              <w:snapToGrid w:val="0"/>
              <w:jc w:val="center"/>
              <w:rPr>
                <w:rFonts w:ascii="宋体" w:hAnsi="宋体"/>
                <w:sz w:val="24"/>
              </w:rPr>
            </w:pPr>
          </w:p>
        </w:tc>
        <w:tc>
          <w:tcPr>
            <w:tcW w:w="947" w:type="dxa"/>
            <w:vAlign w:val="center"/>
          </w:tcPr>
          <w:p>
            <w:pPr>
              <w:snapToGrid w:val="0"/>
              <w:jc w:val="center"/>
              <w:rPr>
                <w:rFonts w:ascii="宋体" w:hAnsi="宋体"/>
                <w:sz w:val="24"/>
              </w:rPr>
            </w:pPr>
          </w:p>
        </w:tc>
        <w:tc>
          <w:tcPr>
            <w:tcW w:w="1189"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jc w:val="center"/>
              <w:rPr>
                <w:rFonts w:ascii="宋体" w:hAnsi="宋体"/>
                <w:sz w:val="24"/>
              </w:rPr>
            </w:pPr>
            <w:r>
              <w:rPr>
                <w:rFonts w:hint="eastAsia" w:ascii="宋体" w:hAnsi="宋体"/>
                <w:sz w:val="24"/>
              </w:rPr>
              <w:t>3</w:t>
            </w:r>
          </w:p>
        </w:tc>
        <w:tc>
          <w:tcPr>
            <w:tcW w:w="1233" w:type="dxa"/>
            <w:vAlign w:val="center"/>
          </w:tcPr>
          <w:p>
            <w:pPr>
              <w:snapToGrid w:val="0"/>
              <w:jc w:val="center"/>
              <w:rPr>
                <w:rFonts w:ascii="宋体" w:hAnsi="宋体"/>
                <w:sz w:val="24"/>
              </w:rPr>
            </w:pPr>
          </w:p>
        </w:tc>
        <w:tc>
          <w:tcPr>
            <w:tcW w:w="1059" w:type="dxa"/>
            <w:vAlign w:val="center"/>
          </w:tcPr>
          <w:p>
            <w:pPr>
              <w:snapToGrid w:val="0"/>
              <w:jc w:val="center"/>
              <w:rPr>
                <w:rFonts w:ascii="宋体" w:hAnsi="宋体"/>
                <w:sz w:val="24"/>
              </w:rPr>
            </w:pPr>
          </w:p>
        </w:tc>
        <w:tc>
          <w:tcPr>
            <w:tcW w:w="1233" w:type="dxa"/>
            <w:vAlign w:val="center"/>
          </w:tcPr>
          <w:p>
            <w:pPr>
              <w:snapToGrid w:val="0"/>
              <w:jc w:val="center"/>
              <w:rPr>
                <w:rFonts w:ascii="宋体" w:hAnsi="宋体"/>
                <w:sz w:val="24"/>
              </w:rPr>
            </w:pPr>
          </w:p>
        </w:tc>
        <w:tc>
          <w:tcPr>
            <w:tcW w:w="1210" w:type="dxa"/>
          </w:tcPr>
          <w:p>
            <w:pPr>
              <w:snapToGrid w:val="0"/>
              <w:jc w:val="center"/>
              <w:rPr>
                <w:rFonts w:ascii="宋体" w:hAnsi="宋体"/>
                <w:sz w:val="24"/>
              </w:rPr>
            </w:pPr>
          </w:p>
        </w:tc>
        <w:tc>
          <w:tcPr>
            <w:tcW w:w="908" w:type="dxa"/>
          </w:tcPr>
          <w:p>
            <w:pPr>
              <w:snapToGrid w:val="0"/>
              <w:jc w:val="center"/>
              <w:rPr>
                <w:rFonts w:ascii="宋体" w:hAnsi="宋体"/>
                <w:sz w:val="24"/>
              </w:rPr>
            </w:pPr>
          </w:p>
        </w:tc>
        <w:tc>
          <w:tcPr>
            <w:tcW w:w="668" w:type="dxa"/>
          </w:tcPr>
          <w:p>
            <w:pPr>
              <w:snapToGrid w:val="0"/>
              <w:jc w:val="center"/>
              <w:rPr>
                <w:rFonts w:ascii="宋体" w:hAnsi="宋体"/>
                <w:sz w:val="24"/>
              </w:rPr>
            </w:pPr>
          </w:p>
        </w:tc>
        <w:tc>
          <w:tcPr>
            <w:tcW w:w="947" w:type="dxa"/>
            <w:vAlign w:val="center"/>
          </w:tcPr>
          <w:p>
            <w:pPr>
              <w:snapToGrid w:val="0"/>
              <w:jc w:val="center"/>
              <w:rPr>
                <w:rFonts w:ascii="宋体" w:hAnsi="宋体"/>
                <w:sz w:val="24"/>
              </w:rPr>
            </w:pPr>
          </w:p>
        </w:tc>
        <w:tc>
          <w:tcPr>
            <w:tcW w:w="1189"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56" w:type="dxa"/>
            <w:gridSpan w:val="9"/>
            <w:vAlign w:val="center"/>
          </w:tcPr>
          <w:p>
            <w:pPr>
              <w:snapToGrid w:val="0"/>
              <w:rPr>
                <w:rFonts w:ascii="宋体" w:hAnsi="宋体"/>
                <w:sz w:val="24"/>
              </w:rPr>
            </w:pPr>
            <w:r>
              <w:rPr>
                <w:rFonts w:hint="eastAsia" w:ascii="宋体" w:hAnsi="宋体"/>
                <w:sz w:val="24"/>
              </w:rPr>
              <w:t xml:space="preserve">人民币合计金额（大写）                          （小写）                 </w:t>
            </w:r>
          </w:p>
        </w:tc>
      </w:tr>
    </w:tbl>
    <w:p>
      <w:pPr>
        <w:snapToGrid w:val="0"/>
        <w:ind w:firstLine="480" w:firstLineChars="200"/>
        <w:rPr>
          <w:rFonts w:ascii="宋体" w:hAnsi="宋体"/>
          <w:sz w:val="24"/>
        </w:rPr>
      </w:pPr>
      <w:r>
        <w:rPr>
          <w:rFonts w:hint="eastAsia" w:ascii="宋体" w:hAnsi="宋体"/>
          <w:sz w:val="24"/>
        </w:rPr>
        <w:t>2、合同合计金额包括货物价款，备件、专用工具、安装、调试、检验、技术培训及技术资料和包装、运输等全部费用。如招投标文件对其另有规定的，从其规定。</w:t>
      </w:r>
    </w:p>
    <w:p>
      <w:pPr>
        <w:snapToGrid w:val="0"/>
        <w:ind w:firstLine="482" w:firstLineChars="200"/>
        <w:rPr>
          <w:rFonts w:ascii="宋体" w:hAnsi="宋体"/>
          <w:sz w:val="24"/>
        </w:rPr>
      </w:pPr>
      <w:r>
        <w:rPr>
          <w:rFonts w:hint="eastAsia" w:ascii="宋体" w:hAnsi="宋体"/>
          <w:b/>
          <w:sz w:val="24"/>
        </w:rPr>
        <w:t>第二条</w:t>
      </w:r>
      <w:r>
        <w:rPr>
          <w:rFonts w:hint="eastAsia" w:ascii="宋体" w:hAnsi="宋体"/>
          <w:sz w:val="24"/>
        </w:rPr>
        <w:t>　质量保证</w:t>
      </w:r>
    </w:p>
    <w:p>
      <w:pPr>
        <w:snapToGrid w:val="0"/>
        <w:ind w:firstLine="480" w:firstLineChars="200"/>
        <w:rPr>
          <w:rFonts w:ascii="宋体" w:hAnsi="宋体"/>
          <w:sz w:val="24"/>
        </w:rPr>
      </w:pPr>
      <w:r>
        <w:rPr>
          <w:rFonts w:hint="eastAsia" w:ascii="宋体" w:hAnsi="宋体"/>
          <w:sz w:val="24"/>
        </w:rPr>
        <w:t>1、乙方所提供的货物型号、技术规格、技术参数等质量必须与招投标文件和承诺相一致。</w:t>
      </w:r>
    </w:p>
    <w:p>
      <w:pPr>
        <w:snapToGrid w:val="0"/>
        <w:ind w:firstLine="480" w:firstLineChars="200"/>
        <w:rPr>
          <w:rFonts w:ascii="宋体" w:hAnsi="宋体"/>
          <w:sz w:val="24"/>
        </w:rPr>
      </w:pPr>
      <w:r>
        <w:rPr>
          <w:rFonts w:hint="eastAsia" w:ascii="宋体" w:hAnsi="宋体"/>
          <w:sz w:val="24"/>
        </w:rPr>
        <w:t>2、乙方所提供的货物必须是全新、未使用的原装产品，且在正常安装、使用和保养条件下，其使用寿命期内各项指标均达到质量要求。</w:t>
      </w:r>
    </w:p>
    <w:p>
      <w:pPr>
        <w:snapToGrid w:val="0"/>
        <w:ind w:firstLine="482" w:firstLineChars="200"/>
        <w:rPr>
          <w:rFonts w:ascii="宋体" w:hAnsi="宋体"/>
          <w:sz w:val="24"/>
        </w:rPr>
      </w:pPr>
      <w:r>
        <w:rPr>
          <w:rFonts w:hint="eastAsia" w:ascii="宋体" w:hAnsi="宋体"/>
          <w:b/>
          <w:sz w:val="24"/>
        </w:rPr>
        <w:t>第三条</w:t>
      </w:r>
      <w:r>
        <w:rPr>
          <w:rFonts w:hint="eastAsia" w:ascii="宋体" w:hAnsi="宋体"/>
          <w:sz w:val="24"/>
        </w:rPr>
        <w:t>　权力保证</w:t>
      </w:r>
    </w:p>
    <w:p>
      <w:pPr>
        <w:snapToGrid w:val="0"/>
        <w:ind w:firstLine="480" w:firstLineChars="200"/>
        <w:rPr>
          <w:rFonts w:ascii="宋体" w:hAnsi="宋体"/>
          <w:sz w:val="24"/>
        </w:rPr>
      </w:pPr>
      <w:r>
        <w:rPr>
          <w:rFonts w:hint="eastAsia" w:ascii="宋体" w:hAnsi="宋体"/>
          <w:sz w:val="24"/>
        </w:rPr>
        <w:t>乙方应保证所提供货物在使用时不会侵犯任何第三方的专利权、商标权、工业设计权或其他权利。</w:t>
      </w:r>
    </w:p>
    <w:p>
      <w:pPr>
        <w:snapToGrid w:val="0"/>
        <w:ind w:firstLine="480" w:firstLineChars="200"/>
        <w:rPr>
          <w:rFonts w:ascii="宋体" w:hAnsi="宋体"/>
          <w:sz w:val="24"/>
        </w:rPr>
      </w:pPr>
      <w:r>
        <w:rPr>
          <w:rFonts w:hint="eastAsia" w:ascii="宋体" w:hAnsi="宋体"/>
          <w:sz w:val="24"/>
        </w:rPr>
        <w:t>乙方应按招标文件规定的时间向甲方提供使用货物的有关技术资料。</w:t>
      </w:r>
    </w:p>
    <w:p>
      <w:pPr>
        <w:snapToGrid w:val="0"/>
        <w:ind w:firstLine="480" w:firstLineChars="200"/>
        <w:rPr>
          <w:rFonts w:ascii="宋体" w:hAnsi="宋体"/>
          <w:sz w:val="24"/>
        </w:rPr>
      </w:pPr>
      <w:r>
        <w:rPr>
          <w:rFonts w:hint="eastAsia" w:ascii="宋体"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ind w:firstLine="480" w:firstLineChars="200"/>
        <w:rPr>
          <w:rFonts w:ascii="宋体" w:hAnsi="宋体"/>
          <w:sz w:val="24"/>
        </w:rPr>
      </w:pPr>
      <w:r>
        <w:rPr>
          <w:rFonts w:hint="eastAsia" w:ascii="宋体" w:hAnsi="宋体"/>
          <w:sz w:val="24"/>
        </w:rPr>
        <w:t>乙方保证所交付的货物的所有权完全属于乙方且无任何抵押、质押、查封等产权瑕疵。</w:t>
      </w:r>
    </w:p>
    <w:p>
      <w:pPr>
        <w:snapToGrid w:val="0"/>
        <w:ind w:firstLine="482" w:firstLineChars="200"/>
        <w:rPr>
          <w:rFonts w:ascii="宋体" w:hAnsi="宋体"/>
          <w:sz w:val="24"/>
        </w:rPr>
      </w:pPr>
      <w:r>
        <w:rPr>
          <w:rFonts w:hint="eastAsia" w:ascii="宋体" w:hAnsi="宋体"/>
          <w:b/>
          <w:sz w:val="24"/>
        </w:rPr>
        <w:t>第四条</w:t>
      </w:r>
      <w:r>
        <w:rPr>
          <w:rFonts w:hint="eastAsia" w:ascii="宋体" w:hAnsi="宋体"/>
          <w:sz w:val="24"/>
        </w:rPr>
        <w:t>　包装和运输</w:t>
      </w:r>
    </w:p>
    <w:p>
      <w:pPr>
        <w:snapToGrid w:val="0"/>
        <w:ind w:firstLine="480" w:firstLineChars="200"/>
        <w:rPr>
          <w:rFonts w:ascii="宋体" w:hAnsi="宋体"/>
          <w:sz w:val="24"/>
        </w:rPr>
      </w:pPr>
      <w:r>
        <w:rPr>
          <w:rFonts w:hint="eastAsia" w:ascii="宋体" w:hAnsi="宋体"/>
          <w:sz w:val="24"/>
        </w:rPr>
        <w:t>1、乙方提供的货物均应按招投标文件要求的包装材料、包装标准、包装方式进行包装，每一包装单元内应附详细的装箱单和质量合格证。</w:t>
      </w:r>
    </w:p>
    <w:p>
      <w:pPr>
        <w:snapToGrid w:val="0"/>
        <w:ind w:firstLine="480" w:firstLineChars="200"/>
        <w:rPr>
          <w:rFonts w:ascii="宋体" w:hAnsi="宋体"/>
          <w:sz w:val="24"/>
        </w:rPr>
      </w:pPr>
      <w:r>
        <w:rPr>
          <w:rFonts w:hint="eastAsia" w:ascii="宋体" w:hAnsi="宋体"/>
          <w:sz w:val="24"/>
        </w:rPr>
        <w:t>2、货物的运输方式：不限 。</w:t>
      </w:r>
    </w:p>
    <w:p>
      <w:pPr>
        <w:snapToGrid w:val="0"/>
        <w:ind w:firstLine="480" w:firstLineChars="200"/>
        <w:rPr>
          <w:rFonts w:ascii="宋体" w:hAnsi="宋体"/>
          <w:sz w:val="24"/>
        </w:rPr>
      </w:pPr>
      <w:r>
        <w:rPr>
          <w:rFonts w:hint="eastAsia" w:ascii="宋体" w:hAnsi="宋体"/>
          <w:sz w:val="24"/>
        </w:rPr>
        <w:t>3、乙方负责货物运输，货物运输合理损耗及计算方法：本合同交付货物不接受损耗。</w:t>
      </w:r>
    </w:p>
    <w:p>
      <w:pPr>
        <w:snapToGrid w:val="0"/>
        <w:ind w:firstLine="482" w:firstLineChars="200"/>
        <w:rPr>
          <w:rFonts w:ascii="宋体" w:hAnsi="宋体"/>
          <w:sz w:val="24"/>
        </w:rPr>
      </w:pPr>
      <w:r>
        <w:rPr>
          <w:rFonts w:hint="eastAsia" w:ascii="宋体" w:hAnsi="宋体"/>
          <w:b/>
          <w:sz w:val="24"/>
        </w:rPr>
        <w:t>第五条</w:t>
      </w:r>
      <w:r>
        <w:rPr>
          <w:rFonts w:hint="eastAsia" w:ascii="宋体" w:hAnsi="宋体"/>
          <w:sz w:val="24"/>
        </w:rPr>
        <w:t>　交付和验收</w:t>
      </w:r>
    </w:p>
    <w:p>
      <w:pPr>
        <w:snapToGrid w:val="0"/>
        <w:ind w:firstLine="480" w:firstLineChars="200"/>
        <w:rPr>
          <w:rFonts w:ascii="宋体" w:hAnsi="宋体"/>
          <w:sz w:val="24"/>
        </w:rPr>
      </w:pPr>
      <w:r>
        <w:rPr>
          <w:rFonts w:hint="eastAsia" w:ascii="宋体" w:hAnsi="宋体"/>
          <w:sz w:val="24"/>
        </w:rPr>
        <w:t>1、交货时间：</w:t>
      </w:r>
      <w:r>
        <w:rPr>
          <w:rFonts w:hint="eastAsia" w:ascii="宋体" w:hAnsi="宋体"/>
          <w:sz w:val="24"/>
          <w:u w:val="single"/>
        </w:rPr>
        <w:t>按乙方响应文件承诺。</w:t>
      </w:r>
    </w:p>
    <w:p>
      <w:pPr>
        <w:ind w:firstLine="480" w:firstLineChars="200"/>
        <w:rPr>
          <w:rFonts w:ascii="宋体" w:hAnsi="宋体"/>
          <w:sz w:val="24"/>
        </w:rPr>
      </w:pPr>
      <w:r>
        <w:rPr>
          <w:rFonts w:hint="eastAsia" w:ascii="宋体" w:hAnsi="宋体"/>
          <w:sz w:val="24"/>
        </w:rPr>
        <w:t>交货地点：</w:t>
      </w:r>
      <w:r>
        <w:rPr>
          <w:rFonts w:hint="eastAsia" w:ascii="宋体" w:hAnsi="宋体"/>
          <w:sz w:val="24"/>
          <w:u w:val="single"/>
        </w:rPr>
        <w:t>采购人指定地点。</w:t>
      </w:r>
    </w:p>
    <w:p>
      <w:pPr>
        <w:snapToGrid w:val="0"/>
        <w:ind w:firstLine="480" w:firstLineChars="200"/>
        <w:rPr>
          <w:rFonts w:ascii="宋体" w:hAnsi="宋体"/>
          <w:sz w:val="24"/>
        </w:rPr>
      </w:pPr>
      <w:r>
        <w:rPr>
          <w:rFonts w:hint="eastAsia" w:ascii="宋体" w:hAnsi="宋体"/>
          <w:sz w:val="24"/>
        </w:rPr>
        <w:t>2、乙方提供不符合招投标文件和本合同规定的货物，甲方有权拒绝接受。</w:t>
      </w:r>
    </w:p>
    <w:p>
      <w:pPr>
        <w:snapToGrid w:val="0"/>
        <w:ind w:firstLine="480" w:firstLineChars="200"/>
        <w:rPr>
          <w:rFonts w:ascii="宋体" w:hAnsi="宋体"/>
          <w:sz w:val="24"/>
        </w:rPr>
      </w:pPr>
      <w:r>
        <w:rPr>
          <w:rFonts w:hint="eastAsia" w:ascii="宋体" w:hAnsi="宋体"/>
          <w:sz w:val="24"/>
        </w:rPr>
        <w:t>3、乙方应将所提供货物的装箱清单、用户手册、原厂保修卡、随机资料、工具和备品、备件等交付给甲方，如有缺失应及时补齐，否则视为逾期交货。</w:t>
      </w:r>
    </w:p>
    <w:p>
      <w:pPr>
        <w:snapToGrid w:val="0"/>
        <w:ind w:firstLine="480" w:firstLineChars="200"/>
        <w:rPr>
          <w:rFonts w:ascii="宋体" w:hAnsi="宋体"/>
          <w:sz w:val="24"/>
        </w:rPr>
      </w:pPr>
      <w:r>
        <w:rPr>
          <w:rFonts w:hint="eastAsia" w:ascii="宋体" w:hAnsi="宋体"/>
          <w:sz w:val="24"/>
        </w:rPr>
        <w:t>4、甲方应当在到货（安装、调试完）后七个工作日内进行验收，逾期不验收的，乙方可视同验收合格。验收合格后由甲乙双方签署货物验收单并加盖采购单位公章，甲乙双方各执一份。</w:t>
      </w:r>
    </w:p>
    <w:p>
      <w:pPr>
        <w:snapToGrid w:val="0"/>
        <w:ind w:firstLine="480" w:firstLineChars="200"/>
        <w:rPr>
          <w:rFonts w:ascii="宋体" w:hAnsi="宋体"/>
          <w:sz w:val="24"/>
        </w:rPr>
      </w:pPr>
      <w:r>
        <w:rPr>
          <w:rFonts w:hint="eastAsia" w:ascii="宋体" w:hAnsi="宋体"/>
          <w:sz w:val="24"/>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ind w:firstLine="480" w:firstLineChars="200"/>
        <w:rPr>
          <w:rFonts w:ascii="宋体" w:hAnsi="宋体"/>
          <w:sz w:val="24"/>
        </w:rPr>
      </w:pPr>
      <w:r>
        <w:rPr>
          <w:rFonts w:hint="eastAsia" w:ascii="宋体" w:hAnsi="宋体"/>
          <w:sz w:val="24"/>
        </w:rPr>
        <w:t>6、甲方对验收有异议的，在验收后五个工作日内以书面形式向乙方提出，乙方应自收到甲方书面异议后五个工作日内及时予以解决。</w:t>
      </w:r>
    </w:p>
    <w:p>
      <w:pPr>
        <w:snapToGrid w:val="0"/>
        <w:ind w:firstLine="482" w:firstLineChars="200"/>
        <w:rPr>
          <w:rFonts w:ascii="宋体" w:hAnsi="宋体"/>
          <w:sz w:val="24"/>
        </w:rPr>
      </w:pPr>
      <w:r>
        <w:rPr>
          <w:rFonts w:hint="eastAsia" w:ascii="宋体" w:hAnsi="宋体"/>
          <w:b/>
          <w:sz w:val="24"/>
        </w:rPr>
        <w:t>第六条</w:t>
      </w:r>
      <w:r>
        <w:rPr>
          <w:rFonts w:hint="eastAsia" w:ascii="宋体" w:hAnsi="宋体"/>
          <w:sz w:val="24"/>
        </w:rPr>
        <w:t>　安装和培训</w:t>
      </w:r>
    </w:p>
    <w:p>
      <w:pPr>
        <w:snapToGrid w:val="0"/>
        <w:ind w:firstLine="480" w:firstLineChars="200"/>
        <w:rPr>
          <w:rFonts w:ascii="宋体" w:hAnsi="宋体"/>
          <w:sz w:val="24"/>
        </w:rPr>
      </w:pPr>
      <w:r>
        <w:rPr>
          <w:rFonts w:hint="eastAsia" w:ascii="宋体" w:hAnsi="宋体"/>
          <w:sz w:val="24"/>
        </w:rPr>
        <w:t>无</w:t>
      </w:r>
    </w:p>
    <w:p>
      <w:pPr>
        <w:snapToGrid w:val="0"/>
        <w:ind w:firstLine="482" w:firstLineChars="200"/>
        <w:rPr>
          <w:rFonts w:ascii="宋体" w:hAnsi="宋体"/>
          <w:sz w:val="24"/>
        </w:rPr>
      </w:pPr>
      <w:r>
        <w:rPr>
          <w:rFonts w:hint="eastAsia" w:ascii="宋体" w:hAnsi="宋体"/>
          <w:b/>
          <w:sz w:val="24"/>
        </w:rPr>
        <w:t>第七条</w:t>
      </w:r>
      <w:r>
        <w:rPr>
          <w:rFonts w:hint="eastAsia" w:ascii="宋体" w:hAnsi="宋体"/>
          <w:sz w:val="24"/>
        </w:rPr>
        <w:t xml:space="preserve">  售后服务、保修期</w:t>
      </w:r>
    </w:p>
    <w:p>
      <w:pPr>
        <w:snapToGrid w:val="0"/>
        <w:ind w:firstLine="480" w:firstLineChars="200"/>
        <w:rPr>
          <w:rFonts w:ascii="宋体" w:hAnsi="宋体"/>
          <w:sz w:val="24"/>
        </w:rPr>
      </w:pPr>
      <w:r>
        <w:rPr>
          <w:rFonts w:hint="eastAsia" w:ascii="宋体" w:hAnsi="宋体"/>
          <w:sz w:val="24"/>
        </w:rPr>
        <w:t>1、乙方应按照国家有关法律法规和“三包”规定以及招投标文件和本合同所附的《服务承诺》，为甲方提供售后服务。</w:t>
      </w:r>
    </w:p>
    <w:p>
      <w:pPr>
        <w:snapToGrid w:val="0"/>
        <w:ind w:firstLine="480" w:firstLineChars="200"/>
        <w:rPr>
          <w:rFonts w:ascii="宋体" w:hAnsi="宋体"/>
          <w:sz w:val="24"/>
        </w:rPr>
      </w:pPr>
      <w:r>
        <w:rPr>
          <w:rFonts w:hint="eastAsia" w:ascii="宋体" w:hAnsi="宋体"/>
          <w:sz w:val="24"/>
        </w:rPr>
        <w:t xml:space="preserve">2、货物保修期： </w:t>
      </w:r>
      <w:r>
        <w:rPr>
          <w:rFonts w:hint="eastAsia" w:ascii="宋体" w:hAnsi="宋体"/>
          <w:sz w:val="24"/>
          <w:u w:val="single"/>
        </w:rPr>
        <w:t xml:space="preserve"> 按乙方商务条款偏离表和售后服务方案</w:t>
      </w:r>
      <w:r>
        <w:rPr>
          <w:rFonts w:hint="eastAsia" w:ascii="宋体" w:hAnsi="宋体"/>
          <w:sz w:val="24"/>
        </w:rPr>
        <w:t>。</w:t>
      </w:r>
    </w:p>
    <w:p>
      <w:pPr>
        <w:snapToGrid w:val="0"/>
        <w:ind w:firstLine="480" w:firstLineChars="200"/>
        <w:rPr>
          <w:rFonts w:ascii="宋体" w:hAnsi="宋体"/>
          <w:sz w:val="24"/>
        </w:rPr>
      </w:pPr>
      <w:r>
        <w:rPr>
          <w:rFonts w:hint="eastAsia" w:ascii="宋体" w:hAnsi="宋体"/>
          <w:sz w:val="24"/>
        </w:rPr>
        <w:t>3、乙方提供的服务承诺和售后服务及保修期责任等其它具体约定事项。（见合同附件）</w:t>
      </w:r>
    </w:p>
    <w:p>
      <w:pPr>
        <w:snapToGrid w:val="0"/>
        <w:ind w:firstLine="482" w:firstLineChars="200"/>
        <w:rPr>
          <w:rFonts w:ascii="宋体" w:hAnsi="宋体"/>
          <w:sz w:val="24"/>
        </w:rPr>
      </w:pPr>
      <w:r>
        <w:rPr>
          <w:rFonts w:hint="eastAsia" w:ascii="宋体" w:hAnsi="宋体"/>
          <w:b/>
          <w:sz w:val="24"/>
        </w:rPr>
        <w:t>第八条</w:t>
      </w:r>
      <w:r>
        <w:rPr>
          <w:rFonts w:hint="eastAsia" w:ascii="宋体" w:hAnsi="宋体"/>
          <w:sz w:val="24"/>
        </w:rPr>
        <w:t>　付款方式</w:t>
      </w:r>
    </w:p>
    <w:p>
      <w:pPr>
        <w:snapToGrid w:val="0"/>
        <w:ind w:firstLine="480" w:firstLineChars="200"/>
        <w:rPr>
          <w:rFonts w:hAnsi="宋体"/>
          <w:sz w:val="24"/>
        </w:rPr>
      </w:pPr>
      <w:r>
        <w:rPr>
          <w:rFonts w:hint="eastAsia" w:hAnsi="宋体"/>
          <w:sz w:val="24"/>
        </w:rPr>
        <w:t>1、资金性质：预算内资金。</w:t>
      </w:r>
    </w:p>
    <w:p>
      <w:pPr>
        <w:snapToGrid w:val="0"/>
        <w:ind w:firstLine="480" w:firstLineChars="200"/>
        <w:rPr>
          <w:rFonts w:hAnsi="宋体"/>
          <w:sz w:val="24"/>
        </w:rPr>
      </w:pPr>
      <w:r>
        <w:rPr>
          <w:rFonts w:hint="eastAsia" w:hAnsi="宋体"/>
          <w:sz w:val="24"/>
        </w:rPr>
        <w:t>2、付款方式：本项目无预付款，供应商交货安装完毕并验收合格后，一次性支付合同款。</w:t>
      </w:r>
    </w:p>
    <w:p>
      <w:pPr>
        <w:snapToGrid w:val="0"/>
        <w:ind w:firstLine="514"/>
        <w:rPr>
          <w:rFonts w:ascii="宋体" w:hAnsi="宋体"/>
          <w:sz w:val="24"/>
        </w:rPr>
      </w:pPr>
      <w:r>
        <w:rPr>
          <w:rFonts w:hint="eastAsia" w:ascii="宋体" w:hAnsi="宋体"/>
          <w:b/>
          <w:sz w:val="24"/>
        </w:rPr>
        <w:t>第九条</w:t>
      </w:r>
      <w:r>
        <w:rPr>
          <w:rFonts w:hint="eastAsia" w:ascii="宋体" w:hAnsi="宋体"/>
          <w:sz w:val="24"/>
        </w:rPr>
        <w:t xml:space="preserve">  税费</w:t>
      </w:r>
    </w:p>
    <w:p>
      <w:pPr>
        <w:snapToGrid w:val="0"/>
        <w:ind w:firstLine="514"/>
        <w:rPr>
          <w:rFonts w:ascii="宋体" w:hAnsi="宋体"/>
          <w:sz w:val="24"/>
        </w:rPr>
      </w:pPr>
      <w:r>
        <w:rPr>
          <w:rFonts w:hint="eastAsia" w:ascii="宋体" w:hAnsi="宋体"/>
          <w:sz w:val="24"/>
        </w:rPr>
        <w:t>本合同执行中相关的一切税费均由乙方负担。</w:t>
      </w:r>
    </w:p>
    <w:p>
      <w:pPr>
        <w:snapToGrid w:val="0"/>
        <w:ind w:firstLine="514"/>
        <w:rPr>
          <w:rFonts w:ascii="宋体" w:hAnsi="宋体"/>
          <w:sz w:val="24"/>
        </w:rPr>
      </w:pPr>
      <w:r>
        <w:rPr>
          <w:rFonts w:hint="eastAsia" w:ascii="宋体" w:hAnsi="宋体"/>
          <w:b/>
          <w:sz w:val="24"/>
        </w:rPr>
        <w:t>第十条</w:t>
      </w:r>
      <w:r>
        <w:rPr>
          <w:rFonts w:hint="eastAsia" w:ascii="宋体" w:hAnsi="宋体"/>
          <w:sz w:val="24"/>
        </w:rPr>
        <w:t>、质量保证及售后服务</w:t>
      </w:r>
    </w:p>
    <w:p>
      <w:pPr>
        <w:snapToGrid w:val="0"/>
        <w:ind w:firstLine="480" w:firstLineChars="200"/>
        <w:rPr>
          <w:rFonts w:ascii="宋体" w:hAnsi="宋体"/>
          <w:sz w:val="24"/>
        </w:rPr>
      </w:pPr>
      <w:r>
        <w:rPr>
          <w:rFonts w:hint="eastAsia" w:ascii="宋体" w:hAnsi="宋体"/>
          <w:sz w:val="24"/>
        </w:rPr>
        <w:t>1. 乙方应按招标文件规定的货物性能、技术要求、质量标准向甲方提供未经使用的全新产品。不符合要求者，根据实际情况，经双方协商，可按以下办法处理：</w:t>
      </w:r>
    </w:p>
    <w:p>
      <w:pPr>
        <w:pStyle w:val="24"/>
        <w:snapToGrid w:val="0"/>
        <w:ind w:firstLine="480" w:firstLineChars="200"/>
        <w:rPr>
          <w:rFonts w:hAnsi="宋体"/>
          <w:sz w:val="24"/>
          <w:szCs w:val="24"/>
        </w:rPr>
      </w:pPr>
      <w:r>
        <w:rPr>
          <w:rFonts w:hint="eastAsia" w:hAnsi="宋体"/>
          <w:sz w:val="24"/>
          <w:szCs w:val="24"/>
        </w:rPr>
        <w:t>⑴更换：由乙方承担所发生的全部费用。</w:t>
      </w:r>
    </w:p>
    <w:p>
      <w:pPr>
        <w:pStyle w:val="24"/>
        <w:snapToGrid w:val="0"/>
        <w:ind w:firstLine="420"/>
        <w:rPr>
          <w:rFonts w:hAnsi="宋体"/>
          <w:sz w:val="24"/>
          <w:szCs w:val="24"/>
        </w:rPr>
      </w:pPr>
      <w:r>
        <w:rPr>
          <w:rFonts w:hint="eastAsia" w:hAnsi="宋体"/>
          <w:sz w:val="24"/>
          <w:szCs w:val="24"/>
        </w:rPr>
        <w:t>⑵贬值处理：由甲乙双方合议定价。</w:t>
      </w:r>
    </w:p>
    <w:p>
      <w:pPr>
        <w:pStyle w:val="24"/>
        <w:snapToGrid w:val="0"/>
        <w:ind w:left="420" w:leftChars="200"/>
        <w:rPr>
          <w:rFonts w:hAnsi="宋体"/>
          <w:sz w:val="24"/>
          <w:szCs w:val="24"/>
        </w:rPr>
      </w:pPr>
      <w:r>
        <w:rPr>
          <w:rFonts w:hint="eastAsia" w:hAnsi="宋体"/>
          <w:sz w:val="24"/>
          <w:szCs w:val="24"/>
        </w:rPr>
        <w:t>⑶退货处理：乙方应退还甲方支付的合同款，同时应承担该货物的直接费用（运输、保险、检验、货款利息及银行手续费等）。</w:t>
      </w:r>
    </w:p>
    <w:p>
      <w:pPr>
        <w:pStyle w:val="24"/>
        <w:snapToGrid w:val="0"/>
        <w:ind w:firstLine="480" w:firstLineChars="200"/>
        <w:rPr>
          <w:rFonts w:hAnsi="宋体"/>
          <w:sz w:val="24"/>
          <w:szCs w:val="24"/>
        </w:rPr>
      </w:pPr>
      <w:r>
        <w:rPr>
          <w:rFonts w:hint="eastAsia" w:hAnsi="宋体"/>
          <w:sz w:val="24"/>
          <w:szCs w:val="24"/>
        </w:rPr>
        <w:t>3. 如在使用过程中发生质量问题，乙方在接到甲方通知后48小时内到达甲方现场处理。</w:t>
      </w:r>
    </w:p>
    <w:p>
      <w:pPr>
        <w:pStyle w:val="24"/>
        <w:snapToGrid w:val="0"/>
        <w:ind w:firstLine="480" w:firstLineChars="200"/>
        <w:rPr>
          <w:rFonts w:hAnsi="宋体"/>
          <w:sz w:val="24"/>
          <w:szCs w:val="24"/>
        </w:rPr>
      </w:pPr>
      <w:r>
        <w:rPr>
          <w:rFonts w:hint="eastAsia" w:hAnsi="宋体"/>
          <w:sz w:val="24"/>
          <w:szCs w:val="24"/>
        </w:rPr>
        <w:t>4. 在质保期内，乙方应对货物出现的质量及安全问题负责处理解决并承担一切费用。</w:t>
      </w:r>
    </w:p>
    <w:p>
      <w:pPr>
        <w:snapToGrid w:val="0"/>
        <w:ind w:firstLine="514"/>
        <w:rPr>
          <w:rFonts w:ascii="宋体" w:hAnsi="宋体"/>
          <w:sz w:val="24"/>
        </w:rPr>
      </w:pPr>
      <w:r>
        <w:rPr>
          <w:rFonts w:hint="eastAsia" w:ascii="宋体" w:hAnsi="宋体"/>
          <w:sz w:val="24"/>
        </w:rPr>
        <w:t>5. 上述的货物免费保修期为投标文件中承诺的保修期，因人为因素出现的故障不在免费保修范围内。超过保修期的机器设备，终生维修，维修时只收部件成本费。</w:t>
      </w:r>
    </w:p>
    <w:p>
      <w:pPr>
        <w:snapToGrid w:val="0"/>
        <w:ind w:firstLine="514"/>
        <w:rPr>
          <w:rFonts w:ascii="宋体" w:hAnsi="宋体"/>
          <w:sz w:val="24"/>
        </w:rPr>
      </w:pPr>
      <w:r>
        <w:rPr>
          <w:rFonts w:hint="eastAsia" w:ascii="宋体" w:hAnsi="宋体"/>
          <w:b/>
          <w:sz w:val="24"/>
        </w:rPr>
        <w:t>第十一条</w:t>
      </w:r>
      <w:r>
        <w:rPr>
          <w:rFonts w:hint="eastAsia" w:ascii="宋体" w:hAnsi="宋体"/>
          <w:sz w:val="24"/>
        </w:rPr>
        <w:t xml:space="preserve">  调试和验收</w:t>
      </w:r>
    </w:p>
    <w:p>
      <w:pPr>
        <w:pStyle w:val="24"/>
        <w:snapToGrid w:val="0"/>
        <w:ind w:firstLine="480" w:firstLineChars="200"/>
        <w:jc w:val="left"/>
        <w:rPr>
          <w:rFonts w:hAnsi="宋体"/>
          <w:sz w:val="24"/>
          <w:szCs w:val="24"/>
        </w:rPr>
      </w:pPr>
      <w:r>
        <w:rPr>
          <w:rFonts w:hint="eastAsia" w:hAnsi="宋体"/>
          <w:sz w:val="24"/>
          <w:szCs w:val="24"/>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24"/>
        <w:snapToGrid w:val="0"/>
        <w:ind w:firstLine="480" w:firstLineChars="200"/>
        <w:rPr>
          <w:rFonts w:hAnsi="宋体"/>
          <w:sz w:val="24"/>
          <w:szCs w:val="24"/>
        </w:rPr>
      </w:pPr>
      <w:r>
        <w:rPr>
          <w:rFonts w:hint="eastAsia" w:hAnsi="宋体"/>
          <w:sz w:val="24"/>
          <w:szCs w:val="24"/>
        </w:rPr>
        <w:t>2. 乙方交货前应对产品作出全面检查和对验收文件进行整理，并列出清单，作为甲方收货验收和使用的技术条件依据，检验的结果应随货物交甲方。</w:t>
      </w:r>
    </w:p>
    <w:p>
      <w:pPr>
        <w:pStyle w:val="24"/>
        <w:snapToGrid w:val="0"/>
        <w:ind w:firstLine="480" w:firstLineChars="200"/>
        <w:rPr>
          <w:rFonts w:hAnsi="宋体"/>
          <w:sz w:val="24"/>
          <w:szCs w:val="24"/>
        </w:rPr>
      </w:pPr>
      <w:r>
        <w:rPr>
          <w:rFonts w:hint="eastAsia" w:hAnsi="宋体"/>
          <w:sz w:val="24"/>
          <w:szCs w:val="24"/>
        </w:rPr>
        <w:t>3. 甲方对乙方提供的货物在使用前进行调试时，乙方需负责安装并培训甲方的使用操作人员，并协助甲方一起调试，直到符合技术要求，甲方才做最终验收。</w:t>
      </w:r>
    </w:p>
    <w:p>
      <w:pPr>
        <w:pStyle w:val="24"/>
        <w:snapToGrid w:val="0"/>
        <w:ind w:firstLine="480" w:firstLineChars="200"/>
        <w:rPr>
          <w:rFonts w:hAnsi="宋体"/>
          <w:sz w:val="24"/>
          <w:szCs w:val="24"/>
        </w:rPr>
      </w:pPr>
      <w:r>
        <w:rPr>
          <w:rFonts w:hint="eastAsia" w:hAnsi="宋体"/>
          <w:sz w:val="24"/>
          <w:szCs w:val="24"/>
        </w:rPr>
        <w:t>4. 对技术复杂的货物，甲方应请国家认可的专业检测机构参与初步验收及最终验收，并由其出具质量检测报告。</w:t>
      </w:r>
    </w:p>
    <w:p>
      <w:pPr>
        <w:snapToGrid w:val="0"/>
        <w:ind w:firstLine="514"/>
        <w:rPr>
          <w:rFonts w:ascii="宋体" w:hAnsi="宋体"/>
          <w:sz w:val="24"/>
        </w:rPr>
      </w:pPr>
      <w:r>
        <w:rPr>
          <w:rFonts w:hint="eastAsia" w:ascii="宋体" w:hAnsi="宋体"/>
          <w:sz w:val="24"/>
        </w:rPr>
        <w:t>5. 验收时乙方必须在现场，验收完毕后作出验收结果报告；验收费用由乙方负责。</w:t>
      </w:r>
    </w:p>
    <w:p>
      <w:pPr>
        <w:pStyle w:val="24"/>
        <w:snapToGrid w:val="0"/>
        <w:ind w:firstLine="472" w:firstLineChars="196"/>
        <w:rPr>
          <w:rFonts w:hAnsi="宋体"/>
          <w:sz w:val="24"/>
          <w:szCs w:val="24"/>
        </w:rPr>
      </w:pPr>
      <w:r>
        <w:rPr>
          <w:rFonts w:hint="eastAsia" w:hAnsi="宋体"/>
          <w:b/>
          <w:sz w:val="24"/>
          <w:szCs w:val="24"/>
        </w:rPr>
        <w:t>第十二条</w:t>
      </w:r>
      <w:r>
        <w:rPr>
          <w:rFonts w:hint="eastAsia" w:hAnsi="宋体"/>
          <w:sz w:val="24"/>
          <w:szCs w:val="24"/>
        </w:rPr>
        <w:t>、货物包装、发运及运输</w:t>
      </w:r>
    </w:p>
    <w:p>
      <w:pPr>
        <w:pStyle w:val="24"/>
        <w:snapToGrid w:val="0"/>
        <w:ind w:left="420" w:leftChars="200"/>
        <w:rPr>
          <w:rFonts w:hAnsi="宋体"/>
          <w:sz w:val="24"/>
          <w:szCs w:val="24"/>
        </w:rPr>
      </w:pPr>
      <w:r>
        <w:rPr>
          <w:rFonts w:hint="eastAsia" w:hAnsi="宋体"/>
          <w:sz w:val="24"/>
          <w:szCs w:val="24"/>
        </w:rPr>
        <w:t>1. 乙方应在货物发运前对其进行满足运输距离、防潮、防震、防锈和防破损装卸等要求包装，以保证货物安全运达甲方指定地点。</w:t>
      </w:r>
    </w:p>
    <w:p>
      <w:pPr>
        <w:pStyle w:val="24"/>
        <w:snapToGrid w:val="0"/>
        <w:ind w:left="420" w:leftChars="200"/>
        <w:rPr>
          <w:rFonts w:hAnsi="宋体"/>
          <w:sz w:val="24"/>
          <w:szCs w:val="24"/>
        </w:rPr>
      </w:pPr>
      <w:r>
        <w:rPr>
          <w:rFonts w:hint="eastAsia" w:hAnsi="宋体"/>
          <w:sz w:val="24"/>
          <w:szCs w:val="24"/>
        </w:rPr>
        <w:t>2. 使用说明书、质量检验证明书、随配附件和工具以及清单一并附于货物内。</w:t>
      </w:r>
    </w:p>
    <w:p>
      <w:pPr>
        <w:pStyle w:val="24"/>
        <w:snapToGrid w:val="0"/>
        <w:ind w:left="420" w:leftChars="200"/>
        <w:rPr>
          <w:rFonts w:hAnsi="宋体"/>
          <w:sz w:val="24"/>
          <w:szCs w:val="24"/>
        </w:rPr>
      </w:pPr>
      <w:r>
        <w:rPr>
          <w:rFonts w:hint="eastAsia" w:hAnsi="宋体"/>
          <w:sz w:val="24"/>
          <w:szCs w:val="24"/>
        </w:rPr>
        <w:t>3. 乙方在货物发运手续办理完毕后二十四小时内或货到甲方四十八小时前通知甲方，以准备接货。</w:t>
      </w:r>
    </w:p>
    <w:p>
      <w:pPr>
        <w:pStyle w:val="24"/>
        <w:snapToGrid w:val="0"/>
        <w:ind w:left="420" w:leftChars="200"/>
        <w:rPr>
          <w:rFonts w:hAnsi="宋体"/>
          <w:sz w:val="24"/>
          <w:szCs w:val="24"/>
        </w:rPr>
      </w:pPr>
      <w:r>
        <w:rPr>
          <w:rFonts w:hint="eastAsia" w:hAnsi="宋体"/>
          <w:sz w:val="24"/>
          <w:szCs w:val="24"/>
        </w:rPr>
        <w:t>4. 货物在交付甲方前发生的风险均由乙方负责。</w:t>
      </w:r>
    </w:p>
    <w:p>
      <w:pPr>
        <w:snapToGrid w:val="0"/>
        <w:ind w:firstLine="514"/>
        <w:rPr>
          <w:rFonts w:ascii="宋体" w:hAnsi="宋体"/>
          <w:sz w:val="24"/>
        </w:rPr>
      </w:pPr>
      <w:r>
        <w:rPr>
          <w:rFonts w:hint="eastAsia" w:ascii="宋体" w:hAnsi="宋体"/>
          <w:sz w:val="24"/>
        </w:rPr>
        <w:t>5. 货物在规定的交付期限内由乙方送达甲方指定的地点视为交付，乙方同时需通知甲方货物已送达。</w:t>
      </w:r>
    </w:p>
    <w:p>
      <w:pPr>
        <w:snapToGrid w:val="0"/>
        <w:ind w:firstLine="482" w:firstLineChars="200"/>
        <w:rPr>
          <w:rFonts w:ascii="宋体" w:hAnsi="宋体"/>
          <w:sz w:val="24"/>
        </w:rPr>
      </w:pPr>
      <w:r>
        <w:rPr>
          <w:rFonts w:hint="eastAsia" w:ascii="宋体" w:hAnsi="宋体"/>
          <w:b/>
          <w:sz w:val="24"/>
        </w:rPr>
        <w:t>第十三条</w:t>
      </w:r>
      <w:r>
        <w:rPr>
          <w:rFonts w:hint="eastAsia" w:ascii="宋体" w:hAnsi="宋体"/>
          <w:sz w:val="24"/>
        </w:rPr>
        <w:t>　违约责任</w:t>
      </w:r>
    </w:p>
    <w:p>
      <w:pPr>
        <w:snapToGrid w:val="0"/>
        <w:ind w:firstLine="600" w:firstLineChars="250"/>
        <w:rPr>
          <w:rFonts w:ascii="宋体" w:hAnsi="宋体"/>
          <w:sz w:val="24"/>
        </w:rPr>
      </w:pPr>
      <w:r>
        <w:rPr>
          <w:rFonts w:hint="eastAsia" w:ascii="宋体" w:hAnsi="宋体"/>
          <w:sz w:val="24"/>
        </w:rPr>
        <w:t xml:space="preserve">1、乙方所提供的货物规格、技术标准、材料等质量不合格的，应及时更换，更换不及时的按逾期交货处罚；因质量问题甲方不同意接收的或特殊情况甲方同意接收的，乙方应向甲方支付违约货款额 </w:t>
      </w:r>
      <w:r>
        <w:rPr>
          <w:rFonts w:hint="eastAsia" w:ascii="宋体" w:hAnsi="宋体"/>
          <w:sz w:val="24"/>
          <w:u w:val="single"/>
        </w:rPr>
        <w:t>10%</w:t>
      </w:r>
      <w:r>
        <w:rPr>
          <w:rFonts w:hint="eastAsia" w:ascii="宋体" w:hAnsi="宋体"/>
          <w:sz w:val="24"/>
        </w:rPr>
        <w:t xml:space="preserve">违约金并赔偿甲方经济损失。                                       </w:t>
      </w:r>
    </w:p>
    <w:p>
      <w:pPr>
        <w:snapToGrid w:val="0"/>
        <w:ind w:firstLine="540" w:firstLineChars="225"/>
        <w:rPr>
          <w:rFonts w:ascii="宋体" w:hAnsi="宋体"/>
          <w:sz w:val="24"/>
        </w:rPr>
      </w:pPr>
      <w:r>
        <w:rPr>
          <w:rFonts w:hint="eastAsia" w:ascii="宋体" w:hAnsi="宋体"/>
          <w:sz w:val="24"/>
        </w:rPr>
        <w:t>2、乙方提供的货物如侵犯了第三方合法权益而引发的任何纠纷或诉讼，均由乙方负责交涉并承担全部责任。</w:t>
      </w:r>
    </w:p>
    <w:p>
      <w:pPr>
        <w:snapToGrid w:val="0"/>
        <w:ind w:firstLine="480" w:firstLineChars="200"/>
        <w:rPr>
          <w:rFonts w:ascii="宋体" w:hAnsi="宋体"/>
          <w:sz w:val="24"/>
        </w:rPr>
      </w:pPr>
      <w:r>
        <w:rPr>
          <w:rFonts w:hint="eastAsia" w:ascii="宋体" w:hAnsi="宋体"/>
          <w:sz w:val="24"/>
        </w:rPr>
        <w:t>3、因包装、运输引起的货物损坏，按质量不合格处罚。</w:t>
      </w:r>
    </w:p>
    <w:p>
      <w:pPr>
        <w:snapToGrid w:val="0"/>
        <w:ind w:firstLine="480" w:firstLineChars="200"/>
        <w:rPr>
          <w:rFonts w:ascii="宋体" w:hAnsi="宋体"/>
          <w:sz w:val="24"/>
        </w:rPr>
      </w:pPr>
      <w:r>
        <w:rPr>
          <w:rFonts w:hint="eastAsia" w:ascii="宋体" w:hAnsi="宋体"/>
          <w:sz w:val="24"/>
        </w:rPr>
        <w:t>4、甲方无故延期接收货物、乙方逾期交货的，每天向对方偿付违约货款额</w:t>
      </w:r>
      <w:r>
        <w:rPr>
          <w:rFonts w:hint="eastAsia" w:ascii="宋体" w:hAnsi="宋体"/>
          <w:sz w:val="24"/>
          <w:u w:val="single"/>
        </w:rPr>
        <w:t>3‰</w:t>
      </w:r>
      <w:r>
        <w:rPr>
          <w:rFonts w:hint="eastAsia" w:ascii="宋体" w:hAnsi="宋体"/>
          <w:sz w:val="24"/>
        </w:rPr>
        <w:t>违约金，但违约金累计不得超过违约货款额</w:t>
      </w:r>
      <w:r>
        <w:rPr>
          <w:rFonts w:hint="eastAsia" w:ascii="宋体" w:hAnsi="宋体"/>
          <w:sz w:val="24"/>
          <w:u w:val="single"/>
        </w:rPr>
        <w:t>5%</w:t>
      </w:r>
      <w:r>
        <w:rPr>
          <w:rFonts w:hint="eastAsia" w:ascii="宋体" w:hAnsi="宋体"/>
          <w:sz w:val="24"/>
        </w:rPr>
        <w:t>，超过</w:t>
      </w:r>
      <w:r>
        <w:rPr>
          <w:rFonts w:hint="eastAsia" w:ascii="宋体" w:hAnsi="宋体"/>
          <w:sz w:val="24"/>
          <w:u w:val="single"/>
        </w:rPr>
        <w:t xml:space="preserve"> 10 天</w:t>
      </w:r>
      <w:r>
        <w:rPr>
          <w:rFonts w:hint="eastAsia" w:ascii="宋体" w:hAnsi="宋体"/>
          <w:sz w:val="24"/>
        </w:rPr>
        <w:t>对方有权解除合同，违约方承担因此给对方造成经济损失；甲方延期付货款的，每天向乙方偿付延期货款额</w:t>
      </w:r>
      <w:r>
        <w:rPr>
          <w:rFonts w:hint="eastAsia" w:ascii="宋体" w:hAnsi="宋体"/>
          <w:sz w:val="24"/>
          <w:u w:val="single"/>
        </w:rPr>
        <w:t>3‰</w:t>
      </w:r>
      <w:r>
        <w:rPr>
          <w:rFonts w:hint="eastAsia" w:ascii="宋体" w:hAnsi="宋体"/>
          <w:sz w:val="24"/>
        </w:rPr>
        <w:t>滞纳金，但滞纳金累计不得超过延期货款额</w:t>
      </w:r>
      <w:r>
        <w:rPr>
          <w:rFonts w:hint="eastAsia" w:ascii="宋体" w:hAnsi="宋体"/>
          <w:sz w:val="24"/>
          <w:u w:val="single"/>
        </w:rPr>
        <w:t>5%</w:t>
      </w:r>
      <w:r>
        <w:rPr>
          <w:rFonts w:hint="eastAsia" w:ascii="宋体" w:hAnsi="宋体"/>
          <w:sz w:val="24"/>
        </w:rPr>
        <w:t>。</w:t>
      </w:r>
    </w:p>
    <w:p>
      <w:pPr>
        <w:snapToGrid w:val="0"/>
        <w:ind w:firstLine="480" w:firstLineChars="200"/>
        <w:rPr>
          <w:rFonts w:ascii="宋体" w:hAnsi="宋体"/>
          <w:sz w:val="24"/>
        </w:rPr>
      </w:pPr>
      <w:r>
        <w:rPr>
          <w:rFonts w:hint="eastAsia" w:ascii="宋体" w:hAnsi="宋体"/>
          <w:sz w:val="24"/>
        </w:rPr>
        <w:t>5、乙方未按本合同和投标文件中规定的服务承诺提供售后服务的，乙方应按本合同合计金额 5%向甲方支付违约金。</w:t>
      </w:r>
    </w:p>
    <w:p>
      <w:pPr>
        <w:snapToGrid w:val="0"/>
        <w:ind w:firstLine="480" w:firstLineChars="200"/>
        <w:rPr>
          <w:rFonts w:ascii="宋体" w:hAnsi="宋体"/>
          <w:sz w:val="24"/>
        </w:rPr>
      </w:pPr>
      <w:r>
        <w:rPr>
          <w:rFonts w:hint="eastAsia" w:ascii="宋体" w:hAnsi="宋体"/>
          <w:sz w:val="24"/>
        </w:rPr>
        <w:t>6、乙方提供的货物在质量保证期内，因设计、工艺或材料的缺陷和其它质量原因造成的问题，由乙方负责。</w:t>
      </w:r>
    </w:p>
    <w:p>
      <w:pPr>
        <w:snapToGrid w:val="0"/>
        <w:ind w:firstLine="514"/>
        <w:rPr>
          <w:rFonts w:ascii="宋体" w:hAnsi="宋体"/>
          <w:sz w:val="24"/>
        </w:rPr>
      </w:pPr>
      <w:r>
        <w:rPr>
          <w:rFonts w:hint="eastAsia" w:ascii="宋体" w:hAnsi="宋体"/>
          <w:sz w:val="24"/>
        </w:rPr>
        <w:t>7、其它违约行为按违约货款额</w:t>
      </w:r>
      <w:r>
        <w:rPr>
          <w:rFonts w:hint="eastAsia" w:ascii="宋体" w:hAnsi="宋体"/>
          <w:sz w:val="24"/>
          <w:u w:val="single"/>
        </w:rPr>
        <w:t>10%</w:t>
      </w:r>
      <w:r>
        <w:rPr>
          <w:rFonts w:hint="eastAsia" w:ascii="宋体" w:hAnsi="宋体"/>
          <w:sz w:val="24"/>
        </w:rPr>
        <w:t>收取违约金并赔偿经济损失。</w:t>
      </w:r>
    </w:p>
    <w:p>
      <w:pPr>
        <w:pStyle w:val="24"/>
        <w:snapToGrid w:val="0"/>
        <w:ind w:firstLine="472" w:firstLineChars="196"/>
        <w:rPr>
          <w:rFonts w:hAnsi="宋体"/>
          <w:b/>
          <w:sz w:val="24"/>
          <w:szCs w:val="24"/>
        </w:rPr>
      </w:pPr>
      <w:r>
        <w:rPr>
          <w:rFonts w:hint="eastAsia" w:hAnsi="宋体"/>
          <w:b/>
          <w:sz w:val="24"/>
          <w:szCs w:val="24"/>
        </w:rPr>
        <w:t>第十四条、</w:t>
      </w:r>
      <w:r>
        <w:rPr>
          <w:rFonts w:hint="eastAsia" w:hAnsi="宋体"/>
          <w:sz w:val="24"/>
          <w:szCs w:val="24"/>
        </w:rPr>
        <w:t>不可抗力事件处理</w:t>
      </w:r>
    </w:p>
    <w:p>
      <w:pPr>
        <w:pStyle w:val="24"/>
        <w:snapToGrid w:val="0"/>
        <w:ind w:firstLine="480" w:firstLineChars="200"/>
        <w:rPr>
          <w:rFonts w:hAnsi="宋体"/>
          <w:sz w:val="24"/>
          <w:szCs w:val="24"/>
        </w:rPr>
      </w:pPr>
      <w:r>
        <w:rPr>
          <w:rFonts w:hint="eastAsia" w:hAnsi="宋体"/>
          <w:sz w:val="24"/>
          <w:szCs w:val="24"/>
        </w:rPr>
        <w:t>1. 在合同有效期内，任何一方因不可抗力事件导致不能履行合同，则合同履行期可延长，其延长期与不可抗力影响期相同。</w:t>
      </w:r>
    </w:p>
    <w:p>
      <w:pPr>
        <w:pStyle w:val="24"/>
        <w:snapToGrid w:val="0"/>
        <w:ind w:firstLine="480" w:firstLineChars="200"/>
        <w:rPr>
          <w:rFonts w:hAnsi="宋体"/>
          <w:sz w:val="24"/>
          <w:szCs w:val="24"/>
        </w:rPr>
      </w:pPr>
      <w:r>
        <w:rPr>
          <w:rFonts w:hint="eastAsia" w:hAnsi="宋体"/>
          <w:sz w:val="24"/>
          <w:szCs w:val="24"/>
        </w:rPr>
        <w:t>2. 不可抗力事件发生后，应立即通知对方，并寄送有关权威机构出具的证明。</w:t>
      </w:r>
    </w:p>
    <w:p>
      <w:pPr>
        <w:snapToGrid w:val="0"/>
        <w:ind w:firstLine="514"/>
        <w:rPr>
          <w:rFonts w:ascii="宋体" w:hAnsi="宋体"/>
          <w:sz w:val="24"/>
        </w:rPr>
      </w:pPr>
      <w:r>
        <w:rPr>
          <w:rFonts w:hint="eastAsia" w:ascii="宋体" w:hAnsi="宋体"/>
          <w:sz w:val="24"/>
        </w:rPr>
        <w:t>3. 不可抗力事件延续一百二十天以上，双方应通过友好协商，确定是否继续履行合同。</w:t>
      </w:r>
    </w:p>
    <w:p>
      <w:pPr>
        <w:snapToGrid w:val="0"/>
        <w:ind w:firstLine="482" w:firstLineChars="200"/>
        <w:rPr>
          <w:rFonts w:ascii="宋体" w:hAnsi="宋体"/>
          <w:sz w:val="24"/>
        </w:rPr>
      </w:pPr>
      <w:r>
        <w:rPr>
          <w:rFonts w:hint="eastAsia" w:ascii="宋体" w:hAnsi="宋体"/>
          <w:b/>
          <w:sz w:val="24"/>
        </w:rPr>
        <w:t>第十五条</w:t>
      </w:r>
      <w:r>
        <w:rPr>
          <w:rFonts w:hint="eastAsia" w:ascii="宋体" w:hAnsi="宋体"/>
          <w:sz w:val="24"/>
        </w:rPr>
        <w:t xml:space="preserve">  合同争议解决</w:t>
      </w:r>
    </w:p>
    <w:p>
      <w:pPr>
        <w:snapToGrid w:val="0"/>
        <w:ind w:firstLine="480" w:firstLineChars="200"/>
        <w:rPr>
          <w:rFonts w:ascii="宋体" w:hAnsi="宋体"/>
          <w:sz w:val="24"/>
        </w:rPr>
      </w:pPr>
      <w:r>
        <w:rPr>
          <w:rFonts w:hint="eastAsia" w:ascii="宋体" w:hAnsi="宋体"/>
          <w:sz w:val="24"/>
        </w:rPr>
        <w:t>1、因货物质量问题发生争议的，应邀请国家认可的质量检测机构对货物质量进行鉴定。货物符合标准的，鉴定费由甲方承担；货物不符合标准的，鉴定费由乙方承担。</w:t>
      </w:r>
    </w:p>
    <w:p>
      <w:pPr>
        <w:snapToGrid w:val="0"/>
        <w:ind w:firstLine="480" w:firstLineChars="200"/>
        <w:rPr>
          <w:rFonts w:ascii="宋体" w:hAnsi="宋体"/>
          <w:sz w:val="24"/>
        </w:rPr>
      </w:pPr>
      <w:r>
        <w:rPr>
          <w:rFonts w:hint="eastAsia" w:ascii="宋体" w:hAnsi="宋体"/>
          <w:sz w:val="24"/>
        </w:rPr>
        <w:t>2、因履行本合同引起的或与本合同有关的争议，甲乙双方应首先通过友好协商解决，如果协商不能解决，可向甲方所在地仲裁委员会申请仲裁或向甲方所在地人民法院提起诉讼。</w:t>
      </w:r>
    </w:p>
    <w:p>
      <w:pPr>
        <w:snapToGrid w:val="0"/>
        <w:ind w:firstLine="514"/>
        <w:rPr>
          <w:rFonts w:ascii="宋体" w:hAnsi="宋体"/>
          <w:sz w:val="24"/>
        </w:rPr>
      </w:pPr>
      <w:r>
        <w:rPr>
          <w:rFonts w:hint="eastAsia" w:ascii="宋体" w:hAnsi="宋体"/>
          <w:sz w:val="24"/>
        </w:rPr>
        <w:t>3、诉讼期间，本合同继续履行。</w:t>
      </w:r>
    </w:p>
    <w:p>
      <w:pPr>
        <w:pStyle w:val="24"/>
        <w:snapToGrid w:val="0"/>
        <w:ind w:firstLine="472" w:firstLineChars="196"/>
        <w:rPr>
          <w:rFonts w:hAnsi="宋体"/>
          <w:sz w:val="24"/>
          <w:szCs w:val="24"/>
        </w:rPr>
      </w:pPr>
      <w:r>
        <w:rPr>
          <w:rFonts w:hint="eastAsia" w:hAnsi="宋体"/>
          <w:b/>
          <w:sz w:val="24"/>
          <w:szCs w:val="24"/>
        </w:rPr>
        <w:t>第十六条</w:t>
      </w:r>
      <w:r>
        <w:rPr>
          <w:rFonts w:hint="eastAsia" w:hAnsi="宋体"/>
          <w:sz w:val="24"/>
          <w:szCs w:val="24"/>
        </w:rPr>
        <w:t>、诉讼</w:t>
      </w:r>
    </w:p>
    <w:p>
      <w:pPr>
        <w:snapToGrid w:val="0"/>
        <w:ind w:firstLine="514"/>
        <w:rPr>
          <w:rFonts w:ascii="宋体" w:hAnsi="宋体"/>
          <w:sz w:val="24"/>
        </w:rPr>
      </w:pPr>
      <w:r>
        <w:rPr>
          <w:rFonts w:hint="eastAsia" w:ascii="宋体" w:hAnsi="宋体"/>
          <w:sz w:val="24"/>
        </w:rPr>
        <w:t>双方在执行合同中所发生的一切争议，应通过协商解决。如协商不能解决，可向甲方所在地仲裁委员会申请仲裁或向甲方所在地人民法院提起诉讼。</w:t>
      </w:r>
    </w:p>
    <w:p>
      <w:pPr>
        <w:pStyle w:val="24"/>
        <w:snapToGrid w:val="0"/>
        <w:ind w:firstLine="472" w:firstLineChars="196"/>
        <w:rPr>
          <w:rFonts w:hAnsi="宋体"/>
          <w:sz w:val="24"/>
          <w:szCs w:val="24"/>
        </w:rPr>
      </w:pPr>
      <w:r>
        <w:rPr>
          <w:rFonts w:hint="eastAsia" w:hAnsi="宋体"/>
          <w:b/>
          <w:sz w:val="24"/>
          <w:szCs w:val="24"/>
        </w:rPr>
        <w:t>第十七条</w:t>
      </w:r>
      <w:r>
        <w:rPr>
          <w:rFonts w:hint="eastAsia" w:hAnsi="宋体"/>
          <w:sz w:val="24"/>
          <w:szCs w:val="24"/>
        </w:rPr>
        <w:t>、合同生效及其它</w:t>
      </w:r>
    </w:p>
    <w:p>
      <w:pPr>
        <w:pStyle w:val="24"/>
        <w:snapToGrid w:val="0"/>
        <w:ind w:firstLine="480" w:firstLineChars="200"/>
        <w:rPr>
          <w:rFonts w:hAnsi="宋体"/>
          <w:sz w:val="24"/>
          <w:szCs w:val="24"/>
        </w:rPr>
      </w:pPr>
      <w:r>
        <w:rPr>
          <w:rFonts w:hint="eastAsia" w:hAnsi="宋体"/>
          <w:sz w:val="24"/>
          <w:szCs w:val="24"/>
        </w:rPr>
        <w:t>1. 合同经双方法定代表人或被授权人签字并加盖单位公章后生效。</w:t>
      </w:r>
    </w:p>
    <w:p>
      <w:pPr>
        <w:pStyle w:val="24"/>
        <w:snapToGrid w:val="0"/>
        <w:ind w:firstLine="480" w:firstLineChars="200"/>
        <w:rPr>
          <w:rFonts w:hAnsi="宋体"/>
          <w:sz w:val="24"/>
          <w:szCs w:val="24"/>
        </w:rPr>
      </w:pPr>
      <w:r>
        <w:rPr>
          <w:rFonts w:hint="eastAsia" w:hAnsi="宋体"/>
          <w:sz w:val="24"/>
          <w:szCs w:val="24"/>
        </w:rPr>
        <w:t>2.合同执行中涉及采购资金和采购内容修改或补充的，须经财政部门审批，并签书面补充协议报财政部门备案，方可作为主合同不可分割的一部分。</w:t>
      </w:r>
    </w:p>
    <w:p>
      <w:pPr>
        <w:pStyle w:val="24"/>
        <w:snapToGrid w:val="0"/>
        <w:ind w:left="420" w:leftChars="200"/>
        <w:rPr>
          <w:rFonts w:hAnsi="宋体"/>
          <w:sz w:val="24"/>
          <w:szCs w:val="24"/>
        </w:rPr>
      </w:pPr>
      <w:r>
        <w:rPr>
          <w:rFonts w:hint="eastAsia" w:hAnsi="宋体"/>
          <w:sz w:val="24"/>
          <w:szCs w:val="24"/>
        </w:rPr>
        <w:t>3.本合同未尽事宜，遵照《合同法》有关条文执行。</w:t>
      </w:r>
    </w:p>
    <w:p>
      <w:pPr>
        <w:snapToGrid w:val="0"/>
        <w:ind w:firstLine="482" w:firstLineChars="200"/>
        <w:rPr>
          <w:rFonts w:ascii="宋体" w:hAnsi="宋体"/>
          <w:sz w:val="24"/>
        </w:rPr>
      </w:pPr>
      <w:r>
        <w:rPr>
          <w:rFonts w:hint="eastAsia" w:ascii="宋体" w:hAnsi="宋体"/>
          <w:b/>
          <w:sz w:val="24"/>
        </w:rPr>
        <w:t>第十八条</w:t>
      </w:r>
      <w:r>
        <w:rPr>
          <w:rFonts w:hint="eastAsia" w:ascii="宋体" w:hAnsi="宋体"/>
          <w:sz w:val="24"/>
        </w:rPr>
        <w:t>　合同的变更、终止与转让</w:t>
      </w:r>
    </w:p>
    <w:p>
      <w:pPr>
        <w:snapToGrid w:val="0"/>
        <w:ind w:firstLine="480" w:firstLineChars="200"/>
        <w:rPr>
          <w:rFonts w:ascii="宋体" w:hAnsi="宋体"/>
          <w:sz w:val="24"/>
        </w:rPr>
      </w:pPr>
      <w:r>
        <w:rPr>
          <w:rFonts w:hint="eastAsia" w:ascii="宋体" w:hAnsi="宋体"/>
          <w:sz w:val="24"/>
        </w:rPr>
        <w:t>1、除《中华人民共和国政府采购法》第五十条规定的情形外，本合同一经签订，甲乙双方不得擅自变更、中止或终止。</w:t>
      </w:r>
    </w:p>
    <w:p>
      <w:pPr>
        <w:snapToGrid w:val="0"/>
        <w:ind w:firstLine="514"/>
        <w:rPr>
          <w:rFonts w:ascii="宋体" w:hAnsi="宋体"/>
          <w:sz w:val="24"/>
        </w:rPr>
      </w:pPr>
      <w:r>
        <w:rPr>
          <w:rFonts w:hint="eastAsia" w:ascii="宋体" w:hAnsi="宋体"/>
          <w:sz w:val="24"/>
        </w:rPr>
        <w:t>2、乙方不得擅自转让（无进口资格的供应商委托进口货物除外）其应履行的合同义务。</w:t>
      </w:r>
    </w:p>
    <w:p>
      <w:pPr>
        <w:snapToGrid w:val="0"/>
        <w:ind w:firstLine="482" w:firstLineChars="200"/>
        <w:rPr>
          <w:rFonts w:ascii="宋体" w:hAnsi="宋体"/>
          <w:sz w:val="24"/>
        </w:rPr>
      </w:pPr>
      <w:r>
        <w:rPr>
          <w:rFonts w:hint="eastAsia" w:ascii="宋体" w:hAnsi="宋体"/>
          <w:b/>
          <w:sz w:val="24"/>
        </w:rPr>
        <w:t>第十九条　</w:t>
      </w:r>
      <w:r>
        <w:rPr>
          <w:rFonts w:hint="eastAsia" w:ascii="宋体" w:hAnsi="宋体"/>
          <w:sz w:val="24"/>
        </w:rPr>
        <w:t>签订本合同依据</w:t>
      </w:r>
    </w:p>
    <w:p>
      <w:pPr>
        <w:pStyle w:val="24"/>
        <w:snapToGrid w:val="0"/>
        <w:ind w:left="420" w:leftChars="200"/>
        <w:rPr>
          <w:rFonts w:hAnsi="宋体"/>
          <w:sz w:val="24"/>
          <w:szCs w:val="24"/>
        </w:rPr>
      </w:pPr>
      <w:r>
        <w:rPr>
          <w:rFonts w:hint="eastAsia" w:hAnsi="宋体"/>
          <w:sz w:val="24"/>
          <w:szCs w:val="24"/>
        </w:rPr>
        <w:t>1、竞争性谈判文件；</w:t>
      </w:r>
    </w:p>
    <w:p>
      <w:pPr>
        <w:pStyle w:val="24"/>
        <w:snapToGrid w:val="0"/>
        <w:ind w:left="420" w:leftChars="200"/>
        <w:rPr>
          <w:rFonts w:hAnsi="宋体"/>
          <w:sz w:val="24"/>
          <w:szCs w:val="24"/>
        </w:rPr>
      </w:pPr>
      <w:r>
        <w:rPr>
          <w:rFonts w:hint="eastAsia" w:hAnsi="宋体"/>
          <w:sz w:val="24"/>
          <w:szCs w:val="24"/>
        </w:rPr>
        <w:t>2、乙方提供的响应（或应答）文件；</w:t>
      </w:r>
    </w:p>
    <w:p>
      <w:pPr>
        <w:pStyle w:val="24"/>
        <w:snapToGrid w:val="0"/>
        <w:ind w:left="420" w:leftChars="200"/>
        <w:rPr>
          <w:rFonts w:hAnsi="宋体"/>
          <w:sz w:val="24"/>
          <w:szCs w:val="24"/>
        </w:rPr>
      </w:pPr>
      <w:r>
        <w:rPr>
          <w:rFonts w:hint="eastAsia" w:hAnsi="宋体"/>
          <w:sz w:val="24"/>
          <w:szCs w:val="24"/>
        </w:rPr>
        <w:t>3、成交通知书。</w:t>
      </w:r>
    </w:p>
    <w:p>
      <w:pPr>
        <w:snapToGrid w:val="0"/>
        <w:ind w:firstLine="514"/>
        <w:rPr>
          <w:rFonts w:ascii="宋体" w:hAnsi="宋体"/>
          <w:sz w:val="24"/>
        </w:rPr>
      </w:pPr>
      <w:r>
        <w:rPr>
          <w:rFonts w:hint="eastAsia" w:ascii="宋体" w:hAnsi="宋体"/>
          <w:b/>
          <w:sz w:val="24"/>
        </w:rPr>
        <w:t>第二十条</w:t>
      </w:r>
      <w:r>
        <w:rPr>
          <w:rFonts w:hint="eastAsia" w:ascii="宋体" w:hAnsi="宋体"/>
          <w:sz w:val="24"/>
        </w:rPr>
        <w:t>　本合同一式六份，具有同等法律效力，甲方三份，乙方两份，采购代理机构一份（可根据需要另增加）。</w:t>
      </w:r>
    </w:p>
    <w:p>
      <w:pPr>
        <w:snapToGrid w:val="0"/>
        <w:ind w:firstLine="514"/>
        <w:rPr>
          <w:rFonts w:ascii="宋体" w:hAnsi="宋体"/>
          <w:sz w:val="24"/>
        </w:rPr>
      </w:pPr>
      <w:r>
        <w:rPr>
          <w:rFonts w:hint="eastAsia" w:ascii="宋体" w:hAnsi="宋体"/>
          <w:sz w:val="24"/>
        </w:rPr>
        <w:t>本合同甲乙双方签字盖章后生效。</w:t>
      </w:r>
    </w:p>
    <w:tbl>
      <w:tblPr>
        <w:tblStyle w:val="43"/>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rPr>
                <w:rFonts w:ascii="宋体" w:hAnsi="宋体"/>
                <w:sz w:val="24"/>
              </w:rPr>
            </w:pPr>
            <w:r>
              <w:rPr>
                <w:rFonts w:hint="eastAsia" w:ascii="宋体" w:hAnsi="宋体"/>
                <w:sz w:val="24"/>
              </w:rPr>
              <w:t xml:space="preserve">甲方（章）           </w:t>
            </w:r>
          </w:p>
          <w:p>
            <w:pPr>
              <w:snapToGrid w:val="0"/>
              <w:rPr>
                <w:rFonts w:ascii="宋体" w:hAnsi="宋体"/>
                <w:sz w:val="24"/>
              </w:rPr>
            </w:pPr>
          </w:p>
          <w:p>
            <w:pPr>
              <w:snapToGrid w:val="0"/>
              <w:ind w:firstLine="1080" w:firstLineChars="450"/>
              <w:jc w:val="right"/>
              <w:rPr>
                <w:rFonts w:ascii="宋体" w:hAnsi="宋体"/>
                <w:sz w:val="24"/>
              </w:rPr>
            </w:pPr>
            <w:r>
              <w:rPr>
                <w:rFonts w:hint="eastAsia" w:ascii="宋体" w:hAnsi="宋体"/>
                <w:sz w:val="24"/>
              </w:rPr>
              <w:t>年   月   日</w:t>
            </w:r>
          </w:p>
        </w:tc>
        <w:tc>
          <w:tcPr>
            <w:tcW w:w="4517" w:type="dxa"/>
            <w:vAlign w:val="center"/>
          </w:tcPr>
          <w:p>
            <w:pPr>
              <w:snapToGrid w:val="0"/>
              <w:rPr>
                <w:rFonts w:ascii="宋体" w:hAnsi="宋体"/>
                <w:sz w:val="24"/>
              </w:rPr>
            </w:pPr>
            <w:r>
              <w:rPr>
                <w:rFonts w:hint="eastAsia" w:ascii="宋体" w:hAnsi="宋体"/>
                <w:sz w:val="24"/>
              </w:rPr>
              <w:t xml:space="preserve">乙方（章）              </w:t>
            </w:r>
          </w:p>
          <w:p>
            <w:pPr>
              <w:snapToGrid w:val="0"/>
              <w:rPr>
                <w:rFonts w:ascii="宋体" w:hAnsi="宋体"/>
                <w:sz w:val="24"/>
              </w:rPr>
            </w:pPr>
          </w:p>
          <w:p>
            <w:pPr>
              <w:snapToGrid w:val="0"/>
              <w:jc w:val="right"/>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rPr>
                <w:rFonts w:ascii="宋体" w:hAnsi="宋体"/>
                <w:sz w:val="24"/>
              </w:rPr>
            </w:pPr>
            <w:r>
              <w:rPr>
                <w:rFonts w:hint="eastAsia" w:ascii="宋体" w:hAnsi="宋体"/>
                <w:sz w:val="24"/>
              </w:rPr>
              <w:t>单位地址：</w:t>
            </w:r>
          </w:p>
        </w:tc>
        <w:tc>
          <w:tcPr>
            <w:tcW w:w="4517" w:type="dxa"/>
            <w:vAlign w:val="center"/>
          </w:tcPr>
          <w:p>
            <w:pPr>
              <w:snapToGrid w:val="0"/>
              <w:rPr>
                <w:rFonts w:ascii="宋体" w:hAnsi="宋体"/>
                <w:sz w:val="24"/>
              </w:rPr>
            </w:pPr>
            <w:r>
              <w:rPr>
                <w:rFonts w:hint="eastAsia" w:ascii="宋体" w:hAnsi="宋体"/>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napToGrid w:val="0"/>
              <w:rPr>
                <w:rFonts w:ascii="宋体" w:hAnsi="宋体"/>
                <w:sz w:val="24"/>
              </w:rPr>
            </w:pPr>
            <w:r>
              <w:rPr>
                <w:rFonts w:hint="eastAsia" w:ascii="宋体" w:hAnsi="宋体"/>
                <w:sz w:val="24"/>
              </w:rPr>
              <w:t>法定代表人：</w:t>
            </w:r>
          </w:p>
        </w:tc>
        <w:tc>
          <w:tcPr>
            <w:tcW w:w="4517" w:type="dxa"/>
            <w:vAlign w:val="center"/>
          </w:tcPr>
          <w:p>
            <w:pPr>
              <w:snapToGrid w:val="0"/>
              <w:rPr>
                <w:rFonts w:ascii="宋体" w:hAnsi="宋体"/>
                <w:sz w:val="24"/>
              </w:rPr>
            </w:pPr>
            <w:r>
              <w:rPr>
                <w:rFonts w:hint="eastAsia" w:ascii="宋体" w:hAnsi="宋体"/>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rPr>
                <w:rFonts w:ascii="宋体" w:hAnsi="宋体"/>
                <w:sz w:val="24"/>
              </w:rPr>
            </w:pPr>
            <w:r>
              <w:rPr>
                <w:rFonts w:hint="eastAsia" w:ascii="宋体" w:hAnsi="宋体"/>
                <w:sz w:val="24"/>
              </w:rPr>
              <w:t>委托代理人：</w:t>
            </w:r>
          </w:p>
        </w:tc>
        <w:tc>
          <w:tcPr>
            <w:tcW w:w="4517" w:type="dxa"/>
            <w:vAlign w:val="center"/>
          </w:tcPr>
          <w:p>
            <w:pPr>
              <w:snapToGrid w:val="0"/>
              <w:rPr>
                <w:rFonts w:ascii="宋体" w:hAnsi="宋体"/>
                <w:sz w:val="24"/>
              </w:rPr>
            </w:pPr>
            <w:r>
              <w:rPr>
                <w:rFonts w:hint="eastAsia" w:ascii="宋体" w:hAnsi="宋体"/>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rPr>
                <w:rFonts w:ascii="宋体" w:hAnsi="宋体"/>
                <w:sz w:val="24"/>
              </w:rPr>
            </w:pPr>
            <w:r>
              <w:rPr>
                <w:rFonts w:hint="eastAsia" w:ascii="宋体" w:hAnsi="宋体"/>
                <w:sz w:val="24"/>
              </w:rPr>
              <w:t>电话：</w:t>
            </w:r>
          </w:p>
        </w:tc>
        <w:tc>
          <w:tcPr>
            <w:tcW w:w="4517" w:type="dxa"/>
            <w:vAlign w:val="center"/>
          </w:tcPr>
          <w:p>
            <w:pPr>
              <w:snapToGrid w:val="0"/>
              <w:rPr>
                <w:rFonts w:ascii="宋体" w:hAnsi="宋体"/>
                <w:sz w:val="24"/>
              </w:rPr>
            </w:pPr>
            <w:r>
              <w:rPr>
                <w:rFonts w:hint="eastAsia" w:ascii="宋体" w:hAnsi="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rPr>
                <w:rFonts w:ascii="宋体" w:hAnsi="宋体"/>
                <w:sz w:val="24"/>
              </w:rPr>
            </w:pPr>
            <w:r>
              <w:rPr>
                <w:rFonts w:hint="eastAsia" w:ascii="宋体" w:hAnsi="宋体"/>
                <w:sz w:val="24"/>
              </w:rPr>
              <w:t>电子邮箱：</w:t>
            </w:r>
          </w:p>
        </w:tc>
        <w:tc>
          <w:tcPr>
            <w:tcW w:w="4517" w:type="dxa"/>
            <w:vAlign w:val="center"/>
          </w:tcPr>
          <w:p>
            <w:pPr>
              <w:snapToGrid w:val="0"/>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rPr>
                <w:rFonts w:ascii="宋体" w:hAnsi="宋体"/>
                <w:sz w:val="24"/>
              </w:rPr>
            </w:pPr>
            <w:r>
              <w:rPr>
                <w:rFonts w:hint="eastAsia" w:ascii="宋体" w:hAnsi="宋体"/>
                <w:sz w:val="24"/>
              </w:rPr>
              <w:t>开户银行：</w:t>
            </w:r>
          </w:p>
        </w:tc>
        <w:tc>
          <w:tcPr>
            <w:tcW w:w="4517" w:type="dxa"/>
            <w:vAlign w:val="center"/>
          </w:tcPr>
          <w:p>
            <w:pPr>
              <w:snapToGrid w:val="0"/>
              <w:rPr>
                <w:rFonts w:ascii="宋体" w:hAnsi="宋体"/>
                <w:sz w:val="24"/>
              </w:rPr>
            </w:pPr>
            <w:r>
              <w:rPr>
                <w:rFonts w:hint="eastAsia" w:ascii="宋体" w:hAnsi="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rPr>
                <w:rFonts w:ascii="宋体" w:hAnsi="宋体"/>
                <w:sz w:val="24"/>
              </w:rPr>
            </w:pPr>
            <w:r>
              <w:rPr>
                <w:rFonts w:hint="eastAsia" w:ascii="宋体" w:hAnsi="宋体"/>
                <w:sz w:val="24"/>
              </w:rPr>
              <w:t>账号：</w:t>
            </w:r>
          </w:p>
        </w:tc>
        <w:tc>
          <w:tcPr>
            <w:tcW w:w="4517" w:type="dxa"/>
            <w:vAlign w:val="center"/>
          </w:tcPr>
          <w:p>
            <w:pPr>
              <w:snapToGrid w:val="0"/>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rPr>
                <w:rFonts w:ascii="宋体" w:hAnsi="宋体"/>
                <w:sz w:val="24"/>
              </w:rPr>
            </w:pPr>
            <w:r>
              <w:rPr>
                <w:rFonts w:hint="eastAsia" w:ascii="宋体" w:hAnsi="宋体"/>
                <w:sz w:val="24"/>
              </w:rPr>
              <w:t>邮政编码：</w:t>
            </w:r>
          </w:p>
        </w:tc>
        <w:tc>
          <w:tcPr>
            <w:tcW w:w="4517" w:type="dxa"/>
            <w:vAlign w:val="center"/>
          </w:tcPr>
          <w:p>
            <w:pPr>
              <w:snapToGrid w:val="0"/>
              <w:rPr>
                <w:rFonts w:ascii="宋体" w:hAnsi="宋体"/>
                <w:sz w:val="24"/>
              </w:rPr>
            </w:pPr>
            <w:r>
              <w:rPr>
                <w:rFonts w:hint="eastAsia" w:ascii="宋体" w:hAnsi="宋体"/>
                <w:sz w:val="24"/>
              </w:rPr>
              <w:t>邮政编码：</w:t>
            </w:r>
          </w:p>
        </w:tc>
      </w:tr>
    </w:tbl>
    <w:p>
      <w:pPr>
        <w:snapToGrid w:val="0"/>
        <w:jc w:val="center"/>
        <w:rPr>
          <w:rFonts w:ascii="宋体" w:hAnsi="宋体"/>
          <w:b/>
          <w:sz w:val="24"/>
        </w:rPr>
      </w:pPr>
      <w:r>
        <w:rPr>
          <w:rFonts w:ascii="宋体" w:hAnsi="宋体"/>
          <w:b/>
          <w:sz w:val="24"/>
        </w:rPr>
        <w:br w:type="page"/>
      </w:r>
      <w:r>
        <w:rPr>
          <w:rFonts w:hint="eastAsia" w:ascii="宋体" w:hAnsi="宋体"/>
          <w:b/>
          <w:sz w:val="24"/>
        </w:rPr>
        <w:t>合 同 附 件</w:t>
      </w:r>
    </w:p>
    <w:p>
      <w:pPr>
        <w:snapToGrid w:val="0"/>
        <w:rPr>
          <w:rFonts w:ascii="宋体" w:hAnsi="宋体"/>
          <w:sz w:val="24"/>
        </w:rPr>
      </w:pPr>
      <w:r>
        <w:rPr>
          <w:rFonts w:hint="eastAsia" w:ascii="宋体" w:hAnsi="宋体"/>
          <w:sz w:val="24"/>
        </w:rPr>
        <w:t>一般货物类</w:t>
      </w:r>
    </w:p>
    <w:tbl>
      <w:tblPr>
        <w:tblStyle w:val="43"/>
        <w:tblW w:w="8928" w:type="dxa"/>
        <w:tblInd w:w="468" w:type="dxa"/>
        <w:tblLayout w:type="fixed"/>
        <w:tblCellMar>
          <w:top w:w="0" w:type="dxa"/>
          <w:left w:w="108" w:type="dxa"/>
          <w:bottom w:w="0" w:type="dxa"/>
          <w:right w:w="108" w:type="dxa"/>
        </w:tblCellMar>
      </w:tblPr>
      <w:tblGrid>
        <w:gridCol w:w="4215"/>
        <w:gridCol w:w="4713"/>
      </w:tblGrid>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sz w:val="24"/>
              </w:rPr>
            </w:pPr>
            <w:r>
              <w:rPr>
                <w:rFonts w:hint="eastAsia" w:ascii="宋体" w:hAnsi="宋体"/>
                <w:b/>
                <w:sz w:val="24"/>
              </w:rPr>
              <w:t>1、供应商承诺具体事项：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sz w:val="24"/>
              </w:rPr>
            </w:pPr>
            <w:r>
              <w:rPr>
                <w:rFonts w:hint="eastAsia" w:ascii="宋体" w:hAnsi="宋体"/>
                <w:b/>
                <w:sz w:val="24"/>
              </w:rPr>
              <w:t>2、售后服务具体事项：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sz w:val="24"/>
              </w:rPr>
            </w:pPr>
            <w:r>
              <w:rPr>
                <w:rFonts w:hint="eastAsia" w:ascii="宋体" w:hAnsi="宋体"/>
                <w:b/>
                <w:sz w:val="24"/>
              </w:rPr>
              <w:t>3、保修期责任：</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sz w:val="24"/>
              </w:rPr>
            </w:pPr>
            <w:r>
              <w:rPr>
                <w:rFonts w:hint="eastAsia" w:ascii="宋体" w:hAnsi="宋体"/>
                <w:b/>
                <w:sz w:val="24"/>
              </w:rPr>
              <w:t>4、其他具体事项：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sz w:val="24"/>
              </w:rPr>
            </w:pPr>
          </w:p>
        </w:tc>
      </w:tr>
      <w:tr>
        <w:tblPrEx>
          <w:tblCellMar>
            <w:top w:w="0" w:type="dxa"/>
            <w:left w:w="108" w:type="dxa"/>
            <w:bottom w:w="0" w:type="dxa"/>
            <w:right w:w="108" w:type="dxa"/>
          </w:tblCellMar>
        </w:tblPrEx>
        <w:trPr>
          <w:trHeight w:val="2577" w:hRule="atLeast"/>
        </w:trPr>
        <w:tc>
          <w:tcPr>
            <w:tcW w:w="4215" w:type="dxa"/>
            <w:tcBorders>
              <w:top w:val="single" w:color="auto" w:sz="4" w:space="0"/>
              <w:left w:val="single" w:color="auto" w:sz="4" w:space="0"/>
              <w:bottom w:val="single" w:color="auto" w:sz="4" w:space="0"/>
              <w:right w:val="single" w:color="auto" w:sz="4" w:space="0"/>
            </w:tcBorders>
            <w:vAlign w:val="center"/>
          </w:tcPr>
          <w:p>
            <w:pPr>
              <w:snapToGrid w:val="0"/>
              <w:ind w:firstLine="482" w:firstLineChars="200"/>
              <w:rPr>
                <w:rFonts w:ascii="宋体" w:hAnsi="宋体"/>
                <w:b/>
                <w:sz w:val="24"/>
              </w:rPr>
            </w:pPr>
            <w:r>
              <w:rPr>
                <w:rFonts w:hint="eastAsia" w:ascii="宋体" w:hAnsi="宋体"/>
                <w:b/>
                <w:sz w:val="24"/>
              </w:rPr>
              <w:t>甲方（章）</w:t>
            </w: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r>
              <w:rPr>
                <w:rFonts w:hint="eastAsia" w:ascii="宋体" w:hAnsi="宋体"/>
                <w:b/>
                <w:sz w:val="24"/>
              </w:rPr>
              <w:t xml:space="preserve">                年  月   日 </w:t>
            </w:r>
          </w:p>
        </w:tc>
        <w:tc>
          <w:tcPr>
            <w:tcW w:w="4713" w:type="dxa"/>
            <w:tcBorders>
              <w:top w:val="single" w:color="auto" w:sz="4" w:space="0"/>
              <w:left w:val="single" w:color="auto" w:sz="4" w:space="0"/>
              <w:bottom w:val="single" w:color="auto" w:sz="4" w:space="0"/>
              <w:right w:val="single" w:color="auto" w:sz="4" w:space="0"/>
            </w:tcBorders>
            <w:vAlign w:val="center"/>
          </w:tcPr>
          <w:p>
            <w:pPr>
              <w:snapToGrid w:val="0"/>
              <w:ind w:firstLine="482" w:firstLineChars="200"/>
              <w:rPr>
                <w:rFonts w:ascii="宋体" w:hAnsi="宋体"/>
                <w:b/>
                <w:sz w:val="24"/>
              </w:rPr>
            </w:pPr>
            <w:r>
              <w:rPr>
                <w:rFonts w:hint="eastAsia" w:ascii="宋体" w:hAnsi="宋体"/>
                <w:b/>
                <w:sz w:val="24"/>
              </w:rPr>
              <w:t>乙方（章）</w:t>
            </w: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p>
          <w:p>
            <w:pPr>
              <w:snapToGrid w:val="0"/>
              <w:ind w:firstLine="482" w:firstLineChars="200"/>
              <w:rPr>
                <w:rFonts w:ascii="宋体" w:hAnsi="宋体"/>
                <w:b/>
                <w:sz w:val="24"/>
              </w:rPr>
            </w:pPr>
            <w:r>
              <w:rPr>
                <w:rFonts w:hint="eastAsia" w:ascii="宋体" w:hAnsi="宋体"/>
                <w:b/>
                <w:sz w:val="24"/>
              </w:rPr>
              <w:t xml:space="preserve">                年   月   日</w:t>
            </w:r>
          </w:p>
        </w:tc>
      </w:tr>
    </w:tbl>
    <w:p>
      <w:pPr>
        <w:snapToGrid w:val="0"/>
        <w:rPr>
          <w:rFonts w:ascii="宋体" w:hAnsi="宋体"/>
          <w:sz w:val="24"/>
        </w:rPr>
      </w:pPr>
      <w:r>
        <w:rPr>
          <w:rFonts w:hint="eastAsia" w:ascii="宋体" w:hAnsi="宋体"/>
          <w:sz w:val="24"/>
        </w:rPr>
        <w:t xml:space="preserve">                             注：售后服务事项填不下时可另加附页</w:t>
      </w:r>
    </w:p>
    <w:p>
      <w:pPr>
        <w:snapToGrid w:val="0"/>
        <w:spacing w:line="400" w:lineRule="exact"/>
        <w:jc w:val="center"/>
        <w:rPr>
          <w:rFonts w:ascii="宋体" w:hAnsi="宋体"/>
          <w:sz w:val="24"/>
        </w:rPr>
      </w:pPr>
    </w:p>
    <w:p>
      <w:pPr>
        <w:adjustRightInd w:val="0"/>
        <w:snapToGrid w:val="0"/>
        <w:ind w:firstLine="480" w:firstLineChars="200"/>
        <w:rPr>
          <w:rFonts w:ascii="宋体" w:hAnsi="宋体"/>
          <w:sz w:val="24"/>
        </w:rPr>
      </w:pPr>
    </w:p>
    <w:p>
      <w:pPr>
        <w:adjustRightInd w:val="0"/>
        <w:snapToGrid w:val="0"/>
        <w:ind w:firstLine="480" w:firstLineChars="200"/>
        <w:rPr>
          <w:rFonts w:ascii="宋体" w:hAnsi="宋体"/>
          <w:sz w:val="24"/>
        </w:rPr>
      </w:pPr>
    </w:p>
    <w:p>
      <w:pPr>
        <w:snapToGrid w:val="0"/>
        <w:ind w:firstLine="420" w:firstLineChars="200"/>
        <w:rPr>
          <w:rFonts w:ascii="宋体" w:hAnsi="宋体"/>
          <w:sz w:val="24"/>
          <w:u w:val="single"/>
        </w:rPr>
      </w:pPr>
      <w:r>
        <w:rPr>
          <w:rFonts w:hAnsi="宋体"/>
        </w:rPr>
        <w:br w:type="page"/>
      </w:r>
    </w:p>
    <w:p>
      <w:pPr>
        <w:pStyle w:val="24"/>
        <w:tabs>
          <w:tab w:val="left" w:pos="2472"/>
        </w:tabs>
        <w:snapToGrid w:val="0"/>
        <w:jc w:val="center"/>
        <w:rPr>
          <w:rFonts w:hAnsi="宋体"/>
        </w:rPr>
      </w:pPr>
    </w:p>
    <w:p>
      <w:pPr>
        <w:pStyle w:val="24"/>
        <w:spacing w:line="360" w:lineRule="auto"/>
        <w:jc w:val="center"/>
        <w:rPr>
          <w:rFonts w:hAnsi="宋体" w:cs="宋体"/>
          <w:b/>
          <w:bCs/>
          <w:sz w:val="36"/>
          <w:szCs w:val="36"/>
        </w:rPr>
      </w:pPr>
      <w:r>
        <w:rPr>
          <w:rFonts w:hint="eastAsia" w:hAnsi="宋体" w:cs="宋体"/>
          <w:sz w:val="36"/>
          <w:szCs w:val="36"/>
        </w:rPr>
        <w:t>政府采购项目合同验收报告（格式）</w:t>
      </w:r>
    </w:p>
    <w:p>
      <w:pPr>
        <w:widowControl/>
        <w:snapToGrid w:val="0"/>
        <w:spacing w:before="100" w:beforeAutospacing="1" w:after="100" w:afterAutospacing="1" w:line="440" w:lineRule="exact"/>
        <w:ind w:firstLine="659"/>
        <w:jc w:val="left"/>
        <w:rPr>
          <w:rFonts w:ascii="宋体" w:hAnsi="宋体"/>
          <w:kern w:val="0"/>
          <w:szCs w:val="21"/>
        </w:rPr>
      </w:pPr>
      <w:r>
        <w:rPr>
          <w:rFonts w:hint="eastAsia" w:ascii="宋体" w:hAnsi="宋体"/>
          <w:kern w:val="0"/>
          <w:szCs w:val="21"/>
        </w:rPr>
        <w:t>根据政府采购合同</w:t>
      </w:r>
      <w:r>
        <w:rPr>
          <w:rFonts w:hint="eastAsia" w:ascii="宋体" w:hAnsi="宋体"/>
          <w:kern w:val="0"/>
          <w:szCs w:val="21"/>
          <w:u w:val="single"/>
        </w:rPr>
        <w:t xml:space="preserve">（采购合同编号：    ）的约定，我单位对（项目名称）       政府采购项目成交供应商（公司名称）       </w:t>
      </w:r>
      <w:r>
        <w:rPr>
          <w:rFonts w:hint="eastAsia" w:ascii="宋体" w:hAnsi="宋体"/>
          <w:kern w:val="0"/>
          <w:szCs w:val="21"/>
        </w:rPr>
        <w:t>提供的货物进行了验收，验收情况如下：</w:t>
      </w:r>
    </w:p>
    <w:tbl>
      <w:tblPr>
        <w:tblStyle w:val="43"/>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kern w:val="0"/>
                <w:szCs w:val="21"/>
              </w:rPr>
            </w:pPr>
            <w:r>
              <w:rPr>
                <w:rFonts w:hint="eastAsia" w:ascii="宋体" w:hAnsi="宋体"/>
                <w:kern w:val="0"/>
                <w:szCs w:val="21"/>
              </w:rPr>
              <w:t>验收方式：</w:t>
            </w:r>
          </w:p>
        </w:tc>
        <w:tc>
          <w:tcPr>
            <w:tcW w:w="6218" w:type="dxa"/>
            <w:gridSpan w:val="5"/>
            <w:vAlign w:val="center"/>
          </w:tcPr>
          <w:p>
            <w:pPr>
              <w:widowControl/>
              <w:snapToGrid w:val="0"/>
              <w:ind w:left="-3"/>
              <w:jc w:val="center"/>
              <w:rPr>
                <w:rFonts w:ascii="宋体" w:hAnsi="宋体"/>
                <w:kern w:val="0"/>
                <w:szCs w:val="21"/>
              </w:rPr>
            </w:pPr>
            <w:r>
              <w:rPr>
                <w:rFonts w:hint="eastAsia" w:ascii="宋体" w:hAnsi="宋体"/>
                <w:kern w:val="0"/>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kern w:val="0"/>
                <w:szCs w:val="21"/>
              </w:rPr>
            </w:pPr>
            <w:r>
              <w:rPr>
                <w:rFonts w:hint="eastAsia" w:ascii="宋体" w:hAnsi="宋体"/>
                <w:kern w:val="0"/>
                <w:szCs w:val="21"/>
              </w:rPr>
              <w:t>序号</w:t>
            </w:r>
          </w:p>
        </w:tc>
        <w:tc>
          <w:tcPr>
            <w:tcW w:w="1963" w:type="dxa"/>
            <w:vAlign w:val="center"/>
          </w:tcPr>
          <w:p>
            <w:pPr>
              <w:widowControl/>
              <w:snapToGrid w:val="0"/>
              <w:ind w:left="-3"/>
              <w:jc w:val="center"/>
              <w:rPr>
                <w:rFonts w:ascii="宋体" w:hAnsi="宋体"/>
                <w:kern w:val="0"/>
                <w:szCs w:val="21"/>
              </w:rPr>
            </w:pPr>
            <w:r>
              <w:rPr>
                <w:rFonts w:hint="eastAsia" w:ascii="宋体" w:hAnsi="宋体"/>
                <w:kern w:val="0"/>
                <w:szCs w:val="21"/>
              </w:rPr>
              <w:t>名  称</w:t>
            </w:r>
          </w:p>
        </w:tc>
        <w:tc>
          <w:tcPr>
            <w:tcW w:w="3441" w:type="dxa"/>
            <w:gridSpan w:val="2"/>
            <w:vAlign w:val="center"/>
          </w:tcPr>
          <w:p>
            <w:pPr>
              <w:widowControl/>
              <w:snapToGrid w:val="0"/>
              <w:ind w:left="-3"/>
              <w:jc w:val="center"/>
              <w:rPr>
                <w:rFonts w:ascii="宋体" w:hAnsi="宋体"/>
                <w:kern w:val="0"/>
                <w:szCs w:val="21"/>
              </w:rPr>
            </w:pPr>
            <w:r>
              <w:rPr>
                <w:rFonts w:hint="eastAsia" w:ascii="宋体" w:hAnsi="宋体"/>
                <w:kern w:val="0"/>
                <w:szCs w:val="21"/>
              </w:rPr>
              <w:t>货物型号规格、标准及配置</w:t>
            </w:r>
          </w:p>
          <w:p>
            <w:pPr>
              <w:widowControl/>
              <w:snapToGrid w:val="0"/>
              <w:jc w:val="center"/>
              <w:rPr>
                <w:rFonts w:ascii="宋体" w:hAnsi="宋体"/>
                <w:kern w:val="0"/>
                <w:szCs w:val="21"/>
              </w:rPr>
            </w:pPr>
          </w:p>
        </w:tc>
        <w:tc>
          <w:tcPr>
            <w:tcW w:w="998" w:type="dxa"/>
            <w:gridSpan w:val="2"/>
            <w:vAlign w:val="center"/>
          </w:tcPr>
          <w:p>
            <w:pPr>
              <w:widowControl/>
              <w:snapToGrid w:val="0"/>
              <w:jc w:val="center"/>
              <w:rPr>
                <w:rFonts w:ascii="宋体" w:hAnsi="宋体"/>
                <w:kern w:val="0"/>
                <w:szCs w:val="21"/>
              </w:rPr>
            </w:pPr>
            <w:r>
              <w:rPr>
                <w:rFonts w:hint="eastAsia" w:ascii="宋体" w:hAnsi="宋体"/>
                <w:kern w:val="0"/>
                <w:szCs w:val="21"/>
              </w:rPr>
              <w:t>数量</w:t>
            </w:r>
          </w:p>
        </w:tc>
        <w:tc>
          <w:tcPr>
            <w:tcW w:w="1779" w:type="dxa"/>
            <w:vAlign w:val="center"/>
          </w:tcPr>
          <w:p>
            <w:pPr>
              <w:widowControl/>
              <w:snapToGrid w:val="0"/>
              <w:ind w:left="-3"/>
              <w:jc w:val="center"/>
              <w:rPr>
                <w:rFonts w:ascii="宋体" w:hAnsi="宋体"/>
                <w:kern w:val="0"/>
                <w:szCs w:val="21"/>
              </w:rPr>
            </w:pPr>
            <w:r>
              <w:rPr>
                <w:rFonts w:hint="eastAsia" w:ascii="宋体" w:hAnsi="宋体"/>
                <w:kern w:val="0"/>
                <w:szCs w:val="21"/>
              </w:rPr>
              <w:t>与合同约定</w:t>
            </w:r>
          </w:p>
          <w:p>
            <w:pPr>
              <w:widowControl/>
              <w:snapToGrid w:val="0"/>
              <w:ind w:left="-3"/>
              <w:jc w:val="center"/>
              <w:rPr>
                <w:rFonts w:ascii="宋体" w:hAnsi="宋体"/>
                <w:kern w:val="0"/>
                <w:szCs w:val="21"/>
              </w:rPr>
            </w:pPr>
            <w:r>
              <w:rPr>
                <w:rFonts w:hint="eastAsia" w:ascii="宋体" w:hAnsi="宋体"/>
                <w:kern w:val="0"/>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p>
        </w:tc>
        <w:tc>
          <w:tcPr>
            <w:tcW w:w="1963" w:type="dxa"/>
            <w:vAlign w:val="center"/>
          </w:tcPr>
          <w:p>
            <w:pPr>
              <w:widowControl/>
              <w:snapToGrid w:val="0"/>
              <w:ind w:left="-3" w:firstLine="576"/>
              <w:jc w:val="left"/>
              <w:rPr>
                <w:rFonts w:ascii="宋体" w:hAnsi="宋体"/>
                <w:kern w:val="0"/>
                <w:szCs w:val="21"/>
              </w:rPr>
            </w:pPr>
          </w:p>
        </w:tc>
        <w:tc>
          <w:tcPr>
            <w:tcW w:w="3441" w:type="dxa"/>
            <w:gridSpan w:val="2"/>
            <w:vAlign w:val="center"/>
          </w:tcPr>
          <w:p>
            <w:pPr>
              <w:widowControl/>
              <w:snapToGrid w:val="0"/>
              <w:ind w:left="-3" w:firstLine="576"/>
              <w:jc w:val="left"/>
              <w:rPr>
                <w:rFonts w:ascii="宋体" w:hAnsi="宋体"/>
                <w:kern w:val="0"/>
                <w:szCs w:val="21"/>
              </w:rPr>
            </w:pPr>
          </w:p>
        </w:tc>
        <w:tc>
          <w:tcPr>
            <w:tcW w:w="998" w:type="dxa"/>
            <w:gridSpan w:val="2"/>
            <w:vAlign w:val="center"/>
          </w:tcPr>
          <w:p>
            <w:pPr>
              <w:widowControl/>
              <w:snapToGrid w:val="0"/>
              <w:jc w:val="left"/>
              <w:rPr>
                <w:rFonts w:ascii="宋体" w:hAnsi="宋体"/>
                <w:kern w:val="0"/>
                <w:szCs w:val="21"/>
              </w:rPr>
            </w:pPr>
          </w:p>
        </w:tc>
        <w:tc>
          <w:tcPr>
            <w:tcW w:w="1779" w:type="dxa"/>
            <w:vAlign w:val="center"/>
          </w:tcPr>
          <w:p>
            <w:pPr>
              <w:widowControl/>
              <w:snapToGrid w:val="0"/>
              <w:jc w:val="left"/>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p>
        </w:tc>
        <w:tc>
          <w:tcPr>
            <w:tcW w:w="1963" w:type="dxa"/>
            <w:vAlign w:val="center"/>
          </w:tcPr>
          <w:p>
            <w:pPr>
              <w:widowControl/>
              <w:snapToGrid w:val="0"/>
              <w:ind w:left="-3" w:firstLine="576"/>
              <w:jc w:val="left"/>
              <w:rPr>
                <w:rFonts w:ascii="宋体" w:hAnsi="宋体"/>
                <w:kern w:val="0"/>
                <w:szCs w:val="21"/>
              </w:rPr>
            </w:pPr>
          </w:p>
        </w:tc>
        <w:tc>
          <w:tcPr>
            <w:tcW w:w="3441" w:type="dxa"/>
            <w:gridSpan w:val="2"/>
            <w:vAlign w:val="center"/>
          </w:tcPr>
          <w:p>
            <w:pPr>
              <w:widowControl/>
              <w:snapToGrid w:val="0"/>
              <w:ind w:left="-3" w:firstLine="576"/>
              <w:jc w:val="left"/>
              <w:rPr>
                <w:rFonts w:ascii="宋体" w:hAnsi="宋体"/>
                <w:kern w:val="0"/>
                <w:szCs w:val="21"/>
              </w:rPr>
            </w:pPr>
          </w:p>
        </w:tc>
        <w:tc>
          <w:tcPr>
            <w:tcW w:w="998" w:type="dxa"/>
            <w:gridSpan w:val="2"/>
            <w:vAlign w:val="center"/>
          </w:tcPr>
          <w:p>
            <w:pPr>
              <w:widowControl/>
              <w:snapToGrid w:val="0"/>
              <w:jc w:val="left"/>
              <w:rPr>
                <w:rFonts w:ascii="宋体" w:hAnsi="宋体"/>
                <w:kern w:val="0"/>
                <w:szCs w:val="21"/>
              </w:rPr>
            </w:pPr>
          </w:p>
        </w:tc>
        <w:tc>
          <w:tcPr>
            <w:tcW w:w="1779" w:type="dxa"/>
            <w:vAlign w:val="center"/>
          </w:tcPr>
          <w:p>
            <w:pPr>
              <w:widowControl/>
              <w:snapToGrid w:val="0"/>
              <w:jc w:val="left"/>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kern w:val="0"/>
                <w:szCs w:val="21"/>
              </w:rPr>
            </w:pPr>
          </w:p>
        </w:tc>
        <w:tc>
          <w:tcPr>
            <w:tcW w:w="1963" w:type="dxa"/>
            <w:vAlign w:val="center"/>
          </w:tcPr>
          <w:p>
            <w:pPr>
              <w:widowControl/>
              <w:snapToGrid w:val="0"/>
              <w:ind w:left="-3" w:firstLine="576"/>
              <w:jc w:val="left"/>
              <w:rPr>
                <w:rFonts w:ascii="宋体" w:hAnsi="宋体"/>
                <w:kern w:val="0"/>
                <w:szCs w:val="21"/>
              </w:rPr>
            </w:pPr>
          </w:p>
        </w:tc>
        <w:tc>
          <w:tcPr>
            <w:tcW w:w="3441" w:type="dxa"/>
            <w:gridSpan w:val="2"/>
            <w:vAlign w:val="center"/>
          </w:tcPr>
          <w:p>
            <w:pPr>
              <w:widowControl/>
              <w:snapToGrid w:val="0"/>
              <w:ind w:left="-3" w:firstLine="576"/>
              <w:jc w:val="left"/>
              <w:rPr>
                <w:rFonts w:ascii="宋体" w:hAnsi="宋体"/>
                <w:kern w:val="0"/>
                <w:szCs w:val="21"/>
              </w:rPr>
            </w:pPr>
          </w:p>
        </w:tc>
        <w:tc>
          <w:tcPr>
            <w:tcW w:w="998" w:type="dxa"/>
            <w:gridSpan w:val="2"/>
            <w:vAlign w:val="center"/>
          </w:tcPr>
          <w:p>
            <w:pPr>
              <w:widowControl/>
              <w:snapToGrid w:val="0"/>
              <w:jc w:val="left"/>
              <w:rPr>
                <w:rFonts w:ascii="宋体" w:hAnsi="宋体"/>
                <w:kern w:val="0"/>
                <w:szCs w:val="21"/>
              </w:rPr>
            </w:pPr>
          </w:p>
        </w:tc>
        <w:tc>
          <w:tcPr>
            <w:tcW w:w="1779" w:type="dxa"/>
            <w:vAlign w:val="center"/>
          </w:tcPr>
          <w:p>
            <w:pPr>
              <w:widowControl/>
              <w:snapToGrid w:val="0"/>
              <w:jc w:val="left"/>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kern w:val="0"/>
                <w:szCs w:val="21"/>
              </w:rPr>
            </w:pPr>
            <w:r>
              <w:rPr>
                <w:rFonts w:hint="eastAsia" w:ascii="宋体" w:hAnsi="宋体"/>
                <w:kern w:val="0"/>
                <w:szCs w:val="21"/>
              </w:rPr>
              <w:t>实际供货日期</w:t>
            </w:r>
          </w:p>
        </w:tc>
        <w:tc>
          <w:tcPr>
            <w:tcW w:w="3542" w:type="dxa"/>
            <w:gridSpan w:val="2"/>
            <w:vAlign w:val="center"/>
          </w:tcPr>
          <w:p>
            <w:pPr>
              <w:snapToGrid w:val="0"/>
              <w:jc w:val="left"/>
              <w:rPr>
                <w:rFonts w:ascii="宋体" w:hAnsi="宋体"/>
                <w:kern w:val="0"/>
                <w:szCs w:val="21"/>
              </w:rPr>
            </w:pPr>
          </w:p>
        </w:tc>
        <w:tc>
          <w:tcPr>
            <w:tcW w:w="2522" w:type="dxa"/>
            <w:gridSpan w:val="2"/>
            <w:vAlign w:val="center"/>
          </w:tcPr>
          <w:p>
            <w:pPr>
              <w:snapToGrid w:val="0"/>
              <w:ind w:left="590"/>
              <w:jc w:val="left"/>
              <w:rPr>
                <w:rFonts w:ascii="宋体" w:hAnsi="宋体"/>
                <w:kern w:val="0"/>
                <w:szCs w:val="21"/>
              </w:rPr>
            </w:pPr>
            <w:r>
              <w:rPr>
                <w:rFonts w:hint="eastAsia" w:ascii="宋体" w:hAnsi="宋体"/>
                <w:kern w:val="0"/>
                <w:szCs w:val="21"/>
              </w:rPr>
              <w:t>合同交货验收日期</w:t>
            </w:r>
          </w:p>
        </w:tc>
        <w:tc>
          <w:tcPr>
            <w:tcW w:w="2117" w:type="dxa"/>
            <w:gridSpan w:val="2"/>
            <w:vAlign w:val="center"/>
          </w:tcPr>
          <w:p>
            <w:pPr>
              <w:snapToGrid w:val="0"/>
              <w:jc w:val="left"/>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kern w:val="0"/>
                <w:szCs w:val="21"/>
              </w:rPr>
            </w:pPr>
            <w:r>
              <w:rPr>
                <w:rFonts w:hint="eastAsia" w:ascii="宋体" w:hAnsi="宋体"/>
                <w:kern w:val="0"/>
                <w:szCs w:val="21"/>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kern w:val="0"/>
                <w:szCs w:val="21"/>
              </w:rPr>
            </w:pPr>
            <w:r>
              <w:rPr>
                <w:rFonts w:hint="eastAsia" w:ascii="宋体" w:hAnsi="宋体"/>
                <w:kern w:val="0"/>
                <w:szCs w:val="21"/>
              </w:rPr>
              <w:t> (按招标采购文件、竞标响应文件及验收方案等。可附件)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验收小组意见</w:t>
            </w:r>
          </w:p>
        </w:tc>
        <w:tc>
          <w:tcPr>
            <w:tcW w:w="8181" w:type="dxa"/>
            <w:gridSpan w:val="6"/>
            <w:vAlign w:val="center"/>
          </w:tcPr>
          <w:p>
            <w:pPr>
              <w:widowControl/>
              <w:jc w:val="left"/>
              <w:rPr>
                <w:rFonts w:ascii="宋体" w:hAnsi="宋体"/>
                <w:kern w:val="0"/>
                <w:szCs w:val="21"/>
              </w:rPr>
            </w:pPr>
            <w:r>
              <w:rPr>
                <w:rFonts w:hint="eastAsia" w:ascii="宋体" w:hAnsi="宋体"/>
                <w:kern w:val="0"/>
                <w:szCs w:val="21"/>
              </w:rPr>
              <w:t> </w:t>
            </w:r>
          </w:p>
          <w:p>
            <w:pPr>
              <w:widowControl/>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kern w:val="0"/>
                <w:szCs w:val="21"/>
              </w:rPr>
            </w:pPr>
            <w:r>
              <w:rPr>
                <w:rFonts w:hint="eastAsia" w:ascii="宋体" w:hAnsi="宋体"/>
                <w:kern w:val="0"/>
                <w:szCs w:val="21"/>
              </w:rPr>
              <w:t>供应商签字或盖章：</w:t>
            </w:r>
          </w:p>
          <w:p>
            <w:pPr>
              <w:widowControl/>
              <w:jc w:val="left"/>
              <w:rPr>
                <w:rFonts w:ascii="宋体" w:hAnsi="宋体"/>
                <w:kern w:val="0"/>
                <w:szCs w:val="21"/>
              </w:rPr>
            </w:pPr>
            <w:r>
              <w:rPr>
                <w:rFonts w:hint="eastAsia" w:ascii="宋体" w:hAnsi="宋体"/>
                <w:kern w:val="0"/>
                <w:szCs w:val="21"/>
              </w:rPr>
              <w:t>联系方式：         年 月 日</w:t>
            </w:r>
          </w:p>
        </w:tc>
        <w:tc>
          <w:tcPr>
            <w:tcW w:w="4639" w:type="dxa"/>
            <w:gridSpan w:val="4"/>
            <w:vAlign w:val="center"/>
          </w:tcPr>
          <w:p>
            <w:pPr>
              <w:widowControl/>
              <w:jc w:val="left"/>
              <w:rPr>
                <w:rFonts w:ascii="宋体" w:hAnsi="宋体"/>
                <w:kern w:val="0"/>
                <w:szCs w:val="21"/>
              </w:rPr>
            </w:pPr>
            <w:r>
              <w:rPr>
                <w:rFonts w:hint="eastAsia" w:ascii="宋体" w:hAnsi="宋体"/>
                <w:kern w:val="0"/>
                <w:szCs w:val="21"/>
              </w:rPr>
              <w:t> 采购单位盖章：</w:t>
            </w:r>
          </w:p>
          <w:p>
            <w:pPr>
              <w:widowControl/>
              <w:ind w:firstLine="2119"/>
              <w:jc w:val="left"/>
              <w:rPr>
                <w:rFonts w:ascii="宋体" w:hAnsi="宋体"/>
                <w:kern w:val="0"/>
                <w:szCs w:val="21"/>
              </w:rPr>
            </w:pPr>
            <w:r>
              <w:rPr>
                <w:rFonts w:hint="eastAsia" w:ascii="宋体" w:hAnsi="宋体"/>
                <w:kern w:val="0"/>
                <w:szCs w:val="21"/>
              </w:rPr>
              <w:t>年 月 日</w:t>
            </w:r>
          </w:p>
        </w:tc>
      </w:tr>
    </w:tbl>
    <w:p>
      <w:pPr>
        <w:widowControl/>
        <w:jc w:val="left"/>
        <w:rPr>
          <w:rFonts w:ascii="宋体" w:hAnsi="宋体" w:cs="宋体"/>
          <w:kern w:val="0"/>
          <w:szCs w:val="21"/>
        </w:rPr>
      </w:pPr>
      <w:r>
        <w:rPr>
          <w:rFonts w:hint="eastAsia" w:ascii="宋体" w:hAnsi="宋体" w:cs="宋体"/>
          <w:spacing w:val="-20"/>
          <w:kern w:val="0"/>
          <w:szCs w:val="21"/>
        </w:rPr>
        <w:t xml:space="preserve">备注：本 报 告 单 一 式 4 份 （ 采 购 单 位 1 份 、 供 应 商 1 份 、 采 购 监 督 部 门 备 案 1 份 、 采 购 代 理 机 构 1 份 </w:t>
      </w:r>
      <w:r>
        <w:rPr>
          <w:rFonts w:hint="eastAsia" w:ascii="宋体" w:hAnsi="宋体" w:cs="宋体"/>
          <w:kern w:val="0"/>
          <w:szCs w:val="21"/>
        </w:rPr>
        <w:t>）。</w:t>
      </w:r>
    </w:p>
    <w:p>
      <w:pPr>
        <w:adjustRightInd w:val="0"/>
        <w:snapToGrid w:val="0"/>
        <w:ind w:firstLine="480" w:firstLineChars="200"/>
        <w:rPr>
          <w:rFonts w:ascii="宋体" w:hAnsi="宋体"/>
          <w:sz w:val="24"/>
        </w:rPr>
      </w:pPr>
    </w:p>
    <w:p>
      <w:pPr>
        <w:pStyle w:val="24"/>
        <w:snapToGrid w:val="0"/>
        <w:spacing w:before="120" w:after="120"/>
        <w:jc w:val="center"/>
        <w:outlineLvl w:val="0"/>
        <w:rPr>
          <w:rFonts w:hAnsi="宋体"/>
          <w:sz w:val="24"/>
        </w:rPr>
      </w:pPr>
    </w:p>
    <w:p>
      <w:pPr>
        <w:pStyle w:val="24"/>
        <w:snapToGrid w:val="0"/>
        <w:spacing w:before="120" w:after="120"/>
        <w:jc w:val="center"/>
        <w:outlineLvl w:val="0"/>
        <w:rPr>
          <w:rFonts w:hAnsi="宋体"/>
          <w:sz w:val="24"/>
        </w:rPr>
      </w:pPr>
    </w:p>
    <w:p>
      <w:pPr>
        <w:pStyle w:val="24"/>
        <w:snapToGrid w:val="0"/>
        <w:spacing w:before="120" w:after="120"/>
        <w:jc w:val="center"/>
        <w:outlineLvl w:val="0"/>
        <w:rPr>
          <w:rFonts w:hAnsi="宋体"/>
          <w:sz w:val="24"/>
        </w:rPr>
      </w:pPr>
    </w:p>
    <w:p>
      <w:pPr>
        <w:pStyle w:val="24"/>
        <w:snapToGrid w:val="0"/>
        <w:spacing w:before="120" w:after="120"/>
        <w:jc w:val="center"/>
        <w:outlineLvl w:val="0"/>
        <w:rPr>
          <w:rFonts w:hAnsi="宋体"/>
          <w:sz w:val="24"/>
        </w:rPr>
      </w:pPr>
    </w:p>
    <w:p>
      <w:pPr>
        <w:pStyle w:val="24"/>
        <w:snapToGrid w:val="0"/>
        <w:spacing w:before="120" w:after="120"/>
        <w:jc w:val="center"/>
        <w:outlineLvl w:val="0"/>
        <w:rPr>
          <w:rFonts w:hAnsi="宋体"/>
          <w:sz w:val="24"/>
        </w:rPr>
      </w:pPr>
    </w:p>
    <w:p>
      <w:pPr>
        <w:pStyle w:val="24"/>
        <w:snapToGrid w:val="0"/>
        <w:spacing w:before="120" w:after="120"/>
        <w:jc w:val="center"/>
        <w:outlineLvl w:val="0"/>
        <w:rPr>
          <w:rFonts w:hAnsi="宋体"/>
          <w:sz w:val="24"/>
        </w:rPr>
      </w:pPr>
    </w:p>
    <w:p>
      <w:pPr>
        <w:pStyle w:val="24"/>
        <w:snapToGrid w:val="0"/>
        <w:spacing w:before="120" w:after="120"/>
        <w:jc w:val="center"/>
        <w:outlineLvl w:val="0"/>
        <w:rPr>
          <w:rFonts w:hAnsi="宋体"/>
          <w:sz w:val="24"/>
        </w:rPr>
      </w:pPr>
    </w:p>
    <w:p>
      <w:pPr>
        <w:pStyle w:val="24"/>
        <w:snapToGrid w:val="0"/>
        <w:spacing w:before="120" w:after="120"/>
        <w:jc w:val="center"/>
        <w:outlineLvl w:val="0"/>
        <w:rPr>
          <w:rFonts w:hAnsi="宋体"/>
          <w:sz w:val="24"/>
        </w:rPr>
      </w:pPr>
    </w:p>
    <w:p>
      <w:pPr>
        <w:pStyle w:val="24"/>
        <w:snapToGrid w:val="0"/>
        <w:spacing w:before="120" w:after="120"/>
        <w:jc w:val="center"/>
        <w:outlineLvl w:val="0"/>
        <w:rPr>
          <w:rFonts w:hAnsi="宋体"/>
          <w:sz w:val="24"/>
        </w:rPr>
      </w:pPr>
    </w:p>
    <w:p>
      <w:pPr>
        <w:pStyle w:val="24"/>
        <w:snapToGrid w:val="0"/>
        <w:spacing w:before="120" w:after="120"/>
        <w:jc w:val="center"/>
        <w:outlineLvl w:val="0"/>
        <w:rPr>
          <w:rFonts w:hAnsi="宋体"/>
          <w:b/>
          <w:sz w:val="44"/>
          <w:szCs w:val="44"/>
        </w:rPr>
      </w:pPr>
      <w:r>
        <w:rPr>
          <w:rFonts w:hint="eastAsia" w:hAnsi="宋体"/>
          <w:b/>
          <w:sz w:val="44"/>
          <w:szCs w:val="44"/>
        </w:rPr>
        <w:t>第六章  评审办法及评审标准</w:t>
      </w:r>
    </w:p>
    <w:p>
      <w:pPr>
        <w:pStyle w:val="24"/>
        <w:snapToGrid w:val="0"/>
        <w:jc w:val="center"/>
        <w:outlineLvl w:val="0"/>
        <w:rPr>
          <w:rFonts w:hAnsi="宋体"/>
          <w:b/>
          <w:sz w:val="32"/>
          <w:szCs w:val="32"/>
        </w:rPr>
      </w:pPr>
      <w:r>
        <w:rPr>
          <w:rFonts w:hAnsi="宋体"/>
          <w:b/>
          <w:sz w:val="44"/>
          <w:szCs w:val="44"/>
        </w:rPr>
        <w:br w:type="page"/>
      </w:r>
      <w:bookmarkStart w:id="42" w:name="_Toc254970548"/>
      <w:bookmarkStart w:id="43" w:name="_Toc254970689"/>
      <w:r>
        <w:rPr>
          <w:rFonts w:hint="eastAsia" w:hAnsi="宋体"/>
          <w:b/>
          <w:sz w:val="32"/>
          <w:szCs w:val="32"/>
        </w:rPr>
        <w:t>评审办法及评审标准</w:t>
      </w:r>
      <w:bookmarkEnd w:id="42"/>
      <w:bookmarkEnd w:id="43"/>
    </w:p>
    <w:p>
      <w:pPr>
        <w:spacing w:line="360" w:lineRule="exact"/>
        <w:ind w:left="-178" w:leftChars="-85" w:right="-178" w:rightChars="-85" w:firstLine="482" w:firstLineChars="200"/>
        <w:jc w:val="left"/>
        <w:rPr>
          <w:rFonts w:ascii="宋体" w:hAnsi="宋体"/>
          <w:b/>
          <w:sz w:val="24"/>
        </w:rPr>
      </w:pPr>
      <w:r>
        <w:rPr>
          <w:rFonts w:hint="eastAsia" w:ascii="宋体" w:hAnsi="宋体"/>
          <w:b/>
          <w:sz w:val="24"/>
        </w:rPr>
        <w:t>一、评审原则</w:t>
      </w:r>
    </w:p>
    <w:p>
      <w:pPr>
        <w:spacing w:line="360" w:lineRule="exact"/>
        <w:ind w:left="-178" w:leftChars="-85" w:right="-178" w:rightChars="-85" w:firstLine="660" w:firstLineChars="275"/>
        <w:jc w:val="left"/>
        <w:rPr>
          <w:rFonts w:ascii="宋体" w:hAnsi="宋体" w:cs="Courier New"/>
          <w:sz w:val="24"/>
        </w:rPr>
      </w:pPr>
      <w:r>
        <w:rPr>
          <w:rFonts w:hint="eastAsia" w:asciiTheme="minorEastAsia" w:hAnsiTheme="minorEastAsia" w:eastAsiaTheme="minorEastAsia"/>
          <w:sz w:val="24"/>
        </w:rPr>
        <w:t>谈判小组必须坚持公平、公正、科学和择优的原则。</w:t>
      </w:r>
    </w:p>
    <w:p>
      <w:pPr>
        <w:spacing w:line="360" w:lineRule="exact"/>
        <w:ind w:left="-178" w:leftChars="-85" w:right="-178" w:rightChars="-85" w:firstLine="660" w:firstLineChars="275"/>
        <w:jc w:val="left"/>
        <w:rPr>
          <w:rFonts w:ascii="宋体" w:hAnsi="宋体" w:cs="Courier New"/>
          <w:sz w:val="24"/>
        </w:rPr>
      </w:pPr>
      <w:r>
        <w:rPr>
          <w:rFonts w:hint="eastAsia" w:ascii="宋体" w:hAnsi="宋体" w:cs="Courier New"/>
          <w:sz w:val="24"/>
        </w:rPr>
        <w:t>(一)谈判小组构成：本项目的谈判小组成员由从财政部门的政府采购评标专家库随机抽取的评审专家</w:t>
      </w:r>
      <w:r>
        <w:rPr>
          <w:rFonts w:hint="eastAsia" w:ascii="宋体" w:hAnsi="宋体"/>
          <w:sz w:val="24"/>
          <w:u w:val="single"/>
        </w:rPr>
        <w:t>2</w:t>
      </w:r>
      <w:r>
        <w:rPr>
          <w:rFonts w:hint="eastAsia" w:ascii="宋体" w:hAnsi="宋体" w:cs="Courier New"/>
          <w:sz w:val="24"/>
        </w:rPr>
        <w:t>人和采购人代表</w:t>
      </w:r>
      <w:r>
        <w:rPr>
          <w:rFonts w:hint="eastAsia" w:ascii="宋体" w:hAnsi="宋体"/>
          <w:sz w:val="24"/>
          <w:u w:val="single"/>
        </w:rPr>
        <w:t>1</w:t>
      </w:r>
      <w:r>
        <w:rPr>
          <w:rFonts w:hint="eastAsia" w:ascii="宋体" w:hAnsi="宋体" w:cs="Courier New"/>
          <w:sz w:val="24"/>
        </w:rPr>
        <w:t>人，共</w:t>
      </w:r>
      <w:r>
        <w:rPr>
          <w:rFonts w:hint="eastAsia" w:ascii="宋体" w:hAnsi="宋体"/>
          <w:sz w:val="24"/>
          <w:u w:val="single"/>
        </w:rPr>
        <w:t>3</w:t>
      </w:r>
      <w:r>
        <w:rPr>
          <w:rFonts w:hint="eastAsia" w:ascii="宋体" w:hAnsi="宋体" w:cs="Courier New"/>
          <w:sz w:val="24"/>
        </w:rPr>
        <w:t>人以上单数组成，其中专家人数不少于成员总数的三分之二。</w:t>
      </w:r>
    </w:p>
    <w:p>
      <w:pPr>
        <w:spacing w:line="360" w:lineRule="exact"/>
        <w:ind w:right="-178" w:rightChars="-85" w:firstLine="120" w:firstLineChars="50"/>
        <w:jc w:val="left"/>
        <w:rPr>
          <w:rFonts w:ascii="宋体" w:hAnsi="宋体" w:cs="Courier New"/>
          <w:sz w:val="24"/>
        </w:rPr>
      </w:pPr>
      <w:r>
        <w:rPr>
          <w:rFonts w:hint="eastAsia" w:ascii="宋体" w:hAnsi="宋体" w:cs="Courier New"/>
          <w:sz w:val="24"/>
        </w:rPr>
        <w:t xml:space="preserve">   (二)评标依据：以竞争性谈判采购文件和响应文件为评定依据。</w:t>
      </w:r>
    </w:p>
    <w:p>
      <w:pPr>
        <w:pStyle w:val="24"/>
        <w:rPr>
          <w:rFonts w:hAnsi="宋体"/>
          <w:sz w:val="24"/>
          <w:szCs w:val="24"/>
        </w:rPr>
      </w:pPr>
      <w:r>
        <w:rPr>
          <w:rFonts w:hint="eastAsia" w:hAnsi="宋体"/>
          <w:sz w:val="24"/>
        </w:rPr>
        <w:t xml:space="preserve">    (三)评标方法：</w:t>
      </w:r>
      <w:r>
        <w:rPr>
          <w:rFonts w:hint="eastAsia" w:hAnsi="宋体"/>
          <w:sz w:val="24"/>
          <w:szCs w:val="24"/>
        </w:rPr>
        <w:t>采用最低评标价法。</w:t>
      </w:r>
    </w:p>
    <w:p>
      <w:pPr>
        <w:pStyle w:val="24"/>
        <w:rPr>
          <w:rFonts w:hAnsi="宋体"/>
          <w:b/>
          <w:bCs/>
          <w:sz w:val="24"/>
          <w:szCs w:val="24"/>
        </w:rPr>
      </w:pPr>
      <w:r>
        <w:rPr>
          <w:rFonts w:hint="eastAsia" w:hAnsi="宋体"/>
          <w:b/>
          <w:bCs/>
          <w:sz w:val="24"/>
          <w:szCs w:val="24"/>
        </w:rPr>
        <w:t>二、评定方法</w:t>
      </w:r>
    </w:p>
    <w:p>
      <w:pPr>
        <w:pStyle w:val="24"/>
        <w:ind w:firstLine="480" w:firstLineChars="200"/>
        <w:rPr>
          <w:rFonts w:hAnsi="宋体"/>
          <w:sz w:val="24"/>
          <w:szCs w:val="24"/>
        </w:rPr>
      </w:pPr>
      <w:r>
        <w:rPr>
          <w:rFonts w:hint="eastAsia" w:hAnsi="宋体"/>
          <w:sz w:val="24"/>
        </w:rPr>
        <w:t>(一)</w:t>
      </w:r>
      <w:r>
        <w:rPr>
          <w:rFonts w:hint="eastAsia" w:hAnsi="宋体"/>
          <w:sz w:val="24"/>
          <w:szCs w:val="24"/>
        </w:rPr>
        <w:t>对商务评审和技术（服务）评审合格的响应文件，采用最低评标价法进行评审。</w:t>
      </w:r>
    </w:p>
    <w:p>
      <w:pPr>
        <w:pStyle w:val="24"/>
        <w:ind w:firstLine="480" w:firstLineChars="200"/>
        <w:rPr>
          <w:rFonts w:hAnsi="宋体"/>
          <w:sz w:val="24"/>
          <w:szCs w:val="24"/>
        </w:rPr>
      </w:pPr>
      <w:r>
        <w:rPr>
          <w:rFonts w:hint="eastAsia" w:hAnsi="宋体"/>
          <w:sz w:val="24"/>
          <w:szCs w:val="24"/>
        </w:rPr>
        <w:t>谈判小组将以谈判文件、响应文件为评定依据，在符合采购需求、质量和服务等实质性要求的前提下，以提出最低评标价的供应商作为成交候选供应商。</w:t>
      </w:r>
    </w:p>
    <w:p>
      <w:pPr>
        <w:pStyle w:val="24"/>
        <w:ind w:firstLine="480" w:firstLineChars="200"/>
        <w:rPr>
          <w:rFonts w:hAnsi="宋体"/>
          <w:sz w:val="24"/>
          <w:szCs w:val="24"/>
        </w:rPr>
      </w:pPr>
      <w:r>
        <w:rPr>
          <w:rFonts w:hint="eastAsia" w:hAnsi="宋体"/>
          <w:sz w:val="24"/>
          <w:szCs w:val="24"/>
        </w:rPr>
        <w:t>（二）</w:t>
      </w:r>
      <w:r>
        <w:rPr>
          <w:rFonts w:hint="eastAsia" w:hAnsi="宋体" w:cs="宋体"/>
          <w:kern w:val="0"/>
          <w:sz w:val="24"/>
          <w:szCs w:val="24"/>
        </w:rPr>
        <w:t>根据广西壮族自治区人民政府办公厅关于印发2020 年广西优化营商环境百日攻坚行动方案的通知（桂政办发〔2020〕59 号）的规定：</w:t>
      </w:r>
    </w:p>
    <w:p>
      <w:pPr>
        <w:pStyle w:val="24"/>
        <w:ind w:firstLine="480" w:firstLineChars="200"/>
        <w:rPr>
          <w:rFonts w:hAnsi="宋体"/>
          <w:sz w:val="24"/>
          <w:szCs w:val="24"/>
        </w:rPr>
      </w:pPr>
      <w:r>
        <w:rPr>
          <w:rFonts w:hint="eastAsia" w:hAnsi="宋体" w:cs="宋体"/>
          <w:kern w:val="0"/>
          <w:sz w:val="24"/>
          <w:szCs w:val="24"/>
        </w:rPr>
        <w:t>对小型或微型企业产品的价格给予10%的扣除，用扣除后的价格参与评审，</w:t>
      </w:r>
      <w:r>
        <w:rPr>
          <w:rFonts w:hint="eastAsia" w:hAnsi="宋体"/>
          <w:sz w:val="24"/>
          <w:szCs w:val="24"/>
        </w:rPr>
        <w:t>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=最终竞标价P</w:t>
      </w:r>
      <w:r>
        <w:rPr>
          <w:rFonts w:hint="eastAsia" w:hAnsi="宋体"/>
          <w:bCs/>
          <w:sz w:val="24"/>
          <w:szCs w:val="24"/>
          <w:vertAlign w:val="subscript"/>
        </w:rPr>
        <w:t>i</w:t>
      </w:r>
      <w:r>
        <w:rPr>
          <w:rFonts w:hint="eastAsia" w:hAnsi="宋体"/>
          <w:bCs/>
          <w:sz w:val="24"/>
          <w:szCs w:val="24"/>
        </w:rPr>
        <w:t>-10%×最终竞标价P</w:t>
      </w:r>
      <w:r>
        <w:rPr>
          <w:rFonts w:hint="eastAsia" w:hAnsi="宋体"/>
          <w:bCs/>
          <w:sz w:val="24"/>
          <w:szCs w:val="24"/>
          <w:vertAlign w:val="subscript"/>
        </w:rPr>
        <w:t>i</w:t>
      </w:r>
      <w:r>
        <w:rPr>
          <w:rFonts w:hint="eastAsia" w:hAnsi="宋体"/>
          <w:sz w:val="24"/>
          <w:szCs w:val="24"/>
        </w:rPr>
        <w:t>（供应商须如实填写</w:t>
      </w:r>
      <w:r>
        <w:rPr>
          <w:rFonts w:hAnsi="宋体"/>
          <w:sz w:val="24"/>
          <w:szCs w:val="24"/>
        </w:rPr>
        <w:t>中小企业声明函</w:t>
      </w:r>
      <w:r>
        <w:rPr>
          <w:rFonts w:hint="eastAsia" w:hAnsi="宋体"/>
          <w:sz w:val="24"/>
          <w:szCs w:val="24"/>
        </w:rPr>
        <w:t>，并对声明的真实性负责）</w:t>
      </w:r>
    </w:p>
    <w:p>
      <w:pPr>
        <w:pStyle w:val="24"/>
        <w:ind w:firstLine="480"/>
        <w:rPr>
          <w:rFonts w:hAnsi="宋体"/>
          <w:sz w:val="24"/>
          <w:szCs w:val="24"/>
        </w:rPr>
      </w:pPr>
      <w:r>
        <w:rPr>
          <w:rFonts w:hint="eastAsia" w:hAnsi="宋体"/>
          <w:sz w:val="24"/>
          <w:szCs w:val="24"/>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w:t>
      </w:r>
      <w:r>
        <w:rPr>
          <w:rFonts w:hint="eastAsia" w:hAnsi="宋体"/>
          <w:bCs/>
          <w:spacing w:val="-6"/>
          <w:sz w:val="24"/>
          <w:szCs w:val="24"/>
        </w:rPr>
        <w:t>评标价</w:t>
      </w:r>
      <w:r>
        <w:rPr>
          <w:rFonts w:hint="eastAsia" w:hAnsi="宋体"/>
          <w:bCs/>
          <w:sz w:val="24"/>
          <w:szCs w:val="24"/>
        </w:rPr>
        <w:t>P</w:t>
      </w:r>
      <w:r>
        <w:rPr>
          <w:rFonts w:hint="eastAsia" w:hAnsi="宋体"/>
          <w:bCs/>
          <w:sz w:val="24"/>
          <w:szCs w:val="24"/>
          <w:vertAlign w:val="subscript"/>
        </w:rPr>
        <w:t xml:space="preserve">P </w:t>
      </w:r>
      <w:r>
        <w:rPr>
          <w:rFonts w:hint="eastAsia" w:hAnsi="宋体"/>
          <w:bCs/>
          <w:sz w:val="24"/>
          <w:szCs w:val="24"/>
        </w:rPr>
        <w:t>=最终竞标价P</w:t>
      </w:r>
      <w:r>
        <w:rPr>
          <w:rFonts w:hint="eastAsia" w:hAnsi="宋体"/>
          <w:bCs/>
          <w:sz w:val="24"/>
          <w:szCs w:val="24"/>
          <w:vertAlign w:val="subscript"/>
        </w:rPr>
        <w:t>i</w:t>
      </w:r>
      <w:r>
        <w:rPr>
          <w:rFonts w:hint="eastAsia" w:hAnsi="宋体"/>
          <w:bCs/>
          <w:sz w:val="24"/>
          <w:szCs w:val="24"/>
        </w:rPr>
        <w:t>-2%×最终竞标价P</w:t>
      </w:r>
      <w:r>
        <w:rPr>
          <w:rFonts w:hint="eastAsia" w:hAnsi="宋体"/>
          <w:bCs/>
          <w:sz w:val="24"/>
          <w:szCs w:val="24"/>
          <w:vertAlign w:val="subscript"/>
        </w:rPr>
        <w:t>i</w:t>
      </w:r>
      <w:r>
        <w:rPr>
          <w:rFonts w:hint="eastAsia" w:hAnsi="宋体"/>
          <w:sz w:val="24"/>
          <w:szCs w:val="24"/>
        </w:rPr>
        <w:t>。</w:t>
      </w:r>
    </w:p>
    <w:p>
      <w:pPr>
        <w:pStyle w:val="24"/>
        <w:ind w:firstLine="480"/>
        <w:rPr>
          <w:rFonts w:hAnsi="宋体"/>
          <w:sz w:val="24"/>
          <w:szCs w:val="24"/>
        </w:rPr>
      </w:pPr>
      <w:r>
        <w:rPr>
          <w:rFonts w:hint="eastAsia" w:hAnsi="宋体"/>
          <w:sz w:val="24"/>
          <w:szCs w:val="24"/>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4"/>
        <w:ind w:firstLine="480"/>
        <w:rPr>
          <w:rFonts w:hAnsi="宋体"/>
          <w:sz w:val="24"/>
          <w:szCs w:val="24"/>
        </w:rPr>
      </w:pPr>
      <w:r>
        <w:rPr>
          <w:rFonts w:hint="eastAsia" w:hAnsi="宋体"/>
          <w:sz w:val="24"/>
          <w:szCs w:val="24"/>
        </w:rPr>
        <w:t>根据《关于促进残疾人就业政府采购政策的通知》（财库【2017】141号）规定，</w:t>
      </w:r>
      <w:r>
        <w:rPr>
          <w:rFonts w:hint="eastAsia"/>
        </w:rPr>
        <w:t>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4"/>
        <w:ind w:firstLine="480" w:firstLineChars="200"/>
        <w:rPr>
          <w:rFonts w:hAnsi="宋体"/>
          <w:bCs/>
          <w:sz w:val="24"/>
          <w:szCs w:val="24"/>
        </w:rPr>
      </w:pPr>
      <w:r>
        <w:rPr>
          <w:rFonts w:hint="eastAsia" w:hAnsi="宋体"/>
          <w:bCs/>
          <w:sz w:val="24"/>
          <w:szCs w:val="24"/>
        </w:rPr>
        <w:t>除上述情况外，评标价=最终竞标报价。</w:t>
      </w:r>
    </w:p>
    <w:p>
      <w:pPr>
        <w:pStyle w:val="24"/>
        <w:rPr>
          <w:b/>
          <w:sz w:val="24"/>
          <w:szCs w:val="24"/>
        </w:rPr>
      </w:pPr>
      <w:r>
        <w:rPr>
          <w:rFonts w:hint="eastAsia"/>
          <w:b/>
          <w:sz w:val="24"/>
          <w:szCs w:val="24"/>
        </w:rPr>
        <w:t>三、成交候选供应商推荐原则</w:t>
      </w:r>
    </w:p>
    <w:p>
      <w:pPr>
        <w:pStyle w:val="24"/>
        <w:ind w:firstLine="480" w:firstLineChars="200"/>
        <w:rPr>
          <w:rFonts w:hAnsi="宋体"/>
          <w:sz w:val="24"/>
          <w:szCs w:val="24"/>
        </w:rPr>
      </w:pPr>
      <w:r>
        <w:rPr>
          <w:rFonts w:hint="eastAsia" w:hAnsi="宋体"/>
          <w:sz w:val="24"/>
          <w:szCs w:val="24"/>
        </w:rPr>
        <w:t>谈判小组将按评标价由低到高顺序排列，并推荐最低评标价的供应商为成交候选供应商（最终评标价相同时，最终竞标报价低的优先，最终评标价相同且最终竞标报价也相同的，按</w:t>
      </w:r>
      <w:r>
        <w:rPr>
          <w:rFonts w:hint="eastAsia" w:hAnsi="宋体"/>
          <w:sz w:val="24"/>
          <w:szCs w:val="24"/>
          <w:u w:val="single"/>
        </w:rPr>
        <w:t>整体技术指标优劣</w:t>
      </w:r>
      <w:r>
        <w:rPr>
          <w:rFonts w:hint="eastAsia" w:hAnsi="宋体"/>
          <w:sz w:val="24"/>
          <w:szCs w:val="24"/>
        </w:rPr>
        <w:t>顺序排列，整体技术指标仍然相同时，按售后服务承诺由高到低顺序排列，售后服务承诺仍然相同时，由谈判小组集体讨论确定排序），采购单位应当确定谈判小组推荐排名第一的成交候选人为成交人。</w:t>
      </w:r>
      <w:r>
        <w:rPr>
          <w:rFonts w:hint="eastAsia" w:hAnsi="宋体" w:cs="Times New Roman"/>
          <w:sz w:val="24"/>
          <w:szCs w:val="24"/>
        </w:rPr>
        <w:t>根据桂财采〔2016〕37号《关于做好政府采购有关信用主体标识码登记及在政府采购活动中查询使用信用记录有关问题的通知</w:t>
      </w:r>
      <w:r>
        <w:rPr>
          <w:rFonts w:hint="eastAsia" w:hAnsi="宋体"/>
          <w:sz w:val="24"/>
          <w:szCs w:val="24"/>
          <w:shd w:val="clear" w:color="auto" w:fill="FFFFFF"/>
        </w:rPr>
        <w:t>》相关规定，</w:t>
      </w:r>
      <w:r>
        <w:rPr>
          <w:rFonts w:hint="eastAsia" w:hAnsi="宋体"/>
          <w:bCs/>
          <w:sz w:val="24"/>
          <w:szCs w:val="24"/>
        </w:rPr>
        <w:t>招标采购单位</w:t>
      </w:r>
      <w:r>
        <w:rPr>
          <w:rFonts w:hint="eastAsia" w:hAnsi="宋体"/>
          <w:sz w:val="24"/>
          <w:szCs w:val="24"/>
          <w:shd w:val="clear" w:color="auto" w:fill="FFFFFF"/>
        </w:rPr>
        <w:t>将对</w:t>
      </w:r>
      <w:r>
        <w:rPr>
          <w:rFonts w:hint="eastAsia" w:hAnsi="宋体"/>
          <w:bCs/>
          <w:sz w:val="24"/>
          <w:szCs w:val="24"/>
        </w:rPr>
        <w:t>排名第一的中标候选人进行信用查询</w:t>
      </w:r>
      <w:r>
        <w:rPr>
          <w:rFonts w:hint="eastAsia" w:hAnsi="宋体"/>
          <w:sz w:val="24"/>
          <w:szCs w:val="24"/>
          <w:shd w:val="clear" w:color="auto" w:fill="FFFFFF"/>
        </w:rPr>
        <w:t>，如</w:t>
      </w:r>
      <w:r>
        <w:rPr>
          <w:rFonts w:hint="eastAsia" w:hAnsi="宋体"/>
          <w:bCs/>
          <w:sz w:val="24"/>
          <w:szCs w:val="24"/>
        </w:rPr>
        <w:t>排名第一的中标候选人在中国政府采购网处于被暂停参加政府采购活动期间的，或</w:t>
      </w:r>
      <w:r>
        <w:rPr>
          <w:rFonts w:hint="eastAsia" w:hAnsi="宋体"/>
          <w:sz w:val="24"/>
          <w:szCs w:val="24"/>
        </w:rPr>
        <w:t>排名第一的成交候选人放弃成交、因不可抗力提出不能履行合同，采购单位可以确定排名第二的成交候选人为成交人。排名第二的成交候选人因前款规定的同样原因不能签订合同的，提出不能履行合同，采购单位可以确定排名第三的成交候选人为成交人。采购单位也可以重新采购。</w:t>
      </w:r>
    </w:p>
    <w:p>
      <w:pPr>
        <w:pStyle w:val="24"/>
        <w:ind w:left="181" w:leftChars="86" w:firstLine="2997" w:firstLineChars="1249"/>
        <w:rPr>
          <w:rFonts w:hAnsi="宋体"/>
          <w:bCs/>
          <w:sz w:val="24"/>
          <w:szCs w:val="24"/>
        </w:rPr>
      </w:pPr>
    </w:p>
    <w:p>
      <w:pPr>
        <w:pStyle w:val="24"/>
        <w:ind w:left="181" w:leftChars="86" w:firstLine="2997" w:firstLineChars="1249"/>
        <w:rPr>
          <w:rFonts w:hAnsi="宋体"/>
          <w:bCs/>
          <w:sz w:val="24"/>
          <w:szCs w:val="24"/>
        </w:rPr>
      </w:pPr>
    </w:p>
    <w:p>
      <w:pPr>
        <w:pStyle w:val="24"/>
        <w:ind w:left="181" w:leftChars="86" w:firstLine="2997" w:firstLineChars="1249"/>
        <w:rPr>
          <w:rFonts w:hAnsi="宋体"/>
          <w:bCs/>
          <w:sz w:val="24"/>
          <w:szCs w:val="24"/>
        </w:rPr>
      </w:pPr>
    </w:p>
    <w:p>
      <w:pPr>
        <w:pStyle w:val="24"/>
        <w:ind w:left="181" w:leftChars="86" w:firstLine="2997" w:firstLineChars="1249"/>
        <w:rPr>
          <w:rFonts w:hAnsi="宋体"/>
          <w:bCs/>
          <w:sz w:val="24"/>
          <w:szCs w:val="24"/>
        </w:rPr>
      </w:pPr>
    </w:p>
    <w:p>
      <w:pPr>
        <w:pStyle w:val="24"/>
        <w:ind w:left="181" w:leftChars="86" w:firstLine="2997" w:firstLineChars="1249"/>
        <w:rPr>
          <w:rFonts w:hAnsi="宋体"/>
          <w:bCs/>
          <w:sz w:val="24"/>
          <w:szCs w:val="24"/>
        </w:rPr>
      </w:pPr>
    </w:p>
    <w:p>
      <w:pPr>
        <w:pStyle w:val="24"/>
        <w:ind w:left="181" w:leftChars="86" w:firstLine="2997" w:firstLineChars="1249"/>
        <w:rPr>
          <w:rFonts w:hAnsi="宋体"/>
          <w:bCs/>
          <w:sz w:val="24"/>
          <w:szCs w:val="24"/>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shd w:val="clear" w:color="auto" w:fill="FFFFFF"/>
        <w:spacing w:line="360" w:lineRule="auto"/>
        <w:ind w:firstLine="480"/>
        <w:jc w:val="center"/>
        <w:rPr>
          <w:rFonts w:ascii="宋体" w:hAnsi="宋体" w:cs="宋体"/>
          <w:b/>
          <w:kern w:val="0"/>
          <w:sz w:val="36"/>
          <w:szCs w:val="36"/>
        </w:rPr>
      </w:pPr>
    </w:p>
    <w:p>
      <w:pPr>
        <w:widowControl/>
        <w:jc w:val="left"/>
        <w:rPr>
          <w:rFonts w:ascii="宋体" w:hAnsi="宋体" w:cs="宋体"/>
          <w:b/>
          <w:kern w:val="0"/>
          <w:sz w:val="36"/>
          <w:szCs w:val="36"/>
        </w:rPr>
      </w:pPr>
      <w:r>
        <w:rPr>
          <w:rFonts w:ascii="宋体" w:hAnsi="宋体" w:cs="宋体"/>
          <w:b/>
          <w:kern w:val="0"/>
          <w:sz w:val="36"/>
          <w:szCs w:val="36"/>
        </w:rPr>
        <w:br w:type="page"/>
      </w: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第七章  质疑书及投诉书格式</w:t>
      </w:r>
    </w:p>
    <w:p>
      <w:pPr>
        <w:tabs>
          <w:tab w:val="left" w:pos="606"/>
        </w:tabs>
      </w:pPr>
    </w:p>
    <w:p>
      <w:pPr>
        <w:tabs>
          <w:tab w:val="left" w:pos="606"/>
        </w:tabs>
      </w:pP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地址：邮编：</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联系人：联系电话：</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p>
    <w:p>
      <w:pPr>
        <w:tabs>
          <w:tab w:val="left" w:pos="3544"/>
        </w:tabs>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地址：邮编：</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质疑项目的编号：包号：</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p>
    <w:p>
      <w:pPr>
        <w:adjustRightInd w:val="0"/>
        <w:snapToGrid w:val="0"/>
        <w:spacing w:line="360" w:lineRule="auto"/>
        <w:rPr>
          <w:rFonts w:ascii="仿宋" w:hAnsi="仿宋" w:eastAsia="仿宋" w:cs="仿宋"/>
          <w:sz w:val="32"/>
          <w:szCs w:val="32"/>
          <w:u w:val="dotted"/>
        </w:rPr>
      </w:pP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hAnsi="Calibri" w:eastAsia="仿宋_GB2312"/>
          <w:sz w:val="32"/>
          <w:szCs w:val="32"/>
          <w:u w:val="dotted"/>
        </w:rPr>
      </w:pPr>
      <w:r>
        <w:rPr>
          <w:rFonts w:hint="eastAsia" w:ascii="仿宋_GB2312" w:hAnsi="Calibri" w:eastAsia="仿宋_GB2312"/>
          <w:sz w:val="32"/>
          <w:szCs w:val="32"/>
        </w:rPr>
        <w:t>投诉人：</w:t>
      </w:r>
    </w:p>
    <w:p>
      <w:pPr>
        <w:rPr>
          <w:rFonts w:ascii="仿宋_GB2312" w:hAnsi="Calibri" w:eastAsia="仿宋_GB2312"/>
          <w:sz w:val="32"/>
          <w:szCs w:val="32"/>
          <w:u w:val="single"/>
        </w:rPr>
      </w:pPr>
      <w:r>
        <w:rPr>
          <w:rFonts w:hint="eastAsia" w:ascii="仿宋_GB2312" w:hAnsi="Calibri" w:eastAsia="仿宋_GB2312"/>
          <w:sz w:val="32"/>
          <w:szCs w:val="32"/>
        </w:rPr>
        <w:t>地     址：邮编：</w:t>
      </w:r>
    </w:p>
    <w:p>
      <w:pPr>
        <w:tabs>
          <w:tab w:val="left" w:pos="6510"/>
        </w:tabs>
        <w:jc w:val="left"/>
        <w:rPr>
          <w:rFonts w:ascii="仿宋_GB2312" w:hAnsi="Calibri" w:eastAsia="仿宋_GB2312"/>
          <w:sz w:val="32"/>
          <w:szCs w:val="32"/>
        </w:rPr>
      </w:pPr>
      <w:r>
        <w:rPr>
          <w:rFonts w:hint="eastAsia" w:ascii="仿宋_GB2312" w:hAnsi="Calibri" w:eastAsia="仿宋_GB2312"/>
          <w:sz w:val="32"/>
          <w:szCs w:val="32"/>
        </w:rPr>
        <w:t>法定代表人/主要负责人：</w:t>
      </w:r>
    </w:p>
    <w:p>
      <w:pPr>
        <w:tabs>
          <w:tab w:val="left" w:pos="6510"/>
        </w:tabs>
        <w:rPr>
          <w:rFonts w:ascii="仿宋_GB2312" w:hAnsi="Calibri" w:eastAsia="仿宋_GB2312"/>
          <w:sz w:val="32"/>
          <w:szCs w:val="32"/>
          <w:u w:val="dotted"/>
        </w:rPr>
      </w:pPr>
      <w:r>
        <w:rPr>
          <w:rFonts w:hint="eastAsia" w:ascii="仿宋_GB2312" w:hAnsi="Calibri" w:eastAsia="仿宋_GB2312"/>
          <w:sz w:val="32"/>
          <w:szCs w:val="32"/>
        </w:rPr>
        <w:t>联系电话：</w:t>
      </w:r>
    </w:p>
    <w:p>
      <w:pPr>
        <w:rPr>
          <w:rFonts w:ascii="仿宋_GB2312" w:hAnsi="Calibri" w:eastAsia="仿宋_GB2312"/>
          <w:sz w:val="32"/>
          <w:szCs w:val="32"/>
          <w:u w:val="dotted"/>
        </w:rPr>
      </w:pPr>
      <w:r>
        <w:rPr>
          <w:rFonts w:hint="eastAsia" w:ascii="仿宋_GB2312" w:hAnsi="Calibri" w:eastAsia="仿宋_GB2312"/>
          <w:sz w:val="32"/>
          <w:szCs w:val="32"/>
        </w:rPr>
        <w:t>授权代表：联系电话</w:t>
      </w:r>
      <w:r>
        <w:rPr>
          <w:rFonts w:hint="eastAsia" w:ascii="仿宋_GB2312" w:hAnsi="Calibri" w:eastAsia="仿宋_GB2312"/>
          <w:sz w:val="32"/>
          <w:szCs w:val="32"/>
          <w:u w:val="dotted"/>
        </w:rPr>
        <w:t xml:space="preserve">：                  </w:t>
      </w:r>
    </w:p>
    <w:p>
      <w:pPr>
        <w:rPr>
          <w:rFonts w:ascii="仿宋_GB2312" w:hAnsi="Calibri" w:eastAsia="仿宋_GB2312"/>
          <w:sz w:val="32"/>
          <w:szCs w:val="32"/>
          <w:u w:val="dotted"/>
        </w:rPr>
      </w:pPr>
      <w:r>
        <w:rPr>
          <w:rFonts w:hint="eastAsia" w:ascii="仿宋_GB2312" w:hAnsi="Calibri" w:eastAsia="仿宋_GB2312"/>
          <w:sz w:val="32"/>
          <w:szCs w:val="32"/>
        </w:rPr>
        <w:t>地     址：邮编：</w:t>
      </w:r>
    </w:p>
    <w:p>
      <w:pPr>
        <w:rPr>
          <w:rFonts w:ascii="仿宋_GB2312" w:hAnsi="Calibri" w:eastAsia="仿宋_GB2312"/>
          <w:sz w:val="32"/>
          <w:szCs w:val="32"/>
          <w:u w:val="single"/>
        </w:rPr>
      </w:pPr>
      <w:r>
        <w:rPr>
          <w:rFonts w:hint="eastAsia" w:ascii="仿宋_GB2312" w:hAnsi="Calibri" w:eastAsia="仿宋_GB2312"/>
          <w:sz w:val="32"/>
          <w:szCs w:val="32"/>
        </w:rPr>
        <w:t>被投诉人1：</w:t>
      </w:r>
    </w:p>
    <w:p>
      <w:pPr>
        <w:rPr>
          <w:rFonts w:ascii="仿宋_GB2312" w:hAnsi="Calibri" w:eastAsia="仿宋_GB2312"/>
          <w:sz w:val="32"/>
          <w:szCs w:val="32"/>
          <w:u w:val="single"/>
        </w:rPr>
      </w:pPr>
      <w:r>
        <w:rPr>
          <w:rFonts w:hint="eastAsia" w:ascii="仿宋_GB2312" w:hAnsi="Calibri" w:eastAsia="仿宋_GB2312"/>
          <w:sz w:val="32"/>
          <w:szCs w:val="32"/>
        </w:rPr>
        <w:t>地     址：邮编：</w:t>
      </w:r>
    </w:p>
    <w:p>
      <w:pPr>
        <w:rPr>
          <w:rFonts w:ascii="仿宋_GB2312" w:hAnsi="Calibri" w:eastAsia="仿宋_GB2312"/>
          <w:sz w:val="32"/>
          <w:szCs w:val="32"/>
          <w:u w:val="single"/>
        </w:rPr>
      </w:pPr>
      <w:r>
        <w:rPr>
          <w:rFonts w:hint="eastAsia" w:ascii="仿宋_GB2312" w:hAnsi="Calibri" w:eastAsia="仿宋_GB2312"/>
          <w:sz w:val="32"/>
          <w:szCs w:val="32"/>
        </w:rPr>
        <w:t>联系人：联系电话：</w:t>
      </w:r>
    </w:p>
    <w:p>
      <w:pPr>
        <w:rPr>
          <w:rFonts w:ascii="仿宋_GB2312" w:hAnsi="Calibri" w:eastAsia="仿宋_GB2312"/>
          <w:sz w:val="32"/>
          <w:szCs w:val="32"/>
        </w:rPr>
      </w:pPr>
      <w:r>
        <w:rPr>
          <w:rFonts w:hint="eastAsia" w:ascii="仿宋_GB2312" w:hAnsi="Calibri" w:eastAsia="仿宋_GB2312"/>
          <w:sz w:val="32"/>
          <w:szCs w:val="32"/>
        </w:rPr>
        <w:t>被投诉人2</w:t>
      </w:r>
    </w:p>
    <w:p>
      <w:pPr>
        <w:rPr>
          <w:rFonts w:ascii="仿宋_GB2312" w:hAnsi="Calibri" w:eastAsia="仿宋_GB2312"/>
          <w:sz w:val="32"/>
          <w:szCs w:val="32"/>
          <w:u w:val="dotted"/>
        </w:rPr>
      </w:pPr>
      <w:r>
        <w:rPr>
          <w:rFonts w:hint="eastAsia" w:ascii="仿宋_GB2312" w:hAnsi="Calibri" w:eastAsia="仿宋_GB2312"/>
          <w:sz w:val="32"/>
          <w:szCs w:val="32"/>
        </w:rPr>
        <w:t>……</w:t>
      </w:r>
    </w:p>
    <w:p>
      <w:pPr>
        <w:rPr>
          <w:rFonts w:ascii="仿宋_GB2312" w:hAnsi="Calibri" w:eastAsia="仿宋_GB2312"/>
          <w:sz w:val="32"/>
          <w:szCs w:val="32"/>
          <w:u w:val="single"/>
        </w:rPr>
      </w:pPr>
      <w:r>
        <w:rPr>
          <w:rFonts w:hint="eastAsia" w:ascii="仿宋_GB2312" w:hAnsi="Calibri" w:eastAsia="仿宋_GB2312"/>
          <w:sz w:val="32"/>
          <w:szCs w:val="32"/>
        </w:rPr>
        <w:t>相关供应商：</w:t>
      </w:r>
    </w:p>
    <w:p>
      <w:pPr>
        <w:rPr>
          <w:rFonts w:ascii="仿宋_GB2312" w:hAnsi="Calibri" w:eastAsia="仿宋_GB2312"/>
          <w:sz w:val="32"/>
          <w:szCs w:val="32"/>
          <w:u w:val="single"/>
        </w:rPr>
      </w:pPr>
      <w:r>
        <w:rPr>
          <w:rFonts w:hint="eastAsia" w:ascii="仿宋_GB2312" w:hAnsi="Calibri" w:eastAsia="仿宋_GB2312"/>
          <w:sz w:val="32"/>
          <w:szCs w:val="32"/>
        </w:rPr>
        <w:t>地     址：邮编：</w:t>
      </w:r>
    </w:p>
    <w:p>
      <w:pPr>
        <w:rPr>
          <w:rFonts w:ascii="仿宋_GB2312" w:hAnsi="Calibri" w:eastAsia="仿宋_GB2312"/>
          <w:sz w:val="32"/>
          <w:szCs w:val="32"/>
          <w:u w:val="single"/>
        </w:rPr>
      </w:pPr>
      <w:r>
        <w:rPr>
          <w:rFonts w:hint="eastAsia" w:ascii="仿宋_GB2312" w:hAnsi="Calibri" w:eastAsia="仿宋_GB2312"/>
          <w:sz w:val="32"/>
          <w:szCs w:val="32"/>
        </w:rPr>
        <w:t>联系人：联系电话：</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hAnsi="Calibri" w:eastAsia="仿宋_GB2312"/>
          <w:sz w:val="32"/>
          <w:szCs w:val="32"/>
          <w:u w:val="dotted"/>
        </w:rPr>
      </w:pPr>
      <w:r>
        <w:rPr>
          <w:rFonts w:hint="eastAsia" w:ascii="仿宋_GB2312" w:hAnsi="Calibri" w:eastAsia="仿宋_GB2312"/>
          <w:sz w:val="32"/>
          <w:szCs w:val="32"/>
        </w:rPr>
        <w:t>采购项目名称：</w:t>
      </w:r>
    </w:p>
    <w:p>
      <w:pPr>
        <w:rPr>
          <w:rFonts w:ascii="仿宋_GB2312" w:hAnsi="Calibri" w:eastAsia="仿宋_GB2312"/>
          <w:sz w:val="32"/>
          <w:szCs w:val="32"/>
          <w:u w:val="single"/>
        </w:rPr>
      </w:pPr>
      <w:r>
        <w:rPr>
          <w:rFonts w:hint="eastAsia" w:ascii="仿宋_GB2312" w:hAnsi="Calibri" w:eastAsia="仿宋_GB2312"/>
          <w:sz w:val="32"/>
          <w:szCs w:val="32"/>
        </w:rPr>
        <w:t>采购项目编号：包号：</w:t>
      </w:r>
    </w:p>
    <w:p>
      <w:pPr>
        <w:rPr>
          <w:rFonts w:ascii="仿宋_GB2312" w:hAnsi="Calibri" w:eastAsia="仿宋_GB2312"/>
          <w:sz w:val="32"/>
          <w:szCs w:val="32"/>
        </w:rPr>
      </w:pPr>
      <w:r>
        <w:rPr>
          <w:rFonts w:hint="eastAsia" w:ascii="仿宋_GB2312" w:hAnsi="Calibri" w:eastAsia="仿宋_GB2312"/>
          <w:sz w:val="32"/>
          <w:szCs w:val="32"/>
        </w:rPr>
        <w:t>采购人名称：</w:t>
      </w:r>
    </w:p>
    <w:p>
      <w:pPr>
        <w:rPr>
          <w:rFonts w:ascii="仿宋_GB2312" w:hAnsi="Calibri" w:eastAsia="仿宋_GB2312"/>
          <w:sz w:val="32"/>
          <w:szCs w:val="32"/>
          <w:u w:val="single"/>
        </w:rPr>
      </w:pPr>
      <w:r>
        <w:rPr>
          <w:rFonts w:hint="eastAsia" w:ascii="仿宋_GB2312" w:hAnsi="Calibri" w:eastAsia="仿宋_GB2312"/>
          <w:sz w:val="32"/>
          <w:szCs w:val="32"/>
        </w:rPr>
        <w:t>代理机构名称：</w:t>
      </w:r>
    </w:p>
    <w:p>
      <w:pPr>
        <w:rPr>
          <w:rFonts w:ascii="仿宋_GB2312" w:hAnsi="Calibri" w:eastAsia="仿宋_GB2312"/>
          <w:sz w:val="32"/>
          <w:szCs w:val="32"/>
          <w:u w:val="dotted"/>
        </w:rPr>
      </w:pPr>
      <w:r>
        <w:rPr>
          <w:rFonts w:hint="eastAsia" w:ascii="仿宋_GB2312" w:hAnsi="Calibri" w:eastAsia="仿宋_GB2312"/>
          <w:sz w:val="32"/>
          <w:szCs w:val="32"/>
        </w:rPr>
        <w:t>采购文件公告: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p>
    <w:p>
      <w:pPr>
        <w:rPr>
          <w:rFonts w:ascii="仿宋_GB2312" w:hAnsi="Calibri" w:eastAsia="仿宋_GB2312"/>
          <w:sz w:val="32"/>
          <w:szCs w:val="32"/>
          <w:u w:val="single"/>
        </w:rPr>
      </w:pPr>
      <w:r>
        <w:rPr>
          <w:rFonts w:hint="eastAsia" w:ascii="仿宋_GB2312" w:hAnsi="Calibri" w:eastAsia="仿宋_GB2312"/>
          <w:sz w:val="32"/>
          <w:szCs w:val="32"/>
        </w:rPr>
        <w:t>采购结果公告:</w:t>
      </w:r>
      <w:r>
        <w:rPr>
          <w:rFonts w:hint="eastAsia" w:ascii="仿宋_GB2312" w:hAnsi="Calibri" w:eastAsia="仿宋_GB2312"/>
          <w:sz w:val="32"/>
          <w:szCs w:val="32"/>
          <w:u w:val="dotted"/>
        </w:rPr>
        <w:t xml:space="preserve">是/否 </w:t>
      </w:r>
      <w:r>
        <w:rPr>
          <w:rFonts w:hint="eastAsia" w:ascii="仿宋_GB2312" w:hAnsi="Calibri" w:eastAsia="仿宋_GB2312"/>
          <w:sz w:val="32"/>
          <w:szCs w:val="32"/>
        </w:rPr>
        <w:t>公告期限：</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hAnsi="Calibri" w:eastAsia="仿宋_GB2312"/>
          <w:sz w:val="32"/>
          <w:szCs w:val="32"/>
          <w:u w:val="dotted"/>
        </w:rPr>
      </w:pPr>
      <w:r>
        <w:rPr>
          <w:rFonts w:hint="eastAsia" w:ascii="仿宋_GB2312" w:hAnsi="Calibri" w:eastAsia="仿宋_GB2312"/>
          <w:sz w:val="32"/>
          <w:szCs w:val="32"/>
        </w:rPr>
        <w:t>投诉人于年月日,向提出质疑，质疑事项为：</w:t>
      </w:r>
    </w:p>
    <w:p>
      <w:pPr>
        <w:rPr>
          <w:rFonts w:ascii="仿宋_GB2312" w:hAnsi="Calibri" w:eastAsia="仿宋_GB2312"/>
          <w:sz w:val="32"/>
          <w:szCs w:val="32"/>
          <w:u w:val="dotted"/>
        </w:rPr>
      </w:pPr>
    </w:p>
    <w:p>
      <w:pPr>
        <w:ind w:firstLine="480" w:firstLineChars="150"/>
        <w:rPr>
          <w:rFonts w:ascii="仿宋_GB2312" w:hAnsi="Calibri" w:eastAsia="仿宋_GB2312"/>
          <w:sz w:val="32"/>
          <w:szCs w:val="32"/>
        </w:rPr>
      </w:pPr>
      <w:r>
        <w:rPr>
          <w:rFonts w:hint="eastAsia" w:ascii="仿宋_GB2312" w:hAnsi="Calibri" w:eastAsia="仿宋_GB2312"/>
          <w:sz w:val="32"/>
          <w:szCs w:val="32"/>
          <w:u w:val="dotted"/>
        </w:rPr>
        <w:t>采购人/代理机构</w:t>
      </w:r>
      <w:r>
        <w:rPr>
          <w:rFonts w:hint="eastAsia" w:ascii="仿宋_GB2312" w:hAnsi="Calibri" w:eastAsia="仿宋_GB2312"/>
          <w:sz w:val="32"/>
          <w:szCs w:val="32"/>
        </w:rPr>
        <w:t>于年月日,就质疑事项作出了答复/没有在法定期限内作出答复。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hAnsi="Calibri" w:eastAsia="仿宋_GB2312"/>
          <w:sz w:val="32"/>
          <w:szCs w:val="32"/>
          <w:u w:val="single"/>
        </w:rPr>
      </w:pPr>
      <w:r>
        <w:rPr>
          <w:rFonts w:hint="eastAsia" w:ascii="仿宋_GB2312" w:hAnsi="Calibri" w:eastAsia="仿宋_GB2312"/>
          <w:sz w:val="32"/>
          <w:szCs w:val="32"/>
        </w:rPr>
        <w:t>投诉事项 1：</w:t>
      </w:r>
    </w:p>
    <w:p>
      <w:pPr>
        <w:rPr>
          <w:rFonts w:ascii="仿宋_GB2312" w:hAnsi="Calibri" w:eastAsia="仿宋_GB2312"/>
          <w:sz w:val="32"/>
          <w:szCs w:val="32"/>
        </w:rPr>
      </w:pPr>
      <w:r>
        <w:rPr>
          <w:rFonts w:hint="eastAsia" w:ascii="仿宋_GB2312" w:hAnsi="Calibri" w:eastAsia="仿宋_GB2312"/>
          <w:sz w:val="32"/>
          <w:szCs w:val="32"/>
        </w:rPr>
        <w:t>事实依据：</w:t>
      </w:r>
    </w:p>
    <w:p>
      <w:pPr>
        <w:rPr>
          <w:rFonts w:ascii="仿宋_GB2312" w:hAnsi="Calibri" w:eastAsia="仿宋_GB2312"/>
          <w:sz w:val="32"/>
          <w:szCs w:val="32"/>
          <w:u w:val="dotted"/>
        </w:rPr>
      </w:pPr>
    </w:p>
    <w:p>
      <w:pPr>
        <w:rPr>
          <w:rFonts w:ascii="仿宋_GB2312" w:hAnsi="Calibri" w:eastAsia="仿宋_GB2312"/>
          <w:sz w:val="32"/>
          <w:szCs w:val="32"/>
          <w:u w:val="single"/>
        </w:rPr>
      </w:pPr>
      <w:r>
        <w:rPr>
          <w:rFonts w:hint="eastAsia" w:ascii="仿宋_GB2312" w:hAnsi="Calibri" w:eastAsia="仿宋_GB2312"/>
          <w:sz w:val="32"/>
          <w:szCs w:val="32"/>
        </w:rPr>
        <w:t>法律依据：</w:t>
      </w:r>
    </w:p>
    <w:p>
      <w:pPr>
        <w:rPr>
          <w:rFonts w:ascii="仿宋_GB2312" w:hAnsi="Calibri" w:eastAsia="仿宋_GB2312"/>
          <w:sz w:val="32"/>
          <w:szCs w:val="32"/>
          <w:u w:val="dotted"/>
        </w:rPr>
      </w:pPr>
    </w:p>
    <w:p>
      <w:pPr>
        <w:rPr>
          <w:rFonts w:ascii="仿宋_GB2312" w:hAnsi="Calibri" w:eastAsia="仿宋_GB2312"/>
          <w:sz w:val="32"/>
          <w:szCs w:val="32"/>
        </w:rPr>
      </w:pPr>
      <w:r>
        <w:rPr>
          <w:rFonts w:hint="eastAsia" w:ascii="仿宋_GB2312" w:hAnsi="Calibri" w:eastAsia="仿宋_GB2312"/>
          <w:sz w:val="32"/>
          <w:szCs w:val="32"/>
        </w:rPr>
        <w:t>投诉事项2</w:t>
      </w:r>
    </w:p>
    <w:p>
      <w:pPr>
        <w:rPr>
          <w:rFonts w:ascii="仿宋_GB2312" w:hAnsi="Calibri" w:eastAsia="仿宋_GB2312"/>
          <w:sz w:val="32"/>
          <w:szCs w:val="32"/>
          <w:u w:val="dotted"/>
        </w:rPr>
      </w:pPr>
      <w:r>
        <w:rPr>
          <w:rFonts w:hint="eastAsia" w:ascii="仿宋_GB2312" w:hAnsi="Calibri"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hAnsi="Calibri" w:eastAsia="仿宋_GB2312"/>
          <w:sz w:val="32"/>
          <w:szCs w:val="32"/>
        </w:rPr>
      </w:pPr>
      <w:r>
        <w:rPr>
          <w:rFonts w:hint="eastAsia" w:ascii="仿宋_GB2312" w:hAnsi="Calibri" w:eastAsia="仿宋_GB2312"/>
          <w:sz w:val="32"/>
          <w:szCs w:val="32"/>
        </w:rPr>
        <w:t>请求：</w:t>
      </w:r>
    </w:p>
    <w:p>
      <w:pPr>
        <w:rPr>
          <w:rFonts w:ascii="仿宋_GB2312" w:hAnsi="Calibri" w:eastAsia="仿宋_GB2312"/>
          <w:sz w:val="32"/>
          <w:szCs w:val="32"/>
          <w:u w:val="single"/>
        </w:rPr>
      </w:pPr>
    </w:p>
    <w:p>
      <w:pPr>
        <w:rPr>
          <w:rFonts w:ascii="仿宋_GB2312" w:hAnsi="Calibri" w:eastAsia="仿宋_GB2312"/>
          <w:sz w:val="32"/>
          <w:szCs w:val="32"/>
        </w:rPr>
      </w:pPr>
      <w:r>
        <w:rPr>
          <w:rFonts w:hint="eastAsia" w:ascii="仿宋_GB2312" w:hAnsi="Calibri" w:eastAsia="仿宋_GB2312"/>
          <w:sz w:val="32"/>
          <w:szCs w:val="32"/>
        </w:rPr>
        <w:t xml:space="preserve">签字(签章)：                   公章：                      </w:t>
      </w:r>
    </w:p>
    <w:p>
      <w:pPr>
        <w:rPr>
          <w:rFonts w:ascii="仿宋_GB2312" w:hAnsi="Calibri" w:eastAsia="仿宋_GB2312"/>
          <w:sz w:val="32"/>
          <w:szCs w:val="32"/>
        </w:rPr>
      </w:pPr>
      <w:r>
        <w:rPr>
          <w:rFonts w:hint="eastAsia" w:ascii="仿宋_GB2312" w:hAnsi="Calibri"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kern w:val="0"/>
          <w:sz w:val="32"/>
          <w:szCs w:val="32"/>
        </w:rPr>
      </w:pPr>
      <w:r>
        <w:rPr>
          <w:rFonts w:hint="eastAsia" w:ascii="仿宋_GB2312" w:hAnsi="Calibri"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kern w:val="0"/>
          <w:sz w:val="32"/>
          <w:szCs w:val="32"/>
        </w:rPr>
      </w:pPr>
      <w:r>
        <w:rPr>
          <w:rFonts w:hint="eastAsia" w:ascii="仿宋_GB2312" w:hAnsi="Calibri"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3.投诉人若对项目的某一分包进行投诉，投诉书应列明具体分包号。</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4.投诉书应简要列明质疑事项，质疑函、质疑答复等作为附件材料提供。</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5.投诉书的投诉事项应具体、明确，并有必要的事实依据和法律依据。</w:t>
      </w: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6.投诉书的投诉请求应与投诉事项相关。</w:t>
      </w:r>
    </w:p>
    <w:p>
      <w:pPr>
        <w:rPr>
          <w:rFonts w:ascii="仿宋_GB2312" w:hAnsi="Calibri" w:eastAsia="仿宋_GB2312"/>
          <w:sz w:val="32"/>
          <w:szCs w:val="32"/>
        </w:rPr>
      </w:pPr>
      <w:r>
        <w:rPr>
          <w:rFonts w:hint="eastAsia" w:ascii="仿宋_GB2312" w:hAnsi="Calibri" w:eastAsia="仿宋_GB2312"/>
          <w:sz w:val="32"/>
          <w:szCs w:val="32"/>
        </w:rPr>
        <w:t>7.投诉人为自然人的，投诉书应当由本人签字；投诉人为法人或者其他组织的，投诉书应当由法定代表人、主要负责人，或者其授权代表签字或者盖章，并加盖公章。</w:t>
      </w:r>
    </w:p>
    <w:p>
      <w:pPr>
        <w:rPr>
          <w:rFonts w:hAnsi="宋体"/>
          <w:bCs/>
          <w:sz w:val="24"/>
        </w:rPr>
      </w:pPr>
      <w:r>
        <w:rPr>
          <w:rFonts w:hAnsi="宋体"/>
          <w:bCs/>
          <w:sz w:val="24"/>
        </w:rPr>
        <w:br w:type="page"/>
      </w:r>
    </w:p>
    <w:p>
      <w:pPr>
        <w:tabs>
          <w:tab w:val="left" w:pos="606"/>
        </w:tabs>
        <w:rPr>
          <w:color w:val="FF0000"/>
        </w:rPr>
      </w:pPr>
      <w:r>
        <w:rPr>
          <w:rFonts w:hint="eastAsia" w:ascii="宋体" w:hAnsi="宋体" w:cs="宋体"/>
          <w:b/>
          <w:color w:val="FF0000"/>
          <w:kern w:val="0"/>
          <w:sz w:val="36"/>
          <w:szCs w:val="36"/>
        </w:rPr>
        <w:t>附件</w:t>
      </w:r>
    </w:p>
    <w:p>
      <w:pPr>
        <w:tabs>
          <w:tab w:val="left" w:pos="606"/>
        </w:tabs>
        <w:rPr>
          <w:color w:val="FF0000"/>
        </w:rPr>
      </w:pPr>
    </w:p>
    <w:p>
      <w:pPr>
        <w:widowControl/>
        <w:shd w:val="clear" w:color="auto" w:fill="FFFFFF"/>
        <w:spacing w:line="360" w:lineRule="auto"/>
        <w:ind w:firstLine="480"/>
        <w:jc w:val="center"/>
        <w:rPr>
          <w:rFonts w:ascii="宋体" w:hAnsi="宋体" w:cs="宋体"/>
          <w:b/>
          <w:color w:val="FF0000"/>
          <w:kern w:val="0"/>
          <w:sz w:val="36"/>
          <w:szCs w:val="36"/>
        </w:rPr>
      </w:pPr>
      <w:r>
        <w:rPr>
          <w:rFonts w:hint="eastAsia" w:ascii="宋体" w:hAnsi="宋体" w:cs="宋体"/>
          <w:b/>
          <w:color w:val="FF0000"/>
          <w:kern w:val="0"/>
          <w:sz w:val="36"/>
          <w:szCs w:val="36"/>
        </w:rPr>
        <w:t>成交通知书</w:t>
      </w:r>
    </w:p>
    <w:p>
      <w:pPr>
        <w:tabs>
          <w:tab w:val="left" w:pos="606"/>
        </w:tabs>
        <w:rPr>
          <w:color w:val="FF0000"/>
          <w:sz w:val="24"/>
        </w:rPr>
      </w:pPr>
    </w:p>
    <w:p>
      <w:pPr>
        <w:tabs>
          <w:tab w:val="left" w:pos="606"/>
        </w:tabs>
        <w:rPr>
          <w:color w:val="FF0000"/>
          <w:sz w:val="28"/>
          <w:szCs w:val="28"/>
        </w:rPr>
      </w:pPr>
      <w:r>
        <w:rPr>
          <w:rFonts w:hint="eastAsia"/>
          <w:color w:val="FF0000"/>
          <w:sz w:val="28"/>
          <w:szCs w:val="28"/>
        </w:rPr>
        <w:t>公司：</w:t>
      </w:r>
    </w:p>
    <w:p>
      <w:pPr>
        <w:tabs>
          <w:tab w:val="left" w:pos="606"/>
        </w:tabs>
        <w:ind w:firstLine="420"/>
        <w:rPr>
          <w:color w:val="FF0000"/>
          <w:sz w:val="28"/>
          <w:szCs w:val="28"/>
        </w:rPr>
      </w:pPr>
      <w:r>
        <w:rPr>
          <w:rFonts w:hint="eastAsia"/>
          <w:color w:val="FF0000"/>
          <w:sz w:val="28"/>
          <w:szCs w:val="28"/>
          <w:u w:val="single"/>
        </w:rPr>
        <w:t>（代理机构名称）</w:t>
      </w:r>
      <w:r>
        <w:rPr>
          <w:rFonts w:hint="eastAsia"/>
          <w:color w:val="FF0000"/>
          <w:sz w:val="28"/>
          <w:szCs w:val="28"/>
        </w:rPr>
        <w:t>受</w:t>
      </w:r>
      <w:r>
        <w:rPr>
          <w:rFonts w:hint="eastAsia"/>
          <w:color w:val="FF0000"/>
          <w:sz w:val="28"/>
          <w:szCs w:val="28"/>
          <w:u w:val="single"/>
        </w:rPr>
        <w:t>（采购单位名称）</w:t>
      </w:r>
      <w:r>
        <w:rPr>
          <w:rFonts w:hint="eastAsia"/>
          <w:color w:val="FF0000"/>
          <w:sz w:val="28"/>
          <w:szCs w:val="28"/>
        </w:rPr>
        <w:t>的委托，就</w:t>
      </w:r>
      <w:r>
        <w:rPr>
          <w:rFonts w:hint="eastAsia"/>
          <w:color w:val="FF0000"/>
          <w:sz w:val="28"/>
          <w:szCs w:val="28"/>
          <w:u w:val="single"/>
        </w:rPr>
        <w:t xml:space="preserve">              项目</w:t>
      </w:r>
      <w:r>
        <w:rPr>
          <w:rFonts w:hint="eastAsia"/>
          <w:color w:val="FF0000"/>
          <w:sz w:val="28"/>
          <w:szCs w:val="28"/>
        </w:rPr>
        <w:t>（项目编号：；审批编号：）采用方式进行采购。经采购人确认，贵单位为项目的成交单位，具体内容如下：</w:t>
      </w:r>
    </w:p>
    <w:p>
      <w:pPr>
        <w:tabs>
          <w:tab w:val="left" w:pos="606"/>
        </w:tabs>
        <w:ind w:firstLine="420"/>
        <w:rPr>
          <w:color w:val="FF0000"/>
          <w:sz w:val="28"/>
          <w:szCs w:val="28"/>
        </w:rPr>
      </w:pPr>
    </w:p>
    <w:p>
      <w:pPr>
        <w:tabs>
          <w:tab w:val="left" w:pos="606"/>
        </w:tabs>
        <w:ind w:firstLine="420"/>
        <w:rPr>
          <w:color w:val="FF0000"/>
          <w:sz w:val="28"/>
          <w:szCs w:val="28"/>
        </w:rPr>
      </w:pPr>
    </w:p>
    <w:p>
      <w:pPr>
        <w:tabs>
          <w:tab w:val="left" w:pos="606"/>
        </w:tabs>
        <w:ind w:firstLine="420"/>
        <w:rPr>
          <w:color w:val="FF0000"/>
          <w:sz w:val="28"/>
          <w:szCs w:val="28"/>
        </w:rPr>
      </w:pPr>
      <w:r>
        <w:rPr>
          <w:rFonts w:hint="eastAsia"/>
          <w:color w:val="FF0000"/>
          <w:sz w:val="28"/>
          <w:szCs w:val="28"/>
        </w:rPr>
        <w:t>成交单位：公司</w:t>
      </w:r>
    </w:p>
    <w:p>
      <w:pPr>
        <w:tabs>
          <w:tab w:val="left" w:pos="606"/>
        </w:tabs>
        <w:ind w:firstLine="420"/>
        <w:rPr>
          <w:color w:val="FF0000"/>
          <w:sz w:val="28"/>
          <w:szCs w:val="28"/>
        </w:rPr>
      </w:pPr>
      <w:r>
        <w:rPr>
          <w:rFonts w:hint="eastAsia"/>
          <w:color w:val="FF0000"/>
          <w:sz w:val="28"/>
          <w:szCs w:val="28"/>
        </w:rPr>
        <w:t>企业规模：□中型 □小型 □微型 □其他</w:t>
      </w:r>
    </w:p>
    <w:p>
      <w:pPr>
        <w:tabs>
          <w:tab w:val="left" w:pos="606"/>
        </w:tabs>
        <w:ind w:firstLine="420"/>
        <w:rPr>
          <w:color w:val="FF0000"/>
          <w:sz w:val="28"/>
          <w:szCs w:val="28"/>
        </w:rPr>
      </w:pPr>
      <w:r>
        <w:rPr>
          <w:rFonts w:hint="eastAsia"/>
          <w:color w:val="FF0000"/>
          <w:sz w:val="28"/>
          <w:szCs w:val="28"/>
        </w:rPr>
        <w:t>成交金额：（￥  元）</w:t>
      </w:r>
    </w:p>
    <w:p>
      <w:pPr>
        <w:tabs>
          <w:tab w:val="left" w:pos="606"/>
        </w:tabs>
        <w:ind w:firstLine="420"/>
        <w:rPr>
          <w:color w:val="FF0000"/>
          <w:sz w:val="28"/>
          <w:szCs w:val="28"/>
        </w:rPr>
      </w:pPr>
      <w:r>
        <w:rPr>
          <w:rFonts w:hint="eastAsia"/>
          <w:color w:val="FF0000"/>
          <w:sz w:val="28"/>
          <w:szCs w:val="28"/>
        </w:rPr>
        <w:t>交货时间：自合同签定之日起天内</w:t>
      </w:r>
    </w:p>
    <w:p>
      <w:pPr>
        <w:tabs>
          <w:tab w:val="left" w:pos="606"/>
        </w:tabs>
        <w:ind w:firstLine="420"/>
        <w:rPr>
          <w:color w:val="FF0000"/>
          <w:sz w:val="28"/>
          <w:szCs w:val="28"/>
        </w:rPr>
      </w:pPr>
    </w:p>
    <w:p>
      <w:pPr>
        <w:tabs>
          <w:tab w:val="left" w:pos="606"/>
        </w:tabs>
        <w:ind w:firstLine="420"/>
        <w:rPr>
          <w:color w:val="FF0000"/>
          <w:sz w:val="28"/>
          <w:szCs w:val="28"/>
        </w:rPr>
      </w:pPr>
      <w:r>
        <w:rPr>
          <w:rFonts w:hint="eastAsia"/>
          <w:color w:val="FF0000"/>
          <w:sz w:val="28"/>
          <w:szCs w:val="28"/>
        </w:rPr>
        <w:t>请贵单位接此通知书后日内尽快与采购人签订合同，并按采购文件要求和竞标文件的承诺履行合同。</w:t>
      </w:r>
    </w:p>
    <w:p>
      <w:pPr>
        <w:tabs>
          <w:tab w:val="left" w:pos="606"/>
        </w:tabs>
        <w:ind w:firstLine="420"/>
        <w:rPr>
          <w:color w:val="FF0000"/>
          <w:sz w:val="28"/>
          <w:szCs w:val="28"/>
        </w:rPr>
      </w:pPr>
      <w:r>
        <w:rPr>
          <w:rFonts w:hint="eastAsia"/>
          <w:color w:val="FF0000"/>
          <w:sz w:val="28"/>
          <w:szCs w:val="28"/>
        </w:rPr>
        <w:t>特此通知！</w:t>
      </w:r>
    </w:p>
    <w:p>
      <w:pPr>
        <w:tabs>
          <w:tab w:val="left" w:pos="606"/>
        </w:tabs>
        <w:rPr>
          <w:color w:val="FF0000"/>
          <w:sz w:val="28"/>
          <w:szCs w:val="28"/>
        </w:rPr>
      </w:pPr>
    </w:p>
    <w:p>
      <w:pPr>
        <w:tabs>
          <w:tab w:val="left" w:pos="606"/>
        </w:tabs>
        <w:ind w:firstLine="4480" w:firstLineChars="1600"/>
        <w:rPr>
          <w:color w:val="FF0000"/>
          <w:sz w:val="28"/>
          <w:szCs w:val="28"/>
        </w:rPr>
      </w:pPr>
      <w:r>
        <w:rPr>
          <w:rFonts w:hint="eastAsia"/>
          <w:color w:val="FF0000"/>
          <w:sz w:val="28"/>
          <w:szCs w:val="28"/>
        </w:rPr>
        <w:t>代理机构（盖章）：</w:t>
      </w:r>
    </w:p>
    <w:p>
      <w:pPr>
        <w:tabs>
          <w:tab w:val="left" w:pos="606"/>
        </w:tabs>
        <w:ind w:firstLine="4480" w:firstLineChars="1600"/>
        <w:rPr>
          <w:rFonts w:hAnsi="宋体"/>
          <w:bCs/>
          <w:sz w:val="24"/>
        </w:rPr>
      </w:pPr>
      <w:r>
        <w:rPr>
          <w:rFonts w:hint="eastAsia"/>
          <w:color w:val="FF0000"/>
          <w:sz w:val="28"/>
          <w:szCs w:val="28"/>
        </w:rPr>
        <w:t>日期：  年  月  日</w:t>
      </w:r>
    </w:p>
    <w:sectPr>
      <w:headerReference r:id="rId3" w:type="default"/>
      <w:footerReference r:id="rId4" w:type="default"/>
      <w:footerReference r:id="rId5" w:type="even"/>
      <w:pgSz w:w="11906" w:h="16838"/>
      <w:pgMar w:top="1440" w:right="1230" w:bottom="1440" w:left="144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2010609030101010101"/>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separate"/>
    </w:r>
    <w:r>
      <w:rPr>
        <w:rStyle w:val="47"/>
      </w:rPr>
      <w:t>31</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p>
    <w:pPr>
      <w:pStyle w:val="30"/>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chineseCountingThousand"/>
      <w:pStyle w:val="13"/>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E96932C"/>
    <w:multiLevelType w:val="singleLevel"/>
    <w:tmpl w:val="1E96932C"/>
    <w:lvl w:ilvl="0" w:tentative="0">
      <w:start w:val="3"/>
      <w:numFmt w:val="chineseCounting"/>
      <w:suff w:val="nothing"/>
      <w:lvlText w:val="%1、"/>
      <w:lvlJc w:val="left"/>
      <w:rPr>
        <w:rFonts w:hint="eastAsia"/>
      </w:rPr>
    </w:lvl>
  </w:abstractNum>
  <w:abstractNum w:abstractNumId="2">
    <w:nsid w:val="21315C89"/>
    <w:multiLevelType w:val="singleLevel"/>
    <w:tmpl w:val="21315C89"/>
    <w:lvl w:ilvl="0" w:tentative="0">
      <w:start w:val="29"/>
      <w:numFmt w:val="decimal"/>
      <w:suff w:val="space"/>
      <w:lvlText w:val="%1."/>
      <w:lvlJc w:val="left"/>
    </w:lvl>
  </w:abstractNum>
  <w:abstractNum w:abstractNumId="3">
    <w:nsid w:val="763060DB"/>
    <w:multiLevelType w:val="multilevel"/>
    <w:tmpl w:val="763060DB"/>
    <w:lvl w:ilvl="0" w:tentative="0">
      <w:start w:val="1"/>
      <w:numFmt w:val="japaneseCounting"/>
      <w:pStyle w:val="20"/>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5"/>
      <w:lvlText w:val="%4."/>
      <w:lvlJc w:val="left"/>
      <w:pPr>
        <w:tabs>
          <w:tab w:val="left" w:pos="1860"/>
        </w:tabs>
        <w:ind w:left="1860" w:hanging="420"/>
      </w:pPr>
    </w:lvl>
    <w:lvl w:ilvl="4" w:tentative="0">
      <w:start w:val="1"/>
      <w:numFmt w:val="lowerLetter"/>
      <w:pStyle w:val="6"/>
      <w:lvlText w:val="%5)"/>
      <w:lvlJc w:val="left"/>
      <w:pPr>
        <w:tabs>
          <w:tab w:val="left" w:pos="2280"/>
        </w:tabs>
        <w:ind w:left="2280" w:hanging="420"/>
      </w:pPr>
    </w:lvl>
    <w:lvl w:ilvl="5" w:tentative="0">
      <w:start w:val="1"/>
      <w:numFmt w:val="lowerRoman"/>
      <w:pStyle w:val="8"/>
      <w:lvlText w:val="%6."/>
      <w:lvlJc w:val="right"/>
      <w:pPr>
        <w:tabs>
          <w:tab w:val="left" w:pos="2700"/>
        </w:tabs>
        <w:ind w:left="2700" w:hanging="420"/>
      </w:pPr>
    </w:lvl>
    <w:lvl w:ilvl="6" w:tentative="0">
      <w:start w:val="1"/>
      <w:numFmt w:val="decimal"/>
      <w:pStyle w:val="9"/>
      <w:lvlText w:val="%7."/>
      <w:lvlJc w:val="left"/>
      <w:pPr>
        <w:tabs>
          <w:tab w:val="left" w:pos="3120"/>
        </w:tabs>
        <w:ind w:left="3120" w:hanging="420"/>
      </w:pPr>
    </w:lvl>
    <w:lvl w:ilvl="7" w:tentative="0">
      <w:start w:val="1"/>
      <w:numFmt w:val="lowerLetter"/>
      <w:pStyle w:val="10"/>
      <w:lvlText w:val="%8)"/>
      <w:lvlJc w:val="left"/>
      <w:pPr>
        <w:tabs>
          <w:tab w:val="left" w:pos="3540"/>
        </w:tabs>
        <w:ind w:left="3540" w:hanging="420"/>
      </w:pPr>
    </w:lvl>
    <w:lvl w:ilvl="8" w:tentative="0">
      <w:start w:val="1"/>
      <w:numFmt w:val="lowerRoman"/>
      <w:pStyle w:val="11"/>
      <w:lvlText w:val="%9."/>
      <w:lvlJc w:val="right"/>
      <w:pPr>
        <w:tabs>
          <w:tab w:val="left" w:pos="3960"/>
        </w:tabs>
        <w:ind w:left="3960" w:hanging="420"/>
      </w:pPr>
    </w:lvl>
  </w:abstractNum>
  <w:num w:numId="1">
    <w:abstractNumId w:val="3"/>
  </w:num>
  <w:num w:numId="2">
    <w:abstractNumId w:val="0"/>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52"/>
    <w:rsid w:val="000059EB"/>
    <w:rsid w:val="000113CA"/>
    <w:rsid w:val="0001237E"/>
    <w:rsid w:val="00013434"/>
    <w:rsid w:val="000165DD"/>
    <w:rsid w:val="0001792D"/>
    <w:rsid w:val="00021CE7"/>
    <w:rsid w:val="00022FA9"/>
    <w:rsid w:val="000242D8"/>
    <w:rsid w:val="00027A71"/>
    <w:rsid w:val="00031C0A"/>
    <w:rsid w:val="00040B11"/>
    <w:rsid w:val="00041A0E"/>
    <w:rsid w:val="000427FB"/>
    <w:rsid w:val="0004695A"/>
    <w:rsid w:val="00047E7F"/>
    <w:rsid w:val="00050856"/>
    <w:rsid w:val="00050E74"/>
    <w:rsid w:val="000549A3"/>
    <w:rsid w:val="00055F86"/>
    <w:rsid w:val="00066EFB"/>
    <w:rsid w:val="0006700D"/>
    <w:rsid w:val="0007000B"/>
    <w:rsid w:val="000700DD"/>
    <w:rsid w:val="000709D5"/>
    <w:rsid w:val="0007154C"/>
    <w:rsid w:val="00071F62"/>
    <w:rsid w:val="00073B8A"/>
    <w:rsid w:val="00074B56"/>
    <w:rsid w:val="00075324"/>
    <w:rsid w:val="0007619F"/>
    <w:rsid w:val="00076EE7"/>
    <w:rsid w:val="000801A0"/>
    <w:rsid w:val="000869E9"/>
    <w:rsid w:val="00092D35"/>
    <w:rsid w:val="00094824"/>
    <w:rsid w:val="00096DAC"/>
    <w:rsid w:val="00097194"/>
    <w:rsid w:val="000A0973"/>
    <w:rsid w:val="000A5F17"/>
    <w:rsid w:val="000A6BCE"/>
    <w:rsid w:val="000A6DA0"/>
    <w:rsid w:val="000B09F0"/>
    <w:rsid w:val="000B162C"/>
    <w:rsid w:val="000B250A"/>
    <w:rsid w:val="000B3323"/>
    <w:rsid w:val="000B3671"/>
    <w:rsid w:val="000B59DC"/>
    <w:rsid w:val="000B7E41"/>
    <w:rsid w:val="000C6583"/>
    <w:rsid w:val="000C6668"/>
    <w:rsid w:val="000D2CC6"/>
    <w:rsid w:val="000D57B7"/>
    <w:rsid w:val="000D57DF"/>
    <w:rsid w:val="000D7E1D"/>
    <w:rsid w:val="000E0974"/>
    <w:rsid w:val="000E0BCD"/>
    <w:rsid w:val="000E1B2E"/>
    <w:rsid w:val="000E399F"/>
    <w:rsid w:val="000E702D"/>
    <w:rsid w:val="000F6647"/>
    <w:rsid w:val="000F7BFB"/>
    <w:rsid w:val="00102816"/>
    <w:rsid w:val="001031C8"/>
    <w:rsid w:val="00103C30"/>
    <w:rsid w:val="00103CFA"/>
    <w:rsid w:val="0010495D"/>
    <w:rsid w:val="00107B4F"/>
    <w:rsid w:val="001107F1"/>
    <w:rsid w:val="00114003"/>
    <w:rsid w:val="00114831"/>
    <w:rsid w:val="001175B9"/>
    <w:rsid w:val="00124553"/>
    <w:rsid w:val="00124933"/>
    <w:rsid w:val="00125257"/>
    <w:rsid w:val="00125D81"/>
    <w:rsid w:val="001318C9"/>
    <w:rsid w:val="00133AA1"/>
    <w:rsid w:val="001349FB"/>
    <w:rsid w:val="00141722"/>
    <w:rsid w:val="00143596"/>
    <w:rsid w:val="00144B89"/>
    <w:rsid w:val="001459D1"/>
    <w:rsid w:val="00145F50"/>
    <w:rsid w:val="001519D2"/>
    <w:rsid w:val="00157312"/>
    <w:rsid w:val="00157567"/>
    <w:rsid w:val="001579D3"/>
    <w:rsid w:val="00160046"/>
    <w:rsid w:val="00162B8B"/>
    <w:rsid w:val="00162F41"/>
    <w:rsid w:val="00163C72"/>
    <w:rsid w:val="00164350"/>
    <w:rsid w:val="00166DBD"/>
    <w:rsid w:val="00170383"/>
    <w:rsid w:val="00171177"/>
    <w:rsid w:val="00171641"/>
    <w:rsid w:val="00172A27"/>
    <w:rsid w:val="00180EF6"/>
    <w:rsid w:val="001853F4"/>
    <w:rsid w:val="0019301B"/>
    <w:rsid w:val="0019344A"/>
    <w:rsid w:val="001950CE"/>
    <w:rsid w:val="001A50F8"/>
    <w:rsid w:val="001A5A97"/>
    <w:rsid w:val="001A6B89"/>
    <w:rsid w:val="001A6C79"/>
    <w:rsid w:val="001B193F"/>
    <w:rsid w:val="001B32A0"/>
    <w:rsid w:val="001B39AC"/>
    <w:rsid w:val="001B48BE"/>
    <w:rsid w:val="001B6C8E"/>
    <w:rsid w:val="001C10C0"/>
    <w:rsid w:val="001C15E7"/>
    <w:rsid w:val="001C1E7F"/>
    <w:rsid w:val="001C361F"/>
    <w:rsid w:val="001C4289"/>
    <w:rsid w:val="001C4BB6"/>
    <w:rsid w:val="001C575D"/>
    <w:rsid w:val="001D4B1D"/>
    <w:rsid w:val="001D5990"/>
    <w:rsid w:val="001D66F2"/>
    <w:rsid w:val="001D79CB"/>
    <w:rsid w:val="001E340D"/>
    <w:rsid w:val="001E3B8C"/>
    <w:rsid w:val="001E3CE6"/>
    <w:rsid w:val="001E4563"/>
    <w:rsid w:val="001E646A"/>
    <w:rsid w:val="001E65A3"/>
    <w:rsid w:val="001E6811"/>
    <w:rsid w:val="001E6BAA"/>
    <w:rsid w:val="001F0AD2"/>
    <w:rsid w:val="001F24AB"/>
    <w:rsid w:val="001F2FE8"/>
    <w:rsid w:val="001F66E2"/>
    <w:rsid w:val="00200737"/>
    <w:rsid w:val="00200D14"/>
    <w:rsid w:val="0020224D"/>
    <w:rsid w:val="00204AD0"/>
    <w:rsid w:val="00212275"/>
    <w:rsid w:val="00216C27"/>
    <w:rsid w:val="00217F51"/>
    <w:rsid w:val="002201C7"/>
    <w:rsid w:val="0022167A"/>
    <w:rsid w:val="0022431A"/>
    <w:rsid w:val="002310C3"/>
    <w:rsid w:val="00231DA7"/>
    <w:rsid w:val="002430DA"/>
    <w:rsid w:val="00244050"/>
    <w:rsid w:val="0024607D"/>
    <w:rsid w:val="00246342"/>
    <w:rsid w:val="00251F42"/>
    <w:rsid w:val="00262472"/>
    <w:rsid w:val="00265C56"/>
    <w:rsid w:val="00265E8E"/>
    <w:rsid w:val="002700F1"/>
    <w:rsid w:val="00272E82"/>
    <w:rsid w:val="00275822"/>
    <w:rsid w:val="002761D7"/>
    <w:rsid w:val="0027641C"/>
    <w:rsid w:val="00284535"/>
    <w:rsid w:val="00285A05"/>
    <w:rsid w:val="00290B0A"/>
    <w:rsid w:val="00291E19"/>
    <w:rsid w:val="00295A8A"/>
    <w:rsid w:val="002963D3"/>
    <w:rsid w:val="002A037A"/>
    <w:rsid w:val="002A20F0"/>
    <w:rsid w:val="002A2921"/>
    <w:rsid w:val="002A40BD"/>
    <w:rsid w:val="002A59E1"/>
    <w:rsid w:val="002A69D5"/>
    <w:rsid w:val="002A7128"/>
    <w:rsid w:val="002B076E"/>
    <w:rsid w:val="002B0D69"/>
    <w:rsid w:val="002B5ACD"/>
    <w:rsid w:val="002C038D"/>
    <w:rsid w:val="002C454C"/>
    <w:rsid w:val="002C7696"/>
    <w:rsid w:val="002C77A8"/>
    <w:rsid w:val="002D0F84"/>
    <w:rsid w:val="002D1917"/>
    <w:rsid w:val="002D306F"/>
    <w:rsid w:val="002D3A05"/>
    <w:rsid w:val="002D5053"/>
    <w:rsid w:val="002D5225"/>
    <w:rsid w:val="002D57EF"/>
    <w:rsid w:val="002D65E0"/>
    <w:rsid w:val="002D67B4"/>
    <w:rsid w:val="002E1448"/>
    <w:rsid w:val="002E4551"/>
    <w:rsid w:val="002E4958"/>
    <w:rsid w:val="002E5304"/>
    <w:rsid w:val="002E662E"/>
    <w:rsid w:val="002F0C82"/>
    <w:rsid w:val="002F1867"/>
    <w:rsid w:val="002F61F9"/>
    <w:rsid w:val="00301543"/>
    <w:rsid w:val="00304B95"/>
    <w:rsid w:val="003070BD"/>
    <w:rsid w:val="00311035"/>
    <w:rsid w:val="00320F2F"/>
    <w:rsid w:val="00322074"/>
    <w:rsid w:val="00323827"/>
    <w:rsid w:val="003248A3"/>
    <w:rsid w:val="00326CF0"/>
    <w:rsid w:val="003278CB"/>
    <w:rsid w:val="00331FDC"/>
    <w:rsid w:val="00333FA6"/>
    <w:rsid w:val="00336522"/>
    <w:rsid w:val="003405C7"/>
    <w:rsid w:val="00345F77"/>
    <w:rsid w:val="00350EA5"/>
    <w:rsid w:val="00352601"/>
    <w:rsid w:val="00352640"/>
    <w:rsid w:val="00352E9E"/>
    <w:rsid w:val="00353E06"/>
    <w:rsid w:val="0035414E"/>
    <w:rsid w:val="00355200"/>
    <w:rsid w:val="00355860"/>
    <w:rsid w:val="00355917"/>
    <w:rsid w:val="003571F2"/>
    <w:rsid w:val="00360891"/>
    <w:rsid w:val="0036205A"/>
    <w:rsid w:val="003640DB"/>
    <w:rsid w:val="00365474"/>
    <w:rsid w:val="00367DE8"/>
    <w:rsid w:val="00367FDB"/>
    <w:rsid w:val="0037686C"/>
    <w:rsid w:val="00376D16"/>
    <w:rsid w:val="003831DF"/>
    <w:rsid w:val="0038728A"/>
    <w:rsid w:val="00390123"/>
    <w:rsid w:val="00391FCD"/>
    <w:rsid w:val="003935FB"/>
    <w:rsid w:val="0039429C"/>
    <w:rsid w:val="003977B2"/>
    <w:rsid w:val="00397B80"/>
    <w:rsid w:val="003A0A98"/>
    <w:rsid w:val="003A4523"/>
    <w:rsid w:val="003A5DB1"/>
    <w:rsid w:val="003A6516"/>
    <w:rsid w:val="003A68A5"/>
    <w:rsid w:val="003B0E7F"/>
    <w:rsid w:val="003B38CD"/>
    <w:rsid w:val="003B3A38"/>
    <w:rsid w:val="003B47C8"/>
    <w:rsid w:val="003B586C"/>
    <w:rsid w:val="003B6160"/>
    <w:rsid w:val="003C1F7D"/>
    <w:rsid w:val="003C4424"/>
    <w:rsid w:val="003C64FC"/>
    <w:rsid w:val="003D10BE"/>
    <w:rsid w:val="003D220E"/>
    <w:rsid w:val="003D2260"/>
    <w:rsid w:val="003D2DBF"/>
    <w:rsid w:val="003D3739"/>
    <w:rsid w:val="003D4961"/>
    <w:rsid w:val="003D5A40"/>
    <w:rsid w:val="003E2A9B"/>
    <w:rsid w:val="003E3C11"/>
    <w:rsid w:val="003E4922"/>
    <w:rsid w:val="003E54AA"/>
    <w:rsid w:val="003E5D77"/>
    <w:rsid w:val="003E7B87"/>
    <w:rsid w:val="003F1F34"/>
    <w:rsid w:val="003F2C5C"/>
    <w:rsid w:val="003F330E"/>
    <w:rsid w:val="003F374D"/>
    <w:rsid w:val="003F4145"/>
    <w:rsid w:val="00400769"/>
    <w:rsid w:val="00401740"/>
    <w:rsid w:val="00402B41"/>
    <w:rsid w:val="004033E9"/>
    <w:rsid w:val="00410069"/>
    <w:rsid w:val="0041087B"/>
    <w:rsid w:val="004130CE"/>
    <w:rsid w:val="0041410D"/>
    <w:rsid w:val="00414284"/>
    <w:rsid w:val="00424DC7"/>
    <w:rsid w:val="0042667A"/>
    <w:rsid w:val="004277CA"/>
    <w:rsid w:val="00431BC1"/>
    <w:rsid w:val="00435A37"/>
    <w:rsid w:val="00441A20"/>
    <w:rsid w:val="004448AD"/>
    <w:rsid w:val="00451F6B"/>
    <w:rsid w:val="00455495"/>
    <w:rsid w:val="00455604"/>
    <w:rsid w:val="00455D3B"/>
    <w:rsid w:val="0046017C"/>
    <w:rsid w:val="004603D9"/>
    <w:rsid w:val="00460545"/>
    <w:rsid w:val="00460DE4"/>
    <w:rsid w:val="00463D9C"/>
    <w:rsid w:val="00466001"/>
    <w:rsid w:val="00471B85"/>
    <w:rsid w:val="00471C7B"/>
    <w:rsid w:val="00473356"/>
    <w:rsid w:val="00473892"/>
    <w:rsid w:val="00474902"/>
    <w:rsid w:val="00475540"/>
    <w:rsid w:val="00475FC7"/>
    <w:rsid w:val="00476455"/>
    <w:rsid w:val="00483AA0"/>
    <w:rsid w:val="00484312"/>
    <w:rsid w:val="004866C0"/>
    <w:rsid w:val="00490574"/>
    <w:rsid w:val="004908AF"/>
    <w:rsid w:val="00490CD6"/>
    <w:rsid w:val="00496030"/>
    <w:rsid w:val="00497F19"/>
    <w:rsid w:val="004A0387"/>
    <w:rsid w:val="004A1868"/>
    <w:rsid w:val="004A1C0F"/>
    <w:rsid w:val="004A2B06"/>
    <w:rsid w:val="004A31E7"/>
    <w:rsid w:val="004A474F"/>
    <w:rsid w:val="004A4C07"/>
    <w:rsid w:val="004A5133"/>
    <w:rsid w:val="004A72BA"/>
    <w:rsid w:val="004A7620"/>
    <w:rsid w:val="004B06DE"/>
    <w:rsid w:val="004B141E"/>
    <w:rsid w:val="004B2324"/>
    <w:rsid w:val="004C0902"/>
    <w:rsid w:val="004C3B18"/>
    <w:rsid w:val="004C3BD4"/>
    <w:rsid w:val="004C6290"/>
    <w:rsid w:val="004D24C0"/>
    <w:rsid w:val="004D2C16"/>
    <w:rsid w:val="004D3E85"/>
    <w:rsid w:val="004D5B49"/>
    <w:rsid w:val="004D789C"/>
    <w:rsid w:val="004E0952"/>
    <w:rsid w:val="004E0DE8"/>
    <w:rsid w:val="004E4783"/>
    <w:rsid w:val="004E585D"/>
    <w:rsid w:val="004F1174"/>
    <w:rsid w:val="004F58C6"/>
    <w:rsid w:val="0050052B"/>
    <w:rsid w:val="00504B89"/>
    <w:rsid w:val="005058D6"/>
    <w:rsid w:val="005064F9"/>
    <w:rsid w:val="00513ED9"/>
    <w:rsid w:val="00514567"/>
    <w:rsid w:val="00516360"/>
    <w:rsid w:val="005164D1"/>
    <w:rsid w:val="005178A4"/>
    <w:rsid w:val="00520748"/>
    <w:rsid w:val="00522C85"/>
    <w:rsid w:val="0052480E"/>
    <w:rsid w:val="0053246E"/>
    <w:rsid w:val="00532851"/>
    <w:rsid w:val="00532D46"/>
    <w:rsid w:val="0053383A"/>
    <w:rsid w:val="0053387D"/>
    <w:rsid w:val="0053771A"/>
    <w:rsid w:val="00550B46"/>
    <w:rsid w:val="0055151F"/>
    <w:rsid w:val="00551B09"/>
    <w:rsid w:val="00552851"/>
    <w:rsid w:val="005529C8"/>
    <w:rsid w:val="00554847"/>
    <w:rsid w:val="005560C8"/>
    <w:rsid w:val="00564907"/>
    <w:rsid w:val="0057007E"/>
    <w:rsid w:val="00572154"/>
    <w:rsid w:val="005821EA"/>
    <w:rsid w:val="005822C2"/>
    <w:rsid w:val="00584116"/>
    <w:rsid w:val="00585D0B"/>
    <w:rsid w:val="005945D3"/>
    <w:rsid w:val="0059552E"/>
    <w:rsid w:val="005A1E1D"/>
    <w:rsid w:val="005A6976"/>
    <w:rsid w:val="005A7F42"/>
    <w:rsid w:val="005B1383"/>
    <w:rsid w:val="005B49D0"/>
    <w:rsid w:val="005B537F"/>
    <w:rsid w:val="005B5789"/>
    <w:rsid w:val="005B6AB0"/>
    <w:rsid w:val="005C22ED"/>
    <w:rsid w:val="005C4F69"/>
    <w:rsid w:val="005C54AF"/>
    <w:rsid w:val="005D3CD0"/>
    <w:rsid w:val="005D3D37"/>
    <w:rsid w:val="005D5983"/>
    <w:rsid w:val="005D66D3"/>
    <w:rsid w:val="005E1289"/>
    <w:rsid w:val="005E2AEF"/>
    <w:rsid w:val="005E4555"/>
    <w:rsid w:val="005E7F28"/>
    <w:rsid w:val="005F12B7"/>
    <w:rsid w:val="005F5B01"/>
    <w:rsid w:val="005F5FB1"/>
    <w:rsid w:val="00601131"/>
    <w:rsid w:val="00601824"/>
    <w:rsid w:val="006024D4"/>
    <w:rsid w:val="00602C0B"/>
    <w:rsid w:val="0060547D"/>
    <w:rsid w:val="006119E8"/>
    <w:rsid w:val="00613CF5"/>
    <w:rsid w:val="00615E96"/>
    <w:rsid w:val="006172B4"/>
    <w:rsid w:val="00620987"/>
    <w:rsid w:val="00626019"/>
    <w:rsid w:val="00630AEA"/>
    <w:rsid w:val="00631CB9"/>
    <w:rsid w:val="00636BD8"/>
    <w:rsid w:val="00637ADB"/>
    <w:rsid w:val="006513CE"/>
    <w:rsid w:val="0065318F"/>
    <w:rsid w:val="00654ADD"/>
    <w:rsid w:val="00657194"/>
    <w:rsid w:val="00657F54"/>
    <w:rsid w:val="00663D89"/>
    <w:rsid w:val="006659BF"/>
    <w:rsid w:val="00665DCB"/>
    <w:rsid w:val="0066643B"/>
    <w:rsid w:val="00670C5E"/>
    <w:rsid w:val="00675D8A"/>
    <w:rsid w:val="00676893"/>
    <w:rsid w:val="00680869"/>
    <w:rsid w:val="00687A26"/>
    <w:rsid w:val="00691265"/>
    <w:rsid w:val="00694A00"/>
    <w:rsid w:val="00696D07"/>
    <w:rsid w:val="006A11DD"/>
    <w:rsid w:val="006A2BC5"/>
    <w:rsid w:val="006A6403"/>
    <w:rsid w:val="006A6713"/>
    <w:rsid w:val="006A78B7"/>
    <w:rsid w:val="006A7CB2"/>
    <w:rsid w:val="006B10FB"/>
    <w:rsid w:val="006B24AF"/>
    <w:rsid w:val="006B35AC"/>
    <w:rsid w:val="006B4E41"/>
    <w:rsid w:val="006B6A3D"/>
    <w:rsid w:val="006B7957"/>
    <w:rsid w:val="006C58DE"/>
    <w:rsid w:val="006C5D06"/>
    <w:rsid w:val="006C7CE9"/>
    <w:rsid w:val="006D1CE4"/>
    <w:rsid w:val="006D4CA4"/>
    <w:rsid w:val="006D64CF"/>
    <w:rsid w:val="006D76B4"/>
    <w:rsid w:val="006E16BA"/>
    <w:rsid w:val="006E27C5"/>
    <w:rsid w:val="006E37E2"/>
    <w:rsid w:val="006E54C5"/>
    <w:rsid w:val="006E57C1"/>
    <w:rsid w:val="006E5816"/>
    <w:rsid w:val="006E5B47"/>
    <w:rsid w:val="006E6487"/>
    <w:rsid w:val="006E6B75"/>
    <w:rsid w:val="006F19D0"/>
    <w:rsid w:val="006F2415"/>
    <w:rsid w:val="006F6039"/>
    <w:rsid w:val="006F63A9"/>
    <w:rsid w:val="00703304"/>
    <w:rsid w:val="00703B65"/>
    <w:rsid w:val="007060EB"/>
    <w:rsid w:val="007063A2"/>
    <w:rsid w:val="00721E06"/>
    <w:rsid w:val="00722098"/>
    <w:rsid w:val="0072290B"/>
    <w:rsid w:val="00732A91"/>
    <w:rsid w:val="00735936"/>
    <w:rsid w:val="00737663"/>
    <w:rsid w:val="007376DD"/>
    <w:rsid w:val="00737942"/>
    <w:rsid w:val="00737A7A"/>
    <w:rsid w:val="007445A1"/>
    <w:rsid w:val="00746254"/>
    <w:rsid w:val="0074671D"/>
    <w:rsid w:val="007509DE"/>
    <w:rsid w:val="00752A44"/>
    <w:rsid w:val="00753BD4"/>
    <w:rsid w:val="007550F5"/>
    <w:rsid w:val="00755FCA"/>
    <w:rsid w:val="00756B36"/>
    <w:rsid w:val="00760364"/>
    <w:rsid w:val="00760983"/>
    <w:rsid w:val="00765690"/>
    <w:rsid w:val="00767932"/>
    <w:rsid w:val="00771F5D"/>
    <w:rsid w:val="0077230C"/>
    <w:rsid w:val="00774EA6"/>
    <w:rsid w:val="00777CAC"/>
    <w:rsid w:val="00780555"/>
    <w:rsid w:val="007810FD"/>
    <w:rsid w:val="00785496"/>
    <w:rsid w:val="00786B0D"/>
    <w:rsid w:val="00793BA8"/>
    <w:rsid w:val="00794BAD"/>
    <w:rsid w:val="00794CF1"/>
    <w:rsid w:val="00794EB8"/>
    <w:rsid w:val="00795944"/>
    <w:rsid w:val="0079719E"/>
    <w:rsid w:val="007972D5"/>
    <w:rsid w:val="007A0175"/>
    <w:rsid w:val="007A01F5"/>
    <w:rsid w:val="007A4C17"/>
    <w:rsid w:val="007B3B83"/>
    <w:rsid w:val="007B3CF0"/>
    <w:rsid w:val="007B3E6D"/>
    <w:rsid w:val="007B7605"/>
    <w:rsid w:val="007C4BA1"/>
    <w:rsid w:val="007C618D"/>
    <w:rsid w:val="007C69C6"/>
    <w:rsid w:val="007C76D6"/>
    <w:rsid w:val="007D4971"/>
    <w:rsid w:val="007D4C08"/>
    <w:rsid w:val="007D590D"/>
    <w:rsid w:val="007D6819"/>
    <w:rsid w:val="007D6F8A"/>
    <w:rsid w:val="007D7842"/>
    <w:rsid w:val="007E0EE7"/>
    <w:rsid w:val="007E6255"/>
    <w:rsid w:val="007F1AA9"/>
    <w:rsid w:val="007F2FAC"/>
    <w:rsid w:val="007F445F"/>
    <w:rsid w:val="007F47A9"/>
    <w:rsid w:val="007F6E86"/>
    <w:rsid w:val="007F7D57"/>
    <w:rsid w:val="008021AF"/>
    <w:rsid w:val="00806ED8"/>
    <w:rsid w:val="00807368"/>
    <w:rsid w:val="00810B81"/>
    <w:rsid w:val="008116BE"/>
    <w:rsid w:val="00814908"/>
    <w:rsid w:val="00821656"/>
    <w:rsid w:val="00824735"/>
    <w:rsid w:val="0082670E"/>
    <w:rsid w:val="0082773C"/>
    <w:rsid w:val="00836196"/>
    <w:rsid w:val="00836996"/>
    <w:rsid w:val="00840B29"/>
    <w:rsid w:val="00841F6B"/>
    <w:rsid w:val="00842F20"/>
    <w:rsid w:val="00843734"/>
    <w:rsid w:val="00845326"/>
    <w:rsid w:val="0085139C"/>
    <w:rsid w:val="00851A56"/>
    <w:rsid w:val="00854FCA"/>
    <w:rsid w:val="00855823"/>
    <w:rsid w:val="00863520"/>
    <w:rsid w:val="00865C3A"/>
    <w:rsid w:val="00866827"/>
    <w:rsid w:val="00867F5C"/>
    <w:rsid w:val="008702E4"/>
    <w:rsid w:val="0087115F"/>
    <w:rsid w:val="00872CB9"/>
    <w:rsid w:val="00875081"/>
    <w:rsid w:val="008751C9"/>
    <w:rsid w:val="00876932"/>
    <w:rsid w:val="008801B7"/>
    <w:rsid w:val="00880E55"/>
    <w:rsid w:val="0088204E"/>
    <w:rsid w:val="008837BD"/>
    <w:rsid w:val="00884D86"/>
    <w:rsid w:val="00886A15"/>
    <w:rsid w:val="00887353"/>
    <w:rsid w:val="00893E33"/>
    <w:rsid w:val="0089656B"/>
    <w:rsid w:val="00897F67"/>
    <w:rsid w:val="008A28AC"/>
    <w:rsid w:val="008A4533"/>
    <w:rsid w:val="008A7A42"/>
    <w:rsid w:val="008B05C3"/>
    <w:rsid w:val="008B456E"/>
    <w:rsid w:val="008B5543"/>
    <w:rsid w:val="008B69CD"/>
    <w:rsid w:val="008C2096"/>
    <w:rsid w:val="008C2FBC"/>
    <w:rsid w:val="008C3B7A"/>
    <w:rsid w:val="008C565A"/>
    <w:rsid w:val="008C5DA7"/>
    <w:rsid w:val="008C60E7"/>
    <w:rsid w:val="008C70F7"/>
    <w:rsid w:val="008C710F"/>
    <w:rsid w:val="008D1F5A"/>
    <w:rsid w:val="008D474B"/>
    <w:rsid w:val="008D71D9"/>
    <w:rsid w:val="008D7671"/>
    <w:rsid w:val="008E011F"/>
    <w:rsid w:val="008E05AF"/>
    <w:rsid w:val="008E1B68"/>
    <w:rsid w:val="008E6367"/>
    <w:rsid w:val="008E6943"/>
    <w:rsid w:val="008F04C8"/>
    <w:rsid w:val="008F35E5"/>
    <w:rsid w:val="008F6CEF"/>
    <w:rsid w:val="0090008B"/>
    <w:rsid w:val="00900993"/>
    <w:rsid w:val="00907FFE"/>
    <w:rsid w:val="00910C7F"/>
    <w:rsid w:val="00911346"/>
    <w:rsid w:val="0091231B"/>
    <w:rsid w:val="0091386A"/>
    <w:rsid w:val="009208CC"/>
    <w:rsid w:val="0092134D"/>
    <w:rsid w:val="0092135A"/>
    <w:rsid w:val="0092451F"/>
    <w:rsid w:val="00924C76"/>
    <w:rsid w:val="0092606C"/>
    <w:rsid w:val="00927953"/>
    <w:rsid w:val="00930B31"/>
    <w:rsid w:val="009313F1"/>
    <w:rsid w:val="00931684"/>
    <w:rsid w:val="0093284A"/>
    <w:rsid w:val="009356B6"/>
    <w:rsid w:val="00943339"/>
    <w:rsid w:val="009458FF"/>
    <w:rsid w:val="00945DC4"/>
    <w:rsid w:val="00946D77"/>
    <w:rsid w:val="00947F36"/>
    <w:rsid w:val="00952E46"/>
    <w:rsid w:val="00964978"/>
    <w:rsid w:val="00964EEA"/>
    <w:rsid w:val="00965259"/>
    <w:rsid w:val="00967803"/>
    <w:rsid w:val="00971DC5"/>
    <w:rsid w:val="00972B79"/>
    <w:rsid w:val="00975737"/>
    <w:rsid w:val="00975F3C"/>
    <w:rsid w:val="009808B4"/>
    <w:rsid w:val="00992ECB"/>
    <w:rsid w:val="00996085"/>
    <w:rsid w:val="00996ABA"/>
    <w:rsid w:val="009A049E"/>
    <w:rsid w:val="009A1307"/>
    <w:rsid w:val="009A2A20"/>
    <w:rsid w:val="009A50CA"/>
    <w:rsid w:val="009A529C"/>
    <w:rsid w:val="009A6285"/>
    <w:rsid w:val="009A695C"/>
    <w:rsid w:val="009A7833"/>
    <w:rsid w:val="009B0E85"/>
    <w:rsid w:val="009B2855"/>
    <w:rsid w:val="009B3EE8"/>
    <w:rsid w:val="009B4E2D"/>
    <w:rsid w:val="009B6EE1"/>
    <w:rsid w:val="009C09D8"/>
    <w:rsid w:val="009C3C7C"/>
    <w:rsid w:val="009C43D8"/>
    <w:rsid w:val="009C4EF5"/>
    <w:rsid w:val="009D4E4A"/>
    <w:rsid w:val="009D50C7"/>
    <w:rsid w:val="009E1BD3"/>
    <w:rsid w:val="009E43B7"/>
    <w:rsid w:val="009F1269"/>
    <w:rsid w:val="009F45DF"/>
    <w:rsid w:val="009F5E88"/>
    <w:rsid w:val="00A00A50"/>
    <w:rsid w:val="00A01908"/>
    <w:rsid w:val="00A02390"/>
    <w:rsid w:val="00A0536D"/>
    <w:rsid w:val="00A06AC5"/>
    <w:rsid w:val="00A07056"/>
    <w:rsid w:val="00A07A91"/>
    <w:rsid w:val="00A07F5B"/>
    <w:rsid w:val="00A13458"/>
    <w:rsid w:val="00A134BA"/>
    <w:rsid w:val="00A136BE"/>
    <w:rsid w:val="00A14A1F"/>
    <w:rsid w:val="00A15C43"/>
    <w:rsid w:val="00A16814"/>
    <w:rsid w:val="00A16C6B"/>
    <w:rsid w:val="00A22B8F"/>
    <w:rsid w:val="00A300F3"/>
    <w:rsid w:val="00A30B5F"/>
    <w:rsid w:val="00A327B9"/>
    <w:rsid w:val="00A3304F"/>
    <w:rsid w:val="00A3502A"/>
    <w:rsid w:val="00A35A12"/>
    <w:rsid w:val="00A42B35"/>
    <w:rsid w:val="00A46124"/>
    <w:rsid w:val="00A47B95"/>
    <w:rsid w:val="00A52EE1"/>
    <w:rsid w:val="00A565C7"/>
    <w:rsid w:val="00A56A7C"/>
    <w:rsid w:val="00A57B9F"/>
    <w:rsid w:val="00A6180E"/>
    <w:rsid w:val="00A66818"/>
    <w:rsid w:val="00A716B4"/>
    <w:rsid w:val="00A771D5"/>
    <w:rsid w:val="00A80BBA"/>
    <w:rsid w:val="00A81268"/>
    <w:rsid w:val="00A83143"/>
    <w:rsid w:val="00A90239"/>
    <w:rsid w:val="00A91FEC"/>
    <w:rsid w:val="00A93555"/>
    <w:rsid w:val="00A94F80"/>
    <w:rsid w:val="00AA1591"/>
    <w:rsid w:val="00AA1F18"/>
    <w:rsid w:val="00AA254B"/>
    <w:rsid w:val="00AA260B"/>
    <w:rsid w:val="00AB1553"/>
    <w:rsid w:val="00AC3478"/>
    <w:rsid w:val="00AC778D"/>
    <w:rsid w:val="00AD1D79"/>
    <w:rsid w:val="00AD3475"/>
    <w:rsid w:val="00AE0028"/>
    <w:rsid w:val="00AE1E9F"/>
    <w:rsid w:val="00AE4514"/>
    <w:rsid w:val="00AE6859"/>
    <w:rsid w:val="00AF10AD"/>
    <w:rsid w:val="00AF2FAF"/>
    <w:rsid w:val="00AF3A89"/>
    <w:rsid w:val="00AF50C5"/>
    <w:rsid w:val="00AF6655"/>
    <w:rsid w:val="00AF68D7"/>
    <w:rsid w:val="00AF7041"/>
    <w:rsid w:val="00AF7F90"/>
    <w:rsid w:val="00B063EB"/>
    <w:rsid w:val="00B06ECB"/>
    <w:rsid w:val="00B1655F"/>
    <w:rsid w:val="00B16951"/>
    <w:rsid w:val="00B17F1E"/>
    <w:rsid w:val="00B222E9"/>
    <w:rsid w:val="00B2370F"/>
    <w:rsid w:val="00B25407"/>
    <w:rsid w:val="00B32336"/>
    <w:rsid w:val="00B37953"/>
    <w:rsid w:val="00B401EC"/>
    <w:rsid w:val="00B41125"/>
    <w:rsid w:val="00B43A0A"/>
    <w:rsid w:val="00B43EEB"/>
    <w:rsid w:val="00B458BB"/>
    <w:rsid w:val="00B46D3B"/>
    <w:rsid w:val="00B471D6"/>
    <w:rsid w:val="00B50063"/>
    <w:rsid w:val="00B54A0D"/>
    <w:rsid w:val="00B54F29"/>
    <w:rsid w:val="00B60B2E"/>
    <w:rsid w:val="00B60E99"/>
    <w:rsid w:val="00B61961"/>
    <w:rsid w:val="00B61DD7"/>
    <w:rsid w:val="00B62AF3"/>
    <w:rsid w:val="00B70256"/>
    <w:rsid w:val="00B70ED0"/>
    <w:rsid w:val="00B712C8"/>
    <w:rsid w:val="00B74A8F"/>
    <w:rsid w:val="00B80FC7"/>
    <w:rsid w:val="00B82A84"/>
    <w:rsid w:val="00B85BEB"/>
    <w:rsid w:val="00B9038D"/>
    <w:rsid w:val="00B9223D"/>
    <w:rsid w:val="00B941FA"/>
    <w:rsid w:val="00B946CF"/>
    <w:rsid w:val="00B95851"/>
    <w:rsid w:val="00BA5BE8"/>
    <w:rsid w:val="00BA6729"/>
    <w:rsid w:val="00BB2656"/>
    <w:rsid w:val="00BC08F0"/>
    <w:rsid w:val="00BC14B1"/>
    <w:rsid w:val="00BC15A9"/>
    <w:rsid w:val="00BC1BA6"/>
    <w:rsid w:val="00BC2418"/>
    <w:rsid w:val="00BC351E"/>
    <w:rsid w:val="00BC4AAD"/>
    <w:rsid w:val="00BC6B8E"/>
    <w:rsid w:val="00BD41D4"/>
    <w:rsid w:val="00BD53F8"/>
    <w:rsid w:val="00BD7A74"/>
    <w:rsid w:val="00BE1240"/>
    <w:rsid w:val="00BE1999"/>
    <w:rsid w:val="00BE1C41"/>
    <w:rsid w:val="00BE4B3D"/>
    <w:rsid w:val="00BE5E82"/>
    <w:rsid w:val="00BF4AE6"/>
    <w:rsid w:val="00BF5501"/>
    <w:rsid w:val="00C02258"/>
    <w:rsid w:val="00C02595"/>
    <w:rsid w:val="00C031F4"/>
    <w:rsid w:val="00C04505"/>
    <w:rsid w:val="00C12F91"/>
    <w:rsid w:val="00C13FCC"/>
    <w:rsid w:val="00C163DC"/>
    <w:rsid w:val="00C16F12"/>
    <w:rsid w:val="00C17D2C"/>
    <w:rsid w:val="00C22D9F"/>
    <w:rsid w:val="00C247A0"/>
    <w:rsid w:val="00C31491"/>
    <w:rsid w:val="00C33B23"/>
    <w:rsid w:val="00C34CD9"/>
    <w:rsid w:val="00C36C94"/>
    <w:rsid w:val="00C45574"/>
    <w:rsid w:val="00C51E5A"/>
    <w:rsid w:val="00C530B7"/>
    <w:rsid w:val="00C55C48"/>
    <w:rsid w:val="00C57479"/>
    <w:rsid w:val="00C6205D"/>
    <w:rsid w:val="00C6242F"/>
    <w:rsid w:val="00C62CDC"/>
    <w:rsid w:val="00C64B88"/>
    <w:rsid w:val="00C66EF0"/>
    <w:rsid w:val="00C676FE"/>
    <w:rsid w:val="00C67B07"/>
    <w:rsid w:val="00C70D5C"/>
    <w:rsid w:val="00C770A1"/>
    <w:rsid w:val="00C8290A"/>
    <w:rsid w:val="00C91489"/>
    <w:rsid w:val="00C92D9B"/>
    <w:rsid w:val="00C934F8"/>
    <w:rsid w:val="00C96F3D"/>
    <w:rsid w:val="00CA47AB"/>
    <w:rsid w:val="00CA5C1D"/>
    <w:rsid w:val="00CA61F1"/>
    <w:rsid w:val="00CB3F5E"/>
    <w:rsid w:val="00CB44C4"/>
    <w:rsid w:val="00CB67C3"/>
    <w:rsid w:val="00CC111B"/>
    <w:rsid w:val="00CC265E"/>
    <w:rsid w:val="00CC59EA"/>
    <w:rsid w:val="00CD1309"/>
    <w:rsid w:val="00CD3D07"/>
    <w:rsid w:val="00CD58F3"/>
    <w:rsid w:val="00CE038B"/>
    <w:rsid w:val="00CE0640"/>
    <w:rsid w:val="00CE0A38"/>
    <w:rsid w:val="00CE28BA"/>
    <w:rsid w:val="00CE2BF9"/>
    <w:rsid w:val="00CE5942"/>
    <w:rsid w:val="00CE6B24"/>
    <w:rsid w:val="00CF250C"/>
    <w:rsid w:val="00CF25DF"/>
    <w:rsid w:val="00CF2978"/>
    <w:rsid w:val="00CF6357"/>
    <w:rsid w:val="00CF6D45"/>
    <w:rsid w:val="00D020A4"/>
    <w:rsid w:val="00D02768"/>
    <w:rsid w:val="00D135E3"/>
    <w:rsid w:val="00D13846"/>
    <w:rsid w:val="00D14D65"/>
    <w:rsid w:val="00D2242B"/>
    <w:rsid w:val="00D3216B"/>
    <w:rsid w:val="00D32AD9"/>
    <w:rsid w:val="00D3603C"/>
    <w:rsid w:val="00D37DF9"/>
    <w:rsid w:val="00D37F65"/>
    <w:rsid w:val="00D4102C"/>
    <w:rsid w:val="00D43A31"/>
    <w:rsid w:val="00D4668F"/>
    <w:rsid w:val="00D51D54"/>
    <w:rsid w:val="00D5578B"/>
    <w:rsid w:val="00D56DDA"/>
    <w:rsid w:val="00D57AA9"/>
    <w:rsid w:val="00D60D16"/>
    <w:rsid w:val="00D61AF7"/>
    <w:rsid w:val="00D7125F"/>
    <w:rsid w:val="00D714B3"/>
    <w:rsid w:val="00D768E7"/>
    <w:rsid w:val="00D770D9"/>
    <w:rsid w:val="00D80767"/>
    <w:rsid w:val="00D8091D"/>
    <w:rsid w:val="00D81A70"/>
    <w:rsid w:val="00D84C58"/>
    <w:rsid w:val="00D85234"/>
    <w:rsid w:val="00D87D54"/>
    <w:rsid w:val="00D91153"/>
    <w:rsid w:val="00DA02C6"/>
    <w:rsid w:val="00DA0708"/>
    <w:rsid w:val="00DA4ACB"/>
    <w:rsid w:val="00DB2A68"/>
    <w:rsid w:val="00DB6860"/>
    <w:rsid w:val="00DB6A2E"/>
    <w:rsid w:val="00DC27BE"/>
    <w:rsid w:val="00DC3582"/>
    <w:rsid w:val="00DC39DD"/>
    <w:rsid w:val="00DC506E"/>
    <w:rsid w:val="00DC5397"/>
    <w:rsid w:val="00DC6679"/>
    <w:rsid w:val="00DC6855"/>
    <w:rsid w:val="00DC6B8F"/>
    <w:rsid w:val="00DC794C"/>
    <w:rsid w:val="00DD0E16"/>
    <w:rsid w:val="00DD21D2"/>
    <w:rsid w:val="00DD246C"/>
    <w:rsid w:val="00DD3032"/>
    <w:rsid w:val="00DE052D"/>
    <w:rsid w:val="00DE077E"/>
    <w:rsid w:val="00DE23D1"/>
    <w:rsid w:val="00DE2CF2"/>
    <w:rsid w:val="00DE4413"/>
    <w:rsid w:val="00DE5079"/>
    <w:rsid w:val="00DE7D68"/>
    <w:rsid w:val="00DF03F7"/>
    <w:rsid w:val="00DF19DA"/>
    <w:rsid w:val="00DF1A1A"/>
    <w:rsid w:val="00DF2735"/>
    <w:rsid w:val="00DF30ED"/>
    <w:rsid w:val="00DF4106"/>
    <w:rsid w:val="00E00802"/>
    <w:rsid w:val="00E03129"/>
    <w:rsid w:val="00E03146"/>
    <w:rsid w:val="00E05CAD"/>
    <w:rsid w:val="00E05F04"/>
    <w:rsid w:val="00E1468D"/>
    <w:rsid w:val="00E15048"/>
    <w:rsid w:val="00E151B9"/>
    <w:rsid w:val="00E20F8E"/>
    <w:rsid w:val="00E21275"/>
    <w:rsid w:val="00E252FD"/>
    <w:rsid w:val="00E25945"/>
    <w:rsid w:val="00E27932"/>
    <w:rsid w:val="00E30752"/>
    <w:rsid w:val="00E30F76"/>
    <w:rsid w:val="00E31C19"/>
    <w:rsid w:val="00E31D9D"/>
    <w:rsid w:val="00E336EC"/>
    <w:rsid w:val="00E34E17"/>
    <w:rsid w:val="00E360FF"/>
    <w:rsid w:val="00E40C16"/>
    <w:rsid w:val="00E41D94"/>
    <w:rsid w:val="00E5101A"/>
    <w:rsid w:val="00E51F9B"/>
    <w:rsid w:val="00E53802"/>
    <w:rsid w:val="00E557F9"/>
    <w:rsid w:val="00E56C10"/>
    <w:rsid w:val="00E613E3"/>
    <w:rsid w:val="00E62FAC"/>
    <w:rsid w:val="00E649ED"/>
    <w:rsid w:val="00E64D90"/>
    <w:rsid w:val="00E71657"/>
    <w:rsid w:val="00E721E0"/>
    <w:rsid w:val="00E73357"/>
    <w:rsid w:val="00E82709"/>
    <w:rsid w:val="00E85322"/>
    <w:rsid w:val="00E90A16"/>
    <w:rsid w:val="00E9202D"/>
    <w:rsid w:val="00E940EE"/>
    <w:rsid w:val="00E9495F"/>
    <w:rsid w:val="00E95825"/>
    <w:rsid w:val="00E97D41"/>
    <w:rsid w:val="00EA342E"/>
    <w:rsid w:val="00EA3B57"/>
    <w:rsid w:val="00EB16D7"/>
    <w:rsid w:val="00EB2FBE"/>
    <w:rsid w:val="00EB55BD"/>
    <w:rsid w:val="00EC61EF"/>
    <w:rsid w:val="00ED7C2A"/>
    <w:rsid w:val="00EE61D4"/>
    <w:rsid w:val="00EF5169"/>
    <w:rsid w:val="00EF5B42"/>
    <w:rsid w:val="00F04890"/>
    <w:rsid w:val="00F048CF"/>
    <w:rsid w:val="00F04B2C"/>
    <w:rsid w:val="00F06560"/>
    <w:rsid w:val="00F07AFF"/>
    <w:rsid w:val="00F108F0"/>
    <w:rsid w:val="00F14F78"/>
    <w:rsid w:val="00F1511F"/>
    <w:rsid w:val="00F16892"/>
    <w:rsid w:val="00F231AA"/>
    <w:rsid w:val="00F235A9"/>
    <w:rsid w:val="00F34DBE"/>
    <w:rsid w:val="00F41ADC"/>
    <w:rsid w:val="00F45C80"/>
    <w:rsid w:val="00F507A8"/>
    <w:rsid w:val="00F52424"/>
    <w:rsid w:val="00F52873"/>
    <w:rsid w:val="00F52CDC"/>
    <w:rsid w:val="00F5415F"/>
    <w:rsid w:val="00F61C3E"/>
    <w:rsid w:val="00F6326D"/>
    <w:rsid w:val="00F63D4A"/>
    <w:rsid w:val="00F70A5A"/>
    <w:rsid w:val="00F73D33"/>
    <w:rsid w:val="00F746FE"/>
    <w:rsid w:val="00F751DA"/>
    <w:rsid w:val="00F80A23"/>
    <w:rsid w:val="00F812E3"/>
    <w:rsid w:val="00F82C62"/>
    <w:rsid w:val="00F82EF7"/>
    <w:rsid w:val="00F83775"/>
    <w:rsid w:val="00F83A39"/>
    <w:rsid w:val="00F841A9"/>
    <w:rsid w:val="00F941C3"/>
    <w:rsid w:val="00F95849"/>
    <w:rsid w:val="00F9754D"/>
    <w:rsid w:val="00FA11C8"/>
    <w:rsid w:val="00FA3B4B"/>
    <w:rsid w:val="00FA52A9"/>
    <w:rsid w:val="00FA7567"/>
    <w:rsid w:val="00FB1F12"/>
    <w:rsid w:val="00FB4D00"/>
    <w:rsid w:val="00FC0600"/>
    <w:rsid w:val="00FC22FA"/>
    <w:rsid w:val="00FC2625"/>
    <w:rsid w:val="00FC36BA"/>
    <w:rsid w:val="00FC7078"/>
    <w:rsid w:val="00FD291D"/>
    <w:rsid w:val="00FD3E43"/>
    <w:rsid w:val="00FE3A66"/>
    <w:rsid w:val="00FE3B4F"/>
    <w:rsid w:val="00FE40E1"/>
    <w:rsid w:val="00FE47EC"/>
    <w:rsid w:val="00FE4973"/>
    <w:rsid w:val="00FE797C"/>
    <w:rsid w:val="00FF111B"/>
    <w:rsid w:val="00FF4C2E"/>
    <w:rsid w:val="00FF7B93"/>
    <w:rsid w:val="038F73AB"/>
    <w:rsid w:val="03A77B30"/>
    <w:rsid w:val="048248F1"/>
    <w:rsid w:val="084E540B"/>
    <w:rsid w:val="093673DD"/>
    <w:rsid w:val="0B1F4E29"/>
    <w:rsid w:val="0BF56D61"/>
    <w:rsid w:val="0C1969E9"/>
    <w:rsid w:val="0C9C7485"/>
    <w:rsid w:val="0CE12BAF"/>
    <w:rsid w:val="0CE41EF6"/>
    <w:rsid w:val="0E3508B7"/>
    <w:rsid w:val="0E6062B8"/>
    <w:rsid w:val="0FED3846"/>
    <w:rsid w:val="10410FB7"/>
    <w:rsid w:val="10B94CED"/>
    <w:rsid w:val="10D30DCA"/>
    <w:rsid w:val="12930507"/>
    <w:rsid w:val="13421FD0"/>
    <w:rsid w:val="18526A30"/>
    <w:rsid w:val="1DB8181C"/>
    <w:rsid w:val="21B57ED5"/>
    <w:rsid w:val="21CF2955"/>
    <w:rsid w:val="22B77326"/>
    <w:rsid w:val="23495081"/>
    <w:rsid w:val="25D97EF1"/>
    <w:rsid w:val="267A00D1"/>
    <w:rsid w:val="27D348B3"/>
    <w:rsid w:val="282832E9"/>
    <w:rsid w:val="285E16FC"/>
    <w:rsid w:val="29481433"/>
    <w:rsid w:val="297D1B7F"/>
    <w:rsid w:val="2A466665"/>
    <w:rsid w:val="2BEB5C2F"/>
    <w:rsid w:val="2C9B6C76"/>
    <w:rsid w:val="2E241C21"/>
    <w:rsid w:val="2EAE2F89"/>
    <w:rsid w:val="2EAE76EB"/>
    <w:rsid w:val="2F467D6A"/>
    <w:rsid w:val="2F6A7056"/>
    <w:rsid w:val="30D8629D"/>
    <w:rsid w:val="325D30A7"/>
    <w:rsid w:val="328B0830"/>
    <w:rsid w:val="33782519"/>
    <w:rsid w:val="35DA204B"/>
    <w:rsid w:val="37682375"/>
    <w:rsid w:val="39864615"/>
    <w:rsid w:val="3A5E3DC6"/>
    <w:rsid w:val="3AFD75F3"/>
    <w:rsid w:val="3CE710AF"/>
    <w:rsid w:val="3EB52699"/>
    <w:rsid w:val="3EFF63B3"/>
    <w:rsid w:val="4157035C"/>
    <w:rsid w:val="41D53A02"/>
    <w:rsid w:val="426F528B"/>
    <w:rsid w:val="42FB3B3D"/>
    <w:rsid w:val="440D2D61"/>
    <w:rsid w:val="44260770"/>
    <w:rsid w:val="44294E40"/>
    <w:rsid w:val="45F22372"/>
    <w:rsid w:val="49E61524"/>
    <w:rsid w:val="4E825233"/>
    <w:rsid w:val="4F124CA2"/>
    <w:rsid w:val="4FC3409A"/>
    <w:rsid w:val="51B26AFC"/>
    <w:rsid w:val="52355D72"/>
    <w:rsid w:val="528E5CFF"/>
    <w:rsid w:val="56F02AE8"/>
    <w:rsid w:val="57E14F1A"/>
    <w:rsid w:val="59C8773D"/>
    <w:rsid w:val="5AD57D94"/>
    <w:rsid w:val="5CD46FF3"/>
    <w:rsid w:val="5CF55F56"/>
    <w:rsid w:val="5E2836FB"/>
    <w:rsid w:val="5E8D119F"/>
    <w:rsid w:val="5F332BBC"/>
    <w:rsid w:val="610973E5"/>
    <w:rsid w:val="61843D87"/>
    <w:rsid w:val="631413E7"/>
    <w:rsid w:val="63D15554"/>
    <w:rsid w:val="64EB5D2F"/>
    <w:rsid w:val="667C5B3B"/>
    <w:rsid w:val="66AF3CB2"/>
    <w:rsid w:val="67E84393"/>
    <w:rsid w:val="68AA0FD6"/>
    <w:rsid w:val="690F7427"/>
    <w:rsid w:val="69513E35"/>
    <w:rsid w:val="6AB21E8B"/>
    <w:rsid w:val="6AFE019A"/>
    <w:rsid w:val="6D7871D1"/>
    <w:rsid w:val="6D8D0ADF"/>
    <w:rsid w:val="6D923BA5"/>
    <w:rsid w:val="6DF23950"/>
    <w:rsid w:val="6E9E64C2"/>
    <w:rsid w:val="72DE7937"/>
    <w:rsid w:val="731D2F18"/>
    <w:rsid w:val="744B50A5"/>
    <w:rsid w:val="76A62EC7"/>
    <w:rsid w:val="789059CC"/>
    <w:rsid w:val="78BD4FD6"/>
    <w:rsid w:val="7B1032DC"/>
    <w:rsid w:val="7B2D7F68"/>
    <w:rsid w:val="7DDE2E51"/>
    <w:rsid w:val="7E3A6786"/>
    <w:rsid w:val="7ED94309"/>
    <w:rsid w:val="7F2D23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outlineLvl w:val="0"/>
    </w:pPr>
    <w:rPr>
      <w:b/>
      <w:bCs/>
      <w:kern w:val="44"/>
      <w:szCs w:val="44"/>
    </w:rPr>
  </w:style>
  <w:style w:type="paragraph" w:styleId="2">
    <w:name w:val="heading 2"/>
    <w:basedOn w:val="1"/>
    <w:next w:val="1"/>
    <w:qFormat/>
    <w:uiPriority w:val="0"/>
    <w:pPr>
      <w:keepNext/>
      <w:keepLines/>
      <w:outlineLvl w:val="1"/>
    </w:pPr>
    <w:rPr>
      <w:rFonts w:ascii="Arial" w:hAnsi="Arial"/>
      <w:b/>
      <w:bCs/>
      <w:szCs w:val="32"/>
    </w:rPr>
  </w:style>
  <w:style w:type="paragraph" w:styleId="4">
    <w:name w:val="heading 3"/>
    <w:basedOn w:val="1"/>
    <w:next w:val="1"/>
    <w:qFormat/>
    <w:uiPriority w:val="0"/>
    <w:pPr>
      <w:keepNext/>
      <w:keepLines/>
      <w:outlineLvl w:val="2"/>
    </w:pPr>
    <w:rPr>
      <w:b/>
      <w:bCs/>
      <w:szCs w:val="32"/>
    </w:rPr>
  </w:style>
  <w:style w:type="paragraph" w:styleId="5">
    <w:name w:val="heading 4"/>
    <w:basedOn w:val="1"/>
    <w:next w:val="1"/>
    <w:link w:val="56"/>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6">
    <w:name w:val="heading 5"/>
    <w:basedOn w:val="1"/>
    <w:next w:val="7"/>
    <w:qFormat/>
    <w:uiPriority w:val="0"/>
    <w:pPr>
      <w:keepNext/>
      <w:keepLines/>
      <w:numPr>
        <w:ilvl w:val="4"/>
        <w:numId w:val="1"/>
      </w:numPr>
      <w:spacing w:before="280" w:after="290" w:line="376" w:lineRule="auto"/>
      <w:outlineLvl w:val="4"/>
    </w:pPr>
    <w:rPr>
      <w:b/>
      <w:sz w:val="28"/>
    </w:rPr>
  </w:style>
  <w:style w:type="paragraph" w:styleId="8">
    <w:name w:val="heading 6"/>
    <w:basedOn w:val="1"/>
    <w:next w:val="7"/>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qFormat/>
    <w:uiPriority w:val="0"/>
    <w:pPr>
      <w:keepNext/>
      <w:keepLines/>
      <w:numPr>
        <w:ilvl w:val="6"/>
        <w:numId w:val="1"/>
      </w:numPr>
      <w:spacing w:before="240" w:after="64" w:line="320" w:lineRule="auto"/>
      <w:outlineLvl w:val="6"/>
    </w:pPr>
    <w:rPr>
      <w:b/>
      <w:sz w:val="24"/>
    </w:rPr>
  </w:style>
  <w:style w:type="paragraph" w:styleId="10">
    <w:name w:val="heading 8"/>
    <w:basedOn w:val="1"/>
    <w:next w:val="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qFormat/>
    <w:uiPriority w:val="0"/>
    <w:pPr>
      <w:keepNext/>
      <w:keepLines/>
      <w:numPr>
        <w:ilvl w:val="8"/>
        <w:numId w:val="1"/>
      </w:numPr>
      <w:spacing w:before="240" w:after="64" w:line="320" w:lineRule="auto"/>
      <w:outlineLvl w:val="8"/>
    </w:pPr>
    <w:rPr>
      <w:rFonts w:ascii="Arial" w:hAnsi="Arial" w:eastAsia="黑体"/>
    </w:r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toc 7"/>
    <w:basedOn w:val="1"/>
    <w:next w:val="1"/>
    <w:unhideWhenUsed/>
    <w:qFormat/>
    <w:uiPriority w:val="0"/>
    <w:pPr>
      <w:ind w:left="1260"/>
      <w:jc w:val="left"/>
    </w:pPr>
    <w:rPr>
      <w:rFonts w:ascii="Calibri" w:hAnsi="Calibri"/>
      <w:sz w:val="18"/>
      <w:szCs w:val="18"/>
    </w:rPr>
  </w:style>
  <w:style w:type="paragraph" w:styleId="13">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58"/>
    <w:qFormat/>
    <w:uiPriority w:val="0"/>
    <w:pPr>
      <w:jc w:val="left"/>
    </w:pPr>
  </w:style>
  <w:style w:type="paragraph" w:styleId="17">
    <w:name w:val="Body Text 3"/>
    <w:basedOn w:val="1"/>
    <w:qFormat/>
    <w:uiPriority w:val="0"/>
    <w:pPr>
      <w:spacing w:line="500" w:lineRule="exact"/>
    </w:pPr>
    <w:rPr>
      <w:b/>
      <w:bCs/>
      <w:sz w:val="24"/>
    </w:rPr>
  </w:style>
  <w:style w:type="paragraph" w:styleId="18">
    <w:name w:val="Body Text"/>
    <w:basedOn w:val="1"/>
    <w:qFormat/>
    <w:uiPriority w:val="0"/>
    <w:pPr>
      <w:spacing w:line="380" w:lineRule="exact"/>
    </w:pPr>
    <w:rPr>
      <w:sz w:val="24"/>
    </w:rPr>
  </w:style>
  <w:style w:type="paragraph" w:styleId="19">
    <w:name w:val="Body Text Indent"/>
    <w:basedOn w:val="1"/>
    <w:link w:val="172"/>
    <w:qFormat/>
    <w:uiPriority w:val="0"/>
    <w:pPr>
      <w:ind w:firstLine="830" w:firstLineChars="352"/>
    </w:pPr>
    <w:rPr>
      <w:rFonts w:ascii="仿宋_GB2312" w:eastAsia="仿宋_GB2312"/>
      <w:sz w:val="32"/>
      <w:szCs w:val="20"/>
    </w:rPr>
  </w:style>
  <w:style w:type="paragraph" w:styleId="20">
    <w:name w:val="List Number 3"/>
    <w:basedOn w:val="1"/>
    <w:qFormat/>
    <w:uiPriority w:val="0"/>
    <w:pPr>
      <w:numPr>
        <w:ilvl w:val="0"/>
        <w:numId w:val="1"/>
      </w:numPr>
      <w:tabs>
        <w:tab w:val="left" w:pos="1455"/>
      </w:tabs>
    </w:pPr>
  </w:style>
  <w:style w:type="paragraph" w:styleId="21">
    <w:name w:val="List 2"/>
    <w:basedOn w:val="1"/>
    <w:qFormat/>
    <w:uiPriority w:val="0"/>
    <w:pPr>
      <w:ind w:left="100" w:leftChars="200" w:hanging="200" w:hangingChars="200"/>
    </w:pPr>
    <w:rPr>
      <w:sz w:val="28"/>
    </w:rPr>
  </w:style>
  <w:style w:type="paragraph" w:styleId="22">
    <w:name w:val="toc 5"/>
    <w:basedOn w:val="1"/>
    <w:next w:val="1"/>
    <w:unhideWhenUsed/>
    <w:qFormat/>
    <w:uiPriority w:val="0"/>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66"/>
    <w:qFormat/>
    <w:uiPriority w:val="0"/>
    <w:rPr>
      <w:rFonts w:ascii="宋体" w:hAnsi="Courier New" w:cs="Courier New"/>
      <w:szCs w:val="21"/>
    </w:rPr>
  </w:style>
  <w:style w:type="paragraph" w:styleId="25">
    <w:name w:val="toc 8"/>
    <w:basedOn w:val="1"/>
    <w:next w:val="1"/>
    <w:unhideWhenUsed/>
    <w:qFormat/>
    <w:uiPriority w:val="0"/>
    <w:pPr>
      <w:ind w:left="1470"/>
      <w:jc w:val="left"/>
    </w:pPr>
    <w:rPr>
      <w:rFonts w:ascii="Calibri" w:hAnsi="Calibri"/>
      <w:sz w:val="18"/>
      <w:szCs w:val="18"/>
    </w:rPr>
  </w:style>
  <w:style w:type="paragraph" w:styleId="26">
    <w:name w:val="Date"/>
    <w:basedOn w:val="1"/>
    <w:next w:val="1"/>
    <w:qFormat/>
    <w:uiPriority w:val="0"/>
    <w:pPr>
      <w:ind w:left="100" w:leftChars="2500"/>
    </w:p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link w:val="77"/>
    <w:qFormat/>
    <w:uiPriority w:val="99"/>
    <w:pPr>
      <w:tabs>
        <w:tab w:val="center" w:pos="4153"/>
        <w:tab w:val="right" w:pos="8306"/>
      </w:tabs>
      <w:snapToGrid w:val="0"/>
      <w:jc w:val="left"/>
    </w:pPr>
    <w:rPr>
      <w:sz w:val="18"/>
      <w:szCs w:val="18"/>
    </w:rPr>
  </w:style>
  <w:style w:type="paragraph" w:styleId="30">
    <w:name w:val="header"/>
    <w:basedOn w:val="1"/>
    <w:link w:val="60"/>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rFonts w:ascii="Calibri" w:hAnsi="Calibri"/>
      <w:b/>
      <w:bCs/>
      <w:caps/>
      <w:sz w:val="20"/>
      <w:szCs w:val="20"/>
    </w:rPr>
  </w:style>
  <w:style w:type="paragraph" w:styleId="32">
    <w:name w:val="toc 4"/>
    <w:basedOn w:val="1"/>
    <w:next w:val="1"/>
    <w:unhideWhenUsed/>
    <w:qFormat/>
    <w:uiPriority w:val="0"/>
    <w:pPr>
      <w:ind w:left="630"/>
      <w:jc w:val="left"/>
    </w:pPr>
    <w:rPr>
      <w:rFonts w:ascii="Calibri" w:hAnsi="Calibri"/>
      <w:sz w:val="18"/>
      <w:szCs w:val="18"/>
    </w:rPr>
  </w:style>
  <w:style w:type="paragraph" w:styleId="33">
    <w:name w:val="List"/>
    <w:basedOn w:val="1"/>
    <w:qFormat/>
    <w:uiPriority w:val="0"/>
    <w:pPr>
      <w:ind w:left="200" w:hanging="200" w:hangingChars="200"/>
    </w:pPr>
    <w:rPr>
      <w:sz w:val="28"/>
    </w:rPr>
  </w:style>
  <w:style w:type="paragraph" w:styleId="34">
    <w:name w:val="toc 6"/>
    <w:basedOn w:val="1"/>
    <w:next w:val="1"/>
    <w:unhideWhenUsed/>
    <w:qFormat/>
    <w:uiPriority w:val="0"/>
    <w:pPr>
      <w:ind w:left="1050"/>
      <w:jc w:val="left"/>
    </w:pPr>
    <w:rPr>
      <w:rFonts w:ascii="Calibri" w:hAnsi="Calibri"/>
      <w:sz w:val="18"/>
      <w:szCs w:val="18"/>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39"/>
    <w:pPr>
      <w:ind w:left="210"/>
      <w:jc w:val="left"/>
    </w:pPr>
    <w:rPr>
      <w:rFonts w:ascii="Calibri" w:hAnsi="Calibri"/>
      <w:smallCaps/>
      <w:sz w:val="20"/>
      <w:szCs w:val="20"/>
    </w:rPr>
  </w:style>
  <w:style w:type="paragraph" w:styleId="37">
    <w:name w:val="toc 9"/>
    <w:basedOn w:val="1"/>
    <w:next w:val="1"/>
    <w:unhideWhenUsed/>
    <w:qFormat/>
    <w:uiPriority w:val="0"/>
    <w:pPr>
      <w:ind w:left="1680"/>
      <w:jc w:val="left"/>
    </w:pPr>
    <w:rPr>
      <w:rFonts w:ascii="Calibri" w:hAnsi="Calibri"/>
      <w:sz w:val="18"/>
      <w:szCs w:val="18"/>
    </w:rPr>
  </w:style>
  <w:style w:type="paragraph" w:styleId="38">
    <w:name w:val="Body Text 2"/>
    <w:basedOn w:val="1"/>
    <w:qFormat/>
    <w:uiPriority w:val="0"/>
    <w:pPr>
      <w:spacing w:after="120" w:line="480" w:lineRule="auto"/>
    </w:pPr>
  </w:style>
  <w:style w:type="paragraph" w:styleId="39">
    <w:name w:val="Normal (Web)"/>
    <w:basedOn w:val="1"/>
    <w:link w:val="78"/>
    <w:qFormat/>
    <w:uiPriority w:val="0"/>
    <w:pPr>
      <w:widowControl/>
      <w:jc w:val="left"/>
    </w:pPr>
    <w:rPr>
      <w:rFonts w:ascii="宋体" w:hAnsi="宋体"/>
      <w:kern w:val="0"/>
      <w:sz w:val="24"/>
    </w:rPr>
  </w:style>
  <w:style w:type="paragraph" w:styleId="40">
    <w:name w:val="index 1"/>
    <w:basedOn w:val="1"/>
    <w:next w:val="1"/>
    <w:qFormat/>
    <w:uiPriority w:val="0"/>
    <w:pPr>
      <w:spacing w:line="400" w:lineRule="exact"/>
      <w:ind w:firstLine="420" w:firstLineChars="200"/>
    </w:pPr>
    <w:rPr>
      <w:rFonts w:ascii="宋体" w:hAnsi="Courier New"/>
      <w:b/>
      <w:szCs w:val="20"/>
    </w:rPr>
  </w:style>
  <w:style w:type="paragraph" w:styleId="41">
    <w:name w:val="Title"/>
    <w:basedOn w:val="1"/>
    <w:next w:val="1"/>
    <w:link w:val="75"/>
    <w:qFormat/>
    <w:uiPriority w:val="0"/>
    <w:pPr>
      <w:spacing w:before="240" w:after="60"/>
      <w:jc w:val="center"/>
      <w:outlineLvl w:val="0"/>
    </w:pPr>
    <w:rPr>
      <w:rFonts w:ascii="Cambria" w:hAnsi="Cambria"/>
      <w:b/>
      <w:bCs/>
      <w:sz w:val="32"/>
      <w:szCs w:val="32"/>
    </w:rPr>
  </w:style>
  <w:style w:type="paragraph" w:styleId="42">
    <w:name w:val="annotation subject"/>
    <w:basedOn w:val="16"/>
    <w:next w:val="16"/>
    <w:link w:val="62"/>
    <w:qFormat/>
    <w:uiPriority w:val="0"/>
    <w:rPr>
      <w:rFonts w:ascii="宋体" w:hAnsi="Courier New"/>
      <w:szCs w:val="20"/>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Emphasis"/>
    <w:qFormat/>
    <w:uiPriority w:val="20"/>
    <w:rPr>
      <w:i/>
      <w:iCs/>
    </w:rPr>
  </w:style>
  <w:style w:type="character" w:styleId="49">
    <w:name w:val="HTML Definition"/>
    <w:qFormat/>
    <w:uiPriority w:val="0"/>
  </w:style>
  <w:style w:type="character" w:styleId="50">
    <w:name w:val="HTML Acronym"/>
    <w:basedOn w:val="45"/>
    <w:qFormat/>
    <w:uiPriority w:val="0"/>
  </w:style>
  <w:style w:type="character" w:styleId="51">
    <w:name w:val="HTML Variable"/>
    <w:qFormat/>
    <w:uiPriority w:val="0"/>
  </w:style>
  <w:style w:type="character" w:styleId="52">
    <w:name w:val="Hyperlink"/>
    <w:qFormat/>
    <w:uiPriority w:val="99"/>
    <w:rPr>
      <w:color w:val="333333"/>
      <w:u w:val="none"/>
    </w:rPr>
  </w:style>
  <w:style w:type="character" w:styleId="53">
    <w:name w:val="HTML Code"/>
    <w:qFormat/>
    <w:uiPriority w:val="0"/>
    <w:rPr>
      <w:rFonts w:ascii="Courier New" w:hAnsi="Courier New"/>
      <w:color w:val="505050"/>
      <w:sz w:val="24"/>
      <w:szCs w:val="24"/>
    </w:rPr>
  </w:style>
  <w:style w:type="character" w:styleId="54">
    <w:name w:val="annotation reference"/>
    <w:qFormat/>
    <w:uiPriority w:val="0"/>
    <w:rPr>
      <w:sz w:val="21"/>
      <w:szCs w:val="21"/>
    </w:rPr>
  </w:style>
  <w:style w:type="character" w:styleId="55">
    <w:name w:val="HTML Cite"/>
    <w:qFormat/>
    <w:uiPriority w:val="0"/>
  </w:style>
  <w:style w:type="character" w:customStyle="1" w:styleId="56">
    <w:name w:val="标题 4 Char"/>
    <w:link w:val="5"/>
    <w:qFormat/>
    <w:uiPriority w:val="0"/>
    <w:rPr>
      <w:rFonts w:ascii="Arial" w:hAnsi="Arial" w:eastAsia="黑体"/>
      <w:b/>
      <w:kern w:val="2"/>
      <w:sz w:val="28"/>
    </w:rPr>
  </w:style>
  <w:style w:type="character" w:customStyle="1" w:styleId="57">
    <w:name w:val="访问过的超链接"/>
    <w:qFormat/>
    <w:uiPriority w:val="0"/>
    <w:rPr>
      <w:color w:val="333333"/>
      <w:u w:val="none"/>
    </w:rPr>
  </w:style>
  <w:style w:type="character" w:customStyle="1" w:styleId="58">
    <w:name w:val="批注文字 Char"/>
    <w:link w:val="16"/>
    <w:qFormat/>
    <w:uiPriority w:val="0"/>
    <w:rPr>
      <w:kern w:val="2"/>
      <w:sz w:val="21"/>
      <w:szCs w:val="24"/>
      <w:lang w:bidi="ar-SA"/>
    </w:rPr>
  </w:style>
  <w:style w:type="character" w:customStyle="1" w:styleId="59">
    <w:name w:val="textcontents"/>
    <w:basedOn w:val="45"/>
    <w:qFormat/>
    <w:uiPriority w:val="0"/>
  </w:style>
  <w:style w:type="character" w:customStyle="1" w:styleId="60">
    <w:name w:val="页眉 Char"/>
    <w:link w:val="30"/>
    <w:qFormat/>
    <w:uiPriority w:val="99"/>
    <w:rPr>
      <w:rFonts w:eastAsia="宋体"/>
      <w:kern w:val="2"/>
      <w:sz w:val="18"/>
      <w:szCs w:val="18"/>
      <w:lang w:val="en-US" w:eastAsia="zh-CN" w:bidi="ar-SA"/>
    </w:rPr>
  </w:style>
  <w:style w:type="character" w:customStyle="1" w:styleId="61">
    <w:name w:val="Char Char2"/>
    <w:qFormat/>
    <w:uiPriority w:val="0"/>
    <w:rPr>
      <w:kern w:val="2"/>
      <w:sz w:val="21"/>
      <w:szCs w:val="24"/>
    </w:rPr>
  </w:style>
  <w:style w:type="character" w:customStyle="1" w:styleId="62">
    <w:name w:val="批注主题 Char"/>
    <w:link w:val="42"/>
    <w:qFormat/>
    <w:uiPriority w:val="0"/>
    <w:rPr>
      <w:rFonts w:ascii="宋体" w:hAnsi="Courier New" w:eastAsia="宋体"/>
      <w:kern w:val="2"/>
      <w:sz w:val="21"/>
      <w:lang w:val="en-US" w:eastAsia="zh-CN" w:bidi="ar-SA"/>
    </w:rPr>
  </w:style>
  <w:style w:type="character" w:customStyle="1" w:styleId="63">
    <w:name w:val="普通文字 Char Char1"/>
    <w:qFormat/>
    <w:uiPriority w:val="0"/>
    <w:rPr>
      <w:rFonts w:ascii="宋体" w:hAnsi="Courier New" w:eastAsia="宋体" w:cs="Courier New"/>
      <w:kern w:val="2"/>
      <w:sz w:val="21"/>
      <w:szCs w:val="21"/>
      <w:lang w:val="en-US" w:eastAsia="zh-CN" w:bidi="ar-SA"/>
    </w:rPr>
  </w:style>
  <w:style w:type="character" w:customStyle="1" w:styleId="64">
    <w:name w:val="case31"/>
    <w:qFormat/>
    <w:uiPriority w:val="0"/>
    <w:rPr>
      <w:rFonts w:hint="default"/>
      <w:sz w:val="21"/>
      <w:szCs w:val="21"/>
    </w:rPr>
  </w:style>
  <w:style w:type="character" w:customStyle="1" w:styleId="65">
    <w:name w:val="Char Char5"/>
    <w:qFormat/>
    <w:uiPriority w:val="0"/>
    <w:rPr>
      <w:rFonts w:eastAsia="宋体"/>
      <w:kern w:val="2"/>
      <w:sz w:val="21"/>
      <w:szCs w:val="24"/>
      <w:lang w:val="en-US" w:eastAsia="zh-CN" w:bidi="ar-SA"/>
    </w:rPr>
  </w:style>
  <w:style w:type="character" w:customStyle="1" w:styleId="66">
    <w:name w:val="纯文本 Char"/>
    <w:link w:val="24"/>
    <w:qFormat/>
    <w:uiPriority w:val="0"/>
    <w:rPr>
      <w:rFonts w:ascii="宋体" w:hAnsi="Courier New" w:eastAsia="宋体" w:cs="Courier New"/>
      <w:kern w:val="2"/>
      <w:sz w:val="21"/>
      <w:szCs w:val="21"/>
      <w:lang w:val="en-US" w:eastAsia="zh-CN" w:bidi="ar-SA"/>
    </w:rPr>
  </w:style>
  <w:style w:type="character" w:customStyle="1" w:styleId="67">
    <w:name w:val="无间隔 Char"/>
    <w:link w:val="68"/>
    <w:qFormat/>
    <w:uiPriority w:val="0"/>
    <w:rPr>
      <w:rFonts w:ascii="Calibri" w:hAnsi="Calibri" w:eastAsia="Times New Roman"/>
      <w:sz w:val="22"/>
      <w:szCs w:val="22"/>
      <w:lang w:val="en-US" w:eastAsia="zh-CN" w:bidi="ar-SA"/>
    </w:rPr>
  </w:style>
  <w:style w:type="paragraph" w:styleId="68">
    <w:name w:val="No Spacing"/>
    <w:link w:val="67"/>
    <w:qFormat/>
    <w:uiPriority w:val="0"/>
    <w:rPr>
      <w:rFonts w:ascii="Calibri" w:hAnsi="Calibri" w:eastAsia="Times New Roman" w:cs="Times New Roman"/>
      <w:sz w:val="22"/>
      <w:szCs w:val="22"/>
      <w:lang w:val="en-US" w:eastAsia="zh-CN" w:bidi="ar-SA"/>
    </w:rPr>
  </w:style>
  <w:style w:type="character" w:customStyle="1" w:styleId="69">
    <w:name w:val="lb1"/>
    <w:qFormat/>
    <w:uiPriority w:val="0"/>
    <w:rPr>
      <w:rFonts w:hint="default"/>
      <w:b/>
      <w:bCs/>
      <w:color w:val="0851A5"/>
      <w:sz w:val="27"/>
      <w:szCs w:val="27"/>
    </w:rPr>
  </w:style>
  <w:style w:type="character" w:customStyle="1" w:styleId="70">
    <w:name w:val="Char Char Char"/>
    <w:qFormat/>
    <w:uiPriority w:val="0"/>
    <w:rPr>
      <w:rFonts w:ascii="宋体" w: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szCs w:val="20"/>
      <w:u w:val="none"/>
    </w:rPr>
  </w:style>
  <w:style w:type="character" w:customStyle="1" w:styleId="72">
    <w:name w:val="search_content1"/>
    <w:qFormat/>
    <w:uiPriority w:val="0"/>
    <w:rPr>
      <w:sz w:val="20"/>
      <w:szCs w:val="20"/>
    </w:rPr>
  </w:style>
  <w:style w:type="character" w:customStyle="1" w:styleId="73">
    <w:name w:val="Char Char21"/>
    <w:qFormat/>
    <w:uiPriority w:val="0"/>
    <w:rPr>
      <w:rFonts w:ascii="宋体" w:hAnsi="宋体" w:eastAsia="宋体"/>
      <w:kern w:val="2"/>
      <w:sz w:val="21"/>
      <w:szCs w:val="24"/>
      <w:lang w:val="en-US" w:eastAsia="zh-CN" w:bidi="ar-SA"/>
    </w:rPr>
  </w:style>
  <w:style w:type="character" w:customStyle="1" w:styleId="74">
    <w:name w:val="apple-converted-space"/>
    <w:basedOn w:val="45"/>
    <w:qFormat/>
    <w:uiPriority w:val="0"/>
  </w:style>
  <w:style w:type="character" w:customStyle="1" w:styleId="75">
    <w:name w:val="标题 Char"/>
    <w:link w:val="41"/>
    <w:qFormat/>
    <w:uiPriority w:val="0"/>
    <w:rPr>
      <w:rFonts w:ascii="Cambria" w:hAnsi="Cambria" w:eastAsia="宋体"/>
      <w:b/>
      <w:bCs/>
      <w:kern w:val="2"/>
      <w:sz w:val="32"/>
      <w:szCs w:val="32"/>
      <w:lang w:val="en-US" w:eastAsia="zh-CN" w:bidi="ar-SA"/>
    </w:rPr>
  </w:style>
  <w:style w:type="character" w:customStyle="1" w:styleId="76">
    <w:name w:val="font31"/>
    <w:qFormat/>
    <w:uiPriority w:val="0"/>
    <w:rPr>
      <w:rFonts w:hint="eastAsia" w:ascii="宋体" w:hAnsi="宋体" w:eastAsia="宋体" w:cs="宋体"/>
      <w:color w:val="000000"/>
      <w:sz w:val="20"/>
      <w:szCs w:val="20"/>
      <w:u w:val="none"/>
    </w:rPr>
  </w:style>
  <w:style w:type="character" w:customStyle="1" w:styleId="77">
    <w:name w:val="页脚 Char"/>
    <w:basedOn w:val="45"/>
    <w:link w:val="29"/>
    <w:qFormat/>
    <w:uiPriority w:val="99"/>
    <w:rPr>
      <w:kern w:val="2"/>
      <w:sz w:val="18"/>
      <w:szCs w:val="18"/>
    </w:rPr>
  </w:style>
  <w:style w:type="character" w:customStyle="1" w:styleId="78">
    <w:name w:val="普通(网站) Char"/>
    <w:link w:val="39"/>
    <w:qFormat/>
    <w:locked/>
    <w:uiPriority w:val="0"/>
    <w:rPr>
      <w:rFonts w:ascii="宋体" w:hAnsi="宋体" w:cs="宋体"/>
      <w:sz w:val="24"/>
      <w:szCs w:val="24"/>
    </w:rPr>
  </w:style>
  <w:style w:type="paragraph" w:customStyle="1" w:styleId="79">
    <w:name w:val="表格"/>
    <w:basedOn w:val="1"/>
    <w:qFormat/>
    <w:uiPriority w:val="0"/>
    <w:pPr>
      <w:spacing w:line="400" w:lineRule="exact"/>
    </w:pPr>
    <w:rPr>
      <w:sz w:val="24"/>
    </w:rPr>
  </w:style>
  <w:style w:type="paragraph" w:customStyle="1" w:styleId="8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1">
    <w:name w:val="正文段"/>
    <w:basedOn w:val="1"/>
    <w:qFormat/>
    <w:uiPriority w:val="0"/>
    <w:pPr>
      <w:widowControl/>
      <w:snapToGrid w:val="0"/>
      <w:spacing w:afterLines="50"/>
      <w:ind w:firstLine="200" w:firstLineChars="200"/>
    </w:pPr>
    <w:rPr>
      <w:kern w:val="0"/>
      <w:sz w:val="24"/>
      <w:szCs w:val="20"/>
    </w:rPr>
  </w:style>
  <w:style w:type="paragraph" w:customStyle="1" w:styleId="8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84">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85">
    <w:name w:val="14 Char Char Char Char Char Char Char Char Char Char Char Char"/>
    <w:basedOn w:val="1"/>
    <w:qFormat/>
    <w:uiPriority w:val="0"/>
    <w:pPr>
      <w:widowControl/>
      <w:spacing w:after="160" w:line="240" w:lineRule="exact"/>
      <w:jc w:val="left"/>
    </w:pPr>
  </w:style>
  <w:style w:type="paragraph" w:customStyle="1" w:styleId="86">
    <w:name w:val="正文首行缩进两字符"/>
    <w:basedOn w:val="1"/>
    <w:qFormat/>
    <w:uiPriority w:val="0"/>
    <w:pPr>
      <w:spacing w:line="360" w:lineRule="auto"/>
      <w:ind w:firstLine="200" w:firstLineChars="200"/>
    </w:pPr>
  </w:style>
  <w:style w:type="paragraph" w:customStyle="1" w:styleId="8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8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8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2">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3">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5">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97">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9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0">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01">
    <w:name w:val="样式 首行缩进:  2 字符"/>
    <w:basedOn w:val="1"/>
    <w:qFormat/>
    <w:uiPriority w:val="0"/>
    <w:pPr>
      <w:spacing w:line="400" w:lineRule="exact"/>
      <w:ind w:firstLine="200" w:firstLineChars="200"/>
    </w:pPr>
    <w:rPr>
      <w:rFonts w:cs="宋体"/>
      <w:sz w:val="24"/>
    </w:rPr>
  </w:style>
  <w:style w:type="paragraph" w:customStyle="1" w:styleId="10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4">
    <w:name w:val="默认段落字体 Para Char"/>
    <w:basedOn w:val="1"/>
    <w:qFormat/>
    <w:uiPriority w:val="0"/>
    <w:pPr>
      <w:adjustRightInd w:val="0"/>
      <w:spacing w:line="360" w:lineRule="auto"/>
    </w:pPr>
    <w:rPr>
      <w:kern w:val="0"/>
      <w:sz w:val="24"/>
      <w:szCs w:val="20"/>
    </w:rPr>
  </w:style>
  <w:style w:type="paragraph" w:customStyle="1" w:styleId="105">
    <w:name w:val="p0"/>
    <w:basedOn w:val="1"/>
    <w:qFormat/>
    <w:uiPriority w:val="0"/>
    <w:pPr>
      <w:widowControl/>
    </w:pPr>
    <w:rPr>
      <w:kern w:val="0"/>
      <w:szCs w:val="21"/>
    </w:rPr>
  </w:style>
  <w:style w:type="paragraph" w:customStyle="1" w:styleId="106">
    <w:name w:val="Char Char Char Char Char Char"/>
    <w:basedOn w:val="1"/>
    <w:qFormat/>
    <w:uiPriority w:val="0"/>
  </w:style>
  <w:style w:type="paragraph" w:customStyle="1" w:styleId="107">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10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0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1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3">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1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15">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7">
    <w:name w:val="Char1"/>
    <w:basedOn w:val="1"/>
    <w:qFormat/>
    <w:uiPriority w:val="0"/>
    <w:rPr>
      <w:szCs w:val="21"/>
    </w:rPr>
  </w:style>
  <w:style w:type="paragraph" w:customStyle="1" w:styleId="118">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19">
    <w:name w:val="修订1"/>
    <w:qFormat/>
    <w:uiPriority w:val="0"/>
    <w:rPr>
      <w:rFonts w:ascii="Times New Roman" w:hAnsi="Times New Roman" w:eastAsia="宋体" w:cs="Times New Roman"/>
      <w:kern w:val="2"/>
      <w:sz w:val="21"/>
      <w:szCs w:val="24"/>
      <w:lang w:val="en-US" w:eastAsia="zh-CN" w:bidi="ar-SA"/>
    </w:rPr>
  </w:style>
  <w:style w:type="paragraph" w:customStyle="1" w:styleId="120">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123">
    <w:name w:val="font10"/>
    <w:basedOn w:val="1"/>
    <w:qFormat/>
    <w:uiPriority w:val="0"/>
    <w:pPr>
      <w:widowControl/>
      <w:spacing w:before="100" w:beforeAutospacing="1" w:after="100" w:afterAutospacing="1"/>
      <w:jc w:val="left"/>
    </w:pPr>
    <w:rPr>
      <w:kern w:val="0"/>
      <w:sz w:val="20"/>
      <w:szCs w:val="20"/>
    </w:rPr>
  </w:style>
  <w:style w:type="paragraph" w:customStyle="1" w:styleId="124">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1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26">
    <w:name w:val="默认段落字体 Para Char Char Char Char Char Char Char Char Char1 Char Char Char Char"/>
    <w:basedOn w:val="1"/>
    <w:qFormat/>
    <w:uiPriority w:val="0"/>
    <w:rPr>
      <w:rFonts w:ascii="Tahoma" w:hAnsi="Tahoma"/>
      <w:sz w:val="24"/>
      <w:szCs w:val="20"/>
    </w:rPr>
  </w:style>
  <w:style w:type="paragraph" w:customStyle="1" w:styleId="12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8">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3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1">
    <w:name w:val="Char"/>
    <w:basedOn w:val="15"/>
    <w:qFormat/>
    <w:uiPriority w:val="0"/>
    <w:pPr>
      <w:widowControl/>
      <w:ind w:firstLine="454"/>
      <w:jc w:val="left"/>
    </w:pPr>
    <w:rPr>
      <w:rFonts w:ascii="Tahoma" w:hAnsi="Tahoma" w:cs="宋体"/>
      <w:kern w:val="0"/>
      <w:sz w:val="24"/>
      <w:szCs w:val="20"/>
    </w:rPr>
  </w:style>
  <w:style w:type="paragraph" w:styleId="132">
    <w:name w:val="List Paragraph"/>
    <w:basedOn w:val="1"/>
    <w:qFormat/>
    <w:uiPriority w:val="34"/>
    <w:pPr>
      <w:ind w:firstLine="420" w:firstLineChars="200"/>
    </w:pPr>
  </w:style>
  <w:style w:type="paragraph" w:customStyle="1" w:styleId="133">
    <w:name w:val="列出段落1"/>
    <w:basedOn w:val="1"/>
    <w:qFormat/>
    <w:uiPriority w:val="0"/>
    <w:pPr>
      <w:ind w:firstLine="420" w:firstLineChars="200"/>
    </w:pPr>
    <w:rPr>
      <w:rFonts w:ascii="Calibri" w:hAnsi="Calibri"/>
      <w:szCs w:val="22"/>
    </w:rPr>
  </w:style>
  <w:style w:type="paragraph" w:customStyle="1" w:styleId="134">
    <w:name w:val="样式 标题 2 + Times New Roman 四号 非加粗 段前: 5 磅 段后: 0 磅 行距: 固定值 20..."/>
    <w:basedOn w:val="2"/>
    <w:qFormat/>
    <w:uiPriority w:val="0"/>
    <w:pPr>
      <w:spacing w:before="100" w:line="400" w:lineRule="exact"/>
    </w:pPr>
    <w:rPr>
      <w:rFonts w:ascii="Times New Roman" w:hAnsi="Times New Roman" w:cs="宋体"/>
      <w:b w:val="0"/>
      <w:bCs w:val="0"/>
      <w:sz w:val="28"/>
      <w:szCs w:val="20"/>
    </w:rPr>
  </w:style>
  <w:style w:type="paragraph" w:customStyle="1" w:styleId="13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3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7">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3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40">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4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3">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4">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6">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49">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151">
    <w:name w:val="font7"/>
    <w:basedOn w:val="1"/>
    <w:qFormat/>
    <w:uiPriority w:val="0"/>
    <w:pPr>
      <w:widowControl/>
      <w:spacing w:before="100" w:beforeAutospacing="1" w:after="100" w:afterAutospacing="1"/>
      <w:jc w:val="left"/>
    </w:pPr>
    <w:rPr>
      <w:kern w:val="0"/>
      <w:sz w:val="16"/>
      <w:szCs w:val="16"/>
    </w:rPr>
  </w:style>
  <w:style w:type="paragraph" w:customStyle="1" w:styleId="152">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5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56">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9">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60">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61">
    <w:name w:val="Char Char6"/>
    <w:basedOn w:val="15"/>
    <w:qFormat/>
    <w:uiPriority w:val="0"/>
    <w:pPr>
      <w:widowControl/>
      <w:ind w:firstLine="454"/>
      <w:jc w:val="left"/>
    </w:pPr>
  </w:style>
  <w:style w:type="paragraph" w:customStyle="1" w:styleId="16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63">
    <w:name w:val="tdmpwh"/>
    <w:qFormat/>
    <w:uiPriority w:val="0"/>
  </w:style>
  <w:style w:type="character" w:customStyle="1" w:styleId="164">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65">
    <w:name w:val="Char Char4"/>
    <w:qFormat/>
    <w:uiPriority w:val="0"/>
    <w:rPr>
      <w:rFonts w:ascii="宋体" w:hAnsi="Courier New" w:eastAsia="宋体" w:cs="Courier New"/>
      <w:kern w:val="2"/>
      <w:sz w:val="21"/>
      <w:szCs w:val="21"/>
      <w:lang w:val="en-US" w:eastAsia="zh-CN" w:bidi="ar-SA"/>
    </w:rPr>
  </w:style>
  <w:style w:type="character" w:customStyle="1" w:styleId="166">
    <w:name w:val="Plain Text Char"/>
    <w:qFormat/>
    <w:locked/>
    <w:uiPriority w:val="0"/>
    <w:rPr>
      <w:rFonts w:ascii="宋体" w:hAnsi="Courier New" w:eastAsia="宋体" w:cs="Courier New"/>
      <w:kern w:val="2"/>
      <w:sz w:val="21"/>
      <w:szCs w:val="21"/>
      <w:lang w:val="en-US" w:eastAsia="zh-CN" w:bidi="ar-SA"/>
    </w:rPr>
  </w:style>
  <w:style w:type="character" w:customStyle="1" w:styleId="167">
    <w:name w:val="样式 body + 仿宋_GB2312 三号"/>
    <w:qFormat/>
    <w:uiPriority w:val="0"/>
    <w:rPr>
      <w:rFonts w:ascii="宋体" w:eastAsia="宋体"/>
      <w:kern w:val="0"/>
      <w:sz w:val="24"/>
      <w:szCs w:val="24"/>
      <w:lang w:val="en-US" w:eastAsia="zh-CN" w:bidi="ar-SA"/>
    </w:rPr>
  </w:style>
  <w:style w:type="character" w:customStyle="1" w:styleId="168">
    <w:name w:val="14"/>
    <w:basedOn w:val="45"/>
    <w:qFormat/>
    <w:uiPriority w:val="0"/>
  </w:style>
  <w:style w:type="paragraph" w:customStyle="1" w:styleId="169">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70">
    <w:name w:val="_Style 81"/>
    <w:basedOn w:val="15"/>
    <w:qFormat/>
    <w:uiPriority w:val="0"/>
    <w:pPr>
      <w:widowControl/>
      <w:ind w:firstLine="454"/>
      <w:jc w:val="left"/>
    </w:pPr>
  </w:style>
  <w:style w:type="paragraph" w:customStyle="1" w:styleId="171">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72">
    <w:name w:val="正文文本缩进 Char"/>
    <w:link w:val="19"/>
    <w:qFormat/>
    <w:uiPriority w:val="0"/>
    <w:rPr>
      <w:rFonts w:ascii="仿宋_GB2312" w:eastAsia="仿宋_GB2312"/>
      <w:kern w:val="2"/>
      <w:sz w:val="32"/>
    </w:rPr>
  </w:style>
  <w:style w:type="paragraph" w:customStyle="1" w:styleId="173">
    <w:name w:val="1"/>
    <w:basedOn w:val="1"/>
    <w:next w:val="24"/>
    <w:qFormat/>
    <w:uiPriority w:val="0"/>
    <w:rPr>
      <w:rFonts w:ascii="宋体" w:hAnsi="Courier New"/>
      <w:szCs w:val="20"/>
    </w:rPr>
  </w:style>
  <w:style w:type="character" w:customStyle="1" w:styleId="174">
    <w:name w:val="font21"/>
    <w:basedOn w:val="45"/>
    <w:qFormat/>
    <w:uiPriority w:val="0"/>
    <w:rPr>
      <w:rFonts w:hint="default" w:ascii="Tahoma" w:hAnsi="Tahoma" w:eastAsia="Tahoma" w:cs="Tahoma"/>
      <w:color w:val="000000"/>
      <w:sz w:val="22"/>
      <w:szCs w:val="22"/>
      <w:u w:val="none"/>
    </w:rPr>
  </w:style>
  <w:style w:type="character" w:customStyle="1" w:styleId="175">
    <w:name w:val="font01"/>
    <w:basedOn w:val="4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593C4B-30CE-45FC-9892-DB6B484C03F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62</Pages>
  <Words>5526</Words>
  <Characters>31502</Characters>
  <Lines>262</Lines>
  <Paragraphs>73</Paragraphs>
  <TotalTime>456</TotalTime>
  <ScaleCrop>false</ScaleCrop>
  <LinksUpToDate>false</LinksUpToDate>
  <CharactersWithSpaces>36955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2018-10-23T02:24:00Z</dcterms:created>
  <dc:creator>微软用户</dc:creator>
  <cp:lastModifiedBy>Lenovo</cp:lastModifiedBy>
  <cp:lastPrinted>2019-02-28T07:06:00Z</cp:lastPrinted>
  <dcterms:modified xsi:type="dcterms:W3CDTF">2020-11-15T14:02:56Z</dcterms:modified>
  <dc:title>竞争性谈判采购文件</dc:title>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