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pacing w:val="116"/>
          <w:sz w:val="52"/>
        </w:rPr>
      </w:pPr>
    </w:p>
    <w:p>
      <w:pPr>
        <w:spacing w:line="360" w:lineRule="auto"/>
        <w:jc w:val="center"/>
        <w:rPr>
          <w:rFonts w:ascii="宋体" w:hAnsi="宋体" w:eastAsia="宋体"/>
          <w:b/>
          <w:sz w:val="44"/>
          <w:szCs w:val="44"/>
          <w14:shadow w14:blurRad="50800" w14:dist="38100" w14:dir="2700000" w14:sx="100000" w14:sy="100000" w14:kx="0" w14:ky="0" w14:algn="tl">
            <w14:srgbClr w14:val="000000">
              <w14:alpha w14:val="60000"/>
            </w14:srgbClr>
          </w14:shadow>
        </w:rPr>
      </w:pPr>
      <w:r>
        <w:rPr>
          <w:rFonts w:hint="eastAsia" w:ascii="宋体" w:hAnsi="宋体" w:eastAsia="宋体"/>
          <w:b/>
          <w:sz w:val="44"/>
          <w:szCs w:val="44"/>
          <w14:shadow w14:blurRad="50800" w14:dist="38100" w14:dir="2700000" w14:sx="100000" w14:sy="100000" w14:kx="0" w14:ky="0" w14:algn="tl">
            <w14:srgbClr w14:val="000000">
              <w14:alpha w14:val="60000"/>
            </w14:srgbClr>
          </w14:shadow>
        </w:rPr>
        <w:t>广西建设工程机电设备招标中心有限公司</w:t>
      </w:r>
    </w:p>
    <w:p>
      <w:pPr>
        <w:spacing w:line="360" w:lineRule="auto"/>
        <w:jc w:val="center"/>
        <w:rPr>
          <w:rFonts w:ascii="宋体" w:hAnsi="宋体" w:eastAsia="宋体"/>
          <w:b/>
          <w:bCs/>
          <w:spacing w:val="100"/>
          <w:sz w:val="44"/>
          <w:szCs w:val="44"/>
          <w14:shadow w14:blurRad="50800" w14:dist="38100" w14:dir="2700000" w14:sx="100000" w14:sy="100000" w14:kx="0" w14:ky="0" w14:algn="tl">
            <w14:srgbClr w14:val="000000">
              <w14:alpha w14:val="60000"/>
            </w14:srgbClr>
          </w14:shadow>
        </w:rPr>
      </w:pPr>
    </w:p>
    <w:p>
      <w:pPr>
        <w:spacing w:line="360" w:lineRule="auto"/>
        <w:jc w:val="center"/>
        <w:rPr>
          <w:rFonts w:ascii="宋体" w:hAnsi="宋体" w:eastAsia="宋体"/>
          <w:b/>
          <w:bCs/>
          <w:spacing w:val="100"/>
          <w:sz w:val="44"/>
          <w:szCs w:val="44"/>
          <w14:shadow w14:blurRad="50800" w14:dist="38100" w14:dir="2700000" w14:sx="100000" w14:sy="100000" w14:kx="0" w14:ky="0" w14:algn="tl">
            <w14:srgbClr w14:val="000000">
              <w14:alpha w14:val="60000"/>
            </w14:srgbClr>
          </w14:shadow>
        </w:rPr>
      </w:pPr>
    </w:p>
    <w:p>
      <w:pPr>
        <w:spacing w:line="360" w:lineRule="auto"/>
        <w:jc w:val="center"/>
        <w:rPr>
          <w:rFonts w:ascii="宋体" w:hAnsi="宋体" w:eastAsia="宋体"/>
          <w:sz w:val="84"/>
          <w:szCs w:val="84"/>
        </w:rPr>
      </w:pPr>
      <w:r>
        <w:rPr>
          <w:rFonts w:hint="eastAsia" w:ascii="宋体" w:hAnsi="宋体" w:eastAsia="宋体"/>
          <w:b/>
          <w:bCs/>
          <w:sz w:val="84"/>
          <w:szCs w:val="84"/>
          <w14:shadow w14:blurRad="50800" w14:dist="38100" w14:dir="2700000" w14:sx="100000" w14:sy="100000" w14:kx="0" w14:ky="0" w14:algn="tl">
            <w14:srgbClr w14:val="000000">
              <w14:alpha w14:val="60000"/>
            </w14:srgbClr>
          </w14:shadow>
        </w:rPr>
        <w:t>竞争性磋商文件</w:t>
      </w:r>
    </w:p>
    <w:p>
      <w:pPr>
        <w:spacing w:line="360" w:lineRule="auto"/>
        <w:ind w:right="720" w:rightChars="300" w:firstLine="551" w:firstLineChars="196"/>
        <w:rPr>
          <w:rFonts w:ascii="宋体" w:hAnsi="宋体" w:eastAsia="宋体"/>
          <w:b/>
          <w:sz w:val="28"/>
          <w:szCs w:val="28"/>
        </w:rPr>
      </w:pPr>
    </w:p>
    <w:p>
      <w:pPr>
        <w:spacing w:line="360" w:lineRule="auto"/>
        <w:ind w:right="720" w:rightChars="300" w:firstLine="551" w:firstLineChars="196"/>
        <w:rPr>
          <w:rFonts w:ascii="宋体" w:hAnsi="宋体" w:eastAsia="宋体"/>
          <w:b/>
          <w:sz w:val="28"/>
          <w:szCs w:val="28"/>
        </w:rPr>
      </w:pPr>
    </w:p>
    <w:p>
      <w:pPr>
        <w:spacing w:line="360" w:lineRule="auto"/>
        <w:ind w:right="720" w:rightChars="300" w:firstLine="643" w:firstLineChars="200"/>
        <w:rPr>
          <w:rFonts w:ascii="宋体" w:hAnsi="宋体" w:eastAsia="宋体"/>
          <w:b/>
          <w:sz w:val="32"/>
          <w:szCs w:val="32"/>
        </w:rPr>
      </w:pPr>
      <w:r>
        <w:rPr>
          <w:rFonts w:hint="eastAsia" w:ascii="宋体" w:hAnsi="宋体" w:eastAsia="宋体"/>
          <w:b/>
          <w:sz w:val="32"/>
          <w:szCs w:val="32"/>
        </w:rPr>
        <w:t>项目名称</w:t>
      </w:r>
      <w:r>
        <w:rPr>
          <w:rFonts w:hint="eastAsia" w:ascii="宋体" w:hAnsi="宋体" w:eastAsia="宋体"/>
          <w:b/>
          <w:sz w:val="32"/>
          <w:szCs w:val="32"/>
          <w:lang w:eastAsia="zh-CN"/>
        </w:rPr>
        <w:t>：自治区森林公安局物证鉴定所实验设备采购</w:t>
      </w:r>
      <w:r>
        <w:rPr>
          <w:rFonts w:hint="eastAsia" w:ascii="宋体" w:hAnsi="宋体" w:eastAsia="宋体"/>
          <w:b/>
          <w:sz w:val="32"/>
          <w:szCs w:val="32"/>
        </w:rPr>
        <w:t xml:space="preserve">   </w:t>
      </w:r>
    </w:p>
    <w:p>
      <w:pPr>
        <w:spacing w:line="360" w:lineRule="auto"/>
        <w:ind w:firstLine="643" w:firstLineChars="200"/>
        <w:rPr>
          <w:rFonts w:hint="eastAsia" w:ascii="宋体" w:hAnsi="宋体" w:eastAsia="宋体"/>
          <w:b/>
          <w:sz w:val="32"/>
          <w:szCs w:val="32"/>
          <w:lang w:eastAsia="zh-CN"/>
        </w:rPr>
      </w:pPr>
      <w:r>
        <w:rPr>
          <w:rFonts w:hint="eastAsia" w:ascii="宋体" w:hAnsi="宋体" w:eastAsia="宋体"/>
          <w:b/>
          <w:sz w:val="32"/>
          <w:szCs w:val="32"/>
        </w:rPr>
        <w:t>项目编号：</w:t>
      </w:r>
      <w:r>
        <w:rPr>
          <w:rFonts w:hint="eastAsia" w:ascii="宋体" w:hAnsi="宋体" w:eastAsia="宋体"/>
          <w:b/>
          <w:sz w:val="32"/>
          <w:szCs w:val="32"/>
          <w:lang w:eastAsia="zh-CN"/>
        </w:rPr>
        <w:t>GXZC2020-C1-000059-JGJD</w:t>
      </w:r>
    </w:p>
    <w:p>
      <w:pPr>
        <w:spacing w:line="360" w:lineRule="auto"/>
        <w:ind w:firstLine="1903" w:firstLineChars="790"/>
        <w:rPr>
          <w:rFonts w:ascii="宋体" w:hAnsi="宋体" w:eastAsia="宋体"/>
          <w:b/>
        </w:rPr>
      </w:pPr>
    </w:p>
    <w:p>
      <w:pPr>
        <w:spacing w:line="360" w:lineRule="auto"/>
        <w:ind w:firstLine="472" w:firstLineChars="196"/>
        <w:rPr>
          <w:rFonts w:ascii="宋体" w:hAnsi="宋体" w:eastAsia="宋体"/>
          <w:b/>
        </w:rPr>
      </w:pPr>
    </w:p>
    <w:p>
      <w:pPr>
        <w:spacing w:line="360" w:lineRule="auto"/>
        <w:ind w:firstLine="472" w:firstLineChars="196"/>
        <w:rPr>
          <w:rFonts w:ascii="宋体" w:hAnsi="宋体" w:eastAsia="宋体"/>
          <w:b/>
        </w:rPr>
      </w:pPr>
    </w:p>
    <w:p>
      <w:pPr>
        <w:spacing w:line="360" w:lineRule="auto"/>
        <w:ind w:firstLine="472" w:firstLineChars="196"/>
        <w:rPr>
          <w:rFonts w:ascii="宋体" w:hAnsi="宋体" w:eastAsia="宋体"/>
          <w:b/>
        </w:rPr>
      </w:pPr>
    </w:p>
    <w:p>
      <w:pPr>
        <w:spacing w:line="360" w:lineRule="auto"/>
        <w:ind w:firstLine="472" w:firstLineChars="196"/>
        <w:rPr>
          <w:rFonts w:ascii="宋体" w:hAnsi="宋体" w:eastAsia="宋体"/>
          <w:b/>
        </w:rPr>
      </w:pPr>
    </w:p>
    <w:p>
      <w:pPr>
        <w:spacing w:line="360" w:lineRule="auto"/>
        <w:ind w:firstLine="472" w:firstLineChars="196"/>
        <w:rPr>
          <w:rFonts w:ascii="宋体" w:hAnsi="宋体" w:eastAsia="宋体"/>
          <w:b/>
        </w:rPr>
      </w:pPr>
    </w:p>
    <w:p>
      <w:pPr>
        <w:spacing w:line="360" w:lineRule="auto"/>
        <w:ind w:firstLine="472" w:firstLineChars="196"/>
        <w:rPr>
          <w:rFonts w:ascii="宋体" w:hAnsi="宋体" w:eastAsia="宋体"/>
          <w:b/>
        </w:rPr>
      </w:pPr>
    </w:p>
    <w:p>
      <w:pPr>
        <w:spacing w:line="360" w:lineRule="auto"/>
        <w:ind w:firstLine="1245" w:firstLineChars="443"/>
        <w:jc w:val="left"/>
        <w:rPr>
          <w:rFonts w:ascii="宋体" w:hAnsi="宋体" w:eastAsia="宋体"/>
          <w:b/>
          <w:sz w:val="28"/>
          <w:szCs w:val="28"/>
        </w:rPr>
      </w:pPr>
      <w:r>
        <w:rPr>
          <w:rFonts w:hint="eastAsia" w:ascii="宋体" w:hAnsi="宋体" w:eastAsia="宋体"/>
          <w:b/>
          <w:sz w:val="28"/>
          <w:szCs w:val="28"/>
        </w:rPr>
        <w:t>采购代理机构：广西建设工程机电设备招标中心有限公司</w:t>
      </w:r>
    </w:p>
    <w:p>
      <w:pPr>
        <w:spacing w:line="360" w:lineRule="auto"/>
        <w:ind w:firstLine="3626" w:firstLineChars="1290"/>
        <w:rPr>
          <w:rFonts w:ascii="宋体" w:hAnsi="宋体" w:eastAsia="宋体"/>
        </w:rPr>
      </w:pPr>
      <w:r>
        <w:rPr>
          <w:rFonts w:ascii="宋体" w:hAnsi="宋体" w:eastAsia="宋体"/>
          <w:b/>
          <w:sz w:val="28"/>
          <w:szCs w:val="28"/>
        </w:rPr>
        <w:t>20</w:t>
      </w:r>
      <w:r>
        <w:rPr>
          <w:rFonts w:hint="eastAsia" w:ascii="宋体" w:hAnsi="宋体" w:eastAsia="宋体"/>
          <w:b/>
          <w:sz w:val="28"/>
          <w:szCs w:val="28"/>
          <w:lang w:val="en-US" w:eastAsia="zh-CN"/>
        </w:rPr>
        <w:t>20</w:t>
      </w:r>
      <w:r>
        <w:rPr>
          <w:rFonts w:hint="eastAsia" w:ascii="宋体" w:hAnsi="宋体" w:eastAsia="宋体"/>
          <w:b/>
          <w:sz w:val="28"/>
          <w:szCs w:val="28"/>
        </w:rPr>
        <w:t>年</w:t>
      </w:r>
      <w:r>
        <w:rPr>
          <w:rFonts w:hint="eastAsia" w:ascii="宋体" w:hAnsi="宋体" w:eastAsia="宋体"/>
          <w:b/>
          <w:sz w:val="28"/>
          <w:szCs w:val="28"/>
          <w:lang w:val="en-US" w:eastAsia="zh-CN"/>
        </w:rPr>
        <w:t>4</w:t>
      </w:r>
      <w:r>
        <w:rPr>
          <w:rFonts w:hint="eastAsia" w:ascii="宋体" w:hAnsi="宋体" w:eastAsia="宋体"/>
          <w:b/>
          <w:sz w:val="28"/>
          <w:szCs w:val="28"/>
        </w:rPr>
        <w:t>月</w:t>
      </w:r>
      <w:r>
        <w:rPr>
          <w:rFonts w:ascii="宋体" w:hAnsi="宋体" w:eastAsia="宋体"/>
        </w:rPr>
        <w:br w:type="page"/>
      </w:r>
    </w:p>
    <w:p>
      <w:pPr>
        <w:spacing w:line="360" w:lineRule="auto"/>
        <w:jc w:val="center"/>
        <w:rPr>
          <w:rFonts w:ascii="宋体" w:hAnsi="宋体" w:eastAsia="宋体"/>
          <w:b/>
          <w:sz w:val="52"/>
          <w:szCs w:val="52"/>
        </w:rPr>
      </w:pPr>
      <w:r>
        <w:rPr>
          <w:rFonts w:hint="eastAsia" w:ascii="宋体" w:hAnsi="宋体" w:eastAsia="宋体"/>
          <w:b/>
          <w:sz w:val="52"/>
          <w:szCs w:val="52"/>
        </w:rPr>
        <w:t>目录</w:t>
      </w:r>
    </w:p>
    <w:p>
      <w:pPr>
        <w:tabs>
          <w:tab w:val="left" w:pos="7155"/>
        </w:tabs>
        <w:spacing w:line="360" w:lineRule="auto"/>
        <w:jc w:val="left"/>
        <w:rPr>
          <w:rFonts w:ascii="宋体" w:hAnsi="宋体" w:eastAsia="宋体"/>
          <w:b/>
          <w:sz w:val="52"/>
          <w:szCs w:val="52"/>
        </w:rPr>
      </w:pPr>
      <w:r>
        <w:rPr>
          <w:rFonts w:ascii="宋体" w:hAnsi="宋体" w:eastAsia="宋体"/>
          <w:b/>
          <w:sz w:val="52"/>
          <w:szCs w:val="52"/>
        </w:rPr>
        <w:tab/>
      </w:r>
    </w:p>
    <w:p>
      <w:pPr>
        <w:pStyle w:val="26"/>
        <w:spacing w:line="360" w:lineRule="auto"/>
        <w:rPr>
          <w:rFonts w:eastAsia="宋体"/>
          <w:b w:val="0"/>
          <w:color w:val="auto"/>
          <w:kern w:val="2"/>
          <w:sz w:val="21"/>
          <w:szCs w:val="24"/>
        </w:rPr>
      </w:pPr>
      <w:r>
        <w:rPr>
          <w:rFonts w:eastAsia="宋体"/>
          <w:color w:val="auto"/>
        </w:rPr>
        <w:fldChar w:fldCharType="begin"/>
      </w:r>
      <w:r>
        <w:rPr>
          <w:rFonts w:eastAsia="宋体"/>
          <w:color w:val="auto"/>
        </w:rPr>
        <w:instrText xml:space="preserve"> TOC \o "1-3" \h \z \u </w:instrText>
      </w:r>
      <w:r>
        <w:rPr>
          <w:rFonts w:eastAsia="宋体"/>
          <w:color w:val="auto"/>
        </w:rPr>
        <w:fldChar w:fldCharType="separate"/>
      </w:r>
      <w:r>
        <w:fldChar w:fldCharType="begin"/>
      </w:r>
      <w:r>
        <w:instrText xml:space="preserve"> HYPERLINK \l "_Toc438739364" </w:instrText>
      </w:r>
      <w:r>
        <w:fldChar w:fldCharType="separate"/>
      </w:r>
      <w:r>
        <w:rPr>
          <w:rStyle w:val="47"/>
          <w:rFonts w:hint="eastAsia" w:eastAsia="宋体"/>
          <w:color w:val="auto"/>
        </w:rPr>
        <w:t>第一章竞争性磋商公告</w:t>
      </w:r>
      <w:r>
        <w:rPr>
          <w:rFonts w:eastAsia="宋体"/>
          <w:color w:val="auto"/>
        </w:rPr>
        <w:tab/>
      </w:r>
      <w:r>
        <w:rPr>
          <w:rFonts w:eastAsia="宋体"/>
          <w:color w:val="auto"/>
        </w:rPr>
        <w:fldChar w:fldCharType="begin"/>
      </w:r>
      <w:r>
        <w:rPr>
          <w:rFonts w:eastAsia="宋体"/>
          <w:color w:val="auto"/>
        </w:rPr>
        <w:instrText xml:space="preserve"> PAGEREF _Toc438739364 \h </w:instrText>
      </w:r>
      <w:r>
        <w:rPr>
          <w:rFonts w:eastAsia="宋体"/>
          <w:color w:val="auto"/>
        </w:rPr>
        <w:fldChar w:fldCharType="separate"/>
      </w:r>
      <w:r>
        <w:rPr>
          <w:rFonts w:eastAsia="宋体"/>
          <w:color w:val="auto"/>
        </w:rPr>
        <w:t>3</w:t>
      </w:r>
      <w:r>
        <w:rPr>
          <w:rFonts w:eastAsia="宋体"/>
          <w:color w:val="auto"/>
        </w:rPr>
        <w:fldChar w:fldCharType="end"/>
      </w:r>
      <w:r>
        <w:rPr>
          <w:rFonts w:eastAsia="宋体"/>
          <w:color w:val="auto"/>
        </w:rPr>
        <w:fldChar w:fldCharType="end"/>
      </w:r>
    </w:p>
    <w:p>
      <w:pPr>
        <w:pStyle w:val="26"/>
        <w:spacing w:line="360" w:lineRule="auto"/>
        <w:rPr>
          <w:rFonts w:eastAsia="宋体"/>
          <w:b w:val="0"/>
          <w:color w:val="auto"/>
          <w:kern w:val="2"/>
          <w:sz w:val="21"/>
          <w:szCs w:val="24"/>
        </w:rPr>
      </w:pPr>
      <w:r>
        <w:fldChar w:fldCharType="begin"/>
      </w:r>
      <w:r>
        <w:instrText xml:space="preserve"> HYPERLINK \l "_Toc438739365" </w:instrText>
      </w:r>
      <w:r>
        <w:fldChar w:fldCharType="separate"/>
      </w:r>
      <w:r>
        <w:rPr>
          <w:rStyle w:val="47"/>
          <w:rFonts w:hint="eastAsia" w:eastAsia="宋体"/>
          <w:color w:val="auto"/>
        </w:rPr>
        <w:t>第二章竞标供应商须知前附表</w:t>
      </w:r>
      <w:r>
        <w:rPr>
          <w:rFonts w:eastAsia="宋体"/>
          <w:color w:val="auto"/>
        </w:rPr>
        <w:tab/>
      </w:r>
      <w:r>
        <w:rPr>
          <w:rFonts w:eastAsia="宋体"/>
          <w:color w:val="auto"/>
        </w:rPr>
        <w:fldChar w:fldCharType="begin"/>
      </w:r>
      <w:r>
        <w:rPr>
          <w:rFonts w:eastAsia="宋体"/>
          <w:color w:val="auto"/>
        </w:rPr>
        <w:instrText xml:space="preserve"> PAGEREF _Toc438739365 \h </w:instrText>
      </w:r>
      <w:r>
        <w:rPr>
          <w:rFonts w:eastAsia="宋体"/>
          <w:color w:val="auto"/>
        </w:rPr>
        <w:fldChar w:fldCharType="separate"/>
      </w:r>
      <w:r>
        <w:rPr>
          <w:rFonts w:eastAsia="宋体"/>
          <w:color w:val="auto"/>
        </w:rPr>
        <w:t>5</w:t>
      </w:r>
      <w:r>
        <w:rPr>
          <w:rFonts w:eastAsia="宋体"/>
          <w:color w:val="auto"/>
        </w:rPr>
        <w:fldChar w:fldCharType="end"/>
      </w:r>
      <w:r>
        <w:rPr>
          <w:rFonts w:eastAsia="宋体"/>
          <w:color w:val="auto"/>
        </w:rPr>
        <w:fldChar w:fldCharType="end"/>
      </w:r>
    </w:p>
    <w:p>
      <w:pPr>
        <w:pStyle w:val="26"/>
        <w:spacing w:line="360" w:lineRule="auto"/>
        <w:rPr>
          <w:rFonts w:eastAsia="宋体"/>
          <w:b w:val="0"/>
          <w:color w:val="auto"/>
          <w:kern w:val="2"/>
          <w:sz w:val="21"/>
          <w:szCs w:val="24"/>
        </w:rPr>
      </w:pPr>
      <w:r>
        <w:fldChar w:fldCharType="begin"/>
      </w:r>
      <w:r>
        <w:instrText xml:space="preserve"> HYPERLINK \l "_Toc438739368" </w:instrText>
      </w:r>
      <w:r>
        <w:fldChar w:fldCharType="separate"/>
      </w:r>
      <w:r>
        <w:rPr>
          <w:rStyle w:val="47"/>
          <w:rFonts w:hint="eastAsia" w:eastAsia="宋体"/>
          <w:color w:val="auto"/>
        </w:rPr>
        <w:t>第三章项目需求和说明</w:t>
      </w:r>
      <w:r>
        <w:rPr>
          <w:rFonts w:eastAsia="宋体"/>
          <w:color w:val="auto"/>
        </w:rPr>
        <w:tab/>
      </w:r>
      <w:r>
        <w:rPr>
          <w:rFonts w:eastAsia="宋体"/>
          <w:color w:val="auto"/>
        </w:rPr>
        <w:fldChar w:fldCharType="begin"/>
      </w:r>
      <w:r>
        <w:rPr>
          <w:rFonts w:eastAsia="宋体"/>
          <w:color w:val="auto"/>
        </w:rPr>
        <w:instrText xml:space="preserve"> PAGEREF _Toc438739368 \h </w:instrText>
      </w:r>
      <w:r>
        <w:rPr>
          <w:rFonts w:eastAsia="宋体"/>
          <w:color w:val="auto"/>
        </w:rPr>
        <w:fldChar w:fldCharType="separate"/>
      </w:r>
      <w:r>
        <w:rPr>
          <w:rFonts w:eastAsia="宋体"/>
          <w:color w:val="auto"/>
        </w:rPr>
        <w:t>7</w:t>
      </w:r>
      <w:r>
        <w:rPr>
          <w:rFonts w:eastAsia="宋体"/>
          <w:color w:val="auto"/>
        </w:rPr>
        <w:fldChar w:fldCharType="end"/>
      </w:r>
      <w:r>
        <w:rPr>
          <w:rFonts w:eastAsia="宋体"/>
          <w:color w:val="auto"/>
        </w:rPr>
        <w:fldChar w:fldCharType="end"/>
      </w:r>
    </w:p>
    <w:p>
      <w:pPr>
        <w:pStyle w:val="26"/>
        <w:spacing w:line="360" w:lineRule="auto"/>
        <w:rPr>
          <w:rFonts w:eastAsia="宋体"/>
          <w:b w:val="0"/>
          <w:color w:val="auto"/>
          <w:kern w:val="2"/>
          <w:sz w:val="21"/>
          <w:szCs w:val="24"/>
        </w:rPr>
      </w:pPr>
      <w:r>
        <w:fldChar w:fldCharType="begin"/>
      </w:r>
      <w:r>
        <w:instrText xml:space="preserve"> HYPERLINK \l "_Toc438739370" </w:instrText>
      </w:r>
      <w:r>
        <w:fldChar w:fldCharType="separate"/>
      </w:r>
      <w:r>
        <w:rPr>
          <w:rStyle w:val="47"/>
          <w:rFonts w:hint="eastAsia" w:eastAsia="宋体"/>
          <w:color w:val="auto"/>
        </w:rPr>
        <w:t>第四章响应文件格式</w:t>
      </w:r>
      <w:r>
        <w:rPr>
          <w:rFonts w:eastAsia="宋体"/>
          <w:color w:val="auto"/>
        </w:rPr>
        <w:tab/>
      </w:r>
      <w:r>
        <w:rPr>
          <w:rFonts w:eastAsia="宋体"/>
          <w:color w:val="auto"/>
        </w:rPr>
        <w:fldChar w:fldCharType="begin"/>
      </w:r>
      <w:r>
        <w:rPr>
          <w:rFonts w:eastAsia="宋体"/>
          <w:color w:val="auto"/>
        </w:rPr>
        <w:instrText xml:space="preserve"> PAGEREF _Toc438739370 \h </w:instrText>
      </w:r>
      <w:r>
        <w:rPr>
          <w:rFonts w:eastAsia="宋体"/>
          <w:color w:val="auto"/>
        </w:rPr>
        <w:fldChar w:fldCharType="separate"/>
      </w:r>
      <w:r>
        <w:rPr>
          <w:rFonts w:eastAsia="宋体"/>
          <w:color w:val="auto"/>
        </w:rPr>
        <w:t>35</w:t>
      </w:r>
      <w:r>
        <w:rPr>
          <w:rFonts w:eastAsia="宋体"/>
          <w:color w:val="auto"/>
        </w:rPr>
        <w:fldChar w:fldCharType="end"/>
      </w:r>
      <w:r>
        <w:rPr>
          <w:rFonts w:eastAsia="宋体"/>
          <w:color w:val="auto"/>
        </w:rPr>
        <w:fldChar w:fldCharType="end"/>
      </w:r>
    </w:p>
    <w:p>
      <w:pPr>
        <w:pStyle w:val="26"/>
        <w:spacing w:line="360" w:lineRule="auto"/>
        <w:rPr>
          <w:rFonts w:eastAsia="宋体"/>
          <w:b w:val="0"/>
          <w:color w:val="auto"/>
          <w:kern w:val="2"/>
          <w:sz w:val="21"/>
          <w:szCs w:val="24"/>
        </w:rPr>
      </w:pPr>
      <w:r>
        <w:fldChar w:fldCharType="begin"/>
      </w:r>
      <w:r>
        <w:instrText xml:space="preserve"> HYPERLINK \l "_Toc438739382" </w:instrText>
      </w:r>
      <w:r>
        <w:fldChar w:fldCharType="separate"/>
      </w:r>
      <w:r>
        <w:rPr>
          <w:rStyle w:val="47"/>
          <w:rFonts w:hint="eastAsia" w:eastAsia="宋体"/>
          <w:color w:val="auto"/>
        </w:rPr>
        <w:t>第五章合同主要条款</w:t>
      </w:r>
      <w:r>
        <w:rPr>
          <w:rFonts w:eastAsia="宋体"/>
          <w:color w:val="auto"/>
        </w:rPr>
        <w:tab/>
      </w:r>
      <w:r>
        <w:rPr>
          <w:rFonts w:eastAsia="宋体"/>
          <w:color w:val="auto"/>
        </w:rPr>
        <w:fldChar w:fldCharType="begin"/>
      </w:r>
      <w:r>
        <w:rPr>
          <w:rFonts w:eastAsia="宋体"/>
          <w:color w:val="auto"/>
        </w:rPr>
        <w:instrText xml:space="preserve"> PAGEREF _Toc438739382 \h </w:instrText>
      </w:r>
      <w:r>
        <w:rPr>
          <w:rFonts w:eastAsia="宋体"/>
          <w:color w:val="auto"/>
        </w:rPr>
        <w:fldChar w:fldCharType="separate"/>
      </w:r>
      <w:r>
        <w:rPr>
          <w:b/>
        </w:rPr>
        <w:t>错误！未定义书签。</w:t>
      </w:r>
      <w:r>
        <w:rPr>
          <w:rFonts w:eastAsia="宋体"/>
          <w:color w:val="auto"/>
        </w:rPr>
        <w:fldChar w:fldCharType="end"/>
      </w:r>
      <w:r>
        <w:rPr>
          <w:rFonts w:eastAsia="宋体"/>
          <w:color w:val="auto"/>
        </w:rPr>
        <w:fldChar w:fldCharType="end"/>
      </w:r>
    </w:p>
    <w:p>
      <w:pPr>
        <w:pStyle w:val="26"/>
        <w:spacing w:line="360" w:lineRule="auto"/>
        <w:rPr>
          <w:rFonts w:eastAsia="宋体"/>
          <w:b w:val="0"/>
          <w:color w:val="auto"/>
          <w:kern w:val="2"/>
          <w:sz w:val="21"/>
          <w:szCs w:val="24"/>
        </w:rPr>
      </w:pPr>
      <w:r>
        <w:fldChar w:fldCharType="begin"/>
      </w:r>
      <w:r>
        <w:instrText xml:space="preserve"> HYPERLINK \l "_Toc438739383" </w:instrText>
      </w:r>
      <w:r>
        <w:fldChar w:fldCharType="separate"/>
      </w:r>
      <w:r>
        <w:rPr>
          <w:rStyle w:val="47"/>
          <w:rFonts w:hint="eastAsia" w:eastAsia="宋体"/>
          <w:color w:val="auto"/>
        </w:rPr>
        <w:t>第六章评审办法</w:t>
      </w:r>
      <w:bookmarkStart w:id="0" w:name="_Hlt438740366"/>
      <w:r>
        <w:rPr>
          <w:rStyle w:val="47"/>
          <w:rFonts w:hint="eastAsia" w:eastAsia="宋体"/>
          <w:color w:val="auto"/>
        </w:rPr>
        <w:t>和</w:t>
      </w:r>
      <w:bookmarkEnd w:id="0"/>
      <w:r>
        <w:rPr>
          <w:rStyle w:val="47"/>
          <w:rFonts w:hint="eastAsia" w:eastAsia="宋体"/>
          <w:color w:val="auto"/>
        </w:rPr>
        <w:t>评分标准</w:t>
      </w:r>
      <w:r>
        <w:rPr>
          <w:rFonts w:eastAsia="宋体"/>
          <w:color w:val="auto"/>
        </w:rPr>
        <w:tab/>
      </w:r>
      <w:r>
        <w:rPr>
          <w:rFonts w:eastAsia="宋体"/>
          <w:color w:val="auto"/>
        </w:rPr>
        <w:fldChar w:fldCharType="begin"/>
      </w:r>
      <w:r>
        <w:rPr>
          <w:rFonts w:eastAsia="宋体"/>
          <w:color w:val="auto"/>
        </w:rPr>
        <w:instrText xml:space="preserve"> PAGEREF _Toc438739383 \h </w:instrText>
      </w:r>
      <w:r>
        <w:rPr>
          <w:rFonts w:eastAsia="宋体"/>
          <w:color w:val="auto"/>
        </w:rPr>
        <w:fldChar w:fldCharType="separate"/>
      </w:r>
      <w:r>
        <w:rPr>
          <w:b/>
        </w:rPr>
        <w:t>错误！未定义书签。</w:t>
      </w:r>
      <w:r>
        <w:rPr>
          <w:rFonts w:eastAsia="宋体"/>
          <w:color w:val="auto"/>
        </w:rPr>
        <w:fldChar w:fldCharType="end"/>
      </w:r>
      <w:r>
        <w:rPr>
          <w:rFonts w:eastAsia="宋体"/>
          <w:color w:val="auto"/>
        </w:rPr>
        <w:fldChar w:fldCharType="end"/>
      </w:r>
    </w:p>
    <w:p>
      <w:pPr>
        <w:pStyle w:val="26"/>
        <w:spacing w:line="360" w:lineRule="auto"/>
        <w:rPr>
          <w:rFonts w:eastAsia="宋体"/>
          <w:color w:val="auto"/>
        </w:rPr>
      </w:pPr>
      <w:r>
        <w:rPr>
          <w:rFonts w:eastAsia="宋体"/>
          <w:color w:val="auto"/>
        </w:rPr>
        <w:fldChar w:fldCharType="end"/>
      </w:r>
    </w:p>
    <w:p>
      <w:pPr>
        <w:spacing w:line="360" w:lineRule="auto"/>
        <w:jc w:val="center"/>
        <w:outlineLvl w:val="0"/>
        <w:rPr>
          <w:rFonts w:ascii="宋体" w:hAnsi="宋体" w:eastAsia="宋体"/>
          <w:b/>
          <w:sz w:val="32"/>
          <w:szCs w:val="32"/>
        </w:rPr>
      </w:pPr>
      <w:r>
        <w:rPr>
          <w:rFonts w:ascii="宋体" w:hAnsi="宋体" w:eastAsia="宋体"/>
          <w:sz w:val="36"/>
        </w:rPr>
        <w:br w:type="page"/>
      </w:r>
      <w:bookmarkStart w:id="1" w:name="_Toc438739364"/>
      <w:r>
        <w:rPr>
          <w:rFonts w:hint="eastAsia" w:ascii="宋体" w:hAnsi="宋体" w:eastAsia="宋体"/>
          <w:b/>
          <w:sz w:val="32"/>
          <w:szCs w:val="32"/>
        </w:rPr>
        <w:t>第一章竞争性磋商公告</w:t>
      </w:r>
      <w:bookmarkEnd w:id="1"/>
    </w:p>
    <w:p>
      <w:pPr>
        <w:spacing w:line="240" w:lineRule="atLeast"/>
        <w:jc w:val="center"/>
        <w:rPr>
          <w:rFonts w:ascii="宋体" w:hAnsi="宋体" w:eastAsia="宋体"/>
          <w:b/>
          <w:sz w:val="28"/>
          <w:szCs w:val="28"/>
        </w:rPr>
      </w:pPr>
      <w:r>
        <w:rPr>
          <w:rFonts w:hint="eastAsia" w:ascii="宋体" w:hAnsi="宋体" w:eastAsia="宋体"/>
          <w:b/>
          <w:sz w:val="28"/>
          <w:szCs w:val="28"/>
        </w:rPr>
        <w:t>广西建设工程机电设备招标中心有限公司</w:t>
      </w:r>
    </w:p>
    <w:p>
      <w:pPr>
        <w:spacing w:line="240" w:lineRule="atLeast"/>
        <w:jc w:val="center"/>
        <w:rPr>
          <w:rFonts w:hint="eastAsia" w:ascii="宋体" w:hAnsi="宋体" w:eastAsia="宋体"/>
          <w:b/>
          <w:color w:val="auto"/>
          <w:sz w:val="28"/>
          <w:szCs w:val="28"/>
          <w:lang w:eastAsia="zh-CN"/>
        </w:rPr>
      </w:pPr>
      <w:r>
        <w:rPr>
          <w:rFonts w:hint="eastAsia" w:ascii="宋体" w:hAnsi="宋体" w:eastAsia="宋体"/>
          <w:b/>
          <w:color w:val="auto"/>
          <w:sz w:val="28"/>
          <w:szCs w:val="28"/>
          <w:lang w:eastAsia="zh-CN"/>
        </w:rPr>
        <w:t>自治区森林公安局物证鉴定所实验设备采购</w:t>
      </w:r>
    </w:p>
    <w:p>
      <w:pPr>
        <w:spacing w:line="240" w:lineRule="atLeast"/>
        <w:jc w:val="center"/>
        <w:rPr>
          <w:rFonts w:ascii="宋体" w:hAnsi="宋体" w:eastAsia="宋体"/>
          <w:b/>
          <w:color w:val="auto"/>
          <w:sz w:val="30"/>
          <w:szCs w:val="30"/>
        </w:rPr>
      </w:pPr>
      <w:r>
        <w:rPr>
          <w:rFonts w:hint="eastAsia" w:ascii="宋体" w:hAnsi="宋体" w:eastAsia="宋体"/>
          <w:b/>
          <w:color w:val="auto"/>
          <w:sz w:val="32"/>
          <w:szCs w:val="32"/>
        </w:rPr>
        <w:t xml:space="preserve"> </w:t>
      </w:r>
      <w:r>
        <w:rPr>
          <w:rFonts w:hint="eastAsia" w:ascii="宋体" w:hAnsi="宋体" w:eastAsia="宋体"/>
          <w:b/>
          <w:color w:val="auto"/>
          <w:sz w:val="30"/>
          <w:szCs w:val="30"/>
        </w:rPr>
        <w:t>【</w:t>
      </w:r>
      <w:r>
        <w:rPr>
          <w:rFonts w:hint="eastAsia" w:ascii="宋体" w:hAnsi="宋体" w:eastAsia="宋体"/>
          <w:b/>
          <w:color w:val="auto"/>
          <w:sz w:val="32"/>
          <w:szCs w:val="32"/>
          <w:lang w:eastAsia="zh-CN"/>
        </w:rPr>
        <w:t>GXZC2020-C1-000059-JGJD</w:t>
      </w:r>
      <w:r>
        <w:rPr>
          <w:rFonts w:hint="eastAsia" w:ascii="宋体" w:hAnsi="宋体" w:eastAsia="宋体"/>
          <w:b/>
          <w:color w:val="auto"/>
          <w:sz w:val="30"/>
          <w:szCs w:val="30"/>
        </w:rPr>
        <w:t>】</w:t>
      </w:r>
    </w:p>
    <w:p>
      <w:pPr>
        <w:spacing w:line="240" w:lineRule="atLeast"/>
        <w:jc w:val="center"/>
        <w:rPr>
          <w:rFonts w:ascii="宋体" w:hAnsi="宋体" w:eastAsia="宋体"/>
          <w:b/>
          <w:color w:val="auto"/>
          <w:sz w:val="28"/>
          <w:szCs w:val="28"/>
        </w:rPr>
      </w:pPr>
      <w:r>
        <w:rPr>
          <w:rFonts w:hint="eastAsia" w:ascii="宋体" w:hAnsi="宋体" w:eastAsia="宋体"/>
          <w:b/>
          <w:color w:val="auto"/>
          <w:sz w:val="28"/>
          <w:szCs w:val="28"/>
        </w:rPr>
        <w:t>竞争性磋商公告</w:t>
      </w:r>
    </w:p>
    <w:p>
      <w:pPr>
        <w:spacing w:line="400" w:lineRule="exact"/>
        <w:ind w:firstLine="525" w:firstLineChars="250"/>
        <w:rPr>
          <w:rFonts w:ascii="宋体" w:hAnsi="宋体" w:eastAsia="宋体"/>
          <w:color w:val="auto"/>
          <w:sz w:val="21"/>
          <w:szCs w:val="21"/>
        </w:rPr>
      </w:pPr>
      <w:r>
        <w:rPr>
          <w:rFonts w:hint="eastAsia" w:ascii="宋体" w:hAnsi="宋体" w:eastAsia="宋体"/>
          <w:color w:val="auto"/>
          <w:sz w:val="21"/>
          <w:szCs w:val="21"/>
        </w:rPr>
        <w:t>广西建设工程机电设备招标中心有限公司受采购人委托，根据《中华人民共和国政府采购法》等规定，现对</w:t>
      </w:r>
      <w:r>
        <w:rPr>
          <w:rFonts w:hint="eastAsia" w:ascii="宋体" w:hAnsi="宋体" w:eastAsia="宋体"/>
          <w:color w:val="auto"/>
          <w:sz w:val="21"/>
          <w:szCs w:val="21"/>
          <w:lang w:eastAsia="zh-CN"/>
        </w:rPr>
        <w:t>自治区森林公安局物证鉴定所实验设备采购</w:t>
      </w:r>
      <w:r>
        <w:rPr>
          <w:rFonts w:hint="eastAsia" w:ascii="宋体" w:hAnsi="宋体" w:eastAsia="宋体"/>
          <w:color w:val="auto"/>
          <w:sz w:val="21"/>
          <w:szCs w:val="21"/>
        </w:rPr>
        <w:t>项目进行竞争性磋商，欢迎符合条件的供应商前来参加磋商活动。</w:t>
      </w:r>
    </w:p>
    <w:p>
      <w:pPr>
        <w:pStyle w:val="196"/>
        <w:widowControl w:val="0"/>
        <w:numPr>
          <w:ilvl w:val="0"/>
          <w:numId w:val="2"/>
        </w:numPr>
        <w:spacing w:line="400" w:lineRule="exact"/>
        <w:ind w:firstLineChars="0"/>
        <w:jc w:val="both"/>
        <w:rPr>
          <w:rFonts w:eastAsia="宋体"/>
          <w:color w:val="auto"/>
          <w:sz w:val="21"/>
          <w:szCs w:val="21"/>
        </w:rPr>
      </w:pPr>
      <w:r>
        <w:rPr>
          <w:rFonts w:hint="eastAsia" w:eastAsia="宋体"/>
          <w:b/>
          <w:color w:val="auto"/>
          <w:sz w:val="21"/>
          <w:szCs w:val="21"/>
        </w:rPr>
        <w:t>项目名称：</w:t>
      </w:r>
      <w:r>
        <w:rPr>
          <w:rFonts w:hint="eastAsia" w:eastAsia="宋体"/>
          <w:color w:val="auto"/>
          <w:sz w:val="21"/>
          <w:szCs w:val="21"/>
          <w:lang w:eastAsia="zh-CN"/>
        </w:rPr>
        <w:t>自治区森林公安局物证鉴定所实验设备采购</w:t>
      </w:r>
    </w:p>
    <w:p>
      <w:pPr>
        <w:pStyle w:val="196"/>
        <w:widowControl w:val="0"/>
        <w:numPr>
          <w:ilvl w:val="0"/>
          <w:numId w:val="2"/>
        </w:numPr>
        <w:spacing w:line="400" w:lineRule="exact"/>
        <w:ind w:firstLineChars="0"/>
        <w:jc w:val="both"/>
        <w:rPr>
          <w:rFonts w:eastAsia="宋体"/>
          <w:color w:val="auto"/>
          <w:sz w:val="21"/>
          <w:szCs w:val="21"/>
        </w:rPr>
      </w:pPr>
      <w:r>
        <w:rPr>
          <w:rFonts w:hint="eastAsia" w:eastAsia="宋体"/>
          <w:b/>
          <w:color w:val="auto"/>
          <w:sz w:val="21"/>
          <w:szCs w:val="21"/>
        </w:rPr>
        <w:t>审批编号：</w:t>
      </w:r>
      <w:r>
        <w:rPr>
          <w:rFonts w:hint="eastAsia" w:eastAsia="宋体"/>
          <w:color w:val="auto"/>
          <w:sz w:val="21"/>
          <w:szCs w:val="21"/>
          <w:lang w:eastAsia="zh-CN"/>
        </w:rPr>
        <w:fldChar w:fldCharType="begin"/>
      </w:r>
      <w:r>
        <w:rPr>
          <w:rFonts w:hint="eastAsia" w:eastAsia="宋体"/>
          <w:color w:val="auto"/>
          <w:sz w:val="21"/>
          <w:szCs w:val="21"/>
          <w:lang w:eastAsia="zh-CN"/>
        </w:rPr>
        <w:instrText xml:space="preserve"> HYPERLINK "https://pay.zcygov.cn/purchaseplan_front/" \l "/plan/list/detail?id=1000000000002436979&amp;encrypt=647694ff196e3c2bc7293caad4f9300e" \t "https://bidding.zcygov.cn/xmgl/projectQuery/_blank" </w:instrText>
      </w:r>
      <w:r>
        <w:rPr>
          <w:rFonts w:hint="eastAsia" w:eastAsia="宋体"/>
          <w:color w:val="auto"/>
          <w:sz w:val="21"/>
          <w:szCs w:val="21"/>
          <w:lang w:eastAsia="zh-CN"/>
        </w:rPr>
        <w:fldChar w:fldCharType="separate"/>
      </w:r>
      <w:r>
        <w:rPr>
          <w:rFonts w:hint="eastAsia" w:eastAsia="宋体"/>
          <w:color w:val="auto"/>
          <w:sz w:val="21"/>
          <w:szCs w:val="21"/>
          <w:lang w:eastAsia="zh-CN"/>
        </w:rPr>
        <w:t>广西政采[2020]4981号-</w:t>
      </w:r>
      <w:r>
        <w:rPr>
          <w:rFonts w:hint="eastAsia" w:eastAsia="宋体"/>
          <w:color w:val="auto"/>
          <w:sz w:val="21"/>
          <w:szCs w:val="21"/>
          <w:lang w:val="en-US" w:eastAsia="zh-CN"/>
        </w:rPr>
        <w:t>001-</w:t>
      </w:r>
      <w:r>
        <w:rPr>
          <w:rFonts w:hint="eastAsia" w:eastAsia="宋体"/>
          <w:color w:val="auto"/>
          <w:sz w:val="21"/>
          <w:szCs w:val="21"/>
          <w:lang w:eastAsia="zh-CN"/>
        </w:rPr>
        <w:t>004</w:t>
      </w:r>
      <w:r>
        <w:rPr>
          <w:rFonts w:hint="eastAsia" w:eastAsia="宋体"/>
          <w:color w:val="auto"/>
          <w:sz w:val="21"/>
          <w:szCs w:val="21"/>
          <w:lang w:eastAsia="zh-CN"/>
        </w:rPr>
        <w:fldChar w:fldCharType="end"/>
      </w:r>
      <w:r>
        <w:rPr>
          <w:rFonts w:hint="eastAsia" w:eastAsia="宋体"/>
          <w:color w:val="auto"/>
          <w:sz w:val="21"/>
          <w:szCs w:val="21"/>
          <w:lang w:eastAsia="zh-CN"/>
        </w:rPr>
        <w:t xml:space="preserve"> </w:t>
      </w:r>
      <w:r>
        <w:rPr>
          <w:rFonts w:hint="eastAsia" w:eastAsia="宋体"/>
          <w:color w:val="auto"/>
          <w:sz w:val="21"/>
          <w:szCs w:val="21"/>
        </w:rPr>
        <w:t xml:space="preserve"> </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olor w:val="auto"/>
          <w:sz w:val="21"/>
          <w:szCs w:val="21"/>
        </w:rPr>
        <w:t>三、</w:t>
      </w:r>
      <w:r>
        <w:rPr>
          <w:rFonts w:hint="eastAsia" w:ascii="宋体" w:hAnsi="宋体" w:eastAsia="宋体"/>
          <w:b/>
          <w:color w:val="auto"/>
          <w:sz w:val="21"/>
          <w:szCs w:val="21"/>
        </w:rPr>
        <w:t>项目编号：</w:t>
      </w:r>
      <w:r>
        <w:rPr>
          <w:rFonts w:hint="eastAsia" w:ascii="宋体" w:hAnsi="宋体" w:eastAsia="宋体" w:cs="宋体"/>
          <w:color w:val="auto"/>
          <w:sz w:val="21"/>
          <w:szCs w:val="21"/>
          <w:lang w:eastAsia="zh-CN"/>
        </w:rPr>
        <w:t>GXZC2020-C1-000059-JGJD</w:t>
      </w:r>
    </w:p>
    <w:p>
      <w:pPr>
        <w:spacing w:line="400" w:lineRule="exact"/>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rPr>
        <w:t>四、项目概况：</w:t>
      </w:r>
    </w:p>
    <w:p>
      <w:pPr>
        <w:spacing w:line="40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、采购内容：</w:t>
      </w:r>
      <w:r>
        <w:rPr>
          <w:rFonts w:hint="eastAsia" w:ascii="宋体" w:hAnsi="宋体" w:eastAsia="宋体" w:cs="宋体"/>
          <w:color w:val="auto"/>
          <w:sz w:val="21"/>
          <w:szCs w:val="21"/>
          <w:lang w:eastAsia="zh-CN"/>
        </w:rPr>
        <w:t>自治区森林公安局物证鉴定所实验设备采购</w:t>
      </w:r>
      <w:r>
        <w:rPr>
          <w:rFonts w:hint="eastAsia" w:ascii="宋体" w:hAnsi="宋体" w:eastAsia="宋体" w:cs="宋体"/>
          <w:color w:val="auto"/>
          <w:sz w:val="21"/>
          <w:szCs w:val="21"/>
        </w:rPr>
        <w:t>一项，</w:t>
      </w:r>
      <w:r>
        <w:rPr>
          <w:rFonts w:hint="eastAsia" w:ascii="宋体" w:hAnsi="宋体" w:eastAsia="宋体"/>
          <w:color w:val="auto"/>
          <w:sz w:val="21"/>
          <w:szCs w:val="21"/>
        </w:rPr>
        <w:t>如需进一步了解详细内容，详见竞争性磋商文件。</w:t>
      </w:r>
    </w:p>
    <w:p>
      <w:pPr>
        <w:spacing w:line="400" w:lineRule="exact"/>
        <w:ind w:firstLine="413" w:firstLineChars="196"/>
        <w:rPr>
          <w:rFonts w:ascii="宋体" w:hAnsi="宋体" w:eastAsia="宋体"/>
          <w:color w:val="auto"/>
          <w:sz w:val="21"/>
          <w:szCs w:val="21"/>
        </w:rPr>
      </w:pPr>
      <w:r>
        <w:rPr>
          <w:rFonts w:hint="eastAsia" w:ascii="宋体" w:hAnsi="宋体" w:eastAsia="宋体"/>
          <w:b/>
          <w:color w:val="auto"/>
          <w:sz w:val="21"/>
          <w:szCs w:val="21"/>
        </w:rPr>
        <w:t>五、采购预算（人民币）</w:t>
      </w:r>
      <w:r>
        <w:rPr>
          <w:rFonts w:hint="eastAsia" w:ascii="宋体" w:hAnsi="宋体" w:eastAsia="宋体"/>
          <w:color w:val="auto"/>
          <w:sz w:val="21"/>
          <w:szCs w:val="21"/>
        </w:rPr>
        <w:t>： 75.38 万元</w:t>
      </w:r>
    </w:p>
    <w:p>
      <w:pPr>
        <w:spacing w:line="400" w:lineRule="exact"/>
        <w:ind w:firstLine="413" w:firstLineChars="196"/>
        <w:rPr>
          <w:rFonts w:ascii="宋体" w:hAnsi="宋体" w:eastAsia="宋体"/>
          <w:color w:val="auto"/>
          <w:sz w:val="21"/>
          <w:szCs w:val="21"/>
        </w:rPr>
      </w:pPr>
      <w:r>
        <w:rPr>
          <w:rFonts w:hint="eastAsia" w:ascii="宋体" w:hAnsi="宋体" w:eastAsia="宋体"/>
          <w:b/>
          <w:color w:val="auto"/>
          <w:sz w:val="21"/>
          <w:szCs w:val="21"/>
        </w:rPr>
        <w:t>六</w:t>
      </w:r>
      <w:r>
        <w:rPr>
          <w:rFonts w:hint="eastAsia" w:ascii="宋体" w:hAnsi="宋体" w:eastAsia="宋体" w:cs="Arial"/>
          <w:b/>
          <w:color w:val="auto"/>
          <w:sz w:val="21"/>
          <w:szCs w:val="21"/>
        </w:rPr>
        <w:t>、本项目需要落实的政府釆购政策</w:t>
      </w:r>
      <w:r>
        <w:rPr>
          <w:rFonts w:hint="eastAsia" w:ascii="宋体" w:hAnsi="宋体" w:eastAsia="宋体"/>
          <w:color w:val="auto"/>
          <w:sz w:val="21"/>
          <w:szCs w:val="21"/>
        </w:rPr>
        <w:t>：《政府采购促进中小企业发展暂行办法》（财库[2011]181号）。《政府采购促进中小企业发展暂行办法》（财库</w:t>
      </w:r>
      <w:r>
        <w:rPr>
          <w:rFonts w:ascii="宋体" w:hAnsi="宋体" w:eastAsia="宋体"/>
          <w:color w:val="auto"/>
          <w:sz w:val="21"/>
          <w:szCs w:val="21"/>
        </w:rPr>
        <w:t>[2011]181</w:t>
      </w:r>
      <w:r>
        <w:rPr>
          <w:rFonts w:hint="eastAsia" w:ascii="宋体" w:hAnsi="宋体" w:eastAsia="宋体"/>
          <w:color w:val="auto"/>
          <w:sz w:val="21"/>
          <w:szCs w:val="21"/>
        </w:rPr>
        <w:t>号）以及财政部、司法部《关于政府采购支持监狱企业发展有关问题的通知》（财库</w:t>
      </w:r>
      <w:r>
        <w:rPr>
          <w:rFonts w:ascii="宋体" w:hAnsi="宋体" w:eastAsia="宋体"/>
          <w:color w:val="auto"/>
          <w:sz w:val="21"/>
          <w:szCs w:val="21"/>
        </w:rPr>
        <w:t>[2014]68</w:t>
      </w:r>
      <w:r>
        <w:rPr>
          <w:rFonts w:hint="eastAsia" w:ascii="宋体" w:hAnsi="宋体" w:eastAsia="宋体"/>
          <w:color w:val="auto"/>
          <w:sz w:val="21"/>
          <w:szCs w:val="21"/>
        </w:rPr>
        <w:t>号）、《关于促进残疾人就业政府采购政策的通知》</w:t>
      </w:r>
      <w:r>
        <w:rPr>
          <w:rFonts w:ascii="宋体" w:hAnsi="宋体" w:eastAsia="宋体"/>
          <w:color w:val="auto"/>
          <w:sz w:val="21"/>
          <w:szCs w:val="21"/>
        </w:rPr>
        <w:t>(</w:t>
      </w:r>
      <w:r>
        <w:rPr>
          <w:rFonts w:hint="eastAsia" w:ascii="宋体" w:hAnsi="宋体" w:eastAsia="宋体"/>
          <w:color w:val="auto"/>
          <w:sz w:val="21"/>
          <w:szCs w:val="21"/>
        </w:rPr>
        <w:t>财库〔</w:t>
      </w:r>
      <w:r>
        <w:rPr>
          <w:rFonts w:ascii="宋体" w:hAnsi="宋体" w:eastAsia="宋体"/>
          <w:color w:val="auto"/>
          <w:sz w:val="21"/>
          <w:szCs w:val="21"/>
        </w:rPr>
        <w:t>2017</w:t>
      </w:r>
      <w:r>
        <w:rPr>
          <w:rFonts w:hint="eastAsia" w:ascii="宋体" w:hAnsi="宋体" w:eastAsia="宋体"/>
          <w:color w:val="auto"/>
          <w:sz w:val="21"/>
          <w:szCs w:val="21"/>
        </w:rPr>
        <w:t>〕</w:t>
      </w:r>
      <w:r>
        <w:rPr>
          <w:rFonts w:ascii="宋体" w:hAnsi="宋体" w:eastAsia="宋体"/>
          <w:color w:val="auto"/>
          <w:sz w:val="21"/>
          <w:szCs w:val="21"/>
        </w:rPr>
        <w:t>141</w:t>
      </w:r>
      <w:r>
        <w:rPr>
          <w:rFonts w:hint="eastAsia" w:ascii="宋体" w:hAnsi="宋体" w:eastAsia="宋体"/>
          <w:color w:val="auto"/>
          <w:sz w:val="21"/>
          <w:szCs w:val="21"/>
        </w:rPr>
        <w:t>号</w:t>
      </w:r>
      <w:r>
        <w:rPr>
          <w:rFonts w:ascii="宋体" w:hAnsi="宋体" w:eastAsia="宋体"/>
          <w:color w:val="auto"/>
          <w:sz w:val="21"/>
          <w:szCs w:val="21"/>
        </w:rPr>
        <w:t>)</w:t>
      </w:r>
      <w:r>
        <w:rPr>
          <w:rFonts w:hint="eastAsia" w:ascii="宋体" w:hAnsi="宋体" w:eastAsia="宋体"/>
          <w:color w:val="auto"/>
          <w:sz w:val="21"/>
          <w:szCs w:val="21"/>
        </w:rPr>
        <w:t>。</w:t>
      </w:r>
    </w:p>
    <w:p>
      <w:pPr>
        <w:spacing w:line="400" w:lineRule="exact"/>
        <w:ind w:firstLine="413" w:firstLineChars="196"/>
        <w:rPr>
          <w:rFonts w:ascii="宋体" w:hAnsi="宋体" w:eastAsia="宋体"/>
          <w:b/>
          <w:color w:val="auto"/>
          <w:sz w:val="21"/>
          <w:szCs w:val="21"/>
        </w:rPr>
      </w:pPr>
      <w:r>
        <w:rPr>
          <w:rFonts w:hint="eastAsia" w:ascii="宋体" w:hAnsi="宋体" w:eastAsia="宋体"/>
          <w:b/>
          <w:color w:val="auto"/>
          <w:sz w:val="21"/>
          <w:szCs w:val="21"/>
        </w:rPr>
        <w:t>七、磋商供应商资格要求：</w:t>
      </w:r>
    </w:p>
    <w:p>
      <w:pPr>
        <w:widowControl/>
        <w:spacing w:line="400" w:lineRule="exact"/>
        <w:ind w:left="843" w:leftChars="220" w:hanging="315" w:hangingChars="150"/>
        <w:jc w:val="left"/>
        <w:rPr>
          <w:rFonts w:ascii="宋体" w:hAnsi="宋体" w:eastAsia="宋体"/>
          <w:color w:val="auto"/>
          <w:sz w:val="21"/>
          <w:szCs w:val="21"/>
        </w:rPr>
      </w:pPr>
      <w:r>
        <w:rPr>
          <w:rFonts w:hint="eastAsia" w:ascii="宋体" w:hAnsi="宋体" w:eastAsia="宋体"/>
          <w:color w:val="auto"/>
          <w:sz w:val="21"/>
          <w:szCs w:val="21"/>
        </w:rPr>
        <w:t>1、符合《中华人民共和国政府采购法》第二十二条规定条件；国内注册登记（指按国家有关规定要求注册登记的）的供应商；</w:t>
      </w:r>
    </w:p>
    <w:p>
      <w:pPr>
        <w:widowControl/>
        <w:spacing w:line="400" w:lineRule="exact"/>
        <w:ind w:left="843" w:leftChars="220" w:hanging="315" w:hangingChars="150"/>
        <w:jc w:val="left"/>
        <w:rPr>
          <w:rFonts w:ascii="宋体" w:hAnsi="宋体" w:eastAsia="宋体"/>
          <w:color w:val="auto"/>
          <w:sz w:val="21"/>
          <w:szCs w:val="21"/>
        </w:rPr>
      </w:pPr>
      <w:r>
        <w:rPr>
          <w:rFonts w:hint="eastAsia" w:ascii="宋体" w:hAnsi="宋体" w:eastAsia="宋体"/>
          <w:color w:val="auto"/>
          <w:sz w:val="21"/>
          <w:szCs w:val="21"/>
        </w:rPr>
        <w:t>2、本项目不接受联合体参与磋商采购活动，不接受未在规定时间内购买本项目采购文件的供应商参与磋商采购活动；</w:t>
      </w:r>
    </w:p>
    <w:p>
      <w:pPr>
        <w:widowControl/>
        <w:spacing w:line="400" w:lineRule="exact"/>
        <w:ind w:left="843" w:leftChars="220" w:hanging="315" w:hangingChars="150"/>
        <w:jc w:val="left"/>
        <w:rPr>
          <w:rFonts w:ascii="宋体" w:hAnsi="宋体" w:eastAsia="宋体"/>
          <w:color w:val="auto"/>
          <w:sz w:val="21"/>
          <w:szCs w:val="21"/>
        </w:rPr>
      </w:pPr>
      <w:r>
        <w:rPr>
          <w:rFonts w:hint="eastAsia" w:ascii="宋体" w:hAnsi="宋体" w:eastAsia="宋体"/>
          <w:color w:val="auto"/>
          <w:sz w:val="21"/>
          <w:szCs w:val="21"/>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同时须在投标文件中将查询结果截图加盖单位公章如实报告评标委员会）。</w:t>
      </w:r>
    </w:p>
    <w:p>
      <w:pPr>
        <w:widowControl/>
        <w:spacing w:line="400" w:lineRule="exact"/>
        <w:ind w:left="843" w:leftChars="220" w:hanging="315" w:hangingChars="150"/>
        <w:jc w:val="left"/>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、本项目不接受联合体竞标。</w:t>
      </w:r>
    </w:p>
    <w:p>
      <w:pPr>
        <w:spacing w:line="400" w:lineRule="exact"/>
        <w:ind w:firstLine="413" w:firstLineChars="196"/>
        <w:rPr>
          <w:rFonts w:ascii="宋体" w:hAnsi="宋体" w:eastAsia="宋体"/>
          <w:b/>
          <w:color w:val="auto"/>
          <w:sz w:val="21"/>
          <w:szCs w:val="21"/>
        </w:rPr>
      </w:pPr>
      <w:r>
        <w:rPr>
          <w:rFonts w:hint="eastAsia" w:ascii="宋体" w:hAnsi="宋体" w:eastAsia="宋体"/>
          <w:b/>
          <w:bCs/>
          <w:color w:val="auto"/>
          <w:sz w:val="21"/>
          <w:szCs w:val="21"/>
        </w:rPr>
        <w:t>八、购买竞争性磋商文件时间</w:t>
      </w:r>
      <w:r>
        <w:rPr>
          <w:rFonts w:hint="eastAsia" w:ascii="宋体" w:hAnsi="宋体" w:eastAsia="宋体"/>
          <w:b/>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300" w:right="252" w:firstLine="420" w:firstLineChars="200"/>
        <w:jc w:val="left"/>
      </w:pPr>
      <w:r>
        <w:rPr>
          <w:rFonts w:hint="eastAsia" w:ascii="宋体" w:hAnsi="宋体" w:eastAsia="宋体" w:cs="宋体"/>
          <w:color w:val="333333"/>
          <w:kern w:val="0"/>
          <w:sz w:val="21"/>
          <w:szCs w:val="21"/>
          <w:lang w:val="en-US" w:eastAsia="zh-CN" w:bidi="ar"/>
        </w:rPr>
        <w:t xml:space="preserve">1、 网上购买磋商文件，凡有意参加投标者，请于2020年4月 26 日至2020年4月30 日北京时间17：30分前，由潜在供应商在广西国资交易电子招标采购平台注册会员后（广西国资交易电子招标采购平台会员注册方式具体流程请访问广西招标网（http://www.guangxibid.com.cn/）首页的常用下载窗口进行查看），在线完成购买及下载招标文件、接收澄清变更、查看结果通知等有关业务，未完成网上购买及下载招标文件的，投标无效。 </w:t>
      </w:r>
      <w:r>
        <w:rPr>
          <w:rFonts w:hint="eastAsia" w:ascii="宋体" w:hAnsi="宋体" w:eastAsia="宋体" w:cs="宋体"/>
          <w:color w:val="333333"/>
          <w:kern w:val="0"/>
          <w:sz w:val="21"/>
          <w:szCs w:val="21"/>
          <w:lang w:val="en-US" w:eastAsia="zh-CN" w:bidi="ar"/>
        </w:rPr>
        <w:br w:type="textWrapping"/>
      </w:r>
      <w:r>
        <w:rPr>
          <w:rFonts w:hint="eastAsia" w:ascii="宋体" w:hAnsi="宋体" w:eastAsia="宋体" w:cs="宋体"/>
          <w:color w:val="333333"/>
          <w:kern w:val="0"/>
          <w:sz w:val="21"/>
          <w:szCs w:val="21"/>
          <w:lang w:val="en-US" w:eastAsia="zh-CN" w:bidi="ar"/>
        </w:rPr>
        <w:t xml:space="preserve">    网上支付，招标文件售价：300元人民币/套，售后不退。 </w:t>
      </w:r>
      <w:r>
        <w:rPr>
          <w:rFonts w:hint="eastAsia" w:ascii="宋体" w:hAnsi="宋体" w:eastAsia="宋体" w:cs="宋体"/>
          <w:color w:val="333333"/>
          <w:kern w:val="0"/>
          <w:sz w:val="21"/>
          <w:szCs w:val="21"/>
          <w:lang w:val="en-US" w:eastAsia="zh-CN" w:bidi="ar"/>
        </w:rPr>
        <w:br w:type="textWrapping"/>
      </w:r>
      <w:r>
        <w:rPr>
          <w:rFonts w:hint="eastAsia" w:ascii="宋体" w:hAnsi="宋体" w:eastAsia="宋体" w:cs="宋体"/>
          <w:color w:val="333333"/>
          <w:kern w:val="0"/>
          <w:sz w:val="21"/>
          <w:szCs w:val="21"/>
          <w:lang w:val="en-US" w:eastAsia="zh-CN" w:bidi="ar"/>
        </w:rPr>
        <w:t xml:space="preserve">  2、用户注册及平台使用咨询：广西国资交易电子招标采购平台 </w:t>
      </w:r>
      <w:r>
        <w:rPr>
          <w:rFonts w:hint="eastAsia" w:ascii="宋体" w:hAnsi="宋体" w:eastAsia="宋体" w:cs="宋体"/>
          <w:color w:val="333333"/>
          <w:kern w:val="0"/>
          <w:sz w:val="21"/>
          <w:szCs w:val="21"/>
          <w:lang w:val="en-US" w:eastAsia="zh-CN" w:bidi="ar"/>
        </w:rPr>
        <w:br w:type="textWrapping"/>
      </w:r>
      <w:r>
        <w:rPr>
          <w:rFonts w:hint="eastAsia" w:ascii="宋体" w:hAnsi="宋体" w:eastAsia="宋体" w:cs="宋体"/>
          <w:color w:val="333333"/>
          <w:kern w:val="0"/>
          <w:sz w:val="21"/>
          <w:szCs w:val="21"/>
          <w:lang w:val="en-US" w:eastAsia="zh-CN" w:bidi="ar"/>
        </w:rPr>
        <w:t xml:space="preserve">办公时间：周一至周五，上午 8:00-12:00,下午15:00-18:00 </w:t>
      </w:r>
      <w:r>
        <w:rPr>
          <w:rFonts w:hint="eastAsia" w:ascii="宋体" w:hAnsi="宋体" w:eastAsia="宋体" w:cs="宋体"/>
          <w:color w:val="333333"/>
          <w:kern w:val="0"/>
          <w:sz w:val="21"/>
          <w:szCs w:val="21"/>
          <w:lang w:val="en-US" w:eastAsia="zh-CN" w:bidi="ar"/>
        </w:rPr>
        <w:br w:type="textWrapping"/>
      </w:r>
      <w:r>
        <w:rPr>
          <w:rFonts w:hint="eastAsia" w:ascii="宋体" w:hAnsi="宋体" w:eastAsia="宋体" w:cs="宋体"/>
          <w:color w:val="333333"/>
          <w:kern w:val="0"/>
          <w:sz w:val="21"/>
          <w:szCs w:val="21"/>
          <w:lang w:val="en-US" w:eastAsia="zh-CN" w:bidi="ar"/>
        </w:rPr>
        <w:t xml:space="preserve">地址：南宁市青秀区金湖路52-1号东方曼哈顿三楼广西国资招投标中心 </w:t>
      </w:r>
      <w:r>
        <w:rPr>
          <w:rFonts w:hint="eastAsia" w:ascii="宋体" w:hAnsi="宋体" w:eastAsia="宋体" w:cs="宋体"/>
          <w:color w:val="333333"/>
          <w:kern w:val="0"/>
          <w:sz w:val="21"/>
          <w:szCs w:val="21"/>
          <w:lang w:val="en-US" w:eastAsia="zh-CN" w:bidi="ar"/>
        </w:rPr>
        <w:br w:type="textWrapping"/>
      </w:r>
      <w:r>
        <w:rPr>
          <w:rFonts w:hint="eastAsia" w:ascii="宋体" w:hAnsi="宋体" w:eastAsia="宋体" w:cs="宋体"/>
          <w:color w:val="333333"/>
          <w:kern w:val="0"/>
          <w:sz w:val="21"/>
          <w:szCs w:val="21"/>
          <w:lang w:val="en-US" w:eastAsia="zh-CN" w:bidi="ar"/>
        </w:rPr>
        <w:t>电话： 0771-5579209    QQ群：286811625</w:t>
      </w:r>
    </w:p>
    <w:p>
      <w:pPr>
        <w:spacing w:line="420" w:lineRule="exact"/>
        <w:ind w:firstLine="316" w:firstLineChars="150"/>
        <w:rPr>
          <w:rFonts w:ascii="宋体" w:hAnsi="宋体" w:eastAsia="宋体"/>
          <w:b/>
          <w:bCs/>
          <w:color w:val="auto"/>
          <w:sz w:val="21"/>
          <w:szCs w:val="21"/>
        </w:rPr>
      </w:pPr>
      <w:r>
        <w:rPr>
          <w:rFonts w:hint="eastAsia" w:ascii="宋体" w:hAnsi="宋体" w:eastAsia="宋体"/>
          <w:b/>
          <w:bCs/>
          <w:color w:val="auto"/>
          <w:sz w:val="21"/>
          <w:szCs w:val="21"/>
        </w:rPr>
        <w:t>九、竞标保证金</w:t>
      </w:r>
      <w:r>
        <w:rPr>
          <w:rFonts w:ascii="宋体" w:hAnsi="宋体" w:eastAsia="宋体"/>
          <w:b/>
          <w:bCs/>
          <w:color w:val="auto"/>
          <w:sz w:val="21"/>
          <w:szCs w:val="21"/>
        </w:rPr>
        <w:t>(</w:t>
      </w:r>
      <w:r>
        <w:rPr>
          <w:rFonts w:hint="eastAsia" w:ascii="宋体" w:hAnsi="宋体" w:eastAsia="宋体"/>
          <w:b/>
          <w:bCs/>
          <w:color w:val="auto"/>
          <w:sz w:val="21"/>
          <w:szCs w:val="21"/>
        </w:rPr>
        <w:t>人民币</w:t>
      </w:r>
      <w:r>
        <w:rPr>
          <w:rFonts w:ascii="宋体" w:hAnsi="宋体" w:eastAsia="宋体"/>
          <w:b/>
          <w:bCs/>
          <w:color w:val="auto"/>
          <w:sz w:val="21"/>
          <w:szCs w:val="21"/>
        </w:rPr>
        <w:t>)</w:t>
      </w:r>
      <w:r>
        <w:rPr>
          <w:rFonts w:hint="eastAsia" w:ascii="宋体" w:hAnsi="宋体" w:eastAsia="宋体"/>
          <w:b/>
          <w:bCs/>
          <w:color w:val="auto"/>
          <w:sz w:val="21"/>
          <w:szCs w:val="21"/>
        </w:rPr>
        <w:t>：</w:t>
      </w:r>
      <w:r>
        <w:rPr>
          <w:rFonts w:hint="eastAsia" w:ascii="宋体" w:hAnsi="宋体" w:eastAsia="宋体"/>
          <w:b/>
          <w:bCs/>
          <w:color w:val="auto"/>
          <w:sz w:val="21"/>
          <w:szCs w:val="21"/>
          <w:lang w:eastAsia="zh-CN"/>
        </w:rPr>
        <w:t>伍</w:t>
      </w:r>
      <w:r>
        <w:rPr>
          <w:rFonts w:hint="eastAsia" w:ascii="宋体" w:hAnsi="宋体" w:eastAsia="宋体"/>
          <w:b/>
          <w:bCs/>
          <w:color w:val="auto"/>
          <w:sz w:val="21"/>
          <w:szCs w:val="21"/>
        </w:rPr>
        <w:t>仟元整（￥</w:t>
      </w:r>
      <w:r>
        <w:rPr>
          <w:rFonts w:hint="eastAsia" w:ascii="宋体" w:hAnsi="宋体" w:eastAsia="宋体"/>
          <w:b/>
          <w:bCs/>
          <w:color w:val="auto"/>
          <w:sz w:val="21"/>
          <w:szCs w:val="21"/>
          <w:lang w:val="en-US" w:eastAsia="zh-CN"/>
        </w:rPr>
        <w:t>5000</w:t>
      </w:r>
      <w:r>
        <w:rPr>
          <w:rFonts w:ascii="宋体" w:hAnsi="宋体" w:eastAsia="宋体"/>
          <w:b/>
          <w:bCs/>
          <w:color w:val="auto"/>
          <w:sz w:val="21"/>
          <w:szCs w:val="21"/>
        </w:rPr>
        <w:t>.00</w:t>
      </w:r>
      <w:r>
        <w:rPr>
          <w:rFonts w:hint="eastAsia" w:ascii="宋体" w:hAnsi="宋体" w:eastAsia="宋体"/>
          <w:b/>
          <w:bCs/>
          <w:color w:val="auto"/>
          <w:sz w:val="21"/>
          <w:szCs w:val="21"/>
        </w:rPr>
        <w:t>）</w:t>
      </w:r>
    </w:p>
    <w:p>
      <w:pPr>
        <w:snapToGrid w:val="0"/>
        <w:spacing w:line="420" w:lineRule="exact"/>
        <w:ind w:firstLine="525" w:firstLineChars="250"/>
        <w:rPr>
          <w:rFonts w:ascii="宋体" w:hAnsi="宋体" w:eastAsia="宋体"/>
          <w:color w:val="auto"/>
          <w:sz w:val="21"/>
          <w:szCs w:val="21"/>
        </w:rPr>
      </w:pPr>
      <w:r>
        <w:rPr>
          <w:rFonts w:hint="eastAsia" w:ascii="宋体" w:hAnsi="宋体" w:eastAsia="宋体"/>
          <w:color w:val="auto"/>
          <w:sz w:val="21"/>
          <w:szCs w:val="21"/>
        </w:rPr>
        <w:t>竞标人应在竞标时间截止前将竞标保证金从竞标单位基本账户汇至以下账户中，并注明标段号与项目信息：</w:t>
      </w:r>
    </w:p>
    <w:p>
      <w:pPr>
        <w:pStyle w:val="20"/>
        <w:spacing w:line="420" w:lineRule="exact"/>
        <w:ind w:firstLine="539" w:firstLineChars="257"/>
        <w:rPr>
          <w:rFonts w:hAnsi="宋体"/>
          <w:color w:val="auto"/>
          <w:kern w:val="0"/>
          <w:szCs w:val="21"/>
        </w:rPr>
      </w:pPr>
      <w:r>
        <w:rPr>
          <w:rFonts w:hint="eastAsia" w:hAnsi="宋体"/>
          <w:color w:val="auto"/>
          <w:kern w:val="0"/>
          <w:szCs w:val="21"/>
        </w:rPr>
        <w:t>开户名称：广西建设工程机电设备招标中心有限公司</w:t>
      </w:r>
    </w:p>
    <w:p>
      <w:pPr>
        <w:pStyle w:val="20"/>
        <w:spacing w:line="420" w:lineRule="exact"/>
        <w:ind w:firstLine="539" w:firstLineChars="257"/>
        <w:rPr>
          <w:rFonts w:hAnsi="宋体"/>
          <w:color w:val="auto"/>
          <w:kern w:val="0"/>
          <w:szCs w:val="21"/>
        </w:rPr>
      </w:pPr>
      <w:r>
        <w:rPr>
          <w:rFonts w:hint="eastAsia" w:hAnsi="宋体"/>
          <w:color w:val="auto"/>
          <w:kern w:val="0"/>
          <w:szCs w:val="21"/>
        </w:rPr>
        <w:t>开户银行：招商银行南宁分行营业部</w:t>
      </w:r>
    </w:p>
    <w:p>
      <w:pPr>
        <w:pStyle w:val="20"/>
        <w:spacing w:line="420" w:lineRule="exact"/>
        <w:ind w:firstLine="539" w:firstLineChars="257"/>
        <w:rPr>
          <w:rFonts w:hAnsi="宋体"/>
          <w:color w:val="auto"/>
          <w:kern w:val="0"/>
          <w:szCs w:val="21"/>
        </w:rPr>
      </w:pPr>
      <w:r>
        <w:rPr>
          <w:rFonts w:hint="eastAsia" w:hAnsi="宋体"/>
          <w:color w:val="auto"/>
          <w:kern w:val="0"/>
          <w:szCs w:val="21"/>
        </w:rPr>
        <w:t>帐号：</w:t>
      </w:r>
      <w:r>
        <w:rPr>
          <w:rFonts w:hAnsi="宋体"/>
          <w:color w:val="auto"/>
          <w:kern w:val="0"/>
          <w:szCs w:val="21"/>
        </w:rPr>
        <w:t>7719 0142 3310 201</w:t>
      </w:r>
    </w:p>
    <w:p>
      <w:pPr>
        <w:widowControl/>
        <w:shd w:val="clear" w:color="auto" w:fill="FFFFFF"/>
        <w:spacing w:line="420" w:lineRule="exact"/>
        <w:ind w:firstLine="211" w:firstLineChars="100"/>
        <w:jc w:val="left"/>
        <w:rPr>
          <w:rFonts w:ascii="宋体" w:hAnsi="宋体" w:eastAsia="宋体"/>
          <w:b/>
          <w:bCs/>
          <w:color w:val="auto"/>
          <w:sz w:val="21"/>
          <w:szCs w:val="21"/>
        </w:rPr>
      </w:pPr>
      <w:r>
        <w:rPr>
          <w:rFonts w:hint="eastAsia" w:ascii="宋体" w:hAnsi="宋体" w:eastAsia="宋体"/>
          <w:b/>
          <w:bCs/>
          <w:color w:val="auto"/>
          <w:sz w:val="21"/>
          <w:szCs w:val="21"/>
        </w:rPr>
        <w:t>十、递交竞标文件截止时间和地点：</w:t>
      </w:r>
    </w:p>
    <w:p>
      <w:pPr>
        <w:pStyle w:val="32"/>
        <w:snapToGrid w:val="0"/>
        <w:spacing w:before="0" w:beforeAutospacing="0" w:after="0" w:afterAutospacing="0" w:line="420" w:lineRule="exact"/>
        <w:ind w:firstLine="210" w:firstLineChars="100"/>
        <w:rPr>
          <w:rFonts w:eastAsia="宋体"/>
          <w:color w:val="auto"/>
          <w:sz w:val="21"/>
          <w:szCs w:val="21"/>
        </w:rPr>
      </w:pPr>
      <w:r>
        <w:rPr>
          <w:rFonts w:eastAsia="宋体"/>
          <w:color w:val="auto"/>
          <w:sz w:val="21"/>
          <w:szCs w:val="21"/>
        </w:rPr>
        <w:t>1</w:t>
      </w:r>
      <w:r>
        <w:rPr>
          <w:rFonts w:hint="eastAsia" w:eastAsia="宋体"/>
          <w:color w:val="auto"/>
          <w:sz w:val="21"/>
          <w:szCs w:val="21"/>
        </w:rPr>
        <w:t>、竞争性磋商文件递交的截止时间（竞标截止时间，下同）为</w:t>
      </w:r>
      <w:r>
        <w:rPr>
          <w:rFonts w:ascii="宋体" w:hAnsi="宋体" w:eastAsia="宋体"/>
          <w:color w:val="auto"/>
          <w:sz w:val="21"/>
          <w:szCs w:val="21"/>
        </w:rPr>
        <w:t>20</w:t>
      </w:r>
      <w:r>
        <w:rPr>
          <w:rFonts w:hint="eastAsia"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月</w:t>
      </w:r>
      <w:r>
        <w:rPr>
          <w:rFonts w:hint="eastAsia" w:eastAsia="宋体"/>
          <w:color w:val="auto"/>
          <w:sz w:val="21"/>
          <w:szCs w:val="21"/>
          <w:lang w:val="en-US" w:eastAsia="zh-CN"/>
        </w:rPr>
        <w:t xml:space="preserve"> 7 </w:t>
      </w:r>
      <w:r>
        <w:rPr>
          <w:rFonts w:hint="eastAsia" w:ascii="宋体" w:hAnsi="宋体" w:eastAsia="宋体"/>
          <w:color w:val="auto"/>
          <w:sz w:val="21"/>
          <w:szCs w:val="21"/>
        </w:rPr>
        <w:t>日15时00分</w:t>
      </w:r>
      <w:r>
        <w:rPr>
          <w:rFonts w:hint="eastAsia" w:eastAsia="宋体"/>
          <w:color w:val="auto"/>
          <w:sz w:val="21"/>
          <w:szCs w:val="21"/>
        </w:rPr>
        <w:t>，地点为南宁市青秀区金湖路52-1号东方曼哈顿三楼国资交易中心开标室（具体以电子屏幕场地安排为准）。</w:t>
      </w:r>
    </w:p>
    <w:p>
      <w:pPr>
        <w:widowControl/>
        <w:shd w:val="clear" w:color="auto" w:fill="FFFFFF"/>
        <w:spacing w:line="420" w:lineRule="exact"/>
        <w:ind w:firstLine="210" w:firstLineChars="100"/>
        <w:jc w:val="left"/>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、逾期送达的或者未送达指定地点的竞标文件，招标人不予受理。</w:t>
      </w:r>
    </w:p>
    <w:p>
      <w:pPr>
        <w:widowControl/>
        <w:shd w:val="clear" w:color="auto" w:fill="FFFFFF"/>
        <w:spacing w:line="420" w:lineRule="exact"/>
        <w:ind w:firstLine="211" w:firstLineChars="100"/>
        <w:jc w:val="left"/>
        <w:rPr>
          <w:rFonts w:ascii="宋体" w:hAnsi="宋体" w:eastAsia="宋体"/>
          <w:b/>
          <w:bCs/>
          <w:color w:val="auto"/>
          <w:sz w:val="21"/>
          <w:szCs w:val="21"/>
        </w:rPr>
      </w:pPr>
      <w:r>
        <w:rPr>
          <w:rFonts w:hint="eastAsia" w:ascii="宋体" w:hAnsi="宋体" w:eastAsia="宋体"/>
          <w:b/>
          <w:bCs/>
          <w:color w:val="auto"/>
          <w:sz w:val="21"/>
          <w:szCs w:val="21"/>
        </w:rPr>
        <w:t>十一、谈判时间与地点</w:t>
      </w:r>
    </w:p>
    <w:p>
      <w:pPr>
        <w:widowControl/>
        <w:shd w:val="clear" w:color="auto" w:fill="FFFFFF"/>
        <w:spacing w:line="420" w:lineRule="exact"/>
        <w:ind w:firstLine="420" w:firstLineChars="200"/>
        <w:jc w:val="left"/>
        <w:rPr>
          <w:rFonts w:ascii="宋体" w:hAnsi="宋体" w:eastAsia="宋体"/>
          <w:color w:val="auto"/>
          <w:sz w:val="21"/>
          <w:szCs w:val="21"/>
        </w:rPr>
      </w:pPr>
      <w:r>
        <w:rPr>
          <w:rFonts w:hint="eastAsia" w:ascii="宋体" w:hAnsi="宋体" w:eastAsia="宋体" w:cs="Times New Roman"/>
          <w:color w:val="auto"/>
          <w:sz w:val="21"/>
          <w:szCs w:val="21"/>
          <w:lang w:val="en-US" w:eastAsia="zh-CN" w:bidi="ar-SA"/>
        </w:rPr>
        <w:t>于</w:t>
      </w:r>
      <w:r>
        <w:rPr>
          <w:rFonts w:ascii="宋体" w:hAnsi="宋体" w:eastAsia="宋体" w:cs="Times New Roman"/>
          <w:color w:val="auto"/>
          <w:sz w:val="21"/>
          <w:szCs w:val="21"/>
          <w:lang w:val="en-US" w:eastAsia="zh-CN" w:bidi="ar-SA"/>
        </w:rPr>
        <w:t>20</w:t>
      </w:r>
      <w:r>
        <w:rPr>
          <w:rFonts w:hint="eastAsia" w:ascii="宋体" w:hAnsi="宋体" w:eastAsia="宋体" w:cs="Times New Roman"/>
          <w:color w:val="auto"/>
          <w:sz w:val="21"/>
          <w:szCs w:val="21"/>
          <w:lang w:val="en-US" w:eastAsia="zh-CN" w:bidi="ar-SA"/>
        </w:rPr>
        <w:t>20年5月7日15时00</w:t>
      </w:r>
      <w:r>
        <w:rPr>
          <w:rFonts w:hint="eastAsia" w:ascii="宋体" w:hAnsi="宋体" w:eastAsia="宋体"/>
          <w:color w:val="auto"/>
          <w:sz w:val="21"/>
          <w:szCs w:val="21"/>
        </w:rPr>
        <w:t>分截标后为谈判时间，各竞标人的具体谈判时间由采购代理机构另行通知。地点：南宁市青秀区金湖路52-1号东方曼哈顿三楼国资交易中心开标室（具体以电子屏幕场地安排为准），参加竞标的法定代表人或委托代理人必须持证件（法定代表人凭《法定代表人资格证明》原件和《身份证》原件或委托代理人凭《法人授权委托书》原件和《身份证》原件）依时到达指定地点等候当面谈判。</w:t>
      </w:r>
    </w:p>
    <w:p>
      <w:pPr>
        <w:pStyle w:val="32"/>
        <w:snapToGrid w:val="0"/>
        <w:spacing w:before="0" w:beforeAutospacing="0" w:after="0" w:afterAutospacing="0" w:line="420" w:lineRule="exact"/>
        <w:ind w:firstLine="211" w:firstLineChars="100"/>
        <w:rPr>
          <w:rFonts w:eastAsia="宋体"/>
          <w:color w:val="auto"/>
          <w:sz w:val="21"/>
          <w:szCs w:val="21"/>
        </w:rPr>
      </w:pPr>
      <w:r>
        <w:rPr>
          <w:rFonts w:hint="eastAsia" w:eastAsia="宋体"/>
          <w:b/>
          <w:bCs/>
          <w:color w:val="auto"/>
          <w:sz w:val="21"/>
          <w:szCs w:val="21"/>
        </w:rPr>
        <w:t>十二、信息发布媒体</w:t>
      </w:r>
      <w:r>
        <w:rPr>
          <w:rFonts w:hint="eastAsia"/>
          <w:b/>
          <w:color w:val="auto"/>
          <w:sz w:val="21"/>
          <w:szCs w:val="21"/>
        </w:rPr>
        <w:t>：</w:t>
      </w:r>
      <w:r>
        <w:rPr>
          <w:rFonts w:hint="eastAsia" w:eastAsia="宋体"/>
          <w:color w:val="auto"/>
          <w:sz w:val="21"/>
          <w:szCs w:val="21"/>
        </w:rPr>
        <w:t>中国政府采购网</w:t>
      </w:r>
      <w:r>
        <w:rPr>
          <w:rFonts w:eastAsia="宋体"/>
          <w:color w:val="auto"/>
          <w:sz w:val="21"/>
          <w:szCs w:val="21"/>
        </w:rPr>
        <w:t>(www.ccgp.gov.cn)</w:t>
      </w:r>
      <w:r>
        <w:rPr>
          <w:rFonts w:hint="eastAsia" w:eastAsia="宋体"/>
          <w:color w:val="auto"/>
          <w:sz w:val="21"/>
          <w:szCs w:val="21"/>
        </w:rPr>
        <w:t>、广西壮族自治区政府采购网</w:t>
      </w:r>
      <w:r>
        <w:rPr>
          <w:rFonts w:eastAsia="宋体"/>
          <w:color w:val="auto"/>
          <w:sz w:val="21"/>
          <w:szCs w:val="21"/>
        </w:rPr>
        <w:t>(www.gxzfcg.gov.cn)</w:t>
      </w:r>
      <w:r>
        <w:rPr>
          <w:rFonts w:hint="eastAsia" w:eastAsia="宋体"/>
          <w:color w:val="auto"/>
          <w:sz w:val="21"/>
          <w:szCs w:val="21"/>
        </w:rPr>
        <w:t>、广西招标网（</w:t>
      </w:r>
      <w:r>
        <w:rPr>
          <w:color w:val="auto"/>
        </w:rPr>
        <w:fldChar w:fldCharType="begin"/>
      </w:r>
      <w:r>
        <w:rPr>
          <w:color w:val="auto"/>
        </w:rPr>
        <w:instrText xml:space="preserve"> HYPERLINK "http://www.guangxibid.com.cn" </w:instrText>
      </w:r>
      <w:r>
        <w:rPr>
          <w:color w:val="auto"/>
        </w:rPr>
        <w:fldChar w:fldCharType="separate"/>
      </w:r>
      <w:r>
        <w:rPr>
          <w:rStyle w:val="47"/>
          <w:rFonts w:eastAsia="宋体"/>
          <w:color w:val="auto"/>
          <w:sz w:val="21"/>
          <w:szCs w:val="21"/>
        </w:rPr>
        <w:t>http://www.guangxibid.com.cn</w:t>
      </w:r>
      <w:r>
        <w:rPr>
          <w:rStyle w:val="47"/>
          <w:rFonts w:eastAsia="宋体"/>
          <w:color w:val="auto"/>
          <w:sz w:val="21"/>
          <w:szCs w:val="21"/>
        </w:rPr>
        <w:fldChar w:fldCharType="end"/>
      </w:r>
      <w:r>
        <w:rPr>
          <w:rFonts w:hint="eastAsia" w:eastAsia="宋体"/>
          <w:color w:val="auto"/>
          <w:sz w:val="21"/>
          <w:szCs w:val="21"/>
        </w:rPr>
        <w:t>）。</w:t>
      </w:r>
    </w:p>
    <w:p>
      <w:pPr>
        <w:pStyle w:val="32"/>
        <w:snapToGrid w:val="0"/>
        <w:spacing w:before="0" w:beforeAutospacing="0" w:after="0" w:afterAutospacing="0" w:line="420" w:lineRule="exact"/>
        <w:ind w:firstLine="211" w:firstLineChars="100"/>
        <w:rPr>
          <w:b/>
          <w:color w:val="auto"/>
          <w:sz w:val="21"/>
          <w:szCs w:val="21"/>
        </w:rPr>
      </w:pPr>
      <w:r>
        <w:rPr>
          <w:rFonts w:hint="eastAsia" w:eastAsia="宋体"/>
          <w:b/>
          <w:color w:val="auto"/>
          <w:sz w:val="21"/>
          <w:szCs w:val="21"/>
        </w:rPr>
        <w:t>十三、联系电话及通讯地址：</w:t>
      </w:r>
    </w:p>
    <w:p>
      <w:pPr>
        <w:pStyle w:val="20"/>
        <w:spacing w:line="400" w:lineRule="exact"/>
        <w:ind w:firstLine="510" w:firstLineChars="243"/>
        <w:rPr>
          <w:rFonts w:hAnsi="宋体"/>
          <w:color w:val="auto"/>
          <w:szCs w:val="21"/>
        </w:rPr>
      </w:pPr>
      <w:r>
        <w:rPr>
          <w:rFonts w:hAnsi="宋体" w:cs="Calibri"/>
          <w:color w:val="auto"/>
          <w:szCs w:val="21"/>
        </w:rPr>
        <w:t>1</w:t>
      </w:r>
      <w:r>
        <w:rPr>
          <w:rFonts w:hint="eastAsia" w:hAnsi="宋体" w:cs="Calibri"/>
          <w:color w:val="auto"/>
          <w:szCs w:val="21"/>
        </w:rPr>
        <w:t>、</w:t>
      </w:r>
      <w:r>
        <w:rPr>
          <w:rFonts w:hint="eastAsia" w:hAnsi="宋体"/>
          <w:color w:val="auto"/>
          <w:szCs w:val="21"/>
        </w:rPr>
        <w:t>采购人名称：</w:t>
      </w:r>
      <w:r>
        <w:rPr>
          <w:rFonts w:hint="eastAsia" w:hAnsi="宋体" w:cs="宋体"/>
          <w:color w:val="auto"/>
          <w:szCs w:val="21"/>
        </w:rPr>
        <w:t>广西壮族自治区森林公安局</w:t>
      </w:r>
    </w:p>
    <w:p>
      <w:pPr>
        <w:pStyle w:val="20"/>
        <w:spacing w:line="400" w:lineRule="exact"/>
        <w:ind w:firstLine="825" w:firstLineChars="393"/>
        <w:rPr>
          <w:rFonts w:hint="default" w:hAnsi="宋体" w:cs="宋体"/>
          <w:color w:val="auto"/>
          <w:szCs w:val="21"/>
          <w:lang w:val="en-US"/>
        </w:rPr>
      </w:pPr>
      <w:r>
        <w:rPr>
          <w:rFonts w:hint="eastAsia" w:hAnsi="宋体" w:cs="宋体"/>
          <w:color w:val="auto"/>
          <w:szCs w:val="21"/>
        </w:rPr>
        <w:t>联系人及电话：</w:t>
      </w:r>
      <w:r>
        <w:rPr>
          <w:rFonts w:hint="eastAsia" w:hAnsi="宋体" w:cs="宋体"/>
          <w:color w:val="auto"/>
          <w:szCs w:val="21"/>
          <w:lang w:eastAsia="zh-CN"/>
        </w:rPr>
        <w:t>陈警官</w:t>
      </w:r>
      <w:r>
        <w:rPr>
          <w:rFonts w:hint="eastAsia"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联系电话：</w:t>
      </w:r>
      <w:r>
        <w:rPr>
          <w:rFonts w:hint="eastAsia" w:hAnsi="宋体" w:cs="宋体"/>
          <w:color w:val="auto"/>
          <w:szCs w:val="21"/>
          <w:lang w:val="en-US" w:eastAsia="zh-CN"/>
        </w:rPr>
        <w:t>18677778771</w:t>
      </w:r>
    </w:p>
    <w:p>
      <w:pPr>
        <w:pStyle w:val="20"/>
        <w:spacing w:line="400" w:lineRule="exact"/>
        <w:ind w:firstLine="510" w:firstLineChars="243"/>
        <w:rPr>
          <w:rFonts w:hAnsi="宋体"/>
          <w:color w:val="auto"/>
          <w:szCs w:val="21"/>
        </w:rPr>
      </w:pPr>
      <w:r>
        <w:rPr>
          <w:rFonts w:hAnsi="宋体"/>
          <w:color w:val="auto"/>
          <w:szCs w:val="21"/>
        </w:rPr>
        <w:t>2</w:t>
      </w:r>
      <w:r>
        <w:rPr>
          <w:rFonts w:hint="eastAsia" w:hAnsi="宋体"/>
          <w:color w:val="auto"/>
          <w:szCs w:val="21"/>
        </w:rPr>
        <w:t>、采购代理机构名称：广西建设工程机电设备招标中心有限公司</w:t>
      </w:r>
    </w:p>
    <w:p>
      <w:pPr>
        <w:pStyle w:val="20"/>
        <w:spacing w:line="400" w:lineRule="exact"/>
        <w:ind w:firstLine="840" w:firstLineChars="400"/>
        <w:rPr>
          <w:rFonts w:hAnsi="宋体"/>
          <w:color w:val="auto"/>
          <w:szCs w:val="21"/>
        </w:rPr>
      </w:pPr>
      <w:r>
        <w:rPr>
          <w:rFonts w:hint="eastAsia" w:hAnsi="宋体"/>
          <w:color w:val="auto"/>
          <w:szCs w:val="21"/>
        </w:rPr>
        <w:t>联系人：宾</w:t>
      </w:r>
      <w:r>
        <w:rPr>
          <w:rFonts w:hint="eastAsia" w:hAnsi="宋体"/>
          <w:color w:val="auto"/>
          <w:szCs w:val="21"/>
          <w:lang w:eastAsia="zh-CN"/>
        </w:rPr>
        <w:t>胜全</w:t>
      </w:r>
      <w:r>
        <w:rPr>
          <w:rFonts w:hint="eastAsia" w:hAnsi="宋体"/>
          <w:color w:val="auto"/>
          <w:szCs w:val="21"/>
        </w:rPr>
        <w:t xml:space="preserve">  联系电话：</w:t>
      </w:r>
      <w:r>
        <w:rPr>
          <w:rFonts w:hAnsi="宋体"/>
          <w:color w:val="auto"/>
          <w:szCs w:val="21"/>
        </w:rPr>
        <w:t>0771-2808057</w:t>
      </w:r>
      <w:r>
        <w:rPr>
          <w:rFonts w:hint="eastAsia" w:hAnsi="宋体"/>
          <w:color w:val="auto"/>
          <w:szCs w:val="21"/>
        </w:rPr>
        <w:t>、</w:t>
      </w:r>
      <w:r>
        <w:rPr>
          <w:rFonts w:hAnsi="宋体"/>
          <w:color w:val="auto"/>
          <w:szCs w:val="21"/>
        </w:rPr>
        <w:t>2848933</w:t>
      </w:r>
      <w:r>
        <w:rPr>
          <w:rFonts w:hint="eastAsia" w:hAnsi="宋体"/>
          <w:color w:val="auto"/>
          <w:szCs w:val="21"/>
        </w:rPr>
        <w:t>（传真）</w:t>
      </w:r>
    </w:p>
    <w:p>
      <w:pPr>
        <w:spacing w:line="400" w:lineRule="exact"/>
        <w:ind w:firstLine="823" w:firstLineChars="392"/>
        <w:rPr>
          <w:rFonts w:ascii="宋体" w:hAnsi="宋体" w:eastAsia="宋体"/>
          <w:color w:val="auto"/>
          <w:sz w:val="21"/>
          <w:szCs w:val="21"/>
        </w:rPr>
      </w:pPr>
      <w:r>
        <w:rPr>
          <w:rFonts w:hint="eastAsia" w:ascii="宋体" w:hAnsi="宋体" w:eastAsia="宋体" w:cs="Calibri"/>
          <w:color w:val="auto"/>
          <w:sz w:val="21"/>
          <w:szCs w:val="21"/>
        </w:rPr>
        <w:t>地址</w:t>
      </w:r>
      <w:r>
        <w:rPr>
          <w:rFonts w:hint="eastAsia" w:ascii="宋体" w:hAnsi="宋体" w:eastAsia="宋体"/>
          <w:color w:val="auto"/>
          <w:sz w:val="21"/>
          <w:szCs w:val="21"/>
        </w:rPr>
        <w:t>：南宁市纬武路</w:t>
      </w:r>
      <w:r>
        <w:rPr>
          <w:rFonts w:ascii="宋体" w:hAnsi="宋体" w:eastAsia="宋体"/>
          <w:color w:val="auto"/>
          <w:sz w:val="21"/>
          <w:szCs w:val="21"/>
        </w:rPr>
        <w:t>165</w:t>
      </w:r>
      <w:r>
        <w:rPr>
          <w:rFonts w:hint="eastAsia" w:ascii="宋体" w:hAnsi="宋体" w:eastAsia="宋体"/>
          <w:color w:val="auto"/>
          <w:sz w:val="21"/>
          <w:szCs w:val="21"/>
        </w:rPr>
        <w:t>号</w:t>
      </w:r>
    </w:p>
    <w:p>
      <w:pPr>
        <w:snapToGrid w:val="0"/>
        <w:spacing w:line="400" w:lineRule="exact"/>
        <w:ind w:firstLine="420" w:firstLineChars="200"/>
        <w:rPr>
          <w:rFonts w:ascii="宋体" w:hAnsi="宋体" w:eastAsia="宋体" w:cs="Calibri"/>
          <w:color w:val="auto"/>
          <w:sz w:val="21"/>
          <w:szCs w:val="21"/>
        </w:rPr>
      </w:pPr>
      <w:r>
        <w:rPr>
          <w:rFonts w:ascii="宋体" w:hAnsi="宋体" w:eastAsia="宋体" w:cs="Calibri"/>
          <w:color w:val="auto"/>
          <w:sz w:val="21"/>
          <w:szCs w:val="21"/>
        </w:rPr>
        <w:t>3</w:t>
      </w:r>
      <w:r>
        <w:rPr>
          <w:rFonts w:hint="eastAsia" w:ascii="宋体" w:hAnsi="宋体" w:eastAsia="宋体" w:cs="Calibri"/>
          <w:color w:val="auto"/>
          <w:sz w:val="21"/>
          <w:szCs w:val="21"/>
        </w:rPr>
        <w:t>、监督管理部门：广西壮族自治区政府采购监督管理办公室，</w:t>
      </w:r>
      <w:r>
        <w:rPr>
          <w:rFonts w:ascii="宋体" w:hAnsi="宋体" w:eastAsia="宋体" w:cs="Calibri"/>
          <w:color w:val="auto"/>
          <w:sz w:val="21"/>
          <w:szCs w:val="21"/>
        </w:rPr>
        <w:t>0771-5331544</w:t>
      </w:r>
    </w:p>
    <w:p>
      <w:pPr>
        <w:snapToGrid w:val="0"/>
        <w:spacing w:line="400" w:lineRule="exact"/>
        <w:ind w:firstLine="4725" w:firstLineChars="2250"/>
        <w:rPr>
          <w:rFonts w:ascii="宋体" w:hAnsi="宋体" w:eastAsia="宋体"/>
          <w:color w:val="auto"/>
          <w:sz w:val="21"/>
          <w:szCs w:val="21"/>
        </w:rPr>
      </w:pPr>
      <w:r>
        <w:rPr>
          <w:rFonts w:hint="eastAsia" w:ascii="宋体" w:hAnsi="宋体" w:eastAsia="宋体"/>
          <w:color w:val="auto"/>
          <w:sz w:val="21"/>
          <w:szCs w:val="21"/>
        </w:rPr>
        <w:t>采购人：广西壮族自治区森林公安局</w:t>
      </w:r>
    </w:p>
    <w:p>
      <w:pPr>
        <w:snapToGrid w:val="0"/>
        <w:spacing w:line="400" w:lineRule="exact"/>
        <w:ind w:left="-142" w:leftChars="-59" w:firstLine="283" w:firstLineChars="135"/>
        <w:jc w:val="right"/>
        <w:rPr>
          <w:rFonts w:ascii="宋体" w:hAnsi="宋体" w:eastAsia="宋体"/>
          <w:color w:val="auto"/>
          <w:sz w:val="21"/>
          <w:szCs w:val="21"/>
        </w:rPr>
      </w:pPr>
      <w:r>
        <w:rPr>
          <w:rFonts w:hint="eastAsia" w:ascii="宋体" w:hAnsi="宋体" w:eastAsia="宋体"/>
          <w:color w:val="auto"/>
          <w:sz w:val="21"/>
          <w:szCs w:val="21"/>
        </w:rPr>
        <w:t>采购代理机构：广西建设工程机电设备招标中心有限公司</w:t>
      </w:r>
    </w:p>
    <w:p>
      <w:pPr>
        <w:snapToGrid w:val="0"/>
        <w:spacing w:line="400" w:lineRule="exact"/>
        <w:ind w:left="-142" w:leftChars="-59" w:right="420" w:firstLine="5943" w:firstLineChars="2830"/>
        <w:rPr>
          <w:rFonts w:ascii="宋体" w:hAnsi="宋体" w:eastAsia="宋体"/>
          <w:color w:val="auto"/>
          <w:sz w:val="21"/>
          <w:szCs w:val="21"/>
        </w:rPr>
      </w:pPr>
      <w:r>
        <w:rPr>
          <w:rFonts w:ascii="宋体" w:hAnsi="宋体" w:eastAsia="宋体"/>
          <w:color w:val="auto"/>
          <w:sz w:val="21"/>
          <w:szCs w:val="21"/>
        </w:rPr>
        <w:t>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26</w:t>
      </w:r>
      <w:r>
        <w:rPr>
          <w:rFonts w:hint="eastAsia" w:ascii="宋体" w:hAnsi="宋体" w:eastAsia="宋体"/>
          <w:color w:val="auto"/>
          <w:sz w:val="21"/>
          <w:szCs w:val="21"/>
        </w:rPr>
        <w:t xml:space="preserve"> 日</w:t>
      </w:r>
    </w:p>
    <w:p>
      <w:pPr>
        <w:spacing w:line="360" w:lineRule="auto"/>
        <w:jc w:val="center"/>
        <w:outlineLvl w:val="0"/>
        <w:rPr>
          <w:rFonts w:ascii="宋体" w:hAnsi="宋体" w:eastAsia="宋体"/>
          <w:b/>
          <w:color w:val="auto"/>
          <w:sz w:val="28"/>
          <w:szCs w:val="28"/>
        </w:rPr>
      </w:pPr>
      <w:r>
        <w:rPr>
          <w:rFonts w:ascii="宋体" w:hAnsi="宋体" w:eastAsia="宋体"/>
          <w:b/>
          <w:color w:val="auto"/>
        </w:rPr>
        <w:br w:type="page"/>
      </w:r>
      <w:bookmarkStart w:id="2" w:name="_Toc438739365"/>
      <w:r>
        <w:rPr>
          <w:rFonts w:hint="eastAsia" w:ascii="宋体" w:hAnsi="宋体" w:eastAsia="宋体"/>
          <w:b/>
          <w:color w:val="auto"/>
          <w:sz w:val="28"/>
          <w:szCs w:val="28"/>
        </w:rPr>
        <w:t>第二章竞标供应商须知前附表</w:t>
      </w:r>
      <w:bookmarkEnd w:id="2"/>
    </w:p>
    <w:tbl>
      <w:tblPr>
        <w:tblStyle w:val="3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6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17" w:type="dxa"/>
            <w:vAlign w:val="center"/>
          </w:tcPr>
          <w:p>
            <w:pPr>
              <w:spacing w:line="440" w:lineRule="exact"/>
              <w:jc w:val="center"/>
              <w:rPr>
                <w:rFonts w:ascii="宋体" w:hAnsi="宋体" w:eastAsia="宋体"/>
                <w:color w:val="auto"/>
                <w:sz w:val="21"/>
                <w:szCs w:val="21"/>
              </w:rPr>
            </w:pPr>
            <w:r>
              <w:rPr>
                <w:rFonts w:hint="eastAsia" w:ascii="宋体" w:hAnsi="宋体" w:eastAsia="宋体"/>
                <w:color w:val="auto"/>
                <w:sz w:val="21"/>
                <w:szCs w:val="21"/>
              </w:rPr>
              <w:t>序号</w:t>
            </w:r>
          </w:p>
        </w:tc>
        <w:tc>
          <w:tcPr>
            <w:tcW w:w="1061" w:type="dxa"/>
            <w:vAlign w:val="center"/>
          </w:tcPr>
          <w:p>
            <w:pPr>
              <w:spacing w:line="440" w:lineRule="exact"/>
              <w:jc w:val="center"/>
              <w:rPr>
                <w:rFonts w:ascii="宋体" w:hAnsi="宋体" w:eastAsia="宋体"/>
                <w:color w:val="auto"/>
                <w:sz w:val="21"/>
                <w:szCs w:val="21"/>
              </w:rPr>
            </w:pPr>
            <w:r>
              <w:rPr>
                <w:rFonts w:hint="eastAsia" w:ascii="宋体" w:hAnsi="宋体" w:eastAsia="宋体"/>
                <w:color w:val="auto"/>
                <w:sz w:val="21"/>
                <w:szCs w:val="21"/>
              </w:rPr>
              <w:t>条款号</w:t>
            </w:r>
          </w:p>
        </w:tc>
        <w:tc>
          <w:tcPr>
            <w:tcW w:w="7950" w:type="dxa"/>
            <w:vAlign w:val="center"/>
          </w:tcPr>
          <w:p>
            <w:pPr>
              <w:spacing w:line="440" w:lineRule="exact"/>
              <w:jc w:val="center"/>
              <w:rPr>
                <w:rFonts w:ascii="宋体" w:hAnsi="宋体" w:eastAsia="宋体"/>
                <w:color w:val="auto"/>
                <w:sz w:val="21"/>
                <w:szCs w:val="21"/>
              </w:rPr>
            </w:pPr>
            <w:r>
              <w:rPr>
                <w:rFonts w:hint="eastAsia" w:ascii="宋体" w:hAnsi="宋体"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1</w:t>
            </w:r>
          </w:p>
        </w:tc>
        <w:tc>
          <w:tcPr>
            <w:tcW w:w="1061"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1.1</w:t>
            </w:r>
          </w:p>
        </w:tc>
        <w:tc>
          <w:tcPr>
            <w:tcW w:w="7950" w:type="dxa"/>
            <w:vAlign w:val="center"/>
          </w:tcPr>
          <w:p>
            <w:pPr>
              <w:spacing w:line="400" w:lineRule="exact"/>
              <w:rPr>
                <w:rFonts w:eastAsia="宋体"/>
                <w:color w:val="auto"/>
                <w:sz w:val="21"/>
                <w:szCs w:val="21"/>
              </w:rPr>
            </w:pPr>
            <w:r>
              <w:rPr>
                <w:rFonts w:hint="eastAsia" w:eastAsia="宋体"/>
                <w:color w:val="auto"/>
                <w:sz w:val="21"/>
                <w:szCs w:val="21"/>
              </w:rPr>
              <w:t>项目名称：</w:t>
            </w:r>
            <w:r>
              <w:rPr>
                <w:rFonts w:hint="eastAsia" w:eastAsia="宋体"/>
                <w:color w:val="auto"/>
                <w:sz w:val="21"/>
                <w:szCs w:val="21"/>
                <w:lang w:eastAsia="zh-CN"/>
              </w:rPr>
              <w:t>自治区森林公安局物证鉴定所实验设备采购</w:t>
            </w:r>
            <w:r>
              <w:rPr>
                <w:rFonts w:hint="eastAsia" w:eastAsia="宋体"/>
                <w:color w:val="auto"/>
                <w:sz w:val="21"/>
                <w:szCs w:val="21"/>
              </w:rPr>
              <w:t xml:space="preserve">    </w:t>
            </w:r>
          </w:p>
          <w:p>
            <w:pPr>
              <w:spacing w:line="400" w:lineRule="exact"/>
              <w:rPr>
                <w:rFonts w:eastAsia="宋体"/>
                <w:color w:val="auto"/>
                <w:sz w:val="21"/>
                <w:szCs w:val="21"/>
              </w:rPr>
            </w:pPr>
            <w:r>
              <w:rPr>
                <w:rFonts w:hint="eastAsia" w:eastAsia="宋体"/>
                <w:color w:val="auto"/>
                <w:sz w:val="21"/>
                <w:szCs w:val="21"/>
              </w:rPr>
              <w:t>项目编号：</w:t>
            </w:r>
            <w:r>
              <w:rPr>
                <w:rFonts w:hint="eastAsia" w:ascii="宋体" w:hAnsi="宋体" w:eastAsia="宋体" w:cs="宋体"/>
                <w:color w:val="auto"/>
                <w:sz w:val="21"/>
                <w:szCs w:val="21"/>
                <w:lang w:val="en-US" w:eastAsia="zh-CN" w:bidi="ar-SA"/>
              </w:rPr>
              <w:t>GXZC2020-C1-000059-JGJD</w:t>
            </w:r>
          </w:p>
          <w:p>
            <w:pPr>
              <w:spacing w:line="400" w:lineRule="exact"/>
              <w:rPr>
                <w:rFonts w:ascii="宋体" w:hAnsi="宋体" w:eastAsia="宋体" w:cs="宋体"/>
                <w:color w:val="auto"/>
                <w:sz w:val="21"/>
                <w:szCs w:val="21"/>
              </w:rPr>
            </w:pPr>
            <w:r>
              <w:rPr>
                <w:rFonts w:hint="eastAsia" w:ascii="宋体" w:hAnsi="宋体" w:eastAsia="宋体" w:cs="宋体"/>
                <w:color w:val="auto"/>
                <w:sz w:val="21"/>
                <w:szCs w:val="21"/>
              </w:rPr>
              <w:t>采购内容：</w:t>
            </w:r>
            <w:r>
              <w:rPr>
                <w:rFonts w:hint="eastAsia" w:eastAsia="宋体"/>
                <w:color w:val="auto"/>
                <w:sz w:val="21"/>
                <w:szCs w:val="21"/>
                <w:lang w:eastAsia="zh-CN"/>
              </w:rPr>
              <w:t>自治区森林公安局物证鉴定所实验设备采购</w:t>
            </w:r>
            <w:r>
              <w:rPr>
                <w:rFonts w:hint="eastAsia" w:ascii="宋体" w:hAnsi="宋体" w:eastAsia="宋体" w:cs="宋体"/>
                <w:color w:val="auto"/>
                <w:sz w:val="21"/>
                <w:szCs w:val="21"/>
              </w:rPr>
              <w:t>一项，</w:t>
            </w:r>
            <w:r>
              <w:rPr>
                <w:rFonts w:hint="eastAsia" w:ascii="宋体" w:hAnsi="宋体" w:eastAsia="宋体"/>
                <w:color w:val="auto"/>
                <w:sz w:val="21"/>
                <w:szCs w:val="21"/>
              </w:rPr>
              <w:t>如需进一步了解详细内容，详见竞争性磋商文件。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2</w:t>
            </w:r>
          </w:p>
        </w:tc>
        <w:tc>
          <w:tcPr>
            <w:tcW w:w="1061"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3.1</w:t>
            </w: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供应商资格要求：</w:t>
            </w:r>
          </w:p>
          <w:p>
            <w:pPr>
              <w:spacing w:line="400" w:lineRule="exact"/>
              <w:rPr>
                <w:rFonts w:ascii="宋体" w:hAnsi="宋体" w:eastAsia="宋体"/>
                <w:color w:val="auto"/>
                <w:sz w:val="21"/>
                <w:szCs w:val="21"/>
              </w:rPr>
            </w:pPr>
            <w:r>
              <w:rPr>
                <w:rFonts w:hint="eastAsia" w:ascii="宋体" w:hAnsi="宋体" w:eastAsia="宋体"/>
                <w:color w:val="auto"/>
                <w:sz w:val="21"/>
                <w:szCs w:val="21"/>
              </w:rPr>
              <w:t>1、符合《中华人民共和国政府采购法》第二十二条规定条件；国内注册登记（指按国家有关规定要求注册登记的）的供应商；</w:t>
            </w:r>
          </w:p>
          <w:p>
            <w:pPr>
              <w:spacing w:line="400" w:lineRule="exact"/>
              <w:rPr>
                <w:rFonts w:ascii="宋体" w:hAnsi="宋体" w:eastAsia="宋体"/>
                <w:color w:val="auto"/>
                <w:sz w:val="21"/>
                <w:szCs w:val="21"/>
              </w:rPr>
            </w:pPr>
            <w:r>
              <w:rPr>
                <w:rFonts w:hint="eastAsia" w:ascii="宋体" w:hAnsi="宋体" w:eastAsia="宋体"/>
                <w:color w:val="auto"/>
                <w:sz w:val="21"/>
                <w:szCs w:val="21"/>
              </w:rPr>
              <w:t>2、本项目不接受联合体参与磋商采购活动，不接受未在规定时间内购买本项目采购文件的供应商参与磋商采购活动；</w:t>
            </w:r>
          </w:p>
          <w:p>
            <w:pPr>
              <w:spacing w:line="400" w:lineRule="exact"/>
              <w:rPr>
                <w:rFonts w:ascii="宋体" w:hAnsi="宋体" w:eastAsia="宋体"/>
                <w:color w:val="auto"/>
                <w:sz w:val="21"/>
                <w:szCs w:val="21"/>
              </w:rPr>
            </w:pPr>
            <w:r>
              <w:rPr>
                <w:rFonts w:hint="eastAsia" w:ascii="宋体" w:hAnsi="宋体" w:eastAsia="宋体"/>
                <w:color w:val="auto"/>
                <w:sz w:val="21"/>
                <w:szCs w:val="21"/>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同时须在投标文件中将查询结果截图加盖单位公章如实报告评标委员会）。</w:t>
            </w:r>
          </w:p>
          <w:p>
            <w:pPr>
              <w:spacing w:line="400" w:lineRule="exact"/>
              <w:rPr>
                <w:rFonts w:ascii="宋体" w:hAnsi="宋体" w:eastAsia="宋体"/>
                <w:color w:val="auto"/>
                <w:sz w:val="21"/>
                <w:szCs w:val="21"/>
              </w:rPr>
            </w:pPr>
            <w:r>
              <w:rPr>
                <w:rFonts w:hint="eastAsia" w:ascii="宋体" w:hAnsi="宋体" w:eastAsia="宋体"/>
                <w:color w:val="auto"/>
                <w:sz w:val="21"/>
                <w:szCs w:val="21"/>
              </w:rPr>
              <w:t>4、本项目不接受联合体竞标。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3</w:t>
            </w:r>
          </w:p>
        </w:tc>
        <w:tc>
          <w:tcPr>
            <w:tcW w:w="1061"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7.1</w:t>
            </w:r>
          </w:p>
        </w:tc>
        <w:tc>
          <w:tcPr>
            <w:tcW w:w="7950" w:type="dxa"/>
            <w:vAlign w:val="center"/>
          </w:tcPr>
          <w:p>
            <w:pPr>
              <w:spacing w:line="400" w:lineRule="exact"/>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、采购预算价</w:t>
            </w:r>
            <w:r>
              <w:rPr>
                <w:rFonts w:ascii="宋体" w:hAnsi="宋体" w:eastAsia="宋体"/>
                <w:color w:val="auto"/>
                <w:sz w:val="21"/>
                <w:szCs w:val="21"/>
              </w:rPr>
              <w:t>:</w:t>
            </w:r>
            <w:r>
              <w:rPr>
                <w:rFonts w:hint="eastAsia" w:ascii="宋体" w:hAnsi="宋体" w:eastAsia="宋体"/>
                <w:color w:val="auto"/>
                <w:sz w:val="21"/>
                <w:szCs w:val="21"/>
              </w:rPr>
              <w:t xml:space="preserve"> 75.38 万元</w:t>
            </w:r>
          </w:p>
          <w:p>
            <w:pPr>
              <w:spacing w:line="400" w:lineRule="exact"/>
              <w:rPr>
                <w:rFonts w:ascii="宋体" w:hAnsi="宋体" w:eastAsia="宋体"/>
                <w:color w:val="auto"/>
                <w:sz w:val="21"/>
                <w:szCs w:val="21"/>
              </w:rPr>
            </w:pPr>
            <w:r>
              <w:rPr>
                <w:rFonts w:hint="eastAsia" w:ascii="宋体" w:hAnsi="宋体" w:eastAsia="宋体"/>
                <w:color w:val="auto"/>
                <w:sz w:val="21"/>
                <w:szCs w:val="21"/>
              </w:rPr>
              <w:t>2、竞标人投标报价超出本次采购预算价，投标无效。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4</w:t>
            </w:r>
          </w:p>
        </w:tc>
        <w:tc>
          <w:tcPr>
            <w:tcW w:w="1061"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8.1</w:t>
            </w: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响应文件份数：正本一份，副本四份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5</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磋商有效期：磋商截止日期后</w:t>
            </w:r>
            <w:r>
              <w:rPr>
                <w:rFonts w:ascii="宋体" w:hAnsi="宋体" w:eastAsia="宋体"/>
                <w:color w:val="auto"/>
                <w:sz w:val="21"/>
                <w:szCs w:val="21"/>
              </w:rPr>
              <w:t>60</w:t>
            </w:r>
            <w:r>
              <w:rPr>
                <w:rFonts w:hint="eastAsia" w:ascii="宋体" w:hAnsi="宋体" w:eastAsia="宋体"/>
                <w:color w:val="auto"/>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6</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u w:val="single"/>
              </w:rPr>
            </w:pPr>
            <w:r>
              <w:rPr>
                <w:rFonts w:hint="eastAsia" w:ascii="宋体" w:hAnsi="宋体" w:eastAsia="宋体"/>
                <w:color w:val="auto"/>
                <w:sz w:val="21"/>
                <w:szCs w:val="21"/>
              </w:rPr>
              <w:t>合同名称：</w:t>
            </w:r>
            <w:r>
              <w:rPr>
                <w:rFonts w:hint="eastAsia" w:eastAsia="宋体"/>
                <w:color w:val="auto"/>
                <w:sz w:val="21"/>
                <w:szCs w:val="21"/>
                <w:lang w:eastAsia="zh-CN"/>
              </w:rPr>
              <w:t>自治区森林公安局物证鉴定所实验设备采购</w:t>
            </w:r>
            <w:r>
              <w:rPr>
                <w:rFonts w:hint="eastAsia" w:ascii="宋体" w:hAnsi="宋体" w:eastAsia="宋体"/>
                <w:color w:val="auto"/>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7</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磋商保证金：</w:t>
            </w:r>
            <w:r>
              <w:rPr>
                <w:rFonts w:hint="eastAsia" w:ascii="宋体" w:hAnsi="宋体" w:eastAsia="宋体"/>
                <w:b/>
                <w:bCs/>
                <w:color w:val="auto"/>
                <w:sz w:val="21"/>
                <w:szCs w:val="21"/>
                <w:lang w:eastAsia="zh-CN"/>
              </w:rPr>
              <w:t>伍</w:t>
            </w:r>
            <w:r>
              <w:rPr>
                <w:rFonts w:hint="eastAsia" w:ascii="宋体" w:hAnsi="宋体" w:eastAsia="宋体"/>
                <w:b/>
                <w:bCs/>
                <w:color w:val="auto"/>
                <w:sz w:val="21"/>
                <w:szCs w:val="21"/>
              </w:rPr>
              <w:t>仟元整（￥</w:t>
            </w:r>
            <w:r>
              <w:rPr>
                <w:rFonts w:hint="eastAsia" w:ascii="宋体" w:hAnsi="宋体" w:eastAsia="宋体"/>
                <w:b/>
                <w:bCs/>
                <w:color w:val="auto"/>
                <w:sz w:val="21"/>
                <w:szCs w:val="21"/>
                <w:lang w:val="en-US" w:eastAsia="zh-CN"/>
              </w:rPr>
              <w:t>5000</w:t>
            </w:r>
            <w:r>
              <w:rPr>
                <w:rFonts w:ascii="宋体" w:hAnsi="宋体" w:eastAsia="宋体"/>
                <w:b/>
                <w:bCs/>
                <w:color w:val="auto"/>
                <w:sz w:val="21"/>
                <w:szCs w:val="21"/>
              </w:rPr>
              <w:t>.00</w:t>
            </w:r>
            <w:r>
              <w:rPr>
                <w:rFonts w:hint="eastAsia" w:ascii="宋体" w:hAnsi="宋体" w:eastAsia="宋体"/>
                <w:b/>
                <w:bCs/>
                <w:color w:val="auto"/>
                <w:sz w:val="21"/>
                <w:szCs w:val="21"/>
              </w:rPr>
              <w:t>）</w:t>
            </w:r>
            <w:r>
              <w:rPr>
                <w:rFonts w:hint="eastAsia" w:ascii="宋体" w:hAnsi="宋体" w:eastAsia="宋体"/>
                <w:color w:val="auto"/>
                <w:sz w:val="21"/>
                <w:szCs w:val="21"/>
              </w:rPr>
              <w:t>（须足额交纳）</w:t>
            </w:r>
          </w:p>
          <w:p>
            <w:pPr>
              <w:spacing w:line="400" w:lineRule="exact"/>
              <w:rPr>
                <w:rFonts w:ascii="宋体" w:hAnsi="宋体" w:eastAsia="宋体"/>
                <w:color w:val="auto"/>
                <w:sz w:val="21"/>
                <w:szCs w:val="21"/>
              </w:rPr>
            </w:pPr>
            <w:r>
              <w:rPr>
                <w:rFonts w:hint="eastAsia" w:ascii="宋体" w:hAnsi="宋体" w:eastAsia="宋体"/>
                <w:color w:val="auto"/>
                <w:sz w:val="21"/>
                <w:szCs w:val="21"/>
              </w:rPr>
              <w:t>磋商保证金应在磋商有效期内保持有效。</w:t>
            </w:r>
          </w:p>
          <w:p>
            <w:pPr>
              <w:snapToGrid w:val="0"/>
              <w:spacing w:line="420" w:lineRule="exact"/>
              <w:ind w:firstLine="525" w:firstLineChars="250"/>
              <w:rPr>
                <w:rFonts w:ascii="宋体" w:hAnsi="宋体" w:eastAsia="宋体"/>
                <w:color w:val="auto"/>
                <w:sz w:val="21"/>
                <w:szCs w:val="21"/>
              </w:rPr>
            </w:pPr>
            <w:r>
              <w:rPr>
                <w:rFonts w:hint="eastAsia" w:ascii="宋体" w:hAnsi="宋体" w:eastAsia="宋体"/>
                <w:color w:val="auto"/>
                <w:sz w:val="21"/>
                <w:szCs w:val="21"/>
              </w:rPr>
              <w:t>竞标人应在竞标时间截止前将竞标保证金从竞标单位基本账户汇至以下账户中，并注明项目信息：</w:t>
            </w:r>
          </w:p>
          <w:p>
            <w:pPr>
              <w:pStyle w:val="20"/>
              <w:spacing w:line="420" w:lineRule="exact"/>
              <w:ind w:firstLine="539" w:firstLineChars="257"/>
              <w:rPr>
                <w:rFonts w:hAnsi="宋体"/>
                <w:color w:val="auto"/>
                <w:kern w:val="0"/>
                <w:szCs w:val="21"/>
              </w:rPr>
            </w:pPr>
            <w:r>
              <w:rPr>
                <w:rFonts w:hint="eastAsia" w:hAnsi="宋体"/>
                <w:color w:val="auto"/>
                <w:kern w:val="0"/>
                <w:szCs w:val="21"/>
              </w:rPr>
              <w:t>开户名称：广西建设工程机电设备招标中心有限公司</w:t>
            </w:r>
          </w:p>
          <w:p>
            <w:pPr>
              <w:pStyle w:val="20"/>
              <w:spacing w:line="420" w:lineRule="exact"/>
              <w:ind w:firstLine="539" w:firstLineChars="257"/>
              <w:rPr>
                <w:rFonts w:hAnsi="宋体"/>
                <w:color w:val="auto"/>
                <w:kern w:val="0"/>
                <w:szCs w:val="21"/>
              </w:rPr>
            </w:pPr>
            <w:r>
              <w:rPr>
                <w:rFonts w:hint="eastAsia" w:hAnsi="宋体"/>
                <w:color w:val="auto"/>
                <w:kern w:val="0"/>
                <w:szCs w:val="21"/>
              </w:rPr>
              <w:t>开户银行：招商银行南宁分行营业部</w:t>
            </w:r>
          </w:p>
          <w:p>
            <w:pPr>
              <w:pStyle w:val="20"/>
              <w:spacing w:line="420" w:lineRule="exact"/>
              <w:ind w:firstLine="539" w:firstLineChars="257"/>
              <w:rPr>
                <w:rFonts w:hAnsi="宋体"/>
                <w:color w:val="auto"/>
                <w:kern w:val="0"/>
                <w:szCs w:val="21"/>
              </w:rPr>
            </w:pPr>
            <w:r>
              <w:rPr>
                <w:rFonts w:hint="eastAsia" w:hAnsi="宋体"/>
                <w:color w:val="auto"/>
                <w:kern w:val="0"/>
                <w:szCs w:val="21"/>
              </w:rPr>
              <w:t>帐号：</w:t>
            </w:r>
            <w:r>
              <w:rPr>
                <w:rFonts w:hAnsi="宋体"/>
                <w:color w:val="auto"/>
                <w:kern w:val="0"/>
                <w:szCs w:val="21"/>
              </w:rPr>
              <w:t>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8</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响应文件递交截止时间：</w:t>
            </w:r>
            <w:r>
              <w:rPr>
                <w:rFonts w:ascii="宋体" w:hAnsi="宋体" w:eastAsia="宋体" w:cs="Times New Roman"/>
                <w:color w:val="auto"/>
                <w:sz w:val="21"/>
                <w:szCs w:val="21"/>
                <w:lang w:val="en-US" w:eastAsia="zh-CN" w:bidi="ar-SA"/>
              </w:rPr>
              <w:t>20</w:t>
            </w:r>
            <w:r>
              <w:rPr>
                <w:rFonts w:hint="eastAsia" w:ascii="宋体" w:hAnsi="宋体" w:eastAsia="宋体" w:cs="Times New Roman"/>
                <w:color w:val="auto"/>
                <w:sz w:val="21"/>
                <w:szCs w:val="21"/>
                <w:lang w:val="en-US" w:eastAsia="zh-CN" w:bidi="ar-SA"/>
              </w:rPr>
              <w:t>20年5月7日15时00</w:t>
            </w:r>
            <w:r>
              <w:rPr>
                <w:rFonts w:hint="eastAsia" w:ascii="宋体" w:hAnsi="宋体" w:eastAsia="宋体"/>
                <w:color w:val="auto"/>
                <w:sz w:val="21"/>
                <w:szCs w:val="21"/>
              </w:rPr>
              <w:t>分</w:t>
            </w:r>
            <w:bookmarkStart w:id="48" w:name="_GoBack"/>
            <w:bookmarkEnd w:id="48"/>
          </w:p>
          <w:p>
            <w:pPr>
              <w:spacing w:line="400" w:lineRule="exact"/>
              <w:rPr>
                <w:rFonts w:eastAsia="宋体"/>
                <w:color w:val="auto"/>
                <w:sz w:val="21"/>
                <w:szCs w:val="21"/>
              </w:rPr>
            </w:pPr>
            <w:r>
              <w:rPr>
                <w:rFonts w:hint="eastAsia" w:ascii="宋体" w:hAnsi="宋体" w:eastAsia="宋体"/>
                <w:color w:val="auto"/>
                <w:sz w:val="21"/>
                <w:szCs w:val="21"/>
              </w:rPr>
              <w:t>地址：南宁市青秀区金湖路52-1号东方曼哈顿三楼国资交易中心开标室（具体以电子屏幕场地安排为准）</w:t>
            </w:r>
            <w:r>
              <w:rPr>
                <w:rFonts w:hint="eastAsia"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9</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磋商时间：</w:t>
            </w:r>
            <w:r>
              <w:rPr>
                <w:rFonts w:ascii="宋体" w:hAnsi="宋体" w:eastAsia="宋体" w:cs="Times New Roman"/>
                <w:color w:val="auto"/>
                <w:sz w:val="21"/>
                <w:szCs w:val="21"/>
                <w:lang w:val="en-US" w:eastAsia="zh-CN" w:bidi="ar-SA"/>
              </w:rPr>
              <w:t>20</w:t>
            </w:r>
            <w:r>
              <w:rPr>
                <w:rFonts w:hint="eastAsia" w:ascii="宋体" w:hAnsi="宋体" w:eastAsia="宋体" w:cs="Times New Roman"/>
                <w:color w:val="auto"/>
                <w:sz w:val="21"/>
                <w:szCs w:val="21"/>
                <w:lang w:val="en-US" w:eastAsia="zh-CN" w:bidi="ar-SA"/>
              </w:rPr>
              <w:t>20年5月7日15时00</w:t>
            </w:r>
            <w:r>
              <w:rPr>
                <w:rFonts w:hint="eastAsia" w:ascii="宋体" w:hAnsi="宋体" w:eastAsia="宋体"/>
                <w:color w:val="auto"/>
                <w:sz w:val="21"/>
                <w:szCs w:val="21"/>
              </w:rPr>
              <w:t>分截标后（具体时间由采购代理机构另行通知）</w:t>
            </w:r>
          </w:p>
          <w:p>
            <w:pPr>
              <w:spacing w:line="400" w:lineRule="exact"/>
              <w:rPr>
                <w:rFonts w:eastAsia="宋体"/>
                <w:color w:val="auto"/>
                <w:sz w:val="21"/>
                <w:szCs w:val="21"/>
              </w:rPr>
            </w:pPr>
            <w:r>
              <w:rPr>
                <w:rFonts w:hint="eastAsia" w:ascii="宋体" w:hAnsi="宋体" w:eastAsia="宋体"/>
                <w:color w:val="auto"/>
                <w:sz w:val="21"/>
                <w:szCs w:val="21"/>
              </w:rPr>
              <w:t>磋商地点：南宁市青秀区金湖路52-1号东方曼哈顿三楼国资交易中心开标室（具体以电子屏幕场地安排为准）</w:t>
            </w:r>
            <w:r>
              <w:rPr>
                <w:rFonts w:hint="eastAsia"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10</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bCs/>
                <w:color w:val="auto"/>
                <w:sz w:val="21"/>
                <w:szCs w:val="21"/>
              </w:rPr>
            </w:pPr>
            <w:r>
              <w:rPr>
                <w:rFonts w:hint="eastAsia" w:ascii="宋体" w:hAnsi="宋体" w:eastAsia="宋体"/>
                <w:color w:val="auto"/>
                <w:sz w:val="21"/>
                <w:szCs w:val="21"/>
              </w:rPr>
              <w:t>成交服务费：</w:t>
            </w:r>
            <w:r>
              <w:rPr>
                <w:rFonts w:hint="eastAsia" w:ascii="宋体" w:hAnsi="宋体" w:eastAsia="宋体"/>
                <w:bCs/>
                <w:color w:val="auto"/>
                <w:sz w:val="21"/>
                <w:szCs w:val="21"/>
              </w:rPr>
              <w:t>成交服务费按国家发展计划委员会《招标代理服务费管理暂行办法》（计价格</w:t>
            </w:r>
            <w:r>
              <w:rPr>
                <w:rFonts w:ascii="宋体" w:hAnsi="宋体" w:eastAsia="宋体"/>
                <w:bCs/>
                <w:color w:val="auto"/>
                <w:sz w:val="21"/>
                <w:szCs w:val="21"/>
              </w:rPr>
              <w:t>[2002]1980</w:t>
            </w:r>
            <w:r>
              <w:rPr>
                <w:rFonts w:hint="eastAsia" w:ascii="宋体" w:hAnsi="宋体" w:eastAsia="宋体"/>
                <w:bCs/>
                <w:color w:val="auto"/>
                <w:sz w:val="21"/>
                <w:szCs w:val="21"/>
              </w:rPr>
              <w:t>号）收费标准</w:t>
            </w:r>
            <w:r>
              <w:rPr>
                <w:rFonts w:hint="eastAsia" w:ascii="宋体" w:hAnsi="宋体" w:eastAsia="宋体"/>
                <w:bCs/>
                <w:color w:val="auto"/>
                <w:sz w:val="21"/>
                <w:szCs w:val="21"/>
                <w:lang w:eastAsia="zh-CN"/>
              </w:rPr>
              <w:t>下浮</w:t>
            </w:r>
            <w:r>
              <w:rPr>
                <w:rFonts w:hint="eastAsia" w:ascii="宋体" w:hAnsi="宋体" w:eastAsia="宋体"/>
                <w:bCs/>
                <w:color w:val="auto"/>
                <w:sz w:val="21"/>
                <w:szCs w:val="21"/>
                <w:lang w:val="en-US" w:eastAsia="zh-CN"/>
              </w:rPr>
              <w:t xml:space="preserve"> 20%</w:t>
            </w:r>
            <w:r>
              <w:rPr>
                <w:rFonts w:ascii="宋体" w:hAnsi="宋体" w:eastAsia="宋体"/>
                <w:bCs/>
                <w:color w:val="auto"/>
                <w:sz w:val="21"/>
                <w:szCs w:val="21"/>
              </w:rPr>
              <w:t>,</w:t>
            </w:r>
            <w:r>
              <w:rPr>
                <w:rFonts w:hint="eastAsia" w:ascii="宋体" w:hAnsi="宋体" w:eastAsia="宋体"/>
                <w:bCs/>
                <w:color w:val="auto"/>
                <w:sz w:val="21"/>
                <w:szCs w:val="21"/>
              </w:rPr>
              <w:t>以采购预算价作为计费基数向成交人收取。发出成交通知书前，成交人应向采购代理机构一次付清成交服务费。</w:t>
            </w:r>
          </w:p>
          <w:p>
            <w:pPr>
              <w:pStyle w:val="20"/>
              <w:snapToGrid w:val="0"/>
              <w:spacing w:line="400" w:lineRule="exact"/>
              <w:ind w:firstLine="411" w:firstLineChars="196"/>
              <w:outlineLvl w:val="1"/>
              <w:rPr>
                <w:rFonts w:hAnsi="宋体"/>
                <w:bCs/>
                <w:color w:val="auto"/>
                <w:kern w:val="0"/>
                <w:szCs w:val="21"/>
              </w:rPr>
            </w:pPr>
            <w:r>
              <w:rPr>
                <w:rFonts w:hint="eastAsia" w:hAnsi="宋体"/>
                <w:bCs/>
                <w:color w:val="auto"/>
                <w:kern w:val="0"/>
                <w:szCs w:val="21"/>
              </w:rPr>
              <w:t>代理服务费收费标准：</w:t>
            </w:r>
          </w:p>
          <w:tbl>
            <w:tblPr>
              <w:tblStyle w:val="37"/>
              <w:tblW w:w="585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764" w:type="dxa"/>
                  <w:tcBorders>
                    <w:top w:val="single" w:color="auto" w:sz="4" w:space="0"/>
                    <w:left w:val="single" w:color="auto" w:sz="4" w:space="0"/>
                    <w:bottom w:val="single" w:color="auto" w:sz="4" w:space="0"/>
                    <w:right w:val="single" w:color="auto" w:sz="4" w:space="0"/>
                  </w:tcBorders>
                  <w:vAlign w:val="center"/>
                </w:tcPr>
                <w:p>
                  <w:pPr>
                    <w:pStyle w:val="20"/>
                    <w:spacing w:line="400" w:lineRule="exact"/>
                    <w:jc w:val="center"/>
                    <w:rPr>
                      <w:rFonts w:hAnsi="宋体"/>
                      <w:color w:val="auto"/>
                      <w:kern w:val="0"/>
                      <w:szCs w:val="21"/>
                    </w:rPr>
                  </w:pPr>
                  <w:r>
                    <w:rPr>
                      <w:rFonts w:hint="eastAsia" w:hAnsi="宋体"/>
                      <w:color w:val="auto"/>
                      <w:kern w:val="0"/>
                      <w:szCs w:val="21"/>
                    </w:rPr>
                    <w:t>成交金额（万元）</w:t>
                  </w:r>
                </w:p>
              </w:tc>
              <w:tc>
                <w:tcPr>
                  <w:tcW w:w="3090" w:type="dxa"/>
                  <w:tcBorders>
                    <w:top w:val="single" w:color="auto" w:sz="4" w:space="0"/>
                    <w:left w:val="single" w:color="auto" w:sz="4" w:space="0"/>
                    <w:bottom w:val="single" w:color="auto" w:sz="4" w:space="0"/>
                    <w:right w:val="single" w:color="auto" w:sz="4" w:space="0"/>
                  </w:tcBorders>
                  <w:vAlign w:val="center"/>
                </w:tcPr>
                <w:p>
                  <w:pPr>
                    <w:pStyle w:val="20"/>
                    <w:spacing w:line="400" w:lineRule="exact"/>
                    <w:ind w:left="-1" w:leftChars="-2" w:hanging="4" w:hangingChars="2"/>
                    <w:jc w:val="center"/>
                    <w:rPr>
                      <w:rFonts w:hAnsi="宋体"/>
                      <w:color w:val="auto"/>
                      <w:kern w:val="0"/>
                      <w:szCs w:val="21"/>
                    </w:rPr>
                  </w:pPr>
                  <w:r>
                    <w:rPr>
                      <w:rFonts w:hint="eastAsia" w:hAnsi="宋体"/>
                      <w:color w:val="auto"/>
                      <w:kern w:val="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764" w:type="dxa"/>
                  <w:tcBorders>
                    <w:top w:val="single" w:color="auto" w:sz="4" w:space="0"/>
                    <w:left w:val="single" w:color="auto" w:sz="4" w:space="0"/>
                    <w:bottom w:val="single" w:color="auto" w:sz="4" w:space="0"/>
                    <w:right w:val="single" w:color="auto" w:sz="4" w:space="0"/>
                  </w:tcBorders>
                </w:tcPr>
                <w:p>
                  <w:pPr>
                    <w:pStyle w:val="20"/>
                    <w:spacing w:line="400" w:lineRule="exact"/>
                    <w:ind w:left="2" w:leftChars="-59" w:hanging="144" w:hangingChars="69"/>
                    <w:jc w:val="center"/>
                    <w:rPr>
                      <w:rFonts w:hAnsi="宋体"/>
                      <w:color w:val="auto"/>
                      <w:kern w:val="0"/>
                      <w:szCs w:val="21"/>
                    </w:rPr>
                  </w:pPr>
                  <w:r>
                    <w:rPr>
                      <w:rFonts w:hAnsi="宋体"/>
                      <w:color w:val="auto"/>
                      <w:kern w:val="0"/>
                      <w:szCs w:val="21"/>
                    </w:rPr>
                    <w:t>100</w:t>
                  </w:r>
                  <w:r>
                    <w:rPr>
                      <w:rFonts w:hint="eastAsia" w:hAnsi="宋体"/>
                      <w:color w:val="auto"/>
                      <w:kern w:val="0"/>
                      <w:szCs w:val="21"/>
                    </w:rPr>
                    <w:t>以下</w:t>
                  </w:r>
                </w:p>
              </w:tc>
              <w:tc>
                <w:tcPr>
                  <w:tcW w:w="3090" w:type="dxa"/>
                  <w:tcBorders>
                    <w:top w:val="single" w:color="auto" w:sz="4" w:space="0"/>
                    <w:left w:val="single" w:color="auto" w:sz="4" w:space="0"/>
                    <w:bottom w:val="single" w:color="auto" w:sz="4" w:space="0"/>
                    <w:right w:val="single" w:color="auto" w:sz="4" w:space="0"/>
                  </w:tcBorders>
                </w:tcPr>
                <w:p>
                  <w:pPr>
                    <w:pStyle w:val="20"/>
                    <w:spacing w:line="400" w:lineRule="exact"/>
                    <w:jc w:val="center"/>
                    <w:rPr>
                      <w:rFonts w:hAnsi="宋体"/>
                      <w:color w:val="auto"/>
                      <w:kern w:val="0"/>
                      <w:szCs w:val="21"/>
                    </w:rPr>
                  </w:pPr>
                  <w:r>
                    <w:rPr>
                      <w:rFonts w:hAnsi="宋体"/>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Borders>
                    <w:top w:val="single" w:color="auto" w:sz="4" w:space="0"/>
                    <w:left w:val="single" w:color="auto" w:sz="4" w:space="0"/>
                    <w:bottom w:val="single" w:color="auto" w:sz="4" w:space="0"/>
                    <w:right w:val="single" w:color="auto" w:sz="4" w:space="0"/>
                  </w:tcBorders>
                </w:tcPr>
                <w:p>
                  <w:pPr>
                    <w:pStyle w:val="20"/>
                    <w:spacing w:line="400" w:lineRule="exact"/>
                    <w:ind w:left="2" w:leftChars="-59" w:hanging="144" w:hangingChars="69"/>
                    <w:jc w:val="center"/>
                    <w:rPr>
                      <w:rFonts w:hAnsi="宋体"/>
                      <w:color w:val="auto"/>
                      <w:kern w:val="0"/>
                      <w:szCs w:val="21"/>
                    </w:rPr>
                  </w:pPr>
                  <w:r>
                    <w:rPr>
                      <w:rFonts w:hAnsi="宋体"/>
                      <w:color w:val="auto"/>
                      <w:kern w:val="0"/>
                      <w:szCs w:val="21"/>
                    </w:rPr>
                    <w:t>100-500</w:t>
                  </w:r>
                </w:p>
              </w:tc>
              <w:tc>
                <w:tcPr>
                  <w:tcW w:w="3090" w:type="dxa"/>
                  <w:tcBorders>
                    <w:top w:val="single" w:color="auto" w:sz="4" w:space="0"/>
                    <w:left w:val="single" w:color="auto" w:sz="4" w:space="0"/>
                    <w:bottom w:val="single" w:color="auto" w:sz="4" w:space="0"/>
                    <w:right w:val="single" w:color="auto" w:sz="4" w:space="0"/>
                  </w:tcBorders>
                </w:tcPr>
                <w:p>
                  <w:pPr>
                    <w:pStyle w:val="20"/>
                    <w:spacing w:line="400" w:lineRule="exact"/>
                    <w:jc w:val="center"/>
                    <w:rPr>
                      <w:rFonts w:hAnsi="宋体"/>
                      <w:color w:val="auto"/>
                      <w:kern w:val="0"/>
                      <w:szCs w:val="21"/>
                    </w:rPr>
                  </w:pPr>
                  <w:r>
                    <w:rPr>
                      <w:rFonts w:hAnsi="宋体"/>
                      <w:color w:val="auto"/>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Borders>
                    <w:top w:val="single" w:color="auto" w:sz="4" w:space="0"/>
                    <w:left w:val="single" w:color="auto" w:sz="4" w:space="0"/>
                    <w:bottom w:val="single" w:color="auto" w:sz="4" w:space="0"/>
                    <w:right w:val="single" w:color="auto" w:sz="4" w:space="0"/>
                  </w:tcBorders>
                </w:tcPr>
                <w:p>
                  <w:pPr>
                    <w:pStyle w:val="20"/>
                    <w:spacing w:line="400" w:lineRule="exact"/>
                    <w:ind w:left="2" w:leftChars="-59" w:hanging="144" w:hangingChars="69"/>
                    <w:jc w:val="center"/>
                    <w:rPr>
                      <w:rFonts w:hAnsi="宋体"/>
                      <w:color w:val="auto"/>
                      <w:kern w:val="0"/>
                      <w:szCs w:val="21"/>
                    </w:rPr>
                  </w:pPr>
                  <w:r>
                    <w:rPr>
                      <w:rFonts w:hAnsi="宋体"/>
                      <w:color w:val="auto"/>
                      <w:kern w:val="0"/>
                      <w:szCs w:val="21"/>
                    </w:rPr>
                    <w:t>500-1000</w:t>
                  </w:r>
                </w:p>
              </w:tc>
              <w:tc>
                <w:tcPr>
                  <w:tcW w:w="3090" w:type="dxa"/>
                  <w:tcBorders>
                    <w:top w:val="single" w:color="auto" w:sz="4" w:space="0"/>
                    <w:left w:val="single" w:color="auto" w:sz="4" w:space="0"/>
                    <w:bottom w:val="single" w:color="auto" w:sz="4" w:space="0"/>
                    <w:right w:val="single" w:color="auto" w:sz="4" w:space="0"/>
                  </w:tcBorders>
                </w:tcPr>
                <w:p>
                  <w:pPr>
                    <w:pStyle w:val="20"/>
                    <w:spacing w:line="400" w:lineRule="exact"/>
                    <w:jc w:val="center"/>
                    <w:rPr>
                      <w:rFonts w:hAnsi="宋体"/>
                      <w:color w:val="auto"/>
                      <w:kern w:val="0"/>
                      <w:szCs w:val="21"/>
                    </w:rPr>
                  </w:pPr>
                  <w:r>
                    <w:rPr>
                      <w:rFonts w:hAnsi="宋体"/>
                      <w:color w:val="auto"/>
                      <w:kern w:val="0"/>
                      <w:szCs w:val="21"/>
                    </w:rPr>
                    <w:t>0.45%</w:t>
                  </w:r>
                </w:p>
              </w:tc>
            </w:tr>
          </w:tbl>
          <w:p>
            <w:pPr>
              <w:pStyle w:val="20"/>
              <w:snapToGrid w:val="0"/>
              <w:spacing w:line="400" w:lineRule="exact"/>
              <w:ind w:firstLine="315" w:firstLineChars="150"/>
              <w:outlineLvl w:val="1"/>
              <w:rPr>
                <w:rFonts w:hAnsi="宋体"/>
                <w:color w:val="auto"/>
                <w:kern w:val="0"/>
                <w:szCs w:val="21"/>
              </w:rPr>
            </w:pPr>
            <w:r>
              <w:rPr>
                <w:rFonts w:hint="eastAsia" w:hAnsi="宋体"/>
                <w:color w:val="auto"/>
                <w:kern w:val="0"/>
                <w:szCs w:val="21"/>
              </w:rPr>
              <w:t>注：代理服务费按差额定率累进法计算。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17" w:type="dxa"/>
            <w:vAlign w:val="center"/>
          </w:tcPr>
          <w:p>
            <w:pPr>
              <w:spacing w:line="400" w:lineRule="exact"/>
              <w:jc w:val="center"/>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1</w:t>
            </w:r>
          </w:p>
        </w:tc>
        <w:tc>
          <w:tcPr>
            <w:tcW w:w="1061" w:type="dxa"/>
            <w:vAlign w:val="center"/>
          </w:tcPr>
          <w:p>
            <w:pPr>
              <w:spacing w:line="400" w:lineRule="exact"/>
              <w:jc w:val="center"/>
              <w:rPr>
                <w:rFonts w:ascii="宋体" w:hAnsi="宋体" w:eastAsia="宋体"/>
                <w:color w:val="auto"/>
                <w:sz w:val="21"/>
                <w:szCs w:val="21"/>
              </w:rPr>
            </w:pPr>
          </w:p>
        </w:tc>
        <w:tc>
          <w:tcPr>
            <w:tcW w:w="7950" w:type="dxa"/>
            <w:vAlign w:val="center"/>
          </w:tcPr>
          <w:p>
            <w:pPr>
              <w:spacing w:line="400" w:lineRule="exact"/>
              <w:rPr>
                <w:rFonts w:ascii="宋体" w:hAnsi="宋体" w:eastAsia="宋体"/>
                <w:color w:val="auto"/>
                <w:sz w:val="21"/>
                <w:szCs w:val="21"/>
              </w:rPr>
            </w:pPr>
            <w:r>
              <w:rPr>
                <w:rFonts w:hint="eastAsia" w:ascii="宋体" w:hAnsi="宋体" w:eastAsia="宋体"/>
                <w:color w:val="auto"/>
                <w:sz w:val="21"/>
                <w:szCs w:val="21"/>
              </w:rPr>
              <w:t>评定方法：综合评分法</w:t>
            </w:r>
          </w:p>
        </w:tc>
      </w:tr>
    </w:tbl>
    <w:p>
      <w:pPr>
        <w:spacing w:line="360" w:lineRule="auto"/>
        <w:jc w:val="center"/>
        <w:rPr>
          <w:rFonts w:ascii="宋体" w:hAnsi="宋体" w:eastAsia="宋体"/>
          <w:b/>
          <w:color w:val="auto"/>
          <w:sz w:val="28"/>
          <w:szCs w:val="28"/>
        </w:rPr>
      </w:pPr>
    </w:p>
    <w:p>
      <w:pPr>
        <w:spacing w:line="360" w:lineRule="auto"/>
        <w:jc w:val="center"/>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rPr>
          <w:rFonts w:ascii="宋体" w:hAnsi="宋体" w:eastAsia="宋体"/>
          <w:b/>
          <w:color w:val="auto"/>
          <w:sz w:val="28"/>
          <w:szCs w:val="28"/>
        </w:rPr>
      </w:pPr>
    </w:p>
    <w:p>
      <w:pPr>
        <w:spacing w:line="360" w:lineRule="auto"/>
        <w:jc w:val="center"/>
        <w:rPr>
          <w:rFonts w:ascii="宋体" w:hAnsi="宋体" w:eastAsia="宋体"/>
          <w:b/>
          <w:color w:val="auto"/>
          <w:sz w:val="28"/>
          <w:szCs w:val="28"/>
        </w:rPr>
      </w:pPr>
    </w:p>
    <w:p>
      <w:pPr>
        <w:spacing w:line="360" w:lineRule="auto"/>
        <w:jc w:val="center"/>
        <w:rPr>
          <w:rFonts w:ascii="宋体" w:hAnsi="宋体" w:eastAsia="宋体"/>
          <w:b/>
          <w:color w:val="auto"/>
          <w:sz w:val="28"/>
          <w:szCs w:val="28"/>
        </w:rPr>
      </w:pPr>
      <w:r>
        <w:rPr>
          <w:rFonts w:hint="eastAsia" w:ascii="宋体" w:hAnsi="宋体" w:eastAsia="宋体"/>
          <w:b/>
          <w:color w:val="auto"/>
          <w:sz w:val="28"/>
          <w:szCs w:val="28"/>
        </w:rPr>
        <w:t>响应供应商须知</w:t>
      </w:r>
    </w:p>
    <w:p>
      <w:pPr>
        <w:spacing w:line="460" w:lineRule="exact"/>
        <w:ind w:firstLine="413" w:firstLineChars="196"/>
        <w:rPr>
          <w:rFonts w:ascii="宋体" w:hAnsi="宋体" w:eastAsia="宋体"/>
          <w:b/>
          <w:color w:val="auto"/>
          <w:sz w:val="21"/>
          <w:szCs w:val="21"/>
        </w:rPr>
      </w:pPr>
      <w:r>
        <w:rPr>
          <w:rFonts w:hint="eastAsia" w:ascii="宋体" w:hAnsi="宋体" w:eastAsia="宋体"/>
          <w:b/>
          <w:color w:val="auto"/>
          <w:sz w:val="21"/>
          <w:szCs w:val="21"/>
        </w:rPr>
        <w:t>一、总则</w:t>
      </w:r>
    </w:p>
    <w:p>
      <w:pPr>
        <w:spacing w:line="4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1. </w:t>
      </w:r>
      <w:r>
        <w:rPr>
          <w:rFonts w:hint="eastAsia" w:ascii="宋体" w:hAnsi="宋体" w:eastAsia="宋体"/>
          <w:color w:val="auto"/>
          <w:sz w:val="21"/>
          <w:szCs w:val="21"/>
        </w:rPr>
        <w:t>适用范围</w:t>
      </w:r>
    </w:p>
    <w:p>
      <w:pPr>
        <w:spacing w:line="4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1.1 </w:t>
      </w:r>
      <w:r>
        <w:rPr>
          <w:rFonts w:hint="eastAsia" w:ascii="宋体" w:hAnsi="宋体" w:eastAsia="宋体"/>
          <w:color w:val="auto"/>
          <w:sz w:val="21"/>
          <w:szCs w:val="21"/>
        </w:rPr>
        <w:t>本文件仅适用于本文件中所叙述的货物、服务类政府采购项目。</w:t>
      </w:r>
    </w:p>
    <w:p>
      <w:pPr>
        <w:spacing w:line="4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2. </w:t>
      </w:r>
      <w:r>
        <w:rPr>
          <w:rFonts w:hint="eastAsia" w:ascii="宋体" w:hAnsi="宋体" w:eastAsia="宋体"/>
          <w:color w:val="auto"/>
          <w:sz w:val="21"/>
          <w:szCs w:val="21"/>
        </w:rPr>
        <w:t>定义</w:t>
      </w:r>
    </w:p>
    <w:p>
      <w:pPr>
        <w:spacing w:line="460" w:lineRule="exact"/>
        <w:ind w:firstLine="420" w:firstLineChars="200"/>
        <w:rPr>
          <w:rFonts w:ascii="宋体" w:hAnsi="宋体" w:eastAsia="宋体"/>
          <w:color w:val="auto"/>
          <w:sz w:val="21"/>
          <w:szCs w:val="21"/>
        </w:rPr>
      </w:pPr>
      <w:r>
        <w:rPr>
          <w:rFonts w:ascii="宋体" w:hAnsi="宋体" w:eastAsia="宋体"/>
          <w:color w:val="auto"/>
          <w:sz w:val="21"/>
          <w:szCs w:val="21"/>
        </w:rPr>
        <w:t>2.1</w:t>
      </w:r>
      <w:r>
        <w:rPr>
          <w:rFonts w:hint="eastAsia" w:ascii="宋体" w:hAnsi="宋体" w:eastAsia="宋体"/>
          <w:color w:val="auto"/>
          <w:sz w:val="21"/>
          <w:szCs w:val="21"/>
        </w:rPr>
        <w:t>“采购人”是指：广西壮族自治区森林公安局</w:t>
      </w:r>
    </w:p>
    <w:p>
      <w:pPr>
        <w:spacing w:line="460" w:lineRule="exact"/>
        <w:ind w:firstLine="420" w:firstLineChars="200"/>
        <w:rPr>
          <w:rFonts w:ascii="宋体" w:hAnsi="宋体" w:eastAsia="宋体"/>
          <w:color w:val="auto"/>
          <w:sz w:val="21"/>
          <w:szCs w:val="21"/>
        </w:rPr>
      </w:pPr>
      <w:r>
        <w:rPr>
          <w:rFonts w:ascii="宋体" w:hAnsi="宋体" w:eastAsia="宋体"/>
          <w:color w:val="auto"/>
          <w:sz w:val="21"/>
          <w:szCs w:val="21"/>
        </w:rPr>
        <w:t>2.2</w:t>
      </w:r>
      <w:r>
        <w:rPr>
          <w:rFonts w:hint="eastAsia" w:ascii="宋体" w:hAnsi="宋体" w:eastAsia="宋体"/>
          <w:color w:val="auto"/>
          <w:sz w:val="21"/>
          <w:szCs w:val="21"/>
        </w:rPr>
        <w:t>“采购代理机构”是指：广西建设工程机电设备招标中心有限公司</w:t>
      </w:r>
    </w:p>
    <w:p>
      <w:pPr>
        <w:spacing w:line="400" w:lineRule="exact"/>
        <w:ind w:firstLine="420" w:firstLineChars="200"/>
        <w:rPr>
          <w:rFonts w:ascii="宋体" w:hAnsi="宋体" w:eastAsia="宋体"/>
          <w:color w:val="auto"/>
          <w:kern w:val="2"/>
          <w:sz w:val="21"/>
          <w:szCs w:val="21"/>
        </w:rPr>
      </w:pPr>
      <w:bookmarkStart w:id="3" w:name="_Toc438739368"/>
      <w:r>
        <w:rPr>
          <w:rFonts w:hint="eastAsia" w:ascii="宋体" w:hAnsi="宋体" w:eastAsia="宋体"/>
          <w:color w:val="auto"/>
          <w:kern w:val="2"/>
          <w:sz w:val="21"/>
          <w:szCs w:val="21"/>
        </w:rPr>
        <w:t>2.3 “供应商”是指响应本文件要求，参加磋商的法人或者其他组织。如果该供应商在本次磋商中成交，即成为“成交供应商”。</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2.4 “货物”是指各种形态和种类的物品，包括原材料、燃料、设备、产品等。</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2.5 “工程”是指按照招标投标法及其实施条例必须进行招标的工程建设项目以外的工程建设项目。</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2.6 “服务”是指除货物和工程以外的其他政府采购对象。</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2.7 “竞争性磋商响应文件” 简称“响应文件”，是指：供应商根据本文件要求，编制包含报价、技术和服务等所有内容的文件。</w:t>
      </w:r>
    </w:p>
    <w:p>
      <w:pPr>
        <w:spacing w:line="400" w:lineRule="exact"/>
        <w:ind w:firstLine="420" w:firstLineChars="200"/>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rPr>
        <w:t>2.8 “★”系指实质性要求条款，</w:t>
      </w:r>
      <w:r>
        <w:rPr>
          <w:rFonts w:hint="eastAsia" w:ascii="宋体" w:hAnsi="宋体" w:eastAsia="宋体"/>
          <w:color w:val="auto"/>
          <w:kern w:val="2"/>
          <w:sz w:val="21"/>
          <w:szCs w:val="21"/>
          <w:lang w:val="en-US" w:eastAsia="zh-CN"/>
        </w:rPr>
        <w:t>必须满足，否则投标无效。</w:t>
      </w:r>
    </w:p>
    <w:p>
      <w:pPr>
        <w:spacing w:line="400" w:lineRule="exact"/>
        <w:ind w:firstLine="840" w:firstLineChars="400"/>
        <w:rPr>
          <w:rFonts w:ascii="宋体" w:hAnsi="宋体" w:eastAsia="宋体"/>
          <w:color w:val="auto"/>
          <w:kern w:val="2"/>
          <w:sz w:val="21"/>
          <w:szCs w:val="21"/>
        </w:rPr>
      </w:pPr>
      <w:r>
        <w:rPr>
          <w:rFonts w:hint="eastAsia" w:ascii="宋体" w:hAnsi="宋体" w:eastAsia="宋体"/>
          <w:color w:val="auto"/>
          <w:kern w:val="2"/>
          <w:sz w:val="21"/>
          <w:szCs w:val="21"/>
        </w:rPr>
        <w:t>“▲”系指评分重要</w:t>
      </w:r>
      <w:r>
        <w:rPr>
          <w:rFonts w:ascii="宋体" w:hAnsi="宋体" w:eastAsia="宋体"/>
          <w:color w:val="auto"/>
          <w:kern w:val="2"/>
          <w:sz w:val="21"/>
          <w:szCs w:val="21"/>
        </w:rPr>
        <w:t>条款，如不满足</w:t>
      </w:r>
      <w:r>
        <w:rPr>
          <w:rFonts w:hint="eastAsia" w:ascii="宋体" w:hAnsi="宋体" w:eastAsia="宋体"/>
          <w:color w:val="auto"/>
          <w:kern w:val="2"/>
          <w:sz w:val="21"/>
          <w:szCs w:val="21"/>
          <w:lang w:eastAsia="zh-CN"/>
        </w:rPr>
        <w:t>或偏离</w:t>
      </w:r>
      <w:r>
        <w:rPr>
          <w:rFonts w:ascii="宋体" w:hAnsi="宋体" w:eastAsia="宋体"/>
          <w:color w:val="auto"/>
          <w:kern w:val="2"/>
          <w:sz w:val="21"/>
          <w:szCs w:val="21"/>
        </w:rPr>
        <w:t>将导致</w:t>
      </w:r>
      <w:r>
        <w:rPr>
          <w:rFonts w:hint="eastAsia" w:ascii="宋体" w:hAnsi="宋体" w:eastAsia="宋体"/>
          <w:color w:val="auto"/>
          <w:kern w:val="2"/>
          <w:sz w:val="21"/>
          <w:szCs w:val="21"/>
          <w:lang w:eastAsia="zh-CN"/>
        </w:rPr>
        <w:t>评标时</w:t>
      </w:r>
      <w:r>
        <w:rPr>
          <w:rFonts w:ascii="宋体" w:hAnsi="宋体" w:eastAsia="宋体"/>
          <w:color w:val="auto"/>
          <w:kern w:val="2"/>
          <w:sz w:val="21"/>
          <w:szCs w:val="21"/>
        </w:rPr>
        <w:t>扣分</w:t>
      </w:r>
      <w:r>
        <w:rPr>
          <w:rFonts w:hint="eastAsia" w:ascii="宋体" w:hAnsi="宋体" w:eastAsia="宋体"/>
          <w:color w:val="auto"/>
          <w:kern w:val="2"/>
          <w:sz w:val="21"/>
          <w:szCs w:val="21"/>
        </w:rPr>
        <w:t>。</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3. 供应商资格</w:t>
      </w:r>
    </w:p>
    <w:p>
      <w:pPr>
        <w:spacing w:line="42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3.1、符合《中华人民共和国政府采购法》第二十二条规定条件；</w:t>
      </w:r>
      <w:r>
        <w:rPr>
          <w:rFonts w:hint="eastAsia" w:ascii="宋体" w:hAnsi="宋体" w:eastAsia="宋体" w:cs="Arial"/>
          <w:color w:val="auto"/>
          <w:kern w:val="2"/>
          <w:sz w:val="21"/>
          <w:szCs w:val="21"/>
        </w:rPr>
        <w:t>国内注册登记（指按国家有关规定要求注册登记的）的供应商</w:t>
      </w:r>
      <w:r>
        <w:rPr>
          <w:rFonts w:hint="eastAsia" w:ascii="宋体" w:hAnsi="宋体" w:eastAsia="宋体"/>
          <w:color w:val="auto"/>
          <w:kern w:val="2"/>
          <w:sz w:val="21"/>
          <w:szCs w:val="21"/>
        </w:rPr>
        <w:t>；</w:t>
      </w:r>
    </w:p>
    <w:p>
      <w:pPr>
        <w:spacing w:line="380" w:lineRule="exact"/>
        <w:ind w:firstLine="420" w:firstLineChars="200"/>
        <w:rPr>
          <w:rFonts w:ascii="宋体" w:hAnsi="宋体" w:eastAsia="宋体" w:cs="Arial"/>
          <w:color w:val="auto"/>
          <w:kern w:val="2"/>
          <w:sz w:val="21"/>
          <w:szCs w:val="21"/>
        </w:rPr>
      </w:pPr>
      <w:r>
        <w:rPr>
          <w:rFonts w:hint="eastAsia" w:ascii="宋体" w:hAnsi="宋体" w:eastAsia="宋体"/>
          <w:color w:val="auto"/>
          <w:kern w:val="2"/>
          <w:sz w:val="21"/>
          <w:szCs w:val="21"/>
        </w:rPr>
        <w:t>3.2、</w:t>
      </w:r>
      <w:r>
        <w:rPr>
          <w:rFonts w:hint="eastAsia" w:ascii="宋体" w:hAnsi="宋体" w:eastAsia="宋体" w:cs="Arial"/>
          <w:color w:val="auto"/>
          <w:kern w:val="2"/>
          <w:sz w:val="21"/>
          <w:szCs w:val="21"/>
        </w:rPr>
        <w:t>本项目不接受联合体参与磋商采购活动，不接受未在规定时间内购买本项目采购文件的供应商参与磋商采购活动。</w:t>
      </w:r>
    </w:p>
    <w:p>
      <w:pPr>
        <w:spacing w:line="380" w:lineRule="exact"/>
        <w:ind w:firstLine="420" w:firstLineChars="200"/>
        <w:rPr>
          <w:rFonts w:ascii="宋体" w:hAnsi="宋体" w:eastAsia="宋体"/>
          <w:color w:val="auto"/>
          <w:kern w:val="2"/>
          <w:sz w:val="21"/>
          <w:szCs w:val="21"/>
        </w:rPr>
      </w:pPr>
      <w:r>
        <w:rPr>
          <w:rFonts w:hint="eastAsia" w:ascii="宋体" w:hAnsi="宋体" w:eastAsia="宋体" w:cs="Arial"/>
          <w:color w:val="auto"/>
          <w:kern w:val="2"/>
          <w:sz w:val="21"/>
          <w:szCs w:val="21"/>
        </w:rPr>
        <w:t>3.3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Pr>
          <w:rFonts w:ascii="宋体" w:hAnsi="宋体" w:eastAsia="宋体" w:cs="Arial"/>
          <w:color w:val="auto"/>
          <w:kern w:val="2"/>
          <w:sz w:val="21"/>
          <w:szCs w:val="21"/>
        </w:rPr>
        <w:t>www.creditchina.gov.cn</w:t>
      </w:r>
      <w:r>
        <w:rPr>
          <w:rFonts w:hint="eastAsia" w:ascii="宋体" w:hAnsi="宋体" w:eastAsia="宋体" w:cs="Arial"/>
          <w:color w:val="auto"/>
          <w:kern w:val="2"/>
          <w:sz w:val="21"/>
          <w:szCs w:val="21"/>
        </w:rPr>
        <w:t>）、中国政府采购网（</w:t>
      </w:r>
      <w:r>
        <w:rPr>
          <w:rFonts w:ascii="宋体" w:hAnsi="宋体" w:eastAsia="宋体" w:cs="Arial"/>
          <w:color w:val="auto"/>
          <w:kern w:val="2"/>
          <w:sz w:val="21"/>
          <w:szCs w:val="21"/>
        </w:rPr>
        <w:t>www.ccgp.gov.cn</w:t>
      </w:r>
      <w:r>
        <w:rPr>
          <w:rFonts w:hint="eastAsia" w:ascii="宋体" w:hAnsi="宋体" w:eastAsia="宋体" w:cs="Arial"/>
          <w:color w:val="auto"/>
          <w:kern w:val="2"/>
          <w:sz w:val="21"/>
          <w:szCs w:val="21"/>
        </w:rPr>
        <w:t>）查询相关供应商主体信用记录，同时须在投标文件中将查询结果截图加盖单位公章如实报告评标委员会）；</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4. 磋商费用</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4.1 供应商应自行承担所有与编写和提交竞争性磋商响应文件有关的费用，不论磋商结果如何，采购人和广西建设工程机电设备招标中心有限公司在任何情况下无义务和责任承担此类费用。</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二、竞争性磋商响应文件的编制</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5. 竞争性磋商响应文件编制基本要求</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5.1供应商对竞争性磋商响应文件的编制应按要求装订和封装。</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5.2供应商提交的竞争性磋商响应文件以及供应商与广西建设工程机电设备招标中心有限公司和采购人就有关磋商的所有来往函电均应使用中文。供应商提交的支持文件和印刷的文献可以使用别的语言，但其相应内容必须附有中文翻译文本，在解释竞争性磋商响应文件时以翻译文本为准。</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5.3供应商应认真阅读、并充分理解本文件的全部内容（包括所有的补充、修改内容），承诺并履行本文件中各项条款规定及要求。</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5.4竞争性磋商响应文件必须按本文件的全部内容，包括所有的补充通知及附件进行编制。</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5.5如因供应商只填写和提供了本文件要求的部分内容和附件，而给评审造成困难，其可能导致的结果和责任由供应商自行承担。</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5.6竞争性磋商响应文件的组成：竞争性磋商响应文件应分为价格文件和商务技术文件两个部分组成。</w:t>
      </w:r>
    </w:p>
    <w:p>
      <w:pPr>
        <w:spacing w:line="400" w:lineRule="exact"/>
        <w:ind w:firstLine="422" w:firstLineChars="200"/>
        <w:rPr>
          <w:rFonts w:ascii="宋体" w:hAnsi="宋体" w:eastAsia="宋体"/>
          <w:b/>
          <w:color w:val="auto"/>
          <w:kern w:val="2"/>
          <w:sz w:val="21"/>
          <w:szCs w:val="21"/>
        </w:rPr>
      </w:pPr>
      <w:r>
        <w:rPr>
          <w:rFonts w:hint="eastAsia" w:ascii="宋体" w:hAnsi="宋体" w:eastAsia="宋体"/>
          <w:b/>
          <w:color w:val="auto"/>
          <w:kern w:val="2"/>
          <w:sz w:val="21"/>
          <w:szCs w:val="21"/>
        </w:rPr>
        <w:t>5.6.1价格文件</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1）磋商报价表；（附件二，</w:t>
      </w:r>
      <w:r>
        <w:rPr>
          <w:rFonts w:hint="eastAsia" w:ascii="宋体" w:hAnsi="宋体" w:eastAsia="宋体"/>
          <w:b/>
          <w:color w:val="auto"/>
          <w:kern w:val="2"/>
          <w:sz w:val="21"/>
          <w:szCs w:val="21"/>
        </w:rPr>
        <w:t>必须提供，同时</w:t>
      </w:r>
      <w:r>
        <w:rPr>
          <w:rFonts w:hint="eastAsia" w:ascii="宋体" w:hAnsi="宋体" w:eastAsia="宋体"/>
          <w:b/>
          <w:bCs/>
          <w:color w:val="auto"/>
          <w:kern w:val="2"/>
          <w:sz w:val="21"/>
          <w:szCs w:val="21"/>
        </w:rPr>
        <w:t>由法定代表人或委托代理人签名并加盖单位公章，</w:t>
      </w:r>
      <w:r>
        <w:rPr>
          <w:rFonts w:hint="eastAsia" w:ascii="宋体" w:hAnsi="宋体" w:eastAsia="宋体"/>
          <w:b/>
          <w:color w:val="auto"/>
          <w:kern w:val="2"/>
          <w:sz w:val="21"/>
          <w:szCs w:val="21"/>
        </w:rPr>
        <w:t>否则磋商响应无效</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2）磋商保证金交纳证明复印件。（</w:t>
      </w:r>
      <w:r>
        <w:rPr>
          <w:rFonts w:hint="eastAsia" w:ascii="宋体" w:hAnsi="宋体" w:eastAsia="宋体"/>
          <w:b/>
          <w:color w:val="auto"/>
          <w:kern w:val="2"/>
          <w:sz w:val="21"/>
          <w:szCs w:val="21"/>
        </w:rPr>
        <w:t>必须提供，否则磋商响应无效</w:t>
      </w:r>
      <w:r>
        <w:rPr>
          <w:rFonts w:hint="eastAsia" w:ascii="宋体" w:hAnsi="宋体" w:eastAsia="宋体"/>
          <w:color w:val="auto"/>
          <w:kern w:val="2"/>
          <w:sz w:val="21"/>
          <w:szCs w:val="21"/>
        </w:rPr>
        <w:t>）</w:t>
      </w:r>
    </w:p>
    <w:p>
      <w:pPr>
        <w:spacing w:line="400" w:lineRule="exact"/>
        <w:ind w:firstLine="422" w:firstLineChars="200"/>
        <w:rPr>
          <w:rFonts w:ascii="宋体" w:hAnsi="宋体" w:eastAsia="宋体"/>
          <w:color w:val="auto"/>
          <w:kern w:val="2"/>
          <w:sz w:val="21"/>
          <w:szCs w:val="21"/>
        </w:rPr>
      </w:pPr>
      <w:r>
        <w:rPr>
          <w:rFonts w:hint="eastAsia" w:ascii="宋体" w:hAnsi="宋体" w:eastAsia="宋体"/>
          <w:b/>
          <w:color w:val="auto"/>
          <w:kern w:val="2"/>
          <w:sz w:val="21"/>
          <w:szCs w:val="21"/>
        </w:rPr>
        <w:t>5.6.2 商务技术文件</w:t>
      </w:r>
      <w:r>
        <w:rPr>
          <w:rFonts w:hint="eastAsia" w:ascii="宋体" w:hAnsi="宋体" w:eastAsia="宋体"/>
          <w:color w:val="auto"/>
          <w:kern w:val="2"/>
          <w:sz w:val="21"/>
          <w:szCs w:val="21"/>
        </w:rPr>
        <w:t>（</w:t>
      </w:r>
      <w:r>
        <w:rPr>
          <w:rFonts w:hint="eastAsia" w:ascii="宋体" w:hAnsi="宋体" w:eastAsia="宋体"/>
          <w:b/>
          <w:color w:val="auto"/>
          <w:kern w:val="2"/>
          <w:sz w:val="21"/>
          <w:szCs w:val="21"/>
        </w:rPr>
        <w:t>注明“必须提供”的必须提供，否则磋商响应无效</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1）磋商书；（附件一，</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2）技术响应、偏离情况说明表；（附件三，</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3）供应商有效的营业执照、事业单位法人证书等主体资格证明副本复印件；（</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4）法定代表人身份证复印件（</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），委托代理时须提供法定代表人授权委托书原件及被授权人身份证复印件（附件四，</w:t>
      </w:r>
      <w:r>
        <w:rPr>
          <w:rFonts w:hint="eastAsia" w:ascii="宋体" w:hAnsi="宋体" w:eastAsia="宋体"/>
          <w:b/>
          <w:color w:val="auto"/>
          <w:kern w:val="2"/>
          <w:sz w:val="21"/>
          <w:szCs w:val="21"/>
        </w:rPr>
        <w:t>委托代理时必须提供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5）供应商自本项目磋商公告发布之日起在“信用中国”网站（www.creditchina.gov.cn）、中国政府采购网（www.ccgp.gov.cn）上查询供应商主体信用记录的查询结果截图（</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6）</w:t>
      </w:r>
      <w:r>
        <w:rPr>
          <w:rFonts w:hint="eastAsia" w:ascii="宋体" w:hAnsi="宋体" w:eastAsia="宋体"/>
          <w:bCs/>
          <w:color w:val="auto"/>
          <w:kern w:val="2"/>
          <w:sz w:val="21"/>
          <w:szCs w:val="21"/>
        </w:rPr>
        <w:t>售后服务承诺书，</w:t>
      </w:r>
      <w:r>
        <w:rPr>
          <w:rFonts w:hint="eastAsia" w:ascii="宋体" w:hAnsi="宋体" w:eastAsia="宋体"/>
          <w:color w:val="auto"/>
          <w:kern w:val="2"/>
          <w:sz w:val="21"/>
          <w:szCs w:val="21"/>
        </w:rPr>
        <w:t>提供的切实可行的售后服务和优惠承诺（格式自拟，</w:t>
      </w:r>
      <w:r>
        <w:rPr>
          <w:rFonts w:hint="eastAsia" w:ascii="宋体" w:hAnsi="宋体" w:eastAsia="宋体"/>
          <w:b/>
          <w:color w:val="auto"/>
          <w:kern w:val="2"/>
          <w:sz w:val="21"/>
          <w:szCs w:val="21"/>
        </w:rPr>
        <w:t>必须提供</w:t>
      </w:r>
      <w:r>
        <w:rPr>
          <w:rFonts w:hint="eastAsia" w:ascii="宋体" w:hAnsi="宋体" w:eastAsia="宋体"/>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lang w:val="en-US" w:eastAsia="zh-CN"/>
        </w:rPr>
        <w:t>7</w:t>
      </w:r>
      <w:r>
        <w:rPr>
          <w:rFonts w:hint="eastAsia" w:ascii="宋体" w:hAnsi="宋体" w:eastAsia="宋体"/>
          <w:color w:val="auto"/>
          <w:kern w:val="2"/>
          <w:sz w:val="21"/>
          <w:szCs w:val="21"/>
        </w:rPr>
        <w:t>）供应商认为需要提供的有关资料；</w:t>
      </w:r>
    </w:p>
    <w:p>
      <w:pPr>
        <w:spacing w:line="400" w:lineRule="exact"/>
        <w:ind w:firstLine="422" w:firstLineChars="200"/>
        <w:rPr>
          <w:rFonts w:ascii="宋体" w:hAnsi="宋体" w:eastAsia="宋体"/>
          <w:color w:val="auto"/>
          <w:kern w:val="2"/>
          <w:sz w:val="21"/>
          <w:szCs w:val="21"/>
        </w:rPr>
      </w:pPr>
      <w:r>
        <w:rPr>
          <w:rFonts w:hint="eastAsia" w:ascii="宋体" w:hAnsi="宋体" w:eastAsia="宋体"/>
          <w:b/>
          <w:bCs/>
          <w:color w:val="auto"/>
          <w:kern w:val="2"/>
          <w:sz w:val="21"/>
          <w:szCs w:val="21"/>
        </w:rPr>
        <w:t>备注：磋商书、法定代表人授权委托书、技术响应偏离情况说明表、磋商报价表、售后服务承诺书必须由法定代表人或委托代理人签名并加盖单位公章，</w:t>
      </w:r>
      <w:r>
        <w:rPr>
          <w:rFonts w:hint="eastAsia" w:ascii="宋体" w:hAnsi="宋体" w:eastAsia="宋体"/>
          <w:b/>
          <w:color w:val="auto"/>
          <w:kern w:val="2"/>
          <w:sz w:val="21"/>
          <w:szCs w:val="21"/>
        </w:rPr>
        <w:t>否则磋商响应无效。</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5.7第四章“磋商响应文件基本格式”中规定了竞争性磋商响应文件格式的，应按相应格式要求编写（有特殊要求除外）。并在相应位置盖章，否则磋商响应无效。</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6. 计量单位</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6.1除技术要求中另有规定外，本文件所要求使用的计量单位均应采用国家法定计量单位。</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三、磋商报价要求</w:t>
      </w:r>
    </w:p>
    <w:p>
      <w:pPr>
        <w:spacing w:line="400" w:lineRule="exact"/>
        <w:ind w:firstLine="420" w:firstLineChars="200"/>
        <w:rPr>
          <w:rFonts w:ascii="宋体" w:hAnsi="宋体" w:eastAsia="宋体"/>
          <w:b/>
          <w:color w:val="auto"/>
          <w:kern w:val="2"/>
          <w:sz w:val="21"/>
          <w:szCs w:val="21"/>
        </w:rPr>
      </w:pPr>
      <w:r>
        <w:rPr>
          <w:rFonts w:hint="eastAsia" w:ascii="宋体" w:hAnsi="宋体" w:eastAsia="宋体"/>
          <w:color w:val="auto"/>
          <w:kern w:val="2"/>
          <w:sz w:val="21"/>
          <w:szCs w:val="21"/>
        </w:rPr>
        <w:t>7.1磋商报价：</w:t>
      </w:r>
      <w:r>
        <w:rPr>
          <w:rFonts w:hint="eastAsia" w:ascii="Times New Roman" w:hAnsi="宋体" w:eastAsia="宋体"/>
          <w:b/>
          <w:color w:val="auto"/>
          <w:kern w:val="2"/>
          <w:sz w:val="21"/>
          <w:szCs w:val="21"/>
        </w:rPr>
        <w:t>供应商须就</w:t>
      </w:r>
      <w:r>
        <w:rPr>
          <w:rFonts w:hint="eastAsia" w:ascii="Times New Roman" w:hAnsi="宋体" w:eastAsia="宋体"/>
          <w:b/>
          <w:bCs/>
          <w:color w:val="auto"/>
          <w:kern w:val="2"/>
          <w:sz w:val="21"/>
          <w:szCs w:val="21"/>
        </w:rPr>
        <w:t>《采购项目需求一览表》</w:t>
      </w:r>
      <w:r>
        <w:rPr>
          <w:rFonts w:hint="eastAsia" w:ascii="Times New Roman" w:hAnsi="宋体" w:eastAsia="宋体"/>
          <w:b/>
          <w:color w:val="auto"/>
          <w:kern w:val="2"/>
          <w:sz w:val="21"/>
          <w:szCs w:val="21"/>
        </w:rPr>
        <w:t>中的全部</w:t>
      </w:r>
      <w:r>
        <w:rPr>
          <w:rFonts w:hint="eastAsia" w:ascii="Times New Roman" w:hAnsi="宋体" w:eastAsia="宋体"/>
          <w:b/>
          <w:bCs/>
          <w:color w:val="auto"/>
          <w:kern w:val="2"/>
          <w:sz w:val="21"/>
          <w:szCs w:val="21"/>
        </w:rPr>
        <w:t>服务内容作完整唯一报价</w:t>
      </w:r>
      <w:r>
        <w:rPr>
          <w:rFonts w:hint="eastAsia" w:ascii="宋体" w:hAnsi="宋体" w:eastAsia="宋体"/>
          <w:bCs/>
          <w:color w:val="auto"/>
          <w:kern w:val="2"/>
          <w:sz w:val="21"/>
          <w:szCs w:val="21"/>
        </w:rPr>
        <w:t>。</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7.2对于本文件中未列明，而供应商认为必需的费用也需列入总报价。在合同实施时，采购人将不予支付成交供应商没有列入的项目费用，并认为此项目的费用已包括在总报价中。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7.3 成交供应商负责本项目所采购的货物、工程、服务的全部工作。</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7.4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四、竞争性磋商响应文件的份数、封装和递交</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8. 竞争性磋商响应文件的份数和封装</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8.1供应商应将竞争性磋商响应文件中“价格文件”和“商务技术文件”合并装订成一册，其中正本一份，副本四份，并</w:t>
      </w:r>
      <w:r>
        <w:rPr>
          <w:rFonts w:ascii="Times New Roman" w:hAnsi="宋体" w:eastAsia="宋体"/>
          <w:color w:val="auto"/>
          <w:kern w:val="2"/>
          <w:sz w:val="21"/>
          <w:szCs w:val="21"/>
        </w:rPr>
        <w:t>在每个文本封面上标明“正本”或“副本”</w:t>
      </w:r>
      <w:r>
        <w:rPr>
          <w:rFonts w:hint="eastAsia" w:ascii="宋体" w:hAnsi="宋体" w:eastAsia="宋体"/>
          <w:color w:val="auto"/>
          <w:kern w:val="2"/>
          <w:sz w:val="21"/>
          <w:szCs w:val="21"/>
        </w:rPr>
        <w:t>。供应商</w:t>
      </w:r>
      <w:r>
        <w:rPr>
          <w:rFonts w:ascii="Times New Roman" w:hAnsi="宋体" w:eastAsia="宋体"/>
          <w:color w:val="auto"/>
          <w:kern w:val="2"/>
          <w:sz w:val="21"/>
          <w:szCs w:val="21"/>
        </w:rPr>
        <w:t>应</w:t>
      </w:r>
      <w:r>
        <w:rPr>
          <w:rFonts w:hint="eastAsia" w:ascii="Times New Roman" w:hAnsi="宋体" w:eastAsia="宋体"/>
          <w:color w:val="auto"/>
          <w:kern w:val="2"/>
          <w:sz w:val="21"/>
          <w:szCs w:val="21"/>
        </w:rPr>
        <w:t>尽量</w:t>
      </w:r>
      <w:r>
        <w:rPr>
          <w:rFonts w:ascii="Times New Roman" w:hAnsi="宋体" w:eastAsia="宋体"/>
          <w:color w:val="auto"/>
          <w:kern w:val="2"/>
          <w:sz w:val="21"/>
          <w:szCs w:val="21"/>
        </w:rPr>
        <w:t>将正、副本一并装入一个文件袋中进行包装，</w:t>
      </w:r>
      <w:r>
        <w:rPr>
          <w:rFonts w:hint="eastAsia" w:ascii="Times New Roman" w:hAnsi="宋体" w:eastAsia="宋体"/>
          <w:color w:val="auto"/>
          <w:kern w:val="2"/>
          <w:sz w:val="21"/>
          <w:szCs w:val="21"/>
        </w:rPr>
        <w:t>同时</w:t>
      </w:r>
      <w:r>
        <w:rPr>
          <w:rFonts w:ascii="Times New Roman" w:hAnsi="宋体" w:eastAsia="宋体"/>
          <w:color w:val="auto"/>
          <w:kern w:val="2"/>
          <w:sz w:val="21"/>
          <w:szCs w:val="21"/>
        </w:rPr>
        <w:t>加以密封，并在封贴处密封签章（公章、密封章、法定代表人或其委托代理人签字均可）。</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8.2竞争性磋商响应文件的</w:t>
      </w:r>
      <w:r>
        <w:rPr>
          <w:rFonts w:ascii="Times New Roman" w:hAnsi="宋体" w:eastAsia="宋体"/>
          <w:color w:val="auto"/>
          <w:kern w:val="2"/>
          <w:sz w:val="21"/>
          <w:szCs w:val="21"/>
        </w:rPr>
        <w:t>文件袋</w:t>
      </w:r>
      <w:r>
        <w:rPr>
          <w:rFonts w:hint="eastAsia" w:ascii="宋体" w:hAnsi="宋体" w:eastAsia="宋体"/>
          <w:color w:val="auto"/>
          <w:kern w:val="2"/>
          <w:sz w:val="21"/>
          <w:szCs w:val="21"/>
        </w:rPr>
        <w:t>上应写明：</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1）竞争性磋商项目编号；</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2）竞争性磋商项目名称；</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3）分标号（如有）；</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4）供应商名称。</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9. 竞争性磋商响应文件的递交</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9.1所有竞争性响应文件应于“第二章 磋商须知及前附表”中规定的截止时间前递交到规定地点。</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10. 迟交的竞争性磋商响应文件</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10.1按《中华人民共和国政府采购法》的规定，广西建设工程机电设备招标中心有限公司将拒绝或原封退回在规定的递交竞争性磋商响应文件截止时间之后收到的任何竞争性磋商响应文件。</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五、磋商及最后报价</w:t>
      </w:r>
    </w:p>
    <w:p>
      <w:pPr>
        <w:spacing w:line="400" w:lineRule="exact"/>
        <w:ind w:firstLine="420" w:firstLineChars="200"/>
        <w:outlineLvl w:val="0"/>
        <w:rPr>
          <w:rFonts w:ascii="宋体" w:hAnsi="宋体" w:eastAsia="宋体"/>
          <w:color w:val="auto"/>
          <w:kern w:val="2"/>
          <w:sz w:val="21"/>
          <w:szCs w:val="21"/>
        </w:rPr>
      </w:pPr>
      <w:r>
        <w:rPr>
          <w:rFonts w:hint="eastAsia" w:ascii="宋体" w:hAnsi="宋体" w:eastAsia="宋体"/>
          <w:color w:val="auto"/>
          <w:kern w:val="2"/>
          <w:sz w:val="21"/>
          <w:szCs w:val="21"/>
        </w:rPr>
        <w:t>11. 磋商及最后报价</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11.1磋商小组成员将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磋商小组要求供应商澄清、说明或者更正响应文件应当以书面形式作出。供应商的澄清、说明或者更正应当由法定代表人或其委托代理人签字或者加盖公章。</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11.3磋商小组所有成员将集中与单一供应商分别进行磋商。</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11.4在磋商过程中，磋商小组可以根据磋商文件和磋商情况实质性变动采购需求中的技术、服务要求以及合同草案条款，但不得变动磋商文件中的其他内容。实质性变动的内容，须经采购人代表确认。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w:t>
      </w:r>
    </w:p>
    <w:p>
      <w:pPr>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11.5磋商结束后，磋商小组应当要求所有实质性响应的供应商在规定时间内提交最后报价，提交最后报价的供应商不得少于</w:t>
      </w:r>
      <w:r>
        <w:rPr>
          <w:rFonts w:ascii="宋体" w:hAnsi="宋体" w:eastAsia="宋体"/>
          <w:color w:val="auto"/>
          <w:kern w:val="2"/>
          <w:sz w:val="21"/>
          <w:szCs w:val="21"/>
        </w:rPr>
        <w:t>3</w:t>
      </w:r>
      <w:r>
        <w:rPr>
          <w:rFonts w:hint="eastAsia" w:ascii="宋体" w:hAnsi="宋体" w:eastAsia="宋体"/>
          <w:color w:val="auto"/>
          <w:kern w:val="2"/>
          <w:sz w:val="21"/>
          <w:szCs w:val="21"/>
        </w:rPr>
        <w:t>家。最后报价是供应商响应文件的有效组成部分。符合《政府采购竞争性磋商采购方式管理暂行办法》第三条第一、四项情形的，提交最后报价的供应商可以为</w:t>
      </w:r>
      <w:r>
        <w:rPr>
          <w:rFonts w:ascii="宋体" w:hAnsi="宋体" w:eastAsia="宋体"/>
          <w:color w:val="auto"/>
          <w:kern w:val="2"/>
          <w:sz w:val="21"/>
          <w:szCs w:val="21"/>
        </w:rPr>
        <w:t>2</w:t>
      </w:r>
      <w:r>
        <w:rPr>
          <w:rFonts w:hint="eastAsia" w:ascii="宋体" w:hAnsi="宋体" w:eastAsia="宋体"/>
          <w:color w:val="auto"/>
          <w:kern w:val="2"/>
          <w:sz w:val="21"/>
          <w:szCs w:val="21"/>
        </w:rPr>
        <w:t>家。</w:t>
      </w:r>
    </w:p>
    <w:p>
      <w:pPr>
        <w:snapToGrid w:val="0"/>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11.6供应商的澄清、说明或者更正、重新提交响应文件、最后报价等均为供应商响应文件的有效组成部分，与响应文件同具法律效力。供应商应在规定时间内将上述文件密封递交至磋商小组，逾时不交的，视同放弃磋商，磋商响应无效。</w:t>
      </w:r>
    </w:p>
    <w:p>
      <w:pPr>
        <w:tabs>
          <w:tab w:val="left" w:pos="540"/>
        </w:tabs>
        <w:spacing w:line="400" w:lineRule="exact"/>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11.7响应供应商的报价均超过了政府采购预算，采购人不能支付的，磋商活动终止；终止后，采购人需要采取调整采购预算或项目配置标准等，或采取其他采购方式的，应当在采购活动开始前获得财政部门批准。</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12.磋商响应无效</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12</w:t>
      </w:r>
      <w:r>
        <w:rPr>
          <w:rFonts w:ascii="宋体" w:hAnsi="宋体" w:eastAsia="宋体"/>
          <w:color w:val="auto"/>
          <w:kern w:val="2"/>
          <w:sz w:val="21"/>
          <w:szCs w:val="21"/>
        </w:rPr>
        <w:t>.1</w:t>
      </w:r>
      <w:r>
        <w:rPr>
          <w:rFonts w:hint="eastAsia" w:ascii="宋体" w:hAnsi="宋体" w:eastAsia="宋体"/>
          <w:color w:val="auto"/>
          <w:kern w:val="2"/>
          <w:sz w:val="21"/>
          <w:szCs w:val="21"/>
        </w:rPr>
        <w:t>竞争性磋商响应文件</w:t>
      </w:r>
      <w:r>
        <w:rPr>
          <w:rFonts w:ascii="宋体" w:hAnsi="宋体" w:eastAsia="宋体"/>
          <w:color w:val="auto"/>
          <w:kern w:val="2"/>
          <w:sz w:val="21"/>
          <w:szCs w:val="21"/>
        </w:rPr>
        <w:t>如有下列情况之一，</w:t>
      </w:r>
      <w:r>
        <w:rPr>
          <w:rFonts w:hint="eastAsia" w:ascii="宋体" w:hAnsi="宋体" w:eastAsia="宋体"/>
          <w:color w:val="auto"/>
          <w:kern w:val="2"/>
          <w:sz w:val="21"/>
          <w:szCs w:val="21"/>
        </w:rPr>
        <w:t>将视为</w:t>
      </w:r>
      <w:r>
        <w:rPr>
          <w:rFonts w:ascii="宋体" w:hAnsi="宋体" w:eastAsia="宋体"/>
          <w:color w:val="auto"/>
          <w:kern w:val="2"/>
          <w:sz w:val="21"/>
          <w:szCs w:val="21"/>
        </w:rPr>
        <w:t>未实质性响应</w:t>
      </w:r>
      <w:r>
        <w:rPr>
          <w:rFonts w:hint="eastAsia" w:ascii="宋体" w:hAnsi="宋体" w:eastAsia="宋体"/>
          <w:color w:val="auto"/>
          <w:kern w:val="2"/>
          <w:sz w:val="21"/>
          <w:szCs w:val="21"/>
        </w:rPr>
        <w:t>竞争性磋商</w:t>
      </w:r>
      <w:r>
        <w:rPr>
          <w:rFonts w:ascii="宋体" w:hAnsi="宋体" w:eastAsia="宋体"/>
          <w:color w:val="auto"/>
          <w:kern w:val="2"/>
          <w:sz w:val="21"/>
          <w:szCs w:val="21"/>
        </w:rPr>
        <w:t>文件</w:t>
      </w:r>
      <w:r>
        <w:rPr>
          <w:rFonts w:hint="eastAsia" w:ascii="宋体" w:hAnsi="宋体" w:eastAsia="宋体"/>
          <w:color w:val="auto"/>
          <w:kern w:val="2"/>
          <w:sz w:val="21"/>
          <w:szCs w:val="21"/>
        </w:rPr>
        <w:t>，</w:t>
      </w:r>
      <w:r>
        <w:rPr>
          <w:rFonts w:ascii="宋体" w:hAnsi="宋体" w:eastAsia="宋体"/>
          <w:color w:val="auto"/>
          <w:kern w:val="2"/>
          <w:sz w:val="21"/>
          <w:szCs w:val="21"/>
        </w:rPr>
        <w:t>按</w:t>
      </w:r>
      <w:r>
        <w:rPr>
          <w:rFonts w:hint="eastAsia" w:ascii="宋体" w:hAnsi="宋体" w:eastAsia="宋体"/>
          <w:color w:val="auto"/>
          <w:kern w:val="2"/>
          <w:sz w:val="21"/>
          <w:szCs w:val="21"/>
        </w:rPr>
        <w:t>磋商响应无效</w:t>
      </w:r>
      <w:r>
        <w:rPr>
          <w:rFonts w:ascii="宋体" w:hAnsi="宋体" w:eastAsia="宋体"/>
          <w:color w:val="auto"/>
          <w:kern w:val="2"/>
          <w:sz w:val="21"/>
          <w:szCs w:val="21"/>
        </w:rPr>
        <w:t>处理</w:t>
      </w:r>
      <w:r>
        <w:rPr>
          <w:rFonts w:hint="eastAsia" w:ascii="宋体" w:hAnsi="宋体" w:eastAsia="宋体"/>
          <w:color w:val="auto"/>
          <w:kern w:val="2"/>
          <w:sz w:val="21"/>
          <w:szCs w:val="21"/>
        </w:rPr>
        <w:t>：</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（1）应交未交或不足额交</w:t>
      </w:r>
      <w:r>
        <w:rPr>
          <w:rFonts w:hint="eastAsia" w:ascii="宋体" w:hAnsi="宋体" w:eastAsia="宋体"/>
          <w:color w:val="auto"/>
          <w:kern w:val="2"/>
          <w:sz w:val="21"/>
          <w:szCs w:val="21"/>
        </w:rPr>
        <w:t>磋商</w:t>
      </w:r>
      <w:r>
        <w:rPr>
          <w:rFonts w:ascii="宋体" w:hAnsi="宋体" w:eastAsia="宋体"/>
          <w:color w:val="auto"/>
          <w:kern w:val="2"/>
          <w:sz w:val="21"/>
          <w:szCs w:val="21"/>
        </w:rPr>
        <w:t>保证金的；</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（2）未按</w:t>
      </w:r>
      <w:r>
        <w:rPr>
          <w:rFonts w:hint="eastAsia" w:ascii="宋体" w:hAnsi="宋体" w:eastAsia="宋体"/>
          <w:color w:val="auto"/>
          <w:kern w:val="2"/>
          <w:sz w:val="21"/>
          <w:szCs w:val="21"/>
        </w:rPr>
        <w:t>竞争性磋商</w:t>
      </w:r>
      <w:r>
        <w:rPr>
          <w:rFonts w:ascii="宋体" w:hAnsi="宋体" w:eastAsia="宋体"/>
          <w:color w:val="auto"/>
          <w:kern w:val="2"/>
          <w:sz w:val="21"/>
          <w:szCs w:val="21"/>
        </w:rPr>
        <w:t>文件规定要求密封、签署、盖章的；</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（3）不具备采购文件中规定资格要求的；</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（4）采购项目完成期限</w:t>
      </w:r>
      <w:r>
        <w:rPr>
          <w:rFonts w:hint="eastAsia" w:ascii="宋体" w:hAnsi="宋体" w:eastAsia="宋体"/>
          <w:color w:val="auto"/>
          <w:kern w:val="2"/>
          <w:sz w:val="21"/>
          <w:szCs w:val="21"/>
        </w:rPr>
        <w:t>、付款方式、质保期、交货地点、</w:t>
      </w:r>
      <w:r>
        <w:rPr>
          <w:rFonts w:ascii="宋体" w:hAnsi="宋体" w:eastAsia="宋体"/>
          <w:color w:val="auto"/>
          <w:kern w:val="2"/>
          <w:sz w:val="21"/>
          <w:szCs w:val="21"/>
        </w:rPr>
        <w:t>合同签订期</w:t>
      </w:r>
      <w:r>
        <w:rPr>
          <w:rFonts w:hint="eastAsia" w:ascii="宋体" w:hAnsi="宋体" w:eastAsia="宋体"/>
          <w:color w:val="auto"/>
          <w:kern w:val="2"/>
          <w:sz w:val="21"/>
          <w:szCs w:val="21"/>
        </w:rPr>
        <w:t>等不符合</w:t>
      </w:r>
      <w:r>
        <w:rPr>
          <w:rFonts w:ascii="宋体" w:hAnsi="宋体" w:eastAsia="宋体"/>
          <w:color w:val="auto"/>
          <w:kern w:val="2"/>
          <w:sz w:val="21"/>
          <w:szCs w:val="21"/>
        </w:rPr>
        <w:t>采购</w:t>
      </w:r>
      <w:r>
        <w:rPr>
          <w:rFonts w:hint="eastAsia" w:ascii="宋体" w:hAnsi="宋体" w:eastAsia="宋体"/>
          <w:color w:val="auto"/>
          <w:kern w:val="2"/>
          <w:sz w:val="21"/>
          <w:szCs w:val="21"/>
        </w:rPr>
        <w:t>文件要求的</w:t>
      </w:r>
      <w:r>
        <w:rPr>
          <w:rFonts w:ascii="宋体" w:hAnsi="宋体" w:eastAsia="宋体"/>
          <w:color w:val="auto"/>
          <w:kern w:val="2"/>
          <w:sz w:val="21"/>
          <w:szCs w:val="21"/>
        </w:rPr>
        <w:t>；</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（5）</w:t>
      </w:r>
      <w:r>
        <w:rPr>
          <w:rFonts w:hint="eastAsia" w:ascii="宋体" w:hAnsi="宋体" w:eastAsia="宋体"/>
          <w:color w:val="auto"/>
          <w:kern w:val="2"/>
          <w:sz w:val="21"/>
          <w:szCs w:val="21"/>
        </w:rPr>
        <w:t>磋商产品</w:t>
      </w:r>
      <w:r>
        <w:rPr>
          <w:rFonts w:ascii="宋体" w:hAnsi="宋体" w:eastAsia="宋体"/>
          <w:color w:val="auto"/>
          <w:kern w:val="2"/>
          <w:sz w:val="21"/>
          <w:szCs w:val="21"/>
        </w:rPr>
        <w:t>明显不符合</w:t>
      </w:r>
      <w:r>
        <w:rPr>
          <w:rFonts w:hint="eastAsia" w:ascii="宋体" w:hAnsi="宋体" w:eastAsia="宋体"/>
          <w:color w:val="auto"/>
          <w:kern w:val="2"/>
          <w:sz w:val="21"/>
          <w:szCs w:val="21"/>
        </w:rPr>
        <w:t>采购文件规定的</w:t>
      </w:r>
      <w:r>
        <w:rPr>
          <w:rFonts w:ascii="宋体" w:hAnsi="宋体" w:eastAsia="宋体"/>
          <w:color w:val="auto"/>
          <w:kern w:val="2"/>
          <w:sz w:val="21"/>
          <w:szCs w:val="21"/>
        </w:rPr>
        <w:t>技术规格、技术标准</w:t>
      </w:r>
      <w:r>
        <w:rPr>
          <w:rFonts w:hint="eastAsia" w:ascii="宋体" w:hAnsi="宋体" w:eastAsia="宋体"/>
          <w:color w:val="auto"/>
          <w:kern w:val="2"/>
          <w:sz w:val="21"/>
          <w:szCs w:val="21"/>
        </w:rPr>
        <w:t>、</w:t>
      </w:r>
      <w:r>
        <w:rPr>
          <w:rFonts w:ascii="宋体" w:hAnsi="宋体" w:eastAsia="宋体"/>
          <w:color w:val="auto"/>
          <w:kern w:val="2"/>
          <w:sz w:val="21"/>
          <w:szCs w:val="21"/>
        </w:rPr>
        <w:t>检验标准</w:t>
      </w:r>
      <w:r>
        <w:rPr>
          <w:rFonts w:hint="eastAsia" w:ascii="宋体" w:hAnsi="宋体" w:eastAsia="宋体"/>
          <w:color w:val="auto"/>
          <w:kern w:val="2"/>
          <w:sz w:val="21"/>
          <w:szCs w:val="21"/>
        </w:rPr>
        <w:t>等</w:t>
      </w:r>
      <w:r>
        <w:rPr>
          <w:rFonts w:ascii="宋体" w:hAnsi="宋体" w:eastAsia="宋体"/>
          <w:color w:val="auto"/>
          <w:kern w:val="2"/>
          <w:sz w:val="21"/>
          <w:szCs w:val="21"/>
        </w:rPr>
        <w:t>要求的；</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ascii="宋体" w:hAnsi="宋体" w:eastAsia="宋体"/>
          <w:color w:val="auto"/>
          <w:kern w:val="2"/>
          <w:sz w:val="21"/>
          <w:szCs w:val="21"/>
        </w:rPr>
        <w:t>（6）</w:t>
      </w:r>
      <w:r>
        <w:rPr>
          <w:rFonts w:hint="eastAsia" w:ascii="宋体" w:hAnsi="宋体" w:eastAsia="宋体"/>
          <w:color w:val="auto"/>
          <w:kern w:val="2"/>
          <w:sz w:val="21"/>
          <w:szCs w:val="21"/>
        </w:rPr>
        <w:t>竞争性磋商响应文件</w:t>
      </w:r>
      <w:r>
        <w:rPr>
          <w:rFonts w:ascii="宋体" w:hAnsi="宋体" w:eastAsia="宋体"/>
          <w:color w:val="auto"/>
          <w:kern w:val="2"/>
          <w:sz w:val="21"/>
          <w:szCs w:val="21"/>
        </w:rPr>
        <w:t>附有采购人不能接受的条件</w:t>
      </w:r>
      <w:r>
        <w:rPr>
          <w:rFonts w:hint="eastAsia" w:ascii="宋体" w:hAnsi="宋体" w:eastAsia="宋体"/>
          <w:color w:val="auto"/>
          <w:kern w:val="2"/>
          <w:sz w:val="21"/>
          <w:szCs w:val="21"/>
        </w:rPr>
        <w:t>的</w:t>
      </w:r>
      <w:r>
        <w:rPr>
          <w:rFonts w:ascii="宋体" w:hAnsi="宋体" w:eastAsia="宋体"/>
          <w:color w:val="auto"/>
          <w:kern w:val="2"/>
          <w:sz w:val="21"/>
          <w:szCs w:val="21"/>
        </w:rPr>
        <w:t>；</w:t>
      </w:r>
    </w:p>
    <w:p>
      <w:pPr>
        <w:widowControl/>
        <w:tabs>
          <w:tab w:val="left" w:pos="540"/>
        </w:tabs>
        <w:spacing w:line="400" w:lineRule="exact"/>
        <w:ind w:firstLine="420" w:firstLineChars="200"/>
        <w:jc w:val="left"/>
        <w:rPr>
          <w:rFonts w:ascii="Times New Roman" w:hAnsi="Times New Roman" w:eastAsia="宋体"/>
          <w:color w:val="auto"/>
          <w:kern w:val="2"/>
          <w:sz w:val="21"/>
          <w:szCs w:val="21"/>
        </w:rPr>
      </w:pPr>
      <w:r>
        <w:rPr>
          <w:rFonts w:ascii="宋体" w:hAnsi="宋体" w:eastAsia="宋体"/>
          <w:color w:val="auto"/>
          <w:kern w:val="2"/>
          <w:sz w:val="21"/>
          <w:szCs w:val="21"/>
        </w:rPr>
        <w:t>（7）不符合法律、法规和采购文件中规定的其他实质性要求的</w:t>
      </w:r>
      <w:r>
        <w:rPr>
          <w:rFonts w:hint="eastAsia" w:ascii="Times New Roman" w:hAnsi="Times New Roman" w:eastAsia="宋体"/>
          <w:color w:val="auto"/>
          <w:kern w:val="2"/>
          <w:sz w:val="21"/>
          <w:szCs w:val="21"/>
        </w:rPr>
        <w:t>。</w:t>
      </w:r>
    </w:p>
    <w:p>
      <w:pPr>
        <w:snapToGrid w:val="0"/>
        <w:spacing w:line="420" w:lineRule="exact"/>
        <w:ind w:firstLine="395" w:firstLineChars="196"/>
        <w:rPr>
          <w:rFonts w:ascii="宋体" w:hAnsi="宋体" w:eastAsia="宋体"/>
          <w:bCs/>
          <w:color w:val="auto"/>
          <w:spacing w:val="-4"/>
          <w:kern w:val="2"/>
          <w:sz w:val="21"/>
          <w:szCs w:val="21"/>
        </w:rPr>
      </w:pPr>
      <w:r>
        <w:rPr>
          <w:rFonts w:hint="eastAsia" w:ascii="宋体" w:hAnsi="宋体" w:eastAsia="宋体"/>
          <w:bCs/>
          <w:color w:val="auto"/>
          <w:spacing w:val="-4"/>
          <w:kern w:val="2"/>
          <w:sz w:val="21"/>
          <w:szCs w:val="21"/>
        </w:rPr>
        <w:t>12.2 供应商有下列情形之一的视为供应商相互串通投标，响应文件将被视为无效：</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（1）不同供应商的响应文件由同一单位或者个人编制，或不同供应商报名的IP地址一致的；</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（2）不同供应商委托同一单位或者个人办理磋商事宜；</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（3）不同供应商的响应文件载明的项目管理员或项目实施人员为同一个人；</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（4）不同供应商的响应文件异常一致或磋商报价呈规律性差异；</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（5）不同供应商的响应文件相互混装；</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（6）不同供应商的磋商保证金从同一单位或者个人账户转出。</w:t>
      </w:r>
    </w:p>
    <w:p>
      <w:pPr>
        <w:snapToGrid w:val="0"/>
        <w:spacing w:line="420" w:lineRule="exact"/>
        <w:ind w:firstLine="395" w:firstLineChars="196"/>
        <w:rPr>
          <w:rFonts w:ascii="宋体" w:hAnsi="宋体" w:eastAsia="宋体"/>
          <w:bCs/>
          <w:color w:val="auto"/>
          <w:spacing w:val="-4"/>
          <w:kern w:val="2"/>
          <w:sz w:val="21"/>
          <w:szCs w:val="21"/>
        </w:rPr>
      </w:pPr>
      <w:r>
        <w:rPr>
          <w:rFonts w:hint="eastAsia" w:ascii="宋体" w:hAnsi="宋体" w:eastAsia="宋体"/>
          <w:bCs/>
          <w:color w:val="auto"/>
          <w:spacing w:val="-4"/>
          <w:kern w:val="2"/>
          <w:sz w:val="21"/>
          <w:szCs w:val="21"/>
        </w:rPr>
        <w:t>12.3 关联供应商不得参加同一合同项下政府采购活动，否则响应文件将被视为无效：</w:t>
      </w:r>
    </w:p>
    <w:p>
      <w:pPr>
        <w:snapToGrid w:val="0"/>
        <w:spacing w:line="420" w:lineRule="exact"/>
        <w:ind w:firstLine="395" w:firstLineChars="196"/>
        <w:rPr>
          <w:rFonts w:ascii="宋体" w:hAnsi="宋体" w:eastAsia="宋体"/>
          <w:color w:val="auto"/>
          <w:spacing w:val="-4"/>
          <w:kern w:val="2"/>
          <w:sz w:val="21"/>
          <w:szCs w:val="21"/>
        </w:rPr>
      </w:pPr>
      <w:r>
        <w:rPr>
          <w:rFonts w:hint="eastAsia" w:ascii="宋体" w:hAnsi="宋体" w:eastAsia="宋体"/>
          <w:color w:val="auto"/>
          <w:spacing w:val="-4"/>
          <w:kern w:val="2"/>
          <w:sz w:val="21"/>
          <w:szCs w:val="21"/>
        </w:rPr>
        <w:t>（1）单位负责人为同一人或者存在直接控股、管理关系的不同的供应商，不得参加同一合同项下的政府采购活动；</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（2）生产厂商授权给供应商后自己不得参加同一合同项下的政府采购活动；生产厂商对同一品牌同一型号的货物，仅能委托一个代理商参加投标。</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六、确定成交供应商</w:t>
      </w:r>
    </w:p>
    <w:p>
      <w:pPr>
        <w:widowControl/>
        <w:tabs>
          <w:tab w:val="left" w:pos="540"/>
        </w:tabs>
        <w:spacing w:line="400" w:lineRule="exact"/>
        <w:ind w:firstLine="420" w:firstLineChars="200"/>
        <w:jc w:val="left"/>
        <w:outlineLvl w:val="0"/>
        <w:rPr>
          <w:rFonts w:ascii="宋体" w:hAnsi="宋体" w:eastAsia="宋体"/>
          <w:color w:val="auto"/>
          <w:kern w:val="2"/>
          <w:sz w:val="21"/>
          <w:szCs w:val="21"/>
        </w:rPr>
      </w:pPr>
      <w:r>
        <w:rPr>
          <w:rFonts w:hint="eastAsia" w:ascii="宋体" w:hAnsi="宋体" w:eastAsia="宋体"/>
          <w:color w:val="auto"/>
          <w:kern w:val="2"/>
          <w:sz w:val="21"/>
          <w:szCs w:val="21"/>
        </w:rPr>
        <w:t>13.确定成交供应商办法</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13.1经磋商确定最终采购需求和提交最后报价的供应商后，由磋商小组采用综合评分法对提交最后报价的供应商的响应文件和最后报价进行综合评分。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13.2本项目的评审原则、评审内容、评分标准、成交候选供应商推荐及成交供应商确定原则详见“第六章 评审方法”。</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13.3采购人在收到评审报告后5个工作日内，</w:t>
      </w:r>
      <w:r>
        <w:rPr>
          <w:rFonts w:ascii="宋体" w:hAnsi="宋体" w:eastAsia="宋体"/>
          <w:color w:val="auto"/>
          <w:kern w:val="2"/>
          <w:sz w:val="21"/>
          <w:szCs w:val="21"/>
        </w:rPr>
        <w:t>按照</w:t>
      </w:r>
      <w:r>
        <w:rPr>
          <w:rFonts w:hint="eastAsia" w:ascii="宋体" w:hAnsi="宋体" w:eastAsia="宋体"/>
          <w:color w:val="auto"/>
          <w:kern w:val="2"/>
          <w:sz w:val="21"/>
          <w:szCs w:val="21"/>
        </w:rPr>
        <w:t>成交供应商确定原则</w:t>
      </w:r>
      <w:r>
        <w:rPr>
          <w:rFonts w:ascii="宋体" w:hAnsi="宋体" w:eastAsia="宋体"/>
          <w:color w:val="auto"/>
          <w:kern w:val="2"/>
          <w:sz w:val="21"/>
          <w:szCs w:val="21"/>
        </w:rPr>
        <w:t>确定成交供应商</w:t>
      </w:r>
      <w:r>
        <w:rPr>
          <w:rFonts w:hint="eastAsia" w:ascii="宋体" w:hAnsi="宋体" w:eastAsia="宋体"/>
          <w:color w:val="auto"/>
          <w:kern w:val="2"/>
          <w:sz w:val="21"/>
          <w:szCs w:val="21"/>
        </w:rPr>
        <w:t>，并向</w:t>
      </w:r>
      <w:r>
        <w:rPr>
          <w:rFonts w:ascii="宋体" w:hAnsi="宋体" w:eastAsia="宋体"/>
          <w:color w:val="auto"/>
          <w:kern w:val="2"/>
          <w:sz w:val="21"/>
          <w:szCs w:val="21"/>
        </w:rPr>
        <w:t>成交供应商</w:t>
      </w:r>
      <w:r>
        <w:rPr>
          <w:rFonts w:hint="eastAsia" w:ascii="宋体" w:hAnsi="宋体" w:eastAsia="宋体"/>
          <w:color w:val="auto"/>
          <w:kern w:val="2"/>
          <w:sz w:val="21"/>
          <w:szCs w:val="21"/>
        </w:rPr>
        <w:t>发出成交通知书。</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七、签订合同</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13.成交供应商在收到成交通知书后，按规定与采购人签订政府采购合同。</w:t>
      </w:r>
    </w:p>
    <w:p>
      <w:pPr>
        <w:spacing w:line="400" w:lineRule="exact"/>
        <w:ind w:firstLine="422" w:firstLineChars="200"/>
        <w:outlineLvl w:val="0"/>
        <w:rPr>
          <w:rFonts w:ascii="宋体" w:hAnsi="宋体" w:eastAsia="宋体"/>
          <w:b/>
          <w:color w:val="auto"/>
          <w:kern w:val="2"/>
          <w:sz w:val="21"/>
          <w:szCs w:val="21"/>
        </w:rPr>
      </w:pPr>
      <w:r>
        <w:rPr>
          <w:rFonts w:hint="eastAsia" w:ascii="宋体" w:hAnsi="宋体" w:eastAsia="宋体"/>
          <w:b/>
          <w:color w:val="auto"/>
          <w:kern w:val="2"/>
          <w:sz w:val="21"/>
          <w:szCs w:val="21"/>
        </w:rPr>
        <w:t>八、适用法律</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14.采购当事人的一切活动均适用于《中华人民共和国政府采购法》及相关规定。</w:t>
      </w:r>
    </w:p>
    <w:p>
      <w:pPr>
        <w:snapToGrid w:val="0"/>
        <w:spacing w:line="420" w:lineRule="exact"/>
        <w:ind w:firstLine="413" w:firstLineChars="196"/>
        <w:outlineLvl w:val="1"/>
        <w:rPr>
          <w:rFonts w:ascii="宋体" w:hAnsi="宋体" w:eastAsia="宋体"/>
          <w:b/>
          <w:color w:val="auto"/>
          <w:kern w:val="2"/>
          <w:sz w:val="21"/>
          <w:szCs w:val="21"/>
        </w:rPr>
      </w:pPr>
      <w:r>
        <w:rPr>
          <w:rFonts w:hint="eastAsia" w:ascii="宋体" w:hAnsi="宋体" w:eastAsia="宋体"/>
          <w:b/>
          <w:color w:val="auto"/>
          <w:kern w:val="2"/>
          <w:sz w:val="21"/>
          <w:szCs w:val="21"/>
        </w:rPr>
        <w:t>九、</w:t>
      </w:r>
      <w:bookmarkStart w:id="4" w:name="_Toc254970673"/>
      <w:bookmarkStart w:id="5" w:name="_Toc254970532"/>
      <w:r>
        <w:rPr>
          <w:rFonts w:hint="eastAsia" w:ascii="宋体" w:hAnsi="宋体" w:eastAsia="宋体"/>
          <w:b/>
          <w:color w:val="auto"/>
          <w:kern w:val="2"/>
          <w:sz w:val="21"/>
          <w:szCs w:val="21"/>
        </w:rPr>
        <w:t>特别说明：</w:t>
      </w:r>
      <w:bookmarkEnd w:id="4"/>
      <w:bookmarkEnd w:id="5"/>
    </w:p>
    <w:p>
      <w:pPr>
        <w:snapToGrid w:val="0"/>
        <w:spacing w:line="420" w:lineRule="exact"/>
        <w:ind w:firstLine="411" w:firstLineChars="196"/>
        <w:outlineLvl w:val="1"/>
        <w:rPr>
          <w:rFonts w:ascii="宋体" w:hAnsi="宋体" w:eastAsia="宋体"/>
          <w:color w:val="auto"/>
          <w:kern w:val="2"/>
          <w:sz w:val="21"/>
          <w:szCs w:val="21"/>
        </w:rPr>
      </w:pPr>
      <w:r>
        <w:rPr>
          <w:rFonts w:hint="eastAsia" w:ascii="宋体" w:hAnsi="宋体" w:eastAsia="宋体"/>
          <w:color w:val="auto"/>
          <w:kern w:val="2"/>
          <w:sz w:val="21"/>
          <w:szCs w:val="21"/>
        </w:rPr>
        <w:t>▲15.供应商磋商所使用的资格、信誉、荣誉、业绩与企业认证必须为本法人所拥有。供应商磋商所使用的采购项目实施人员必须为本法人或控股公司员工。</w:t>
      </w:r>
    </w:p>
    <w:p>
      <w:pPr>
        <w:snapToGrid w:val="0"/>
        <w:spacing w:line="420" w:lineRule="exact"/>
        <w:ind w:firstLine="411" w:firstLineChars="196"/>
        <w:outlineLvl w:val="1"/>
        <w:rPr>
          <w:rFonts w:ascii="宋体" w:hAnsi="宋体" w:eastAsia="宋体"/>
          <w:color w:val="auto"/>
          <w:kern w:val="2"/>
          <w:sz w:val="21"/>
          <w:szCs w:val="21"/>
        </w:rPr>
      </w:pPr>
      <w:r>
        <w:rPr>
          <w:rFonts w:hint="eastAsia" w:ascii="宋体" w:hAnsi="宋体" w:eastAsia="宋体"/>
          <w:color w:val="auto"/>
          <w:kern w:val="2"/>
          <w:sz w:val="21"/>
          <w:szCs w:val="21"/>
        </w:rPr>
        <w:t>▲16.供应商应仔细阅读竞争性磋商文件的所有内容，按照竞争性磋商文件的要求提交响应文件，并对所提供的全部资料的真实性承担法律责任。</w:t>
      </w:r>
    </w:p>
    <w:p>
      <w:pPr>
        <w:snapToGrid w:val="0"/>
        <w:spacing w:line="420" w:lineRule="exact"/>
        <w:ind w:firstLine="411" w:firstLineChars="196"/>
        <w:outlineLvl w:val="1"/>
        <w:rPr>
          <w:rFonts w:ascii="宋体" w:hAnsi="宋体" w:eastAsia="宋体"/>
          <w:color w:val="auto"/>
          <w:kern w:val="2"/>
          <w:sz w:val="21"/>
          <w:szCs w:val="21"/>
        </w:rPr>
      </w:pPr>
      <w:r>
        <w:rPr>
          <w:rFonts w:hint="eastAsia" w:ascii="宋体" w:hAnsi="宋体" w:eastAsia="宋体"/>
          <w:color w:val="auto"/>
          <w:kern w:val="2"/>
          <w:sz w:val="21"/>
          <w:szCs w:val="21"/>
        </w:rPr>
        <w:t>▲17.供应商在磋商活动中提供任何虚假材料，其磋商响应无效，并报监管部门查处；成交后发现的，成交供应商须依照《中华人民共和国消费者权益保护法》第49条之规定双倍赔偿采购人，且民事赔偿并不免除违法供应商的行政与刑事责任。</w:t>
      </w:r>
    </w:p>
    <w:p>
      <w:pPr>
        <w:snapToGrid w:val="0"/>
        <w:spacing w:line="420" w:lineRule="exact"/>
        <w:ind w:firstLine="411" w:firstLineChars="196"/>
        <w:outlineLvl w:val="1"/>
        <w:rPr>
          <w:rFonts w:ascii="宋体" w:hAnsi="宋体" w:eastAsia="宋体"/>
          <w:color w:val="auto"/>
          <w:kern w:val="2"/>
          <w:sz w:val="21"/>
          <w:szCs w:val="21"/>
        </w:rPr>
      </w:pPr>
      <w:r>
        <w:rPr>
          <w:rFonts w:hint="eastAsia" w:ascii="宋体" w:hAnsi="宋体" w:eastAsia="宋体"/>
          <w:color w:val="auto"/>
          <w:kern w:val="2"/>
          <w:sz w:val="21"/>
          <w:szCs w:val="21"/>
        </w:rPr>
        <w:t>▲18.根据财政部《关于在政府采购活动中查询及使用信用记录有关问题的通知》（财库〔2016〕125号）的规定，在本项目</w:t>
      </w:r>
      <w:r>
        <w:rPr>
          <w:rFonts w:hint="eastAsia" w:ascii="宋体" w:hAnsi="宋体" w:eastAsia="宋体"/>
          <w:b/>
          <w:color w:val="auto"/>
          <w:kern w:val="2"/>
          <w:sz w:val="21"/>
          <w:szCs w:val="21"/>
        </w:rPr>
        <w:t>磋商截止时间</w:t>
      </w:r>
      <w:r>
        <w:rPr>
          <w:rFonts w:hint="eastAsia" w:ascii="宋体" w:hAnsi="宋体" w:eastAsia="宋体"/>
          <w:color w:val="auto"/>
          <w:kern w:val="2"/>
          <w:sz w:val="21"/>
          <w:szCs w:val="21"/>
        </w:rPr>
        <w:t>前，供应商在</w:t>
      </w:r>
      <w:r>
        <w:rPr>
          <w:rFonts w:ascii="宋体" w:hAnsi="宋体" w:eastAsia="宋体"/>
          <w:color w:val="auto"/>
          <w:kern w:val="2"/>
          <w:sz w:val="21"/>
          <w:szCs w:val="21"/>
        </w:rPr>
        <w:t>“信用中国”网站（www.creditchina.gov.cn）、中国政府采购网（www.ccgp.gov.cn）</w:t>
      </w:r>
      <w:r>
        <w:rPr>
          <w:rFonts w:hint="eastAsia" w:ascii="宋体" w:hAnsi="宋体" w:eastAsia="宋体"/>
          <w:color w:val="auto"/>
          <w:kern w:val="2"/>
          <w:sz w:val="21"/>
          <w:szCs w:val="21"/>
        </w:rPr>
        <w:t>中被列入失信被执行人、重大税收违法案件当事人名单、政府采购严重违法失信行为记录名单及其他不符合《中华人民共和国政府采购法》第二十二条规定条件的，其响应文件将被拒绝（必须在响应文件中按要求提供相关证明文件，否则响应文件将被拒绝）。</w:t>
      </w:r>
    </w:p>
    <w:p>
      <w:pPr>
        <w:widowControl/>
        <w:tabs>
          <w:tab w:val="left" w:pos="540"/>
        </w:tabs>
        <w:spacing w:line="400" w:lineRule="exact"/>
        <w:ind w:firstLine="420" w:firstLineChars="200"/>
        <w:jc w:val="left"/>
        <w:rPr>
          <w:rFonts w:ascii="宋体" w:hAnsi="宋体" w:eastAsia="宋体"/>
          <w:color w:val="auto"/>
          <w:kern w:val="2"/>
          <w:sz w:val="21"/>
          <w:szCs w:val="21"/>
        </w:rPr>
      </w:pPr>
      <w:r>
        <w:rPr>
          <w:rFonts w:hint="eastAsia" w:ascii="宋体" w:hAnsi="宋体" w:eastAsia="宋体"/>
          <w:color w:val="auto"/>
          <w:kern w:val="2"/>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center"/>
        <w:outlineLvl w:val="0"/>
        <w:rPr>
          <w:rFonts w:ascii="宋体" w:hAnsi="宋体" w:eastAsia="宋体"/>
          <w:b/>
          <w:color w:val="auto"/>
          <w:sz w:val="32"/>
          <w:szCs w:val="32"/>
        </w:rPr>
      </w:pPr>
    </w:p>
    <w:p>
      <w:pPr>
        <w:spacing w:line="360" w:lineRule="auto"/>
        <w:jc w:val="center"/>
        <w:outlineLvl w:val="0"/>
        <w:rPr>
          <w:rFonts w:ascii="宋体" w:hAnsi="宋体" w:eastAsia="宋体"/>
          <w:b/>
          <w:color w:val="auto"/>
          <w:sz w:val="32"/>
          <w:szCs w:val="32"/>
        </w:rPr>
      </w:pPr>
    </w:p>
    <w:p>
      <w:pPr>
        <w:spacing w:line="360" w:lineRule="auto"/>
        <w:outlineLvl w:val="0"/>
        <w:rPr>
          <w:rFonts w:ascii="宋体" w:hAnsi="宋体" w:eastAsia="宋体"/>
          <w:b/>
          <w:color w:val="auto"/>
          <w:sz w:val="32"/>
          <w:szCs w:val="32"/>
        </w:rPr>
      </w:pPr>
    </w:p>
    <w:p>
      <w:pPr>
        <w:spacing w:line="360" w:lineRule="auto"/>
        <w:jc w:val="center"/>
        <w:outlineLvl w:val="0"/>
        <w:rPr>
          <w:rFonts w:ascii="宋体" w:hAnsi="宋体" w:eastAsia="宋体"/>
          <w:b/>
          <w:color w:val="auto"/>
          <w:sz w:val="32"/>
          <w:szCs w:val="32"/>
        </w:rPr>
      </w:pPr>
    </w:p>
    <w:p>
      <w:pPr>
        <w:spacing w:line="360" w:lineRule="auto"/>
        <w:jc w:val="center"/>
        <w:outlineLvl w:val="0"/>
        <w:rPr>
          <w:rFonts w:ascii="宋体" w:hAnsi="宋体" w:eastAsia="宋体"/>
          <w:b/>
          <w:color w:val="auto"/>
          <w:sz w:val="32"/>
          <w:szCs w:val="32"/>
        </w:rPr>
      </w:pPr>
    </w:p>
    <w:p>
      <w:pPr>
        <w:spacing w:line="360" w:lineRule="auto"/>
        <w:outlineLvl w:val="0"/>
        <w:rPr>
          <w:rFonts w:ascii="宋体" w:hAnsi="宋体" w:eastAsia="宋体"/>
          <w:b/>
          <w:color w:val="auto"/>
          <w:sz w:val="32"/>
          <w:szCs w:val="32"/>
        </w:rPr>
      </w:pPr>
    </w:p>
    <w:p>
      <w:pPr>
        <w:spacing w:line="360" w:lineRule="auto"/>
        <w:jc w:val="center"/>
        <w:outlineLvl w:val="0"/>
        <w:rPr>
          <w:rFonts w:hint="eastAsia" w:ascii="宋体" w:hAnsi="宋体" w:eastAsia="宋体"/>
          <w:b/>
          <w:color w:val="auto"/>
          <w:sz w:val="32"/>
          <w:szCs w:val="32"/>
        </w:rPr>
      </w:pPr>
      <w:r>
        <w:rPr>
          <w:rFonts w:hint="eastAsia" w:ascii="宋体" w:hAnsi="宋体" w:eastAsia="宋体"/>
          <w:b/>
          <w:color w:val="auto"/>
          <w:sz w:val="32"/>
          <w:szCs w:val="32"/>
        </w:rPr>
        <w:t>第三章</w:t>
      </w:r>
      <w:bookmarkEnd w:id="3"/>
      <w:r>
        <w:rPr>
          <w:rFonts w:hint="eastAsia" w:ascii="宋体" w:hAnsi="宋体" w:eastAsia="宋体"/>
          <w:b/>
          <w:color w:val="auto"/>
          <w:sz w:val="32"/>
          <w:szCs w:val="32"/>
        </w:rPr>
        <w:t>项目需求和说明</w:t>
      </w:r>
    </w:p>
    <w:p>
      <w:pPr>
        <w:spacing w:line="276" w:lineRule="auto"/>
        <w:ind w:firstLine="431"/>
        <w:rPr>
          <w:rFonts w:ascii="宋体"/>
          <w:b/>
          <w:bCs/>
          <w:szCs w:val="21"/>
        </w:rPr>
      </w:pPr>
      <w:r>
        <w:rPr>
          <w:rFonts w:hint="eastAsia" w:ascii="宋体" w:hAnsi="宋体"/>
          <w:b/>
          <w:bCs/>
          <w:szCs w:val="21"/>
        </w:rPr>
        <w:t>说明：</w:t>
      </w:r>
    </w:p>
    <w:p>
      <w:pPr>
        <w:spacing w:line="276" w:lineRule="auto"/>
        <w:ind w:firstLine="431"/>
        <w:rPr>
          <w:rFonts w:ascii="宋体"/>
          <w:szCs w:val="21"/>
        </w:rPr>
      </w:pPr>
      <w:r>
        <w:rPr>
          <w:rFonts w:ascii="宋体" w:hAnsi="宋体"/>
          <w:szCs w:val="21"/>
        </w:rPr>
        <w:t>1</w:t>
      </w:r>
      <w:r>
        <w:rPr>
          <w:rFonts w:hint="eastAsia" w:ascii="宋体" w:hAnsi="宋体"/>
          <w:szCs w:val="21"/>
        </w:rPr>
        <w:t>、本项目需求中的货物品牌、型号仅起参考作用，投标人可选用其他品牌、型号替代，但这些替代的品牌、型号在实质性要求和条件上相当于或优于参考品牌、型号。</w:t>
      </w:r>
    </w:p>
    <w:p>
      <w:pPr>
        <w:spacing w:line="276" w:lineRule="auto"/>
        <w:ind w:firstLine="431"/>
        <w:rPr>
          <w:rFonts w:ascii="宋体"/>
          <w:szCs w:val="21"/>
        </w:rPr>
      </w:pPr>
      <w:r>
        <w:rPr>
          <w:rFonts w:ascii="宋体" w:hAnsi="宋体"/>
          <w:szCs w:val="21"/>
        </w:rPr>
        <w:t>2</w:t>
      </w:r>
      <w:r>
        <w:rPr>
          <w:rFonts w:hint="eastAsia" w:ascii="宋体" w:hAnsi="宋体"/>
          <w:szCs w:val="21"/>
        </w:rPr>
        <w:t>、凡在“技术参数要求”中表述为“标配”或“标准配置”的设备，投标人应按第六章“投标文件格式”规定的格式在“投标产品技术资料表”中将其参数详细列明。</w:t>
      </w:r>
    </w:p>
    <w:p>
      <w:pPr>
        <w:spacing w:line="276" w:lineRule="auto"/>
        <w:ind w:firstLine="487" w:firstLineChars="202"/>
        <w:jc w:val="left"/>
        <w:rPr>
          <w:rFonts w:ascii="宋体"/>
          <w:b/>
          <w:bCs/>
          <w:szCs w:val="21"/>
        </w:rPr>
      </w:pPr>
      <w:r>
        <w:rPr>
          <w:rFonts w:ascii="宋体" w:hAnsi="宋体"/>
          <w:b/>
          <w:bCs/>
          <w:szCs w:val="21"/>
        </w:rPr>
        <w:t>3</w:t>
      </w:r>
      <w:r>
        <w:rPr>
          <w:rFonts w:hint="eastAsia" w:ascii="宋体" w:hAnsi="宋体"/>
          <w:b/>
          <w:bCs/>
          <w:szCs w:val="21"/>
        </w:rPr>
        <w:t>、本货物需求一览表中标注★号的内容为实质性要求和条件，注</w:t>
      </w:r>
      <w:r>
        <w:rPr>
          <w:rFonts w:hint="eastAsia" w:ascii="宋体" w:hAnsi="宋体" w:cs="宋体"/>
          <w:sz w:val="22"/>
          <w:szCs w:val="22"/>
        </w:rPr>
        <w:t>▲号</w:t>
      </w:r>
      <w:r>
        <w:rPr>
          <w:rFonts w:hint="eastAsia" w:ascii="宋体" w:hAnsi="宋体"/>
          <w:b/>
          <w:bCs/>
          <w:szCs w:val="21"/>
        </w:rPr>
        <w:t>的内容为评分项非实质性要求和条件。</w:t>
      </w:r>
    </w:p>
    <w:p>
      <w:pPr>
        <w:spacing w:line="276" w:lineRule="auto"/>
        <w:ind w:firstLine="484" w:firstLineChars="202"/>
        <w:jc w:val="left"/>
        <w:rPr>
          <w:rFonts w:ascii="宋体"/>
          <w:szCs w:val="21"/>
        </w:rPr>
      </w:pPr>
      <w:r>
        <w:rPr>
          <w:rFonts w:ascii="宋体" w:hAnsi="宋体"/>
          <w:szCs w:val="21"/>
        </w:rPr>
        <w:t>4</w:t>
      </w:r>
      <w:r>
        <w:rPr>
          <w:rFonts w:hint="eastAsia" w:ascii="宋体" w:hAnsi="宋体"/>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276" w:lineRule="auto"/>
        <w:ind w:firstLine="484" w:firstLineChars="202"/>
        <w:jc w:val="left"/>
        <w:rPr>
          <w:rFonts w:hint="eastAsia" w:ascii="宋体" w:hAnsi="宋体"/>
          <w:szCs w:val="21"/>
        </w:rPr>
      </w:pPr>
      <w:r>
        <w:rPr>
          <w:rFonts w:ascii="宋体" w:hAnsi="宋体"/>
          <w:szCs w:val="21"/>
        </w:rPr>
        <w:t>5</w:t>
      </w:r>
      <w:r>
        <w:rPr>
          <w:rFonts w:hint="eastAsia" w:ascii="宋体" w:hAnsi="宋体"/>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竞标人的投标货物中包含以上的必须使用政府强制采购的节能产品</w:t>
      </w:r>
      <w:r>
        <w:rPr>
          <w:rFonts w:ascii="宋体" w:hAnsi="宋体"/>
          <w:szCs w:val="21"/>
        </w:rPr>
        <w:t>(</w:t>
      </w:r>
      <w:r>
        <w:rPr>
          <w:rFonts w:hint="eastAsia" w:ascii="宋体" w:hAnsi="宋体"/>
          <w:szCs w:val="21"/>
        </w:rPr>
        <w:t>必须在有效期内</w:t>
      </w:r>
      <w:r>
        <w:rPr>
          <w:rFonts w:ascii="宋体" w:hAnsi="宋体"/>
          <w:szCs w:val="21"/>
        </w:rPr>
        <w:t>)</w:t>
      </w:r>
      <w:r>
        <w:rPr>
          <w:rFonts w:hint="eastAsia" w:ascii="宋体" w:hAnsi="宋体"/>
          <w:szCs w:val="21"/>
        </w:rPr>
        <w:t>，在响应文件中必须提供节能产品认证证书，否则相应投标无效。</w:t>
      </w:r>
    </w:p>
    <w:p>
      <w:pPr>
        <w:pStyle w:val="2"/>
        <w:ind w:left="0" w:leftChars="0" w:firstLine="0" w:firstLineChars="0"/>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eastAsia="幼圆" w:cs="Times New Roman"/>
          <w:kern w:val="0"/>
          <w:sz w:val="24"/>
          <w:szCs w:val="21"/>
          <w:lang w:val="en-US" w:eastAsia="zh-CN" w:bidi="ar-SA"/>
        </w:rPr>
        <w:t xml:space="preserve">   6.本项目核心产品为：超景深三维立体显微镜</w:t>
      </w:r>
    </w:p>
    <w:tbl>
      <w:tblPr>
        <w:tblStyle w:val="38"/>
        <w:tblpPr w:leftFromText="180" w:rightFromText="180" w:vertAnchor="text" w:horzAnchor="page" w:tblpX="970" w:tblpY="287"/>
        <w:tblOverlap w:val="never"/>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74"/>
        <w:gridCol w:w="632"/>
        <w:gridCol w:w="616"/>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47" w:type="dxa"/>
            <w:vAlign w:val="center"/>
          </w:tcPr>
          <w:p>
            <w:pPr>
              <w:spacing w:line="360" w:lineRule="auto"/>
              <w:jc w:val="center"/>
              <w:outlineLvl w:val="0"/>
              <w:rPr>
                <w:rFonts w:hint="eastAsia" w:ascii="宋体" w:hAnsi="宋体" w:eastAsia="宋体"/>
                <w:b/>
                <w:color w:val="auto"/>
                <w:sz w:val="21"/>
                <w:szCs w:val="21"/>
                <w:vertAlign w:val="baseline"/>
                <w:lang w:eastAsia="zh-CN"/>
              </w:rPr>
            </w:pPr>
            <w:r>
              <w:rPr>
                <w:rFonts w:hint="eastAsia" w:ascii="宋体" w:hAnsi="宋体" w:eastAsia="宋体"/>
                <w:b/>
                <w:color w:val="auto"/>
                <w:sz w:val="21"/>
                <w:szCs w:val="21"/>
                <w:vertAlign w:val="baseline"/>
                <w:lang w:eastAsia="zh-CN"/>
              </w:rPr>
              <w:t>序号</w:t>
            </w:r>
          </w:p>
        </w:tc>
        <w:tc>
          <w:tcPr>
            <w:tcW w:w="1374" w:type="dxa"/>
            <w:vAlign w:val="center"/>
          </w:tcPr>
          <w:p>
            <w:pPr>
              <w:spacing w:line="360" w:lineRule="auto"/>
              <w:jc w:val="center"/>
              <w:outlineLvl w:val="0"/>
              <w:rPr>
                <w:rFonts w:hint="eastAsia" w:ascii="宋体" w:hAnsi="宋体" w:eastAsia="宋体"/>
                <w:b/>
                <w:color w:val="auto"/>
                <w:sz w:val="21"/>
                <w:szCs w:val="21"/>
                <w:vertAlign w:val="baseline"/>
                <w:lang w:eastAsia="zh-CN"/>
              </w:rPr>
            </w:pPr>
            <w:r>
              <w:rPr>
                <w:rFonts w:hint="eastAsia" w:ascii="宋体" w:hAnsi="宋体" w:eastAsia="宋体"/>
                <w:b/>
                <w:color w:val="auto"/>
                <w:sz w:val="21"/>
                <w:szCs w:val="21"/>
                <w:vertAlign w:val="baseline"/>
                <w:lang w:eastAsia="zh-CN"/>
              </w:rPr>
              <w:t>货物名称</w:t>
            </w:r>
          </w:p>
        </w:tc>
        <w:tc>
          <w:tcPr>
            <w:tcW w:w="632" w:type="dxa"/>
            <w:vAlign w:val="center"/>
          </w:tcPr>
          <w:p>
            <w:pPr>
              <w:spacing w:line="360" w:lineRule="auto"/>
              <w:jc w:val="center"/>
              <w:outlineLvl w:val="0"/>
              <w:rPr>
                <w:rFonts w:hint="eastAsia" w:ascii="宋体" w:hAnsi="宋体" w:eastAsia="宋体"/>
                <w:b/>
                <w:color w:val="auto"/>
                <w:sz w:val="21"/>
                <w:szCs w:val="21"/>
                <w:vertAlign w:val="baseline"/>
                <w:lang w:eastAsia="zh-CN"/>
              </w:rPr>
            </w:pPr>
            <w:r>
              <w:rPr>
                <w:rFonts w:hint="eastAsia" w:ascii="宋体" w:hAnsi="宋体" w:eastAsia="宋体"/>
                <w:b/>
                <w:color w:val="auto"/>
                <w:sz w:val="21"/>
                <w:szCs w:val="21"/>
                <w:vertAlign w:val="baseline"/>
                <w:lang w:eastAsia="zh-CN"/>
              </w:rPr>
              <w:t>数量</w:t>
            </w:r>
          </w:p>
        </w:tc>
        <w:tc>
          <w:tcPr>
            <w:tcW w:w="616" w:type="dxa"/>
            <w:vAlign w:val="center"/>
          </w:tcPr>
          <w:p>
            <w:pPr>
              <w:spacing w:line="360" w:lineRule="auto"/>
              <w:jc w:val="center"/>
              <w:outlineLvl w:val="0"/>
              <w:rPr>
                <w:rFonts w:hint="eastAsia" w:ascii="宋体" w:hAnsi="宋体" w:eastAsia="宋体"/>
                <w:b/>
                <w:color w:val="auto"/>
                <w:sz w:val="21"/>
                <w:szCs w:val="21"/>
                <w:vertAlign w:val="baseline"/>
                <w:lang w:eastAsia="zh-CN"/>
              </w:rPr>
            </w:pPr>
            <w:r>
              <w:rPr>
                <w:rFonts w:hint="eastAsia" w:ascii="宋体" w:hAnsi="宋体" w:eastAsia="宋体"/>
                <w:b/>
                <w:color w:val="auto"/>
                <w:sz w:val="21"/>
                <w:szCs w:val="21"/>
                <w:vertAlign w:val="baseline"/>
                <w:lang w:eastAsia="zh-CN"/>
              </w:rPr>
              <w:t>单位</w:t>
            </w:r>
          </w:p>
        </w:tc>
        <w:tc>
          <w:tcPr>
            <w:tcW w:w="6758" w:type="dxa"/>
            <w:vAlign w:val="center"/>
          </w:tcPr>
          <w:p>
            <w:pPr>
              <w:spacing w:line="360" w:lineRule="auto"/>
              <w:jc w:val="center"/>
              <w:outlineLvl w:val="0"/>
              <w:rPr>
                <w:rFonts w:hint="eastAsia" w:ascii="宋体" w:hAnsi="宋体" w:eastAsia="宋体"/>
                <w:b/>
                <w:color w:val="auto"/>
                <w:sz w:val="21"/>
                <w:szCs w:val="21"/>
                <w:vertAlign w:val="baseline"/>
                <w:lang w:eastAsia="zh-CN"/>
              </w:rPr>
            </w:pPr>
            <w:r>
              <w:rPr>
                <w:rFonts w:hint="eastAsia" w:ascii="宋体" w:hAnsi="宋体" w:eastAsia="宋体"/>
                <w:b/>
                <w:color w:val="auto"/>
                <w:sz w:val="21"/>
                <w:szCs w:val="21"/>
                <w:vertAlign w:val="baseline"/>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47" w:type="dxa"/>
            <w:vAlign w:val="center"/>
          </w:tcPr>
          <w:p>
            <w:pPr>
              <w:spacing w:line="360" w:lineRule="auto"/>
              <w:jc w:val="center"/>
              <w:outlineLvl w:val="0"/>
              <w:rPr>
                <w:rFonts w:hint="eastAsia" w:asciiTheme="majorEastAsia" w:hAnsiTheme="majorEastAsia" w:eastAsiaTheme="majorEastAsia" w:cstheme="majorEastAsia"/>
                <w:b w:val="0"/>
                <w:bCs/>
                <w:color w:val="auto"/>
                <w:sz w:val="24"/>
                <w:szCs w:val="24"/>
                <w:vertAlign w:val="baseline"/>
                <w:lang w:val="en-US" w:eastAsia="zh-CN"/>
              </w:rPr>
            </w:pPr>
            <w:r>
              <w:rPr>
                <w:rFonts w:hint="eastAsia" w:asciiTheme="majorEastAsia" w:hAnsiTheme="majorEastAsia" w:eastAsiaTheme="majorEastAsia" w:cstheme="majorEastAsia"/>
                <w:b w:val="0"/>
                <w:bCs/>
                <w:color w:val="auto"/>
                <w:sz w:val="24"/>
                <w:szCs w:val="24"/>
                <w:vertAlign w:val="baseline"/>
                <w:lang w:val="en-US" w:eastAsia="zh-CN"/>
              </w:rPr>
              <w:t>1</w:t>
            </w:r>
          </w:p>
        </w:tc>
        <w:tc>
          <w:tcPr>
            <w:tcW w:w="1374" w:type="dxa"/>
            <w:vAlign w:val="center"/>
          </w:tcPr>
          <w:p>
            <w:pPr>
              <w:spacing w:line="360" w:lineRule="auto"/>
              <w:jc w:val="center"/>
              <w:outlineLvl w:val="0"/>
              <w:rPr>
                <w:rFonts w:hint="eastAsia" w:asciiTheme="majorEastAsia" w:hAnsiTheme="majorEastAsia" w:eastAsiaTheme="majorEastAsia" w:cstheme="majorEastAsia"/>
                <w:b w:val="0"/>
                <w:bCs/>
                <w:color w:val="auto"/>
                <w:sz w:val="24"/>
                <w:szCs w:val="24"/>
                <w:vertAlign w:val="baseline"/>
              </w:rPr>
            </w:pPr>
            <w:r>
              <w:rPr>
                <w:rFonts w:hint="eastAsia" w:asciiTheme="majorEastAsia" w:hAnsiTheme="majorEastAsia" w:eastAsiaTheme="majorEastAsia" w:cstheme="majorEastAsia"/>
                <w:b w:val="0"/>
                <w:bCs/>
                <w:sz w:val="24"/>
                <w:szCs w:val="24"/>
                <w:vertAlign w:val="baseline"/>
              </w:rPr>
              <w:t>超景深三维立体显微镜</w:t>
            </w:r>
          </w:p>
        </w:tc>
        <w:tc>
          <w:tcPr>
            <w:tcW w:w="632" w:type="dxa"/>
            <w:vAlign w:val="center"/>
          </w:tcPr>
          <w:p>
            <w:pPr>
              <w:spacing w:line="360" w:lineRule="auto"/>
              <w:jc w:val="center"/>
              <w:outlineLvl w:val="0"/>
              <w:rPr>
                <w:rFonts w:hint="eastAsia" w:asciiTheme="majorEastAsia" w:hAnsiTheme="majorEastAsia" w:eastAsiaTheme="majorEastAsia" w:cstheme="majorEastAsia"/>
                <w:b w:val="0"/>
                <w:bCs/>
                <w:color w:val="auto"/>
                <w:sz w:val="24"/>
                <w:szCs w:val="24"/>
                <w:vertAlign w:val="baseline"/>
                <w:lang w:val="en-US" w:eastAsia="zh-CN"/>
              </w:rPr>
            </w:pPr>
            <w:r>
              <w:rPr>
                <w:rFonts w:hint="eastAsia" w:asciiTheme="majorEastAsia" w:hAnsiTheme="majorEastAsia" w:eastAsiaTheme="majorEastAsia" w:cstheme="majorEastAsia"/>
                <w:b w:val="0"/>
                <w:bCs/>
                <w:color w:val="auto"/>
                <w:sz w:val="24"/>
                <w:szCs w:val="24"/>
                <w:vertAlign w:val="baseline"/>
                <w:lang w:val="en-US" w:eastAsia="zh-CN"/>
              </w:rPr>
              <w:t>1</w:t>
            </w:r>
          </w:p>
        </w:tc>
        <w:tc>
          <w:tcPr>
            <w:tcW w:w="616" w:type="dxa"/>
            <w:vAlign w:val="center"/>
          </w:tcPr>
          <w:p>
            <w:pPr>
              <w:spacing w:line="360" w:lineRule="auto"/>
              <w:jc w:val="center"/>
              <w:outlineLvl w:val="0"/>
              <w:rPr>
                <w:rFonts w:hint="eastAsia" w:asciiTheme="majorEastAsia" w:hAnsiTheme="majorEastAsia" w:eastAsiaTheme="majorEastAsia" w:cstheme="majorEastAsia"/>
                <w:b w:val="0"/>
                <w:bCs/>
                <w:color w:val="auto"/>
                <w:sz w:val="24"/>
                <w:szCs w:val="24"/>
                <w:vertAlign w:val="baseline"/>
                <w:lang w:eastAsia="zh-CN"/>
              </w:rPr>
            </w:pPr>
            <w:r>
              <w:rPr>
                <w:rFonts w:hint="eastAsia" w:asciiTheme="majorEastAsia" w:hAnsiTheme="majorEastAsia" w:eastAsiaTheme="majorEastAsia" w:cstheme="majorEastAsia"/>
                <w:b w:val="0"/>
                <w:bCs/>
                <w:color w:val="auto"/>
                <w:sz w:val="24"/>
                <w:szCs w:val="24"/>
                <w:vertAlign w:val="baseline"/>
                <w:lang w:eastAsia="zh-CN"/>
              </w:rPr>
              <w:t>台</w:t>
            </w:r>
          </w:p>
        </w:tc>
        <w:tc>
          <w:tcPr>
            <w:tcW w:w="6758" w:type="dxa"/>
            <w:vAlign w:val="center"/>
          </w:tcPr>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技术参数:</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1.工作条件: 工作环境温度： 15-40℃；工作环境湿度： 20- 80%；电源：200-240V，16A，50Hz</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2.技术指标：</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2.1摄像机:</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★2.1.1摄像头图像传感器：单颗芯片非插值物理像素≥1000万。</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2.1.2具备高速采集能力，实时采集速率：在1600x1200 分辨率下，可实现≥37帧/秒的采集速率。</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2.2.超景深专用物镜:</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2.2.1最大分辨率≥1000lp/mm；</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2.2.2最大观察视野≥40.00mm；</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★2.2.3平场复消色差物镜；物镜支持热插拔功能，无需断电，直接更换物镜，自动识别物镜，自动返回到更换物镜之前的工作位置。</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★2.3有效放大倍率及光学变倍比：变倍比≥16:1；放大倍率范围30X-1300X, 连续无级变倍，实时显示每一倍；可在其倍率范围内的以1倍为单位的任意倍率下进行2D、3D观察和测量。</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2.4照明方式及观察方式：</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2.4.1 LED低能耗长寿命光源，寿命最低3万小时；</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★2.4.2可实现环形照明、同轴照明、透射光照明、斜射光照明以及多种光源的不少于19种混合照射。</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2.4.3环形照明支持不少于9个模式照明控制；</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2.4.4辅助照明器：偏光片，匀光片，软件自动编码识别。</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2.5多功能电动编码型载物台：</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★2.5.1载物台可以XYZ方向三轴电动控制器移动，也可以手动直接推移动；±180°旋转，并在电脑屏幕上实时显示角度；内置一体化数字编码透射LED光源，软件控制开关及调整亮度。</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2.5.2水平方向XY移动行程:≥70mm×50mm；步进精度≤1μm；</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2.5.3 Z轴最大移动行程(电动)：≥60mm；步进精度≤0.25 um；</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2.5.4最大样品载重：不低于2.0Kg；</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2.6编码型支架：</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2.6.1编码型支架，可倾斜角度不低于±60°，并实时显示角度，带角度报警传感器；</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2.6.2最新人体工程学结构，可单手操作；</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2.6.3可放置最大样品高度：≥60mm。</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3.主要配置：</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3.1 全自动显微镜主机，配置电动Z轴，电动XY载物台：1台</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3.2 放大倍数不小于1300倍中倍复消色差镜头：1个，可自动识别</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3.3放大倍数不小于300倍高分辨率复消色差镜头：1个，可自动识别</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3.4 偏光适配器：1个，漫反射适配器2个。</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3.5 双分支鹅颈光源，可任意调整照射角度</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3.6 三维软件，控制显微镜电动及镜头部件，含二维三维测量</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★3.7设备专业图像处理系统，一体化设计，Intel Core i9，27英寸视网膜4K显示屏，32GB 内存，8GB独立显卡，1Tb固态硬盘,WINDOWS10操作系统。</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4.备品备件：无</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5.技术资料：操作手册一份</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6.售后服务与国内培训：</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6.1设备安装、调试和验收: 仪器到达最终用户现场并且实验室条件合格后，在接到用户通知后中标人需安排有经验的工程技术人员到用户现场安装、调试仪器，按验收指标逐项测试，直至达到要求。</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6.2技术培训要求：安装验收期间，在用户所在地对用户进行仪器操作和日常维护的现场培训，包括仪器原理、使用方法和维护方法等。在用户使用一段时间后，中标人安排用户到厂家办事处的培训中心进行进一步技术培训及应用交流，每台仪器培训2人/次。</w:t>
            </w:r>
          </w:p>
          <w:p>
            <w:pPr>
              <w:spacing w:line="360" w:lineRule="auto"/>
              <w:jc w:val="left"/>
              <w:outlineLvl w:val="0"/>
              <w:rPr>
                <w:rFonts w:hint="eastAsia" w:asciiTheme="majorEastAsia" w:hAnsiTheme="majorEastAsia" w:eastAsiaTheme="majorEastAsia" w:cstheme="majorEastAsia"/>
                <w:b w:val="0"/>
                <w:bCs/>
                <w:color w:val="auto"/>
                <w:sz w:val="24"/>
                <w:szCs w:val="24"/>
                <w:vertAlign w:val="baseline"/>
              </w:rPr>
            </w:pPr>
            <w:r>
              <w:rPr>
                <w:rFonts w:hint="eastAsia" w:asciiTheme="majorEastAsia" w:hAnsiTheme="majorEastAsia" w:eastAsiaTheme="majorEastAsia" w:cstheme="majorEastAsia"/>
                <w:b w:val="0"/>
                <w:bCs/>
                <w:sz w:val="24"/>
                <w:szCs w:val="24"/>
                <w:vertAlign w:val="baseline"/>
              </w:rPr>
              <w:t>7.验收：用户将严格按照招标文件及合同等进行验收，保证产品质量达到设计要求，安装调试各项指标符合技术协议中的技术参数。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47" w:type="dxa"/>
            <w:vAlign w:val="center"/>
          </w:tcPr>
          <w:p>
            <w:pPr>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2</w:t>
            </w:r>
          </w:p>
        </w:tc>
        <w:tc>
          <w:tcPr>
            <w:tcW w:w="1374"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rPr>
              <w:t>配套移动采集设备</w:t>
            </w:r>
          </w:p>
        </w:tc>
        <w:tc>
          <w:tcPr>
            <w:tcW w:w="632" w:type="dxa"/>
            <w:vAlign w:val="center"/>
          </w:tcPr>
          <w:p>
            <w:pPr>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c>
          <w:tcPr>
            <w:tcW w:w="616" w:type="dxa"/>
            <w:vAlign w:val="center"/>
          </w:tcPr>
          <w:p>
            <w:pPr>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台</w:t>
            </w:r>
          </w:p>
        </w:tc>
        <w:tc>
          <w:tcPr>
            <w:tcW w:w="6758" w:type="dxa"/>
            <w:vAlign w:val="center"/>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1.混合式多重取景器：有效像素≧2400万；焦距≧23mm；显示频不低于3.0尺寸，像素不低于100万；可快速自动对焦；胶片模拟≧15种。</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2.多功能数码相机：配备全画幅CMOS图像感应器，有效像素不低于3000万。拍摄分辨率不低于4096×2160，具备专业规格的影院级4K分辨率。点对点全像素读取可记录高画质4K影像。具备Wi-Fi/NFC功能，可方便地连接多媒体设备。提供的应用程序和Wi-Fi可以通过智能手机进行遥控拍摄；光学变焦24-70mm最大光圈f/2.8。</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lang w:eastAsia="zh-CN"/>
              </w:rPr>
              <w:t>3.增倍镜：防尘仿水滴；可自动对焦；支持多镜头组合；镜头结构≧5组9片；最大直径X长度不低于72.0X52.7mm。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47" w:type="dxa"/>
            <w:vAlign w:val="center"/>
          </w:tcPr>
          <w:p>
            <w:pPr>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3</w:t>
            </w:r>
          </w:p>
        </w:tc>
        <w:tc>
          <w:tcPr>
            <w:tcW w:w="1374" w:type="dxa"/>
            <w:vAlign w:val="center"/>
          </w:tcPr>
          <w:p>
            <w:pPr>
              <w:jc w:val="center"/>
              <w:rPr>
                <w:rFonts w:hint="eastAsia" w:asciiTheme="majorEastAsia" w:hAnsiTheme="majorEastAsia" w:eastAsiaTheme="majorEastAsia" w:cstheme="majorEastAsia"/>
                <w:b w:val="0"/>
                <w:bCs/>
                <w:sz w:val="24"/>
                <w:szCs w:val="24"/>
                <w:vertAlign w:val="baseline"/>
              </w:rPr>
            </w:pPr>
            <w:r>
              <w:rPr>
                <w:rFonts w:hint="eastAsia"/>
                <w:vertAlign w:val="baseline"/>
              </w:rPr>
              <w:t>恒温金属浴</w:t>
            </w:r>
          </w:p>
        </w:tc>
        <w:tc>
          <w:tcPr>
            <w:tcW w:w="632" w:type="dxa"/>
            <w:vAlign w:val="center"/>
          </w:tcPr>
          <w:p>
            <w:pPr>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c>
          <w:tcPr>
            <w:tcW w:w="616" w:type="dxa"/>
            <w:vAlign w:val="center"/>
          </w:tcPr>
          <w:p>
            <w:pPr>
              <w:jc w:val="center"/>
              <w:rPr>
                <w:rFonts w:hint="default"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eastAsia="zh-CN"/>
              </w:rPr>
              <w:t>套</w:t>
            </w:r>
            <w:r>
              <w:rPr>
                <w:rFonts w:hint="eastAsia" w:asciiTheme="majorEastAsia" w:hAnsiTheme="majorEastAsia" w:eastAsiaTheme="majorEastAsia" w:cstheme="majorEastAsia"/>
                <w:b w:val="0"/>
                <w:bCs/>
                <w:sz w:val="24"/>
                <w:szCs w:val="24"/>
                <w:vertAlign w:val="baseline"/>
                <w:lang w:val="en-US" w:eastAsia="zh-CN"/>
              </w:rPr>
              <w:t xml:space="preserve"> </w:t>
            </w:r>
          </w:p>
        </w:tc>
        <w:tc>
          <w:tcPr>
            <w:tcW w:w="6758" w:type="dxa"/>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承载模块规格：</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容积0.2ml/96 well PCR plate</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容积0.5ml　　孔位24　　单位孔径φ8.1mm　　孔深 26mm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容积1.5ml　　孔位24　　单位孔径φ10.9mm　　孔深 31mm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容积2ml　　孔位24　　单位孔径φ10.6mm　　孔深 26mm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容积5ml　　孔位8　　单位孔径φ13.6mm　　孔深 36mm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容积15ml　　孔位8　　单位孔径φ16.5mm　　孔深 95mm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容积50ml　　孔位4　　单位孔径φ28.7mm　　孔深 75mm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容积96Microplate　　孔位 1</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技术参数：</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功能：加热（H110-Pro）；加热&amp;制冷（HC110-Pro）</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温度控制范围[℃]：***：高于室温25℃，110 ℃（H110-Pro）；***：低于室温25℃，：110℃（HC110-Pro）</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温度可设定范围[℃]：15℃/100℃（H110-Pro）；-5℃/100 ℃（HC110-Pro）</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温度控制精度及均一性[20~45℃]：±0.5℃</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加热速率[℃/分]：5.5</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制冷速率：5℃/分（110℃~室温），0.5℃/ 分（至低于室温）（HC110-Pro）</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屏幕规格：LCD</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编程数量：6段</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输入电压：100~120V/220~240V/50Hz/60Hz</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功率：180W</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尺寸[长×宽×高]：200×235× 120mm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工作环境温度[℃]：5~40℃</w:t>
            </w:r>
          </w:p>
          <w:p>
            <w:pPr>
              <w:jc w:val="left"/>
              <w:rPr>
                <w:rFonts w:hint="eastAsia" w:asciiTheme="majorEastAsia" w:hAnsiTheme="majorEastAsia" w:eastAsiaTheme="majorEastAsia" w:cstheme="majorEastAsia"/>
                <w:b w:val="0"/>
                <w:bCs/>
                <w:sz w:val="24"/>
                <w:szCs w:val="24"/>
                <w:vertAlign w:val="baseline"/>
              </w:rPr>
            </w:pPr>
            <w:r>
              <w:rPr>
                <w:rFonts w:hint="eastAsia" w:asciiTheme="majorEastAsia" w:hAnsiTheme="majorEastAsia" w:eastAsiaTheme="majorEastAsia" w:cstheme="majorEastAsia"/>
                <w:b w:val="0"/>
                <w:bCs/>
                <w:sz w:val="24"/>
                <w:szCs w:val="24"/>
                <w:vertAlign w:val="baseline"/>
                <w:lang w:eastAsia="zh-CN"/>
              </w:rPr>
              <w:t>工作环境湿度：80%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47" w:type="dxa"/>
            <w:vAlign w:val="center"/>
          </w:tcPr>
          <w:p>
            <w:pPr>
              <w:jc w:val="left"/>
              <w:rPr>
                <w:rFonts w:hint="default"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4</w:t>
            </w:r>
          </w:p>
        </w:tc>
        <w:tc>
          <w:tcPr>
            <w:tcW w:w="1374" w:type="dxa"/>
            <w:vAlign w:val="center"/>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水平电泳槽</w:t>
            </w:r>
          </w:p>
        </w:tc>
        <w:tc>
          <w:tcPr>
            <w:tcW w:w="632" w:type="dxa"/>
            <w:vAlign w:val="center"/>
          </w:tcPr>
          <w:p>
            <w:pPr>
              <w:jc w:val="left"/>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2</w:t>
            </w:r>
          </w:p>
        </w:tc>
        <w:tc>
          <w:tcPr>
            <w:tcW w:w="616" w:type="dxa"/>
            <w:vAlign w:val="center"/>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套</w:t>
            </w:r>
          </w:p>
        </w:tc>
        <w:tc>
          <w:tcPr>
            <w:tcW w:w="6758" w:type="dxa"/>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主要技术规格：</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1</w:t>
            </w:r>
            <w:r>
              <w:rPr>
                <w:rFonts w:hint="eastAsia" w:asciiTheme="majorEastAsia" w:hAnsiTheme="majorEastAsia" w:eastAsiaTheme="majorEastAsia" w:cstheme="majorEastAsia"/>
                <w:b w:val="0"/>
                <w:bCs/>
                <w:sz w:val="24"/>
                <w:szCs w:val="24"/>
                <w:vertAlign w:val="baseline"/>
                <w:lang w:val="en-US" w:eastAsia="zh-CN"/>
              </w:rPr>
              <w:t>.</w:t>
            </w:r>
            <w:r>
              <w:rPr>
                <w:rFonts w:hint="eastAsia" w:asciiTheme="majorEastAsia" w:hAnsiTheme="majorEastAsia" w:eastAsiaTheme="majorEastAsia" w:cstheme="majorEastAsia"/>
                <w:b w:val="0"/>
                <w:bCs/>
                <w:sz w:val="24"/>
                <w:szCs w:val="24"/>
                <w:vertAlign w:val="baseline"/>
                <w:lang w:eastAsia="zh-CN"/>
              </w:rPr>
              <w:t>胶盘尺寸：7*7cm 7*10cm</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2</w:t>
            </w:r>
            <w:r>
              <w:rPr>
                <w:rFonts w:hint="eastAsia" w:asciiTheme="majorEastAsia" w:hAnsiTheme="majorEastAsia" w:eastAsiaTheme="majorEastAsia" w:cstheme="majorEastAsia"/>
                <w:b w:val="0"/>
                <w:bCs/>
                <w:sz w:val="24"/>
                <w:szCs w:val="24"/>
                <w:vertAlign w:val="baseline"/>
                <w:lang w:val="en-US" w:eastAsia="zh-CN"/>
              </w:rPr>
              <w:t>.</w:t>
            </w:r>
            <w:r>
              <w:rPr>
                <w:rFonts w:hint="eastAsia" w:asciiTheme="majorEastAsia" w:hAnsiTheme="majorEastAsia" w:eastAsiaTheme="majorEastAsia" w:cstheme="majorEastAsia"/>
                <w:b w:val="0"/>
                <w:bCs/>
                <w:sz w:val="24"/>
                <w:szCs w:val="24"/>
                <w:vertAlign w:val="baseline"/>
                <w:lang w:eastAsia="zh-CN"/>
              </w:rPr>
              <w:t>预制胶兼容：小型胶， 8-，12-,2*8孔</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3</w:t>
            </w:r>
            <w:r>
              <w:rPr>
                <w:rFonts w:hint="eastAsia" w:asciiTheme="majorEastAsia" w:hAnsiTheme="majorEastAsia" w:eastAsiaTheme="majorEastAsia" w:cstheme="majorEastAsia"/>
                <w:b w:val="0"/>
                <w:bCs/>
                <w:sz w:val="24"/>
                <w:szCs w:val="24"/>
                <w:vertAlign w:val="baseline"/>
                <w:lang w:val="en-US" w:eastAsia="zh-CN"/>
              </w:rPr>
              <w:t>.</w:t>
            </w:r>
            <w:r>
              <w:rPr>
                <w:rFonts w:hint="eastAsia" w:asciiTheme="majorEastAsia" w:hAnsiTheme="majorEastAsia" w:eastAsiaTheme="majorEastAsia" w:cstheme="majorEastAsia"/>
                <w:b w:val="0"/>
                <w:bCs/>
                <w:sz w:val="24"/>
                <w:szCs w:val="24"/>
                <w:vertAlign w:val="baseline"/>
                <w:lang w:eastAsia="zh-CN"/>
              </w:rPr>
              <w:t>样品通量：8-30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027" w:type="dxa"/>
            <w:gridSpan w:val="5"/>
            <w:vAlign w:val="center"/>
          </w:tcPr>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商务要求：</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1、磋商报价要求：磋商总报价按项目要求的服务内容、随配附件、备品备件、易损件、专用工具等的费用及拆除费、安装费及涉及到的运杂费保险费、运抵指定地点、售后服务、措施费、验收、税金、技术支持、培训等相关服务费用、合理利润和风险等所有费用的总和。</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2、成交供应商在进行重要操作时，必须先将具体实施方案上报采购人，并获采购人批准后，才可进行重要维护操作，如中标人的过错造成设备损坏、数据丢失、信息泄露等负面事件发生，由中标人承担损失，相关损失程度由第三方机构核验后，赔偿采购人相关损失；运维设备正常使用非人为及特殊情况损坏，由中标人进行免费维修、更换。</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★3、成交供应商须严格遵守保密规定，相关人员必须签订保密协议和安全责任书后才能上岗，未经采购人同意，不得将相关资料、文档、数据等向外泄露，因信息泄露造成影响的，由中标人承担全部责任。</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4</w:t>
            </w:r>
            <w:r>
              <w:rPr>
                <w:rFonts w:hint="eastAsia" w:asciiTheme="majorEastAsia" w:hAnsiTheme="majorEastAsia" w:eastAsiaTheme="majorEastAsia" w:cstheme="majorEastAsia"/>
                <w:b w:val="0"/>
                <w:bCs/>
                <w:sz w:val="24"/>
                <w:szCs w:val="24"/>
                <w:vertAlign w:val="baseline"/>
                <w:lang w:eastAsia="zh-CN"/>
              </w:rPr>
              <w:t>、成交供应商须独立完成整个项目，不得以任何形式转包。</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5</w:t>
            </w:r>
            <w:r>
              <w:rPr>
                <w:rFonts w:hint="eastAsia" w:asciiTheme="majorEastAsia" w:hAnsiTheme="majorEastAsia" w:eastAsiaTheme="majorEastAsia" w:cstheme="majorEastAsia"/>
                <w:b w:val="0"/>
                <w:bCs/>
                <w:sz w:val="24"/>
                <w:szCs w:val="24"/>
                <w:vertAlign w:val="baseline"/>
                <w:lang w:eastAsia="zh-CN"/>
              </w:rPr>
              <w:t>、服务期：自合同签订时间起</w:t>
            </w:r>
            <w:r>
              <w:rPr>
                <w:rFonts w:hint="eastAsia" w:asciiTheme="majorEastAsia" w:hAnsiTheme="majorEastAsia" w:eastAsiaTheme="majorEastAsia" w:cstheme="majorEastAsia"/>
                <w:b w:val="0"/>
                <w:bCs/>
                <w:sz w:val="24"/>
                <w:szCs w:val="24"/>
                <w:vertAlign w:val="baseline"/>
                <w:lang w:val="en-US" w:eastAsia="zh-CN"/>
              </w:rPr>
              <w:t>30</w:t>
            </w:r>
            <w:r>
              <w:rPr>
                <w:rFonts w:hint="eastAsia" w:asciiTheme="majorEastAsia" w:hAnsiTheme="majorEastAsia" w:eastAsiaTheme="majorEastAsia" w:cstheme="majorEastAsia"/>
                <w:b w:val="0"/>
                <w:bCs/>
                <w:sz w:val="24"/>
                <w:szCs w:val="24"/>
                <w:vertAlign w:val="baseline"/>
                <w:lang w:eastAsia="zh-CN"/>
              </w:rPr>
              <w:t>日内交货并验收合格。</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6</w:t>
            </w:r>
            <w:r>
              <w:rPr>
                <w:rFonts w:hint="eastAsia" w:asciiTheme="majorEastAsia" w:hAnsiTheme="majorEastAsia" w:eastAsiaTheme="majorEastAsia" w:cstheme="majorEastAsia"/>
                <w:b w:val="0"/>
                <w:bCs/>
                <w:sz w:val="24"/>
                <w:szCs w:val="24"/>
                <w:vertAlign w:val="baseline"/>
                <w:lang w:eastAsia="zh-CN"/>
              </w:rPr>
              <w:t>、服务地点：广西区内采购人指定地点。</w:t>
            </w:r>
          </w:p>
          <w:p>
            <w:pPr>
              <w:jc w:val="left"/>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7</w:t>
            </w:r>
            <w:r>
              <w:rPr>
                <w:rFonts w:hint="eastAsia" w:asciiTheme="majorEastAsia" w:hAnsiTheme="majorEastAsia" w:eastAsiaTheme="majorEastAsia" w:cstheme="majorEastAsia"/>
                <w:b w:val="0"/>
                <w:bCs/>
                <w:sz w:val="24"/>
                <w:szCs w:val="24"/>
                <w:vertAlign w:val="baseline"/>
                <w:lang w:eastAsia="zh-CN"/>
              </w:rPr>
              <w:t>、付款条件：本项目签合同后预付总合同款的</w:t>
            </w:r>
            <w:r>
              <w:rPr>
                <w:rFonts w:hint="eastAsia" w:asciiTheme="majorEastAsia" w:hAnsiTheme="majorEastAsia" w:eastAsiaTheme="majorEastAsia" w:cstheme="majorEastAsia"/>
                <w:b w:val="0"/>
                <w:bCs/>
                <w:sz w:val="24"/>
                <w:szCs w:val="24"/>
                <w:vertAlign w:val="baseline"/>
                <w:lang w:val="en-US" w:eastAsia="zh-CN"/>
              </w:rPr>
              <w:t>30%</w:t>
            </w:r>
            <w:r>
              <w:rPr>
                <w:rFonts w:hint="eastAsia" w:asciiTheme="majorEastAsia" w:hAnsiTheme="majorEastAsia" w:eastAsiaTheme="majorEastAsia" w:cstheme="majorEastAsia"/>
                <w:b w:val="0"/>
                <w:bCs/>
                <w:sz w:val="24"/>
                <w:szCs w:val="24"/>
                <w:vertAlign w:val="baseline"/>
                <w:lang w:eastAsia="zh-CN"/>
              </w:rPr>
              <w:t>，验收合格后一次性支付总合同款的</w:t>
            </w:r>
            <w:r>
              <w:rPr>
                <w:rFonts w:hint="eastAsia" w:asciiTheme="majorEastAsia" w:hAnsiTheme="majorEastAsia" w:eastAsiaTheme="majorEastAsia" w:cstheme="majorEastAsia"/>
                <w:b w:val="0"/>
                <w:bCs/>
                <w:sz w:val="24"/>
                <w:szCs w:val="24"/>
                <w:vertAlign w:val="baseline"/>
                <w:lang w:val="en-US" w:eastAsia="zh-CN"/>
              </w:rPr>
              <w:t>70</w:t>
            </w:r>
            <w:r>
              <w:rPr>
                <w:rFonts w:hint="eastAsia" w:asciiTheme="majorEastAsia" w:hAnsiTheme="majorEastAsia" w:eastAsiaTheme="majorEastAsia" w:cstheme="majorEastAsia"/>
                <w:b w:val="0"/>
                <w:bCs/>
                <w:sz w:val="24"/>
                <w:szCs w:val="24"/>
                <w:vertAlign w:val="baseline"/>
                <w:lang w:eastAsia="zh-CN"/>
              </w:rPr>
              <w:t>%。</w:t>
            </w:r>
          </w:p>
        </w:tc>
      </w:tr>
    </w:tbl>
    <w:p>
      <w:pPr>
        <w:jc w:val="left"/>
        <w:rPr>
          <w:rFonts w:hint="eastAsia" w:asciiTheme="majorEastAsia" w:hAnsiTheme="majorEastAsia" w:eastAsiaTheme="majorEastAsia" w:cstheme="majorEastAsia"/>
          <w:b w:val="0"/>
          <w:bCs/>
          <w:sz w:val="24"/>
          <w:szCs w:val="24"/>
          <w:vertAlign w:val="baseline"/>
        </w:rPr>
      </w:pPr>
    </w:p>
    <w:p>
      <w:pPr>
        <w:spacing w:line="360" w:lineRule="auto"/>
        <w:jc w:val="center"/>
        <w:outlineLvl w:val="0"/>
        <w:rPr>
          <w:rFonts w:hint="eastAsia" w:ascii="宋体" w:hAnsi="宋体" w:eastAsia="宋体"/>
          <w:b/>
          <w:color w:val="auto"/>
          <w:sz w:val="32"/>
          <w:szCs w:val="32"/>
        </w:rPr>
      </w:pPr>
    </w:p>
    <w:p>
      <w:pPr>
        <w:spacing w:line="360" w:lineRule="auto"/>
        <w:rPr>
          <w:rFonts w:ascii="宋体" w:hAnsi="宋体" w:eastAsia="宋体"/>
          <w:b/>
          <w:sz w:val="24"/>
          <w:szCs w:val="24"/>
        </w:rPr>
      </w:pPr>
    </w:p>
    <w:p>
      <w:pPr>
        <w:spacing w:line="440" w:lineRule="exact"/>
        <w:rPr>
          <w:rFonts w:ascii="宋体" w:hAnsi="宋体" w:eastAsia="宋体"/>
          <w:b/>
          <w:sz w:val="21"/>
          <w:szCs w:val="21"/>
        </w:rPr>
      </w:pPr>
    </w:p>
    <w:p>
      <w:pPr>
        <w:widowControl/>
        <w:jc w:val="left"/>
        <w:rPr>
          <w:rFonts w:ascii="宋体" w:hAnsi="宋体" w:eastAsia="宋体"/>
          <w:b/>
          <w:kern w:val="2"/>
          <w:sz w:val="32"/>
          <w:szCs w:val="32"/>
        </w:rPr>
      </w:pPr>
      <w:bookmarkStart w:id="6" w:name="_Toc438739370"/>
      <w:r>
        <w:rPr>
          <w:rFonts w:hAnsi="宋体"/>
          <w:b/>
          <w:sz w:val="32"/>
          <w:szCs w:val="32"/>
        </w:rPr>
        <w:br w:type="page"/>
      </w:r>
    </w:p>
    <w:p>
      <w:pPr>
        <w:pStyle w:val="20"/>
        <w:spacing w:line="360" w:lineRule="auto"/>
        <w:jc w:val="center"/>
        <w:outlineLvl w:val="0"/>
        <w:rPr>
          <w:rFonts w:hAnsi="宋体"/>
          <w:b/>
          <w:sz w:val="32"/>
          <w:szCs w:val="32"/>
        </w:rPr>
      </w:pPr>
      <w:r>
        <w:rPr>
          <w:rFonts w:hint="eastAsia" w:hAnsi="宋体"/>
          <w:b/>
          <w:sz w:val="32"/>
          <w:szCs w:val="32"/>
        </w:rPr>
        <w:t>第四章响应文件格式</w:t>
      </w:r>
      <w:bookmarkEnd w:id="6"/>
    </w:p>
    <w:p>
      <w:pPr>
        <w:pStyle w:val="20"/>
        <w:spacing w:line="360" w:lineRule="auto"/>
        <w:jc w:val="left"/>
        <w:rPr>
          <w:rFonts w:hAnsi="宋体"/>
          <w:b/>
          <w:sz w:val="32"/>
          <w:szCs w:val="32"/>
        </w:rPr>
      </w:pPr>
    </w:p>
    <w:p>
      <w:pPr>
        <w:rPr>
          <w:rFonts w:ascii="Times New Roman" w:hAnsi="Times New Roman" w:eastAsia="宋体"/>
          <w:b/>
          <w:kern w:val="2"/>
          <w:sz w:val="32"/>
          <w:szCs w:val="24"/>
        </w:rPr>
      </w:pPr>
      <w:r>
        <w:rPr>
          <w:rFonts w:hint="eastAsia" w:ascii="Times New Roman" w:hAnsi="Times New Roman" w:eastAsia="宋体"/>
          <w:b/>
          <w:kern w:val="2"/>
          <w:sz w:val="32"/>
          <w:szCs w:val="24"/>
        </w:rPr>
        <w:t>第四章竞争性磋商响应文件格式</w:t>
      </w:r>
    </w:p>
    <w:p>
      <w:pPr>
        <w:spacing w:line="500" w:lineRule="exact"/>
        <w:jc w:val="center"/>
        <w:rPr>
          <w:rFonts w:ascii="仿宋_GB2312" w:hAnsi="宋体" w:eastAsia="仿宋_GB2312"/>
          <w:kern w:val="2"/>
          <w:sz w:val="28"/>
          <w:szCs w:val="28"/>
        </w:rPr>
      </w:pPr>
    </w:p>
    <w:p>
      <w:pPr>
        <w:spacing w:line="500" w:lineRule="exact"/>
        <w:rPr>
          <w:rFonts w:ascii="仿宋_GB2312" w:hAnsi="宋体" w:eastAsia="仿宋_GB2312"/>
          <w:kern w:val="2"/>
          <w:sz w:val="28"/>
          <w:szCs w:val="28"/>
        </w:rPr>
      </w:pPr>
      <w:r>
        <w:rPr>
          <w:rFonts w:hint="eastAsia" w:ascii="仿宋_GB2312" w:hAnsi="宋体" w:eastAsia="仿宋_GB2312"/>
          <w:kern w:val="2"/>
          <w:sz w:val="28"/>
          <w:szCs w:val="28"/>
        </w:rPr>
        <w:t>封面：</w:t>
      </w:r>
    </w:p>
    <w:p>
      <w:pPr>
        <w:spacing w:line="500" w:lineRule="exact"/>
        <w:jc w:val="center"/>
        <w:rPr>
          <w:rFonts w:ascii="仿宋_GB2312" w:hAnsi="宋体" w:eastAsia="仿宋_GB2312"/>
          <w:kern w:val="2"/>
          <w:sz w:val="28"/>
          <w:szCs w:val="28"/>
        </w:rPr>
      </w:pPr>
      <w:r>
        <w:rPr>
          <w:rFonts w:hint="eastAsia" w:ascii="仿宋_GB2312" w:hAnsi="宋体" w:eastAsia="仿宋_GB2312"/>
          <w:kern w:val="2"/>
          <w:sz w:val="28"/>
          <w:szCs w:val="28"/>
        </w:rPr>
        <w:t xml:space="preserve">                                                    正本/副本</w:t>
      </w:r>
    </w:p>
    <w:p>
      <w:pPr>
        <w:spacing w:line="500" w:lineRule="exact"/>
        <w:jc w:val="center"/>
        <w:rPr>
          <w:rFonts w:ascii="仿宋_GB2312" w:hAnsi="宋体" w:eastAsia="仿宋_GB2312"/>
          <w:kern w:val="2"/>
          <w:sz w:val="28"/>
          <w:szCs w:val="28"/>
        </w:rPr>
      </w:pPr>
    </w:p>
    <w:p>
      <w:pPr>
        <w:spacing w:line="500" w:lineRule="exact"/>
        <w:jc w:val="center"/>
        <w:rPr>
          <w:rFonts w:ascii="仿宋_GB2312" w:hAnsi="宋体" w:eastAsia="仿宋_GB2312"/>
          <w:kern w:val="2"/>
          <w:sz w:val="28"/>
          <w:szCs w:val="28"/>
        </w:rPr>
      </w:pPr>
    </w:p>
    <w:p>
      <w:pPr>
        <w:spacing w:line="500" w:lineRule="exact"/>
        <w:jc w:val="center"/>
        <w:rPr>
          <w:rFonts w:ascii="仿宋_GB2312" w:hAnsi="宋体" w:eastAsia="仿宋_GB2312"/>
          <w:kern w:val="2"/>
          <w:sz w:val="28"/>
          <w:szCs w:val="28"/>
        </w:rPr>
      </w:pPr>
    </w:p>
    <w:p>
      <w:pPr>
        <w:jc w:val="center"/>
        <w:rPr>
          <w:rFonts w:ascii="仿宋_GB2312" w:hAnsi="宋体" w:eastAsia="仿宋_GB2312"/>
          <w:b/>
          <w:kern w:val="2"/>
          <w:sz w:val="72"/>
          <w:szCs w:val="72"/>
        </w:rPr>
      </w:pPr>
      <w:r>
        <w:rPr>
          <w:rFonts w:hint="eastAsia" w:ascii="仿宋_GB2312" w:hAnsi="宋体" w:eastAsia="仿宋_GB2312"/>
          <w:b/>
          <w:kern w:val="2"/>
          <w:sz w:val="72"/>
          <w:szCs w:val="72"/>
        </w:rPr>
        <w:t>竞争性磋商响应文件</w:t>
      </w:r>
    </w:p>
    <w:p>
      <w:pPr>
        <w:spacing w:line="500" w:lineRule="exact"/>
        <w:jc w:val="center"/>
        <w:rPr>
          <w:rFonts w:ascii="仿宋_GB2312" w:hAnsi="宋体" w:eastAsia="仿宋_GB2312"/>
          <w:kern w:val="2"/>
          <w:sz w:val="36"/>
          <w:szCs w:val="36"/>
        </w:rPr>
      </w:pPr>
    </w:p>
    <w:p>
      <w:pPr>
        <w:spacing w:line="500" w:lineRule="exact"/>
        <w:jc w:val="center"/>
        <w:rPr>
          <w:rFonts w:ascii="仿宋_GB2312" w:hAnsi="宋体" w:eastAsia="仿宋_GB2312"/>
          <w:kern w:val="2"/>
          <w:sz w:val="28"/>
          <w:szCs w:val="28"/>
        </w:rPr>
      </w:pPr>
    </w:p>
    <w:p>
      <w:pPr>
        <w:spacing w:line="500" w:lineRule="exact"/>
        <w:jc w:val="center"/>
        <w:rPr>
          <w:rFonts w:ascii="仿宋_GB2312" w:hAnsi="宋体" w:eastAsia="仿宋_GB2312"/>
          <w:kern w:val="2"/>
          <w:sz w:val="28"/>
          <w:szCs w:val="28"/>
        </w:rPr>
      </w:pPr>
    </w:p>
    <w:p>
      <w:pPr>
        <w:spacing w:line="500" w:lineRule="exact"/>
        <w:ind w:left="1644" w:leftChars="685"/>
        <w:rPr>
          <w:rFonts w:ascii="仿宋_GB2312" w:hAnsi="宋体" w:eastAsia="仿宋_GB2312"/>
          <w:kern w:val="2"/>
          <w:sz w:val="28"/>
          <w:szCs w:val="28"/>
          <w:u w:val="single"/>
        </w:rPr>
      </w:pPr>
      <w:r>
        <w:rPr>
          <w:rFonts w:hint="eastAsia" w:ascii="仿宋_GB2312" w:hAnsi="宋体" w:eastAsia="仿宋_GB2312"/>
          <w:kern w:val="2"/>
          <w:sz w:val="28"/>
          <w:szCs w:val="28"/>
        </w:rPr>
        <w:t xml:space="preserve">    采购项目编号：</w:t>
      </w:r>
    </w:p>
    <w:p>
      <w:pPr>
        <w:tabs>
          <w:tab w:val="left" w:pos="3240"/>
        </w:tabs>
        <w:spacing w:line="500" w:lineRule="exact"/>
        <w:ind w:left="1644" w:leftChars="685" w:firstLine="560" w:firstLineChars="200"/>
        <w:rPr>
          <w:rFonts w:ascii="仿宋_GB2312" w:hAnsi="宋体" w:eastAsia="仿宋_GB2312"/>
          <w:kern w:val="2"/>
          <w:sz w:val="28"/>
          <w:szCs w:val="28"/>
          <w:u w:val="single"/>
        </w:rPr>
      </w:pPr>
      <w:r>
        <w:rPr>
          <w:rFonts w:hint="eastAsia" w:ascii="仿宋_GB2312" w:hAnsi="宋体" w:eastAsia="仿宋_GB2312"/>
          <w:kern w:val="2"/>
          <w:sz w:val="28"/>
          <w:szCs w:val="28"/>
        </w:rPr>
        <w:t>采购项目名称：</w:t>
      </w:r>
    </w:p>
    <w:p>
      <w:pPr>
        <w:spacing w:line="500" w:lineRule="exact"/>
        <w:ind w:left="1644" w:leftChars="685" w:firstLine="560" w:firstLineChars="200"/>
        <w:rPr>
          <w:rFonts w:ascii="仿宋_GB2312" w:hAnsi="宋体" w:eastAsia="仿宋_GB2312"/>
          <w:kern w:val="2"/>
          <w:sz w:val="28"/>
          <w:szCs w:val="28"/>
          <w:u w:val="single"/>
        </w:rPr>
      </w:pPr>
    </w:p>
    <w:p>
      <w:pPr>
        <w:tabs>
          <w:tab w:val="left" w:pos="2625"/>
        </w:tabs>
        <w:spacing w:line="500" w:lineRule="exact"/>
        <w:jc w:val="center"/>
        <w:rPr>
          <w:rFonts w:ascii="仿宋_GB2312" w:hAnsi="宋体" w:eastAsia="仿宋_GB2312"/>
          <w:kern w:val="2"/>
          <w:sz w:val="28"/>
          <w:szCs w:val="28"/>
        </w:rPr>
      </w:pPr>
    </w:p>
    <w:p>
      <w:pPr>
        <w:tabs>
          <w:tab w:val="left" w:pos="2625"/>
        </w:tabs>
        <w:spacing w:line="500" w:lineRule="exact"/>
        <w:jc w:val="center"/>
        <w:rPr>
          <w:rFonts w:ascii="仿宋_GB2312" w:hAnsi="宋体" w:eastAsia="仿宋_GB2312"/>
          <w:kern w:val="2"/>
          <w:sz w:val="28"/>
          <w:szCs w:val="28"/>
        </w:rPr>
      </w:pPr>
    </w:p>
    <w:p>
      <w:pPr>
        <w:tabs>
          <w:tab w:val="left" w:pos="2625"/>
        </w:tabs>
        <w:spacing w:line="500" w:lineRule="exact"/>
        <w:jc w:val="center"/>
        <w:rPr>
          <w:rFonts w:ascii="仿宋_GB2312" w:hAnsi="宋体" w:eastAsia="仿宋_GB2312"/>
          <w:kern w:val="2"/>
          <w:sz w:val="28"/>
          <w:szCs w:val="28"/>
        </w:rPr>
      </w:pPr>
    </w:p>
    <w:p>
      <w:pPr>
        <w:tabs>
          <w:tab w:val="left" w:pos="2625"/>
        </w:tabs>
        <w:spacing w:line="500" w:lineRule="exact"/>
        <w:jc w:val="center"/>
        <w:rPr>
          <w:rFonts w:ascii="仿宋_GB2312" w:hAnsi="宋体" w:eastAsia="仿宋_GB2312"/>
          <w:kern w:val="2"/>
          <w:sz w:val="28"/>
          <w:szCs w:val="28"/>
        </w:rPr>
      </w:pPr>
    </w:p>
    <w:p>
      <w:pPr>
        <w:spacing w:line="500" w:lineRule="exact"/>
        <w:jc w:val="center"/>
        <w:rPr>
          <w:rFonts w:ascii="仿宋_GB2312" w:hAnsi="宋体" w:eastAsia="仿宋_GB2312"/>
          <w:kern w:val="2"/>
          <w:sz w:val="28"/>
          <w:szCs w:val="28"/>
        </w:rPr>
      </w:pPr>
      <w:r>
        <w:rPr>
          <w:rFonts w:hint="eastAsia" w:ascii="仿宋_GB2312" w:hAnsi="宋体" w:eastAsia="仿宋_GB2312"/>
          <w:kern w:val="2"/>
          <w:sz w:val="28"/>
          <w:szCs w:val="28"/>
        </w:rPr>
        <w:t xml:space="preserve">  （供应商名称）</w:t>
      </w:r>
    </w:p>
    <w:p>
      <w:pPr>
        <w:spacing w:line="500" w:lineRule="exact"/>
        <w:jc w:val="center"/>
        <w:rPr>
          <w:rFonts w:ascii="仿宋_GB2312" w:hAnsi="宋体" w:eastAsia="仿宋_GB2312"/>
          <w:kern w:val="2"/>
          <w:sz w:val="28"/>
          <w:szCs w:val="28"/>
        </w:rPr>
      </w:pPr>
      <w:r>
        <w:rPr>
          <w:rFonts w:hint="eastAsia" w:ascii="仿宋_GB2312" w:hAnsi="宋体" w:eastAsia="仿宋_GB2312"/>
          <w:kern w:val="2"/>
          <w:sz w:val="28"/>
          <w:szCs w:val="28"/>
        </w:rPr>
        <w:t xml:space="preserve">          年月    日</w:t>
      </w:r>
    </w:p>
    <w:p>
      <w:pPr>
        <w:spacing w:line="520" w:lineRule="exact"/>
        <w:rPr>
          <w:rFonts w:ascii="仿宋_GB2312" w:hAnsi="宋体" w:eastAsia="仿宋_GB2312"/>
          <w:kern w:val="2"/>
          <w:sz w:val="28"/>
          <w:szCs w:val="28"/>
        </w:rPr>
      </w:pPr>
      <w:r>
        <w:rPr>
          <w:rFonts w:ascii="仿宋_GB2312" w:hAnsi="宋体" w:eastAsia="仿宋_GB2312"/>
          <w:kern w:val="2"/>
          <w:sz w:val="28"/>
          <w:szCs w:val="28"/>
        </w:rPr>
        <w:br w:type="page"/>
      </w:r>
      <w:r>
        <w:rPr>
          <w:rFonts w:hint="eastAsia" w:ascii="仿宋_GB2312" w:hAnsi="宋体" w:eastAsia="仿宋_GB2312"/>
          <w:kern w:val="2"/>
          <w:sz w:val="28"/>
          <w:szCs w:val="28"/>
        </w:rPr>
        <w:t>附件一：</w:t>
      </w:r>
    </w:p>
    <w:p>
      <w:pPr>
        <w:spacing w:line="520" w:lineRule="exact"/>
        <w:rPr>
          <w:rFonts w:ascii="仿宋_GB2312" w:hAnsi="宋体" w:eastAsia="仿宋_GB2312"/>
          <w:kern w:val="2"/>
          <w:sz w:val="28"/>
          <w:szCs w:val="28"/>
        </w:rPr>
      </w:pPr>
    </w:p>
    <w:p>
      <w:pPr>
        <w:spacing w:line="520" w:lineRule="exact"/>
        <w:jc w:val="center"/>
        <w:rPr>
          <w:rFonts w:ascii="宋体" w:hAnsi="宋体" w:eastAsia="宋体"/>
          <w:b/>
          <w:kern w:val="2"/>
          <w:sz w:val="36"/>
          <w:szCs w:val="36"/>
        </w:rPr>
      </w:pPr>
      <w:r>
        <w:rPr>
          <w:rFonts w:hint="eastAsia" w:ascii="宋体" w:hAnsi="宋体" w:eastAsia="宋体"/>
          <w:b/>
          <w:kern w:val="2"/>
          <w:sz w:val="36"/>
          <w:szCs w:val="36"/>
        </w:rPr>
        <w:t>磋  商  书</w:t>
      </w:r>
    </w:p>
    <w:p>
      <w:pPr>
        <w:spacing w:line="400" w:lineRule="exact"/>
        <w:jc w:val="center"/>
        <w:rPr>
          <w:rFonts w:ascii="宋体" w:hAnsi="宋体" w:eastAsia="宋体"/>
          <w:b/>
          <w:kern w:val="2"/>
          <w:sz w:val="21"/>
          <w:szCs w:val="21"/>
        </w:rPr>
      </w:pPr>
    </w:p>
    <w:p>
      <w:pPr>
        <w:spacing w:line="440" w:lineRule="exact"/>
        <w:rPr>
          <w:rFonts w:ascii="宋体" w:hAnsi="宋体" w:eastAsia="宋体"/>
          <w:kern w:val="2"/>
          <w:sz w:val="21"/>
          <w:szCs w:val="21"/>
        </w:rPr>
      </w:pPr>
      <w:r>
        <w:rPr>
          <w:rFonts w:hint="eastAsia" w:ascii="宋体" w:hAnsi="宋体" w:eastAsia="宋体"/>
          <w:kern w:val="2"/>
          <w:sz w:val="21"/>
          <w:szCs w:val="21"/>
        </w:rPr>
        <w:t>广西建设工程机电设备招标中心有限公司：</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依据贵方项目政府采购的磋商邀请，我方</w:t>
      </w:r>
      <w:r>
        <w:rPr>
          <w:rFonts w:hint="eastAsia" w:ascii="宋体" w:hAnsi="宋体" w:eastAsia="宋体"/>
          <w:kern w:val="2"/>
          <w:sz w:val="21"/>
          <w:szCs w:val="21"/>
          <w:u w:val="single"/>
        </w:rPr>
        <w:t>（姓名和职务）</w:t>
      </w:r>
      <w:r>
        <w:rPr>
          <w:rFonts w:hint="eastAsia" w:ascii="宋体" w:hAnsi="宋体" w:eastAsia="宋体"/>
          <w:kern w:val="2"/>
          <w:sz w:val="21"/>
          <w:szCs w:val="21"/>
        </w:rPr>
        <w:t>经正式授权并代表供应商</w:t>
      </w:r>
      <w:r>
        <w:rPr>
          <w:rFonts w:hint="eastAsia" w:ascii="宋体" w:hAnsi="宋体" w:eastAsia="宋体"/>
          <w:kern w:val="2"/>
          <w:sz w:val="21"/>
          <w:szCs w:val="21"/>
          <w:u w:val="single"/>
        </w:rPr>
        <w:t xml:space="preserve">       （供应商名称、地址）         </w:t>
      </w:r>
      <w:r>
        <w:rPr>
          <w:rFonts w:hint="eastAsia" w:ascii="宋体" w:hAnsi="宋体" w:eastAsia="宋体"/>
          <w:kern w:val="2"/>
          <w:sz w:val="21"/>
          <w:szCs w:val="21"/>
        </w:rPr>
        <w:t>提交下述竞争性磋商响应文件（价格文件、商务技术文件）正本一份和副本份：</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1. 报价表；</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2. 技术规格响应、偏离情况说明表；</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3. 按竞争性磋商文件磋商须知和技术规格要求提供的有关文件；</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4. 资格证明文件；</w:t>
      </w:r>
    </w:p>
    <w:p>
      <w:pPr>
        <w:spacing w:line="440" w:lineRule="exact"/>
        <w:rPr>
          <w:rFonts w:ascii="宋体" w:hAnsi="宋体" w:eastAsia="宋体"/>
          <w:kern w:val="2"/>
          <w:sz w:val="21"/>
          <w:szCs w:val="21"/>
        </w:rPr>
      </w:pPr>
      <w:r>
        <w:rPr>
          <w:rFonts w:hint="eastAsia" w:ascii="宋体" w:hAnsi="宋体" w:eastAsia="宋体"/>
          <w:kern w:val="2"/>
          <w:sz w:val="21"/>
          <w:szCs w:val="21"/>
        </w:rPr>
        <w:t>在此，授权代表宣布同意如下：</w:t>
      </w:r>
    </w:p>
    <w:p>
      <w:pPr>
        <w:spacing w:line="440" w:lineRule="exact"/>
        <w:ind w:firstLine="480"/>
        <w:rPr>
          <w:rFonts w:ascii="宋体" w:hAnsi="宋体" w:eastAsia="宋体"/>
          <w:kern w:val="2"/>
          <w:sz w:val="21"/>
          <w:szCs w:val="21"/>
        </w:rPr>
      </w:pPr>
      <w:r>
        <w:rPr>
          <w:rFonts w:hint="eastAsia" w:ascii="宋体" w:hAnsi="宋体" w:eastAsia="宋体"/>
          <w:kern w:val="2"/>
          <w:sz w:val="21"/>
          <w:szCs w:val="21"/>
        </w:rPr>
        <w:t>1. 将按竞争性磋商文件的约定履行合同责任和义务；</w:t>
      </w:r>
    </w:p>
    <w:p>
      <w:pPr>
        <w:spacing w:line="440" w:lineRule="exact"/>
        <w:ind w:left="862" w:leftChars="228" w:hanging="315" w:hangingChars="150"/>
        <w:rPr>
          <w:rFonts w:ascii="宋体" w:hAnsi="宋体" w:eastAsia="宋体"/>
          <w:kern w:val="2"/>
          <w:sz w:val="21"/>
          <w:szCs w:val="21"/>
        </w:rPr>
      </w:pPr>
      <w:r>
        <w:rPr>
          <w:rFonts w:hint="eastAsia" w:ascii="宋体" w:hAnsi="宋体" w:eastAsia="宋体"/>
          <w:kern w:val="2"/>
          <w:sz w:val="21"/>
          <w:szCs w:val="21"/>
        </w:rPr>
        <w:t>2. 已详细审查全部竞争性磋商文件，包括</w:t>
      </w:r>
      <w:r>
        <w:rPr>
          <w:rFonts w:hint="eastAsia" w:ascii="宋体" w:hAnsi="宋体" w:eastAsia="宋体"/>
          <w:kern w:val="2"/>
          <w:sz w:val="21"/>
          <w:szCs w:val="21"/>
          <w:u w:val="single"/>
        </w:rPr>
        <w:t>（补遗书）（如有）</w:t>
      </w:r>
      <w:r>
        <w:rPr>
          <w:rFonts w:hint="eastAsia" w:ascii="宋体" w:hAnsi="宋体" w:eastAsia="宋体"/>
          <w:kern w:val="2"/>
          <w:sz w:val="21"/>
          <w:szCs w:val="21"/>
        </w:rPr>
        <w:t>；我们完全理解并同意放弃对这方面有不明及误解的权力；</w:t>
      </w:r>
    </w:p>
    <w:p>
      <w:pPr>
        <w:spacing w:line="440" w:lineRule="exact"/>
        <w:ind w:left="840" w:hanging="360"/>
        <w:rPr>
          <w:rFonts w:ascii="宋体" w:hAnsi="宋体" w:eastAsia="宋体"/>
          <w:kern w:val="2"/>
          <w:sz w:val="21"/>
          <w:szCs w:val="21"/>
        </w:rPr>
      </w:pPr>
      <w:r>
        <w:rPr>
          <w:rFonts w:hint="eastAsia" w:ascii="宋体" w:hAnsi="宋体" w:eastAsia="宋体"/>
          <w:kern w:val="2"/>
          <w:sz w:val="21"/>
          <w:szCs w:val="21"/>
        </w:rPr>
        <w:t>3. 同意提供按照贵方可能要求的与其磋商有关的一切数据或资料；</w:t>
      </w:r>
    </w:p>
    <w:p>
      <w:pPr>
        <w:spacing w:line="440" w:lineRule="exact"/>
        <w:ind w:firstLine="480"/>
        <w:rPr>
          <w:rFonts w:ascii="宋体" w:hAnsi="宋体" w:eastAsia="宋体"/>
          <w:kern w:val="2"/>
          <w:sz w:val="21"/>
          <w:szCs w:val="21"/>
          <w:u w:val="single"/>
        </w:rPr>
      </w:pPr>
      <w:r>
        <w:rPr>
          <w:rFonts w:hint="eastAsia" w:ascii="宋体" w:hAnsi="宋体" w:eastAsia="宋体"/>
          <w:kern w:val="2"/>
          <w:sz w:val="21"/>
          <w:szCs w:val="21"/>
        </w:rPr>
        <w:t>4. 与本磋商有关的一切正式往来信函请寄：</w:t>
      </w:r>
    </w:p>
    <w:p>
      <w:pPr>
        <w:spacing w:line="440" w:lineRule="exact"/>
        <w:ind w:firstLine="840"/>
        <w:rPr>
          <w:rFonts w:ascii="宋体" w:hAnsi="宋体" w:eastAsia="宋体"/>
          <w:kern w:val="2"/>
          <w:sz w:val="21"/>
          <w:szCs w:val="21"/>
        </w:rPr>
      </w:pPr>
      <w:r>
        <w:rPr>
          <w:rFonts w:hint="eastAsia" w:ascii="宋体" w:hAnsi="宋体" w:eastAsia="宋体"/>
          <w:kern w:val="2"/>
          <w:sz w:val="21"/>
          <w:szCs w:val="21"/>
        </w:rPr>
        <w:t>电话/传真： 电子函件：</w:t>
      </w:r>
    </w:p>
    <w:p>
      <w:pPr>
        <w:spacing w:line="440" w:lineRule="exact"/>
        <w:ind w:firstLine="840"/>
        <w:rPr>
          <w:rFonts w:ascii="宋体" w:hAnsi="宋体" w:eastAsia="宋体"/>
          <w:kern w:val="2"/>
          <w:sz w:val="21"/>
          <w:szCs w:val="21"/>
          <w:u w:val="single"/>
        </w:rPr>
      </w:pPr>
      <w:r>
        <w:rPr>
          <w:rFonts w:hint="eastAsia" w:ascii="宋体" w:hAnsi="宋体" w:eastAsia="宋体"/>
          <w:kern w:val="2"/>
          <w:sz w:val="21"/>
          <w:szCs w:val="21"/>
        </w:rPr>
        <w:t>日期：年月日</w:t>
      </w:r>
    </w:p>
    <w:p>
      <w:pPr>
        <w:spacing w:line="440" w:lineRule="exact"/>
        <w:ind w:firstLine="840"/>
        <w:rPr>
          <w:rFonts w:ascii="宋体" w:hAnsi="宋体" w:eastAsia="宋体"/>
          <w:kern w:val="2"/>
          <w:sz w:val="21"/>
          <w:szCs w:val="21"/>
          <w:u w:val="single"/>
        </w:rPr>
      </w:pPr>
      <w:r>
        <w:rPr>
          <w:rFonts w:hint="eastAsia" w:ascii="宋体" w:hAnsi="宋体" w:eastAsia="宋体"/>
          <w:kern w:val="2"/>
          <w:sz w:val="21"/>
          <w:szCs w:val="21"/>
        </w:rPr>
        <w:t>法定代表人或委托代理人签字：</w:t>
      </w:r>
    </w:p>
    <w:p>
      <w:pPr>
        <w:spacing w:line="440" w:lineRule="exact"/>
        <w:ind w:firstLine="840"/>
        <w:rPr>
          <w:rFonts w:ascii="宋体" w:hAnsi="宋体" w:eastAsia="宋体"/>
          <w:kern w:val="2"/>
          <w:sz w:val="21"/>
          <w:szCs w:val="21"/>
        </w:rPr>
      </w:pPr>
      <w:r>
        <w:rPr>
          <w:rFonts w:hint="eastAsia" w:ascii="宋体" w:hAnsi="宋体" w:eastAsia="宋体"/>
          <w:kern w:val="2"/>
          <w:sz w:val="21"/>
          <w:szCs w:val="21"/>
        </w:rPr>
        <w:t>供应商名称（签章）：</w:t>
      </w:r>
    </w:p>
    <w:p>
      <w:pPr>
        <w:spacing w:line="440" w:lineRule="exact"/>
        <w:ind w:firstLine="840"/>
        <w:rPr>
          <w:rFonts w:ascii="宋体" w:hAnsi="宋体" w:eastAsia="宋体"/>
          <w:kern w:val="2"/>
          <w:sz w:val="21"/>
          <w:szCs w:val="21"/>
        </w:rPr>
      </w:pPr>
      <w:r>
        <w:rPr>
          <w:rFonts w:hint="eastAsia" w:ascii="宋体" w:hAnsi="宋体" w:eastAsia="宋体"/>
          <w:kern w:val="2"/>
          <w:sz w:val="21"/>
          <w:szCs w:val="21"/>
        </w:rPr>
        <w:t>开户银行：</w:t>
      </w:r>
    </w:p>
    <w:p>
      <w:pPr>
        <w:spacing w:line="440" w:lineRule="exact"/>
        <w:ind w:firstLine="840"/>
        <w:rPr>
          <w:rFonts w:ascii="宋体" w:hAnsi="宋体" w:eastAsia="宋体"/>
          <w:kern w:val="2"/>
          <w:sz w:val="21"/>
          <w:szCs w:val="21"/>
        </w:rPr>
      </w:pPr>
      <w:r>
        <w:rPr>
          <w:rFonts w:hint="eastAsia" w:ascii="宋体" w:hAnsi="宋体" w:eastAsia="宋体"/>
          <w:kern w:val="2"/>
          <w:sz w:val="21"/>
          <w:szCs w:val="21"/>
        </w:rPr>
        <w:t>帐号/行号：</w:t>
      </w:r>
    </w:p>
    <w:p>
      <w:pPr>
        <w:spacing w:line="440" w:lineRule="exact"/>
        <w:rPr>
          <w:rFonts w:ascii="宋体" w:hAnsi="宋体" w:eastAsia="宋体"/>
          <w:kern w:val="2"/>
          <w:sz w:val="21"/>
          <w:szCs w:val="21"/>
        </w:rPr>
      </w:pPr>
    </w:p>
    <w:p>
      <w:pPr>
        <w:spacing w:line="440" w:lineRule="exact"/>
        <w:rPr>
          <w:rFonts w:ascii="宋体" w:hAnsi="宋体" w:eastAsia="宋体"/>
          <w:kern w:val="2"/>
          <w:sz w:val="21"/>
          <w:szCs w:val="21"/>
        </w:rPr>
      </w:pPr>
    </w:p>
    <w:p>
      <w:pPr>
        <w:spacing w:line="300" w:lineRule="auto"/>
        <w:rPr>
          <w:rFonts w:ascii="仿宋_GB2312" w:hAnsi="宋体" w:eastAsia="仿宋_GB2312"/>
          <w:kern w:val="2"/>
          <w:sz w:val="21"/>
          <w:szCs w:val="21"/>
        </w:rPr>
      </w:pPr>
    </w:p>
    <w:p>
      <w:pPr>
        <w:spacing w:line="500" w:lineRule="exact"/>
        <w:rPr>
          <w:rFonts w:ascii="仿宋_GB2312" w:hAnsi="宋体" w:eastAsia="仿宋_GB2312"/>
          <w:kern w:val="2"/>
          <w:sz w:val="28"/>
          <w:szCs w:val="28"/>
        </w:rPr>
      </w:pPr>
      <w:r>
        <w:rPr>
          <w:rFonts w:ascii="仿宋_GB2312" w:hAnsi="宋体" w:eastAsia="仿宋_GB2312"/>
          <w:kern w:val="2"/>
          <w:sz w:val="28"/>
          <w:szCs w:val="28"/>
        </w:rPr>
        <w:br w:type="page"/>
      </w:r>
      <w:r>
        <w:rPr>
          <w:rFonts w:hint="eastAsia" w:ascii="仿宋_GB2312" w:hAnsi="宋体" w:eastAsia="仿宋_GB2312"/>
          <w:kern w:val="2"/>
          <w:sz w:val="28"/>
          <w:szCs w:val="28"/>
        </w:rPr>
        <w:t xml:space="preserve">附件二             </w:t>
      </w:r>
    </w:p>
    <w:p>
      <w:pPr>
        <w:spacing w:line="520" w:lineRule="exact"/>
        <w:jc w:val="center"/>
        <w:rPr>
          <w:rFonts w:ascii="宋体" w:hAnsi="宋体" w:eastAsia="宋体"/>
          <w:b/>
          <w:kern w:val="2"/>
          <w:sz w:val="36"/>
          <w:szCs w:val="36"/>
        </w:rPr>
      </w:pPr>
      <w:r>
        <w:rPr>
          <w:rFonts w:hint="eastAsia" w:ascii="宋体" w:hAnsi="宋体" w:eastAsia="宋体"/>
          <w:b/>
          <w:kern w:val="2"/>
          <w:sz w:val="36"/>
          <w:szCs w:val="36"/>
        </w:rPr>
        <w:t>磋商报价表</w:t>
      </w:r>
    </w:p>
    <w:p>
      <w:pPr>
        <w:spacing w:line="500" w:lineRule="exact"/>
        <w:jc w:val="center"/>
        <w:rPr>
          <w:rFonts w:ascii="仿宋_GB2312" w:hAnsi="宋体" w:eastAsia="仿宋_GB2312"/>
          <w:b/>
          <w:kern w:val="2"/>
          <w:sz w:val="32"/>
          <w:szCs w:val="32"/>
        </w:rPr>
      </w:pPr>
    </w:p>
    <w:p>
      <w:pPr>
        <w:spacing w:line="420" w:lineRule="exact"/>
        <w:rPr>
          <w:rFonts w:ascii="宋体" w:hAnsi="宋体" w:eastAsia="宋体"/>
          <w:kern w:val="2"/>
          <w:sz w:val="21"/>
          <w:szCs w:val="21"/>
          <w:u w:val="single"/>
        </w:rPr>
      </w:pPr>
      <w:r>
        <w:rPr>
          <w:rFonts w:hint="eastAsia" w:ascii="宋体" w:hAnsi="宋体" w:eastAsia="宋体"/>
          <w:kern w:val="2"/>
          <w:sz w:val="21"/>
          <w:szCs w:val="21"/>
        </w:rPr>
        <w:t xml:space="preserve">采购项目编号：                  </w:t>
      </w:r>
    </w:p>
    <w:p>
      <w:pPr>
        <w:spacing w:line="420" w:lineRule="exact"/>
        <w:rPr>
          <w:rFonts w:ascii="宋体" w:hAnsi="宋体" w:eastAsia="宋体"/>
          <w:kern w:val="2"/>
          <w:sz w:val="21"/>
          <w:szCs w:val="21"/>
          <w:u w:val="single"/>
        </w:rPr>
      </w:pPr>
      <w:r>
        <w:rPr>
          <w:rFonts w:hint="eastAsia" w:ascii="宋体" w:hAnsi="宋体" w:eastAsia="宋体"/>
          <w:kern w:val="2"/>
          <w:sz w:val="21"/>
          <w:szCs w:val="21"/>
        </w:rPr>
        <w:t>采购项目名称：</w:t>
      </w:r>
    </w:p>
    <w:tbl>
      <w:tblPr>
        <w:tblStyle w:val="37"/>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670"/>
        <w:gridCol w:w="3750"/>
        <w:gridCol w:w="900"/>
        <w:gridCol w:w="144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atLeast"/>
          <w:jc w:val="center"/>
        </w:trPr>
        <w:tc>
          <w:tcPr>
            <w:tcW w:w="445"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项号</w:t>
            </w:r>
          </w:p>
        </w:tc>
        <w:tc>
          <w:tcPr>
            <w:tcW w:w="1608"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服务项名称</w:t>
            </w:r>
          </w:p>
        </w:tc>
        <w:tc>
          <w:tcPr>
            <w:tcW w:w="670"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数量</w:t>
            </w:r>
          </w:p>
          <w:p>
            <w:pPr>
              <w:jc w:val="center"/>
              <w:rPr>
                <w:rFonts w:ascii="宋体" w:hAnsi="宋体" w:eastAsia="宋体"/>
                <w:b/>
                <w:kern w:val="2"/>
                <w:sz w:val="21"/>
                <w:szCs w:val="21"/>
              </w:rPr>
            </w:pPr>
            <w:r>
              <w:rPr>
                <w:rFonts w:hint="eastAsia" w:ascii="宋体" w:hAnsi="宋体" w:eastAsia="宋体"/>
                <w:b/>
                <w:kern w:val="2"/>
                <w:sz w:val="21"/>
                <w:szCs w:val="21"/>
              </w:rPr>
              <w:t>①</w:t>
            </w:r>
          </w:p>
        </w:tc>
        <w:tc>
          <w:tcPr>
            <w:tcW w:w="3750" w:type="dxa"/>
            <w:vAlign w:val="center"/>
          </w:tcPr>
          <w:p>
            <w:pPr>
              <w:jc w:val="center"/>
              <w:rPr>
                <w:rFonts w:ascii="宋体" w:hAnsi="宋体" w:eastAsia="宋体"/>
                <w:b/>
                <w:kern w:val="2"/>
                <w:sz w:val="21"/>
                <w:szCs w:val="21"/>
              </w:rPr>
            </w:pPr>
            <w:r>
              <w:rPr>
                <w:rFonts w:hint="eastAsia" w:ascii="宋体" w:hAnsi="宋体" w:eastAsia="宋体"/>
                <w:b/>
                <w:kern w:val="2"/>
                <w:sz w:val="21"/>
              </w:rPr>
              <w:t>服务内容及要求</w:t>
            </w:r>
          </w:p>
        </w:tc>
        <w:tc>
          <w:tcPr>
            <w:tcW w:w="900"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单价</w:t>
            </w:r>
          </w:p>
          <w:p>
            <w:pPr>
              <w:jc w:val="center"/>
              <w:rPr>
                <w:rFonts w:ascii="宋体" w:hAnsi="宋体" w:eastAsia="宋体"/>
                <w:b/>
                <w:kern w:val="2"/>
                <w:sz w:val="21"/>
                <w:szCs w:val="21"/>
              </w:rPr>
            </w:pPr>
            <w:r>
              <w:rPr>
                <w:rFonts w:hint="eastAsia" w:ascii="宋体" w:hAnsi="宋体" w:eastAsia="宋体"/>
                <w:b/>
                <w:kern w:val="2"/>
                <w:sz w:val="21"/>
                <w:szCs w:val="21"/>
              </w:rPr>
              <w:t>（元）</w:t>
            </w:r>
          </w:p>
          <w:p>
            <w:pPr>
              <w:jc w:val="center"/>
              <w:rPr>
                <w:rFonts w:ascii="宋体" w:hAnsi="宋体" w:eastAsia="宋体"/>
                <w:b/>
                <w:kern w:val="2"/>
                <w:sz w:val="21"/>
                <w:szCs w:val="21"/>
              </w:rPr>
            </w:pPr>
            <w:r>
              <w:rPr>
                <w:rFonts w:hint="eastAsia" w:ascii="宋体" w:hAnsi="宋体" w:eastAsia="宋体"/>
                <w:b/>
                <w:kern w:val="2"/>
                <w:sz w:val="21"/>
                <w:szCs w:val="21"/>
              </w:rPr>
              <w:t>②</w:t>
            </w:r>
          </w:p>
        </w:tc>
        <w:tc>
          <w:tcPr>
            <w:tcW w:w="1440"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单项合价</w:t>
            </w:r>
          </w:p>
          <w:p>
            <w:pPr>
              <w:jc w:val="center"/>
              <w:rPr>
                <w:rFonts w:ascii="宋体" w:hAnsi="宋体" w:eastAsia="宋体"/>
                <w:b/>
                <w:kern w:val="2"/>
                <w:sz w:val="21"/>
                <w:szCs w:val="21"/>
              </w:rPr>
            </w:pPr>
            <w:r>
              <w:rPr>
                <w:rFonts w:hint="eastAsia" w:ascii="宋体" w:hAnsi="宋体" w:eastAsia="宋体"/>
                <w:b/>
                <w:kern w:val="2"/>
                <w:sz w:val="21"/>
                <w:szCs w:val="21"/>
              </w:rPr>
              <w:t>（元）</w:t>
            </w:r>
          </w:p>
          <w:p>
            <w:pPr>
              <w:jc w:val="center"/>
              <w:rPr>
                <w:rFonts w:ascii="宋体" w:hAnsi="宋体" w:eastAsia="宋体"/>
                <w:b/>
                <w:kern w:val="2"/>
                <w:sz w:val="21"/>
                <w:szCs w:val="21"/>
              </w:rPr>
            </w:pPr>
            <w:r>
              <w:rPr>
                <w:rFonts w:hint="eastAsia" w:ascii="宋体" w:hAnsi="宋体" w:eastAsia="宋体"/>
                <w:b/>
                <w:kern w:val="2"/>
                <w:sz w:val="21"/>
                <w:szCs w:val="21"/>
              </w:rPr>
              <w:t>③</w:t>
            </w:r>
            <w:r>
              <w:rPr>
                <w:rFonts w:ascii="宋体" w:hAnsi="宋体" w:eastAsia="宋体"/>
                <w:b/>
                <w:kern w:val="2"/>
                <w:sz w:val="21"/>
                <w:szCs w:val="21"/>
              </w:rPr>
              <w:t>=</w:t>
            </w:r>
            <w:r>
              <w:rPr>
                <w:rFonts w:hint="eastAsia" w:ascii="宋体" w:hAnsi="宋体" w:eastAsia="宋体"/>
                <w:b/>
                <w:kern w:val="2"/>
                <w:sz w:val="21"/>
                <w:szCs w:val="21"/>
              </w:rPr>
              <w:t>①×②</w:t>
            </w:r>
          </w:p>
        </w:tc>
        <w:tc>
          <w:tcPr>
            <w:tcW w:w="925" w:type="dxa"/>
            <w:vAlign w:val="center"/>
          </w:tcPr>
          <w:p>
            <w:pPr>
              <w:jc w:val="center"/>
              <w:rPr>
                <w:rFonts w:ascii="宋体" w:hAnsi="宋体" w:eastAsia="宋体"/>
                <w:b/>
                <w:kern w:val="2"/>
                <w:sz w:val="21"/>
                <w:szCs w:val="21"/>
              </w:rPr>
            </w:pPr>
            <w:r>
              <w:rPr>
                <w:rFonts w:hint="eastAsia" w:ascii="宋体" w:hAnsi="宋体" w:eastAsia="宋体"/>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eastAsia="宋体"/>
                <w:kern w:val="2"/>
                <w:sz w:val="21"/>
                <w:szCs w:val="21"/>
              </w:rPr>
            </w:pPr>
            <w:r>
              <w:rPr>
                <w:rFonts w:hint="eastAsia" w:ascii="宋体" w:hAnsi="宋体" w:eastAsia="宋体"/>
                <w:kern w:val="2"/>
                <w:sz w:val="21"/>
                <w:szCs w:val="21"/>
              </w:rPr>
              <w:t>1</w:t>
            </w:r>
          </w:p>
        </w:tc>
        <w:tc>
          <w:tcPr>
            <w:tcW w:w="1608" w:type="dxa"/>
            <w:vAlign w:val="center"/>
          </w:tcPr>
          <w:p>
            <w:pPr>
              <w:jc w:val="center"/>
              <w:rPr>
                <w:rFonts w:ascii="宋体" w:hAnsi="宋体" w:eastAsia="宋体"/>
                <w:kern w:val="2"/>
                <w:sz w:val="21"/>
                <w:szCs w:val="21"/>
              </w:rPr>
            </w:pPr>
          </w:p>
        </w:tc>
        <w:tc>
          <w:tcPr>
            <w:tcW w:w="670" w:type="dxa"/>
            <w:vAlign w:val="center"/>
          </w:tcPr>
          <w:p>
            <w:pPr>
              <w:jc w:val="center"/>
              <w:rPr>
                <w:rFonts w:ascii="宋体" w:hAnsi="宋体" w:eastAsia="宋体"/>
                <w:kern w:val="2"/>
                <w:sz w:val="21"/>
                <w:szCs w:val="21"/>
              </w:rPr>
            </w:pPr>
          </w:p>
        </w:tc>
        <w:tc>
          <w:tcPr>
            <w:tcW w:w="3750" w:type="dxa"/>
            <w:vAlign w:val="center"/>
          </w:tcPr>
          <w:p>
            <w:pPr>
              <w:rPr>
                <w:rFonts w:ascii="宋体" w:hAnsi="宋体" w:eastAsia="宋体"/>
                <w:kern w:val="2"/>
                <w:sz w:val="21"/>
                <w:szCs w:val="21"/>
              </w:rPr>
            </w:pPr>
          </w:p>
        </w:tc>
        <w:tc>
          <w:tcPr>
            <w:tcW w:w="900" w:type="dxa"/>
            <w:vAlign w:val="center"/>
          </w:tcPr>
          <w:p>
            <w:pPr>
              <w:rPr>
                <w:rFonts w:ascii="宋体" w:hAnsi="宋体" w:eastAsia="宋体"/>
                <w:kern w:val="2"/>
                <w:sz w:val="21"/>
                <w:szCs w:val="21"/>
              </w:rPr>
            </w:pPr>
          </w:p>
        </w:tc>
        <w:tc>
          <w:tcPr>
            <w:tcW w:w="1440" w:type="dxa"/>
            <w:vAlign w:val="center"/>
          </w:tcPr>
          <w:p>
            <w:pPr>
              <w:rPr>
                <w:rFonts w:ascii="宋体" w:hAnsi="宋体" w:eastAsia="宋体"/>
                <w:kern w:val="2"/>
                <w:sz w:val="21"/>
                <w:szCs w:val="21"/>
              </w:rPr>
            </w:pPr>
          </w:p>
        </w:tc>
        <w:tc>
          <w:tcPr>
            <w:tcW w:w="925" w:type="dxa"/>
            <w:vAlign w:val="center"/>
          </w:tcPr>
          <w:p>
            <w:pP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eastAsia="宋体"/>
                <w:kern w:val="2"/>
                <w:sz w:val="21"/>
                <w:szCs w:val="21"/>
              </w:rPr>
            </w:pPr>
            <w:r>
              <w:rPr>
                <w:rFonts w:hint="eastAsia" w:ascii="宋体" w:hAnsi="宋体" w:eastAsia="宋体"/>
                <w:kern w:val="2"/>
                <w:sz w:val="21"/>
                <w:szCs w:val="21"/>
              </w:rPr>
              <w:t>2</w:t>
            </w:r>
          </w:p>
        </w:tc>
        <w:tc>
          <w:tcPr>
            <w:tcW w:w="1608" w:type="dxa"/>
            <w:vAlign w:val="center"/>
          </w:tcPr>
          <w:p>
            <w:pPr>
              <w:jc w:val="center"/>
              <w:rPr>
                <w:rFonts w:ascii="宋体" w:hAnsi="宋体" w:eastAsia="宋体"/>
                <w:kern w:val="2"/>
                <w:sz w:val="21"/>
                <w:szCs w:val="21"/>
              </w:rPr>
            </w:pPr>
          </w:p>
        </w:tc>
        <w:tc>
          <w:tcPr>
            <w:tcW w:w="670" w:type="dxa"/>
            <w:vAlign w:val="center"/>
          </w:tcPr>
          <w:p>
            <w:pPr>
              <w:jc w:val="center"/>
              <w:rPr>
                <w:rFonts w:ascii="宋体" w:hAnsi="宋体" w:eastAsia="宋体"/>
                <w:kern w:val="2"/>
                <w:sz w:val="21"/>
                <w:szCs w:val="21"/>
              </w:rPr>
            </w:pPr>
          </w:p>
        </w:tc>
        <w:tc>
          <w:tcPr>
            <w:tcW w:w="3750" w:type="dxa"/>
            <w:vAlign w:val="center"/>
          </w:tcPr>
          <w:p>
            <w:pPr>
              <w:rPr>
                <w:rFonts w:ascii="宋体" w:hAnsi="宋体" w:eastAsia="宋体"/>
                <w:kern w:val="2"/>
                <w:sz w:val="21"/>
                <w:szCs w:val="21"/>
              </w:rPr>
            </w:pPr>
          </w:p>
        </w:tc>
        <w:tc>
          <w:tcPr>
            <w:tcW w:w="900" w:type="dxa"/>
            <w:vAlign w:val="center"/>
          </w:tcPr>
          <w:p>
            <w:pPr>
              <w:rPr>
                <w:rFonts w:ascii="宋体" w:hAnsi="宋体" w:eastAsia="宋体"/>
                <w:kern w:val="2"/>
                <w:sz w:val="21"/>
                <w:szCs w:val="21"/>
              </w:rPr>
            </w:pPr>
          </w:p>
        </w:tc>
        <w:tc>
          <w:tcPr>
            <w:tcW w:w="1440" w:type="dxa"/>
            <w:vAlign w:val="center"/>
          </w:tcPr>
          <w:p>
            <w:pPr>
              <w:rPr>
                <w:rFonts w:ascii="宋体" w:hAnsi="宋体" w:eastAsia="宋体"/>
                <w:kern w:val="2"/>
                <w:sz w:val="21"/>
                <w:szCs w:val="21"/>
              </w:rPr>
            </w:pPr>
          </w:p>
        </w:tc>
        <w:tc>
          <w:tcPr>
            <w:tcW w:w="925" w:type="dxa"/>
            <w:vAlign w:val="center"/>
          </w:tcPr>
          <w:p>
            <w:pP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eastAsia="宋体"/>
                <w:kern w:val="2"/>
                <w:sz w:val="21"/>
                <w:szCs w:val="21"/>
              </w:rPr>
            </w:pPr>
            <w:r>
              <w:rPr>
                <w:rFonts w:hint="eastAsia" w:ascii="宋体" w:hAnsi="宋体" w:eastAsia="宋体"/>
                <w:kern w:val="2"/>
                <w:sz w:val="21"/>
                <w:szCs w:val="21"/>
              </w:rPr>
              <w:t>3</w:t>
            </w:r>
          </w:p>
        </w:tc>
        <w:tc>
          <w:tcPr>
            <w:tcW w:w="1608" w:type="dxa"/>
            <w:vAlign w:val="center"/>
          </w:tcPr>
          <w:p>
            <w:pPr>
              <w:jc w:val="center"/>
              <w:rPr>
                <w:rFonts w:ascii="宋体" w:hAnsi="宋体" w:eastAsia="宋体"/>
                <w:kern w:val="2"/>
                <w:sz w:val="21"/>
                <w:szCs w:val="21"/>
              </w:rPr>
            </w:pPr>
          </w:p>
        </w:tc>
        <w:tc>
          <w:tcPr>
            <w:tcW w:w="670" w:type="dxa"/>
            <w:vAlign w:val="center"/>
          </w:tcPr>
          <w:p>
            <w:pPr>
              <w:jc w:val="center"/>
              <w:rPr>
                <w:rFonts w:ascii="宋体" w:hAnsi="宋体" w:eastAsia="宋体"/>
                <w:kern w:val="2"/>
                <w:sz w:val="21"/>
                <w:szCs w:val="21"/>
              </w:rPr>
            </w:pPr>
          </w:p>
        </w:tc>
        <w:tc>
          <w:tcPr>
            <w:tcW w:w="3750" w:type="dxa"/>
            <w:vAlign w:val="center"/>
          </w:tcPr>
          <w:p>
            <w:pPr>
              <w:rPr>
                <w:rFonts w:ascii="宋体" w:hAnsi="宋体" w:eastAsia="宋体"/>
                <w:kern w:val="2"/>
                <w:sz w:val="21"/>
                <w:szCs w:val="21"/>
              </w:rPr>
            </w:pPr>
          </w:p>
        </w:tc>
        <w:tc>
          <w:tcPr>
            <w:tcW w:w="900" w:type="dxa"/>
            <w:vAlign w:val="center"/>
          </w:tcPr>
          <w:p>
            <w:pPr>
              <w:rPr>
                <w:rFonts w:ascii="宋体" w:hAnsi="宋体" w:eastAsia="宋体"/>
                <w:kern w:val="2"/>
                <w:sz w:val="21"/>
                <w:szCs w:val="21"/>
              </w:rPr>
            </w:pPr>
          </w:p>
        </w:tc>
        <w:tc>
          <w:tcPr>
            <w:tcW w:w="1440" w:type="dxa"/>
            <w:vAlign w:val="center"/>
          </w:tcPr>
          <w:p>
            <w:pPr>
              <w:rPr>
                <w:rFonts w:ascii="宋体" w:hAnsi="宋体" w:eastAsia="宋体"/>
                <w:kern w:val="2"/>
                <w:sz w:val="21"/>
                <w:szCs w:val="21"/>
              </w:rPr>
            </w:pPr>
          </w:p>
        </w:tc>
        <w:tc>
          <w:tcPr>
            <w:tcW w:w="925" w:type="dxa"/>
            <w:vAlign w:val="center"/>
          </w:tcPr>
          <w:p>
            <w:pP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eastAsia="宋体"/>
                <w:kern w:val="2"/>
                <w:sz w:val="21"/>
                <w:szCs w:val="21"/>
              </w:rPr>
            </w:pPr>
            <w:r>
              <w:rPr>
                <w:rFonts w:hint="eastAsia" w:ascii="宋体" w:hAnsi="宋体" w:eastAsia="宋体"/>
                <w:kern w:val="2"/>
                <w:sz w:val="21"/>
                <w:szCs w:val="21"/>
              </w:rPr>
              <w:t>…</w:t>
            </w:r>
          </w:p>
        </w:tc>
        <w:tc>
          <w:tcPr>
            <w:tcW w:w="1608" w:type="dxa"/>
            <w:vAlign w:val="center"/>
          </w:tcPr>
          <w:p>
            <w:pPr>
              <w:jc w:val="center"/>
              <w:rPr>
                <w:rFonts w:ascii="宋体" w:hAnsi="宋体" w:eastAsia="宋体"/>
                <w:kern w:val="2"/>
                <w:sz w:val="21"/>
                <w:szCs w:val="21"/>
              </w:rPr>
            </w:pPr>
          </w:p>
        </w:tc>
        <w:tc>
          <w:tcPr>
            <w:tcW w:w="670" w:type="dxa"/>
            <w:vAlign w:val="center"/>
          </w:tcPr>
          <w:p>
            <w:pPr>
              <w:jc w:val="center"/>
              <w:rPr>
                <w:rFonts w:ascii="宋体" w:hAnsi="宋体" w:eastAsia="宋体"/>
                <w:kern w:val="2"/>
                <w:sz w:val="21"/>
                <w:szCs w:val="21"/>
              </w:rPr>
            </w:pPr>
          </w:p>
        </w:tc>
        <w:tc>
          <w:tcPr>
            <w:tcW w:w="3750" w:type="dxa"/>
            <w:vAlign w:val="center"/>
          </w:tcPr>
          <w:p>
            <w:pPr>
              <w:rPr>
                <w:rFonts w:ascii="宋体" w:hAnsi="宋体" w:eastAsia="宋体"/>
                <w:kern w:val="2"/>
                <w:sz w:val="21"/>
                <w:szCs w:val="21"/>
              </w:rPr>
            </w:pPr>
          </w:p>
        </w:tc>
        <w:tc>
          <w:tcPr>
            <w:tcW w:w="900" w:type="dxa"/>
            <w:vAlign w:val="center"/>
          </w:tcPr>
          <w:p>
            <w:pPr>
              <w:rPr>
                <w:rFonts w:ascii="宋体" w:hAnsi="宋体" w:eastAsia="宋体"/>
                <w:kern w:val="2"/>
                <w:sz w:val="21"/>
                <w:szCs w:val="21"/>
              </w:rPr>
            </w:pPr>
          </w:p>
        </w:tc>
        <w:tc>
          <w:tcPr>
            <w:tcW w:w="1440" w:type="dxa"/>
            <w:vAlign w:val="center"/>
          </w:tcPr>
          <w:p>
            <w:pPr>
              <w:rPr>
                <w:rFonts w:ascii="宋体" w:hAnsi="宋体" w:eastAsia="宋体"/>
                <w:kern w:val="2"/>
                <w:sz w:val="21"/>
                <w:szCs w:val="21"/>
              </w:rPr>
            </w:pPr>
          </w:p>
        </w:tc>
        <w:tc>
          <w:tcPr>
            <w:tcW w:w="925" w:type="dxa"/>
            <w:vAlign w:val="center"/>
          </w:tcPr>
          <w:p>
            <w:pP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445" w:type="dxa"/>
            <w:vAlign w:val="center"/>
          </w:tcPr>
          <w:p>
            <w:pPr>
              <w:jc w:val="center"/>
              <w:rPr>
                <w:rFonts w:ascii="宋体" w:hAnsi="宋体" w:eastAsia="宋体"/>
                <w:kern w:val="2"/>
                <w:sz w:val="21"/>
                <w:szCs w:val="21"/>
              </w:rPr>
            </w:pPr>
            <w:r>
              <w:rPr>
                <w:rFonts w:ascii="宋体" w:hAnsi="宋体" w:eastAsia="宋体"/>
                <w:kern w:val="2"/>
                <w:sz w:val="21"/>
                <w:szCs w:val="21"/>
              </w:rPr>
              <w:t>N</w:t>
            </w:r>
          </w:p>
        </w:tc>
        <w:tc>
          <w:tcPr>
            <w:tcW w:w="1608" w:type="dxa"/>
            <w:vAlign w:val="center"/>
          </w:tcPr>
          <w:p>
            <w:pPr>
              <w:jc w:val="center"/>
              <w:rPr>
                <w:rFonts w:ascii="宋体" w:hAnsi="宋体" w:eastAsia="宋体"/>
                <w:kern w:val="2"/>
                <w:sz w:val="21"/>
                <w:szCs w:val="21"/>
              </w:rPr>
            </w:pPr>
          </w:p>
        </w:tc>
        <w:tc>
          <w:tcPr>
            <w:tcW w:w="670" w:type="dxa"/>
            <w:vAlign w:val="center"/>
          </w:tcPr>
          <w:p>
            <w:pPr>
              <w:jc w:val="center"/>
              <w:rPr>
                <w:rFonts w:ascii="宋体" w:hAnsi="宋体" w:eastAsia="宋体"/>
                <w:kern w:val="2"/>
                <w:sz w:val="21"/>
                <w:szCs w:val="21"/>
              </w:rPr>
            </w:pPr>
          </w:p>
        </w:tc>
        <w:tc>
          <w:tcPr>
            <w:tcW w:w="3750" w:type="dxa"/>
            <w:vAlign w:val="center"/>
          </w:tcPr>
          <w:p>
            <w:pPr>
              <w:rPr>
                <w:rFonts w:ascii="宋体" w:hAnsi="宋体" w:eastAsia="宋体"/>
                <w:kern w:val="2"/>
                <w:sz w:val="21"/>
                <w:szCs w:val="21"/>
              </w:rPr>
            </w:pPr>
          </w:p>
        </w:tc>
        <w:tc>
          <w:tcPr>
            <w:tcW w:w="900" w:type="dxa"/>
            <w:vAlign w:val="center"/>
          </w:tcPr>
          <w:p>
            <w:pPr>
              <w:rPr>
                <w:rFonts w:ascii="宋体" w:hAnsi="宋体" w:eastAsia="宋体"/>
                <w:kern w:val="2"/>
                <w:sz w:val="21"/>
                <w:szCs w:val="21"/>
              </w:rPr>
            </w:pPr>
          </w:p>
        </w:tc>
        <w:tc>
          <w:tcPr>
            <w:tcW w:w="1440" w:type="dxa"/>
            <w:vAlign w:val="center"/>
          </w:tcPr>
          <w:p>
            <w:pPr>
              <w:rPr>
                <w:rFonts w:ascii="宋体" w:hAnsi="宋体" w:eastAsia="宋体"/>
                <w:kern w:val="2"/>
                <w:sz w:val="21"/>
                <w:szCs w:val="21"/>
              </w:rPr>
            </w:pPr>
          </w:p>
        </w:tc>
        <w:tc>
          <w:tcPr>
            <w:tcW w:w="925" w:type="dxa"/>
            <w:vAlign w:val="center"/>
          </w:tcPr>
          <w:p>
            <w:pP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9738" w:type="dxa"/>
            <w:gridSpan w:val="7"/>
            <w:vAlign w:val="center"/>
          </w:tcPr>
          <w:p>
            <w:pPr>
              <w:rPr>
                <w:rFonts w:ascii="宋体" w:hAnsi="宋体" w:eastAsia="宋体"/>
                <w:kern w:val="2"/>
                <w:sz w:val="21"/>
                <w:szCs w:val="21"/>
              </w:rPr>
            </w:pPr>
            <w:r>
              <w:rPr>
                <w:rFonts w:hint="eastAsia" w:ascii="宋体" w:hAnsi="宋体" w:eastAsia="宋体"/>
                <w:kern w:val="2"/>
                <w:sz w:val="21"/>
                <w:szCs w:val="21"/>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9738" w:type="dxa"/>
            <w:gridSpan w:val="7"/>
            <w:vAlign w:val="center"/>
          </w:tcPr>
          <w:p>
            <w:pPr>
              <w:rPr>
                <w:rFonts w:ascii="宋体" w:hAnsi="宋体" w:eastAsia="宋体"/>
                <w:kern w:val="2"/>
                <w:sz w:val="21"/>
                <w:szCs w:val="21"/>
              </w:rPr>
            </w:pPr>
            <w:r>
              <w:rPr>
                <w:rFonts w:hint="eastAsia" w:ascii="宋体" w:hAnsi="宋体" w:eastAsia="宋体"/>
                <w:kern w:val="2"/>
                <w:sz w:val="21"/>
                <w:szCs w:val="21"/>
              </w:rPr>
              <w:t>服务期限：</w:t>
            </w:r>
          </w:p>
        </w:tc>
      </w:tr>
    </w:tbl>
    <w:p>
      <w:pPr>
        <w:spacing w:line="500" w:lineRule="exact"/>
        <w:rPr>
          <w:rFonts w:ascii="宋体" w:hAnsi="宋体" w:eastAsia="宋体"/>
          <w:kern w:val="2"/>
          <w:sz w:val="21"/>
          <w:szCs w:val="21"/>
        </w:rPr>
      </w:pPr>
      <w:r>
        <w:rPr>
          <w:rFonts w:hint="eastAsia" w:ascii="宋体" w:hAnsi="宋体" w:eastAsia="宋体"/>
          <w:kern w:val="2"/>
          <w:sz w:val="21"/>
          <w:szCs w:val="21"/>
        </w:rPr>
        <w:t>注：所有价格均用人民币表示，单位为元。</w:t>
      </w:r>
    </w:p>
    <w:p>
      <w:pPr>
        <w:spacing w:line="500" w:lineRule="exact"/>
        <w:rPr>
          <w:rFonts w:ascii="宋体" w:hAnsi="宋体" w:eastAsia="宋体"/>
          <w:kern w:val="2"/>
          <w:sz w:val="21"/>
          <w:szCs w:val="21"/>
        </w:rPr>
      </w:pPr>
    </w:p>
    <w:p>
      <w:pPr>
        <w:spacing w:line="500" w:lineRule="exact"/>
        <w:rPr>
          <w:rFonts w:ascii="宋体" w:hAnsi="宋体" w:eastAsia="宋体"/>
          <w:kern w:val="2"/>
          <w:sz w:val="21"/>
          <w:szCs w:val="21"/>
          <w:u w:val="single"/>
        </w:rPr>
      </w:pPr>
      <w:r>
        <w:rPr>
          <w:rFonts w:hint="eastAsia" w:ascii="宋体" w:hAnsi="宋体" w:eastAsia="宋体"/>
          <w:kern w:val="2"/>
          <w:sz w:val="21"/>
          <w:szCs w:val="21"/>
        </w:rPr>
        <w:t>法定代表人或委托代理人（签字）：</w:t>
      </w:r>
    </w:p>
    <w:p>
      <w:pPr>
        <w:spacing w:line="500" w:lineRule="exact"/>
        <w:rPr>
          <w:rFonts w:ascii="宋体" w:hAnsi="宋体" w:eastAsia="宋体"/>
          <w:kern w:val="2"/>
          <w:sz w:val="21"/>
          <w:szCs w:val="21"/>
          <w:u w:val="single"/>
        </w:rPr>
      </w:pPr>
      <w:r>
        <w:rPr>
          <w:rFonts w:hint="eastAsia" w:ascii="宋体" w:hAnsi="宋体" w:eastAsia="宋体"/>
          <w:kern w:val="2"/>
          <w:sz w:val="21"/>
          <w:szCs w:val="21"/>
        </w:rPr>
        <w:t>供应商名称（签章）：</w:t>
      </w:r>
    </w:p>
    <w:p>
      <w:pPr>
        <w:spacing w:line="500" w:lineRule="exact"/>
        <w:rPr>
          <w:rFonts w:ascii="宋体" w:hAnsi="宋体" w:eastAsia="宋体"/>
          <w:kern w:val="2"/>
          <w:sz w:val="21"/>
          <w:szCs w:val="21"/>
          <w:u w:val="single"/>
        </w:rPr>
      </w:pPr>
      <w:r>
        <w:rPr>
          <w:rFonts w:hint="eastAsia" w:ascii="宋体" w:hAnsi="宋体" w:eastAsia="宋体"/>
          <w:kern w:val="2"/>
          <w:sz w:val="21"/>
          <w:szCs w:val="21"/>
        </w:rPr>
        <w:t xml:space="preserve">报价时间：年月日 </w:t>
      </w:r>
    </w:p>
    <w:p>
      <w:pPr>
        <w:adjustRightInd w:val="0"/>
        <w:snapToGrid w:val="0"/>
        <w:spacing w:line="500" w:lineRule="exact"/>
        <w:ind w:left="-101" w:leftChars="-42"/>
        <w:rPr>
          <w:rFonts w:ascii="仿宋_GB2312" w:hAnsi="宋体" w:eastAsia="仿宋_GB2312"/>
          <w:kern w:val="2"/>
          <w:sz w:val="21"/>
          <w:szCs w:val="21"/>
        </w:rPr>
      </w:pPr>
    </w:p>
    <w:p>
      <w:pPr>
        <w:spacing w:line="300" w:lineRule="auto"/>
        <w:rPr>
          <w:rFonts w:ascii="仿宋_GB2312" w:hAnsi="宋体" w:eastAsia="仿宋_GB2312"/>
          <w:b/>
          <w:kern w:val="2"/>
          <w:sz w:val="32"/>
          <w:szCs w:val="32"/>
        </w:rPr>
      </w:pPr>
      <w:r>
        <w:rPr>
          <w:rFonts w:ascii="仿宋_GB2312" w:hAnsi="宋体" w:eastAsia="仿宋_GB2312"/>
          <w:kern w:val="2"/>
          <w:sz w:val="28"/>
          <w:szCs w:val="28"/>
        </w:rPr>
        <w:br w:type="page"/>
      </w:r>
      <w:r>
        <w:rPr>
          <w:rFonts w:hint="eastAsia" w:ascii="仿宋_GB2312" w:hAnsi="宋体" w:eastAsia="仿宋_GB2312"/>
          <w:kern w:val="2"/>
          <w:sz w:val="28"/>
          <w:szCs w:val="28"/>
        </w:rPr>
        <w:t>附件三：</w:t>
      </w:r>
    </w:p>
    <w:p>
      <w:pPr>
        <w:spacing w:line="520" w:lineRule="exact"/>
        <w:jc w:val="center"/>
        <w:rPr>
          <w:rFonts w:ascii="宋体" w:hAnsi="宋体" w:eastAsia="宋体"/>
          <w:b/>
          <w:kern w:val="2"/>
          <w:sz w:val="36"/>
          <w:szCs w:val="36"/>
        </w:rPr>
      </w:pPr>
      <w:r>
        <w:rPr>
          <w:rFonts w:hint="eastAsia" w:ascii="宋体" w:hAnsi="宋体" w:eastAsia="宋体"/>
          <w:b/>
          <w:kern w:val="2"/>
          <w:sz w:val="36"/>
          <w:szCs w:val="36"/>
        </w:rPr>
        <w:t>技术响应、偏离情况说明表</w:t>
      </w:r>
    </w:p>
    <w:p>
      <w:pPr>
        <w:spacing w:line="420" w:lineRule="exact"/>
        <w:rPr>
          <w:rFonts w:ascii="宋体" w:hAnsi="宋体" w:eastAsia="宋体"/>
          <w:kern w:val="2"/>
          <w:sz w:val="21"/>
          <w:szCs w:val="21"/>
        </w:rPr>
      </w:pPr>
    </w:p>
    <w:p>
      <w:pPr>
        <w:spacing w:line="420" w:lineRule="exact"/>
        <w:rPr>
          <w:rFonts w:ascii="宋体" w:hAnsi="宋体" w:eastAsia="宋体"/>
          <w:kern w:val="2"/>
          <w:sz w:val="21"/>
          <w:szCs w:val="21"/>
          <w:u w:val="single"/>
        </w:rPr>
      </w:pPr>
      <w:r>
        <w:rPr>
          <w:rFonts w:hint="eastAsia" w:ascii="宋体" w:hAnsi="宋体" w:eastAsia="宋体"/>
          <w:kern w:val="2"/>
          <w:sz w:val="21"/>
          <w:szCs w:val="21"/>
        </w:rPr>
        <w:t>采购项目编号：</w:t>
      </w:r>
    </w:p>
    <w:p>
      <w:pPr>
        <w:spacing w:line="420" w:lineRule="exact"/>
        <w:rPr>
          <w:rFonts w:ascii="宋体" w:hAnsi="宋体" w:eastAsia="宋体"/>
          <w:kern w:val="2"/>
          <w:sz w:val="21"/>
          <w:szCs w:val="21"/>
          <w:u w:val="single"/>
        </w:rPr>
      </w:pPr>
      <w:r>
        <w:rPr>
          <w:rFonts w:hint="eastAsia" w:ascii="宋体" w:hAnsi="宋体" w:eastAsia="宋体"/>
          <w:kern w:val="2"/>
          <w:sz w:val="21"/>
          <w:szCs w:val="21"/>
        </w:rPr>
        <w:t>采购项目名称：</w:t>
      </w:r>
    </w:p>
    <w:tbl>
      <w:tblPr>
        <w:tblStyle w:val="37"/>
        <w:tblW w:w="960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0"/>
        <w:gridCol w:w="2837"/>
        <w:gridCol w:w="3160"/>
        <w:gridCol w:w="1571"/>
        <w:gridCol w:w="13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bookmarkStart w:id="7" w:name="_Toc254970588"/>
            <w:bookmarkStart w:id="8" w:name="_Toc254970729"/>
            <w:bookmarkStart w:id="9" w:name="_Toc173066401"/>
            <w:bookmarkStart w:id="10" w:name="_Toc173211900"/>
            <w:r>
              <w:rPr>
                <w:rFonts w:hint="eastAsia" w:ascii="宋体" w:hAnsi="宋体" w:eastAsia="宋体"/>
                <w:kern w:val="2"/>
                <w:sz w:val="21"/>
                <w:szCs w:val="21"/>
              </w:rPr>
              <w:t>序号</w:t>
            </w:r>
            <w:bookmarkEnd w:id="7"/>
            <w:bookmarkEnd w:id="8"/>
            <w:bookmarkEnd w:id="9"/>
            <w:bookmarkEnd w:id="10"/>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bookmarkStart w:id="11" w:name="_Toc173066402"/>
            <w:bookmarkStart w:id="12" w:name="_Toc254970730"/>
            <w:bookmarkStart w:id="13" w:name="_Toc173211901"/>
            <w:bookmarkStart w:id="14" w:name="_Toc254970589"/>
            <w:r>
              <w:rPr>
                <w:rFonts w:hint="eastAsia" w:ascii="宋体" w:hAnsi="宋体" w:eastAsia="宋体"/>
                <w:kern w:val="2"/>
                <w:sz w:val="21"/>
                <w:szCs w:val="21"/>
              </w:rPr>
              <w:t>竞争性磋商文件要求</w:t>
            </w:r>
            <w:bookmarkEnd w:id="11"/>
            <w:bookmarkEnd w:id="12"/>
            <w:bookmarkEnd w:id="13"/>
            <w:bookmarkEnd w:id="14"/>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bookmarkStart w:id="15" w:name="_Toc254970590"/>
            <w:bookmarkStart w:id="16" w:name="_Toc254970731"/>
            <w:bookmarkStart w:id="17" w:name="_Toc173211902"/>
            <w:bookmarkStart w:id="18" w:name="_Toc173066403"/>
            <w:r>
              <w:rPr>
                <w:rFonts w:hint="eastAsia" w:ascii="宋体" w:hAnsi="宋体" w:eastAsia="宋体"/>
                <w:kern w:val="2"/>
                <w:sz w:val="21"/>
                <w:szCs w:val="21"/>
              </w:rPr>
              <w:t>磋商响应文件具体响应</w:t>
            </w:r>
            <w:bookmarkEnd w:id="15"/>
            <w:bookmarkEnd w:id="16"/>
            <w:bookmarkEnd w:id="17"/>
            <w:bookmarkEnd w:id="18"/>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bookmarkStart w:id="19" w:name="_Toc254970732"/>
            <w:bookmarkStart w:id="20" w:name="_Toc173211903"/>
            <w:bookmarkStart w:id="21" w:name="_Toc173066404"/>
            <w:bookmarkStart w:id="22" w:name="_Toc254970591"/>
            <w:r>
              <w:rPr>
                <w:rFonts w:hint="eastAsia" w:ascii="宋体" w:hAnsi="宋体" w:eastAsia="宋体"/>
                <w:kern w:val="2"/>
                <w:sz w:val="21"/>
                <w:szCs w:val="21"/>
              </w:rPr>
              <w:t>响应/偏离</w:t>
            </w:r>
            <w:bookmarkEnd w:id="19"/>
            <w:bookmarkEnd w:id="20"/>
            <w:bookmarkEnd w:id="21"/>
            <w:bookmarkEnd w:id="22"/>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bookmarkStart w:id="23" w:name="_Toc254970733"/>
            <w:bookmarkStart w:id="24" w:name="_Toc254970592"/>
            <w:bookmarkStart w:id="25" w:name="_Toc173066405"/>
            <w:bookmarkStart w:id="26" w:name="_Toc173211904"/>
            <w:r>
              <w:rPr>
                <w:rFonts w:hint="eastAsia" w:ascii="宋体" w:hAnsi="宋体" w:eastAsia="宋体"/>
                <w:kern w:val="2"/>
                <w:sz w:val="21"/>
                <w:szCs w:val="21"/>
              </w:rPr>
              <w:t>说明</w:t>
            </w:r>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bookmarkStart w:id="27" w:name="_Toc254970734"/>
            <w:bookmarkStart w:id="28" w:name="_Toc254970593"/>
            <w:bookmarkStart w:id="29" w:name="_Toc173066406"/>
            <w:bookmarkStart w:id="30" w:name="_Toc173211905"/>
            <w:r>
              <w:rPr>
                <w:rFonts w:hint="eastAsia" w:ascii="宋体" w:hAnsi="宋体" w:eastAsia="宋体"/>
                <w:kern w:val="2"/>
                <w:sz w:val="21"/>
                <w:szCs w:val="21"/>
              </w:rPr>
              <w:t>1</w:t>
            </w:r>
            <w:bookmarkEnd w:id="27"/>
            <w:bookmarkEnd w:id="28"/>
            <w:bookmarkEnd w:id="29"/>
            <w:bookmarkEnd w:id="30"/>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bookmarkStart w:id="31" w:name="_Toc173211906"/>
            <w:bookmarkStart w:id="32" w:name="_Toc173066407"/>
            <w:bookmarkStart w:id="33" w:name="_Toc254970594"/>
            <w:bookmarkStart w:id="34" w:name="_Toc254970735"/>
            <w:r>
              <w:rPr>
                <w:rFonts w:hint="eastAsia" w:ascii="宋体" w:hAnsi="宋体" w:eastAsia="宋体"/>
                <w:kern w:val="2"/>
                <w:sz w:val="21"/>
                <w:szCs w:val="21"/>
              </w:rPr>
              <w:t>2</w:t>
            </w:r>
            <w:bookmarkEnd w:id="31"/>
            <w:bookmarkEnd w:id="32"/>
            <w:bookmarkEnd w:id="33"/>
            <w:bookmarkEnd w:id="34"/>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bookmarkStart w:id="35" w:name="_Toc173066408"/>
            <w:bookmarkStart w:id="36" w:name="_Toc173211907"/>
            <w:bookmarkStart w:id="37" w:name="_Toc254970595"/>
            <w:bookmarkStart w:id="38" w:name="_Toc254970736"/>
            <w:r>
              <w:rPr>
                <w:rFonts w:hint="eastAsia" w:ascii="宋体" w:hAnsi="宋体" w:eastAsia="宋体"/>
                <w:kern w:val="2"/>
                <w:sz w:val="21"/>
                <w:szCs w:val="21"/>
              </w:rPr>
              <w:t>3</w:t>
            </w:r>
            <w:bookmarkEnd w:id="35"/>
            <w:bookmarkEnd w:id="36"/>
            <w:bookmarkEnd w:id="37"/>
            <w:bookmarkEnd w:id="38"/>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r>
              <w:rPr>
                <w:rFonts w:hint="eastAsia" w:ascii="宋体" w:hAnsi="宋体" w:eastAsia="宋体"/>
                <w:kern w:val="2"/>
                <w:sz w:val="21"/>
                <w:szCs w:val="21"/>
              </w:rPr>
              <w:t>4</w:t>
            </w:r>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r>
              <w:rPr>
                <w:rFonts w:hint="eastAsia" w:ascii="宋体" w:hAnsi="宋体" w:eastAsia="宋体"/>
                <w:kern w:val="2"/>
                <w:sz w:val="21"/>
                <w:szCs w:val="21"/>
              </w:rPr>
              <w:t>5</w:t>
            </w:r>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vAlign w:val="center"/>
          </w:tcPr>
          <w:p>
            <w:pPr>
              <w:adjustRightInd w:val="0"/>
              <w:snapToGrid w:val="0"/>
              <w:spacing w:line="400" w:lineRule="exact"/>
              <w:jc w:val="center"/>
              <w:outlineLvl w:val="0"/>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ascii="宋体" w:hAnsi="宋体" w:eastAsia="宋体"/>
                <w:kern w:val="2"/>
                <w:sz w:val="21"/>
                <w:szCs w:val="21"/>
              </w:rPr>
            </w:pPr>
            <w:bookmarkStart w:id="39" w:name="_Toc173066415"/>
            <w:bookmarkStart w:id="40" w:name="_Toc173211914"/>
            <w:bookmarkStart w:id="41" w:name="_Toc254970602"/>
            <w:bookmarkStart w:id="42" w:name="_Toc254970743"/>
            <w:r>
              <w:rPr>
                <w:rFonts w:hint="eastAsia" w:ascii="宋体" w:hAnsi="宋体" w:eastAsia="宋体"/>
                <w:kern w:val="2"/>
                <w:sz w:val="21"/>
                <w:szCs w:val="21"/>
              </w:rPr>
              <w:t>…</w:t>
            </w:r>
            <w:bookmarkEnd w:id="39"/>
            <w:bookmarkEnd w:id="40"/>
            <w:bookmarkEnd w:id="41"/>
            <w:bookmarkEnd w:id="42"/>
          </w:p>
        </w:tc>
        <w:tc>
          <w:tcPr>
            <w:tcW w:w="2837" w:type="dxa"/>
            <w:vAlign w:val="center"/>
          </w:tcPr>
          <w:p>
            <w:pPr>
              <w:adjustRightInd w:val="0"/>
              <w:snapToGrid w:val="0"/>
              <w:spacing w:line="400" w:lineRule="exact"/>
              <w:jc w:val="center"/>
              <w:outlineLvl w:val="0"/>
              <w:rPr>
                <w:rFonts w:ascii="宋体" w:hAnsi="宋体" w:eastAsia="宋体"/>
                <w:kern w:val="2"/>
                <w:sz w:val="21"/>
                <w:szCs w:val="21"/>
              </w:rPr>
            </w:pPr>
          </w:p>
        </w:tc>
        <w:tc>
          <w:tcPr>
            <w:tcW w:w="3160" w:type="dxa"/>
            <w:vAlign w:val="center"/>
          </w:tcPr>
          <w:p>
            <w:pPr>
              <w:adjustRightInd w:val="0"/>
              <w:snapToGrid w:val="0"/>
              <w:spacing w:line="400" w:lineRule="exact"/>
              <w:jc w:val="center"/>
              <w:outlineLvl w:val="0"/>
              <w:rPr>
                <w:rFonts w:ascii="宋体" w:hAnsi="宋体" w:eastAsia="宋体"/>
                <w:kern w:val="2"/>
                <w:sz w:val="21"/>
                <w:szCs w:val="21"/>
              </w:rPr>
            </w:pPr>
          </w:p>
        </w:tc>
        <w:tc>
          <w:tcPr>
            <w:tcW w:w="1571" w:type="dxa"/>
            <w:tcBorders>
              <w:right w:val="single" w:color="auto" w:sz="4" w:space="0"/>
            </w:tcBorders>
            <w:vAlign w:val="center"/>
          </w:tcPr>
          <w:p>
            <w:pPr>
              <w:adjustRightInd w:val="0"/>
              <w:snapToGrid w:val="0"/>
              <w:spacing w:line="400" w:lineRule="exact"/>
              <w:jc w:val="center"/>
              <w:outlineLvl w:val="0"/>
              <w:rPr>
                <w:rFonts w:ascii="宋体" w:hAnsi="宋体" w:eastAsia="宋体"/>
                <w:kern w:val="2"/>
                <w:sz w:val="21"/>
                <w:szCs w:val="21"/>
              </w:rPr>
            </w:pPr>
          </w:p>
        </w:tc>
        <w:tc>
          <w:tcPr>
            <w:tcW w:w="1396" w:type="dxa"/>
            <w:tcBorders>
              <w:left w:val="single" w:color="auto" w:sz="4" w:space="0"/>
            </w:tcBorders>
            <w:vAlign w:val="center"/>
          </w:tcPr>
          <w:p>
            <w:pPr>
              <w:adjustRightInd w:val="0"/>
              <w:snapToGrid w:val="0"/>
              <w:spacing w:line="400" w:lineRule="exact"/>
              <w:jc w:val="center"/>
              <w:outlineLvl w:val="0"/>
              <w:rPr>
                <w:rFonts w:ascii="宋体" w:hAnsi="宋体" w:eastAsia="宋体"/>
                <w:kern w:val="2"/>
                <w:sz w:val="21"/>
                <w:szCs w:val="21"/>
              </w:rPr>
            </w:pPr>
          </w:p>
        </w:tc>
      </w:tr>
    </w:tbl>
    <w:p>
      <w:pPr>
        <w:adjustRightInd w:val="0"/>
        <w:snapToGrid w:val="0"/>
        <w:spacing w:line="420" w:lineRule="exact"/>
        <w:rPr>
          <w:rFonts w:ascii="宋体" w:hAnsi="宋体" w:eastAsia="宋体"/>
          <w:kern w:val="2"/>
          <w:sz w:val="21"/>
          <w:szCs w:val="21"/>
        </w:rPr>
      </w:pPr>
    </w:p>
    <w:p>
      <w:pPr>
        <w:spacing w:line="420" w:lineRule="exact"/>
        <w:rPr>
          <w:rFonts w:ascii="宋体" w:hAnsi="宋体" w:eastAsia="宋体"/>
          <w:spacing w:val="-4"/>
          <w:kern w:val="2"/>
          <w:sz w:val="21"/>
          <w:szCs w:val="21"/>
        </w:rPr>
      </w:pPr>
      <w:r>
        <w:rPr>
          <w:rFonts w:hint="eastAsia" w:ascii="宋体" w:hAnsi="宋体" w:eastAsia="宋体"/>
          <w:spacing w:val="-4"/>
          <w:kern w:val="2"/>
          <w:sz w:val="21"/>
          <w:szCs w:val="21"/>
        </w:rPr>
        <w:t>说明：应对照竞争性磋商文件“第三章 采购项目需求”，逐条说明所提供货物和服务已对竞争性磋商文件的服务内容及要求做出了实质性的响应，并申明与服务内容及要求条文的响应和偏离。特别对有具体参数要求的指标，供应商必须提供所供产品的具体参数值。如果仅注明“符合”、“满足”或简单复制竞争性磋商文件要求，将导致磋商被拒绝。</w:t>
      </w:r>
    </w:p>
    <w:p>
      <w:pPr>
        <w:spacing w:line="420" w:lineRule="exact"/>
        <w:rPr>
          <w:rFonts w:ascii="宋体" w:hAnsi="宋体" w:eastAsia="宋体"/>
          <w:kern w:val="2"/>
          <w:sz w:val="21"/>
          <w:szCs w:val="21"/>
        </w:rPr>
      </w:pPr>
    </w:p>
    <w:p>
      <w:pPr>
        <w:spacing w:line="500" w:lineRule="exact"/>
        <w:rPr>
          <w:rFonts w:ascii="宋体" w:hAnsi="宋体" w:eastAsia="宋体"/>
          <w:kern w:val="2"/>
          <w:sz w:val="21"/>
          <w:szCs w:val="21"/>
          <w:u w:val="single"/>
        </w:rPr>
      </w:pPr>
      <w:r>
        <w:rPr>
          <w:rFonts w:hint="eastAsia" w:ascii="宋体" w:hAnsi="宋体" w:eastAsia="宋体"/>
          <w:kern w:val="2"/>
          <w:sz w:val="21"/>
          <w:szCs w:val="21"/>
        </w:rPr>
        <w:t>法定代表人或委托代理人（签字）：</w:t>
      </w:r>
    </w:p>
    <w:p>
      <w:pPr>
        <w:spacing w:line="500" w:lineRule="exact"/>
        <w:rPr>
          <w:rFonts w:ascii="宋体" w:hAnsi="宋体" w:eastAsia="宋体"/>
          <w:kern w:val="2"/>
          <w:sz w:val="21"/>
          <w:szCs w:val="21"/>
          <w:u w:val="single"/>
        </w:rPr>
      </w:pPr>
      <w:r>
        <w:rPr>
          <w:rFonts w:hint="eastAsia" w:ascii="宋体" w:hAnsi="宋体" w:eastAsia="宋体"/>
          <w:kern w:val="2"/>
          <w:sz w:val="21"/>
          <w:szCs w:val="21"/>
        </w:rPr>
        <w:t>供应商名称（签章）：</w:t>
      </w:r>
    </w:p>
    <w:p>
      <w:pPr>
        <w:spacing w:line="500" w:lineRule="exact"/>
        <w:rPr>
          <w:rFonts w:ascii="宋体" w:hAnsi="宋体" w:eastAsia="宋体"/>
          <w:kern w:val="2"/>
          <w:sz w:val="21"/>
          <w:szCs w:val="21"/>
          <w:u w:val="single"/>
        </w:rPr>
      </w:pPr>
      <w:r>
        <w:rPr>
          <w:rFonts w:hint="eastAsia" w:ascii="宋体" w:hAnsi="宋体" w:eastAsia="宋体"/>
          <w:kern w:val="2"/>
          <w:sz w:val="21"/>
          <w:szCs w:val="21"/>
        </w:rPr>
        <w:t xml:space="preserve">报价时间：年月日 </w:t>
      </w:r>
    </w:p>
    <w:p>
      <w:pPr>
        <w:spacing w:line="300" w:lineRule="auto"/>
        <w:rPr>
          <w:rFonts w:ascii="仿宋_GB2312" w:hAnsi="宋体" w:eastAsia="仿宋_GB2312"/>
          <w:kern w:val="2"/>
          <w:sz w:val="28"/>
          <w:szCs w:val="28"/>
        </w:rPr>
      </w:pPr>
    </w:p>
    <w:p>
      <w:pPr>
        <w:spacing w:line="300" w:lineRule="auto"/>
        <w:rPr>
          <w:rFonts w:ascii="仿宋_GB2312" w:hAnsi="宋体" w:eastAsia="仿宋_GB2312"/>
          <w:kern w:val="2"/>
          <w:sz w:val="28"/>
          <w:szCs w:val="28"/>
        </w:rPr>
      </w:pPr>
      <w:r>
        <w:rPr>
          <w:rFonts w:ascii="仿宋_GB2312" w:hAnsi="宋体" w:eastAsia="仿宋_GB2312"/>
          <w:kern w:val="2"/>
          <w:sz w:val="28"/>
          <w:szCs w:val="28"/>
        </w:rPr>
        <w:br w:type="page"/>
      </w:r>
      <w:r>
        <w:rPr>
          <w:rFonts w:hint="eastAsia" w:ascii="仿宋_GB2312" w:hAnsi="宋体" w:eastAsia="仿宋_GB2312"/>
          <w:kern w:val="2"/>
          <w:sz w:val="28"/>
          <w:szCs w:val="28"/>
        </w:rPr>
        <w:t>附件四：</w:t>
      </w:r>
    </w:p>
    <w:p>
      <w:pPr>
        <w:adjustRightInd w:val="0"/>
        <w:snapToGrid w:val="0"/>
        <w:spacing w:line="300" w:lineRule="auto"/>
        <w:jc w:val="center"/>
        <w:rPr>
          <w:rFonts w:ascii="宋体" w:hAnsi="宋体" w:eastAsia="宋体"/>
          <w:b/>
          <w:kern w:val="2"/>
          <w:sz w:val="36"/>
          <w:szCs w:val="36"/>
        </w:rPr>
      </w:pPr>
      <w:r>
        <w:rPr>
          <w:rFonts w:hint="eastAsia" w:ascii="宋体" w:hAnsi="宋体" w:eastAsia="宋体"/>
          <w:b/>
          <w:kern w:val="2"/>
          <w:sz w:val="36"/>
          <w:szCs w:val="36"/>
        </w:rPr>
        <w:t>法定代表人授权书</w:t>
      </w:r>
    </w:p>
    <w:p>
      <w:pPr>
        <w:adjustRightInd w:val="0"/>
        <w:snapToGrid w:val="0"/>
        <w:spacing w:line="520" w:lineRule="exact"/>
        <w:rPr>
          <w:rFonts w:ascii="宋体" w:hAnsi="宋体" w:eastAsia="宋体"/>
          <w:kern w:val="2"/>
          <w:szCs w:val="24"/>
        </w:rPr>
      </w:pPr>
    </w:p>
    <w:p>
      <w:pPr>
        <w:spacing w:line="520" w:lineRule="exact"/>
        <w:rPr>
          <w:rFonts w:ascii="宋体" w:hAnsi="宋体" w:eastAsia="宋体"/>
          <w:kern w:val="2"/>
          <w:sz w:val="21"/>
          <w:szCs w:val="21"/>
        </w:rPr>
      </w:pPr>
      <w:r>
        <w:rPr>
          <w:rFonts w:hint="eastAsia" w:ascii="宋体" w:hAnsi="宋体" w:eastAsia="宋体"/>
          <w:kern w:val="2"/>
          <w:sz w:val="21"/>
          <w:szCs w:val="21"/>
        </w:rPr>
        <w:t>广西建设工程机电设备招标中心有限公司：</w:t>
      </w:r>
    </w:p>
    <w:p>
      <w:pPr>
        <w:spacing w:line="520" w:lineRule="exact"/>
        <w:ind w:firstLine="420" w:firstLineChars="200"/>
        <w:rPr>
          <w:rFonts w:ascii="宋体" w:hAnsi="宋体" w:eastAsia="宋体"/>
          <w:kern w:val="2"/>
          <w:sz w:val="21"/>
          <w:szCs w:val="21"/>
        </w:rPr>
      </w:pPr>
      <w:r>
        <w:rPr>
          <w:rFonts w:hint="eastAsia" w:ascii="宋体" w:hAnsi="宋体" w:eastAsia="宋体"/>
          <w:kern w:val="2"/>
          <w:sz w:val="21"/>
          <w:szCs w:val="21"/>
        </w:rPr>
        <w:t xml:space="preserve">兹授权同志为我公司参加贵单位组织的政府采购活动的磋商代表人，全权代表我公司处理在该项目活动中的一切事宜。代理期限从年月日起至年月日止。 </w:t>
      </w:r>
    </w:p>
    <w:p>
      <w:pPr>
        <w:spacing w:line="520" w:lineRule="exact"/>
        <w:rPr>
          <w:rFonts w:ascii="宋体" w:hAnsi="宋体" w:eastAsia="宋体"/>
          <w:kern w:val="2"/>
          <w:sz w:val="21"/>
          <w:szCs w:val="21"/>
        </w:rPr>
      </w:pPr>
    </w:p>
    <w:p>
      <w:pPr>
        <w:spacing w:line="520" w:lineRule="exact"/>
        <w:ind w:left="542" w:leftChars="226"/>
        <w:rPr>
          <w:rFonts w:ascii="宋体" w:hAnsi="宋体" w:eastAsia="宋体"/>
          <w:kern w:val="2"/>
          <w:sz w:val="21"/>
          <w:szCs w:val="21"/>
        </w:rPr>
      </w:pPr>
      <w:r>
        <w:rPr>
          <w:rFonts w:hint="eastAsia" w:ascii="宋体" w:hAnsi="宋体" w:eastAsia="宋体"/>
          <w:kern w:val="2"/>
          <w:sz w:val="21"/>
          <w:szCs w:val="21"/>
        </w:rPr>
        <w:t>授权单位（签章）：</w:t>
      </w:r>
    </w:p>
    <w:p>
      <w:pPr>
        <w:spacing w:line="520" w:lineRule="exact"/>
        <w:ind w:left="542" w:leftChars="226"/>
        <w:rPr>
          <w:rFonts w:ascii="宋体" w:hAnsi="宋体" w:eastAsia="宋体"/>
          <w:kern w:val="2"/>
          <w:sz w:val="21"/>
          <w:szCs w:val="21"/>
        </w:rPr>
      </w:pPr>
      <w:r>
        <w:rPr>
          <w:rFonts w:hint="eastAsia" w:ascii="宋体" w:hAnsi="宋体" w:eastAsia="宋体"/>
          <w:kern w:val="2"/>
          <w:sz w:val="21"/>
          <w:szCs w:val="21"/>
        </w:rPr>
        <w:t>法定代表人签字：</w:t>
      </w:r>
    </w:p>
    <w:p>
      <w:pPr>
        <w:spacing w:line="520" w:lineRule="exact"/>
        <w:ind w:left="542" w:leftChars="226"/>
        <w:rPr>
          <w:rFonts w:ascii="宋体" w:hAnsi="宋体" w:eastAsia="宋体"/>
          <w:kern w:val="2"/>
          <w:sz w:val="21"/>
          <w:szCs w:val="21"/>
        </w:rPr>
      </w:pPr>
      <w:r>
        <w:rPr>
          <w:rFonts w:hint="eastAsia" w:ascii="宋体" w:hAnsi="宋体" w:eastAsia="宋体"/>
          <w:kern w:val="2"/>
          <w:sz w:val="21"/>
          <w:szCs w:val="21"/>
        </w:rPr>
        <w:t>签发日期：年月日</w:t>
      </w:r>
    </w:p>
    <w:p>
      <w:pPr>
        <w:spacing w:line="520" w:lineRule="exact"/>
        <w:rPr>
          <w:rFonts w:ascii="宋体" w:hAnsi="宋体" w:eastAsia="宋体"/>
          <w:kern w:val="2"/>
          <w:sz w:val="21"/>
          <w:szCs w:val="21"/>
        </w:rPr>
      </w:pPr>
    </w:p>
    <w:p>
      <w:pPr>
        <w:spacing w:line="520" w:lineRule="exact"/>
        <w:rPr>
          <w:rFonts w:ascii="宋体" w:hAnsi="宋体" w:eastAsia="宋体"/>
          <w:kern w:val="2"/>
          <w:sz w:val="21"/>
          <w:szCs w:val="21"/>
        </w:rPr>
      </w:pPr>
      <w:r>
        <w:rPr>
          <w:rFonts w:hint="eastAsia" w:ascii="宋体" w:hAnsi="宋体" w:eastAsia="宋体"/>
          <w:kern w:val="2"/>
          <w:sz w:val="21"/>
          <w:szCs w:val="21"/>
        </w:rPr>
        <w:t>附：代理人工作单位：</w:t>
      </w:r>
    </w:p>
    <w:p>
      <w:pPr>
        <w:spacing w:line="520" w:lineRule="exact"/>
        <w:ind w:firstLine="420" w:firstLineChars="200"/>
        <w:rPr>
          <w:rFonts w:ascii="宋体" w:hAnsi="宋体" w:eastAsia="宋体"/>
          <w:kern w:val="2"/>
          <w:sz w:val="21"/>
          <w:szCs w:val="21"/>
        </w:rPr>
      </w:pPr>
      <w:r>
        <w:rPr>
          <w:rFonts w:hint="eastAsia" w:ascii="宋体" w:hAnsi="宋体" w:eastAsia="宋体"/>
          <w:kern w:val="2"/>
          <w:sz w:val="21"/>
          <w:szCs w:val="21"/>
        </w:rPr>
        <w:t>职务：      性别：</w:t>
      </w:r>
    </w:p>
    <w:p>
      <w:pPr>
        <w:adjustRightInd w:val="0"/>
        <w:snapToGrid w:val="0"/>
        <w:spacing w:line="520" w:lineRule="exact"/>
        <w:ind w:firstLine="420" w:firstLineChars="200"/>
        <w:rPr>
          <w:rFonts w:ascii="宋体" w:hAnsi="宋体" w:eastAsia="宋体"/>
          <w:kern w:val="2"/>
          <w:sz w:val="21"/>
          <w:szCs w:val="21"/>
          <w:u w:val="single"/>
        </w:rPr>
      </w:pPr>
      <w:r>
        <w:rPr>
          <w:rFonts w:hint="eastAsia" w:ascii="宋体" w:hAnsi="宋体" w:eastAsia="宋体"/>
          <w:kern w:val="2"/>
          <w:sz w:val="21"/>
          <w:szCs w:val="21"/>
        </w:rPr>
        <w:t>身份证号码：</w:t>
      </w:r>
    </w:p>
    <w:p>
      <w:pPr>
        <w:adjustRightInd w:val="0"/>
        <w:snapToGrid w:val="0"/>
        <w:spacing w:line="520" w:lineRule="exact"/>
        <w:ind w:firstLine="420" w:firstLineChars="200"/>
        <w:rPr>
          <w:rFonts w:ascii="宋体" w:hAnsi="宋体" w:eastAsia="宋体"/>
          <w:kern w:val="2"/>
          <w:sz w:val="21"/>
          <w:szCs w:val="21"/>
          <w:u w:val="single"/>
        </w:rPr>
      </w:pPr>
    </w:p>
    <w:tbl>
      <w:tblPr>
        <w:tblStyle w:val="37"/>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trPr>
        <w:tc>
          <w:tcPr>
            <w:tcW w:w="8861" w:type="dxa"/>
          </w:tcPr>
          <w:p>
            <w:pPr>
              <w:spacing w:line="300" w:lineRule="auto"/>
              <w:rPr>
                <w:rFonts w:ascii="宋体" w:hAnsi="宋体" w:eastAsia="宋体"/>
                <w:kern w:val="2"/>
                <w:sz w:val="21"/>
                <w:szCs w:val="21"/>
              </w:rPr>
            </w:pPr>
            <w:r>
              <w:rPr>
                <w:rFonts w:hint="eastAsia" w:ascii="宋体" w:hAnsi="宋体" w:eastAsia="宋体"/>
                <w:kern w:val="2"/>
                <w:sz w:val="21"/>
                <w:szCs w:val="21"/>
              </w:rPr>
              <w:t>粘贴法定代表人及被授权人身份证（复印件，可另页）</w:t>
            </w:r>
          </w:p>
        </w:tc>
      </w:tr>
    </w:tbl>
    <w:p>
      <w:pPr>
        <w:autoSpaceDE w:val="0"/>
        <w:autoSpaceDN w:val="0"/>
        <w:spacing w:line="300" w:lineRule="auto"/>
        <w:ind w:left="480" w:hanging="480"/>
        <w:rPr>
          <w:rFonts w:ascii="宋体" w:hAnsi="宋体" w:eastAsia="宋体"/>
          <w:kern w:val="2"/>
          <w:sz w:val="21"/>
          <w:szCs w:val="21"/>
        </w:rPr>
      </w:pPr>
    </w:p>
    <w:p>
      <w:pPr>
        <w:autoSpaceDE w:val="0"/>
        <w:autoSpaceDN w:val="0"/>
        <w:spacing w:line="300" w:lineRule="auto"/>
        <w:ind w:left="480" w:hanging="480"/>
        <w:rPr>
          <w:rFonts w:ascii="宋体" w:hAnsi="宋体" w:eastAsia="宋体"/>
          <w:kern w:val="2"/>
          <w:sz w:val="21"/>
          <w:szCs w:val="21"/>
        </w:rPr>
      </w:pPr>
    </w:p>
    <w:p>
      <w:pPr>
        <w:autoSpaceDE w:val="0"/>
        <w:autoSpaceDN w:val="0"/>
        <w:spacing w:line="300" w:lineRule="auto"/>
        <w:ind w:left="480" w:hanging="480"/>
        <w:rPr>
          <w:rFonts w:ascii="宋体" w:hAnsi="宋体" w:eastAsia="宋体"/>
          <w:kern w:val="2"/>
          <w:sz w:val="21"/>
          <w:szCs w:val="21"/>
        </w:rPr>
      </w:pPr>
    </w:p>
    <w:p>
      <w:pPr>
        <w:spacing w:line="300" w:lineRule="auto"/>
        <w:rPr>
          <w:rFonts w:ascii="仿宋_GB2312" w:hAnsi="宋体" w:eastAsia="仿宋_GB2312"/>
          <w:kern w:val="2"/>
          <w:sz w:val="28"/>
          <w:szCs w:val="28"/>
        </w:rPr>
      </w:pPr>
      <w:r>
        <w:rPr>
          <w:rFonts w:ascii="仿宋_GB2312" w:hAnsi="宋体" w:eastAsia="仿宋_GB2312"/>
          <w:kern w:val="2"/>
          <w:sz w:val="28"/>
          <w:szCs w:val="28"/>
        </w:rPr>
        <w:br w:type="page"/>
      </w:r>
      <w:r>
        <w:rPr>
          <w:rFonts w:hint="eastAsia" w:ascii="仿宋_GB2312" w:hAnsi="宋体" w:eastAsia="仿宋_GB2312"/>
          <w:kern w:val="2"/>
          <w:sz w:val="28"/>
          <w:szCs w:val="28"/>
        </w:rPr>
        <w:t>附件五：</w:t>
      </w:r>
    </w:p>
    <w:p>
      <w:pPr>
        <w:spacing w:line="400" w:lineRule="exact"/>
        <w:jc w:val="center"/>
        <w:rPr>
          <w:rFonts w:ascii="宋体" w:hAnsi="宋体" w:eastAsia="宋体"/>
          <w:b/>
          <w:kern w:val="2"/>
          <w:sz w:val="36"/>
          <w:szCs w:val="36"/>
        </w:rPr>
      </w:pPr>
      <w:r>
        <w:rPr>
          <w:rFonts w:hint="eastAsia" w:ascii="宋体" w:hAnsi="宋体" w:eastAsia="宋体"/>
          <w:b/>
          <w:kern w:val="2"/>
          <w:sz w:val="36"/>
          <w:szCs w:val="36"/>
        </w:rPr>
        <w:t>其 他 文 件</w:t>
      </w:r>
    </w:p>
    <w:p>
      <w:pPr>
        <w:spacing w:line="460" w:lineRule="exact"/>
        <w:ind w:firstLine="561"/>
        <w:jc w:val="center"/>
        <w:rPr>
          <w:rFonts w:ascii="宋体" w:hAnsi="宋体" w:eastAsia="宋体"/>
          <w:color w:val="000000"/>
          <w:kern w:val="2"/>
          <w:szCs w:val="24"/>
        </w:rPr>
      </w:pPr>
      <w:r>
        <w:rPr>
          <w:rFonts w:hint="eastAsia" w:ascii="宋体" w:hAnsi="宋体" w:eastAsia="宋体"/>
          <w:color w:val="000000"/>
          <w:kern w:val="2"/>
          <w:szCs w:val="24"/>
        </w:rPr>
        <w:t>（不局限于以下目录，请根据采购文件要求提供）</w:t>
      </w:r>
    </w:p>
    <w:p>
      <w:pPr>
        <w:spacing w:line="400" w:lineRule="exact"/>
        <w:ind w:firstLine="560"/>
        <w:rPr>
          <w:rFonts w:ascii="宋体" w:hAnsi="宋体" w:eastAsia="宋体"/>
          <w:kern w:val="2"/>
          <w:sz w:val="28"/>
          <w:szCs w:val="28"/>
        </w:rPr>
      </w:pPr>
    </w:p>
    <w:p>
      <w:pPr>
        <w:spacing w:line="420" w:lineRule="exact"/>
        <w:ind w:firstLine="420" w:firstLineChars="200"/>
        <w:outlineLvl w:val="0"/>
        <w:rPr>
          <w:rFonts w:ascii="宋体" w:hAnsi="宋体" w:eastAsia="宋体"/>
          <w:kern w:val="2"/>
          <w:sz w:val="21"/>
          <w:szCs w:val="21"/>
        </w:rPr>
      </w:pPr>
      <w:r>
        <w:rPr>
          <w:rFonts w:hint="eastAsia" w:ascii="宋体" w:hAnsi="宋体" w:eastAsia="宋体"/>
          <w:kern w:val="2"/>
          <w:sz w:val="21"/>
          <w:szCs w:val="21"/>
        </w:rPr>
        <w:t>一、资格证明文件</w:t>
      </w:r>
    </w:p>
    <w:p>
      <w:pPr>
        <w:spacing w:line="420" w:lineRule="exact"/>
        <w:rPr>
          <w:rFonts w:ascii="宋体" w:hAnsi="宋体" w:eastAsia="宋体"/>
          <w:kern w:val="2"/>
          <w:sz w:val="21"/>
          <w:szCs w:val="21"/>
        </w:rPr>
      </w:pPr>
      <w:r>
        <w:rPr>
          <w:rFonts w:hint="eastAsia" w:ascii="宋体" w:hAnsi="宋体" w:eastAsia="宋体"/>
          <w:kern w:val="2"/>
          <w:sz w:val="21"/>
          <w:szCs w:val="21"/>
        </w:rPr>
        <w:t xml:space="preserve">    1、磋商保证金交纳证明复印件；</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2、营业执照、事业单位法人证书等主体资格证明副本复印件；</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3、税务登记证复印件；（“三证合一”除外）</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4、组织机构代码证复印件；（“三证合一”除外）</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5、法定代表人身份证复印件；</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6、法定代表人授权委托书原件及被授权人身份证复印件（委托代理时）；</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7、供应商自本项目磋商公告发布之日起在“信用中国”网站（www.creditchina.gov.cn）、中国政府采购网（www.ccgp.gov.cn）上查询供应商主体信用记录的查询结果截图；</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8、项目实施人员一览表；</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lang w:val="en-US" w:eastAsia="zh-CN"/>
        </w:rPr>
        <w:t>9</w:t>
      </w:r>
      <w:r>
        <w:rPr>
          <w:rFonts w:hint="eastAsia" w:ascii="宋体" w:hAnsi="宋体" w:eastAsia="宋体"/>
          <w:kern w:val="2"/>
          <w:sz w:val="21"/>
          <w:szCs w:val="21"/>
        </w:rPr>
        <w:t>、其它需要提供的证明材料。</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二、货物技术、服务文件</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1、供货清单；</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2、技术响应、偏离情况说明表；</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3、售后服务承诺书（格式自拟）；</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4、供应商情况介绍；</w:t>
      </w:r>
    </w:p>
    <w:p>
      <w:pPr>
        <w:spacing w:line="420" w:lineRule="exact"/>
        <w:ind w:firstLine="420" w:firstLineChars="200"/>
        <w:rPr>
          <w:rFonts w:ascii="宋体" w:hAnsi="宋体" w:eastAsia="宋体"/>
          <w:kern w:val="2"/>
          <w:sz w:val="21"/>
          <w:szCs w:val="21"/>
        </w:rPr>
      </w:pPr>
      <w:r>
        <w:rPr>
          <w:rFonts w:hint="eastAsia" w:ascii="宋体" w:hAnsi="宋体" w:eastAsia="宋体"/>
          <w:kern w:val="2"/>
          <w:sz w:val="21"/>
          <w:szCs w:val="21"/>
        </w:rPr>
        <w:t>5、竞争性磋商文件要求提供的其他资料和需要说明的问题。</w:t>
      </w:r>
    </w:p>
    <w:p>
      <w:pPr>
        <w:spacing w:line="500" w:lineRule="exact"/>
        <w:ind w:firstLine="480" w:firstLineChars="200"/>
        <w:rPr>
          <w:rFonts w:ascii="宋体" w:hAnsi="宋体" w:eastAsia="宋体"/>
          <w:kern w:val="2"/>
          <w:szCs w:val="24"/>
        </w:rPr>
      </w:pPr>
    </w:p>
    <w:p>
      <w:pPr>
        <w:spacing w:line="500" w:lineRule="exact"/>
        <w:rPr>
          <w:rFonts w:ascii="仿宋_GB2312" w:hAnsi="宋体" w:eastAsia="仿宋_GB2312"/>
          <w:kern w:val="2"/>
          <w:sz w:val="28"/>
          <w:szCs w:val="28"/>
        </w:rPr>
      </w:pPr>
      <w:r>
        <w:rPr>
          <w:rFonts w:ascii="仿宋_GB2312" w:hAnsi="宋体" w:eastAsia="仿宋_GB2312"/>
          <w:kern w:val="2"/>
          <w:sz w:val="28"/>
          <w:szCs w:val="28"/>
        </w:rPr>
        <w:br w:type="page"/>
      </w:r>
      <w:r>
        <w:rPr>
          <w:rFonts w:hint="eastAsia" w:ascii="仿宋_GB2312" w:hAnsi="宋体" w:eastAsia="仿宋_GB2312"/>
          <w:kern w:val="2"/>
          <w:sz w:val="28"/>
          <w:szCs w:val="28"/>
        </w:rPr>
        <w:t xml:space="preserve">附件六： </w:t>
      </w:r>
    </w:p>
    <w:p>
      <w:pPr>
        <w:spacing w:line="500" w:lineRule="exact"/>
        <w:rPr>
          <w:rFonts w:ascii="仿宋_GB2312" w:hAnsi="宋体" w:eastAsia="仿宋_GB2312"/>
          <w:kern w:val="2"/>
          <w:sz w:val="28"/>
          <w:szCs w:val="28"/>
        </w:rPr>
      </w:pPr>
    </w:p>
    <w:p>
      <w:pPr>
        <w:spacing w:line="500" w:lineRule="exact"/>
        <w:jc w:val="center"/>
        <w:rPr>
          <w:rFonts w:ascii="宋体" w:hAnsi="宋体" w:eastAsia="宋体"/>
          <w:b/>
          <w:kern w:val="2"/>
          <w:sz w:val="36"/>
          <w:szCs w:val="36"/>
        </w:rPr>
      </w:pPr>
      <w:r>
        <w:rPr>
          <w:rFonts w:hint="eastAsia" w:ascii="宋体" w:hAnsi="宋体" w:eastAsia="宋体"/>
          <w:b/>
          <w:kern w:val="2"/>
          <w:sz w:val="36"/>
          <w:szCs w:val="36"/>
        </w:rPr>
        <w:t>中小微企业声明函</w:t>
      </w:r>
    </w:p>
    <w:p>
      <w:pPr>
        <w:spacing w:line="500" w:lineRule="exact"/>
        <w:rPr>
          <w:rFonts w:ascii="仿宋_GB2312" w:hAnsi="宋体" w:eastAsia="仿宋_GB2312"/>
          <w:kern w:val="2"/>
          <w:sz w:val="28"/>
          <w:szCs w:val="28"/>
        </w:rPr>
      </w:pP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 </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　　　　　　　　　　　　　　　　　　　　　　　企业名称（盖章）：</w:t>
      </w:r>
    </w:p>
    <w:p>
      <w:pPr>
        <w:widowControl/>
        <w:shd w:val="clear" w:color="auto" w:fill="FFFFFF"/>
        <w:spacing w:after="240" w:line="360" w:lineRule="atLeast"/>
        <w:ind w:firstLine="480"/>
        <w:jc w:val="left"/>
        <w:rPr>
          <w:rFonts w:ascii="宋体" w:hAnsi="宋体" w:eastAsia="宋体" w:cs="宋体"/>
          <w:sz w:val="21"/>
          <w:szCs w:val="21"/>
        </w:rPr>
      </w:pPr>
      <w:r>
        <w:rPr>
          <w:rFonts w:hint="eastAsia" w:ascii="宋体" w:hAnsi="宋体" w:eastAsia="宋体" w:cs="宋体"/>
          <w:sz w:val="21"/>
          <w:szCs w:val="21"/>
        </w:rPr>
        <w:t> 　　　　　　　　　　　　　　　　　　　　　　 日期：     年   月   日</w:t>
      </w:r>
    </w:p>
    <w:p>
      <w:pPr>
        <w:spacing w:line="460" w:lineRule="exact"/>
        <w:rPr>
          <w:rFonts w:ascii="宋体" w:hAnsi="宋体" w:eastAsia="宋体"/>
          <w:kern w:val="2"/>
          <w:sz w:val="21"/>
          <w:szCs w:val="21"/>
        </w:rPr>
      </w:pPr>
    </w:p>
    <w:p>
      <w:pPr>
        <w:spacing w:line="460" w:lineRule="exact"/>
        <w:rPr>
          <w:rFonts w:ascii="仿宋_GB2312" w:hAnsi="宋体" w:eastAsia="仿宋_GB2312"/>
          <w:kern w:val="2"/>
          <w:szCs w:val="24"/>
        </w:rPr>
      </w:pPr>
      <w:r>
        <w:rPr>
          <w:rFonts w:hint="eastAsia" w:ascii="宋体" w:hAnsi="宋体" w:eastAsia="宋体"/>
          <w:kern w:val="2"/>
          <w:sz w:val="21"/>
          <w:szCs w:val="21"/>
        </w:rPr>
        <w:t>备注：如果磋商产品中有小型或微型企业的产品，应在磋商报价明细表备注栏中注明生产企业名称，并提供该生产企业最近一年的年度财务审计报告，否则不认可该产品为小型或微型企业的产品。</w:t>
      </w:r>
    </w:p>
    <w:p>
      <w:pPr>
        <w:spacing w:line="460" w:lineRule="exact"/>
        <w:rPr>
          <w:rFonts w:ascii="仿宋_GB2312" w:hAnsi="宋体" w:eastAsia="仿宋_GB2312"/>
          <w:kern w:val="2"/>
          <w:szCs w:val="24"/>
        </w:rPr>
      </w:pPr>
    </w:p>
    <w:p>
      <w:pPr>
        <w:spacing w:line="460" w:lineRule="exact"/>
        <w:rPr>
          <w:rFonts w:ascii="仿宋_GB2312" w:hAnsi="宋体" w:eastAsia="仿宋_GB2312"/>
          <w:kern w:val="2"/>
          <w:szCs w:val="24"/>
        </w:rPr>
      </w:pPr>
    </w:p>
    <w:p>
      <w:pPr>
        <w:spacing w:line="460" w:lineRule="exact"/>
        <w:rPr>
          <w:rFonts w:ascii="仿宋_GB2312" w:hAnsi="宋体" w:eastAsia="仿宋_GB2312"/>
          <w:kern w:val="2"/>
          <w:szCs w:val="24"/>
        </w:rPr>
      </w:pPr>
    </w:p>
    <w:p>
      <w:pPr>
        <w:spacing w:line="460" w:lineRule="exact"/>
        <w:rPr>
          <w:rFonts w:ascii="仿宋_GB2312" w:hAnsi="宋体" w:eastAsia="仿宋_GB2312"/>
          <w:kern w:val="2"/>
          <w:szCs w:val="24"/>
        </w:rPr>
      </w:pPr>
    </w:p>
    <w:p>
      <w:pPr>
        <w:spacing w:line="460" w:lineRule="exact"/>
        <w:rPr>
          <w:rFonts w:ascii="仿宋_GB2312" w:hAnsi="宋体" w:eastAsia="仿宋_GB2312"/>
          <w:kern w:val="2"/>
          <w:szCs w:val="24"/>
        </w:rPr>
      </w:pPr>
    </w:p>
    <w:p>
      <w:pPr>
        <w:spacing w:line="460" w:lineRule="exact"/>
        <w:rPr>
          <w:rFonts w:ascii="仿宋_GB2312" w:hAnsi="宋体" w:eastAsia="仿宋_GB2312"/>
          <w:kern w:val="2"/>
          <w:szCs w:val="24"/>
        </w:rPr>
      </w:pPr>
    </w:p>
    <w:p>
      <w:pPr>
        <w:spacing w:line="500" w:lineRule="exact"/>
        <w:rPr>
          <w:rFonts w:ascii="宋体" w:hAnsi="宋体" w:eastAsia="宋体"/>
          <w:kern w:val="2"/>
          <w:szCs w:val="24"/>
        </w:rPr>
      </w:pPr>
    </w:p>
    <w:p>
      <w:pPr>
        <w:rPr>
          <w:rFonts w:ascii="宋体" w:hAnsi="宋体" w:eastAsia="宋体"/>
          <w:kern w:val="2"/>
          <w:sz w:val="21"/>
          <w:szCs w:val="21"/>
        </w:rPr>
      </w:pPr>
    </w:p>
    <w:p>
      <w:pPr>
        <w:rPr>
          <w:rFonts w:ascii="宋体" w:hAnsi="宋体" w:eastAsia="宋体"/>
          <w:kern w:val="2"/>
          <w:sz w:val="21"/>
          <w:szCs w:val="21"/>
        </w:rPr>
      </w:pPr>
    </w:p>
    <w:p>
      <w:pPr>
        <w:spacing w:line="460" w:lineRule="exact"/>
        <w:rPr>
          <w:rFonts w:ascii="仿宋_GB2312" w:hAnsi="宋体" w:eastAsia="仿宋_GB2312"/>
          <w:b/>
          <w:kern w:val="2"/>
          <w:sz w:val="28"/>
          <w:szCs w:val="28"/>
        </w:rPr>
      </w:pPr>
      <w:r>
        <w:rPr>
          <w:rFonts w:ascii="宋体" w:hAnsi="宋体" w:eastAsia="宋体"/>
          <w:kern w:val="2"/>
          <w:sz w:val="21"/>
          <w:szCs w:val="21"/>
        </w:rPr>
        <w:br w:type="page"/>
      </w:r>
      <w:r>
        <w:rPr>
          <w:rFonts w:hint="eastAsia" w:ascii="仿宋_GB2312" w:hAnsi="宋体" w:eastAsia="仿宋_GB2312"/>
          <w:color w:val="000000"/>
          <w:kern w:val="2"/>
          <w:sz w:val="28"/>
          <w:szCs w:val="28"/>
        </w:rPr>
        <w:t>附件七：</w:t>
      </w:r>
    </w:p>
    <w:p>
      <w:pPr>
        <w:snapToGrid w:val="0"/>
        <w:spacing w:before="50" w:after="180" w:afterLines="50"/>
        <w:jc w:val="left"/>
        <w:rPr>
          <w:rFonts w:ascii="仿宋_GB2312" w:hAnsi="宋体" w:eastAsia="仿宋_GB2312"/>
          <w:b/>
          <w:kern w:val="2"/>
          <w:sz w:val="28"/>
          <w:szCs w:val="28"/>
        </w:rPr>
      </w:pPr>
    </w:p>
    <w:p>
      <w:pPr>
        <w:snapToGrid w:val="0"/>
        <w:spacing w:before="180" w:beforeLines="50" w:after="50" w:line="400" w:lineRule="exact"/>
        <w:jc w:val="center"/>
        <w:rPr>
          <w:rFonts w:ascii="仿宋_GB2312" w:hAnsi="宋体" w:eastAsia="仿宋_GB2312"/>
          <w:b/>
          <w:kern w:val="2"/>
          <w:sz w:val="28"/>
          <w:szCs w:val="28"/>
        </w:rPr>
      </w:pPr>
      <w:r>
        <w:rPr>
          <w:rFonts w:hint="eastAsia" w:ascii="仿宋_GB2312" w:hAnsi="宋体" w:eastAsia="仿宋_GB2312"/>
          <w:b/>
          <w:kern w:val="2"/>
          <w:sz w:val="28"/>
          <w:szCs w:val="28"/>
        </w:rPr>
        <w:t>项目实施人员（主要从业人员及其技术资格）一览表</w:t>
      </w:r>
    </w:p>
    <w:tbl>
      <w:tblPr>
        <w:tblStyle w:val="37"/>
        <w:tblW w:w="91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664"/>
        <w:gridCol w:w="1292"/>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kern w:val="2"/>
                <w:szCs w:val="24"/>
              </w:rPr>
            </w:pPr>
            <w:r>
              <w:rPr>
                <w:rFonts w:hint="eastAsia" w:ascii="宋体" w:hAnsi="宋体" w:eastAsia="宋体"/>
                <w:kern w:val="2"/>
                <w:szCs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kern w:val="2"/>
                <w:szCs w:val="24"/>
              </w:rPr>
            </w:pPr>
            <w:r>
              <w:rPr>
                <w:rFonts w:hint="eastAsia" w:ascii="宋体" w:hAnsi="宋体" w:eastAsia="宋体"/>
                <w:kern w:val="2"/>
                <w:szCs w:val="24"/>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kern w:val="2"/>
                <w:szCs w:val="24"/>
              </w:rPr>
            </w:pPr>
            <w:r>
              <w:rPr>
                <w:rFonts w:hint="eastAsia" w:ascii="宋体" w:hAnsi="宋体" w:eastAsia="宋体"/>
                <w:kern w:val="2"/>
                <w:szCs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kern w:val="2"/>
                <w:szCs w:val="24"/>
              </w:rPr>
            </w:pPr>
            <w:r>
              <w:rPr>
                <w:rFonts w:hint="eastAsia" w:ascii="宋体" w:hAnsi="宋体" w:eastAsia="宋体"/>
                <w:kern w:val="2"/>
                <w:szCs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bCs/>
                <w:kern w:val="2"/>
                <w:szCs w:val="24"/>
              </w:rPr>
            </w:pPr>
            <w:r>
              <w:rPr>
                <w:rFonts w:hint="eastAsia" w:ascii="宋体" w:hAnsi="宋体" w:eastAsia="宋体"/>
                <w:bCs/>
                <w:kern w:val="2"/>
                <w:szCs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80" w:beforeLines="50" w:after="50"/>
              <w:jc w:val="center"/>
              <w:rPr>
                <w:rFonts w:ascii="宋体" w:hAnsi="宋体" w:eastAsia="宋体"/>
                <w:bCs/>
                <w:kern w:val="2"/>
                <w:szCs w:val="24"/>
              </w:rPr>
            </w:pPr>
            <w:r>
              <w:rPr>
                <w:rFonts w:hint="eastAsia" w:ascii="宋体" w:hAnsi="宋体" w:eastAsia="宋体"/>
                <w:bCs/>
                <w:kern w:val="2"/>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80" w:beforeLines="50" w:after="50"/>
              <w:ind w:left="6000" w:leftChars="2500"/>
              <w:rPr>
                <w:rFonts w:ascii="宋体" w:hAnsi="宋体" w:eastAsia="宋体"/>
                <w:spacing w:val="30"/>
                <w:kern w:val="2"/>
                <w:szCs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80" w:beforeLines="50" w:after="50"/>
              <w:rPr>
                <w:rFonts w:ascii="宋体" w:hAnsi="宋体" w:eastAsia="宋体"/>
                <w:kern w:val="2"/>
                <w:szCs w:val="24"/>
              </w:rPr>
            </w:pPr>
          </w:p>
        </w:tc>
      </w:tr>
    </w:tbl>
    <w:p>
      <w:pPr>
        <w:snapToGrid w:val="0"/>
        <w:spacing w:before="50" w:after="180" w:afterLines="50" w:line="440" w:lineRule="exact"/>
        <w:ind w:firstLine="480" w:firstLineChars="200"/>
        <w:jc w:val="left"/>
        <w:rPr>
          <w:rFonts w:ascii="宋体" w:hAnsi="宋体" w:eastAsia="宋体"/>
          <w:kern w:val="2"/>
          <w:szCs w:val="24"/>
        </w:rPr>
      </w:pPr>
      <w:r>
        <w:rPr>
          <w:rFonts w:hint="eastAsia" w:ascii="宋体" w:hAnsi="宋体" w:eastAsia="宋体"/>
          <w:kern w:val="2"/>
          <w:szCs w:val="24"/>
        </w:rPr>
        <w:t>注：在填写时，如本表格不适合</w:t>
      </w:r>
      <w:r>
        <w:rPr>
          <w:rFonts w:hint="eastAsia" w:ascii="Times New Roman" w:hAnsi="宋体" w:eastAsia="宋体"/>
          <w:color w:val="000000"/>
          <w:kern w:val="2"/>
          <w:szCs w:val="24"/>
        </w:rPr>
        <w:t>磋商供应商</w:t>
      </w:r>
      <w:r>
        <w:rPr>
          <w:rFonts w:hint="eastAsia" w:ascii="宋体" w:hAnsi="宋体" w:eastAsia="宋体"/>
          <w:kern w:val="2"/>
          <w:szCs w:val="24"/>
        </w:rPr>
        <w:t>的实际情况，可根据本表格式自行划表填写。</w:t>
      </w:r>
    </w:p>
    <w:p>
      <w:pPr>
        <w:snapToGrid w:val="0"/>
        <w:spacing w:before="50" w:after="180" w:afterLines="50" w:line="440" w:lineRule="exact"/>
        <w:ind w:firstLine="480" w:firstLineChars="200"/>
        <w:jc w:val="left"/>
        <w:rPr>
          <w:rFonts w:ascii="宋体" w:hAnsi="宋体" w:eastAsia="宋体"/>
          <w:kern w:val="2"/>
          <w:szCs w:val="24"/>
        </w:rPr>
      </w:pPr>
    </w:p>
    <w:p>
      <w:pPr>
        <w:snapToGrid w:val="0"/>
        <w:spacing w:line="400" w:lineRule="exact"/>
        <w:jc w:val="center"/>
        <w:rPr>
          <w:rFonts w:ascii="Times New Roman" w:hAnsi="Times New Roman" w:eastAsia="宋体"/>
          <w:b/>
          <w:kern w:val="2"/>
          <w:sz w:val="32"/>
          <w:szCs w:val="24"/>
        </w:rPr>
      </w:pPr>
      <w:r>
        <w:rPr>
          <w:rFonts w:ascii="宋体" w:hAnsi="宋体" w:eastAsia="宋体"/>
          <w:kern w:val="2"/>
          <w:sz w:val="21"/>
          <w:szCs w:val="21"/>
        </w:rPr>
        <w:br w:type="page"/>
      </w:r>
      <w:r>
        <w:rPr>
          <w:rFonts w:hint="eastAsia" w:ascii="Times New Roman" w:hAnsi="Times New Roman" w:eastAsia="宋体"/>
          <w:b/>
          <w:kern w:val="2"/>
          <w:sz w:val="32"/>
          <w:szCs w:val="24"/>
        </w:rPr>
        <w:t>第五章合同主要条款</w:t>
      </w:r>
    </w:p>
    <w:p>
      <w:pPr>
        <w:snapToGrid w:val="0"/>
        <w:spacing w:line="400" w:lineRule="exact"/>
        <w:jc w:val="center"/>
        <w:rPr>
          <w:rFonts w:ascii="Times New Roman" w:hAnsi="Times New Roman" w:eastAsia="宋体"/>
          <w:b/>
          <w:kern w:val="2"/>
          <w:sz w:val="32"/>
          <w:szCs w:val="24"/>
        </w:rPr>
      </w:pPr>
    </w:p>
    <w:p>
      <w:pPr>
        <w:snapToGrid w:val="0"/>
        <w:spacing w:line="400" w:lineRule="exact"/>
        <w:jc w:val="center"/>
        <w:rPr>
          <w:rFonts w:ascii="宋体" w:hAnsi="宋体"/>
          <w:b/>
          <w:bCs/>
          <w:szCs w:val="21"/>
        </w:rPr>
      </w:pPr>
      <w:r>
        <w:rPr>
          <w:rFonts w:hint="eastAsia" w:ascii="宋体" w:hAnsi="宋体"/>
          <w:b/>
          <w:bCs/>
          <w:szCs w:val="21"/>
        </w:rPr>
        <w:t>广西壮族自治区政府采购合同</w:t>
      </w:r>
    </w:p>
    <w:p>
      <w:pPr>
        <w:snapToGrid w:val="0"/>
        <w:spacing w:line="400" w:lineRule="exact"/>
        <w:jc w:val="center"/>
        <w:rPr>
          <w:rFonts w:ascii="宋体" w:hAnsi="宋体"/>
          <w:b/>
          <w:bCs/>
          <w:szCs w:val="21"/>
        </w:rPr>
      </w:pPr>
    </w:p>
    <w:p>
      <w:pPr>
        <w:snapToGrid w:val="0"/>
        <w:spacing w:line="400" w:lineRule="exact"/>
        <w:ind w:right="480" w:firstLine="5760" w:firstLineChars="2400"/>
        <w:rPr>
          <w:rFonts w:ascii="宋体" w:hAnsi="宋体"/>
          <w:bCs/>
          <w:szCs w:val="21"/>
          <w:u w:val="single"/>
        </w:rPr>
      </w:pPr>
      <w:r>
        <w:rPr>
          <w:rFonts w:hint="eastAsia" w:ascii="宋体" w:hAnsi="宋体"/>
          <w:bCs/>
          <w:szCs w:val="21"/>
        </w:rPr>
        <w:t>合同编号：</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400" w:lineRule="exact"/>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项目名称和</w:t>
      </w:r>
      <w:r>
        <w:rPr>
          <w:rFonts w:hint="eastAsia" w:ascii="宋体" w:hAnsi="宋体"/>
          <w:spacing w:val="-20"/>
          <w:szCs w:val="21"/>
        </w:rPr>
        <w:t>项目编号</w:t>
      </w:r>
      <w:r>
        <w:rPr>
          <w:rFonts w:hint="eastAsia" w:ascii="宋体" w:hAnsi="宋体"/>
          <w:szCs w:val="21"/>
          <w:u w:val="single"/>
        </w:rPr>
        <w:t xml:space="preserve">             </w:t>
      </w:r>
    </w:p>
    <w:p>
      <w:pPr>
        <w:snapToGrid w:val="0"/>
        <w:spacing w:line="400" w:lineRule="exact"/>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400" w:lineRule="exact"/>
        <w:ind w:firstLine="480" w:firstLineChars="200"/>
        <w:rPr>
          <w:rFonts w:ascii="宋体" w:hAnsi="宋体"/>
          <w:szCs w:val="21"/>
        </w:rPr>
      </w:pPr>
    </w:p>
    <w:p>
      <w:pPr>
        <w:snapToGrid w:val="0"/>
        <w:spacing w:line="400" w:lineRule="exact"/>
        <w:ind w:firstLine="480" w:firstLineChars="200"/>
        <w:rPr>
          <w:rFonts w:ascii="宋体" w:hAnsi="宋体"/>
          <w:szCs w:val="21"/>
        </w:rPr>
      </w:pPr>
      <w:r>
        <w:rPr>
          <w:rFonts w:hint="eastAsia" w:ascii="宋体" w:hAnsi="宋体"/>
          <w:szCs w:val="21"/>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napToGrid w:val="0"/>
        <w:spacing w:line="400" w:lineRule="exact"/>
        <w:ind w:firstLine="482" w:firstLineChars="200"/>
        <w:rPr>
          <w:rFonts w:ascii="宋体" w:hAnsi="宋体"/>
          <w:b/>
          <w:szCs w:val="21"/>
        </w:rPr>
      </w:pPr>
      <w:r>
        <w:rPr>
          <w:rFonts w:hint="eastAsia" w:ascii="宋体" w:hAnsi="宋体"/>
          <w:b/>
          <w:szCs w:val="21"/>
        </w:rPr>
        <w:t>第一条　合同标的</w:t>
      </w:r>
    </w:p>
    <w:p>
      <w:pPr>
        <w:snapToGrid w:val="0"/>
        <w:spacing w:line="400" w:lineRule="exact"/>
        <w:ind w:firstLine="480" w:firstLineChars="200"/>
        <w:rPr>
          <w:rFonts w:ascii="宋体" w:hAnsi="宋体"/>
          <w:szCs w:val="21"/>
        </w:rPr>
      </w:pPr>
      <w:r>
        <w:rPr>
          <w:rFonts w:hint="eastAsia" w:ascii="宋体" w:hAnsi="宋体"/>
          <w:szCs w:val="21"/>
        </w:rPr>
        <w:t>1、服务一览表</w:t>
      </w:r>
    </w:p>
    <w:tbl>
      <w:tblPr>
        <w:tblStyle w:val="3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4"/>
        <w:gridCol w:w="540"/>
        <w:gridCol w:w="39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20" w:hRule="atLeast"/>
        </w:trPr>
        <w:tc>
          <w:tcPr>
            <w:tcW w:w="496"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664" w:type="dxa"/>
            <w:vAlign w:val="center"/>
          </w:tcPr>
          <w:p>
            <w:pPr>
              <w:snapToGrid w:val="0"/>
              <w:spacing w:line="400" w:lineRule="exact"/>
              <w:jc w:val="center"/>
              <w:rPr>
                <w:rFonts w:ascii="宋体" w:hAnsi="宋体"/>
                <w:szCs w:val="21"/>
              </w:rPr>
            </w:pPr>
            <w:r>
              <w:rPr>
                <w:rFonts w:hint="eastAsia" w:ascii="宋体" w:hAnsi="宋体"/>
                <w:szCs w:val="21"/>
              </w:rPr>
              <w:t>服务内容</w:t>
            </w:r>
          </w:p>
        </w:tc>
        <w:tc>
          <w:tcPr>
            <w:tcW w:w="540" w:type="dxa"/>
            <w:vAlign w:val="center"/>
          </w:tcPr>
          <w:p>
            <w:pPr>
              <w:snapToGrid w:val="0"/>
              <w:spacing w:line="400" w:lineRule="exact"/>
              <w:jc w:val="center"/>
              <w:rPr>
                <w:rFonts w:ascii="宋体" w:hAnsi="宋体"/>
                <w:szCs w:val="21"/>
              </w:rPr>
            </w:pPr>
            <w:r>
              <w:rPr>
                <w:rFonts w:hint="eastAsia" w:ascii="宋体" w:hAnsi="宋体"/>
                <w:szCs w:val="21"/>
              </w:rPr>
              <w:t>数  量</w:t>
            </w:r>
          </w:p>
        </w:tc>
        <w:tc>
          <w:tcPr>
            <w:tcW w:w="3960" w:type="dxa"/>
            <w:vAlign w:val="center"/>
          </w:tcPr>
          <w:p>
            <w:pPr>
              <w:snapToGrid w:val="0"/>
              <w:spacing w:line="400" w:lineRule="exact"/>
              <w:jc w:val="center"/>
              <w:rPr>
                <w:rFonts w:ascii="宋体" w:hAnsi="宋体"/>
                <w:szCs w:val="21"/>
              </w:rPr>
            </w:pPr>
            <w:r>
              <w:rPr>
                <w:rFonts w:hint="eastAsia" w:ascii="宋体" w:hAnsi="宋体"/>
                <w:szCs w:val="21"/>
              </w:rPr>
              <w:t>单位</w:t>
            </w:r>
          </w:p>
        </w:tc>
        <w:tc>
          <w:tcPr>
            <w:tcW w:w="2880" w:type="dxa"/>
            <w:vAlign w:val="center"/>
          </w:tcPr>
          <w:p>
            <w:pPr>
              <w:snapToGrid w:val="0"/>
              <w:spacing w:line="400" w:lineRule="exact"/>
              <w:jc w:val="center"/>
              <w:rPr>
                <w:rFonts w:ascii="宋体" w:hAnsi="宋体"/>
                <w:szCs w:val="21"/>
              </w:rPr>
            </w:pPr>
            <w:r>
              <w:rPr>
                <w:rFonts w:hint="eastAsia" w:ascii="宋体" w:hAnsi="宋体"/>
                <w:szCs w:val="21"/>
              </w:rPr>
              <w:t>金  额</w:t>
            </w:r>
          </w:p>
          <w:p>
            <w:pPr>
              <w:snapToGrid w:val="0"/>
              <w:spacing w:line="400" w:lineRule="exact"/>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trPr>
        <w:tc>
          <w:tcPr>
            <w:tcW w:w="9540" w:type="dxa"/>
            <w:gridSpan w:val="5"/>
            <w:vAlign w:val="center"/>
          </w:tcPr>
          <w:p>
            <w:pPr>
              <w:snapToGrid w:val="0"/>
              <w:spacing w:line="400" w:lineRule="exact"/>
              <w:jc w:val="center"/>
              <w:rPr>
                <w:rFonts w:ascii="宋体" w:hAnsi="宋体"/>
                <w:szCs w:val="21"/>
              </w:rPr>
            </w:pPr>
            <w:r>
              <w:rPr>
                <w:rFonts w:hint="eastAsia" w:ascii="宋体" w:hAnsi="宋体"/>
                <w:szCs w:val="21"/>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540" w:type="dxa"/>
            <w:gridSpan w:val="5"/>
            <w:vAlign w:val="center"/>
          </w:tcPr>
          <w:p>
            <w:pPr>
              <w:snapToGrid w:val="0"/>
              <w:spacing w:line="400" w:lineRule="exact"/>
              <w:rPr>
                <w:rFonts w:ascii="宋体" w:hAnsi="宋体"/>
                <w:szCs w:val="21"/>
              </w:rPr>
            </w:pPr>
            <w:r>
              <w:rPr>
                <w:rFonts w:hint="eastAsia" w:ascii="宋体" w:hAnsi="宋体"/>
                <w:szCs w:val="21"/>
              </w:rPr>
              <w:t>人民币合计金额（大写）：                                       小写金额：</w:t>
            </w:r>
          </w:p>
        </w:tc>
      </w:tr>
    </w:tbl>
    <w:p>
      <w:pPr>
        <w:snapToGrid w:val="0"/>
        <w:spacing w:line="400" w:lineRule="exact"/>
        <w:ind w:right="420" w:firstLine="480" w:firstLineChars="200"/>
        <w:rPr>
          <w:rFonts w:ascii="宋体" w:hAnsi="宋体"/>
          <w:szCs w:val="21"/>
        </w:rPr>
      </w:pPr>
      <w:r>
        <w:rPr>
          <w:rFonts w:hint="eastAsia" w:ascii="宋体" w:hAnsi="宋体"/>
          <w:szCs w:val="21"/>
        </w:rPr>
        <w:t>2、合同合计金额包括</w:t>
      </w:r>
      <w:r>
        <w:rPr>
          <w:rFonts w:hint="eastAsia" w:hAnsi="宋体"/>
          <w:bCs/>
        </w:rPr>
        <w:t>服务费、设备费、管理费、验收费、利润、税金及其它所有成本、费用的总和</w:t>
      </w:r>
      <w:r>
        <w:rPr>
          <w:rFonts w:hint="eastAsia" w:ascii="宋体" w:hAnsi="宋体"/>
          <w:szCs w:val="21"/>
        </w:rPr>
        <w:t>。如磋商文件、响应文件对其另有规定的，从其规定。</w:t>
      </w:r>
    </w:p>
    <w:p>
      <w:pPr>
        <w:snapToGrid w:val="0"/>
        <w:spacing w:line="400" w:lineRule="exact"/>
        <w:ind w:firstLine="482" w:firstLineChars="200"/>
        <w:rPr>
          <w:rFonts w:ascii="宋体" w:hAnsi="宋体"/>
          <w:szCs w:val="21"/>
        </w:rPr>
      </w:pPr>
      <w:r>
        <w:rPr>
          <w:rFonts w:hint="eastAsia" w:ascii="宋体" w:hAnsi="宋体"/>
          <w:b/>
          <w:szCs w:val="21"/>
        </w:rPr>
        <w:t>第二条　质量保证</w:t>
      </w:r>
    </w:p>
    <w:p>
      <w:pPr>
        <w:snapToGrid w:val="0"/>
        <w:spacing w:line="400" w:lineRule="exact"/>
        <w:ind w:firstLine="480" w:firstLineChars="200"/>
        <w:rPr>
          <w:rFonts w:ascii="宋体" w:hAnsi="宋体"/>
          <w:szCs w:val="21"/>
        </w:rPr>
      </w:pPr>
      <w:r>
        <w:rPr>
          <w:rFonts w:hint="eastAsia" w:ascii="宋体" w:hAnsi="宋体"/>
          <w:szCs w:val="21"/>
        </w:rPr>
        <w:t>乙方所提供的服务质量必须与磋商文件、响应文件和承诺相一致。</w:t>
      </w:r>
    </w:p>
    <w:p>
      <w:pPr>
        <w:snapToGrid w:val="0"/>
        <w:spacing w:line="400" w:lineRule="exact"/>
        <w:ind w:firstLine="482" w:firstLineChars="200"/>
        <w:rPr>
          <w:rFonts w:ascii="宋体" w:hAnsi="宋体"/>
          <w:szCs w:val="21"/>
        </w:rPr>
      </w:pPr>
      <w:r>
        <w:rPr>
          <w:rFonts w:hint="eastAsia" w:ascii="宋体" w:hAnsi="宋体"/>
          <w:b/>
          <w:szCs w:val="21"/>
        </w:rPr>
        <w:t>第三条　交付和验收</w:t>
      </w:r>
    </w:p>
    <w:p>
      <w:pPr>
        <w:snapToGrid w:val="0"/>
        <w:spacing w:line="400" w:lineRule="exact"/>
        <w:ind w:firstLine="480" w:firstLineChars="200"/>
        <w:rPr>
          <w:rFonts w:ascii="宋体" w:hAnsi="宋体"/>
          <w:szCs w:val="21"/>
        </w:rPr>
      </w:pPr>
      <w:r>
        <w:rPr>
          <w:rFonts w:hint="eastAsia" w:ascii="宋体" w:hAnsi="宋体"/>
          <w:szCs w:val="21"/>
        </w:rPr>
        <w:t>1、服务交付使用时间：</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80" w:firstLineChars="200"/>
        <w:rPr>
          <w:rFonts w:ascii="宋体" w:hAnsi="宋体"/>
          <w:szCs w:val="21"/>
        </w:rPr>
      </w:pPr>
      <w:r>
        <w:rPr>
          <w:rFonts w:hint="eastAsia" w:ascii="宋体" w:hAnsi="宋体"/>
          <w:szCs w:val="21"/>
        </w:rPr>
        <w:t>2、服务交付使用地点：</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80" w:firstLineChars="200"/>
        <w:rPr>
          <w:rFonts w:ascii="宋体" w:hAnsi="宋体"/>
          <w:szCs w:val="21"/>
        </w:rPr>
      </w:pPr>
      <w:r>
        <w:rPr>
          <w:rFonts w:hint="eastAsia" w:ascii="宋体" w:hAnsi="宋体"/>
          <w:szCs w:val="21"/>
        </w:rPr>
        <w:t>3、</w:t>
      </w:r>
      <w:r>
        <w:rPr>
          <w:rFonts w:hint="eastAsia" w:ascii="宋体" w:hAnsi="宋体"/>
          <w:b/>
          <w:szCs w:val="21"/>
        </w:rPr>
        <w:t>验收方式：</w:t>
      </w:r>
    </w:p>
    <w:p>
      <w:pPr>
        <w:snapToGrid w:val="0"/>
        <w:spacing w:line="400" w:lineRule="exact"/>
        <w:ind w:firstLine="482" w:firstLineChars="200"/>
        <w:rPr>
          <w:rFonts w:ascii="宋体" w:hAnsi="宋体"/>
          <w:szCs w:val="21"/>
          <w:u w:val="single"/>
        </w:rPr>
      </w:pPr>
      <w:r>
        <w:rPr>
          <w:rFonts w:hint="eastAsia" w:ascii="宋体" w:hAnsi="宋体"/>
          <w:b/>
          <w:szCs w:val="21"/>
        </w:rPr>
        <w:t>第四条  付款方式</w:t>
      </w:r>
    </w:p>
    <w:p>
      <w:pPr>
        <w:snapToGrid w:val="0"/>
        <w:spacing w:line="400" w:lineRule="exact"/>
        <w:ind w:firstLine="480" w:firstLineChars="200"/>
        <w:rPr>
          <w:rFonts w:ascii="宋体" w:hAnsi="宋体"/>
          <w:szCs w:val="21"/>
          <w:u w:val="single"/>
        </w:rPr>
      </w:pPr>
      <w:r>
        <w:rPr>
          <w:rFonts w:hint="eastAsia" w:ascii="宋体" w:hAnsi="宋体"/>
          <w:szCs w:val="21"/>
        </w:rPr>
        <w:t>1、资金性质：</w:t>
      </w:r>
      <w:r>
        <w:rPr>
          <w:rFonts w:hint="eastAsia" w:ascii="宋体" w:hAnsi="宋体"/>
          <w:szCs w:val="21"/>
          <w:u w:val="single"/>
        </w:rPr>
        <w:t xml:space="preserve">                       。</w:t>
      </w:r>
    </w:p>
    <w:p>
      <w:pPr>
        <w:snapToGrid/>
        <w:spacing w:line="360" w:lineRule="auto"/>
        <w:ind w:right="0" w:firstLine="480" w:firstLineChars="200"/>
        <w:rPr>
          <w:rFonts w:ascii="宋体" w:hAnsi="宋体"/>
          <w:szCs w:val="21"/>
        </w:rPr>
      </w:pPr>
      <w:r>
        <w:rPr>
          <w:rFonts w:hint="eastAsia" w:ascii="宋体" w:hAnsi="宋体"/>
          <w:szCs w:val="21"/>
        </w:rPr>
        <w:t>2、付款方式：</w:t>
      </w: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eastAsia="zh-CN"/>
          <w14:textFill>
            <w14:solidFill>
              <w14:schemeClr w14:val="tx1"/>
            </w14:solidFill>
          </w14:textFill>
        </w:rPr>
        <w:t>签合同后预付总合同款的</w:t>
      </w:r>
      <w:r>
        <w:rPr>
          <w:rFonts w:hint="eastAsia"/>
          <w:color w:val="000000" w:themeColor="text1"/>
          <w:sz w:val="24"/>
          <w:szCs w:val="24"/>
          <w:lang w:val="en-US" w:eastAsia="zh-CN"/>
          <w14:textFill>
            <w14:solidFill>
              <w14:schemeClr w14:val="tx1"/>
            </w14:solidFill>
          </w14:textFill>
        </w:rPr>
        <w:t>30%</w:t>
      </w:r>
      <w:r>
        <w:rPr>
          <w:rFonts w:hint="eastAsia"/>
          <w:color w:val="000000" w:themeColor="text1"/>
          <w:sz w:val="24"/>
          <w:szCs w:val="24"/>
          <w14:textFill>
            <w14:solidFill>
              <w14:schemeClr w14:val="tx1"/>
            </w14:solidFill>
          </w14:textFill>
        </w:rPr>
        <w:t>，验收合格后一次性支付总合同款的</w:t>
      </w:r>
      <w:r>
        <w:rPr>
          <w:rFonts w:hint="eastAsia"/>
          <w:color w:val="000000" w:themeColor="text1"/>
          <w:sz w:val="24"/>
          <w:szCs w:val="24"/>
          <w:lang w:val="en-US" w:eastAsia="zh-CN"/>
          <w14:textFill>
            <w14:solidFill>
              <w14:schemeClr w14:val="tx1"/>
            </w14:solidFill>
          </w14:textFill>
        </w:rPr>
        <w:t>70</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ascii="宋体" w:hAnsi="宋体" w:cs="宋体"/>
          <w:szCs w:val="21"/>
        </w:rPr>
        <w:t xml:space="preserve"> </w:t>
      </w:r>
      <w:r>
        <w:rPr>
          <w:rFonts w:hint="eastAsia" w:ascii="宋体" w:hAnsi="宋体"/>
          <w:szCs w:val="21"/>
        </w:rPr>
        <w:t xml:space="preserve"> </w:t>
      </w:r>
    </w:p>
    <w:p>
      <w:pPr>
        <w:snapToGrid w:val="0"/>
        <w:spacing w:line="400" w:lineRule="exact"/>
        <w:ind w:firstLine="482" w:firstLineChars="200"/>
        <w:rPr>
          <w:rFonts w:ascii="宋体" w:hAnsi="宋体"/>
          <w:b/>
          <w:szCs w:val="21"/>
        </w:rPr>
      </w:pPr>
      <w:r>
        <w:rPr>
          <w:rFonts w:hint="eastAsia" w:ascii="宋体" w:hAnsi="宋体"/>
          <w:b/>
          <w:szCs w:val="21"/>
        </w:rPr>
        <w:t>第五条 税费  本合同执行中相关的一切税费均由乙方负担。</w:t>
      </w:r>
    </w:p>
    <w:p>
      <w:pPr>
        <w:pStyle w:val="20"/>
        <w:snapToGrid w:val="0"/>
        <w:spacing w:line="400" w:lineRule="exact"/>
        <w:ind w:left="480" w:leftChars="200" w:right="26"/>
      </w:pPr>
      <w:r>
        <w:rPr>
          <w:rFonts w:hint="eastAsia"/>
        </w:rPr>
        <w:t>第六条　违约责任</w:t>
      </w:r>
    </w:p>
    <w:p>
      <w:pPr>
        <w:snapToGrid w:val="0"/>
        <w:spacing w:line="400" w:lineRule="exact"/>
        <w:ind w:firstLine="600" w:firstLineChars="250"/>
        <w:rPr>
          <w:rFonts w:ascii="宋体" w:hAnsi="宋体"/>
          <w:szCs w:val="21"/>
        </w:rPr>
      </w:pPr>
      <w:r>
        <w:rPr>
          <w:rFonts w:hint="eastAsia" w:ascii="宋体" w:hAnsi="宋体"/>
          <w:szCs w:val="21"/>
        </w:rPr>
        <w:t>1、合同一方</w:t>
      </w:r>
      <w:r>
        <w:rPr>
          <w:rFonts w:hint="eastAsia"/>
        </w:rPr>
        <w:t>违约，</w:t>
      </w:r>
      <w:r>
        <w:rPr>
          <w:rFonts w:hint="eastAsia" w:ascii="宋体" w:hAnsi="宋体"/>
          <w:szCs w:val="21"/>
        </w:rPr>
        <w:t>违约方向对方支付违约金，违约金额为成交金额的   。成交供应商违约的，违约金按约定金额支付，采购人违约的，违约金从采购款中扣除。</w:t>
      </w:r>
    </w:p>
    <w:p>
      <w:pPr>
        <w:snapToGrid w:val="0"/>
        <w:spacing w:line="400" w:lineRule="exact"/>
        <w:ind w:firstLine="480" w:firstLineChars="200"/>
        <w:rPr>
          <w:rFonts w:ascii="宋体" w:hAnsi="宋体"/>
          <w:szCs w:val="21"/>
        </w:rPr>
      </w:pPr>
      <w:r>
        <w:rPr>
          <w:rFonts w:hint="eastAsia" w:ascii="宋体" w:hAnsi="宋体"/>
          <w:szCs w:val="21"/>
        </w:rPr>
        <w:t>2、成交供应商给采购人造成的损失超过违约金额的，成交供应商应给采购人高出违约金的部分予以赔偿。</w:t>
      </w:r>
    </w:p>
    <w:p>
      <w:pPr>
        <w:snapToGrid w:val="0"/>
        <w:spacing w:line="400" w:lineRule="exact"/>
        <w:ind w:firstLine="480" w:firstLineChars="200"/>
      </w:pPr>
      <w:r>
        <w:rPr>
          <w:rFonts w:hint="eastAsia" w:ascii="宋体" w:hAnsi="宋体"/>
          <w:szCs w:val="21"/>
        </w:rPr>
        <w:t>3、成交供应商延迟履约、不完全履约或提供的服务不符合磋商文件和响应文件要求的。除支付</w:t>
      </w:r>
      <w:r>
        <w:rPr>
          <w:rFonts w:hint="eastAsia"/>
        </w:rPr>
        <w:t>违约金外，仍需继续履行合同或重新提供符合要求的服务。</w:t>
      </w:r>
    </w:p>
    <w:p>
      <w:pPr>
        <w:pStyle w:val="20"/>
        <w:snapToGrid w:val="0"/>
        <w:spacing w:before="120" w:after="120" w:line="400" w:lineRule="exact"/>
        <w:ind w:firstLine="413" w:firstLineChars="196"/>
        <w:rPr>
          <w:rFonts w:hAnsi="宋体"/>
          <w:b/>
        </w:rPr>
      </w:pPr>
      <w:r>
        <w:rPr>
          <w:rFonts w:hint="eastAsia" w:hAnsi="宋体"/>
          <w:b/>
        </w:rPr>
        <w:t>第七条 不可抗力事件处理</w:t>
      </w:r>
    </w:p>
    <w:p>
      <w:pPr>
        <w:pStyle w:val="20"/>
        <w:snapToGrid w:val="0"/>
        <w:spacing w:before="120" w:after="120" w:line="40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20"/>
        <w:snapToGrid w:val="0"/>
        <w:spacing w:before="120" w:after="120" w:line="400" w:lineRule="exact"/>
        <w:ind w:firstLine="420" w:firstLineChars="200"/>
        <w:rPr>
          <w:rFonts w:hAnsi="宋体"/>
        </w:rPr>
      </w:pPr>
      <w:r>
        <w:rPr>
          <w:rFonts w:hint="eastAsia" w:hAnsi="宋体"/>
        </w:rPr>
        <w:t>2. 不可抗力事件发生后，应立即通知对方，并寄送有关权威机构出具的证明。</w:t>
      </w:r>
    </w:p>
    <w:p>
      <w:pPr>
        <w:pStyle w:val="20"/>
        <w:snapToGrid w:val="0"/>
        <w:spacing w:before="120" w:after="120" w:line="400" w:lineRule="exact"/>
        <w:ind w:firstLine="420" w:firstLineChars="200"/>
        <w:rPr>
          <w:rFonts w:hAnsi="宋体"/>
        </w:rPr>
      </w:pPr>
      <w:r>
        <w:rPr>
          <w:rFonts w:hint="eastAsia" w:hAnsi="宋体"/>
        </w:rPr>
        <w:t>3. 不可抗力事件延续一百二十天以上，双方应通过友好协商，确定是否继续履行合同。</w:t>
      </w:r>
    </w:p>
    <w:p>
      <w:pPr>
        <w:snapToGrid w:val="0"/>
        <w:spacing w:line="400" w:lineRule="exact"/>
        <w:ind w:firstLine="482" w:firstLineChars="200"/>
        <w:rPr>
          <w:rFonts w:ascii="宋体" w:hAnsi="宋体"/>
          <w:szCs w:val="21"/>
        </w:rPr>
      </w:pPr>
      <w:r>
        <w:rPr>
          <w:rFonts w:hint="eastAsia" w:ascii="宋体" w:hAnsi="宋体"/>
          <w:b/>
          <w:szCs w:val="21"/>
        </w:rPr>
        <w:t>第八条  合同争议解决</w:t>
      </w:r>
    </w:p>
    <w:p>
      <w:pPr>
        <w:snapToGrid w:val="0"/>
        <w:spacing w:line="400" w:lineRule="exact"/>
        <w:ind w:firstLine="480" w:firstLineChars="200"/>
        <w:rPr>
          <w:rFonts w:ascii="宋体" w:hAnsi="宋体"/>
          <w:szCs w:val="21"/>
        </w:rPr>
      </w:pPr>
      <w:r>
        <w:rPr>
          <w:rFonts w:hint="eastAsia" w:ascii="宋体" w:hAnsi="宋体"/>
          <w:szCs w:val="21"/>
        </w:rPr>
        <w:t>1、因服务质量问题发生争议的，应邀请国家认可的质量检测机构对服务质量进行鉴定。服务符合标准或要求的，鉴定费由甲方承担；服务不符合标准或要求的，鉴定费由乙方承担。</w:t>
      </w:r>
    </w:p>
    <w:p>
      <w:pPr>
        <w:snapToGrid w:val="0"/>
        <w:spacing w:line="400" w:lineRule="exact"/>
        <w:ind w:firstLine="48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2、因履行本合同引起的或与本合同有关的争议，甲乙双方应首先通过友好协商解决，如果协商不能解决，可向仲裁委员会申请仲裁或向人民法院提起诉讼。</w:t>
      </w:r>
    </w:p>
    <w:p>
      <w:pPr>
        <w:snapToGrid w:val="0"/>
        <w:spacing w:line="400" w:lineRule="exact"/>
        <w:ind w:firstLine="480" w:firstLineChars="200"/>
        <w:rPr>
          <w:rFonts w:ascii="宋体" w:hAnsi="宋体"/>
          <w:szCs w:val="21"/>
        </w:rPr>
      </w:pPr>
      <w:r>
        <w:rPr>
          <w:rFonts w:hint="eastAsia" w:ascii="宋体" w:hAnsi="宋体"/>
          <w:szCs w:val="21"/>
        </w:rPr>
        <w:t>3、诉讼期间，本合同继续履行。</w:t>
      </w:r>
    </w:p>
    <w:p>
      <w:pPr>
        <w:pStyle w:val="20"/>
        <w:snapToGrid w:val="0"/>
        <w:spacing w:before="120" w:after="120" w:line="400" w:lineRule="exact"/>
        <w:ind w:firstLine="413" w:firstLineChars="196"/>
        <w:rPr>
          <w:rFonts w:hAnsi="宋体"/>
          <w:b/>
        </w:rPr>
      </w:pPr>
      <w:r>
        <w:rPr>
          <w:rFonts w:hint="eastAsia" w:hAnsi="宋体"/>
          <w:b/>
        </w:rPr>
        <w:t>第九条  诉讼</w:t>
      </w:r>
    </w:p>
    <w:p>
      <w:pPr>
        <w:pStyle w:val="20"/>
        <w:snapToGrid w:val="0"/>
        <w:spacing w:before="120" w:after="120" w:line="400" w:lineRule="exact"/>
        <w:ind w:left="420" w:hanging="420" w:hangingChars="200"/>
        <w:rPr>
          <w:rFonts w:hAnsi="宋体"/>
        </w:rPr>
      </w:pPr>
      <w:r>
        <w:rPr>
          <w:rFonts w:hint="eastAsia" w:hAnsi="宋体"/>
        </w:rPr>
        <w:t xml:space="preserve">    双方在执行合同中所发生的一切争议，应通过协商解决。如果协商不能解决，可向仲裁委员会申请仲裁或向人民法院提起诉讼。</w:t>
      </w:r>
    </w:p>
    <w:p>
      <w:pPr>
        <w:pStyle w:val="20"/>
        <w:snapToGrid w:val="0"/>
        <w:spacing w:before="120" w:after="120" w:line="400" w:lineRule="exact"/>
        <w:ind w:left="641" w:leftChars="267"/>
        <w:rPr>
          <w:rFonts w:hAnsi="宋体"/>
          <w:b/>
        </w:rPr>
      </w:pPr>
      <w:r>
        <w:rPr>
          <w:rFonts w:hint="eastAsia" w:hAnsi="宋体"/>
          <w:b/>
        </w:rPr>
        <w:t>第十条 合同生效及其它</w:t>
      </w:r>
    </w:p>
    <w:p>
      <w:pPr>
        <w:pStyle w:val="20"/>
        <w:snapToGrid w:val="0"/>
        <w:spacing w:before="120" w:after="120" w:line="400" w:lineRule="exact"/>
        <w:ind w:left="641" w:leftChars="267"/>
        <w:rPr>
          <w:rFonts w:hAnsi="宋体"/>
          <w:b/>
        </w:rPr>
      </w:pPr>
      <w:r>
        <w:rPr>
          <w:rFonts w:hint="eastAsia" w:hAnsi="宋体"/>
          <w:b/>
        </w:rPr>
        <w:t>1．合同经双方法定代表人或授权代表（委托代理人）签字并加盖单位公章后生效。</w:t>
      </w:r>
    </w:p>
    <w:p>
      <w:pPr>
        <w:pStyle w:val="20"/>
        <w:snapToGrid w:val="0"/>
        <w:spacing w:before="120" w:after="120" w:line="400" w:lineRule="exact"/>
        <w:ind w:left="641" w:leftChars="267"/>
        <w:rPr>
          <w:rFonts w:hAnsi="宋体"/>
          <w:b/>
        </w:rPr>
      </w:pPr>
      <w:r>
        <w:rPr>
          <w:rFonts w:hint="eastAsia" w:hAnsi="宋体"/>
          <w:b/>
        </w:rPr>
        <w:t>2．合同执行中涉及采购资金和采购内容修改或补充的，须经广西区财政厅政府采购监督管理处审批，并签书面补充协议报广西区财政厅政府采购监督管理处备案，方可作为主合同不可分割的一部分。</w:t>
      </w:r>
    </w:p>
    <w:p>
      <w:pPr>
        <w:pStyle w:val="20"/>
        <w:snapToGrid w:val="0"/>
        <w:spacing w:before="120" w:after="120" w:line="400" w:lineRule="exact"/>
        <w:ind w:left="641" w:leftChars="267"/>
        <w:rPr>
          <w:rFonts w:hAnsi="宋体"/>
          <w:b/>
        </w:rPr>
      </w:pPr>
      <w:r>
        <w:rPr>
          <w:rFonts w:hint="eastAsia" w:hAnsi="宋体"/>
          <w:b/>
        </w:rPr>
        <w:t>3．本合同未尽事宜，遵照《中华人民共和国合同法》有关条文执行。</w:t>
      </w:r>
    </w:p>
    <w:p>
      <w:pPr>
        <w:snapToGrid w:val="0"/>
        <w:spacing w:line="400" w:lineRule="exact"/>
        <w:ind w:firstLine="482" w:firstLineChars="200"/>
        <w:rPr>
          <w:rFonts w:ascii="宋体" w:hAnsi="宋体"/>
          <w:b/>
          <w:szCs w:val="21"/>
        </w:rPr>
      </w:pPr>
      <w:r>
        <w:rPr>
          <w:rFonts w:hint="eastAsia" w:ascii="宋体" w:hAnsi="宋体"/>
          <w:b/>
          <w:szCs w:val="21"/>
        </w:rPr>
        <w:t>第十一条　合同的变更、终止与转让</w:t>
      </w:r>
    </w:p>
    <w:p>
      <w:pPr>
        <w:snapToGrid w:val="0"/>
        <w:spacing w:line="400" w:lineRule="exact"/>
        <w:ind w:firstLine="48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20"/>
        <w:snapToGrid w:val="0"/>
        <w:spacing w:before="120" w:after="120" w:line="400" w:lineRule="exact"/>
        <w:ind w:firstLine="411" w:firstLineChars="196"/>
        <w:rPr>
          <w:rFonts w:hAnsi="宋体"/>
          <w:b/>
        </w:rPr>
      </w:pPr>
      <w:r>
        <w:rPr>
          <w:rFonts w:hint="eastAsia" w:hAnsi="宋体"/>
        </w:rPr>
        <w:t>2、乙方不得擅自转让其应履行的合同义务。</w:t>
      </w:r>
    </w:p>
    <w:p>
      <w:pPr>
        <w:snapToGrid w:val="0"/>
        <w:spacing w:line="400" w:lineRule="exact"/>
        <w:ind w:firstLine="482" w:firstLineChars="200"/>
        <w:rPr>
          <w:rFonts w:ascii="宋体" w:hAnsi="宋体"/>
          <w:b/>
          <w:szCs w:val="21"/>
        </w:rPr>
      </w:pPr>
      <w:r>
        <w:rPr>
          <w:rFonts w:hint="eastAsia" w:ascii="宋体" w:hAnsi="宋体"/>
          <w:b/>
          <w:szCs w:val="21"/>
        </w:rPr>
        <w:t>第十二条　签订本合同依据</w:t>
      </w:r>
    </w:p>
    <w:p>
      <w:pPr>
        <w:snapToGrid w:val="0"/>
        <w:spacing w:line="400" w:lineRule="exact"/>
        <w:ind w:firstLine="480" w:firstLineChars="200"/>
        <w:rPr>
          <w:rFonts w:ascii="宋体" w:hAnsi="宋体"/>
          <w:szCs w:val="21"/>
        </w:rPr>
      </w:pPr>
      <w:r>
        <w:rPr>
          <w:rFonts w:hint="eastAsia" w:ascii="宋体" w:hAnsi="宋体"/>
          <w:szCs w:val="21"/>
        </w:rPr>
        <w:t>1、磋商文件；</w:t>
      </w:r>
    </w:p>
    <w:p>
      <w:pPr>
        <w:snapToGrid w:val="0"/>
        <w:spacing w:line="400" w:lineRule="exact"/>
        <w:ind w:firstLine="480" w:firstLineChars="200"/>
        <w:rPr>
          <w:rFonts w:ascii="宋体" w:hAnsi="宋体"/>
          <w:szCs w:val="21"/>
        </w:rPr>
      </w:pPr>
      <w:r>
        <w:rPr>
          <w:rFonts w:hint="eastAsia" w:ascii="宋体" w:hAnsi="宋体"/>
          <w:szCs w:val="21"/>
        </w:rPr>
        <w:t>2、乙方提供的响应文件；</w:t>
      </w:r>
    </w:p>
    <w:p>
      <w:pPr>
        <w:snapToGrid w:val="0"/>
        <w:spacing w:line="400" w:lineRule="exact"/>
        <w:ind w:firstLine="480" w:firstLineChars="200"/>
        <w:rPr>
          <w:rFonts w:ascii="宋体" w:hAnsi="宋体"/>
          <w:szCs w:val="21"/>
        </w:rPr>
      </w:pPr>
      <w:r>
        <w:rPr>
          <w:rFonts w:hint="eastAsia" w:ascii="宋体" w:hAnsi="宋体"/>
          <w:szCs w:val="21"/>
        </w:rPr>
        <w:t xml:space="preserve">3、磋商书； </w:t>
      </w:r>
    </w:p>
    <w:p>
      <w:pPr>
        <w:snapToGrid w:val="0"/>
        <w:spacing w:line="400" w:lineRule="exact"/>
        <w:ind w:firstLine="480" w:firstLineChars="200"/>
        <w:rPr>
          <w:rFonts w:ascii="宋体" w:hAnsi="宋体"/>
          <w:szCs w:val="21"/>
        </w:rPr>
      </w:pPr>
      <w:r>
        <w:rPr>
          <w:rFonts w:hint="eastAsia" w:ascii="宋体" w:hAnsi="宋体"/>
          <w:szCs w:val="21"/>
        </w:rPr>
        <w:t>4、成交通知书。</w:t>
      </w:r>
    </w:p>
    <w:p>
      <w:pPr>
        <w:snapToGrid w:val="0"/>
        <w:spacing w:line="400" w:lineRule="exact"/>
        <w:ind w:firstLine="482" w:firstLineChars="200"/>
        <w:rPr>
          <w:rFonts w:ascii="宋体" w:hAnsi="宋体"/>
          <w:szCs w:val="21"/>
        </w:rPr>
      </w:pPr>
      <w:r>
        <w:rPr>
          <w:rFonts w:hint="eastAsia" w:ascii="宋体" w:hAnsi="宋体"/>
          <w:b/>
          <w:szCs w:val="21"/>
        </w:rPr>
        <w:t>第十三条　</w:t>
      </w:r>
      <w:r>
        <w:rPr>
          <w:rFonts w:hint="eastAsia" w:ascii="宋体" w:hAnsi="宋体"/>
          <w:szCs w:val="21"/>
        </w:rPr>
        <w:t>本合同一式六份，具有同等法律效力，广西区财政厅政府采购监督管理处、广西壮族自治区政府采购中心各一份，甲乙双方各一份（可根据需要另增加）。</w:t>
      </w:r>
    </w:p>
    <w:p>
      <w:pPr>
        <w:snapToGrid w:val="0"/>
        <w:spacing w:line="400" w:lineRule="exact"/>
        <w:ind w:firstLine="480" w:firstLineChars="200"/>
        <w:rPr>
          <w:rFonts w:ascii="宋体" w:hAnsi="宋体"/>
          <w:szCs w:val="21"/>
        </w:rPr>
      </w:pPr>
      <w:r>
        <w:rPr>
          <w:rFonts w:hint="eastAsia" w:ascii="宋体" w:hAnsi="宋体"/>
          <w:szCs w:val="21"/>
        </w:rPr>
        <w:t>本合同甲乙双方签字盖章后生效，自签订之日起七个工作日内，采购人或采购代理机构应当将合同副本报广西区财政厅政府采购监督管理处备案。</w:t>
      </w:r>
    </w:p>
    <w:tbl>
      <w:tblPr>
        <w:tblStyle w:val="3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vAlign w:val="center"/>
          </w:tcPr>
          <w:p>
            <w:pPr>
              <w:snapToGrid w:val="0"/>
              <w:spacing w:line="400" w:lineRule="exact"/>
              <w:rPr>
                <w:rFonts w:ascii="宋体" w:hAnsi="宋体"/>
                <w:szCs w:val="21"/>
              </w:rPr>
            </w:pPr>
            <w:r>
              <w:rPr>
                <w:rFonts w:hint="eastAsia" w:ascii="宋体" w:hAnsi="宋体"/>
                <w:szCs w:val="21"/>
              </w:rPr>
              <w:t xml:space="preserve">甲方（章）           </w:t>
            </w:r>
          </w:p>
          <w:p>
            <w:pPr>
              <w:snapToGrid w:val="0"/>
              <w:spacing w:line="400" w:lineRule="exact"/>
              <w:rPr>
                <w:rFonts w:ascii="宋体" w:hAnsi="宋体"/>
                <w:szCs w:val="21"/>
              </w:rPr>
            </w:pPr>
          </w:p>
          <w:p>
            <w:pPr>
              <w:snapToGrid w:val="0"/>
              <w:spacing w:line="400" w:lineRule="exact"/>
              <w:ind w:firstLine="1080" w:firstLineChars="450"/>
              <w:jc w:val="right"/>
              <w:rPr>
                <w:rFonts w:ascii="宋体" w:hAnsi="宋体"/>
                <w:szCs w:val="21"/>
              </w:rPr>
            </w:pPr>
            <w:r>
              <w:rPr>
                <w:rFonts w:hint="eastAsia" w:ascii="宋体" w:hAnsi="宋体"/>
                <w:szCs w:val="21"/>
              </w:rPr>
              <w:t>年   月   日</w:t>
            </w:r>
          </w:p>
        </w:tc>
        <w:tc>
          <w:tcPr>
            <w:tcW w:w="4517" w:type="dxa"/>
            <w:vAlign w:val="center"/>
          </w:tcPr>
          <w:p>
            <w:pPr>
              <w:snapToGrid w:val="0"/>
              <w:spacing w:line="400" w:lineRule="exact"/>
              <w:rPr>
                <w:rFonts w:ascii="宋体" w:hAnsi="宋体"/>
                <w:szCs w:val="21"/>
              </w:rPr>
            </w:pPr>
            <w:r>
              <w:rPr>
                <w:rFonts w:hint="eastAsia" w:ascii="宋体" w:hAnsi="宋体"/>
                <w:szCs w:val="21"/>
              </w:rPr>
              <w:t xml:space="preserve">乙方（章）              </w:t>
            </w: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16" w:type="dxa"/>
            <w:vAlign w:val="center"/>
          </w:tcPr>
          <w:p>
            <w:pPr>
              <w:snapToGrid w:val="0"/>
              <w:spacing w:line="400" w:lineRule="exact"/>
              <w:rPr>
                <w:rFonts w:ascii="宋体" w:hAnsi="宋体"/>
                <w:szCs w:val="21"/>
              </w:rPr>
            </w:pPr>
            <w:r>
              <w:rPr>
                <w:rFonts w:hint="eastAsia" w:ascii="宋体" w:hAnsi="宋体"/>
                <w:szCs w:val="21"/>
              </w:rPr>
              <w:t>单位地址：</w:t>
            </w:r>
          </w:p>
        </w:tc>
        <w:tc>
          <w:tcPr>
            <w:tcW w:w="4517" w:type="dxa"/>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516" w:type="dxa"/>
            <w:vAlign w:val="center"/>
          </w:tcPr>
          <w:p>
            <w:pPr>
              <w:snapToGrid w:val="0"/>
              <w:spacing w:line="400" w:lineRule="exact"/>
              <w:rPr>
                <w:rFonts w:ascii="宋体" w:hAnsi="宋体"/>
                <w:szCs w:val="21"/>
              </w:rPr>
            </w:pPr>
            <w:r>
              <w:rPr>
                <w:rFonts w:hint="eastAsia" w:ascii="宋体" w:hAnsi="宋体"/>
                <w:szCs w:val="21"/>
              </w:rPr>
              <w:t>法定代表人：</w:t>
            </w:r>
          </w:p>
        </w:tc>
        <w:tc>
          <w:tcPr>
            <w:tcW w:w="4517" w:type="dxa"/>
            <w:vAlign w:val="center"/>
          </w:tcPr>
          <w:p>
            <w:pPr>
              <w:snapToGrid w:val="0"/>
              <w:spacing w:line="40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516" w:type="dxa"/>
            <w:vAlign w:val="center"/>
          </w:tcPr>
          <w:p>
            <w:pPr>
              <w:snapToGrid w:val="0"/>
              <w:spacing w:line="400" w:lineRule="exact"/>
              <w:rPr>
                <w:rFonts w:ascii="宋体" w:hAnsi="宋体"/>
                <w:szCs w:val="21"/>
              </w:rPr>
            </w:pPr>
            <w:r>
              <w:rPr>
                <w:rFonts w:hint="eastAsia" w:ascii="宋体" w:hAnsi="宋体"/>
                <w:szCs w:val="21"/>
              </w:rPr>
              <w:t>委托代理人：</w:t>
            </w:r>
          </w:p>
        </w:tc>
        <w:tc>
          <w:tcPr>
            <w:tcW w:w="4517" w:type="dxa"/>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516" w:type="dxa"/>
            <w:vAlign w:val="center"/>
          </w:tcPr>
          <w:p>
            <w:pPr>
              <w:snapToGrid w:val="0"/>
              <w:spacing w:line="400" w:lineRule="exact"/>
              <w:rPr>
                <w:rFonts w:ascii="宋体" w:hAnsi="宋体"/>
                <w:szCs w:val="21"/>
              </w:rPr>
            </w:pPr>
            <w:r>
              <w:rPr>
                <w:rFonts w:hint="eastAsia" w:ascii="宋体" w:hAnsi="宋体"/>
                <w:szCs w:val="21"/>
              </w:rPr>
              <w:t>电话：</w:t>
            </w:r>
          </w:p>
        </w:tc>
        <w:tc>
          <w:tcPr>
            <w:tcW w:w="4517" w:type="dxa"/>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516" w:type="dxa"/>
            <w:vAlign w:val="center"/>
          </w:tcPr>
          <w:p>
            <w:pPr>
              <w:snapToGrid w:val="0"/>
              <w:spacing w:line="400" w:lineRule="exact"/>
              <w:rPr>
                <w:rFonts w:ascii="宋体" w:hAnsi="宋体"/>
                <w:szCs w:val="21"/>
              </w:rPr>
            </w:pPr>
            <w:r>
              <w:rPr>
                <w:rFonts w:hint="eastAsia" w:ascii="宋体" w:hAnsi="宋体"/>
                <w:szCs w:val="21"/>
              </w:rPr>
              <w:t>电子邮箱：</w:t>
            </w:r>
          </w:p>
        </w:tc>
        <w:tc>
          <w:tcPr>
            <w:tcW w:w="4517" w:type="dxa"/>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16" w:type="dxa"/>
            <w:vAlign w:val="center"/>
          </w:tcPr>
          <w:p>
            <w:pPr>
              <w:snapToGrid w:val="0"/>
              <w:spacing w:line="400" w:lineRule="exact"/>
              <w:rPr>
                <w:rFonts w:ascii="宋体" w:hAnsi="宋体"/>
                <w:szCs w:val="21"/>
              </w:rPr>
            </w:pPr>
            <w:r>
              <w:rPr>
                <w:rFonts w:hint="eastAsia" w:ascii="宋体" w:hAnsi="宋体"/>
                <w:szCs w:val="21"/>
              </w:rPr>
              <w:t>开户银行：</w:t>
            </w:r>
          </w:p>
        </w:tc>
        <w:tc>
          <w:tcPr>
            <w:tcW w:w="4517" w:type="dxa"/>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516" w:type="dxa"/>
            <w:vAlign w:val="center"/>
          </w:tcPr>
          <w:p>
            <w:pPr>
              <w:snapToGrid w:val="0"/>
              <w:spacing w:line="400" w:lineRule="exact"/>
              <w:rPr>
                <w:rFonts w:ascii="宋体" w:hAnsi="宋体"/>
                <w:szCs w:val="21"/>
              </w:rPr>
            </w:pPr>
            <w:r>
              <w:rPr>
                <w:rFonts w:hint="eastAsia" w:ascii="宋体" w:hAnsi="宋体"/>
                <w:szCs w:val="21"/>
              </w:rPr>
              <w:t>账号：</w:t>
            </w:r>
          </w:p>
        </w:tc>
        <w:tc>
          <w:tcPr>
            <w:tcW w:w="4517" w:type="dxa"/>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516" w:type="dxa"/>
            <w:vAlign w:val="center"/>
          </w:tcPr>
          <w:p>
            <w:pPr>
              <w:snapToGrid w:val="0"/>
              <w:spacing w:line="400" w:lineRule="exact"/>
              <w:rPr>
                <w:rFonts w:ascii="宋体" w:hAnsi="宋体"/>
                <w:szCs w:val="21"/>
              </w:rPr>
            </w:pPr>
            <w:r>
              <w:rPr>
                <w:rFonts w:hint="eastAsia" w:ascii="宋体" w:hAnsi="宋体"/>
                <w:szCs w:val="21"/>
              </w:rPr>
              <w:t>邮政编码：</w:t>
            </w:r>
          </w:p>
        </w:tc>
        <w:tc>
          <w:tcPr>
            <w:tcW w:w="4517" w:type="dxa"/>
            <w:vAlign w:val="center"/>
          </w:tcPr>
          <w:p>
            <w:pPr>
              <w:snapToGrid w:val="0"/>
              <w:spacing w:line="40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9033" w:type="dxa"/>
            <w:gridSpan w:val="2"/>
          </w:tcPr>
          <w:p>
            <w:pPr>
              <w:snapToGrid w:val="0"/>
              <w:spacing w:line="400" w:lineRule="exact"/>
              <w:rPr>
                <w:rFonts w:ascii="宋体" w:hAnsi="宋体"/>
                <w:szCs w:val="21"/>
              </w:rPr>
            </w:pPr>
            <w:r>
              <w:rPr>
                <w:rFonts w:hint="eastAsia" w:ascii="宋体" w:hAnsi="宋体"/>
                <w:szCs w:val="21"/>
              </w:rPr>
              <w:t>经办人：</w:t>
            </w:r>
          </w:p>
          <w:p>
            <w:pPr>
              <w:snapToGrid w:val="0"/>
              <w:spacing w:line="400" w:lineRule="exact"/>
              <w:ind w:firstLine="720" w:firstLineChars="300"/>
              <w:jc w:val="right"/>
              <w:rPr>
                <w:rFonts w:ascii="宋体" w:hAnsi="宋体"/>
                <w:szCs w:val="21"/>
              </w:rPr>
            </w:pPr>
            <w:r>
              <w:rPr>
                <w:rFonts w:hint="eastAsia" w:ascii="宋体" w:hAnsi="宋体"/>
                <w:szCs w:val="21"/>
              </w:rPr>
              <w:t>年    月    日</w:t>
            </w:r>
          </w:p>
        </w:tc>
      </w:tr>
    </w:tbl>
    <w:p>
      <w:pPr>
        <w:snapToGrid w:val="0"/>
        <w:ind w:left="480" w:hanging="480" w:hangingChars="200"/>
        <w:rPr>
          <w:rFonts w:ascii="宋体" w:hAnsi="宋体"/>
          <w:szCs w:val="21"/>
        </w:rPr>
      </w:pPr>
    </w:p>
    <w:p>
      <w:pPr>
        <w:snapToGrid w:val="0"/>
        <w:spacing w:line="360" w:lineRule="auto"/>
        <w:jc w:val="center"/>
        <w:rPr>
          <w:rFonts w:ascii="宋体" w:hAnsi="宋体"/>
          <w:b/>
          <w:szCs w:val="21"/>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p>
    <w:p>
      <w:pPr>
        <w:spacing w:line="500" w:lineRule="exact"/>
        <w:jc w:val="center"/>
        <w:rPr>
          <w:rFonts w:ascii="Times New Roman" w:hAnsi="Times New Roman" w:eastAsia="宋体"/>
          <w:b/>
          <w:kern w:val="2"/>
          <w:sz w:val="32"/>
          <w:szCs w:val="24"/>
        </w:rPr>
      </w:pPr>
      <w:r>
        <w:rPr>
          <w:rFonts w:hint="eastAsia" w:ascii="Times New Roman" w:hAnsi="Times New Roman" w:eastAsia="宋体"/>
          <w:b/>
          <w:kern w:val="2"/>
          <w:sz w:val="32"/>
          <w:szCs w:val="24"/>
        </w:rPr>
        <w:t>第六章评审方法</w:t>
      </w:r>
    </w:p>
    <w:p>
      <w:pPr>
        <w:spacing w:line="400" w:lineRule="exact"/>
        <w:ind w:firstLine="455" w:firstLineChars="216"/>
        <w:rPr>
          <w:rFonts w:ascii="宋体" w:hAnsi="宋体" w:eastAsia="宋体"/>
          <w:b/>
          <w:kern w:val="2"/>
          <w:sz w:val="21"/>
        </w:rPr>
      </w:pPr>
    </w:p>
    <w:p>
      <w:pPr>
        <w:spacing w:line="400" w:lineRule="exact"/>
        <w:ind w:firstLine="455" w:firstLineChars="216"/>
        <w:outlineLvl w:val="0"/>
        <w:rPr>
          <w:rFonts w:ascii="宋体" w:hAnsi="宋体" w:eastAsia="宋体"/>
          <w:b/>
          <w:kern w:val="2"/>
          <w:sz w:val="21"/>
        </w:rPr>
      </w:pPr>
      <w:r>
        <w:rPr>
          <w:rFonts w:hint="eastAsia" w:ascii="宋体" w:hAnsi="宋体" w:eastAsia="宋体"/>
          <w:b/>
          <w:kern w:val="2"/>
          <w:sz w:val="21"/>
        </w:rPr>
        <w:t>一、评标原则</w:t>
      </w:r>
    </w:p>
    <w:p>
      <w:pPr>
        <w:spacing w:line="400" w:lineRule="exact"/>
        <w:ind w:firstLine="420" w:firstLineChars="200"/>
        <w:rPr>
          <w:rFonts w:ascii="宋体" w:hAnsi="Courier New" w:eastAsia="宋体"/>
          <w:kern w:val="2"/>
          <w:sz w:val="21"/>
          <w:szCs w:val="21"/>
        </w:rPr>
      </w:pPr>
      <w:r>
        <w:rPr>
          <w:rFonts w:hint="eastAsia" w:ascii="宋体" w:hAnsi="Courier New" w:eastAsia="宋体"/>
          <w:kern w:val="2"/>
          <w:sz w:val="21"/>
          <w:szCs w:val="21"/>
        </w:rPr>
        <w:t>（一）磋商小组成：磋商小组由采购人代表和评审专家共</w:t>
      </w:r>
      <w:r>
        <w:rPr>
          <w:rFonts w:ascii="宋体" w:hAnsi="Courier New" w:eastAsia="宋体"/>
          <w:kern w:val="2"/>
          <w:sz w:val="21"/>
          <w:szCs w:val="21"/>
        </w:rPr>
        <w:t>3</w:t>
      </w:r>
      <w:r>
        <w:rPr>
          <w:rFonts w:hint="eastAsia" w:ascii="宋体" w:hAnsi="Courier New" w:eastAsia="宋体"/>
          <w:kern w:val="2"/>
          <w:sz w:val="21"/>
          <w:szCs w:val="21"/>
        </w:rPr>
        <w:t>人以上单数组成，其中评审专家人数不得少于磋商小组成员总数的三分之二。</w:t>
      </w:r>
    </w:p>
    <w:p>
      <w:pPr>
        <w:spacing w:line="400" w:lineRule="exact"/>
        <w:ind w:firstLine="420" w:firstLineChars="200"/>
        <w:rPr>
          <w:rFonts w:ascii="宋体" w:hAnsi="Courier New" w:eastAsia="宋体"/>
          <w:kern w:val="2"/>
          <w:sz w:val="21"/>
          <w:szCs w:val="21"/>
        </w:rPr>
      </w:pPr>
      <w:r>
        <w:rPr>
          <w:rFonts w:hint="eastAsia" w:ascii="宋体" w:hAnsi="Courier New" w:eastAsia="宋体"/>
          <w:kern w:val="2"/>
          <w:sz w:val="21"/>
          <w:szCs w:val="21"/>
        </w:rPr>
        <w:t>（二）评审依据：磋商小组将以磋商文件、响应文件为评标依据，对供应商的磋商报价、技术、售后服务、财务状况、信誉业绩及政策功能等方面内容按百分制打分。</w:t>
      </w:r>
    </w:p>
    <w:p>
      <w:pPr>
        <w:spacing w:line="400" w:lineRule="exact"/>
        <w:ind w:firstLine="420" w:firstLineChars="200"/>
        <w:rPr>
          <w:rFonts w:ascii="宋体" w:hAnsi="Courier New" w:eastAsia="宋体"/>
          <w:kern w:val="2"/>
          <w:sz w:val="21"/>
          <w:szCs w:val="21"/>
        </w:rPr>
      </w:pPr>
      <w:r>
        <w:rPr>
          <w:rFonts w:hint="eastAsia" w:ascii="宋体" w:hAnsi="Courier New" w:eastAsia="宋体"/>
          <w:kern w:val="2"/>
          <w:sz w:val="21"/>
          <w:szCs w:val="21"/>
        </w:rPr>
        <w:t>（三）评标方式：以封闭方式进行。</w:t>
      </w:r>
    </w:p>
    <w:p>
      <w:pPr>
        <w:spacing w:line="400" w:lineRule="exact"/>
        <w:ind w:firstLine="420" w:firstLineChars="200"/>
        <w:rPr>
          <w:rFonts w:ascii="宋体" w:hAnsi="Courier New" w:eastAsia="宋体"/>
          <w:kern w:val="2"/>
          <w:sz w:val="21"/>
          <w:szCs w:val="21"/>
        </w:rPr>
      </w:pPr>
      <w:r>
        <w:rPr>
          <w:rFonts w:hint="eastAsia" w:ascii="宋体" w:hAnsi="Courier New" w:eastAsia="宋体"/>
          <w:kern w:val="2"/>
          <w:sz w:val="21"/>
          <w:szCs w:val="21"/>
        </w:rPr>
        <w:t>（四）按照《政府采购促进中小企业发展暂行办法》（财库[2011]181号）、《关于我区政府采购支持监狱企业发展有关问题的通知》（桂财采[2015]24号），供应商认定为小型、微型企业、监狱企业的（以响应文件提供的符合规定的有关证明材料为准），</w:t>
      </w:r>
      <w:r>
        <w:rPr>
          <w:rFonts w:hint="eastAsia" w:ascii="宋体" w:hAnsi="宋体" w:eastAsia="宋体"/>
          <w:sz w:val="21"/>
          <w:szCs w:val="21"/>
        </w:rPr>
        <w:t>《关于促进残疾人就业政府采购政策的通知》</w:t>
      </w:r>
      <w:r>
        <w:rPr>
          <w:rFonts w:ascii="宋体" w:hAnsi="宋体" w:eastAsia="宋体"/>
          <w:sz w:val="21"/>
          <w:szCs w:val="21"/>
        </w:rPr>
        <w:t>(</w:t>
      </w:r>
      <w:r>
        <w:rPr>
          <w:rFonts w:hint="eastAsia" w:ascii="宋体" w:hAnsi="宋体" w:eastAsia="宋体"/>
          <w:sz w:val="21"/>
          <w:szCs w:val="21"/>
        </w:rPr>
        <w:t>财库〔</w:t>
      </w:r>
      <w:r>
        <w:rPr>
          <w:rFonts w:ascii="宋体" w:hAnsi="宋体" w:eastAsia="宋体"/>
          <w:sz w:val="21"/>
          <w:szCs w:val="21"/>
        </w:rPr>
        <w:t>2017</w:t>
      </w:r>
      <w:r>
        <w:rPr>
          <w:rFonts w:hint="eastAsia" w:ascii="宋体" w:hAnsi="宋体" w:eastAsia="宋体"/>
          <w:sz w:val="21"/>
          <w:szCs w:val="21"/>
        </w:rPr>
        <w:t>〕</w:t>
      </w:r>
      <w:r>
        <w:rPr>
          <w:rFonts w:ascii="宋体" w:hAnsi="宋体" w:eastAsia="宋体"/>
          <w:sz w:val="21"/>
          <w:szCs w:val="21"/>
        </w:rPr>
        <w:t>141</w:t>
      </w:r>
      <w:r>
        <w:rPr>
          <w:rFonts w:hint="eastAsia" w:ascii="宋体" w:hAnsi="宋体" w:eastAsia="宋体"/>
          <w:sz w:val="21"/>
          <w:szCs w:val="21"/>
        </w:rPr>
        <w:t>号</w:t>
      </w:r>
      <w:r>
        <w:rPr>
          <w:rFonts w:ascii="宋体" w:hAnsi="宋体" w:eastAsia="宋体"/>
          <w:sz w:val="21"/>
          <w:szCs w:val="21"/>
        </w:rPr>
        <w:t>)</w:t>
      </w:r>
      <w:r>
        <w:rPr>
          <w:rFonts w:hint="eastAsia" w:ascii="宋体" w:hAnsi="宋体" w:eastAsia="宋体"/>
          <w:sz w:val="21"/>
          <w:szCs w:val="21"/>
        </w:rPr>
        <w:t>，</w:t>
      </w:r>
      <w:r>
        <w:rPr>
          <w:rFonts w:hint="eastAsia" w:ascii="宋体" w:hAnsi="Courier New" w:eastAsia="宋体"/>
          <w:kern w:val="2"/>
          <w:sz w:val="21"/>
          <w:szCs w:val="21"/>
        </w:rPr>
        <w:t xml:space="preserve">对磋商报价（最后报价）给予6%的扣除，扣除后的价格为评审报价，即评审报价=磋商报价×（1-6%）；大中型企业与小型、微型企业、监狱企业组成联合体磋商，其中小型、微型企业、监狱企业的协议合同金额占到联合体协议合同总金额30%以上的，联合体磋商报价给予2%的扣除，扣除后的价格为评审报价，即评审报价=磋商报价×（1-2%）；除上述情况外，评审报价=磋商报价。 </w:t>
      </w:r>
    </w:p>
    <w:p>
      <w:pPr>
        <w:spacing w:line="400" w:lineRule="exact"/>
        <w:ind w:firstLine="413" w:firstLineChars="196"/>
        <w:outlineLvl w:val="0"/>
        <w:rPr>
          <w:rFonts w:ascii="宋体" w:hAnsi="宋体" w:eastAsia="宋体"/>
          <w:b/>
          <w:kern w:val="2"/>
          <w:sz w:val="21"/>
        </w:rPr>
      </w:pPr>
      <w:bookmarkStart w:id="43" w:name="_Toc322094434"/>
      <w:r>
        <w:rPr>
          <w:rFonts w:hint="eastAsia" w:ascii="宋体" w:hAnsi="宋体" w:eastAsia="宋体"/>
          <w:b/>
          <w:kern w:val="2"/>
          <w:sz w:val="21"/>
        </w:rPr>
        <w:t>二、评定方法</w:t>
      </w:r>
      <w:bookmarkEnd w:id="43"/>
    </w:p>
    <w:p>
      <w:pPr>
        <w:widowControl/>
        <w:spacing w:line="400" w:lineRule="exact"/>
        <w:ind w:firstLine="420" w:firstLineChars="200"/>
        <w:jc w:val="left"/>
        <w:outlineLvl w:val="0"/>
        <w:rPr>
          <w:rFonts w:ascii="宋体" w:hAnsi="宋体" w:eastAsia="宋体" w:cs="Courier New"/>
          <w:bCs/>
          <w:kern w:val="2"/>
          <w:sz w:val="21"/>
          <w:szCs w:val="21"/>
        </w:rPr>
      </w:pPr>
      <w:bookmarkStart w:id="44" w:name="_Toc322094435"/>
      <w:r>
        <w:rPr>
          <w:rFonts w:hint="eastAsia" w:ascii="宋体" w:hAnsi="宋体" w:eastAsia="宋体" w:cs="Courier New"/>
          <w:bCs/>
          <w:kern w:val="2"/>
          <w:sz w:val="21"/>
          <w:szCs w:val="21"/>
        </w:rPr>
        <w:t>（一）对进入详评的，采用百分制综合评分法。</w:t>
      </w:r>
      <w:bookmarkEnd w:id="44"/>
    </w:p>
    <w:p>
      <w:pPr>
        <w:spacing w:line="400" w:lineRule="exact"/>
        <w:ind w:firstLine="411" w:firstLineChars="196"/>
        <w:outlineLvl w:val="0"/>
        <w:rPr>
          <w:rFonts w:ascii="宋体" w:hAnsi="宋体" w:eastAsia="宋体"/>
          <w:bCs/>
          <w:kern w:val="2"/>
          <w:sz w:val="21"/>
        </w:rPr>
      </w:pPr>
      <w:bookmarkStart w:id="45" w:name="_Toc322094436"/>
      <w:r>
        <w:rPr>
          <w:rFonts w:hint="eastAsia" w:ascii="宋体" w:hAnsi="宋体" w:eastAsia="宋体"/>
          <w:bCs/>
          <w:kern w:val="2"/>
          <w:sz w:val="21"/>
        </w:rPr>
        <w:t>（二）计分办法（按四舍五入取至百分位）。</w:t>
      </w:r>
      <w:bookmarkEnd w:id="45"/>
    </w:p>
    <w:p>
      <w:pPr>
        <w:spacing w:line="400" w:lineRule="exact"/>
        <w:ind w:firstLine="211" w:firstLineChars="100"/>
        <w:outlineLvl w:val="0"/>
        <w:rPr>
          <w:rFonts w:ascii="宋体" w:hAnsi="宋体" w:eastAsia="宋体"/>
          <w:b/>
          <w:kern w:val="2"/>
          <w:sz w:val="21"/>
        </w:rPr>
      </w:pPr>
      <w:bookmarkStart w:id="46" w:name="_Toc322094437"/>
      <w:r>
        <w:rPr>
          <w:rFonts w:hint="eastAsia" w:ascii="宋体" w:hAnsi="宋体" w:eastAsia="宋体"/>
          <w:b/>
          <w:kern w:val="2"/>
          <w:sz w:val="21"/>
        </w:rPr>
        <w:t>1、价格分………………………………………………………………………………………………30分</w:t>
      </w:r>
      <w:bookmarkEnd w:id="46"/>
    </w:p>
    <w:p>
      <w:pPr>
        <w:spacing w:line="400" w:lineRule="exact"/>
        <w:ind w:firstLine="420" w:firstLineChars="200"/>
        <w:rPr>
          <w:rFonts w:ascii="宋体" w:hAnsi="Courier New" w:eastAsia="宋体"/>
          <w:kern w:val="2"/>
          <w:sz w:val="21"/>
          <w:szCs w:val="21"/>
        </w:rPr>
      </w:pPr>
      <w:bookmarkStart w:id="47" w:name="_Toc322094438"/>
      <w:r>
        <w:rPr>
          <w:rFonts w:hint="eastAsia" w:ascii="宋体" w:hAnsi="Courier New" w:eastAsia="宋体"/>
          <w:kern w:val="2"/>
          <w:sz w:val="21"/>
          <w:szCs w:val="21"/>
        </w:rPr>
        <w:t>（1）价格分统一采用低价优先法计算，即满足磋商文件要求且评审报价最低的供应商的评审报价为磋商基准价，其价格分为满分。</w:t>
      </w:r>
    </w:p>
    <w:p>
      <w:pPr>
        <w:spacing w:line="400" w:lineRule="exact"/>
        <w:ind w:firstLine="420" w:firstLineChars="200"/>
        <w:rPr>
          <w:rFonts w:ascii="宋体" w:hAnsi="Courier New" w:eastAsia="宋体"/>
          <w:kern w:val="2"/>
          <w:sz w:val="21"/>
          <w:szCs w:val="21"/>
        </w:rPr>
      </w:pPr>
      <w:r>
        <w:rPr>
          <w:rFonts w:hint="eastAsia" w:ascii="宋体" w:hAnsi="Courier New" w:eastAsia="宋体"/>
          <w:kern w:val="2"/>
          <w:sz w:val="21"/>
          <w:szCs w:val="21"/>
        </w:rPr>
        <w:t>（2）其他供应商的价格分统一按照下列公式计算：</w:t>
      </w:r>
    </w:p>
    <w:bookmarkEnd w:id="47"/>
    <w:p>
      <w:pPr>
        <w:spacing w:line="420" w:lineRule="exact"/>
        <w:ind w:left="480" w:leftChars="200" w:firstLine="2835" w:firstLineChars="1350"/>
        <w:outlineLvl w:val="0"/>
        <w:rPr>
          <w:rFonts w:ascii="宋体" w:hAnsi="Courier New" w:eastAsia="宋体"/>
          <w:kern w:val="2"/>
          <w:sz w:val="21"/>
          <w:szCs w:val="21"/>
        </w:rPr>
      </w:pPr>
      <w:r>
        <w:rPr>
          <w:rFonts w:hint="eastAsia" w:ascii="宋体" w:hAnsi="Courier New" w:eastAsia="宋体"/>
          <w:kern w:val="2"/>
          <w:sz w:val="21"/>
          <w:szCs w:val="21"/>
        </w:rPr>
        <w:t>投标人最低评标报价金额（元）</w:t>
      </w:r>
    </w:p>
    <w:p>
      <w:pPr>
        <w:spacing w:line="420" w:lineRule="exact"/>
        <w:ind w:left="480" w:leftChars="200"/>
        <w:outlineLvl w:val="0"/>
        <w:rPr>
          <w:rFonts w:ascii="宋体" w:hAnsi="Courier New" w:eastAsia="宋体"/>
          <w:kern w:val="2"/>
          <w:sz w:val="21"/>
          <w:szCs w:val="21"/>
        </w:rPr>
      </w:pPr>
      <w:r>
        <w:rPr>
          <w:rFonts w:ascii="宋体" w:hAnsi="Courier New" w:eastAsia="宋体"/>
          <w:kern w:val="2"/>
          <w:sz w:val="21"/>
          <w:szCs w:val="21"/>
        </w:rPr>
        <mc:AlternateContent>
          <mc:Choice Requires="wps">
            <w:drawing>
              <wp:anchor distT="0" distB="0" distL="114300" distR="114300" simplePos="0" relativeHeight="251660288" behindDoc="0" locked="0" layoutInCell="1" allowOverlap="1">
                <wp:simplePos x="0" y="0"/>
                <wp:positionH relativeFrom="column">
                  <wp:posOffset>1838960</wp:posOffset>
                </wp:positionH>
                <wp:positionV relativeFrom="paragraph">
                  <wp:posOffset>162560</wp:posOffset>
                </wp:positionV>
                <wp:extent cx="2400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8pt;margin-top:12.8pt;height:0pt;width:189pt;z-index:251660288;mso-width-relative:page;mso-height-relative:page;" filled="f" stroked="t" coordsize="21600,21600" o:gfxdata="UEsDBAoAAAAAAIdO4kAAAAAAAAAAAAAAAAAEAAAAZHJzL1BLAwQUAAAACACHTuJAkR0RhtUAAAAJ&#10;AQAADwAAAGRycy9kb3ducmV2LnhtbE2PT0/DMAzF70h8h8hIXCaWrIgyStMdgN64MEBcvca0FY3T&#10;Ndkf+PQYcYCTn+2n55/L1dEPak9T7ANbWMwNKOImuJ5bCy/P9cUSVEzIDofAZOGTIqyq05MSCxcO&#10;/ET7dWqVhHAs0EKX0lhoHZuOPMZ5GIll9x4mj0naqdVuwoOE+0FnxuTaY89yocOR7jpqPtY7byHW&#10;r7Stv2bNzLxdtoGy7f3jA1p7frYwt6ASHdOfGX7wBR0qYdqEHbuoBgvZ8iYXq4grqWLI82sRm9+B&#10;rkr9/4PqG1BLAwQUAAAACACHTuJAs8CHS94BAACkAwAADgAAAGRycy9lMm9Eb2MueG1srVNLjhMx&#10;EN0jcQfLe9KdwCBopTOLCcMGwUjAASr+dFvyTy5POrkEF0BiByuW7LkNwzEoO5kwwAYhsnDKrqrn&#10;es+vl+c7Z9lWJTTB93w+azlTXgRp/NDzt28uHzzhDDN4CTZ41fO9Qn6+un9vOcVOLcIYrFSJEYjH&#10;boo9H3OOXdOgGJUDnIWoPCV1SA4ybdPQyAQToTvbLNr2cTOFJGMKQiHS6fqQ5KuKr7US+ZXWqDKz&#10;PafZcl1TXTdlbVZL6IYEcTTiOAb8wxQOjKdLT1BryMCuk/kDyhmRAgadZyK4JmhthKociM28/Y3N&#10;6xGiqlxIHIwnmfD/wYqX26vEjKS348yDoye6ef/l27uP379+oPXm8yc2LyJNETuqvfBX6bjDeJUK&#10;451OrvwTF7arwu5PwqpdZoIOF4/a9mFL+ovbXPOzMSbMz1VwrAQ9t8YXztDB9gVmuoxKb0vKsfVs&#10;6vnTs8UZwQFZRlvIFLpIJNAPtReDNfLSWFs6MA2bC5vYFooJ6q9QItxfysola8DxUFdTB3uMCuQz&#10;L1neR5LHk495GcEpyZlVZPsSESB0GYz9m0q62vrSoKpFjzyLxgdVS7QJck9Pcx2TGUbSpT5DUzJk&#10;hTr90bbFa3f3FN/9uF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EdEYbVAAAACQEAAA8AAAAA&#10;AAAAAQAgAAAAIgAAAGRycy9kb3ducmV2LnhtbFBLAQIUABQAAAAIAIdO4kCzwIdL3gEAAKQDAAAO&#10;AAAAAAAAAAEAIAAAACQBAABkcnMvZTJvRG9jLnhtbFBLBQYAAAAABgAGAFkBAAB0BQAAAAA=&#10;">
                <v:fill on="f" focussize="0,0"/>
                <v:stroke color="#000000" joinstyle="round"/>
                <v:imagedata o:title=""/>
                <o:lock v:ext="edit" aspectratio="f"/>
              </v:line>
            </w:pict>
          </mc:Fallback>
        </mc:AlternateContent>
      </w:r>
      <w:r>
        <w:rPr>
          <w:rFonts w:hint="eastAsia" w:ascii="宋体" w:hAnsi="Courier New" w:eastAsia="宋体"/>
          <w:kern w:val="2"/>
          <w:sz w:val="21"/>
          <w:szCs w:val="21"/>
        </w:rPr>
        <w:t>（3）某投标人价格分 =                                      ×30分</w:t>
      </w:r>
    </w:p>
    <w:p>
      <w:pPr>
        <w:spacing w:line="420" w:lineRule="exact"/>
        <w:ind w:left="480" w:leftChars="200" w:firstLine="2835" w:firstLineChars="1350"/>
        <w:outlineLvl w:val="0"/>
        <w:rPr>
          <w:rFonts w:ascii="宋体" w:hAnsi="Courier New" w:eastAsia="宋体"/>
          <w:kern w:val="2"/>
          <w:sz w:val="21"/>
          <w:szCs w:val="21"/>
        </w:rPr>
      </w:pPr>
      <w:r>
        <w:rPr>
          <w:rFonts w:hint="eastAsia" w:ascii="宋体" w:hAnsi="Courier New" w:eastAsia="宋体"/>
          <w:kern w:val="2"/>
          <w:sz w:val="21"/>
          <w:szCs w:val="21"/>
        </w:rPr>
        <w:t>某投标人有效评标报价金额（元）</w:t>
      </w:r>
    </w:p>
    <w:p>
      <w:pPr>
        <w:pStyle w:val="20"/>
        <w:spacing w:line="396" w:lineRule="exact"/>
        <w:ind w:firstLine="422" w:firstLineChars="200"/>
        <w:rPr>
          <w:rFonts w:hint="eastAsia" w:ascii="宋体" w:hAnsi="Courier New" w:eastAsia="宋体" w:cs="Times New Roman"/>
          <w:b/>
          <w:kern w:val="2"/>
          <w:sz w:val="21"/>
          <w:szCs w:val="21"/>
          <w:lang w:val="en-US" w:eastAsia="zh-CN" w:bidi="ar-SA"/>
        </w:rPr>
      </w:pPr>
      <w:r>
        <w:rPr>
          <w:rFonts w:hint="eastAsia" w:ascii="宋体" w:hAnsi="Courier New" w:eastAsia="宋体" w:cs="Times New Roman"/>
          <w:b/>
          <w:kern w:val="2"/>
          <w:sz w:val="21"/>
          <w:szCs w:val="21"/>
          <w:lang w:val="en-US" w:eastAsia="zh-CN" w:bidi="ar-SA"/>
        </w:rPr>
        <w:t>2、技术性能分（满分</w:t>
      </w:r>
      <w:r>
        <w:rPr>
          <w:rFonts w:hint="eastAsia" w:cs="Times New Roman"/>
          <w:b/>
          <w:kern w:val="2"/>
          <w:sz w:val="21"/>
          <w:szCs w:val="21"/>
          <w:lang w:val="en-US" w:eastAsia="zh-CN" w:bidi="ar-SA"/>
        </w:rPr>
        <w:t>22</w:t>
      </w:r>
      <w:r>
        <w:rPr>
          <w:rFonts w:hint="eastAsia" w:ascii="宋体" w:hAnsi="Courier New" w:eastAsia="宋体" w:cs="Times New Roman"/>
          <w:b/>
          <w:kern w:val="2"/>
          <w:sz w:val="21"/>
          <w:szCs w:val="21"/>
          <w:lang w:val="en-US" w:eastAsia="zh-CN" w:bidi="ar-SA"/>
        </w:rPr>
        <w:t>分）</w:t>
      </w:r>
    </w:p>
    <w:p>
      <w:pPr>
        <w:pStyle w:val="20"/>
        <w:spacing w:line="396" w:lineRule="exact"/>
        <w:ind w:firstLine="420"/>
        <w:rPr>
          <w:rFonts w:hAnsi="宋体"/>
          <w:szCs w:val="21"/>
        </w:rPr>
      </w:pPr>
      <w:r>
        <w:rPr>
          <w:rFonts w:hint="eastAsia" w:hAnsi="宋体"/>
          <w:szCs w:val="21"/>
        </w:rPr>
        <w:t>一档（</w:t>
      </w:r>
      <w:r>
        <w:rPr>
          <w:rFonts w:hint="eastAsia" w:hAnsi="宋体"/>
          <w:szCs w:val="21"/>
          <w:lang w:val="en-US" w:eastAsia="zh-CN"/>
        </w:rPr>
        <w:t>10</w:t>
      </w:r>
      <w:r>
        <w:rPr>
          <w:rFonts w:hint="eastAsia" w:hAnsi="宋体"/>
          <w:szCs w:val="21"/>
        </w:rPr>
        <w:t xml:space="preserve">分）：在工艺 、性能、选型、配置上基本满足采购需求，功能基本完善； </w:t>
      </w:r>
    </w:p>
    <w:p>
      <w:pPr>
        <w:pStyle w:val="20"/>
        <w:spacing w:line="396" w:lineRule="exact"/>
        <w:ind w:firstLine="420"/>
        <w:rPr>
          <w:rFonts w:hAnsi="宋体"/>
          <w:szCs w:val="21"/>
        </w:rPr>
      </w:pPr>
      <w:r>
        <w:rPr>
          <w:rFonts w:hint="eastAsia" w:hAnsi="宋体"/>
          <w:szCs w:val="21"/>
        </w:rPr>
        <w:t>二档（</w:t>
      </w:r>
      <w:r>
        <w:rPr>
          <w:rFonts w:hint="eastAsia" w:hAnsi="宋体"/>
          <w:szCs w:val="21"/>
          <w:lang w:val="en-US" w:eastAsia="zh-CN"/>
        </w:rPr>
        <w:t>16</w:t>
      </w:r>
      <w:r>
        <w:rPr>
          <w:rFonts w:hint="eastAsia" w:hAnsi="宋体"/>
          <w:szCs w:val="21"/>
        </w:rPr>
        <w:t>分）：在工艺 、性能、选型、配置上满足采购需求，功能较完善；</w:t>
      </w:r>
    </w:p>
    <w:p>
      <w:pPr>
        <w:pStyle w:val="20"/>
        <w:spacing w:line="396" w:lineRule="exact"/>
        <w:ind w:firstLine="420"/>
        <w:rPr>
          <w:rFonts w:hint="eastAsia" w:ascii="宋体" w:hAnsi="Courier New" w:eastAsia="宋体"/>
          <w:b w:val="0"/>
          <w:kern w:val="2"/>
          <w:sz w:val="21"/>
          <w:szCs w:val="21"/>
        </w:rPr>
      </w:pPr>
      <w:r>
        <w:rPr>
          <w:rFonts w:hint="eastAsia" w:hAnsi="宋体"/>
          <w:szCs w:val="21"/>
        </w:rPr>
        <w:t>三档（</w:t>
      </w:r>
      <w:r>
        <w:rPr>
          <w:rFonts w:hint="eastAsia" w:hAnsi="宋体"/>
          <w:szCs w:val="21"/>
          <w:lang w:val="en-US" w:eastAsia="zh-CN"/>
        </w:rPr>
        <w:t>22</w:t>
      </w:r>
      <w:r>
        <w:rPr>
          <w:rFonts w:hint="eastAsia" w:hAnsi="宋体"/>
          <w:szCs w:val="21"/>
        </w:rPr>
        <w:t>分）：工艺 、设备选型及配置为更好设备，功能更完善。</w:t>
      </w:r>
    </w:p>
    <w:p>
      <w:pPr>
        <w:spacing w:line="420" w:lineRule="exact"/>
        <w:ind w:firstLine="316" w:firstLineChars="150"/>
        <w:outlineLvl w:val="0"/>
        <w:rPr>
          <w:rFonts w:ascii="宋体" w:hAnsi="Courier New" w:eastAsia="宋体"/>
          <w:b/>
          <w:kern w:val="2"/>
          <w:sz w:val="21"/>
          <w:szCs w:val="21"/>
        </w:rPr>
      </w:pPr>
      <w:r>
        <w:rPr>
          <w:rFonts w:hint="eastAsia" w:ascii="宋体" w:hAnsi="Courier New" w:eastAsia="宋体"/>
          <w:b/>
          <w:kern w:val="2"/>
          <w:sz w:val="21"/>
          <w:szCs w:val="21"/>
        </w:rPr>
        <w:t>3</w:t>
      </w:r>
      <w:r>
        <w:rPr>
          <w:rFonts w:ascii="宋体" w:hAnsi="Courier New" w:eastAsia="宋体"/>
          <w:b/>
          <w:kern w:val="2"/>
          <w:sz w:val="21"/>
          <w:szCs w:val="21"/>
        </w:rPr>
        <w:t>、技术</w:t>
      </w:r>
      <w:r>
        <w:rPr>
          <w:rFonts w:hint="eastAsia" w:ascii="宋体" w:hAnsi="Courier New" w:eastAsia="宋体"/>
          <w:b/>
          <w:kern w:val="2"/>
          <w:sz w:val="21"/>
          <w:szCs w:val="21"/>
        </w:rPr>
        <w:t>及实施</w:t>
      </w:r>
      <w:r>
        <w:rPr>
          <w:rFonts w:ascii="宋体" w:hAnsi="Courier New" w:eastAsia="宋体"/>
          <w:b/>
          <w:kern w:val="2"/>
          <w:sz w:val="21"/>
          <w:szCs w:val="21"/>
        </w:rPr>
        <w:t>方案分</w:t>
      </w:r>
      <w:r>
        <w:rPr>
          <w:rFonts w:hint="eastAsia" w:ascii="宋体" w:hAnsi="Courier New" w:eastAsia="宋体" w:cs="Times New Roman"/>
          <w:b/>
          <w:kern w:val="2"/>
          <w:sz w:val="21"/>
          <w:szCs w:val="21"/>
          <w:lang w:val="en-US" w:eastAsia="zh-CN" w:bidi="ar-SA"/>
        </w:rPr>
        <w:t>（满分24分）</w:t>
      </w:r>
    </w:p>
    <w:p>
      <w:pPr>
        <w:pStyle w:val="20"/>
        <w:spacing w:line="400" w:lineRule="exact"/>
        <w:ind w:firstLine="420" w:firstLineChars="200"/>
        <w:rPr>
          <w:rFonts w:hAnsi="宋体"/>
        </w:rPr>
      </w:pPr>
      <w:r>
        <w:rPr>
          <w:rFonts w:hAnsi="宋体"/>
        </w:rPr>
        <w:t>一档：（</w:t>
      </w:r>
      <w:r>
        <w:rPr>
          <w:rFonts w:hint="eastAsia" w:hAnsi="宋体"/>
          <w:lang w:val="en-US" w:eastAsia="zh-CN"/>
        </w:rPr>
        <w:t>10</w:t>
      </w:r>
      <w:r>
        <w:rPr>
          <w:rFonts w:hAnsi="宋体"/>
        </w:rPr>
        <w:t>分）提供技术及实施组织方案，且方案可以满足采购需求。</w:t>
      </w:r>
    </w:p>
    <w:p>
      <w:pPr>
        <w:pStyle w:val="20"/>
        <w:spacing w:line="400" w:lineRule="exact"/>
        <w:ind w:firstLine="420" w:firstLineChars="200"/>
        <w:rPr>
          <w:rFonts w:hAnsi="宋体"/>
        </w:rPr>
      </w:pPr>
      <w:r>
        <w:rPr>
          <w:rFonts w:hAnsi="宋体"/>
        </w:rPr>
        <w:t>二档：（</w:t>
      </w:r>
      <w:r>
        <w:rPr>
          <w:rFonts w:hint="eastAsia" w:hAnsi="宋体"/>
          <w:lang w:val="en-US" w:eastAsia="zh-CN"/>
        </w:rPr>
        <w:t>18</w:t>
      </w:r>
      <w:r>
        <w:rPr>
          <w:rFonts w:hAnsi="宋体"/>
        </w:rPr>
        <w:t>分）提供技术及实施组织方案，方案描述项目组织实施安排、人员安排以及技术及实施组织服务方案，本项目的各种服务文档规范齐全。</w:t>
      </w:r>
    </w:p>
    <w:p>
      <w:pPr>
        <w:pStyle w:val="20"/>
        <w:spacing w:line="400" w:lineRule="exact"/>
        <w:ind w:firstLine="420" w:firstLineChars="200"/>
        <w:rPr>
          <w:rFonts w:hAnsi="宋体"/>
        </w:rPr>
      </w:pPr>
      <w:r>
        <w:rPr>
          <w:rFonts w:hAnsi="宋体"/>
        </w:rPr>
        <w:t>三档：（</w:t>
      </w:r>
      <w:r>
        <w:rPr>
          <w:rFonts w:hint="eastAsia" w:hAnsi="宋体"/>
          <w:lang w:val="en-US" w:eastAsia="zh-CN"/>
        </w:rPr>
        <w:t>24</w:t>
      </w:r>
      <w:r>
        <w:rPr>
          <w:rFonts w:hAnsi="宋体"/>
        </w:rPr>
        <w:t>分）提供技术及实施组织方案，详细描述项目组织实施安排、人员安排详细的技术、实施组织方案及相关详细机房的拓扑图，切实全部满足本项目的建设需求，同时提供本项目的各种服务文档规范齐全及其他更优服务措施。</w:t>
      </w:r>
    </w:p>
    <w:p>
      <w:pPr>
        <w:pStyle w:val="20"/>
        <w:spacing w:line="400" w:lineRule="exact"/>
        <w:ind w:firstLine="422" w:firstLineChars="200"/>
        <w:jc w:val="left"/>
        <w:rPr>
          <w:rFonts w:hAnsi="宋体"/>
          <w:b/>
        </w:rPr>
      </w:pPr>
      <w:r>
        <w:rPr>
          <w:rFonts w:hint="eastAsia" w:hAnsi="宋体"/>
          <w:b/>
          <w:lang w:val="en-US" w:eastAsia="zh-CN"/>
        </w:rPr>
        <w:t>4</w:t>
      </w:r>
      <w:r>
        <w:rPr>
          <w:rFonts w:hAnsi="宋体"/>
          <w:b/>
        </w:rPr>
        <w:t>、售后服务分</w:t>
      </w:r>
      <w:r>
        <w:rPr>
          <w:rFonts w:hint="eastAsia" w:hAnsi="宋体"/>
          <w:b/>
          <w:lang w:val="en-US" w:eastAsia="zh-CN"/>
        </w:rPr>
        <w:t>20</w:t>
      </w:r>
      <w:r>
        <w:rPr>
          <w:rFonts w:hAnsi="宋体"/>
          <w:b/>
        </w:rPr>
        <w:t>分</w:t>
      </w:r>
    </w:p>
    <w:p>
      <w:pPr>
        <w:pStyle w:val="20"/>
        <w:spacing w:line="400" w:lineRule="exact"/>
        <w:ind w:firstLine="420" w:firstLineChars="200"/>
        <w:rPr>
          <w:rFonts w:hAnsi="宋体"/>
        </w:rPr>
      </w:pPr>
      <w:r>
        <w:rPr>
          <w:rFonts w:hAnsi="宋体"/>
        </w:rPr>
        <w:t>评标委员会根据投标人提供的售后服务承诺书的内容综合评定独立确定其档次，并在相应档次内独立打分。</w:t>
      </w:r>
    </w:p>
    <w:p>
      <w:pPr>
        <w:pStyle w:val="20"/>
        <w:spacing w:line="400" w:lineRule="exact"/>
        <w:ind w:firstLine="420" w:firstLineChars="200"/>
        <w:rPr>
          <w:rFonts w:hAnsi="宋体"/>
        </w:rPr>
      </w:pPr>
      <w:r>
        <w:rPr>
          <w:rFonts w:hAnsi="宋体"/>
        </w:rPr>
        <w:t>一档：（</w:t>
      </w:r>
      <w:r>
        <w:rPr>
          <w:rFonts w:hint="eastAsia" w:hAnsi="宋体"/>
          <w:lang w:val="en-US" w:eastAsia="zh-CN"/>
        </w:rPr>
        <w:t>10</w:t>
      </w:r>
      <w:r>
        <w:rPr>
          <w:rFonts w:hAnsi="宋体"/>
        </w:rPr>
        <w:t>分）售后服务承诺书内容的完整性、可行性、免费保修期限、到达故障现场时间、故障出现解决方案、定期维护（注明时间）、免费技术培训方案、保修期外维修方案、其他优惠措施、安装要求及方案等方面一般。</w:t>
      </w:r>
    </w:p>
    <w:p>
      <w:pPr>
        <w:pStyle w:val="20"/>
        <w:spacing w:line="400" w:lineRule="exact"/>
        <w:ind w:firstLine="420" w:firstLineChars="200"/>
        <w:rPr>
          <w:rFonts w:hAnsi="宋体"/>
        </w:rPr>
      </w:pPr>
      <w:r>
        <w:rPr>
          <w:rFonts w:hAnsi="宋体"/>
        </w:rPr>
        <w:t>二档：（</w:t>
      </w:r>
      <w:r>
        <w:rPr>
          <w:rFonts w:hint="eastAsia" w:hAnsi="宋体"/>
          <w:lang w:val="en-US" w:eastAsia="zh-CN"/>
        </w:rPr>
        <w:t>15</w:t>
      </w:r>
      <w:r>
        <w:rPr>
          <w:rFonts w:hAnsi="宋体"/>
        </w:rPr>
        <w:t>分）售后服务承诺书内容的完整性、可行性、免费保修期限、到达故障现场时间、故障出现解决方案、定期维护（注明时间）、免费技术培训方案、保修期外维修方案、其他优惠措施、安装要求及方案等方面良好。</w:t>
      </w:r>
    </w:p>
    <w:p>
      <w:pPr>
        <w:pStyle w:val="20"/>
        <w:spacing w:line="400" w:lineRule="exact"/>
        <w:ind w:firstLine="420" w:firstLineChars="200"/>
        <w:rPr>
          <w:rFonts w:hAnsi="宋体"/>
        </w:rPr>
      </w:pPr>
      <w:r>
        <w:rPr>
          <w:rFonts w:hAnsi="宋体"/>
        </w:rPr>
        <w:t>三档：（</w:t>
      </w:r>
      <w:r>
        <w:rPr>
          <w:rFonts w:hint="eastAsia" w:hAnsi="宋体"/>
          <w:lang w:val="en-US" w:eastAsia="zh-CN"/>
        </w:rPr>
        <w:t>20</w:t>
      </w:r>
      <w:r>
        <w:rPr>
          <w:rFonts w:hAnsi="宋体"/>
        </w:rPr>
        <w:t>分）售后服务承诺书内容的完整性、可行性、免费保修期限、到达故障现场时间、故障出现解决方案、定期维护（注明时间）、免费技术培训方案、保修期外维修方案、其他优惠措施、安装要求及方案等方面优秀。</w:t>
      </w:r>
    </w:p>
    <w:p>
      <w:pPr>
        <w:pStyle w:val="20"/>
        <w:spacing w:line="400" w:lineRule="exact"/>
        <w:ind w:firstLine="316" w:firstLineChars="150"/>
        <w:jc w:val="left"/>
        <w:rPr>
          <w:rFonts w:hAnsi="宋体"/>
          <w:b/>
        </w:rPr>
      </w:pPr>
      <w:r>
        <w:rPr>
          <w:rFonts w:hint="eastAsia" w:hAnsi="宋体"/>
          <w:b/>
          <w:lang w:val="en-US" w:eastAsia="zh-CN"/>
        </w:rPr>
        <w:t>6</w:t>
      </w:r>
      <w:r>
        <w:rPr>
          <w:rFonts w:hint="eastAsia" w:hAnsi="宋体"/>
          <w:b/>
        </w:rPr>
        <w:t>、业绩分…………………………………………………………………………………………4分</w:t>
      </w:r>
    </w:p>
    <w:p>
      <w:pPr>
        <w:shd w:val="clear" w:color="auto" w:fill="FFFFFF"/>
        <w:spacing w:line="400" w:lineRule="exact"/>
        <w:ind w:firstLine="411" w:firstLineChars="196"/>
        <w:rPr>
          <w:rFonts w:ascii="Times New Roman" w:hAnsi="宋体" w:eastAsia="宋体"/>
          <w:bCs/>
          <w:kern w:val="2"/>
          <w:sz w:val="21"/>
          <w:szCs w:val="24"/>
        </w:rPr>
      </w:pPr>
      <w:r>
        <w:rPr>
          <w:rFonts w:hint="eastAsia" w:ascii="宋体" w:hAnsi="宋体" w:eastAsia="宋体"/>
          <w:bCs/>
          <w:color w:val="000000"/>
          <w:kern w:val="2"/>
          <w:sz w:val="21"/>
        </w:rPr>
        <w:t>所投产品厂商自</w:t>
      </w:r>
      <w:r>
        <w:rPr>
          <w:rFonts w:ascii="宋体" w:hAnsi="宋体" w:eastAsia="宋体"/>
          <w:bCs/>
          <w:color w:val="000000"/>
          <w:kern w:val="2"/>
          <w:sz w:val="21"/>
          <w:u w:val="single"/>
        </w:rPr>
        <w:t>201</w:t>
      </w:r>
      <w:r>
        <w:rPr>
          <w:rFonts w:hint="eastAsia" w:ascii="宋体" w:hAnsi="宋体" w:eastAsia="宋体"/>
          <w:bCs/>
          <w:color w:val="000000"/>
          <w:kern w:val="2"/>
          <w:sz w:val="21"/>
          <w:u w:val="single"/>
          <w:lang w:val="en-US" w:eastAsia="zh-CN"/>
        </w:rPr>
        <w:t>7</w:t>
      </w:r>
      <w:r>
        <w:rPr>
          <w:rFonts w:ascii="宋体" w:hAnsi="宋体" w:eastAsia="宋体"/>
          <w:bCs/>
          <w:color w:val="000000"/>
          <w:kern w:val="2"/>
          <w:sz w:val="21"/>
        </w:rPr>
        <w:t>年以来完成</w:t>
      </w:r>
      <w:r>
        <w:rPr>
          <w:rFonts w:hint="eastAsia" w:ascii="宋体" w:hAnsi="宋体" w:eastAsia="宋体"/>
          <w:bCs/>
          <w:color w:val="000000"/>
          <w:kern w:val="2"/>
          <w:sz w:val="21"/>
          <w:lang w:eastAsia="zh-CN"/>
        </w:rPr>
        <w:t>类似</w:t>
      </w:r>
      <w:r>
        <w:rPr>
          <w:rFonts w:ascii="宋体" w:hAnsi="宋体" w:eastAsia="宋体"/>
          <w:bCs/>
          <w:color w:val="000000"/>
          <w:kern w:val="2"/>
          <w:sz w:val="21"/>
        </w:rPr>
        <w:t>项目</w:t>
      </w:r>
      <w:r>
        <w:rPr>
          <w:rFonts w:hint="eastAsia" w:ascii="宋体" w:hAnsi="宋体" w:eastAsia="宋体"/>
          <w:bCs/>
          <w:color w:val="000000"/>
          <w:kern w:val="2"/>
          <w:sz w:val="21"/>
        </w:rPr>
        <w:t>的得4分</w:t>
      </w:r>
      <w:r>
        <w:rPr>
          <w:rFonts w:ascii="宋体" w:hAnsi="宋体" w:eastAsia="宋体"/>
          <w:bCs/>
          <w:color w:val="000000"/>
          <w:kern w:val="2"/>
          <w:sz w:val="21"/>
        </w:rPr>
        <w:t xml:space="preserve"> [无不良记录,以中标、成交通知书或签订的服务合同为准，并能清晰反映所服务名称、类型、金额，否则将不予评审。</w:t>
      </w:r>
      <w:r>
        <w:rPr>
          <w:rFonts w:hint="eastAsia" w:ascii="Times New Roman" w:hAnsi="宋体" w:eastAsia="宋体"/>
          <w:bCs/>
          <w:kern w:val="2"/>
          <w:sz w:val="21"/>
          <w:szCs w:val="24"/>
        </w:rPr>
        <w:t>（</w:t>
      </w:r>
      <w:r>
        <w:rPr>
          <w:rFonts w:ascii="宋体" w:hAnsi="宋体" w:eastAsia="宋体"/>
          <w:bCs/>
          <w:color w:val="000000"/>
          <w:kern w:val="2"/>
          <w:sz w:val="21"/>
        </w:rPr>
        <w:t>满分</w:t>
      </w:r>
      <w:r>
        <w:rPr>
          <w:rFonts w:hint="eastAsia" w:ascii="宋体" w:hAnsi="宋体" w:eastAsia="宋体"/>
          <w:bCs/>
          <w:color w:val="000000"/>
          <w:kern w:val="2"/>
          <w:sz w:val="21"/>
        </w:rPr>
        <w:t>4</w:t>
      </w:r>
      <w:r>
        <w:rPr>
          <w:rFonts w:ascii="宋体" w:hAnsi="宋体" w:eastAsia="宋体"/>
          <w:bCs/>
          <w:color w:val="000000"/>
          <w:kern w:val="2"/>
          <w:sz w:val="21"/>
        </w:rPr>
        <w:t>分</w:t>
      </w:r>
      <w:r>
        <w:rPr>
          <w:rFonts w:hint="eastAsia" w:ascii="Times New Roman" w:hAnsi="宋体" w:eastAsia="宋体"/>
          <w:bCs/>
          <w:kern w:val="2"/>
          <w:sz w:val="21"/>
          <w:szCs w:val="24"/>
        </w:rPr>
        <w:t>）</w:t>
      </w:r>
    </w:p>
    <w:p>
      <w:pPr>
        <w:pStyle w:val="20"/>
        <w:spacing w:line="400" w:lineRule="exact"/>
        <w:ind w:firstLine="316" w:firstLineChars="150"/>
        <w:jc w:val="left"/>
        <w:rPr>
          <w:rFonts w:ascii="Times New Roman" w:hAnsi="宋体" w:eastAsia="宋体"/>
          <w:b/>
          <w:kern w:val="2"/>
          <w:sz w:val="21"/>
          <w:szCs w:val="24"/>
        </w:rPr>
      </w:pPr>
      <w:r>
        <w:rPr>
          <w:rFonts w:hint="eastAsia" w:hAnsi="宋体"/>
          <w:b/>
          <w:lang w:val="en-US" w:eastAsia="zh-CN"/>
        </w:rPr>
        <w:t>7</w:t>
      </w:r>
      <w:r>
        <w:rPr>
          <w:rFonts w:hint="eastAsia" w:ascii="Times New Roman" w:hAnsi="宋体" w:eastAsia="宋体"/>
          <w:b/>
          <w:sz w:val="21"/>
          <w:szCs w:val="24"/>
        </w:rPr>
        <w:t>、总得分 = 1+2+3+4+5</w:t>
      </w:r>
      <w:r>
        <w:rPr>
          <w:rFonts w:hint="eastAsia" w:hAnsi="宋体"/>
          <w:b/>
        </w:rPr>
        <w:t>+6</w:t>
      </w:r>
    </w:p>
    <w:p>
      <w:pPr>
        <w:spacing w:line="400" w:lineRule="exact"/>
        <w:ind w:firstLine="413" w:firstLineChars="196"/>
        <w:rPr>
          <w:rFonts w:ascii="宋体" w:hAnsi="宋体" w:eastAsia="宋体"/>
          <w:b/>
          <w:kern w:val="2"/>
          <w:sz w:val="21"/>
        </w:rPr>
      </w:pPr>
      <w:r>
        <w:rPr>
          <w:rFonts w:hint="eastAsia" w:ascii="宋体" w:hAnsi="宋体" w:eastAsia="宋体"/>
          <w:b/>
          <w:kern w:val="2"/>
          <w:sz w:val="21"/>
        </w:rPr>
        <w:t>三、成交候选供应商推荐原则</w:t>
      </w:r>
    </w:p>
    <w:p>
      <w:pPr>
        <w:spacing w:line="400" w:lineRule="exact"/>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一）磋商小组将根据总得分由高到低对供应商排列次序（得分相同时，以磋商报价由低到高顺序排列；得分相同且磋商报价相同的，按技术指标优劣顺序排列），并推荐前三名为成交候选供应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spacing w:line="400" w:lineRule="exact"/>
        <w:ind w:firstLine="420" w:firstLineChars="200"/>
        <w:rPr>
          <w:rFonts w:ascii="宋体" w:hAnsi="Courier New" w:eastAsia="宋体"/>
          <w:bCs/>
          <w:kern w:val="2"/>
          <w:sz w:val="21"/>
          <w:szCs w:val="21"/>
        </w:rPr>
      </w:pPr>
      <w:r>
        <w:rPr>
          <w:rFonts w:hint="eastAsia" w:ascii="Times New Roman" w:hAnsi="Times New Roman" w:eastAsia="宋体"/>
          <w:kern w:val="2"/>
          <w:sz w:val="21"/>
          <w:szCs w:val="24"/>
        </w:rPr>
        <w:t>（二）磋商小组认为，某供应商的磋商报价明显不合理或者低于成本，有可能影响服务质量和不能诚信履约的，可要求其在规定的期限内提供书面文件予以解释说明，并提交相关证明材料，否则，评标委员会可以取消该供应商的成交候选资格，按顺序由排在后面的成交候选人递补，以此类推。</w:t>
      </w:r>
    </w:p>
    <w:sectPr>
      <w:headerReference r:id="rId4" w:type="first"/>
      <w:headerReference r:id="rId3" w:type="default"/>
      <w:footerReference r:id="rId5" w:type="default"/>
      <w:footerReference r:id="rId6" w:type="even"/>
      <w:endnotePr>
        <w:numFmt w:val="decimal"/>
      </w:endnotePr>
      <w:type w:val="continuous"/>
      <w:pgSz w:w="11906" w:h="16838"/>
      <w:pgMar w:top="1191" w:right="1077" w:bottom="1134" w:left="1021" w:header="765" w:footer="765"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Roman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Kozuka Mincho Pro EL">
    <w:altName w:val="MS Mincho"/>
    <w:panose1 w:val="00000000000000000000"/>
    <w:charset w:val="80"/>
    <w:family w:val="roman"/>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62"/>
      <w:jc w:val="center"/>
      <w:rPr>
        <w:rStyle w:val="41"/>
        <w:sz w:val="21"/>
      </w:rPr>
    </w:pPr>
    <w:r>
      <w:rPr>
        <w:rStyle w:val="41"/>
        <w:sz w:val="21"/>
      </w:rPr>
      <w:fldChar w:fldCharType="begin"/>
    </w:r>
    <w:r>
      <w:rPr>
        <w:rStyle w:val="41"/>
        <w:sz w:val="21"/>
      </w:rPr>
      <w:instrText xml:space="preserve">PAGE  </w:instrText>
    </w:r>
    <w:r>
      <w:rPr>
        <w:rStyle w:val="41"/>
        <w:sz w:val="21"/>
      </w:rPr>
      <w:fldChar w:fldCharType="separate"/>
    </w:r>
    <w:r>
      <w:rPr>
        <w:rStyle w:val="41"/>
        <w:sz w:val="21"/>
      </w:rPr>
      <w:t>35</w:t>
    </w:r>
    <w:r>
      <w:rPr>
        <w:rStyle w:val="41"/>
        <w:sz w:val="21"/>
      </w:rPr>
      <w:fldChar w:fldCharType="end"/>
    </w:r>
  </w:p>
  <w:p>
    <w:pPr>
      <w:pStyle w:val="2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1</w:t>
    </w:r>
    <w:r>
      <w:rPr>
        <w:rStyle w:val="41"/>
      </w:rPr>
      <w:fldChar w:fldCharType="end"/>
    </w:r>
  </w:p>
  <w:p>
    <w:pPr>
      <w:pStyle w:val="24"/>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eastAsia="宋体"/>
        <w:szCs w:val="18"/>
        <w:lang w:val="en-US" w:eastAsia="zh-CN"/>
      </w:rPr>
    </w:pPr>
    <w:r>
      <w:rPr>
        <w:rFonts w:hint="eastAsia" w:hAnsi="宋体"/>
        <w:szCs w:val="18"/>
      </w:rPr>
      <w:t>广西建设工程机电设备招标中心有限公司</w:t>
    </w:r>
    <w:r>
      <w:rPr>
        <w:rFonts w:hint="eastAsia" w:hAnsi="宋体"/>
        <w:szCs w:val="18"/>
        <w:lang w:val="en-US" w:eastAsia="zh-CN"/>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86B"/>
    <w:multiLevelType w:val="multilevel"/>
    <w:tmpl w:val="0E08786B"/>
    <w:lvl w:ilvl="0" w:tentative="0">
      <w:start w:val="1"/>
      <w:numFmt w:val="bullet"/>
      <w:pStyle w:val="162"/>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Bookshelf Symbol 7" w:hAnsi="Bookshelf Symbol 7"/>
      </w:rPr>
    </w:lvl>
    <w:lvl w:ilvl="2" w:tentative="0">
      <w:start w:val="1"/>
      <w:numFmt w:val="bullet"/>
      <w:lvlText w:val=""/>
      <w:lvlJc w:val="left"/>
      <w:pPr>
        <w:tabs>
          <w:tab w:val="left" w:pos="1260"/>
        </w:tabs>
        <w:ind w:left="1260" w:hanging="420"/>
      </w:pPr>
      <w:rPr>
        <w:rFonts w:hint="default" w:ascii="Bookshelf Symbol 7" w:hAnsi="Bookshelf Symbol 7"/>
      </w:rPr>
    </w:lvl>
    <w:lvl w:ilvl="3" w:tentative="0">
      <w:start w:val="1"/>
      <w:numFmt w:val="bullet"/>
      <w:lvlText w:val=""/>
      <w:lvlJc w:val="left"/>
      <w:pPr>
        <w:tabs>
          <w:tab w:val="left" w:pos="1680"/>
        </w:tabs>
        <w:ind w:left="1680" w:hanging="420"/>
      </w:pPr>
      <w:rPr>
        <w:rFonts w:hint="default" w:ascii="Bookshelf Symbol 7" w:hAnsi="Bookshelf Symbol 7"/>
      </w:rPr>
    </w:lvl>
    <w:lvl w:ilvl="4" w:tentative="0">
      <w:start w:val="1"/>
      <w:numFmt w:val="bullet"/>
      <w:lvlText w:val=""/>
      <w:lvlJc w:val="left"/>
      <w:pPr>
        <w:tabs>
          <w:tab w:val="left" w:pos="2100"/>
        </w:tabs>
        <w:ind w:left="2100" w:hanging="420"/>
      </w:pPr>
      <w:rPr>
        <w:rFonts w:hint="default" w:ascii="Bookshelf Symbol 7" w:hAnsi="Bookshelf Symbol 7"/>
      </w:rPr>
    </w:lvl>
    <w:lvl w:ilvl="5" w:tentative="0">
      <w:start w:val="1"/>
      <w:numFmt w:val="bullet"/>
      <w:lvlText w:val=""/>
      <w:lvlJc w:val="left"/>
      <w:pPr>
        <w:tabs>
          <w:tab w:val="left" w:pos="2520"/>
        </w:tabs>
        <w:ind w:left="2520" w:hanging="420"/>
      </w:pPr>
      <w:rPr>
        <w:rFonts w:hint="default" w:ascii="Bookshelf Symbol 7" w:hAnsi="Bookshelf Symbol 7"/>
      </w:rPr>
    </w:lvl>
    <w:lvl w:ilvl="6" w:tentative="0">
      <w:start w:val="1"/>
      <w:numFmt w:val="bullet"/>
      <w:lvlText w:val=""/>
      <w:lvlJc w:val="left"/>
      <w:pPr>
        <w:tabs>
          <w:tab w:val="left" w:pos="2940"/>
        </w:tabs>
        <w:ind w:left="2940" w:hanging="420"/>
      </w:pPr>
      <w:rPr>
        <w:rFonts w:hint="default" w:ascii="Bookshelf Symbol 7" w:hAnsi="Bookshelf Symbol 7"/>
      </w:rPr>
    </w:lvl>
    <w:lvl w:ilvl="7" w:tentative="0">
      <w:start w:val="1"/>
      <w:numFmt w:val="bullet"/>
      <w:lvlText w:val=""/>
      <w:lvlJc w:val="left"/>
      <w:pPr>
        <w:tabs>
          <w:tab w:val="left" w:pos="3360"/>
        </w:tabs>
        <w:ind w:left="3360" w:hanging="420"/>
      </w:pPr>
      <w:rPr>
        <w:rFonts w:hint="default" w:ascii="Bookshelf Symbol 7" w:hAnsi="Bookshelf Symbol 7"/>
      </w:rPr>
    </w:lvl>
    <w:lvl w:ilvl="8" w:tentative="0">
      <w:start w:val="1"/>
      <w:numFmt w:val="bullet"/>
      <w:lvlText w:val=""/>
      <w:lvlJc w:val="left"/>
      <w:pPr>
        <w:tabs>
          <w:tab w:val="left" w:pos="3780"/>
        </w:tabs>
        <w:ind w:left="3780" w:hanging="420"/>
      </w:pPr>
      <w:rPr>
        <w:rFonts w:hint="default" w:ascii="Bookshelf Symbol 7" w:hAnsi="Bookshelf Symbol 7"/>
      </w:rPr>
    </w:lvl>
  </w:abstractNum>
  <w:abstractNum w:abstractNumId="1">
    <w:nsid w:val="384A7D49"/>
    <w:multiLevelType w:val="singleLevel"/>
    <w:tmpl w:val="384A7D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0"/>
  <w:drawingGridHorizontalSpacing w:val="103"/>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40"/>
    <w:rsid w:val="0001455A"/>
    <w:rsid w:val="00022751"/>
    <w:rsid w:val="000459F4"/>
    <w:rsid w:val="00067DE3"/>
    <w:rsid w:val="0007441B"/>
    <w:rsid w:val="00074B62"/>
    <w:rsid w:val="00084576"/>
    <w:rsid w:val="00091201"/>
    <w:rsid w:val="000971B5"/>
    <w:rsid w:val="000B1B20"/>
    <w:rsid w:val="000B459C"/>
    <w:rsid w:val="000C2531"/>
    <w:rsid w:val="000C2DF3"/>
    <w:rsid w:val="000C39F0"/>
    <w:rsid w:val="000C6AD0"/>
    <w:rsid w:val="000D09C4"/>
    <w:rsid w:val="000D57BD"/>
    <w:rsid w:val="000E05AF"/>
    <w:rsid w:val="0010067D"/>
    <w:rsid w:val="00100F87"/>
    <w:rsid w:val="0011105A"/>
    <w:rsid w:val="00111C6C"/>
    <w:rsid w:val="00113B3C"/>
    <w:rsid w:val="00122850"/>
    <w:rsid w:val="00125DB9"/>
    <w:rsid w:val="00125DE0"/>
    <w:rsid w:val="00127CDC"/>
    <w:rsid w:val="001364B2"/>
    <w:rsid w:val="001451C6"/>
    <w:rsid w:val="00147EAC"/>
    <w:rsid w:val="00154D55"/>
    <w:rsid w:val="00161A63"/>
    <w:rsid w:val="001621D9"/>
    <w:rsid w:val="00163893"/>
    <w:rsid w:val="00172A27"/>
    <w:rsid w:val="0017555E"/>
    <w:rsid w:val="0018146E"/>
    <w:rsid w:val="001818CE"/>
    <w:rsid w:val="00183A19"/>
    <w:rsid w:val="00194885"/>
    <w:rsid w:val="001951D7"/>
    <w:rsid w:val="001A02E1"/>
    <w:rsid w:val="001A455A"/>
    <w:rsid w:val="001A4B5D"/>
    <w:rsid w:val="001A6402"/>
    <w:rsid w:val="001B006B"/>
    <w:rsid w:val="001B1766"/>
    <w:rsid w:val="001B1E95"/>
    <w:rsid w:val="001B2BE3"/>
    <w:rsid w:val="001B66A8"/>
    <w:rsid w:val="001C2AB8"/>
    <w:rsid w:val="001C2CF9"/>
    <w:rsid w:val="001D4B67"/>
    <w:rsid w:val="001D5746"/>
    <w:rsid w:val="001D72AA"/>
    <w:rsid w:val="001D7E21"/>
    <w:rsid w:val="001E145C"/>
    <w:rsid w:val="001F2474"/>
    <w:rsid w:val="00207BDE"/>
    <w:rsid w:val="00214FC5"/>
    <w:rsid w:val="002258B8"/>
    <w:rsid w:val="00226DE4"/>
    <w:rsid w:val="0023620D"/>
    <w:rsid w:val="002366CA"/>
    <w:rsid w:val="00254A48"/>
    <w:rsid w:val="00273428"/>
    <w:rsid w:val="0027562F"/>
    <w:rsid w:val="00285439"/>
    <w:rsid w:val="002A3E23"/>
    <w:rsid w:val="002B35FB"/>
    <w:rsid w:val="002B4F83"/>
    <w:rsid w:val="002D5D9C"/>
    <w:rsid w:val="002E1A58"/>
    <w:rsid w:val="002E259D"/>
    <w:rsid w:val="002E329C"/>
    <w:rsid w:val="002E5F9C"/>
    <w:rsid w:val="002E73D5"/>
    <w:rsid w:val="002F4F7E"/>
    <w:rsid w:val="0030103C"/>
    <w:rsid w:val="00316ED5"/>
    <w:rsid w:val="003259B7"/>
    <w:rsid w:val="003335AF"/>
    <w:rsid w:val="003350DC"/>
    <w:rsid w:val="00336DA5"/>
    <w:rsid w:val="00342E6D"/>
    <w:rsid w:val="003440F5"/>
    <w:rsid w:val="003503A4"/>
    <w:rsid w:val="00353104"/>
    <w:rsid w:val="00357F79"/>
    <w:rsid w:val="00360097"/>
    <w:rsid w:val="003601F7"/>
    <w:rsid w:val="00360625"/>
    <w:rsid w:val="003630AB"/>
    <w:rsid w:val="00371F94"/>
    <w:rsid w:val="00382301"/>
    <w:rsid w:val="00395021"/>
    <w:rsid w:val="003B49E0"/>
    <w:rsid w:val="003B53A5"/>
    <w:rsid w:val="003B717F"/>
    <w:rsid w:val="003D7D59"/>
    <w:rsid w:val="003F3854"/>
    <w:rsid w:val="00400BD4"/>
    <w:rsid w:val="00417871"/>
    <w:rsid w:val="0042386E"/>
    <w:rsid w:val="004251B0"/>
    <w:rsid w:val="0042642F"/>
    <w:rsid w:val="00432F40"/>
    <w:rsid w:val="0044096D"/>
    <w:rsid w:val="00441011"/>
    <w:rsid w:val="00453AC6"/>
    <w:rsid w:val="004553A9"/>
    <w:rsid w:val="004556E8"/>
    <w:rsid w:val="004562C7"/>
    <w:rsid w:val="00462BBE"/>
    <w:rsid w:val="00471E55"/>
    <w:rsid w:val="004800FA"/>
    <w:rsid w:val="004803D4"/>
    <w:rsid w:val="004850D6"/>
    <w:rsid w:val="00485CA4"/>
    <w:rsid w:val="0049040E"/>
    <w:rsid w:val="00490E2D"/>
    <w:rsid w:val="00493CA4"/>
    <w:rsid w:val="004975D2"/>
    <w:rsid w:val="004A00DF"/>
    <w:rsid w:val="004A0E90"/>
    <w:rsid w:val="004A1B1C"/>
    <w:rsid w:val="004B5CCA"/>
    <w:rsid w:val="004B64DD"/>
    <w:rsid w:val="004C1C44"/>
    <w:rsid w:val="004C2676"/>
    <w:rsid w:val="004C59C9"/>
    <w:rsid w:val="004D109A"/>
    <w:rsid w:val="004D4AC5"/>
    <w:rsid w:val="004E1639"/>
    <w:rsid w:val="004F3DF8"/>
    <w:rsid w:val="005208FA"/>
    <w:rsid w:val="00523C62"/>
    <w:rsid w:val="0053335C"/>
    <w:rsid w:val="0053594B"/>
    <w:rsid w:val="00551ADD"/>
    <w:rsid w:val="0055549C"/>
    <w:rsid w:val="00556194"/>
    <w:rsid w:val="005564A1"/>
    <w:rsid w:val="00564725"/>
    <w:rsid w:val="00565BAB"/>
    <w:rsid w:val="00566537"/>
    <w:rsid w:val="00570C47"/>
    <w:rsid w:val="0057471F"/>
    <w:rsid w:val="00574A29"/>
    <w:rsid w:val="00583A04"/>
    <w:rsid w:val="00591024"/>
    <w:rsid w:val="00591430"/>
    <w:rsid w:val="005915B4"/>
    <w:rsid w:val="0059438B"/>
    <w:rsid w:val="00595206"/>
    <w:rsid w:val="005A1491"/>
    <w:rsid w:val="005A25EC"/>
    <w:rsid w:val="005B2123"/>
    <w:rsid w:val="005C6AE6"/>
    <w:rsid w:val="005D488F"/>
    <w:rsid w:val="005D698D"/>
    <w:rsid w:val="005E1654"/>
    <w:rsid w:val="005E1A0C"/>
    <w:rsid w:val="005F0D99"/>
    <w:rsid w:val="005F7BEF"/>
    <w:rsid w:val="00611130"/>
    <w:rsid w:val="00613D43"/>
    <w:rsid w:val="00614E10"/>
    <w:rsid w:val="0061520A"/>
    <w:rsid w:val="00620743"/>
    <w:rsid w:val="00620B76"/>
    <w:rsid w:val="00620D2C"/>
    <w:rsid w:val="00637958"/>
    <w:rsid w:val="006447F9"/>
    <w:rsid w:val="0066293D"/>
    <w:rsid w:val="00662D89"/>
    <w:rsid w:val="00666C21"/>
    <w:rsid w:val="00680486"/>
    <w:rsid w:val="0068293C"/>
    <w:rsid w:val="006862B3"/>
    <w:rsid w:val="006866F1"/>
    <w:rsid w:val="00693E09"/>
    <w:rsid w:val="006A0496"/>
    <w:rsid w:val="006A1704"/>
    <w:rsid w:val="006A3479"/>
    <w:rsid w:val="006B439A"/>
    <w:rsid w:val="006B4AEB"/>
    <w:rsid w:val="006B59AA"/>
    <w:rsid w:val="006C44C7"/>
    <w:rsid w:val="006E0979"/>
    <w:rsid w:val="006F0138"/>
    <w:rsid w:val="006F398B"/>
    <w:rsid w:val="006F6963"/>
    <w:rsid w:val="007033A6"/>
    <w:rsid w:val="0071081B"/>
    <w:rsid w:val="007175D6"/>
    <w:rsid w:val="00721AD9"/>
    <w:rsid w:val="00723D15"/>
    <w:rsid w:val="00725D07"/>
    <w:rsid w:val="007267F8"/>
    <w:rsid w:val="00733E91"/>
    <w:rsid w:val="00742EBC"/>
    <w:rsid w:val="00750E4A"/>
    <w:rsid w:val="00750F21"/>
    <w:rsid w:val="00751857"/>
    <w:rsid w:val="00755FAF"/>
    <w:rsid w:val="00756488"/>
    <w:rsid w:val="00772CCA"/>
    <w:rsid w:val="00773402"/>
    <w:rsid w:val="00785187"/>
    <w:rsid w:val="00790284"/>
    <w:rsid w:val="00791A68"/>
    <w:rsid w:val="00797FE3"/>
    <w:rsid w:val="007A2ECD"/>
    <w:rsid w:val="007A51B5"/>
    <w:rsid w:val="007B0467"/>
    <w:rsid w:val="007B6450"/>
    <w:rsid w:val="007C5597"/>
    <w:rsid w:val="007D1D62"/>
    <w:rsid w:val="007E0F3F"/>
    <w:rsid w:val="00800605"/>
    <w:rsid w:val="00805AB3"/>
    <w:rsid w:val="00805DD3"/>
    <w:rsid w:val="008126F2"/>
    <w:rsid w:val="00826F1C"/>
    <w:rsid w:val="00843BBC"/>
    <w:rsid w:val="00864366"/>
    <w:rsid w:val="008707B8"/>
    <w:rsid w:val="00875F79"/>
    <w:rsid w:val="00883F99"/>
    <w:rsid w:val="008913DC"/>
    <w:rsid w:val="008A6903"/>
    <w:rsid w:val="008B0733"/>
    <w:rsid w:val="008B0CB6"/>
    <w:rsid w:val="008B69F5"/>
    <w:rsid w:val="008C426C"/>
    <w:rsid w:val="008C7AE8"/>
    <w:rsid w:val="008D32C4"/>
    <w:rsid w:val="008F4A81"/>
    <w:rsid w:val="00902619"/>
    <w:rsid w:val="0090281B"/>
    <w:rsid w:val="00905E7D"/>
    <w:rsid w:val="009142C2"/>
    <w:rsid w:val="0091609A"/>
    <w:rsid w:val="00922319"/>
    <w:rsid w:val="00937981"/>
    <w:rsid w:val="0094026C"/>
    <w:rsid w:val="0095403D"/>
    <w:rsid w:val="00963D18"/>
    <w:rsid w:val="00965E4A"/>
    <w:rsid w:val="00982C39"/>
    <w:rsid w:val="00987127"/>
    <w:rsid w:val="009875A6"/>
    <w:rsid w:val="00987F33"/>
    <w:rsid w:val="00992760"/>
    <w:rsid w:val="009937D3"/>
    <w:rsid w:val="00995143"/>
    <w:rsid w:val="00996498"/>
    <w:rsid w:val="009A120C"/>
    <w:rsid w:val="009A17FF"/>
    <w:rsid w:val="009A5B89"/>
    <w:rsid w:val="009B2EC8"/>
    <w:rsid w:val="009C6EB4"/>
    <w:rsid w:val="009D001C"/>
    <w:rsid w:val="009E122B"/>
    <w:rsid w:val="009E3D79"/>
    <w:rsid w:val="009E58E4"/>
    <w:rsid w:val="009E6C8C"/>
    <w:rsid w:val="009E6FA8"/>
    <w:rsid w:val="009F03C4"/>
    <w:rsid w:val="009F40CA"/>
    <w:rsid w:val="009F420B"/>
    <w:rsid w:val="00A04135"/>
    <w:rsid w:val="00A04CDC"/>
    <w:rsid w:val="00A06110"/>
    <w:rsid w:val="00A113C2"/>
    <w:rsid w:val="00A137D1"/>
    <w:rsid w:val="00A165C4"/>
    <w:rsid w:val="00A22B3C"/>
    <w:rsid w:val="00A27596"/>
    <w:rsid w:val="00A32BDC"/>
    <w:rsid w:val="00A40D1C"/>
    <w:rsid w:val="00A4100B"/>
    <w:rsid w:val="00A44EB2"/>
    <w:rsid w:val="00A45A85"/>
    <w:rsid w:val="00A6065C"/>
    <w:rsid w:val="00A647A5"/>
    <w:rsid w:val="00A80440"/>
    <w:rsid w:val="00A80C80"/>
    <w:rsid w:val="00A8797A"/>
    <w:rsid w:val="00A94FB0"/>
    <w:rsid w:val="00AA7D1E"/>
    <w:rsid w:val="00AB0124"/>
    <w:rsid w:val="00AC1118"/>
    <w:rsid w:val="00AC5CB9"/>
    <w:rsid w:val="00AD7962"/>
    <w:rsid w:val="00AE5AFE"/>
    <w:rsid w:val="00AF0772"/>
    <w:rsid w:val="00AF1014"/>
    <w:rsid w:val="00B07009"/>
    <w:rsid w:val="00B07EDB"/>
    <w:rsid w:val="00B20E92"/>
    <w:rsid w:val="00B270BD"/>
    <w:rsid w:val="00B34934"/>
    <w:rsid w:val="00B4323B"/>
    <w:rsid w:val="00B455AD"/>
    <w:rsid w:val="00B5364E"/>
    <w:rsid w:val="00B549BB"/>
    <w:rsid w:val="00B56F81"/>
    <w:rsid w:val="00B601FC"/>
    <w:rsid w:val="00B62130"/>
    <w:rsid w:val="00B76109"/>
    <w:rsid w:val="00B84A4C"/>
    <w:rsid w:val="00B8761E"/>
    <w:rsid w:val="00B91862"/>
    <w:rsid w:val="00BA0944"/>
    <w:rsid w:val="00BB0EE2"/>
    <w:rsid w:val="00BB6B30"/>
    <w:rsid w:val="00BB7175"/>
    <w:rsid w:val="00BC013F"/>
    <w:rsid w:val="00BC5E5E"/>
    <w:rsid w:val="00BC76BD"/>
    <w:rsid w:val="00BD17C0"/>
    <w:rsid w:val="00BD3908"/>
    <w:rsid w:val="00BF3E89"/>
    <w:rsid w:val="00BF7610"/>
    <w:rsid w:val="00C03787"/>
    <w:rsid w:val="00C04454"/>
    <w:rsid w:val="00C0628C"/>
    <w:rsid w:val="00C14553"/>
    <w:rsid w:val="00C152F1"/>
    <w:rsid w:val="00C2768E"/>
    <w:rsid w:val="00C3168E"/>
    <w:rsid w:val="00C32CEE"/>
    <w:rsid w:val="00C37607"/>
    <w:rsid w:val="00C40B94"/>
    <w:rsid w:val="00C55438"/>
    <w:rsid w:val="00C56FF1"/>
    <w:rsid w:val="00C576CB"/>
    <w:rsid w:val="00C60BFE"/>
    <w:rsid w:val="00C622C9"/>
    <w:rsid w:val="00C623E7"/>
    <w:rsid w:val="00C63ED5"/>
    <w:rsid w:val="00C83A55"/>
    <w:rsid w:val="00C84F75"/>
    <w:rsid w:val="00C90FE7"/>
    <w:rsid w:val="00CA1246"/>
    <w:rsid w:val="00CA2367"/>
    <w:rsid w:val="00CB2968"/>
    <w:rsid w:val="00CB2D9F"/>
    <w:rsid w:val="00CB5ACD"/>
    <w:rsid w:val="00CC4BFA"/>
    <w:rsid w:val="00CC62CF"/>
    <w:rsid w:val="00CD2A71"/>
    <w:rsid w:val="00CD5549"/>
    <w:rsid w:val="00CD7037"/>
    <w:rsid w:val="00CE08D5"/>
    <w:rsid w:val="00CE097E"/>
    <w:rsid w:val="00CE363A"/>
    <w:rsid w:val="00CF3570"/>
    <w:rsid w:val="00CF55A3"/>
    <w:rsid w:val="00CF56AE"/>
    <w:rsid w:val="00CF7E8A"/>
    <w:rsid w:val="00D07AF3"/>
    <w:rsid w:val="00D12992"/>
    <w:rsid w:val="00D12AAA"/>
    <w:rsid w:val="00D134A0"/>
    <w:rsid w:val="00D25554"/>
    <w:rsid w:val="00D35D91"/>
    <w:rsid w:val="00D36221"/>
    <w:rsid w:val="00D45816"/>
    <w:rsid w:val="00D4643E"/>
    <w:rsid w:val="00D47843"/>
    <w:rsid w:val="00D61694"/>
    <w:rsid w:val="00D64B38"/>
    <w:rsid w:val="00D70496"/>
    <w:rsid w:val="00D73CF4"/>
    <w:rsid w:val="00D73F1A"/>
    <w:rsid w:val="00D80A04"/>
    <w:rsid w:val="00D83B27"/>
    <w:rsid w:val="00D83C5E"/>
    <w:rsid w:val="00D8746E"/>
    <w:rsid w:val="00D87604"/>
    <w:rsid w:val="00DA4782"/>
    <w:rsid w:val="00DB0AED"/>
    <w:rsid w:val="00DB2849"/>
    <w:rsid w:val="00DB78A7"/>
    <w:rsid w:val="00DC556B"/>
    <w:rsid w:val="00DC61EB"/>
    <w:rsid w:val="00DC6770"/>
    <w:rsid w:val="00DC67D4"/>
    <w:rsid w:val="00DD42AE"/>
    <w:rsid w:val="00DD4CAE"/>
    <w:rsid w:val="00DD579D"/>
    <w:rsid w:val="00DD6726"/>
    <w:rsid w:val="00DD6D25"/>
    <w:rsid w:val="00DE57C1"/>
    <w:rsid w:val="00E00C69"/>
    <w:rsid w:val="00E134D1"/>
    <w:rsid w:val="00E159CA"/>
    <w:rsid w:val="00E16B53"/>
    <w:rsid w:val="00E24AC8"/>
    <w:rsid w:val="00E2677A"/>
    <w:rsid w:val="00E338B0"/>
    <w:rsid w:val="00E35CBE"/>
    <w:rsid w:val="00E40161"/>
    <w:rsid w:val="00E472C8"/>
    <w:rsid w:val="00E56A17"/>
    <w:rsid w:val="00E63B26"/>
    <w:rsid w:val="00E816EB"/>
    <w:rsid w:val="00E84DAE"/>
    <w:rsid w:val="00E86132"/>
    <w:rsid w:val="00E941A8"/>
    <w:rsid w:val="00E95613"/>
    <w:rsid w:val="00E96263"/>
    <w:rsid w:val="00EA2B9D"/>
    <w:rsid w:val="00EA3814"/>
    <w:rsid w:val="00EA7207"/>
    <w:rsid w:val="00EB2DC8"/>
    <w:rsid w:val="00EC580B"/>
    <w:rsid w:val="00EC7FFA"/>
    <w:rsid w:val="00EE0293"/>
    <w:rsid w:val="00EE2467"/>
    <w:rsid w:val="00EE28D3"/>
    <w:rsid w:val="00EE6929"/>
    <w:rsid w:val="00F0485C"/>
    <w:rsid w:val="00F10265"/>
    <w:rsid w:val="00F12306"/>
    <w:rsid w:val="00F17CE9"/>
    <w:rsid w:val="00F2270F"/>
    <w:rsid w:val="00F25130"/>
    <w:rsid w:val="00F26514"/>
    <w:rsid w:val="00F271C4"/>
    <w:rsid w:val="00F34BB1"/>
    <w:rsid w:val="00F3505B"/>
    <w:rsid w:val="00F43DAA"/>
    <w:rsid w:val="00F47A8D"/>
    <w:rsid w:val="00F525DA"/>
    <w:rsid w:val="00F6023B"/>
    <w:rsid w:val="00F60CFB"/>
    <w:rsid w:val="00F65B1E"/>
    <w:rsid w:val="00F764FF"/>
    <w:rsid w:val="00F847E4"/>
    <w:rsid w:val="00F87B3A"/>
    <w:rsid w:val="00F90DA3"/>
    <w:rsid w:val="00FA40DD"/>
    <w:rsid w:val="00FA4E7F"/>
    <w:rsid w:val="00FA57D5"/>
    <w:rsid w:val="00FC0849"/>
    <w:rsid w:val="00FD19E1"/>
    <w:rsid w:val="00FD2910"/>
    <w:rsid w:val="00FD475C"/>
    <w:rsid w:val="00FD5FB1"/>
    <w:rsid w:val="00FE55B4"/>
    <w:rsid w:val="00FF28C2"/>
    <w:rsid w:val="02944B48"/>
    <w:rsid w:val="03934A6B"/>
    <w:rsid w:val="04594B12"/>
    <w:rsid w:val="04C01C5A"/>
    <w:rsid w:val="05C24D00"/>
    <w:rsid w:val="06F17970"/>
    <w:rsid w:val="0AC92236"/>
    <w:rsid w:val="0AE86426"/>
    <w:rsid w:val="0C347AFA"/>
    <w:rsid w:val="0EDB5DD0"/>
    <w:rsid w:val="10362C26"/>
    <w:rsid w:val="12027309"/>
    <w:rsid w:val="12344C6A"/>
    <w:rsid w:val="13E255B8"/>
    <w:rsid w:val="165D743E"/>
    <w:rsid w:val="173B7F2B"/>
    <w:rsid w:val="188A30D0"/>
    <w:rsid w:val="18EB1E70"/>
    <w:rsid w:val="1BF0437F"/>
    <w:rsid w:val="1CDB7EE7"/>
    <w:rsid w:val="1D315072"/>
    <w:rsid w:val="23B1689B"/>
    <w:rsid w:val="24F43A2F"/>
    <w:rsid w:val="26207CE8"/>
    <w:rsid w:val="270C081B"/>
    <w:rsid w:val="27BE60C1"/>
    <w:rsid w:val="280F4BC6"/>
    <w:rsid w:val="290970D2"/>
    <w:rsid w:val="2BB36041"/>
    <w:rsid w:val="2CD90022"/>
    <w:rsid w:val="2DE76A92"/>
    <w:rsid w:val="300701D9"/>
    <w:rsid w:val="31534978"/>
    <w:rsid w:val="328115D1"/>
    <w:rsid w:val="341E7C9A"/>
    <w:rsid w:val="3888244C"/>
    <w:rsid w:val="393051E4"/>
    <w:rsid w:val="39CB6530"/>
    <w:rsid w:val="3B2E5505"/>
    <w:rsid w:val="3F3B68F4"/>
    <w:rsid w:val="40DA72E3"/>
    <w:rsid w:val="445B15B3"/>
    <w:rsid w:val="48C13F2C"/>
    <w:rsid w:val="493A6F33"/>
    <w:rsid w:val="50585B3A"/>
    <w:rsid w:val="50C71AC7"/>
    <w:rsid w:val="51F31300"/>
    <w:rsid w:val="54537C81"/>
    <w:rsid w:val="552114B7"/>
    <w:rsid w:val="554C3600"/>
    <w:rsid w:val="56B364E6"/>
    <w:rsid w:val="571F34FB"/>
    <w:rsid w:val="5B7A08A2"/>
    <w:rsid w:val="5FD76F4D"/>
    <w:rsid w:val="636D5997"/>
    <w:rsid w:val="6543414F"/>
    <w:rsid w:val="65472B37"/>
    <w:rsid w:val="657C52AE"/>
    <w:rsid w:val="6A5E03A6"/>
    <w:rsid w:val="6E785161"/>
    <w:rsid w:val="70095AE2"/>
    <w:rsid w:val="71C965BE"/>
    <w:rsid w:val="71EF295E"/>
    <w:rsid w:val="7383558F"/>
    <w:rsid w:val="74051124"/>
    <w:rsid w:val="74936024"/>
    <w:rsid w:val="7A5F16D0"/>
    <w:rsid w:val="7C552FCF"/>
    <w:rsid w:val="7DCA16EC"/>
    <w:rsid w:val="7ED2669C"/>
    <w:rsid w:val="7F1058E5"/>
    <w:rsid w:val="7FCA2C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uiPriority="39" w:name="toc 7" w:locked="1"/>
    <w:lsdException w:uiPriority="39" w:name="toc 8" w:locked="1"/>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幼圆" w:cs="Times New Roman"/>
      <w:sz w:val="24"/>
      <w:lang w:val="en-US" w:eastAsia="zh-CN" w:bidi="ar-SA"/>
    </w:rPr>
  </w:style>
  <w:style w:type="paragraph" w:styleId="3">
    <w:name w:val="heading 1"/>
    <w:basedOn w:val="1"/>
    <w:next w:val="1"/>
    <w:link w:val="53"/>
    <w:qFormat/>
    <w:uiPriority w:val="99"/>
    <w:pPr>
      <w:keepNext/>
      <w:outlineLvl w:val="0"/>
    </w:pPr>
    <w:rPr>
      <w:rFonts w:ascii="Times New Roman" w:hAnsi="Times New Roman" w:eastAsia="宋体"/>
      <w:b/>
      <w:kern w:val="2"/>
      <w:sz w:val="21"/>
      <w:szCs w:val="24"/>
    </w:rPr>
  </w:style>
  <w:style w:type="paragraph" w:styleId="4">
    <w:name w:val="heading 2"/>
    <w:basedOn w:val="1"/>
    <w:next w:val="1"/>
    <w:link w:val="54"/>
    <w:qFormat/>
    <w:uiPriority w:val="99"/>
    <w:pPr>
      <w:keepNext/>
      <w:keepLines/>
      <w:adjustRightInd w:val="0"/>
      <w:spacing w:before="260" w:after="260" w:line="416" w:lineRule="atLeast"/>
      <w:textAlignment w:val="baseline"/>
      <w:outlineLvl w:val="1"/>
    </w:pPr>
    <w:rPr>
      <w:rFonts w:eastAsia="黑体"/>
      <w:b/>
      <w:sz w:val="32"/>
    </w:rPr>
  </w:style>
  <w:style w:type="paragraph" w:styleId="5">
    <w:name w:val="heading 3"/>
    <w:basedOn w:val="1"/>
    <w:next w:val="1"/>
    <w:link w:val="55"/>
    <w:qFormat/>
    <w:uiPriority w:val="99"/>
    <w:pPr>
      <w:keepNext/>
      <w:keepLines/>
      <w:spacing w:before="260" w:after="260" w:line="416" w:lineRule="auto"/>
      <w:outlineLvl w:val="2"/>
    </w:pPr>
    <w:rPr>
      <w:rFonts w:ascii="Times New Roman" w:hAnsi="Times New Roman" w:eastAsia="宋体"/>
      <w:b/>
      <w:bCs/>
      <w:kern w:val="2"/>
      <w:sz w:val="32"/>
      <w:szCs w:val="32"/>
    </w:rPr>
  </w:style>
  <w:style w:type="paragraph" w:styleId="6">
    <w:name w:val="heading 4"/>
    <w:basedOn w:val="1"/>
    <w:next w:val="1"/>
    <w:link w:val="56"/>
    <w:qFormat/>
    <w:uiPriority w:val="99"/>
    <w:pPr>
      <w:keepNext/>
      <w:keepLines/>
      <w:spacing w:before="280" w:after="290" w:line="376" w:lineRule="auto"/>
      <w:outlineLvl w:val="3"/>
    </w:pPr>
    <w:rPr>
      <w:rFonts w:eastAsia="黑体"/>
      <w:b/>
      <w:bCs/>
      <w:kern w:val="2"/>
      <w:sz w:val="28"/>
      <w:szCs w:val="28"/>
    </w:rPr>
  </w:style>
  <w:style w:type="paragraph" w:styleId="7">
    <w:name w:val="heading 5"/>
    <w:basedOn w:val="1"/>
    <w:next w:val="2"/>
    <w:link w:val="57"/>
    <w:qFormat/>
    <w:uiPriority w:val="99"/>
    <w:pPr>
      <w:keepNext/>
      <w:keepLines/>
      <w:spacing w:before="280" w:after="290" w:line="376" w:lineRule="auto"/>
      <w:outlineLvl w:val="4"/>
    </w:pPr>
    <w:rPr>
      <w:rFonts w:ascii="Times New Roman" w:hAnsi="Times New Roman" w:eastAsia="宋体"/>
      <w:b/>
      <w:kern w:val="2"/>
      <w:sz w:val="28"/>
    </w:rPr>
  </w:style>
  <w:style w:type="paragraph" w:styleId="8">
    <w:name w:val="heading 6"/>
    <w:basedOn w:val="1"/>
    <w:next w:val="2"/>
    <w:link w:val="58"/>
    <w:qFormat/>
    <w:uiPriority w:val="99"/>
    <w:pPr>
      <w:keepNext/>
      <w:keepLines/>
      <w:spacing w:before="240" w:after="64" w:line="320" w:lineRule="auto"/>
      <w:outlineLvl w:val="5"/>
    </w:pPr>
    <w:rPr>
      <w:rFonts w:eastAsia="黑体"/>
      <w:b/>
    </w:rPr>
  </w:style>
  <w:style w:type="paragraph" w:styleId="9">
    <w:name w:val="heading 7"/>
    <w:basedOn w:val="1"/>
    <w:next w:val="2"/>
    <w:link w:val="59"/>
    <w:qFormat/>
    <w:uiPriority w:val="99"/>
    <w:pPr>
      <w:keepNext/>
      <w:keepLines/>
      <w:spacing w:before="240" w:after="64" w:line="320" w:lineRule="auto"/>
      <w:outlineLvl w:val="6"/>
    </w:pPr>
    <w:rPr>
      <w:b/>
    </w:rPr>
  </w:style>
  <w:style w:type="paragraph" w:styleId="10">
    <w:name w:val="heading 8"/>
    <w:basedOn w:val="1"/>
    <w:next w:val="2"/>
    <w:link w:val="60"/>
    <w:qFormat/>
    <w:uiPriority w:val="99"/>
    <w:pPr>
      <w:keepNext/>
      <w:keepLines/>
      <w:spacing w:before="240" w:after="64" w:line="320" w:lineRule="auto"/>
      <w:outlineLvl w:val="7"/>
    </w:pPr>
    <w:rPr>
      <w:rFonts w:eastAsia="黑体"/>
    </w:rPr>
  </w:style>
  <w:style w:type="paragraph" w:styleId="11">
    <w:name w:val="heading 9"/>
    <w:basedOn w:val="1"/>
    <w:next w:val="2"/>
    <w:link w:val="61"/>
    <w:qFormat/>
    <w:uiPriority w:val="99"/>
    <w:pPr>
      <w:keepNext/>
      <w:keepLines/>
      <w:spacing w:before="240" w:after="64" w:line="320" w:lineRule="auto"/>
      <w:outlineLvl w:val="8"/>
    </w:pPr>
    <w:rPr>
      <w:rFonts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62"/>
    <w:qFormat/>
    <w:uiPriority w:val="99"/>
    <w:pPr>
      <w:ind w:firstLine="420"/>
    </w:pPr>
    <w:rPr>
      <w:rFonts w:ascii="Times New Roman" w:hAnsi="Times New Roman" w:eastAsia="宋体"/>
      <w:kern w:val="2"/>
      <w:sz w:val="21"/>
    </w:rPr>
  </w:style>
  <w:style w:type="paragraph" w:styleId="12">
    <w:name w:val="caption"/>
    <w:basedOn w:val="1"/>
    <w:next w:val="1"/>
    <w:qFormat/>
    <w:uiPriority w:val="99"/>
    <w:pPr>
      <w:autoSpaceDE w:val="0"/>
      <w:autoSpaceDN w:val="0"/>
      <w:spacing w:line="360" w:lineRule="auto"/>
    </w:pPr>
    <w:rPr>
      <w:rFonts w:ascii="Cambria" w:hAnsi="Cambria" w:eastAsia="黑体"/>
      <w:sz w:val="20"/>
    </w:rPr>
  </w:style>
  <w:style w:type="paragraph" w:styleId="13">
    <w:name w:val="Document Map"/>
    <w:basedOn w:val="1"/>
    <w:link w:val="113"/>
    <w:qFormat/>
    <w:uiPriority w:val="99"/>
    <w:rPr>
      <w:rFonts w:ascii="宋体" w:hAnsi="Times New Roman" w:eastAsia="宋体"/>
      <w:kern w:val="2"/>
      <w:sz w:val="18"/>
    </w:rPr>
  </w:style>
  <w:style w:type="paragraph" w:styleId="14">
    <w:name w:val="toa heading"/>
    <w:basedOn w:val="1"/>
    <w:next w:val="1"/>
    <w:semiHidden/>
    <w:qFormat/>
    <w:uiPriority w:val="99"/>
    <w:pPr>
      <w:autoSpaceDE w:val="0"/>
      <w:autoSpaceDN w:val="0"/>
      <w:spacing w:before="120" w:line="360" w:lineRule="auto"/>
    </w:pPr>
    <w:rPr>
      <w:rFonts w:ascii="Cambria" w:hAnsi="Cambria"/>
    </w:rPr>
  </w:style>
  <w:style w:type="paragraph" w:styleId="15">
    <w:name w:val="annotation text"/>
    <w:basedOn w:val="1"/>
    <w:link w:val="117"/>
    <w:semiHidden/>
    <w:qFormat/>
    <w:uiPriority w:val="99"/>
    <w:pPr>
      <w:jc w:val="left"/>
    </w:pPr>
    <w:rPr>
      <w:rFonts w:ascii="Times New Roman" w:hAnsi="Times New Roman" w:eastAsia="宋体"/>
      <w:kern w:val="2"/>
    </w:rPr>
  </w:style>
  <w:style w:type="paragraph" w:styleId="16">
    <w:name w:val="Body Text 3"/>
    <w:basedOn w:val="1"/>
    <w:link w:val="116"/>
    <w:qFormat/>
    <w:uiPriority w:val="99"/>
    <w:pPr>
      <w:autoSpaceDE w:val="0"/>
      <w:autoSpaceDN w:val="0"/>
      <w:spacing w:after="120" w:line="360" w:lineRule="auto"/>
    </w:pPr>
    <w:rPr>
      <w:rFonts w:ascii="Times New Roman" w:hAnsi="Times New Roman" w:eastAsia="宋体"/>
      <w:kern w:val="2"/>
      <w:sz w:val="16"/>
    </w:rPr>
  </w:style>
  <w:style w:type="paragraph" w:styleId="17">
    <w:name w:val="Body Text"/>
    <w:basedOn w:val="1"/>
    <w:link w:val="115"/>
    <w:qFormat/>
    <w:uiPriority w:val="99"/>
    <w:rPr>
      <w:rFonts w:ascii="金山简黑体" w:hAnsi="Courier New" w:eastAsia="金山简黑体"/>
      <w:b/>
      <w:spacing w:val="-8"/>
      <w:kern w:val="2"/>
      <w:sz w:val="44"/>
    </w:rPr>
  </w:style>
  <w:style w:type="paragraph" w:styleId="18">
    <w:name w:val="Body Text Indent"/>
    <w:basedOn w:val="1"/>
    <w:link w:val="119"/>
    <w:qFormat/>
    <w:uiPriority w:val="99"/>
    <w:pPr>
      <w:spacing w:line="200" w:lineRule="exact"/>
      <w:ind w:firstLine="301"/>
    </w:pPr>
    <w:rPr>
      <w:rFonts w:ascii="宋体" w:hAnsi="Courier New" w:eastAsia="宋体"/>
      <w:spacing w:val="-4"/>
      <w:kern w:val="2"/>
      <w:sz w:val="18"/>
    </w:rPr>
  </w:style>
  <w:style w:type="paragraph" w:styleId="19">
    <w:name w:val="toc 3"/>
    <w:basedOn w:val="1"/>
    <w:next w:val="1"/>
    <w:semiHidden/>
    <w:qFormat/>
    <w:uiPriority w:val="99"/>
    <w:pPr>
      <w:ind w:left="840" w:leftChars="400"/>
    </w:pPr>
  </w:style>
  <w:style w:type="paragraph" w:styleId="20">
    <w:name w:val="Plain Text"/>
    <w:basedOn w:val="1"/>
    <w:link w:val="128"/>
    <w:qFormat/>
    <w:uiPriority w:val="0"/>
    <w:rPr>
      <w:rFonts w:ascii="宋体" w:hAnsi="Courier New" w:eastAsia="宋体"/>
      <w:kern w:val="2"/>
      <w:sz w:val="21"/>
    </w:rPr>
  </w:style>
  <w:style w:type="paragraph" w:styleId="21">
    <w:name w:val="Date"/>
    <w:basedOn w:val="1"/>
    <w:next w:val="1"/>
    <w:link w:val="123"/>
    <w:qFormat/>
    <w:uiPriority w:val="99"/>
    <w:pPr>
      <w:ind w:left="100" w:leftChars="2500"/>
    </w:pPr>
    <w:rPr>
      <w:rFonts w:ascii="宋体" w:hAnsi="Courier New" w:eastAsia="宋体"/>
      <w:kern w:val="2"/>
    </w:rPr>
  </w:style>
  <w:style w:type="paragraph" w:styleId="22">
    <w:name w:val="Body Text Indent 2"/>
    <w:basedOn w:val="1"/>
    <w:link w:val="118"/>
    <w:qFormat/>
    <w:uiPriority w:val="99"/>
    <w:pPr>
      <w:ind w:firstLine="412" w:firstLineChars="196"/>
    </w:pPr>
  </w:style>
  <w:style w:type="paragraph" w:styleId="23">
    <w:name w:val="Balloon Text"/>
    <w:basedOn w:val="1"/>
    <w:link w:val="114"/>
    <w:semiHidden/>
    <w:qFormat/>
    <w:uiPriority w:val="99"/>
    <w:rPr>
      <w:rFonts w:ascii="Times New Roman" w:hAnsi="Times New Roman" w:eastAsia="宋体"/>
      <w:kern w:val="2"/>
      <w:sz w:val="18"/>
    </w:rPr>
  </w:style>
  <w:style w:type="paragraph" w:styleId="24">
    <w:name w:val="footer"/>
    <w:basedOn w:val="1"/>
    <w:link w:val="122"/>
    <w:qFormat/>
    <w:uiPriority w:val="99"/>
    <w:pPr>
      <w:tabs>
        <w:tab w:val="center" w:pos="4153"/>
        <w:tab w:val="right" w:pos="8306"/>
      </w:tabs>
      <w:snapToGrid w:val="0"/>
      <w:jc w:val="left"/>
    </w:pPr>
    <w:rPr>
      <w:rFonts w:ascii="宋体" w:hAnsi="Courier New" w:eastAsia="宋体"/>
      <w:kern w:val="2"/>
      <w:sz w:val="18"/>
    </w:rPr>
  </w:style>
  <w:style w:type="paragraph" w:styleId="25">
    <w:name w:val="header"/>
    <w:basedOn w:val="1"/>
    <w:link w:val="125"/>
    <w:qFormat/>
    <w:uiPriority w:val="99"/>
    <w:pPr>
      <w:pBdr>
        <w:bottom w:val="single" w:color="auto" w:sz="6" w:space="1"/>
      </w:pBdr>
      <w:tabs>
        <w:tab w:val="center" w:pos="4153"/>
        <w:tab w:val="right" w:pos="8306"/>
      </w:tabs>
      <w:snapToGrid w:val="0"/>
      <w:jc w:val="center"/>
    </w:pPr>
    <w:rPr>
      <w:rFonts w:ascii="宋体" w:hAnsi="Courier New" w:eastAsia="宋体"/>
      <w:kern w:val="2"/>
      <w:sz w:val="18"/>
    </w:rPr>
  </w:style>
  <w:style w:type="paragraph" w:styleId="26">
    <w:name w:val="toc 1"/>
    <w:basedOn w:val="1"/>
    <w:next w:val="1"/>
    <w:semiHidden/>
    <w:qFormat/>
    <w:uiPriority w:val="99"/>
    <w:pPr>
      <w:tabs>
        <w:tab w:val="right" w:leader="dot" w:pos="9628"/>
      </w:tabs>
    </w:pPr>
    <w:rPr>
      <w:rFonts w:ascii="宋体" w:hAnsi="宋体"/>
      <w:b/>
      <w:color w:val="000000"/>
      <w:sz w:val="32"/>
      <w:szCs w:val="32"/>
    </w:rPr>
  </w:style>
  <w:style w:type="paragraph" w:styleId="27">
    <w:name w:val="toc 4"/>
    <w:basedOn w:val="1"/>
    <w:next w:val="1"/>
    <w:semiHidden/>
    <w:qFormat/>
    <w:uiPriority w:val="99"/>
    <w:pPr>
      <w:autoSpaceDE w:val="0"/>
      <w:autoSpaceDN w:val="0"/>
      <w:spacing w:line="360" w:lineRule="auto"/>
      <w:ind w:left="1260" w:leftChars="600"/>
    </w:pPr>
  </w:style>
  <w:style w:type="paragraph" w:styleId="28">
    <w:name w:val="toc 2"/>
    <w:basedOn w:val="1"/>
    <w:next w:val="1"/>
    <w:semiHidden/>
    <w:qFormat/>
    <w:uiPriority w:val="99"/>
    <w:pPr>
      <w:tabs>
        <w:tab w:val="right" w:leader="dot" w:pos="8779"/>
      </w:tabs>
      <w:ind w:firstLine="412" w:firstLineChars="196"/>
    </w:pPr>
    <w:rPr>
      <w:rFonts w:ascii="宋体" w:hAnsi="宋体" w:cs="Arial"/>
      <w:szCs w:val="21"/>
    </w:rPr>
  </w:style>
  <w:style w:type="paragraph" w:styleId="29">
    <w:name w:val="toc 9"/>
    <w:basedOn w:val="1"/>
    <w:next w:val="1"/>
    <w:semiHidden/>
    <w:qFormat/>
    <w:uiPriority w:val="99"/>
    <w:pPr>
      <w:ind w:left="3360" w:leftChars="1600"/>
    </w:pPr>
  </w:style>
  <w:style w:type="paragraph" w:styleId="30">
    <w:name w:val="Body Text 2"/>
    <w:basedOn w:val="1"/>
    <w:link w:val="112"/>
    <w:qFormat/>
    <w:uiPriority w:val="99"/>
    <w:pPr>
      <w:autoSpaceDE w:val="0"/>
      <w:autoSpaceDN w:val="0"/>
      <w:spacing w:after="120" w:line="480" w:lineRule="auto"/>
    </w:pPr>
    <w:rPr>
      <w:rFonts w:ascii="Times New Roman" w:hAnsi="Times New Roman" w:eastAsia="宋体"/>
      <w:kern w:val="2"/>
      <w:sz w:val="21"/>
      <w:lang w:eastAsia="ko-KR"/>
    </w:rPr>
  </w:style>
  <w:style w:type="paragraph" w:styleId="31">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cs="Arial"/>
      <w:szCs w:val="21"/>
    </w:rPr>
  </w:style>
  <w:style w:type="paragraph" w:styleId="32">
    <w:name w:val="Normal (Web)"/>
    <w:basedOn w:val="1"/>
    <w:qFormat/>
    <w:uiPriority w:val="99"/>
    <w:pPr>
      <w:widowControl/>
      <w:spacing w:before="100" w:beforeAutospacing="1" w:after="100" w:afterAutospacing="1"/>
      <w:jc w:val="left"/>
    </w:pPr>
    <w:rPr>
      <w:rFonts w:ascii="宋体" w:hAnsi="宋体"/>
    </w:rPr>
  </w:style>
  <w:style w:type="paragraph" w:styleId="33">
    <w:name w:val="index 1"/>
    <w:basedOn w:val="1"/>
    <w:next w:val="1"/>
    <w:semiHidden/>
    <w:qFormat/>
    <w:uiPriority w:val="99"/>
    <w:pPr>
      <w:spacing w:line="360" w:lineRule="auto"/>
    </w:pPr>
    <w:rPr>
      <w:rFonts w:ascii="宋体" w:hAnsi="宋体"/>
      <w:bCs/>
      <w:szCs w:val="21"/>
    </w:rPr>
  </w:style>
  <w:style w:type="paragraph" w:styleId="34">
    <w:name w:val="Title"/>
    <w:basedOn w:val="1"/>
    <w:next w:val="1"/>
    <w:link w:val="121"/>
    <w:qFormat/>
    <w:uiPriority w:val="99"/>
    <w:pPr>
      <w:autoSpaceDE w:val="0"/>
      <w:autoSpaceDN w:val="0"/>
      <w:spacing w:before="240" w:after="60" w:line="360" w:lineRule="auto"/>
      <w:jc w:val="center"/>
      <w:outlineLvl w:val="0"/>
    </w:pPr>
    <w:rPr>
      <w:rFonts w:ascii="Calibri Light" w:hAnsi="Calibri Light" w:eastAsia="宋体"/>
      <w:b/>
      <w:kern w:val="2"/>
      <w:sz w:val="32"/>
      <w:lang w:eastAsia="ko-KR"/>
    </w:rPr>
  </w:style>
  <w:style w:type="paragraph" w:styleId="35">
    <w:name w:val="annotation subject"/>
    <w:basedOn w:val="15"/>
    <w:next w:val="15"/>
    <w:link w:val="129"/>
    <w:semiHidden/>
    <w:qFormat/>
    <w:uiPriority w:val="99"/>
    <w:rPr>
      <w:b/>
    </w:rPr>
  </w:style>
  <w:style w:type="paragraph" w:styleId="36">
    <w:name w:val="Body Text First Indent 2"/>
    <w:basedOn w:val="18"/>
    <w:link w:val="120"/>
    <w:qFormat/>
    <w:uiPriority w:val="99"/>
    <w:pPr>
      <w:autoSpaceDE w:val="0"/>
      <w:autoSpaceDN w:val="0"/>
      <w:spacing w:after="120" w:line="360" w:lineRule="auto"/>
      <w:ind w:left="420" w:leftChars="200" w:firstLine="420" w:firstLineChars="200"/>
    </w:pPr>
    <w:rPr>
      <w:sz w:val="24"/>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Strong"/>
    <w:basedOn w:val="39"/>
    <w:qFormat/>
    <w:uiPriority w:val="99"/>
    <w:rPr>
      <w:rFonts w:cs="Times New Roman"/>
      <w:b/>
    </w:rPr>
  </w:style>
  <w:style w:type="character" w:styleId="41">
    <w:name w:val="page number"/>
    <w:basedOn w:val="39"/>
    <w:qFormat/>
    <w:uiPriority w:val="99"/>
    <w:rPr>
      <w:rFonts w:cs="Times New Roman"/>
    </w:rPr>
  </w:style>
  <w:style w:type="character" w:styleId="42">
    <w:name w:val="FollowedHyperlink"/>
    <w:basedOn w:val="39"/>
    <w:qFormat/>
    <w:uiPriority w:val="99"/>
    <w:rPr>
      <w:rFonts w:cs="Times New Roman"/>
      <w:color w:val="800080"/>
      <w:u w:val="single"/>
    </w:rPr>
  </w:style>
  <w:style w:type="character" w:styleId="43">
    <w:name w:val="HTML Definition"/>
    <w:basedOn w:val="39"/>
    <w:semiHidden/>
    <w:unhideWhenUsed/>
    <w:qFormat/>
    <w:locked/>
    <w:uiPriority w:val="99"/>
  </w:style>
  <w:style w:type="character" w:styleId="44">
    <w:name w:val="HTML Typewriter"/>
    <w:basedOn w:val="39"/>
    <w:semiHidden/>
    <w:unhideWhenUsed/>
    <w:qFormat/>
    <w:locked/>
    <w:uiPriority w:val="99"/>
    <w:rPr>
      <w:rFonts w:hint="default" w:ascii="monospace" w:hAnsi="monospace" w:eastAsia="monospace" w:cs="monospace"/>
      <w:sz w:val="20"/>
    </w:rPr>
  </w:style>
  <w:style w:type="character" w:styleId="45">
    <w:name w:val="HTML Acronym"/>
    <w:basedOn w:val="39"/>
    <w:semiHidden/>
    <w:unhideWhenUsed/>
    <w:qFormat/>
    <w:locked/>
    <w:uiPriority w:val="99"/>
  </w:style>
  <w:style w:type="character" w:styleId="46">
    <w:name w:val="HTML Variable"/>
    <w:basedOn w:val="39"/>
    <w:semiHidden/>
    <w:unhideWhenUsed/>
    <w:qFormat/>
    <w:locked/>
    <w:uiPriority w:val="99"/>
  </w:style>
  <w:style w:type="character" w:styleId="47">
    <w:name w:val="Hyperlink"/>
    <w:basedOn w:val="39"/>
    <w:qFormat/>
    <w:uiPriority w:val="99"/>
    <w:rPr>
      <w:rFonts w:cs="Times New Roman"/>
      <w:color w:val="0000FF"/>
      <w:u w:val="single"/>
    </w:rPr>
  </w:style>
  <w:style w:type="character" w:styleId="48">
    <w:name w:val="HTML Code"/>
    <w:basedOn w:val="39"/>
    <w:semiHidden/>
    <w:unhideWhenUsed/>
    <w:qFormat/>
    <w:locked/>
    <w:uiPriority w:val="99"/>
    <w:rPr>
      <w:rFonts w:hint="default" w:ascii="Consolas" w:hAnsi="Consolas" w:eastAsia="Consolas" w:cs="Consolas"/>
      <w:sz w:val="21"/>
      <w:szCs w:val="21"/>
    </w:rPr>
  </w:style>
  <w:style w:type="character" w:styleId="49">
    <w:name w:val="annotation reference"/>
    <w:basedOn w:val="39"/>
    <w:semiHidden/>
    <w:qFormat/>
    <w:uiPriority w:val="99"/>
    <w:rPr>
      <w:rFonts w:cs="Times New Roman"/>
      <w:sz w:val="21"/>
    </w:rPr>
  </w:style>
  <w:style w:type="character" w:styleId="50">
    <w:name w:val="HTML Cite"/>
    <w:basedOn w:val="39"/>
    <w:semiHidden/>
    <w:unhideWhenUsed/>
    <w:qFormat/>
    <w:locked/>
    <w:uiPriority w:val="99"/>
  </w:style>
  <w:style w:type="character" w:styleId="51">
    <w:name w:val="HTML Keyboard"/>
    <w:basedOn w:val="39"/>
    <w:semiHidden/>
    <w:unhideWhenUsed/>
    <w:qFormat/>
    <w:locked/>
    <w:uiPriority w:val="99"/>
    <w:rPr>
      <w:rFonts w:hint="default" w:ascii="Consolas" w:hAnsi="Consolas" w:eastAsia="Consolas" w:cs="Consolas"/>
      <w:sz w:val="21"/>
      <w:szCs w:val="21"/>
    </w:rPr>
  </w:style>
  <w:style w:type="character" w:styleId="52">
    <w:name w:val="HTML Sample"/>
    <w:basedOn w:val="39"/>
    <w:semiHidden/>
    <w:unhideWhenUsed/>
    <w:qFormat/>
    <w:locked/>
    <w:uiPriority w:val="99"/>
    <w:rPr>
      <w:rFonts w:ascii="Consolas" w:hAnsi="Consolas" w:eastAsia="Consolas" w:cs="Consolas"/>
      <w:sz w:val="21"/>
      <w:szCs w:val="21"/>
    </w:rPr>
  </w:style>
  <w:style w:type="character" w:customStyle="1" w:styleId="53">
    <w:name w:val="标题 1 Char"/>
    <w:basedOn w:val="39"/>
    <w:link w:val="3"/>
    <w:qFormat/>
    <w:locked/>
    <w:uiPriority w:val="99"/>
    <w:rPr>
      <w:rFonts w:eastAsia="宋体" w:cs="Times New Roman"/>
      <w:b/>
      <w:kern w:val="2"/>
      <w:sz w:val="24"/>
      <w:lang w:val="en-US" w:eastAsia="zh-CN"/>
    </w:rPr>
  </w:style>
  <w:style w:type="character" w:customStyle="1" w:styleId="54">
    <w:name w:val="标题 2 Char"/>
    <w:basedOn w:val="39"/>
    <w:link w:val="4"/>
    <w:qFormat/>
    <w:locked/>
    <w:uiPriority w:val="99"/>
    <w:rPr>
      <w:rFonts w:ascii="Arial" w:hAnsi="Arial" w:eastAsia="黑体" w:cs="Times New Roman"/>
      <w:b/>
      <w:sz w:val="32"/>
      <w:lang w:val="en-US" w:eastAsia="zh-CN"/>
    </w:rPr>
  </w:style>
  <w:style w:type="character" w:customStyle="1" w:styleId="55">
    <w:name w:val="标题 3 Char"/>
    <w:basedOn w:val="39"/>
    <w:link w:val="5"/>
    <w:qFormat/>
    <w:locked/>
    <w:uiPriority w:val="99"/>
    <w:rPr>
      <w:rFonts w:cs="Times New Roman"/>
      <w:b/>
      <w:kern w:val="2"/>
      <w:sz w:val="32"/>
    </w:rPr>
  </w:style>
  <w:style w:type="character" w:customStyle="1" w:styleId="56">
    <w:name w:val="标题 4 Char"/>
    <w:basedOn w:val="39"/>
    <w:link w:val="6"/>
    <w:qFormat/>
    <w:locked/>
    <w:uiPriority w:val="99"/>
    <w:rPr>
      <w:rFonts w:ascii="Arial" w:hAnsi="Arial" w:eastAsia="黑体" w:cs="Times New Roman"/>
      <w:b/>
      <w:kern w:val="2"/>
      <w:sz w:val="28"/>
      <w:lang w:val="en-US" w:eastAsia="zh-CN"/>
    </w:rPr>
  </w:style>
  <w:style w:type="character" w:customStyle="1" w:styleId="57">
    <w:name w:val="标题 5 Char"/>
    <w:basedOn w:val="39"/>
    <w:link w:val="7"/>
    <w:qFormat/>
    <w:locked/>
    <w:uiPriority w:val="99"/>
    <w:rPr>
      <w:rFonts w:eastAsia="宋体" w:cs="Times New Roman"/>
      <w:b/>
      <w:kern w:val="2"/>
      <w:sz w:val="28"/>
      <w:lang w:val="en-US" w:eastAsia="zh-CN"/>
    </w:rPr>
  </w:style>
  <w:style w:type="character" w:customStyle="1" w:styleId="58">
    <w:name w:val="标题 6 Char"/>
    <w:basedOn w:val="39"/>
    <w:link w:val="8"/>
    <w:semiHidden/>
    <w:qFormat/>
    <w:locked/>
    <w:uiPriority w:val="99"/>
    <w:rPr>
      <w:rFonts w:ascii="Calibri" w:hAnsi="Calibri" w:eastAsia="宋体" w:cs="Times New Roman"/>
      <w:b/>
      <w:bCs/>
    </w:rPr>
  </w:style>
  <w:style w:type="character" w:customStyle="1" w:styleId="59">
    <w:name w:val="标题 7 Char"/>
    <w:basedOn w:val="39"/>
    <w:link w:val="9"/>
    <w:semiHidden/>
    <w:qFormat/>
    <w:locked/>
    <w:uiPriority w:val="99"/>
    <w:rPr>
      <w:rFonts w:ascii="Calibri" w:hAnsi="Calibri" w:eastAsia="宋体" w:cs="Times New Roman"/>
      <w:sz w:val="24"/>
      <w:szCs w:val="24"/>
    </w:rPr>
  </w:style>
  <w:style w:type="character" w:customStyle="1" w:styleId="60">
    <w:name w:val="标题 8 Char"/>
    <w:basedOn w:val="39"/>
    <w:link w:val="10"/>
    <w:semiHidden/>
    <w:qFormat/>
    <w:locked/>
    <w:uiPriority w:val="99"/>
    <w:rPr>
      <w:rFonts w:ascii="Calibri" w:hAnsi="Calibri" w:eastAsia="宋体" w:cs="Times New Roman"/>
      <w:i/>
      <w:iCs/>
      <w:sz w:val="24"/>
      <w:szCs w:val="24"/>
    </w:rPr>
  </w:style>
  <w:style w:type="character" w:customStyle="1" w:styleId="61">
    <w:name w:val="标题 9 Char"/>
    <w:basedOn w:val="39"/>
    <w:link w:val="11"/>
    <w:semiHidden/>
    <w:qFormat/>
    <w:locked/>
    <w:uiPriority w:val="99"/>
    <w:rPr>
      <w:rFonts w:ascii="Cambria" w:hAnsi="Cambria" w:eastAsia="宋体" w:cs="Times New Roman"/>
    </w:rPr>
  </w:style>
  <w:style w:type="character" w:customStyle="1" w:styleId="62">
    <w:name w:val="正文缩进 Char"/>
    <w:link w:val="2"/>
    <w:qFormat/>
    <w:locked/>
    <w:uiPriority w:val="99"/>
    <w:rPr>
      <w:rFonts w:eastAsia="宋体"/>
      <w:kern w:val="2"/>
      <w:sz w:val="21"/>
      <w:lang w:val="en-US" w:eastAsia="zh-CN"/>
    </w:rPr>
  </w:style>
  <w:style w:type="character" w:customStyle="1" w:styleId="63">
    <w:name w:val="Plain Text Char"/>
    <w:qFormat/>
    <w:locked/>
    <w:uiPriority w:val="99"/>
    <w:rPr>
      <w:rFonts w:ascii="宋体" w:hAnsi="Courier New" w:eastAsia="宋体"/>
      <w:kern w:val="2"/>
      <w:sz w:val="21"/>
      <w:lang w:val="en-US" w:eastAsia="zh-CN"/>
    </w:rPr>
  </w:style>
  <w:style w:type="character" w:customStyle="1" w:styleId="64">
    <w:name w:val="正文 + 宋体 Char"/>
    <w:link w:val="65"/>
    <w:qFormat/>
    <w:locked/>
    <w:uiPriority w:val="99"/>
    <w:rPr>
      <w:rFonts w:ascii="宋体" w:eastAsia="宋体"/>
      <w:b/>
      <w:sz w:val="24"/>
    </w:rPr>
  </w:style>
  <w:style w:type="paragraph" w:customStyle="1" w:styleId="65">
    <w:name w:val="正文 + 宋体"/>
    <w:basedOn w:val="22"/>
    <w:link w:val="64"/>
    <w:qFormat/>
    <w:uiPriority w:val="99"/>
    <w:pPr>
      <w:spacing w:after="120" w:line="480" w:lineRule="exact"/>
      <w:ind w:firstLine="0" w:firstLineChars="0"/>
    </w:pPr>
    <w:rPr>
      <w:rFonts w:ascii="宋体" w:hAnsi="Times New Roman" w:eastAsia="宋体"/>
      <w:b/>
    </w:rPr>
  </w:style>
  <w:style w:type="character" w:customStyle="1" w:styleId="66">
    <w:name w:val="链接"/>
    <w:qFormat/>
    <w:uiPriority w:val="99"/>
    <w:rPr>
      <w:rFonts w:ascii="Times New Roman" w:eastAsia="宋体"/>
      <w:color w:val="0000FF"/>
      <w:sz w:val="21"/>
      <w:u w:val="single" w:color="0000FF"/>
      <w:vertAlign w:val="baseline"/>
      <w:lang w:val="en-US" w:eastAsia="zh-CN"/>
    </w:rPr>
  </w:style>
  <w:style w:type="character" w:customStyle="1" w:styleId="67">
    <w:name w:val="Title Char"/>
    <w:qFormat/>
    <w:locked/>
    <w:uiPriority w:val="99"/>
    <w:rPr>
      <w:rFonts w:ascii="Calibri Light" w:hAnsi="Calibri Light" w:eastAsia="宋体"/>
      <w:b/>
      <w:kern w:val="2"/>
      <w:sz w:val="32"/>
      <w:lang w:val="en-US" w:eastAsia="ko-KR"/>
    </w:rPr>
  </w:style>
  <w:style w:type="character" w:customStyle="1" w:styleId="68">
    <w:name w:val="Item List Char"/>
    <w:link w:val="69"/>
    <w:qFormat/>
    <w:locked/>
    <w:uiPriority w:val="99"/>
    <w:rPr>
      <w:rFonts w:eastAsia="宋体"/>
      <w:sz w:val="24"/>
      <w:lang w:val="en-US" w:eastAsia="ko-KR"/>
    </w:rPr>
  </w:style>
  <w:style w:type="paragraph" w:customStyle="1" w:styleId="69">
    <w:name w:val="Item List"/>
    <w:basedOn w:val="1"/>
    <w:link w:val="68"/>
    <w:qFormat/>
    <w:uiPriority w:val="99"/>
    <w:pPr>
      <w:tabs>
        <w:tab w:val="left" w:pos="420"/>
        <w:tab w:val="left" w:pos="1701"/>
      </w:tabs>
      <w:autoSpaceDE w:val="0"/>
      <w:autoSpaceDN w:val="0"/>
      <w:snapToGrid w:val="0"/>
      <w:spacing w:afterLines="50" w:line="360" w:lineRule="auto"/>
      <w:ind w:left="1701" w:hanging="567"/>
      <w:jc w:val="left"/>
    </w:pPr>
    <w:rPr>
      <w:rFonts w:ascii="Times New Roman" w:hAnsi="Times New Roman" w:eastAsia="宋体"/>
      <w:lang w:eastAsia="ko-KR"/>
    </w:rPr>
  </w:style>
  <w:style w:type="character" w:customStyle="1" w:styleId="70">
    <w:name w:val="h"/>
    <w:basedOn w:val="39"/>
    <w:qFormat/>
    <w:uiPriority w:val="99"/>
    <w:rPr>
      <w:rFonts w:cs="Times New Roman"/>
    </w:rPr>
  </w:style>
  <w:style w:type="character" w:customStyle="1" w:styleId="71">
    <w:name w:val="列出段落 Char"/>
    <w:link w:val="72"/>
    <w:qFormat/>
    <w:locked/>
    <w:uiPriority w:val="99"/>
    <w:rPr>
      <w:rFonts w:ascii="Calibri" w:hAnsi="Calibri" w:eastAsia="宋体"/>
      <w:lang w:val="en-US" w:eastAsia="zh-CN"/>
    </w:rPr>
  </w:style>
  <w:style w:type="paragraph" w:customStyle="1" w:styleId="72">
    <w:name w:val="List Paragraph1"/>
    <w:basedOn w:val="1"/>
    <w:link w:val="71"/>
    <w:qFormat/>
    <w:uiPriority w:val="99"/>
    <w:pPr>
      <w:autoSpaceDE w:val="0"/>
      <w:autoSpaceDN w:val="0"/>
      <w:spacing w:line="360" w:lineRule="auto"/>
      <w:ind w:firstLine="420" w:firstLineChars="200"/>
    </w:pPr>
    <w:rPr>
      <w:rFonts w:ascii="Calibri" w:hAnsi="Calibri" w:eastAsia="宋体"/>
      <w:sz w:val="20"/>
    </w:rPr>
  </w:style>
  <w:style w:type="character" w:customStyle="1" w:styleId="73">
    <w:name w:val="Date Char"/>
    <w:qFormat/>
    <w:locked/>
    <w:uiPriority w:val="99"/>
    <w:rPr>
      <w:rFonts w:ascii="宋体" w:hAnsi="Courier New"/>
      <w:kern w:val="2"/>
      <w:sz w:val="24"/>
    </w:rPr>
  </w:style>
  <w:style w:type="character" w:customStyle="1" w:styleId="74">
    <w:name w:val="Balloon Text Char"/>
    <w:qFormat/>
    <w:locked/>
    <w:uiPriority w:val="99"/>
    <w:rPr>
      <w:rFonts w:eastAsia="宋体"/>
      <w:kern w:val="2"/>
      <w:sz w:val="18"/>
      <w:lang w:val="en-US" w:eastAsia="zh-CN"/>
    </w:rPr>
  </w:style>
  <w:style w:type="character" w:customStyle="1" w:styleId="75">
    <w:name w:val="price7"/>
    <w:qFormat/>
    <w:uiPriority w:val="99"/>
    <w:rPr>
      <w:color w:val="CC0000"/>
    </w:rPr>
  </w:style>
  <w:style w:type="character" w:customStyle="1" w:styleId="76">
    <w:name w:val="Document Map Char"/>
    <w:semiHidden/>
    <w:qFormat/>
    <w:locked/>
    <w:uiPriority w:val="99"/>
    <w:rPr>
      <w:rFonts w:ascii="宋体"/>
      <w:kern w:val="2"/>
      <w:sz w:val="18"/>
    </w:rPr>
  </w:style>
  <w:style w:type="character" w:customStyle="1" w:styleId="77">
    <w:name w:val="Body Text Indent Char"/>
    <w:qFormat/>
    <w:locked/>
    <w:uiPriority w:val="99"/>
    <w:rPr>
      <w:rFonts w:ascii="宋体" w:hAnsi="Courier New" w:eastAsia="宋体"/>
      <w:spacing w:val="-4"/>
      <w:kern w:val="2"/>
      <w:sz w:val="18"/>
      <w:lang w:val="en-US" w:eastAsia="zh-CN"/>
    </w:rPr>
  </w:style>
  <w:style w:type="character" w:customStyle="1" w:styleId="78">
    <w:name w:val="city3"/>
    <w:qFormat/>
    <w:uiPriority w:val="99"/>
    <w:rPr>
      <w:color w:val="999999"/>
    </w:rPr>
  </w:style>
  <w:style w:type="character" w:customStyle="1" w:styleId="79">
    <w:name w:val="无间隔 Char"/>
    <w:link w:val="80"/>
    <w:qFormat/>
    <w:locked/>
    <w:uiPriority w:val="99"/>
    <w:rPr>
      <w:rFonts w:ascii="Calibri" w:hAnsi="Calibri"/>
      <w:lang w:val="en-US" w:eastAsia="zh-CN" w:bidi="ar-SA"/>
    </w:rPr>
  </w:style>
  <w:style w:type="paragraph" w:customStyle="1" w:styleId="80">
    <w:name w:val="No Spacing1"/>
    <w:link w:val="79"/>
    <w:qFormat/>
    <w:uiPriority w:val="99"/>
    <w:pPr>
      <w:ind w:firstLine="200" w:firstLineChars="200"/>
    </w:pPr>
    <w:rPr>
      <w:rFonts w:ascii="Calibri" w:hAnsi="Calibri" w:eastAsia="宋体" w:cs="Times New Roman"/>
      <w:lang w:val="en-US" w:eastAsia="zh-CN" w:bidi="ar-SA"/>
    </w:rPr>
  </w:style>
  <w:style w:type="character" w:customStyle="1" w:styleId="81">
    <w:name w:val="Char Char6"/>
    <w:qFormat/>
    <w:locked/>
    <w:uiPriority w:val="99"/>
    <w:rPr>
      <w:rFonts w:ascii="宋体" w:hAnsi="Courier New" w:eastAsia="宋体"/>
      <w:sz w:val="21"/>
    </w:rPr>
  </w:style>
  <w:style w:type="character" w:customStyle="1" w:styleId="82">
    <w:name w:val="paramname3"/>
    <w:basedOn w:val="39"/>
    <w:qFormat/>
    <w:uiPriority w:val="99"/>
    <w:rPr>
      <w:rFonts w:cs="Times New Roman"/>
    </w:rPr>
  </w:style>
  <w:style w:type="character" w:customStyle="1" w:styleId="83">
    <w:name w:val="Normal Char"/>
    <w:link w:val="84"/>
    <w:qFormat/>
    <w:locked/>
    <w:uiPriority w:val="99"/>
    <w:rPr>
      <w:rFonts w:ascii="Arial" w:hAnsi="Arial" w:eastAsia="幼圆"/>
      <w:sz w:val="24"/>
      <w:lang w:val="en-US" w:eastAsia="zh-CN" w:bidi="ar-SA"/>
    </w:rPr>
  </w:style>
  <w:style w:type="paragraph" w:customStyle="1" w:styleId="84">
    <w:name w:val="正文1"/>
    <w:link w:val="83"/>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85">
    <w:name w:val="style2"/>
    <w:basedOn w:val="39"/>
    <w:qFormat/>
    <w:uiPriority w:val="99"/>
    <w:rPr>
      <w:rFonts w:cs="Times New Roman"/>
    </w:rPr>
  </w:style>
  <w:style w:type="character" w:customStyle="1" w:styleId="86">
    <w:name w:val="Header Char"/>
    <w:qFormat/>
    <w:locked/>
    <w:uiPriority w:val="99"/>
    <w:rPr>
      <w:rFonts w:ascii="宋体" w:hAnsi="Courier New" w:eastAsia="宋体"/>
      <w:kern w:val="2"/>
      <w:sz w:val="18"/>
      <w:lang w:val="en-US" w:eastAsia="zh-CN"/>
    </w:rPr>
  </w:style>
  <w:style w:type="character" w:customStyle="1" w:styleId="87">
    <w:name w:val="Comment Text Char"/>
    <w:qFormat/>
    <w:locked/>
    <w:uiPriority w:val="99"/>
    <w:rPr>
      <w:rFonts w:eastAsia="宋体"/>
      <w:kern w:val="2"/>
      <w:sz w:val="24"/>
      <w:lang w:val="en-US" w:eastAsia="zh-CN"/>
    </w:rPr>
  </w:style>
  <w:style w:type="character" w:customStyle="1" w:styleId="88">
    <w:name w:val="条款样式 Char"/>
    <w:link w:val="89"/>
    <w:qFormat/>
    <w:locked/>
    <w:uiPriority w:val="99"/>
    <w:rPr>
      <w:rFonts w:ascii="Calibri" w:hAnsi="Calibri" w:eastAsia="宋体"/>
      <w:lang w:val="en-US" w:eastAsia="zh-CN"/>
    </w:rPr>
  </w:style>
  <w:style w:type="paragraph" w:customStyle="1" w:styleId="89">
    <w:name w:val="条款样式"/>
    <w:basedOn w:val="1"/>
    <w:link w:val="88"/>
    <w:qFormat/>
    <w:uiPriority w:val="99"/>
    <w:pPr>
      <w:tabs>
        <w:tab w:val="left" w:pos="770"/>
      </w:tabs>
      <w:autoSpaceDE w:val="0"/>
      <w:autoSpaceDN w:val="0"/>
      <w:spacing w:line="440" w:lineRule="exact"/>
      <w:ind w:left="770" w:hanging="770"/>
      <w:jc w:val="left"/>
    </w:pPr>
    <w:rPr>
      <w:rFonts w:ascii="Calibri" w:hAnsi="Calibri" w:eastAsia="宋体"/>
      <w:sz w:val="20"/>
    </w:rPr>
  </w:style>
  <w:style w:type="character" w:customStyle="1" w:styleId="90">
    <w:name w:val="news12 Char Char"/>
    <w:link w:val="91"/>
    <w:qFormat/>
    <w:locked/>
    <w:uiPriority w:val="99"/>
    <w:rPr>
      <w:rFonts w:ascii="宋体" w:eastAsia="宋体"/>
      <w:color w:val="000000"/>
      <w:sz w:val="16"/>
      <w:lang w:val="en-US" w:eastAsia="zh-CN"/>
    </w:rPr>
  </w:style>
  <w:style w:type="paragraph" w:customStyle="1" w:styleId="91">
    <w:name w:val="news12"/>
    <w:basedOn w:val="1"/>
    <w:link w:val="90"/>
    <w:qFormat/>
    <w:uiPriority w:val="99"/>
    <w:pPr>
      <w:widowControl/>
      <w:autoSpaceDE w:val="0"/>
      <w:autoSpaceDN w:val="0"/>
      <w:spacing w:before="100" w:beforeAutospacing="1" w:after="100" w:afterAutospacing="1" w:line="336" w:lineRule="auto"/>
      <w:jc w:val="left"/>
    </w:pPr>
    <w:rPr>
      <w:rFonts w:ascii="宋体" w:hAnsi="Times New Roman" w:eastAsia="宋体"/>
      <w:color w:val="000000"/>
      <w:sz w:val="16"/>
    </w:rPr>
  </w:style>
  <w:style w:type="character" w:customStyle="1" w:styleId="92">
    <w:name w:val="text11"/>
    <w:qFormat/>
    <w:uiPriority w:val="99"/>
    <w:rPr>
      <w:rFonts w:ascii="Verdana" w:hAnsi="Verdana"/>
      <w:color w:val="4E4E4E"/>
      <w:sz w:val="18"/>
    </w:rPr>
  </w:style>
  <w:style w:type="character" w:customStyle="1" w:styleId="93">
    <w:name w:val="px141"/>
    <w:qFormat/>
    <w:uiPriority w:val="99"/>
    <w:rPr>
      <w:sz w:val="21"/>
    </w:rPr>
  </w:style>
  <w:style w:type="character" w:customStyle="1" w:styleId="94">
    <w:name w:val="Body Text 3 Char"/>
    <w:qFormat/>
    <w:locked/>
    <w:uiPriority w:val="99"/>
    <w:rPr>
      <w:rFonts w:eastAsia="宋体"/>
      <w:kern w:val="2"/>
      <w:sz w:val="16"/>
      <w:lang w:val="en-US" w:eastAsia="zh-CN"/>
    </w:rPr>
  </w:style>
  <w:style w:type="character" w:customStyle="1" w:styleId="95">
    <w:name w:val="huei12b1"/>
    <w:qFormat/>
    <w:uiPriority w:val="99"/>
    <w:rPr>
      <w:b/>
      <w:color w:val="333333"/>
      <w:sz w:val="18"/>
    </w:rPr>
  </w:style>
  <w:style w:type="character" w:customStyle="1" w:styleId="96">
    <w:name w:val="Body Text First Indent 2 Char"/>
    <w:qFormat/>
    <w:locked/>
    <w:uiPriority w:val="99"/>
    <w:rPr>
      <w:rFonts w:ascii="宋体" w:hAnsi="Courier New" w:eastAsia="宋体"/>
      <w:spacing w:val="-4"/>
      <w:kern w:val="2"/>
      <w:sz w:val="24"/>
      <w:lang w:val="en-US" w:eastAsia="zh-CN"/>
    </w:rPr>
  </w:style>
  <w:style w:type="character" w:customStyle="1" w:styleId="97">
    <w:name w:val="常规 Char"/>
    <w:link w:val="98"/>
    <w:qFormat/>
    <w:locked/>
    <w:uiPriority w:val="99"/>
    <w:rPr>
      <w:rFonts w:eastAsia="宋体"/>
      <w:sz w:val="21"/>
      <w:lang w:val="en-US" w:eastAsia="zh-CN"/>
    </w:rPr>
  </w:style>
  <w:style w:type="paragraph" w:customStyle="1" w:styleId="98">
    <w:name w:val="常规"/>
    <w:basedOn w:val="1"/>
    <w:link w:val="97"/>
    <w:qFormat/>
    <w:uiPriority w:val="99"/>
    <w:pPr>
      <w:autoSpaceDE w:val="0"/>
      <w:autoSpaceDN w:val="0"/>
      <w:spacing w:beforeLines="100" w:afterLines="100" w:line="360" w:lineRule="auto"/>
      <w:ind w:left="1134"/>
    </w:pPr>
    <w:rPr>
      <w:rFonts w:ascii="Times New Roman" w:hAnsi="Times New Roman" w:eastAsia="宋体"/>
      <w:sz w:val="21"/>
    </w:rPr>
  </w:style>
  <w:style w:type="character" w:customStyle="1" w:styleId="99">
    <w:name w:val="普通文字 Char Char2"/>
    <w:qFormat/>
    <w:uiPriority w:val="99"/>
    <w:rPr>
      <w:rFonts w:hAnsi="Symbol"/>
      <w:sz w:val="21"/>
    </w:rPr>
  </w:style>
  <w:style w:type="character" w:customStyle="1" w:styleId="100">
    <w:name w:val="Footer Char"/>
    <w:qFormat/>
    <w:locked/>
    <w:uiPriority w:val="99"/>
    <w:rPr>
      <w:rFonts w:ascii="宋体" w:hAnsi="Courier New" w:eastAsia="宋体"/>
      <w:kern w:val="2"/>
      <w:sz w:val="18"/>
      <w:lang w:val="en-US" w:eastAsia="zh-CN"/>
    </w:rPr>
  </w:style>
  <w:style w:type="character" w:customStyle="1" w:styleId="101">
    <w:name w:val="apple-style-span"/>
    <w:qFormat/>
    <w:uiPriority w:val="99"/>
  </w:style>
  <w:style w:type="character" w:customStyle="1" w:styleId="102">
    <w:name w:val="标准文本 Char"/>
    <w:link w:val="103"/>
    <w:qFormat/>
    <w:locked/>
    <w:uiPriority w:val="99"/>
    <w:rPr>
      <w:rFonts w:eastAsia="宋体"/>
      <w:lang w:val="en-US" w:eastAsia="zh-CN"/>
    </w:rPr>
  </w:style>
  <w:style w:type="paragraph" w:customStyle="1" w:styleId="103">
    <w:name w:val="标准文本"/>
    <w:basedOn w:val="1"/>
    <w:link w:val="102"/>
    <w:qFormat/>
    <w:uiPriority w:val="99"/>
    <w:pPr>
      <w:autoSpaceDE w:val="0"/>
      <w:autoSpaceDN w:val="0"/>
      <w:spacing w:line="360" w:lineRule="auto"/>
      <w:ind w:firstLine="480" w:firstLineChars="200"/>
    </w:pPr>
    <w:rPr>
      <w:rFonts w:ascii="Times New Roman" w:hAnsi="Times New Roman" w:eastAsia="宋体"/>
      <w:sz w:val="20"/>
    </w:rPr>
  </w:style>
  <w:style w:type="character" w:customStyle="1" w:styleId="104">
    <w:name w:val="Comment Subject Char"/>
    <w:qFormat/>
    <w:locked/>
    <w:uiPriority w:val="99"/>
    <w:rPr>
      <w:rFonts w:eastAsia="宋体"/>
      <w:b/>
      <w:kern w:val="2"/>
      <w:sz w:val="24"/>
      <w:lang w:val="en-US" w:eastAsia="zh-CN"/>
    </w:rPr>
  </w:style>
  <w:style w:type="character" w:customStyle="1" w:styleId="105">
    <w:name w:val="marklong"/>
    <w:basedOn w:val="39"/>
    <w:qFormat/>
    <w:uiPriority w:val="99"/>
    <w:rPr>
      <w:rFonts w:cs="Times New Roman"/>
    </w:rPr>
  </w:style>
  <w:style w:type="character" w:customStyle="1" w:styleId="106">
    <w:name w:val="页眉 Char"/>
    <w:qFormat/>
    <w:uiPriority w:val="99"/>
    <w:rPr>
      <w:rFonts w:eastAsia="宋体"/>
      <w:kern w:val="2"/>
      <w:sz w:val="18"/>
      <w:lang w:val="en-US" w:eastAsia="zh-CN"/>
    </w:rPr>
  </w:style>
  <w:style w:type="character" w:customStyle="1" w:styleId="107">
    <w:name w:val="Body Text 2 Char"/>
    <w:qFormat/>
    <w:locked/>
    <w:uiPriority w:val="99"/>
    <w:rPr>
      <w:rFonts w:eastAsia="宋体"/>
      <w:kern w:val="2"/>
      <w:sz w:val="21"/>
      <w:lang w:val="en-US" w:eastAsia="ko-KR"/>
    </w:rPr>
  </w:style>
  <w:style w:type="character" w:customStyle="1" w:styleId="108">
    <w:name w:val="正文首行缩进 Char"/>
    <w:link w:val="109"/>
    <w:qFormat/>
    <w:locked/>
    <w:uiPriority w:val="99"/>
    <w:rPr>
      <w:rFonts w:eastAsia="宋体"/>
      <w:lang w:val="en-US" w:eastAsia="zh-CN"/>
    </w:rPr>
  </w:style>
  <w:style w:type="paragraph" w:customStyle="1" w:styleId="109">
    <w:name w:val="正文首行缩进1"/>
    <w:basedOn w:val="17"/>
    <w:link w:val="108"/>
    <w:qFormat/>
    <w:uiPriority w:val="99"/>
    <w:pPr>
      <w:autoSpaceDE w:val="0"/>
      <w:autoSpaceDN w:val="0"/>
      <w:spacing w:before="120" w:after="120" w:line="360" w:lineRule="auto"/>
      <w:ind w:firstLine="200" w:firstLineChars="200"/>
      <w:jc w:val="left"/>
    </w:pPr>
    <w:rPr>
      <w:rFonts w:ascii="Times New Roman" w:hAnsi="Times New Roman" w:eastAsia="宋体"/>
      <w:b w:val="0"/>
      <w:spacing w:val="0"/>
      <w:kern w:val="0"/>
      <w:sz w:val="20"/>
    </w:rPr>
  </w:style>
  <w:style w:type="character" w:customStyle="1" w:styleId="110">
    <w:name w:val="普通文字 Char Char1"/>
    <w:qFormat/>
    <w:uiPriority w:val="99"/>
    <w:rPr>
      <w:rFonts w:ascii="宋体" w:hAnsi="Courier New" w:eastAsia="宋体"/>
      <w:kern w:val="2"/>
      <w:sz w:val="21"/>
      <w:lang w:val="en-US" w:eastAsia="zh-CN"/>
    </w:rPr>
  </w:style>
  <w:style w:type="character" w:customStyle="1" w:styleId="111">
    <w:name w:val="Body Text Char"/>
    <w:qFormat/>
    <w:locked/>
    <w:uiPriority w:val="99"/>
    <w:rPr>
      <w:rFonts w:ascii="金山简黑体" w:hAnsi="Courier New" w:eastAsia="金山简黑体"/>
      <w:b/>
      <w:spacing w:val="-8"/>
      <w:kern w:val="2"/>
      <w:sz w:val="44"/>
      <w:lang w:val="en-US" w:eastAsia="zh-CN"/>
    </w:rPr>
  </w:style>
  <w:style w:type="character" w:customStyle="1" w:styleId="112">
    <w:name w:val="正文文本 2 Char"/>
    <w:basedOn w:val="39"/>
    <w:link w:val="30"/>
    <w:semiHidden/>
    <w:qFormat/>
    <w:locked/>
    <w:uiPriority w:val="99"/>
    <w:rPr>
      <w:rFonts w:ascii="Arial" w:hAnsi="Arial" w:eastAsia="幼圆" w:cs="Times New Roman"/>
      <w:sz w:val="20"/>
      <w:szCs w:val="20"/>
    </w:rPr>
  </w:style>
  <w:style w:type="character" w:customStyle="1" w:styleId="113">
    <w:name w:val="文档结构图 Char"/>
    <w:basedOn w:val="39"/>
    <w:link w:val="13"/>
    <w:semiHidden/>
    <w:qFormat/>
    <w:locked/>
    <w:uiPriority w:val="99"/>
    <w:rPr>
      <w:rFonts w:eastAsia="幼圆" w:cs="Times New Roman"/>
      <w:sz w:val="2"/>
    </w:rPr>
  </w:style>
  <w:style w:type="character" w:customStyle="1" w:styleId="114">
    <w:name w:val="批注框文本 Char"/>
    <w:basedOn w:val="39"/>
    <w:link w:val="23"/>
    <w:semiHidden/>
    <w:qFormat/>
    <w:locked/>
    <w:uiPriority w:val="99"/>
    <w:rPr>
      <w:rFonts w:eastAsia="幼圆" w:cs="Times New Roman"/>
      <w:sz w:val="2"/>
    </w:rPr>
  </w:style>
  <w:style w:type="character" w:customStyle="1" w:styleId="115">
    <w:name w:val="正文文本 Char"/>
    <w:basedOn w:val="39"/>
    <w:link w:val="17"/>
    <w:semiHidden/>
    <w:qFormat/>
    <w:locked/>
    <w:uiPriority w:val="99"/>
    <w:rPr>
      <w:rFonts w:ascii="Arial" w:hAnsi="Arial" w:eastAsia="幼圆" w:cs="Times New Roman"/>
      <w:sz w:val="20"/>
      <w:szCs w:val="20"/>
    </w:rPr>
  </w:style>
  <w:style w:type="character" w:customStyle="1" w:styleId="116">
    <w:name w:val="正文文本 3 Char"/>
    <w:basedOn w:val="39"/>
    <w:link w:val="16"/>
    <w:semiHidden/>
    <w:qFormat/>
    <w:locked/>
    <w:uiPriority w:val="99"/>
    <w:rPr>
      <w:rFonts w:ascii="Arial" w:hAnsi="Arial" w:eastAsia="幼圆" w:cs="Times New Roman"/>
      <w:sz w:val="16"/>
      <w:szCs w:val="16"/>
    </w:rPr>
  </w:style>
  <w:style w:type="character" w:customStyle="1" w:styleId="117">
    <w:name w:val="批注文字 Char"/>
    <w:basedOn w:val="39"/>
    <w:link w:val="15"/>
    <w:semiHidden/>
    <w:locked/>
    <w:uiPriority w:val="99"/>
    <w:rPr>
      <w:rFonts w:ascii="Arial" w:hAnsi="Arial" w:eastAsia="幼圆" w:cs="Times New Roman"/>
      <w:sz w:val="20"/>
      <w:szCs w:val="20"/>
    </w:rPr>
  </w:style>
  <w:style w:type="character" w:customStyle="1" w:styleId="118">
    <w:name w:val="正文文本缩进 2 Char"/>
    <w:basedOn w:val="39"/>
    <w:link w:val="22"/>
    <w:semiHidden/>
    <w:qFormat/>
    <w:locked/>
    <w:uiPriority w:val="99"/>
    <w:rPr>
      <w:rFonts w:ascii="Arial" w:hAnsi="Arial" w:eastAsia="幼圆" w:cs="Times New Roman"/>
      <w:sz w:val="20"/>
      <w:szCs w:val="20"/>
    </w:rPr>
  </w:style>
  <w:style w:type="character" w:customStyle="1" w:styleId="119">
    <w:name w:val="正文文本缩进 Char"/>
    <w:basedOn w:val="39"/>
    <w:link w:val="18"/>
    <w:semiHidden/>
    <w:qFormat/>
    <w:locked/>
    <w:uiPriority w:val="99"/>
    <w:rPr>
      <w:rFonts w:ascii="Arial" w:hAnsi="Arial" w:eastAsia="幼圆" w:cs="Times New Roman"/>
      <w:sz w:val="20"/>
      <w:szCs w:val="20"/>
    </w:rPr>
  </w:style>
  <w:style w:type="character" w:customStyle="1" w:styleId="120">
    <w:name w:val="正文首行缩进 2 Char"/>
    <w:basedOn w:val="77"/>
    <w:link w:val="36"/>
    <w:semiHidden/>
    <w:qFormat/>
    <w:locked/>
    <w:uiPriority w:val="99"/>
    <w:rPr>
      <w:rFonts w:ascii="Arial" w:hAnsi="Arial" w:eastAsia="幼圆" w:cs="Times New Roman"/>
      <w:spacing w:val="-4"/>
      <w:kern w:val="2"/>
      <w:sz w:val="20"/>
      <w:szCs w:val="20"/>
      <w:lang w:val="en-US" w:eastAsia="zh-CN"/>
    </w:rPr>
  </w:style>
  <w:style w:type="character" w:customStyle="1" w:styleId="121">
    <w:name w:val="标题 Char"/>
    <w:basedOn w:val="39"/>
    <w:link w:val="34"/>
    <w:locked/>
    <w:uiPriority w:val="99"/>
    <w:rPr>
      <w:rFonts w:ascii="Cambria" w:hAnsi="Cambria" w:eastAsia="宋体" w:cs="Times New Roman"/>
      <w:b/>
      <w:bCs/>
      <w:kern w:val="28"/>
      <w:sz w:val="32"/>
      <w:szCs w:val="32"/>
    </w:rPr>
  </w:style>
  <w:style w:type="character" w:customStyle="1" w:styleId="122">
    <w:name w:val="页脚 Char"/>
    <w:basedOn w:val="39"/>
    <w:link w:val="24"/>
    <w:semiHidden/>
    <w:qFormat/>
    <w:locked/>
    <w:uiPriority w:val="99"/>
    <w:rPr>
      <w:rFonts w:ascii="Arial" w:hAnsi="Arial" w:eastAsia="幼圆" w:cs="Times New Roman"/>
      <w:sz w:val="20"/>
      <w:szCs w:val="20"/>
    </w:rPr>
  </w:style>
  <w:style w:type="character" w:customStyle="1" w:styleId="123">
    <w:name w:val="日期 Char"/>
    <w:basedOn w:val="39"/>
    <w:link w:val="21"/>
    <w:semiHidden/>
    <w:qFormat/>
    <w:locked/>
    <w:uiPriority w:val="99"/>
    <w:rPr>
      <w:rFonts w:ascii="Arial" w:hAnsi="Arial" w:eastAsia="幼圆" w:cs="Times New Roman"/>
      <w:sz w:val="20"/>
      <w:szCs w:val="20"/>
    </w:rPr>
  </w:style>
  <w:style w:type="character" w:customStyle="1" w:styleId="124">
    <w:name w:val="HTML 预设格式 Char"/>
    <w:basedOn w:val="39"/>
    <w:link w:val="31"/>
    <w:semiHidden/>
    <w:qFormat/>
    <w:locked/>
    <w:uiPriority w:val="99"/>
    <w:rPr>
      <w:rFonts w:ascii="Courier New" w:hAnsi="Courier New" w:eastAsia="幼圆" w:cs="Courier New"/>
      <w:sz w:val="20"/>
      <w:szCs w:val="20"/>
    </w:rPr>
  </w:style>
  <w:style w:type="character" w:customStyle="1" w:styleId="125">
    <w:name w:val="页眉 Char1"/>
    <w:basedOn w:val="39"/>
    <w:link w:val="25"/>
    <w:semiHidden/>
    <w:qFormat/>
    <w:locked/>
    <w:uiPriority w:val="99"/>
    <w:rPr>
      <w:rFonts w:ascii="Arial" w:hAnsi="Arial" w:eastAsia="幼圆" w:cs="Times New Roman"/>
      <w:sz w:val="20"/>
      <w:szCs w:val="20"/>
    </w:rPr>
  </w:style>
  <w:style w:type="character" w:customStyle="1" w:styleId="126">
    <w:name w:val="Plain Text Char1"/>
    <w:basedOn w:val="39"/>
    <w:semiHidden/>
    <w:qFormat/>
    <w:uiPriority w:val="99"/>
    <w:rPr>
      <w:rFonts w:ascii="Courier New" w:hAnsi="Courier New" w:eastAsia="幼圆" w:cs="Courier New"/>
      <w:sz w:val="20"/>
      <w:szCs w:val="20"/>
    </w:rPr>
  </w:style>
  <w:style w:type="character" w:customStyle="1" w:styleId="127">
    <w:name w:val="Plain Text Char11"/>
    <w:basedOn w:val="39"/>
    <w:semiHidden/>
    <w:qFormat/>
    <w:locked/>
    <w:uiPriority w:val="99"/>
    <w:rPr>
      <w:rFonts w:ascii="Courier New" w:hAnsi="Courier New" w:eastAsia="幼圆" w:cs="Courier New"/>
      <w:sz w:val="20"/>
      <w:szCs w:val="20"/>
    </w:rPr>
  </w:style>
  <w:style w:type="character" w:customStyle="1" w:styleId="128">
    <w:name w:val="纯文本 Char"/>
    <w:basedOn w:val="39"/>
    <w:link w:val="20"/>
    <w:qFormat/>
    <w:locked/>
    <w:uiPriority w:val="0"/>
    <w:rPr>
      <w:rFonts w:ascii="Courier New" w:hAnsi="Courier New" w:eastAsia="幼圆" w:cs="Courier New"/>
      <w:sz w:val="20"/>
      <w:szCs w:val="20"/>
    </w:rPr>
  </w:style>
  <w:style w:type="character" w:customStyle="1" w:styleId="129">
    <w:name w:val="批注主题 Char"/>
    <w:basedOn w:val="87"/>
    <w:link w:val="35"/>
    <w:semiHidden/>
    <w:locked/>
    <w:uiPriority w:val="99"/>
    <w:rPr>
      <w:rFonts w:ascii="Arial" w:hAnsi="Arial" w:eastAsia="幼圆" w:cs="Times New Roman"/>
      <w:b/>
      <w:bCs/>
      <w:kern w:val="2"/>
      <w:sz w:val="20"/>
      <w:szCs w:val="20"/>
      <w:lang w:val="en-US" w:eastAsia="zh-CN"/>
    </w:rPr>
  </w:style>
  <w:style w:type="paragraph" w:customStyle="1" w:styleId="130">
    <w:name w:val="Char Char"/>
    <w:basedOn w:val="1"/>
    <w:qFormat/>
    <w:uiPriority w:val="99"/>
    <w:pPr>
      <w:widowControl/>
      <w:tabs>
        <w:tab w:val="left" w:pos="509"/>
      </w:tabs>
      <w:spacing w:after="160" w:line="240" w:lineRule="exact"/>
      <w:ind w:left="252"/>
      <w:jc w:val="left"/>
    </w:pPr>
    <w:rPr>
      <w:rFonts w:ascii="Verdana" w:hAnsi="Verdana" w:eastAsia="仿宋_GB2312"/>
      <w:lang w:eastAsia="en-US"/>
    </w:rPr>
  </w:style>
  <w:style w:type="paragraph" w:customStyle="1" w:styleId="131">
    <w:name w:val="1"/>
    <w:basedOn w:val="1"/>
    <w:next w:val="20"/>
    <w:qFormat/>
    <w:uiPriority w:val="99"/>
    <w:rPr>
      <w:rFonts w:ascii="宋体" w:hAnsi="Courier New"/>
    </w:rPr>
  </w:style>
  <w:style w:type="paragraph" w:customStyle="1" w:styleId="132">
    <w:name w:val="_Style 133"/>
    <w:basedOn w:val="1"/>
    <w:qFormat/>
    <w:uiPriority w:val="99"/>
    <w:pPr>
      <w:spacing w:line="360" w:lineRule="auto"/>
      <w:ind w:firstLine="200" w:firstLineChars="200"/>
    </w:pPr>
    <w:rPr>
      <w:rFonts w:ascii="Times New Roman" w:hAnsi="Times New Roman" w:eastAsia="宋体"/>
      <w:kern w:val="2"/>
      <w:sz w:val="21"/>
    </w:rPr>
  </w:style>
  <w:style w:type="paragraph" w:customStyle="1" w:styleId="133">
    <w:name w:val="CM6"/>
    <w:basedOn w:val="134"/>
    <w:next w:val="134"/>
    <w:qFormat/>
    <w:uiPriority w:val="99"/>
    <w:pPr>
      <w:spacing w:after="280"/>
    </w:pPr>
    <w:rPr>
      <w:rFonts w:ascii="宋体" w:hAnsi="Calibri" w:cs="Times New Roman"/>
      <w:color w:val="auto"/>
    </w:rPr>
  </w:style>
  <w:style w:type="paragraph" w:customStyle="1" w:styleId="134">
    <w:name w:val="Defaul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5">
    <w:name w:val="acxspmiddle"/>
    <w:basedOn w:val="1"/>
    <w:qFormat/>
    <w:uiPriority w:val="99"/>
    <w:pPr>
      <w:widowControl/>
      <w:spacing w:before="100" w:beforeAutospacing="1" w:after="100" w:afterAutospacing="1"/>
      <w:jc w:val="left"/>
    </w:pPr>
    <w:rPr>
      <w:rFonts w:ascii="宋体" w:hAnsi="宋体" w:cs="宋体"/>
    </w:rPr>
  </w:style>
  <w:style w:type="paragraph" w:customStyle="1" w:styleId="136">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szCs w:val="21"/>
    </w:rPr>
  </w:style>
  <w:style w:type="paragraph" w:customStyle="1" w:styleId="137">
    <w:name w:val="默认段落字体 Para Char"/>
    <w:basedOn w:val="1"/>
    <w:qFormat/>
    <w:uiPriority w:val="99"/>
  </w:style>
  <w:style w:type="paragraph" w:customStyle="1" w:styleId="138">
    <w:name w:val="Char Char Char Char Char Char1 Char"/>
    <w:basedOn w:val="1"/>
    <w:uiPriority w:val="99"/>
    <w:pPr>
      <w:widowControl/>
      <w:spacing w:after="160" w:line="240" w:lineRule="exact"/>
      <w:jc w:val="left"/>
    </w:pPr>
    <w:rPr>
      <w:rFonts w:ascii="Verdana" w:hAnsi="Verdana"/>
      <w:lang w:eastAsia="en-US"/>
    </w:rPr>
  </w:style>
  <w:style w:type="paragraph" w:customStyle="1" w:styleId="139">
    <w:name w:val="font9"/>
    <w:basedOn w:val="1"/>
    <w:qFormat/>
    <w:uiPriority w:val="99"/>
    <w:pPr>
      <w:widowControl/>
      <w:spacing w:before="100" w:beforeAutospacing="1" w:after="100" w:afterAutospacing="1"/>
      <w:jc w:val="left"/>
    </w:pPr>
    <w:rPr>
      <w:rFonts w:ascii="宋体" w:hAnsi="宋体"/>
      <w:szCs w:val="21"/>
    </w:rPr>
  </w:style>
  <w:style w:type="paragraph" w:customStyle="1" w:styleId="140">
    <w:name w:val="CM4"/>
    <w:basedOn w:val="134"/>
    <w:next w:val="134"/>
    <w:qFormat/>
    <w:uiPriority w:val="99"/>
    <w:pPr>
      <w:spacing w:after="343"/>
    </w:pPr>
    <w:rPr>
      <w:rFonts w:ascii="宋体" w:hAnsi="Calibri" w:cs="Times New Roman"/>
      <w:color w:val="auto"/>
    </w:rPr>
  </w:style>
  <w:style w:type="paragraph" w:customStyle="1" w:styleId="141">
    <w:name w:val="内容"/>
    <w:basedOn w:val="1"/>
    <w:qFormat/>
    <w:uiPriority w:val="99"/>
    <w:pPr>
      <w:autoSpaceDE w:val="0"/>
      <w:autoSpaceDN w:val="0"/>
      <w:spacing w:line="312" w:lineRule="auto"/>
      <w:ind w:firstLine="420" w:firstLineChars="200"/>
    </w:pPr>
  </w:style>
  <w:style w:type="paragraph" w:customStyle="1" w:styleId="142">
    <w:name w:val="_Style 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3">
    <w:name w:val="庄制定的正文"/>
    <w:basedOn w:val="1"/>
    <w:qFormat/>
    <w:uiPriority w:val="99"/>
    <w:pPr>
      <w:autoSpaceDE w:val="0"/>
      <w:autoSpaceDN w:val="0"/>
      <w:spacing w:after="50" w:line="360" w:lineRule="auto"/>
      <w:ind w:firstLine="454"/>
    </w:pPr>
    <w:rPr>
      <w:rFonts w:ascii="宋体" w:hAnsi="宋体" w:cs="宋体"/>
      <w:kern w:val="44"/>
    </w:rPr>
  </w:style>
  <w:style w:type="paragraph" w:customStyle="1" w:styleId="144">
    <w:name w:val="style1"/>
    <w:basedOn w:val="1"/>
    <w:uiPriority w:val="99"/>
    <w:pPr>
      <w:widowControl/>
      <w:spacing w:before="100" w:beforeAutospacing="1" w:after="100" w:afterAutospacing="1"/>
      <w:jc w:val="left"/>
    </w:pPr>
    <w:rPr>
      <w:rFonts w:ascii="宋体" w:hAnsi="宋体" w:cs="宋体"/>
    </w:rPr>
  </w:style>
  <w:style w:type="paragraph" w:customStyle="1" w:styleId="145">
    <w:name w:val="列出段落1"/>
    <w:basedOn w:val="1"/>
    <w:qFormat/>
    <w:uiPriority w:val="99"/>
    <w:pPr>
      <w:ind w:firstLine="420" w:firstLineChars="200"/>
    </w:pPr>
    <w:rPr>
      <w:rFonts w:ascii="Calibri" w:hAnsi="Calibri" w:cs="Calibri"/>
      <w:szCs w:val="21"/>
    </w:rPr>
  </w:style>
  <w:style w:type="paragraph" w:customStyle="1" w:styleId="14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4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rPr>
  </w:style>
  <w:style w:type="paragraph" w:customStyle="1" w:styleId="148">
    <w:name w:val="Char"/>
    <w:basedOn w:val="1"/>
    <w:qFormat/>
    <w:uiPriority w:val="99"/>
    <w:pPr>
      <w:widowControl/>
      <w:spacing w:after="160" w:line="240" w:lineRule="exact"/>
      <w:jc w:val="left"/>
    </w:pPr>
    <w:rPr>
      <w:rFonts w:ascii="Verdana" w:hAnsi="Verdana"/>
      <w:lang w:eastAsia="en-US"/>
    </w:rPr>
  </w:style>
  <w:style w:type="paragraph" w:customStyle="1" w:styleId="149">
    <w:name w:val="Char3"/>
    <w:basedOn w:val="1"/>
    <w:uiPriority w:val="99"/>
    <w:rPr>
      <w:rFonts w:ascii="Bookshelf Symbol 7" w:hAnsi="Bookshelf Symbol 7" w:cs="Bookshelf Symbol 7"/>
    </w:rPr>
  </w:style>
  <w:style w:type="paragraph" w:customStyle="1" w:styleId="150">
    <w:name w:val="Char Char8"/>
    <w:basedOn w:val="1"/>
    <w:qFormat/>
    <w:uiPriority w:val="99"/>
    <w:pPr>
      <w:widowControl/>
      <w:spacing w:after="160" w:line="240" w:lineRule="exact"/>
      <w:jc w:val="left"/>
    </w:pPr>
    <w:rPr>
      <w:rFonts w:ascii="Tahoma" w:hAnsi="Tahoma" w:cs="Verdana"/>
      <w:lang w:eastAsia="en-US"/>
    </w:rPr>
  </w:style>
  <w:style w:type="paragraph" w:customStyle="1" w:styleId="151">
    <w:name w:val="Char Char8 Char Char"/>
    <w:basedOn w:val="1"/>
    <w:qFormat/>
    <w:uiPriority w:val="99"/>
    <w:pPr>
      <w:widowControl/>
      <w:spacing w:after="160" w:line="240" w:lineRule="exact"/>
      <w:jc w:val="left"/>
    </w:pPr>
    <w:rPr>
      <w:rFonts w:ascii="方正仿宋简体" w:hAnsi="方正仿宋简体" w:cs="Arial"/>
      <w:lang w:eastAsia="en-US"/>
    </w:rPr>
  </w:style>
  <w:style w:type="paragraph" w:customStyle="1" w:styleId="152">
    <w:name w:val="列出段落11"/>
    <w:basedOn w:val="1"/>
    <w:qFormat/>
    <w:uiPriority w:val="99"/>
    <w:pPr>
      <w:autoSpaceDE w:val="0"/>
      <w:autoSpaceDN w:val="0"/>
      <w:spacing w:line="360" w:lineRule="auto"/>
      <w:ind w:firstLine="420" w:firstLineChars="200"/>
    </w:pPr>
    <w:rPr>
      <w:rFonts w:ascii="Calibri" w:hAnsi="Calibri"/>
      <w:szCs w:val="22"/>
    </w:rPr>
  </w:style>
  <w:style w:type="paragraph" w:customStyle="1" w:styleId="153">
    <w:name w:val="Block"/>
    <w:basedOn w:val="1"/>
    <w:next w:val="1"/>
    <w:qFormat/>
    <w:uiPriority w:val="99"/>
    <w:pPr>
      <w:autoSpaceDE w:val="0"/>
      <w:autoSpaceDN w:val="0"/>
      <w:spacing w:line="360" w:lineRule="auto"/>
    </w:pPr>
    <w:rPr>
      <w:rFonts w:eastAsia="楷体_GB2312"/>
      <w:color w:val="000080"/>
      <w:sz w:val="28"/>
      <w:szCs w:val="28"/>
    </w:rPr>
  </w:style>
  <w:style w:type="paragraph" w:customStyle="1" w:styleId="15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15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156">
    <w:name w:val="font12"/>
    <w:basedOn w:val="1"/>
    <w:qFormat/>
    <w:uiPriority w:val="99"/>
    <w:pPr>
      <w:widowControl/>
      <w:spacing w:before="100" w:beforeAutospacing="1" w:after="100" w:afterAutospacing="1"/>
      <w:jc w:val="left"/>
    </w:pPr>
    <w:rPr>
      <w:rFonts w:ascii="宋体" w:hAnsi="宋体"/>
      <w:color w:val="000000"/>
      <w:sz w:val="18"/>
      <w:szCs w:val="18"/>
    </w:rPr>
  </w:style>
  <w:style w:type="paragraph" w:customStyle="1" w:styleId="157">
    <w:name w:val="Char Char1 Char Char Char Char"/>
    <w:basedOn w:val="13"/>
    <w:qFormat/>
    <w:uiPriority w:val="99"/>
    <w:pPr>
      <w:shd w:val="clear" w:color="auto" w:fill="000080"/>
    </w:pPr>
    <w:rPr>
      <w:rFonts w:ascii="Tahoma" w:hAnsi="Tahoma"/>
      <w:sz w:val="24"/>
      <w:szCs w:val="24"/>
    </w:rPr>
  </w:style>
  <w:style w:type="paragraph" w:customStyle="1" w:styleId="158">
    <w:name w:val="Char Char Char1 Char"/>
    <w:basedOn w:val="1"/>
    <w:qFormat/>
    <w:uiPriority w:val="99"/>
    <w:rPr>
      <w:rFonts w:ascii="Tahoma" w:hAnsi="Tahoma"/>
    </w:rPr>
  </w:style>
  <w:style w:type="paragraph" w:customStyle="1" w:styleId="159">
    <w:name w:val="xl30"/>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szCs w:val="21"/>
    </w:rPr>
  </w:style>
  <w:style w:type="paragraph" w:customStyle="1" w:styleId="160">
    <w:name w:val="C"/>
    <w:basedOn w:val="1"/>
    <w:qFormat/>
    <w:uiPriority w:val="99"/>
    <w:pPr>
      <w:autoSpaceDE w:val="0"/>
      <w:autoSpaceDN w:val="0"/>
      <w:spacing w:line="360" w:lineRule="auto"/>
      <w:ind w:left="1260" w:hanging="976"/>
      <w:jc w:val="left"/>
      <w:outlineLvl w:val="2"/>
    </w:pPr>
    <w:rPr>
      <w:color w:val="000000"/>
      <w:sz w:val="28"/>
    </w:rPr>
  </w:style>
  <w:style w:type="paragraph" w:customStyle="1" w:styleId="161">
    <w:name w:val="CM2"/>
    <w:basedOn w:val="134"/>
    <w:next w:val="134"/>
    <w:qFormat/>
    <w:uiPriority w:val="99"/>
    <w:pPr>
      <w:spacing w:line="468" w:lineRule="atLeast"/>
    </w:pPr>
    <w:rPr>
      <w:rFonts w:ascii="宋体" w:hAnsi="Calibri" w:cs="Times New Roman"/>
      <w:color w:val="auto"/>
    </w:rPr>
  </w:style>
  <w:style w:type="paragraph" w:customStyle="1" w:styleId="162">
    <w:name w:val="Item list in table"/>
    <w:basedOn w:val="1"/>
    <w:qFormat/>
    <w:uiPriority w:val="99"/>
    <w:pPr>
      <w:widowControl/>
      <w:numPr>
        <w:ilvl w:val="0"/>
        <w:numId w:val="1"/>
      </w:numPr>
      <w:autoSpaceDE w:val="0"/>
      <w:autoSpaceDN w:val="0"/>
      <w:spacing w:line="360" w:lineRule="auto"/>
      <w:ind w:left="900"/>
    </w:pPr>
    <w:rPr>
      <w:sz w:val="18"/>
      <w:szCs w:val="18"/>
    </w:rPr>
  </w:style>
  <w:style w:type="paragraph" w:customStyle="1" w:styleId="163">
    <w:name w:val="font14"/>
    <w:basedOn w:val="1"/>
    <w:qFormat/>
    <w:uiPriority w:val="99"/>
    <w:pPr>
      <w:widowControl/>
      <w:spacing w:before="100" w:beforeAutospacing="1" w:after="100" w:afterAutospacing="1"/>
      <w:jc w:val="left"/>
    </w:pPr>
    <w:rPr>
      <w:rFonts w:ascii="宋体" w:hAnsi="宋体"/>
      <w:color w:val="000000"/>
      <w:sz w:val="18"/>
      <w:szCs w:val="18"/>
    </w:rPr>
  </w:style>
  <w:style w:type="paragraph" w:customStyle="1" w:styleId="164">
    <w:name w:val="纯文本1"/>
    <w:basedOn w:val="1"/>
    <w:qFormat/>
    <w:uiPriority w:val="99"/>
    <w:rPr>
      <w:rFonts w:ascii="宋体" w:hAnsi="Courier New"/>
      <w:sz w:val="20"/>
    </w:rPr>
  </w:style>
  <w:style w:type="paragraph" w:customStyle="1" w:styleId="165">
    <w:name w:val="font8"/>
    <w:basedOn w:val="1"/>
    <w:qFormat/>
    <w:uiPriority w:val="99"/>
    <w:pPr>
      <w:widowControl/>
      <w:spacing w:before="100" w:beforeAutospacing="1" w:after="100" w:afterAutospacing="1"/>
      <w:jc w:val="left"/>
    </w:pPr>
    <w:rPr>
      <w:szCs w:val="21"/>
    </w:rPr>
  </w:style>
  <w:style w:type="paragraph" w:customStyle="1" w:styleId="16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Cs w:val="21"/>
    </w:rPr>
  </w:style>
  <w:style w:type="paragraph" w:customStyle="1" w:styleId="167">
    <w:name w:val="msonospacing"/>
    <w:basedOn w:val="1"/>
    <w:qFormat/>
    <w:uiPriority w:val="99"/>
    <w:rPr>
      <w:rFonts w:ascii="Calibri" w:hAnsi="Calibri"/>
      <w:szCs w:val="22"/>
    </w:rPr>
  </w:style>
  <w:style w:type="paragraph" w:customStyle="1" w:styleId="168">
    <w:name w:val="Char Char16 Char Char"/>
    <w:basedOn w:val="1"/>
    <w:qFormat/>
    <w:uiPriority w:val="99"/>
    <w:pPr>
      <w:adjustRightInd w:val="0"/>
      <w:spacing w:line="360" w:lineRule="auto"/>
    </w:pPr>
    <w:rPr>
      <w:rFonts w:ascii="Kozuka Mincho Pro EL" w:hAnsi="Kozuka Mincho Pro EL" w:cs="Kozuka Mincho Pro EL"/>
    </w:rPr>
  </w:style>
  <w:style w:type="paragraph" w:customStyle="1" w:styleId="169">
    <w:name w:val="正文加重首行缩进2字"/>
    <w:basedOn w:val="1"/>
    <w:qFormat/>
    <w:uiPriority w:val="99"/>
    <w:pPr>
      <w:tabs>
        <w:tab w:val="left" w:pos="360"/>
        <w:tab w:val="left" w:pos="987"/>
      </w:tabs>
      <w:autoSpaceDE w:val="0"/>
      <w:autoSpaceDN w:val="0"/>
      <w:spacing w:before="100" w:beforeAutospacing="1" w:after="100" w:afterAutospacing="1" w:line="360" w:lineRule="auto"/>
      <w:ind w:left="360" w:hanging="360"/>
    </w:pPr>
    <w:rPr>
      <w:rFonts w:eastAsia="楷体_GB2312"/>
      <w:b/>
      <w:sz w:val="28"/>
    </w:rPr>
  </w:style>
  <w:style w:type="paragraph" w:customStyle="1" w:styleId="17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171">
    <w:name w:val="默认段落字体 Para Char Char Char Char Char Char Char Char Char Char"/>
    <w:basedOn w:val="1"/>
    <w:qFormat/>
    <w:uiPriority w:val="99"/>
  </w:style>
  <w:style w:type="paragraph" w:customStyle="1" w:styleId="172">
    <w:name w:val="A"/>
    <w:basedOn w:val="1"/>
    <w:qFormat/>
    <w:uiPriority w:val="99"/>
    <w:pPr>
      <w:autoSpaceDE w:val="0"/>
      <w:autoSpaceDN w:val="0"/>
      <w:spacing w:line="360" w:lineRule="auto"/>
      <w:ind w:left="511" w:hanging="114"/>
      <w:outlineLvl w:val="0"/>
    </w:pPr>
    <w:rPr>
      <w:sz w:val="32"/>
    </w:rPr>
  </w:style>
  <w:style w:type="paragraph" w:customStyle="1" w:styleId="173">
    <w:name w:val="2"/>
    <w:basedOn w:val="1"/>
    <w:next w:val="20"/>
    <w:qFormat/>
    <w:uiPriority w:val="99"/>
    <w:rPr>
      <w:rFonts w:ascii="宋体" w:hAnsi="Courier New"/>
    </w:rPr>
  </w:style>
  <w:style w:type="paragraph" w:customStyle="1" w:styleId="174">
    <w:name w:val="5"/>
    <w:basedOn w:val="1"/>
    <w:qFormat/>
    <w:uiPriority w:val="99"/>
    <w:pPr>
      <w:widowControl/>
      <w:spacing w:after="160" w:line="240" w:lineRule="exact"/>
      <w:jc w:val="left"/>
    </w:pPr>
    <w:rPr>
      <w:rFonts w:ascii="Verdana" w:hAnsi="Verdana" w:eastAsia="仿宋_GB2312"/>
      <w:lang w:eastAsia="en-US"/>
    </w:rPr>
  </w:style>
  <w:style w:type="paragraph" w:customStyle="1" w:styleId="175">
    <w:name w:val="Char Char Char Char Char"/>
    <w:basedOn w:val="1"/>
    <w:qFormat/>
    <w:uiPriority w:val="99"/>
    <w:pPr>
      <w:adjustRightInd w:val="0"/>
      <w:spacing w:line="360" w:lineRule="auto"/>
    </w:pPr>
    <w:rPr>
      <w:rFonts w:ascii="Tahoma" w:hAnsi="Tahoma" w:eastAsia="宋体" w:cs="Tahoma"/>
    </w:rPr>
  </w:style>
  <w:style w:type="paragraph" w:customStyle="1" w:styleId="17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77">
    <w:name w:val="Char Char4"/>
    <w:basedOn w:val="1"/>
    <w:qFormat/>
    <w:uiPriority w:val="99"/>
    <w:pPr>
      <w:widowControl/>
      <w:spacing w:after="160" w:line="240" w:lineRule="exact"/>
      <w:jc w:val="left"/>
    </w:pPr>
  </w:style>
  <w:style w:type="paragraph" w:customStyle="1" w:styleId="178">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szCs w:val="21"/>
    </w:rPr>
  </w:style>
  <w:style w:type="paragraph" w:customStyle="1" w:styleId="179">
    <w:name w:val="p0"/>
    <w:basedOn w:val="1"/>
    <w:qFormat/>
    <w:uiPriority w:val="99"/>
    <w:pPr>
      <w:widowControl/>
    </w:pPr>
    <w:rPr>
      <w:szCs w:val="21"/>
    </w:rPr>
  </w:style>
  <w:style w:type="paragraph" w:customStyle="1" w:styleId="180">
    <w:name w:val="Char Char1"/>
    <w:basedOn w:val="1"/>
    <w:qFormat/>
    <w:uiPriority w:val="99"/>
    <w:pPr>
      <w:widowControl/>
      <w:tabs>
        <w:tab w:val="left" w:pos="509"/>
      </w:tabs>
      <w:spacing w:after="160" w:line="240" w:lineRule="exact"/>
      <w:ind w:left="252"/>
      <w:jc w:val="left"/>
    </w:pPr>
    <w:rPr>
      <w:rFonts w:ascii="Verdana" w:hAnsi="Verdana" w:eastAsia="仿宋_GB2312"/>
      <w:lang w:eastAsia="en-US"/>
    </w:rPr>
  </w:style>
  <w:style w:type="paragraph" w:customStyle="1" w:styleId="181">
    <w:name w:val="font7"/>
    <w:basedOn w:val="1"/>
    <w:qFormat/>
    <w:uiPriority w:val="99"/>
    <w:pPr>
      <w:widowControl/>
      <w:spacing w:before="100" w:beforeAutospacing="1" w:after="100" w:afterAutospacing="1"/>
      <w:jc w:val="left"/>
    </w:pPr>
  </w:style>
  <w:style w:type="paragraph" w:customStyle="1" w:styleId="182">
    <w:name w:val="Char Char Char Char"/>
    <w:basedOn w:val="1"/>
    <w:qFormat/>
    <w:uiPriority w:val="99"/>
    <w:pPr>
      <w:widowControl/>
      <w:spacing w:after="160" w:line="240" w:lineRule="exact"/>
      <w:jc w:val="left"/>
    </w:pPr>
    <w:rPr>
      <w:rFonts w:ascii="Verdana" w:hAnsi="Verdana" w:eastAsia="仿宋_GB2312"/>
      <w:lang w:eastAsia="en-US"/>
    </w:rPr>
  </w:style>
  <w:style w:type="paragraph" w:customStyle="1" w:styleId="183">
    <w:name w:val="TOC Heading1"/>
    <w:basedOn w:val="3"/>
    <w:next w:val="1"/>
    <w:semiHidden/>
    <w:qFormat/>
    <w:uiPriority w:val="99"/>
    <w:pPr>
      <w:keepLines/>
      <w:widowControl/>
      <w:autoSpaceDE w:val="0"/>
      <w:autoSpaceDN w:val="0"/>
      <w:spacing w:before="480" w:line="276" w:lineRule="auto"/>
      <w:jc w:val="left"/>
      <w:outlineLvl w:val="9"/>
    </w:pPr>
    <w:rPr>
      <w:rFonts w:ascii="Cambria" w:hAnsi="Cambria"/>
      <w:bCs/>
      <w:color w:val="365F91"/>
      <w:kern w:val="0"/>
      <w:sz w:val="28"/>
      <w:szCs w:val="28"/>
    </w:rPr>
  </w:style>
  <w:style w:type="paragraph" w:customStyle="1" w:styleId="184">
    <w:name w:val="Char Char Char"/>
    <w:basedOn w:val="1"/>
    <w:qFormat/>
    <w:uiPriority w:val="99"/>
  </w:style>
  <w:style w:type="paragraph" w:customStyle="1" w:styleId="185">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99"/>
    <w:pPr>
      <w:widowControl/>
      <w:spacing w:after="160" w:line="240" w:lineRule="exact"/>
      <w:jc w:val="left"/>
    </w:pPr>
    <w:rPr>
      <w:rFonts w:ascii="Verdana" w:hAnsi="Verdana"/>
      <w:lang w:eastAsia="en-US"/>
    </w:rPr>
  </w:style>
  <w:style w:type="paragraph" w:customStyle="1" w:styleId="187">
    <w:name w:val="样式 宋体 小三 行距: 1.5 倍行距1"/>
    <w:basedOn w:val="17"/>
    <w:qFormat/>
    <w:uiPriority w:val="99"/>
    <w:pPr>
      <w:tabs>
        <w:tab w:val="left" w:pos="420"/>
        <w:tab w:val="left" w:pos="600"/>
      </w:tabs>
      <w:autoSpaceDE w:val="0"/>
      <w:autoSpaceDN w:val="0"/>
      <w:spacing w:line="360" w:lineRule="auto"/>
      <w:ind w:left="420" w:hanging="420"/>
    </w:pPr>
    <w:rPr>
      <w:rFonts w:ascii="Times New Roman" w:hAnsi="Times New Roman" w:eastAsia="宋体" w:cs="宋体"/>
      <w:b w:val="0"/>
      <w:spacing w:val="0"/>
      <w:sz w:val="30"/>
      <w:lang w:eastAsia="ko-KR"/>
    </w:rPr>
  </w:style>
  <w:style w:type="paragraph" w:customStyle="1" w:styleId="188">
    <w:name w:val="font6"/>
    <w:basedOn w:val="1"/>
    <w:qFormat/>
    <w:uiPriority w:val="99"/>
    <w:pPr>
      <w:widowControl/>
      <w:spacing w:before="100" w:beforeAutospacing="1" w:after="100" w:afterAutospacing="1"/>
      <w:jc w:val="left"/>
    </w:pPr>
    <w:rPr>
      <w:rFonts w:ascii="宋体" w:hAnsi="宋体"/>
      <w:sz w:val="18"/>
      <w:szCs w:val="18"/>
    </w:rPr>
  </w:style>
  <w:style w:type="paragraph" w:customStyle="1" w:styleId="189">
    <w:name w:val="Char Char Char Char1"/>
    <w:basedOn w:val="1"/>
    <w:qFormat/>
    <w:uiPriority w:val="99"/>
    <w:pPr>
      <w:widowControl/>
      <w:spacing w:after="160" w:line="240" w:lineRule="exact"/>
      <w:jc w:val="left"/>
    </w:pPr>
    <w:rPr>
      <w:rFonts w:ascii="Verdana" w:hAnsi="Verdana" w:eastAsia="仿宋_GB2312"/>
      <w:lang w:eastAsia="en-US"/>
    </w:rPr>
  </w:style>
  <w:style w:type="paragraph" w:customStyle="1" w:styleId="190">
    <w:name w:val="Figure Description"/>
    <w:basedOn w:val="1"/>
    <w:next w:val="2"/>
    <w:qFormat/>
    <w:uiPriority w:val="99"/>
    <w:pPr>
      <w:keepNext/>
      <w:keepLines/>
      <w:widowControl/>
      <w:autoSpaceDE w:val="0"/>
      <w:autoSpaceDN w:val="0"/>
      <w:spacing w:afterLines="50" w:line="360" w:lineRule="auto"/>
      <w:ind w:left="-180"/>
      <w:jc w:val="center"/>
    </w:pPr>
    <w:rPr>
      <w:sz w:val="18"/>
      <w:szCs w:val="18"/>
    </w:rPr>
  </w:style>
  <w:style w:type="paragraph" w:customStyle="1" w:styleId="19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92">
    <w:name w:val="font11"/>
    <w:basedOn w:val="1"/>
    <w:qFormat/>
    <w:uiPriority w:val="99"/>
    <w:pPr>
      <w:widowControl/>
      <w:spacing w:before="100" w:beforeAutospacing="1" w:after="100" w:afterAutospacing="1"/>
      <w:jc w:val="left"/>
    </w:pPr>
    <w:rPr>
      <w:rFonts w:ascii="宋体" w:hAnsi="宋体"/>
      <w:b/>
      <w:bCs/>
      <w:color w:val="000000"/>
      <w:sz w:val="18"/>
      <w:szCs w:val="18"/>
    </w:rPr>
  </w:style>
  <w:style w:type="paragraph" w:customStyle="1" w:styleId="193">
    <w:name w:val="Table description"/>
    <w:basedOn w:val="1"/>
    <w:next w:val="2"/>
    <w:qFormat/>
    <w:uiPriority w:val="99"/>
    <w:pPr>
      <w:keepNext/>
      <w:keepLines/>
      <w:widowControl/>
      <w:autoSpaceDE w:val="0"/>
      <w:autoSpaceDN w:val="0"/>
      <w:spacing w:line="360" w:lineRule="auto"/>
      <w:ind w:left="-180"/>
      <w:jc w:val="center"/>
    </w:pPr>
    <w:rPr>
      <w:szCs w:val="18"/>
    </w:rPr>
  </w:style>
  <w:style w:type="paragraph" w:customStyle="1" w:styleId="194">
    <w:name w:val="Char Char 字元 字元 字元 Char Char Char Char"/>
    <w:basedOn w:val="1"/>
    <w:qFormat/>
    <w:uiPriority w:val="99"/>
    <w:pPr>
      <w:adjustRightInd w:val="0"/>
      <w:spacing w:line="360" w:lineRule="auto"/>
    </w:pPr>
    <w:rPr>
      <w:rFonts w:ascii="@宋体" w:hAnsi="@宋体" w:eastAsia="@宋体" w:cs="@宋体"/>
    </w:rPr>
  </w:style>
  <w:style w:type="paragraph" w:customStyle="1" w:styleId="195">
    <w:name w:val="CM5"/>
    <w:basedOn w:val="134"/>
    <w:next w:val="134"/>
    <w:qFormat/>
    <w:uiPriority w:val="99"/>
    <w:pPr>
      <w:spacing w:after="508"/>
    </w:pPr>
    <w:rPr>
      <w:rFonts w:ascii="宋体" w:hAnsi="Calibri" w:cs="Times New Roman"/>
      <w:color w:val="auto"/>
    </w:rPr>
  </w:style>
  <w:style w:type="paragraph" w:styleId="196">
    <w:name w:val="List Paragraph"/>
    <w:basedOn w:val="1"/>
    <w:qFormat/>
    <w:uiPriority w:val="99"/>
    <w:pPr>
      <w:widowControl/>
      <w:ind w:firstLine="420" w:firstLineChars="200"/>
      <w:jc w:val="left"/>
    </w:pPr>
    <w:rPr>
      <w:rFonts w:ascii="宋体" w:hAnsi="宋体" w:cs="宋体"/>
    </w:rPr>
  </w:style>
  <w:style w:type="paragraph" w:customStyle="1" w:styleId="19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198">
    <w:name w:val="Char Char81"/>
    <w:basedOn w:val="1"/>
    <w:qFormat/>
    <w:uiPriority w:val="99"/>
    <w:pPr>
      <w:widowControl/>
      <w:spacing w:after="160" w:line="240" w:lineRule="exact"/>
      <w:jc w:val="left"/>
    </w:pPr>
    <w:rPr>
      <w:rFonts w:ascii="Tahoma" w:hAnsi="Tahoma" w:cs="Verdana"/>
      <w:lang w:eastAsia="en-US"/>
    </w:rPr>
  </w:style>
  <w:style w:type="paragraph" w:customStyle="1" w:styleId="199">
    <w:name w:val="font13"/>
    <w:basedOn w:val="1"/>
    <w:qFormat/>
    <w:uiPriority w:val="99"/>
    <w:pPr>
      <w:widowControl/>
      <w:spacing w:before="100" w:beforeAutospacing="1" w:after="100" w:afterAutospacing="1"/>
      <w:jc w:val="left"/>
    </w:pPr>
    <w:rPr>
      <w:rFonts w:ascii="宋体" w:hAnsi="宋体"/>
      <w:b/>
      <w:bCs/>
      <w:color w:val="000000"/>
      <w:sz w:val="18"/>
      <w:szCs w:val="18"/>
    </w:rPr>
  </w:style>
  <w:style w:type="paragraph" w:customStyle="1" w:styleId="20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201">
    <w:name w:val="Char1"/>
    <w:basedOn w:val="1"/>
    <w:qFormat/>
    <w:uiPriority w:val="99"/>
    <w:rPr>
      <w:rFonts w:ascii="???" w:eastAsia="Times New Roman"/>
      <w:b/>
      <w:sz w:val="32"/>
      <w:szCs w:val="32"/>
    </w:rPr>
  </w:style>
  <w:style w:type="paragraph" w:customStyle="1" w:styleId="202">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szCs w:val="21"/>
    </w:rPr>
  </w:style>
  <w:style w:type="paragraph" w:customStyle="1" w:styleId="203">
    <w:name w:val="B"/>
    <w:basedOn w:val="1"/>
    <w:qFormat/>
    <w:uiPriority w:val="99"/>
    <w:pPr>
      <w:autoSpaceDE w:val="0"/>
      <w:autoSpaceDN w:val="0"/>
      <w:spacing w:line="360" w:lineRule="auto"/>
      <w:ind w:left="840" w:hanging="840"/>
      <w:jc w:val="left"/>
      <w:outlineLvl w:val="1"/>
    </w:pPr>
    <w:rPr>
      <w:sz w:val="30"/>
    </w:rPr>
  </w:style>
  <w:style w:type="paragraph" w:customStyle="1" w:styleId="204">
    <w:name w:val="font0"/>
    <w:basedOn w:val="1"/>
    <w:qFormat/>
    <w:uiPriority w:val="99"/>
    <w:pPr>
      <w:widowControl/>
      <w:spacing w:before="100" w:beforeAutospacing="1" w:after="100" w:afterAutospacing="1"/>
      <w:jc w:val="left"/>
    </w:pPr>
    <w:rPr>
      <w:rFonts w:ascii="宋体" w:hAnsi="宋体"/>
    </w:rPr>
  </w:style>
  <w:style w:type="paragraph" w:styleId="205">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6">
    <w:name w:val="Item step"/>
    <w:basedOn w:val="1"/>
    <w:qFormat/>
    <w:uiPriority w:val="99"/>
    <w:pPr>
      <w:autoSpaceDE w:val="0"/>
      <w:autoSpaceDN w:val="0"/>
      <w:adjustRightInd w:val="0"/>
      <w:spacing w:line="360" w:lineRule="auto"/>
      <w:ind w:left="783" w:hanging="363"/>
    </w:pPr>
    <w:rPr>
      <w:szCs w:val="21"/>
    </w:rPr>
  </w:style>
  <w:style w:type="paragraph" w:customStyle="1" w:styleId="207">
    <w:name w:val="font10"/>
    <w:basedOn w:val="1"/>
    <w:qFormat/>
    <w:uiPriority w:val="99"/>
    <w:pPr>
      <w:widowControl/>
      <w:spacing w:before="100" w:beforeAutospacing="1" w:after="100" w:afterAutospacing="1"/>
      <w:jc w:val="left"/>
    </w:pPr>
    <w:rPr>
      <w:rFonts w:cs="Arial"/>
      <w:sz w:val="19"/>
      <w:szCs w:val="19"/>
    </w:rPr>
  </w:style>
  <w:style w:type="paragraph" w:customStyle="1" w:styleId="20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209">
    <w:name w:val="_Style 3"/>
    <w:basedOn w:val="1"/>
    <w:qFormat/>
    <w:uiPriority w:val="99"/>
    <w:pPr>
      <w:ind w:firstLine="420" w:firstLineChars="200"/>
    </w:pPr>
    <w:rPr>
      <w:rFonts w:ascii="Times New Roman" w:hAnsi="Times New Roman"/>
    </w:rPr>
  </w:style>
  <w:style w:type="paragraph" w:customStyle="1" w:styleId="210">
    <w:name w:val="Char Char4 Char Char"/>
    <w:basedOn w:val="1"/>
    <w:qFormat/>
    <w:uiPriority w:val="99"/>
    <w:pPr>
      <w:widowControl/>
      <w:autoSpaceDE w:val="0"/>
      <w:autoSpaceDN w:val="0"/>
      <w:spacing w:after="160" w:line="240" w:lineRule="exact"/>
      <w:jc w:val="left"/>
    </w:pPr>
    <w:rPr>
      <w:rFonts w:ascii="Calibri" w:hAnsi="Calibri"/>
      <w:szCs w:val="22"/>
    </w:rPr>
  </w:style>
  <w:style w:type="paragraph" w:customStyle="1" w:styleId="211">
    <w:name w:val="Char Char Char1"/>
    <w:basedOn w:val="1"/>
    <w:qFormat/>
    <w:uiPriority w:val="99"/>
    <w:pPr>
      <w:widowControl/>
      <w:spacing w:after="160" w:line="240" w:lineRule="exact"/>
      <w:jc w:val="left"/>
    </w:pPr>
  </w:style>
  <w:style w:type="paragraph" w:customStyle="1" w:styleId="212">
    <w:name w:val="acxsplast"/>
    <w:basedOn w:val="1"/>
    <w:qFormat/>
    <w:uiPriority w:val="99"/>
    <w:pPr>
      <w:widowControl/>
      <w:spacing w:before="100" w:beforeAutospacing="1" w:after="100" w:afterAutospacing="1"/>
      <w:jc w:val="left"/>
    </w:pPr>
    <w:rPr>
      <w:rFonts w:ascii="宋体" w:hAnsi="宋体" w:cs="宋体"/>
    </w:rPr>
  </w:style>
  <w:style w:type="paragraph" w:customStyle="1" w:styleId="213">
    <w:name w:val="4"/>
    <w:basedOn w:val="1"/>
    <w:next w:val="20"/>
    <w:qFormat/>
    <w:uiPriority w:val="99"/>
    <w:rPr>
      <w:rFonts w:ascii="宋体" w:hAnsi="Courier New"/>
    </w:rPr>
  </w:style>
  <w:style w:type="paragraph" w:customStyle="1" w:styleId="214">
    <w:name w:val="方案小标题"/>
    <w:basedOn w:val="1"/>
    <w:qFormat/>
    <w:uiPriority w:val="99"/>
    <w:pPr>
      <w:autoSpaceDE w:val="0"/>
      <w:autoSpaceDN w:val="0"/>
      <w:spacing w:beforeLines="50" w:afterLines="50" w:line="500" w:lineRule="exact"/>
      <w:ind w:firstLine="602" w:firstLineChars="200"/>
      <w:jc w:val="right"/>
    </w:pPr>
    <w:rPr>
      <w:rFonts w:ascii="仿宋_GB2312" w:hAnsi="宋体" w:eastAsia="仿宋_GB2312"/>
      <w:b/>
      <w:sz w:val="30"/>
      <w:szCs w:val="30"/>
    </w:rPr>
  </w:style>
  <w:style w:type="paragraph" w:customStyle="1" w:styleId="215">
    <w:name w:val="3"/>
    <w:basedOn w:val="1"/>
    <w:next w:val="20"/>
    <w:qFormat/>
    <w:uiPriority w:val="99"/>
    <w:rPr>
      <w:rFonts w:ascii="宋体" w:hAnsi="Courier New"/>
    </w:rPr>
  </w:style>
  <w:style w:type="paragraph" w:customStyle="1" w:styleId="216">
    <w:name w:val="Char11"/>
    <w:basedOn w:val="1"/>
    <w:qFormat/>
    <w:uiPriority w:val="99"/>
    <w:pPr>
      <w:widowControl/>
      <w:tabs>
        <w:tab w:val="left" w:pos="509"/>
      </w:tabs>
      <w:spacing w:after="160" w:line="240" w:lineRule="exact"/>
      <w:ind w:left="252"/>
      <w:jc w:val="left"/>
    </w:pPr>
    <w:rPr>
      <w:rFonts w:ascii="Verdana" w:hAnsi="Verdana" w:eastAsia="仿宋_GB2312"/>
      <w:lang w:eastAsia="en-US"/>
    </w:rPr>
  </w:style>
  <w:style w:type="paragraph" w:customStyle="1" w:styleId="217">
    <w:name w:val="标题2正文"/>
    <w:basedOn w:val="1"/>
    <w:qFormat/>
    <w:uiPriority w:val="99"/>
    <w:pPr>
      <w:autoSpaceDE w:val="0"/>
      <w:autoSpaceDN w:val="0"/>
      <w:spacing w:line="360" w:lineRule="auto"/>
      <w:ind w:left="540" w:leftChars="257"/>
    </w:pPr>
  </w:style>
  <w:style w:type="paragraph" w:customStyle="1" w:styleId="218">
    <w:name w:val="已访问的超链接1"/>
    <w:qFormat/>
    <w:uiPriority w:val="99"/>
    <w:rPr>
      <w:rFonts w:ascii="Times New Roman" w:hAnsi="Times New Roman" w:eastAsia="宋体" w:cs="Times New Roman"/>
      <w:lang w:val="en-US" w:eastAsia="zh-CN" w:bidi="ar-SA"/>
    </w:rPr>
  </w:style>
  <w:style w:type="paragraph" w:customStyle="1" w:styleId="219">
    <w:name w:val="font5"/>
    <w:basedOn w:val="1"/>
    <w:qFormat/>
    <w:uiPriority w:val="99"/>
    <w:pPr>
      <w:widowControl/>
      <w:spacing w:before="100" w:beforeAutospacing="1" w:after="100" w:afterAutospacing="1"/>
      <w:jc w:val="left"/>
    </w:pPr>
    <w:rPr>
      <w:rFonts w:ascii="宋体" w:hAnsi="宋体"/>
    </w:rPr>
  </w:style>
  <w:style w:type="paragraph" w:customStyle="1" w:styleId="22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character" w:customStyle="1" w:styleId="221">
    <w:name w:val="15"/>
    <w:qFormat/>
    <w:uiPriority w:val="99"/>
    <w:rPr>
      <w:rFonts w:ascii="Times New Roman" w:hAnsi="Times New Roman"/>
      <w:color w:val="0000FF"/>
      <w:u w:val="single"/>
    </w:rPr>
  </w:style>
  <w:style w:type="paragraph" w:customStyle="1" w:styleId="222">
    <w:name w:val="纯文本2"/>
    <w:basedOn w:val="1"/>
    <w:qFormat/>
    <w:uiPriority w:val="99"/>
    <w:rPr>
      <w:rFonts w:ascii="宋体" w:hAnsi="Courier New" w:eastAsia="宋体"/>
      <w:kern w:val="2"/>
      <w:sz w:val="21"/>
      <w:szCs w:val="24"/>
    </w:rPr>
  </w:style>
  <w:style w:type="character" w:customStyle="1" w:styleId="223">
    <w:name w:val="纯文本 Char1"/>
    <w:qFormat/>
    <w:locked/>
    <w:uiPriority w:val="99"/>
    <w:rPr>
      <w:rFonts w:ascii="宋体" w:hAnsi="Courier New"/>
    </w:rPr>
  </w:style>
  <w:style w:type="paragraph" w:customStyle="1" w:styleId="224">
    <w:name w:val="正文标准"/>
    <w:basedOn w:val="1"/>
    <w:qFormat/>
    <w:uiPriority w:val="0"/>
    <w:rPr>
      <w:rFonts w:eastAsiaTheme="minorEastAsia"/>
      <w:sz w:val="21"/>
    </w:rPr>
  </w:style>
  <w:style w:type="paragraph" w:customStyle="1" w:styleId="225">
    <w:name w:val="项目列表"/>
    <w:qFormat/>
    <w:uiPriority w:val="0"/>
    <w:pPr>
      <w:tabs>
        <w:tab w:val="left" w:pos="0"/>
      </w:tabs>
      <w:spacing w:line="300" w:lineRule="auto"/>
    </w:pPr>
    <w:rPr>
      <w:rFonts w:ascii="Arial" w:hAnsi="Arial" w:eastAsia="宋体" w:cstheme="minorBidi"/>
      <w:szCs w:val="21"/>
      <w:lang w:val="en-US" w:eastAsia="zh-CN" w:bidi="ar-SA"/>
    </w:rPr>
  </w:style>
  <w:style w:type="character" w:customStyle="1" w:styleId="226">
    <w:name w:val="supplier-tips"/>
    <w:basedOn w:val="39"/>
    <w:qFormat/>
    <w:uiPriority w:val="0"/>
    <w:rPr>
      <w:color w:val="FE0322"/>
    </w:rPr>
  </w:style>
  <w:style w:type="character" w:customStyle="1" w:styleId="227">
    <w:name w:val="current"/>
    <w:basedOn w:val="39"/>
    <w:qFormat/>
    <w:uiPriority w:val="0"/>
    <w:rPr>
      <w:color w:val="FFFFFF"/>
      <w:bdr w:val="single" w:color="197AFF" w:sz="4" w:space="0"/>
      <w:shd w:val="clear" w:fill="197AFF"/>
    </w:rPr>
  </w:style>
  <w:style w:type="character" w:customStyle="1" w:styleId="228">
    <w:name w:val="select"/>
    <w:basedOn w:val="39"/>
    <w:qFormat/>
    <w:uiPriority w:val="0"/>
    <w:rPr>
      <w:color w:val="FFFFFF"/>
      <w:shd w:val="clear" w:fill="3595F8"/>
    </w:rPr>
  </w:style>
  <w:style w:type="character" w:customStyle="1" w:styleId="229">
    <w:name w:val="next-item"/>
    <w:basedOn w:val="39"/>
    <w:qFormat/>
    <w:uiPriority w:val="0"/>
    <w:rPr>
      <w:color w:val="333333"/>
      <w:bdr w:val="single" w:color="CCD0D6" w:sz="4" w:space="0"/>
    </w:rPr>
  </w:style>
  <w:style w:type="character" w:customStyle="1" w:styleId="230">
    <w:name w:val="checker-icon"/>
    <w:basedOn w:val="39"/>
    <w:qFormat/>
    <w:uiPriority w:val="0"/>
  </w:style>
  <w:style w:type="character" w:customStyle="1" w:styleId="231">
    <w:name w:val="font-gray"/>
    <w:basedOn w:val="39"/>
    <w:qFormat/>
    <w:uiPriority w:val="0"/>
    <w:rPr>
      <w:color w:val="777777"/>
      <w:sz w:val="16"/>
      <w:szCs w:val="16"/>
    </w:rPr>
  </w:style>
  <w:style w:type="character" w:customStyle="1" w:styleId="232">
    <w:name w:val="small"/>
    <w:basedOn w:val="39"/>
    <w:qFormat/>
    <w:uiPriority w:val="0"/>
    <w:rPr>
      <w:color w:val="197AFF"/>
      <w:sz w:val="14"/>
      <w:szCs w:val="14"/>
    </w:rPr>
  </w:style>
  <w:style w:type="character" w:customStyle="1" w:styleId="233">
    <w:name w:val="small1"/>
    <w:basedOn w:val="39"/>
    <w:qFormat/>
    <w:uiPriority w:val="0"/>
    <w:rPr>
      <w:sz w:val="16"/>
      <w:szCs w:val="16"/>
    </w:rPr>
  </w:style>
  <w:style w:type="character" w:customStyle="1" w:styleId="234">
    <w:name w:val="small2"/>
    <w:basedOn w:val="39"/>
    <w:qFormat/>
    <w:uiPriority w:val="0"/>
    <w:rPr>
      <w:sz w:val="14"/>
      <w:szCs w:val="14"/>
    </w:rPr>
  </w:style>
  <w:style w:type="character" w:customStyle="1" w:styleId="235">
    <w:name w:val="edui-unclickable"/>
    <w:basedOn w:val="39"/>
    <w:qFormat/>
    <w:uiPriority w:val="0"/>
    <w:rPr>
      <w:color w:val="808080"/>
    </w:rPr>
  </w:style>
  <w:style w:type="character" w:customStyle="1" w:styleId="236">
    <w:name w:val="caret4"/>
    <w:basedOn w:val="39"/>
    <w:qFormat/>
    <w:uiPriority w:val="0"/>
  </w:style>
  <w:style w:type="character" w:customStyle="1" w:styleId="237">
    <w:name w:val="mistske"/>
    <w:basedOn w:val="39"/>
    <w:qFormat/>
    <w:uiPriority w:val="0"/>
    <w:rPr>
      <w:color w:val="CCCCCC"/>
      <w:sz w:val="16"/>
      <w:szCs w:val="16"/>
    </w:rPr>
  </w:style>
  <w:style w:type="character" w:customStyle="1" w:styleId="238">
    <w:name w:val="mistake"/>
    <w:basedOn w:val="39"/>
    <w:qFormat/>
    <w:uiPriority w:val="0"/>
    <w:rPr>
      <w:color w:val="CCCCCC"/>
      <w:sz w:val="19"/>
      <w:szCs w:val="19"/>
    </w:rPr>
  </w:style>
  <w:style w:type="character" w:customStyle="1" w:styleId="239">
    <w:name w:val="mistake1"/>
    <w:basedOn w:val="39"/>
    <w:qFormat/>
    <w:uiPriority w:val="0"/>
    <w:rPr>
      <w:color w:val="CCCCCC"/>
      <w:sz w:val="19"/>
      <w:szCs w:val="19"/>
    </w:rPr>
  </w:style>
  <w:style w:type="character" w:customStyle="1" w:styleId="240">
    <w:name w:val="href-title"/>
    <w:basedOn w:val="39"/>
    <w:qFormat/>
    <w:uiPriority w:val="0"/>
  </w:style>
  <w:style w:type="character" w:customStyle="1" w:styleId="241">
    <w:name w:val="desc"/>
    <w:basedOn w:val="39"/>
    <w:qFormat/>
    <w:uiPriority w:val="0"/>
  </w:style>
  <w:style w:type="character" w:customStyle="1" w:styleId="242">
    <w:name w:val="right"/>
    <w:basedOn w:val="39"/>
    <w:qFormat/>
    <w:uiPriority w:val="0"/>
  </w:style>
  <w:style w:type="character" w:customStyle="1" w:styleId="243">
    <w:name w:val="large"/>
    <w:basedOn w:val="39"/>
    <w:qFormat/>
    <w:uiPriority w:val="0"/>
    <w:rPr>
      <w:color w:val="197AFF"/>
      <w:sz w:val="19"/>
      <w:szCs w:val="19"/>
    </w:rPr>
  </w:style>
  <w:style w:type="character" w:customStyle="1" w:styleId="244">
    <w:name w:val="success"/>
    <w:basedOn w:val="39"/>
    <w:qFormat/>
    <w:uiPriority w:val="0"/>
    <w:rPr>
      <w:color w:val="2DC12D"/>
    </w:rPr>
  </w:style>
  <w:style w:type="character" w:customStyle="1" w:styleId="245">
    <w:name w:val="danger"/>
    <w:basedOn w:val="39"/>
    <w:qFormat/>
    <w:uiPriority w:val="0"/>
    <w:rPr>
      <w:color w:val="FF2200"/>
    </w:rPr>
  </w:style>
  <w:style w:type="character" w:customStyle="1" w:styleId="246">
    <w:name w:val="search"/>
    <w:basedOn w:val="39"/>
    <w:qFormat/>
    <w:uiPriority w:val="0"/>
  </w:style>
  <w:style w:type="character" w:customStyle="1" w:styleId="247">
    <w:name w:val="search1"/>
    <w:basedOn w:val="39"/>
    <w:qFormat/>
    <w:uiPriority w:val="0"/>
  </w:style>
  <w:style w:type="character" w:customStyle="1" w:styleId="248">
    <w:name w:val="edui-clickable"/>
    <w:basedOn w:val="39"/>
    <w:qFormat/>
    <w:uiPriority w:val="0"/>
    <w:rPr>
      <w:color w:val="0000FF"/>
      <w:u w:val="single"/>
    </w:rPr>
  </w:style>
  <w:style w:type="character" w:customStyle="1" w:styleId="249">
    <w:name w:val="caret"/>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appcomputer</Company>
  <Pages>49</Pages>
  <Words>6416</Words>
  <Characters>36577</Characters>
  <Lines>304</Lines>
  <Paragraphs>85</Paragraphs>
  <TotalTime>0</TotalTime>
  <ScaleCrop>false</ScaleCrop>
  <LinksUpToDate>false</LinksUpToDate>
  <CharactersWithSpaces>42908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2018-07-09T01:39:00Z</dcterms:created>
  <dc:creator>szw</dc:creator>
  <cp:lastModifiedBy>bIn</cp:lastModifiedBy>
  <cp:lastPrinted>2019-05-31T01:14:00Z</cp:lastPrinted>
  <dcterms:modified xsi:type="dcterms:W3CDTF">2020-04-26T04:04:12Z</dcterms:modified>
  <dc:title>广西科联招标中心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